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BB66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  <w:lang w:val="es"/>
        </w:rPr>
        <w:t>Descripción general y justificación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730"/>
        <w:gridCol w:w="1563"/>
      </w:tblGrid>
      <w:tr w:rsidR="005473CF" w:rsidRPr="009C72FC" w14:paraId="6B7CFD55" w14:textId="77777777" w:rsidTr="004C36D9">
        <w:trPr>
          <w:cantSplit/>
        </w:trPr>
        <w:tc>
          <w:tcPr>
            <w:tcW w:w="786" w:type="pct"/>
            <w:shd w:val="clear" w:color="auto" w:fill="auto"/>
          </w:tcPr>
          <w:p w14:paraId="7F391C74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Indicador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D059DA1" w14:textId="77777777" w:rsidR="005473CF" w:rsidRPr="009C72FC" w:rsidRDefault="0008520C" w:rsidP="00777BAF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9.</w:t>
            </w:r>
            <w:r>
              <w:rPr>
                <w:rFonts w:ascii="Arial" w:hAnsi="Arial" w:cs="Arial"/>
                <w:b/>
                <w:bCs/>
                <w:szCs w:val="22"/>
                <w:lang w:val="es"/>
              </w:rPr>
              <w:tab/>
              <w:t>Grado en el que la investigación y la documentación, incluidos los estudios científicos, técnicos y artísticos, contribuyen a la salvaguardia</w:t>
            </w:r>
          </w:p>
        </w:tc>
      </w:tr>
      <w:tr w:rsidR="005B0FE5" w:rsidRPr="009C72FC" w14:paraId="40A09BC3" w14:textId="77777777" w:rsidTr="004C36D9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350F8989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Factores de evaluación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01C16BA" w14:textId="77777777" w:rsidR="005B0FE5" w:rsidRPr="009C72FC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Este indicador se evalúa sobre la base de tres factores de ámbito nacional que cada Estado Parte supervisa y notifica:</w:t>
            </w:r>
          </w:p>
        </w:tc>
      </w:tr>
      <w:tr w:rsidR="00B96BCF" w:rsidRPr="00F866CD" w14:paraId="510ECA46" w14:textId="77777777" w:rsidTr="004C36D9">
        <w:trPr>
          <w:cantSplit/>
        </w:trPr>
        <w:tc>
          <w:tcPr>
            <w:tcW w:w="786" w:type="pct"/>
            <w:vMerge/>
            <w:shd w:val="clear" w:color="auto" w:fill="auto"/>
          </w:tcPr>
          <w:p w14:paraId="6C845889" w14:textId="77777777" w:rsidR="00B96BCF" w:rsidRPr="009C72FC" w:rsidRDefault="00B96BCF" w:rsidP="00B96B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6758276E" w14:textId="0D33C8DB" w:rsidR="00B96BCF" w:rsidRPr="009C72FC" w:rsidRDefault="00B96BCF" w:rsidP="003050A1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Apoyos financieros y de otra índole fomentan la investigación, los estudios científicos, técnicos y artísticos, la documentación y el registro, orientados a salvaguardar el PCI y son elaborados en conformidad con los principios éticos relevantes.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BED8EE3" w14:textId="77777777" w:rsidR="00F8614C" w:rsidRDefault="00F8614C" w:rsidP="00B96BCF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13 c)</w:t>
            </w:r>
          </w:p>
          <w:p w14:paraId="238F71D5" w14:textId="77777777" w:rsidR="00B96BCF" w:rsidRPr="0074360F" w:rsidRDefault="00B96BCF" w:rsidP="00B96BCF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173, DO 175</w:t>
            </w:r>
          </w:p>
        </w:tc>
      </w:tr>
      <w:tr w:rsidR="00B96BCF" w:rsidRPr="00F866CD" w14:paraId="6A2DFEC3" w14:textId="77777777" w:rsidTr="004C36D9">
        <w:trPr>
          <w:cantSplit/>
        </w:trPr>
        <w:tc>
          <w:tcPr>
            <w:tcW w:w="786" w:type="pct"/>
            <w:vMerge/>
            <w:shd w:val="clear" w:color="auto" w:fill="auto"/>
          </w:tcPr>
          <w:p w14:paraId="3F72CDB9" w14:textId="77777777" w:rsidR="00B96BCF" w:rsidRPr="00F866CD" w:rsidRDefault="00B96BCF" w:rsidP="00B96BCF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324B1A6F" w14:textId="77777777" w:rsidR="00B96BCF" w:rsidRPr="009C72FC" w:rsidRDefault="00B96BCF" w:rsidP="003050A1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Se fomenta la investigación sobre los enfoques y sobre los impactos de la salvaguardia del PCI en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"/>
              </w:rPr>
              <w:t>general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 así como la investigación sobre elementos específicos del PCI, independientemente de si están o no inscritos.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641E134" w14:textId="77777777" w:rsidR="00F8614C" w:rsidRDefault="00F8614C" w:rsidP="00B96B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Artículo 13 c)</w:t>
            </w:r>
          </w:p>
          <w:p w14:paraId="2869494E" w14:textId="77777777" w:rsidR="00B96BCF" w:rsidRPr="0074360F" w:rsidRDefault="00B96BCF" w:rsidP="00B96B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162</w:t>
            </w:r>
          </w:p>
        </w:tc>
      </w:tr>
      <w:tr w:rsidR="00B96BCF" w:rsidRPr="00F866CD" w14:paraId="4CF90D4D" w14:textId="77777777" w:rsidTr="004C36D9">
        <w:trPr>
          <w:cantSplit/>
        </w:trPr>
        <w:tc>
          <w:tcPr>
            <w:tcW w:w="786" w:type="pct"/>
            <w:vMerge/>
            <w:shd w:val="clear" w:color="auto" w:fill="auto"/>
          </w:tcPr>
          <w:p w14:paraId="01937F59" w14:textId="77777777" w:rsidR="00B96BCF" w:rsidRPr="00F866CD" w:rsidRDefault="00B96BCF" w:rsidP="00B96BCF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12891A27" w14:textId="77777777" w:rsidR="00B96BCF" w:rsidRPr="009C72FC" w:rsidRDefault="00B96BCF" w:rsidP="003050A1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Practicantes y depositarios del PCI participan en la gestión, la implementación y la divulgación de los resultados de investigaciones, así como de los estudios científicos, técnicos y artísticos, todos ellos llevados a cabo con consentimiento previo, libre, informado y continuo.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0BD1313" w14:textId="77777777" w:rsidR="00B96BCF" w:rsidRPr="00A8072E" w:rsidRDefault="00B96BCF" w:rsidP="00B96B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DO 109 a), DO 109 e), DO 153 b) ii), DO 175</w:t>
            </w:r>
          </w:p>
          <w:p w14:paraId="60919B20" w14:textId="77777777" w:rsidR="00B96BCF" w:rsidRPr="0074360F" w:rsidRDefault="00B96BCF" w:rsidP="00B96BCF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PE 1, PE 7</w:t>
            </w:r>
          </w:p>
        </w:tc>
      </w:tr>
      <w:tr w:rsidR="005473CF" w:rsidRPr="009C72FC" w14:paraId="6B3CCFC5" w14:textId="77777777" w:rsidTr="004C36D9">
        <w:trPr>
          <w:cantSplit/>
        </w:trPr>
        <w:tc>
          <w:tcPr>
            <w:tcW w:w="786" w:type="pct"/>
            <w:shd w:val="clear" w:color="auto" w:fill="auto"/>
          </w:tcPr>
          <w:p w14:paraId="09803012" w14:textId="77777777" w:rsidR="005473CF" w:rsidRPr="009C72FC" w:rsidRDefault="005473CF" w:rsidP="005473CF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los ODS y otros indicadores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5C0E800" w14:textId="79B9E60A" w:rsidR="005473CF" w:rsidRPr="009C72FC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 xml:space="preserve">Objetivos de Desarrollo Sostenible: </w:t>
            </w:r>
            <w:r>
              <w:rPr>
                <w:rFonts w:ascii="Arial" w:hAnsi="Arial" w:cs="Arial"/>
                <w:szCs w:val="22"/>
                <w:lang w:val="es"/>
              </w:rPr>
              <w:t>Este indicador responde a la meta 11.4 de los ODS: «redoblar los esfuerzos para proteger y salvaguardar el patrimonio cultural y natural del mundo». En un sentido más amplio, la investigación y la documentación sobre el PCI y su salvaguardia pueden repercutir en una serie de ODS, como los relacionados con la agricultura sostenible (ODS 2), la salud y el bienestar (ODS 3), el uso sostenible del agua (ODS 6), la biodiversidad (ODS 15), u otros.</w:t>
            </w:r>
          </w:p>
          <w:p w14:paraId="24910A17" w14:textId="71D27573" w:rsidR="005473CF" w:rsidRPr="009C72FC" w:rsidRDefault="005473CF" w:rsidP="003050A1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Relación con otros indicadores:</w:t>
            </w:r>
            <w:r>
              <w:rPr>
                <w:rFonts w:ascii="Arial" w:hAnsi="Arial" w:cs="Arial"/>
                <w:szCs w:val="22"/>
                <w:lang w:val="es"/>
              </w:rPr>
              <w:t xml:space="preserve"> Este indicador debe considerarse junto con el indicador 10. En este caso, se hace hincapié en los procesos de investigación y documentación y en la forma en que deben llevarse a cabo y respaldarse de acuerdo con el espíritu y el propósito de la Convención. El indicador 10 dirige la atención a las conclusiones y los resultados de la investigación y la documentación, y en la forma en que esos resultados pueden utilizarse tanto para mejorar la salvaguardia como para fortalecer la formulación de políticas. Al centrarse en los procesos y los resultados de la investigación y la documentación, estos dos indicadores complementan al indicador 1, que hace referencia a la promoción de instituciones para la documentación, y al indicador 24, que hace referencia a la cooperación internacional mediante el intercambio de documentación. El indicador 22 se refiere también a los estudios científicos, técnicos y artísticos, pero su objeto de estudio no es el propio PCI, sino más bien los programas y medidas de salvaguardia del PCI.</w:t>
            </w:r>
          </w:p>
        </w:tc>
      </w:tr>
      <w:tr w:rsidR="00896177" w:rsidRPr="009C72FC" w14:paraId="78A3C040" w14:textId="77777777" w:rsidTr="004C36D9">
        <w:trPr>
          <w:cantSplit/>
        </w:trPr>
        <w:tc>
          <w:tcPr>
            <w:tcW w:w="786" w:type="pct"/>
            <w:shd w:val="clear" w:color="auto" w:fill="auto"/>
          </w:tcPr>
          <w:p w14:paraId="16FBBA58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lastRenderedPageBreak/>
              <w:t>Justificación de las medidas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52288C86" w14:textId="618E05F3" w:rsidR="00704766" w:rsidRPr="009C72FC" w:rsidRDefault="00F8614C" w:rsidP="006664E7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Cs w:val="22"/>
                <w:lang w:val="es"/>
              </w:rPr>
              <w:t>La documentación y la investigación ocupan un lugar destacado entre las medidas que constituyen la salvaguardia, tal como se entiende en el Artículo 2.3. Se alienta a los Estados a «fomentar estudios científicos, técnicos y artísticos, así como metodologías de investigación, para la salvaguardia eficaz» (Artículo 13 c)). Las disposiciones específicas de las Directrices Operativas especifican más detalladamente el alcance de dicha investigación y el modo en que debe llevarse a cabo. Además, destaca la participación amplia y activa de los practicantes y depositarios en el proceso de investigación, así como la garantía de su consentimiento previo, libre, informado y continuo. Durante siglos, la investigación y la documentación de las prácticas y expresiones del PCI se han llevado a cabo en muchos países, pero la Convención enfatiza que dicha labor debe orientarse hacia la salvaguardia. Esto puede incluir, además, estudios sobre la eficacia y las repercusiones de las diversas estrategias y métodos de salvaguardia.</w:t>
            </w:r>
          </w:p>
        </w:tc>
      </w:tr>
      <w:tr w:rsidR="00704766" w:rsidRPr="00F866CD" w14:paraId="68D95CF1" w14:textId="77777777" w:rsidTr="004C36D9">
        <w:trPr>
          <w:cantSplit/>
        </w:trPr>
        <w:tc>
          <w:tcPr>
            <w:tcW w:w="786" w:type="pct"/>
            <w:shd w:val="clear" w:color="auto" w:fill="auto"/>
          </w:tcPr>
          <w:p w14:paraId="71DB509E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es"/>
              </w:rPr>
              <w:t>Términos clave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05B0A028" w14:textId="77777777" w:rsidR="006539B7" w:rsidRDefault="006539B7" w:rsidP="006539B7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Estudios científicos, técnicos y artísticos</w:t>
            </w:r>
          </w:p>
          <w:p w14:paraId="63FCE197" w14:textId="77777777" w:rsidR="00704766" w:rsidRPr="009C72FC" w:rsidRDefault="003C37A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Principios Éticos para la Salvaguardia del Patrimonio Cultural Inmaterial</w:t>
            </w:r>
          </w:p>
          <w:p w14:paraId="77674D7F" w14:textId="77777777" w:rsidR="003C37A3" w:rsidRDefault="003C37A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Elementos del PCI</w:t>
            </w:r>
          </w:p>
          <w:p w14:paraId="5114F3B4" w14:textId="77777777" w:rsidR="005E0630" w:rsidRPr="009C72FC" w:rsidRDefault="005E0630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es"/>
              </w:rPr>
              <w:t>Inscritos (independientemente de si están o no inscritos)</w:t>
            </w:r>
          </w:p>
          <w:p w14:paraId="2BD60FE4" w14:textId="77777777" w:rsidR="003C37A3" w:rsidRDefault="003C37A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Practicantes y depositarios</w:t>
            </w:r>
          </w:p>
          <w:p w14:paraId="4E2C6CF4" w14:textId="77777777" w:rsidR="003C37A3" w:rsidRDefault="003C37A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Participación e implicación</w:t>
            </w:r>
          </w:p>
          <w:p w14:paraId="195C9F4A" w14:textId="77777777" w:rsidR="00182E36" w:rsidRDefault="00182E36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Divulgación</w:t>
            </w:r>
          </w:p>
          <w:p w14:paraId="11579AC6" w14:textId="77777777" w:rsidR="003C37A3" w:rsidRPr="00F866CD" w:rsidRDefault="003C37A3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s"/>
              </w:rPr>
              <w:t>Consentimiento libre, previo, informado y continuo</w:t>
            </w:r>
          </w:p>
        </w:tc>
      </w:tr>
    </w:tbl>
    <w:p w14:paraId="75CF8089" w14:textId="77777777" w:rsidR="0054175C" w:rsidRPr="00F866CD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F866CD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3482F2B1" w14:textId="77777777" w:rsidR="0054175C" w:rsidRPr="009C72FC" w:rsidRDefault="0054175C" w:rsidP="00704766">
      <w:pPr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es"/>
        </w:rPr>
        <w:t>Orientación específica sobre el seguimiento y la presentación de informes periódicos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342"/>
      </w:tblGrid>
      <w:tr w:rsidR="009C0510" w:rsidRPr="009C72FC" w14:paraId="3ECF5BC5" w14:textId="77777777" w:rsidTr="009C72FC">
        <w:tc>
          <w:tcPr>
            <w:tcW w:w="767" w:type="pct"/>
            <w:shd w:val="clear" w:color="auto" w:fill="auto"/>
          </w:tcPr>
          <w:p w14:paraId="1EA551EF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Ventajas del seguimiento</w:t>
            </w:r>
          </w:p>
        </w:tc>
        <w:tc>
          <w:tcPr>
            <w:tcW w:w="4233" w:type="pct"/>
            <w:shd w:val="clear" w:color="auto" w:fill="auto"/>
          </w:tcPr>
          <w:p w14:paraId="47450B4D" w14:textId="15417EC7" w:rsidR="002C28BA" w:rsidRPr="009C72FC" w:rsidRDefault="006664E7" w:rsidP="006664E7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El seguimiento puede ayudar a un Estado a evaluar en qué medida sus diversas instituciones de investigación y documentación (véase el indicador 1) contribuyen con eficacia a la salvaguardia. Proporciona una visión de la disponibilidad de recursos financieros para respaldar tales labores de investigación y documentación. Asimismo, puede poner de relieve dónde existen carencias de financiación. Además, verifica si se respetan los principios éticos pertinentes durante los procesos de investigación y documentación; en concreto, el principio del consentimiento libre, previo, informado y continuo. A nivel mundial, el seguimiento puede indicar que en algunos países o regiones existen déficits de financiación, que podrían resolverse mediante cooperación y asistencia internacional. El seguimiento mundial también puede identificar las buenas prácticas y las estrategias innovadoras que ya han demostrado su eficacia para fomentar la más amplia participación de practicantes y depositarios en todas las etapas de la investigación y la documentación, entre ellas, la etapa de difusión de sus resultados.</w:t>
            </w:r>
          </w:p>
        </w:tc>
      </w:tr>
      <w:tr w:rsidR="0054175C" w:rsidRPr="009C72FC" w14:paraId="71239392" w14:textId="77777777" w:rsidTr="009C72FC">
        <w:tc>
          <w:tcPr>
            <w:tcW w:w="767" w:type="pct"/>
            <w:shd w:val="clear" w:color="auto" w:fill="auto"/>
          </w:tcPr>
          <w:p w14:paraId="34006364" w14:textId="77777777" w:rsidR="0054175C" w:rsidRPr="009C72FC" w:rsidRDefault="0054175C" w:rsidP="0054175C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t>Fuentes y recopilación de información</w:t>
            </w:r>
          </w:p>
        </w:tc>
        <w:tc>
          <w:tcPr>
            <w:tcW w:w="4233" w:type="pct"/>
            <w:shd w:val="clear" w:color="auto" w:fill="auto"/>
          </w:tcPr>
          <w:p w14:paraId="0DF1D078" w14:textId="410AB9CD" w:rsidR="0054175C" w:rsidRPr="009C72FC" w:rsidRDefault="00D213A5" w:rsidP="0054175C">
            <w:pPr>
              <w:spacing w:before="120"/>
              <w:jc w:val="both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es"/>
              </w:rPr>
              <w:t>Si el Estado proporciona fondos para apoyar las actividades de investigación y documentación, es probable que los registros de dicha financiación sean accesibles; si existe un órgano consultivo o un mecanismo de coordinación, también podría tener acceso a información sobre las prácticas de financiación de terceros. Las directrices de financiación y las estrategias de investigación podrían abordar la participación más amplia posible de practicantes y depositarios en los procesos de investigación y documentación. Si la investigación y la documentación dan lugar a publicaciones, exposiciones, conferencias u otras presentaciones públicas, por lo general, estos resultados estarán disponibles. Los procedimientos, protocolos y políticas de investigación podrían especificar la necesidad del consentimiento libre, previo, informado y continuo, y estar disponibles para su consulta.</w:t>
            </w:r>
          </w:p>
          <w:p w14:paraId="10D7369B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lang w:val="es"/>
              </w:rPr>
              <w:lastRenderedPageBreak/>
              <w:t>Posibles fuentes de información</w:t>
            </w:r>
          </w:p>
          <w:p w14:paraId="2B5695D4" w14:textId="77777777" w:rsidR="0054175C" w:rsidRPr="009C72FC" w:rsidRDefault="000A0D7B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Presupuestos e informes del Ministerio de Cultura y otras fuentes de financiación que apoyan la investigación y la documentación</w:t>
            </w:r>
          </w:p>
          <w:p w14:paraId="33BE9E5D" w14:textId="77777777" w:rsidR="000A0D7B" w:rsidRPr="009C72FC" w:rsidRDefault="000A0D7B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Convocatorias de financiación y directrices de los patrocinadores</w:t>
            </w:r>
          </w:p>
          <w:p w14:paraId="32CE200A" w14:textId="77777777" w:rsidR="000A0D7B" w:rsidRPr="009C72FC" w:rsidRDefault="000A0D7B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Reglamentos y protocolos que rigen las prácticas de investigación, especialmente las que se refieren a seres humanos</w:t>
            </w:r>
          </w:p>
          <w:p w14:paraId="28AFF9B3" w14:textId="77777777" w:rsidR="000A0D7B" w:rsidRPr="009C72FC" w:rsidRDefault="000A0D7B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Bibliografías, catálogos de editores y reseñas de obras publicadas</w:t>
            </w:r>
          </w:p>
          <w:p w14:paraId="020B083F" w14:textId="77777777" w:rsidR="000A0D7B" w:rsidRPr="009C72FC" w:rsidRDefault="000A0D7B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Catálogos de exposiciones, agendas y actas de conferencias, o documentos que describan otras presentaciones y eventos públicos</w:t>
            </w:r>
          </w:p>
          <w:p w14:paraId="7C47FF8C" w14:textId="77777777" w:rsidR="000A0D7B" w:rsidRPr="009C72FC" w:rsidRDefault="000A0D7B" w:rsidP="000A0D7B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es"/>
              </w:rPr>
              <w:t>Cobertura mediática de los programas y actividades de investigación y documentación participativas</w:t>
            </w:r>
          </w:p>
        </w:tc>
      </w:tr>
    </w:tbl>
    <w:p w14:paraId="5FD87A1C" w14:textId="77777777" w:rsidR="00320242" w:rsidRPr="00F866CD" w:rsidRDefault="00320242" w:rsidP="003050A1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1B2B" w14:textId="77777777" w:rsidR="00A0041A" w:rsidRDefault="00A0041A" w:rsidP="002938F2">
      <w:r>
        <w:separator/>
      </w:r>
    </w:p>
    <w:p w14:paraId="6D710E05" w14:textId="77777777" w:rsidR="00A0041A" w:rsidRDefault="00A0041A"/>
  </w:endnote>
  <w:endnote w:type="continuationSeparator" w:id="0">
    <w:p w14:paraId="4E8CC7AC" w14:textId="77777777" w:rsidR="00A0041A" w:rsidRDefault="00A0041A" w:rsidP="002938F2">
      <w:r>
        <w:continuationSeparator/>
      </w:r>
    </w:p>
    <w:p w14:paraId="09D4EE40" w14:textId="77777777" w:rsidR="00A0041A" w:rsidRDefault="00A0041A"/>
  </w:endnote>
  <w:endnote w:type="continuationNotice" w:id="1">
    <w:p w14:paraId="3E64B9C7" w14:textId="77777777" w:rsidR="00A0041A" w:rsidRDefault="00A004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457A" w14:textId="428C75E8" w:rsidR="00C04344" w:rsidRPr="000A0709" w:rsidRDefault="00FE6C94" w:rsidP="000A0709">
    <w:pPr>
      <w:pStyle w:val="Footer"/>
      <w:jc w:val="center"/>
      <w:rPr>
        <w:rFonts w:ascii="Arial" w:hAnsi="Arial"/>
      </w:rPr>
    </w:pPr>
    <w:r>
      <w:rPr>
        <w:rFonts w:ascii="Arial" w:hAnsi="Arial" w:cs="Arial"/>
        <w:lang w:val="es"/>
      </w:rPr>
      <w:fldChar w:fldCharType="begin"/>
    </w:r>
    <w:r>
      <w:rPr>
        <w:rFonts w:ascii="Arial" w:hAnsi="Arial" w:cs="Arial"/>
        <w:lang w:val="es"/>
      </w:rPr>
      <w:instrText xml:space="preserve"> PAGE   \* MERGEFORMAT </w:instrText>
    </w:r>
    <w:r>
      <w:rPr>
        <w:rFonts w:ascii="Arial" w:hAnsi="Arial" w:cs="Arial"/>
        <w:lang w:val="es"/>
      </w:rPr>
      <w:fldChar w:fldCharType="separate"/>
    </w:r>
    <w:r>
      <w:rPr>
        <w:rFonts w:ascii="Arial" w:hAnsi="Arial" w:cs="Arial"/>
        <w:noProof/>
        <w:lang w:val="es"/>
      </w:rPr>
      <w:t>3</w:t>
    </w:r>
    <w:r>
      <w:rPr>
        <w:rFonts w:ascii="Arial" w:hAnsi="Arial" w:cs="Arial"/>
        <w:noProof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F432" w14:textId="77777777" w:rsidR="00A0041A" w:rsidRDefault="00A0041A" w:rsidP="002938F2">
      <w:r>
        <w:separator/>
      </w:r>
    </w:p>
  </w:footnote>
  <w:footnote w:type="continuationSeparator" w:id="0">
    <w:p w14:paraId="6796F91D" w14:textId="77777777" w:rsidR="00A0041A" w:rsidRDefault="00A0041A" w:rsidP="002938F2">
      <w:r>
        <w:continuationSeparator/>
      </w:r>
    </w:p>
    <w:p w14:paraId="25DFBA7C" w14:textId="77777777" w:rsidR="00A0041A" w:rsidRDefault="00A0041A"/>
  </w:footnote>
  <w:footnote w:type="continuationNotice" w:id="1">
    <w:p w14:paraId="49C4515E" w14:textId="77777777" w:rsidR="00A0041A" w:rsidRDefault="00A004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8ACF" w14:textId="77777777" w:rsidR="00BB4850" w:rsidRDefault="00BB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D0CFE"/>
    <w:multiLevelType w:val="multilevel"/>
    <w:tmpl w:val="3E9406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3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5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7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9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3"/>
  </w:num>
  <w:num w:numId="2">
    <w:abstractNumId w:val="26"/>
  </w:num>
  <w:num w:numId="3">
    <w:abstractNumId w:val="12"/>
  </w:num>
  <w:num w:numId="4">
    <w:abstractNumId w:val="55"/>
  </w:num>
  <w:num w:numId="5">
    <w:abstractNumId w:val="46"/>
  </w:num>
  <w:num w:numId="6">
    <w:abstractNumId w:val="4"/>
  </w:num>
  <w:num w:numId="7">
    <w:abstractNumId w:val="16"/>
  </w:num>
  <w:num w:numId="8">
    <w:abstractNumId w:val="25"/>
  </w:num>
  <w:num w:numId="9">
    <w:abstractNumId w:val="49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3"/>
  </w:num>
  <w:num w:numId="17">
    <w:abstractNumId w:val="39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53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11"/>
  </w:num>
  <w:num w:numId="32">
    <w:abstractNumId w:val="8"/>
  </w:num>
  <w:num w:numId="33">
    <w:abstractNumId w:val="17"/>
  </w:num>
  <w:num w:numId="34">
    <w:abstractNumId w:val="47"/>
  </w:num>
  <w:num w:numId="35">
    <w:abstractNumId w:val="21"/>
  </w:num>
  <w:num w:numId="36">
    <w:abstractNumId w:val="41"/>
  </w:num>
  <w:num w:numId="37">
    <w:abstractNumId w:val="18"/>
  </w:num>
  <w:num w:numId="38">
    <w:abstractNumId w:val="10"/>
  </w:num>
  <w:num w:numId="39">
    <w:abstractNumId w:val="6"/>
  </w:num>
  <w:num w:numId="40">
    <w:abstractNumId w:val="20"/>
  </w:num>
  <w:num w:numId="41">
    <w:abstractNumId w:val="54"/>
  </w:num>
  <w:num w:numId="42">
    <w:abstractNumId w:val="51"/>
  </w:num>
  <w:num w:numId="43">
    <w:abstractNumId w:val="29"/>
  </w:num>
  <w:num w:numId="44">
    <w:abstractNumId w:val="13"/>
  </w:num>
  <w:num w:numId="45">
    <w:abstractNumId w:val="52"/>
  </w:num>
  <w:num w:numId="46">
    <w:abstractNumId w:val="5"/>
  </w:num>
  <w:num w:numId="47">
    <w:abstractNumId w:val="36"/>
  </w:num>
  <w:num w:numId="48">
    <w:abstractNumId w:val="56"/>
  </w:num>
  <w:num w:numId="49">
    <w:abstractNumId w:val="32"/>
  </w:num>
  <w:num w:numId="50">
    <w:abstractNumId w:val="30"/>
  </w:num>
  <w:num w:numId="51">
    <w:abstractNumId w:val="27"/>
  </w:num>
  <w:num w:numId="52">
    <w:abstractNumId w:val="38"/>
  </w:num>
  <w:num w:numId="53">
    <w:abstractNumId w:val="15"/>
  </w:num>
  <w:num w:numId="54">
    <w:abstractNumId w:val="1"/>
  </w:num>
  <w:num w:numId="55">
    <w:abstractNumId w:val="34"/>
  </w:num>
  <w:num w:numId="56">
    <w:abstractNumId w:val="40"/>
  </w:num>
  <w:num w:numId="57">
    <w:abstractNumId w:val="0"/>
  </w:num>
  <w:num w:numId="58">
    <w:abstractNumId w:val="3"/>
  </w:num>
  <w:num w:numId="59">
    <w:abstractNumId w:val="44"/>
  </w:num>
  <w:num w:numId="60">
    <w:abstractNumId w:val="2"/>
  </w:num>
  <w:num w:numId="61">
    <w:abstractNumId w:val="31"/>
  </w:num>
  <w:num w:numId="62">
    <w:abstractNumId w:val="22"/>
  </w:num>
  <w:num w:numId="63">
    <w:abstractNumId w:val="48"/>
  </w:num>
  <w:num w:numId="64">
    <w:abstractNumId w:val="19"/>
  </w:num>
  <w:num w:numId="65">
    <w:abstractNumId w:val="24"/>
  </w:num>
  <w:num w:numId="66">
    <w:abstractNumId w:val="45"/>
  </w:num>
  <w:num w:numId="67">
    <w:abstractNumId w:val="37"/>
  </w:num>
  <w:num w:numId="68">
    <w:abstractNumId w:val="14"/>
  </w:num>
  <w:num w:numId="69">
    <w:abstractNumId w:val="42"/>
  </w:num>
  <w:num w:numId="70">
    <w:abstractNumId w:val="33"/>
  </w:num>
  <w:num w:numId="71">
    <w:abstractNumId w:val="28"/>
  </w:num>
  <w:num w:numId="72">
    <w:abstractNumId w:val="50"/>
  </w:num>
  <w:num w:numId="73">
    <w:abstractNumId w:val="7"/>
  </w:num>
  <w:num w:numId="74">
    <w:abstractNumId w:val="35"/>
  </w:num>
  <w:num w:numId="75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4096" w:nlCheck="1" w:checkStyle="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D68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67AA2"/>
    <w:rsid w:val="0007203D"/>
    <w:rsid w:val="000729D2"/>
    <w:rsid w:val="00073D20"/>
    <w:rsid w:val="00074E7D"/>
    <w:rsid w:val="000755E1"/>
    <w:rsid w:val="0007681B"/>
    <w:rsid w:val="000769F1"/>
    <w:rsid w:val="0008318A"/>
    <w:rsid w:val="00083694"/>
    <w:rsid w:val="0008520C"/>
    <w:rsid w:val="00085541"/>
    <w:rsid w:val="00092AE6"/>
    <w:rsid w:val="00093063"/>
    <w:rsid w:val="000A0709"/>
    <w:rsid w:val="000A0D7B"/>
    <w:rsid w:val="000A0F0D"/>
    <w:rsid w:val="000A112A"/>
    <w:rsid w:val="000A21DA"/>
    <w:rsid w:val="000A34CE"/>
    <w:rsid w:val="000C03BF"/>
    <w:rsid w:val="000C15BD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6B72"/>
    <w:rsid w:val="00106D19"/>
    <w:rsid w:val="0011334A"/>
    <w:rsid w:val="00115830"/>
    <w:rsid w:val="00116489"/>
    <w:rsid w:val="0011750D"/>
    <w:rsid w:val="00121B41"/>
    <w:rsid w:val="00127EAD"/>
    <w:rsid w:val="001301DF"/>
    <w:rsid w:val="001412DE"/>
    <w:rsid w:val="00142D78"/>
    <w:rsid w:val="00144A4D"/>
    <w:rsid w:val="00151351"/>
    <w:rsid w:val="001538DF"/>
    <w:rsid w:val="00156788"/>
    <w:rsid w:val="001609A1"/>
    <w:rsid w:val="00162554"/>
    <w:rsid w:val="00163F68"/>
    <w:rsid w:val="00173B50"/>
    <w:rsid w:val="00173E0E"/>
    <w:rsid w:val="00174B39"/>
    <w:rsid w:val="00182E36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1CAA"/>
    <w:rsid w:val="001D3B29"/>
    <w:rsid w:val="001D59C8"/>
    <w:rsid w:val="001E4EEB"/>
    <w:rsid w:val="001E6026"/>
    <w:rsid w:val="001F3696"/>
    <w:rsid w:val="001F37CA"/>
    <w:rsid w:val="001F4BF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F16A0"/>
    <w:rsid w:val="002F17E1"/>
    <w:rsid w:val="003043A9"/>
    <w:rsid w:val="0030454E"/>
    <w:rsid w:val="003050A1"/>
    <w:rsid w:val="00320242"/>
    <w:rsid w:val="00322A3A"/>
    <w:rsid w:val="00324A32"/>
    <w:rsid w:val="00325D6E"/>
    <w:rsid w:val="00334977"/>
    <w:rsid w:val="00337194"/>
    <w:rsid w:val="00342EE8"/>
    <w:rsid w:val="00344D78"/>
    <w:rsid w:val="00346517"/>
    <w:rsid w:val="00351CCB"/>
    <w:rsid w:val="0035648A"/>
    <w:rsid w:val="00362B41"/>
    <w:rsid w:val="00363995"/>
    <w:rsid w:val="00364E5E"/>
    <w:rsid w:val="00370E9B"/>
    <w:rsid w:val="00377E4B"/>
    <w:rsid w:val="00383BA9"/>
    <w:rsid w:val="003845B0"/>
    <w:rsid w:val="00385B34"/>
    <w:rsid w:val="00386C08"/>
    <w:rsid w:val="00387D88"/>
    <w:rsid w:val="00390882"/>
    <w:rsid w:val="0039446E"/>
    <w:rsid w:val="003A260A"/>
    <w:rsid w:val="003A2BC4"/>
    <w:rsid w:val="003B31BE"/>
    <w:rsid w:val="003B504D"/>
    <w:rsid w:val="003C37A3"/>
    <w:rsid w:val="003C7065"/>
    <w:rsid w:val="003C7E70"/>
    <w:rsid w:val="003D2E0D"/>
    <w:rsid w:val="003D5113"/>
    <w:rsid w:val="003D5BFC"/>
    <w:rsid w:val="003D6E10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71B34"/>
    <w:rsid w:val="00474AFE"/>
    <w:rsid w:val="00477E66"/>
    <w:rsid w:val="00480809"/>
    <w:rsid w:val="004831C7"/>
    <w:rsid w:val="00486A5E"/>
    <w:rsid w:val="00493F92"/>
    <w:rsid w:val="004A0C2B"/>
    <w:rsid w:val="004A610E"/>
    <w:rsid w:val="004C20E2"/>
    <w:rsid w:val="004C36D9"/>
    <w:rsid w:val="004E056C"/>
    <w:rsid w:val="004E2817"/>
    <w:rsid w:val="004E2AE8"/>
    <w:rsid w:val="004E418A"/>
    <w:rsid w:val="005016FB"/>
    <w:rsid w:val="00504256"/>
    <w:rsid w:val="00511D17"/>
    <w:rsid w:val="005157E2"/>
    <w:rsid w:val="0051699F"/>
    <w:rsid w:val="00516DE3"/>
    <w:rsid w:val="005209BC"/>
    <w:rsid w:val="005223AE"/>
    <w:rsid w:val="00523E3C"/>
    <w:rsid w:val="005300BF"/>
    <w:rsid w:val="00532631"/>
    <w:rsid w:val="005414A1"/>
    <w:rsid w:val="0054175C"/>
    <w:rsid w:val="005473CF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0630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37271"/>
    <w:rsid w:val="00644B92"/>
    <w:rsid w:val="00645B77"/>
    <w:rsid w:val="0065099D"/>
    <w:rsid w:val="006515C9"/>
    <w:rsid w:val="00651944"/>
    <w:rsid w:val="00652318"/>
    <w:rsid w:val="00652484"/>
    <w:rsid w:val="00653314"/>
    <w:rsid w:val="006539B7"/>
    <w:rsid w:val="006664E7"/>
    <w:rsid w:val="0067005F"/>
    <w:rsid w:val="0067015A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6204"/>
    <w:rsid w:val="00747715"/>
    <w:rsid w:val="00747F86"/>
    <w:rsid w:val="00750138"/>
    <w:rsid w:val="00753DA3"/>
    <w:rsid w:val="007610D3"/>
    <w:rsid w:val="007629DB"/>
    <w:rsid w:val="00764F50"/>
    <w:rsid w:val="00767871"/>
    <w:rsid w:val="00770A92"/>
    <w:rsid w:val="00774D9C"/>
    <w:rsid w:val="00776A63"/>
    <w:rsid w:val="00777BAF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C26"/>
    <w:rsid w:val="007E4E37"/>
    <w:rsid w:val="007F3996"/>
    <w:rsid w:val="007F4B07"/>
    <w:rsid w:val="008029A6"/>
    <w:rsid w:val="008147BA"/>
    <w:rsid w:val="008269B0"/>
    <w:rsid w:val="0083067E"/>
    <w:rsid w:val="00832357"/>
    <w:rsid w:val="0083488D"/>
    <w:rsid w:val="008466C3"/>
    <w:rsid w:val="00846809"/>
    <w:rsid w:val="00851458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3BF7"/>
    <w:rsid w:val="008E0DAA"/>
    <w:rsid w:val="008E194D"/>
    <w:rsid w:val="008E22E3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5F00"/>
    <w:rsid w:val="00916F7B"/>
    <w:rsid w:val="00917A4D"/>
    <w:rsid w:val="00921F65"/>
    <w:rsid w:val="0092574C"/>
    <w:rsid w:val="009342E8"/>
    <w:rsid w:val="009357B4"/>
    <w:rsid w:val="00946D71"/>
    <w:rsid w:val="009577E1"/>
    <w:rsid w:val="00971CA1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C72FC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041A"/>
    <w:rsid w:val="00A073FD"/>
    <w:rsid w:val="00A150C7"/>
    <w:rsid w:val="00A2307A"/>
    <w:rsid w:val="00A462C6"/>
    <w:rsid w:val="00A519A2"/>
    <w:rsid w:val="00A51BDC"/>
    <w:rsid w:val="00A535B7"/>
    <w:rsid w:val="00A5709F"/>
    <w:rsid w:val="00A616C4"/>
    <w:rsid w:val="00A61F20"/>
    <w:rsid w:val="00A64796"/>
    <w:rsid w:val="00A66CD4"/>
    <w:rsid w:val="00A70883"/>
    <w:rsid w:val="00A77AEB"/>
    <w:rsid w:val="00A81F0A"/>
    <w:rsid w:val="00A85C7A"/>
    <w:rsid w:val="00A86042"/>
    <w:rsid w:val="00AA36F9"/>
    <w:rsid w:val="00AA444A"/>
    <w:rsid w:val="00AA6F84"/>
    <w:rsid w:val="00AB1528"/>
    <w:rsid w:val="00AD6BD4"/>
    <w:rsid w:val="00AE1B18"/>
    <w:rsid w:val="00AE1D83"/>
    <w:rsid w:val="00AE2DFB"/>
    <w:rsid w:val="00AE3061"/>
    <w:rsid w:val="00AF15BA"/>
    <w:rsid w:val="00AF1C32"/>
    <w:rsid w:val="00AF65C6"/>
    <w:rsid w:val="00B11AE3"/>
    <w:rsid w:val="00B121A6"/>
    <w:rsid w:val="00B245A5"/>
    <w:rsid w:val="00B300B8"/>
    <w:rsid w:val="00B32A28"/>
    <w:rsid w:val="00B33904"/>
    <w:rsid w:val="00B3751E"/>
    <w:rsid w:val="00B427FE"/>
    <w:rsid w:val="00B51737"/>
    <w:rsid w:val="00B53239"/>
    <w:rsid w:val="00B6102A"/>
    <w:rsid w:val="00B6167A"/>
    <w:rsid w:val="00B62ED0"/>
    <w:rsid w:val="00B64196"/>
    <w:rsid w:val="00B66A7A"/>
    <w:rsid w:val="00B70266"/>
    <w:rsid w:val="00B74304"/>
    <w:rsid w:val="00B82F05"/>
    <w:rsid w:val="00B87142"/>
    <w:rsid w:val="00B8750E"/>
    <w:rsid w:val="00B91878"/>
    <w:rsid w:val="00B92374"/>
    <w:rsid w:val="00B924C8"/>
    <w:rsid w:val="00B9301C"/>
    <w:rsid w:val="00B95E33"/>
    <w:rsid w:val="00B96BCF"/>
    <w:rsid w:val="00B973B5"/>
    <w:rsid w:val="00B97FD1"/>
    <w:rsid w:val="00BA6367"/>
    <w:rsid w:val="00BB1062"/>
    <w:rsid w:val="00BB28EF"/>
    <w:rsid w:val="00BB4850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87194"/>
    <w:rsid w:val="00C90629"/>
    <w:rsid w:val="00C90C51"/>
    <w:rsid w:val="00CA3ED6"/>
    <w:rsid w:val="00CA7CF4"/>
    <w:rsid w:val="00CB0F37"/>
    <w:rsid w:val="00CB1135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34A6"/>
    <w:rsid w:val="00CF3F93"/>
    <w:rsid w:val="00D020F3"/>
    <w:rsid w:val="00D04515"/>
    <w:rsid w:val="00D065AD"/>
    <w:rsid w:val="00D20C2E"/>
    <w:rsid w:val="00D213A5"/>
    <w:rsid w:val="00D22831"/>
    <w:rsid w:val="00D370B6"/>
    <w:rsid w:val="00D404B7"/>
    <w:rsid w:val="00D44509"/>
    <w:rsid w:val="00D448CB"/>
    <w:rsid w:val="00D47226"/>
    <w:rsid w:val="00D47ED5"/>
    <w:rsid w:val="00D61779"/>
    <w:rsid w:val="00D73DB6"/>
    <w:rsid w:val="00D809E5"/>
    <w:rsid w:val="00D81948"/>
    <w:rsid w:val="00D90819"/>
    <w:rsid w:val="00D93291"/>
    <w:rsid w:val="00D9501F"/>
    <w:rsid w:val="00D977E6"/>
    <w:rsid w:val="00DB50D5"/>
    <w:rsid w:val="00DC5537"/>
    <w:rsid w:val="00DD11EE"/>
    <w:rsid w:val="00DD52A0"/>
    <w:rsid w:val="00DE5590"/>
    <w:rsid w:val="00DE6364"/>
    <w:rsid w:val="00DF1D9E"/>
    <w:rsid w:val="00DF3D68"/>
    <w:rsid w:val="00DF3DA3"/>
    <w:rsid w:val="00DF5DA4"/>
    <w:rsid w:val="00E06492"/>
    <w:rsid w:val="00E065CE"/>
    <w:rsid w:val="00E06A00"/>
    <w:rsid w:val="00E13E03"/>
    <w:rsid w:val="00E22B99"/>
    <w:rsid w:val="00E24A9D"/>
    <w:rsid w:val="00E258D9"/>
    <w:rsid w:val="00E35B8C"/>
    <w:rsid w:val="00E439CA"/>
    <w:rsid w:val="00E46DDB"/>
    <w:rsid w:val="00E473F3"/>
    <w:rsid w:val="00E5219B"/>
    <w:rsid w:val="00E56905"/>
    <w:rsid w:val="00E64BE4"/>
    <w:rsid w:val="00E760A1"/>
    <w:rsid w:val="00E85565"/>
    <w:rsid w:val="00E87F91"/>
    <w:rsid w:val="00E94BC6"/>
    <w:rsid w:val="00EA0563"/>
    <w:rsid w:val="00EA198F"/>
    <w:rsid w:val="00EA2EA1"/>
    <w:rsid w:val="00EA3CB9"/>
    <w:rsid w:val="00EA4493"/>
    <w:rsid w:val="00EA59EB"/>
    <w:rsid w:val="00EA67F3"/>
    <w:rsid w:val="00EB48F8"/>
    <w:rsid w:val="00ED0C60"/>
    <w:rsid w:val="00ED3D26"/>
    <w:rsid w:val="00ED5218"/>
    <w:rsid w:val="00EE1D9D"/>
    <w:rsid w:val="00EF0BCB"/>
    <w:rsid w:val="00EF0E74"/>
    <w:rsid w:val="00EF2549"/>
    <w:rsid w:val="00F0055D"/>
    <w:rsid w:val="00F00E8A"/>
    <w:rsid w:val="00F16242"/>
    <w:rsid w:val="00F17FCB"/>
    <w:rsid w:val="00F226CC"/>
    <w:rsid w:val="00F25D54"/>
    <w:rsid w:val="00F2691E"/>
    <w:rsid w:val="00F279DD"/>
    <w:rsid w:val="00F311C3"/>
    <w:rsid w:val="00F3242E"/>
    <w:rsid w:val="00F33650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614C"/>
    <w:rsid w:val="00F866CD"/>
    <w:rsid w:val="00F941F0"/>
    <w:rsid w:val="00F97FF5"/>
    <w:rsid w:val="00FA7CE6"/>
    <w:rsid w:val="00FB1313"/>
    <w:rsid w:val="00FC2238"/>
    <w:rsid w:val="00FC2459"/>
    <w:rsid w:val="00FC268E"/>
    <w:rsid w:val="00FC2BFD"/>
    <w:rsid w:val="00FC309D"/>
    <w:rsid w:val="00FC47E0"/>
    <w:rsid w:val="00FD1C42"/>
    <w:rsid w:val="00FD1E96"/>
    <w:rsid w:val="00FD1FE7"/>
    <w:rsid w:val="00FD6442"/>
    <w:rsid w:val="00FE15F6"/>
    <w:rsid w:val="00FE1F8A"/>
    <w:rsid w:val="00FE6C94"/>
    <w:rsid w:val="00FF14AA"/>
    <w:rsid w:val="00FF26CC"/>
    <w:rsid w:val="00FF2B1D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0A0B7F"/>
  <w15:docId w15:val="{50464EDB-4301-494B-BB2B-B26340B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BB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2DB9-7442-4195-8B14-DD66B60D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5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5</cp:revision>
  <dcterms:created xsi:type="dcterms:W3CDTF">2019-07-22T23:57:00Z</dcterms:created>
  <dcterms:modified xsi:type="dcterms:W3CDTF">2019-12-06T17:15:00Z</dcterms:modified>
</cp:coreProperties>
</file>