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A110A" w14:textId="23D68DB2" w:rsidR="00BD42C6" w:rsidRPr="00B91293" w:rsidRDefault="00BD42C6" w:rsidP="00E9591D">
      <w:pPr>
        <w:spacing w:before="600"/>
        <w:jc w:val="center"/>
        <w:rPr>
          <w:rFonts w:ascii="Arial" w:hAnsi="Arial" w:cs="Arial"/>
          <w:b/>
        </w:rPr>
      </w:pPr>
      <w:r>
        <w:rPr>
          <w:rFonts w:ascii="Arial" w:hAnsi="Arial"/>
          <w:b/>
        </w:rPr>
        <w:t>CONVENTION POUR LA SAUVEGARDE DU</w:t>
      </w:r>
      <w:r>
        <w:rPr>
          <w:rFonts w:ascii="Arial" w:hAnsi="Arial"/>
          <w:b/>
        </w:rPr>
        <w:br/>
        <w:t>PATRIMOINE CULTUREL IMMATÉRIEL</w:t>
      </w:r>
    </w:p>
    <w:p w14:paraId="2A7C9D2D" w14:textId="4AF5118A" w:rsidR="00BD42C6" w:rsidRPr="00B91293" w:rsidRDefault="00BD42C6" w:rsidP="00E9591D">
      <w:pPr>
        <w:spacing w:before="360"/>
        <w:jc w:val="center"/>
        <w:rPr>
          <w:rFonts w:ascii="Arial" w:hAnsi="Arial" w:cs="Arial"/>
          <w:b/>
          <w:bCs/>
        </w:rPr>
      </w:pPr>
      <w:r>
        <w:rPr>
          <w:rFonts w:ascii="Arial" w:hAnsi="Arial"/>
          <w:b/>
        </w:rPr>
        <w:t>Réunion d’experts dans le cadre de la réflexion globale</w:t>
      </w:r>
      <w:r>
        <w:rPr>
          <w:rFonts w:ascii="Arial" w:hAnsi="Arial"/>
          <w:b/>
        </w:rPr>
        <w:br/>
        <w:t>sur les mécanismes d’inscription sur les listes de la Convention</w:t>
      </w:r>
      <w:r>
        <w:rPr>
          <w:rFonts w:ascii="Arial" w:hAnsi="Arial"/>
          <w:b/>
        </w:rPr>
        <w:br/>
        <w:t>de 2003 pour la sauvegarde du patrimoine culturel immatériel</w:t>
      </w:r>
    </w:p>
    <w:p w14:paraId="378BB09A" w14:textId="68D73550" w:rsidR="00F93F7F" w:rsidRPr="00B91293" w:rsidRDefault="00F93F7F" w:rsidP="00E9591D">
      <w:pPr>
        <w:spacing w:before="480"/>
        <w:jc w:val="center"/>
        <w:rPr>
          <w:rFonts w:ascii="Arial" w:eastAsia="SimSun" w:hAnsi="Arial" w:cs="Arial"/>
          <w:b/>
        </w:rPr>
      </w:pPr>
      <w:r>
        <w:rPr>
          <w:rFonts w:ascii="Arial" w:hAnsi="Arial"/>
          <w:b/>
        </w:rPr>
        <w:t>RAPPORT DU GROUPE DE TRAVAIL</w:t>
      </w:r>
    </w:p>
    <w:p w14:paraId="0502CAE8" w14:textId="1FCDCA7F" w:rsidR="00F93F7F" w:rsidRPr="00B91293" w:rsidRDefault="00F93F7F" w:rsidP="00F93F7F">
      <w:pPr>
        <w:spacing w:before="120"/>
        <w:jc w:val="center"/>
        <w:rPr>
          <w:rFonts w:ascii="Arial" w:eastAsia="SimSun" w:hAnsi="Arial" w:cs="Arial"/>
          <w:b/>
        </w:rPr>
      </w:pPr>
      <w:r>
        <w:rPr>
          <w:rFonts w:ascii="Arial" w:hAnsi="Arial"/>
          <w:b/>
        </w:rPr>
        <w:t>GROUPE 2 – THÈME C</w:t>
      </w:r>
    </w:p>
    <w:p w14:paraId="204C48E0" w14:textId="706A196A" w:rsidR="002200BA" w:rsidRPr="00B91293" w:rsidRDefault="003F2D13" w:rsidP="4EF49309">
      <w:pPr>
        <w:spacing w:before="360"/>
        <w:jc w:val="center"/>
        <w:rPr>
          <w:rFonts w:ascii="Arial" w:eastAsia="Calibri" w:hAnsi="Arial" w:cs="Arial"/>
          <w:b/>
          <w:bCs/>
        </w:rPr>
      </w:pPr>
      <w:r>
        <w:rPr>
          <w:rFonts w:ascii="Arial" w:hAnsi="Arial"/>
          <w:b/>
        </w:rPr>
        <w:t>11, 18 et 20 mai 2021</w:t>
      </w:r>
      <w:r>
        <w:br/>
      </w:r>
      <w:r>
        <w:rPr>
          <w:rFonts w:ascii="Arial" w:hAnsi="Arial"/>
          <w:b/>
          <w:sz w:val="22"/>
        </w:rPr>
        <w:t>En ligne, 13h00 – 16h00</w:t>
      </w:r>
      <w:r>
        <w:rPr>
          <w:rFonts w:ascii="Arial" w:hAnsi="Arial"/>
          <w:b/>
        </w:rPr>
        <w:t xml:space="preserve"> (heure de Paris / </w:t>
      </w:r>
      <w:r>
        <w:rPr>
          <w:rFonts w:ascii="Arial" w:hAnsi="Arial"/>
          <w:b/>
          <w:sz w:val="22"/>
        </w:rPr>
        <w:t>UTC+2</w:t>
      </w:r>
      <w:r>
        <w:rPr>
          <w:rFonts w:ascii="Arial" w:hAnsi="Arial"/>
          <w:b/>
        </w:rPr>
        <w:t>)</w:t>
      </w:r>
    </w:p>
    <w:p w14:paraId="6B4FA79B" w14:textId="69DDC870" w:rsidR="009E7AB9" w:rsidRPr="00EC301D" w:rsidRDefault="009E7AB9" w:rsidP="002200BA">
      <w:pPr>
        <w:jc w:val="center"/>
        <w:rPr>
          <w:rFonts w:ascii="Arial" w:eastAsia="Calibri" w:hAnsi="Arial" w:cs="Arial"/>
          <w:b/>
        </w:rPr>
      </w:pPr>
    </w:p>
    <w:p w14:paraId="62CF543C" w14:textId="77777777" w:rsidR="009E7AB9" w:rsidRPr="00EC301D" w:rsidRDefault="009E7AB9" w:rsidP="00E9591D">
      <w:pPr>
        <w:spacing w:before="120"/>
        <w:jc w:val="center"/>
        <w:rPr>
          <w:rFonts w:ascii="Arial" w:eastAsia="SimSun" w:hAnsi="Arial" w:cs="Arial"/>
          <w:b/>
        </w:rPr>
      </w:pPr>
    </w:p>
    <w:p w14:paraId="0B5EEE70" w14:textId="77777777" w:rsidR="00167CAF" w:rsidRPr="00B91293" w:rsidRDefault="00167CAF" w:rsidP="00E9591D">
      <w:pPr>
        <w:spacing w:before="120"/>
        <w:jc w:val="center"/>
        <w:rPr>
          <w:rFonts w:ascii="Arial" w:eastAsia="SimSun" w:hAnsi="Arial" w:cs="Arial"/>
          <w:b/>
        </w:rPr>
      </w:pPr>
      <w:r>
        <w:rPr>
          <w:rFonts w:ascii="Arial" w:hAnsi="Arial"/>
          <w:b/>
        </w:rPr>
        <w:t>QUESTIONS ABORDÉES</w:t>
      </w:r>
    </w:p>
    <w:p w14:paraId="53EDE367" w14:textId="77777777" w:rsidR="00167CAF" w:rsidRPr="00EC301D" w:rsidRDefault="00167CAF" w:rsidP="00167CAF">
      <w:pPr>
        <w:rPr>
          <w:rFonts w:eastAsiaTheme="minorHAnsi"/>
          <w:b/>
          <w:lang w:eastAsia="en-US"/>
        </w:rPr>
      </w:pPr>
    </w:p>
    <w:p w14:paraId="6839C068" w14:textId="5D6733C9" w:rsidR="00167CAF" w:rsidRPr="00B91293" w:rsidRDefault="00167CAF" w:rsidP="00167CAF">
      <w:pPr>
        <w:pStyle w:val="Paragraphedeliste"/>
        <w:keepNext/>
        <w:shd w:val="clear" w:color="auto" w:fill="9CC2E5"/>
        <w:spacing w:before="240" w:after="120" w:line="360" w:lineRule="auto"/>
        <w:ind w:left="567"/>
        <w:jc w:val="both"/>
        <w:rPr>
          <w:rFonts w:ascii="Arial" w:hAnsi="Arial" w:cs="Arial"/>
          <w:sz w:val="22"/>
          <w:szCs w:val="22"/>
        </w:rPr>
      </w:pPr>
      <w:r>
        <w:rPr>
          <w:rFonts w:ascii="Arial" w:hAnsi="Arial"/>
          <w:sz w:val="22"/>
        </w:rPr>
        <w:t>Thème C : Questions relatives au suivi des éléments inscrits</w:t>
      </w:r>
    </w:p>
    <w:p w14:paraId="0A973565" w14:textId="4D395C47" w:rsidR="00167CAF" w:rsidRPr="00B91293" w:rsidRDefault="00167CAF" w:rsidP="00571480">
      <w:pPr>
        <w:pStyle w:val="COMPara"/>
        <w:numPr>
          <w:ilvl w:val="0"/>
          <w:numId w:val="24"/>
        </w:numPr>
        <w:snapToGrid w:val="0"/>
        <w:ind w:left="1418" w:hanging="851"/>
        <w:jc w:val="both"/>
      </w:pPr>
      <w:r>
        <w:t xml:space="preserve"> Mécanisme de suivi des éléments inscrits et de traitement des informations</w:t>
      </w:r>
    </w:p>
    <w:p w14:paraId="65E80E79" w14:textId="13662C68" w:rsidR="00167CAF" w:rsidRPr="00B91293" w:rsidRDefault="00167CAF" w:rsidP="00167CAF">
      <w:pPr>
        <w:pStyle w:val="COMPara"/>
        <w:numPr>
          <w:ilvl w:val="0"/>
          <w:numId w:val="24"/>
        </w:numPr>
        <w:snapToGrid w:val="0"/>
        <w:ind w:left="567" w:firstLine="0"/>
        <w:jc w:val="both"/>
      </w:pPr>
      <w:r>
        <w:t xml:space="preserve"> Retrait d’un élément de la Liste</w:t>
      </w:r>
    </w:p>
    <w:p w14:paraId="12802D4C" w14:textId="1F6A58B4" w:rsidR="00167CAF" w:rsidRPr="00B91293" w:rsidRDefault="00167CAF" w:rsidP="00167CAF">
      <w:pPr>
        <w:pStyle w:val="COMPara"/>
        <w:numPr>
          <w:ilvl w:val="0"/>
          <w:numId w:val="24"/>
        </w:numPr>
        <w:snapToGrid w:val="0"/>
        <w:ind w:left="567" w:firstLine="0"/>
        <w:jc w:val="both"/>
      </w:pPr>
      <w:r>
        <w:t xml:space="preserve"> Transfert d’un élément d’une Liste à l’autre</w:t>
      </w:r>
    </w:p>
    <w:p w14:paraId="4BC0742B" w14:textId="77777777" w:rsidR="009E7AB9" w:rsidRPr="00EC301D" w:rsidRDefault="009E7AB9" w:rsidP="009E7AB9">
      <w:pPr>
        <w:rPr>
          <w:rFonts w:ascii="Arial" w:eastAsia="Calibri" w:hAnsi="Arial" w:cs="Arial"/>
          <w:b/>
        </w:rPr>
      </w:pPr>
    </w:p>
    <w:p w14:paraId="25821B52" w14:textId="77777777" w:rsidR="00167CAF" w:rsidRPr="00EC301D" w:rsidRDefault="00167CAF" w:rsidP="009D0A89">
      <w:pPr>
        <w:ind w:left="1418"/>
        <w:rPr>
          <w:rFonts w:ascii="Arial" w:eastAsia="Calibri" w:hAnsi="Arial" w:cs="Arial"/>
          <w:b/>
        </w:rPr>
      </w:pPr>
    </w:p>
    <w:p w14:paraId="7C5F5683" w14:textId="17B3B845" w:rsidR="009E7AB9" w:rsidRPr="00B91293" w:rsidRDefault="009E7AB9" w:rsidP="00E9591D">
      <w:pPr>
        <w:jc w:val="center"/>
        <w:rPr>
          <w:rFonts w:asciiTheme="minorBidi" w:eastAsiaTheme="minorHAnsi" w:hAnsiTheme="minorBidi" w:cstheme="minorBidi"/>
          <w:b/>
          <w:spacing w:val="20"/>
        </w:rPr>
      </w:pPr>
      <w:r>
        <w:rPr>
          <w:rFonts w:asciiTheme="minorBidi" w:hAnsiTheme="minorBidi"/>
          <w:b/>
        </w:rPr>
        <w:t>MEMBRES</w:t>
      </w:r>
    </w:p>
    <w:p w14:paraId="64B0EFE1" w14:textId="77777777" w:rsidR="00CA4864" w:rsidRPr="00B91293" w:rsidRDefault="00CA4864" w:rsidP="00015E19">
      <w:pPr>
        <w:spacing w:before="120"/>
        <w:ind w:left="567"/>
        <w:rPr>
          <w:rFonts w:ascii="Arial" w:hAnsi="Arial" w:cs="Arial"/>
          <w:snapToGrid w:val="0"/>
          <w:sz w:val="22"/>
          <w:szCs w:val="22"/>
          <w:lang w:val="en-GB" w:eastAsia="zh-CN"/>
        </w:rPr>
      </w:pPr>
    </w:p>
    <w:tbl>
      <w:tblPr>
        <w:tblStyle w:val="Grilledutableau"/>
        <w:tblW w:w="90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825"/>
      </w:tblGrid>
      <w:tr w:rsidR="00B91293" w:rsidRPr="00B91293" w14:paraId="6A9FDC92" w14:textId="77777777" w:rsidTr="001650E7">
        <w:tc>
          <w:tcPr>
            <w:tcW w:w="4536" w:type="dxa"/>
          </w:tcPr>
          <w:p w14:paraId="7831A2D0" w14:textId="77777777" w:rsidR="00015E19" w:rsidRPr="00B91293" w:rsidRDefault="00015E19" w:rsidP="001650E7">
            <w:pPr>
              <w:spacing w:before="120"/>
              <w:ind w:left="749"/>
              <w:rPr>
                <w:rFonts w:ascii="Arial" w:hAnsi="Arial" w:cs="Arial"/>
                <w:snapToGrid w:val="0"/>
                <w:sz w:val="22"/>
                <w:szCs w:val="22"/>
              </w:rPr>
            </w:pPr>
            <w:r>
              <w:rPr>
                <w:rFonts w:ascii="Arial" w:hAnsi="Arial"/>
                <w:snapToGrid w:val="0"/>
                <w:sz w:val="22"/>
              </w:rPr>
              <w:t xml:space="preserve">Noriko Aikawa </w:t>
            </w:r>
          </w:p>
        </w:tc>
        <w:tc>
          <w:tcPr>
            <w:tcW w:w="4536" w:type="dxa"/>
          </w:tcPr>
          <w:p w14:paraId="234008D7" w14:textId="77777777" w:rsidR="00015E19" w:rsidRPr="00B91293" w:rsidRDefault="00015E19" w:rsidP="001650E7">
            <w:pPr>
              <w:spacing w:before="120"/>
              <w:ind w:left="1423"/>
              <w:rPr>
                <w:rFonts w:ascii="Arial" w:hAnsi="Arial" w:cs="Arial"/>
                <w:snapToGrid w:val="0"/>
                <w:sz w:val="22"/>
                <w:szCs w:val="22"/>
              </w:rPr>
            </w:pPr>
            <w:r>
              <w:rPr>
                <w:rFonts w:ascii="Arial" w:hAnsi="Arial"/>
                <w:snapToGrid w:val="0"/>
                <w:sz w:val="22"/>
              </w:rPr>
              <w:t>Rehaf Gassas</w:t>
            </w:r>
          </w:p>
        </w:tc>
      </w:tr>
      <w:tr w:rsidR="00B91293" w:rsidRPr="00B91293" w14:paraId="342D5DD8" w14:textId="77777777" w:rsidTr="001650E7">
        <w:trPr>
          <w:trHeight w:val="229"/>
        </w:trPr>
        <w:tc>
          <w:tcPr>
            <w:tcW w:w="3964" w:type="dxa"/>
          </w:tcPr>
          <w:p w14:paraId="11DDBD49" w14:textId="77777777" w:rsidR="00015E19" w:rsidRPr="00B91293" w:rsidRDefault="00015E19" w:rsidP="001650E7">
            <w:pPr>
              <w:spacing w:before="120"/>
              <w:ind w:left="749"/>
              <w:rPr>
                <w:rFonts w:ascii="Arial" w:hAnsi="Arial" w:cs="Arial"/>
                <w:snapToGrid w:val="0"/>
                <w:sz w:val="22"/>
                <w:szCs w:val="22"/>
              </w:rPr>
            </w:pPr>
            <w:r>
              <w:rPr>
                <w:rFonts w:ascii="Arial" w:hAnsi="Arial"/>
                <w:snapToGrid w:val="0"/>
                <w:sz w:val="22"/>
              </w:rPr>
              <w:t>Salomon Bazbaz</w:t>
            </w:r>
          </w:p>
        </w:tc>
        <w:tc>
          <w:tcPr>
            <w:tcW w:w="5103" w:type="dxa"/>
          </w:tcPr>
          <w:p w14:paraId="02B350BF" w14:textId="77777777" w:rsidR="00015E19" w:rsidRPr="00B91293" w:rsidRDefault="00015E19" w:rsidP="001650E7">
            <w:pPr>
              <w:spacing w:before="120"/>
              <w:ind w:left="1423"/>
              <w:rPr>
                <w:rFonts w:ascii="Arial" w:hAnsi="Arial" w:cs="Arial"/>
                <w:snapToGrid w:val="0"/>
                <w:sz w:val="22"/>
                <w:szCs w:val="22"/>
              </w:rPr>
            </w:pPr>
            <w:r>
              <w:rPr>
                <w:rFonts w:ascii="Arial" w:hAnsi="Arial"/>
                <w:snapToGrid w:val="0"/>
                <w:sz w:val="22"/>
              </w:rPr>
              <w:t xml:space="preserve">Samuel Kennedy </w:t>
            </w:r>
          </w:p>
        </w:tc>
      </w:tr>
      <w:tr w:rsidR="00B91293" w:rsidRPr="00B91293" w14:paraId="4EED4CA1" w14:textId="77777777" w:rsidTr="001650E7">
        <w:tc>
          <w:tcPr>
            <w:tcW w:w="3964" w:type="dxa"/>
          </w:tcPr>
          <w:p w14:paraId="4B75F2A0" w14:textId="77777777" w:rsidR="00015E19" w:rsidRPr="00B91293" w:rsidRDefault="00015E19" w:rsidP="001650E7">
            <w:pPr>
              <w:spacing w:before="120"/>
              <w:ind w:left="749"/>
              <w:rPr>
                <w:rFonts w:ascii="Arial" w:hAnsi="Arial" w:cs="Arial"/>
                <w:snapToGrid w:val="0"/>
                <w:sz w:val="22"/>
                <w:szCs w:val="22"/>
              </w:rPr>
            </w:pPr>
            <w:r>
              <w:rPr>
                <w:rFonts w:ascii="Arial" w:hAnsi="Arial"/>
                <w:snapToGrid w:val="0"/>
                <w:sz w:val="22"/>
              </w:rPr>
              <w:t xml:space="preserve">Janet Blake </w:t>
            </w:r>
          </w:p>
        </w:tc>
        <w:tc>
          <w:tcPr>
            <w:tcW w:w="5103" w:type="dxa"/>
          </w:tcPr>
          <w:p w14:paraId="06E9B5BA" w14:textId="77777777" w:rsidR="00015E19" w:rsidRPr="00B91293" w:rsidRDefault="00015E19" w:rsidP="001650E7">
            <w:pPr>
              <w:spacing w:before="120"/>
              <w:ind w:left="1423"/>
              <w:rPr>
                <w:rFonts w:ascii="Arial" w:hAnsi="Arial" w:cs="Arial"/>
                <w:snapToGrid w:val="0"/>
                <w:sz w:val="22"/>
                <w:szCs w:val="22"/>
              </w:rPr>
            </w:pPr>
            <w:r>
              <w:rPr>
                <w:rFonts w:ascii="Arial" w:hAnsi="Arial"/>
                <w:snapToGrid w:val="0"/>
                <w:sz w:val="22"/>
              </w:rPr>
              <w:t xml:space="preserve">Annika Nordström </w:t>
            </w:r>
          </w:p>
        </w:tc>
      </w:tr>
      <w:tr w:rsidR="00B91293" w:rsidRPr="00B91293" w14:paraId="59DA3BC3" w14:textId="77777777" w:rsidTr="001650E7">
        <w:tc>
          <w:tcPr>
            <w:tcW w:w="3964" w:type="dxa"/>
          </w:tcPr>
          <w:p w14:paraId="00A18ED7" w14:textId="0B2AA9BA" w:rsidR="00015E19" w:rsidRPr="00B91293" w:rsidRDefault="00015E19" w:rsidP="001650E7">
            <w:pPr>
              <w:spacing w:before="120"/>
              <w:ind w:left="749"/>
              <w:rPr>
                <w:rFonts w:ascii="Arial" w:hAnsi="Arial" w:cs="Arial"/>
                <w:snapToGrid w:val="0"/>
                <w:sz w:val="22"/>
                <w:szCs w:val="22"/>
              </w:rPr>
            </w:pPr>
            <w:r>
              <w:rPr>
                <w:rFonts w:ascii="Arial" w:hAnsi="Arial"/>
                <w:snapToGrid w:val="0"/>
                <w:sz w:val="22"/>
              </w:rPr>
              <w:t>Alissandra Cummins (</w:t>
            </w:r>
            <w:proofErr w:type="gramStart"/>
            <w:r>
              <w:rPr>
                <w:rFonts w:ascii="Arial" w:hAnsi="Arial"/>
                <w:snapToGrid w:val="0"/>
                <w:sz w:val="22"/>
              </w:rPr>
              <w:t xml:space="preserve">modératrice)   </w:t>
            </w:r>
            <w:proofErr w:type="gramEnd"/>
            <w:r>
              <w:rPr>
                <w:rFonts w:ascii="Arial" w:hAnsi="Arial"/>
                <w:snapToGrid w:val="0"/>
                <w:sz w:val="22"/>
              </w:rPr>
              <w:t xml:space="preserve">     </w:t>
            </w:r>
          </w:p>
        </w:tc>
        <w:tc>
          <w:tcPr>
            <w:tcW w:w="5103" w:type="dxa"/>
          </w:tcPr>
          <w:p w14:paraId="50F1731F" w14:textId="131AE964" w:rsidR="00015E19" w:rsidRPr="00B91293" w:rsidRDefault="0053478D" w:rsidP="0053478D">
            <w:pPr>
              <w:spacing w:before="120"/>
              <w:ind w:left="1423"/>
              <w:rPr>
                <w:rFonts w:ascii="Arial" w:hAnsi="Arial" w:cs="Arial"/>
                <w:snapToGrid w:val="0"/>
                <w:sz w:val="22"/>
                <w:szCs w:val="22"/>
              </w:rPr>
            </w:pPr>
            <w:r>
              <w:rPr>
                <w:rFonts w:ascii="Arial" w:hAnsi="Arial"/>
                <w:snapToGrid w:val="0"/>
                <w:sz w:val="22"/>
              </w:rPr>
              <w:t xml:space="preserve">Meg Nömgård </w:t>
            </w:r>
          </w:p>
        </w:tc>
      </w:tr>
      <w:tr w:rsidR="00B91293" w:rsidRPr="00B91293" w14:paraId="3E94F766" w14:textId="77777777" w:rsidTr="001650E7">
        <w:tc>
          <w:tcPr>
            <w:tcW w:w="3964" w:type="dxa"/>
          </w:tcPr>
          <w:p w14:paraId="2433826E" w14:textId="6B0E7EDD" w:rsidR="00015E19" w:rsidRPr="00B91293" w:rsidRDefault="00015E19" w:rsidP="001650E7">
            <w:pPr>
              <w:spacing w:before="120"/>
              <w:ind w:left="749"/>
              <w:rPr>
                <w:rFonts w:ascii="Arial" w:hAnsi="Arial" w:cs="Arial"/>
                <w:snapToGrid w:val="0"/>
                <w:sz w:val="22"/>
                <w:szCs w:val="22"/>
              </w:rPr>
            </w:pPr>
            <w:r>
              <w:rPr>
                <w:rFonts w:ascii="Arial" w:hAnsi="Arial"/>
                <w:snapToGrid w:val="0"/>
                <w:sz w:val="22"/>
              </w:rPr>
              <w:t xml:space="preserve">Harriet Deacon                                                                           </w:t>
            </w:r>
          </w:p>
        </w:tc>
        <w:tc>
          <w:tcPr>
            <w:tcW w:w="5103" w:type="dxa"/>
          </w:tcPr>
          <w:p w14:paraId="671F8096" w14:textId="4FCBD61D" w:rsidR="00015E19" w:rsidRPr="00B91293" w:rsidRDefault="0053478D" w:rsidP="0053478D">
            <w:pPr>
              <w:spacing w:before="120"/>
              <w:ind w:left="1423"/>
              <w:rPr>
                <w:rFonts w:ascii="Arial" w:hAnsi="Arial" w:cs="Arial"/>
                <w:snapToGrid w:val="0"/>
                <w:sz w:val="22"/>
                <w:szCs w:val="22"/>
              </w:rPr>
            </w:pPr>
            <w:r>
              <w:rPr>
                <w:rFonts w:ascii="Arial" w:hAnsi="Arial"/>
                <w:snapToGrid w:val="0"/>
                <w:sz w:val="22"/>
              </w:rPr>
              <w:t xml:space="preserve">Hanna Schreiber </w:t>
            </w:r>
          </w:p>
        </w:tc>
      </w:tr>
      <w:tr w:rsidR="00B91293" w:rsidRPr="00B91293" w14:paraId="5A89683B" w14:textId="77777777" w:rsidTr="001650E7">
        <w:tc>
          <w:tcPr>
            <w:tcW w:w="3964" w:type="dxa"/>
          </w:tcPr>
          <w:p w14:paraId="73E3D606" w14:textId="77777777" w:rsidR="00015E19" w:rsidRPr="00B91293" w:rsidRDefault="00015E19" w:rsidP="008C16E9">
            <w:pPr>
              <w:spacing w:before="120"/>
              <w:ind w:left="740"/>
              <w:rPr>
                <w:rFonts w:ascii="Arial" w:hAnsi="Arial" w:cs="Arial"/>
                <w:snapToGrid w:val="0"/>
                <w:sz w:val="22"/>
                <w:szCs w:val="22"/>
              </w:rPr>
            </w:pPr>
            <w:r>
              <w:rPr>
                <w:rFonts w:ascii="Arial" w:hAnsi="Arial"/>
                <w:snapToGrid w:val="0"/>
                <w:sz w:val="22"/>
              </w:rPr>
              <w:t>Emily Drani</w:t>
            </w:r>
          </w:p>
        </w:tc>
        <w:tc>
          <w:tcPr>
            <w:tcW w:w="5103" w:type="dxa"/>
          </w:tcPr>
          <w:p w14:paraId="06969972" w14:textId="017D2755" w:rsidR="00015E19" w:rsidRPr="00B91293" w:rsidRDefault="0053478D" w:rsidP="001650E7">
            <w:pPr>
              <w:spacing w:before="120"/>
              <w:ind w:left="1423"/>
              <w:rPr>
                <w:rFonts w:ascii="Arial" w:hAnsi="Arial" w:cs="Arial"/>
                <w:snapToGrid w:val="0"/>
                <w:sz w:val="22"/>
                <w:szCs w:val="22"/>
              </w:rPr>
            </w:pPr>
            <w:r>
              <w:rPr>
                <w:rFonts w:ascii="Arial" w:hAnsi="Arial"/>
                <w:snapToGrid w:val="0"/>
                <w:sz w:val="22"/>
              </w:rPr>
              <w:t>Anita Vaivade (rapporteuse)</w:t>
            </w:r>
          </w:p>
        </w:tc>
      </w:tr>
    </w:tbl>
    <w:p w14:paraId="37DEF063" w14:textId="77777777" w:rsidR="00571480" w:rsidRPr="00B91293" w:rsidRDefault="00571480">
      <w:pPr>
        <w:rPr>
          <w:rFonts w:ascii="Arial" w:hAnsi="Arial" w:cs="Arial"/>
          <w:snapToGrid w:val="0"/>
          <w:sz w:val="22"/>
          <w:szCs w:val="22"/>
          <w:highlight w:val="yellow"/>
        </w:rPr>
      </w:pPr>
      <w:r>
        <w:br w:type="page"/>
      </w:r>
    </w:p>
    <w:tbl>
      <w:tblPr>
        <w:tblStyle w:val="Grilledutableau"/>
        <w:tblW w:w="0" w:type="auto"/>
        <w:tblInd w:w="562" w:type="dxa"/>
        <w:tblLook w:val="04A0" w:firstRow="1" w:lastRow="0" w:firstColumn="1" w:lastColumn="0" w:noHBand="0" w:noVBand="1"/>
      </w:tblPr>
      <w:tblGrid>
        <w:gridCol w:w="9066"/>
      </w:tblGrid>
      <w:tr w:rsidR="00B91293" w:rsidRPr="00B91293" w14:paraId="18BB7393" w14:textId="77777777" w:rsidTr="2D5C0E44">
        <w:trPr>
          <w:trHeight w:hRule="exact" w:val="737"/>
        </w:trPr>
        <w:tc>
          <w:tcPr>
            <w:tcW w:w="9066" w:type="dxa"/>
            <w:shd w:val="clear" w:color="auto" w:fill="F2F2F2" w:themeFill="background1" w:themeFillShade="F2"/>
            <w:vAlign w:val="center"/>
          </w:tcPr>
          <w:p w14:paraId="27C3AC73" w14:textId="3941E60C" w:rsidR="00F93F7F" w:rsidRPr="00B91293" w:rsidRDefault="007832A6" w:rsidP="00F93F7F">
            <w:pPr>
              <w:jc w:val="center"/>
              <w:rPr>
                <w:rFonts w:asciiTheme="minorBidi" w:eastAsiaTheme="minorHAnsi" w:hAnsiTheme="minorBidi" w:cstheme="minorBidi"/>
                <w:b/>
                <w:bCs/>
                <w:sz w:val="32"/>
                <w:szCs w:val="32"/>
              </w:rPr>
            </w:pPr>
            <w:r>
              <w:rPr>
                <w:rFonts w:asciiTheme="minorBidi" w:hAnsiTheme="minorBidi"/>
                <w:b/>
                <w:sz w:val="32"/>
              </w:rPr>
              <w:lastRenderedPageBreak/>
              <w:t>11. Mécanisme de suivi des éléments inscrits et de traitement des informations</w:t>
            </w:r>
          </w:p>
        </w:tc>
      </w:tr>
      <w:tr w:rsidR="00F93F7F" w:rsidRPr="00B91293" w14:paraId="3A31A9C6" w14:textId="77777777" w:rsidTr="2D5C0E44">
        <w:trPr>
          <w:trHeight w:val="1699"/>
        </w:trPr>
        <w:tc>
          <w:tcPr>
            <w:tcW w:w="9066" w:type="dxa"/>
          </w:tcPr>
          <w:p w14:paraId="22E781A5" w14:textId="77777777" w:rsidR="00F93F7F" w:rsidRPr="00EC301D" w:rsidRDefault="00F93F7F" w:rsidP="006A0EDB">
            <w:pPr>
              <w:rPr>
                <w:rFonts w:ascii="Arial" w:hAnsi="Arial" w:cs="Arial"/>
                <w:snapToGrid w:val="0"/>
                <w:sz w:val="22"/>
                <w:szCs w:val="22"/>
                <w:lang w:eastAsia="zh-CN"/>
              </w:rPr>
            </w:pPr>
          </w:p>
          <w:p w14:paraId="3D18410C" w14:textId="6A80A09C" w:rsidR="00AB3104" w:rsidRPr="00B91293" w:rsidRDefault="00AB3104" w:rsidP="006A0EDB">
            <w:pPr>
              <w:rPr>
                <w:rFonts w:ascii="Arial" w:hAnsi="Arial" w:cs="Arial"/>
                <w:snapToGrid w:val="0"/>
                <w:sz w:val="22"/>
                <w:szCs w:val="22"/>
              </w:rPr>
            </w:pPr>
            <w:r>
              <w:rPr>
                <w:rFonts w:ascii="Arial" w:hAnsi="Arial"/>
                <w:snapToGrid w:val="0"/>
                <w:sz w:val="22"/>
              </w:rPr>
              <w:t>Exemples :</w:t>
            </w:r>
          </w:p>
          <w:p w14:paraId="15170407" w14:textId="77777777" w:rsidR="0000268E" w:rsidRPr="00B91293" w:rsidRDefault="0000268E" w:rsidP="006A0EDB">
            <w:pPr>
              <w:rPr>
                <w:rFonts w:ascii="Arial" w:hAnsi="Arial" w:cs="Arial"/>
                <w:snapToGrid w:val="0"/>
                <w:sz w:val="22"/>
                <w:szCs w:val="22"/>
                <w:highlight w:val="red"/>
                <w:lang w:val="en-GB" w:eastAsia="zh-CN"/>
              </w:rPr>
            </w:pPr>
          </w:p>
          <w:p w14:paraId="383B3034" w14:textId="29302A3D" w:rsidR="0000268E" w:rsidRPr="00B91293" w:rsidRDefault="002859ED" w:rsidP="0000268E">
            <w:pPr>
              <w:pStyle w:val="Paragraphedeliste"/>
              <w:numPr>
                <w:ilvl w:val="0"/>
                <w:numId w:val="34"/>
              </w:numPr>
              <w:jc w:val="both"/>
              <w:rPr>
                <w:rFonts w:ascii="Arial" w:hAnsi="Arial" w:cs="Arial"/>
                <w:snapToGrid w:val="0"/>
                <w:sz w:val="22"/>
                <w:szCs w:val="22"/>
              </w:rPr>
            </w:pPr>
            <w:r>
              <w:rPr>
                <w:rFonts w:ascii="Arial" w:hAnsi="Arial"/>
                <w:snapToGrid w:val="0"/>
                <w:sz w:val="22"/>
              </w:rPr>
              <w:t xml:space="preserve">Mexique / les conseils locaux et régionaux disposent de pratique en matière d’instrument de suivi de la sauvegarde, comme c’est le cas notamment pour le </w:t>
            </w:r>
            <w:r>
              <w:rPr>
                <w:rFonts w:ascii="Arial" w:hAnsi="Arial"/>
                <w:sz w:val="22"/>
              </w:rPr>
              <w:t>« Xtaxkgakget Makgkaxtlawana » : le Centre des arts autochtones et sa contribution à la sauvegarde du patrimoine culturel immatériel (ci-après dénommé « PCI ») du peuple totonaque de Veracruz, Mexique, sélectionné comme bonne pratique de sauvegarde en vertu de la Convention de 2003.</w:t>
            </w:r>
          </w:p>
          <w:p w14:paraId="35E55BA0" w14:textId="77777777" w:rsidR="00195A1E" w:rsidRPr="00EC301D" w:rsidRDefault="00195A1E" w:rsidP="00195A1E">
            <w:pPr>
              <w:ind w:left="360"/>
              <w:jc w:val="both"/>
              <w:rPr>
                <w:rFonts w:ascii="Arial" w:hAnsi="Arial" w:cs="Arial"/>
                <w:snapToGrid w:val="0"/>
                <w:sz w:val="22"/>
                <w:szCs w:val="22"/>
                <w:lang w:eastAsia="zh-CN"/>
              </w:rPr>
            </w:pPr>
          </w:p>
          <w:p w14:paraId="0F74E4A4" w14:textId="6DD993F2" w:rsidR="00B30B01" w:rsidRPr="00B91293" w:rsidRDefault="00195A1E" w:rsidP="002B5A3B">
            <w:pPr>
              <w:pStyle w:val="Paragraphedeliste"/>
              <w:numPr>
                <w:ilvl w:val="0"/>
                <w:numId w:val="34"/>
              </w:numPr>
              <w:jc w:val="both"/>
              <w:rPr>
                <w:rFonts w:ascii="Arial" w:hAnsi="Arial" w:cs="Arial"/>
                <w:snapToGrid w:val="0"/>
                <w:sz w:val="22"/>
                <w:szCs w:val="22"/>
              </w:rPr>
            </w:pPr>
            <w:r>
              <w:rPr>
                <w:rFonts w:ascii="Arial" w:hAnsi="Arial"/>
                <w:snapToGrid w:val="0"/>
                <w:sz w:val="22"/>
              </w:rPr>
              <w:t xml:space="preserve">Pologne / dans le cas de </w:t>
            </w:r>
            <w:r>
              <w:rPr>
                <w:rFonts w:ascii="Arial" w:hAnsi="Arial"/>
                <w:sz w:val="22"/>
              </w:rPr>
              <w:t xml:space="preserve">la tradition de la Scène de nativité sur la crèche de Noël (Szopka) à Cracovie, les organisateurs de cet élément sont en contact avec des partenaires d’autres régions, notamment au Mexique. Le dialogue inter-régions peut être très précieux et doit être maintenu. </w:t>
            </w:r>
          </w:p>
          <w:p w14:paraId="78BD6092" w14:textId="77777777" w:rsidR="00AB3104" w:rsidRPr="00EC301D" w:rsidRDefault="00AB3104" w:rsidP="006A0EDB">
            <w:pPr>
              <w:rPr>
                <w:rFonts w:ascii="Arial" w:hAnsi="Arial" w:cs="Arial"/>
                <w:snapToGrid w:val="0"/>
                <w:sz w:val="22"/>
                <w:szCs w:val="22"/>
                <w:lang w:eastAsia="zh-CN"/>
              </w:rPr>
            </w:pPr>
          </w:p>
          <w:p w14:paraId="06EDE3CB" w14:textId="34AA872F" w:rsidR="00662E1D" w:rsidRPr="00B91293" w:rsidRDefault="00AB3104" w:rsidP="006A0EDB">
            <w:pPr>
              <w:rPr>
                <w:rFonts w:ascii="Arial" w:hAnsi="Arial" w:cs="Arial"/>
                <w:snapToGrid w:val="0"/>
                <w:sz w:val="22"/>
                <w:szCs w:val="22"/>
              </w:rPr>
            </w:pPr>
            <w:r>
              <w:rPr>
                <w:rFonts w:ascii="Arial" w:hAnsi="Arial"/>
                <w:snapToGrid w:val="0"/>
                <w:sz w:val="22"/>
              </w:rPr>
              <w:t xml:space="preserve"> Le groupe 2 a conclu les éléments suivants :</w:t>
            </w:r>
          </w:p>
          <w:p w14:paraId="51303DED" w14:textId="77777777" w:rsidR="00662E1D" w:rsidRPr="00EC301D" w:rsidRDefault="00662E1D" w:rsidP="006A0EDB">
            <w:pPr>
              <w:rPr>
                <w:rFonts w:ascii="Arial" w:hAnsi="Arial" w:cs="Arial"/>
                <w:snapToGrid w:val="0"/>
                <w:sz w:val="22"/>
                <w:szCs w:val="22"/>
                <w:lang w:eastAsia="zh-CN"/>
              </w:rPr>
            </w:pPr>
          </w:p>
          <w:p w14:paraId="0B13C44B" w14:textId="610C4711" w:rsidR="00140A98" w:rsidRPr="00B91293" w:rsidRDefault="00DE37DB" w:rsidP="0007252B">
            <w:pPr>
              <w:pStyle w:val="Paragraphedeliste"/>
              <w:numPr>
                <w:ilvl w:val="0"/>
                <w:numId w:val="25"/>
              </w:numPr>
              <w:jc w:val="both"/>
              <w:rPr>
                <w:rFonts w:ascii="Arial" w:hAnsi="Arial" w:cs="Arial"/>
                <w:snapToGrid w:val="0"/>
                <w:sz w:val="22"/>
                <w:szCs w:val="22"/>
              </w:rPr>
            </w:pPr>
            <w:r>
              <w:rPr>
                <w:rFonts w:ascii="Arial" w:hAnsi="Arial"/>
                <w:b/>
                <w:sz w:val="22"/>
              </w:rPr>
              <w:t xml:space="preserve">La participation </w:t>
            </w:r>
            <w:r>
              <w:rPr>
                <w:rFonts w:ascii="Arial" w:hAnsi="Arial"/>
                <w:sz w:val="22"/>
              </w:rPr>
              <w:t>des communautés, groupes et individus (ci-après dénommés les « communautés »)</w:t>
            </w:r>
            <w:r>
              <w:rPr>
                <w:rFonts w:ascii="Arial" w:hAnsi="Arial"/>
                <w:b/>
                <w:sz w:val="22"/>
              </w:rPr>
              <w:t xml:space="preserve"> </w:t>
            </w:r>
            <w:r>
              <w:rPr>
                <w:rFonts w:ascii="Arial" w:hAnsi="Arial"/>
                <w:snapToGrid w:val="0"/>
                <w:sz w:val="22"/>
              </w:rPr>
              <w:t>dans</w:t>
            </w:r>
            <w:r>
              <w:rPr>
                <w:rFonts w:ascii="Arial" w:hAnsi="Arial"/>
                <w:sz w:val="22"/>
              </w:rPr>
              <w:t xml:space="preserve"> le cadre des activités de suivi est essentielle à la fois à l’échelle nationale et internationale, et il convient d’établir clairement un mécanisme visant à mieux intégrer les communautés dans la procédure de suivi, notamment avec les rapports périodiques. Ceci pourrait nécessiter une révision </w:t>
            </w:r>
            <w:r w:rsidR="0004121E">
              <w:rPr>
                <w:rFonts w:ascii="Arial" w:hAnsi="Arial"/>
                <w:sz w:val="22"/>
              </w:rPr>
              <w:t xml:space="preserve">Directives </w:t>
            </w:r>
            <w:r>
              <w:rPr>
                <w:rFonts w:ascii="Arial" w:hAnsi="Arial"/>
                <w:sz w:val="22"/>
              </w:rPr>
              <w:t>opérationnelles (ci-après dénommés « </w:t>
            </w:r>
            <w:r w:rsidR="0004121E">
              <w:rPr>
                <w:rFonts w:ascii="Arial" w:hAnsi="Arial"/>
                <w:sz w:val="22"/>
              </w:rPr>
              <w:t>DO</w:t>
            </w:r>
            <w:r>
              <w:rPr>
                <w:rFonts w:ascii="Arial" w:hAnsi="Arial"/>
                <w:sz w:val="22"/>
              </w:rPr>
              <w:t xml:space="preserve"> ») ; </w:t>
            </w:r>
          </w:p>
          <w:p w14:paraId="22EA4D6A" w14:textId="4B4B2E12" w:rsidR="00140A98" w:rsidRPr="00EC301D" w:rsidRDefault="00140A98" w:rsidP="00571FE5">
            <w:pPr>
              <w:pStyle w:val="Paragraphedeliste"/>
              <w:jc w:val="both"/>
              <w:rPr>
                <w:snapToGrid w:val="0"/>
                <w:sz w:val="22"/>
                <w:szCs w:val="22"/>
                <w:lang w:eastAsia="zh-CN"/>
              </w:rPr>
            </w:pPr>
          </w:p>
          <w:p w14:paraId="7768758F" w14:textId="2F0F3360" w:rsidR="00140A98" w:rsidRPr="00B91293" w:rsidRDefault="0BAA181B" w:rsidP="21280BBA">
            <w:pPr>
              <w:pStyle w:val="Paragraphedeliste"/>
              <w:numPr>
                <w:ilvl w:val="0"/>
                <w:numId w:val="25"/>
              </w:numPr>
              <w:jc w:val="both"/>
              <w:rPr>
                <w:snapToGrid w:val="0"/>
                <w:sz w:val="22"/>
                <w:szCs w:val="22"/>
              </w:rPr>
            </w:pPr>
            <w:r>
              <w:rPr>
                <w:rFonts w:ascii="Arial" w:hAnsi="Arial"/>
                <w:snapToGrid w:val="0"/>
                <w:sz w:val="22"/>
              </w:rPr>
              <w:t xml:space="preserve">Pour un </w:t>
            </w:r>
            <w:r>
              <w:rPr>
                <w:rFonts w:ascii="Arial" w:hAnsi="Arial"/>
                <w:b/>
                <w:snapToGrid w:val="0"/>
                <w:sz w:val="22"/>
              </w:rPr>
              <w:t>suivi local</w:t>
            </w:r>
            <w:r>
              <w:rPr>
                <w:rFonts w:ascii="Arial" w:hAnsi="Arial"/>
                <w:snapToGrid w:val="0"/>
                <w:sz w:val="22"/>
              </w:rPr>
              <w:t xml:space="preserve"> des éléments inscrits</w:t>
            </w:r>
            <w:r w:rsidR="00762408">
              <w:rPr>
                <w:rFonts w:ascii="Arial" w:hAnsi="Arial"/>
                <w:sz w:val="22"/>
              </w:rPr>
              <w:t xml:space="preserve"> et l’évaluation du rôle des </w:t>
            </w:r>
            <w:r w:rsidR="0004121E">
              <w:rPr>
                <w:rFonts w:ascii="Arial" w:hAnsi="Arial"/>
                <w:sz w:val="22"/>
              </w:rPr>
              <w:t>bonnes</w:t>
            </w:r>
            <w:r>
              <w:rPr>
                <w:rFonts w:ascii="Arial" w:hAnsi="Arial"/>
                <w:sz w:val="22"/>
              </w:rPr>
              <w:t xml:space="preserve"> pratiques de sauvegarde sélectionnées</w:t>
            </w:r>
            <w:r>
              <w:rPr>
                <w:rFonts w:ascii="Arial" w:hAnsi="Arial"/>
                <w:snapToGrid w:val="0"/>
                <w:sz w:val="22"/>
              </w:rPr>
              <w:t xml:space="preserve">, il conviendrait d’encourager l’établissement de </w:t>
            </w:r>
            <w:r>
              <w:rPr>
                <w:rFonts w:ascii="Arial" w:hAnsi="Arial"/>
                <w:b/>
                <w:snapToGrid w:val="0"/>
                <w:sz w:val="22"/>
              </w:rPr>
              <w:t>conseils</w:t>
            </w:r>
            <w:r>
              <w:rPr>
                <w:rFonts w:ascii="Arial" w:hAnsi="Arial"/>
                <w:snapToGrid w:val="0"/>
                <w:sz w:val="22"/>
              </w:rPr>
              <w:t xml:space="preserve"> </w:t>
            </w:r>
            <w:r>
              <w:rPr>
                <w:rFonts w:ascii="Arial" w:hAnsi="Arial"/>
                <w:sz w:val="22"/>
              </w:rPr>
              <w:t>municipaux ou régionaux ou d’autres réseaux ou organismes, le cas échéant selon le contexte, afin de mettre en contact les diverses parties intéressées. De tels événements pourraient faire office de forums pour un dialogue local, et aider les États parties dans la collecte de données pour les rapports périodiques ;</w:t>
            </w:r>
          </w:p>
          <w:p w14:paraId="7107707F" w14:textId="77777777" w:rsidR="00BE325A" w:rsidRPr="00EC301D" w:rsidRDefault="00BE325A" w:rsidP="00DD7683">
            <w:pPr>
              <w:pStyle w:val="Paragraphedeliste"/>
              <w:rPr>
                <w:rFonts w:ascii="Arial" w:hAnsi="Arial" w:cs="Arial"/>
                <w:snapToGrid w:val="0"/>
                <w:sz w:val="22"/>
                <w:szCs w:val="22"/>
                <w:lang w:eastAsia="zh-CN"/>
              </w:rPr>
            </w:pPr>
          </w:p>
          <w:p w14:paraId="4A2D9867" w14:textId="15176417" w:rsidR="00591ECE" w:rsidRPr="00B91293" w:rsidRDefault="00DD7683" w:rsidP="00844161">
            <w:pPr>
              <w:pStyle w:val="Paragraphedeliste"/>
              <w:numPr>
                <w:ilvl w:val="0"/>
                <w:numId w:val="25"/>
              </w:numPr>
              <w:jc w:val="both"/>
              <w:rPr>
                <w:rFonts w:ascii="Arial" w:hAnsi="Arial" w:cs="Arial"/>
                <w:snapToGrid w:val="0"/>
                <w:sz w:val="22"/>
                <w:szCs w:val="22"/>
              </w:rPr>
            </w:pPr>
            <w:r>
              <w:rPr>
                <w:rFonts w:ascii="Arial" w:hAnsi="Arial"/>
                <w:sz w:val="22"/>
              </w:rPr>
              <w:t xml:space="preserve">Il conviendrait d’établir une plateforme en ligne pour la communication et le dialogue entre les différents acteurs et les parties intéressées, comme par exemple un </w:t>
            </w:r>
            <w:r>
              <w:rPr>
                <w:rFonts w:ascii="Arial" w:hAnsi="Arial"/>
                <w:b/>
                <w:sz w:val="22"/>
              </w:rPr>
              <w:t>Observatoire de</w:t>
            </w:r>
            <w:r>
              <w:rPr>
                <w:rFonts w:ascii="Arial" w:hAnsi="Arial"/>
                <w:sz w:val="22"/>
              </w:rPr>
              <w:t xml:space="preserve"> </w:t>
            </w:r>
            <w:r>
              <w:rPr>
                <w:rFonts w:ascii="Arial" w:hAnsi="Arial"/>
                <w:b/>
                <w:sz w:val="22"/>
              </w:rPr>
              <w:t xml:space="preserve">sauvegarde des PCI </w:t>
            </w:r>
            <w:r>
              <w:rPr>
                <w:rFonts w:ascii="Arial" w:hAnsi="Arial"/>
                <w:sz w:val="22"/>
              </w:rPr>
              <w:t xml:space="preserve">ou autre. Parmi les participants invités figureraient des représentants de communautés d’éléments inscrits et de </w:t>
            </w:r>
            <w:r w:rsidR="0004121E">
              <w:rPr>
                <w:rFonts w:ascii="Arial" w:hAnsi="Arial"/>
                <w:sz w:val="22"/>
              </w:rPr>
              <w:t>bonnes</w:t>
            </w:r>
            <w:r>
              <w:rPr>
                <w:rFonts w:ascii="Arial" w:hAnsi="Arial"/>
                <w:sz w:val="22"/>
              </w:rPr>
              <w:t xml:space="preserve"> pratiques de sauvegarde sélectionnées, des ONG agréées, des chaires de l’UNESCO, des institutions d’expertise en la matière, des </w:t>
            </w:r>
            <w:r w:rsidR="0004121E">
              <w:rPr>
                <w:rFonts w:ascii="Arial" w:hAnsi="Arial"/>
                <w:sz w:val="22"/>
              </w:rPr>
              <w:t>facilitateurs</w:t>
            </w:r>
            <w:r>
              <w:rPr>
                <w:rFonts w:ascii="Arial" w:hAnsi="Arial"/>
                <w:sz w:val="22"/>
              </w:rPr>
              <w:t xml:space="preserve"> de l’UNESCO et des centres de catégorie 2. Une telle plateforme encouragerait les collaborations, en particulier en ce qui concerne les </w:t>
            </w:r>
            <w:r w:rsidR="0004121E">
              <w:rPr>
                <w:rFonts w:ascii="Arial" w:hAnsi="Arial"/>
                <w:sz w:val="22"/>
              </w:rPr>
              <w:t>bonnes</w:t>
            </w:r>
            <w:r>
              <w:rPr>
                <w:rFonts w:ascii="Arial" w:hAnsi="Arial"/>
                <w:sz w:val="22"/>
              </w:rPr>
              <w:t xml:space="preserve"> pratiques de sauvegarde :</w:t>
            </w:r>
          </w:p>
          <w:p w14:paraId="59ECBBD4" w14:textId="77777777" w:rsidR="00DD7683" w:rsidRPr="00EC301D" w:rsidRDefault="00DD7683" w:rsidP="00DD7683">
            <w:pPr>
              <w:pStyle w:val="Paragraphedeliste"/>
              <w:rPr>
                <w:rFonts w:ascii="Arial" w:hAnsi="Arial" w:cs="Arial"/>
                <w:snapToGrid w:val="0"/>
                <w:sz w:val="22"/>
                <w:szCs w:val="22"/>
                <w:lang w:eastAsia="zh-CN"/>
              </w:rPr>
            </w:pPr>
          </w:p>
          <w:p w14:paraId="6945A662" w14:textId="4CA806F9" w:rsidR="000825A5" w:rsidRPr="00B91293" w:rsidRDefault="000825A5" w:rsidP="21280BBA">
            <w:pPr>
              <w:pStyle w:val="Paragraphedeliste"/>
              <w:numPr>
                <w:ilvl w:val="0"/>
                <w:numId w:val="33"/>
              </w:numPr>
              <w:jc w:val="both"/>
              <w:rPr>
                <w:rFonts w:ascii="Arial" w:hAnsi="Arial" w:cs="Arial"/>
                <w:snapToGrid w:val="0"/>
                <w:sz w:val="22"/>
                <w:szCs w:val="22"/>
              </w:rPr>
            </w:pPr>
            <w:r>
              <w:rPr>
                <w:rFonts w:ascii="Arial" w:hAnsi="Arial"/>
                <w:sz w:val="22"/>
              </w:rPr>
              <w:t xml:space="preserve">L’objectif central d’une telle plateforme en ligne serait le </w:t>
            </w:r>
            <w:r>
              <w:rPr>
                <w:rFonts w:ascii="Arial" w:hAnsi="Arial"/>
                <w:b/>
                <w:sz w:val="22"/>
              </w:rPr>
              <w:t>dialogue</w:t>
            </w:r>
            <w:r>
              <w:rPr>
                <w:rFonts w:ascii="Arial" w:hAnsi="Arial"/>
                <w:sz w:val="22"/>
              </w:rPr>
              <w:t xml:space="preserve"> à des fins de suivi, de communication, de collaboration, de renforcement des capacités, d’éducation,</w:t>
            </w:r>
            <w:r>
              <w:rPr>
                <w:rFonts w:ascii="Arial" w:hAnsi="Arial"/>
                <w:b/>
                <w:sz w:val="22"/>
              </w:rPr>
              <w:t xml:space="preserve"> </w:t>
            </w:r>
            <w:r>
              <w:rPr>
                <w:rFonts w:ascii="Arial" w:hAnsi="Arial"/>
                <w:sz w:val="22"/>
              </w:rPr>
              <w:t>etc. Elle permettrait le partage d’expériences entre les communautés et rassemblerait, dans le cadre d’un même processus consultatif, les constituants ou communautés initialement impliqués dans l’élaboration des dossiers de candidature. Elle faciliterait notamment le partage à l’échelle internationale d’approches et de méthodologies en matière de sauvegarde, encourageant ainsi la mise en œuvre de la Convention de l’UNESCO de 2003 pour la sauvegarde du patrimoine culturel immatériel (ci-après dénommée la « Convention »),</w:t>
            </w:r>
          </w:p>
          <w:p w14:paraId="1862AB70" w14:textId="77777777" w:rsidR="00E32E5C" w:rsidRPr="00EC301D" w:rsidRDefault="00E32E5C" w:rsidP="00E32E5C">
            <w:pPr>
              <w:pStyle w:val="Paragraphedeliste"/>
              <w:ind w:left="1080"/>
              <w:jc w:val="both"/>
              <w:rPr>
                <w:rFonts w:ascii="Arial" w:hAnsi="Arial" w:cs="Arial"/>
                <w:snapToGrid w:val="0"/>
                <w:sz w:val="22"/>
                <w:szCs w:val="22"/>
                <w:lang w:eastAsia="zh-CN"/>
              </w:rPr>
            </w:pPr>
          </w:p>
          <w:p w14:paraId="04AF8E91" w14:textId="2932D5F7" w:rsidR="005372E5" w:rsidRPr="00B91293" w:rsidRDefault="5EB3900D" w:rsidP="005372E5">
            <w:pPr>
              <w:pStyle w:val="Paragraphedeliste"/>
              <w:numPr>
                <w:ilvl w:val="0"/>
                <w:numId w:val="33"/>
              </w:numPr>
              <w:jc w:val="both"/>
              <w:rPr>
                <w:rFonts w:ascii="Arial" w:hAnsi="Arial" w:cs="Arial"/>
                <w:snapToGrid w:val="0"/>
                <w:sz w:val="22"/>
                <w:szCs w:val="22"/>
              </w:rPr>
            </w:pPr>
            <w:r>
              <w:rPr>
                <w:rFonts w:ascii="Arial" w:hAnsi="Arial"/>
                <w:sz w:val="22"/>
              </w:rPr>
              <w:lastRenderedPageBreak/>
              <w:t xml:space="preserve">Pour qu’un tel Observatoire soit rentable, cohérent au niveau administratif et adéquat pour soutenir efficacement la mise en œuvre de la Convention de 2003, il doit être établi sur une </w:t>
            </w:r>
            <w:r>
              <w:rPr>
                <w:rFonts w:ascii="Arial" w:hAnsi="Arial"/>
                <w:b/>
                <w:sz w:val="22"/>
              </w:rPr>
              <w:t>base mondiale</w:t>
            </w:r>
            <w:r>
              <w:rPr>
                <w:rFonts w:ascii="Arial" w:hAnsi="Arial"/>
                <w:sz w:val="22"/>
              </w:rPr>
              <w:t xml:space="preserve">. Ceci permettrait de faciliter le dialogue et le partage d’idées inter-régions mais aussi intra-régions, à l’aide notamment de </w:t>
            </w:r>
            <w:r>
              <w:rPr>
                <w:rFonts w:ascii="Arial" w:hAnsi="Arial"/>
                <w:b/>
                <w:sz w:val="22"/>
              </w:rPr>
              <w:t>« salons » régionaux</w:t>
            </w:r>
            <w:r>
              <w:rPr>
                <w:rFonts w:ascii="Arial" w:hAnsi="Arial"/>
                <w:sz w:val="22"/>
              </w:rPr>
              <w:t xml:space="preserve"> ou autre,</w:t>
            </w:r>
          </w:p>
          <w:p w14:paraId="5107C1A5" w14:textId="77777777" w:rsidR="005372E5" w:rsidRPr="00EC301D" w:rsidRDefault="005372E5" w:rsidP="005372E5">
            <w:pPr>
              <w:pStyle w:val="Paragraphedeliste"/>
              <w:ind w:left="1080"/>
              <w:jc w:val="both"/>
              <w:rPr>
                <w:rFonts w:ascii="Arial" w:hAnsi="Arial" w:cs="Arial"/>
                <w:snapToGrid w:val="0"/>
                <w:sz w:val="22"/>
                <w:szCs w:val="22"/>
                <w:lang w:eastAsia="zh-CN"/>
              </w:rPr>
            </w:pPr>
          </w:p>
          <w:p w14:paraId="13410EAF" w14:textId="1E4720D3" w:rsidR="000825A5" w:rsidRPr="00B91293" w:rsidRDefault="00B079EB" w:rsidP="009E00EF">
            <w:pPr>
              <w:pStyle w:val="Paragraphedeliste"/>
              <w:numPr>
                <w:ilvl w:val="0"/>
                <w:numId w:val="33"/>
              </w:numPr>
              <w:jc w:val="both"/>
              <w:rPr>
                <w:rFonts w:ascii="Arial" w:hAnsi="Arial" w:cs="Arial"/>
                <w:snapToGrid w:val="0"/>
                <w:sz w:val="22"/>
                <w:szCs w:val="22"/>
              </w:rPr>
            </w:pPr>
            <w:r>
              <w:rPr>
                <w:rFonts w:ascii="Arial" w:hAnsi="Arial"/>
                <w:sz w:val="22"/>
              </w:rPr>
              <w:t xml:space="preserve">Un Observatoire pourrait devenir un mécanisme informel de communication en ligne, qui ferait initialement office de </w:t>
            </w:r>
            <w:r>
              <w:rPr>
                <w:rFonts w:ascii="Arial" w:hAnsi="Arial"/>
                <w:b/>
                <w:sz w:val="22"/>
              </w:rPr>
              <w:t>forum</w:t>
            </w:r>
            <w:r>
              <w:rPr>
                <w:rFonts w:ascii="Arial" w:hAnsi="Arial"/>
                <w:sz w:val="22"/>
              </w:rPr>
              <w:t xml:space="preserve"> basé sur une mise en commun des expertises de chacun. De nombreuses parties intéressées pourraient être ajoutées à la liste des participants, de manière temporaire ou permanente, selon les besoins ;</w:t>
            </w:r>
          </w:p>
          <w:p w14:paraId="5FAB3D2F" w14:textId="77777777" w:rsidR="003645DA" w:rsidRPr="00EC301D" w:rsidRDefault="003645DA" w:rsidP="00982317">
            <w:pPr>
              <w:rPr>
                <w:rFonts w:ascii="Arial" w:hAnsi="Arial" w:cs="Arial"/>
                <w:snapToGrid w:val="0"/>
                <w:sz w:val="22"/>
                <w:szCs w:val="22"/>
                <w:lang w:eastAsia="zh-CN"/>
              </w:rPr>
            </w:pPr>
          </w:p>
          <w:p w14:paraId="7E9BEC78" w14:textId="454F56D6" w:rsidR="00AC670F" w:rsidRPr="00B91293" w:rsidRDefault="00AC670F" w:rsidP="00AC670F">
            <w:pPr>
              <w:pStyle w:val="Paragraphedeliste"/>
              <w:numPr>
                <w:ilvl w:val="0"/>
                <w:numId w:val="25"/>
              </w:numPr>
              <w:jc w:val="both"/>
              <w:rPr>
                <w:rFonts w:ascii="Arial" w:hAnsi="Arial" w:cs="Arial"/>
                <w:snapToGrid w:val="0"/>
                <w:sz w:val="22"/>
                <w:szCs w:val="22"/>
              </w:rPr>
            </w:pPr>
            <w:r>
              <w:rPr>
                <w:rFonts w:ascii="Arial" w:hAnsi="Arial"/>
                <w:snapToGrid w:val="0"/>
                <w:sz w:val="22"/>
              </w:rPr>
              <w:t xml:space="preserve">Il conviendra d’accorder une attention particulière au suivi des éléments inscrits sur la </w:t>
            </w:r>
            <w:r>
              <w:rPr>
                <w:rFonts w:ascii="Arial" w:hAnsi="Arial"/>
                <w:b/>
                <w:snapToGrid w:val="0"/>
                <w:sz w:val="22"/>
              </w:rPr>
              <w:t xml:space="preserve">Liste nécessitant une sauvegarde urgente </w:t>
            </w:r>
            <w:r>
              <w:rPr>
                <w:rFonts w:ascii="Arial" w:hAnsi="Arial"/>
                <w:snapToGrid w:val="0"/>
                <w:sz w:val="22"/>
              </w:rPr>
              <w:t xml:space="preserve">(ci-après dénommée la « LSU »). Ces éléments ont besoin d’un soutien spécifique. Il peut notamment s’agir d’une « mise en contact » avec des organisations utilisant les </w:t>
            </w:r>
            <w:r w:rsidR="0004121E">
              <w:rPr>
                <w:rFonts w:ascii="Arial" w:hAnsi="Arial"/>
                <w:b/>
                <w:snapToGrid w:val="0"/>
                <w:sz w:val="22"/>
              </w:rPr>
              <w:t>bonnes</w:t>
            </w:r>
            <w:r>
              <w:rPr>
                <w:rFonts w:ascii="Arial" w:hAnsi="Arial"/>
                <w:b/>
                <w:snapToGrid w:val="0"/>
                <w:sz w:val="22"/>
              </w:rPr>
              <w:t xml:space="preserve"> pratiques de sauvegarde</w:t>
            </w:r>
            <w:r>
              <w:rPr>
                <w:rFonts w:ascii="Arial" w:hAnsi="Arial"/>
                <w:snapToGrid w:val="0"/>
                <w:sz w:val="22"/>
              </w:rPr>
              <w:t xml:space="preserve"> sélectionnées, sous forme de coopération et de dialogue international, pouvant ainsi produire un ensemble positif de procédures entourant </w:t>
            </w:r>
            <w:r w:rsidR="00762408">
              <w:rPr>
                <w:rFonts w:ascii="Arial" w:hAnsi="Arial"/>
                <w:snapToGrid w:val="0"/>
                <w:sz w:val="22"/>
              </w:rPr>
              <w:t xml:space="preserve">la LSU et le Registre des </w:t>
            </w:r>
            <w:r w:rsidR="0004121E">
              <w:rPr>
                <w:rFonts w:ascii="Arial" w:hAnsi="Arial"/>
                <w:snapToGrid w:val="0"/>
                <w:sz w:val="22"/>
              </w:rPr>
              <w:t>bonnes</w:t>
            </w:r>
            <w:r>
              <w:rPr>
                <w:rFonts w:ascii="Arial" w:hAnsi="Arial"/>
                <w:snapToGrid w:val="0"/>
                <w:sz w:val="22"/>
              </w:rPr>
              <w:t xml:space="preserve"> pratiques de sauvegarde (ci-après dénommé le « Registre ») ; </w:t>
            </w:r>
          </w:p>
          <w:p w14:paraId="21F10ACF" w14:textId="77777777" w:rsidR="00AC670F" w:rsidRPr="00EC301D" w:rsidRDefault="00AC670F" w:rsidP="00AC670F">
            <w:pPr>
              <w:pStyle w:val="Paragraphedeliste"/>
              <w:jc w:val="both"/>
              <w:rPr>
                <w:rFonts w:ascii="Arial" w:hAnsi="Arial" w:cs="Arial"/>
                <w:snapToGrid w:val="0"/>
                <w:sz w:val="22"/>
                <w:szCs w:val="22"/>
                <w:lang w:eastAsia="zh-CN"/>
              </w:rPr>
            </w:pPr>
          </w:p>
          <w:p w14:paraId="1DEE0322" w14:textId="0D10D47E" w:rsidR="006117FB" w:rsidRPr="00B91293" w:rsidRDefault="370BD71F" w:rsidP="2D5C0E44">
            <w:pPr>
              <w:pStyle w:val="Paragraphedeliste"/>
              <w:numPr>
                <w:ilvl w:val="0"/>
                <w:numId w:val="25"/>
              </w:numPr>
              <w:jc w:val="both"/>
              <w:rPr>
                <w:rFonts w:ascii="Arial" w:hAnsi="Arial" w:cs="Arial"/>
                <w:snapToGrid w:val="0"/>
                <w:sz w:val="22"/>
                <w:szCs w:val="22"/>
              </w:rPr>
            </w:pPr>
            <w:r>
              <w:rPr>
                <w:rFonts w:ascii="Arial" w:hAnsi="Arial"/>
                <w:snapToGrid w:val="0"/>
                <w:sz w:val="22"/>
              </w:rPr>
              <w:t>Il</w:t>
            </w:r>
            <w:r>
              <w:rPr>
                <w:rFonts w:ascii="Arial" w:hAnsi="Arial"/>
                <w:sz w:val="22"/>
              </w:rPr>
              <w:t xml:space="preserve"> conviendrait d’établir un mécanisme de suivi séparé afin de veiller à ce que les États parties remplissent leurs obligations de </w:t>
            </w:r>
            <w:r>
              <w:rPr>
                <w:rFonts w:ascii="Arial" w:hAnsi="Arial"/>
                <w:b/>
                <w:sz w:val="22"/>
              </w:rPr>
              <w:t>rapport périodique</w:t>
            </w:r>
            <w:r>
              <w:rPr>
                <w:rFonts w:ascii="Arial" w:hAnsi="Arial"/>
                <w:sz w:val="22"/>
              </w:rPr>
              <w:t xml:space="preserve"> relatif aux éléments inscrits, en particulier ceux figurant dans la LSU, avant la soumission de nouvelles candidatures. Les États parties qui ne respectent pas les obligations de rapport pourraient être déplacés à un niveau de priorité inférieur dans le cadre de l’examen des dossiers de candidature, par rapport aux États parties qui auraient rempli leurs obligations de rapport ;</w:t>
            </w:r>
          </w:p>
          <w:p w14:paraId="5FC60A76" w14:textId="77777777" w:rsidR="00A5324F" w:rsidRPr="00EC301D" w:rsidRDefault="00A5324F" w:rsidP="008E5831">
            <w:pPr>
              <w:rPr>
                <w:rFonts w:ascii="Arial" w:hAnsi="Arial" w:cs="Arial"/>
                <w:sz w:val="22"/>
                <w:szCs w:val="22"/>
              </w:rPr>
            </w:pPr>
          </w:p>
          <w:p w14:paraId="3DC92264" w14:textId="0FC32829" w:rsidR="00AE459C" w:rsidRPr="00B91293" w:rsidRDefault="00E32E5C" w:rsidP="00AC670F">
            <w:pPr>
              <w:pStyle w:val="Paragraphedeliste"/>
              <w:numPr>
                <w:ilvl w:val="0"/>
                <w:numId w:val="25"/>
              </w:numPr>
              <w:jc w:val="both"/>
              <w:rPr>
                <w:rFonts w:ascii="Arial" w:hAnsi="Arial" w:cs="Arial"/>
                <w:snapToGrid w:val="0"/>
                <w:sz w:val="22"/>
                <w:szCs w:val="22"/>
              </w:rPr>
            </w:pPr>
            <w:r>
              <w:rPr>
                <w:rFonts w:ascii="Arial" w:hAnsi="Arial"/>
                <w:sz w:val="22"/>
              </w:rPr>
              <w:t xml:space="preserve">Les rapports périodiques pourraient également être signalés comme </w:t>
            </w:r>
            <w:r>
              <w:rPr>
                <w:rFonts w:ascii="Arial" w:hAnsi="Arial"/>
                <w:b/>
                <w:sz w:val="22"/>
              </w:rPr>
              <w:t>exemples à suivre</w:t>
            </w:r>
            <w:r>
              <w:rPr>
                <w:rFonts w:ascii="Arial" w:hAnsi="Arial"/>
                <w:sz w:val="22"/>
              </w:rPr>
              <w:t xml:space="preserve">, comme c’est actuellement le cas dans le cadre de l’identification des exemples à suivre de dossiers de candidature aux Listes, ou des propositions </w:t>
            </w:r>
            <w:r w:rsidR="00762408">
              <w:rPr>
                <w:rFonts w:ascii="Arial" w:hAnsi="Arial"/>
                <w:sz w:val="22"/>
              </w:rPr>
              <w:t xml:space="preserve">sélectionnées en tant que </w:t>
            </w:r>
            <w:r w:rsidR="0004121E" w:rsidRPr="0004121E">
              <w:rPr>
                <w:rFonts w:ascii="Arial" w:hAnsi="Arial"/>
                <w:sz w:val="22"/>
              </w:rPr>
              <w:t>bonnes</w:t>
            </w:r>
            <w:r>
              <w:rPr>
                <w:rFonts w:ascii="Arial" w:hAnsi="Arial"/>
                <w:sz w:val="22"/>
              </w:rPr>
              <w:t xml:space="preserve"> pratiques de sauvegarde ; </w:t>
            </w:r>
          </w:p>
          <w:p w14:paraId="7ECCC042" w14:textId="77777777" w:rsidR="00150D78" w:rsidRPr="00EC301D" w:rsidRDefault="00150D78" w:rsidP="00DE3FCA">
            <w:pPr>
              <w:pStyle w:val="Paragraphedeliste"/>
              <w:rPr>
                <w:rFonts w:ascii="Arial" w:hAnsi="Arial" w:cs="Arial"/>
                <w:snapToGrid w:val="0"/>
                <w:sz w:val="22"/>
                <w:szCs w:val="22"/>
                <w:lang w:eastAsia="zh-CN"/>
              </w:rPr>
            </w:pPr>
          </w:p>
          <w:p w14:paraId="5D06BCB7" w14:textId="59B4A503" w:rsidR="00DF3615" w:rsidRPr="00B91293" w:rsidRDefault="00DF3615" w:rsidP="00150D78">
            <w:pPr>
              <w:pStyle w:val="Paragraphedeliste"/>
              <w:numPr>
                <w:ilvl w:val="0"/>
                <w:numId w:val="25"/>
              </w:numPr>
              <w:jc w:val="both"/>
              <w:rPr>
                <w:rFonts w:ascii="Arial" w:hAnsi="Arial" w:cs="Arial"/>
                <w:snapToGrid w:val="0"/>
                <w:sz w:val="22"/>
                <w:szCs w:val="22"/>
              </w:rPr>
            </w:pPr>
            <w:r>
              <w:rPr>
                <w:rFonts w:ascii="Arial" w:hAnsi="Arial"/>
                <w:sz w:val="22"/>
              </w:rPr>
              <w:t xml:space="preserve">Tout en reconnaissant que </w:t>
            </w:r>
            <w:r>
              <w:rPr>
                <w:rFonts w:ascii="Arial" w:hAnsi="Arial"/>
                <w:b/>
                <w:sz w:val="22"/>
              </w:rPr>
              <w:t>les visites ou missions de terrain</w:t>
            </w:r>
            <w:r>
              <w:rPr>
                <w:rFonts w:ascii="Arial" w:hAnsi="Arial"/>
                <w:sz w:val="22"/>
              </w:rPr>
              <w:t xml:space="preserve"> impliqueraient d’aller à la rencontre des communautés et pourraient ainsi s’avérer délicates, il convient d’envisager une telle éventualité dans le cadre du mécanisme de suivi, que ce soit : </w:t>
            </w:r>
          </w:p>
          <w:p w14:paraId="66829B75" w14:textId="77777777" w:rsidR="00DF3615" w:rsidRPr="00EC301D" w:rsidRDefault="00DF3615" w:rsidP="00DF3615">
            <w:pPr>
              <w:pStyle w:val="Paragraphedeliste"/>
              <w:rPr>
                <w:rFonts w:ascii="Arial" w:hAnsi="Arial" w:cs="Arial"/>
                <w:sz w:val="22"/>
                <w:szCs w:val="22"/>
              </w:rPr>
            </w:pPr>
          </w:p>
          <w:p w14:paraId="581BE5FE" w14:textId="7C28FE8E" w:rsidR="00DF3615" w:rsidRPr="00B91293" w:rsidRDefault="63F42612" w:rsidP="00DF3615">
            <w:pPr>
              <w:pStyle w:val="Paragraphedeliste"/>
              <w:numPr>
                <w:ilvl w:val="0"/>
                <w:numId w:val="39"/>
              </w:numPr>
              <w:jc w:val="both"/>
              <w:rPr>
                <w:rFonts w:ascii="Arial" w:hAnsi="Arial" w:cs="Arial"/>
                <w:sz w:val="22"/>
                <w:szCs w:val="22"/>
              </w:rPr>
            </w:pPr>
            <w:proofErr w:type="gramStart"/>
            <w:r>
              <w:rPr>
                <w:rFonts w:ascii="Arial" w:hAnsi="Arial"/>
                <w:sz w:val="22"/>
              </w:rPr>
              <w:t>sous</w:t>
            </w:r>
            <w:proofErr w:type="gramEnd"/>
            <w:r>
              <w:rPr>
                <w:rFonts w:ascii="Arial" w:hAnsi="Arial"/>
                <w:sz w:val="22"/>
              </w:rPr>
              <w:t xml:space="preserve"> forme de Mission consultative non obligatoire, ou comme résultat final du rapport périodique en soutien à un processus de </w:t>
            </w:r>
            <w:r>
              <w:rPr>
                <w:rFonts w:ascii="Arial" w:hAnsi="Arial"/>
                <w:b/>
                <w:sz w:val="22"/>
              </w:rPr>
              <w:t>transfert</w:t>
            </w:r>
            <w:r>
              <w:rPr>
                <w:rFonts w:ascii="Arial" w:hAnsi="Arial"/>
                <w:sz w:val="22"/>
              </w:rPr>
              <w:t>, en particulier en cas de transfert de la Liste représentative (ci-après dénommée la « LR ») à la LSU (</w:t>
            </w:r>
            <w:r>
              <w:rPr>
                <w:rFonts w:ascii="Arial" w:hAnsi="Arial"/>
                <w:i/>
                <w:sz w:val="22"/>
              </w:rPr>
              <w:t>voir également l’article 13</w:t>
            </w:r>
            <w:r>
              <w:rPr>
                <w:rFonts w:ascii="Arial" w:hAnsi="Arial"/>
                <w:sz w:val="22"/>
              </w:rPr>
              <w:t>), ou</w:t>
            </w:r>
          </w:p>
          <w:p w14:paraId="4790DBB6" w14:textId="77777777" w:rsidR="00DF3615" w:rsidRPr="00EC301D" w:rsidRDefault="00DF3615" w:rsidP="00DF3615">
            <w:pPr>
              <w:pStyle w:val="Paragraphedeliste"/>
              <w:ind w:left="1080"/>
              <w:jc w:val="both"/>
              <w:rPr>
                <w:rFonts w:ascii="Arial" w:hAnsi="Arial" w:cs="Arial"/>
                <w:sz w:val="22"/>
                <w:szCs w:val="22"/>
              </w:rPr>
            </w:pPr>
          </w:p>
          <w:p w14:paraId="38E4023A" w14:textId="006D0E09" w:rsidR="00F95670" w:rsidRPr="00B91293" w:rsidRDefault="00D91F04" w:rsidP="00DF3615">
            <w:pPr>
              <w:pStyle w:val="Paragraphedeliste"/>
              <w:numPr>
                <w:ilvl w:val="0"/>
                <w:numId w:val="39"/>
              </w:numPr>
              <w:jc w:val="both"/>
              <w:rPr>
                <w:rFonts w:ascii="Arial" w:hAnsi="Arial" w:cs="Arial"/>
                <w:sz w:val="22"/>
                <w:szCs w:val="22"/>
              </w:rPr>
            </w:pPr>
            <w:proofErr w:type="gramStart"/>
            <w:r>
              <w:rPr>
                <w:rFonts w:ascii="Arial" w:hAnsi="Arial"/>
                <w:sz w:val="22"/>
              </w:rPr>
              <w:t>sous</w:t>
            </w:r>
            <w:proofErr w:type="gramEnd"/>
            <w:r>
              <w:rPr>
                <w:rFonts w:ascii="Arial" w:hAnsi="Arial"/>
                <w:sz w:val="22"/>
              </w:rPr>
              <w:t xml:space="preserve"> forme de Mission de consultation accompagnant des mesures temporaires avant une prise de décision de </w:t>
            </w:r>
            <w:r>
              <w:rPr>
                <w:rFonts w:ascii="Arial" w:hAnsi="Arial"/>
                <w:b/>
                <w:sz w:val="22"/>
              </w:rPr>
              <w:t>retrait</w:t>
            </w:r>
            <w:r>
              <w:rPr>
                <w:rFonts w:ascii="Arial" w:hAnsi="Arial"/>
                <w:sz w:val="22"/>
              </w:rPr>
              <w:t xml:space="preserve"> d’un élément d’une Liste. Il peut s’avérer difficile de prendre une « décision de bureau » dans de telles situations, et il pourrait être utile de connaître d’autres manières d’apprendre « sur le terrain » (</w:t>
            </w:r>
            <w:r>
              <w:rPr>
                <w:rFonts w:ascii="Arial" w:hAnsi="Arial"/>
                <w:i/>
                <w:sz w:val="22"/>
              </w:rPr>
              <w:t>voir également l’article 12</w:t>
            </w:r>
            <w:r>
              <w:rPr>
                <w:rFonts w:ascii="Arial" w:hAnsi="Arial"/>
                <w:sz w:val="22"/>
              </w:rPr>
              <w:t>) ;</w:t>
            </w:r>
          </w:p>
          <w:p w14:paraId="1E3636E6" w14:textId="77777777" w:rsidR="00F95670" w:rsidRPr="00EC301D" w:rsidRDefault="00F95670" w:rsidP="00513CD8">
            <w:pPr>
              <w:pStyle w:val="Paragraphedeliste"/>
              <w:rPr>
                <w:rFonts w:ascii="Arial" w:hAnsi="Arial" w:cs="Arial"/>
                <w:sz w:val="22"/>
                <w:szCs w:val="22"/>
              </w:rPr>
            </w:pPr>
          </w:p>
          <w:p w14:paraId="1F8CFCD8" w14:textId="4CE86D42" w:rsidR="00150D78" w:rsidRPr="00B91293" w:rsidRDefault="041B29FF" w:rsidP="5E4984A2">
            <w:pPr>
              <w:pStyle w:val="Paragraphedeliste"/>
              <w:numPr>
                <w:ilvl w:val="0"/>
                <w:numId w:val="25"/>
              </w:numPr>
              <w:jc w:val="both"/>
              <w:rPr>
                <w:rFonts w:ascii="Arial" w:eastAsia="Arial" w:hAnsi="Arial" w:cs="Arial"/>
                <w:snapToGrid w:val="0"/>
                <w:sz w:val="22"/>
                <w:szCs w:val="22"/>
              </w:rPr>
            </w:pPr>
            <w:r>
              <w:rPr>
                <w:rFonts w:ascii="Arial" w:hAnsi="Arial"/>
                <w:sz w:val="22"/>
              </w:rPr>
              <w:t xml:space="preserve">Il conviendrait également d’envisager les </w:t>
            </w:r>
            <w:r>
              <w:rPr>
                <w:rFonts w:ascii="Arial" w:hAnsi="Arial"/>
                <w:b/>
                <w:sz w:val="22"/>
              </w:rPr>
              <w:t>recherches</w:t>
            </w:r>
            <w:r>
              <w:rPr>
                <w:rFonts w:ascii="Arial" w:hAnsi="Arial"/>
                <w:sz w:val="22"/>
              </w:rPr>
              <w:t xml:space="preserve"> en place sur les visites de terrain (ou complémentaires à celles-ci) comme un moyen utile de rassembler des informations et d’éclairer le processus de prise de décision dans le cadre d’un transfert ou d’un retrait. En fonction des connaissances et compétences spécifiques nécessaires, de telles recherches pourraient être fournies par de nombreux acteurs impliqués dans la Convention de 2003, comme les ONG </w:t>
            </w:r>
            <w:r>
              <w:rPr>
                <w:rFonts w:ascii="Arial" w:hAnsi="Arial"/>
                <w:sz w:val="22"/>
              </w:rPr>
              <w:lastRenderedPageBreak/>
              <w:t xml:space="preserve">agréées, </w:t>
            </w:r>
            <w:r w:rsidR="00C4442C">
              <w:rPr>
                <w:rFonts w:ascii="Arial" w:hAnsi="Arial"/>
                <w:sz w:val="22"/>
              </w:rPr>
              <w:t>facilitateurs</w:t>
            </w:r>
            <w:r>
              <w:rPr>
                <w:rFonts w:ascii="Arial" w:hAnsi="Arial"/>
                <w:sz w:val="22"/>
              </w:rPr>
              <w:t>, chaires de l’UNESCO et autres ;</w:t>
            </w:r>
          </w:p>
          <w:p w14:paraId="2EF4C983" w14:textId="77777777" w:rsidR="00344F81" w:rsidRPr="00EC301D" w:rsidRDefault="00344F81" w:rsidP="00344F81">
            <w:pPr>
              <w:pStyle w:val="Paragraphedeliste"/>
              <w:jc w:val="both"/>
              <w:rPr>
                <w:rFonts w:ascii="Arial" w:eastAsia="Arial" w:hAnsi="Arial" w:cs="Arial"/>
                <w:snapToGrid w:val="0"/>
                <w:sz w:val="22"/>
                <w:szCs w:val="22"/>
                <w:lang w:eastAsia="zh-CN"/>
              </w:rPr>
            </w:pPr>
          </w:p>
          <w:p w14:paraId="433795D2" w14:textId="05516053" w:rsidR="00344F81" w:rsidRPr="00B91293" w:rsidRDefault="00344F81" w:rsidP="00E007BE">
            <w:pPr>
              <w:pStyle w:val="Paragraphedeliste"/>
              <w:numPr>
                <w:ilvl w:val="0"/>
                <w:numId w:val="25"/>
              </w:numPr>
              <w:jc w:val="both"/>
              <w:rPr>
                <w:snapToGrid w:val="0"/>
              </w:rPr>
            </w:pPr>
            <w:r>
              <w:rPr>
                <w:rFonts w:ascii="Arial" w:hAnsi="Arial"/>
                <w:sz w:val="22"/>
              </w:rPr>
              <w:t>Étant donné que les correspondances s’accumulent concernant les éléments inscrits sur les Listes, notamment des correspondances reçues au moment de la candidature des éléments, il serait intéressant d’apprendre des expériences passées et de disposer d’</w:t>
            </w:r>
            <w:r>
              <w:rPr>
                <w:rFonts w:ascii="Arial" w:hAnsi="Arial"/>
                <w:b/>
                <w:sz w:val="22"/>
              </w:rPr>
              <w:t>archives ouvertes</w:t>
            </w:r>
            <w:r>
              <w:rPr>
                <w:rFonts w:ascii="Arial" w:hAnsi="Arial"/>
                <w:sz w:val="22"/>
              </w:rPr>
              <w:t xml:space="preserve"> de toutes les correspondances administrées par le Secrétariat. La même approche relative à la gestion des correspondances pourrait également s’appliquer </w:t>
            </w:r>
            <w:proofErr w:type="gramStart"/>
            <w:r>
              <w:rPr>
                <w:rFonts w:ascii="Arial" w:hAnsi="Arial"/>
                <w:sz w:val="22"/>
              </w:rPr>
              <w:t>aux pré</w:t>
            </w:r>
            <w:proofErr w:type="gramEnd"/>
            <w:r>
              <w:rPr>
                <w:rFonts w:ascii="Arial" w:hAnsi="Arial"/>
                <w:sz w:val="22"/>
              </w:rPr>
              <w:t xml:space="preserve"> et post-inscriptions. Cependant, les </w:t>
            </w:r>
            <w:r>
              <w:rPr>
                <w:rFonts w:ascii="Arial" w:hAnsi="Arial"/>
                <w:b/>
                <w:sz w:val="22"/>
              </w:rPr>
              <w:t>correspondances</w:t>
            </w:r>
            <w:r>
              <w:rPr>
                <w:rFonts w:ascii="Arial" w:hAnsi="Arial"/>
                <w:sz w:val="22"/>
              </w:rPr>
              <w:t xml:space="preserve"> </w:t>
            </w:r>
            <w:r>
              <w:rPr>
                <w:rFonts w:ascii="Arial" w:hAnsi="Arial"/>
                <w:b/>
                <w:sz w:val="22"/>
              </w:rPr>
              <w:t>privées</w:t>
            </w:r>
            <w:r>
              <w:rPr>
                <w:rFonts w:ascii="Arial" w:hAnsi="Arial"/>
                <w:sz w:val="22"/>
              </w:rPr>
              <w:t xml:space="preserve"> doivent également être gardées confidentielles à la demande de l’auteur. Il convient d’obtenir son consentement après l’acceptation de la correspondance, afin de déterminer si la correspondance doit rester publique ou privée. Ainsi, il est utile d’établir un équilibre modéré entre ouverture et contrôle.</w:t>
            </w:r>
          </w:p>
          <w:p w14:paraId="6337C497" w14:textId="5E0244C4" w:rsidR="00AB3104" w:rsidRPr="00EC301D" w:rsidRDefault="00AB3104" w:rsidP="006A0EDB">
            <w:pPr>
              <w:rPr>
                <w:rFonts w:ascii="Arial" w:hAnsi="Arial" w:cs="Arial"/>
                <w:snapToGrid w:val="0"/>
                <w:sz w:val="22"/>
                <w:szCs w:val="22"/>
                <w:lang w:eastAsia="zh-CN"/>
              </w:rPr>
            </w:pPr>
          </w:p>
          <w:p w14:paraId="1814EEEB" w14:textId="0B790916" w:rsidR="00AB3104" w:rsidRPr="00B91293" w:rsidRDefault="00AB3104" w:rsidP="006A0EDB">
            <w:pPr>
              <w:rPr>
                <w:rFonts w:ascii="Arial" w:hAnsi="Arial" w:cs="Arial"/>
                <w:snapToGrid w:val="0"/>
                <w:sz w:val="22"/>
                <w:szCs w:val="22"/>
              </w:rPr>
            </w:pPr>
            <w:r>
              <w:rPr>
                <w:rFonts w:ascii="Arial" w:hAnsi="Arial"/>
                <w:snapToGrid w:val="0"/>
                <w:sz w:val="22"/>
              </w:rPr>
              <w:t>Dans le même temps, il convient de tenir compte des éléments suivants :</w:t>
            </w:r>
          </w:p>
          <w:p w14:paraId="5045F5FC" w14:textId="77777777" w:rsidR="00AB3104" w:rsidRPr="00EC301D" w:rsidRDefault="00AB3104" w:rsidP="006A0EDB">
            <w:pPr>
              <w:rPr>
                <w:rFonts w:ascii="Arial" w:hAnsi="Arial" w:cs="Arial"/>
                <w:snapToGrid w:val="0"/>
                <w:sz w:val="22"/>
                <w:szCs w:val="22"/>
                <w:lang w:eastAsia="zh-CN"/>
              </w:rPr>
            </w:pPr>
          </w:p>
          <w:p w14:paraId="28DB8959" w14:textId="209E7FA9" w:rsidR="00140A98" w:rsidRPr="00B91293" w:rsidRDefault="2F045D72" w:rsidP="5E4984A2">
            <w:pPr>
              <w:pStyle w:val="Paragraphedeliste"/>
              <w:numPr>
                <w:ilvl w:val="0"/>
                <w:numId w:val="25"/>
              </w:numPr>
              <w:jc w:val="both"/>
              <w:rPr>
                <w:rFonts w:ascii="Arial" w:eastAsia="Arial" w:hAnsi="Arial" w:cs="Arial"/>
                <w:snapToGrid w:val="0"/>
                <w:sz w:val="22"/>
                <w:szCs w:val="22"/>
              </w:rPr>
            </w:pPr>
            <w:r>
              <w:rPr>
                <w:rFonts w:ascii="Arial" w:hAnsi="Arial"/>
                <w:b/>
                <w:sz w:val="22"/>
              </w:rPr>
              <w:t>Le dialogue</w:t>
            </w:r>
            <w:r>
              <w:rPr>
                <w:rFonts w:ascii="Arial" w:hAnsi="Arial"/>
                <w:sz w:val="22"/>
              </w:rPr>
              <w:t xml:space="preserve"> est essentiel dans le cadre de la procédure de suivi, et l’ouverture de toutes les parties concernées à un dialogue équitable est cruciale. Cependant, aucun dialogue ne peut émerger en l’absence d’une préparation et administration adéquates, ainsi il convient d’assurer la gestion du dialogue et de la plateforme. L’une des conséquences du manque de dialogue entre les communautés </w:t>
            </w:r>
            <w:r w:rsidR="0004121E">
              <w:rPr>
                <w:rFonts w:ascii="Arial" w:hAnsi="Arial"/>
                <w:sz w:val="22"/>
              </w:rPr>
              <w:t xml:space="preserve">est </w:t>
            </w:r>
            <w:r>
              <w:rPr>
                <w:rFonts w:ascii="Arial" w:hAnsi="Arial"/>
                <w:sz w:val="22"/>
              </w:rPr>
              <w:t xml:space="preserve">le manque d’exemples de bons plans de sauvegarde à partager, et le manque relatif d’exemples proposés au Registre ; </w:t>
            </w:r>
          </w:p>
          <w:p w14:paraId="0C210C45" w14:textId="0930ECA2" w:rsidR="00140A98" w:rsidRPr="00EC301D" w:rsidRDefault="00140A98" w:rsidP="00166761">
            <w:pPr>
              <w:pStyle w:val="Paragraphedeliste"/>
              <w:jc w:val="both"/>
              <w:rPr>
                <w:rFonts w:ascii="Arial" w:hAnsi="Arial" w:cs="Arial"/>
                <w:snapToGrid w:val="0"/>
                <w:sz w:val="22"/>
                <w:szCs w:val="22"/>
                <w:lang w:eastAsia="zh-CN"/>
              </w:rPr>
            </w:pPr>
          </w:p>
          <w:p w14:paraId="2C61DDBF" w14:textId="5FC08967" w:rsidR="00982317" w:rsidRPr="00B91293" w:rsidRDefault="1A9FCAB1" w:rsidP="7AF6513B">
            <w:pPr>
              <w:pStyle w:val="Paragraphedeliste"/>
              <w:numPr>
                <w:ilvl w:val="0"/>
                <w:numId w:val="25"/>
              </w:numPr>
              <w:jc w:val="both"/>
              <w:rPr>
                <w:rFonts w:ascii="Arial" w:eastAsia="Arial" w:hAnsi="Arial" w:cs="Arial"/>
                <w:snapToGrid w:val="0"/>
                <w:sz w:val="22"/>
                <w:szCs w:val="22"/>
              </w:rPr>
            </w:pPr>
            <w:r>
              <w:rPr>
                <w:rFonts w:ascii="Arial" w:hAnsi="Arial"/>
                <w:sz w:val="22"/>
              </w:rPr>
              <w:t xml:space="preserve">Les États parties intéressés pour héberger la proposition d’Observatoire de sauvegarde des PCI devraient accepter les ressources financières et humaines liées à l’établissement et à la gestion d’une telle plateforme. Le </w:t>
            </w:r>
            <w:r>
              <w:rPr>
                <w:rFonts w:ascii="Arial" w:hAnsi="Arial"/>
                <w:b/>
                <w:sz w:val="22"/>
              </w:rPr>
              <w:t>coût</w:t>
            </w:r>
            <w:r>
              <w:rPr>
                <w:rFonts w:ascii="Arial" w:hAnsi="Arial"/>
                <w:sz w:val="22"/>
              </w:rPr>
              <w:t xml:space="preserve"> principal serait l’établissement et l’hébergement de la plateforme, ainsi que sa surveillance générale. La mise en place d’un mécanisme d’hébergement unique centralisé pourrait permettre de réduire le coût ; </w:t>
            </w:r>
          </w:p>
          <w:p w14:paraId="3DDBF364" w14:textId="77777777" w:rsidR="00140A98" w:rsidRPr="00EC301D" w:rsidRDefault="00140A98" w:rsidP="00166761">
            <w:pPr>
              <w:pStyle w:val="Paragraphedeliste"/>
              <w:rPr>
                <w:rFonts w:ascii="Arial" w:hAnsi="Arial" w:cs="Arial"/>
                <w:snapToGrid w:val="0"/>
                <w:sz w:val="22"/>
                <w:szCs w:val="22"/>
                <w:lang w:eastAsia="zh-CN"/>
              </w:rPr>
            </w:pPr>
          </w:p>
          <w:p w14:paraId="17180845" w14:textId="7B89E4EF" w:rsidR="00AB3104" w:rsidRPr="00B91293" w:rsidRDefault="445BEAFF" w:rsidP="00AB3104">
            <w:pPr>
              <w:pStyle w:val="Paragraphedeliste"/>
              <w:numPr>
                <w:ilvl w:val="0"/>
                <w:numId w:val="25"/>
              </w:numPr>
              <w:jc w:val="both"/>
              <w:rPr>
                <w:rFonts w:ascii="Arial" w:hAnsi="Arial" w:cs="Arial"/>
                <w:snapToGrid w:val="0"/>
                <w:sz w:val="22"/>
                <w:szCs w:val="22"/>
              </w:rPr>
            </w:pPr>
            <w:r>
              <w:rPr>
                <w:rFonts w:ascii="Arial" w:hAnsi="Arial"/>
                <w:sz w:val="22"/>
              </w:rPr>
              <w:t xml:space="preserve">Ni </w:t>
            </w:r>
            <w:r>
              <w:rPr>
                <w:rFonts w:ascii="Arial" w:hAnsi="Arial"/>
                <w:b/>
                <w:sz w:val="22"/>
              </w:rPr>
              <w:t>les centres de catégorie 2</w:t>
            </w:r>
            <w:r>
              <w:rPr>
                <w:rFonts w:ascii="Arial" w:hAnsi="Arial"/>
                <w:sz w:val="22"/>
              </w:rPr>
              <w:t xml:space="preserve"> ni le </w:t>
            </w:r>
            <w:r>
              <w:rPr>
                <w:rFonts w:ascii="Arial" w:hAnsi="Arial"/>
                <w:b/>
                <w:sz w:val="22"/>
              </w:rPr>
              <w:t>Forum des ONG pour les PCI</w:t>
            </w:r>
            <w:r>
              <w:rPr>
                <w:rFonts w:ascii="Arial" w:hAnsi="Arial"/>
                <w:sz w:val="22"/>
              </w:rPr>
              <w:t xml:space="preserve"> ne devraient remplacer la proposition d’Observatoire de sauvegarde des PCI, notamment afin de créer un espace pour le dialogue entre les communautés. Il est également important d’éviter de surcharger ces organisations avec des fonctions et responsabilités supplémentaires. Elles peuvent cependant jouer un rôle utile </w:t>
            </w:r>
            <w:r w:rsidR="0004121E">
              <w:rPr>
                <w:rFonts w:ascii="Arial" w:hAnsi="Arial"/>
                <w:sz w:val="22"/>
              </w:rPr>
              <w:t>au sein de l’</w:t>
            </w:r>
            <w:r>
              <w:rPr>
                <w:rFonts w:ascii="Arial" w:hAnsi="Arial"/>
                <w:sz w:val="22"/>
              </w:rPr>
              <w:t>’Observatoire</w:t>
            </w:r>
            <w:r w:rsidR="0004121E">
              <w:rPr>
                <w:rFonts w:ascii="Arial" w:hAnsi="Arial"/>
                <w:sz w:val="22"/>
              </w:rPr>
              <w:t xml:space="preserve"> proposé</w:t>
            </w:r>
            <w:r>
              <w:rPr>
                <w:rFonts w:ascii="Arial" w:hAnsi="Arial"/>
                <w:sz w:val="22"/>
              </w:rPr>
              <w:t xml:space="preserve"> et en soutenir les objectifs.</w:t>
            </w:r>
          </w:p>
          <w:p w14:paraId="6A4D7FED" w14:textId="778DEB77" w:rsidR="00AB3104" w:rsidRPr="00EC301D" w:rsidRDefault="00AB3104" w:rsidP="006A0EDB">
            <w:pPr>
              <w:rPr>
                <w:rFonts w:ascii="Arial" w:hAnsi="Arial" w:cs="Arial"/>
                <w:snapToGrid w:val="0"/>
                <w:sz w:val="22"/>
                <w:szCs w:val="22"/>
                <w:lang w:eastAsia="zh-CN"/>
              </w:rPr>
            </w:pPr>
          </w:p>
        </w:tc>
      </w:tr>
    </w:tbl>
    <w:p w14:paraId="2B30B895" w14:textId="505725DF" w:rsidR="00F93F7F" w:rsidRPr="00EC301D" w:rsidRDefault="00F93F7F" w:rsidP="006A0EDB">
      <w:pPr>
        <w:rPr>
          <w:rFonts w:eastAsiaTheme="minorHAnsi"/>
          <w:b/>
          <w:lang w:eastAsia="en-US"/>
        </w:rPr>
      </w:pPr>
    </w:p>
    <w:p w14:paraId="35453156" w14:textId="3DDE0EF5" w:rsidR="002A333F" w:rsidRPr="00B91293" w:rsidRDefault="002A333F">
      <w:pPr>
        <w:rPr>
          <w:rFonts w:eastAsiaTheme="minorHAnsi"/>
          <w:b/>
        </w:rPr>
      </w:pPr>
      <w:r>
        <w:br w:type="page"/>
      </w:r>
    </w:p>
    <w:tbl>
      <w:tblPr>
        <w:tblStyle w:val="Grilledutableau"/>
        <w:tblW w:w="0" w:type="auto"/>
        <w:tblInd w:w="562" w:type="dxa"/>
        <w:tblLook w:val="04A0" w:firstRow="1" w:lastRow="0" w:firstColumn="1" w:lastColumn="0" w:noHBand="0" w:noVBand="1"/>
      </w:tblPr>
      <w:tblGrid>
        <w:gridCol w:w="9066"/>
      </w:tblGrid>
      <w:tr w:rsidR="00B91293" w:rsidRPr="00B91293" w14:paraId="6B226FE1" w14:textId="77777777" w:rsidTr="2D5C0E44">
        <w:trPr>
          <w:trHeight w:hRule="exact" w:val="737"/>
        </w:trPr>
        <w:tc>
          <w:tcPr>
            <w:tcW w:w="9066" w:type="dxa"/>
            <w:shd w:val="clear" w:color="auto" w:fill="F2F2F2" w:themeFill="background1" w:themeFillShade="F2"/>
            <w:vAlign w:val="center"/>
          </w:tcPr>
          <w:p w14:paraId="2739B005" w14:textId="450A3FFA" w:rsidR="00F93F7F" w:rsidRPr="00B91293" w:rsidRDefault="00571480" w:rsidP="001650E7">
            <w:pPr>
              <w:jc w:val="center"/>
              <w:rPr>
                <w:rFonts w:asciiTheme="minorBidi" w:eastAsiaTheme="minorHAnsi" w:hAnsiTheme="minorBidi" w:cstheme="minorBidi"/>
                <w:b/>
                <w:bCs/>
                <w:sz w:val="32"/>
                <w:szCs w:val="32"/>
              </w:rPr>
            </w:pPr>
            <w:r>
              <w:rPr>
                <w:rFonts w:asciiTheme="minorBidi" w:hAnsiTheme="minorBidi"/>
                <w:b/>
                <w:sz w:val="32"/>
              </w:rPr>
              <w:lastRenderedPageBreak/>
              <w:t>12. Retrait d’un élément de la Liste</w:t>
            </w:r>
          </w:p>
        </w:tc>
      </w:tr>
      <w:tr w:rsidR="00F93F7F" w:rsidRPr="00B91293" w14:paraId="414D5F8B" w14:textId="77777777" w:rsidTr="2D5C0E44">
        <w:trPr>
          <w:trHeight w:val="274"/>
        </w:trPr>
        <w:tc>
          <w:tcPr>
            <w:tcW w:w="9066" w:type="dxa"/>
          </w:tcPr>
          <w:p w14:paraId="7CAD32FF" w14:textId="77777777" w:rsidR="00237E5E" w:rsidRPr="00EC301D" w:rsidRDefault="00237E5E" w:rsidP="00237E5E">
            <w:pPr>
              <w:rPr>
                <w:rFonts w:ascii="Arial" w:hAnsi="Arial" w:cs="Arial"/>
                <w:snapToGrid w:val="0"/>
                <w:sz w:val="22"/>
                <w:szCs w:val="22"/>
                <w:lang w:eastAsia="zh-CN"/>
              </w:rPr>
            </w:pPr>
          </w:p>
          <w:p w14:paraId="7FF99F73" w14:textId="7E1A8743" w:rsidR="00237E5E" w:rsidRPr="00B91293" w:rsidRDefault="00237E5E" w:rsidP="00237E5E">
            <w:pPr>
              <w:rPr>
                <w:rFonts w:ascii="Arial" w:hAnsi="Arial" w:cs="Arial"/>
                <w:snapToGrid w:val="0"/>
                <w:sz w:val="22"/>
                <w:szCs w:val="22"/>
              </w:rPr>
            </w:pPr>
            <w:r>
              <w:rPr>
                <w:rFonts w:ascii="Arial" w:hAnsi="Arial"/>
                <w:snapToGrid w:val="0"/>
                <w:sz w:val="22"/>
              </w:rPr>
              <w:t xml:space="preserve">Exemples : </w:t>
            </w:r>
          </w:p>
          <w:p w14:paraId="2DF0E2BA" w14:textId="77777777" w:rsidR="002859ED" w:rsidRPr="00B91293" w:rsidRDefault="002859ED" w:rsidP="002859ED">
            <w:pPr>
              <w:rPr>
                <w:rFonts w:ascii="Arial" w:hAnsi="Arial" w:cs="Arial"/>
                <w:snapToGrid w:val="0"/>
                <w:sz w:val="22"/>
                <w:szCs w:val="22"/>
                <w:lang w:val="en-GB" w:eastAsia="zh-CN"/>
              </w:rPr>
            </w:pPr>
          </w:p>
          <w:p w14:paraId="4F72B891" w14:textId="149095CE" w:rsidR="0039157A" w:rsidRPr="00B91293" w:rsidRDefault="0039157A" w:rsidP="00CD6FB7">
            <w:pPr>
              <w:pStyle w:val="Paragraphedeliste"/>
              <w:numPr>
                <w:ilvl w:val="0"/>
                <w:numId w:val="38"/>
              </w:numPr>
              <w:jc w:val="both"/>
              <w:rPr>
                <w:rFonts w:ascii="Arial" w:hAnsi="Arial" w:cs="Arial"/>
                <w:snapToGrid w:val="0"/>
                <w:sz w:val="22"/>
                <w:szCs w:val="22"/>
              </w:rPr>
            </w:pPr>
            <w:r>
              <w:rPr>
                <w:rFonts w:ascii="Arial" w:hAnsi="Arial"/>
                <w:snapToGrid w:val="0"/>
                <w:sz w:val="22"/>
              </w:rPr>
              <w:t>Suède / l’</w:t>
            </w:r>
            <w:r>
              <w:rPr>
                <w:rFonts w:ascii="Arial" w:hAnsi="Arial"/>
                <w:sz w:val="22"/>
              </w:rPr>
              <w:t>Institut de la langue et du folklore conserve l’</w:t>
            </w:r>
            <w:r>
              <w:rPr>
                <w:rFonts w:ascii="Arial" w:hAnsi="Arial"/>
                <w:snapToGrid w:val="0"/>
                <w:sz w:val="22"/>
              </w:rPr>
              <w:t xml:space="preserve">inventaire national du patrimoine vivant, ainsi que les documents d’archives concernant les éléments qui ne sont plus viables, sous forme de « banque de mémoire » relative à l’inventaire.  </w:t>
            </w:r>
          </w:p>
          <w:p w14:paraId="2666EEF2" w14:textId="77777777" w:rsidR="00237E5E" w:rsidRPr="00EC301D" w:rsidRDefault="00237E5E" w:rsidP="00237E5E">
            <w:pPr>
              <w:rPr>
                <w:rFonts w:ascii="Arial" w:hAnsi="Arial" w:cs="Arial"/>
                <w:snapToGrid w:val="0"/>
                <w:sz w:val="22"/>
                <w:szCs w:val="22"/>
                <w:lang w:eastAsia="zh-CN"/>
              </w:rPr>
            </w:pPr>
          </w:p>
          <w:p w14:paraId="55E9909B" w14:textId="01FC0045" w:rsidR="00237E5E" w:rsidRPr="00B91293" w:rsidRDefault="00237E5E" w:rsidP="00237E5E">
            <w:pPr>
              <w:rPr>
                <w:rFonts w:ascii="Arial" w:hAnsi="Arial" w:cs="Arial"/>
                <w:snapToGrid w:val="0"/>
                <w:sz w:val="22"/>
                <w:szCs w:val="22"/>
              </w:rPr>
            </w:pPr>
            <w:r>
              <w:rPr>
                <w:rFonts w:ascii="Arial" w:hAnsi="Arial"/>
                <w:snapToGrid w:val="0"/>
                <w:sz w:val="22"/>
              </w:rPr>
              <w:t xml:space="preserve"> Le groupe 2 recommande les éléments suivants :</w:t>
            </w:r>
          </w:p>
          <w:p w14:paraId="23B0FAF6" w14:textId="77777777" w:rsidR="00981E4D" w:rsidRPr="00EC301D" w:rsidRDefault="00981E4D" w:rsidP="000B6742">
            <w:pPr>
              <w:pStyle w:val="Paragraphedeliste"/>
              <w:rPr>
                <w:rFonts w:ascii="Arial" w:hAnsi="Arial" w:cs="Arial"/>
                <w:snapToGrid w:val="0"/>
                <w:sz w:val="22"/>
                <w:szCs w:val="22"/>
                <w:lang w:eastAsia="zh-CN"/>
              </w:rPr>
            </w:pPr>
          </w:p>
          <w:p w14:paraId="5E54298B" w14:textId="436524D8" w:rsidR="00064957" w:rsidRPr="00B91293" w:rsidRDefault="7882083A" w:rsidP="00CD6FB7">
            <w:pPr>
              <w:pStyle w:val="Paragraphedeliste"/>
              <w:numPr>
                <w:ilvl w:val="0"/>
                <w:numId w:val="38"/>
              </w:numPr>
              <w:jc w:val="both"/>
              <w:rPr>
                <w:rFonts w:ascii="Arial" w:hAnsi="Arial" w:cs="Arial"/>
                <w:snapToGrid w:val="0"/>
                <w:sz w:val="22"/>
                <w:szCs w:val="22"/>
              </w:rPr>
            </w:pPr>
            <w:r>
              <w:rPr>
                <w:rFonts w:ascii="Arial" w:hAnsi="Arial"/>
                <w:sz w:val="22"/>
              </w:rPr>
              <w:t xml:space="preserve">Lorsqu’une </w:t>
            </w:r>
            <w:r>
              <w:rPr>
                <w:rFonts w:ascii="Arial" w:hAnsi="Arial"/>
                <w:b/>
                <w:sz w:val="22"/>
              </w:rPr>
              <w:t>demande de retrait</w:t>
            </w:r>
            <w:r>
              <w:rPr>
                <w:rFonts w:ascii="Arial" w:hAnsi="Arial"/>
                <w:sz w:val="22"/>
              </w:rPr>
              <w:t xml:space="preserve"> provient de tiers (ni un État partie, ni des communautés), il convient de mettre en place un mécanisme clair afin d’examiner une telle demande, ceci en vue d’en justifier les raisons d’une telle demande sans </w:t>
            </w:r>
            <w:r w:rsidR="00442BA5" w:rsidRPr="00442BA5">
              <w:rPr>
                <w:rFonts w:ascii="Arial" w:hAnsi="Arial"/>
                <w:sz w:val="22"/>
              </w:rPr>
              <w:t>sans prendre la demande pour argent comptant</w:t>
            </w:r>
            <w:r w:rsidR="00762408">
              <w:rPr>
                <w:rFonts w:ascii="Arial" w:hAnsi="Arial"/>
                <w:sz w:val="22"/>
              </w:rPr>
              <w:t>. Dans de tels cas, l’Organ</w:t>
            </w:r>
            <w:r>
              <w:rPr>
                <w:rFonts w:ascii="Arial" w:hAnsi="Arial"/>
                <w:sz w:val="22"/>
              </w:rPr>
              <w:t xml:space="preserve">e d’évaluation pourra fournir des conseils ; </w:t>
            </w:r>
          </w:p>
          <w:p w14:paraId="3EF9221F" w14:textId="77777777" w:rsidR="00064957" w:rsidRPr="00EC301D" w:rsidRDefault="00064957" w:rsidP="007D182C">
            <w:pPr>
              <w:pStyle w:val="Paragraphedeliste"/>
              <w:jc w:val="both"/>
              <w:rPr>
                <w:rFonts w:ascii="Arial" w:hAnsi="Arial" w:cs="Arial"/>
                <w:snapToGrid w:val="0"/>
                <w:sz w:val="22"/>
                <w:szCs w:val="22"/>
                <w:lang w:eastAsia="zh-CN"/>
              </w:rPr>
            </w:pPr>
          </w:p>
          <w:p w14:paraId="72515948" w14:textId="1A434F15" w:rsidR="00981E4D" w:rsidRPr="00B91293" w:rsidRDefault="78A30F55" w:rsidP="00CD6FB7">
            <w:pPr>
              <w:pStyle w:val="Paragraphedeliste"/>
              <w:numPr>
                <w:ilvl w:val="0"/>
                <w:numId w:val="38"/>
              </w:numPr>
              <w:jc w:val="both"/>
              <w:rPr>
                <w:rFonts w:ascii="Arial" w:hAnsi="Arial" w:cs="Arial"/>
                <w:snapToGrid w:val="0"/>
                <w:sz w:val="22"/>
                <w:szCs w:val="22"/>
              </w:rPr>
            </w:pPr>
            <w:r>
              <w:rPr>
                <w:rFonts w:ascii="Arial" w:hAnsi="Arial"/>
                <w:sz w:val="22"/>
              </w:rPr>
              <w:t>Les communautés</w:t>
            </w:r>
            <w:r>
              <w:rPr>
                <w:rFonts w:ascii="Arial" w:hAnsi="Arial"/>
                <w:snapToGrid w:val="0"/>
                <w:sz w:val="22"/>
              </w:rPr>
              <w:t xml:space="preserve"> concernées doivent être </w:t>
            </w:r>
            <w:r>
              <w:rPr>
                <w:rFonts w:ascii="Arial" w:hAnsi="Arial"/>
                <w:b/>
                <w:snapToGrid w:val="0"/>
                <w:sz w:val="22"/>
              </w:rPr>
              <w:t>informées</w:t>
            </w:r>
            <w:r>
              <w:rPr>
                <w:rFonts w:ascii="Arial" w:hAnsi="Arial"/>
                <w:snapToGrid w:val="0"/>
                <w:sz w:val="22"/>
              </w:rPr>
              <w:t xml:space="preserve"> dans les cas où des préoccupations ont été soulevées </w:t>
            </w:r>
            <w:r>
              <w:rPr>
                <w:rFonts w:ascii="Arial" w:hAnsi="Arial"/>
                <w:sz w:val="22"/>
              </w:rPr>
              <w:t>quant à</w:t>
            </w:r>
            <w:r>
              <w:rPr>
                <w:rFonts w:ascii="Arial" w:hAnsi="Arial"/>
                <w:snapToGrid w:val="0"/>
                <w:sz w:val="22"/>
              </w:rPr>
              <w:t xml:space="preserve"> savoir si l’élément satisfera aux critères d’inscription ou </w:t>
            </w:r>
            <w:r>
              <w:rPr>
                <w:rFonts w:ascii="Arial" w:hAnsi="Arial"/>
                <w:sz w:val="22"/>
              </w:rPr>
              <w:t>devrait</w:t>
            </w:r>
            <w:r>
              <w:rPr>
                <w:rFonts w:ascii="Arial" w:hAnsi="Arial"/>
                <w:snapToGrid w:val="0"/>
                <w:sz w:val="22"/>
              </w:rPr>
              <w:t xml:space="preserve"> être retiré de la LR ou de la LSU</w:t>
            </w:r>
            <w:r>
              <w:rPr>
                <w:rFonts w:ascii="Arial" w:hAnsi="Arial"/>
                <w:sz w:val="22"/>
              </w:rPr>
              <w:t>. Dans de tels cas,</w:t>
            </w:r>
            <w:r>
              <w:rPr>
                <w:rFonts w:ascii="Arial" w:hAnsi="Arial"/>
                <w:snapToGrid w:val="0"/>
                <w:sz w:val="22"/>
              </w:rPr>
              <w:t xml:space="preserve"> il conviendra de tenir compte de </w:t>
            </w:r>
            <w:r>
              <w:rPr>
                <w:rFonts w:ascii="Arial" w:hAnsi="Arial"/>
                <w:sz w:val="22"/>
              </w:rPr>
              <w:t>l’</w:t>
            </w:r>
            <w:r>
              <w:rPr>
                <w:rFonts w:ascii="Arial" w:hAnsi="Arial"/>
                <w:b/>
                <w:snapToGrid w:val="0"/>
                <w:sz w:val="22"/>
              </w:rPr>
              <w:t xml:space="preserve">opinion de la communauté </w:t>
            </w:r>
            <w:r>
              <w:rPr>
                <w:rFonts w:ascii="Arial" w:hAnsi="Arial"/>
                <w:snapToGrid w:val="0"/>
                <w:sz w:val="22"/>
              </w:rPr>
              <w:t xml:space="preserve">concernant un tel retrait. </w:t>
            </w:r>
            <w:r>
              <w:rPr>
                <w:rFonts w:ascii="Arial" w:hAnsi="Arial"/>
                <w:sz w:val="22"/>
              </w:rPr>
              <w:t>À cette fin</w:t>
            </w:r>
            <w:r>
              <w:rPr>
                <w:rFonts w:ascii="Arial" w:hAnsi="Arial"/>
                <w:snapToGrid w:val="0"/>
                <w:sz w:val="22"/>
              </w:rPr>
              <w:t xml:space="preserve">, il conviendra d’établir et de mettre à la disposition des communautés un ou plusieurs mécanismes de communication, pour une écoute et </w:t>
            </w:r>
            <w:proofErr w:type="gramStart"/>
            <w:r>
              <w:rPr>
                <w:rFonts w:ascii="Arial" w:hAnsi="Arial"/>
                <w:snapToGrid w:val="0"/>
                <w:sz w:val="22"/>
              </w:rPr>
              <w:t>une reconnaissance directes</w:t>
            </w:r>
            <w:proofErr w:type="gramEnd"/>
            <w:r>
              <w:rPr>
                <w:rFonts w:ascii="Arial" w:hAnsi="Arial"/>
                <w:snapToGrid w:val="0"/>
                <w:sz w:val="22"/>
              </w:rPr>
              <w:t xml:space="preserve"> de leur </w:t>
            </w:r>
            <w:r w:rsidR="0017052A">
              <w:rPr>
                <w:rFonts w:ascii="Arial" w:hAnsi="Arial"/>
                <w:snapToGrid w:val="0"/>
                <w:sz w:val="22"/>
              </w:rPr>
              <w:t>avis</w:t>
            </w:r>
            <w:r>
              <w:rPr>
                <w:rFonts w:ascii="Arial" w:hAnsi="Arial"/>
                <w:snapToGrid w:val="0"/>
                <w:sz w:val="22"/>
              </w:rPr>
              <w:t xml:space="preserve"> sur la question ; </w:t>
            </w:r>
          </w:p>
          <w:p w14:paraId="5266FBDA" w14:textId="77777777" w:rsidR="00DC136F" w:rsidRPr="00EC301D" w:rsidRDefault="00DC136F" w:rsidP="00E0161F">
            <w:pPr>
              <w:rPr>
                <w:rFonts w:ascii="Arial" w:hAnsi="Arial" w:cs="Arial"/>
                <w:snapToGrid w:val="0"/>
                <w:sz w:val="22"/>
                <w:szCs w:val="22"/>
                <w:lang w:eastAsia="zh-CN"/>
              </w:rPr>
            </w:pPr>
          </w:p>
          <w:p w14:paraId="3BFB0098" w14:textId="10E7F09D" w:rsidR="00DC136F" w:rsidRPr="00B91293" w:rsidRDefault="4DC4B406" w:rsidP="00CD6FB7">
            <w:pPr>
              <w:pStyle w:val="Paragraphedeliste"/>
              <w:numPr>
                <w:ilvl w:val="0"/>
                <w:numId w:val="38"/>
              </w:numPr>
              <w:jc w:val="both"/>
              <w:rPr>
                <w:rFonts w:ascii="Arial" w:hAnsi="Arial" w:cs="Arial"/>
                <w:snapToGrid w:val="0"/>
                <w:sz w:val="22"/>
                <w:szCs w:val="22"/>
              </w:rPr>
            </w:pPr>
            <w:r>
              <w:rPr>
                <w:rFonts w:ascii="Arial" w:hAnsi="Arial"/>
                <w:sz w:val="22"/>
              </w:rPr>
              <w:t xml:space="preserve">Un retrait serait envisagé principalement dans les cas où les critères de définition du PCI en vertu de la Convention ne sont plus remplis. </w:t>
            </w:r>
            <w:r>
              <w:rPr>
                <w:rFonts w:ascii="Arial" w:hAnsi="Arial"/>
                <w:snapToGrid w:val="0"/>
                <w:sz w:val="22"/>
              </w:rPr>
              <w:t xml:space="preserve">Il conviendrait d’entreprendre différentes étapes dans les cas où les raisons d’un retrait éventuel concernent directement la définition du PCI, </w:t>
            </w:r>
            <w:r>
              <w:rPr>
                <w:rFonts w:ascii="Arial" w:hAnsi="Arial"/>
                <w:sz w:val="22"/>
              </w:rPr>
              <w:t>comme par exemple des préoccupations concernant une violation des droits de l’homme, de la compatibilité aux exigences du respect mutuel et du développement durable</w:t>
            </w:r>
            <w:r>
              <w:rPr>
                <w:rFonts w:ascii="Arial" w:hAnsi="Arial"/>
                <w:snapToGrid w:val="0"/>
                <w:sz w:val="22"/>
              </w:rPr>
              <w:t> ;</w:t>
            </w:r>
          </w:p>
          <w:p w14:paraId="0BF2CC33" w14:textId="38A78ECC" w:rsidR="0023471D" w:rsidRPr="00EC301D" w:rsidRDefault="0023471D" w:rsidP="005C4D0B">
            <w:pPr>
              <w:rPr>
                <w:snapToGrid w:val="0"/>
                <w:lang w:eastAsia="zh-CN"/>
              </w:rPr>
            </w:pPr>
          </w:p>
          <w:p w14:paraId="68282E4D" w14:textId="51AC9CF4" w:rsidR="00E5514F" w:rsidRPr="00B91293" w:rsidRDefault="78B644DC" w:rsidP="00CD6FB7">
            <w:pPr>
              <w:pStyle w:val="Paragraphedeliste"/>
              <w:numPr>
                <w:ilvl w:val="0"/>
                <w:numId w:val="38"/>
              </w:numPr>
              <w:jc w:val="both"/>
              <w:rPr>
                <w:rFonts w:ascii="Arial" w:eastAsia="Arial" w:hAnsi="Arial" w:cs="Arial"/>
                <w:snapToGrid w:val="0"/>
                <w:sz w:val="22"/>
                <w:szCs w:val="22"/>
              </w:rPr>
            </w:pPr>
            <w:r>
              <w:rPr>
                <w:rFonts w:ascii="Arial" w:hAnsi="Arial"/>
                <w:sz w:val="22"/>
              </w:rPr>
              <w:t xml:space="preserve">Il conviendrait d’élaborer des </w:t>
            </w:r>
            <w:r>
              <w:rPr>
                <w:rFonts w:ascii="Arial" w:hAnsi="Arial"/>
                <w:b/>
                <w:sz w:val="22"/>
              </w:rPr>
              <w:t>mesures temporaires</w:t>
            </w:r>
            <w:r>
              <w:rPr>
                <w:rFonts w:ascii="Arial" w:hAnsi="Arial"/>
                <w:sz w:val="22"/>
              </w:rPr>
              <w:t xml:space="preserve"> pour les éléments soumis à une demande de retrait, permettant de mettre temporairement de tels éléments « sous surveillance ». Avant la prise de décision finale concernant le maintien de l’élément ou son retrait de la Liste, il est nécessaire de prévoir un mécanisme clair pour une meilleure surveillance, une évaluation du niveau de sauvegarde, l’assurance de la présence de l’assistance technique nécessaire, ainsi que la consultation de la communauté et le bon déroulement du processus de consentement ; </w:t>
            </w:r>
          </w:p>
          <w:p w14:paraId="6988AC71" w14:textId="594D8750" w:rsidR="00DF1A34" w:rsidRPr="00EC301D" w:rsidRDefault="00DF1A34" w:rsidP="00DF1A34">
            <w:pPr>
              <w:pStyle w:val="Paragraphedeliste"/>
              <w:jc w:val="both"/>
              <w:rPr>
                <w:rFonts w:ascii="Arial" w:hAnsi="Arial" w:cs="Arial"/>
                <w:snapToGrid w:val="0"/>
                <w:sz w:val="22"/>
                <w:szCs w:val="22"/>
                <w:lang w:eastAsia="zh-CN"/>
              </w:rPr>
            </w:pPr>
          </w:p>
          <w:p w14:paraId="3472F7F6" w14:textId="470758BC" w:rsidR="00E038CE" w:rsidRPr="00B91293" w:rsidRDefault="175FE8EC" w:rsidP="00CD6FB7">
            <w:pPr>
              <w:pStyle w:val="Paragraphedeliste"/>
              <w:numPr>
                <w:ilvl w:val="0"/>
                <w:numId w:val="38"/>
              </w:numPr>
              <w:jc w:val="both"/>
              <w:rPr>
                <w:snapToGrid w:val="0"/>
                <w:sz w:val="22"/>
                <w:szCs w:val="22"/>
              </w:rPr>
            </w:pPr>
            <w:r>
              <w:rPr>
                <w:rFonts w:ascii="Arial" w:hAnsi="Arial"/>
                <w:sz w:val="22"/>
              </w:rPr>
              <w:t xml:space="preserve">Dans les cas où sont soulevées des préoccupations relatives aux </w:t>
            </w:r>
            <w:r>
              <w:rPr>
                <w:rFonts w:ascii="Arial" w:hAnsi="Arial"/>
                <w:b/>
                <w:sz w:val="22"/>
              </w:rPr>
              <w:t>droits de l’homme</w:t>
            </w:r>
            <w:r>
              <w:rPr>
                <w:rFonts w:ascii="Arial" w:hAnsi="Arial"/>
                <w:sz w:val="22"/>
              </w:rPr>
              <w:t>, qui pourraient initialement être réglées via un dialogue et un mécanisme de suivi, comme un Observatoire de sauvegarde des PCI, mais sans succès, il conviendrait de consulter l’expertise juridique compétente. Un système pourrait être établi en vertu de la Convention de 2003 afin de recevoir les préoccupations liées aux droits de l’homme pouvant être transmises, le cas échéant, au Comité sur les conventions et recommandations en sa qualité d’orga</w:t>
            </w:r>
            <w:r w:rsidR="00762408">
              <w:rPr>
                <w:rFonts w:ascii="Arial" w:hAnsi="Arial"/>
                <w:sz w:val="22"/>
              </w:rPr>
              <w:t>n</w:t>
            </w:r>
            <w:r>
              <w:rPr>
                <w:rFonts w:ascii="Arial" w:hAnsi="Arial"/>
                <w:sz w:val="22"/>
              </w:rPr>
              <w:t>e de l’UNESCO traitant des questions relatives aux droits de l’homme.</w:t>
            </w:r>
            <w:r w:rsidR="00BD2199" w:rsidRPr="00B91293">
              <w:rPr>
                <w:rStyle w:val="Appelnotedebasdep"/>
                <w:rFonts w:ascii="Arial" w:hAnsi="Arial" w:cs="Arial"/>
                <w:snapToGrid w:val="0"/>
                <w:sz w:val="22"/>
                <w:szCs w:val="22"/>
                <w:lang w:val="en-GB" w:eastAsia="zh-CN"/>
              </w:rPr>
              <w:footnoteReference w:id="1"/>
            </w:r>
            <w:r w:rsidR="60C973B6" w:rsidRPr="00EC301D">
              <w:rPr>
                <w:rStyle w:val="Appelnotedebasdep"/>
                <w:rFonts w:ascii="Arial" w:hAnsi="Arial" w:cs="Arial"/>
                <w:sz w:val="22"/>
                <w:szCs w:val="22"/>
                <w:lang w:eastAsia="zh-CN"/>
              </w:rPr>
              <w:t xml:space="preserve"> </w:t>
            </w:r>
            <w:r>
              <w:rPr>
                <w:rStyle w:val="Appelnotedebasdep"/>
                <w:rFonts w:ascii="Arial" w:hAnsi="Arial"/>
                <w:sz w:val="22"/>
              </w:rPr>
              <w:t xml:space="preserve"> </w:t>
            </w:r>
            <w:r>
              <w:rPr>
                <w:rFonts w:ascii="Arial" w:hAnsi="Arial"/>
                <w:sz w:val="22"/>
              </w:rPr>
              <w:t xml:space="preserve">Dans certains cas, un délai supplémentaire pourra s’avérer nécessaire afin de veiller à un </w:t>
            </w:r>
            <w:r>
              <w:rPr>
                <w:rFonts w:ascii="Arial" w:hAnsi="Arial"/>
                <w:b/>
                <w:sz w:val="22"/>
              </w:rPr>
              <w:t xml:space="preserve">dialogue </w:t>
            </w:r>
            <w:r>
              <w:rPr>
                <w:rFonts w:ascii="Arial" w:hAnsi="Arial"/>
                <w:b/>
                <w:sz w:val="22"/>
              </w:rPr>
              <w:lastRenderedPageBreak/>
              <w:t>interculturel basé sur le respect mutuel</w:t>
            </w:r>
            <w:r>
              <w:rPr>
                <w:rFonts w:ascii="Arial" w:hAnsi="Arial"/>
                <w:sz w:val="22"/>
              </w:rPr>
              <w:t xml:space="preserve"> et de permettre aux parties concernées de parvenir à une réconciliation ;</w:t>
            </w:r>
          </w:p>
          <w:p w14:paraId="6B5A0DF2" w14:textId="77777777" w:rsidR="00E038CE" w:rsidRPr="00EC301D" w:rsidRDefault="00E038CE" w:rsidP="00E038CE">
            <w:pPr>
              <w:pStyle w:val="Paragraphedeliste"/>
              <w:ind w:left="1080"/>
              <w:jc w:val="both"/>
              <w:rPr>
                <w:rFonts w:ascii="Arial" w:hAnsi="Arial" w:cs="Arial"/>
                <w:snapToGrid w:val="0"/>
                <w:sz w:val="22"/>
                <w:szCs w:val="22"/>
                <w:lang w:eastAsia="zh-CN"/>
              </w:rPr>
            </w:pPr>
          </w:p>
          <w:p w14:paraId="0E4CFE14" w14:textId="0DBAAC58" w:rsidR="00BD2199" w:rsidRPr="00B91293" w:rsidRDefault="7AE74381" w:rsidP="00CD6FB7">
            <w:pPr>
              <w:pStyle w:val="Paragraphedeliste"/>
              <w:numPr>
                <w:ilvl w:val="0"/>
                <w:numId w:val="38"/>
              </w:numPr>
              <w:jc w:val="both"/>
              <w:rPr>
                <w:rFonts w:ascii="Arial" w:hAnsi="Arial" w:cs="Arial"/>
                <w:snapToGrid w:val="0"/>
                <w:sz w:val="22"/>
                <w:szCs w:val="22"/>
              </w:rPr>
            </w:pPr>
            <w:r>
              <w:rPr>
                <w:rFonts w:ascii="Arial" w:hAnsi="Arial"/>
                <w:sz w:val="22"/>
              </w:rPr>
              <w:t xml:space="preserve"> De plus, concernant les exigences en matière de </w:t>
            </w:r>
            <w:r>
              <w:rPr>
                <w:rFonts w:ascii="Arial" w:hAnsi="Arial"/>
                <w:b/>
                <w:sz w:val="22"/>
              </w:rPr>
              <w:t xml:space="preserve">respect mutuel et de développement durable, </w:t>
            </w:r>
            <w:r>
              <w:rPr>
                <w:rFonts w:ascii="Arial" w:hAnsi="Arial"/>
                <w:sz w:val="22"/>
              </w:rPr>
              <w:t>il conviendrait d’envisager des responsabilités concrètes, en particulier en établissant une distinction entre les actions gouvernementales et leurs conséquences, et les actions prises par les communautés concernées ;</w:t>
            </w:r>
          </w:p>
          <w:p w14:paraId="3814E677" w14:textId="77777777" w:rsidR="003F6B02" w:rsidRPr="00EC301D" w:rsidRDefault="003F6B02" w:rsidP="003F6B02">
            <w:pPr>
              <w:pStyle w:val="Paragraphedeliste"/>
              <w:rPr>
                <w:rFonts w:ascii="Arial" w:hAnsi="Arial" w:cs="Arial"/>
                <w:snapToGrid w:val="0"/>
                <w:sz w:val="22"/>
                <w:szCs w:val="22"/>
                <w:lang w:eastAsia="zh-CN"/>
              </w:rPr>
            </w:pPr>
          </w:p>
          <w:p w14:paraId="1466F79A" w14:textId="75C11171" w:rsidR="008F2EE7" w:rsidRPr="00B91293" w:rsidRDefault="003F6B02" w:rsidP="00CD6FB7">
            <w:pPr>
              <w:pStyle w:val="Paragraphedeliste"/>
              <w:numPr>
                <w:ilvl w:val="0"/>
                <w:numId w:val="38"/>
              </w:numPr>
              <w:jc w:val="both"/>
              <w:rPr>
                <w:rFonts w:ascii="Arial" w:hAnsi="Arial" w:cs="Arial"/>
                <w:snapToGrid w:val="0"/>
                <w:sz w:val="22"/>
                <w:szCs w:val="22"/>
              </w:rPr>
            </w:pPr>
            <w:r>
              <w:rPr>
                <w:rFonts w:ascii="Arial" w:hAnsi="Arial"/>
                <w:b/>
                <w:snapToGrid w:val="0"/>
                <w:sz w:val="22"/>
              </w:rPr>
              <w:t>Des missions de consultation</w:t>
            </w:r>
            <w:r>
              <w:rPr>
                <w:rFonts w:ascii="Arial" w:hAnsi="Arial"/>
                <w:snapToGrid w:val="0"/>
                <w:sz w:val="22"/>
              </w:rPr>
              <w:t xml:space="preserve"> seraient organisées dans le cadre des mesures temporaires, afin de régler sur le terrain les préoccupations justifiant un retrait, et de consulter les communautés concernées et autres parties intéressées, en vue d’une décision éclairée de la part du Comité intergouvernemental pour la sauvegarde du patrimoine culturel immatériel (</w:t>
            </w:r>
            <w:r>
              <w:rPr>
                <w:rFonts w:ascii="Arial" w:hAnsi="Arial"/>
                <w:i/>
                <w:snapToGrid w:val="0"/>
                <w:sz w:val="22"/>
              </w:rPr>
              <w:t>pour connaître les étapes proposées, voir l’Annexe à la présente section</w:t>
            </w:r>
            <w:r>
              <w:rPr>
                <w:rFonts w:ascii="Arial" w:hAnsi="Arial"/>
                <w:snapToGrid w:val="0"/>
                <w:sz w:val="22"/>
              </w:rPr>
              <w:t xml:space="preserve">). </w:t>
            </w:r>
            <w:r>
              <w:rPr>
                <w:rFonts w:ascii="Arial" w:hAnsi="Arial"/>
                <w:sz w:val="22"/>
              </w:rPr>
              <w:t>La question de la couverture des coûts d’une telle mission doit faire l’objet d’une discussion (le Fonds du patrimoine immatériel p</w:t>
            </w:r>
            <w:r w:rsidR="00442BA5">
              <w:rPr>
                <w:rFonts w:ascii="Arial" w:hAnsi="Arial"/>
                <w:sz w:val="22"/>
              </w:rPr>
              <w:t>ourrait</w:t>
            </w:r>
            <w:r>
              <w:rPr>
                <w:rFonts w:ascii="Arial" w:hAnsi="Arial"/>
                <w:sz w:val="22"/>
              </w:rPr>
              <w:t>t être envisagé) ;</w:t>
            </w:r>
            <w:r>
              <w:rPr>
                <w:rFonts w:ascii="Arial" w:hAnsi="Arial"/>
                <w:snapToGrid w:val="0"/>
                <w:sz w:val="22"/>
              </w:rPr>
              <w:t xml:space="preserve"> </w:t>
            </w:r>
          </w:p>
          <w:p w14:paraId="1F495BF1" w14:textId="77777777" w:rsidR="00981E4D" w:rsidRPr="00EC301D" w:rsidRDefault="00981E4D" w:rsidP="00E0161F">
            <w:pPr>
              <w:rPr>
                <w:rFonts w:ascii="Arial" w:hAnsi="Arial" w:cs="Arial"/>
                <w:snapToGrid w:val="0"/>
                <w:sz w:val="22"/>
                <w:szCs w:val="22"/>
                <w:lang w:eastAsia="zh-CN"/>
              </w:rPr>
            </w:pPr>
          </w:p>
          <w:p w14:paraId="7B6E35DC" w14:textId="2BC31693" w:rsidR="003C34DE" w:rsidRPr="00B91293" w:rsidRDefault="00524C48" w:rsidP="00CD6FB7">
            <w:pPr>
              <w:pStyle w:val="Paragraphedeliste"/>
              <w:numPr>
                <w:ilvl w:val="0"/>
                <w:numId w:val="38"/>
              </w:numPr>
              <w:jc w:val="both"/>
              <w:rPr>
                <w:rFonts w:ascii="Arial" w:hAnsi="Arial" w:cs="Arial"/>
                <w:snapToGrid w:val="0"/>
                <w:sz w:val="22"/>
                <w:szCs w:val="22"/>
              </w:rPr>
            </w:pPr>
            <w:r>
              <w:rPr>
                <w:rFonts w:ascii="Arial" w:hAnsi="Arial"/>
                <w:sz w:val="22"/>
              </w:rPr>
              <w:t xml:space="preserve">Il convient également d’envisager la possibilité d’une </w:t>
            </w:r>
            <w:r>
              <w:rPr>
                <w:rFonts w:ascii="Arial" w:hAnsi="Arial"/>
                <w:b/>
                <w:sz w:val="22"/>
              </w:rPr>
              <w:t>réintégration</w:t>
            </w:r>
            <w:r>
              <w:rPr>
                <w:rFonts w:ascii="Arial" w:hAnsi="Arial"/>
                <w:sz w:val="22"/>
              </w:rPr>
              <w:t xml:space="preserve"> des éléments retirés une fois le problème réglé, en proposant notamment une procédure allégée par rapport à une nouvelle procédure complète de candidature, ainsi que des directives à destination des États dans de tels cas. En ce qui concerne le délai, les éléments retirés de la Liste pourraient bénéficier d’un délai accéléré pour leur réintégration, si le problème ayant motivé le retrait a pu être réglé et résolu ;</w:t>
            </w:r>
          </w:p>
          <w:p w14:paraId="248EE280" w14:textId="77777777" w:rsidR="009A5132" w:rsidRPr="00EC301D" w:rsidRDefault="009A5132" w:rsidP="005C4D0B">
            <w:pPr>
              <w:pStyle w:val="Paragraphedeliste"/>
              <w:jc w:val="both"/>
              <w:rPr>
                <w:rFonts w:ascii="Arial" w:hAnsi="Arial" w:cs="Arial"/>
                <w:snapToGrid w:val="0"/>
                <w:sz w:val="22"/>
                <w:szCs w:val="22"/>
                <w:lang w:eastAsia="zh-CN"/>
              </w:rPr>
            </w:pPr>
          </w:p>
          <w:p w14:paraId="15EEF936" w14:textId="13D52D0A" w:rsidR="00836827" w:rsidRPr="00B91293" w:rsidRDefault="72090830" w:rsidP="00CD6FB7">
            <w:pPr>
              <w:pStyle w:val="Paragraphedeliste"/>
              <w:numPr>
                <w:ilvl w:val="0"/>
                <w:numId w:val="38"/>
              </w:numPr>
              <w:jc w:val="both"/>
              <w:rPr>
                <w:rFonts w:ascii="Arial" w:eastAsia="Arial" w:hAnsi="Arial" w:cs="Arial"/>
                <w:sz w:val="22"/>
                <w:szCs w:val="22"/>
              </w:rPr>
            </w:pPr>
            <w:r>
              <w:rPr>
                <w:rFonts w:ascii="Arial" w:hAnsi="Arial"/>
                <w:sz w:val="22"/>
              </w:rPr>
              <w:t xml:space="preserve">Un élément qui n’est plus </w:t>
            </w:r>
            <w:r>
              <w:rPr>
                <w:rFonts w:ascii="Arial" w:hAnsi="Arial"/>
                <w:b/>
                <w:sz w:val="22"/>
              </w:rPr>
              <w:t>vivant</w:t>
            </w:r>
            <w:r>
              <w:rPr>
                <w:rFonts w:ascii="Arial" w:hAnsi="Arial"/>
                <w:sz w:val="22"/>
              </w:rPr>
              <w:t xml:space="preserve"> (aucun praticien identifiable) ne sera pas soumis à la même procédure de retrait. À la place, un tel élément pourrait, sur la base des informations fournies dans le cadre d’un rapport périodique ou de quelque autre manière par l’État partie, faire partie d’une « banque de mémoire » relative aux deux Listes, où les informations concernant un tel élément seraient conservées sous la forme d’archives des Listes ; </w:t>
            </w:r>
          </w:p>
          <w:p w14:paraId="4DFBCACF" w14:textId="77777777" w:rsidR="005C4D0B" w:rsidRPr="00EC301D" w:rsidRDefault="005C4D0B" w:rsidP="005C4D0B">
            <w:pPr>
              <w:jc w:val="both"/>
              <w:rPr>
                <w:rFonts w:ascii="Arial" w:hAnsi="Arial" w:cs="Arial"/>
                <w:sz w:val="22"/>
                <w:szCs w:val="22"/>
              </w:rPr>
            </w:pPr>
          </w:p>
          <w:p w14:paraId="3030B3EE" w14:textId="0AC701E2" w:rsidR="00863BDC" w:rsidRPr="00B91293" w:rsidRDefault="3CF6E808" w:rsidP="00CD6FB7">
            <w:pPr>
              <w:pStyle w:val="Paragraphedeliste"/>
              <w:numPr>
                <w:ilvl w:val="0"/>
                <w:numId w:val="38"/>
              </w:numPr>
              <w:jc w:val="both"/>
              <w:rPr>
                <w:rFonts w:ascii="Arial" w:eastAsia="Arial" w:hAnsi="Arial" w:cs="Arial"/>
                <w:snapToGrid w:val="0"/>
                <w:sz w:val="22"/>
                <w:szCs w:val="22"/>
              </w:rPr>
            </w:pPr>
            <w:r>
              <w:rPr>
                <w:rFonts w:ascii="Arial" w:hAnsi="Arial"/>
                <w:sz w:val="22"/>
              </w:rPr>
              <w:t xml:space="preserve">Dans les cas d’inscriptions à la LR, la possibilité d’un </w:t>
            </w:r>
            <w:r>
              <w:rPr>
                <w:rFonts w:ascii="Arial" w:hAnsi="Arial"/>
                <w:b/>
                <w:sz w:val="22"/>
              </w:rPr>
              <w:t>transfert</w:t>
            </w:r>
            <w:r>
              <w:rPr>
                <w:rFonts w:ascii="Arial" w:hAnsi="Arial"/>
                <w:sz w:val="22"/>
              </w:rPr>
              <w:t xml:space="preserve"> à la LSU pourrait être envisagée si le niveau de viabilité de l’élément en question a considérablement diminué. Cependant, en ce qui concerne une éventuelle réflexion concernant une clause </w:t>
            </w:r>
            <w:r w:rsidR="00CA06D3">
              <w:rPr>
                <w:rFonts w:ascii="Arial" w:hAnsi="Arial"/>
                <w:sz w:val="22"/>
              </w:rPr>
              <w:t>d’extinction</w:t>
            </w:r>
            <w:r>
              <w:rPr>
                <w:rFonts w:ascii="Arial" w:hAnsi="Arial"/>
                <w:sz w:val="22"/>
              </w:rPr>
              <w:t xml:space="preserve"> en matière de rapport pour les inscriptions à la LR, les conclusions quant à son statut pourraient être limitées dans le temps, sur une période bien identifiée (par exemple dans les dix premières années suivant l’inscription) et non laissées ouvertes ; </w:t>
            </w:r>
          </w:p>
          <w:p w14:paraId="57736DB4" w14:textId="77777777" w:rsidR="00863BDC" w:rsidRPr="00EC301D" w:rsidRDefault="00863BDC" w:rsidP="00863BDC">
            <w:pPr>
              <w:pStyle w:val="Paragraphedeliste"/>
              <w:rPr>
                <w:rFonts w:ascii="Arial" w:hAnsi="Arial" w:cs="Arial"/>
                <w:sz w:val="22"/>
                <w:szCs w:val="22"/>
              </w:rPr>
            </w:pPr>
          </w:p>
          <w:p w14:paraId="2849070B" w14:textId="3B7FBC48" w:rsidR="00836827" w:rsidRPr="00B91293" w:rsidRDefault="4EC4A57A" w:rsidP="00CD6FB7">
            <w:pPr>
              <w:pStyle w:val="Paragraphedeliste"/>
              <w:numPr>
                <w:ilvl w:val="0"/>
                <w:numId w:val="38"/>
              </w:numPr>
              <w:jc w:val="both"/>
              <w:rPr>
                <w:rFonts w:ascii="Arial" w:hAnsi="Arial" w:cs="Arial"/>
                <w:snapToGrid w:val="0"/>
                <w:sz w:val="22"/>
                <w:szCs w:val="22"/>
              </w:rPr>
            </w:pPr>
            <w:r>
              <w:rPr>
                <w:rFonts w:ascii="Arial" w:hAnsi="Arial"/>
                <w:sz w:val="22"/>
              </w:rPr>
              <w:t xml:space="preserve">En cas de problèmes techniques, par exemple un manquement à la soumission des rapports périodiques ou autres problèmes, un retrait permanent ne saurait constituer une solution, et il pourrait à la place être envisagé la mise à disposition d’une </w:t>
            </w:r>
            <w:r>
              <w:rPr>
                <w:rFonts w:ascii="Arial" w:hAnsi="Arial"/>
                <w:b/>
                <w:sz w:val="22"/>
              </w:rPr>
              <w:t>assistance technique</w:t>
            </w:r>
            <w:r>
              <w:rPr>
                <w:rFonts w:ascii="Arial" w:hAnsi="Arial"/>
                <w:sz w:val="22"/>
              </w:rPr>
              <w:t>.</w:t>
            </w:r>
          </w:p>
          <w:p w14:paraId="38D90FCF" w14:textId="77777777" w:rsidR="00237E5E" w:rsidRPr="00EC301D" w:rsidRDefault="00237E5E" w:rsidP="00237E5E">
            <w:pPr>
              <w:rPr>
                <w:rFonts w:ascii="Arial" w:hAnsi="Arial" w:cs="Arial"/>
                <w:snapToGrid w:val="0"/>
                <w:sz w:val="22"/>
                <w:szCs w:val="22"/>
                <w:lang w:eastAsia="zh-CN"/>
              </w:rPr>
            </w:pPr>
          </w:p>
          <w:p w14:paraId="7A4053D5" w14:textId="77777777" w:rsidR="00237E5E" w:rsidRPr="00B91293" w:rsidRDefault="00237E5E" w:rsidP="00237E5E">
            <w:pPr>
              <w:rPr>
                <w:rFonts w:ascii="Arial" w:hAnsi="Arial" w:cs="Arial"/>
                <w:snapToGrid w:val="0"/>
                <w:sz w:val="22"/>
                <w:szCs w:val="22"/>
              </w:rPr>
            </w:pPr>
            <w:r>
              <w:rPr>
                <w:rFonts w:ascii="Arial" w:hAnsi="Arial"/>
                <w:snapToGrid w:val="0"/>
                <w:sz w:val="22"/>
              </w:rPr>
              <w:t>Dans le même temps, il convient de tenir compte des éléments suivants :</w:t>
            </w:r>
          </w:p>
          <w:p w14:paraId="10DD1834" w14:textId="77777777" w:rsidR="00237E5E" w:rsidRPr="00EC301D" w:rsidRDefault="00237E5E" w:rsidP="00237E5E">
            <w:pPr>
              <w:rPr>
                <w:rFonts w:ascii="Arial" w:hAnsi="Arial" w:cs="Arial"/>
                <w:snapToGrid w:val="0"/>
                <w:sz w:val="22"/>
                <w:szCs w:val="22"/>
                <w:lang w:eastAsia="zh-CN"/>
              </w:rPr>
            </w:pPr>
          </w:p>
          <w:p w14:paraId="295EFD58" w14:textId="39AF30D2" w:rsidR="0039157A" w:rsidRPr="00B91293" w:rsidRDefault="04262DFF" w:rsidP="00CD6FB7">
            <w:pPr>
              <w:pStyle w:val="Paragraphedeliste"/>
              <w:numPr>
                <w:ilvl w:val="0"/>
                <w:numId w:val="38"/>
              </w:numPr>
              <w:jc w:val="both"/>
              <w:rPr>
                <w:rFonts w:ascii="Arial" w:hAnsi="Arial" w:cs="Arial"/>
                <w:snapToGrid w:val="0"/>
                <w:sz w:val="22"/>
                <w:szCs w:val="22"/>
              </w:rPr>
            </w:pPr>
            <w:r>
              <w:rPr>
                <w:rFonts w:ascii="Arial" w:hAnsi="Arial"/>
                <w:sz w:val="22"/>
              </w:rPr>
              <w:t xml:space="preserve">Un retrait de la Liste est susceptible de </w:t>
            </w:r>
            <w:r>
              <w:rPr>
                <w:rFonts w:ascii="Arial" w:hAnsi="Arial"/>
                <w:b/>
                <w:sz w:val="22"/>
              </w:rPr>
              <w:t xml:space="preserve">nuire </w:t>
            </w:r>
            <w:r>
              <w:rPr>
                <w:rFonts w:ascii="Arial" w:hAnsi="Arial"/>
                <w:sz w:val="22"/>
              </w:rPr>
              <w:t>aux communautés concernées, pour lesquelles il pourrait s’avérer difficile de comprendre les raisons d’un tel retrait de l’élément, et d’accepter une telle décision. L’établissement d’un processus clair et transparent en matière de prise de décision de retrait est essentiel pour assurer l’intégrité d’une telle décision, veiller au bon partage des informations, et communiquer avec la communauté si cela s’avère nécessaire. Il convient notamment de tenir compte de la langue de rédaction des décisions afin de limiter tout effet punitif éventuel pour les communautés ;</w:t>
            </w:r>
          </w:p>
          <w:p w14:paraId="2146F423" w14:textId="77777777" w:rsidR="00025F08" w:rsidRPr="00EC301D" w:rsidRDefault="00025F08" w:rsidP="00025F08">
            <w:pPr>
              <w:rPr>
                <w:rFonts w:ascii="Arial" w:hAnsi="Arial" w:cs="Arial"/>
                <w:snapToGrid w:val="0"/>
                <w:sz w:val="22"/>
                <w:szCs w:val="22"/>
                <w:lang w:eastAsia="zh-CN"/>
              </w:rPr>
            </w:pPr>
          </w:p>
          <w:p w14:paraId="1A0F145D" w14:textId="1A4E8B2C" w:rsidR="5D11B1AF" w:rsidRPr="00B91293" w:rsidRDefault="002859ED" w:rsidP="00CD6FB7">
            <w:pPr>
              <w:pStyle w:val="Paragraphedeliste"/>
              <w:numPr>
                <w:ilvl w:val="0"/>
                <w:numId w:val="38"/>
              </w:numPr>
              <w:jc w:val="both"/>
              <w:rPr>
                <w:rFonts w:ascii="Arial" w:hAnsi="Arial" w:cs="Arial"/>
                <w:snapToGrid w:val="0"/>
                <w:sz w:val="22"/>
                <w:szCs w:val="22"/>
              </w:rPr>
            </w:pPr>
            <w:r>
              <w:rPr>
                <w:rFonts w:ascii="Arial" w:hAnsi="Arial"/>
                <w:sz w:val="22"/>
              </w:rPr>
              <w:lastRenderedPageBreak/>
              <w:t xml:space="preserve">Les communautés concernées pouvant être hétérogènes, celles-ci peuvent abriter </w:t>
            </w:r>
            <w:r>
              <w:rPr>
                <w:rFonts w:ascii="Arial" w:hAnsi="Arial"/>
                <w:b/>
                <w:sz w:val="22"/>
              </w:rPr>
              <w:t>différents points de vue</w:t>
            </w:r>
            <w:r>
              <w:rPr>
                <w:rFonts w:ascii="Arial" w:hAnsi="Arial"/>
                <w:sz w:val="22"/>
              </w:rPr>
              <w:t xml:space="preserve"> en leur sein. C’est pourquoi le ou les mécanismes de communication à établir doivent permettre de faciliter les possibilités d’écoute de points de vue divergents ;</w:t>
            </w:r>
          </w:p>
          <w:p w14:paraId="4AAB15F6" w14:textId="77777777" w:rsidR="00025F08" w:rsidRPr="00EC301D" w:rsidRDefault="00025F08" w:rsidP="00025F08">
            <w:pPr>
              <w:jc w:val="both"/>
              <w:rPr>
                <w:rFonts w:ascii="Arial" w:hAnsi="Arial" w:cs="Arial"/>
                <w:snapToGrid w:val="0"/>
                <w:sz w:val="22"/>
                <w:szCs w:val="22"/>
                <w:lang w:eastAsia="zh-CN"/>
              </w:rPr>
            </w:pPr>
          </w:p>
          <w:p w14:paraId="5FFDC96C" w14:textId="10F0A9DB" w:rsidR="5E4984A2" w:rsidRPr="00B91293" w:rsidRDefault="71299FF5" w:rsidP="00CD6FB7">
            <w:pPr>
              <w:pStyle w:val="Paragraphedeliste"/>
              <w:numPr>
                <w:ilvl w:val="0"/>
                <w:numId w:val="38"/>
              </w:numPr>
              <w:jc w:val="both"/>
              <w:rPr>
                <w:rFonts w:ascii="Arial" w:eastAsia="Arial" w:hAnsi="Arial" w:cs="Arial"/>
                <w:sz w:val="22"/>
                <w:szCs w:val="22"/>
              </w:rPr>
            </w:pPr>
            <w:r>
              <w:rPr>
                <w:rFonts w:ascii="Arial" w:hAnsi="Arial"/>
                <w:sz w:val="22"/>
              </w:rPr>
              <w:t xml:space="preserve">Les </w:t>
            </w:r>
            <w:r>
              <w:rPr>
                <w:rFonts w:ascii="Arial" w:hAnsi="Arial"/>
                <w:b/>
                <w:sz w:val="22"/>
              </w:rPr>
              <w:t>principes éthiques</w:t>
            </w:r>
            <w:r>
              <w:rPr>
                <w:rFonts w:ascii="Arial" w:hAnsi="Arial"/>
                <w:sz w:val="22"/>
              </w:rPr>
              <w:t xml:space="preserve"> sous-tendant la sauvegarde du patrimoine culturel immatériel (ci-après dénommés les « Principes éthiques ») doivent également être respectés et suivis lorsqu’il s’agit d’envisager le retrait éventuel d’un élément ; </w:t>
            </w:r>
          </w:p>
          <w:p w14:paraId="0C396153" w14:textId="77777777" w:rsidR="001E0AE2" w:rsidRPr="00EC301D" w:rsidRDefault="001E0AE2" w:rsidP="001E0AE2">
            <w:pPr>
              <w:pStyle w:val="Paragraphedeliste"/>
              <w:rPr>
                <w:rFonts w:ascii="Arial" w:eastAsia="Arial" w:hAnsi="Arial" w:cs="Arial"/>
                <w:sz w:val="22"/>
                <w:szCs w:val="22"/>
              </w:rPr>
            </w:pPr>
          </w:p>
          <w:p w14:paraId="75CEC572" w14:textId="0F9FE8E3" w:rsidR="001E0AE2" w:rsidRPr="00B91293" w:rsidRDefault="001E0AE2" w:rsidP="00CD6FB7">
            <w:pPr>
              <w:pStyle w:val="Paragraphedeliste"/>
              <w:numPr>
                <w:ilvl w:val="0"/>
                <w:numId w:val="38"/>
              </w:numPr>
              <w:jc w:val="both"/>
              <w:rPr>
                <w:rFonts w:ascii="Arial" w:eastAsia="Arial" w:hAnsi="Arial" w:cs="Arial"/>
                <w:sz w:val="22"/>
                <w:szCs w:val="22"/>
              </w:rPr>
            </w:pPr>
            <w:r>
              <w:rPr>
                <w:rFonts w:ascii="Arial" w:hAnsi="Arial"/>
                <w:snapToGrid w:val="0"/>
                <w:sz w:val="22"/>
              </w:rPr>
              <w:t xml:space="preserve">L’usage d’une ou plusieurs </w:t>
            </w:r>
            <w:r>
              <w:rPr>
                <w:rFonts w:ascii="Arial" w:hAnsi="Arial"/>
                <w:b/>
                <w:snapToGrid w:val="0"/>
                <w:sz w:val="22"/>
              </w:rPr>
              <w:t>langues</w:t>
            </w:r>
            <w:r>
              <w:rPr>
                <w:rFonts w:ascii="Arial" w:hAnsi="Arial"/>
                <w:snapToGrid w:val="0"/>
                <w:sz w:val="22"/>
              </w:rPr>
              <w:t xml:space="preserve"> locales/indigènes au sein de la communauté concernée est également important dans le cadre des procédures de retrait à l’initiative de tiers. Dans de tels cas, il conviendra de traduire les demandes de retrait dans la ou les langues locales/</w:t>
            </w:r>
            <w:r w:rsidR="00CA06D3">
              <w:rPr>
                <w:rFonts w:ascii="Arial" w:hAnsi="Arial"/>
                <w:snapToGrid w:val="0"/>
                <w:sz w:val="22"/>
              </w:rPr>
              <w:t xml:space="preserve">autochtones </w:t>
            </w:r>
            <w:r>
              <w:rPr>
                <w:rFonts w:ascii="Arial" w:hAnsi="Arial"/>
                <w:snapToGrid w:val="0"/>
                <w:sz w:val="22"/>
              </w:rPr>
              <w:t>concernées ;</w:t>
            </w:r>
          </w:p>
          <w:p w14:paraId="3795880A" w14:textId="77777777" w:rsidR="00321DF8" w:rsidRPr="00EC301D" w:rsidRDefault="00321DF8" w:rsidP="009E6C2A">
            <w:pPr>
              <w:pStyle w:val="Paragraphedeliste"/>
              <w:rPr>
                <w:rFonts w:ascii="Arial" w:hAnsi="Arial" w:cs="Arial"/>
                <w:snapToGrid w:val="0"/>
                <w:sz w:val="22"/>
                <w:szCs w:val="22"/>
                <w:lang w:eastAsia="zh-CN"/>
              </w:rPr>
            </w:pPr>
          </w:p>
          <w:p w14:paraId="42B6604A" w14:textId="04B5FF45" w:rsidR="00AD4F7A" w:rsidRPr="00B91293" w:rsidRDefault="1F758946" w:rsidP="00CD6FB7">
            <w:pPr>
              <w:pStyle w:val="Paragraphedeliste"/>
              <w:numPr>
                <w:ilvl w:val="0"/>
                <w:numId w:val="38"/>
              </w:numPr>
              <w:jc w:val="both"/>
              <w:rPr>
                <w:rFonts w:ascii="Arial" w:hAnsi="Arial" w:cs="Arial"/>
                <w:snapToGrid w:val="0"/>
                <w:sz w:val="22"/>
                <w:szCs w:val="22"/>
              </w:rPr>
            </w:pPr>
            <w:r>
              <w:rPr>
                <w:rFonts w:ascii="Arial" w:hAnsi="Arial"/>
                <w:sz w:val="22"/>
              </w:rPr>
              <w:t xml:space="preserve">Bien qu’un tel aspect n’ait pas fait l’objet d’une demande de prise en compte, la question d’un retrait éventuel du </w:t>
            </w:r>
            <w:r w:rsidR="00762408">
              <w:rPr>
                <w:rFonts w:ascii="Arial" w:hAnsi="Arial"/>
                <w:b/>
                <w:sz w:val="22"/>
              </w:rPr>
              <w:t xml:space="preserve">Registre des </w:t>
            </w:r>
            <w:r w:rsidR="0004121E">
              <w:rPr>
                <w:rFonts w:ascii="Arial" w:hAnsi="Arial"/>
                <w:b/>
                <w:sz w:val="22"/>
              </w:rPr>
              <w:t>bonnes</w:t>
            </w:r>
            <w:r>
              <w:rPr>
                <w:rFonts w:ascii="Arial" w:hAnsi="Arial"/>
                <w:b/>
                <w:sz w:val="22"/>
              </w:rPr>
              <w:t xml:space="preserve"> pratiques de sauvegarde </w:t>
            </w:r>
            <w:r>
              <w:rPr>
                <w:rFonts w:ascii="Arial" w:hAnsi="Arial"/>
                <w:sz w:val="22"/>
              </w:rPr>
              <w:t xml:space="preserve">a été soulevée. Cette question demeure ouverte quant au fait de savoir s’il est utile de l’envisager. Si tel est le cas, il deviendrait très important de disposer d’une </w:t>
            </w:r>
            <w:r>
              <w:rPr>
                <w:rFonts w:ascii="Arial" w:hAnsi="Arial"/>
                <w:b/>
                <w:sz w:val="22"/>
              </w:rPr>
              <w:t>archive</w:t>
            </w:r>
            <w:r>
              <w:rPr>
                <w:rFonts w:ascii="Arial" w:hAnsi="Arial"/>
                <w:sz w:val="22"/>
              </w:rPr>
              <w:t xml:space="preserve"> des pratiques de sauvegarde, reconnue</w:t>
            </w:r>
            <w:r w:rsidR="00CA06D3">
              <w:rPr>
                <w:rFonts w:ascii="Arial" w:hAnsi="Arial"/>
                <w:sz w:val="22"/>
              </w:rPr>
              <w:t>s</w:t>
            </w:r>
            <w:r>
              <w:rPr>
                <w:rFonts w:ascii="Arial" w:hAnsi="Arial"/>
                <w:sz w:val="22"/>
              </w:rPr>
              <w:t xml:space="preserve"> en vertu de la Convention en place, afin de veiller à la conservation des connaissances partagées. </w:t>
            </w:r>
          </w:p>
          <w:p w14:paraId="44FDF364" w14:textId="77777777" w:rsidR="00C76C0E" w:rsidRPr="00EC301D" w:rsidRDefault="00C76C0E" w:rsidP="008C4A91">
            <w:pPr>
              <w:rPr>
                <w:rFonts w:ascii="Arial" w:hAnsi="Arial" w:cs="Arial"/>
                <w:snapToGrid w:val="0"/>
                <w:sz w:val="22"/>
                <w:szCs w:val="22"/>
                <w:lang w:eastAsia="zh-CN"/>
              </w:rPr>
            </w:pPr>
          </w:p>
          <w:p w14:paraId="6133525F" w14:textId="77777777" w:rsidR="008F2EE7" w:rsidRPr="00B91293" w:rsidRDefault="008F2EE7" w:rsidP="008C4A91">
            <w:pPr>
              <w:rPr>
                <w:rFonts w:ascii="Arial" w:hAnsi="Arial" w:cs="Arial"/>
                <w:snapToGrid w:val="0"/>
                <w:sz w:val="22"/>
                <w:szCs w:val="22"/>
              </w:rPr>
            </w:pPr>
            <w:r>
              <w:rPr>
                <w:rFonts w:ascii="Arial" w:hAnsi="Arial"/>
                <w:snapToGrid w:val="0"/>
                <w:sz w:val="22"/>
              </w:rPr>
              <w:t>Annexe</w:t>
            </w:r>
          </w:p>
          <w:p w14:paraId="5CA8C741" w14:textId="77777777" w:rsidR="008F2EE7" w:rsidRPr="00EC301D" w:rsidRDefault="008F2EE7" w:rsidP="008C4A91">
            <w:pPr>
              <w:rPr>
                <w:rFonts w:ascii="Arial" w:hAnsi="Arial" w:cs="Arial"/>
                <w:snapToGrid w:val="0"/>
                <w:sz w:val="22"/>
                <w:szCs w:val="22"/>
                <w:lang w:eastAsia="zh-CN"/>
              </w:rPr>
            </w:pPr>
          </w:p>
          <w:p w14:paraId="51F0E586" w14:textId="092285F9" w:rsidR="008F2EE7" w:rsidRPr="00B91293" w:rsidRDefault="008F2EE7" w:rsidP="008F2EE7">
            <w:pPr>
              <w:pStyle w:val="Paragraphedeliste"/>
              <w:ind w:left="27"/>
              <w:jc w:val="both"/>
              <w:rPr>
                <w:rFonts w:ascii="Arial" w:hAnsi="Arial" w:cs="Arial"/>
                <w:snapToGrid w:val="0"/>
                <w:sz w:val="22"/>
                <w:szCs w:val="22"/>
              </w:rPr>
            </w:pPr>
            <w:r>
              <w:rPr>
                <w:rFonts w:ascii="Arial" w:hAnsi="Arial"/>
                <w:snapToGrid w:val="0"/>
                <w:sz w:val="22"/>
              </w:rPr>
              <w:t xml:space="preserve">Il convient d’envisager les étapes suivantes dans le cadre de l’organisation d’une </w:t>
            </w:r>
            <w:r>
              <w:rPr>
                <w:rFonts w:ascii="Arial" w:hAnsi="Arial"/>
                <w:b/>
                <w:snapToGrid w:val="0"/>
                <w:sz w:val="22"/>
              </w:rPr>
              <w:t>Mission de consultation</w:t>
            </w:r>
            <w:r>
              <w:rPr>
                <w:rFonts w:ascii="Arial" w:hAnsi="Arial"/>
                <w:snapToGrid w:val="0"/>
                <w:sz w:val="22"/>
              </w:rPr>
              <w:t> :</w:t>
            </w:r>
          </w:p>
          <w:p w14:paraId="21A22883" w14:textId="77777777" w:rsidR="008F2EE7" w:rsidRPr="00EC301D" w:rsidRDefault="008F2EE7" w:rsidP="008F2EE7">
            <w:pPr>
              <w:pStyle w:val="Paragraphedeliste"/>
              <w:ind w:left="27"/>
              <w:rPr>
                <w:rFonts w:ascii="Arial" w:hAnsi="Arial" w:cs="Arial"/>
                <w:snapToGrid w:val="0"/>
                <w:sz w:val="22"/>
                <w:szCs w:val="22"/>
                <w:lang w:eastAsia="zh-CN"/>
              </w:rPr>
            </w:pPr>
          </w:p>
          <w:p w14:paraId="64F8F378" w14:textId="7A02BED5" w:rsidR="008F2EE7" w:rsidRPr="00B91293" w:rsidRDefault="008F2EE7" w:rsidP="003F5E7F">
            <w:pPr>
              <w:pStyle w:val="Paragraphedeliste"/>
              <w:numPr>
                <w:ilvl w:val="0"/>
                <w:numId w:val="44"/>
              </w:numPr>
              <w:jc w:val="both"/>
              <w:rPr>
                <w:rFonts w:ascii="Arial" w:hAnsi="Arial" w:cs="Arial"/>
                <w:snapToGrid w:val="0"/>
                <w:sz w:val="22"/>
                <w:szCs w:val="22"/>
              </w:rPr>
            </w:pPr>
            <w:r>
              <w:rPr>
                <w:rFonts w:ascii="Arial" w:hAnsi="Arial"/>
                <w:sz w:val="22"/>
              </w:rPr>
              <w:t xml:space="preserve">Le Secrétariat reçoit des informations concernant la possibilité qu’un élément ou une pratique de sauvegarde inscrit(e) enfreigne des valeurs, cibles et objectifs de la Convention. </w:t>
            </w:r>
          </w:p>
          <w:p w14:paraId="3DA1202E" w14:textId="77777777" w:rsidR="008F2EE7" w:rsidRPr="00EC301D" w:rsidRDefault="008F2EE7" w:rsidP="003F5E7F">
            <w:pPr>
              <w:pStyle w:val="Paragraphedeliste"/>
              <w:ind w:left="31"/>
              <w:jc w:val="both"/>
              <w:rPr>
                <w:rFonts w:ascii="Arial" w:hAnsi="Arial" w:cs="Arial"/>
                <w:snapToGrid w:val="0"/>
                <w:sz w:val="22"/>
                <w:szCs w:val="22"/>
                <w:lang w:eastAsia="zh-CN"/>
              </w:rPr>
            </w:pPr>
          </w:p>
          <w:p w14:paraId="695C5987" w14:textId="40DDA2C1" w:rsidR="008F2EE7" w:rsidRPr="00B91293" w:rsidRDefault="008F2EE7" w:rsidP="003F5E7F">
            <w:pPr>
              <w:pStyle w:val="Paragraphedeliste"/>
              <w:numPr>
                <w:ilvl w:val="0"/>
                <w:numId w:val="44"/>
              </w:numPr>
              <w:jc w:val="both"/>
              <w:rPr>
                <w:rFonts w:ascii="Arial" w:hAnsi="Arial" w:cs="Arial"/>
                <w:snapToGrid w:val="0"/>
                <w:sz w:val="22"/>
                <w:szCs w:val="22"/>
              </w:rPr>
            </w:pPr>
            <w:r>
              <w:rPr>
                <w:rFonts w:ascii="Arial" w:hAnsi="Arial"/>
                <w:sz w:val="22"/>
              </w:rPr>
              <w:t>Le Secrétariat prépare une note sur la base des informations reçues (si l’informateur souhaite rester anonyme) ou transmet la correspondance reçue (si l’informateur consent à être connu du public) aux communautés concernées (personne de contact du dossier de candidature) et à l’État partie concerné. Le Secrétariat demande aux communautés et à l’État partie concernés de préparer une réponse écrite aux allégations reçues. Une fois la réponse transmise au Secrétariat, tous les documents sont transférés aux membres du Comité ;</w:t>
            </w:r>
          </w:p>
          <w:p w14:paraId="16E38190" w14:textId="77777777" w:rsidR="008F2EE7" w:rsidRPr="00EC301D" w:rsidRDefault="008F2EE7" w:rsidP="003F5E7F">
            <w:pPr>
              <w:pStyle w:val="Paragraphedeliste"/>
              <w:ind w:left="31"/>
              <w:rPr>
                <w:rFonts w:ascii="Arial" w:hAnsi="Arial" w:cs="Arial"/>
                <w:sz w:val="22"/>
                <w:szCs w:val="22"/>
                <w:lang w:eastAsia="pl-PL"/>
              </w:rPr>
            </w:pPr>
          </w:p>
          <w:p w14:paraId="30EE2BE8" w14:textId="5900E762" w:rsidR="008F2EE7" w:rsidRPr="00B91293" w:rsidRDefault="008F2EE7" w:rsidP="003F5E7F">
            <w:pPr>
              <w:pStyle w:val="Paragraphedeliste"/>
              <w:numPr>
                <w:ilvl w:val="0"/>
                <w:numId w:val="44"/>
              </w:numPr>
              <w:jc w:val="both"/>
              <w:rPr>
                <w:rFonts w:ascii="Arial" w:hAnsi="Arial" w:cs="Arial"/>
                <w:snapToGrid w:val="0"/>
                <w:sz w:val="22"/>
                <w:szCs w:val="22"/>
              </w:rPr>
            </w:pPr>
            <w:r>
              <w:rPr>
                <w:rFonts w:ascii="Arial" w:hAnsi="Arial"/>
                <w:sz w:val="22"/>
              </w:rPr>
              <w:t xml:space="preserve">Lors de sa session suivante, le Comité peut décider que les informations reçues sont suffisantes et laisser le cas en l’état sans entreprendre d’étapes supplémentaires, ou bien il peut décider que la correspondance reçue révèle des questions sérieuses et prend des mesures afin de modifier le statut d’un élément ou d’une pratique, qui devient alors « sous surveillance ». Dans ce cas, le Comité décide de demander aux communautés et à l’État partie concernés d’initier une « Mission de consultation » afin de préparer un rapport pour le Comité sur la base d’observations de terrain au moment de l’exécution de l’élément ou de la pratique, tout en respectant </w:t>
            </w:r>
            <w:r>
              <w:rPr>
                <w:rFonts w:ascii="Arial" w:hAnsi="Arial"/>
                <w:sz w:val="22"/>
                <w:shd w:val="clear" w:color="auto" w:fill="FFFFFF"/>
              </w:rPr>
              <w:t>les pratiques coutumières régissant l’accès aux aspects spécifiques d’un tel patrimoine ;</w:t>
            </w:r>
          </w:p>
          <w:p w14:paraId="5B6186CF" w14:textId="77777777" w:rsidR="008F2EE7" w:rsidRPr="00EC301D" w:rsidRDefault="008F2EE7" w:rsidP="003F5E7F">
            <w:pPr>
              <w:ind w:left="31"/>
              <w:rPr>
                <w:rFonts w:ascii="Arial" w:hAnsi="Arial" w:cs="Arial"/>
                <w:sz w:val="22"/>
                <w:szCs w:val="22"/>
                <w:lang w:eastAsia="pl-PL"/>
              </w:rPr>
            </w:pPr>
          </w:p>
          <w:p w14:paraId="477D89AB" w14:textId="550EB363" w:rsidR="008F2EE7" w:rsidRPr="00B91293" w:rsidRDefault="008F2EE7" w:rsidP="003F5E7F">
            <w:pPr>
              <w:pStyle w:val="Paragraphedeliste"/>
              <w:numPr>
                <w:ilvl w:val="0"/>
                <w:numId w:val="44"/>
              </w:numPr>
              <w:jc w:val="both"/>
              <w:rPr>
                <w:rFonts w:ascii="Arial" w:hAnsi="Arial" w:cs="Arial"/>
                <w:snapToGrid w:val="0"/>
                <w:sz w:val="22"/>
                <w:szCs w:val="22"/>
              </w:rPr>
            </w:pPr>
            <w:r>
              <w:rPr>
                <w:rFonts w:ascii="Arial" w:hAnsi="Arial"/>
                <w:sz w:val="22"/>
              </w:rPr>
              <w:t>La composition de la Mission de consultation peut inclure : un membre du</w:t>
            </w:r>
            <w:r w:rsidR="00762408">
              <w:rPr>
                <w:rFonts w:ascii="Arial" w:hAnsi="Arial"/>
                <w:sz w:val="22"/>
              </w:rPr>
              <w:t xml:space="preserve"> Secrétariat, des membres de l’O</w:t>
            </w:r>
            <w:r>
              <w:rPr>
                <w:rFonts w:ascii="Arial" w:hAnsi="Arial"/>
                <w:sz w:val="22"/>
              </w:rPr>
              <w:t xml:space="preserve">rgane d’évaluation de la région de l’élément sous surveillance (un expert gouvernemental d’un État partie </w:t>
            </w:r>
            <w:r w:rsidR="003F29FF">
              <w:rPr>
                <w:rFonts w:ascii="Arial" w:hAnsi="Arial"/>
                <w:sz w:val="22"/>
              </w:rPr>
              <w:t>non-membre</w:t>
            </w:r>
            <w:r>
              <w:rPr>
                <w:rFonts w:ascii="Arial" w:hAnsi="Arial"/>
                <w:sz w:val="22"/>
              </w:rPr>
              <w:t xml:space="preserve"> du Comité et un représentant d’une ONG agréée dans la région), ou d’autres experts choisis par le Comité. Les experts participant à de telles missions ne seront pas originaires du ou des pays où est pratiqué l’élément du PCI ;</w:t>
            </w:r>
          </w:p>
          <w:p w14:paraId="36173020" w14:textId="77777777" w:rsidR="008F2EE7" w:rsidRPr="00EC301D" w:rsidRDefault="008F2EE7" w:rsidP="003F5E7F">
            <w:pPr>
              <w:pStyle w:val="Paragraphedeliste"/>
              <w:ind w:left="31"/>
              <w:rPr>
                <w:rFonts w:ascii="Arial" w:hAnsi="Arial" w:cs="Arial"/>
                <w:sz w:val="22"/>
                <w:szCs w:val="22"/>
                <w:lang w:eastAsia="pl-PL"/>
              </w:rPr>
            </w:pPr>
          </w:p>
          <w:p w14:paraId="0A9809B8" w14:textId="77777777" w:rsidR="00435431" w:rsidRPr="00B91293" w:rsidRDefault="008F2EE7" w:rsidP="003F5E7F">
            <w:pPr>
              <w:pStyle w:val="Paragraphedeliste"/>
              <w:numPr>
                <w:ilvl w:val="0"/>
                <w:numId w:val="44"/>
              </w:numPr>
              <w:jc w:val="both"/>
              <w:rPr>
                <w:rFonts w:ascii="Arial" w:hAnsi="Arial" w:cs="Arial"/>
                <w:snapToGrid w:val="0"/>
                <w:sz w:val="22"/>
                <w:szCs w:val="22"/>
              </w:rPr>
            </w:pPr>
            <w:r>
              <w:rPr>
                <w:rFonts w:ascii="Arial" w:hAnsi="Arial"/>
                <w:sz w:val="22"/>
              </w:rPr>
              <w:lastRenderedPageBreak/>
              <w:t xml:space="preserve">La Mission de consultation prépare un rapport au Comité, qu’il examinera au cours de la session suivante. Un tel rapport peut inclure des suggestions sur d’autres mesures pouvant être prises en compte avant la décision de retrait, comme par exemple une procédure de réconciliation ou de médiation sur le terrain, une sensibilisation auprès des informateurs et des communautés concernées au sujet des valeurs, cibles et objectifs de la Convention, etc. ; </w:t>
            </w:r>
          </w:p>
          <w:p w14:paraId="05B980C2" w14:textId="77777777" w:rsidR="00435431" w:rsidRPr="00EC301D" w:rsidRDefault="00435431" w:rsidP="003F5E7F">
            <w:pPr>
              <w:pStyle w:val="Paragraphedeliste"/>
              <w:ind w:left="31"/>
              <w:rPr>
                <w:rFonts w:ascii="Arial" w:hAnsi="Arial" w:cs="Arial"/>
                <w:sz w:val="22"/>
                <w:szCs w:val="22"/>
                <w:lang w:eastAsia="pl-PL"/>
              </w:rPr>
            </w:pPr>
          </w:p>
          <w:p w14:paraId="7570C338" w14:textId="627EF315" w:rsidR="008F2EE7" w:rsidRPr="00B91293" w:rsidRDefault="008F2EE7" w:rsidP="003F5E7F">
            <w:pPr>
              <w:pStyle w:val="Paragraphedeliste"/>
              <w:numPr>
                <w:ilvl w:val="0"/>
                <w:numId w:val="44"/>
              </w:numPr>
              <w:jc w:val="both"/>
              <w:rPr>
                <w:rFonts w:ascii="Arial" w:hAnsi="Arial" w:cs="Arial"/>
                <w:snapToGrid w:val="0"/>
                <w:sz w:val="22"/>
                <w:szCs w:val="22"/>
              </w:rPr>
            </w:pPr>
            <w:r>
              <w:rPr>
                <w:rFonts w:ascii="Arial" w:hAnsi="Arial"/>
                <w:sz w:val="22"/>
              </w:rPr>
              <w:t xml:space="preserve">Sur la base du rapport, le Comité décide : (a) de supprimer le statut « sous surveillance » de l’élément si le rapport démontre l’absence de toute infraction (grave) à la Convention, (b) d’inviter les communautés et l’État </w:t>
            </w:r>
            <w:proofErr w:type="gramStart"/>
            <w:r>
              <w:rPr>
                <w:rFonts w:ascii="Arial" w:hAnsi="Arial"/>
                <w:sz w:val="22"/>
              </w:rPr>
              <w:t>partie concernés</w:t>
            </w:r>
            <w:proofErr w:type="gramEnd"/>
            <w:r>
              <w:rPr>
                <w:rFonts w:ascii="Arial" w:hAnsi="Arial"/>
                <w:sz w:val="22"/>
              </w:rPr>
              <w:t xml:space="preserve"> à établir des mesures de réconciliation ou de médiation selon un calendrier prédéfini, ou (c) de retirer l’élément de la Liste.</w:t>
            </w:r>
          </w:p>
          <w:p w14:paraId="232AF031" w14:textId="67DBC711" w:rsidR="008F2EE7" w:rsidRPr="00EC301D" w:rsidRDefault="008F2EE7" w:rsidP="008F2EE7">
            <w:pPr>
              <w:rPr>
                <w:rFonts w:ascii="Arial" w:hAnsi="Arial" w:cs="Arial"/>
                <w:snapToGrid w:val="0"/>
                <w:sz w:val="22"/>
                <w:szCs w:val="22"/>
                <w:lang w:eastAsia="zh-CN"/>
              </w:rPr>
            </w:pPr>
          </w:p>
        </w:tc>
      </w:tr>
    </w:tbl>
    <w:p w14:paraId="7FB308BC" w14:textId="77777777" w:rsidR="006A77F4" w:rsidRPr="00EC301D" w:rsidRDefault="006A77F4" w:rsidP="00237E5E">
      <w:pPr>
        <w:rPr>
          <w:rFonts w:eastAsiaTheme="minorHAnsi"/>
          <w:b/>
          <w:lang w:eastAsia="en-US"/>
        </w:rPr>
      </w:pPr>
    </w:p>
    <w:p w14:paraId="23B82C33" w14:textId="5CE6074D" w:rsidR="00237E5E" w:rsidRPr="00B91293" w:rsidRDefault="00237E5E" w:rsidP="00237E5E">
      <w:pPr>
        <w:rPr>
          <w:rFonts w:eastAsiaTheme="minorHAnsi"/>
          <w:b/>
        </w:rPr>
      </w:pPr>
      <w:r>
        <w:br w:type="page"/>
      </w:r>
    </w:p>
    <w:tbl>
      <w:tblPr>
        <w:tblStyle w:val="Grilledutableau"/>
        <w:tblW w:w="0" w:type="auto"/>
        <w:tblInd w:w="562" w:type="dxa"/>
        <w:tblLook w:val="04A0" w:firstRow="1" w:lastRow="0" w:firstColumn="1" w:lastColumn="0" w:noHBand="0" w:noVBand="1"/>
      </w:tblPr>
      <w:tblGrid>
        <w:gridCol w:w="9066"/>
      </w:tblGrid>
      <w:tr w:rsidR="00B91293" w:rsidRPr="00B91293" w14:paraId="617263A0" w14:textId="77777777" w:rsidTr="2D5C0E44">
        <w:trPr>
          <w:trHeight w:hRule="exact" w:val="737"/>
        </w:trPr>
        <w:tc>
          <w:tcPr>
            <w:tcW w:w="9066" w:type="dxa"/>
            <w:shd w:val="clear" w:color="auto" w:fill="F2F2F2" w:themeFill="background1" w:themeFillShade="F2"/>
            <w:vAlign w:val="center"/>
          </w:tcPr>
          <w:p w14:paraId="7F93BACE" w14:textId="5BE10714" w:rsidR="00237E5E" w:rsidRPr="00B91293" w:rsidRDefault="00571480" w:rsidP="00237E5E">
            <w:pPr>
              <w:jc w:val="center"/>
              <w:rPr>
                <w:rFonts w:asciiTheme="minorBidi" w:eastAsiaTheme="minorHAnsi" w:hAnsiTheme="minorBidi" w:cstheme="minorBidi"/>
                <w:b/>
                <w:bCs/>
                <w:sz w:val="32"/>
                <w:szCs w:val="32"/>
              </w:rPr>
            </w:pPr>
            <w:r>
              <w:rPr>
                <w:rFonts w:asciiTheme="minorBidi" w:hAnsiTheme="minorBidi"/>
                <w:b/>
                <w:sz w:val="32"/>
              </w:rPr>
              <w:lastRenderedPageBreak/>
              <w:t>13. Transfert d’un élément d’une Liste à l’autre</w:t>
            </w:r>
          </w:p>
        </w:tc>
      </w:tr>
      <w:tr w:rsidR="00237E5E" w:rsidRPr="00B91293" w14:paraId="7A976C7A" w14:textId="77777777" w:rsidTr="2D5C0E44">
        <w:trPr>
          <w:trHeight w:val="566"/>
        </w:trPr>
        <w:tc>
          <w:tcPr>
            <w:tcW w:w="9066" w:type="dxa"/>
          </w:tcPr>
          <w:p w14:paraId="7C64D573" w14:textId="77777777" w:rsidR="00237E5E" w:rsidRPr="00EC301D" w:rsidRDefault="00237E5E" w:rsidP="001650E7">
            <w:pPr>
              <w:rPr>
                <w:rFonts w:ascii="Arial" w:hAnsi="Arial" w:cs="Arial"/>
                <w:snapToGrid w:val="0"/>
                <w:sz w:val="22"/>
                <w:szCs w:val="22"/>
                <w:lang w:eastAsia="zh-CN"/>
              </w:rPr>
            </w:pPr>
          </w:p>
          <w:p w14:paraId="435DA54C" w14:textId="195CA1F0" w:rsidR="00237E5E" w:rsidRPr="00B91293" w:rsidRDefault="00237E5E" w:rsidP="001650E7">
            <w:pPr>
              <w:rPr>
                <w:rFonts w:ascii="Arial" w:hAnsi="Arial" w:cs="Arial"/>
                <w:snapToGrid w:val="0"/>
                <w:sz w:val="22"/>
                <w:szCs w:val="22"/>
              </w:rPr>
            </w:pPr>
            <w:r>
              <w:rPr>
                <w:rFonts w:ascii="Arial" w:hAnsi="Arial"/>
                <w:snapToGrid w:val="0"/>
                <w:sz w:val="22"/>
              </w:rPr>
              <w:t xml:space="preserve">Exemples : </w:t>
            </w:r>
          </w:p>
          <w:p w14:paraId="4F8C0F48" w14:textId="77777777" w:rsidR="003E3E28" w:rsidRPr="00B91293" w:rsidRDefault="003E3E28" w:rsidP="001650E7">
            <w:pPr>
              <w:rPr>
                <w:rFonts w:ascii="Arial" w:hAnsi="Arial" w:cs="Arial"/>
                <w:snapToGrid w:val="0"/>
                <w:sz w:val="22"/>
                <w:szCs w:val="22"/>
                <w:lang w:val="en-GB" w:eastAsia="zh-CN"/>
              </w:rPr>
            </w:pPr>
          </w:p>
          <w:p w14:paraId="7A9B2CA6" w14:textId="73E8ECB0" w:rsidR="00237E5E" w:rsidRPr="00B91293" w:rsidRDefault="31EE4B25" w:rsidP="002C614F">
            <w:pPr>
              <w:pStyle w:val="Paragraphedeliste"/>
              <w:numPr>
                <w:ilvl w:val="0"/>
                <w:numId w:val="25"/>
              </w:numPr>
              <w:jc w:val="both"/>
              <w:rPr>
                <w:rFonts w:ascii="Arial" w:hAnsi="Arial" w:cs="Arial"/>
                <w:snapToGrid w:val="0"/>
                <w:sz w:val="22"/>
                <w:szCs w:val="22"/>
              </w:rPr>
            </w:pPr>
            <w:r>
              <w:rPr>
                <w:rFonts w:ascii="Arial" w:hAnsi="Arial"/>
                <w:snapToGrid w:val="0"/>
                <w:sz w:val="22"/>
              </w:rPr>
              <w:t>En Lettonie, afin de maintenir une attention soutenue à l’égard des mesures de sauvegarde, la communauté Suiti a pris la décision stratégique de conserver l’espace culturel Suiti au sein de la LSU, même si un tel élément pourrait finalement correspondre aux critères de la LR. Un transfert peut ainsi devenir une question de choix politique et stratégique, au lieu d’une conséquence objective d’une modification de la viabilité de l’élément concerné.</w:t>
            </w:r>
          </w:p>
          <w:p w14:paraId="70028ED9" w14:textId="77777777" w:rsidR="00DC136F" w:rsidRPr="00EC301D" w:rsidRDefault="00DC136F" w:rsidP="001650E7">
            <w:pPr>
              <w:rPr>
                <w:rFonts w:ascii="Arial" w:hAnsi="Arial" w:cs="Arial"/>
                <w:snapToGrid w:val="0"/>
                <w:sz w:val="22"/>
                <w:szCs w:val="22"/>
                <w:lang w:eastAsia="zh-CN"/>
              </w:rPr>
            </w:pPr>
          </w:p>
          <w:p w14:paraId="2E0CC68E" w14:textId="2F1B89D3" w:rsidR="00237E5E" w:rsidRPr="00B91293" w:rsidRDefault="00237E5E" w:rsidP="001650E7">
            <w:pPr>
              <w:rPr>
                <w:rFonts w:ascii="Arial" w:hAnsi="Arial" w:cs="Arial"/>
                <w:snapToGrid w:val="0"/>
                <w:sz w:val="22"/>
                <w:szCs w:val="22"/>
              </w:rPr>
            </w:pPr>
            <w:r>
              <w:rPr>
                <w:rFonts w:ascii="Arial" w:hAnsi="Arial"/>
                <w:snapToGrid w:val="0"/>
                <w:sz w:val="22"/>
              </w:rPr>
              <w:t xml:space="preserve"> Le groupe 2 recommande les éléments suivants :</w:t>
            </w:r>
          </w:p>
          <w:p w14:paraId="3B29FEF1" w14:textId="77777777" w:rsidR="00237E5E" w:rsidRPr="00EC301D" w:rsidRDefault="00237E5E" w:rsidP="001650E7">
            <w:pPr>
              <w:rPr>
                <w:rFonts w:ascii="Arial" w:hAnsi="Arial" w:cs="Arial"/>
                <w:snapToGrid w:val="0"/>
                <w:sz w:val="22"/>
                <w:szCs w:val="22"/>
                <w:lang w:eastAsia="zh-CN"/>
              </w:rPr>
            </w:pPr>
          </w:p>
          <w:p w14:paraId="5718D7C0" w14:textId="7317960C" w:rsidR="00075F72" w:rsidRPr="00B91293" w:rsidRDefault="734C7635" w:rsidP="00075F72">
            <w:pPr>
              <w:pStyle w:val="Paragraphedeliste"/>
              <w:numPr>
                <w:ilvl w:val="0"/>
                <w:numId w:val="25"/>
              </w:numPr>
              <w:jc w:val="both"/>
              <w:rPr>
                <w:rFonts w:ascii="Arial" w:hAnsi="Arial" w:cs="Arial"/>
                <w:snapToGrid w:val="0"/>
                <w:sz w:val="22"/>
                <w:szCs w:val="22"/>
              </w:rPr>
            </w:pPr>
            <w:r>
              <w:rPr>
                <w:rFonts w:ascii="Arial" w:hAnsi="Arial"/>
                <w:snapToGrid w:val="0"/>
                <w:sz w:val="22"/>
              </w:rPr>
              <w:t xml:space="preserve">Le transfert et le retrait doivent être considérés comme des </w:t>
            </w:r>
            <w:r>
              <w:rPr>
                <w:rFonts w:ascii="Arial" w:hAnsi="Arial"/>
                <w:b/>
                <w:snapToGrid w:val="0"/>
                <w:sz w:val="22"/>
              </w:rPr>
              <w:t>procédures distinctes et séparées</w:t>
            </w:r>
            <w:r>
              <w:rPr>
                <w:rFonts w:ascii="Arial" w:hAnsi="Arial"/>
                <w:snapToGrid w:val="0"/>
                <w:sz w:val="22"/>
              </w:rPr>
              <w:t xml:space="preserve">, et il conviendrait de clarifier la différence entre ces deux notions </w:t>
            </w:r>
            <w:r>
              <w:rPr>
                <w:rFonts w:ascii="Arial" w:hAnsi="Arial"/>
                <w:sz w:val="22"/>
              </w:rPr>
              <w:t xml:space="preserve">au sein des Directives opérationnelles ; </w:t>
            </w:r>
          </w:p>
          <w:p w14:paraId="2195DB5E" w14:textId="77777777" w:rsidR="00075F72" w:rsidRPr="00EC301D" w:rsidRDefault="00075F72" w:rsidP="00075F72">
            <w:pPr>
              <w:pStyle w:val="Paragraphedeliste"/>
              <w:jc w:val="both"/>
              <w:rPr>
                <w:rFonts w:ascii="Arial" w:hAnsi="Arial" w:cs="Arial"/>
                <w:snapToGrid w:val="0"/>
                <w:sz w:val="22"/>
                <w:szCs w:val="22"/>
                <w:lang w:eastAsia="zh-CN"/>
              </w:rPr>
            </w:pPr>
          </w:p>
          <w:p w14:paraId="7BDB6A98" w14:textId="77777777" w:rsidR="00D6361F" w:rsidRPr="00B91293" w:rsidRDefault="5D65E605" w:rsidP="00D6361F">
            <w:pPr>
              <w:pStyle w:val="Paragraphedeliste"/>
              <w:numPr>
                <w:ilvl w:val="0"/>
                <w:numId w:val="25"/>
              </w:numPr>
              <w:jc w:val="both"/>
              <w:rPr>
                <w:rFonts w:ascii="Arial" w:hAnsi="Arial" w:cs="Arial"/>
                <w:snapToGrid w:val="0"/>
                <w:sz w:val="22"/>
                <w:szCs w:val="22"/>
              </w:rPr>
            </w:pPr>
            <w:r>
              <w:rPr>
                <w:rFonts w:ascii="Arial" w:hAnsi="Arial"/>
                <w:sz w:val="22"/>
              </w:rPr>
              <w:t xml:space="preserve">Un transfert devrait devenir une </w:t>
            </w:r>
            <w:r>
              <w:rPr>
                <w:rFonts w:ascii="Arial" w:hAnsi="Arial"/>
                <w:b/>
                <w:sz w:val="22"/>
              </w:rPr>
              <w:t>procédure simplifiée</w:t>
            </w:r>
            <w:r>
              <w:rPr>
                <w:rFonts w:ascii="Arial" w:hAnsi="Arial"/>
                <w:sz w:val="22"/>
              </w:rPr>
              <w:t xml:space="preserve"> par rapport à une candidature ou un retrait, et il conviendrait d’élaborer un mécanisme moins complexe à cet égard, tout en gardant à l’esprit que les procédures de transfert de la LSU à la LR et vice-versa peuvent différer. Un tel mécanisme devrait également permettre une charge de travail moins pesante, que ce soit du côté de l’État et des communautés concernées, mais aussi du côté de l’UNESCO ; </w:t>
            </w:r>
          </w:p>
          <w:p w14:paraId="2B95564F" w14:textId="77777777" w:rsidR="00D6361F" w:rsidRPr="00EC301D" w:rsidRDefault="00D6361F" w:rsidP="00D6361F">
            <w:pPr>
              <w:pStyle w:val="Paragraphedeliste"/>
              <w:rPr>
                <w:rFonts w:ascii="Arial" w:hAnsi="Arial" w:cs="Arial"/>
                <w:sz w:val="22"/>
                <w:szCs w:val="22"/>
              </w:rPr>
            </w:pPr>
          </w:p>
          <w:p w14:paraId="5EDC4553" w14:textId="05DCA722" w:rsidR="003A74A1" w:rsidRPr="00B91293" w:rsidRDefault="4646C3A6" w:rsidP="00D6361F">
            <w:pPr>
              <w:pStyle w:val="Paragraphedeliste"/>
              <w:numPr>
                <w:ilvl w:val="0"/>
                <w:numId w:val="25"/>
              </w:numPr>
              <w:jc w:val="both"/>
              <w:rPr>
                <w:rFonts w:ascii="Arial" w:hAnsi="Arial" w:cs="Arial"/>
                <w:snapToGrid w:val="0"/>
                <w:sz w:val="22"/>
                <w:szCs w:val="22"/>
              </w:rPr>
            </w:pPr>
            <w:r>
              <w:rPr>
                <w:rFonts w:ascii="Arial" w:hAnsi="Arial"/>
                <w:sz w:val="22"/>
              </w:rPr>
              <w:t xml:space="preserve">Néanmoins, une mise à jour de la description de l’élément serait nécessaire, étant donné qu’un tel élément pourrait avoir changé depuis son inscription. Puisque la conformité à certains critères communs (comme les exigences U.1 et R.1) n’aurait pas besoin d’être réexaminée, il serait dès lors possible d’élaborer un </w:t>
            </w:r>
            <w:r>
              <w:rPr>
                <w:rFonts w:ascii="Arial" w:hAnsi="Arial"/>
                <w:b/>
                <w:sz w:val="22"/>
              </w:rPr>
              <w:t>formulaire de transfert simplifié</w:t>
            </w:r>
            <w:r>
              <w:rPr>
                <w:rFonts w:ascii="Arial" w:hAnsi="Arial"/>
                <w:sz w:val="22"/>
              </w:rPr>
              <w:t>. Un tel formulaire pourrait inclure des sections visant à expliquer les modifications de l’élément depuis son inscription, son niveau de viabilité actuel, et (en cas de transfert à la LSU) si un « </w:t>
            </w:r>
            <w:r w:rsidR="000D2039">
              <w:rPr>
                <w:rFonts w:ascii="Arial" w:hAnsi="Arial"/>
                <w:sz w:val="22"/>
              </w:rPr>
              <w:t>soin</w:t>
            </w:r>
            <w:r>
              <w:rPr>
                <w:rFonts w:ascii="Arial" w:hAnsi="Arial"/>
                <w:sz w:val="22"/>
              </w:rPr>
              <w:t xml:space="preserve"> intensi</w:t>
            </w:r>
            <w:r w:rsidR="000D2039">
              <w:rPr>
                <w:rFonts w:ascii="Arial" w:hAnsi="Arial"/>
                <w:sz w:val="22"/>
              </w:rPr>
              <w:t>f</w:t>
            </w:r>
            <w:r>
              <w:rPr>
                <w:rFonts w:ascii="Arial" w:hAnsi="Arial"/>
                <w:sz w:val="22"/>
              </w:rPr>
              <w:t> » est nécessaire ;</w:t>
            </w:r>
          </w:p>
          <w:p w14:paraId="42EB7BC1" w14:textId="77777777" w:rsidR="007A0383" w:rsidRPr="00EC301D" w:rsidRDefault="007A0383" w:rsidP="00CC2DCA">
            <w:pPr>
              <w:rPr>
                <w:rFonts w:ascii="Arial" w:hAnsi="Arial" w:cs="Arial"/>
                <w:snapToGrid w:val="0"/>
                <w:sz w:val="22"/>
                <w:szCs w:val="22"/>
                <w:lang w:eastAsia="zh-CN"/>
              </w:rPr>
            </w:pPr>
          </w:p>
          <w:p w14:paraId="7DFF7F3C" w14:textId="6F18F9FB" w:rsidR="001B69F8" w:rsidRPr="00B91293" w:rsidRDefault="602D3374" w:rsidP="00F47AD7">
            <w:pPr>
              <w:pStyle w:val="Paragraphedeliste"/>
              <w:numPr>
                <w:ilvl w:val="0"/>
                <w:numId w:val="25"/>
              </w:numPr>
              <w:jc w:val="both"/>
              <w:rPr>
                <w:rFonts w:ascii="Arial" w:hAnsi="Arial" w:cs="Arial"/>
                <w:snapToGrid w:val="0"/>
                <w:sz w:val="22"/>
                <w:szCs w:val="22"/>
              </w:rPr>
            </w:pPr>
            <w:r>
              <w:rPr>
                <w:rFonts w:ascii="Arial" w:hAnsi="Arial"/>
                <w:sz w:val="22"/>
              </w:rPr>
              <w:t xml:space="preserve">Il conviendrait d’obtenir clairement le </w:t>
            </w:r>
            <w:r>
              <w:rPr>
                <w:rFonts w:ascii="Arial" w:hAnsi="Arial"/>
                <w:b/>
                <w:snapToGrid w:val="0"/>
                <w:sz w:val="22"/>
              </w:rPr>
              <w:t>consentement des communautés</w:t>
            </w:r>
            <w:r>
              <w:rPr>
                <w:rFonts w:ascii="Arial" w:hAnsi="Arial"/>
                <w:snapToGrid w:val="0"/>
                <w:sz w:val="22"/>
              </w:rPr>
              <w:t xml:space="preserve"> pour le transfert,</w:t>
            </w:r>
            <w:r>
              <w:rPr>
                <w:rFonts w:ascii="Arial" w:hAnsi="Arial"/>
                <w:sz w:val="22"/>
              </w:rPr>
              <w:t xml:space="preserve"> en établissant une disposition permettant aux communautés d’affirmer la nécessité et/ou la volonté d’un transfert</w:t>
            </w:r>
            <w:r>
              <w:rPr>
                <w:rFonts w:ascii="Arial" w:hAnsi="Arial"/>
                <w:snapToGrid w:val="0"/>
                <w:sz w:val="22"/>
              </w:rPr>
              <w:t>. Il s’agit d’une exigence essentielle pour tout</w:t>
            </w:r>
            <w:r>
              <w:rPr>
                <w:rFonts w:ascii="Arial" w:hAnsi="Arial"/>
                <w:sz w:val="22"/>
              </w:rPr>
              <w:t xml:space="preserve"> transfert, et il conviendrait d’élaborer une procédure et un formulaire adéquats en vue d’obtenir un tel consentement ; </w:t>
            </w:r>
          </w:p>
          <w:p w14:paraId="55D0A5E7" w14:textId="77777777" w:rsidR="00CC2DCA" w:rsidRPr="00EC301D" w:rsidRDefault="00CC2DCA" w:rsidP="00CC2DCA">
            <w:pPr>
              <w:rPr>
                <w:rFonts w:ascii="Arial" w:hAnsi="Arial" w:cs="Arial"/>
                <w:snapToGrid w:val="0"/>
                <w:sz w:val="22"/>
                <w:szCs w:val="22"/>
                <w:lang w:eastAsia="zh-CN"/>
              </w:rPr>
            </w:pPr>
          </w:p>
          <w:p w14:paraId="63405661" w14:textId="42F8FECF" w:rsidR="00754B5D" w:rsidRPr="00B91293" w:rsidRDefault="00762408" w:rsidP="00754B5D">
            <w:pPr>
              <w:pStyle w:val="Paragraphedeliste"/>
              <w:numPr>
                <w:ilvl w:val="0"/>
                <w:numId w:val="25"/>
              </w:numPr>
              <w:jc w:val="both"/>
              <w:rPr>
                <w:rFonts w:ascii="Arial" w:hAnsi="Arial" w:cs="Arial"/>
                <w:snapToGrid w:val="0"/>
                <w:sz w:val="22"/>
                <w:szCs w:val="22"/>
              </w:rPr>
            </w:pPr>
            <w:r>
              <w:rPr>
                <w:rFonts w:ascii="Arial" w:hAnsi="Arial"/>
                <w:b/>
                <w:sz w:val="22"/>
              </w:rPr>
              <w:t>L’O</w:t>
            </w:r>
            <w:r w:rsidR="00754B5D">
              <w:rPr>
                <w:rFonts w:ascii="Arial" w:hAnsi="Arial"/>
                <w:b/>
                <w:sz w:val="22"/>
              </w:rPr>
              <w:t>rgane d’évaluation</w:t>
            </w:r>
            <w:r w:rsidR="00754B5D">
              <w:rPr>
                <w:rFonts w:ascii="Arial" w:hAnsi="Arial"/>
                <w:sz w:val="22"/>
              </w:rPr>
              <w:t xml:space="preserve"> pourrait se voir attribuer la mission d’évaluer la conformité de la demande de transfert aux critères établis pour l’évaluation d’un transfert dans quelque sens que ce soit, et de tels critères peuvent différer (l’élément n’est plus à risque, ou </w:t>
            </w:r>
            <w:r w:rsidR="000D2039">
              <w:rPr>
                <w:rFonts w:ascii="Arial" w:hAnsi="Arial"/>
                <w:sz w:val="22"/>
              </w:rPr>
              <w:t>nécessite un</w:t>
            </w:r>
            <w:r>
              <w:rPr>
                <w:rFonts w:ascii="Arial" w:hAnsi="Arial"/>
                <w:sz w:val="22"/>
              </w:rPr>
              <w:t xml:space="preserve"> « </w:t>
            </w:r>
            <w:r w:rsidR="000D2039">
              <w:rPr>
                <w:rFonts w:ascii="Arial" w:hAnsi="Arial"/>
                <w:sz w:val="22"/>
              </w:rPr>
              <w:t>soin</w:t>
            </w:r>
            <w:r>
              <w:rPr>
                <w:rFonts w:ascii="Arial" w:hAnsi="Arial"/>
                <w:sz w:val="22"/>
              </w:rPr>
              <w:t xml:space="preserve"> intensi</w:t>
            </w:r>
            <w:r w:rsidR="000D2039">
              <w:rPr>
                <w:rFonts w:ascii="Arial" w:hAnsi="Arial"/>
                <w:sz w:val="22"/>
              </w:rPr>
              <w:t>f</w:t>
            </w:r>
            <w:r>
              <w:rPr>
                <w:rFonts w:ascii="Arial" w:hAnsi="Arial"/>
                <w:sz w:val="22"/>
              </w:rPr>
              <w:t> »). L’O</w:t>
            </w:r>
            <w:r w:rsidR="00754B5D">
              <w:rPr>
                <w:rFonts w:ascii="Arial" w:hAnsi="Arial"/>
                <w:sz w:val="22"/>
              </w:rPr>
              <w:t>rgane d’évaluation pourrait disposer d’un espace séparé pour les fichiers de transfert, examiner la proposition de formulation simplifiée de demande de transfert, et envisager un tel transfert via une procédure simplifiée ;</w:t>
            </w:r>
          </w:p>
          <w:p w14:paraId="1D121E4B" w14:textId="77777777" w:rsidR="00754B5D" w:rsidRPr="00EC301D" w:rsidRDefault="00754B5D" w:rsidP="00754B5D">
            <w:pPr>
              <w:jc w:val="both"/>
              <w:rPr>
                <w:rFonts w:ascii="Arial" w:hAnsi="Arial" w:cs="Arial"/>
                <w:snapToGrid w:val="0"/>
                <w:sz w:val="22"/>
                <w:szCs w:val="22"/>
                <w:lang w:eastAsia="zh-CN"/>
              </w:rPr>
            </w:pPr>
          </w:p>
          <w:p w14:paraId="039A838F" w14:textId="4E832CC8" w:rsidR="00D93DD8" w:rsidRPr="00B91293" w:rsidRDefault="00D93DD8" w:rsidP="00D93DD8">
            <w:pPr>
              <w:pStyle w:val="Paragraphedeliste"/>
              <w:numPr>
                <w:ilvl w:val="0"/>
                <w:numId w:val="25"/>
              </w:numPr>
              <w:jc w:val="both"/>
              <w:rPr>
                <w:sz w:val="22"/>
                <w:szCs w:val="22"/>
              </w:rPr>
            </w:pPr>
            <w:r>
              <w:rPr>
                <w:rFonts w:ascii="Arial" w:hAnsi="Arial"/>
                <w:sz w:val="22"/>
              </w:rPr>
              <w:t xml:space="preserve">Il conviendrait également d’envisager un lien éventuel avec une demande </w:t>
            </w:r>
            <w:r>
              <w:rPr>
                <w:rFonts w:ascii="Arial" w:hAnsi="Arial"/>
                <w:b/>
                <w:sz w:val="22"/>
              </w:rPr>
              <w:t>d’aide internationale</w:t>
            </w:r>
            <w:r>
              <w:rPr>
                <w:rFonts w:ascii="Arial" w:hAnsi="Arial"/>
                <w:sz w:val="22"/>
              </w:rPr>
              <w:t>. Un transfert à la LSU devrait automatiquement s’accompagner d’un programme de soutien technique et financier, calibré via une procédure de demande simplifiée similaire à la proposition de procédure allégée pour une demande d’aide internationale et d’inscription à la LSU ;</w:t>
            </w:r>
          </w:p>
          <w:p w14:paraId="29CD5227" w14:textId="77777777" w:rsidR="00D93DD8" w:rsidRPr="00EC301D" w:rsidRDefault="00D93DD8" w:rsidP="00D93DD8">
            <w:pPr>
              <w:jc w:val="both"/>
              <w:rPr>
                <w:sz w:val="22"/>
                <w:szCs w:val="22"/>
              </w:rPr>
            </w:pPr>
          </w:p>
          <w:p w14:paraId="5991BF83" w14:textId="32A5354C" w:rsidR="00CE293A" w:rsidRPr="00B91293" w:rsidRDefault="49F7246D" w:rsidP="00D93DD8">
            <w:pPr>
              <w:pStyle w:val="Paragraphedeliste"/>
              <w:numPr>
                <w:ilvl w:val="0"/>
                <w:numId w:val="25"/>
              </w:numPr>
              <w:jc w:val="both"/>
              <w:rPr>
                <w:rFonts w:ascii="Arial" w:hAnsi="Arial" w:cs="Arial"/>
                <w:snapToGrid w:val="0"/>
                <w:sz w:val="22"/>
                <w:szCs w:val="22"/>
              </w:rPr>
            </w:pPr>
            <w:r>
              <w:rPr>
                <w:rFonts w:ascii="Arial" w:hAnsi="Arial"/>
                <w:sz w:val="22"/>
              </w:rPr>
              <w:t xml:space="preserve">La procédure de transfert pourrait être étroitement liée à l’obligation de </w:t>
            </w:r>
            <w:r>
              <w:rPr>
                <w:rFonts w:ascii="Arial" w:hAnsi="Arial"/>
                <w:b/>
                <w:sz w:val="22"/>
              </w:rPr>
              <w:t xml:space="preserve">rapport </w:t>
            </w:r>
            <w:r>
              <w:rPr>
                <w:rFonts w:ascii="Arial" w:hAnsi="Arial"/>
                <w:b/>
                <w:sz w:val="22"/>
              </w:rPr>
              <w:lastRenderedPageBreak/>
              <w:t xml:space="preserve">périodique </w:t>
            </w:r>
            <w:r>
              <w:rPr>
                <w:rFonts w:ascii="Arial" w:hAnsi="Arial"/>
                <w:sz w:val="22"/>
              </w:rPr>
              <w:t>lorsqu’elle correspond au calendrier adéquat proposé pour les transferts</w:t>
            </w:r>
            <w:r>
              <w:rPr>
                <w:rFonts w:ascii="Arial" w:hAnsi="Arial"/>
                <w:b/>
                <w:sz w:val="22"/>
              </w:rPr>
              <w:t xml:space="preserve"> </w:t>
            </w:r>
            <w:r>
              <w:rPr>
                <w:rFonts w:ascii="Arial" w:hAnsi="Arial"/>
                <w:sz w:val="22"/>
              </w:rPr>
              <w:t>(</w:t>
            </w:r>
            <w:r>
              <w:rPr>
                <w:rFonts w:ascii="Arial" w:hAnsi="Arial"/>
                <w:i/>
                <w:sz w:val="22"/>
              </w:rPr>
              <w:t>voir les options</w:t>
            </w:r>
            <w:r>
              <w:rPr>
                <w:rFonts w:ascii="Arial" w:hAnsi="Arial"/>
                <w:sz w:val="22"/>
              </w:rPr>
              <w:t xml:space="preserve">), mais il devrait également être possible d’initier la procédure par d’autres moyens ; </w:t>
            </w:r>
          </w:p>
          <w:p w14:paraId="61B39FA4" w14:textId="77777777" w:rsidR="00CA13D3" w:rsidRPr="00EC301D" w:rsidRDefault="00CA13D3" w:rsidP="00CA13D3">
            <w:pPr>
              <w:pStyle w:val="Paragraphedeliste"/>
              <w:rPr>
                <w:rFonts w:ascii="Arial" w:hAnsi="Arial" w:cs="Arial"/>
                <w:snapToGrid w:val="0"/>
                <w:sz w:val="22"/>
                <w:szCs w:val="22"/>
                <w:lang w:eastAsia="zh-CN"/>
              </w:rPr>
            </w:pPr>
          </w:p>
          <w:p w14:paraId="57360044" w14:textId="6A59D04C" w:rsidR="00831A76" w:rsidRPr="00B91293" w:rsidRDefault="00CA13D3" w:rsidP="00831A76">
            <w:pPr>
              <w:pStyle w:val="Paragraphedeliste"/>
              <w:numPr>
                <w:ilvl w:val="0"/>
                <w:numId w:val="25"/>
              </w:numPr>
              <w:jc w:val="both"/>
              <w:rPr>
                <w:rFonts w:ascii="Arial" w:hAnsi="Arial" w:cs="Arial"/>
                <w:snapToGrid w:val="0"/>
                <w:sz w:val="22"/>
                <w:szCs w:val="22"/>
              </w:rPr>
            </w:pPr>
            <w:r>
              <w:rPr>
                <w:rFonts w:ascii="Arial" w:hAnsi="Arial"/>
                <w:sz w:val="22"/>
              </w:rPr>
              <w:t xml:space="preserve">Il conviendrait d’appliquer un mécanisme de </w:t>
            </w:r>
            <w:r w:rsidR="000D2039">
              <w:rPr>
                <w:rFonts w:ascii="Arial" w:hAnsi="Arial"/>
                <w:sz w:val="22"/>
              </w:rPr>
              <w:t>suivi</w:t>
            </w:r>
            <w:r w:rsidR="00522A99">
              <w:rPr>
                <w:rFonts w:ascii="Arial" w:hAnsi="Arial"/>
                <w:sz w:val="22"/>
              </w:rPr>
              <w:t xml:space="preserve"> </w:t>
            </w:r>
            <w:r>
              <w:rPr>
                <w:rFonts w:ascii="Arial" w:hAnsi="Arial"/>
                <w:sz w:val="22"/>
              </w:rPr>
              <w:t xml:space="preserve">avant tout transfert, afin de répondre aux besoins des communautés et </w:t>
            </w:r>
            <w:r w:rsidR="000D2039">
              <w:rPr>
                <w:rFonts w:ascii="Arial" w:hAnsi="Arial"/>
                <w:sz w:val="22"/>
              </w:rPr>
              <w:t xml:space="preserve">de justifier </w:t>
            </w:r>
            <w:r>
              <w:rPr>
                <w:rFonts w:ascii="Arial" w:hAnsi="Arial"/>
                <w:sz w:val="22"/>
              </w:rPr>
              <w:t xml:space="preserve">correctement la décision. Une demande de </w:t>
            </w:r>
            <w:r>
              <w:rPr>
                <w:rFonts w:ascii="Arial" w:hAnsi="Arial"/>
                <w:b/>
                <w:sz w:val="22"/>
              </w:rPr>
              <w:t>Mission consultative</w:t>
            </w:r>
            <w:r>
              <w:rPr>
                <w:rFonts w:ascii="Arial" w:hAnsi="Arial"/>
                <w:sz w:val="22"/>
              </w:rPr>
              <w:t xml:space="preserve"> peut constituer une option pour les communautés et les États parties concernés, en permettant d’inviter un groupe d’experts pour une visite de terrain, qui fera office de mécanisme de </w:t>
            </w:r>
            <w:r w:rsidR="000D2039">
              <w:rPr>
                <w:rFonts w:ascii="Arial" w:hAnsi="Arial"/>
                <w:sz w:val="22"/>
              </w:rPr>
              <w:t xml:space="preserve">suivi </w:t>
            </w:r>
            <w:r>
              <w:rPr>
                <w:rFonts w:ascii="Arial" w:hAnsi="Arial"/>
                <w:sz w:val="22"/>
              </w:rPr>
              <w:t xml:space="preserve">avant un transfert </w:t>
            </w:r>
            <w:r>
              <w:rPr>
                <w:rFonts w:ascii="Arial" w:hAnsi="Arial"/>
                <w:snapToGrid w:val="0"/>
                <w:sz w:val="22"/>
              </w:rPr>
              <w:t>(</w:t>
            </w:r>
            <w:r>
              <w:rPr>
                <w:rFonts w:ascii="Arial" w:hAnsi="Arial"/>
                <w:i/>
                <w:snapToGrid w:val="0"/>
                <w:sz w:val="22"/>
              </w:rPr>
              <w:t>pour les étapes proposées, voir l’Annexe à la présente section</w:t>
            </w:r>
            <w:r>
              <w:rPr>
                <w:rFonts w:ascii="Arial" w:hAnsi="Arial"/>
                <w:snapToGrid w:val="0"/>
                <w:sz w:val="22"/>
              </w:rPr>
              <w:t>)</w:t>
            </w:r>
            <w:r>
              <w:rPr>
                <w:rFonts w:ascii="Arial" w:hAnsi="Arial"/>
                <w:sz w:val="22"/>
              </w:rPr>
              <w:t>. Les coûts d’une telle Mission consultative seraient supportés par l’État partie accueillant ladite Mission, sauf lorsque l’État partie est éligible à l’aide internationale adéquate ou à un financement de la part du Fonds du patrimoine culturel immatériel ;</w:t>
            </w:r>
          </w:p>
          <w:p w14:paraId="00225A79" w14:textId="77777777" w:rsidR="00A80F17" w:rsidRPr="00EC301D" w:rsidRDefault="00A80F17" w:rsidP="00CE293A">
            <w:pPr>
              <w:rPr>
                <w:rFonts w:ascii="Arial" w:hAnsi="Arial" w:cs="Arial"/>
                <w:sz w:val="22"/>
                <w:szCs w:val="22"/>
              </w:rPr>
            </w:pPr>
          </w:p>
          <w:p w14:paraId="37F93746" w14:textId="6AB56ADC" w:rsidR="00EB6503" w:rsidRPr="00B91293" w:rsidRDefault="00EB6503" w:rsidP="00EB4BA5">
            <w:pPr>
              <w:pStyle w:val="Paragraphedeliste"/>
              <w:numPr>
                <w:ilvl w:val="0"/>
                <w:numId w:val="25"/>
              </w:numPr>
              <w:jc w:val="both"/>
              <w:rPr>
                <w:rFonts w:ascii="Arial" w:hAnsi="Arial" w:cs="Arial"/>
                <w:snapToGrid w:val="0"/>
                <w:sz w:val="22"/>
                <w:szCs w:val="22"/>
              </w:rPr>
            </w:pPr>
            <w:r>
              <w:rPr>
                <w:rFonts w:ascii="Arial" w:hAnsi="Arial"/>
                <w:sz w:val="22"/>
              </w:rPr>
              <w:t>Une révision des</w:t>
            </w:r>
            <w:r>
              <w:rPr>
                <w:rFonts w:ascii="Arial" w:hAnsi="Arial"/>
                <w:b/>
                <w:sz w:val="22"/>
              </w:rPr>
              <w:t xml:space="preserve"> Directives opérationnelles </w:t>
            </w:r>
            <w:r>
              <w:rPr>
                <w:rFonts w:ascii="Arial" w:hAnsi="Arial"/>
                <w:sz w:val="22"/>
              </w:rPr>
              <w:t>est nécessaire (</w:t>
            </w:r>
            <w:r>
              <w:rPr>
                <w:rFonts w:ascii="Arial" w:hAnsi="Arial"/>
                <w:i/>
                <w:sz w:val="22"/>
              </w:rPr>
              <w:t>voir également la section 12</w:t>
            </w:r>
            <w:r>
              <w:rPr>
                <w:rFonts w:ascii="Arial" w:hAnsi="Arial"/>
                <w:sz w:val="22"/>
              </w:rPr>
              <w:t>) et pourrait inclure les éléments suivants :</w:t>
            </w:r>
            <w:r>
              <w:rPr>
                <w:rFonts w:ascii="Arial" w:hAnsi="Arial"/>
                <w:b/>
                <w:sz w:val="22"/>
              </w:rPr>
              <w:t xml:space="preserve"> </w:t>
            </w:r>
          </w:p>
          <w:p w14:paraId="6ECA3EC9" w14:textId="650F2F7B" w:rsidR="00EB6503" w:rsidRPr="00EC301D" w:rsidRDefault="00EB6503" w:rsidP="00EB6503">
            <w:pPr>
              <w:pStyle w:val="Paragraphedeliste"/>
              <w:rPr>
                <w:rFonts w:ascii="Arial" w:hAnsi="Arial" w:cs="Arial"/>
                <w:sz w:val="22"/>
                <w:szCs w:val="22"/>
              </w:rPr>
            </w:pPr>
          </w:p>
          <w:tbl>
            <w:tblPr>
              <w:tblStyle w:val="Grilledutableau"/>
              <w:tblW w:w="0" w:type="auto"/>
              <w:tblLook w:val="04A0" w:firstRow="1" w:lastRow="0" w:firstColumn="1" w:lastColumn="0" w:noHBand="0" w:noVBand="1"/>
            </w:tblPr>
            <w:tblGrid>
              <w:gridCol w:w="3434"/>
              <w:gridCol w:w="5406"/>
            </w:tblGrid>
            <w:tr w:rsidR="00B91293" w:rsidRPr="00B91293" w14:paraId="492D662B" w14:textId="77777777" w:rsidTr="001627E9">
              <w:tc>
                <w:tcPr>
                  <w:tcW w:w="3434" w:type="dxa"/>
                </w:tcPr>
                <w:p w14:paraId="08A6D20F" w14:textId="74BC0F80" w:rsidR="003D516F" w:rsidRPr="00B91293" w:rsidRDefault="003D516F" w:rsidP="003D516F">
                  <w:pPr>
                    <w:rPr>
                      <w:rFonts w:ascii="Arial" w:hAnsi="Arial" w:cs="Arial"/>
                      <w:sz w:val="22"/>
                      <w:szCs w:val="22"/>
                    </w:rPr>
                  </w:pPr>
                  <w:r>
                    <w:rPr>
                      <w:rFonts w:ascii="Arial" w:hAnsi="Arial"/>
                      <w:sz w:val="22"/>
                    </w:rPr>
                    <w:t>Dernière version (2018)</w:t>
                  </w:r>
                </w:p>
              </w:tc>
              <w:tc>
                <w:tcPr>
                  <w:tcW w:w="5406" w:type="dxa"/>
                </w:tcPr>
                <w:p w14:paraId="6965AD10" w14:textId="6CBE966D" w:rsidR="003D516F" w:rsidRPr="00B91293" w:rsidRDefault="003D516F" w:rsidP="003D516F">
                  <w:pPr>
                    <w:rPr>
                      <w:rFonts w:ascii="Arial" w:hAnsi="Arial" w:cs="Arial"/>
                      <w:sz w:val="22"/>
                      <w:szCs w:val="22"/>
                    </w:rPr>
                  </w:pPr>
                  <w:r>
                    <w:rPr>
                      <w:rFonts w:ascii="Arial" w:hAnsi="Arial"/>
                      <w:sz w:val="22"/>
                    </w:rPr>
                    <w:t>Recommandations</w:t>
                  </w:r>
                </w:p>
                <w:p w14:paraId="02D53A62" w14:textId="668DCFB1" w:rsidR="003D516F" w:rsidRPr="00B91293" w:rsidRDefault="003D516F" w:rsidP="003D516F">
                  <w:pPr>
                    <w:rPr>
                      <w:rFonts w:ascii="Arial" w:hAnsi="Arial" w:cs="Arial"/>
                      <w:sz w:val="22"/>
                      <w:szCs w:val="22"/>
                      <w:lang w:val="en-GB"/>
                    </w:rPr>
                  </w:pPr>
                </w:p>
              </w:tc>
            </w:tr>
            <w:tr w:rsidR="00B91293" w:rsidRPr="00B91293" w14:paraId="2A244504" w14:textId="77777777" w:rsidTr="001627E9">
              <w:tc>
                <w:tcPr>
                  <w:tcW w:w="3434" w:type="dxa"/>
                </w:tcPr>
                <w:p w14:paraId="20E7E566" w14:textId="77777777" w:rsidR="003D516F" w:rsidRPr="00B91293" w:rsidRDefault="003D516F" w:rsidP="003D516F">
                  <w:pPr>
                    <w:rPr>
                      <w:rFonts w:ascii="Arial" w:hAnsi="Arial" w:cs="Arial"/>
                      <w:sz w:val="22"/>
                      <w:szCs w:val="22"/>
                    </w:rPr>
                  </w:pPr>
                  <w:r>
                    <w:rPr>
                      <w:rFonts w:ascii="Arial" w:hAnsi="Arial"/>
                      <w:sz w:val="22"/>
                    </w:rPr>
                    <w:t xml:space="preserve">I.11 Transfert d’un élément d’une liste à l’autre ou retrait d’un élément d’une liste </w:t>
                  </w:r>
                </w:p>
                <w:p w14:paraId="0E752BC1" w14:textId="77777777" w:rsidR="003D516F" w:rsidRPr="00EC301D" w:rsidRDefault="003D516F" w:rsidP="003D516F">
                  <w:pPr>
                    <w:rPr>
                      <w:rFonts w:ascii="Arial" w:hAnsi="Arial" w:cs="Arial"/>
                      <w:sz w:val="22"/>
                      <w:szCs w:val="22"/>
                    </w:rPr>
                  </w:pPr>
                </w:p>
                <w:p w14:paraId="776874D9" w14:textId="77777777" w:rsidR="003D516F" w:rsidRPr="00B91293" w:rsidRDefault="003D516F" w:rsidP="003D516F">
                  <w:pPr>
                    <w:rPr>
                      <w:rFonts w:ascii="Arial" w:hAnsi="Arial" w:cs="Arial"/>
                      <w:sz w:val="22"/>
                      <w:szCs w:val="22"/>
                    </w:rPr>
                  </w:pPr>
                  <w:r>
                    <w:rPr>
                      <w:rFonts w:ascii="Arial" w:hAnsi="Arial"/>
                      <w:sz w:val="22"/>
                    </w:rPr>
                    <w:t>38. Un élément ne peut pas être inscrit simultanément sur la Liste du patrimoine culturel immatériel nécessitant une sauvegarde urgente et sur la Liste représentative du patrimoine culturel immatériel de l’humanité. Un État partie peut demander qu’un élément soit transféré d’une liste à l’autre. Une telle demande doit prouver que l’élément satisfait à tous les critères de la liste dans laquelle le transfert est demandé, et est soumise selon les procédures et les délais établis pour les candidatures.</w:t>
                  </w:r>
                </w:p>
                <w:p w14:paraId="6DB54BAC" w14:textId="565AE0A1" w:rsidR="003D516F" w:rsidRPr="00EC301D" w:rsidRDefault="003D516F" w:rsidP="003D516F">
                  <w:pPr>
                    <w:rPr>
                      <w:rFonts w:ascii="Arial" w:hAnsi="Arial" w:cs="Arial"/>
                      <w:sz w:val="22"/>
                      <w:szCs w:val="22"/>
                    </w:rPr>
                  </w:pPr>
                </w:p>
              </w:tc>
              <w:tc>
                <w:tcPr>
                  <w:tcW w:w="5406" w:type="dxa"/>
                </w:tcPr>
                <w:p w14:paraId="183556E2" w14:textId="77777777" w:rsidR="00880D52" w:rsidRPr="00EC301D" w:rsidRDefault="00880D52" w:rsidP="003D516F">
                  <w:pPr>
                    <w:rPr>
                      <w:rFonts w:ascii="Arial" w:hAnsi="Arial" w:cs="Arial"/>
                      <w:sz w:val="22"/>
                      <w:szCs w:val="22"/>
                    </w:rPr>
                  </w:pPr>
                </w:p>
                <w:p w14:paraId="71766C7C" w14:textId="04E4B847" w:rsidR="00880D52" w:rsidRPr="00EC301D" w:rsidRDefault="00880D52" w:rsidP="003D516F">
                  <w:pPr>
                    <w:rPr>
                      <w:rFonts w:ascii="Arial" w:hAnsi="Arial" w:cs="Arial"/>
                      <w:sz w:val="22"/>
                      <w:szCs w:val="22"/>
                    </w:rPr>
                  </w:pPr>
                </w:p>
                <w:p w14:paraId="557E20CE" w14:textId="77777777" w:rsidR="00A92E2D" w:rsidRPr="00EC301D" w:rsidRDefault="00A92E2D" w:rsidP="003D516F">
                  <w:pPr>
                    <w:rPr>
                      <w:rFonts w:ascii="Arial" w:hAnsi="Arial" w:cs="Arial"/>
                      <w:sz w:val="22"/>
                      <w:szCs w:val="22"/>
                    </w:rPr>
                  </w:pPr>
                </w:p>
                <w:p w14:paraId="3DA952E5" w14:textId="77777777" w:rsidR="00880D52" w:rsidRPr="00EC301D" w:rsidRDefault="00880D52" w:rsidP="003D516F">
                  <w:pPr>
                    <w:rPr>
                      <w:rFonts w:ascii="Arial" w:hAnsi="Arial" w:cs="Arial"/>
                      <w:sz w:val="22"/>
                      <w:szCs w:val="22"/>
                    </w:rPr>
                  </w:pPr>
                </w:p>
                <w:p w14:paraId="170E73FE" w14:textId="6D0538F6" w:rsidR="00B00A82" w:rsidRPr="00B91293" w:rsidRDefault="00880D52" w:rsidP="003D516F">
                  <w:pPr>
                    <w:rPr>
                      <w:rFonts w:ascii="Arial" w:hAnsi="Arial" w:cs="Arial"/>
                      <w:sz w:val="22"/>
                      <w:szCs w:val="22"/>
                    </w:rPr>
                  </w:pPr>
                  <w:r>
                    <w:rPr>
                      <w:rFonts w:ascii="Arial" w:hAnsi="Arial"/>
                      <w:sz w:val="22"/>
                    </w:rPr>
                    <w:t>Ajout d’une consultation des communautés et de l’obtention de leur consentement, et explication d’une procédure simplifiée pour le transfert.</w:t>
                  </w:r>
                </w:p>
                <w:p w14:paraId="38F438D7" w14:textId="0C355F02" w:rsidR="00C96015" w:rsidRPr="00EC301D" w:rsidRDefault="00C96015" w:rsidP="003D516F">
                  <w:pPr>
                    <w:rPr>
                      <w:rFonts w:ascii="Arial" w:hAnsi="Arial" w:cs="Arial"/>
                      <w:sz w:val="22"/>
                      <w:szCs w:val="22"/>
                    </w:rPr>
                  </w:pPr>
                </w:p>
                <w:p w14:paraId="2622C509" w14:textId="33BD853E" w:rsidR="00C96015" w:rsidRPr="00B91293" w:rsidRDefault="5396E027" w:rsidP="7AF6513B">
                  <w:pPr>
                    <w:rPr>
                      <w:rFonts w:ascii="Arial" w:hAnsi="Arial" w:cs="Arial"/>
                      <w:sz w:val="22"/>
                      <w:szCs w:val="22"/>
                    </w:rPr>
                  </w:pPr>
                  <w:r>
                    <w:rPr>
                      <w:rFonts w:ascii="Arial" w:hAnsi="Arial"/>
                      <w:sz w:val="22"/>
                    </w:rPr>
                    <w:t>Critères de transfert différents des critères d’inscription : attention toute particulière au niveau de sauvegarde et de viabilité (nécessité d’un « </w:t>
                  </w:r>
                  <w:r w:rsidR="000D2039">
                    <w:rPr>
                      <w:rFonts w:ascii="Arial" w:hAnsi="Arial"/>
                      <w:sz w:val="22"/>
                    </w:rPr>
                    <w:t>soin intensif</w:t>
                  </w:r>
                  <w:r>
                    <w:rPr>
                      <w:rFonts w:ascii="Arial" w:hAnsi="Arial"/>
                      <w:sz w:val="22"/>
                    </w:rPr>
                    <w:t xml:space="preserve"> » pour les transferts à la LSU, et renforcement de la viabilité pour les transferts à la LR).  </w:t>
                  </w:r>
                </w:p>
                <w:p w14:paraId="656A554B" w14:textId="0FB950E6" w:rsidR="00C96015" w:rsidRPr="00EC301D" w:rsidRDefault="00C96015" w:rsidP="7AF6513B">
                  <w:pPr>
                    <w:rPr>
                      <w:rFonts w:ascii="Arial" w:hAnsi="Arial" w:cs="Arial"/>
                      <w:sz w:val="22"/>
                      <w:szCs w:val="22"/>
                    </w:rPr>
                  </w:pPr>
                </w:p>
                <w:p w14:paraId="768A8D77" w14:textId="06B8B8D0" w:rsidR="00C96015" w:rsidRPr="00B91293" w:rsidRDefault="0E859E3F" w:rsidP="003D516F">
                  <w:pPr>
                    <w:rPr>
                      <w:rFonts w:ascii="Arial" w:hAnsi="Arial" w:cs="Arial"/>
                      <w:sz w:val="22"/>
                      <w:szCs w:val="22"/>
                    </w:rPr>
                  </w:pPr>
                  <w:r>
                    <w:rPr>
                      <w:rFonts w:ascii="Arial" w:hAnsi="Arial"/>
                      <w:sz w:val="22"/>
                    </w:rPr>
                    <w:t>Procédure et form</w:t>
                  </w:r>
                  <w:r w:rsidR="00762408">
                    <w:rPr>
                      <w:rFonts w:ascii="Arial" w:hAnsi="Arial"/>
                      <w:sz w:val="22"/>
                    </w:rPr>
                    <w:t>ulaire simplifiés envisagés, l’O</w:t>
                  </w:r>
                  <w:r>
                    <w:rPr>
                      <w:rFonts w:ascii="Arial" w:hAnsi="Arial"/>
                      <w:sz w:val="22"/>
                    </w:rPr>
                    <w:t>rgane d’évaluation constituant l’organe approprié pour examiner les cas en question.</w:t>
                  </w:r>
                </w:p>
                <w:p w14:paraId="323BC444" w14:textId="237628E1" w:rsidR="5E4984A2" w:rsidRPr="00EC301D" w:rsidRDefault="5E4984A2" w:rsidP="5E4984A2">
                  <w:pPr>
                    <w:rPr>
                      <w:sz w:val="22"/>
                      <w:szCs w:val="22"/>
                    </w:rPr>
                  </w:pPr>
                </w:p>
                <w:p w14:paraId="4DA7969A" w14:textId="127868D1" w:rsidR="54078F1F" w:rsidRPr="00B91293" w:rsidRDefault="758C304F" w:rsidP="5E4984A2">
                  <w:pPr>
                    <w:rPr>
                      <w:rFonts w:ascii="Arial" w:hAnsi="Arial" w:cs="Arial"/>
                      <w:sz w:val="22"/>
                      <w:szCs w:val="22"/>
                    </w:rPr>
                  </w:pPr>
                  <w:r>
                    <w:rPr>
                      <w:rFonts w:ascii="Arial" w:hAnsi="Arial"/>
                      <w:sz w:val="22"/>
                    </w:rPr>
                    <w:t>Transferts potentiels (quel qu’en soit le sens) déclenchés sur la base d’un rapport périodique ou autre procédure.</w:t>
                  </w:r>
                </w:p>
                <w:p w14:paraId="139ED651" w14:textId="440D1516" w:rsidR="2D5C0E44" w:rsidRPr="00EC301D" w:rsidRDefault="2D5C0E44" w:rsidP="2D5C0E44">
                  <w:pPr>
                    <w:rPr>
                      <w:sz w:val="22"/>
                      <w:szCs w:val="22"/>
                    </w:rPr>
                  </w:pPr>
                </w:p>
                <w:p w14:paraId="67BE5380" w14:textId="128E1E8F" w:rsidR="72E9E420" w:rsidRPr="00B91293" w:rsidRDefault="72E9E420" w:rsidP="2D5C0E44">
                  <w:pPr>
                    <w:rPr>
                      <w:sz w:val="22"/>
                      <w:szCs w:val="22"/>
                    </w:rPr>
                  </w:pPr>
                  <w:r>
                    <w:rPr>
                      <w:rFonts w:ascii="Arial" w:hAnsi="Arial"/>
                      <w:sz w:val="22"/>
                    </w:rPr>
                    <w:t>Possibilité de lancement d’une Mission consultative pour les transferts.</w:t>
                  </w:r>
                </w:p>
                <w:p w14:paraId="087D68B3" w14:textId="1CA9FE06" w:rsidR="5D11B1AF" w:rsidRPr="00EC301D" w:rsidRDefault="5D11B1AF" w:rsidP="5D11B1AF">
                  <w:pPr>
                    <w:rPr>
                      <w:sz w:val="22"/>
                      <w:szCs w:val="22"/>
                    </w:rPr>
                  </w:pPr>
                </w:p>
                <w:p w14:paraId="03B2AF5F" w14:textId="575CC603" w:rsidR="3B74C35C" w:rsidRPr="00B91293" w:rsidRDefault="3B74C35C" w:rsidP="5D11B1AF">
                  <w:pPr>
                    <w:rPr>
                      <w:sz w:val="22"/>
                      <w:szCs w:val="22"/>
                    </w:rPr>
                  </w:pPr>
                  <w:r>
                    <w:rPr>
                      <w:rFonts w:ascii="Arial" w:hAnsi="Arial"/>
                      <w:sz w:val="22"/>
                    </w:rPr>
                    <w:t>Nécessité de prise en compte des Principes éthiques dans la procédure.</w:t>
                  </w:r>
                </w:p>
                <w:p w14:paraId="5F250456" w14:textId="68AE9F8C" w:rsidR="00B00A82" w:rsidRPr="00B91293" w:rsidRDefault="00B00A82" w:rsidP="003D516F">
                  <w:pPr>
                    <w:rPr>
                      <w:rFonts w:ascii="Arial" w:hAnsi="Arial" w:cs="Arial"/>
                      <w:sz w:val="22"/>
                      <w:szCs w:val="22"/>
                    </w:rPr>
                  </w:pPr>
                  <w:r>
                    <w:rPr>
                      <w:rFonts w:ascii="Arial" w:hAnsi="Arial"/>
                      <w:sz w:val="22"/>
                    </w:rPr>
                    <w:t xml:space="preserve"> </w:t>
                  </w:r>
                </w:p>
              </w:tc>
            </w:tr>
            <w:tr w:rsidR="00B91293" w:rsidRPr="00B91293" w14:paraId="4CD4EEF2" w14:textId="77777777" w:rsidTr="001627E9">
              <w:tc>
                <w:tcPr>
                  <w:tcW w:w="3434" w:type="dxa"/>
                </w:tcPr>
                <w:p w14:paraId="277DEA20" w14:textId="320A2155" w:rsidR="003D516F" w:rsidRPr="00B91293" w:rsidRDefault="67DDE061" w:rsidP="003D516F">
                  <w:pPr>
                    <w:rPr>
                      <w:rFonts w:ascii="Arial" w:hAnsi="Arial" w:cs="Arial"/>
                      <w:sz w:val="22"/>
                      <w:szCs w:val="22"/>
                    </w:rPr>
                  </w:pPr>
                  <w:r>
                    <w:rPr>
                      <w:rFonts w:ascii="Arial" w:hAnsi="Arial"/>
                      <w:sz w:val="22"/>
                    </w:rPr>
                    <w:t xml:space="preserve">39. Un élément est retiré de la Liste du patrimoine culturel immatériel nécessitant une sauvegarde urgente par le Comité lorsqu’il estime, après analyse de la mise en œuvre du plan de sauvegarde, que cet </w:t>
                  </w:r>
                  <w:r>
                    <w:rPr>
                      <w:rFonts w:ascii="Arial" w:hAnsi="Arial"/>
                      <w:sz w:val="22"/>
                    </w:rPr>
                    <w:lastRenderedPageBreak/>
                    <w:t>élément ne remplit plus un ou plusieurs des critères d’inscription sur cette liste.</w:t>
                  </w:r>
                </w:p>
                <w:p w14:paraId="49AD7872" w14:textId="77777777" w:rsidR="003D516F" w:rsidRPr="00EC301D" w:rsidRDefault="003D516F" w:rsidP="003D516F">
                  <w:pPr>
                    <w:rPr>
                      <w:rFonts w:ascii="Arial" w:hAnsi="Arial" w:cs="Arial"/>
                      <w:sz w:val="22"/>
                      <w:szCs w:val="22"/>
                    </w:rPr>
                  </w:pPr>
                </w:p>
                <w:p w14:paraId="5014338A" w14:textId="77777777" w:rsidR="003D516F" w:rsidRPr="00B91293" w:rsidRDefault="67DDE061" w:rsidP="001627E9">
                  <w:pPr>
                    <w:rPr>
                      <w:rFonts w:ascii="Arial" w:hAnsi="Arial" w:cs="Arial"/>
                      <w:sz w:val="22"/>
                      <w:szCs w:val="22"/>
                    </w:rPr>
                  </w:pPr>
                  <w:r>
                    <w:rPr>
                      <w:rFonts w:ascii="Arial" w:hAnsi="Arial"/>
                      <w:sz w:val="22"/>
                    </w:rPr>
                    <w:t>40. Un élément est retiré de la Liste représentative du patrimoine culturel immatériel de l’humanité par le Comité lorsqu’il estime qu’il ne remplit plus un ou plusieurs des critères d’inscription sur cette liste.</w:t>
                  </w:r>
                </w:p>
                <w:p w14:paraId="4C7861E6" w14:textId="7D57AC67" w:rsidR="003D516F" w:rsidRPr="00EC301D" w:rsidRDefault="003D516F" w:rsidP="003D516F">
                  <w:pPr>
                    <w:rPr>
                      <w:rFonts w:ascii="Arial" w:hAnsi="Arial" w:cs="Arial"/>
                      <w:sz w:val="22"/>
                      <w:szCs w:val="22"/>
                    </w:rPr>
                  </w:pPr>
                </w:p>
              </w:tc>
              <w:tc>
                <w:tcPr>
                  <w:tcW w:w="5406" w:type="dxa"/>
                </w:tcPr>
                <w:p w14:paraId="6D57B5BA" w14:textId="7F5FDAC4" w:rsidR="448AB933" w:rsidRPr="00B91293" w:rsidRDefault="448AB933" w:rsidP="2D5C0E44">
                  <w:pPr>
                    <w:rPr>
                      <w:rFonts w:ascii="Arial" w:hAnsi="Arial" w:cs="Arial"/>
                      <w:sz w:val="22"/>
                      <w:szCs w:val="22"/>
                    </w:rPr>
                  </w:pPr>
                  <w:r>
                    <w:rPr>
                      <w:rFonts w:ascii="Arial" w:hAnsi="Arial"/>
                      <w:sz w:val="22"/>
                    </w:rPr>
                    <w:lastRenderedPageBreak/>
                    <w:t xml:space="preserve">Mise en commun des </w:t>
                  </w:r>
                  <w:r w:rsidR="000D2039">
                    <w:rPr>
                      <w:rFonts w:ascii="Arial" w:hAnsi="Arial"/>
                      <w:sz w:val="22"/>
                    </w:rPr>
                    <w:t>DO </w:t>
                  </w:r>
                  <w:r>
                    <w:rPr>
                      <w:rFonts w:ascii="Arial" w:hAnsi="Arial"/>
                      <w:sz w:val="22"/>
                    </w:rPr>
                    <w:t xml:space="preserve">39 et 40, et intégration d’une nouvelle </w:t>
                  </w:r>
                  <w:r w:rsidR="000D2039">
                    <w:rPr>
                      <w:rFonts w:ascii="Arial" w:hAnsi="Arial"/>
                      <w:sz w:val="22"/>
                    </w:rPr>
                    <w:t>DO</w:t>
                  </w:r>
                  <w:r>
                    <w:rPr>
                      <w:rFonts w:ascii="Arial" w:hAnsi="Arial"/>
                      <w:sz w:val="22"/>
                    </w:rPr>
                    <w:t xml:space="preserve"> expliquant un retrait lorsqu’un élément ne répond pas aux critères, après consultation de la communauté, et mise à disposition d’une période de mesure temporaire pour la surveillance de l’élément.</w:t>
                  </w:r>
                </w:p>
                <w:p w14:paraId="4AF260EC" w14:textId="7F2E396C" w:rsidR="2D5C0E44" w:rsidRPr="00EC301D" w:rsidRDefault="2D5C0E44" w:rsidP="2D5C0E44">
                  <w:pPr>
                    <w:rPr>
                      <w:sz w:val="22"/>
                      <w:szCs w:val="22"/>
                    </w:rPr>
                  </w:pPr>
                </w:p>
                <w:p w14:paraId="4A8132FD" w14:textId="2BD63C6E" w:rsidR="3E2B532D" w:rsidRPr="00B91293" w:rsidRDefault="3E2B532D" w:rsidP="2D5C0E44">
                  <w:pPr>
                    <w:rPr>
                      <w:rFonts w:ascii="Arial" w:hAnsi="Arial" w:cs="Arial"/>
                      <w:sz w:val="22"/>
                      <w:szCs w:val="22"/>
                    </w:rPr>
                  </w:pPr>
                  <w:r>
                    <w:rPr>
                      <w:rFonts w:ascii="Arial" w:hAnsi="Arial"/>
                      <w:sz w:val="22"/>
                    </w:rPr>
                    <w:lastRenderedPageBreak/>
                    <w:t>Raisons d’un retrait pouvant se restreindre à un non-respect de la définition des PCI selon la Convention, y compris ceux relatifs aux droits de l’homme, au respect mutuel et/ou au développement durable.</w:t>
                  </w:r>
                </w:p>
                <w:p w14:paraId="12472BB2" w14:textId="27FFE6E3" w:rsidR="00880D52" w:rsidRPr="00EC301D" w:rsidRDefault="00880D52" w:rsidP="5E4984A2">
                  <w:pPr>
                    <w:rPr>
                      <w:rFonts w:ascii="Arial" w:hAnsi="Arial" w:cs="Arial"/>
                      <w:sz w:val="22"/>
                      <w:szCs w:val="22"/>
                    </w:rPr>
                  </w:pPr>
                </w:p>
                <w:p w14:paraId="59D2DF72" w14:textId="26F19D30" w:rsidR="00880D52" w:rsidRPr="00B91293" w:rsidRDefault="00AD4758" w:rsidP="5D11B1AF">
                  <w:pPr>
                    <w:rPr>
                      <w:rFonts w:ascii="Arial" w:hAnsi="Arial" w:cs="Arial"/>
                      <w:sz w:val="22"/>
                      <w:szCs w:val="22"/>
                    </w:rPr>
                  </w:pPr>
                  <w:r>
                    <w:rPr>
                      <w:rFonts w:ascii="Arial" w:hAnsi="Arial"/>
                      <w:sz w:val="22"/>
                    </w:rPr>
                    <w:t>Consultation équitable, inclusive et transparente avec les communautés concernées et autres parties intéressées.</w:t>
                  </w:r>
                </w:p>
                <w:p w14:paraId="38A40521" w14:textId="07658D3F" w:rsidR="001627E9" w:rsidRPr="00EC301D" w:rsidRDefault="001627E9" w:rsidP="5D11B1AF">
                  <w:pPr>
                    <w:rPr>
                      <w:rFonts w:ascii="Arial" w:hAnsi="Arial" w:cs="Arial"/>
                      <w:sz w:val="22"/>
                      <w:szCs w:val="22"/>
                    </w:rPr>
                  </w:pPr>
                </w:p>
                <w:p w14:paraId="5DE85D96" w14:textId="45A6812F" w:rsidR="001627E9" w:rsidRPr="00B91293" w:rsidRDefault="001627E9" w:rsidP="5D11B1AF">
                  <w:pPr>
                    <w:rPr>
                      <w:rFonts w:ascii="Arial" w:hAnsi="Arial" w:cs="Arial"/>
                      <w:sz w:val="22"/>
                      <w:szCs w:val="22"/>
                    </w:rPr>
                  </w:pPr>
                  <w:r>
                    <w:rPr>
                      <w:rFonts w:ascii="Arial" w:hAnsi="Arial"/>
                      <w:sz w:val="22"/>
                    </w:rPr>
                    <w:t>Mission de consultation sur les retraits.</w:t>
                  </w:r>
                </w:p>
                <w:p w14:paraId="06B91DA5" w14:textId="77777777" w:rsidR="001627E9" w:rsidRPr="00EC301D" w:rsidRDefault="001627E9" w:rsidP="5D11B1AF">
                  <w:pPr>
                    <w:rPr>
                      <w:rFonts w:ascii="Arial" w:hAnsi="Arial" w:cs="Arial"/>
                      <w:sz w:val="22"/>
                      <w:szCs w:val="22"/>
                    </w:rPr>
                  </w:pPr>
                </w:p>
                <w:p w14:paraId="23E7C96F" w14:textId="147DD6F2" w:rsidR="00880D52" w:rsidRPr="00B91293" w:rsidRDefault="24F154BE" w:rsidP="7AF6513B">
                  <w:pPr>
                    <w:rPr>
                      <w:sz w:val="22"/>
                      <w:szCs w:val="22"/>
                    </w:rPr>
                  </w:pPr>
                  <w:r>
                    <w:rPr>
                      <w:rFonts w:ascii="Arial" w:hAnsi="Arial"/>
                      <w:sz w:val="22"/>
                    </w:rPr>
                    <w:t>Nécessité de prise en compte des Principes éthiques dans la procédure.</w:t>
                  </w:r>
                </w:p>
                <w:p w14:paraId="41509E47" w14:textId="4F0FC99D" w:rsidR="00880D52" w:rsidRPr="00EC301D" w:rsidRDefault="00880D52" w:rsidP="5E4984A2">
                  <w:pPr>
                    <w:rPr>
                      <w:sz w:val="22"/>
                      <w:szCs w:val="22"/>
                    </w:rPr>
                  </w:pPr>
                </w:p>
              </w:tc>
            </w:tr>
          </w:tbl>
          <w:p w14:paraId="77D4C97F" w14:textId="77777777" w:rsidR="00237E5E" w:rsidRPr="00EC301D" w:rsidRDefault="00237E5E" w:rsidP="001650E7">
            <w:pPr>
              <w:rPr>
                <w:rFonts w:ascii="Arial" w:hAnsi="Arial" w:cs="Arial"/>
                <w:snapToGrid w:val="0"/>
                <w:sz w:val="22"/>
                <w:szCs w:val="22"/>
                <w:lang w:eastAsia="zh-CN"/>
              </w:rPr>
            </w:pPr>
          </w:p>
          <w:p w14:paraId="3942F7E9" w14:textId="77777777" w:rsidR="00237E5E" w:rsidRPr="00B91293" w:rsidRDefault="00237E5E" w:rsidP="001650E7">
            <w:pPr>
              <w:rPr>
                <w:rFonts w:ascii="Arial" w:hAnsi="Arial" w:cs="Arial"/>
                <w:snapToGrid w:val="0"/>
                <w:sz w:val="22"/>
                <w:szCs w:val="22"/>
              </w:rPr>
            </w:pPr>
            <w:r>
              <w:rPr>
                <w:rFonts w:ascii="Arial" w:hAnsi="Arial"/>
                <w:snapToGrid w:val="0"/>
                <w:sz w:val="22"/>
              </w:rPr>
              <w:t>Dans le même temps, il convient de tenir compte des éléments suivants :</w:t>
            </w:r>
          </w:p>
          <w:p w14:paraId="592D7957" w14:textId="77777777" w:rsidR="00237E5E" w:rsidRPr="00EC301D" w:rsidRDefault="00237E5E" w:rsidP="001650E7">
            <w:pPr>
              <w:rPr>
                <w:rFonts w:ascii="Arial" w:hAnsi="Arial" w:cs="Arial"/>
                <w:snapToGrid w:val="0"/>
                <w:sz w:val="22"/>
                <w:szCs w:val="22"/>
                <w:lang w:eastAsia="zh-CN"/>
              </w:rPr>
            </w:pPr>
          </w:p>
          <w:p w14:paraId="760478DD" w14:textId="0D3F0D3C" w:rsidR="00754B5D" w:rsidRPr="00B91293" w:rsidRDefault="36BEE1EF" w:rsidP="00754B5D">
            <w:pPr>
              <w:pStyle w:val="Paragraphedeliste"/>
              <w:numPr>
                <w:ilvl w:val="0"/>
                <w:numId w:val="25"/>
              </w:numPr>
              <w:jc w:val="both"/>
              <w:rPr>
                <w:rFonts w:ascii="Arial" w:hAnsi="Arial" w:cs="Arial"/>
                <w:snapToGrid w:val="0"/>
                <w:sz w:val="22"/>
                <w:szCs w:val="22"/>
              </w:rPr>
            </w:pPr>
            <w:r>
              <w:rPr>
                <w:rFonts w:ascii="Arial" w:hAnsi="Arial"/>
                <w:sz w:val="22"/>
              </w:rPr>
              <w:t>Il est essentiel de reconnaître les deux</w:t>
            </w:r>
            <w:r>
              <w:rPr>
                <w:rFonts w:ascii="Arial" w:hAnsi="Arial"/>
                <w:b/>
                <w:sz w:val="22"/>
              </w:rPr>
              <w:t xml:space="preserve"> </w:t>
            </w:r>
            <w:r>
              <w:rPr>
                <w:rFonts w:ascii="Arial" w:hAnsi="Arial"/>
                <w:sz w:val="22"/>
              </w:rPr>
              <w:t>Listes comme</w:t>
            </w:r>
            <w:r w:rsidR="00522A99">
              <w:rPr>
                <w:rFonts w:ascii="Arial" w:hAnsi="Arial"/>
                <w:sz w:val="22"/>
              </w:rPr>
              <w:t xml:space="preserve"> </w:t>
            </w:r>
            <w:r w:rsidR="003431A1" w:rsidRPr="00594A9E">
              <w:rPr>
                <w:rFonts w:ascii="Arial" w:hAnsi="Arial"/>
                <w:b/>
                <w:bCs/>
                <w:sz w:val="22"/>
              </w:rPr>
              <w:t>ayant la même valeur</w:t>
            </w:r>
            <w:r>
              <w:rPr>
                <w:rFonts w:ascii="Arial" w:hAnsi="Arial"/>
                <w:sz w:val="22"/>
              </w:rPr>
              <w:t>. En d’autres termes, il conviendrait d’éviter les formulations telles que « déclassement » et « surclassement », afin que les transferts soient considérés comme horizontaux et non verticaux. La LSU doit être considérée comme une option permettant à un élément de bénéficier d’un « </w:t>
            </w:r>
            <w:r w:rsidR="003431A1">
              <w:rPr>
                <w:rFonts w:ascii="Arial" w:hAnsi="Arial"/>
                <w:sz w:val="22"/>
              </w:rPr>
              <w:t xml:space="preserve">soin </w:t>
            </w:r>
            <w:r>
              <w:rPr>
                <w:rFonts w:ascii="Arial" w:hAnsi="Arial"/>
                <w:sz w:val="22"/>
              </w:rPr>
              <w:t>intensi</w:t>
            </w:r>
            <w:r w:rsidR="003431A1">
              <w:rPr>
                <w:rFonts w:ascii="Arial" w:hAnsi="Arial"/>
                <w:sz w:val="22"/>
              </w:rPr>
              <w:t>f</w:t>
            </w:r>
            <w:r>
              <w:rPr>
                <w:rFonts w:ascii="Arial" w:hAnsi="Arial"/>
                <w:sz w:val="22"/>
              </w:rPr>
              <w:t> », dont les raisons peuvent être variées ;</w:t>
            </w:r>
          </w:p>
          <w:p w14:paraId="4D77F8E2" w14:textId="77777777" w:rsidR="00754B5D" w:rsidRPr="00EC301D" w:rsidRDefault="00754B5D" w:rsidP="00754B5D">
            <w:pPr>
              <w:pStyle w:val="Paragraphedeliste"/>
              <w:jc w:val="both"/>
              <w:rPr>
                <w:rFonts w:ascii="Arial" w:hAnsi="Arial" w:cs="Arial"/>
                <w:snapToGrid w:val="0"/>
                <w:sz w:val="22"/>
                <w:szCs w:val="22"/>
                <w:lang w:eastAsia="zh-CN"/>
              </w:rPr>
            </w:pPr>
          </w:p>
          <w:p w14:paraId="52F47A99" w14:textId="597198EC" w:rsidR="00754B5D" w:rsidRPr="00B91293" w:rsidRDefault="00754B5D" w:rsidP="00754B5D">
            <w:pPr>
              <w:pStyle w:val="Paragraphedeliste"/>
              <w:numPr>
                <w:ilvl w:val="0"/>
                <w:numId w:val="25"/>
              </w:numPr>
              <w:jc w:val="both"/>
              <w:rPr>
                <w:rFonts w:ascii="Arial" w:hAnsi="Arial" w:cs="Arial"/>
                <w:snapToGrid w:val="0"/>
                <w:sz w:val="22"/>
                <w:szCs w:val="22"/>
              </w:rPr>
            </w:pPr>
            <w:r>
              <w:rPr>
                <w:rFonts w:ascii="Arial" w:hAnsi="Arial"/>
                <w:sz w:val="22"/>
              </w:rPr>
              <w:t>La proposition de révisions des objectifs et des critères d’inscription de la LR (</w:t>
            </w:r>
            <w:r>
              <w:rPr>
                <w:rFonts w:ascii="Arial" w:hAnsi="Arial"/>
                <w:i/>
                <w:sz w:val="22"/>
              </w:rPr>
              <w:t>voir Thème A</w:t>
            </w:r>
            <w:r>
              <w:rPr>
                <w:rFonts w:ascii="Arial" w:hAnsi="Arial"/>
                <w:sz w:val="22"/>
              </w:rPr>
              <w:t>) permettrait d’</w:t>
            </w:r>
            <w:r>
              <w:rPr>
                <w:rFonts w:ascii="Arial" w:hAnsi="Arial"/>
                <w:b/>
                <w:sz w:val="22"/>
              </w:rPr>
              <w:t>aligner plus étroitement les deux Listes</w:t>
            </w:r>
            <w:r>
              <w:rPr>
                <w:rFonts w:ascii="Arial" w:hAnsi="Arial"/>
                <w:sz w:val="22"/>
              </w:rPr>
              <w:t>, mais aussi de faciliter les procédures de transfert entre elles.</w:t>
            </w:r>
          </w:p>
          <w:p w14:paraId="172A46F8" w14:textId="77777777" w:rsidR="003F5E7F" w:rsidRPr="00EC301D" w:rsidRDefault="003F5E7F" w:rsidP="00BD765F">
            <w:pPr>
              <w:jc w:val="both"/>
              <w:rPr>
                <w:rFonts w:ascii="Arial" w:hAnsi="Arial" w:cs="Arial"/>
                <w:snapToGrid w:val="0"/>
                <w:sz w:val="22"/>
                <w:szCs w:val="22"/>
                <w:lang w:eastAsia="zh-CN"/>
              </w:rPr>
            </w:pPr>
          </w:p>
          <w:p w14:paraId="28A24633" w14:textId="307645A5" w:rsidR="00237E5E" w:rsidRPr="00B91293" w:rsidRDefault="37C015D5" w:rsidP="00724485">
            <w:pPr>
              <w:pStyle w:val="Paragraphedeliste"/>
              <w:numPr>
                <w:ilvl w:val="0"/>
                <w:numId w:val="25"/>
              </w:numPr>
              <w:jc w:val="both"/>
              <w:rPr>
                <w:rFonts w:ascii="Arial" w:hAnsi="Arial" w:cs="Arial"/>
                <w:snapToGrid w:val="0"/>
                <w:sz w:val="22"/>
                <w:szCs w:val="22"/>
              </w:rPr>
            </w:pPr>
            <w:r>
              <w:rPr>
                <w:rFonts w:ascii="Arial" w:hAnsi="Arial"/>
                <w:sz w:val="22"/>
              </w:rPr>
              <w:t xml:space="preserve">Dans le cas d’un élément inscrit à la LR, même lorsqu’il devient menacé, les parties intéressées peuvent entreprendre des mesures de sauvegarde supplémentaires, ce qui permet d’éviter un transfert en vue de bénéficier de l’option </w:t>
            </w:r>
            <w:proofErr w:type="gramStart"/>
            <w:r>
              <w:rPr>
                <w:rFonts w:ascii="Arial" w:hAnsi="Arial"/>
                <w:sz w:val="22"/>
              </w:rPr>
              <w:t>d</w:t>
            </w:r>
            <w:r w:rsidR="003431A1">
              <w:rPr>
                <w:rFonts w:ascii="Arial" w:hAnsi="Arial"/>
                <w:sz w:val="22"/>
              </w:rPr>
              <w:t>e</w:t>
            </w:r>
            <w:r>
              <w:rPr>
                <w:rFonts w:ascii="Arial" w:hAnsi="Arial"/>
                <w:sz w:val="22"/>
              </w:rPr>
              <w:t>«</w:t>
            </w:r>
            <w:r w:rsidR="003431A1">
              <w:rPr>
                <w:rFonts w:ascii="Arial" w:hAnsi="Arial"/>
                <w:sz w:val="22"/>
              </w:rPr>
              <w:t>soin</w:t>
            </w:r>
            <w:proofErr w:type="gramEnd"/>
            <w:r w:rsidR="003431A1">
              <w:rPr>
                <w:rFonts w:ascii="Arial" w:hAnsi="Arial"/>
                <w:sz w:val="22"/>
              </w:rPr>
              <w:t xml:space="preserve"> intensif</w:t>
            </w:r>
            <w:r>
              <w:rPr>
                <w:rFonts w:ascii="Arial" w:hAnsi="Arial"/>
                <w:sz w:val="22"/>
              </w:rPr>
              <w:t xml:space="preserve"> » via un soutien technique et financier. Par ailleurs, les </w:t>
            </w:r>
            <w:r>
              <w:rPr>
                <w:rFonts w:ascii="Arial" w:hAnsi="Arial"/>
                <w:b/>
                <w:snapToGrid w:val="0"/>
                <w:sz w:val="22"/>
              </w:rPr>
              <w:t>menaces</w:t>
            </w:r>
            <w:r>
              <w:rPr>
                <w:rFonts w:ascii="Arial" w:hAnsi="Arial"/>
                <w:snapToGrid w:val="0"/>
                <w:sz w:val="22"/>
              </w:rPr>
              <w:t xml:space="preserve"> à la viabilité de l’élément sont souvent </w:t>
            </w:r>
            <w:r>
              <w:rPr>
                <w:rFonts w:ascii="Arial" w:hAnsi="Arial"/>
                <w:b/>
                <w:snapToGrid w:val="0"/>
                <w:sz w:val="22"/>
              </w:rPr>
              <w:t>externes</w:t>
            </w:r>
            <w:r>
              <w:rPr>
                <w:rFonts w:ascii="Arial" w:hAnsi="Arial"/>
                <w:snapToGrid w:val="0"/>
                <w:sz w:val="22"/>
              </w:rPr>
              <w:t xml:space="preserve"> à la communauté, et peuvent même être externes à l’État, auquel cas un transfert ne règlerait pas le problème ; </w:t>
            </w:r>
          </w:p>
          <w:p w14:paraId="73DA57C3" w14:textId="77777777" w:rsidR="003E1360" w:rsidRPr="00EC301D" w:rsidRDefault="003E1360" w:rsidP="00C649E0">
            <w:pPr>
              <w:jc w:val="both"/>
              <w:rPr>
                <w:rFonts w:ascii="Arial" w:hAnsi="Arial" w:cs="Arial"/>
                <w:snapToGrid w:val="0"/>
                <w:sz w:val="22"/>
                <w:szCs w:val="22"/>
                <w:lang w:eastAsia="zh-CN"/>
              </w:rPr>
            </w:pPr>
          </w:p>
          <w:p w14:paraId="5466B233" w14:textId="7134E459" w:rsidR="008A07AC" w:rsidRPr="00B91293" w:rsidRDefault="1547F7E9" w:rsidP="002C614F">
            <w:pPr>
              <w:pStyle w:val="Paragraphedeliste"/>
              <w:numPr>
                <w:ilvl w:val="0"/>
                <w:numId w:val="25"/>
              </w:numPr>
              <w:jc w:val="both"/>
              <w:rPr>
                <w:rFonts w:ascii="Arial" w:hAnsi="Arial" w:cs="Arial"/>
                <w:snapToGrid w:val="0"/>
                <w:sz w:val="22"/>
                <w:szCs w:val="22"/>
              </w:rPr>
            </w:pPr>
            <w:r>
              <w:rPr>
                <w:rFonts w:ascii="Arial" w:hAnsi="Arial"/>
                <w:sz w:val="22"/>
              </w:rPr>
              <w:t xml:space="preserve">Il convient également de respecter et de suivre les </w:t>
            </w:r>
            <w:r>
              <w:rPr>
                <w:rFonts w:ascii="Arial" w:hAnsi="Arial"/>
                <w:b/>
                <w:sz w:val="22"/>
              </w:rPr>
              <w:t>Principes éthiques</w:t>
            </w:r>
            <w:r>
              <w:rPr>
                <w:rFonts w:ascii="Arial" w:hAnsi="Arial"/>
                <w:sz w:val="22"/>
              </w:rPr>
              <w:t xml:space="preserve"> lorsqu’il s’agit d’envisager le transfert d’un élément, et en particulier l’exigence relative au consentement de la communauté ; </w:t>
            </w:r>
          </w:p>
          <w:p w14:paraId="7C795A5D" w14:textId="77777777" w:rsidR="00A8390D" w:rsidRPr="00EC301D" w:rsidRDefault="00A8390D" w:rsidP="00A8390D">
            <w:pPr>
              <w:pStyle w:val="Paragraphedeliste"/>
              <w:rPr>
                <w:rFonts w:ascii="Arial" w:hAnsi="Arial" w:cs="Arial"/>
                <w:snapToGrid w:val="0"/>
                <w:sz w:val="22"/>
                <w:szCs w:val="22"/>
                <w:lang w:eastAsia="zh-CN"/>
              </w:rPr>
            </w:pPr>
          </w:p>
          <w:p w14:paraId="4CF16576" w14:textId="445AA528" w:rsidR="00A447AD" w:rsidRPr="00B91293" w:rsidRDefault="00A8390D" w:rsidP="00150D78">
            <w:pPr>
              <w:pStyle w:val="Paragraphedeliste"/>
              <w:numPr>
                <w:ilvl w:val="0"/>
                <w:numId w:val="25"/>
              </w:numPr>
              <w:jc w:val="both"/>
              <w:rPr>
                <w:snapToGrid w:val="0"/>
              </w:rPr>
            </w:pPr>
            <w:r>
              <w:rPr>
                <w:rFonts w:ascii="Arial" w:hAnsi="Arial"/>
                <w:snapToGrid w:val="0"/>
                <w:sz w:val="22"/>
              </w:rPr>
              <w:t xml:space="preserve">Par ailleurs, l’usage de la (ou des) </w:t>
            </w:r>
            <w:r>
              <w:rPr>
                <w:rFonts w:ascii="Arial" w:hAnsi="Arial"/>
                <w:b/>
                <w:snapToGrid w:val="0"/>
                <w:sz w:val="22"/>
              </w:rPr>
              <w:t>langue(s)</w:t>
            </w:r>
            <w:r>
              <w:rPr>
                <w:rFonts w:ascii="Arial" w:hAnsi="Arial"/>
                <w:snapToGrid w:val="0"/>
                <w:sz w:val="22"/>
              </w:rPr>
              <w:t xml:space="preserve"> locale(s) ou </w:t>
            </w:r>
            <w:r w:rsidR="003431A1">
              <w:rPr>
                <w:rFonts w:ascii="Arial" w:hAnsi="Arial"/>
                <w:snapToGrid w:val="0"/>
                <w:sz w:val="22"/>
              </w:rPr>
              <w:t>autochtone</w:t>
            </w:r>
            <w:r>
              <w:rPr>
                <w:rFonts w:ascii="Arial" w:hAnsi="Arial"/>
                <w:snapToGrid w:val="0"/>
                <w:sz w:val="22"/>
              </w:rPr>
              <w:t>(s) de la communauté est tout aussi pertinent en ce qui concerne la procédure de transfert, par exemple dans le cadre des rapports périodiques démontrant la viabilité de l’élément et la possibilité de transfert (rapport complet des éléments inscrits sur la LSU, ou partie C dans le rapport général pour la mise en œuvre de la Convention, et éléments inscrits sur la LR).</w:t>
            </w:r>
          </w:p>
          <w:p w14:paraId="6ABF4AAC" w14:textId="77777777" w:rsidR="00237E5E" w:rsidRPr="00EC301D" w:rsidRDefault="00237E5E" w:rsidP="001650E7">
            <w:pPr>
              <w:rPr>
                <w:rFonts w:ascii="Arial" w:hAnsi="Arial" w:cs="Arial"/>
                <w:snapToGrid w:val="0"/>
                <w:sz w:val="22"/>
                <w:szCs w:val="22"/>
                <w:lang w:eastAsia="zh-CN"/>
              </w:rPr>
            </w:pPr>
          </w:p>
          <w:p w14:paraId="47A09C8C" w14:textId="26942285" w:rsidR="00237E5E" w:rsidRPr="00B91293" w:rsidRDefault="00237E5E" w:rsidP="00730369">
            <w:pPr>
              <w:jc w:val="both"/>
              <w:rPr>
                <w:rFonts w:ascii="Arial" w:hAnsi="Arial" w:cs="Arial"/>
                <w:snapToGrid w:val="0"/>
                <w:sz w:val="22"/>
                <w:szCs w:val="22"/>
              </w:rPr>
            </w:pPr>
            <w:r>
              <w:rPr>
                <w:rFonts w:ascii="Arial" w:hAnsi="Arial"/>
                <w:snapToGrid w:val="0"/>
                <w:sz w:val="22"/>
              </w:rPr>
              <w:t xml:space="preserve">En ce qui concerne le lien entre le transfert et l’obligation de </w:t>
            </w:r>
            <w:r>
              <w:rPr>
                <w:rFonts w:ascii="Arial" w:hAnsi="Arial"/>
                <w:b/>
                <w:snapToGrid w:val="0"/>
                <w:sz w:val="22"/>
              </w:rPr>
              <w:t>rapport périodique</w:t>
            </w:r>
            <w:r>
              <w:rPr>
                <w:rFonts w:ascii="Arial" w:hAnsi="Arial"/>
                <w:snapToGrid w:val="0"/>
                <w:sz w:val="22"/>
              </w:rPr>
              <w:t>, le groupe 2 recommande les deux options suivantes :</w:t>
            </w:r>
          </w:p>
          <w:p w14:paraId="77A28E8F" w14:textId="77777777" w:rsidR="00237E5E" w:rsidRPr="00EC301D" w:rsidRDefault="00237E5E" w:rsidP="001650E7">
            <w:pPr>
              <w:rPr>
                <w:rFonts w:ascii="Arial" w:hAnsi="Arial" w:cs="Arial"/>
                <w:snapToGrid w:val="0"/>
                <w:sz w:val="22"/>
                <w:szCs w:val="22"/>
                <w:lang w:eastAsia="zh-CN"/>
              </w:rPr>
            </w:pPr>
          </w:p>
          <w:p w14:paraId="2D0127FE" w14:textId="5BB97B44" w:rsidR="00DD6DB0" w:rsidRPr="00B91293" w:rsidRDefault="00237E5E" w:rsidP="00890F65">
            <w:pPr>
              <w:jc w:val="both"/>
              <w:rPr>
                <w:rFonts w:ascii="Arial" w:hAnsi="Arial" w:cs="Arial"/>
                <w:snapToGrid w:val="0"/>
                <w:sz w:val="22"/>
                <w:szCs w:val="22"/>
              </w:rPr>
            </w:pPr>
            <w:r>
              <w:rPr>
                <w:rFonts w:ascii="Arial" w:hAnsi="Arial"/>
                <w:snapToGrid w:val="0"/>
                <w:sz w:val="22"/>
              </w:rPr>
              <w:t xml:space="preserve">Option 1 : </w:t>
            </w:r>
          </w:p>
          <w:p w14:paraId="3243ECC6" w14:textId="3E044485" w:rsidR="00237E5E" w:rsidRPr="00B91293" w:rsidRDefault="00D91215" w:rsidP="00890F65">
            <w:pPr>
              <w:jc w:val="both"/>
              <w:rPr>
                <w:rFonts w:ascii="Arial" w:hAnsi="Arial" w:cs="Arial"/>
                <w:sz w:val="22"/>
                <w:szCs w:val="22"/>
              </w:rPr>
            </w:pPr>
            <w:r>
              <w:rPr>
                <w:rFonts w:ascii="Arial" w:hAnsi="Arial"/>
                <w:sz w:val="22"/>
              </w:rPr>
              <w:t xml:space="preserve">Il pourrait être demandé d’envisager la possibilité d’un transfert, ce qui </w:t>
            </w:r>
            <w:r>
              <w:rPr>
                <w:rFonts w:ascii="Arial" w:hAnsi="Arial"/>
                <w:b/>
                <w:sz w:val="22"/>
              </w:rPr>
              <w:t xml:space="preserve">déclencherait une réflexion </w:t>
            </w:r>
            <w:r>
              <w:rPr>
                <w:rFonts w:ascii="Arial" w:hAnsi="Arial"/>
                <w:sz w:val="22"/>
              </w:rPr>
              <w:t>à l’égard d’un tel besoin. Dans le cas d’un élément inscrit sur la RL, il pourrait être demandé si un « </w:t>
            </w:r>
            <w:r w:rsidR="003431A1">
              <w:rPr>
                <w:rFonts w:ascii="Arial" w:hAnsi="Arial"/>
                <w:sz w:val="22"/>
              </w:rPr>
              <w:t xml:space="preserve">soin </w:t>
            </w:r>
            <w:r>
              <w:rPr>
                <w:rFonts w:ascii="Arial" w:hAnsi="Arial"/>
                <w:sz w:val="22"/>
              </w:rPr>
              <w:t>intensi</w:t>
            </w:r>
            <w:r w:rsidR="003431A1">
              <w:rPr>
                <w:rFonts w:ascii="Arial" w:hAnsi="Arial"/>
                <w:sz w:val="22"/>
              </w:rPr>
              <w:t>f</w:t>
            </w:r>
            <w:r>
              <w:rPr>
                <w:rFonts w:ascii="Arial" w:hAnsi="Arial"/>
                <w:sz w:val="22"/>
              </w:rPr>
              <w:t> » est nécessaire pour l’élément concerné, et la question du niveau de viabilité permettrait de déclencher une réflexion sur un éventuel transfert de l’élément à la LSU. Les réponses à de telles questions seraient formulées de manière</w:t>
            </w:r>
            <w:r>
              <w:rPr>
                <w:rFonts w:ascii="Arial" w:hAnsi="Arial"/>
                <w:snapToGrid w:val="0"/>
                <w:sz w:val="22"/>
              </w:rPr>
              <w:t xml:space="preserve"> informative, sans aucune conséquence directe sur le lancement d’une procédure de </w:t>
            </w:r>
            <w:r>
              <w:rPr>
                <w:rFonts w:ascii="Arial" w:hAnsi="Arial"/>
                <w:snapToGrid w:val="0"/>
                <w:sz w:val="22"/>
              </w:rPr>
              <w:lastRenderedPageBreak/>
              <w:t xml:space="preserve">transfert. </w:t>
            </w:r>
          </w:p>
          <w:p w14:paraId="2CC8378A" w14:textId="77777777" w:rsidR="00730369" w:rsidRPr="00EC301D" w:rsidRDefault="00730369" w:rsidP="001650E7">
            <w:pPr>
              <w:rPr>
                <w:rFonts w:ascii="Arial" w:hAnsi="Arial" w:cs="Arial"/>
                <w:snapToGrid w:val="0"/>
                <w:sz w:val="22"/>
                <w:szCs w:val="22"/>
                <w:lang w:eastAsia="zh-CN"/>
              </w:rPr>
            </w:pPr>
          </w:p>
          <w:p w14:paraId="5058953D" w14:textId="71621B2D" w:rsidR="00DD6DB0" w:rsidRPr="00B91293" w:rsidRDefault="00237E5E" w:rsidP="008135F7">
            <w:pPr>
              <w:jc w:val="both"/>
              <w:rPr>
                <w:rFonts w:ascii="Arial" w:hAnsi="Arial" w:cs="Arial"/>
                <w:snapToGrid w:val="0"/>
                <w:sz w:val="22"/>
                <w:szCs w:val="22"/>
              </w:rPr>
            </w:pPr>
            <w:r>
              <w:rPr>
                <w:rFonts w:ascii="Arial" w:hAnsi="Arial"/>
                <w:snapToGrid w:val="0"/>
                <w:sz w:val="22"/>
              </w:rPr>
              <w:t xml:space="preserve">Option 2 : </w:t>
            </w:r>
          </w:p>
          <w:p w14:paraId="2F360957" w14:textId="7481E702" w:rsidR="00A00DFB" w:rsidRPr="00B91293" w:rsidRDefault="006454B4" w:rsidP="008135F7">
            <w:pPr>
              <w:jc w:val="both"/>
              <w:rPr>
                <w:rFonts w:ascii="Arial" w:hAnsi="Arial" w:cs="Arial"/>
                <w:sz w:val="22"/>
                <w:szCs w:val="22"/>
              </w:rPr>
            </w:pPr>
            <w:r>
              <w:rPr>
                <w:rFonts w:ascii="Arial" w:hAnsi="Arial"/>
                <w:sz w:val="22"/>
              </w:rPr>
              <w:t xml:space="preserve">Il pourrait également être demandé si un transfert a été envisagé et approuvé par les communautés, et proposé sous forme d’option dans un rapport périodique, ce qui </w:t>
            </w:r>
            <w:r>
              <w:rPr>
                <w:rFonts w:ascii="Arial" w:hAnsi="Arial"/>
                <w:b/>
                <w:sz w:val="22"/>
              </w:rPr>
              <w:t>déclencherait une réflexion sur une éventuelle procédure de transfert</w:t>
            </w:r>
            <w:r>
              <w:rPr>
                <w:rFonts w:ascii="Arial" w:hAnsi="Arial"/>
                <w:sz w:val="22"/>
              </w:rPr>
              <w:t xml:space="preserve">. Ceci nécessiterait un éclaircissement supplémentaire dans le formulaire afin d’obtenir les informations nécessaires. Il conviendrait également d’obtenir le consentement éclairé de la communauté, qui accompagnerait un tel rapport. </w:t>
            </w:r>
          </w:p>
          <w:p w14:paraId="5E80DD33" w14:textId="0F93EDCE" w:rsidR="00730369" w:rsidRPr="00EC301D" w:rsidRDefault="00730369" w:rsidP="001650E7">
            <w:pPr>
              <w:rPr>
                <w:rFonts w:ascii="Arial" w:hAnsi="Arial" w:cs="Arial"/>
                <w:snapToGrid w:val="0"/>
                <w:sz w:val="22"/>
                <w:szCs w:val="22"/>
                <w:lang w:eastAsia="zh-CN"/>
              </w:rPr>
            </w:pPr>
          </w:p>
          <w:p w14:paraId="66BF446E" w14:textId="38252FD3" w:rsidR="00C00AD8" w:rsidRPr="00B91293" w:rsidRDefault="004772DF" w:rsidP="00A00DFB">
            <w:pPr>
              <w:jc w:val="both"/>
              <w:rPr>
                <w:rFonts w:ascii="Arial" w:hAnsi="Arial" w:cs="Arial"/>
                <w:snapToGrid w:val="0"/>
                <w:sz w:val="22"/>
                <w:szCs w:val="22"/>
              </w:rPr>
            </w:pPr>
            <w:r>
              <w:rPr>
                <w:rFonts w:ascii="Arial" w:hAnsi="Arial"/>
                <w:snapToGrid w:val="0"/>
                <w:sz w:val="22"/>
              </w:rPr>
              <w:t xml:space="preserve">Il est possible que </w:t>
            </w:r>
            <w:r>
              <w:rPr>
                <w:rFonts w:ascii="Arial" w:hAnsi="Arial"/>
                <w:b/>
                <w:snapToGrid w:val="0"/>
                <w:sz w:val="22"/>
              </w:rPr>
              <w:t>les deux options</w:t>
            </w:r>
            <w:r>
              <w:rPr>
                <w:rFonts w:ascii="Arial" w:hAnsi="Arial"/>
                <w:snapToGrid w:val="0"/>
                <w:sz w:val="22"/>
              </w:rPr>
              <w:t xml:space="preserve">, proposées et appliquées à la fois au transfert de la LR à la LSU et vice-versa, soient intégrées au formulaire de rapport périodique, qui peuvent être envisagées par les communautés et les États afin de répondre à l’une ou l’autre possibilité, que ce soit une éventualité de transfert futur (option 1) ou l’obtention du consentement de la communauté et une demande de lancement d’une procédure de transfert (option 2). </w:t>
            </w:r>
          </w:p>
          <w:p w14:paraId="72638EFF" w14:textId="77777777" w:rsidR="00C00AD8" w:rsidRPr="00EC301D" w:rsidRDefault="00C00AD8" w:rsidP="00A00DFB">
            <w:pPr>
              <w:jc w:val="both"/>
              <w:rPr>
                <w:rFonts w:ascii="Arial" w:hAnsi="Arial" w:cs="Arial"/>
                <w:snapToGrid w:val="0"/>
                <w:sz w:val="22"/>
                <w:szCs w:val="22"/>
                <w:lang w:eastAsia="zh-CN"/>
              </w:rPr>
            </w:pPr>
          </w:p>
          <w:p w14:paraId="03238F42" w14:textId="21CA4D3D" w:rsidR="003F5E7F" w:rsidRPr="00B91293" w:rsidRDefault="008825FB" w:rsidP="00A00DFB">
            <w:pPr>
              <w:jc w:val="both"/>
              <w:rPr>
                <w:rFonts w:ascii="Arial" w:hAnsi="Arial" w:cs="Arial"/>
                <w:snapToGrid w:val="0"/>
                <w:sz w:val="22"/>
                <w:szCs w:val="22"/>
              </w:rPr>
            </w:pPr>
            <w:r>
              <w:rPr>
                <w:rFonts w:ascii="Arial" w:hAnsi="Arial"/>
                <w:snapToGrid w:val="0"/>
                <w:sz w:val="22"/>
              </w:rPr>
              <w:t xml:space="preserve">Il convient également de reconnaître que le lien entre transfert et rapport périodique ne saurait constituer un mécanisme d’urgence, compte tenu de la périodicité des rapports étalée sur plusieurs années (4 ans pour la LSU et 6 ans pour la LR). Ainsi, aucune possibilité de transfert ne devrait reposer uniquement sur un tel lien, et il conviendrait de mettre également en place </w:t>
            </w:r>
            <w:r>
              <w:rPr>
                <w:rFonts w:ascii="Arial" w:hAnsi="Arial"/>
                <w:b/>
                <w:snapToGrid w:val="0"/>
                <w:sz w:val="22"/>
              </w:rPr>
              <w:t>une autre façon</w:t>
            </w:r>
            <w:r>
              <w:rPr>
                <w:rFonts w:ascii="Arial" w:hAnsi="Arial"/>
                <w:snapToGrid w:val="0"/>
                <w:sz w:val="22"/>
              </w:rPr>
              <w:t xml:space="preserve"> d’aborder et de déclencher une procédure de transfert.</w:t>
            </w:r>
          </w:p>
          <w:p w14:paraId="318336B7" w14:textId="6901F340" w:rsidR="003F5E7F" w:rsidRPr="00EC301D" w:rsidRDefault="003F5E7F" w:rsidP="00A00DFB">
            <w:pPr>
              <w:jc w:val="both"/>
              <w:rPr>
                <w:rFonts w:ascii="Arial" w:hAnsi="Arial" w:cs="Arial"/>
                <w:snapToGrid w:val="0"/>
                <w:sz w:val="22"/>
                <w:szCs w:val="22"/>
                <w:lang w:eastAsia="zh-CN"/>
              </w:rPr>
            </w:pPr>
          </w:p>
          <w:p w14:paraId="0ADDD324" w14:textId="77777777" w:rsidR="00C4193E" w:rsidRPr="00EC301D" w:rsidRDefault="00C4193E" w:rsidP="00A00DFB">
            <w:pPr>
              <w:jc w:val="both"/>
              <w:rPr>
                <w:rFonts w:ascii="Arial" w:hAnsi="Arial" w:cs="Arial"/>
                <w:snapToGrid w:val="0"/>
                <w:sz w:val="22"/>
                <w:szCs w:val="22"/>
                <w:lang w:eastAsia="zh-CN"/>
              </w:rPr>
            </w:pPr>
          </w:p>
          <w:p w14:paraId="68E188D2" w14:textId="1EEAD1E6" w:rsidR="00D52620" w:rsidRPr="00B91293" w:rsidRDefault="00D52620" w:rsidP="00A00DFB">
            <w:pPr>
              <w:jc w:val="both"/>
              <w:rPr>
                <w:rFonts w:ascii="Arial" w:hAnsi="Arial" w:cs="Arial"/>
                <w:snapToGrid w:val="0"/>
                <w:sz w:val="22"/>
                <w:szCs w:val="22"/>
              </w:rPr>
            </w:pPr>
            <w:r>
              <w:rPr>
                <w:rFonts w:ascii="Arial" w:hAnsi="Arial"/>
                <w:snapToGrid w:val="0"/>
                <w:sz w:val="22"/>
              </w:rPr>
              <w:t>Annexe</w:t>
            </w:r>
          </w:p>
          <w:p w14:paraId="16CD524D" w14:textId="77777777" w:rsidR="00D52620" w:rsidRPr="00EC301D" w:rsidRDefault="00D52620" w:rsidP="00D52620">
            <w:pPr>
              <w:rPr>
                <w:rFonts w:ascii="Arial" w:hAnsi="Arial" w:cs="Arial"/>
                <w:snapToGrid w:val="0"/>
                <w:sz w:val="22"/>
                <w:szCs w:val="22"/>
                <w:lang w:eastAsia="zh-CN"/>
              </w:rPr>
            </w:pPr>
          </w:p>
          <w:p w14:paraId="4FBC9713" w14:textId="57B3822D" w:rsidR="00D52620" w:rsidRPr="00B91293" w:rsidRDefault="00D52620" w:rsidP="00D52620">
            <w:pPr>
              <w:jc w:val="both"/>
              <w:rPr>
                <w:rFonts w:ascii="Arial" w:hAnsi="Arial" w:cs="Arial"/>
                <w:snapToGrid w:val="0"/>
                <w:sz w:val="22"/>
                <w:szCs w:val="22"/>
              </w:rPr>
            </w:pPr>
            <w:r>
              <w:rPr>
                <w:rFonts w:ascii="Arial" w:hAnsi="Arial"/>
                <w:snapToGrid w:val="0"/>
                <w:sz w:val="22"/>
              </w:rPr>
              <w:t xml:space="preserve">Il convient d’envisager les étapes suivantes dans le cadre de l’organisation d’une </w:t>
            </w:r>
            <w:r>
              <w:rPr>
                <w:rFonts w:ascii="Arial" w:hAnsi="Arial"/>
                <w:b/>
                <w:snapToGrid w:val="0"/>
                <w:sz w:val="22"/>
              </w:rPr>
              <w:t>Mission consultative</w:t>
            </w:r>
            <w:r>
              <w:rPr>
                <w:rFonts w:ascii="Arial" w:hAnsi="Arial"/>
                <w:snapToGrid w:val="0"/>
                <w:sz w:val="22"/>
              </w:rPr>
              <w:t> :</w:t>
            </w:r>
          </w:p>
          <w:p w14:paraId="297D11D6" w14:textId="77777777" w:rsidR="003F5E7F" w:rsidRPr="00EC301D" w:rsidRDefault="003F5E7F" w:rsidP="003F5E7F">
            <w:pPr>
              <w:rPr>
                <w:rFonts w:ascii="Arial" w:hAnsi="Arial" w:cs="Arial"/>
                <w:snapToGrid w:val="0"/>
                <w:sz w:val="22"/>
                <w:szCs w:val="22"/>
                <w:lang w:eastAsia="zh-CN"/>
              </w:rPr>
            </w:pPr>
          </w:p>
          <w:p w14:paraId="74309147" w14:textId="3EB2D1B1" w:rsidR="009D4ED9" w:rsidRPr="00B91293" w:rsidRDefault="00316EAF" w:rsidP="009D4ED9">
            <w:pPr>
              <w:pStyle w:val="Paragraphedeliste"/>
              <w:numPr>
                <w:ilvl w:val="0"/>
                <w:numId w:val="45"/>
              </w:numPr>
              <w:jc w:val="both"/>
              <w:rPr>
                <w:rFonts w:ascii="Arial" w:hAnsi="Arial" w:cs="Arial"/>
                <w:snapToGrid w:val="0"/>
                <w:sz w:val="22"/>
                <w:szCs w:val="22"/>
              </w:rPr>
            </w:pPr>
            <w:r>
              <w:rPr>
                <w:rFonts w:ascii="Arial" w:hAnsi="Arial"/>
                <w:sz w:val="22"/>
              </w:rPr>
              <w:t>L’État partie informe le Secrétariat de sa volonté de recevoir des conseils d’experts concernant la pertinence d’un transfert de l’élément concerné d’une Liste à une autre, et la possibilité d’accepter le lancement d’une Mission consultative sur son territoire</w:t>
            </w:r>
            <w:r>
              <w:rPr>
                <w:rFonts w:ascii="Arial" w:hAnsi="Arial"/>
                <w:sz w:val="22"/>
                <w:shd w:val="clear" w:color="auto" w:fill="FFFFFF"/>
              </w:rPr>
              <w:t xml:space="preserve">. </w:t>
            </w:r>
            <w:r>
              <w:rPr>
                <w:rFonts w:ascii="Arial" w:hAnsi="Arial"/>
                <w:sz w:val="22"/>
              </w:rPr>
              <w:t xml:space="preserve">À cet égard, l’État partie confirme ou certifie avoir obtenu le consentement de la communauté pour l’organisation d’une telle mission ; </w:t>
            </w:r>
          </w:p>
          <w:p w14:paraId="39667598" w14:textId="77777777" w:rsidR="009D4ED9" w:rsidRPr="00EC301D" w:rsidRDefault="009D4ED9" w:rsidP="009D4ED9">
            <w:pPr>
              <w:pStyle w:val="Paragraphedeliste"/>
              <w:ind w:left="751"/>
              <w:jc w:val="both"/>
              <w:rPr>
                <w:rFonts w:ascii="Arial" w:hAnsi="Arial" w:cs="Arial"/>
                <w:snapToGrid w:val="0"/>
                <w:sz w:val="22"/>
                <w:szCs w:val="22"/>
                <w:lang w:eastAsia="zh-CN"/>
              </w:rPr>
            </w:pPr>
          </w:p>
          <w:p w14:paraId="2763BB56" w14:textId="59552735" w:rsidR="00F75D77" w:rsidRPr="00B91293" w:rsidRDefault="009D4ED9" w:rsidP="00846FFB">
            <w:pPr>
              <w:pStyle w:val="Paragraphedeliste"/>
              <w:numPr>
                <w:ilvl w:val="0"/>
                <w:numId w:val="45"/>
              </w:numPr>
              <w:jc w:val="both"/>
              <w:rPr>
                <w:rFonts w:ascii="Arial" w:hAnsi="Arial" w:cs="Arial"/>
                <w:snapToGrid w:val="0"/>
                <w:sz w:val="22"/>
                <w:szCs w:val="22"/>
              </w:rPr>
            </w:pPr>
            <w:r>
              <w:rPr>
                <w:rFonts w:ascii="Arial" w:hAnsi="Arial"/>
                <w:sz w:val="22"/>
              </w:rPr>
              <w:t>Les conditions de référence d’une Mission consultative sont proposées par l’État partie et la communauté concernée, consolidées par une con</w:t>
            </w:r>
            <w:r w:rsidR="00762408">
              <w:rPr>
                <w:rFonts w:ascii="Arial" w:hAnsi="Arial"/>
                <w:sz w:val="22"/>
              </w:rPr>
              <w:t>sultation du Secrétariat, de l’O</w:t>
            </w:r>
            <w:r>
              <w:rPr>
                <w:rFonts w:ascii="Arial" w:hAnsi="Arial"/>
                <w:sz w:val="22"/>
              </w:rPr>
              <w:t>rgan</w:t>
            </w:r>
            <w:r w:rsidR="00762408">
              <w:rPr>
                <w:rFonts w:ascii="Arial" w:hAnsi="Arial"/>
                <w:sz w:val="22"/>
              </w:rPr>
              <w:t>e</w:t>
            </w:r>
            <w:r>
              <w:rPr>
                <w:rFonts w:ascii="Arial" w:hAnsi="Arial"/>
                <w:sz w:val="22"/>
              </w:rPr>
              <w:t xml:space="preserve"> d’évaluation et, si nécessaire, d’autres acteurs de la Convention. L’État partie informe le Secrétariat de sa situation, s’il est prêt à supporter le coût de la Mission ou s’il a besoin d’un financement externe sous forme d’aide internationale ou de la part du Fonds du patrimoine culturel immatériel ; </w:t>
            </w:r>
          </w:p>
          <w:p w14:paraId="38169FF2" w14:textId="77777777" w:rsidR="00F75D77" w:rsidRPr="00EC301D" w:rsidRDefault="00F75D77" w:rsidP="00F75D77">
            <w:pPr>
              <w:pStyle w:val="Paragraphedeliste"/>
              <w:rPr>
                <w:rFonts w:ascii="Arial" w:hAnsi="Arial" w:cs="Arial"/>
                <w:sz w:val="22"/>
                <w:szCs w:val="22"/>
              </w:rPr>
            </w:pPr>
          </w:p>
          <w:p w14:paraId="374ED6BC" w14:textId="58C023BA" w:rsidR="00F75D77" w:rsidRPr="00B91293" w:rsidRDefault="00316EAF" w:rsidP="00F75D77">
            <w:pPr>
              <w:pStyle w:val="Paragraphedeliste"/>
              <w:numPr>
                <w:ilvl w:val="0"/>
                <w:numId w:val="45"/>
              </w:numPr>
              <w:jc w:val="both"/>
              <w:rPr>
                <w:rFonts w:ascii="Arial" w:hAnsi="Arial" w:cs="Arial"/>
                <w:snapToGrid w:val="0"/>
                <w:sz w:val="22"/>
                <w:szCs w:val="22"/>
              </w:rPr>
            </w:pPr>
            <w:r>
              <w:rPr>
                <w:rFonts w:ascii="Arial" w:hAnsi="Arial"/>
                <w:sz w:val="22"/>
              </w:rPr>
              <w:t xml:space="preserve">Le Secrétariat transmet la demande au bureau du Comité pour la prise de décision concernant l’invitation à organiser une Mission consultative, en vue de préparer un rapport aux communautés et à l’État partie concernés, ainsi qu’au Comité, sur la base des observations de terrain au moment de l’exécution de l’élément ou de la pratique, tout en respectant </w:t>
            </w:r>
            <w:r>
              <w:rPr>
                <w:rFonts w:ascii="Arial" w:hAnsi="Arial"/>
                <w:sz w:val="22"/>
                <w:shd w:val="clear" w:color="auto" w:fill="FFFFFF"/>
              </w:rPr>
              <w:t>les pratiques coutumières régissant l’accès aux aspects spécifiques d’un tel patrimoine</w:t>
            </w:r>
            <w:r>
              <w:rPr>
                <w:rFonts w:ascii="Arial" w:hAnsi="Arial"/>
                <w:sz w:val="22"/>
              </w:rPr>
              <w:t xml:space="preserve"> ; </w:t>
            </w:r>
          </w:p>
          <w:p w14:paraId="2F17176C" w14:textId="77777777" w:rsidR="00967141" w:rsidRPr="00EC301D" w:rsidRDefault="00967141" w:rsidP="00967141">
            <w:pPr>
              <w:pStyle w:val="Paragraphedeliste"/>
              <w:rPr>
                <w:rFonts w:ascii="Arial" w:hAnsi="Arial" w:cs="Arial"/>
                <w:snapToGrid w:val="0"/>
                <w:sz w:val="22"/>
                <w:szCs w:val="22"/>
                <w:lang w:eastAsia="zh-CN"/>
              </w:rPr>
            </w:pPr>
          </w:p>
          <w:p w14:paraId="710AF555" w14:textId="44C582E6" w:rsidR="00280FEC" w:rsidRPr="00D53B38" w:rsidRDefault="00967141" w:rsidP="00D53B38">
            <w:pPr>
              <w:pStyle w:val="Paragraphedeliste"/>
              <w:numPr>
                <w:ilvl w:val="0"/>
                <w:numId w:val="45"/>
              </w:numPr>
              <w:jc w:val="both"/>
              <w:rPr>
                <w:rFonts w:ascii="Arial" w:hAnsi="Arial" w:cs="Arial"/>
                <w:snapToGrid w:val="0"/>
                <w:sz w:val="22"/>
                <w:szCs w:val="22"/>
              </w:rPr>
            </w:pPr>
            <w:r>
              <w:rPr>
                <w:rFonts w:ascii="Arial" w:hAnsi="Arial"/>
                <w:sz w:val="22"/>
              </w:rPr>
              <w:t>La composition de la Mission consultative peut inclure : un membre du</w:t>
            </w:r>
            <w:r w:rsidR="00762408">
              <w:rPr>
                <w:rFonts w:ascii="Arial" w:hAnsi="Arial"/>
                <w:sz w:val="22"/>
              </w:rPr>
              <w:t xml:space="preserve"> Secrétariat, des membres de l’O</w:t>
            </w:r>
            <w:r>
              <w:rPr>
                <w:rFonts w:ascii="Arial" w:hAnsi="Arial"/>
                <w:sz w:val="22"/>
              </w:rPr>
              <w:t>rgan</w:t>
            </w:r>
            <w:r w:rsidR="00762408">
              <w:rPr>
                <w:rFonts w:ascii="Arial" w:hAnsi="Arial"/>
                <w:sz w:val="22"/>
              </w:rPr>
              <w:t>e</w:t>
            </w:r>
            <w:r>
              <w:rPr>
                <w:rFonts w:ascii="Arial" w:hAnsi="Arial"/>
                <w:sz w:val="22"/>
              </w:rPr>
              <w:t xml:space="preserve"> d’évaluation de la région de l’élément concerné (un expert gouvernemental d’un État partie </w:t>
            </w:r>
            <w:r w:rsidR="006C4B43">
              <w:rPr>
                <w:rFonts w:ascii="Arial" w:hAnsi="Arial"/>
                <w:sz w:val="22"/>
              </w:rPr>
              <w:t>non-membre</w:t>
            </w:r>
            <w:r>
              <w:rPr>
                <w:rFonts w:ascii="Arial" w:hAnsi="Arial"/>
                <w:sz w:val="22"/>
              </w:rPr>
              <w:t xml:space="preserve"> du Comité et un représentant d’une ONG agréée dans la région), ou d’autres experts suggérés par le Comité ou l’État partie et les communautés. Les experts participant à de telles missions ne </w:t>
            </w:r>
            <w:r>
              <w:rPr>
                <w:rFonts w:ascii="Arial" w:hAnsi="Arial"/>
                <w:sz w:val="22"/>
              </w:rPr>
              <w:lastRenderedPageBreak/>
              <w:t>seront pas originaires du ou des pays où est pratiqué l’élément du PCI ;</w:t>
            </w:r>
          </w:p>
          <w:p w14:paraId="43E66833" w14:textId="77777777" w:rsidR="00F75D77" w:rsidRPr="00EC301D" w:rsidRDefault="00F75D77" w:rsidP="007103CE">
            <w:pPr>
              <w:rPr>
                <w:rFonts w:ascii="Arial" w:hAnsi="Arial" w:cs="Arial"/>
                <w:sz w:val="22"/>
                <w:szCs w:val="22"/>
              </w:rPr>
            </w:pPr>
          </w:p>
          <w:p w14:paraId="5A79886E" w14:textId="0A1CA73A" w:rsidR="007309AF" w:rsidRPr="00B91293" w:rsidRDefault="007309AF" w:rsidP="00F75D77">
            <w:pPr>
              <w:pStyle w:val="Paragraphedeliste"/>
              <w:numPr>
                <w:ilvl w:val="0"/>
                <w:numId w:val="45"/>
              </w:numPr>
              <w:jc w:val="both"/>
              <w:rPr>
                <w:rFonts w:ascii="Arial" w:hAnsi="Arial" w:cs="Arial"/>
                <w:snapToGrid w:val="0"/>
                <w:sz w:val="22"/>
                <w:szCs w:val="22"/>
              </w:rPr>
            </w:pPr>
            <w:r>
              <w:rPr>
                <w:rFonts w:ascii="Arial" w:hAnsi="Arial"/>
                <w:sz w:val="22"/>
              </w:rPr>
              <w:t>La Mission consultative prépare un rapport aux communautés et à l’État partie concernés, ainsi qu’au Comité, qui fournit des conseils concernant le transfert de l’élément ;</w:t>
            </w:r>
          </w:p>
          <w:p w14:paraId="0373CC31" w14:textId="77777777" w:rsidR="007309AF" w:rsidRPr="00EC301D" w:rsidRDefault="007309AF" w:rsidP="007309AF">
            <w:pPr>
              <w:pStyle w:val="Paragraphedeliste"/>
              <w:rPr>
                <w:rFonts w:ascii="Arial" w:hAnsi="Arial" w:cs="Arial"/>
                <w:sz w:val="22"/>
                <w:szCs w:val="22"/>
              </w:rPr>
            </w:pPr>
          </w:p>
          <w:p w14:paraId="355AD791" w14:textId="6DBC38D0" w:rsidR="00280FEC" w:rsidRPr="00D53B38" w:rsidRDefault="007309AF" w:rsidP="00D53B38">
            <w:pPr>
              <w:pStyle w:val="Paragraphedeliste"/>
              <w:numPr>
                <w:ilvl w:val="0"/>
                <w:numId w:val="45"/>
              </w:numPr>
              <w:jc w:val="both"/>
              <w:rPr>
                <w:rFonts w:ascii="Arial" w:hAnsi="Arial" w:cs="Arial"/>
                <w:snapToGrid w:val="0"/>
                <w:sz w:val="22"/>
                <w:szCs w:val="22"/>
              </w:rPr>
            </w:pPr>
            <w:r>
              <w:rPr>
                <w:rFonts w:ascii="Arial" w:hAnsi="Arial"/>
                <w:sz w:val="22"/>
              </w:rPr>
              <w:t xml:space="preserve">Sur la base du rapport reçu, il est recommandé aux communautés et à l’État partie concernés de prendre de nouvelles mesures pour un lancement éventuel d’une procédure de transfert. Si le transfert est initié par l’État partie en collaboration avec les communautés, le rapport permettra au Comité de prendre une décision éclairée concernant le transfert éventuel de l’élément. </w:t>
            </w:r>
          </w:p>
          <w:p w14:paraId="72DF4643" w14:textId="13B2302F" w:rsidR="00280FEC" w:rsidRPr="00EC301D" w:rsidRDefault="00280FEC" w:rsidP="002359A3">
            <w:pPr>
              <w:shd w:val="clear" w:color="auto" w:fill="FFFFFF"/>
              <w:spacing w:after="160"/>
              <w:jc w:val="both"/>
              <w:rPr>
                <w:rFonts w:ascii="Arial" w:hAnsi="Arial" w:cs="Arial"/>
                <w:sz w:val="22"/>
                <w:szCs w:val="22"/>
              </w:rPr>
            </w:pPr>
          </w:p>
        </w:tc>
      </w:tr>
    </w:tbl>
    <w:p w14:paraId="379DEFA9" w14:textId="5D8EFEA0" w:rsidR="002601AC" w:rsidRPr="00EC301D" w:rsidRDefault="002601AC" w:rsidP="002C614F">
      <w:pPr>
        <w:rPr>
          <w:rFonts w:eastAsiaTheme="minorHAnsi"/>
          <w:sz w:val="22"/>
          <w:szCs w:val="22"/>
          <w:lang w:eastAsia="en-US"/>
        </w:rPr>
      </w:pPr>
    </w:p>
    <w:sectPr w:rsidR="002601AC" w:rsidRPr="00EC301D" w:rsidSect="003F2D13">
      <w:footerReference w:type="default" r:id="rId11"/>
      <w:headerReference w:type="first" r:id="rId12"/>
      <w:pgSz w:w="11906" w:h="16838" w:code="9"/>
      <w:pgMar w:top="1418"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D35B7" w14:textId="77777777" w:rsidR="007C1EC7" w:rsidRDefault="007C1EC7" w:rsidP="00655736">
      <w:r>
        <w:separator/>
      </w:r>
    </w:p>
  </w:endnote>
  <w:endnote w:type="continuationSeparator" w:id="0">
    <w:p w14:paraId="317417DD" w14:textId="77777777" w:rsidR="007C1EC7" w:rsidRDefault="007C1EC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668406"/>
      <w:docPartObj>
        <w:docPartGallery w:val="Page Numbers (Bottom of Page)"/>
        <w:docPartUnique/>
      </w:docPartObj>
    </w:sdtPr>
    <w:sdtEndPr>
      <w:rPr>
        <w:rFonts w:asciiTheme="minorBidi" w:hAnsiTheme="minorBidi" w:cstheme="minorBidi"/>
        <w:sz w:val="22"/>
        <w:szCs w:val="22"/>
      </w:rPr>
    </w:sdtEndPr>
    <w:sdtContent>
      <w:p w14:paraId="5F0790A2" w14:textId="645762D0" w:rsidR="001650E7" w:rsidRPr="003F2D13" w:rsidRDefault="001650E7">
        <w:pPr>
          <w:pStyle w:val="Pieddepage"/>
          <w:jc w:val="right"/>
          <w:rPr>
            <w:rFonts w:asciiTheme="minorBidi" w:hAnsiTheme="minorBidi" w:cstheme="minorBidi"/>
            <w:sz w:val="22"/>
            <w:szCs w:val="22"/>
          </w:rPr>
        </w:pPr>
        <w:r w:rsidRPr="003F2D13">
          <w:rPr>
            <w:rFonts w:asciiTheme="minorBidi" w:hAnsiTheme="minorBidi" w:cstheme="minorBidi"/>
            <w:sz w:val="22"/>
          </w:rPr>
          <w:fldChar w:fldCharType="begin"/>
        </w:r>
        <w:r w:rsidRPr="003F2D13">
          <w:rPr>
            <w:rFonts w:asciiTheme="minorBidi" w:hAnsiTheme="minorBidi" w:cstheme="minorBidi"/>
            <w:sz w:val="22"/>
          </w:rPr>
          <w:instrText>PAGE   \* MERGEFORMAT</w:instrText>
        </w:r>
        <w:r w:rsidRPr="003F2D13">
          <w:rPr>
            <w:rFonts w:asciiTheme="minorBidi" w:hAnsiTheme="minorBidi" w:cstheme="minorBidi"/>
            <w:sz w:val="22"/>
          </w:rPr>
          <w:fldChar w:fldCharType="separate"/>
        </w:r>
        <w:r w:rsidR="00762408">
          <w:rPr>
            <w:rFonts w:asciiTheme="minorBidi" w:hAnsiTheme="minorBidi" w:cstheme="minorBidi"/>
            <w:noProof/>
            <w:sz w:val="22"/>
          </w:rPr>
          <w:t>3</w:t>
        </w:r>
        <w:r w:rsidRPr="003F2D13">
          <w:rPr>
            <w:rFonts w:asciiTheme="minorBidi" w:hAnsiTheme="minorBidi" w:cstheme="minorBidi"/>
            <w:sz w:val="22"/>
          </w:rPr>
          <w:fldChar w:fldCharType="end"/>
        </w:r>
      </w:p>
    </w:sdtContent>
  </w:sdt>
  <w:p w14:paraId="60962C94" w14:textId="77777777" w:rsidR="001650E7" w:rsidRDefault="001650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12790" w14:textId="77777777" w:rsidR="007C1EC7" w:rsidRDefault="007C1EC7" w:rsidP="00655736">
      <w:r>
        <w:separator/>
      </w:r>
    </w:p>
  </w:footnote>
  <w:footnote w:type="continuationSeparator" w:id="0">
    <w:p w14:paraId="5A1D91C7" w14:textId="77777777" w:rsidR="007C1EC7" w:rsidRDefault="007C1EC7" w:rsidP="00655736">
      <w:r>
        <w:continuationSeparator/>
      </w:r>
    </w:p>
  </w:footnote>
  <w:footnote w:id="1">
    <w:p w14:paraId="58BDFD22" w14:textId="77777777" w:rsidR="00BD2199" w:rsidRPr="00D00546" w:rsidRDefault="00BD2199" w:rsidP="00BD2199">
      <w:pPr>
        <w:jc w:val="both"/>
        <w:rPr>
          <w:rFonts w:ascii="Arial" w:hAnsi="Arial" w:cs="Arial"/>
          <w:sz w:val="16"/>
          <w:szCs w:val="16"/>
        </w:rPr>
      </w:pPr>
      <w:r>
        <w:rPr>
          <w:rStyle w:val="Appelnotedebasdep"/>
          <w:rFonts w:ascii="Arial" w:hAnsi="Arial" w:cs="Arial"/>
          <w:sz w:val="16"/>
          <w:szCs w:val="16"/>
        </w:rPr>
        <w:footnoteRef/>
      </w:r>
      <w:r>
        <w:rPr>
          <w:rFonts w:ascii="Arial" w:hAnsi="Arial"/>
          <w:sz w:val="16"/>
        </w:rPr>
        <w:t xml:space="preserve"> </w:t>
      </w:r>
      <w:r>
        <w:rPr>
          <w:rFonts w:ascii="Arial" w:hAnsi="Arial"/>
          <w:color w:val="000000"/>
          <w:sz w:val="16"/>
          <w:shd w:val="clear" w:color="auto" w:fill="FFFFFF"/>
        </w:rPr>
        <w:t>104 EX/Décision 3.3 – Étude des procédures qu’il conviendrait de suivre dans l’examen des cas et des questions dont l’UNESCO pourrait être saisie en ce qui concerne l’exercice des droits de l’homme dans les domaines relevant de compétence, afin de rendre son action plus efficace : Rapport du groupe de travail du Conseil exécutif (104 EX/3). « Le Conseil exécutif, [...] 14. Décide que le Comité continuera de remplir ses fonctions en ce qui concerne les conventions et recommandations et examinera les communications reçues par l’Organisation concernant les cas et les questions de violation des droits de l’homme qui relèvent des domaines de compétence de l’UNESCO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1EFC" w14:textId="77777777" w:rsidR="001650E7" w:rsidRPr="00F32C23" w:rsidRDefault="001650E7">
    <w:pPr>
      <w:pStyle w:val="En-tte"/>
    </w:pPr>
    <w:r>
      <w:rPr>
        <w:noProof/>
        <w:lang w:eastAsia="fr-FR"/>
      </w:rPr>
      <w:drawing>
        <wp:anchor distT="0" distB="0" distL="114300" distR="114300" simplePos="0" relativeHeight="251657216" behindDoc="0" locked="0" layoutInCell="1" allowOverlap="1" wp14:anchorId="51CFCA32" wp14:editId="2B8CCD90">
          <wp:simplePos x="0" y="0"/>
          <wp:positionH relativeFrom="column">
            <wp:posOffset>-567690</wp:posOffset>
          </wp:positionH>
          <wp:positionV relativeFrom="paragraph">
            <wp:posOffset>3810</wp:posOffset>
          </wp:positionV>
          <wp:extent cx="2228215" cy="1367790"/>
          <wp:effectExtent l="0" t="0" r="635" b="3810"/>
          <wp:wrapNone/>
          <wp:docPr id="1"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07A40" w14:textId="77777777" w:rsidR="001650E7" w:rsidRPr="00C6379E" w:rsidRDefault="001650E7" w:rsidP="00655736">
    <w:pPr>
      <w:pStyle w:val="En-tte"/>
      <w:spacing w:after="520"/>
      <w:jc w:val="right"/>
      <w:rPr>
        <w:rFonts w:ascii="Arial" w:hAnsi="Arial" w:cs="Arial"/>
        <w:b/>
        <w:sz w:val="44"/>
        <w:szCs w:val="44"/>
      </w:rPr>
    </w:pPr>
    <w:r>
      <w:rPr>
        <w:rFonts w:ascii="Arial" w:hAnsi="Arial"/>
        <w:b/>
        <w:sz w:val="44"/>
      </w:rPr>
      <w:t>EXP</w:t>
    </w:r>
  </w:p>
  <w:p w14:paraId="29983CCE" w14:textId="77777777" w:rsidR="001650E7" w:rsidRPr="00F32C23" w:rsidRDefault="001650E7">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29D"/>
    <w:multiLevelType w:val="hybridMultilevel"/>
    <w:tmpl w:val="4654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1E3C"/>
    <w:multiLevelType w:val="hybridMultilevel"/>
    <w:tmpl w:val="FF32D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B70768"/>
    <w:multiLevelType w:val="hybridMultilevel"/>
    <w:tmpl w:val="A7FCFEA8"/>
    <w:lvl w:ilvl="0" w:tplc="3184FF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776259"/>
    <w:multiLevelType w:val="hybridMultilevel"/>
    <w:tmpl w:val="AF200A4A"/>
    <w:lvl w:ilvl="0" w:tplc="B464021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C43363"/>
    <w:multiLevelType w:val="hybridMultilevel"/>
    <w:tmpl w:val="21C294CA"/>
    <w:lvl w:ilvl="0" w:tplc="0409001B">
      <w:start w:val="1"/>
      <w:numFmt w:val="lowerRoman"/>
      <w:lvlText w:val="%1."/>
      <w:lvlJc w:val="righ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5" w15:restartNumberingAfterBreak="0">
    <w:nsid w:val="08BB2ACF"/>
    <w:multiLevelType w:val="hybridMultilevel"/>
    <w:tmpl w:val="464C209A"/>
    <w:lvl w:ilvl="0" w:tplc="968871FC">
      <w:start w:val="1"/>
      <w:numFmt w:val="lowerLetter"/>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6" w15:restartNumberingAfterBreak="0">
    <w:nsid w:val="0D360831"/>
    <w:multiLevelType w:val="hybridMultilevel"/>
    <w:tmpl w:val="9664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8"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9" w15:restartNumberingAfterBreak="0">
    <w:nsid w:val="1D06256A"/>
    <w:multiLevelType w:val="hybridMultilevel"/>
    <w:tmpl w:val="37CAAFC4"/>
    <w:lvl w:ilvl="0" w:tplc="0409001B">
      <w:start w:val="1"/>
      <w:numFmt w:val="lowerRoman"/>
      <w:lvlText w:val="%1."/>
      <w:lvlJc w:val="right"/>
      <w:pPr>
        <w:ind w:left="1864" w:hanging="360"/>
      </w:pPr>
    </w:lvl>
    <w:lvl w:ilvl="1" w:tplc="08090019" w:tentative="1">
      <w:start w:val="1"/>
      <w:numFmt w:val="lowerLetter"/>
      <w:lvlText w:val="%2."/>
      <w:lvlJc w:val="left"/>
      <w:pPr>
        <w:ind w:left="2584" w:hanging="360"/>
      </w:pPr>
    </w:lvl>
    <w:lvl w:ilvl="2" w:tplc="0809001B" w:tentative="1">
      <w:start w:val="1"/>
      <w:numFmt w:val="lowerRoman"/>
      <w:lvlText w:val="%3."/>
      <w:lvlJc w:val="right"/>
      <w:pPr>
        <w:ind w:left="3304" w:hanging="180"/>
      </w:pPr>
    </w:lvl>
    <w:lvl w:ilvl="3" w:tplc="0809000F" w:tentative="1">
      <w:start w:val="1"/>
      <w:numFmt w:val="decimal"/>
      <w:lvlText w:val="%4."/>
      <w:lvlJc w:val="left"/>
      <w:pPr>
        <w:ind w:left="4024" w:hanging="360"/>
      </w:pPr>
    </w:lvl>
    <w:lvl w:ilvl="4" w:tplc="08090019" w:tentative="1">
      <w:start w:val="1"/>
      <w:numFmt w:val="lowerLetter"/>
      <w:lvlText w:val="%5."/>
      <w:lvlJc w:val="left"/>
      <w:pPr>
        <w:ind w:left="4744" w:hanging="360"/>
      </w:pPr>
    </w:lvl>
    <w:lvl w:ilvl="5" w:tplc="0809001B" w:tentative="1">
      <w:start w:val="1"/>
      <w:numFmt w:val="lowerRoman"/>
      <w:lvlText w:val="%6."/>
      <w:lvlJc w:val="right"/>
      <w:pPr>
        <w:ind w:left="5464" w:hanging="180"/>
      </w:pPr>
    </w:lvl>
    <w:lvl w:ilvl="6" w:tplc="0809000F" w:tentative="1">
      <w:start w:val="1"/>
      <w:numFmt w:val="decimal"/>
      <w:lvlText w:val="%7."/>
      <w:lvlJc w:val="left"/>
      <w:pPr>
        <w:ind w:left="6184" w:hanging="360"/>
      </w:pPr>
    </w:lvl>
    <w:lvl w:ilvl="7" w:tplc="08090019" w:tentative="1">
      <w:start w:val="1"/>
      <w:numFmt w:val="lowerLetter"/>
      <w:lvlText w:val="%8."/>
      <w:lvlJc w:val="left"/>
      <w:pPr>
        <w:ind w:left="6904" w:hanging="360"/>
      </w:pPr>
    </w:lvl>
    <w:lvl w:ilvl="8" w:tplc="0809001B" w:tentative="1">
      <w:start w:val="1"/>
      <w:numFmt w:val="lowerRoman"/>
      <w:lvlText w:val="%9."/>
      <w:lvlJc w:val="right"/>
      <w:pPr>
        <w:ind w:left="7624" w:hanging="180"/>
      </w:pPr>
    </w:lvl>
  </w:abstractNum>
  <w:abstractNum w:abstractNumId="10"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533DEA"/>
    <w:multiLevelType w:val="hybridMultilevel"/>
    <w:tmpl w:val="AFA2746E"/>
    <w:lvl w:ilvl="0" w:tplc="96A85274">
      <w:start w:val="1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15:restartNumberingAfterBreak="0">
    <w:nsid w:val="2C2677FB"/>
    <w:multiLevelType w:val="hybridMultilevel"/>
    <w:tmpl w:val="4D3457C8"/>
    <w:lvl w:ilvl="0" w:tplc="ABE2A5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010267"/>
    <w:multiLevelType w:val="hybridMultilevel"/>
    <w:tmpl w:val="A322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123CA"/>
    <w:multiLevelType w:val="hybridMultilevel"/>
    <w:tmpl w:val="53660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437888"/>
    <w:multiLevelType w:val="hybridMultilevel"/>
    <w:tmpl w:val="305492D8"/>
    <w:lvl w:ilvl="0" w:tplc="E490F7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 w15:restartNumberingAfterBreak="0">
    <w:nsid w:val="37AC0B08"/>
    <w:multiLevelType w:val="hybridMultilevel"/>
    <w:tmpl w:val="21C294CA"/>
    <w:lvl w:ilvl="0" w:tplc="0409001B">
      <w:start w:val="1"/>
      <w:numFmt w:val="lowerRoman"/>
      <w:lvlText w:val="%1."/>
      <w:lvlJc w:val="righ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15:restartNumberingAfterBreak="0">
    <w:nsid w:val="39900319"/>
    <w:multiLevelType w:val="hybridMultilevel"/>
    <w:tmpl w:val="21C294CA"/>
    <w:lvl w:ilvl="0" w:tplc="0409001B">
      <w:start w:val="1"/>
      <w:numFmt w:val="lowerRoman"/>
      <w:lvlText w:val="%1."/>
      <w:lvlJc w:val="right"/>
      <w:pPr>
        <w:ind w:left="751" w:hanging="360"/>
      </w:p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21"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4D2F08"/>
    <w:multiLevelType w:val="hybridMultilevel"/>
    <w:tmpl w:val="66F2B896"/>
    <w:lvl w:ilvl="0" w:tplc="B464021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6B2853"/>
    <w:multiLevelType w:val="hybridMultilevel"/>
    <w:tmpl w:val="5BD209D8"/>
    <w:lvl w:ilvl="0" w:tplc="B464021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DD35E2"/>
    <w:multiLevelType w:val="hybridMultilevel"/>
    <w:tmpl w:val="BFB28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6" w15:restartNumberingAfterBreak="0">
    <w:nsid w:val="43CF1792"/>
    <w:multiLevelType w:val="hybridMultilevel"/>
    <w:tmpl w:val="E79A9004"/>
    <w:lvl w:ilvl="0" w:tplc="62BE9E72">
      <w:start w:val="1"/>
      <w:numFmt w:val="bullet"/>
      <w:lvlText w:val=""/>
      <w:lvlJc w:val="left"/>
      <w:pPr>
        <w:ind w:left="720" w:hanging="360"/>
      </w:pPr>
      <w:rPr>
        <w:rFonts w:ascii="Symbol" w:hAnsi="Symbol" w:hint="default"/>
      </w:rPr>
    </w:lvl>
    <w:lvl w:ilvl="1" w:tplc="087E3488">
      <w:start w:val="1"/>
      <w:numFmt w:val="bullet"/>
      <w:lvlText w:val="o"/>
      <w:lvlJc w:val="left"/>
      <w:pPr>
        <w:ind w:left="1440" w:hanging="360"/>
      </w:pPr>
      <w:rPr>
        <w:rFonts w:ascii="Courier New" w:hAnsi="Courier New" w:hint="default"/>
      </w:rPr>
    </w:lvl>
    <w:lvl w:ilvl="2" w:tplc="AF16914C">
      <w:start w:val="1"/>
      <w:numFmt w:val="bullet"/>
      <w:lvlText w:val=""/>
      <w:lvlJc w:val="left"/>
      <w:pPr>
        <w:ind w:left="2160" w:hanging="360"/>
      </w:pPr>
      <w:rPr>
        <w:rFonts w:ascii="Wingdings" w:hAnsi="Wingdings" w:hint="default"/>
      </w:rPr>
    </w:lvl>
    <w:lvl w:ilvl="3" w:tplc="AA4258BC">
      <w:start w:val="1"/>
      <w:numFmt w:val="bullet"/>
      <w:lvlText w:val=""/>
      <w:lvlJc w:val="left"/>
      <w:pPr>
        <w:ind w:left="2880" w:hanging="360"/>
      </w:pPr>
      <w:rPr>
        <w:rFonts w:ascii="Symbol" w:hAnsi="Symbol" w:hint="default"/>
      </w:rPr>
    </w:lvl>
    <w:lvl w:ilvl="4" w:tplc="7B1A05B0">
      <w:start w:val="1"/>
      <w:numFmt w:val="bullet"/>
      <w:lvlText w:val="o"/>
      <w:lvlJc w:val="left"/>
      <w:pPr>
        <w:ind w:left="3600" w:hanging="360"/>
      </w:pPr>
      <w:rPr>
        <w:rFonts w:ascii="Courier New" w:hAnsi="Courier New" w:hint="default"/>
      </w:rPr>
    </w:lvl>
    <w:lvl w:ilvl="5" w:tplc="7B7246CA">
      <w:start w:val="1"/>
      <w:numFmt w:val="bullet"/>
      <w:lvlText w:val=""/>
      <w:lvlJc w:val="left"/>
      <w:pPr>
        <w:ind w:left="4320" w:hanging="360"/>
      </w:pPr>
      <w:rPr>
        <w:rFonts w:ascii="Wingdings" w:hAnsi="Wingdings" w:hint="default"/>
      </w:rPr>
    </w:lvl>
    <w:lvl w:ilvl="6" w:tplc="0420A2B0">
      <w:start w:val="1"/>
      <w:numFmt w:val="bullet"/>
      <w:lvlText w:val=""/>
      <w:lvlJc w:val="left"/>
      <w:pPr>
        <w:ind w:left="5040" w:hanging="360"/>
      </w:pPr>
      <w:rPr>
        <w:rFonts w:ascii="Symbol" w:hAnsi="Symbol" w:hint="default"/>
      </w:rPr>
    </w:lvl>
    <w:lvl w:ilvl="7" w:tplc="C3120412">
      <w:start w:val="1"/>
      <w:numFmt w:val="bullet"/>
      <w:lvlText w:val="o"/>
      <w:lvlJc w:val="left"/>
      <w:pPr>
        <w:ind w:left="5760" w:hanging="360"/>
      </w:pPr>
      <w:rPr>
        <w:rFonts w:ascii="Courier New" w:hAnsi="Courier New" w:hint="default"/>
      </w:rPr>
    </w:lvl>
    <w:lvl w:ilvl="8" w:tplc="68ECA622">
      <w:start w:val="1"/>
      <w:numFmt w:val="bullet"/>
      <w:lvlText w:val=""/>
      <w:lvlJc w:val="left"/>
      <w:pPr>
        <w:ind w:left="6480" w:hanging="360"/>
      </w:pPr>
      <w:rPr>
        <w:rFonts w:ascii="Wingdings" w:hAnsi="Wingdings" w:hint="default"/>
      </w:rPr>
    </w:lvl>
  </w:abstractNum>
  <w:abstractNum w:abstractNumId="27"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8" w15:restartNumberingAfterBreak="0">
    <w:nsid w:val="45B20B0E"/>
    <w:multiLevelType w:val="hybridMultilevel"/>
    <w:tmpl w:val="7584B81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46B97543"/>
    <w:multiLevelType w:val="hybridMultilevel"/>
    <w:tmpl w:val="DD70BA5E"/>
    <w:lvl w:ilvl="0" w:tplc="0409000F">
      <w:start w:val="1"/>
      <w:numFmt w:val="decimal"/>
      <w:lvlText w:val="%1."/>
      <w:lvlJc w:val="left"/>
      <w:pPr>
        <w:ind w:left="108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B74F21"/>
    <w:multiLevelType w:val="hybridMultilevel"/>
    <w:tmpl w:val="6D3E5600"/>
    <w:lvl w:ilvl="0" w:tplc="B464021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1657BF"/>
    <w:multiLevelType w:val="hybridMultilevel"/>
    <w:tmpl w:val="D73A6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F84AF2"/>
    <w:multiLevelType w:val="hybridMultilevel"/>
    <w:tmpl w:val="23ACF4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F791904"/>
    <w:multiLevelType w:val="hybridMultilevel"/>
    <w:tmpl w:val="6ECE3D1A"/>
    <w:lvl w:ilvl="0" w:tplc="6FDA635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8AF78C2"/>
    <w:multiLevelType w:val="hybridMultilevel"/>
    <w:tmpl w:val="464C209A"/>
    <w:lvl w:ilvl="0" w:tplc="968871FC">
      <w:start w:val="1"/>
      <w:numFmt w:val="lowerLetter"/>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35" w15:restartNumberingAfterBreak="0">
    <w:nsid w:val="5CAD1FE0"/>
    <w:multiLevelType w:val="hybridMultilevel"/>
    <w:tmpl w:val="BB2E597C"/>
    <w:lvl w:ilvl="0" w:tplc="77D80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7" w15:restartNumberingAfterBreak="0">
    <w:nsid w:val="60B84EFE"/>
    <w:multiLevelType w:val="hybridMultilevel"/>
    <w:tmpl w:val="242299DA"/>
    <w:lvl w:ilvl="0" w:tplc="E2A462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FAC60DB"/>
    <w:multiLevelType w:val="hybridMultilevel"/>
    <w:tmpl w:val="899CC13A"/>
    <w:lvl w:ilvl="0" w:tplc="86B2D28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41C325E"/>
    <w:multiLevelType w:val="hybridMultilevel"/>
    <w:tmpl w:val="9C5E5472"/>
    <w:lvl w:ilvl="0" w:tplc="217C1966">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4A36D8C"/>
    <w:multiLevelType w:val="hybridMultilevel"/>
    <w:tmpl w:val="D9F88A7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AF6965"/>
    <w:multiLevelType w:val="hybridMultilevel"/>
    <w:tmpl w:val="70F4CFBE"/>
    <w:lvl w:ilvl="0" w:tplc="184C64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BF32C4"/>
    <w:multiLevelType w:val="hybridMultilevel"/>
    <w:tmpl w:val="B16AA662"/>
    <w:lvl w:ilvl="0" w:tplc="7D50D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F1E7657"/>
    <w:multiLevelType w:val="hybridMultilevel"/>
    <w:tmpl w:val="9212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17"/>
  </w:num>
  <w:num w:numId="4">
    <w:abstractNumId w:val="8"/>
  </w:num>
  <w:num w:numId="5">
    <w:abstractNumId w:val="43"/>
  </w:num>
  <w:num w:numId="6">
    <w:abstractNumId w:val="38"/>
  </w:num>
  <w:num w:numId="7">
    <w:abstractNumId w:val="7"/>
  </w:num>
  <w:num w:numId="8">
    <w:abstractNumId w:val="10"/>
  </w:num>
  <w:num w:numId="9">
    <w:abstractNumId w:val="27"/>
  </w:num>
  <w:num w:numId="10">
    <w:abstractNumId w:val="16"/>
  </w:num>
  <w:num w:numId="11">
    <w:abstractNumId w:val="19"/>
  </w:num>
  <w:num w:numId="12">
    <w:abstractNumId w:val="25"/>
  </w:num>
  <w:num w:numId="13">
    <w:abstractNumId w:val="21"/>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
  </w:num>
  <w:num w:numId="17">
    <w:abstractNumId w:val="22"/>
  </w:num>
  <w:num w:numId="18">
    <w:abstractNumId w:val="30"/>
  </w:num>
  <w:num w:numId="19">
    <w:abstractNumId w:val="35"/>
  </w:num>
  <w:num w:numId="20">
    <w:abstractNumId w:val="5"/>
  </w:num>
  <w:num w:numId="21">
    <w:abstractNumId w:val="34"/>
  </w:num>
  <w:num w:numId="22">
    <w:abstractNumId w:val="24"/>
  </w:num>
  <w:num w:numId="23">
    <w:abstractNumId w:val="1"/>
  </w:num>
  <w:num w:numId="24">
    <w:abstractNumId w:val="11"/>
  </w:num>
  <w:num w:numId="25">
    <w:abstractNumId w:val="14"/>
  </w:num>
  <w:num w:numId="26">
    <w:abstractNumId w:val="45"/>
  </w:num>
  <w:num w:numId="27">
    <w:abstractNumId w:val="40"/>
  </w:num>
  <w:num w:numId="28">
    <w:abstractNumId w:val="6"/>
  </w:num>
  <w:num w:numId="29">
    <w:abstractNumId w:val="29"/>
  </w:num>
  <w:num w:numId="30">
    <w:abstractNumId w:val="0"/>
  </w:num>
  <w:num w:numId="31">
    <w:abstractNumId w:val="44"/>
  </w:num>
  <w:num w:numId="32">
    <w:abstractNumId w:val="2"/>
  </w:num>
  <w:num w:numId="33">
    <w:abstractNumId w:val="37"/>
  </w:num>
  <w:num w:numId="34">
    <w:abstractNumId w:val="13"/>
  </w:num>
  <w:num w:numId="35">
    <w:abstractNumId w:val="33"/>
  </w:num>
  <w:num w:numId="36">
    <w:abstractNumId w:val="39"/>
  </w:num>
  <w:num w:numId="37">
    <w:abstractNumId w:val="42"/>
  </w:num>
  <w:num w:numId="38">
    <w:abstractNumId w:val="32"/>
  </w:num>
  <w:num w:numId="39">
    <w:abstractNumId w:val="12"/>
  </w:num>
  <w:num w:numId="40">
    <w:abstractNumId w:val="31"/>
  </w:num>
  <w:num w:numId="41">
    <w:abstractNumId w:val="15"/>
  </w:num>
  <w:num w:numId="42">
    <w:abstractNumId w:val="9"/>
  </w:num>
  <w:num w:numId="43">
    <w:abstractNumId w:val="41"/>
  </w:num>
  <w:num w:numId="44">
    <w:abstractNumId w:val="4"/>
  </w:num>
  <w:num w:numId="45">
    <w:abstractNumId w:val="1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542"/>
    <w:rsid w:val="0000268E"/>
    <w:rsid w:val="000028E1"/>
    <w:rsid w:val="000048ED"/>
    <w:rsid w:val="0001024A"/>
    <w:rsid w:val="00013BA1"/>
    <w:rsid w:val="00015E19"/>
    <w:rsid w:val="00021EF0"/>
    <w:rsid w:val="00025F08"/>
    <w:rsid w:val="000353CE"/>
    <w:rsid w:val="0004121E"/>
    <w:rsid w:val="00041A66"/>
    <w:rsid w:val="000433B3"/>
    <w:rsid w:val="0004463E"/>
    <w:rsid w:val="000467E8"/>
    <w:rsid w:val="0005176E"/>
    <w:rsid w:val="00061052"/>
    <w:rsid w:val="00061CC5"/>
    <w:rsid w:val="0006269A"/>
    <w:rsid w:val="00064957"/>
    <w:rsid w:val="0007252B"/>
    <w:rsid w:val="00074AA1"/>
    <w:rsid w:val="00075F72"/>
    <w:rsid w:val="000765F7"/>
    <w:rsid w:val="00077AB7"/>
    <w:rsid w:val="00081CD8"/>
    <w:rsid w:val="00081EEC"/>
    <w:rsid w:val="000825A5"/>
    <w:rsid w:val="00087160"/>
    <w:rsid w:val="0008925B"/>
    <w:rsid w:val="00090F19"/>
    <w:rsid w:val="00093AB4"/>
    <w:rsid w:val="000A4B1B"/>
    <w:rsid w:val="000A7F0E"/>
    <w:rsid w:val="000B1B3F"/>
    <w:rsid w:val="000B1C8F"/>
    <w:rsid w:val="000B31F1"/>
    <w:rsid w:val="000B5BC4"/>
    <w:rsid w:val="000B5CE6"/>
    <w:rsid w:val="000B6742"/>
    <w:rsid w:val="000B70D1"/>
    <w:rsid w:val="000C0D61"/>
    <w:rsid w:val="000D2039"/>
    <w:rsid w:val="000D7DF3"/>
    <w:rsid w:val="000F0434"/>
    <w:rsid w:val="000F24E4"/>
    <w:rsid w:val="000F3A3F"/>
    <w:rsid w:val="000F4018"/>
    <w:rsid w:val="000F41BA"/>
    <w:rsid w:val="000F68FD"/>
    <w:rsid w:val="00101A97"/>
    <w:rsid w:val="00102557"/>
    <w:rsid w:val="001112B5"/>
    <w:rsid w:val="00113766"/>
    <w:rsid w:val="00116182"/>
    <w:rsid w:val="00117CFE"/>
    <w:rsid w:val="00140A98"/>
    <w:rsid w:val="00146E20"/>
    <w:rsid w:val="00147C88"/>
    <w:rsid w:val="00150D78"/>
    <w:rsid w:val="001527CE"/>
    <w:rsid w:val="00156393"/>
    <w:rsid w:val="00160C56"/>
    <w:rsid w:val="001627E9"/>
    <w:rsid w:val="00163B19"/>
    <w:rsid w:val="00164D56"/>
    <w:rsid w:val="001650E7"/>
    <w:rsid w:val="00166761"/>
    <w:rsid w:val="00167B10"/>
    <w:rsid w:val="00167CAF"/>
    <w:rsid w:val="0017052A"/>
    <w:rsid w:val="00173D9F"/>
    <w:rsid w:val="0017402F"/>
    <w:rsid w:val="0018368E"/>
    <w:rsid w:val="00195A1E"/>
    <w:rsid w:val="00196C1B"/>
    <w:rsid w:val="001A2D4E"/>
    <w:rsid w:val="001A34A1"/>
    <w:rsid w:val="001A4976"/>
    <w:rsid w:val="001B0F73"/>
    <w:rsid w:val="001B69F8"/>
    <w:rsid w:val="001B7A6F"/>
    <w:rsid w:val="001C2DB7"/>
    <w:rsid w:val="001C599A"/>
    <w:rsid w:val="001D5C04"/>
    <w:rsid w:val="001E0210"/>
    <w:rsid w:val="001E0329"/>
    <w:rsid w:val="001E0AE2"/>
    <w:rsid w:val="001F26CF"/>
    <w:rsid w:val="001F3A83"/>
    <w:rsid w:val="001F4CB1"/>
    <w:rsid w:val="00201878"/>
    <w:rsid w:val="00202125"/>
    <w:rsid w:val="00205D29"/>
    <w:rsid w:val="00207416"/>
    <w:rsid w:val="00214CAC"/>
    <w:rsid w:val="00214DAC"/>
    <w:rsid w:val="002157CF"/>
    <w:rsid w:val="00217A47"/>
    <w:rsid w:val="00217B5B"/>
    <w:rsid w:val="002200BA"/>
    <w:rsid w:val="00221027"/>
    <w:rsid w:val="0022224D"/>
    <w:rsid w:val="00222A2D"/>
    <w:rsid w:val="00223029"/>
    <w:rsid w:val="0023080E"/>
    <w:rsid w:val="00230C7D"/>
    <w:rsid w:val="0023471D"/>
    <w:rsid w:val="00234745"/>
    <w:rsid w:val="00234F21"/>
    <w:rsid w:val="002351A6"/>
    <w:rsid w:val="002359A3"/>
    <w:rsid w:val="002360D1"/>
    <w:rsid w:val="00237E5E"/>
    <w:rsid w:val="002407AF"/>
    <w:rsid w:val="0024195C"/>
    <w:rsid w:val="002426E2"/>
    <w:rsid w:val="00242967"/>
    <w:rsid w:val="00244E93"/>
    <w:rsid w:val="00245EB2"/>
    <w:rsid w:val="002601AC"/>
    <w:rsid w:val="00271C4F"/>
    <w:rsid w:val="0027338D"/>
    <w:rsid w:val="0027466B"/>
    <w:rsid w:val="002752A4"/>
    <w:rsid w:val="00275E25"/>
    <w:rsid w:val="00275E48"/>
    <w:rsid w:val="00276999"/>
    <w:rsid w:val="00280FEC"/>
    <w:rsid w:val="002838A5"/>
    <w:rsid w:val="002857C6"/>
    <w:rsid w:val="002859ED"/>
    <w:rsid w:val="00285BB4"/>
    <w:rsid w:val="00290AFF"/>
    <w:rsid w:val="00291FFF"/>
    <w:rsid w:val="0029239E"/>
    <w:rsid w:val="00292F57"/>
    <w:rsid w:val="00295550"/>
    <w:rsid w:val="002A1A67"/>
    <w:rsid w:val="002A24D1"/>
    <w:rsid w:val="002A333F"/>
    <w:rsid w:val="002B0936"/>
    <w:rsid w:val="002B2A46"/>
    <w:rsid w:val="002B5A3B"/>
    <w:rsid w:val="002C09E3"/>
    <w:rsid w:val="002C358B"/>
    <w:rsid w:val="002C614F"/>
    <w:rsid w:val="002D2670"/>
    <w:rsid w:val="002D3C97"/>
    <w:rsid w:val="002D5DF6"/>
    <w:rsid w:val="002D5F1D"/>
    <w:rsid w:val="002D695B"/>
    <w:rsid w:val="002E0DB4"/>
    <w:rsid w:val="002E11F4"/>
    <w:rsid w:val="002E2E33"/>
    <w:rsid w:val="002F4078"/>
    <w:rsid w:val="002F4E2B"/>
    <w:rsid w:val="002F6409"/>
    <w:rsid w:val="00316EAF"/>
    <w:rsid w:val="00320315"/>
    <w:rsid w:val="00321DF8"/>
    <w:rsid w:val="00330409"/>
    <w:rsid w:val="0033106C"/>
    <w:rsid w:val="0033279B"/>
    <w:rsid w:val="003343B7"/>
    <w:rsid w:val="00337CEB"/>
    <w:rsid w:val="00340503"/>
    <w:rsid w:val="003431A1"/>
    <w:rsid w:val="0034492B"/>
    <w:rsid w:val="00344B58"/>
    <w:rsid w:val="00344F81"/>
    <w:rsid w:val="0034539A"/>
    <w:rsid w:val="00345CB4"/>
    <w:rsid w:val="00351003"/>
    <w:rsid w:val="00356799"/>
    <w:rsid w:val="00363FA7"/>
    <w:rsid w:val="003645DA"/>
    <w:rsid w:val="00365D7B"/>
    <w:rsid w:val="00367027"/>
    <w:rsid w:val="00371196"/>
    <w:rsid w:val="003742CF"/>
    <w:rsid w:val="00375D42"/>
    <w:rsid w:val="00376F40"/>
    <w:rsid w:val="00384378"/>
    <w:rsid w:val="00385934"/>
    <w:rsid w:val="0038773F"/>
    <w:rsid w:val="00390D3B"/>
    <w:rsid w:val="0039157A"/>
    <w:rsid w:val="003935B8"/>
    <w:rsid w:val="003A570F"/>
    <w:rsid w:val="003A64D4"/>
    <w:rsid w:val="003A69E9"/>
    <w:rsid w:val="003A7372"/>
    <w:rsid w:val="003A74A1"/>
    <w:rsid w:val="003B2DFA"/>
    <w:rsid w:val="003B3311"/>
    <w:rsid w:val="003C1A85"/>
    <w:rsid w:val="003C34DE"/>
    <w:rsid w:val="003C6FFD"/>
    <w:rsid w:val="003D069C"/>
    <w:rsid w:val="003D1435"/>
    <w:rsid w:val="003D516F"/>
    <w:rsid w:val="003D5305"/>
    <w:rsid w:val="003D7646"/>
    <w:rsid w:val="003E1360"/>
    <w:rsid w:val="003E3E28"/>
    <w:rsid w:val="003E75AD"/>
    <w:rsid w:val="003F113A"/>
    <w:rsid w:val="003F29FF"/>
    <w:rsid w:val="003F2D13"/>
    <w:rsid w:val="003F3564"/>
    <w:rsid w:val="003F3B1F"/>
    <w:rsid w:val="003F3E63"/>
    <w:rsid w:val="003F5E7F"/>
    <w:rsid w:val="003F6B02"/>
    <w:rsid w:val="00401D13"/>
    <w:rsid w:val="00407480"/>
    <w:rsid w:val="00407ADD"/>
    <w:rsid w:val="00414643"/>
    <w:rsid w:val="0042080D"/>
    <w:rsid w:val="004236E3"/>
    <w:rsid w:val="004240CF"/>
    <w:rsid w:val="004307B5"/>
    <w:rsid w:val="004352C1"/>
    <w:rsid w:val="00435431"/>
    <w:rsid w:val="0043770B"/>
    <w:rsid w:val="004404DB"/>
    <w:rsid w:val="00440E3E"/>
    <w:rsid w:val="004421E5"/>
    <w:rsid w:val="00442BA5"/>
    <w:rsid w:val="004444CC"/>
    <w:rsid w:val="00446F25"/>
    <w:rsid w:val="00452284"/>
    <w:rsid w:val="00457C8E"/>
    <w:rsid w:val="00457E51"/>
    <w:rsid w:val="004642CB"/>
    <w:rsid w:val="00465AFF"/>
    <w:rsid w:val="00467A17"/>
    <w:rsid w:val="0047355F"/>
    <w:rsid w:val="004772DF"/>
    <w:rsid w:val="0048231D"/>
    <w:rsid w:val="00482A25"/>
    <w:rsid w:val="004856CA"/>
    <w:rsid w:val="00487E67"/>
    <w:rsid w:val="00490B31"/>
    <w:rsid w:val="004952AE"/>
    <w:rsid w:val="0049705E"/>
    <w:rsid w:val="004A0FE6"/>
    <w:rsid w:val="004A346B"/>
    <w:rsid w:val="004A34A0"/>
    <w:rsid w:val="004A549C"/>
    <w:rsid w:val="004B0A72"/>
    <w:rsid w:val="004B22F7"/>
    <w:rsid w:val="004B2C54"/>
    <w:rsid w:val="004B5125"/>
    <w:rsid w:val="004B59E2"/>
    <w:rsid w:val="004C2443"/>
    <w:rsid w:val="004C7057"/>
    <w:rsid w:val="004D2CC7"/>
    <w:rsid w:val="004E08D4"/>
    <w:rsid w:val="004F1569"/>
    <w:rsid w:val="005008A8"/>
    <w:rsid w:val="005074F2"/>
    <w:rsid w:val="00510138"/>
    <w:rsid w:val="00513CD8"/>
    <w:rsid w:val="0051672B"/>
    <w:rsid w:val="005178BE"/>
    <w:rsid w:val="005220BA"/>
    <w:rsid w:val="00522A99"/>
    <w:rsid w:val="00522D9E"/>
    <w:rsid w:val="00524C48"/>
    <w:rsid w:val="00526B7B"/>
    <w:rsid w:val="005308CE"/>
    <w:rsid w:val="00531C4D"/>
    <w:rsid w:val="0053318C"/>
    <w:rsid w:val="0053478D"/>
    <w:rsid w:val="005354E9"/>
    <w:rsid w:val="005372E5"/>
    <w:rsid w:val="0054264A"/>
    <w:rsid w:val="0054566E"/>
    <w:rsid w:val="0055072D"/>
    <w:rsid w:val="005552C4"/>
    <w:rsid w:val="0055567C"/>
    <w:rsid w:val="00555CC1"/>
    <w:rsid w:val="00557709"/>
    <w:rsid w:val="00557EAE"/>
    <w:rsid w:val="00560332"/>
    <w:rsid w:val="00560ED8"/>
    <w:rsid w:val="00561628"/>
    <w:rsid w:val="00562E8D"/>
    <w:rsid w:val="005631B1"/>
    <w:rsid w:val="00566C4D"/>
    <w:rsid w:val="00566FE9"/>
    <w:rsid w:val="00571480"/>
    <w:rsid w:val="00571FE5"/>
    <w:rsid w:val="0057439C"/>
    <w:rsid w:val="00576076"/>
    <w:rsid w:val="0057683D"/>
    <w:rsid w:val="005828B3"/>
    <w:rsid w:val="005853A2"/>
    <w:rsid w:val="00591ECE"/>
    <w:rsid w:val="005933BF"/>
    <w:rsid w:val="00594A9E"/>
    <w:rsid w:val="00599377"/>
    <w:rsid w:val="005A2FE6"/>
    <w:rsid w:val="005A3AA7"/>
    <w:rsid w:val="005B0127"/>
    <w:rsid w:val="005B7A35"/>
    <w:rsid w:val="005C434B"/>
    <w:rsid w:val="005C4B73"/>
    <w:rsid w:val="005C4D0B"/>
    <w:rsid w:val="005C6A24"/>
    <w:rsid w:val="005D561B"/>
    <w:rsid w:val="005E0C1E"/>
    <w:rsid w:val="005E1D2B"/>
    <w:rsid w:val="005E2B0B"/>
    <w:rsid w:val="005E7074"/>
    <w:rsid w:val="005F2BAF"/>
    <w:rsid w:val="00600874"/>
    <w:rsid w:val="00600D93"/>
    <w:rsid w:val="00604467"/>
    <w:rsid w:val="006117FB"/>
    <w:rsid w:val="00613BA2"/>
    <w:rsid w:val="0063170B"/>
    <w:rsid w:val="00631D45"/>
    <w:rsid w:val="0063300C"/>
    <w:rsid w:val="006335DA"/>
    <w:rsid w:val="00642514"/>
    <w:rsid w:val="0064420A"/>
    <w:rsid w:val="0064544A"/>
    <w:rsid w:val="006454B4"/>
    <w:rsid w:val="00645F0B"/>
    <w:rsid w:val="00650541"/>
    <w:rsid w:val="00653893"/>
    <w:rsid w:val="006543A1"/>
    <w:rsid w:val="006555CC"/>
    <w:rsid w:val="00655736"/>
    <w:rsid w:val="00656A90"/>
    <w:rsid w:val="00662E1D"/>
    <w:rsid w:val="00663B8D"/>
    <w:rsid w:val="00666C18"/>
    <w:rsid w:val="00667E92"/>
    <w:rsid w:val="00674EAC"/>
    <w:rsid w:val="006835A3"/>
    <w:rsid w:val="00683707"/>
    <w:rsid w:val="00692682"/>
    <w:rsid w:val="00693520"/>
    <w:rsid w:val="00696C8D"/>
    <w:rsid w:val="006A0EDB"/>
    <w:rsid w:val="006A2AC2"/>
    <w:rsid w:val="006A3617"/>
    <w:rsid w:val="006A3EE2"/>
    <w:rsid w:val="006A4AFD"/>
    <w:rsid w:val="006A50EB"/>
    <w:rsid w:val="006A572C"/>
    <w:rsid w:val="006A77F4"/>
    <w:rsid w:val="006B0F88"/>
    <w:rsid w:val="006B4095"/>
    <w:rsid w:val="006B53F4"/>
    <w:rsid w:val="006B5868"/>
    <w:rsid w:val="006C0F43"/>
    <w:rsid w:val="006C4B43"/>
    <w:rsid w:val="006C7430"/>
    <w:rsid w:val="006D0CF9"/>
    <w:rsid w:val="006D3722"/>
    <w:rsid w:val="006E0C1E"/>
    <w:rsid w:val="006E0E4E"/>
    <w:rsid w:val="006E46E4"/>
    <w:rsid w:val="006F13D2"/>
    <w:rsid w:val="006F5DC9"/>
    <w:rsid w:val="007103CE"/>
    <w:rsid w:val="00714478"/>
    <w:rsid w:val="007161BD"/>
    <w:rsid w:val="00717DA5"/>
    <w:rsid w:val="00724485"/>
    <w:rsid w:val="00730369"/>
    <w:rsid w:val="007309AF"/>
    <w:rsid w:val="007317B2"/>
    <w:rsid w:val="00734BE0"/>
    <w:rsid w:val="007368C8"/>
    <w:rsid w:val="00737E87"/>
    <w:rsid w:val="00744484"/>
    <w:rsid w:val="00747566"/>
    <w:rsid w:val="00754B5D"/>
    <w:rsid w:val="00761267"/>
    <w:rsid w:val="00762408"/>
    <w:rsid w:val="007638F3"/>
    <w:rsid w:val="00765613"/>
    <w:rsid w:val="00773188"/>
    <w:rsid w:val="007751FD"/>
    <w:rsid w:val="00777A14"/>
    <w:rsid w:val="007832A6"/>
    <w:rsid w:val="00783782"/>
    <w:rsid w:val="00783D72"/>
    <w:rsid w:val="00784B8C"/>
    <w:rsid w:val="0078634B"/>
    <w:rsid w:val="007867F5"/>
    <w:rsid w:val="007879E1"/>
    <w:rsid w:val="00794CFC"/>
    <w:rsid w:val="0079657C"/>
    <w:rsid w:val="007A0383"/>
    <w:rsid w:val="007A0B27"/>
    <w:rsid w:val="007A1446"/>
    <w:rsid w:val="007A581E"/>
    <w:rsid w:val="007A6270"/>
    <w:rsid w:val="007B07A2"/>
    <w:rsid w:val="007B3A8D"/>
    <w:rsid w:val="007B5D12"/>
    <w:rsid w:val="007C1EC7"/>
    <w:rsid w:val="007C4CB3"/>
    <w:rsid w:val="007D182C"/>
    <w:rsid w:val="007D2B29"/>
    <w:rsid w:val="007D4499"/>
    <w:rsid w:val="007D4858"/>
    <w:rsid w:val="007E28B2"/>
    <w:rsid w:val="007F3F57"/>
    <w:rsid w:val="00803377"/>
    <w:rsid w:val="008035D4"/>
    <w:rsid w:val="00804278"/>
    <w:rsid w:val="008135F7"/>
    <w:rsid w:val="00813C3D"/>
    <w:rsid w:val="00814974"/>
    <w:rsid w:val="00817B44"/>
    <w:rsid w:val="00823A11"/>
    <w:rsid w:val="008264D3"/>
    <w:rsid w:val="00826F0B"/>
    <w:rsid w:val="00826FF6"/>
    <w:rsid w:val="00831A76"/>
    <w:rsid w:val="008349CD"/>
    <w:rsid w:val="00835E4D"/>
    <w:rsid w:val="00836827"/>
    <w:rsid w:val="00840696"/>
    <w:rsid w:val="00840E27"/>
    <w:rsid w:val="008421E7"/>
    <w:rsid w:val="00843F00"/>
    <w:rsid w:val="00844161"/>
    <w:rsid w:val="00846A91"/>
    <w:rsid w:val="00846FFB"/>
    <w:rsid w:val="00847E16"/>
    <w:rsid w:val="0085405E"/>
    <w:rsid w:val="0085414A"/>
    <w:rsid w:val="00854F4B"/>
    <w:rsid w:val="0085B6C2"/>
    <w:rsid w:val="0086269D"/>
    <w:rsid w:val="00863BDC"/>
    <w:rsid w:val="0086543A"/>
    <w:rsid w:val="00865F9F"/>
    <w:rsid w:val="00867CE2"/>
    <w:rsid w:val="008724E5"/>
    <w:rsid w:val="008730E5"/>
    <w:rsid w:val="00876916"/>
    <w:rsid w:val="00880D52"/>
    <w:rsid w:val="008825FB"/>
    <w:rsid w:val="00884A9D"/>
    <w:rsid w:val="00884CFF"/>
    <w:rsid w:val="0088512B"/>
    <w:rsid w:val="008860C5"/>
    <w:rsid w:val="00890F65"/>
    <w:rsid w:val="00891BA2"/>
    <w:rsid w:val="00892055"/>
    <w:rsid w:val="008A07AC"/>
    <w:rsid w:val="008A2B2D"/>
    <w:rsid w:val="008A3F42"/>
    <w:rsid w:val="008A4E1E"/>
    <w:rsid w:val="008B09BE"/>
    <w:rsid w:val="008B13A6"/>
    <w:rsid w:val="008B1B2A"/>
    <w:rsid w:val="008B396F"/>
    <w:rsid w:val="008B5BCF"/>
    <w:rsid w:val="008C0F36"/>
    <w:rsid w:val="008C16E9"/>
    <w:rsid w:val="008C296C"/>
    <w:rsid w:val="008C4A91"/>
    <w:rsid w:val="008D22C3"/>
    <w:rsid w:val="008D3F6F"/>
    <w:rsid w:val="008D4305"/>
    <w:rsid w:val="008E1A85"/>
    <w:rsid w:val="008E5831"/>
    <w:rsid w:val="008F2EE7"/>
    <w:rsid w:val="00902909"/>
    <w:rsid w:val="00913EF9"/>
    <w:rsid w:val="0091536B"/>
    <w:rsid w:val="009163A7"/>
    <w:rsid w:val="00924E0B"/>
    <w:rsid w:val="0093331A"/>
    <w:rsid w:val="0093796A"/>
    <w:rsid w:val="00943C5D"/>
    <w:rsid w:val="009463FC"/>
    <w:rsid w:val="00946D0B"/>
    <w:rsid w:val="00951F9C"/>
    <w:rsid w:val="00955877"/>
    <w:rsid w:val="00960A91"/>
    <w:rsid w:val="00967141"/>
    <w:rsid w:val="00967AB5"/>
    <w:rsid w:val="00967FA1"/>
    <w:rsid w:val="0097782C"/>
    <w:rsid w:val="00980817"/>
    <w:rsid w:val="00981E4D"/>
    <w:rsid w:val="00982317"/>
    <w:rsid w:val="0098568E"/>
    <w:rsid w:val="009865B3"/>
    <w:rsid w:val="009A18CD"/>
    <w:rsid w:val="009A1FA3"/>
    <w:rsid w:val="009A5132"/>
    <w:rsid w:val="009A6BD6"/>
    <w:rsid w:val="009B785D"/>
    <w:rsid w:val="009C0026"/>
    <w:rsid w:val="009C556C"/>
    <w:rsid w:val="009C5C57"/>
    <w:rsid w:val="009C72A1"/>
    <w:rsid w:val="009D07AC"/>
    <w:rsid w:val="009D0A89"/>
    <w:rsid w:val="009D4ED9"/>
    <w:rsid w:val="009D5428"/>
    <w:rsid w:val="009D61BD"/>
    <w:rsid w:val="009D6F92"/>
    <w:rsid w:val="009E00EF"/>
    <w:rsid w:val="009E09A9"/>
    <w:rsid w:val="009E0CC7"/>
    <w:rsid w:val="009E17F1"/>
    <w:rsid w:val="009E5BC1"/>
    <w:rsid w:val="009E5E82"/>
    <w:rsid w:val="009E6C2A"/>
    <w:rsid w:val="009E7AB9"/>
    <w:rsid w:val="009F226A"/>
    <w:rsid w:val="009F5A8A"/>
    <w:rsid w:val="00A00C1B"/>
    <w:rsid w:val="00A00DFB"/>
    <w:rsid w:val="00A0661C"/>
    <w:rsid w:val="00A0779A"/>
    <w:rsid w:val="00A11507"/>
    <w:rsid w:val="00A11996"/>
    <w:rsid w:val="00A12558"/>
    <w:rsid w:val="00A12764"/>
    <w:rsid w:val="00A13903"/>
    <w:rsid w:val="00A160BB"/>
    <w:rsid w:val="00A24FA5"/>
    <w:rsid w:val="00A254D6"/>
    <w:rsid w:val="00A266D1"/>
    <w:rsid w:val="00A31CBA"/>
    <w:rsid w:val="00A34ED5"/>
    <w:rsid w:val="00A35F85"/>
    <w:rsid w:val="00A447AD"/>
    <w:rsid w:val="00A45DBF"/>
    <w:rsid w:val="00A5324F"/>
    <w:rsid w:val="00A5651B"/>
    <w:rsid w:val="00A6030D"/>
    <w:rsid w:val="00A75554"/>
    <w:rsid w:val="00A755A2"/>
    <w:rsid w:val="00A805DD"/>
    <w:rsid w:val="00A808B1"/>
    <w:rsid w:val="00A80F17"/>
    <w:rsid w:val="00A8390D"/>
    <w:rsid w:val="00A85517"/>
    <w:rsid w:val="00A92858"/>
    <w:rsid w:val="00A92E2D"/>
    <w:rsid w:val="00A9758A"/>
    <w:rsid w:val="00AA0D96"/>
    <w:rsid w:val="00AA5F4A"/>
    <w:rsid w:val="00AA6660"/>
    <w:rsid w:val="00AA6B83"/>
    <w:rsid w:val="00AA763A"/>
    <w:rsid w:val="00AB2C36"/>
    <w:rsid w:val="00AB3104"/>
    <w:rsid w:val="00AB6839"/>
    <w:rsid w:val="00AB6DDE"/>
    <w:rsid w:val="00AB70B6"/>
    <w:rsid w:val="00AC27DE"/>
    <w:rsid w:val="00AC5C58"/>
    <w:rsid w:val="00AC670F"/>
    <w:rsid w:val="00AD067D"/>
    <w:rsid w:val="00AD101C"/>
    <w:rsid w:val="00AD1A86"/>
    <w:rsid w:val="00AD4758"/>
    <w:rsid w:val="00AD4F7A"/>
    <w:rsid w:val="00AD6EE3"/>
    <w:rsid w:val="00AE0966"/>
    <w:rsid w:val="00AE103E"/>
    <w:rsid w:val="00AE459C"/>
    <w:rsid w:val="00AE48AC"/>
    <w:rsid w:val="00AE7190"/>
    <w:rsid w:val="00AF0A07"/>
    <w:rsid w:val="00AF4AEC"/>
    <w:rsid w:val="00AF625E"/>
    <w:rsid w:val="00AF6CC7"/>
    <w:rsid w:val="00AF791D"/>
    <w:rsid w:val="00AF7EF4"/>
    <w:rsid w:val="00B00A82"/>
    <w:rsid w:val="00B079EB"/>
    <w:rsid w:val="00B11CF8"/>
    <w:rsid w:val="00B11FC8"/>
    <w:rsid w:val="00B172DB"/>
    <w:rsid w:val="00B1781D"/>
    <w:rsid w:val="00B30B01"/>
    <w:rsid w:val="00B34E61"/>
    <w:rsid w:val="00B3530C"/>
    <w:rsid w:val="00B362CA"/>
    <w:rsid w:val="00B4567B"/>
    <w:rsid w:val="00B51E52"/>
    <w:rsid w:val="00B56004"/>
    <w:rsid w:val="00B60235"/>
    <w:rsid w:val="00B60A1B"/>
    <w:rsid w:val="00B61C4B"/>
    <w:rsid w:val="00B66CE5"/>
    <w:rsid w:val="00B6737D"/>
    <w:rsid w:val="00B83B46"/>
    <w:rsid w:val="00B91293"/>
    <w:rsid w:val="00B921D1"/>
    <w:rsid w:val="00B95C03"/>
    <w:rsid w:val="00B97BE4"/>
    <w:rsid w:val="00BA6A60"/>
    <w:rsid w:val="00BB04AF"/>
    <w:rsid w:val="00BB4268"/>
    <w:rsid w:val="00BB5851"/>
    <w:rsid w:val="00BB5EBA"/>
    <w:rsid w:val="00BC74CD"/>
    <w:rsid w:val="00BD0740"/>
    <w:rsid w:val="00BD15F8"/>
    <w:rsid w:val="00BD2199"/>
    <w:rsid w:val="00BD42C6"/>
    <w:rsid w:val="00BD52C9"/>
    <w:rsid w:val="00BD765F"/>
    <w:rsid w:val="00BE325A"/>
    <w:rsid w:val="00BE62E8"/>
    <w:rsid w:val="00BE6354"/>
    <w:rsid w:val="00BF572E"/>
    <w:rsid w:val="00BF5DCC"/>
    <w:rsid w:val="00BF74D2"/>
    <w:rsid w:val="00C00AD8"/>
    <w:rsid w:val="00C0144B"/>
    <w:rsid w:val="00C0443F"/>
    <w:rsid w:val="00C05077"/>
    <w:rsid w:val="00C066F9"/>
    <w:rsid w:val="00C12A85"/>
    <w:rsid w:val="00C13797"/>
    <w:rsid w:val="00C138D1"/>
    <w:rsid w:val="00C13998"/>
    <w:rsid w:val="00C14786"/>
    <w:rsid w:val="00C14CE5"/>
    <w:rsid w:val="00C227FD"/>
    <w:rsid w:val="00C23A97"/>
    <w:rsid w:val="00C23CC4"/>
    <w:rsid w:val="00C4193E"/>
    <w:rsid w:val="00C43DD7"/>
    <w:rsid w:val="00C4442C"/>
    <w:rsid w:val="00C57DD0"/>
    <w:rsid w:val="00C61068"/>
    <w:rsid w:val="00C6379E"/>
    <w:rsid w:val="00C637C9"/>
    <w:rsid w:val="00C64855"/>
    <w:rsid w:val="00C649E0"/>
    <w:rsid w:val="00C70EA7"/>
    <w:rsid w:val="00C7433F"/>
    <w:rsid w:val="00C7516E"/>
    <w:rsid w:val="00C75770"/>
    <w:rsid w:val="00C76C0E"/>
    <w:rsid w:val="00C76F04"/>
    <w:rsid w:val="00C77150"/>
    <w:rsid w:val="00C77B72"/>
    <w:rsid w:val="00C82B64"/>
    <w:rsid w:val="00C85AB0"/>
    <w:rsid w:val="00C9255D"/>
    <w:rsid w:val="00C956F6"/>
    <w:rsid w:val="00C96015"/>
    <w:rsid w:val="00CA06D3"/>
    <w:rsid w:val="00CA13D3"/>
    <w:rsid w:val="00CA3B00"/>
    <w:rsid w:val="00CA46DF"/>
    <w:rsid w:val="00CA4864"/>
    <w:rsid w:val="00CA56BB"/>
    <w:rsid w:val="00CB0542"/>
    <w:rsid w:val="00CB4DB5"/>
    <w:rsid w:val="00CB5E5E"/>
    <w:rsid w:val="00CC14E5"/>
    <w:rsid w:val="00CC1D18"/>
    <w:rsid w:val="00CC2DCA"/>
    <w:rsid w:val="00CD0BB8"/>
    <w:rsid w:val="00CD467B"/>
    <w:rsid w:val="00CD6D84"/>
    <w:rsid w:val="00CD6FB7"/>
    <w:rsid w:val="00CE28DB"/>
    <w:rsid w:val="00CE293A"/>
    <w:rsid w:val="00CF0406"/>
    <w:rsid w:val="00CF1EC7"/>
    <w:rsid w:val="00CF5523"/>
    <w:rsid w:val="00D00546"/>
    <w:rsid w:val="00D00B2B"/>
    <w:rsid w:val="00D017B6"/>
    <w:rsid w:val="00D02DE3"/>
    <w:rsid w:val="00D108A4"/>
    <w:rsid w:val="00D1128A"/>
    <w:rsid w:val="00D21BB8"/>
    <w:rsid w:val="00D24877"/>
    <w:rsid w:val="00D32F1A"/>
    <w:rsid w:val="00D359F1"/>
    <w:rsid w:val="00D41DC4"/>
    <w:rsid w:val="00D52620"/>
    <w:rsid w:val="00D53B38"/>
    <w:rsid w:val="00D56513"/>
    <w:rsid w:val="00D60DAE"/>
    <w:rsid w:val="00D6361F"/>
    <w:rsid w:val="00D65A02"/>
    <w:rsid w:val="00D66278"/>
    <w:rsid w:val="00D66F4D"/>
    <w:rsid w:val="00D7081B"/>
    <w:rsid w:val="00D70D96"/>
    <w:rsid w:val="00D736C0"/>
    <w:rsid w:val="00D73A1E"/>
    <w:rsid w:val="00D7683B"/>
    <w:rsid w:val="00D8250F"/>
    <w:rsid w:val="00D8355E"/>
    <w:rsid w:val="00D85A94"/>
    <w:rsid w:val="00D86D52"/>
    <w:rsid w:val="00D87B80"/>
    <w:rsid w:val="00D90F6B"/>
    <w:rsid w:val="00D91215"/>
    <w:rsid w:val="00D91F04"/>
    <w:rsid w:val="00D92721"/>
    <w:rsid w:val="00D93DD8"/>
    <w:rsid w:val="00D95C4C"/>
    <w:rsid w:val="00D971B0"/>
    <w:rsid w:val="00DA2EB5"/>
    <w:rsid w:val="00DA36ED"/>
    <w:rsid w:val="00DA40BC"/>
    <w:rsid w:val="00DA5DF8"/>
    <w:rsid w:val="00DB0C32"/>
    <w:rsid w:val="00DC0760"/>
    <w:rsid w:val="00DC0C84"/>
    <w:rsid w:val="00DC136F"/>
    <w:rsid w:val="00DC216C"/>
    <w:rsid w:val="00DC60FB"/>
    <w:rsid w:val="00DC7381"/>
    <w:rsid w:val="00DD254C"/>
    <w:rsid w:val="00DD2661"/>
    <w:rsid w:val="00DD6709"/>
    <w:rsid w:val="00DD6DB0"/>
    <w:rsid w:val="00DD7683"/>
    <w:rsid w:val="00DE34F1"/>
    <w:rsid w:val="00DE37DB"/>
    <w:rsid w:val="00DE3FCA"/>
    <w:rsid w:val="00DE41C8"/>
    <w:rsid w:val="00DE6160"/>
    <w:rsid w:val="00DF1962"/>
    <w:rsid w:val="00DF1A34"/>
    <w:rsid w:val="00DF3615"/>
    <w:rsid w:val="00DF4942"/>
    <w:rsid w:val="00DF6179"/>
    <w:rsid w:val="00DF6645"/>
    <w:rsid w:val="00E007BE"/>
    <w:rsid w:val="00E0161F"/>
    <w:rsid w:val="00E038CE"/>
    <w:rsid w:val="00E10E89"/>
    <w:rsid w:val="00E12265"/>
    <w:rsid w:val="00E21997"/>
    <w:rsid w:val="00E221E6"/>
    <w:rsid w:val="00E23876"/>
    <w:rsid w:val="00E244E1"/>
    <w:rsid w:val="00E31513"/>
    <w:rsid w:val="00E32E5C"/>
    <w:rsid w:val="00E351AA"/>
    <w:rsid w:val="00E4007E"/>
    <w:rsid w:val="00E40CA0"/>
    <w:rsid w:val="00E424A2"/>
    <w:rsid w:val="00E5514F"/>
    <w:rsid w:val="00E55BC3"/>
    <w:rsid w:val="00E627B1"/>
    <w:rsid w:val="00E70169"/>
    <w:rsid w:val="00E81E8E"/>
    <w:rsid w:val="00E9376C"/>
    <w:rsid w:val="00E9591D"/>
    <w:rsid w:val="00EA223B"/>
    <w:rsid w:val="00EA335E"/>
    <w:rsid w:val="00EA3D38"/>
    <w:rsid w:val="00EA528C"/>
    <w:rsid w:val="00EA580C"/>
    <w:rsid w:val="00EB4BA5"/>
    <w:rsid w:val="00EB6503"/>
    <w:rsid w:val="00EC1DEE"/>
    <w:rsid w:val="00EC2FC9"/>
    <w:rsid w:val="00EC301D"/>
    <w:rsid w:val="00EC5BC3"/>
    <w:rsid w:val="00EC6F8D"/>
    <w:rsid w:val="00EC7286"/>
    <w:rsid w:val="00EC7298"/>
    <w:rsid w:val="00EC7479"/>
    <w:rsid w:val="00ED200A"/>
    <w:rsid w:val="00EE0EEE"/>
    <w:rsid w:val="00EE12EC"/>
    <w:rsid w:val="00EE2294"/>
    <w:rsid w:val="00EE3D7F"/>
    <w:rsid w:val="00EE49F4"/>
    <w:rsid w:val="00EE690B"/>
    <w:rsid w:val="00EF34E2"/>
    <w:rsid w:val="00EF5F55"/>
    <w:rsid w:val="00F0143A"/>
    <w:rsid w:val="00F01B31"/>
    <w:rsid w:val="00F04D59"/>
    <w:rsid w:val="00F10DC0"/>
    <w:rsid w:val="00F12AF0"/>
    <w:rsid w:val="00F16AFE"/>
    <w:rsid w:val="00F267AB"/>
    <w:rsid w:val="00F26BB8"/>
    <w:rsid w:val="00F30DC6"/>
    <w:rsid w:val="00F32C23"/>
    <w:rsid w:val="00F37EF7"/>
    <w:rsid w:val="00F40B58"/>
    <w:rsid w:val="00F42525"/>
    <w:rsid w:val="00F42F08"/>
    <w:rsid w:val="00F443AB"/>
    <w:rsid w:val="00F44C22"/>
    <w:rsid w:val="00F47AD7"/>
    <w:rsid w:val="00F5248C"/>
    <w:rsid w:val="00F52D2E"/>
    <w:rsid w:val="00F53DE9"/>
    <w:rsid w:val="00F56533"/>
    <w:rsid w:val="00F576CB"/>
    <w:rsid w:val="00F61289"/>
    <w:rsid w:val="00F6546F"/>
    <w:rsid w:val="00F66BBF"/>
    <w:rsid w:val="00F67553"/>
    <w:rsid w:val="00F7035D"/>
    <w:rsid w:val="00F71A02"/>
    <w:rsid w:val="00F73AE1"/>
    <w:rsid w:val="00F75D77"/>
    <w:rsid w:val="00F85289"/>
    <w:rsid w:val="00F91D06"/>
    <w:rsid w:val="00F9209E"/>
    <w:rsid w:val="00F93F7F"/>
    <w:rsid w:val="00F952C0"/>
    <w:rsid w:val="00F95670"/>
    <w:rsid w:val="00FA0D63"/>
    <w:rsid w:val="00FA1F10"/>
    <w:rsid w:val="00FA3B9B"/>
    <w:rsid w:val="00FA62EF"/>
    <w:rsid w:val="00FB0891"/>
    <w:rsid w:val="00FB0D53"/>
    <w:rsid w:val="00FB11C3"/>
    <w:rsid w:val="00FB5DA7"/>
    <w:rsid w:val="00FB6E35"/>
    <w:rsid w:val="00FC7B26"/>
    <w:rsid w:val="00FD02AC"/>
    <w:rsid w:val="00FD0FFF"/>
    <w:rsid w:val="00FD1226"/>
    <w:rsid w:val="00FD15A2"/>
    <w:rsid w:val="00FD5A04"/>
    <w:rsid w:val="00FD64C7"/>
    <w:rsid w:val="00FD685E"/>
    <w:rsid w:val="00FD6A63"/>
    <w:rsid w:val="00FD6DF7"/>
    <w:rsid w:val="00FF4830"/>
    <w:rsid w:val="01233007"/>
    <w:rsid w:val="012ED385"/>
    <w:rsid w:val="01469C1A"/>
    <w:rsid w:val="018DB341"/>
    <w:rsid w:val="020033A8"/>
    <w:rsid w:val="02B966C2"/>
    <w:rsid w:val="02F211D3"/>
    <w:rsid w:val="03A3D14B"/>
    <w:rsid w:val="03B7C782"/>
    <w:rsid w:val="03BACE82"/>
    <w:rsid w:val="03C76623"/>
    <w:rsid w:val="041B29FF"/>
    <w:rsid w:val="04262DFF"/>
    <w:rsid w:val="0460EF4A"/>
    <w:rsid w:val="047F72AB"/>
    <w:rsid w:val="04800E74"/>
    <w:rsid w:val="04D48DC0"/>
    <w:rsid w:val="0516D195"/>
    <w:rsid w:val="051E27F8"/>
    <w:rsid w:val="051FFB5B"/>
    <w:rsid w:val="0531327F"/>
    <w:rsid w:val="05388FEC"/>
    <w:rsid w:val="055380EF"/>
    <w:rsid w:val="05702A37"/>
    <w:rsid w:val="0597B9F8"/>
    <w:rsid w:val="05D13204"/>
    <w:rsid w:val="05D44F83"/>
    <w:rsid w:val="060C7B77"/>
    <w:rsid w:val="0663105B"/>
    <w:rsid w:val="06B4413A"/>
    <w:rsid w:val="06CFF77A"/>
    <w:rsid w:val="078F9D4E"/>
    <w:rsid w:val="07983651"/>
    <w:rsid w:val="07AEC253"/>
    <w:rsid w:val="07B108F7"/>
    <w:rsid w:val="07F49603"/>
    <w:rsid w:val="0803871B"/>
    <w:rsid w:val="0845EDC5"/>
    <w:rsid w:val="08610C73"/>
    <w:rsid w:val="0863766F"/>
    <w:rsid w:val="08718943"/>
    <w:rsid w:val="087F6F39"/>
    <w:rsid w:val="088CE180"/>
    <w:rsid w:val="089B3FA6"/>
    <w:rsid w:val="08D50636"/>
    <w:rsid w:val="08F0E0B2"/>
    <w:rsid w:val="09043FDA"/>
    <w:rsid w:val="091019BF"/>
    <w:rsid w:val="091C409D"/>
    <w:rsid w:val="09332D55"/>
    <w:rsid w:val="094BB0C0"/>
    <w:rsid w:val="0965A53B"/>
    <w:rsid w:val="098B8927"/>
    <w:rsid w:val="098ED686"/>
    <w:rsid w:val="09AA702C"/>
    <w:rsid w:val="09B35A7C"/>
    <w:rsid w:val="0A0703E0"/>
    <w:rsid w:val="0A521F53"/>
    <w:rsid w:val="0AF9067C"/>
    <w:rsid w:val="0B2AA6E7"/>
    <w:rsid w:val="0B5E273A"/>
    <w:rsid w:val="0BAA181B"/>
    <w:rsid w:val="0BBD12D8"/>
    <w:rsid w:val="0BC3FD54"/>
    <w:rsid w:val="0C332AF4"/>
    <w:rsid w:val="0C58C029"/>
    <w:rsid w:val="0C75EDC5"/>
    <w:rsid w:val="0C94883D"/>
    <w:rsid w:val="0CC67748"/>
    <w:rsid w:val="0CED025A"/>
    <w:rsid w:val="0D112DBF"/>
    <w:rsid w:val="0D2EB8C6"/>
    <w:rsid w:val="0D8E3754"/>
    <w:rsid w:val="0DEB12C6"/>
    <w:rsid w:val="0E859E3F"/>
    <w:rsid w:val="0EB052BF"/>
    <w:rsid w:val="0EC24E09"/>
    <w:rsid w:val="0F39D622"/>
    <w:rsid w:val="0FB21F59"/>
    <w:rsid w:val="0FCC9EC6"/>
    <w:rsid w:val="10205C56"/>
    <w:rsid w:val="104B957E"/>
    <w:rsid w:val="10A5F567"/>
    <w:rsid w:val="10D17572"/>
    <w:rsid w:val="10FEDBAB"/>
    <w:rsid w:val="110689D8"/>
    <w:rsid w:val="1134CB20"/>
    <w:rsid w:val="1140BDBE"/>
    <w:rsid w:val="115573BD"/>
    <w:rsid w:val="116C5EB5"/>
    <w:rsid w:val="1170A94C"/>
    <w:rsid w:val="1182FEB0"/>
    <w:rsid w:val="11958300"/>
    <w:rsid w:val="11BB3D16"/>
    <w:rsid w:val="11C60851"/>
    <w:rsid w:val="11FF9766"/>
    <w:rsid w:val="12153EAA"/>
    <w:rsid w:val="12337D77"/>
    <w:rsid w:val="1244B152"/>
    <w:rsid w:val="12666774"/>
    <w:rsid w:val="1296EBB3"/>
    <w:rsid w:val="12DE312A"/>
    <w:rsid w:val="12F5BF75"/>
    <w:rsid w:val="131EE873"/>
    <w:rsid w:val="131F3432"/>
    <w:rsid w:val="13266490"/>
    <w:rsid w:val="13687509"/>
    <w:rsid w:val="1388E0F4"/>
    <w:rsid w:val="13E831C8"/>
    <w:rsid w:val="13F7676D"/>
    <w:rsid w:val="13F7962A"/>
    <w:rsid w:val="1450B107"/>
    <w:rsid w:val="1459A01D"/>
    <w:rsid w:val="14C1974B"/>
    <w:rsid w:val="1532A8D6"/>
    <w:rsid w:val="153E869B"/>
    <w:rsid w:val="1547F7E9"/>
    <w:rsid w:val="154A8A6D"/>
    <w:rsid w:val="1578108E"/>
    <w:rsid w:val="157EA094"/>
    <w:rsid w:val="158F910C"/>
    <w:rsid w:val="15AD4C6B"/>
    <w:rsid w:val="15C7573A"/>
    <w:rsid w:val="15CDA983"/>
    <w:rsid w:val="15D9FAFB"/>
    <w:rsid w:val="16599438"/>
    <w:rsid w:val="165E49B8"/>
    <w:rsid w:val="166069FA"/>
    <w:rsid w:val="1662FBEE"/>
    <w:rsid w:val="166617C4"/>
    <w:rsid w:val="16A17018"/>
    <w:rsid w:val="16D94BD4"/>
    <w:rsid w:val="16E56A42"/>
    <w:rsid w:val="16E65ACE"/>
    <w:rsid w:val="17236C6E"/>
    <w:rsid w:val="17457D68"/>
    <w:rsid w:val="175FE8EC"/>
    <w:rsid w:val="1775CB5C"/>
    <w:rsid w:val="179D8D4C"/>
    <w:rsid w:val="17B94452"/>
    <w:rsid w:val="17BDAC8B"/>
    <w:rsid w:val="17C0D90D"/>
    <w:rsid w:val="17C27E63"/>
    <w:rsid w:val="17F9F4B2"/>
    <w:rsid w:val="17FAFF3F"/>
    <w:rsid w:val="17FE4C42"/>
    <w:rsid w:val="180FEDB4"/>
    <w:rsid w:val="18268A25"/>
    <w:rsid w:val="18474B02"/>
    <w:rsid w:val="185E72AE"/>
    <w:rsid w:val="18914D06"/>
    <w:rsid w:val="193EC4CD"/>
    <w:rsid w:val="19503B99"/>
    <w:rsid w:val="19A9830A"/>
    <w:rsid w:val="19C0338B"/>
    <w:rsid w:val="19C90830"/>
    <w:rsid w:val="1A3357A7"/>
    <w:rsid w:val="1A41DE76"/>
    <w:rsid w:val="1A9FCAB1"/>
    <w:rsid w:val="1AD329CB"/>
    <w:rsid w:val="1AFD7335"/>
    <w:rsid w:val="1B3717BE"/>
    <w:rsid w:val="1BC0EF2E"/>
    <w:rsid w:val="1BC37B97"/>
    <w:rsid w:val="1BC8097D"/>
    <w:rsid w:val="1BD52C2E"/>
    <w:rsid w:val="1C0C5FD2"/>
    <w:rsid w:val="1C43B7E9"/>
    <w:rsid w:val="1C4991B9"/>
    <w:rsid w:val="1C96FBE0"/>
    <w:rsid w:val="1CF562D4"/>
    <w:rsid w:val="1D3CFF72"/>
    <w:rsid w:val="1D82E62D"/>
    <w:rsid w:val="1D8EC8BB"/>
    <w:rsid w:val="1E27810F"/>
    <w:rsid w:val="1E49079D"/>
    <w:rsid w:val="1E80157B"/>
    <w:rsid w:val="1EA16D9E"/>
    <w:rsid w:val="1EA88FB6"/>
    <w:rsid w:val="1EAC8381"/>
    <w:rsid w:val="1EBF77CB"/>
    <w:rsid w:val="1ED68B6B"/>
    <w:rsid w:val="1EDA286F"/>
    <w:rsid w:val="1F27507E"/>
    <w:rsid w:val="1F547940"/>
    <w:rsid w:val="1F758946"/>
    <w:rsid w:val="1F873893"/>
    <w:rsid w:val="20211B55"/>
    <w:rsid w:val="20216FC0"/>
    <w:rsid w:val="204B8659"/>
    <w:rsid w:val="204C0743"/>
    <w:rsid w:val="2078CE19"/>
    <w:rsid w:val="2126109E"/>
    <w:rsid w:val="21280BBA"/>
    <w:rsid w:val="2173206F"/>
    <w:rsid w:val="2197445D"/>
    <w:rsid w:val="21B0ECF2"/>
    <w:rsid w:val="22219E07"/>
    <w:rsid w:val="22466758"/>
    <w:rsid w:val="22502EE6"/>
    <w:rsid w:val="225159DF"/>
    <w:rsid w:val="225E9A8D"/>
    <w:rsid w:val="2266D5A2"/>
    <w:rsid w:val="2268BB4C"/>
    <w:rsid w:val="227A9A44"/>
    <w:rsid w:val="22A10C78"/>
    <w:rsid w:val="23274FB0"/>
    <w:rsid w:val="23453583"/>
    <w:rsid w:val="23554FB4"/>
    <w:rsid w:val="23931899"/>
    <w:rsid w:val="23CD2514"/>
    <w:rsid w:val="240FB675"/>
    <w:rsid w:val="241A9283"/>
    <w:rsid w:val="244BA3A2"/>
    <w:rsid w:val="24652622"/>
    <w:rsid w:val="246D782F"/>
    <w:rsid w:val="24F154BE"/>
    <w:rsid w:val="24F48DE4"/>
    <w:rsid w:val="250A4FF5"/>
    <w:rsid w:val="252E129C"/>
    <w:rsid w:val="2537EE26"/>
    <w:rsid w:val="253B6374"/>
    <w:rsid w:val="2575F0B0"/>
    <w:rsid w:val="25933593"/>
    <w:rsid w:val="25DB6FEA"/>
    <w:rsid w:val="261A93B7"/>
    <w:rsid w:val="2641D58D"/>
    <w:rsid w:val="268C4861"/>
    <w:rsid w:val="26A28BEB"/>
    <w:rsid w:val="26C3A345"/>
    <w:rsid w:val="26DEC706"/>
    <w:rsid w:val="273CC655"/>
    <w:rsid w:val="2750CA14"/>
    <w:rsid w:val="276C5F4C"/>
    <w:rsid w:val="2789F103"/>
    <w:rsid w:val="278AEACF"/>
    <w:rsid w:val="27D73397"/>
    <w:rsid w:val="27E08FB3"/>
    <w:rsid w:val="281244D5"/>
    <w:rsid w:val="2824D284"/>
    <w:rsid w:val="28376D10"/>
    <w:rsid w:val="28D48F66"/>
    <w:rsid w:val="29338341"/>
    <w:rsid w:val="2970A7C4"/>
    <w:rsid w:val="29E8B0B2"/>
    <w:rsid w:val="29EF33FE"/>
    <w:rsid w:val="2A0CB5FF"/>
    <w:rsid w:val="2A107D69"/>
    <w:rsid w:val="2A27B573"/>
    <w:rsid w:val="2A5CDCB6"/>
    <w:rsid w:val="2A779E69"/>
    <w:rsid w:val="2A98C858"/>
    <w:rsid w:val="2AA39FF6"/>
    <w:rsid w:val="2AA7BDD0"/>
    <w:rsid w:val="2B052ED1"/>
    <w:rsid w:val="2B0B804C"/>
    <w:rsid w:val="2B4345AA"/>
    <w:rsid w:val="2B551042"/>
    <w:rsid w:val="2B58D146"/>
    <w:rsid w:val="2B5CC669"/>
    <w:rsid w:val="2B6A1AF2"/>
    <w:rsid w:val="2B77DFD8"/>
    <w:rsid w:val="2B7BC223"/>
    <w:rsid w:val="2BA25669"/>
    <w:rsid w:val="2BE1F27D"/>
    <w:rsid w:val="2C62C73E"/>
    <w:rsid w:val="2C8472AD"/>
    <w:rsid w:val="2C8C8546"/>
    <w:rsid w:val="2C91F217"/>
    <w:rsid w:val="2C94F50B"/>
    <w:rsid w:val="2CC1F139"/>
    <w:rsid w:val="2CF0E0A3"/>
    <w:rsid w:val="2D5C0E44"/>
    <w:rsid w:val="2D803902"/>
    <w:rsid w:val="2DE982EB"/>
    <w:rsid w:val="2DF2BDBA"/>
    <w:rsid w:val="2E42F9C5"/>
    <w:rsid w:val="2E572780"/>
    <w:rsid w:val="2E57B083"/>
    <w:rsid w:val="2E58EFE9"/>
    <w:rsid w:val="2E8CC9D0"/>
    <w:rsid w:val="2EB6741F"/>
    <w:rsid w:val="2EB97936"/>
    <w:rsid w:val="2EBF983B"/>
    <w:rsid w:val="2EDA44C2"/>
    <w:rsid w:val="2F045D72"/>
    <w:rsid w:val="2F07DE66"/>
    <w:rsid w:val="2F6F9ABE"/>
    <w:rsid w:val="2F7B2EF3"/>
    <w:rsid w:val="2F8169CC"/>
    <w:rsid w:val="30089C04"/>
    <w:rsid w:val="302150D5"/>
    <w:rsid w:val="306EA1E3"/>
    <w:rsid w:val="30D4138A"/>
    <w:rsid w:val="30F922E5"/>
    <w:rsid w:val="30FC612B"/>
    <w:rsid w:val="31251C36"/>
    <w:rsid w:val="316F1BED"/>
    <w:rsid w:val="31EE4B25"/>
    <w:rsid w:val="320D6C02"/>
    <w:rsid w:val="3216CF46"/>
    <w:rsid w:val="3247ECF5"/>
    <w:rsid w:val="3284BF45"/>
    <w:rsid w:val="329D4494"/>
    <w:rsid w:val="32C0544B"/>
    <w:rsid w:val="32C38B3D"/>
    <w:rsid w:val="32EE3447"/>
    <w:rsid w:val="32FA8220"/>
    <w:rsid w:val="3323425A"/>
    <w:rsid w:val="3349C13A"/>
    <w:rsid w:val="334DE1FC"/>
    <w:rsid w:val="336C0037"/>
    <w:rsid w:val="33855933"/>
    <w:rsid w:val="33E7635E"/>
    <w:rsid w:val="33FEC3C3"/>
    <w:rsid w:val="342667F1"/>
    <w:rsid w:val="3440380A"/>
    <w:rsid w:val="34751601"/>
    <w:rsid w:val="3485D548"/>
    <w:rsid w:val="3489FF4F"/>
    <w:rsid w:val="35158FE8"/>
    <w:rsid w:val="3539BE57"/>
    <w:rsid w:val="35426309"/>
    <w:rsid w:val="3552D0E9"/>
    <w:rsid w:val="359DF161"/>
    <w:rsid w:val="35B85FCF"/>
    <w:rsid w:val="35F3B3E8"/>
    <w:rsid w:val="3606F066"/>
    <w:rsid w:val="362A9D6B"/>
    <w:rsid w:val="365D882D"/>
    <w:rsid w:val="368A2794"/>
    <w:rsid w:val="36BEE1EF"/>
    <w:rsid w:val="36C3CFD4"/>
    <w:rsid w:val="36FFB57F"/>
    <w:rsid w:val="370BD71F"/>
    <w:rsid w:val="3745E7D1"/>
    <w:rsid w:val="37479363"/>
    <w:rsid w:val="375359D8"/>
    <w:rsid w:val="37C015D5"/>
    <w:rsid w:val="381444CA"/>
    <w:rsid w:val="38190B26"/>
    <w:rsid w:val="383358ED"/>
    <w:rsid w:val="384500F2"/>
    <w:rsid w:val="384968FA"/>
    <w:rsid w:val="38559D5C"/>
    <w:rsid w:val="387BDA7E"/>
    <w:rsid w:val="388925B1"/>
    <w:rsid w:val="38A36039"/>
    <w:rsid w:val="38EACC17"/>
    <w:rsid w:val="3941BB07"/>
    <w:rsid w:val="394BBD4E"/>
    <w:rsid w:val="3970978D"/>
    <w:rsid w:val="3985C49B"/>
    <w:rsid w:val="3A14FAE2"/>
    <w:rsid w:val="3AA238AC"/>
    <w:rsid w:val="3AB65323"/>
    <w:rsid w:val="3AF91AE1"/>
    <w:rsid w:val="3B071EAC"/>
    <w:rsid w:val="3B74C35C"/>
    <w:rsid w:val="3BC614B7"/>
    <w:rsid w:val="3BCABE1E"/>
    <w:rsid w:val="3BEDCC53"/>
    <w:rsid w:val="3BFCBAE5"/>
    <w:rsid w:val="3C34C9DF"/>
    <w:rsid w:val="3C3D43A3"/>
    <w:rsid w:val="3C4052E4"/>
    <w:rsid w:val="3C62EE87"/>
    <w:rsid w:val="3C994692"/>
    <w:rsid w:val="3CA38AAA"/>
    <w:rsid w:val="3CB35F0B"/>
    <w:rsid w:val="3CF6E808"/>
    <w:rsid w:val="3D3A950B"/>
    <w:rsid w:val="3D6899EA"/>
    <w:rsid w:val="3DBD5449"/>
    <w:rsid w:val="3DCB88E9"/>
    <w:rsid w:val="3E2B532D"/>
    <w:rsid w:val="3E4A9EF4"/>
    <w:rsid w:val="3E9CC639"/>
    <w:rsid w:val="3EB268E5"/>
    <w:rsid w:val="3F006F90"/>
    <w:rsid w:val="3F210782"/>
    <w:rsid w:val="3F379799"/>
    <w:rsid w:val="3F408F97"/>
    <w:rsid w:val="3F414315"/>
    <w:rsid w:val="3F46C36E"/>
    <w:rsid w:val="3F5C8CD4"/>
    <w:rsid w:val="3FA017E3"/>
    <w:rsid w:val="4029BEF6"/>
    <w:rsid w:val="405CDD8B"/>
    <w:rsid w:val="4091CB55"/>
    <w:rsid w:val="409440B9"/>
    <w:rsid w:val="40C385A0"/>
    <w:rsid w:val="41028387"/>
    <w:rsid w:val="4109DD0F"/>
    <w:rsid w:val="4185BD8F"/>
    <w:rsid w:val="41994E1B"/>
    <w:rsid w:val="41A9E0A6"/>
    <w:rsid w:val="41AA677E"/>
    <w:rsid w:val="41F29B78"/>
    <w:rsid w:val="421254F5"/>
    <w:rsid w:val="423F4111"/>
    <w:rsid w:val="425C4A86"/>
    <w:rsid w:val="42675BA3"/>
    <w:rsid w:val="42A14610"/>
    <w:rsid w:val="42B0A2F8"/>
    <w:rsid w:val="42B9E623"/>
    <w:rsid w:val="42BC6D78"/>
    <w:rsid w:val="43257832"/>
    <w:rsid w:val="43268194"/>
    <w:rsid w:val="4330CF3C"/>
    <w:rsid w:val="4341318E"/>
    <w:rsid w:val="43765AF7"/>
    <w:rsid w:val="43841B01"/>
    <w:rsid w:val="4394CD81"/>
    <w:rsid w:val="43A156DC"/>
    <w:rsid w:val="441ACC4B"/>
    <w:rsid w:val="4423B292"/>
    <w:rsid w:val="444F7FA1"/>
    <w:rsid w:val="445BEAFF"/>
    <w:rsid w:val="44641C4D"/>
    <w:rsid w:val="448AB933"/>
    <w:rsid w:val="44BC0E28"/>
    <w:rsid w:val="44D39CB5"/>
    <w:rsid w:val="452383FA"/>
    <w:rsid w:val="4542BA34"/>
    <w:rsid w:val="45759E27"/>
    <w:rsid w:val="45F18258"/>
    <w:rsid w:val="463FBAEA"/>
    <w:rsid w:val="4646C3A6"/>
    <w:rsid w:val="464F36BD"/>
    <w:rsid w:val="464F87FD"/>
    <w:rsid w:val="465D0643"/>
    <w:rsid w:val="467B17A1"/>
    <w:rsid w:val="4687277E"/>
    <w:rsid w:val="46A3940E"/>
    <w:rsid w:val="46BCB1ED"/>
    <w:rsid w:val="46F10E02"/>
    <w:rsid w:val="47093E74"/>
    <w:rsid w:val="47102306"/>
    <w:rsid w:val="476E9419"/>
    <w:rsid w:val="47BE7566"/>
    <w:rsid w:val="47BFF24A"/>
    <w:rsid w:val="47C8B5C0"/>
    <w:rsid w:val="47FB794F"/>
    <w:rsid w:val="48259B82"/>
    <w:rsid w:val="4832ADE3"/>
    <w:rsid w:val="484991B0"/>
    <w:rsid w:val="4853E767"/>
    <w:rsid w:val="485B5019"/>
    <w:rsid w:val="485E0F16"/>
    <w:rsid w:val="48A0AB6C"/>
    <w:rsid w:val="48A27372"/>
    <w:rsid w:val="48B5221E"/>
    <w:rsid w:val="48C89E2F"/>
    <w:rsid w:val="48CC8495"/>
    <w:rsid w:val="4928951A"/>
    <w:rsid w:val="499DA358"/>
    <w:rsid w:val="49D08BE0"/>
    <w:rsid w:val="49F1DF5C"/>
    <w:rsid w:val="49F7246D"/>
    <w:rsid w:val="4A030501"/>
    <w:rsid w:val="4A50F27F"/>
    <w:rsid w:val="4A564CF6"/>
    <w:rsid w:val="4A69F6C0"/>
    <w:rsid w:val="4A6C75E2"/>
    <w:rsid w:val="4A7E3A21"/>
    <w:rsid w:val="4A945989"/>
    <w:rsid w:val="4A9B9610"/>
    <w:rsid w:val="4AC7E39A"/>
    <w:rsid w:val="4B155138"/>
    <w:rsid w:val="4BA3977A"/>
    <w:rsid w:val="4C0BB2A0"/>
    <w:rsid w:val="4C177228"/>
    <w:rsid w:val="4C3FA63A"/>
    <w:rsid w:val="4CACFA2E"/>
    <w:rsid w:val="4CBC848C"/>
    <w:rsid w:val="4CC12076"/>
    <w:rsid w:val="4CCA7FBD"/>
    <w:rsid w:val="4CCDE80A"/>
    <w:rsid w:val="4CF2A054"/>
    <w:rsid w:val="4CFDF145"/>
    <w:rsid w:val="4D179022"/>
    <w:rsid w:val="4D5CA809"/>
    <w:rsid w:val="4D676E38"/>
    <w:rsid w:val="4DC4B406"/>
    <w:rsid w:val="4E01AF0C"/>
    <w:rsid w:val="4E65C920"/>
    <w:rsid w:val="4EC4A57A"/>
    <w:rsid w:val="4EF49309"/>
    <w:rsid w:val="4FB1EAD9"/>
    <w:rsid w:val="4FFC14A0"/>
    <w:rsid w:val="501901CA"/>
    <w:rsid w:val="503C48D9"/>
    <w:rsid w:val="50663149"/>
    <w:rsid w:val="51423DAF"/>
    <w:rsid w:val="516EA00D"/>
    <w:rsid w:val="518429F7"/>
    <w:rsid w:val="51A6B04C"/>
    <w:rsid w:val="51E7A57A"/>
    <w:rsid w:val="52289CB9"/>
    <w:rsid w:val="528AF5CF"/>
    <w:rsid w:val="529A2017"/>
    <w:rsid w:val="52C8133D"/>
    <w:rsid w:val="52E1B017"/>
    <w:rsid w:val="52EB5459"/>
    <w:rsid w:val="531159CF"/>
    <w:rsid w:val="537AF768"/>
    <w:rsid w:val="5396E027"/>
    <w:rsid w:val="53C1A448"/>
    <w:rsid w:val="53C6D8A5"/>
    <w:rsid w:val="53DE8D65"/>
    <w:rsid w:val="53DEAED8"/>
    <w:rsid w:val="54078F1F"/>
    <w:rsid w:val="5410FC27"/>
    <w:rsid w:val="5413951A"/>
    <w:rsid w:val="542B5282"/>
    <w:rsid w:val="54A8659A"/>
    <w:rsid w:val="54CEF563"/>
    <w:rsid w:val="54D2DEF1"/>
    <w:rsid w:val="54DA1F78"/>
    <w:rsid w:val="54FAC8C1"/>
    <w:rsid w:val="553F2A36"/>
    <w:rsid w:val="554B6AA6"/>
    <w:rsid w:val="559DDF7D"/>
    <w:rsid w:val="5611325A"/>
    <w:rsid w:val="5614425A"/>
    <w:rsid w:val="563846F7"/>
    <w:rsid w:val="5644D526"/>
    <w:rsid w:val="5675EFD9"/>
    <w:rsid w:val="56964510"/>
    <w:rsid w:val="56BDFBE8"/>
    <w:rsid w:val="56E18007"/>
    <w:rsid w:val="570C1006"/>
    <w:rsid w:val="57164D2A"/>
    <w:rsid w:val="5722D6CA"/>
    <w:rsid w:val="574321F7"/>
    <w:rsid w:val="57469A43"/>
    <w:rsid w:val="57C0CCF0"/>
    <w:rsid w:val="57C684FD"/>
    <w:rsid w:val="580BD370"/>
    <w:rsid w:val="580EC46B"/>
    <w:rsid w:val="5811C03A"/>
    <w:rsid w:val="581CCA72"/>
    <w:rsid w:val="5828E1CE"/>
    <w:rsid w:val="583C0CDB"/>
    <w:rsid w:val="58471760"/>
    <w:rsid w:val="585570F3"/>
    <w:rsid w:val="58830B68"/>
    <w:rsid w:val="58C36E07"/>
    <w:rsid w:val="58CEE327"/>
    <w:rsid w:val="58F1843B"/>
    <w:rsid w:val="58F74618"/>
    <w:rsid w:val="5909619B"/>
    <w:rsid w:val="5909BB63"/>
    <w:rsid w:val="59785717"/>
    <w:rsid w:val="5A3580F3"/>
    <w:rsid w:val="5A41EB4E"/>
    <w:rsid w:val="5A4B0427"/>
    <w:rsid w:val="5A5F09B0"/>
    <w:rsid w:val="5A909E5C"/>
    <w:rsid w:val="5AEFB891"/>
    <w:rsid w:val="5B034357"/>
    <w:rsid w:val="5B3EB794"/>
    <w:rsid w:val="5B92D409"/>
    <w:rsid w:val="5BB4AC13"/>
    <w:rsid w:val="5BB72EE4"/>
    <w:rsid w:val="5BBD6D8F"/>
    <w:rsid w:val="5C102EA7"/>
    <w:rsid w:val="5C80C2BE"/>
    <w:rsid w:val="5C83EFE0"/>
    <w:rsid w:val="5C967D5E"/>
    <w:rsid w:val="5D11B1AF"/>
    <w:rsid w:val="5D468AA9"/>
    <w:rsid w:val="5D567C8B"/>
    <w:rsid w:val="5D65E605"/>
    <w:rsid w:val="5D6E925B"/>
    <w:rsid w:val="5D7BF577"/>
    <w:rsid w:val="5DA30A12"/>
    <w:rsid w:val="5DA85175"/>
    <w:rsid w:val="5DC046C5"/>
    <w:rsid w:val="5DD7850C"/>
    <w:rsid w:val="5E48B625"/>
    <w:rsid w:val="5E4984A2"/>
    <w:rsid w:val="5E65A3FA"/>
    <w:rsid w:val="5EB3900D"/>
    <w:rsid w:val="5EE3BC66"/>
    <w:rsid w:val="5EFF7A36"/>
    <w:rsid w:val="5F00D0D0"/>
    <w:rsid w:val="5F0A62BC"/>
    <w:rsid w:val="5F1074C7"/>
    <w:rsid w:val="5F10D615"/>
    <w:rsid w:val="5F38A652"/>
    <w:rsid w:val="5F8ABB11"/>
    <w:rsid w:val="5FB1A47E"/>
    <w:rsid w:val="5FB56CC7"/>
    <w:rsid w:val="5FD6B47A"/>
    <w:rsid w:val="5FE31517"/>
    <w:rsid w:val="5FFD539B"/>
    <w:rsid w:val="602D3374"/>
    <w:rsid w:val="6073029E"/>
    <w:rsid w:val="60B3B9E6"/>
    <w:rsid w:val="60C973B6"/>
    <w:rsid w:val="60FD7348"/>
    <w:rsid w:val="6116D6AD"/>
    <w:rsid w:val="61458E68"/>
    <w:rsid w:val="6173B883"/>
    <w:rsid w:val="61D75E18"/>
    <w:rsid w:val="61D9A297"/>
    <w:rsid w:val="6255F5D6"/>
    <w:rsid w:val="629D6CCF"/>
    <w:rsid w:val="635588DA"/>
    <w:rsid w:val="6374AB72"/>
    <w:rsid w:val="639CDA9C"/>
    <w:rsid w:val="63C119AC"/>
    <w:rsid w:val="63CA1EC5"/>
    <w:rsid w:val="63F42612"/>
    <w:rsid w:val="63FE5D93"/>
    <w:rsid w:val="644FE56F"/>
    <w:rsid w:val="648770F5"/>
    <w:rsid w:val="6495A99B"/>
    <w:rsid w:val="64AC530A"/>
    <w:rsid w:val="64C82F3A"/>
    <w:rsid w:val="64D6579A"/>
    <w:rsid w:val="652610B6"/>
    <w:rsid w:val="652CA3D7"/>
    <w:rsid w:val="654CECEE"/>
    <w:rsid w:val="659CECBA"/>
    <w:rsid w:val="65A907AC"/>
    <w:rsid w:val="65ABAA60"/>
    <w:rsid w:val="65F354B5"/>
    <w:rsid w:val="660B430D"/>
    <w:rsid w:val="663474DC"/>
    <w:rsid w:val="66427E45"/>
    <w:rsid w:val="665B5FB5"/>
    <w:rsid w:val="667EB73A"/>
    <w:rsid w:val="66909B4A"/>
    <w:rsid w:val="66AB107E"/>
    <w:rsid w:val="66C698F5"/>
    <w:rsid w:val="66C970A0"/>
    <w:rsid w:val="66D746E0"/>
    <w:rsid w:val="66DB8F0D"/>
    <w:rsid w:val="66E1373C"/>
    <w:rsid w:val="66E9A94F"/>
    <w:rsid w:val="66FA59A6"/>
    <w:rsid w:val="67119A50"/>
    <w:rsid w:val="67449AD4"/>
    <w:rsid w:val="676AFC6F"/>
    <w:rsid w:val="677DA3C5"/>
    <w:rsid w:val="67C6C48C"/>
    <w:rsid w:val="67DDE061"/>
    <w:rsid w:val="680326E4"/>
    <w:rsid w:val="688D86BD"/>
    <w:rsid w:val="68A0AF35"/>
    <w:rsid w:val="68B0A4DE"/>
    <w:rsid w:val="68EC3C2F"/>
    <w:rsid w:val="69730DD1"/>
    <w:rsid w:val="697E0D19"/>
    <w:rsid w:val="697FD2C8"/>
    <w:rsid w:val="69F03230"/>
    <w:rsid w:val="6A1B4454"/>
    <w:rsid w:val="6A5ABC76"/>
    <w:rsid w:val="6AC3434C"/>
    <w:rsid w:val="6B50CEC2"/>
    <w:rsid w:val="6BC56FD3"/>
    <w:rsid w:val="6BF400D2"/>
    <w:rsid w:val="6CA048F6"/>
    <w:rsid w:val="6CC99443"/>
    <w:rsid w:val="6CD6DCF1"/>
    <w:rsid w:val="6CF0BB45"/>
    <w:rsid w:val="6D24D313"/>
    <w:rsid w:val="6D3CD3A1"/>
    <w:rsid w:val="6D7B70E5"/>
    <w:rsid w:val="6D83A35A"/>
    <w:rsid w:val="6D8D9578"/>
    <w:rsid w:val="6D8DBB54"/>
    <w:rsid w:val="6DB3DC58"/>
    <w:rsid w:val="6DF4E029"/>
    <w:rsid w:val="6E1F7AC6"/>
    <w:rsid w:val="6E516E53"/>
    <w:rsid w:val="6E89C91F"/>
    <w:rsid w:val="6E905C0E"/>
    <w:rsid w:val="6EA7BF54"/>
    <w:rsid w:val="6EF735DF"/>
    <w:rsid w:val="6F2B6869"/>
    <w:rsid w:val="6F7C998D"/>
    <w:rsid w:val="6F9C5FC0"/>
    <w:rsid w:val="6FA73C43"/>
    <w:rsid w:val="6FE67A7B"/>
    <w:rsid w:val="6FF267EA"/>
    <w:rsid w:val="6FF32662"/>
    <w:rsid w:val="70088A7A"/>
    <w:rsid w:val="70193ED4"/>
    <w:rsid w:val="701CFDEF"/>
    <w:rsid w:val="703E9D01"/>
    <w:rsid w:val="704578A9"/>
    <w:rsid w:val="707534E9"/>
    <w:rsid w:val="70871616"/>
    <w:rsid w:val="70964098"/>
    <w:rsid w:val="709AA5C0"/>
    <w:rsid w:val="70AAB606"/>
    <w:rsid w:val="710C2A46"/>
    <w:rsid w:val="71299FF5"/>
    <w:rsid w:val="712D38E2"/>
    <w:rsid w:val="71424861"/>
    <w:rsid w:val="714FB9C7"/>
    <w:rsid w:val="7154D340"/>
    <w:rsid w:val="71AC6512"/>
    <w:rsid w:val="71C11F82"/>
    <w:rsid w:val="71DDE0AA"/>
    <w:rsid w:val="72090830"/>
    <w:rsid w:val="72307F1A"/>
    <w:rsid w:val="72381A55"/>
    <w:rsid w:val="7247B361"/>
    <w:rsid w:val="724DF4AA"/>
    <w:rsid w:val="72AE6985"/>
    <w:rsid w:val="72DC19C2"/>
    <w:rsid w:val="72E24889"/>
    <w:rsid w:val="72E9E420"/>
    <w:rsid w:val="72F16CEF"/>
    <w:rsid w:val="7326B206"/>
    <w:rsid w:val="734C7635"/>
    <w:rsid w:val="73754A92"/>
    <w:rsid w:val="73768947"/>
    <w:rsid w:val="7379B10B"/>
    <w:rsid w:val="73A5239C"/>
    <w:rsid w:val="7404F764"/>
    <w:rsid w:val="745CD09F"/>
    <w:rsid w:val="747C0279"/>
    <w:rsid w:val="7485D8B6"/>
    <w:rsid w:val="74A4131D"/>
    <w:rsid w:val="74B67C6F"/>
    <w:rsid w:val="74C18613"/>
    <w:rsid w:val="74C8818F"/>
    <w:rsid w:val="74D1869C"/>
    <w:rsid w:val="7507DDA9"/>
    <w:rsid w:val="750A9637"/>
    <w:rsid w:val="752046A9"/>
    <w:rsid w:val="752252D1"/>
    <w:rsid w:val="7538F434"/>
    <w:rsid w:val="758C304F"/>
    <w:rsid w:val="759DF870"/>
    <w:rsid w:val="75C2C471"/>
    <w:rsid w:val="75D30BA5"/>
    <w:rsid w:val="75F66560"/>
    <w:rsid w:val="75FAD9B7"/>
    <w:rsid w:val="7608CBD6"/>
    <w:rsid w:val="7617D2DA"/>
    <w:rsid w:val="7617DA84"/>
    <w:rsid w:val="766D56FD"/>
    <w:rsid w:val="767584C1"/>
    <w:rsid w:val="76BE711B"/>
    <w:rsid w:val="76FC7A72"/>
    <w:rsid w:val="7723C7C0"/>
    <w:rsid w:val="77301304"/>
    <w:rsid w:val="776119F0"/>
    <w:rsid w:val="778F0D6E"/>
    <w:rsid w:val="78280FD4"/>
    <w:rsid w:val="78471EE1"/>
    <w:rsid w:val="784B309B"/>
    <w:rsid w:val="7882083A"/>
    <w:rsid w:val="78A30F55"/>
    <w:rsid w:val="78AD8D8F"/>
    <w:rsid w:val="78B0A1A4"/>
    <w:rsid w:val="78B644DC"/>
    <w:rsid w:val="78FCEA51"/>
    <w:rsid w:val="7944F271"/>
    <w:rsid w:val="79544E67"/>
    <w:rsid w:val="79A20362"/>
    <w:rsid w:val="79B6BE57"/>
    <w:rsid w:val="79C107CA"/>
    <w:rsid w:val="79D73ED5"/>
    <w:rsid w:val="7A00714F"/>
    <w:rsid w:val="7A3801D1"/>
    <w:rsid w:val="7A4318F4"/>
    <w:rsid w:val="7A4539EC"/>
    <w:rsid w:val="7A48B0C3"/>
    <w:rsid w:val="7A54EC52"/>
    <w:rsid w:val="7AB639E4"/>
    <w:rsid w:val="7AE74381"/>
    <w:rsid w:val="7AF6513B"/>
    <w:rsid w:val="7B1D39BF"/>
    <w:rsid w:val="7B425A54"/>
    <w:rsid w:val="7B73AAD7"/>
    <w:rsid w:val="7B91401F"/>
    <w:rsid w:val="7B98A206"/>
    <w:rsid w:val="7BC5505A"/>
    <w:rsid w:val="7BC96506"/>
    <w:rsid w:val="7BEC4072"/>
    <w:rsid w:val="7BEDFD51"/>
    <w:rsid w:val="7C6A2E4F"/>
    <w:rsid w:val="7C7AE2C8"/>
    <w:rsid w:val="7C8689F0"/>
    <w:rsid w:val="7C951079"/>
    <w:rsid w:val="7C9C684B"/>
    <w:rsid w:val="7CA8A374"/>
    <w:rsid w:val="7CBD1209"/>
    <w:rsid w:val="7CE418E9"/>
    <w:rsid w:val="7D00845F"/>
    <w:rsid w:val="7D3AC40F"/>
    <w:rsid w:val="7D929F9C"/>
    <w:rsid w:val="7DA469AF"/>
    <w:rsid w:val="7DC66801"/>
    <w:rsid w:val="7E1EA0AF"/>
    <w:rsid w:val="7E6C4E95"/>
    <w:rsid w:val="7E7CFC69"/>
    <w:rsid w:val="7E8AA9BE"/>
    <w:rsid w:val="7EBAD904"/>
    <w:rsid w:val="7EDB66DB"/>
    <w:rsid w:val="7F2A9213"/>
    <w:rsid w:val="7F6B1FF8"/>
    <w:rsid w:val="7FC76BF4"/>
    <w:rsid w:val="7FD9466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2E4A20"/>
  <w15:docId w15:val="{8A700854-7088-40CE-A2C9-217708FF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95B"/>
    <w:rPr>
      <w:rFonts w:ascii="Times New Roman" w:eastAsia="Times New Roman" w:hAnsi="Times New Roman"/>
      <w:sz w:val="24"/>
      <w:szCs w:val="24"/>
      <w:lang w:eastAsia="en-GB"/>
    </w:rPr>
  </w:style>
  <w:style w:type="paragraph" w:styleId="Titre1">
    <w:name w:val="heading 1"/>
    <w:basedOn w:val="Normal"/>
    <w:next w:val="Normal"/>
    <w:link w:val="Titre1Car"/>
    <w:uiPriority w:val="9"/>
    <w:qFormat/>
    <w:rsid w:val="000026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3"/>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7"/>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10"/>
      </w:numPr>
      <w:spacing w:after="120"/>
      <w:ind w:left="567" w:hanging="567"/>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1"/>
      </w:numPr>
      <w:autoSpaceDE w:val="0"/>
      <w:autoSpaceDN w:val="0"/>
      <w:adjustRightInd w:val="0"/>
      <w:spacing w:after="120"/>
      <w:ind w:left="1134" w:hanging="567"/>
      <w:jc w:val="both"/>
    </w:pPr>
    <w:rPr>
      <w:rFonts w:ascii="Arial" w:eastAsia="SimSun" w:hAnsi="Arial" w:cs="Arial"/>
      <w:sz w:val="22"/>
      <w:szCs w:val="22"/>
      <w:u w:val="single"/>
    </w:rPr>
  </w:style>
  <w:style w:type="paragraph" w:styleId="Paragraphedeliste">
    <w:name w:val="List Paragraph"/>
    <w:basedOn w:val="Normal"/>
    <w:uiPriority w:val="34"/>
    <w:qFormat/>
    <w:rsid w:val="00D60DAE"/>
    <w:pPr>
      <w:ind w:left="720"/>
      <w:contextualSpacing/>
    </w:pPr>
  </w:style>
  <w:style w:type="character" w:styleId="Lienhypertexte">
    <w:name w:val="Hyperlink"/>
    <w:uiPriority w:val="99"/>
    <w:unhideWhenUsed/>
    <w:rsid w:val="007E28B2"/>
    <w:rPr>
      <w:rFonts w:ascii="Times New Roman" w:hAnsi="Times New Roman" w:cs="Times New Roman" w:hint="default"/>
      <w:color w:val="0000FF"/>
      <w:u w:val="single"/>
    </w:rPr>
  </w:style>
  <w:style w:type="paragraph" w:styleId="Notedebasdepage">
    <w:name w:val="footnote text"/>
    <w:basedOn w:val="Normal"/>
    <w:link w:val="NotedebasdepageCar"/>
    <w:uiPriority w:val="99"/>
    <w:semiHidden/>
    <w:unhideWhenUsed/>
    <w:rsid w:val="007E28B2"/>
    <w:rPr>
      <w:sz w:val="20"/>
      <w:szCs w:val="20"/>
      <w:lang w:eastAsia="bg-BG"/>
    </w:rPr>
  </w:style>
  <w:style w:type="character" w:customStyle="1" w:styleId="NotedebasdepageCar">
    <w:name w:val="Note de bas de page Car"/>
    <w:basedOn w:val="Policepardfaut"/>
    <w:link w:val="Notedebasdepage"/>
    <w:uiPriority w:val="99"/>
    <w:semiHidden/>
    <w:rsid w:val="007E28B2"/>
    <w:rPr>
      <w:rFonts w:ascii="Times New Roman" w:eastAsia="Times New Roman" w:hAnsi="Times New Roman"/>
      <w:lang w:val="fr-FR" w:eastAsia="bg-BG"/>
    </w:rPr>
  </w:style>
  <w:style w:type="character" w:styleId="Appelnotedebasdep">
    <w:name w:val="footnote reference"/>
    <w:uiPriority w:val="99"/>
    <w:semiHidden/>
    <w:unhideWhenUsed/>
    <w:rsid w:val="007E28B2"/>
    <w:rPr>
      <w:rFonts w:ascii="Times New Roman" w:hAnsi="Times New Roman" w:cs="Times New Roman" w:hint="default"/>
      <w:vertAlign w:val="superscript"/>
    </w:rPr>
  </w:style>
  <w:style w:type="character" w:styleId="Accentuationlgre">
    <w:name w:val="Subtle Emphasis"/>
    <w:aliases w:val="Intro Paragraph"/>
    <w:uiPriority w:val="19"/>
    <w:rsid w:val="007E28B2"/>
    <w:rPr>
      <w:rFonts w:cs="Arial"/>
      <w:i/>
      <w:szCs w:val="22"/>
      <w:lang w:val="fr-FR"/>
    </w:rPr>
  </w:style>
  <w:style w:type="paragraph" w:customStyle="1" w:styleId="Introparagraph">
    <w:name w:val="Intro paragraph"/>
    <w:basedOn w:val="Marge"/>
    <w:link w:val="IntroparagraphChar"/>
    <w:qFormat/>
    <w:rsid w:val="007E28B2"/>
    <w:pPr>
      <w:tabs>
        <w:tab w:val="left" w:pos="709"/>
      </w:tabs>
      <w:autoSpaceDE w:val="0"/>
      <w:autoSpaceDN w:val="0"/>
      <w:adjustRightInd w:val="0"/>
      <w:spacing w:before="240"/>
    </w:pPr>
  </w:style>
  <w:style w:type="character" w:customStyle="1" w:styleId="IntroparagraphChar">
    <w:name w:val="Intro paragraph Char"/>
    <w:basedOn w:val="Policepardfaut"/>
    <w:link w:val="Introparagraph"/>
    <w:rsid w:val="007E28B2"/>
    <w:rPr>
      <w:rFonts w:ascii="Arial" w:eastAsia="Times New Roman" w:hAnsi="Arial"/>
      <w:snapToGrid w:val="0"/>
      <w:sz w:val="22"/>
      <w:szCs w:val="24"/>
      <w:lang w:eastAsia="en-US"/>
    </w:rPr>
  </w:style>
  <w:style w:type="character" w:styleId="Accentuation">
    <w:name w:val="Emphasis"/>
    <w:aliases w:val="Hdings 1"/>
    <w:uiPriority w:val="20"/>
    <w:qFormat/>
    <w:rsid w:val="007E28B2"/>
    <w:rPr>
      <w:rFonts w:ascii="Arial" w:hAnsi="Arial" w:cs="Arial"/>
      <w:b/>
      <w:color w:val="000000"/>
      <w:sz w:val="22"/>
      <w:szCs w:val="22"/>
      <w:lang w:val="fr-FR"/>
    </w:rPr>
  </w:style>
  <w:style w:type="paragraph" w:customStyle="1" w:styleId="Head1">
    <w:name w:val="Head1"/>
    <w:basedOn w:val="Marge"/>
    <w:link w:val="Head1Char"/>
    <w:qFormat/>
    <w:rsid w:val="007E28B2"/>
    <w:pPr>
      <w:keepNext/>
      <w:tabs>
        <w:tab w:val="left" w:pos="709"/>
      </w:tabs>
      <w:autoSpaceDE w:val="0"/>
      <w:autoSpaceDN w:val="0"/>
      <w:adjustRightInd w:val="0"/>
      <w:spacing w:before="360"/>
    </w:pPr>
    <w:rPr>
      <w:b/>
    </w:rPr>
  </w:style>
  <w:style w:type="character" w:customStyle="1" w:styleId="Head1Char">
    <w:name w:val="Head1 Char"/>
    <w:basedOn w:val="Policepardfaut"/>
    <w:link w:val="Head1"/>
    <w:rsid w:val="007E28B2"/>
    <w:rPr>
      <w:rFonts w:ascii="Arial" w:eastAsia="Times New Roman" w:hAnsi="Arial"/>
      <w:b/>
      <w:snapToGrid w:val="0"/>
      <w:sz w:val="22"/>
      <w:szCs w:val="24"/>
      <w:lang w:eastAsia="en-US"/>
    </w:rPr>
  </w:style>
  <w:style w:type="character" w:styleId="lev">
    <w:name w:val="Strong"/>
    <w:aliases w:val="Text"/>
    <w:uiPriority w:val="22"/>
    <w:qFormat/>
    <w:rsid w:val="007E28B2"/>
    <w:rPr>
      <w:rFonts w:ascii="Arial" w:hAnsi="Arial" w:cs="Arial"/>
      <w:lang w:val="fr-FR"/>
    </w:rPr>
  </w:style>
  <w:style w:type="paragraph" w:customStyle="1" w:styleId="NormalText">
    <w:name w:val="Normal Text"/>
    <w:basedOn w:val="Normal"/>
    <w:link w:val="NormalTextChar"/>
    <w:qFormat/>
    <w:rsid w:val="007E28B2"/>
    <w:pPr>
      <w:spacing w:before="240" w:after="240"/>
      <w:jc w:val="both"/>
    </w:pPr>
    <w:rPr>
      <w:rFonts w:ascii="Arial" w:eastAsiaTheme="minorHAnsi" w:hAnsi="Arial" w:cstheme="minorBidi"/>
      <w:sz w:val="22"/>
      <w:szCs w:val="22"/>
      <w:lang w:eastAsia="en-US"/>
    </w:rPr>
  </w:style>
  <w:style w:type="character" w:customStyle="1" w:styleId="NormalTextChar">
    <w:name w:val="Normal Text Char"/>
    <w:basedOn w:val="Policepardfaut"/>
    <w:link w:val="NormalText"/>
    <w:rsid w:val="007E28B2"/>
    <w:rPr>
      <w:rFonts w:ascii="Arial" w:eastAsiaTheme="minorHAnsi" w:hAnsi="Arial" w:cstheme="minorBidi"/>
      <w:sz w:val="22"/>
      <w:szCs w:val="22"/>
      <w:lang w:eastAsia="en-US"/>
    </w:rPr>
  </w:style>
  <w:style w:type="paragraph" w:customStyle="1" w:styleId="decision-label1">
    <w:name w:val="decision-label1"/>
    <w:basedOn w:val="Normal"/>
    <w:rsid w:val="004404DB"/>
    <w:pPr>
      <w:spacing w:after="150"/>
    </w:pPr>
    <w:rPr>
      <w:b/>
      <w:bCs/>
    </w:rPr>
  </w:style>
  <w:style w:type="character" w:styleId="Lienhypertextesuivivisit">
    <w:name w:val="FollowedHyperlink"/>
    <w:basedOn w:val="Policepardfaut"/>
    <w:uiPriority w:val="99"/>
    <w:semiHidden/>
    <w:unhideWhenUsed/>
    <w:rsid w:val="009F5A8A"/>
    <w:rPr>
      <w:color w:val="800080" w:themeColor="followedHyperlink"/>
      <w:u w:val="single"/>
    </w:rPr>
  </w:style>
  <w:style w:type="paragraph" w:customStyle="1" w:styleId="Redakn">
    <w:name w:val="Redakční"/>
    <w:basedOn w:val="Sansinterligne"/>
    <w:qFormat/>
    <w:rsid w:val="00BD42C6"/>
    <w:pPr>
      <w:spacing w:line="360" w:lineRule="auto"/>
      <w:jc w:val="both"/>
    </w:pPr>
    <w:rPr>
      <w:rFonts w:eastAsiaTheme="minorHAnsi"/>
      <w:lang w:eastAsia="en-US"/>
    </w:rPr>
  </w:style>
  <w:style w:type="paragraph" w:styleId="Sansinterligne">
    <w:name w:val="No Spacing"/>
    <w:uiPriority w:val="1"/>
    <w:rsid w:val="00BD42C6"/>
    <w:rPr>
      <w:rFonts w:ascii="Times New Roman" w:eastAsia="Times New Roman" w:hAnsi="Times New Roman"/>
      <w:sz w:val="24"/>
      <w:szCs w:val="24"/>
    </w:rPr>
  </w:style>
  <w:style w:type="character" w:customStyle="1" w:styleId="Titre1Car">
    <w:name w:val="Titre 1 Car"/>
    <w:basedOn w:val="Policepardfaut"/>
    <w:link w:val="Titre1"/>
    <w:uiPriority w:val="9"/>
    <w:rsid w:val="0000268E"/>
    <w:rPr>
      <w:rFonts w:asciiTheme="majorHAnsi" w:eastAsiaTheme="majorEastAsia" w:hAnsiTheme="majorHAnsi" w:cstheme="majorBidi"/>
      <w:color w:val="365F91" w:themeColor="accent1" w:themeShade="BF"/>
      <w:sz w:val="32"/>
      <w:szCs w:val="32"/>
    </w:rPr>
  </w:style>
  <w:style w:type="character" w:styleId="Marquedecommentaire">
    <w:name w:val="annotation reference"/>
    <w:basedOn w:val="Policepardfaut"/>
    <w:uiPriority w:val="99"/>
    <w:semiHidden/>
    <w:unhideWhenUsed/>
    <w:rsid w:val="0042080D"/>
    <w:rPr>
      <w:sz w:val="16"/>
      <w:szCs w:val="16"/>
    </w:rPr>
  </w:style>
  <w:style w:type="paragraph" w:styleId="Commentaire">
    <w:name w:val="annotation text"/>
    <w:basedOn w:val="Normal"/>
    <w:link w:val="CommentaireCar"/>
    <w:uiPriority w:val="99"/>
    <w:semiHidden/>
    <w:unhideWhenUsed/>
    <w:rsid w:val="0042080D"/>
    <w:rPr>
      <w:sz w:val="20"/>
      <w:szCs w:val="20"/>
    </w:rPr>
  </w:style>
  <w:style w:type="character" w:customStyle="1" w:styleId="CommentaireCar">
    <w:name w:val="Commentaire Car"/>
    <w:basedOn w:val="Policepardfaut"/>
    <w:link w:val="Commentaire"/>
    <w:uiPriority w:val="99"/>
    <w:semiHidden/>
    <w:rsid w:val="0042080D"/>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42080D"/>
    <w:rPr>
      <w:b/>
      <w:bCs/>
    </w:rPr>
  </w:style>
  <w:style w:type="character" w:customStyle="1" w:styleId="ObjetducommentaireCar">
    <w:name w:val="Objet du commentaire Car"/>
    <w:basedOn w:val="CommentaireCar"/>
    <w:link w:val="Objetducommentaire"/>
    <w:uiPriority w:val="99"/>
    <w:semiHidden/>
    <w:rsid w:val="0042080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04864">
      <w:bodyDiv w:val="1"/>
      <w:marLeft w:val="0"/>
      <w:marRight w:val="0"/>
      <w:marTop w:val="0"/>
      <w:marBottom w:val="0"/>
      <w:divBdr>
        <w:top w:val="none" w:sz="0" w:space="0" w:color="auto"/>
        <w:left w:val="none" w:sz="0" w:space="0" w:color="auto"/>
        <w:bottom w:val="none" w:sz="0" w:space="0" w:color="auto"/>
        <w:right w:val="none" w:sz="0" w:space="0" w:color="auto"/>
      </w:divBdr>
    </w:div>
    <w:div w:id="253708801">
      <w:bodyDiv w:val="1"/>
      <w:marLeft w:val="0"/>
      <w:marRight w:val="0"/>
      <w:marTop w:val="0"/>
      <w:marBottom w:val="0"/>
      <w:divBdr>
        <w:top w:val="none" w:sz="0" w:space="0" w:color="auto"/>
        <w:left w:val="none" w:sz="0" w:space="0" w:color="auto"/>
        <w:bottom w:val="none" w:sz="0" w:space="0" w:color="auto"/>
        <w:right w:val="none" w:sz="0" w:space="0" w:color="auto"/>
      </w:divBdr>
    </w:div>
    <w:div w:id="371155434">
      <w:bodyDiv w:val="1"/>
      <w:marLeft w:val="0"/>
      <w:marRight w:val="0"/>
      <w:marTop w:val="0"/>
      <w:marBottom w:val="0"/>
      <w:divBdr>
        <w:top w:val="none" w:sz="0" w:space="0" w:color="auto"/>
        <w:left w:val="none" w:sz="0" w:space="0" w:color="auto"/>
        <w:bottom w:val="none" w:sz="0" w:space="0" w:color="auto"/>
        <w:right w:val="none" w:sz="0" w:space="0" w:color="auto"/>
      </w:divBdr>
    </w:div>
    <w:div w:id="468086647">
      <w:bodyDiv w:val="1"/>
      <w:marLeft w:val="0"/>
      <w:marRight w:val="0"/>
      <w:marTop w:val="0"/>
      <w:marBottom w:val="0"/>
      <w:divBdr>
        <w:top w:val="none" w:sz="0" w:space="0" w:color="auto"/>
        <w:left w:val="none" w:sz="0" w:space="0" w:color="auto"/>
        <w:bottom w:val="none" w:sz="0" w:space="0" w:color="auto"/>
        <w:right w:val="none" w:sz="0" w:space="0" w:color="auto"/>
      </w:divBdr>
    </w:div>
    <w:div w:id="474219879">
      <w:bodyDiv w:val="1"/>
      <w:marLeft w:val="0"/>
      <w:marRight w:val="0"/>
      <w:marTop w:val="0"/>
      <w:marBottom w:val="0"/>
      <w:divBdr>
        <w:top w:val="none" w:sz="0" w:space="0" w:color="auto"/>
        <w:left w:val="none" w:sz="0" w:space="0" w:color="auto"/>
        <w:bottom w:val="none" w:sz="0" w:space="0" w:color="auto"/>
        <w:right w:val="none" w:sz="0" w:space="0" w:color="auto"/>
      </w:divBdr>
    </w:div>
    <w:div w:id="488524811">
      <w:bodyDiv w:val="1"/>
      <w:marLeft w:val="0"/>
      <w:marRight w:val="0"/>
      <w:marTop w:val="0"/>
      <w:marBottom w:val="0"/>
      <w:divBdr>
        <w:top w:val="none" w:sz="0" w:space="0" w:color="auto"/>
        <w:left w:val="none" w:sz="0" w:space="0" w:color="auto"/>
        <w:bottom w:val="none" w:sz="0" w:space="0" w:color="auto"/>
        <w:right w:val="none" w:sz="0" w:space="0" w:color="auto"/>
      </w:divBdr>
    </w:div>
    <w:div w:id="491260327">
      <w:bodyDiv w:val="1"/>
      <w:marLeft w:val="0"/>
      <w:marRight w:val="0"/>
      <w:marTop w:val="0"/>
      <w:marBottom w:val="0"/>
      <w:divBdr>
        <w:top w:val="none" w:sz="0" w:space="0" w:color="auto"/>
        <w:left w:val="none" w:sz="0" w:space="0" w:color="auto"/>
        <w:bottom w:val="none" w:sz="0" w:space="0" w:color="auto"/>
        <w:right w:val="none" w:sz="0" w:space="0" w:color="auto"/>
      </w:divBdr>
    </w:div>
    <w:div w:id="537204340">
      <w:bodyDiv w:val="1"/>
      <w:marLeft w:val="0"/>
      <w:marRight w:val="0"/>
      <w:marTop w:val="0"/>
      <w:marBottom w:val="0"/>
      <w:divBdr>
        <w:top w:val="none" w:sz="0" w:space="0" w:color="auto"/>
        <w:left w:val="none" w:sz="0" w:space="0" w:color="auto"/>
        <w:bottom w:val="none" w:sz="0" w:space="0" w:color="auto"/>
        <w:right w:val="none" w:sz="0" w:space="0" w:color="auto"/>
      </w:divBdr>
    </w:div>
    <w:div w:id="537595955">
      <w:bodyDiv w:val="1"/>
      <w:marLeft w:val="0"/>
      <w:marRight w:val="0"/>
      <w:marTop w:val="0"/>
      <w:marBottom w:val="0"/>
      <w:divBdr>
        <w:top w:val="none" w:sz="0" w:space="0" w:color="auto"/>
        <w:left w:val="none" w:sz="0" w:space="0" w:color="auto"/>
        <w:bottom w:val="none" w:sz="0" w:space="0" w:color="auto"/>
        <w:right w:val="none" w:sz="0" w:space="0" w:color="auto"/>
      </w:divBdr>
    </w:div>
    <w:div w:id="554854976">
      <w:bodyDiv w:val="1"/>
      <w:marLeft w:val="0"/>
      <w:marRight w:val="0"/>
      <w:marTop w:val="0"/>
      <w:marBottom w:val="0"/>
      <w:divBdr>
        <w:top w:val="none" w:sz="0" w:space="0" w:color="auto"/>
        <w:left w:val="none" w:sz="0" w:space="0" w:color="auto"/>
        <w:bottom w:val="none" w:sz="0" w:space="0" w:color="auto"/>
        <w:right w:val="none" w:sz="0" w:space="0" w:color="auto"/>
      </w:divBdr>
    </w:div>
    <w:div w:id="580022213">
      <w:bodyDiv w:val="1"/>
      <w:marLeft w:val="0"/>
      <w:marRight w:val="0"/>
      <w:marTop w:val="0"/>
      <w:marBottom w:val="0"/>
      <w:divBdr>
        <w:top w:val="none" w:sz="0" w:space="0" w:color="auto"/>
        <w:left w:val="none" w:sz="0" w:space="0" w:color="auto"/>
        <w:bottom w:val="none" w:sz="0" w:space="0" w:color="auto"/>
        <w:right w:val="none" w:sz="0" w:space="0" w:color="auto"/>
      </w:divBdr>
    </w:div>
    <w:div w:id="596984630">
      <w:bodyDiv w:val="1"/>
      <w:marLeft w:val="0"/>
      <w:marRight w:val="0"/>
      <w:marTop w:val="0"/>
      <w:marBottom w:val="0"/>
      <w:divBdr>
        <w:top w:val="none" w:sz="0" w:space="0" w:color="auto"/>
        <w:left w:val="none" w:sz="0" w:space="0" w:color="auto"/>
        <w:bottom w:val="none" w:sz="0" w:space="0" w:color="auto"/>
        <w:right w:val="none" w:sz="0" w:space="0" w:color="auto"/>
      </w:divBdr>
    </w:div>
    <w:div w:id="674380696">
      <w:bodyDiv w:val="1"/>
      <w:marLeft w:val="0"/>
      <w:marRight w:val="0"/>
      <w:marTop w:val="0"/>
      <w:marBottom w:val="0"/>
      <w:divBdr>
        <w:top w:val="none" w:sz="0" w:space="0" w:color="auto"/>
        <w:left w:val="none" w:sz="0" w:space="0" w:color="auto"/>
        <w:bottom w:val="none" w:sz="0" w:space="0" w:color="auto"/>
        <w:right w:val="none" w:sz="0" w:space="0" w:color="auto"/>
      </w:divBdr>
    </w:div>
    <w:div w:id="680161095">
      <w:bodyDiv w:val="1"/>
      <w:marLeft w:val="0"/>
      <w:marRight w:val="0"/>
      <w:marTop w:val="0"/>
      <w:marBottom w:val="0"/>
      <w:divBdr>
        <w:top w:val="none" w:sz="0" w:space="0" w:color="auto"/>
        <w:left w:val="none" w:sz="0" w:space="0" w:color="auto"/>
        <w:bottom w:val="none" w:sz="0" w:space="0" w:color="auto"/>
        <w:right w:val="none" w:sz="0" w:space="0" w:color="auto"/>
      </w:divBdr>
    </w:div>
    <w:div w:id="779178685">
      <w:bodyDiv w:val="1"/>
      <w:marLeft w:val="0"/>
      <w:marRight w:val="0"/>
      <w:marTop w:val="0"/>
      <w:marBottom w:val="0"/>
      <w:divBdr>
        <w:top w:val="none" w:sz="0" w:space="0" w:color="auto"/>
        <w:left w:val="none" w:sz="0" w:space="0" w:color="auto"/>
        <w:bottom w:val="none" w:sz="0" w:space="0" w:color="auto"/>
        <w:right w:val="none" w:sz="0" w:space="0" w:color="auto"/>
      </w:divBdr>
    </w:div>
    <w:div w:id="782848046">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26673674">
      <w:bodyDiv w:val="1"/>
      <w:marLeft w:val="0"/>
      <w:marRight w:val="0"/>
      <w:marTop w:val="0"/>
      <w:marBottom w:val="0"/>
      <w:divBdr>
        <w:top w:val="none" w:sz="0" w:space="0" w:color="auto"/>
        <w:left w:val="none" w:sz="0" w:space="0" w:color="auto"/>
        <w:bottom w:val="none" w:sz="0" w:space="0" w:color="auto"/>
        <w:right w:val="none" w:sz="0" w:space="0" w:color="auto"/>
      </w:divBdr>
      <w:divsChild>
        <w:div w:id="1527059742">
          <w:marLeft w:val="0"/>
          <w:marRight w:val="0"/>
          <w:marTop w:val="0"/>
          <w:marBottom w:val="0"/>
          <w:divBdr>
            <w:top w:val="none" w:sz="0" w:space="0" w:color="auto"/>
            <w:left w:val="none" w:sz="0" w:space="0" w:color="auto"/>
            <w:bottom w:val="none" w:sz="0" w:space="0" w:color="auto"/>
            <w:right w:val="none" w:sz="0" w:space="0" w:color="auto"/>
          </w:divBdr>
          <w:divsChild>
            <w:div w:id="765157508">
              <w:marLeft w:val="0"/>
              <w:marRight w:val="0"/>
              <w:marTop w:val="0"/>
              <w:marBottom w:val="0"/>
              <w:divBdr>
                <w:top w:val="none" w:sz="0" w:space="0" w:color="auto"/>
                <w:left w:val="none" w:sz="0" w:space="0" w:color="auto"/>
                <w:bottom w:val="none" w:sz="0" w:space="0" w:color="auto"/>
                <w:right w:val="none" w:sz="0" w:space="0" w:color="auto"/>
              </w:divBdr>
              <w:divsChild>
                <w:div w:id="1171600539">
                  <w:marLeft w:val="0"/>
                  <w:marRight w:val="0"/>
                  <w:marTop w:val="0"/>
                  <w:marBottom w:val="0"/>
                  <w:divBdr>
                    <w:top w:val="none" w:sz="0" w:space="0" w:color="auto"/>
                    <w:left w:val="none" w:sz="0" w:space="0" w:color="auto"/>
                    <w:bottom w:val="none" w:sz="0" w:space="0" w:color="auto"/>
                    <w:right w:val="none" w:sz="0" w:space="0" w:color="auto"/>
                  </w:divBdr>
                  <w:divsChild>
                    <w:div w:id="15579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15645">
      <w:bodyDiv w:val="1"/>
      <w:marLeft w:val="0"/>
      <w:marRight w:val="0"/>
      <w:marTop w:val="0"/>
      <w:marBottom w:val="0"/>
      <w:divBdr>
        <w:top w:val="none" w:sz="0" w:space="0" w:color="auto"/>
        <w:left w:val="none" w:sz="0" w:space="0" w:color="auto"/>
        <w:bottom w:val="none" w:sz="0" w:space="0" w:color="auto"/>
        <w:right w:val="none" w:sz="0" w:space="0" w:color="auto"/>
      </w:divBdr>
    </w:div>
    <w:div w:id="970088299">
      <w:bodyDiv w:val="1"/>
      <w:marLeft w:val="0"/>
      <w:marRight w:val="0"/>
      <w:marTop w:val="0"/>
      <w:marBottom w:val="0"/>
      <w:divBdr>
        <w:top w:val="none" w:sz="0" w:space="0" w:color="auto"/>
        <w:left w:val="none" w:sz="0" w:space="0" w:color="auto"/>
        <w:bottom w:val="none" w:sz="0" w:space="0" w:color="auto"/>
        <w:right w:val="none" w:sz="0" w:space="0" w:color="auto"/>
      </w:divBdr>
    </w:div>
    <w:div w:id="1009680006">
      <w:bodyDiv w:val="1"/>
      <w:marLeft w:val="0"/>
      <w:marRight w:val="0"/>
      <w:marTop w:val="0"/>
      <w:marBottom w:val="0"/>
      <w:divBdr>
        <w:top w:val="none" w:sz="0" w:space="0" w:color="auto"/>
        <w:left w:val="none" w:sz="0" w:space="0" w:color="auto"/>
        <w:bottom w:val="none" w:sz="0" w:space="0" w:color="auto"/>
        <w:right w:val="none" w:sz="0" w:space="0" w:color="auto"/>
      </w:divBdr>
      <w:divsChild>
        <w:div w:id="2043897104">
          <w:marLeft w:val="0"/>
          <w:marRight w:val="0"/>
          <w:marTop w:val="0"/>
          <w:marBottom w:val="0"/>
          <w:divBdr>
            <w:top w:val="none" w:sz="0" w:space="0" w:color="auto"/>
            <w:left w:val="none" w:sz="0" w:space="0" w:color="auto"/>
            <w:bottom w:val="none" w:sz="0" w:space="0" w:color="auto"/>
            <w:right w:val="none" w:sz="0" w:space="0" w:color="auto"/>
          </w:divBdr>
          <w:divsChild>
            <w:div w:id="816386022">
              <w:marLeft w:val="0"/>
              <w:marRight w:val="0"/>
              <w:marTop w:val="0"/>
              <w:marBottom w:val="0"/>
              <w:divBdr>
                <w:top w:val="none" w:sz="0" w:space="0" w:color="auto"/>
                <w:left w:val="none" w:sz="0" w:space="0" w:color="auto"/>
                <w:bottom w:val="none" w:sz="0" w:space="0" w:color="auto"/>
                <w:right w:val="none" w:sz="0" w:space="0" w:color="auto"/>
              </w:divBdr>
              <w:divsChild>
                <w:div w:id="349723038">
                  <w:marLeft w:val="0"/>
                  <w:marRight w:val="0"/>
                  <w:marTop w:val="0"/>
                  <w:marBottom w:val="0"/>
                  <w:divBdr>
                    <w:top w:val="none" w:sz="0" w:space="0" w:color="auto"/>
                    <w:left w:val="none" w:sz="0" w:space="0" w:color="auto"/>
                    <w:bottom w:val="none" w:sz="0" w:space="0" w:color="auto"/>
                    <w:right w:val="none" w:sz="0" w:space="0" w:color="auto"/>
                  </w:divBdr>
                  <w:divsChild>
                    <w:div w:id="14089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226604">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57257902">
      <w:bodyDiv w:val="1"/>
      <w:marLeft w:val="0"/>
      <w:marRight w:val="0"/>
      <w:marTop w:val="0"/>
      <w:marBottom w:val="0"/>
      <w:divBdr>
        <w:top w:val="none" w:sz="0" w:space="0" w:color="auto"/>
        <w:left w:val="none" w:sz="0" w:space="0" w:color="auto"/>
        <w:bottom w:val="none" w:sz="0" w:space="0" w:color="auto"/>
        <w:right w:val="none" w:sz="0" w:space="0" w:color="auto"/>
      </w:divBdr>
    </w:div>
    <w:div w:id="1207714895">
      <w:bodyDiv w:val="1"/>
      <w:marLeft w:val="0"/>
      <w:marRight w:val="0"/>
      <w:marTop w:val="0"/>
      <w:marBottom w:val="0"/>
      <w:divBdr>
        <w:top w:val="none" w:sz="0" w:space="0" w:color="auto"/>
        <w:left w:val="none" w:sz="0" w:space="0" w:color="auto"/>
        <w:bottom w:val="none" w:sz="0" w:space="0" w:color="auto"/>
        <w:right w:val="none" w:sz="0" w:space="0" w:color="auto"/>
      </w:divBdr>
    </w:div>
    <w:div w:id="1489977050">
      <w:bodyDiv w:val="1"/>
      <w:marLeft w:val="0"/>
      <w:marRight w:val="0"/>
      <w:marTop w:val="0"/>
      <w:marBottom w:val="0"/>
      <w:divBdr>
        <w:top w:val="none" w:sz="0" w:space="0" w:color="auto"/>
        <w:left w:val="none" w:sz="0" w:space="0" w:color="auto"/>
        <w:bottom w:val="none" w:sz="0" w:space="0" w:color="auto"/>
        <w:right w:val="none" w:sz="0" w:space="0" w:color="auto"/>
      </w:divBdr>
    </w:div>
    <w:div w:id="1543248057">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03612221">
      <w:bodyDiv w:val="1"/>
      <w:marLeft w:val="0"/>
      <w:marRight w:val="0"/>
      <w:marTop w:val="0"/>
      <w:marBottom w:val="0"/>
      <w:divBdr>
        <w:top w:val="none" w:sz="0" w:space="0" w:color="auto"/>
        <w:left w:val="none" w:sz="0" w:space="0" w:color="auto"/>
        <w:bottom w:val="none" w:sz="0" w:space="0" w:color="auto"/>
        <w:right w:val="none" w:sz="0" w:space="0" w:color="auto"/>
      </w:divBdr>
    </w:div>
    <w:div w:id="1659259924">
      <w:bodyDiv w:val="1"/>
      <w:marLeft w:val="0"/>
      <w:marRight w:val="0"/>
      <w:marTop w:val="0"/>
      <w:marBottom w:val="0"/>
      <w:divBdr>
        <w:top w:val="none" w:sz="0" w:space="0" w:color="auto"/>
        <w:left w:val="none" w:sz="0" w:space="0" w:color="auto"/>
        <w:bottom w:val="none" w:sz="0" w:space="0" w:color="auto"/>
        <w:right w:val="none" w:sz="0" w:space="0" w:color="auto"/>
      </w:divBdr>
    </w:div>
    <w:div w:id="1754007443">
      <w:bodyDiv w:val="1"/>
      <w:marLeft w:val="0"/>
      <w:marRight w:val="0"/>
      <w:marTop w:val="0"/>
      <w:marBottom w:val="0"/>
      <w:divBdr>
        <w:top w:val="none" w:sz="0" w:space="0" w:color="auto"/>
        <w:left w:val="none" w:sz="0" w:space="0" w:color="auto"/>
        <w:bottom w:val="none" w:sz="0" w:space="0" w:color="auto"/>
        <w:right w:val="none" w:sz="0" w:space="0" w:color="auto"/>
      </w:divBdr>
    </w:div>
    <w:div w:id="176962154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05992582">
      <w:bodyDiv w:val="1"/>
      <w:marLeft w:val="0"/>
      <w:marRight w:val="0"/>
      <w:marTop w:val="0"/>
      <w:marBottom w:val="0"/>
      <w:divBdr>
        <w:top w:val="none" w:sz="0" w:space="0" w:color="auto"/>
        <w:left w:val="none" w:sz="0" w:space="0" w:color="auto"/>
        <w:bottom w:val="none" w:sz="0" w:space="0" w:color="auto"/>
        <w:right w:val="none" w:sz="0" w:space="0" w:color="auto"/>
      </w:divBdr>
    </w:div>
    <w:div w:id="1918973513">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73510164">
      <w:bodyDiv w:val="1"/>
      <w:marLeft w:val="0"/>
      <w:marRight w:val="0"/>
      <w:marTop w:val="0"/>
      <w:marBottom w:val="0"/>
      <w:divBdr>
        <w:top w:val="none" w:sz="0" w:space="0" w:color="auto"/>
        <w:left w:val="none" w:sz="0" w:space="0" w:color="auto"/>
        <w:bottom w:val="none" w:sz="0" w:space="0" w:color="auto"/>
        <w:right w:val="none" w:sz="0" w:space="0" w:color="auto"/>
      </w:divBdr>
    </w:div>
    <w:div w:id="1986465028">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 w:id="21457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D945FF787421499CE3C624E38A218F" ma:contentTypeVersion="4" ma:contentTypeDescription="Create a new document." ma:contentTypeScope="" ma:versionID="1009dbf53f3f2d4e2cd4bc4ef510c145">
  <xsd:schema xmlns:xsd="http://www.w3.org/2001/XMLSchema" xmlns:xs="http://www.w3.org/2001/XMLSchema" xmlns:p="http://schemas.microsoft.com/office/2006/metadata/properties" xmlns:ns2="5365fbdb-9e9f-4ad1-aa92-ac641789d5bf" targetNamespace="http://schemas.microsoft.com/office/2006/metadata/properties" ma:root="true" ma:fieldsID="3ae780379c1f48cbbd9833e39ab51c71" ns2:_="">
    <xsd:import namespace="5365fbdb-9e9f-4ad1-aa92-ac641789d5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5fbdb-9e9f-4ad1-aa92-ac641789d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34C98-F456-4896-9F05-3C07ED7AED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24592A-C9A5-4533-9D6C-EAFE394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5fbdb-9e9f-4ad1-aa92-ac641789d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C6D31-1535-4A59-85E9-991BD512AB76}">
  <ds:schemaRefs>
    <ds:schemaRef ds:uri="http://schemas.microsoft.com/sharepoint/v3/contenttype/forms"/>
  </ds:schemaRefs>
</ds:datastoreItem>
</file>

<file path=customXml/itemProps4.xml><?xml version="1.0" encoding="utf-8"?>
<ds:datastoreItem xmlns:ds="http://schemas.openxmlformats.org/officeDocument/2006/customXml" ds:itemID="{982C9F25-D45F-4DB4-94D2-33C02EFB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TotalTime>
  <Pages>13</Pages>
  <Words>5013</Words>
  <Characters>28579</Characters>
  <Application>Microsoft Office Word</Application>
  <DocSecurity>0</DocSecurity>
  <Lines>238</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Thebaut, Camille</cp:lastModifiedBy>
  <cp:revision>3</cp:revision>
  <cp:lastPrinted>2021-05-24T16:08:00Z</cp:lastPrinted>
  <dcterms:created xsi:type="dcterms:W3CDTF">2021-06-28T10:44:00Z</dcterms:created>
  <dcterms:modified xsi:type="dcterms:W3CDTF">2021-06-28T13:20:00Z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0x0101001BD945FF787421499CE3C624E38A218F</vt:lpwstr>
  </property>
</Properties>
</file>