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8CC6" w14:textId="66644FC8" w:rsidR="00FD194B" w:rsidRPr="00AF3764" w:rsidRDefault="00FD194B" w:rsidP="00FD194B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22"/>
          <w:szCs w:val="44"/>
          <w:lang w:eastAsia="en-US" w:bidi="ar-SY"/>
        </w:rPr>
      </w:pPr>
      <w:bookmarkStart w:id="0" w:name="_Toc370733362"/>
      <w:r w:rsidRPr="00AF3764">
        <w:rPr>
          <w:rFonts w:cs="Traditional Arabic"/>
          <w:b/>
          <w:bCs/>
          <w:noProof/>
          <w:sz w:val="22"/>
          <w:szCs w:val="44"/>
          <w:rtl/>
          <w:lang w:eastAsia="en-US" w:bidi="ar-SY"/>
        </w:rPr>
        <w:t xml:space="preserve">دراسة </w:t>
      </w:r>
      <w:r w:rsidRPr="00AF3764">
        <w:rPr>
          <w:rFonts w:cs="Traditional Arabic" w:hint="cs"/>
          <w:b/>
          <w:bCs/>
          <w:noProof/>
          <w:sz w:val="22"/>
          <w:szCs w:val="44"/>
          <w:rtl/>
          <w:lang w:eastAsia="en-US" w:bidi="ar-SY"/>
        </w:rPr>
        <w:t>ال</w:t>
      </w:r>
      <w:r w:rsidRPr="00AF3764">
        <w:rPr>
          <w:rFonts w:cs="Traditional Arabic"/>
          <w:b/>
          <w:bCs/>
          <w:noProof/>
          <w:sz w:val="22"/>
          <w:szCs w:val="44"/>
          <w:rtl/>
          <w:lang w:eastAsia="en-US" w:bidi="ar-SY"/>
        </w:rPr>
        <w:t>حالة 15</w:t>
      </w:r>
    </w:p>
    <w:p w14:paraId="3DCA8654" w14:textId="282CC59D" w:rsidR="00FD194B" w:rsidRPr="00AF3764" w:rsidRDefault="00FD194B" w:rsidP="009E7014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</w:pPr>
      <w:r w:rsidRPr="00AF3764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التراث الثقافي غير المادي </w:t>
      </w:r>
      <w:r w:rsidRPr="00AF3764">
        <w:rPr>
          <w:rFonts w:cs="Traditional Arabic" w:hint="cs"/>
          <w:b/>
          <w:bCs/>
          <w:noProof/>
          <w:color w:val="0000FF"/>
          <w:sz w:val="22"/>
          <w:szCs w:val="40"/>
          <w:rtl/>
          <w:lang w:eastAsia="en-US" w:bidi="ar-SY"/>
        </w:rPr>
        <w:t>وإدرار</w:t>
      </w:r>
      <w:r w:rsidRPr="00AF3764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 الدخل: الختان في باندونغ</w:t>
      </w:r>
      <w:r w:rsidR="00D4429A">
        <w:rPr>
          <w:rFonts w:cs="Traditional Arabic" w:hint="cs"/>
          <w:b/>
          <w:bCs/>
          <w:noProof/>
          <w:color w:val="0000FF"/>
          <w:sz w:val="22"/>
          <w:szCs w:val="40"/>
          <w:rtl/>
          <w:lang w:eastAsia="en-US" w:bidi="ar-SY"/>
        </w:rPr>
        <w:t>،</w:t>
      </w:r>
      <w:r w:rsidRPr="00AF3764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 </w:t>
      </w:r>
      <w:r w:rsidR="00D4429A">
        <w:rPr>
          <w:rFonts w:cs="Traditional Arabic" w:hint="cs"/>
          <w:b/>
          <w:bCs/>
          <w:noProof/>
          <w:color w:val="0000FF"/>
          <w:sz w:val="22"/>
          <w:szCs w:val="40"/>
          <w:rtl/>
          <w:lang w:eastAsia="en-US" w:bidi="ar-SY"/>
        </w:rPr>
        <w:t>بإ</w:t>
      </w:r>
      <w:r w:rsidRPr="00AF3764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>ندونيسيا</w:t>
      </w:r>
      <w:r w:rsidRPr="008467DF">
        <w:rPr>
          <w:b/>
          <w:bCs/>
          <w:noProof/>
          <w:color w:val="0000FF"/>
          <w:sz w:val="22"/>
          <w:szCs w:val="40"/>
          <w:vertAlign w:val="superscript"/>
          <w:rtl/>
          <w:lang w:eastAsia="en-US" w:bidi="ar-SY"/>
        </w:rPr>
        <w:footnoteReference w:id="1"/>
      </w:r>
      <w:bookmarkEnd w:id="0"/>
    </w:p>
    <w:p w14:paraId="1D9015D1" w14:textId="0E290C3C" w:rsidR="00FD194B" w:rsidRPr="00AF3764" w:rsidRDefault="00FD194B" w:rsidP="00FD194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AF3764">
        <w:rPr>
          <w:rFonts w:eastAsia="Arial" w:cs="Traditional Arabic"/>
          <w:spacing w:val="1"/>
          <w:sz w:val="22"/>
          <w:szCs w:val="32"/>
          <w:rtl/>
        </w:rPr>
        <w:t>تظهر دراسة الحالة هذه كيف ساهم التدخ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ل الرسمي في صون عنصر من </w:t>
      </w:r>
      <w:r w:rsidR="00BF413A">
        <w:rPr>
          <w:rFonts w:eastAsia="Arial" w:cs="Traditional Arabic" w:hint="cs"/>
          <w:spacing w:val="1"/>
          <w:sz w:val="22"/>
          <w:szCs w:val="32"/>
          <w:rtl/>
        </w:rPr>
        <w:t xml:space="preserve">عناصر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التراث الثقافي غير المادي من خلال دعم مهرجان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للمجتمع المحلي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والبحث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في إمكانية إيجاد مكان جديد لممارسة عنصر التراث الثقافي غير المادي هذا.</w:t>
      </w:r>
    </w:p>
    <w:p w14:paraId="3BA1A979" w14:textId="50F4F2BE" w:rsidR="00FD194B" w:rsidRPr="00AF3764" w:rsidRDefault="00FD194B" w:rsidP="00ED652D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AF3764">
        <w:rPr>
          <w:rFonts w:eastAsia="Arial" w:cs="Traditional Arabic" w:hint="cs"/>
          <w:b/>
          <w:bCs/>
          <w:spacing w:val="1"/>
          <w:sz w:val="22"/>
          <w:szCs w:val="32"/>
          <w:rtl/>
        </w:rPr>
        <w:t>موكب</w:t>
      </w:r>
      <w:r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</w:t>
      </w:r>
      <w:r w:rsidR="00ED652D">
        <w:rPr>
          <w:rFonts w:eastAsia="Arial" w:cs="Traditional Arabic" w:hint="cs"/>
          <w:b/>
          <w:bCs/>
          <w:spacing w:val="1"/>
          <w:sz w:val="22"/>
          <w:szCs w:val="32"/>
          <w:rtl/>
        </w:rPr>
        <w:t>يشارك فيه</w:t>
      </w:r>
      <w:r w:rsidR="00ED652D"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t>موسيق</w:t>
      </w:r>
      <w:r w:rsidRPr="00AF3764">
        <w:rPr>
          <w:rFonts w:eastAsia="Arial" w:cs="Traditional Arabic" w:hint="cs"/>
          <w:b/>
          <w:bCs/>
          <w:spacing w:val="1"/>
          <w:sz w:val="22"/>
          <w:szCs w:val="32"/>
          <w:rtl/>
        </w:rPr>
        <w:t>يون</w:t>
      </w:r>
      <w:r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وراقص</w:t>
      </w:r>
      <w:r w:rsidRPr="00AF3764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ون </w:t>
      </w:r>
    </w:p>
    <w:p w14:paraId="43EF69CA" w14:textId="6B495236" w:rsidR="00FD194B" w:rsidRPr="00AF3764" w:rsidRDefault="00FD194B" w:rsidP="00FD194B">
      <w:pPr>
        <w:bidi/>
        <w:spacing w:after="200" w:line="240" w:lineRule="auto"/>
        <w:rPr>
          <w:rFonts w:eastAsia="Arial" w:cs="Traditional Arabic"/>
          <w:spacing w:val="-4"/>
          <w:sz w:val="22"/>
          <w:szCs w:val="32"/>
          <w:rtl/>
        </w:rPr>
      </w:pP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في مدينة أجونغبيرونغ </w:t>
      </w:r>
      <w:r w:rsidR="00D337AA">
        <w:rPr>
          <w:rFonts w:eastAsia="Arial" w:cs="Traditional Arabic" w:hint="cs"/>
          <w:spacing w:val="-4"/>
          <w:sz w:val="22"/>
          <w:szCs w:val="32"/>
          <w:rtl/>
        </w:rPr>
        <w:t>(</w:t>
      </w:r>
      <w:r w:rsidRPr="00AF3764">
        <w:rPr>
          <w:rFonts w:eastAsia="Arial" w:cs="Traditional Arabic"/>
          <w:spacing w:val="-4"/>
          <w:sz w:val="22"/>
          <w:szCs w:val="32"/>
        </w:rPr>
        <w:t>Ujungberung</w:t>
      </w:r>
      <w:r w:rsidR="00D337AA">
        <w:rPr>
          <w:rFonts w:eastAsia="Arial" w:cs="Traditional Arabic" w:hint="cs"/>
          <w:spacing w:val="-4"/>
          <w:sz w:val="22"/>
          <w:szCs w:val="32"/>
          <w:rtl/>
        </w:rPr>
        <w:t>)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 الواقعة في الجزء الشرقي من باندونغ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 xml:space="preserve"> </w:t>
      </w:r>
      <w:r w:rsidR="00FB5C9B">
        <w:rPr>
          <w:rFonts w:eastAsia="Arial" w:cs="Traditional Arabic" w:hint="cs"/>
          <w:spacing w:val="-4"/>
          <w:sz w:val="22"/>
          <w:szCs w:val="32"/>
          <w:rtl/>
        </w:rPr>
        <w:t>(</w:t>
      </w:r>
      <w:r w:rsidRPr="00AF3764">
        <w:rPr>
          <w:rFonts w:eastAsia="Arial" w:cs="Traditional Arabic"/>
          <w:spacing w:val="-4"/>
          <w:sz w:val="22"/>
          <w:szCs w:val="32"/>
        </w:rPr>
        <w:t>Bandung</w:t>
      </w:r>
      <w:r w:rsidR="00FB5C9B">
        <w:rPr>
          <w:rFonts w:eastAsia="Arial" w:cs="Traditional Arabic" w:hint="cs"/>
          <w:spacing w:val="-4"/>
          <w:sz w:val="22"/>
          <w:szCs w:val="32"/>
          <w:rtl/>
        </w:rPr>
        <w:t>)</w:t>
      </w:r>
      <w:r w:rsidR="00235C73">
        <w:rPr>
          <w:rFonts w:eastAsia="Arial" w:cs="Traditional Arabic" w:hint="cs"/>
          <w:spacing w:val="-4"/>
          <w:sz w:val="22"/>
          <w:szCs w:val="32"/>
          <w:rtl/>
        </w:rPr>
        <w:t>،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في إندونيسيا، يُحمل فتيان تتراوح أعمارهم ما بين 6 و8 سنوات </w:t>
      </w:r>
      <w:r w:rsidR="00DC3B8F">
        <w:rPr>
          <w:rFonts w:eastAsia="Arial" w:cs="Traditional Arabic" w:hint="cs"/>
          <w:spacing w:val="-4"/>
          <w:sz w:val="22"/>
          <w:szCs w:val="32"/>
          <w:rtl/>
        </w:rPr>
        <w:t>و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>ينتمون إلى جماعة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 سوندا الإثنية في 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>موكب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>ي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جول القرى المجاورة في اليوم الذي يسبق ختانهم. ويرتدي الفتيان ملابس خاصة تشير إلى أنهم "ملوك ليوم واحد"، وقد يمتطون الخيل أو يجلسون 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>في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 مقاعد على شكل أسد يحملها أربعة رجال. وتدرّ</w:t>
      </w:r>
      <w:r w:rsidR="00166776">
        <w:rPr>
          <w:rFonts w:eastAsia="Arial" w:cs="Traditional Arabic" w:hint="cs"/>
          <w:spacing w:val="-4"/>
          <w:sz w:val="22"/>
          <w:szCs w:val="32"/>
          <w:rtl/>
        </w:rPr>
        <w:t>َ</w:t>
      </w:r>
      <w:r w:rsidRPr="00AF3764">
        <w:rPr>
          <w:rFonts w:eastAsia="Arial" w:cs="Traditional Arabic"/>
          <w:spacing w:val="-4"/>
          <w:sz w:val="22"/>
          <w:szCs w:val="32"/>
          <w:rtl/>
        </w:rPr>
        <w:t>ب الخيول لتمشي على وقع الموسيقى. وقد تُستخدم أيضا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>ً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 سيارة ليجلس فيها "الملك ليوم واحد" خلال </w:t>
      </w:r>
      <w:r w:rsidRPr="00AF3764">
        <w:rPr>
          <w:rFonts w:eastAsia="Arial" w:cs="Traditional Arabic" w:hint="cs"/>
          <w:spacing w:val="-4"/>
          <w:sz w:val="22"/>
          <w:szCs w:val="32"/>
          <w:rtl/>
        </w:rPr>
        <w:t>الموكب</w:t>
      </w:r>
      <w:r w:rsidRPr="00AF3764">
        <w:rPr>
          <w:rFonts w:eastAsia="Arial" w:cs="Traditional Arabic"/>
          <w:spacing w:val="-4"/>
          <w:sz w:val="22"/>
          <w:szCs w:val="32"/>
          <w:rtl/>
        </w:rPr>
        <w:t xml:space="preserve">. </w:t>
      </w:r>
    </w:p>
    <w:p w14:paraId="52BA3443" w14:textId="60113F7C" w:rsidR="00FD194B" w:rsidRPr="00AF3764" w:rsidRDefault="00FD194B" w:rsidP="00E5603D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AF376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/>
          <w:spacing w:val="1"/>
          <w:sz w:val="22"/>
          <w:szCs w:val="32"/>
          <w:rtl/>
        </w:rPr>
        <w:t>على الرغم من أن الختان يجري وفقا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للتقاليد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الإسلامية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EA413B">
        <w:rPr>
          <w:rFonts w:eastAsia="Arial" w:cs="Traditional Arabic" w:hint="cs"/>
          <w:spacing w:val="1"/>
          <w:sz w:val="22"/>
          <w:szCs w:val="32"/>
          <w:rtl/>
        </w:rPr>
        <w:t xml:space="preserve">فإن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بعض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المكونات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الثقافية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للموكب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يرتبط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بالتقاليد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الهندوسي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ة،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ومن ذلك استخدام هيئة الأسد الذي يرمز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إلى الملك الهندوسي سيليوانغي </w:t>
      </w:r>
      <w:r w:rsidR="00AD450C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AF3764">
        <w:rPr>
          <w:rFonts w:eastAsia="Arial" w:cs="Traditional Arabic"/>
          <w:spacing w:val="-1"/>
          <w:sz w:val="22"/>
          <w:szCs w:val="32"/>
        </w:rPr>
        <w:t>Sil</w:t>
      </w:r>
      <w:r w:rsidRPr="00AF3764">
        <w:rPr>
          <w:rFonts w:eastAsia="Arial" w:cs="Traditional Arabic"/>
          <w:spacing w:val="1"/>
          <w:sz w:val="22"/>
          <w:szCs w:val="32"/>
        </w:rPr>
        <w:t>i</w:t>
      </w:r>
      <w:r w:rsidRPr="00AF3764">
        <w:rPr>
          <w:rFonts w:eastAsia="Arial" w:cs="Traditional Arabic"/>
          <w:spacing w:val="-3"/>
          <w:sz w:val="22"/>
          <w:szCs w:val="32"/>
        </w:rPr>
        <w:t>w</w:t>
      </w:r>
      <w:r w:rsidRPr="00AF3764">
        <w:rPr>
          <w:rFonts w:eastAsia="Arial" w:cs="Traditional Arabic"/>
          <w:sz w:val="22"/>
          <w:szCs w:val="32"/>
        </w:rPr>
        <w:t>a</w:t>
      </w:r>
      <w:r w:rsidRPr="00AF3764">
        <w:rPr>
          <w:rFonts w:eastAsia="Arial" w:cs="Traditional Arabic"/>
          <w:spacing w:val="-1"/>
          <w:sz w:val="22"/>
          <w:szCs w:val="32"/>
        </w:rPr>
        <w:t>n</w:t>
      </w:r>
      <w:r w:rsidRPr="00AF3764">
        <w:rPr>
          <w:rFonts w:eastAsia="Arial" w:cs="Traditional Arabic"/>
          <w:spacing w:val="2"/>
          <w:sz w:val="22"/>
          <w:szCs w:val="32"/>
        </w:rPr>
        <w:t>g</w:t>
      </w:r>
      <w:r w:rsidRPr="00AF3764">
        <w:rPr>
          <w:rFonts w:eastAsia="Arial" w:cs="Traditional Arabic"/>
          <w:spacing w:val="-1"/>
          <w:sz w:val="22"/>
          <w:szCs w:val="32"/>
        </w:rPr>
        <w:t>i</w:t>
      </w:r>
      <w:r w:rsidR="00AD450C">
        <w:rPr>
          <w:rFonts w:eastAsia="Arial" w:cs="Traditional Arabic" w:hint="cs"/>
          <w:spacing w:val="-1"/>
          <w:sz w:val="22"/>
          <w:szCs w:val="32"/>
          <w:rtl/>
        </w:rPr>
        <w:t>)</w:t>
      </w:r>
      <w:r w:rsidRPr="00AF3764">
        <w:rPr>
          <w:rFonts w:eastAsia="Arial" w:cs="Traditional Arabic"/>
          <w:spacing w:val="1"/>
          <w:sz w:val="22"/>
          <w:szCs w:val="32"/>
          <w:rtl/>
        </w:rPr>
        <w:t>.</w:t>
      </w:r>
    </w:p>
    <w:p w14:paraId="4C73CBED" w14:textId="23C702D8" w:rsidR="00FD194B" w:rsidRPr="00AF3764" w:rsidRDefault="00FD194B" w:rsidP="00FC5E93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AF376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/>
          <w:spacing w:val="1"/>
          <w:sz w:val="22"/>
          <w:szCs w:val="32"/>
          <w:rtl/>
        </w:rPr>
        <w:t>ترافق الفتيان فرقة رقص تضم رجلاً يضع قناعا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(وهو قناع خيل) وراقصين معهم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دمى على هيئة أحصنة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مصنوعة من الجلد، وغالبا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ما يرافقهم مهر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جون. وقد يدخل الراقص </w:t>
      </w:r>
      <w:r w:rsidR="00037346">
        <w:rPr>
          <w:rFonts w:eastAsia="Arial" w:cs="Traditional Arabic" w:hint="cs"/>
          <w:spacing w:val="1"/>
          <w:sz w:val="22"/>
          <w:szCs w:val="32"/>
          <w:rtl/>
        </w:rPr>
        <w:t xml:space="preserve">الذي يحمل </w:t>
      </w:r>
      <w:r w:rsidR="00FC5E93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="00037346">
        <w:rPr>
          <w:rFonts w:eastAsia="Arial" w:cs="Traditional Arabic" w:hint="cs"/>
          <w:spacing w:val="1"/>
          <w:sz w:val="22"/>
          <w:szCs w:val="32"/>
          <w:rtl/>
        </w:rPr>
        <w:t>حصان</w:t>
      </w:r>
      <w:r w:rsidR="00FC5E93">
        <w:rPr>
          <w:rFonts w:eastAsia="Arial" w:cs="Traditional Arabic" w:hint="cs"/>
          <w:spacing w:val="1"/>
          <w:sz w:val="22"/>
          <w:szCs w:val="32"/>
          <w:rtl/>
        </w:rPr>
        <w:t xml:space="preserve"> الدمية</w:t>
      </w:r>
      <w:r w:rsidR="00037346"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في حالة من النشوة. وترافق الفرقة مجموعة (أو مجموعات) موسيقية صغيرة تعزف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على </w:t>
      </w:r>
      <w:r w:rsidR="00B32C03">
        <w:rPr>
          <w:rFonts w:eastAsia="Arial" w:cs="Traditional Arabic" w:hint="cs"/>
          <w:spacing w:val="1"/>
          <w:sz w:val="22"/>
          <w:szCs w:val="32"/>
          <w:rtl/>
        </w:rPr>
        <w:t>آلات</w:t>
      </w:r>
      <w:r w:rsidR="00B32C03"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متنوعة</w:t>
      </w:r>
      <w:r w:rsidRPr="00AF3764">
        <w:rPr>
          <w:rFonts w:eastAsia="Arial" w:cs="Traditional Arabic"/>
          <w:spacing w:val="1"/>
          <w:sz w:val="22"/>
          <w:szCs w:val="32"/>
          <w:rtl/>
        </w:rPr>
        <w:t>، ويتضم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ن بعض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المواكب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فرقة تعزف </w:t>
      </w:r>
      <w:r w:rsidR="00F9431E">
        <w:rPr>
          <w:rFonts w:eastAsia="Arial" w:cs="Traditional Arabic" w:hint="cs"/>
          <w:spacing w:val="1"/>
          <w:sz w:val="22"/>
          <w:szCs w:val="32"/>
          <w:rtl/>
        </w:rPr>
        <w:t xml:space="preserve">على آلات نفخ </w:t>
      </w:r>
      <w:r w:rsidRPr="00AF3764">
        <w:rPr>
          <w:rFonts w:eastAsia="Arial" w:cs="Traditional Arabic"/>
          <w:spacing w:val="1"/>
          <w:sz w:val="22"/>
          <w:szCs w:val="32"/>
          <w:rtl/>
        </w:rPr>
        <w:t>نحاسية.</w:t>
      </w:r>
    </w:p>
    <w:p w14:paraId="7111C795" w14:textId="77777777" w:rsidR="008467DF" w:rsidRDefault="008467DF" w:rsidP="00FD194B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>
        <w:rPr>
          <w:rFonts w:eastAsia="Arial" w:cs="Traditional Arabic"/>
          <w:b/>
          <w:bCs/>
          <w:spacing w:val="1"/>
          <w:sz w:val="22"/>
          <w:szCs w:val="32"/>
          <w:rtl/>
        </w:rPr>
        <w:br w:type="page"/>
      </w:r>
    </w:p>
    <w:p w14:paraId="116317EB" w14:textId="517E305A" w:rsidR="00FD194B" w:rsidRPr="00AF3764" w:rsidRDefault="00FD194B" w:rsidP="008467DF">
      <w:pPr>
        <w:bidi/>
        <w:spacing w:after="160" w:line="228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lastRenderedPageBreak/>
        <w:t>دفع تكاليف فرق الرقص والعزف</w:t>
      </w:r>
    </w:p>
    <w:p w14:paraId="21995D87" w14:textId="5C1AB043" w:rsidR="00FD194B" w:rsidRPr="00AF3764" w:rsidRDefault="00FD194B" w:rsidP="008467DF">
      <w:pPr>
        <w:bidi/>
        <w:spacing w:after="160" w:line="228" w:lineRule="auto"/>
        <w:rPr>
          <w:rFonts w:eastAsia="Arial" w:cs="Traditional Arabic"/>
          <w:spacing w:val="1"/>
          <w:sz w:val="22"/>
          <w:szCs w:val="32"/>
          <w:rtl/>
        </w:rPr>
      </w:pP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قد تشارك فرق رقص وعزف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متعددة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في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موكب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واحد. فالعائلات الثرية التي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تختن فتيانها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هي التي تستأجر</w:t>
      </w:r>
      <w:r w:rsidR="001F5330">
        <w:rPr>
          <w:rFonts w:eastAsia="Arial" w:cs="Traditional Arabic"/>
          <w:spacing w:val="1"/>
          <w:sz w:val="22"/>
          <w:szCs w:val="32"/>
        </w:rPr>
        <w:t xml:space="preserve">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الفرق وتدفع أيضا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تكاليف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الوليمة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الاحتفالية التي تلي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الموكب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. وقد تطلب بعض العائلات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الرقيقة الحال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أن </w:t>
      </w:r>
      <w:r w:rsidRPr="00AF3764">
        <w:rPr>
          <w:rFonts w:eastAsia="Arial" w:cs="Traditional Arabic"/>
          <w:spacing w:val="1"/>
          <w:sz w:val="22"/>
          <w:szCs w:val="32"/>
          <w:rtl/>
        </w:rPr>
        <w:t>ينضم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فتيانها إلى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الموكب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قبل ختانهم وتساهم في التكاليف من خلال تقديم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خدماتهم كيد عاملة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أو خدمات أخرى. </w:t>
      </w:r>
    </w:p>
    <w:p w14:paraId="13A5BEA4" w14:textId="1DB23CFE" w:rsidR="00FD194B" w:rsidRPr="00AF3764" w:rsidRDefault="00FD194B" w:rsidP="008467DF">
      <w:pPr>
        <w:bidi/>
        <w:spacing w:after="160" w:line="228" w:lineRule="auto"/>
        <w:rPr>
          <w:rFonts w:eastAsia="Arial" w:cs="Traditional Arabic"/>
          <w:spacing w:val="1"/>
          <w:sz w:val="22"/>
          <w:szCs w:val="32"/>
          <w:rtl/>
        </w:rPr>
      </w:pPr>
      <w:r w:rsidRPr="00AF3764">
        <w:rPr>
          <w:rFonts w:eastAsia="Arial" w:cs="Traditional Arabic"/>
          <w:spacing w:val="1"/>
          <w:sz w:val="22"/>
          <w:szCs w:val="32"/>
          <w:rtl/>
        </w:rPr>
        <w:t>وتشارك فرق كهذه في الاحتفالات منذ عدّة قرون في المنطقة، وهي تعزف أيضا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في الأعراس وفي مناسبات أخرى.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في إندونيسيا، يعمل معظم الراقصين والعازفين في هذه الفرق كفنانين بدوامٍ جزئي.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وليس هناك سوى القليل من الأنماط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الموسيقية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التي يستطيع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أن يكسب الفن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انون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بفضلها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لقمة عيشهم من خلال الأداء الموسيقي التقليدي، </w:t>
      </w:r>
      <w:r w:rsidR="002A185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لكن حتى في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الأنماط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الموسيقية </w:t>
      </w:r>
      <w:r w:rsidR="002A1855">
        <w:rPr>
          <w:rFonts w:eastAsia="Arial" w:cs="Traditional Arabic" w:hint="cs"/>
          <w:spacing w:val="1"/>
          <w:sz w:val="22"/>
          <w:szCs w:val="32"/>
          <w:rtl/>
        </w:rPr>
        <w:t>الأكثر</w:t>
      </w:r>
      <w:r w:rsidR="002A1855"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رواجا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يضطر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معظم العازفين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D868B5">
        <w:rPr>
          <w:rFonts w:eastAsia="Arial" w:cs="Traditional Arabic" w:hint="cs"/>
          <w:spacing w:val="1"/>
          <w:sz w:val="22"/>
          <w:szCs w:val="32"/>
          <w:rtl/>
        </w:rPr>
        <w:t>إلى</w:t>
      </w:r>
      <w:r w:rsidR="00D868B5"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العمل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بدوامٍ جزئي. ويتلق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>ى الفن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انون الذين يؤدون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مثل هذه العروض، </w:t>
      </w:r>
      <w:r w:rsidR="00D13518">
        <w:rPr>
          <w:rFonts w:eastAsia="Arial" w:cs="Traditional Arabic" w:hint="cs"/>
          <w:spacing w:val="1"/>
          <w:sz w:val="22"/>
          <w:szCs w:val="32"/>
          <w:rtl/>
        </w:rPr>
        <w:t xml:space="preserve">ولا سيما الفنانين الذين يشاركون في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موكب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الختان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1641F">
        <w:rPr>
          <w:rFonts w:eastAsia="Arial" w:cs="Traditional Arabic" w:hint="cs"/>
          <w:spacing w:val="1"/>
          <w:sz w:val="22"/>
          <w:szCs w:val="32"/>
          <w:rtl/>
        </w:rPr>
        <w:t xml:space="preserve">جزءاً من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بدل أتعابهم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نقداً و</w:t>
      </w:r>
      <w:r w:rsidR="00A97E5E">
        <w:rPr>
          <w:rFonts w:eastAsia="Arial" w:cs="Traditional Arabic" w:hint="cs"/>
          <w:spacing w:val="1"/>
          <w:sz w:val="22"/>
          <w:szCs w:val="32"/>
          <w:rtl/>
        </w:rPr>
        <w:t xml:space="preserve">الجزء الآخر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عيناً</w:t>
      </w:r>
      <w:r w:rsidR="00AB4ABD">
        <w:rPr>
          <w:rFonts w:eastAsia="Arial" w:cs="Traditional Arabic" w:hint="cs"/>
          <w:spacing w:val="1"/>
          <w:sz w:val="22"/>
          <w:szCs w:val="32"/>
          <w:rtl/>
        </w:rPr>
        <w:t xml:space="preserve"> (يحصلون على الطعام في غالب الأحيان</w:t>
      </w:r>
      <w:r w:rsidR="00CB522D">
        <w:rPr>
          <w:rFonts w:eastAsia="Arial" w:cs="Traditional Arabic" w:hint="cs"/>
          <w:spacing w:val="1"/>
          <w:sz w:val="22"/>
          <w:szCs w:val="32"/>
          <w:rtl/>
        </w:rPr>
        <w:t>)</w:t>
      </w:r>
      <w:r w:rsidRPr="00AF3764">
        <w:rPr>
          <w:rFonts w:eastAsia="Arial" w:cs="Traditional Arabic"/>
          <w:spacing w:val="1"/>
          <w:sz w:val="22"/>
          <w:szCs w:val="32"/>
          <w:rtl/>
        </w:rPr>
        <w:t>.</w:t>
      </w:r>
    </w:p>
    <w:p w14:paraId="588F4EB3" w14:textId="77777777" w:rsidR="00FD194B" w:rsidRPr="00AF3764" w:rsidRDefault="00FD194B" w:rsidP="008467DF">
      <w:pPr>
        <w:bidi/>
        <w:spacing w:after="160" w:line="228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t>الاستدامة المهد</w:t>
      </w:r>
      <w:r w:rsidRPr="00AF3764">
        <w:rPr>
          <w:rFonts w:eastAsia="Arial" w:cs="Traditional Arabic" w:hint="cs"/>
          <w:b/>
          <w:bCs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b/>
          <w:bCs/>
          <w:spacing w:val="1"/>
          <w:sz w:val="22"/>
          <w:szCs w:val="32"/>
          <w:rtl/>
        </w:rPr>
        <w:t>دة وتدابير الصون المحتملة</w:t>
      </w:r>
    </w:p>
    <w:p w14:paraId="0CCB20EB" w14:textId="37676CAF" w:rsidR="00FD194B" w:rsidRPr="00AF3764" w:rsidRDefault="00FD194B" w:rsidP="008467DF">
      <w:pPr>
        <w:bidi/>
        <w:spacing w:after="160" w:line="228" w:lineRule="auto"/>
        <w:rPr>
          <w:rFonts w:eastAsia="Arial" w:cs="Traditional Arabic"/>
          <w:spacing w:val="1"/>
          <w:sz w:val="22"/>
          <w:szCs w:val="32"/>
          <w:rtl/>
        </w:rPr>
      </w:pPr>
      <w:r w:rsidRPr="00AF3764">
        <w:rPr>
          <w:rFonts w:eastAsia="Arial" w:cs="Traditional Arabic" w:hint="cs"/>
          <w:spacing w:val="1"/>
          <w:sz w:val="22"/>
          <w:szCs w:val="32"/>
          <w:rtl/>
        </w:rPr>
        <w:t>يفيد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AF3764">
        <w:rPr>
          <w:rFonts w:eastAsia="Arial" w:cs="Traditional Arabic"/>
          <w:spacing w:val="1"/>
          <w:sz w:val="22"/>
          <w:szCs w:val="32"/>
          <w:rtl/>
        </w:rPr>
        <w:t>لسك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>ان المحلي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ن </w:t>
      </w:r>
      <w:r w:rsidR="00702D09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أن وتيرة المواكب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باتت ت</w:t>
      </w:r>
      <w:r w:rsidRPr="00AF3764">
        <w:rPr>
          <w:rFonts w:eastAsia="Arial" w:cs="Traditional Arabic"/>
          <w:spacing w:val="1"/>
          <w:sz w:val="22"/>
          <w:szCs w:val="32"/>
          <w:rtl/>
        </w:rPr>
        <w:t>تراجع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F43837">
        <w:rPr>
          <w:rFonts w:eastAsia="Arial" w:cs="Traditional Arabic" w:hint="cs"/>
          <w:spacing w:val="1"/>
          <w:sz w:val="22"/>
          <w:szCs w:val="32"/>
          <w:rtl/>
        </w:rPr>
        <w:t xml:space="preserve">وهو أمر </w:t>
      </w:r>
      <w:r w:rsidR="00956E83">
        <w:rPr>
          <w:rFonts w:eastAsia="Arial" w:cs="Traditional Arabic" w:hint="cs"/>
          <w:spacing w:val="1"/>
          <w:sz w:val="22"/>
          <w:szCs w:val="32"/>
          <w:rtl/>
        </w:rPr>
        <w:t>يرتبط ربما</w:t>
      </w:r>
      <w:r w:rsidR="00F4383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قيود مالية.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فإذا لم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يتوفر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المال لدفع تكاليف</w:t>
      </w:r>
      <w:r w:rsidR="009C749C">
        <w:rPr>
          <w:rFonts w:eastAsia="Arial" w:cs="Traditional Arabic" w:hint="cs"/>
          <w:spacing w:val="1"/>
          <w:sz w:val="22"/>
          <w:szCs w:val="32"/>
          <w:rtl/>
        </w:rPr>
        <w:t xml:space="preserve"> العرو</w:t>
      </w:r>
      <w:r w:rsidR="009C749C">
        <w:rPr>
          <w:rFonts w:eastAsia="Arial" w:cs="Traditional Arabic" w:hint="cs"/>
          <w:spacing w:val="1"/>
          <w:sz w:val="22"/>
          <w:szCs w:val="32"/>
          <w:rtl/>
        </w:rPr>
        <w:tab/>
        <w:t>ض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، لن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تقوم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الفرق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بعملها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ولن تتمرّن.</w:t>
      </w:r>
      <w:r w:rsidR="00AD7F6C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755941">
        <w:rPr>
          <w:rFonts w:eastAsia="Arial" w:cs="Traditional Arabic" w:hint="cs"/>
          <w:spacing w:val="1"/>
          <w:sz w:val="22"/>
          <w:szCs w:val="32"/>
          <w:rtl/>
        </w:rPr>
        <w:t>وعلى سبيل المثال،</w:t>
      </w:r>
      <w:r w:rsidR="00445D9F">
        <w:rPr>
          <w:rFonts w:eastAsia="Arial" w:cs="Traditional Arabic" w:hint="cs"/>
          <w:spacing w:val="1"/>
          <w:sz w:val="22"/>
          <w:szCs w:val="32"/>
          <w:rtl/>
        </w:rPr>
        <w:t xml:space="preserve"> انقطعت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الكثير من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فرق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AF3764">
        <w:rPr>
          <w:rFonts w:eastAsia="Arial" w:cs="Traditional Arabic"/>
          <w:spacing w:val="1"/>
          <w:sz w:val="22"/>
          <w:szCs w:val="32"/>
          <w:rtl/>
        </w:rPr>
        <w:t>موسيقى و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رقص </w:t>
      </w:r>
      <w:r w:rsidR="0082767F" w:rsidRPr="00AF3764">
        <w:rPr>
          <w:rFonts w:eastAsia="Arial" w:cs="Traditional Arabic"/>
          <w:spacing w:val="1"/>
          <w:sz w:val="22"/>
          <w:szCs w:val="32"/>
          <w:rtl/>
        </w:rPr>
        <w:t>انقطاعا</w:t>
      </w:r>
      <w:r w:rsidR="0082767F"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82767F"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82767F" w:rsidRPr="00AF3764">
        <w:rPr>
          <w:rFonts w:eastAsia="Arial" w:cs="Traditional Arabic" w:hint="cs"/>
          <w:spacing w:val="1"/>
          <w:sz w:val="22"/>
          <w:szCs w:val="32"/>
          <w:rtl/>
        </w:rPr>
        <w:t>كلياً</w:t>
      </w:r>
      <w:r w:rsidR="0082767F" w:rsidRPr="00AF3764" w:rsidDel="00B326BC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عن التمرين</w:t>
      </w:r>
      <w:r w:rsidRPr="00AF3764" w:rsidDel="000E1E93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في ظل الأزمة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النقدية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في عام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1997-1998، واختف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ى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بعض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منها تماماً، وهو </w:t>
      </w:r>
      <w:r w:rsidR="003900C2">
        <w:rPr>
          <w:rFonts w:eastAsia="Arial" w:cs="Traditional Arabic" w:hint="cs"/>
          <w:spacing w:val="1"/>
          <w:sz w:val="22"/>
          <w:szCs w:val="32"/>
          <w:rtl/>
        </w:rPr>
        <w:t>أ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مر قد يؤدي إلى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تراجع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في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تنو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ع المؤدين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والأنماط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الموسيقية في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مواكب الختان.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في بعض أنواع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فنون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الأداء الأخرى، بات المهرجون والفكاهيون أكثر أهمية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من الموسيقى أو رواية القصص بسبب تراجع الاهتمام بالقصص القديمة </w:t>
      </w:r>
      <w:r w:rsidR="002301B9">
        <w:rPr>
          <w:rFonts w:eastAsia="Arial" w:cs="Traditional Arabic" w:hint="cs"/>
          <w:spacing w:val="1"/>
          <w:sz w:val="22"/>
          <w:szCs w:val="32"/>
          <w:rtl/>
        </w:rPr>
        <w:t>على</w:t>
      </w:r>
      <w:r w:rsidR="00EA69C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2301B9">
        <w:rPr>
          <w:rFonts w:eastAsia="Arial" w:cs="Traditional Arabic" w:hint="cs"/>
          <w:spacing w:val="1"/>
          <w:sz w:val="22"/>
          <w:szCs w:val="32"/>
          <w:rtl/>
        </w:rPr>
        <w:t>نحو متزايد،</w:t>
      </w:r>
      <w:r w:rsidR="00EA69C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/>
          <w:spacing w:val="1"/>
          <w:sz w:val="22"/>
          <w:szCs w:val="32"/>
          <w:rtl/>
        </w:rPr>
        <w:t>و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الرغبة في </w:t>
      </w:r>
      <w:r w:rsidRPr="00AF3764">
        <w:rPr>
          <w:rFonts w:eastAsia="Arial" w:cs="Traditional Arabic"/>
          <w:spacing w:val="1"/>
          <w:sz w:val="22"/>
          <w:szCs w:val="32"/>
          <w:rtl/>
        </w:rPr>
        <w:t>تفادي الصدامات بين الماضي الهندوسي والحاضر الإسلامي.</w:t>
      </w:r>
    </w:p>
    <w:p w14:paraId="78459155" w14:textId="48530687" w:rsidR="00FD194B" w:rsidRPr="003F54DB" w:rsidRDefault="00FD194B" w:rsidP="008467DF">
      <w:pPr>
        <w:bidi/>
        <w:spacing w:after="160" w:line="228" w:lineRule="auto"/>
      </w:pPr>
      <w:r w:rsidRPr="00AF3764">
        <w:rPr>
          <w:rFonts w:eastAsia="Arial" w:cs="Traditional Arabic" w:hint="cs"/>
          <w:spacing w:val="1"/>
          <w:sz w:val="22"/>
          <w:szCs w:val="32"/>
          <w:rtl/>
        </w:rPr>
        <w:t>وتنظّم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جماعة أجونغبيرونغ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3126BA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AF3764">
        <w:rPr>
          <w:rFonts w:eastAsia="Arial" w:cs="Traditional Arabic"/>
          <w:spacing w:val="-1"/>
          <w:sz w:val="22"/>
          <w:szCs w:val="32"/>
        </w:rPr>
        <w:t>U</w:t>
      </w:r>
      <w:r w:rsidRPr="00AF3764">
        <w:rPr>
          <w:rFonts w:eastAsia="Arial" w:cs="Traditional Arabic"/>
          <w:spacing w:val="1"/>
          <w:sz w:val="22"/>
          <w:szCs w:val="32"/>
        </w:rPr>
        <w:t>j</w:t>
      </w:r>
      <w:r w:rsidRPr="00AF3764">
        <w:rPr>
          <w:rFonts w:eastAsia="Arial" w:cs="Traditional Arabic"/>
          <w:sz w:val="22"/>
          <w:szCs w:val="32"/>
        </w:rPr>
        <w:t>u</w:t>
      </w:r>
      <w:r w:rsidRPr="00AF3764">
        <w:rPr>
          <w:rFonts w:eastAsia="Arial" w:cs="Traditional Arabic"/>
          <w:spacing w:val="-3"/>
          <w:sz w:val="22"/>
          <w:szCs w:val="32"/>
        </w:rPr>
        <w:t>n</w:t>
      </w:r>
      <w:r w:rsidRPr="00AF3764">
        <w:rPr>
          <w:rFonts w:eastAsia="Arial" w:cs="Traditional Arabic"/>
          <w:spacing w:val="2"/>
          <w:sz w:val="22"/>
          <w:szCs w:val="32"/>
        </w:rPr>
        <w:t>g</w:t>
      </w:r>
      <w:r w:rsidRPr="00AF3764">
        <w:rPr>
          <w:rFonts w:eastAsia="Arial" w:cs="Traditional Arabic"/>
          <w:sz w:val="22"/>
          <w:szCs w:val="32"/>
        </w:rPr>
        <w:t>b</w:t>
      </w:r>
      <w:r w:rsidRPr="00AF3764">
        <w:rPr>
          <w:rFonts w:eastAsia="Arial" w:cs="Traditional Arabic"/>
          <w:spacing w:val="-3"/>
          <w:sz w:val="22"/>
          <w:szCs w:val="32"/>
        </w:rPr>
        <w:t>e</w:t>
      </w:r>
      <w:r w:rsidRPr="00AF3764">
        <w:rPr>
          <w:rFonts w:eastAsia="Arial" w:cs="Traditional Arabic"/>
          <w:spacing w:val="1"/>
          <w:sz w:val="22"/>
          <w:szCs w:val="32"/>
        </w:rPr>
        <w:t>r</w:t>
      </w:r>
      <w:r w:rsidRPr="00AF3764">
        <w:rPr>
          <w:rFonts w:eastAsia="Arial" w:cs="Traditional Arabic"/>
          <w:spacing w:val="-3"/>
          <w:sz w:val="22"/>
          <w:szCs w:val="32"/>
        </w:rPr>
        <w:t>u</w:t>
      </w:r>
      <w:r w:rsidRPr="00AF3764">
        <w:rPr>
          <w:rFonts w:eastAsia="Arial" w:cs="Traditional Arabic"/>
          <w:sz w:val="22"/>
          <w:szCs w:val="32"/>
        </w:rPr>
        <w:t>ng</w:t>
      </w:r>
      <w:r w:rsidR="003126BA">
        <w:rPr>
          <w:rFonts w:eastAsia="Arial" w:cs="Traditional Arabic" w:hint="cs"/>
          <w:sz w:val="22"/>
          <w:szCs w:val="32"/>
          <w:rtl/>
        </w:rPr>
        <w:t>)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مهرجانا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سنويا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منذ عام 2005 </w:t>
      </w:r>
      <w:r w:rsidRPr="00AF3764">
        <w:rPr>
          <w:rFonts w:eastAsia="Arial" w:cs="Traditional Arabic"/>
          <w:spacing w:val="1"/>
          <w:sz w:val="22"/>
          <w:szCs w:val="32"/>
          <w:rtl/>
        </w:rPr>
        <w:t>لمنح فرق الموسيقى والرقص فرص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ةً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للمحافظة على مهاراتها. وساهم مجلس مدينة باندونغ بمبلغ قدره 120 مليون روبيه (</w:t>
      </w:r>
      <w:r w:rsidR="00FB4AC9">
        <w:rPr>
          <w:rFonts w:eastAsia="Arial" w:cs="Traditional Arabic" w:hint="cs"/>
          <w:spacing w:val="1"/>
          <w:sz w:val="22"/>
          <w:szCs w:val="32"/>
          <w:rtl/>
        </w:rPr>
        <w:t xml:space="preserve">يساوي </w:t>
      </w:r>
      <w:r w:rsidRPr="00AF3764">
        <w:rPr>
          <w:rFonts w:eastAsia="Arial" w:cs="Traditional Arabic"/>
          <w:spacing w:val="1"/>
          <w:sz w:val="22"/>
          <w:szCs w:val="32"/>
          <w:rtl/>
        </w:rPr>
        <w:t>13000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 دولار أمريكي</w:t>
      </w:r>
      <w:r w:rsidR="008C5A0A">
        <w:rPr>
          <w:rFonts w:eastAsia="Arial" w:cs="Traditional Arabic" w:hint="cs"/>
          <w:spacing w:val="1"/>
          <w:sz w:val="22"/>
          <w:szCs w:val="32"/>
          <w:rtl/>
        </w:rPr>
        <w:t xml:space="preserve"> تقريباً</w:t>
      </w:r>
      <w:r w:rsidRPr="00AF3764">
        <w:rPr>
          <w:rFonts w:eastAsia="Arial" w:cs="Traditional Arabic"/>
          <w:spacing w:val="1"/>
          <w:sz w:val="22"/>
          <w:szCs w:val="32"/>
          <w:rtl/>
        </w:rPr>
        <w:t>) في مهرجان عا</w:t>
      </w:r>
      <w:bookmarkStart w:id="1" w:name="_GoBack"/>
      <w:bookmarkEnd w:id="1"/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م 2010 الذي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نُظّم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من 24 إلى 27 حزيران/يونيو 2010. وطُرحت أيض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إمكانية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وضع</w:t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مبنى في أجونغبيرونغ 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 xml:space="preserve">تحت تصرّف الفرق </w:t>
      </w:r>
      <w:r w:rsidRPr="00AF3764">
        <w:rPr>
          <w:rFonts w:eastAsia="Arial" w:cs="Traditional Arabic"/>
          <w:spacing w:val="1"/>
          <w:sz w:val="22"/>
          <w:szCs w:val="32"/>
          <w:rtl/>
        </w:rPr>
        <w:t>لتتمر</w:t>
      </w:r>
      <w:r w:rsidRPr="00AF376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AF3764">
        <w:rPr>
          <w:rFonts w:eastAsia="Arial" w:cs="Traditional Arabic"/>
          <w:spacing w:val="1"/>
          <w:sz w:val="22"/>
          <w:szCs w:val="32"/>
          <w:rtl/>
        </w:rPr>
        <w:t>ن فيه. وأعرب مجلس باندونغ عن رغبته في أن يساهم المهرجان في الاقتصاد والسياحة.</w:t>
      </w:r>
      <w:r w:rsidRPr="00AF3764">
        <w:rPr>
          <w:rStyle w:val="FootnoteReference"/>
          <w:rFonts w:eastAsia="Arial" w:cs="Traditional Arabic"/>
          <w:spacing w:val="1"/>
          <w:sz w:val="22"/>
          <w:szCs w:val="32"/>
          <w:rtl/>
        </w:rPr>
        <w:footnoteReference w:id="2"/>
      </w:r>
      <w:r w:rsidRPr="00AF3764">
        <w:rPr>
          <w:rFonts w:eastAsia="Arial" w:cs="Traditional Arabic"/>
          <w:spacing w:val="1"/>
          <w:sz w:val="22"/>
          <w:szCs w:val="32"/>
          <w:rtl/>
        </w:rPr>
        <w:t xml:space="preserve"> </w:t>
      </w:r>
    </w:p>
    <w:sectPr w:rsidR="00FD194B" w:rsidRPr="003F54DB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28D6" w14:textId="77777777" w:rsidR="00A80BB7" w:rsidRDefault="00A80BB7" w:rsidP="000F4C6A">
      <w:r>
        <w:separator/>
      </w:r>
    </w:p>
    <w:p w14:paraId="4139839E" w14:textId="77777777" w:rsidR="00A80BB7" w:rsidRDefault="00A80BB7"/>
  </w:endnote>
  <w:endnote w:type="continuationSeparator" w:id="0">
    <w:p w14:paraId="4A4CD277" w14:textId="77777777" w:rsidR="00A80BB7" w:rsidRDefault="00A80BB7" w:rsidP="000F4C6A">
      <w:r>
        <w:continuationSeparator/>
      </w:r>
    </w:p>
    <w:p w14:paraId="0032F0E8" w14:textId="77777777" w:rsidR="00A80BB7" w:rsidRDefault="00A80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07A8A7A5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087ABC07" w:rsidR="00C56CEB" w:rsidRPr="00BB7269" w:rsidRDefault="00C56CEB" w:rsidP="00FD194B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D194B">
            <w:rPr>
              <w:lang w:val="en-US"/>
            </w:rPr>
            <w:t>15</w:t>
          </w:r>
          <w:r w:rsidRPr="0020341B">
            <w:rPr>
              <w:lang w:val="en-US"/>
            </w:rPr>
            <w:t>-v1.</w:t>
          </w:r>
          <w:r w:rsidR="00522129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22129">
            <w:rPr>
              <w:lang w:val="en-US"/>
            </w:rPr>
            <w:t>AR</w:t>
          </w:r>
        </w:p>
      </w:tc>
    </w:tr>
  </w:tbl>
  <w:p w14:paraId="7D367C67" w14:textId="6C342168" w:rsidR="00F87EDD" w:rsidRPr="00C56CEB" w:rsidRDefault="00A257FE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2053A8A6" wp14:editId="6E1CAAD4">
          <wp:simplePos x="0" y="0"/>
          <wp:positionH relativeFrom="column">
            <wp:posOffset>2480945</wp:posOffset>
          </wp:positionH>
          <wp:positionV relativeFrom="paragraph">
            <wp:posOffset>30480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1C9CBF3C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3F9AD903" w:rsidR="00C56CEB" w:rsidRPr="00BB7269" w:rsidRDefault="00C56CEB" w:rsidP="00FD194B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D194B">
            <w:rPr>
              <w:lang w:val="en-US"/>
            </w:rPr>
            <w:t>15</w:t>
          </w:r>
          <w:r w:rsidRPr="0020341B">
            <w:rPr>
              <w:lang w:val="en-US"/>
            </w:rPr>
            <w:t>-v1.</w:t>
          </w:r>
          <w:r w:rsidR="00522129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22129">
            <w:rPr>
              <w:lang w:val="en-US"/>
            </w:rPr>
            <w:t>AR</w:t>
          </w:r>
        </w:p>
      </w:tc>
    </w:tr>
  </w:tbl>
  <w:p w14:paraId="7666B67F" w14:textId="4461188B" w:rsidR="00C56CEB" w:rsidRPr="00BB7269" w:rsidRDefault="00A257FE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73D5134B" wp14:editId="1D6475FA">
          <wp:simplePos x="0" y="0"/>
          <wp:positionH relativeFrom="column">
            <wp:posOffset>2536190</wp:posOffset>
          </wp:positionH>
          <wp:positionV relativeFrom="paragraph">
            <wp:posOffset>20955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F28DD" w14:textId="77777777" w:rsidR="00A80BB7" w:rsidRDefault="00A80BB7" w:rsidP="00F87EDD">
      <w:pPr>
        <w:bidi/>
        <w:ind w:left="0"/>
      </w:pPr>
      <w:r>
        <w:separator/>
      </w:r>
    </w:p>
  </w:footnote>
  <w:footnote w:type="continuationSeparator" w:id="0">
    <w:p w14:paraId="75399BA1" w14:textId="77777777" w:rsidR="00A80BB7" w:rsidRDefault="00A80BB7" w:rsidP="000F4C6A">
      <w:r>
        <w:continuationSeparator/>
      </w:r>
    </w:p>
    <w:p w14:paraId="3E1466B3" w14:textId="77777777" w:rsidR="00A80BB7" w:rsidRDefault="00A80BB7"/>
  </w:footnote>
  <w:footnote w:id="1">
    <w:p w14:paraId="1FE55B3F" w14:textId="467A6198" w:rsidR="00FD194B" w:rsidRPr="00183608" w:rsidRDefault="00FD194B" w:rsidP="00A03EC6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cs="Traditional Arabic" w:hint="cs"/>
          <w:sz w:val="18"/>
          <w:szCs w:val="28"/>
          <w:rtl/>
        </w:rPr>
        <w:t>لا بدّ من توجيه الشكر إلى ويم فان زانتين لتقديم المعلومات في دراسة الحالة هذه.</w:t>
      </w:r>
    </w:p>
  </w:footnote>
  <w:footnote w:id="2">
    <w:p w14:paraId="3CEA52FC" w14:textId="5FFF1FB7" w:rsidR="00FD194B" w:rsidRPr="00183608" w:rsidRDefault="00FD194B" w:rsidP="008467DF">
      <w:pPr>
        <w:bidi/>
        <w:spacing w:line="240" w:lineRule="auto"/>
        <w:ind w:left="340" w:hanging="340"/>
        <w:jc w:val="left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="00E26A9E">
        <w:rPr>
          <w:rFonts w:cs="Traditional Arabic" w:hint="cs"/>
          <w:sz w:val="18"/>
          <w:szCs w:val="28"/>
          <w:rtl/>
        </w:rPr>
        <w:t>انظر</w:t>
      </w:r>
      <w:r>
        <w:rPr>
          <w:rFonts w:cs="Traditional Arabic" w:hint="cs"/>
          <w:sz w:val="18"/>
          <w:szCs w:val="28"/>
          <w:rtl/>
        </w:rPr>
        <w:t>:</w:t>
      </w:r>
      <w:r w:rsidR="006552D6">
        <w:rPr>
          <w:rFonts w:cs="Traditional Arabic" w:hint="cs"/>
          <w:sz w:val="18"/>
          <w:szCs w:val="28"/>
          <w:rtl/>
        </w:rPr>
        <w:t xml:space="preserve"> </w:t>
      </w:r>
      <w:hyperlink r:id="rId1"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ht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t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p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: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//tr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v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e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l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.</w:t>
        </w:r>
        <w:r w:rsidRPr="00183608">
          <w:rPr>
            <w:rFonts w:eastAsia="Arial" w:cs="Traditional Arabic"/>
            <w:color w:val="0000FF"/>
            <w:spacing w:val="3"/>
            <w:sz w:val="18"/>
            <w:szCs w:val="28"/>
            <w:u w:val="single" w:color="0000FF"/>
          </w:rPr>
          <w:t>k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o</w:t>
        </w:r>
        <w:r w:rsidRPr="00183608">
          <w:rPr>
            <w:rFonts w:eastAsia="Arial" w:cs="Traditional Arabic"/>
            <w:color w:val="0000FF"/>
            <w:spacing w:val="4"/>
            <w:sz w:val="18"/>
            <w:szCs w:val="28"/>
            <w:u w:val="single" w:color="0000FF"/>
          </w:rPr>
          <w:t>m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p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s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.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c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o</w:t>
        </w:r>
        <w:r w:rsidRPr="00183608">
          <w:rPr>
            <w:rFonts w:eastAsia="Arial" w:cs="Traditional Arabic"/>
            <w:color w:val="0000FF"/>
            <w:spacing w:val="4"/>
            <w:sz w:val="18"/>
            <w:szCs w:val="28"/>
            <w:u w:val="single" w:color="0000FF"/>
          </w:rPr>
          <w:t>m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/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r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e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d/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2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0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1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0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/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0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6/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2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5/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1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9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5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5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3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6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3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0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/Fe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s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t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i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v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l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.U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j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u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n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g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b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erun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g</w:t>
        </w:r>
        <w:r w:rsidRPr="00183608">
          <w:rPr>
            <w:rFonts w:eastAsia="Arial" w:cs="Traditional Arabic"/>
            <w:color w:val="0000FF"/>
            <w:spacing w:val="7"/>
            <w:sz w:val="18"/>
            <w:szCs w:val="28"/>
            <w:u w:val="single" w:color="0000FF"/>
          </w:rPr>
          <w:t>.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D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i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b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u</w:t>
        </w:r>
        <w:r w:rsidRPr="00183608">
          <w:rPr>
            <w:rFonts w:eastAsia="Arial" w:cs="Traditional Arabic"/>
            <w:color w:val="0000FF"/>
            <w:spacing w:val="3"/>
            <w:sz w:val="18"/>
            <w:szCs w:val="28"/>
            <w:u w:val="single" w:color="0000FF"/>
          </w:rPr>
          <w:t>k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a</w:t>
        </w:r>
      </w:hyperlink>
      <w:r>
        <w:rPr>
          <w:rFonts w:eastAsia="Arial" w:cs="Traditional Arabic"/>
          <w:color w:val="000000"/>
          <w:spacing w:val="-3"/>
          <w:sz w:val="18"/>
          <w:szCs w:val="2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5DD5226C" w:rsidR="00C56CEB" w:rsidRPr="00FD194B" w:rsidRDefault="00C56CEB" w:rsidP="00FD194B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D194B">
            <w:rPr>
              <w:rFonts w:cs="Traditional Arabic" w:hint="cs"/>
              <w:sz w:val="18"/>
              <w:szCs w:val="24"/>
              <w:rtl/>
              <w:lang w:val="fr-FR" w:bidi="ar-SY"/>
            </w:rPr>
            <w:t>15</w:t>
          </w:r>
        </w:p>
      </w:tc>
      <w:tc>
        <w:tcPr>
          <w:tcW w:w="1667" w:type="pct"/>
        </w:tcPr>
        <w:p w14:paraId="42E5772A" w14:textId="1D87CF36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A257FE" w:rsidRPr="00A257FE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410AC59A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A257FE" w:rsidRPr="00A257FE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6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1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7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6"/>
  </w:num>
  <w:num w:numId="96">
    <w:abstractNumId w:val="86"/>
  </w:num>
  <w:num w:numId="97">
    <w:abstractNumId w:val="276"/>
  </w:num>
  <w:num w:numId="98">
    <w:abstractNumId w:val="43"/>
  </w:num>
  <w:num w:numId="99">
    <w:abstractNumId w:val="314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8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2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5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0"/>
  </w:num>
  <w:num w:numId="167">
    <w:abstractNumId w:val="330"/>
  </w:num>
  <w:num w:numId="168">
    <w:abstractNumId w:val="330"/>
  </w:num>
  <w:num w:numId="169">
    <w:abstractNumId w:val="330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0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8"/>
  </w:num>
  <w:num w:numId="190">
    <w:abstractNumId w:val="19"/>
  </w:num>
  <w:num w:numId="191">
    <w:abstractNumId w:val="36"/>
  </w:num>
  <w:num w:numId="192">
    <w:abstractNumId w:val="179"/>
  </w:num>
  <w:num w:numId="193">
    <w:abstractNumId w:val="323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0"/>
  </w:num>
  <w:num w:numId="215">
    <w:abstractNumId w:val="340"/>
  </w:num>
  <w:num w:numId="216">
    <w:abstractNumId w:val="4"/>
  </w:num>
  <w:num w:numId="217">
    <w:abstractNumId w:val="340"/>
    <w:lvlOverride w:ilvl="0">
      <w:startOverride w:val="1"/>
    </w:lvlOverride>
  </w:num>
  <w:num w:numId="218">
    <w:abstractNumId w:val="165"/>
  </w:num>
  <w:num w:numId="219">
    <w:abstractNumId w:val="329"/>
  </w:num>
  <w:num w:numId="220">
    <w:abstractNumId w:val="297"/>
  </w:num>
  <w:num w:numId="221">
    <w:abstractNumId w:val="324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39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2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3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3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7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4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5"/>
  </w:num>
  <w:num w:numId="303">
    <w:abstractNumId w:val="189"/>
  </w:num>
  <w:num w:numId="304">
    <w:abstractNumId w:val="137"/>
  </w:num>
  <w:num w:numId="305">
    <w:abstractNumId w:val="125"/>
  </w:num>
  <w:num w:numId="306">
    <w:abstractNumId w:val="328"/>
  </w:num>
  <w:num w:numId="307">
    <w:abstractNumId w:val="327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4"/>
  </w:num>
  <w:num w:numId="325">
    <w:abstractNumId w:val="342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6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5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1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19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1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37346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1ED4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6119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6BF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6776"/>
    <w:rsid w:val="00167480"/>
    <w:rsid w:val="001704D3"/>
    <w:rsid w:val="00170BF2"/>
    <w:rsid w:val="00170BFE"/>
    <w:rsid w:val="00172124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20C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5330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01B9"/>
    <w:rsid w:val="002335CF"/>
    <w:rsid w:val="00233CE4"/>
    <w:rsid w:val="0023454D"/>
    <w:rsid w:val="0023521F"/>
    <w:rsid w:val="00235C73"/>
    <w:rsid w:val="00235DC5"/>
    <w:rsid w:val="0023623D"/>
    <w:rsid w:val="0023796B"/>
    <w:rsid w:val="00243CC1"/>
    <w:rsid w:val="002440CE"/>
    <w:rsid w:val="00244283"/>
    <w:rsid w:val="002459FF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855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6BA"/>
    <w:rsid w:val="00312ECF"/>
    <w:rsid w:val="00315AB5"/>
    <w:rsid w:val="00316F9E"/>
    <w:rsid w:val="00320D50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1134"/>
    <w:rsid w:val="00356606"/>
    <w:rsid w:val="00373663"/>
    <w:rsid w:val="00375BFE"/>
    <w:rsid w:val="00375D1D"/>
    <w:rsid w:val="00376601"/>
    <w:rsid w:val="003801E5"/>
    <w:rsid w:val="00381789"/>
    <w:rsid w:val="00387787"/>
    <w:rsid w:val="003900C2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4460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D9F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0F8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2129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4D83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4927"/>
    <w:rsid w:val="005A68B9"/>
    <w:rsid w:val="005B0604"/>
    <w:rsid w:val="005B0DA6"/>
    <w:rsid w:val="005B0E2C"/>
    <w:rsid w:val="005B1C14"/>
    <w:rsid w:val="005B5922"/>
    <w:rsid w:val="005B5D26"/>
    <w:rsid w:val="005C0BBC"/>
    <w:rsid w:val="005C10EB"/>
    <w:rsid w:val="005C21E7"/>
    <w:rsid w:val="005D15F4"/>
    <w:rsid w:val="005D1A50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6B9C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4EF3"/>
    <w:rsid w:val="006552D6"/>
    <w:rsid w:val="00657CCC"/>
    <w:rsid w:val="00660FC7"/>
    <w:rsid w:val="00663259"/>
    <w:rsid w:val="006636B8"/>
    <w:rsid w:val="00663EAF"/>
    <w:rsid w:val="006645A1"/>
    <w:rsid w:val="00665D0F"/>
    <w:rsid w:val="006673FC"/>
    <w:rsid w:val="006744C9"/>
    <w:rsid w:val="00674581"/>
    <w:rsid w:val="006816E7"/>
    <w:rsid w:val="00685403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D2A"/>
    <w:rsid w:val="006F07A6"/>
    <w:rsid w:val="006F146C"/>
    <w:rsid w:val="006F42AA"/>
    <w:rsid w:val="006F4915"/>
    <w:rsid w:val="006F64E6"/>
    <w:rsid w:val="006F74B3"/>
    <w:rsid w:val="006F77B4"/>
    <w:rsid w:val="00701EE2"/>
    <w:rsid w:val="00702D09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1117"/>
    <w:rsid w:val="00754559"/>
    <w:rsid w:val="00755941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3792"/>
    <w:rsid w:val="007A4666"/>
    <w:rsid w:val="007B33E9"/>
    <w:rsid w:val="007C222C"/>
    <w:rsid w:val="007C46F5"/>
    <w:rsid w:val="007C5026"/>
    <w:rsid w:val="007C5307"/>
    <w:rsid w:val="007C70FB"/>
    <w:rsid w:val="007C7B63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67F"/>
    <w:rsid w:val="00827C34"/>
    <w:rsid w:val="00830A9C"/>
    <w:rsid w:val="00832956"/>
    <w:rsid w:val="00836EC2"/>
    <w:rsid w:val="00837BE1"/>
    <w:rsid w:val="008409D7"/>
    <w:rsid w:val="00843B5B"/>
    <w:rsid w:val="00844287"/>
    <w:rsid w:val="008467DF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B7D64"/>
    <w:rsid w:val="008C0857"/>
    <w:rsid w:val="008C16F2"/>
    <w:rsid w:val="008C473C"/>
    <w:rsid w:val="008C5A0A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176F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56E83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1E1C"/>
    <w:rsid w:val="009A2615"/>
    <w:rsid w:val="009A3E3D"/>
    <w:rsid w:val="009A47F4"/>
    <w:rsid w:val="009A4E3B"/>
    <w:rsid w:val="009A6C4C"/>
    <w:rsid w:val="009B217B"/>
    <w:rsid w:val="009B2428"/>
    <w:rsid w:val="009B3F88"/>
    <w:rsid w:val="009B4BEA"/>
    <w:rsid w:val="009C12C4"/>
    <w:rsid w:val="009C402D"/>
    <w:rsid w:val="009C749C"/>
    <w:rsid w:val="009D15A0"/>
    <w:rsid w:val="009D16DD"/>
    <w:rsid w:val="009D4AB5"/>
    <w:rsid w:val="009E36E3"/>
    <w:rsid w:val="009E3CFB"/>
    <w:rsid w:val="009E459E"/>
    <w:rsid w:val="009E47DA"/>
    <w:rsid w:val="009E59B1"/>
    <w:rsid w:val="009E7014"/>
    <w:rsid w:val="009F3AAE"/>
    <w:rsid w:val="009F6803"/>
    <w:rsid w:val="00A0061D"/>
    <w:rsid w:val="00A03EC6"/>
    <w:rsid w:val="00A0517A"/>
    <w:rsid w:val="00A06A5A"/>
    <w:rsid w:val="00A121CB"/>
    <w:rsid w:val="00A129FC"/>
    <w:rsid w:val="00A1335D"/>
    <w:rsid w:val="00A14E17"/>
    <w:rsid w:val="00A16055"/>
    <w:rsid w:val="00A162F3"/>
    <w:rsid w:val="00A20A00"/>
    <w:rsid w:val="00A228F7"/>
    <w:rsid w:val="00A257FE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0BB7"/>
    <w:rsid w:val="00A81058"/>
    <w:rsid w:val="00A8285A"/>
    <w:rsid w:val="00A84586"/>
    <w:rsid w:val="00A84E50"/>
    <w:rsid w:val="00A853D3"/>
    <w:rsid w:val="00A85D64"/>
    <w:rsid w:val="00A9415D"/>
    <w:rsid w:val="00A9799B"/>
    <w:rsid w:val="00A97E5E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4ABD"/>
    <w:rsid w:val="00AB54CF"/>
    <w:rsid w:val="00AB6992"/>
    <w:rsid w:val="00AB74ED"/>
    <w:rsid w:val="00AC2953"/>
    <w:rsid w:val="00AC63A5"/>
    <w:rsid w:val="00AC798B"/>
    <w:rsid w:val="00AD0A26"/>
    <w:rsid w:val="00AD1B89"/>
    <w:rsid w:val="00AD32D8"/>
    <w:rsid w:val="00AD44CF"/>
    <w:rsid w:val="00AD450C"/>
    <w:rsid w:val="00AD7F6C"/>
    <w:rsid w:val="00AE3C66"/>
    <w:rsid w:val="00AE3CA5"/>
    <w:rsid w:val="00AE6AB6"/>
    <w:rsid w:val="00AE7A78"/>
    <w:rsid w:val="00AE7B2A"/>
    <w:rsid w:val="00AF2898"/>
    <w:rsid w:val="00AF3764"/>
    <w:rsid w:val="00AF49BA"/>
    <w:rsid w:val="00AF4EA2"/>
    <w:rsid w:val="00B00A46"/>
    <w:rsid w:val="00B10189"/>
    <w:rsid w:val="00B11970"/>
    <w:rsid w:val="00B121E6"/>
    <w:rsid w:val="00B139E0"/>
    <w:rsid w:val="00B14A6D"/>
    <w:rsid w:val="00B165B4"/>
    <w:rsid w:val="00B24530"/>
    <w:rsid w:val="00B245A2"/>
    <w:rsid w:val="00B2590B"/>
    <w:rsid w:val="00B26124"/>
    <w:rsid w:val="00B31B06"/>
    <w:rsid w:val="00B320C1"/>
    <w:rsid w:val="00B326BC"/>
    <w:rsid w:val="00B32948"/>
    <w:rsid w:val="00B32C03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13A"/>
    <w:rsid w:val="00BF4B81"/>
    <w:rsid w:val="00BF4CC4"/>
    <w:rsid w:val="00BF57B3"/>
    <w:rsid w:val="00BF703E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37030"/>
    <w:rsid w:val="00C4277F"/>
    <w:rsid w:val="00C42BA0"/>
    <w:rsid w:val="00C430F5"/>
    <w:rsid w:val="00C44811"/>
    <w:rsid w:val="00C44BA2"/>
    <w:rsid w:val="00C4559D"/>
    <w:rsid w:val="00C457EB"/>
    <w:rsid w:val="00C46481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2138"/>
    <w:rsid w:val="00CB334B"/>
    <w:rsid w:val="00CB522D"/>
    <w:rsid w:val="00CB7436"/>
    <w:rsid w:val="00CB7619"/>
    <w:rsid w:val="00CC4285"/>
    <w:rsid w:val="00CC4980"/>
    <w:rsid w:val="00CC4C82"/>
    <w:rsid w:val="00CD1F3D"/>
    <w:rsid w:val="00CD3E15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0AD"/>
    <w:rsid w:val="00D0772C"/>
    <w:rsid w:val="00D0782B"/>
    <w:rsid w:val="00D12399"/>
    <w:rsid w:val="00D13518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337AA"/>
    <w:rsid w:val="00D41905"/>
    <w:rsid w:val="00D41D2C"/>
    <w:rsid w:val="00D43AB5"/>
    <w:rsid w:val="00D4429A"/>
    <w:rsid w:val="00D45389"/>
    <w:rsid w:val="00D46566"/>
    <w:rsid w:val="00D50B0A"/>
    <w:rsid w:val="00D53A75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868B5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3B8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26A9E"/>
    <w:rsid w:val="00E327C8"/>
    <w:rsid w:val="00E33654"/>
    <w:rsid w:val="00E3474D"/>
    <w:rsid w:val="00E525AA"/>
    <w:rsid w:val="00E5533D"/>
    <w:rsid w:val="00E560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642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413B"/>
    <w:rsid w:val="00EA5762"/>
    <w:rsid w:val="00EA603A"/>
    <w:rsid w:val="00EA69C2"/>
    <w:rsid w:val="00EB2F19"/>
    <w:rsid w:val="00EB4707"/>
    <w:rsid w:val="00EB4F91"/>
    <w:rsid w:val="00EB6DF4"/>
    <w:rsid w:val="00EC0518"/>
    <w:rsid w:val="00EC0C35"/>
    <w:rsid w:val="00ED1093"/>
    <w:rsid w:val="00ED4698"/>
    <w:rsid w:val="00ED652D"/>
    <w:rsid w:val="00EE2067"/>
    <w:rsid w:val="00EE3CAB"/>
    <w:rsid w:val="00EE493E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1F"/>
    <w:rsid w:val="00F16441"/>
    <w:rsid w:val="00F16CE1"/>
    <w:rsid w:val="00F17A82"/>
    <w:rsid w:val="00F265C9"/>
    <w:rsid w:val="00F27518"/>
    <w:rsid w:val="00F27DEE"/>
    <w:rsid w:val="00F3091E"/>
    <w:rsid w:val="00F31468"/>
    <w:rsid w:val="00F342F9"/>
    <w:rsid w:val="00F34ADD"/>
    <w:rsid w:val="00F358EA"/>
    <w:rsid w:val="00F35B62"/>
    <w:rsid w:val="00F37AAF"/>
    <w:rsid w:val="00F43837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31E"/>
    <w:rsid w:val="00F94A0E"/>
    <w:rsid w:val="00F95C43"/>
    <w:rsid w:val="00F97660"/>
    <w:rsid w:val="00FA0343"/>
    <w:rsid w:val="00FA1664"/>
    <w:rsid w:val="00FB035A"/>
    <w:rsid w:val="00FB255B"/>
    <w:rsid w:val="00FB26FC"/>
    <w:rsid w:val="00FB2F87"/>
    <w:rsid w:val="00FB33FA"/>
    <w:rsid w:val="00FB4AC9"/>
    <w:rsid w:val="00FB5C9B"/>
    <w:rsid w:val="00FB605B"/>
    <w:rsid w:val="00FB6BDC"/>
    <w:rsid w:val="00FB74EC"/>
    <w:rsid w:val="00FC20ED"/>
    <w:rsid w:val="00FC5D9B"/>
    <w:rsid w:val="00FC5E93"/>
    <w:rsid w:val="00FC747E"/>
    <w:rsid w:val="00FC7DDA"/>
    <w:rsid w:val="00FD060F"/>
    <w:rsid w:val="00FD194B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61551555-D2EE-4E1D-82EB-E1E53D54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ravel.kompas.com/read/2010/06/25/19553630/Festival.Ujungberung.Dibuk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970B79-34DF-4077-9F88-3C0DD16C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3237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93</cp:revision>
  <cp:lastPrinted>2014-04-15T11:42:00Z</cp:lastPrinted>
  <dcterms:created xsi:type="dcterms:W3CDTF">2015-06-17T10:34:00Z</dcterms:created>
  <dcterms:modified xsi:type="dcterms:W3CDTF">2018-04-19T08:44:00Z</dcterms:modified>
</cp:coreProperties>
</file>