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F9301" w14:textId="77777777" w:rsidR="004325DC" w:rsidRDefault="00C10A1F" w:rsidP="00BD3D90">
      <w:pPr>
        <w:pStyle w:val="Caschap"/>
      </w:pPr>
      <w:bookmarkStart w:id="0" w:name="_Toc241065299"/>
      <w:bookmarkStart w:id="1" w:name="_Toc301443502"/>
      <w:bookmarkStart w:id="2" w:name="_Toc321407149"/>
      <w:bookmarkStart w:id="3" w:name="_GoBack"/>
      <w:bookmarkEnd w:id="3"/>
      <w:r w:rsidRPr="00556D69">
        <w:t>Étude de cas 19</w:t>
      </w:r>
      <w:bookmarkEnd w:id="0"/>
    </w:p>
    <w:p w14:paraId="39373E38" w14:textId="058E6E50" w:rsidR="004325DC" w:rsidRPr="008C27B9" w:rsidRDefault="00C10A1F" w:rsidP="00BD3D90">
      <w:pPr>
        <w:pStyle w:val="Cas"/>
        <w:rPr>
          <w:color w:val="0000FF"/>
        </w:rPr>
      </w:pPr>
      <w:bookmarkStart w:id="4" w:name="_Toc238963396"/>
      <w:bookmarkStart w:id="5" w:name="_Toc241065300"/>
      <w:r w:rsidRPr="008C27B9">
        <w:rPr>
          <w:color w:val="0000FF"/>
        </w:rPr>
        <w:t>Développement socio-économique et</w:t>
      </w:r>
      <w:r w:rsidR="00F47762" w:rsidRPr="008C27B9">
        <w:rPr>
          <w:color w:val="0000FF"/>
        </w:rPr>
        <w:t xml:space="preserve"> </w:t>
      </w:r>
      <w:r w:rsidRPr="008C27B9">
        <w:rPr>
          <w:color w:val="0000FF"/>
        </w:rPr>
        <w:t>promotion du PCI</w:t>
      </w:r>
      <w:r w:rsidR="00E556A4" w:rsidRPr="008C27B9">
        <w:rPr>
          <w:color w:val="0000FF"/>
        </w:rPr>
        <w:t xml:space="preserve"> </w:t>
      </w:r>
      <w:r w:rsidRPr="008C27B9">
        <w:rPr>
          <w:color w:val="0000FF"/>
        </w:rPr>
        <w:t>en Équateur</w:t>
      </w:r>
      <w:bookmarkEnd w:id="1"/>
      <w:bookmarkEnd w:id="2"/>
      <w:bookmarkEnd w:id="4"/>
      <w:bookmarkEnd w:id="5"/>
    </w:p>
    <w:p w14:paraId="175AAE4F" w14:textId="4B735898" w:rsidR="004325DC" w:rsidRDefault="00C10A1F" w:rsidP="00914287">
      <w:pPr>
        <w:pStyle w:val="Texte1"/>
      </w:pPr>
      <w:proofErr w:type="spellStart"/>
      <w:r w:rsidRPr="00556D69">
        <w:rPr>
          <w:i/>
        </w:rPr>
        <w:t>Runa</w:t>
      </w:r>
      <w:proofErr w:type="spellEnd"/>
      <w:r w:rsidRPr="00556D69">
        <w:t xml:space="preserve"> </w:t>
      </w:r>
      <w:proofErr w:type="spellStart"/>
      <w:r w:rsidRPr="00556D69">
        <w:rPr>
          <w:i/>
        </w:rPr>
        <w:t>Tupari</w:t>
      </w:r>
      <w:proofErr w:type="spellEnd"/>
      <w:r w:rsidRPr="00556D69">
        <w:rPr>
          <w:i/>
        </w:rPr>
        <w:t xml:space="preserve"> Native </w:t>
      </w:r>
      <w:proofErr w:type="spellStart"/>
      <w:r w:rsidRPr="00556D69">
        <w:rPr>
          <w:i/>
        </w:rPr>
        <w:t>Travel</w:t>
      </w:r>
      <w:proofErr w:type="spellEnd"/>
      <w:r w:rsidRPr="00556D69">
        <w:t xml:space="preserve"> est un projet de tourisme </w:t>
      </w:r>
      <w:r w:rsidR="009867A4">
        <w:t>des communautés</w:t>
      </w:r>
      <w:r w:rsidRPr="00556D69">
        <w:t xml:space="preserve"> que dirigent des paysans de plusieurs communautés rurales du canton de </w:t>
      </w:r>
      <w:proofErr w:type="spellStart"/>
      <w:r w:rsidRPr="00556D69">
        <w:t>Cotacachi</w:t>
      </w:r>
      <w:proofErr w:type="spellEnd"/>
      <w:r w:rsidRPr="00556D69">
        <w:t xml:space="preserve"> en Équateur</w:t>
      </w:r>
      <w:r w:rsidR="00317559" w:rsidRPr="007607D9">
        <w:rPr>
          <w:rStyle w:val="FootnoteReference"/>
          <w:sz w:val="20"/>
          <w:szCs w:val="20"/>
        </w:rPr>
        <w:footnoteReference w:id="1"/>
      </w:r>
      <w:r w:rsidRPr="00556D69">
        <w:t xml:space="preserve">. Le projet a reçu une aide financière de l’ONG néerlandaise </w:t>
      </w:r>
      <w:proofErr w:type="spellStart"/>
      <w:r w:rsidRPr="00556D69">
        <w:t>Agriterra</w:t>
      </w:r>
      <w:proofErr w:type="spellEnd"/>
      <w:r w:rsidRPr="00556D69">
        <w:rPr>
          <w:vertAlign w:val="superscript"/>
        </w:rPr>
        <w:footnoteReference w:id="2"/>
      </w:r>
      <w:r w:rsidRPr="00556D69">
        <w:t xml:space="preserve"> au cours de ses deux premières années (2001</w:t>
      </w:r>
      <w:r w:rsidR="00BB70F2">
        <w:t>-20</w:t>
      </w:r>
      <w:r w:rsidRPr="00556D69">
        <w:t>03), mais il est vite devenu auto-suffisant.</w:t>
      </w:r>
    </w:p>
    <w:p w14:paraId="0CDDC1FA" w14:textId="2234B97E" w:rsidR="004325DC" w:rsidRDefault="00C10A1F" w:rsidP="00914287">
      <w:pPr>
        <w:pStyle w:val="Texte1"/>
      </w:pPr>
      <w:r w:rsidRPr="00556D69">
        <w:t xml:space="preserve">Le projet est une initiative de l’Union des Organisations paysannes et indigènes de </w:t>
      </w:r>
      <w:proofErr w:type="spellStart"/>
      <w:r w:rsidRPr="00556D69">
        <w:t>Cotacachi</w:t>
      </w:r>
      <w:proofErr w:type="spellEnd"/>
      <w:r w:rsidRPr="00556D69">
        <w:t xml:space="preserve"> (UNORCAC)</w:t>
      </w:r>
      <w:r w:rsidRPr="00556D69">
        <w:rPr>
          <w:vertAlign w:val="superscript"/>
        </w:rPr>
        <w:footnoteReference w:id="3"/>
      </w:r>
      <w:r w:rsidRPr="00556D69">
        <w:t xml:space="preserve"> en Équateur. Fondée en 2001 par les membres de plusieurs communautés rurales du canton, l’UNORCAC se propose d’améliorer leur statut sociopolitique et de répondre à leurs besoins élémentaires (éducation, santé, infrastructure, alimentation). Elle a obtenu le Prix Équateur en 2008 pour ses efforts remarquables au niveau </w:t>
      </w:r>
      <w:r w:rsidR="009867A4">
        <w:t>des communautés</w:t>
      </w:r>
      <w:r w:rsidRPr="00556D69">
        <w:t xml:space="preserve"> pour réduire la pauvreté grâce à la conservation de la biodiversité.</w:t>
      </w:r>
    </w:p>
    <w:p w14:paraId="32674CEB" w14:textId="77777777" w:rsidR="004325DC" w:rsidRDefault="00C10A1F" w:rsidP="00914287">
      <w:pPr>
        <w:pStyle w:val="Heading4"/>
      </w:pPr>
      <w:r w:rsidRPr="00556D69">
        <w:t>Le tourisme génère des revenus et aide à sauvegarder le PCI local</w:t>
      </w:r>
    </w:p>
    <w:p w14:paraId="3FFE9695" w14:textId="77777777" w:rsidR="004325DC" w:rsidRDefault="00C10A1F" w:rsidP="00914287">
      <w:pPr>
        <w:pStyle w:val="Texte1"/>
      </w:pPr>
      <w:proofErr w:type="spellStart"/>
      <w:r w:rsidRPr="00556D69">
        <w:rPr>
          <w:i/>
        </w:rPr>
        <w:t>Runa</w:t>
      </w:r>
      <w:proofErr w:type="spellEnd"/>
      <w:r w:rsidRPr="00556D69">
        <w:rPr>
          <w:i/>
        </w:rPr>
        <w:t xml:space="preserve"> </w:t>
      </w:r>
      <w:proofErr w:type="spellStart"/>
      <w:r w:rsidRPr="00556D69">
        <w:rPr>
          <w:i/>
        </w:rPr>
        <w:t>Tupari</w:t>
      </w:r>
      <w:proofErr w:type="spellEnd"/>
      <w:r w:rsidRPr="00556D69">
        <w:t xml:space="preserve"> offre un hébergement chez l’habitant dans de petites exploitations agricoles de la région qui prennent en pension les touristes de passage. Les paysans et les propriétaires fonciers de la région ont construit des gîtes ruraux à cet effet en utilisant des méthodes et des matériaux traditionnels, renforçant par là même les pratiques de construction traditionnelles. Les paysans font connaître aux visiteurs le style de vie traditionnel de la famille indienne, y compris l’entretien du jardin et la préparation des aliments.</w:t>
      </w:r>
      <w:r w:rsidRPr="00556D69">
        <w:rPr>
          <w:i/>
        </w:rPr>
        <w:t xml:space="preserve"> </w:t>
      </w:r>
      <w:proofErr w:type="spellStart"/>
      <w:r w:rsidRPr="00556D69">
        <w:rPr>
          <w:i/>
        </w:rPr>
        <w:t>Runa</w:t>
      </w:r>
      <w:proofErr w:type="spellEnd"/>
      <w:r w:rsidRPr="00556D69">
        <w:rPr>
          <w:i/>
        </w:rPr>
        <w:t xml:space="preserve"> </w:t>
      </w:r>
      <w:proofErr w:type="spellStart"/>
      <w:r w:rsidRPr="00556D69">
        <w:rPr>
          <w:i/>
        </w:rPr>
        <w:t>Tupari</w:t>
      </w:r>
      <w:proofErr w:type="spellEnd"/>
      <w:r w:rsidRPr="00556D69">
        <w:t xml:space="preserve"> propose aussi des excursions à la découverte du PCI des communautés locales. Le circuit des</w:t>
      </w:r>
      <w:r w:rsidR="00043DFF" w:rsidRPr="00556D69">
        <w:t xml:space="preserve"> « </w:t>
      </w:r>
      <w:r w:rsidRPr="00556D69">
        <w:t xml:space="preserve">Villages indiens et du lac de </w:t>
      </w:r>
      <w:proofErr w:type="spellStart"/>
      <w:r w:rsidRPr="00556D69">
        <w:t>Cuicocha</w:t>
      </w:r>
      <w:proofErr w:type="spellEnd"/>
      <w:r w:rsidR="00043DFF" w:rsidRPr="00556D69">
        <w:t xml:space="preserve"> » </w:t>
      </w:r>
      <w:r w:rsidRPr="00556D69">
        <w:t xml:space="preserve">montre aux visiteurs les procédés traditionnels qu’utilise la population locale pour la fabrication de tapis avec la </w:t>
      </w:r>
      <w:proofErr w:type="spellStart"/>
      <w:r w:rsidRPr="00556D69">
        <w:rPr>
          <w:i/>
        </w:rPr>
        <w:t>totora</w:t>
      </w:r>
      <w:proofErr w:type="spellEnd"/>
      <w:r w:rsidRPr="00556D69">
        <w:t>, les instruments de musique et les ponchos des Andes. Les gens du pays sont employés à l’agence de voyages dont vingt-cinq salariés ont reçu une formation de guide et ont acquis des notions de base en ethnobotanique, sur l’observation des oiseaux et l’anglais. Ces guides sont agréés par le Ministère du Tourisme.</w:t>
      </w:r>
    </w:p>
    <w:p w14:paraId="24E3A959" w14:textId="77777777" w:rsidR="004325DC" w:rsidRDefault="00C10A1F" w:rsidP="00914287">
      <w:pPr>
        <w:pStyle w:val="Texte1"/>
      </w:pPr>
      <w:r w:rsidRPr="00556D69">
        <w:t>Le projet a donné de bons résultats et le nombre de visiteurs est en forte progression. Cependant, il se heurte à plusieurs difficultés</w:t>
      </w:r>
      <w:r w:rsidR="00EA1FE1" w:rsidRPr="00556D69">
        <w:t> :</w:t>
      </w:r>
      <w:r w:rsidRPr="00556D69">
        <w:t xml:space="preserve"> l’industrie du tourisme est extrêmement saisonnière et certains touristes ont des exigences que leurs hôtes ont du mal à satisfaire. </w:t>
      </w:r>
      <w:proofErr w:type="spellStart"/>
      <w:r w:rsidRPr="00556D69">
        <w:rPr>
          <w:i/>
        </w:rPr>
        <w:t>Runa</w:t>
      </w:r>
      <w:proofErr w:type="spellEnd"/>
      <w:r w:rsidRPr="00556D69">
        <w:rPr>
          <w:i/>
        </w:rPr>
        <w:t xml:space="preserve"> </w:t>
      </w:r>
      <w:proofErr w:type="spellStart"/>
      <w:r w:rsidRPr="00556D69">
        <w:rPr>
          <w:i/>
        </w:rPr>
        <w:t>Tupari</w:t>
      </w:r>
      <w:proofErr w:type="spellEnd"/>
      <w:r w:rsidRPr="00556D69">
        <w:t xml:space="preserve"> se trouve aussi face aux problèmes de traitement d’un surplus de déchets lié à l’activité des gîtes ruraux.</w:t>
      </w:r>
      <w:r w:rsidRPr="00556D69">
        <w:rPr>
          <w:b/>
        </w:rPr>
        <w:t xml:space="preserve"> </w:t>
      </w:r>
      <w:r w:rsidRPr="00556D69">
        <w:t>Néanmoins le tourisme crée un bassin d’emplois dont a cruellement besoin la population locale, procurant un revenu aux paysans et à leurs familles. Le projet s’attache à développer les compétences des entreprises locales et dispense une formation dans d’autres domaines comme celui des guides touristiques.</w:t>
      </w:r>
    </w:p>
    <w:p w14:paraId="4CE47F4B" w14:textId="77777777" w:rsidR="004325DC" w:rsidRDefault="00C10A1F" w:rsidP="00914287">
      <w:pPr>
        <w:pStyle w:val="Texte1"/>
      </w:pPr>
      <w:r w:rsidRPr="00556D69">
        <w:lastRenderedPageBreak/>
        <w:t>Ce type de projets contribue non seulement au développement socio-économique et à l’acquisition de nouvelles compétences au sein de la communauté, mais aussi à la sauvegarde du PCI</w:t>
      </w:r>
      <w:r w:rsidR="00EA1FE1" w:rsidRPr="00556D69">
        <w:t> :</w:t>
      </w:r>
      <w:r w:rsidRPr="00556D69">
        <w:t xml:space="preserve"> promotion des savoir-faire traditionnels (ex. construction de gîtes) et compréhension, prise de conscience et appréciation renouvelées du PCI, à la fois au sein de la communauté et parmi les visiteurs.</w:t>
      </w:r>
    </w:p>
    <w:p w14:paraId="74F4306B" w14:textId="77777777" w:rsidR="004325DC" w:rsidRDefault="00C10A1F" w:rsidP="00914287">
      <w:pPr>
        <w:pStyle w:val="Soustitre"/>
      </w:pPr>
      <w:r w:rsidRPr="00403A1B">
        <w:t>Pour plus d’informations</w:t>
      </w:r>
      <w:r w:rsidR="00EA1FE1" w:rsidRPr="00403A1B">
        <w:t> :</w:t>
      </w:r>
    </w:p>
    <w:p w14:paraId="56F26059" w14:textId="77777777" w:rsidR="004325DC" w:rsidRPr="00D07828" w:rsidRDefault="00C10A1F" w:rsidP="00914287">
      <w:pPr>
        <w:pStyle w:val="Enutiret"/>
        <w:rPr>
          <w:lang w:val="it-IT"/>
        </w:rPr>
      </w:pPr>
      <w:proofErr w:type="spellStart"/>
      <w:r w:rsidRPr="00D07828">
        <w:rPr>
          <w:lang w:val="it-IT"/>
        </w:rPr>
        <w:t>Agriterra</w:t>
      </w:r>
      <w:proofErr w:type="spellEnd"/>
      <w:r w:rsidR="00EA1FE1" w:rsidRPr="00D07828">
        <w:rPr>
          <w:lang w:val="it-IT"/>
        </w:rPr>
        <w:t> :</w:t>
      </w:r>
      <w:r w:rsidRPr="00D07828">
        <w:rPr>
          <w:lang w:val="it-IT"/>
        </w:rPr>
        <w:t xml:space="preserve"> </w:t>
      </w:r>
      <w:hyperlink r:id="rId9" w:history="1">
        <w:r w:rsidR="00581F97" w:rsidRPr="00D07828">
          <w:rPr>
            <w:lang w:val="it-IT"/>
          </w:rPr>
          <w:t>http://www.agriterra.org/en/text/about-agriterra</w:t>
        </w:r>
      </w:hyperlink>
    </w:p>
    <w:p w14:paraId="2B670A54" w14:textId="7EC0B518" w:rsidR="004325DC" w:rsidRPr="00267937" w:rsidRDefault="00C10A1F" w:rsidP="00914287">
      <w:pPr>
        <w:pStyle w:val="Enutiret"/>
      </w:pPr>
      <w:proofErr w:type="spellStart"/>
      <w:r w:rsidRPr="00267937">
        <w:t>Agriterra</w:t>
      </w:r>
      <w:proofErr w:type="spellEnd"/>
      <w:r w:rsidR="00547581" w:rsidRPr="00267937">
        <w:t xml:space="preserve"> </w:t>
      </w:r>
      <w:r w:rsidRPr="00267937">
        <w:t>Solutions</w:t>
      </w:r>
      <w:r w:rsidR="00EA1FE1" w:rsidRPr="00267937">
        <w:t> </w:t>
      </w:r>
      <w:r w:rsidR="00CA1C08" w:rsidRPr="00267937">
        <w:t>:</w:t>
      </w:r>
      <w:r w:rsidR="00547581" w:rsidRPr="00267937">
        <w:t xml:space="preserve"> </w:t>
      </w:r>
      <w:r w:rsidR="00CA1C08" w:rsidRPr="00267937">
        <w:t>Our Cycle of </w:t>
      </w:r>
      <w:proofErr w:type="spellStart"/>
      <w:r w:rsidRPr="00267937">
        <w:t>Co-operation</w:t>
      </w:r>
      <w:proofErr w:type="spellEnd"/>
      <w:r w:rsidR="00EA1FE1" w:rsidRPr="00267937">
        <w:t> :</w:t>
      </w:r>
      <w:r w:rsidR="007607D9">
        <w:tab/>
      </w:r>
      <w:r w:rsidR="007607D9">
        <w:br/>
      </w:r>
      <w:hyperlink r:id="rId10" w:history="1">
        <w:r w:rsidR="00CA1C08" w:rsidRPr="00267937">
          <w:t>http://www.agriterra.org/assets/uploads/15068/solutions_agriterra_en.pdf</w:t>
        </w:r>
      </w:hyperlink>
      <w:r w:rsidR="00041A46">
        <w:t xml:space="preserve"> (en anglais)</w:t>
      </w:r>
    </w:p>
    <w:p w14:paraId="2B0403BF" w14:textId="62315401" w:rsidR="004325DC" w:rsidRPr="00D07828" w:rsidRDefault="00C10A1F" w:rsidP="00914287">
      <w:pPr>
        <w:pStyle w:val="Enutiret"/>
        <w:rPr>
          <w:lang w:val="it-IT"/>
        </w:rPr>
      </w:pPr>
      <w:r w:rsidRPr="00D07828">
        <w:rPr>
          <w:i/>
          <w:lang w:val="it-IT"/>
        </w:rPr>
        <w:t xml:space="preserve">Runa </w:t>
      </w:r>
      <w:proofErr w:type="spellStart"/>
      <w:r w:rsidRPr="00D07828">
        <w:rPr>
          <w:i/>
          <w:lang w:val="it-IT"/>
        </w:rPr>
        <w:t>Tupari</w:t>
      </w:r>
      <w:proofErr w:type="spellEnd"/>
      <w:r w:rsidR="00581F97" w:rsidRPr="00D07828">
        <w:rPr>
          <w:lang w:val="it-IT"/>
        </w:rPr>
        <w:t xml:space="preserve"> Native Travel</w:t>
      </w:r>
      <w:r w:rsidR="00EA1FE1" w:rsidRPr="00D07828">
        <w:rPr>
          <w:lang w:val="it-IT"/>
        </w:rPr>
        <w:t> :</w:t>
      </w:r>
      <w:r w:rsidRPr="00F47762">
        <w:rPr>
          <w:lang w:val="it-IT"/>
        </w:rPr>
        <w:t xml:space="preserve"> </w:t>
      </w:r>
      <w:hyperlink r:id="rId11" w:history="1">
        <w:r w:rsidRPr="00BD3D90">
          <w:rPr>
            <w:lang w:val="it-IT"/>
          </w:rPr>
          <w:t>www.</w:t>
        </w:r>
        <w:r w:rsidRPr="00BD3D90">
          <w:rPr>
            <w:bCs/>
            <w:lang w:val="it-IT"/>
          </w:rPr>
          <w:t>runatupari</w:t>
        </w:r>
        <w:r w:rsidRPr="00BD3D90">
          <w:rPr>
            <w:lang w:val="it-IT"/>
          </w:rPr>
          <w:t>.com/</w:t>
        </w:r>
      </w:hyperlink>
      <w:r w:rsidR="00041A46">
        <w:rPr>
          <w:lang w:val="it-IT"/>
        </w:rPr>
        <w:t xml:space="preserve"> </w:t>
      </w:r>
      <w:r w:rsidR="00041A46">
        <w:t>(en anglais et espagnol)</w:t>
      </w:r>
    </w:p>
    <w:p w14:paraId="541077F3" w14:textId="7A17601A" w:rsidR="004325DC" w:rsidRDefault="00C10A1F" w:rsidP="00914287">
      <w:pPr>
        <w:pStyle w:val="Enutiret"/>
      </w:pPr>
      <w:r w:rsidRPr="00556D69">
        <w:t>Page d’accueil de l’UNORCAC</w:t>
      </w:r>
      <w:r w:rsidR="00EA1FE1" w:rsidRPr="00556D69">
        <w:t> :</w:t>
      </w:r>
      <w:r w:rsidRPr="00556D69">
        <w:t xml:space="preserve"> </w:t>
      </w:r>
      <w:hyperlink r:id="rId12" w:history="1">
        <w:r w:rsidR="00581F97" w:rsidRPr="002312A4">
          <w:t>http://unorcac.nativeweb.org/</w:t>
        </w:r>
      </w:hyperlink>
      <w:r w:rsidR="00041A46">
        <w:t xml:space="preserve"> (en anglais et espagnol)</w:t>
      </w:r>
    </w:p>
    <w:p w14:paraId="04FACD49" w14:textId="77777777" w:rsidR="00F52747" w:rsidRDefault="00F52747" w:rsidP="00267937">
      <w:pPr>
        <w:pStyle w:val="Enutiret"/>
        <w:numPr>
          <w:ilvl w:val="0"/>
          <w:numId w:val="0"/>
        </w:numPr>
        <w:ind w:left="1134" w:hanging="283"/>
      </w:pPr>
    </w:p>
    <w:p w14:paraId="1E623277" w14:textId="77777777" w:rsidR="004325DC" w:rsidRPr="00BD3D90" w:rsidRDefault="004325DC" w:rsidP="00F607A1">
      <w:pPr>
        <w:ind w:left="0"/>
      </w:pPr>
    </w:p>
    <w:sectPr w:rsidR="004325DC" w:rsidRPr="00BD3D90" w:rsidSect="0078686D">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0360A731" w:rsidR="00780028" w:rsidRDefault="006D1284" w:rsidP="00BD3D90">
    <w:pPr>
      <w:pStyle w:val="Footer"/>
    </w:pPr>
    <w:r>
      <w:rPr>
        <w:noProof/>
        <w:lang w:eastAsia="fr-FR"/>
      </w:rPr>
      <w:drawing>
        <wp:anchor distT="0" distB="0" distL="114300" distR="114300" simplePos="0" relativeHeight="252062720" behindDoc="0" locked="0" layoutInCell="1" allowOverlap="1" wp14:anchorId="471C1104" wp14:editId="2DFABA40">
          <wp:simplePos x="0" y="0"/>
          <wp:positionH relativeFrom="column">
            <wp:posOffset>2517140</wp:posOffset>
          </wp:positionH>
          <wp:positionV relativeFrom="paragraph">
            <wp:posOffset>38735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fr-FR"/>
      </w:rPr>
      <w:drawing>
        <wp:anchor distT="0" distB="0" distL="114300" distR="114300" simplePos="0" relativeHeight="252058624" behindDoc="1" locked="1" layoutInCell="1" allowOverlap="0" wp14:anchorId="330896AE" wp14:editId="6B57C46A">
          <wp:simplePos x="0" y="0"/>
          <wp:positionH relativeFrom="column">
            <wp:posOffset>-635</wp:posOffset>
          </wp:positionH>
          <wp:positionV relativeFrom="margin">
            <wp:posOffset>8641715</wp:posOffset>
          </wp:positionV>
          <wp:extent cx="908050" cy="660400"/>
          <wp:effectExtent l="0" t="0" r="6350" b="6350"/>
          <wp:wrapThrough wrapText="bothSides">
            <wp:wrapPolygon edited="0">
              <wp:start x="0" y="0"/>
              <wp:lineTo x="0" y="21185"/>
              <wp:lineTo x="21298" y="2118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t>CS</w:t>
    </w:r>
    <w:r w:rsidR="007607D9">
      <w:t>19</w:t>
    </w:r>
    <w:r w:rsidR="00780028">
      <w:t>-v1.0-FR</w:t>
    </w:r>
    <w:r w:rsidR="00780028"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1195A11" w:rsidR="00780028" w:rsidRPr="00AB434F" w:rsidRDefault="00780028" w:rsidP="00BD3D90">
    <w:pPr>
      <w:pStyle w:val="Footer"/>
    </w:pPr>
    <w:r>
      <w:t>CS33-v1.0-FR</w:t>
    </w:r>
    <w:r>
      <w:tab/>
      <w:t>© UNESCO • Ne pas reproduire sans autorisation</w:t>
    </w:r>
    <w:r>
      <w:tab/>
    </w:r>
    <w:r>
      <w:rPr>
        <w:noProof/>
        <w:lang w:eastAsia="fr-FR"/>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6ADF1610" w:rsidR="00780028" w:rsidRPr="00BD3D90" w:rsidRDefault="006D1284"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32A775BA" wp14:editId="0B5E5508">
          <wp:simplePos x="0" y="0"/>
          <wp:positionH relativeFrom="column">
            <wp:posOffset>2517140</wp:posOffset>
          </wp:positionH>
          <wp:positionV relativeFrom="paragraph">
            <wp:posOffset>10160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607D9">
      <w:t>CS19</w:t>
    </w:r>
    <w:r w:rsidR="00780028">
      <w:t>-v1.0-FR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4AD31F18">
          <wp:simplePos x="0" y="0"/>
          <wp:positionH relativeFrom="column">
            <wp:posOffset>4679315</wp:posOffset>
          </wp:positionH>
          <wp:positionV relativeFrom="margin">
            <wp:posOffset>8641715</wp:posOffset>
          </wp:positionV>
          <wp:extent cx="908050" cy="641350"/>
          <wp:effectExtent l="0" t="0" r="6350" b="6350"/>
          <wp:wrapThrough wrapText="bothSides">
            <wp:wrapPolygon edited="0">
              <wp:start x="0" y="0"/>
              <wp:lineTo x="0" y="21172"/>
              <wp:lineTo x="21298" y="21172"/>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231AA25A" w14:textId="4EFE449D" w:rsidR="00780028" w:rsidRDefault="00780028">
      <w:pPr>
        <w:pStyle w:val="FootnoteText"/>
      </w:pPr>
      <w:r w:rsidRPr="00317559">
        <w:rPr>
          <w:rStyle w:val="FootnoteReference"/>
          <w:sz w:val="16"/>
          <w:szCs w:val="16"/>
          <w:vertAlign w:val="baseline"/>
        </w:rPr>
        <w:footnoteRef/>
      </w:r>
      <w:r>
        <w:rPr>
          <w:szCs w:val="16"/>
        </w:rPr>
        <w:t>.</w:t>
      </w:r>
      <w:r>
        <w:rPr>
          <w:szCs w:val="16"/>
        </w:rPr>
        <w:tab/>
      </w:r>
      <w:proofErr w:type="spellStart"/>
      <w:r w:rsidRPr="006C7DCB">
        <w:rPr>
          <w:i/>
        </w:rPr>
        <w:t>Runa</w:t>
      </w:r>
      <w:proofErr w:type="spellEnd"/>
      <w:r w:rsidRPr="006C7DCB">
        <w:t xml:space="preserve"> </w:t>
      </w:r>
      <w:proofErr w:type="spellStart"/>
      <w:r w:rsidRPr="006C7DCB">
        <w:rPr>
          <w:i/>
        </w:rPr>
        <w:t>Tupari</w:t>
      </w:r>
      <w:proofErr w:type="spellEnd"/>
      <w:r w:rsidRPr="006C7DCB">
        <w:rPr>
          <w:i/>
        </w:rPr>
        <w:t xml:space="preserve"> </w:t>
      </w:r>
      <w:r w:rsidRPr="006C7DCB">
        <w:t xml:space="preserve">signifie </w:t>
      </w:r>
      <w:r w:rsidR="007607D9">
        <w:t>« </w:t>
      </w:r>
      <w:r w:rsidRPr="006C7DCB">
        <w:t>rencontre avec les populations indigènes’ ou ‘rencontre avec les Indiens</w:t>
      </w:r>
      <w:r w:rsidR="007607D9">
        <w:t> »</w:t>
      </w:r>
      <w:r w:rsidRPr="006C7DCB">
        <w:t xml:space="preserve">. Pour consulter le site Web de </w:t>
      </w:r>
      <w:proofErr w:type="spellStart"/>
      <w:r w:rsidRPr="006C7DCB">
        <w:rPr>
          <w:i/>
        </w:rPr>
        <w:t>Runa</w:t>
      </w:r>
      <w:proofErr w:type="spellEnd"/>
      <w:r w:rsidRPr="006C7DCB">
        <w:rPr>
          <w:i/>
        </w:rPr>
        <w:t xml:space="preserve"> </w:t>
      </w:r>
      <w:proofErr w:type="spellStart"/>
      <w:r w:rsidRPr="006C7DCB">
        <w:rPr>
          <w:i/>
        </w:rPr>
        <w:t>Tupari</w:t>
      </w:r>
      <w:proofErr w:type="spellEnd"/>
      <w:r>
        <w:rPr>
          <w:i/>
        </w:rPr>
        <w:t> :</w:t>
      </w:r>
      <w:r w:rsidRPr="006C7DCB">
        <w:t xml:space="preserve"> </w:t>
      </w:r>
      <w:hyperlink r:id="rId1" w:history="1">
        <w:r w:rsidRPr="00693B40">
          <w:t>http://www.runatupari.com/</w:t>
        </w:r>
      </w:hyperlink>
      <w:r w:rsidR="00133422">
        <w:t xml:space="preserve"> (en anglais et espagnol)</w:t>
      </w:r>
    </w:p>
  </w:footnote>
  <w:footnote w:id="2">
    <w:p w14:paraId="73D08660" w14:textId="77777777" w:rsidR="00780028" w:rsidRPr="006C7DCB" w:rsidRDefault="00780028" w:rsidP="00403A1B">
      <w:pPr>
        <w:pStyle w:val="FootnoteText"/>
      </w:pPr>
      <w:r w:rsidRPr="0040373D">
        <w:rPr>
          <w:szCs w:val="14"/>
        </w:rPr>
        <w:footnoteRef/>
      </w:r>
      <w:r>
        <w:rPr>
          <w:szCs w:val="14"/>
        </w:rPr>
        <w:t>.</w:t>
      </w:r>
      <w:r>
        <w:rPr>
          <w:szCs w:val="14"/>
        </w:rPr>
        <w:tab/>
      </w:r>
      <w:r w:rsidRPr="006C7DCB">
        <w:t>Voir le site Web d’</w:t>
      </w:r>
      <w:proofErr w:type="spellStart"/>
      <w:r w:rsidRPr="006C7DCB">
        <w:t>Agriterra</w:t>
      </w:r>
      <w:proofErr w:type="spellEnd"/>
      <w:r>
        <w:t> :</w:t>
      </w:r>
      <w:r w:rsidRPr="006C7DCB">
        <w:t xml:space="preserve"> </w:t>
      </w:r>
      <w:hyperlink r:id="rId2" w:history="1">
        <w:r w:rsidRPr="00693B40">
          <w:t>http://www.agriterra.org/en/text/about-agriterra</w:t>
        </w:r>
      </w:hyperlink>
    </w:p>
  </w:footnote>
  <w:footnote w:id="3">
    <w:p w14:paraId="21C01487" w14:textId="40EB8ADA" w:rsidR="00780028" w:rsidRPr="006C7DCB" w:rsidRDefault="00780028" w:rsidP="00403A1B">
      <w:pPr>
        <w:pStyle w:val="FootnoteText"/>
      </w:pPr>
      <w:r w:rsidRPr="0040373D">
        <w:rPr>
          <w:szCs w:val="14"/>
        </w:rPr>
        <w:footnoteRef/>
      </w:r>
      <w:r>
        <w:rPr>
          <w:szCs w:val="14"/>
        </w:rPr>
        <w:t>.</w:t>
      </w:r>
      <w:r>
        <w:rPr>
          <w:szCs w:val="14"/>
        </w:rPr>
        <w:tab/>
      </w:r>
      <w:r w:rsidRPr="006C7DCB">
        <w:t>Voir le site Web de l’UNORCAC</w:t>
      </w:r>
      <w:r>
        <w:t> :</w:t>
      </w:r>
      <w:r w:rsidRPr="006C7DCB">
        <w:t xml:space="preserve"> </w:t>
      </w:r>
      <w:hyperlink r:id="rId3" w:history="1">
        <w:r w:rsidRPr="00693B40">
          <w:t>http://www.unorcac.org/</w:t>
        </w:r>
      </w:hyperlink>
      <w:r>
        <w:t xml:space="preserve"> </w:t>
      </w:r>
      <w:r w:rsidR="00133422">
        <w:t>(en espagnol)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7614591B" w:rsidR="00780028" w:rsidRPr="00267937" w:rsidRDefault="00780028" w:rsidP="00BD3D90">
    <w:pPr>
      <w:pStyle w:val="Header"/>
      <w:rPr>
        <w:lang w:val="fr-FR"/>
      </w:rPr>
    </w:pPr>
    <w:r>
      <w:rPr>
        <w:rStyle w:val="PageNumber"/>
      </w:rPr>
      <w:fldChar w:fldCharType="begin"/>
    </w:r>
    <w:r w:rsidRPr="00267937">
      <w:rPr>
        <w:rStyle w:val="PageNumber"/>
        <w:lang w:val="fr-FR"/>
      </w:rPr>
      <w:instrText xml:space="preserve"> PAGE </w:instrText>
    </w:r>
    <w:r>
      <w:rPr>
        <w:rStyle w:val="PageNumber"/>
      </w:rPr>
      <w:fldChar w:fldCharType="separate"/>
    </w:r>
    <w:r w:rsidR="006D1284">
      <w:rPr>
        <w:rStyle w:val="PageNumber"/>
        <w:noProof/>
        <w:lang w:val="fr-FR"/>
      </w:rPr>
      <w:t>2</w:t>
    </w:r>
    <w:r>
      <w:rPr>
        <w:rStyle w:val="PageNumber"/>
      </w:rPr>
      <w:fldChar w:fldCharType="end"/>
    </w:r>
    <w:r w:rsidRPr="00267937">
      <w:rPr>
        <w:lang w:val="fr-FR"/>
      </w:rPr>
      <w:tab/>
    </w:r>
    <w:r w:rsidR="00BD50F6" w:rsidRPr="00267937">
      <w:rPr>
        <w:rStyle w:val="PageNumber"/>
        <w:lang w:val="fr-FR"/>
      </w:rPr>
      <w:t>Étude</w:t>
    </w:r>
    <w:r w:rsidR="007607D9" w:rsidRPr="00267937">
      <w:rPr>
        <w:rStyle w:val="PageNumber"/>
        <w:lang w:val="fr-FR"/>
      </w:rPr>
      <w:t xml:space="preserve"> de cas</w:t>
    </w:r>
    <w:r w:rsidR="00BD50F6" w:rsidRPr="00267937">
      <w:rPr>
        <w:rStyle w:val="PageNumber"/>
        <w:lang w:val="fr-FR"/>
      </w:rPr>
      <w:t xml:space="preserve"> 19</w:t>
    </w:r>
    <w:r w:rsidRPr="00267937">
      <w:rPr>
        <w:lang w:val="fr-FR"/>
      </w:rPr>
      <w:tab/>
      <w:t>Étude</w:t>
    </w:r>
    <w:r w:rsidR="00BD50F6" w:rsidRPr="00267937">
      <w:rPr>
        <w:lang w:val="fr-FR"/>
      </w:rPr>
      <w:t>s</w:t>
    </w:r>
    <w:r w:rsidRPr="00267937">
      <w:rPr>
        <w:lang w:val="fr-FR"/>
      </w:rPr>
      <w:t xml:space="preserve">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267937">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1C2B3107" w:rsidR="00780028" w:rsidRPr="009F7A02" w:rsidRDefault="00780028" w:rsidP="00267937">
    <w:pPr>
      <w:pStyle w:val="Header"/>
      <w:ind w:right="360"/>
    </w:pPr>
    <w:r>
      <w:rPr>
        <w:rStyle w:val="PageNumber"/>
      </w:rPr>
      <w:tab/>
    </w:r>
    <w:proofErr w:type="spellStart"/>
    <w:r>
      <w:rPr>
        <w:rStyle w:val="PageNumber"/>
      </w:rPr>
      <w:t>Étude</w:t>
    </w:r>
    <w:r w:rsidR="007607D9">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A46"/>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33422"/>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67937"/>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37AC"/>
    <w:rsid w:val="002F739D"/>
    <w:rsid w:val="0030168E"/>
    <w:rsid w:val="003032C4"/>
    <w:rsid w:val="00317559"/>
    <w:rsid w:val="003178E2"/>
    <w:rsid w:val="003238D3"/>
    <w:rsid w:val="003259DC"/>
    <w:rsid w:val="0032659F"/>
    <w:rsid w:val="00330A6B"/>
    <w:rsid w:val="003356E3"/>
    <w:rsid w:val="003357CD"/>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14762"/>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C4"/>
    <w:rsid w:val="0064362E"/>
    <w:rsid w:val="00645717"/>
    <w:rsid w:val="00645EA9"/>
    <w:rsid w:val="00646C0C"/>
    <w:rsid w:val="00651766"/>
    <w:rsid w:val="006521D9"/>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1284"/>
    <w:rsid w:val="006D283B"/>
    <w:rsid w:val="006D313C"/>
    <w:rsid w:val="006E0048"/>
    <w:rsid w:val="006E147C"/>
    <w:rsid w:val="006F3EC9"/>
    <w:rsid w:val="006F42AA"/>
    <w:rsid w:val="006F42B3"/>
    <w:rsid w:val="006F64E6"/>
    <w:rsid w:val="00700755"/>
    <w:rsid w:val="00701EE2"/>
    <w:rsid w:val="00702EB3"/>
    <w:rsid w:val="00703923"/>
    <w:rsid w:val="007102EC"/>
    <w:rsid w:val="00713A6D"/>
    <w:rsid w:val="0071539A"/>
    <w:rsid w:val="00726F77"/>
    <w:rsid w:val="007342F5"/>
    <w:rsid w:val="00740702"/>
    <w:rsid w:val="00750512"/>
    <w:rsid w:val="00751114"/>
    <w:rsid w:val="007521EC"/>
    <w:rsid w:val="0075609B"/>
    <w:rsid w:val="0075652A"/>
    <w:rsid w:val="00757DCB"/>
    <w:rsid w:val="007607D9"/>
    <w:rsid w:val="0077206E"/>
    <w:rsid w:val="007729B5"/>
    <w:rsid w:val="00773186"/>
    <w:rsid w:val="00775F40"/>
    <w:rsid w:val="00780028"/>
    <w:rsid w:val="007800DA"/>
    <w:rsid w:val="007808BE"/>
    <w:rsid w:val="00785367"/>
    <w:rsid w:val="00785440"/>
    <w:rsid w:val="0078686D"/>
    <w:rsid w:val="00795C1B"/>
    <w:rsid w:val="00795C6B"/>
    <w:rsid w:val="00795D4A"/>
    <w:rsid w:val="00795D56"/>
    <w:rsid w:val="0079701F"/>
    <w:rsid w:val="00797C96"/>
    <w:rsid w:val="00797EB9"/>
    <w:rsid w:val="007A05E6"/>
    <w:rsid w:val="007A5C03"/>
    <w:rsid w:val="007A7A0B"/>
    <w:rsid w:val="007C119C"/>
    <w:rsid w:val="007C70FB"/>
    <w:rsid w:val="007D1DA1"/>
    <w:rsid w:val="007D222B"/>
    <w:rsid w:val="007E03FC"/>
    <w:rsid w:val="007E04EC"/>
    <w:rsid w:val="007E0DC4"/>
    <w:rsid w:val="007E60D0"/>
    <w:rsid w:val="007F2354"/>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27B9"/>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1A8"/>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D50F6"/>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3A94"/>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1F1"/>
    <w:rsid w:val="00E25329"/>
    <w:rsid w:val="00E33B74"/>
    <w:rsid w:val="00E3474D"/>
    <w:rsid w:val="00E363FB"/>
    <w:rsid w:val="00E41C39"/>
    <w:rsid w:val="00E44500"/>
    <w:rsid w:val="00E5533D"/>
    <w:rsid w:val="00E556A4"/>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6665"/>
    <w:rsid w:val="00F47762"/>
    <w:rsid w:val="00F52747"/>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orcac.nativeweb.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natupar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griterra.org/assets/uploads/15068/solutions_agriterra_en.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riterra.org/en/text/about-agriterr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norcac.org/" TargetMode="External"/><Relationship Id="rId2" Type="http://schemas.openxmlformats.org/officeDocument/2006/relationships/hyperlink" Target="http://www.agriterra.org/en/text/about-agriterra" TargetMode="External"/><Relationship Id="rId1" Type="http://schemas.openxmlformats.org/officeDocument/2006/relationships/hyperlink" Target="http://www.runatupari.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F6F7-6F00-4DCF-AFE9-561342F4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3279</Characters>
  <Application>Microsoft Office Word</Application>
  <DocSecurity>0</DocSecurity>
  <Lines>27</Lines>
  <Paragraphs>7</Paragraphs>
  <ScaleCrop>false</ScaleCrop>
  <LinksUpToDate>false</LinksUpToDate>
  <CharactersWithSpaces>3805</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2014-09-12T17:08:00Z</dcterms:created>
  <dcterms:modified xsi:type="dcterms:W3CDTF">2018-02-22T11:01:00Z</dcterms:modified>
</cp:coreProperties>
</file>