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24F13" w14:textId="0AAB9F84" w:rsidR="00221A95" w:rsidRPr="00221A95" w:rsidRDefault="00221A95" w:rsidP="009A1C00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75"/>
      <w:r w:rsidRPr="00221A95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د</w:t>
      </w:r>
      <w:r w:rsidRPr="00221A95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راسة الحالة 2</w:t>
      </w:r>
      <w:r w:rsidR="009A1C00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9</w:t>
      </w:r>
    </w:p>
    <w:p w14:paraId="0E0844C1" w14:textId="0D843902" w:rsidR="009A1C00" w:rsidRPr="009A1C00" w:rsidRDefault="009A1C00" w:rsidP="009A1C00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bookmarkStart w:id="1" w:name="_Toc370733376"/>
      <w:bookmarkEnd w:id="0"/>
      <w:r w:rsidRPr="009A1C00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الأنظمة القانونية والإدارية على المستوى الوطني في جنوب أفريقيا</w:t>
      </w:r>
      <w:bookmarkEnd w:id="1"/>
    </w:p>
    <w:p w14:paraId="6E4265B8" w14:textId="1424607B" w:rsidR="009A1C00" w:rsidRPr="00D860CE" w:rsidRDefault="009A1C00" w:rsidP="00792AFA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 xml:space="preserve">لم </w:t>
      </w:r>
      <w:r w:rsidRPr="00D860CE">
        <w:rPr>
          <w:rFonts w:eastAsia="Arial" w:cs="Traditional Arabic" w:hint="cs"/>
          <w:spacing w:val="1"/>
          <w:szCs w:val="32"/>
          <w:rtl/>
        </w:rPr>
        <w:t>تصدق</w:t>
      </w:r>
      <w:r w:rsidRPr="00D860CE">
        <w:rPr>
          <w:rFonts w:eastAsia="Arial" w:cs="Traditional Arabic"/>
          <w:spacing w:val="1"/>
          <w:szCs w:val="32"/>
          <w:rtl/>
        </w:rPr>
        <w:t xml:space="preserve"> جنوب أفريقيا بعد على اتفاقية التراث الثقافي غير المادي</w:t>
      </w:r>
      <w:r w:rsidR="00A5561A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إلا أنها </w:t>
      </w:r>
      <w:r w:rsidRPr="00D860CE">
        <w:rPr>
          <w:rFonts w:eastAsia="Arial" w:cs="Traditional Arabic" w:hint="cs"/>
          <w:spacing w:val="1"/>
          <w:szCs w:val="32"/>
          <w:rtl/>
        </w:rPr>
        <w:t>بصدد وضع مجموعة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792AFA">
        <w:rPr>
          <w:rFonts w:eastAsia="Arial" w:cs="Traditional Arabic" w:hint="cs"/>
          <w:spacing w:val="1"/>
          <w:szCs w:val="32"/>
          <w:rtl/>
        </w:rPr>
        <w:t>كبيرة</w:t>
      </w:r>
      <w:r w:rsidR="00792AFA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من التشريعات والسياسات والأطر المؤسسية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التي تتيح </w:t>
      </w:r>
      <w:r w:rsidRPr="00D860CE">
        <w:rPr>
          <w:rFonts w:eastAsia="Arial" w:cs="Traditional Arabic"/>
          <w:spacing w:val="1"/>
          <w:szCs w:val="32"/>
          <w:rtl/>
        </w:rPr>
        <w:t xml:space="preserve">تحسين صون التراث الثقافي غير المادي (أو ما يُسمّى في جنوب أفريقيا "التراث الحيّ"). </w:t>
      </w:r>
    </w:p>
    <w:p w14:paraId="04453A3C" w14:textId="62E8AD84" w:rsidR="009A1C00" w:rsidRPr="00D860CE" w:rsidRDefault="009A1C00" w:rsidP="00184EE9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Cs w:val="32"/>
          <w:rtl/>
        </w:rPr>
      </w:pPr>
      <w:r w:rsidRPr="009A1C00">
        <w:rPr>
          <w:rFonts w:eastAsia="Arial" w:cs="Traditional Arabic"/>
          <w:b/>
          <w:bCs/>
          <w:spacing w:val="1"/>
          <w:sz w:val="22"/>
          <w:szCs w:val="32"/>
          <w:rtl/>
        </w:rPr>
        <w:t>الدستور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b/>
          <w:bCs/>
          <w:spacing w:val="1"/>
          <w:szCs w:val="32"/>
          <w:rtl/>
        </w:rPr>
        <w:t>ونقل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 السلطة </w:t>
      </w:r>
      <w:r w:rsidR="00184EE9">
        <w:rPr>
          <w:rFonts w:eastAsia="Arial" w:cs="Traditional Arabic" w:hint="cs"/>
          <w:b/>
          <w:bCs/>
          <w:spacing w:val="1"/>
          <w:szCs w:val="32"/>
          <w:rtl/>
        </w:rPr>
        <w:t>إلى</w:t>
      </w:r>
      <w:r w:rsidR="00184EE9" w:rsidRPr="00D860CE">
        <w:rPr>
          <w:rFonts w:eastAsia="Arial" w:cs="Traditional Arabic"/>
          <w:b/>
          <w:bCs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>المقاطعات</w:t>
      </w:r>
    </w:p>
    <w:p w14:paraId="6ED7C2F8" w14:textId="16B2C92F" w:rsidR="009A1C00" w:rsidRPr="00D860CE" w:rsidRDefault="009A1C00" w:rsidP="001B6785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>يُعتبر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C40B56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 xml:space="preserve">دستور </w:t>
      </w:r>
      <w:r w:rsidR="00C40B56">
        <w:rPr>
          <w:rFonts w:eastAsia="Arial" w:cs="Traditional Arabic" w:hint="cs"/>
          <w:spacing w:val="1"/>
          <w:szCs w:val="32"/>
          <w:rtl/>
        </w:rPr>
        <w:t xml:space="preserve">في </w:t>
      </w:r>
      <w:r w:rsidRPr="00D860CE">
        <w:rPr>
          <w:rFonts w:eastAsia="Arial" w:cs="Traditional Arabic"/>
          <w:spacing w:val="1"/>
          <w:szCs w:val="32"/>
          <w:rtl/>
        </w:rPr>
        <w:t xml:space="preserve">جنوب أفريقيا (1996) القانون </w:t>
      </w:r>
      <w:r w:rsidR="00C40B56">
        <w:rPr>
          <w:rFonts w:eastAsia="Arial" w:cs="Traditional Arabic" w:hint="cs"/>
          <w:spacing w:val="1"/>
          <w:szCs w:val="32"/>
          <w:rtl/>
        </w:rPr>
        <w:t xml:space="preserve">الوطني </w:t>
      </w:r>
      <w:r w:rsidRPr="00D860CE">
        <w:rPr>
          <w:rFonts w:eastAsia="Arial" w:cs="Traditional Arabic"/>
          <w:spacing w:val="1"/>
          <w:szCs w:val="32"/>
          <w:rtl/>
        </w:rPr>
        <w:t xml:space="preserve">الأسمى الذي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يعزز </w:t>
      </w:r>
      <w:r w:rsidRPr="00D860CE">
        <w:rPr>
          <w:rFonts w:eastAsia="Arial" w:cs="Traditional Arabic"/>
          <w:spacing w:val="1"/>
          <w:szCs w:val="32"/>
          <w:rtl/>
        </w:rPr>
        <w:t xml:space="preserve">المساواة وحقوق الإنسان ومكافحة التمييز العنصري </w:t>
      </w:r>
      <w:r w:rsidR="00896C11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 w:hint="cs"/>
          <w:spacing w:val="1"/>
          <w:szCs w:val="32"/>
          <w:rtl/>
        </w:rPr>
        <w:t>التمييز على أساس الجنس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ويرفع عالياً راية </w:t>
      </w:r>
      <w:r w:rsidRPr="00D860CE">
        <w:rPr>
          <w:rFonts w:eastAsia="Arial" w:cs="Traditional Arabic"/>
          <w:spacing w:val="1"/>
          <w:szCs w:val="32"/>
          <w:rtl/>
        </w:rPr>
        <w:t>دولة ديمقراطية شف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افة </w:t>
      </w:r>
      <w:r w:rsidRPr="00D860CE">
        <w:rPr>
          <w:rFonts w:eastAsia="Arial" w:cs="Traditional Arabic" w:hint="cs"/>
          <w:spacing w:val="1"/>
          <w:szCs w:val="32"/>
          <w:rtl/>
        </w:rPr>
        <w:t>ومتجاوبة</w:t>
      </w:r>
      <w:r w:rsidR="00714DBC">
        <w:rPr>
          <w:rFonts w:eastAsia="Arial" w:cs="Traditional Arabic" w:hint="cs"/>
          <w:spacing w:val="1"/>
          <w:szCs w:val="32"/>
          <w:rtl/>
        </w:rPr>
        <w:t xml:space="preserve"> و</w:t>
      </w:r>
      <w:r w:rsidR="00B72373">
        <w:rPr>
          <w:rFonts w:eastAsia="Arial" w:cs="Traditional Arabic" w:hint="cs"/>
          <w:spacing w:val="1"/>
          <w:szCs w:val="32"/>
          <w:rtl/>
        </w:rPr>
        <w:t>مسؤولة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Pr="00D860CE">
        <w:rPr>
          <w:rFonts w:eastAsia="Arial" w:cs="Traditional Arabic" w:hint="cs"/>
          <w:spacing w:val="1"/>
          <w:szCs w:val="32"/>
          <w:rtl/>
        </w:rPr>
        <w:t>وتوجّ</w:t>
      </w:r>
      <w:r w:rsidR="003D18FF">
        <w:rPr>
          <w:rFonts w:eastAsia="Arial" w:cs="Traditional Arabic" w:hint="cs"/>
          <w:spacing w:val="1"/>
          <w:szCs w:val="32"/>
          <w:rtl/>
        </w:rPr>
        <w:t>ِ</w:t>
      </w:r>
      <w:r w:rsidRPr="00D860CE">
        <w:rPr>
          <w:rFonts w:eastAsia="Arial" w:cs="Traditional Arabic" w:hint="cs"/>
          <w:spacing w:val="1"/>
          <w:szCs w:val="32"/>
          <w:rtl/>
        </w:rPr>
        <w:t>ه</w:t>
      </w:r>
      <w:r w:rsidRPr="00D860CE">
        <w:rPr>
          <w:rFonts w:eastAsia="Arial" w:cs="Traditional Arabic"/>
          <w:spacing w:val="1"/>
          <w:szCs w:val="32"/>
          <w:rtl/>
        </w:rPr>
        <w:t xml:space="preserve"> مبادئ</w:t>
      </w:r>
      <w:r w:rsidR="000F2EFE">
        <w:rPr>
          <w:rFonts w:eastAsia="Arial" w:cs="Traditional Arabic" w:hint="cs"/>
          <w:spacing w:val="1"/>
          <w:szCs w:val="32"/>
          <w:rtl/>
        </w:rPr>
        <w:t xml:space="preserve"> </w:t>
      </w:r>
      <w:r w:rsidR="002D0B10">
        <w:rPr>
          <w:rFonts w:eastAsia="Arial" w:cs="Traditional Arabic" w:hint="cs"/>
          <w:spacing w:val="1"/>
          <w:szCs w:val="32"/>
          <w:rtl/>
        </w:rPr>
        <w:t>التعدد اللغوي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المجسدة</w:t>
      </w:r>
      <w:r w:rsidRPr="00D860CE">
        <w:rPr>
          <w:rFonts w:eastAsia="Arial" w:cs="Traditional Arabic"/>
          <w:spacing w:val="1"/>
          <w:szCs w:val="32"/>
          <w:rtl/>
        </w:rPr>
        <w:t xml:space="preserve"> في الدستور التشريعات والسياسات كلّها، ومنها السياسة الثقافية، وسياسة اللغة الوطنية، وأي سياس</w:t>
      </w:r>
      <w:r w:rsidRPr="00D860CE">
        <w:rPr>
          <w:rFonts w:eastAsia="Arial" w:cs="Traditional Arabic" w:hint="cs"/>
          <w:spacing w:val="1"/>
          <w:szCs w:val="32"/>
          <w:rtl/>
        </w:rPr>
        <w:t>ة</w:t>
      </w:r>
      <w:r w:rsidRPr="00D860CE">
        <w:rPr>
          <w:rFonts w:eastAsia="Arial" w:cs="Traditional Arabic"/>
          <w:spacing w:val="1"/>
          <w:szCs w:val="32"/>
          <w:rtl/>
        </w:rPr>
        <w:t xml:space="preserve"> أو تشريع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يتعلّق با</w:t>
      </w:r>
      <w:r w:rsidRPr="00D860CE">
        <w:rPr>
          <w:rFonts w:eastAsia="Arial" w:cs="Traditional Arabic"/>
          <w:spacing w:val="1"/>
          <w:szCs w:val="32"/>
          <w:rtl/>
        </w:rPr>
        <w:t xml:space="preserve">لتراث الثقافي غير المادي. </w:t>
      </w:r>
      <w:r w:rsidR="006A4374">
        <w:rPr>
          <w:rFonts w:eastAsia="Arial" w:cs="Traditional Arabic" w:hint="cs"/>
          <w:spacing w:val="1"/>
          <w:szCs w:val="32"/>
          <w:rtl/>
        </w:rPr>
        <w:t>وتمث</w:t>
      </w:r>
      <w:r w:rsidR="00D70798">
        <w:rPr>
          <w:rFonts w:eastAsia="Arial" w:cs="Traditional Arabic" w:hint="cs"/>
          <w:spacing w:val="1"/>
          <w:szCs w:val="32"/>
          <w:rtl/>
        </w:rPr>
        <w:t>ّ</w:t>
      </w:r>
      <w:r w:rsidR="006A4374">
        <w:rPr>
          <w:rFonts w:eastAsia="Arial" w:cs="Traditional Arabic" w:hint="cs"/>
          <w:spacing w:val="1"/>
          <w:szCs w:val="32"/>
          <w:rtl/>
        </w:rPr>
        <w:t>ل</w:t>
      </w:r>
      <w:r w:rsidR="006A4374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سياسة التراث واللغة على المستوى </w:t>
      </w:r>
      <w:r w:rsidRPr="00DE4B71">
        <w:rPr>
          <w:rFonts w:eastAsia="Arial" w:cs="Traditional Arabic"/>
          <w:spacing w:val="1"/>
          <w:szCs w:val="32"/>
          <w:rtl/>
        </w:rPr>
        <w:t xml:space="preserve">الوطني </w:t>
      </w:r>
      <w:r w:rsidR="0037647E" w:rsidRPr="006A4374">
        <w:rPr>
          <w:rFonts w:eastAsia="Malgun Gothic" w:cs="Traditional Arabic"/>
          <w:spacing w:val="1"/>
          <w:szCs w:val="32"/>
          <w:rtl/>
          <w:lang w:eastAsia="ko-KR"/>
        </w:rPr>
        <w:t>إطار</w:t>
      </w:r>
      <w:r w:rsidR="009D4232">
        <w:rPr>
          <w:rFonts w:eastAsia="Malgun Gothic" w:cs="Traditional Arabic" w:hint="cs"/>
          <w:spacing w:val="1"/>
          <w:szCs w:val="32"/>
          <w:rtl/>
          <w:lang w:eastAsia="ko-KR"/>
        </w:rPr>
        <w:t>اً</w:t>
      </w:r>
      <w:r w:rsidR="0037647E" w:rsidRPr="006A4374">
        <w:rPr>
          <w:rFonts w:eastAsia="Malgun Gothic" w:cs="Traditional Arabic"/>
          <w:spacing w:val="1"/>
          <w:szCs w:val="32"/>
          <w:rtl/>
          <w:lang w:eastAsia="ko-KR"/>
        </w:rPr>
        <w:t xml:space="preserve"> قانوني</w:t>
      </w:r>
      <w:r w:rsidR="009D4232">
        <w:rPr>
          <w:rFonts w:eastAsia="Malgun Gothic" w:cs="Traditional Arabic" w:hint="cs"/>
          <w:spacing w:val="1"/>
          <w:szCs w:val="32"/>
          <w:rtl/>
          <w:lang w:eastAsia="ko-KR"/>
        </w:rPr>
        <w:t>اً</w:t>
      </w:r>
      <w:r w:rsidRPr="006A4374">
        <w:rPr>
          <w:rFonts w:eastAsia="Arial" w:cs="Traditional Arabic"/>
          <w:spacing w:val="1"/>
          <w:szCs w:val="32"/>
          <w:rtl/>
        </w:rPr>
        <w:t xml:space="preserve"> </w:t>
      </w:r>
      <w:r w:rsidRPr="00DE4B71">
        <w:rPr>
          <w:rFonts w:eastAsia="Arial" w:cs="Traditional Arabic"/>
          <w:spacing w:val="1"/>
          <w:szCs w:val="32"/>
          <w:rtl/>
        </w:rPr>
        <w:t>يوجّ</w:t>
      </w:r>
      <w:r w:rsidR="009D4232">
        <w:rPr>
          <w:rFonts w:eastAsia="Arial" w:cs="Traditional Arabic" w:hint="cs"/>
          <w:spacing w:val="1"/>
          <w:szCs w:val="32"/>
          <w:rtl/>
        </w:rPr>
        <w:t>ِ</w:t>
      </w:r>
      <w:r w:rsidRPr="00DE4B71">
        <w:rPr>
          <w:rFonts w:eastAsia="Arial" w:cs="Traditional Arabic"/>
          <w:spacing w:val="1"/>
          <w:szCs w:val="32"/>
          <w:rtl/>
        </w:rPr>
        <w:t>ه</w:t>
      </w:r>
      <w:r w:rsidRPr="00D860CE">
        <w:rPr>
          <w:rFonts w:eastAsia="Arial" w:cs="Traditional Arabic"/>
          <w:spacing w:val="1"/>
          <w:szCs w:val="32"/>
          <w:rtl/>
        </w:rPr>
        <w:t xml:space="preserve"> الحكوم</w:t>
      </w:r>
      <w:r w:rsidRPr="00D860CE">
        <w:rPr>
          <w:rFonts w:eastAsia="Arial" w:cs="Traditional Arabic" w:hint="cs"/>
          <w:spacing w:val="1"/>
          <w:szCs w:val="32"/>
          <w:rtl/>
        </w:rPr>
        <w:t>ات</w:t>
      </w:r>
      <w:r w:rsidRPr="00D860CE">
        <w:rPr>
          <w:rFonts w:eastAsia="Arial" w:cs="Traditional Arabic"/>
          <w:spacing w:val="1"/>
          <w:szCs w:val="32"/>
          <w:rtl/>
        </w:rPr>
        <w:t xml:space="preserve"> على المستوى المحلي </w:t>
      </w:r>
      <w:r w:rsidRPr="00D860CE">
        <w:rPr>
          <w:rFonts w:eastAsia="Arial" w:cs="Traditional Arabic" w:hint="cs"/>
          <w:spacing w:val="1"/>
          <w:szCs w:val="32"/>
          <w:rtl/>
        </w:rPr>
        <w:t>والمناطقي</w:t>
      </w:r>
      <w:r w:rsidRPr="00D860CE">
        <w:rPr>
          <w:rFonts w:eastAsia="Arial" w:cs="Traditional Arabic"/>
          <w:spacing w:val="1"/>
          <w:szCs w:val="32"/>
          <w:rtl/>
        </w:rPr>
        <w:t xml:space="preserve">، لأن المسائل الثقافية تقع </w:t>
      </w:r>
      <w:r w:rsidR="001B6785">
        <w:rPr>
          <w:rFonts w:eastAsia="Arial" w:cs="Traditional Arabic" w:hint="cs"/>
          <w:spacing w:val="1"/>
          <w:szCs w:val="32"/>
          <w:rtl/>
        </w:rPr>
        <w:t>في</w:t>
      </w:r>
      <w:r w:rsidR="001B6785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نطاق صلاحيات الحكومة الوطنية والحكومات </w:t>
      </w:r>
      <w:r w:rsidRPr="00D860CE">
        <w:rPr>
          <w:rFonts w:eastAsia="Arial" w:cs="Traditional Arabic" w:hint="cs"/>
          <w:spacing w:val="1"/>
          <w:szCs w:val="32"/>
          <w:rtl/>
        </w:rPr>
        <w:t>الإقليمية</w:t>
      </w:r>
      <w:r w:rsidRPr="00D860CE">
        <w:rPr>
          <w:rFonts w:eastAsia="Arial" w:cs="Traditional Arabic"/>
          <w:spacing w:val="1"/>
          <w:szCs w:val="32"/>
          <w:rtl/>
        </w:rPr>
        <w:t xml:space="preserve"> في آن </w:t>
      </w:r>
      <w:r w:rsidRPr="00D860CE">
        <w:rPr>
          <w:rFonts w:eastAsia="Arial" w:cs="Traditional Arabic" w:hint="cs"/>
          <w:spacing w:val="1"/>
          <w:szCs w:val="32"/>
          <w:rtl/>
        </w:rPr>
        <w:t>واحد</w:t>
      </w:r>
      <w:r w:rsidRPr="00D860CE">
        <w:rPr>
          <w:rFonts w:eastAsia="Arial" w:cs="Traditional Arabic"/>
          <w:spacing w:val="1"/>
          <w:szCs w:val="32"/>
          <w:rtl/>
        </w:rPr>
        <w:t>.</w:t>
      </w:r>
      <w:r>
        <w:rPr>
          <w:rFonts w:eastAsia="Arial" w:cs="Traditional Arabic"/>
          <w:spacing w:val="1"/>
          <w:szCs w:val="32"/>
          <w:rtl/>
        </w:rPr>
        <w:t xml:space="preserve"> </w:t>
      </w:r>
    </w:p>
    <w:p w14:paraId="665FA69E" w14:textId="29A26EBD" w:rsidR="009A1C00" w:rsidRPr="00D860CE" w:rsidRDefault="009A1C00" w:rsidP="00453716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Cs w:val="32"/>
          <w:rtl/>
        </w:rPr>
      </w:pPr>
      <w:r w:rsidRPr="009A1C00">
        <w:rPr>
          <w:rFonts w:eastAsia="Arial" w:cs="Traditional Arabic"/>
          <w:b/>
          <w:bCs/>
          <w:spacing w:val="1"/>
          <w:sz w:val="22"/>
          <w:szCs w:val="32"/>
          <w:rtl/>
        </w:rPr>
        <w:t>السياسات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 والمؤسسات</w:t>
      </w:r>
      <w:r w:rsidR="00453716">
        <w:rPr>
          <w:rFonts w:eastAsia="Arial" w:cs="Traditional Arabic" w:hint="cs"/>
          <w:b/>
          <w:bCs/>
          <w:spacing w:val="1"/>
          <w:szCs w:val="32"/>
          <w:rtl/>
        </w:rPr>
        <w:t xml:space="preserve"> </w:t>
      </w:r>
      <w:r w:rsidR="00473C8E">
        <w:rPr>
          <w:rFonts w:eastAsia="Arial" w:cs="Traditional Arabic" w:hint="cs"/>
          <w:b/>
          <w:bCs/>
          <w:spacing w:val="1"/>
          <w:szCs w:val="32"/>
          <w:rtl/>
        </w:rPr>
        <w:t>المرتبطة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 </w:t>
      </w:r>
      <w:r w:rsidR="00473C8E">
        <w:rPr>
          <w:rFonts w:eastAsia="Arial" w:cs="Traditional Arabic" w:hint="cs"/>
          <w:b/>
          <w:bCs/>
          <w:spacing w:val="1"/>
          <w:szCs w:val="32"/>
          <w:rtl/>
        </w:rPr>
        <w:t>ب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>وزارة الفنون والثقافة</w:t>
      </w:r>
    </w:p>
    <w:p w14:paraId="7E87E545" w14:textId="59990359" w:rsidR="009A1C00" w:rsidRPr="00D860CE" w:rsidRDefault="009A1C00" w:rsidP="00A72B46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>يُعتبر صون التراث الحيّ (أو مساعدة الجماعات في صونه) من مسؤوليات وزارة الفنون والثقافة، حيث أنشئ قسمٌ خاصٌ بالتراث الحي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وقد </w:t>
      </w:r>
      <w:r w:rsidRPr="00D860CE">
        <w:rPr>
          <w:rFonts w:eastAsia="Arial" w:cs="Traditional Arabic"/>
          <w:spacing w:val="1"/>
          <w:szCs w:val="32"/>
          <w:rtl/>
        </w:rPr>
        <w:t xml:space="preserve">وضعت </w:t>
      </w:r>
      <w:r w:rsidRPr="00D860CE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 xml:space="preserve">وزارة </w:t>
      </w:r>
      <w:r w:rsidR="00EB4637">
        <w:rPr>
          <w:rFonts w:eastAsia="Arial" w:cs="Traditional Arabic" w:hint="cs"/>
          <w:spacing w:val="1"/>
          <w:szCs w:val="32"/>
          <w:rtl/>
        </w:rPr>
        <w:t xml:space="preserve">مشروع سياسة </w:t>
      </w:r>
      <w:r w:rsidRPr="00D860CE">
        <w:rPr>
          <w:rFonts w:eastAsia="Arial" w:cs="Traditional Arabic"/>
          <w:spacing w:val="1"/>
          <w:szCs w:val="32"/>
          <w:rtl/>
        </w:rPr>
        <w:t>التراث الحي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 في عام 2009، في إطار السياسة الثقافية القائمة (الكتاب الأبيض بشأن الفنون والثقافة والتراث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الصادر </w:t>
      </w:r>
      <w:r w:rsidRPr="00D860CE">
        <w:rPr>
          <w:rFonts w:eastAsia="Arial" w:cs="Traditional Arabic"/>
          <w:spacing w:val="1"/>
          <w:szCs w:val="32"/>
          <w:rtl/>
        </w:rPr>
        <w:t xml:space="preserve">في عام 1996).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ويتم حالياً تقدير </w:t>
      </w:r>
      <w:r w:rsidRPr="00D860CE">
        <w:rPr>
          <w:rFonts w:eastAsia="Arial" w:cs="Traditional Arabic"/>
          <w:spacing w:val="1"/>
          <w:szCs w:val="32"/>
          <w:rtl/>
        </w:rPr>
        <w:t>كلفة هذه السياسة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="00FF4802">
        <w:rPr>
          <w:rFonts w:eastAsia="Arial" w:cs="Traditional Arabic" w:hint="cs"/>
          <w:spacing w:val="1"/>
          <w:szCs w:val="32"/>
          <w:rtl/>
        </w:rPr>
        <w:t>التي طُ</w:t>
      </w:r>
      <w:r w:rsidR="00486923">
        <w:rPr>
          <w:rFonts w:eastAsia="Arial" w:cs="Traditional Arabic" w:hint="cs"/>
          <w:spacing w:val="1"/>
          <w:szCs w:val="32"/>
          <w:rtl/>
        </w:rPr>
        <w:t>رح مشروعها للتشاور العام</w:t>
      </w:r>
      <w:r w:rsidR="00FF4802" w:rsidRPr="005E065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(2011).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وقد </w:t>
      </w:r>
      <w:r w:rsidRPr="00D860CE">
        <w:rPr>
          <w:rFonts w:eastAsia="Arial" w:cs="Traditional Arabic"/>
          <w:spacing w:val="1"/>
          <w:szCs w:val="32"/>
          <w:rtl/>
        </w:rPr>
        <w:t>أوكل</w:t>
      </w:r>
      <w:r w:rsidR="00A51DFB">
        <w:rPr>
          <w:rFonts w:eastAsia="Arial" w:cs="Traditional Arabic" w:hint="cs"/>
          <w:spacing w:val="1"/>
          <w:szCs w:val="32"/>
          <w:rtl/>
        </w:rPr>
        <w:t>ت إلى</w:t>
      </w:r>
      <w:r w:rsidRPr="00D860CE">
        <w:rPr>
          <w:rFonts w:eastAsia="Arial" w:cs="Traditional Arabic"/>
          <w:spacing w:val="1"/>
          <w:szCs w:val="32"/>
          <w:rtl/>
        </w:rPr>
        <w:t xml:space="preserve"> عامل</w:t>
      </w:r>
      <w:r w:rsidR="00801161">
        <w:rPr>
          <w:rFonts w:eastAsia="Arial" w:cs="Traditional Arabic" w:hint="cs"/>
          <w:spacing w:val="1"/>
          <w:szCs w:val="32"/>
          <w:rtl/>
        </w:rPr>
        <w:t>ي</w:t>
      </w:r>
      <w:r w:rsidRPr="00D860CE">
        <w:rPr>
          <w:rFonts w:eastAsia="Arial" w:cs="Traditional Arabic"/>
          <w:spacing w:val="1"/>
          <w:szCs w:val="32"/>
          <w:rtl/>
        </w:rPr>
        <w:t xml:space="preserve">ن </w:t>
      </w:r>
      <w:r w:rsidRPr="00D860CE">
        <w:rPr>
          <w:rFonts w:eastAsia="Arial" w:cs="Traditional Arabic" w:hint="cs"/>
          <w:spacing w:val="1"/>
          <w:szCs w:val="32"/>
          <w:rtl/>
        </w:rPr>
        <w:t>في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 xml:space="preserve">وزارة مسؤولية الإشراف على وضع قائمة حصر </w:t>
      </w:r>
      <w:r w:rsidRPr="00D860CE">
        <w:rPr>
          <w:rFonts w:eastAsia="Arial" w:cs="Traditional Arabic" w:hint="cs"/>
          <w:spacing w:val="1"/>
          <w:szCs w:val="32"/>
          <w:rtl/>
        </w:rPr>
        <w:t>ا</w:t>
      </w:r>
      <w:r w:rsidRPr="00D860CE">
        <w:rPr>
          <w:rFonts w:eastAsia="Arial" w:cs="Traditional Arabic"/>
          <w:spacing w:val="1"/>
          <w:szCs w:val="32"/>
          <w:rtl/>
        </w:rPr>
        <w:t>لتراث الثقافي غير المادي في البلد. وتشرف الوزارة على مجلس التراث الوطني (الذي يقدّم المشورة بشأن السياسات و</w:t>
      </w:r>
      <w:r w:rsidRPr="00D860CE">
        <w:rPr>
          <w:rFonts w:eastAsia="Arial" w:cs="Traditional Arabic" w:hint="cs"/>
          <w:spacing w:val="1"/>
          <w:szCs w:val="32"/>
          <w:rtl/>
        </w:rPr>
        <w:t>يضطلع</w:t>
      </w:r>
      <w:r w:rsidR="00A72B46">
        <w:rPr>
          <w:rFonts w:eastAsia="Arial" w:cs="Traditional Arabic" w:hint="cs"/>
          <w:spacing w:val="1"/>
          <w:szCs w:val="32"/>
          <w:rtl/>
        </w:rPr>
        <w:t xml:space="preserve"> بمهام تنسيقية</w:t>
      </w:r>
      <w:r w:rsidRPr="00D860CE">
        <w:rPr>
          <w:rFonts w:eastAsia="Arial" w:cs="Traditional Arabic"/>
          <w:spacing w:val="1"/>
          <w:szCs w:val="32"/>
          <w:rtl/>
        </w:rPr>
        <w:t xml:space="preserve"> في مجال التراث) ووكالة موارد التراث في جنوب أفريقيا (وهي مسؤولة عن إدارة قيم التراث غير المادي المرتبطة بالمواقع والقطع التراثية). </w:t>
      </w:r>
    </w:p>
    <w:p w14:paraId="5B1F10EA" w14:textId="77777777" w:rsidR="0040024C" w:rsidRDefault="0040024C" w:rsidP="009A1C00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</w:p>
    <w:p w14:paraId="3E737B28" w14:textId="77777777" w:rsidR="009A1C00" w:rsidRPr="00D860CE" w:rsidRDefault="009A1C00" w:rsidP="0040024C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Cs w:val="32"/>
          <w:rtl/>
        </w:rPr>
      </w:pPr>
      <w:r w:rsidRPr="009A1C00">
        <w:rPr>
          <w:rFonts w:eastAsia="Arial" w:cs="Traditional Arabic"/>
          <w:b/>
          <w:bCs/>
          <w:spacing w:val="1"/>
          <w:sz w:val="22"/>
          <w:szCs w:val="32"/>
          <w:rtl/>
        </w:rPr>
        <w:lastRenderedPageBreak/>
        <w:t>السياسات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 والمؤسسات </w:t>
      </w:r>
      <w:r w:rsidRPr="00D860CE">
        <w:rPr>
          <w:rFonts w:eastAsia="Arial" w:cs="Traditional Arabic" w:hint="cs"/>
          <w:b/>
          <w:bCs/>
          <w:spacing w:val="1"/>
          <w:szCs w:val="32"/>
          <w:rtl/>
        </w:rPr>
        <w:t>المرتبطة ب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>وزارات أخرى</w:t>
      </w:r>
      <w:r w:rsidRPr="00D860CE">
        <w:rPr>
          <w:rFonts w:eastAsia="Arial" w:cs="Traditional Arabic" w:hint="cs"/>
          <w:b/>
          <w:bCs/>
          <w:spacing w:val="1"/>
          <w:szCs w:val="32"/>
          <w:rtl/>
        </w:rPr>
        <w:t xml:space="preserve"> </w:t>
      </w:r>
    </w:p>
    <w:p w14:paraId="6F48875E" w14:textId="6DE19643" w:rsidR="009A1C00" w:rsidRPr="00D860CE" w:rsidRDefault="009A1C00" w:rsidP="00C71976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 xml:space="preserve">لا تُعنى وزارة الفنون والثقافة وحدها بصون التراث الثقافي غير المادي.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فقد </w:t>
      </w:r>
      <w:r w:rsidRPr="00D860CE">
        <w:rPr>
          <w:rFonts w:eastAsia="Arial" w:cs="Traditional Arabic"/>
          <w:spacing w:val="1"/>
          <w:szCs w:val="32"/>
          <w:rtl/>
        </w:rPr>
        <w:t>أنشأت وزارة العلوم والتكنولوجيا</w:t>
      </w:r>
      <w:r w:rsidRPr="00D860CE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في عام 2004، </w:t>
      </w:r>
      <w:r w:rsidRPr="00D860CE">
        <w:rPr>
          <w:rFonts w:eastAsia="Arial" w:cs="Traditional Arabic"/>
          <w:spacing w:val="1"/>
          <w:szCs w:val="32"/>
          <w:rtl/>
        </w:rPr>
        <w:t>بموجب سياسة</w:t>
      </w:r>
      <w:r w:rsidR="008E3447">
        <w:rPr>
          <w:rFonts w:eastAsia="Arial" w:cs="Traditional Arabic" w:hint="cs"/>
          <w:spacing w:val="1"/>
          <w:szCs w:val="32"/>
          <w:rtl/>
        </w:rPr>
        <w:t xml:space="preserve"> نظم معارف السكان الأصليين</w:t>
      </w:r>
      <w:r w:rsidRPr="00D860CE">
        <w:rPr>
          <w:rFonts w:eastAsia="Arial" w:cs="Traditional Arabic"/>
          <w:spacing w:val="1"/>
          <w:szCs w:val="32"/>
          <w:rtl/>
        </w:rPr>
        <w:t xml:space="preserve">، وكالةً (هي المكتب الوطني </w:t>
      </w:r>
      <w:r w:rsidR="00C775D6">
        <w:rPr>
          <w:rFonts w:eastAsia="Arial" w:cs="Traditional Arabic" w:hint="cs"/>
          <w:spacing w:val="1"/>
          <w:szCs w:val="32"/>
          <w:rtl/>
        </w:rPr>
        <w:t>لنظم معارف السكان الأصليين</w:t>
      </w:r>
      <w:r w:rsidR="00862DB9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أو "نيكسو"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="004D2A7A">
        <w:rPr>
          <w:rFonts w:eastAsia="Arial" w:cs="Traditional Arabic" w:hint="cs"/>
          <w:spacing w:val="1"/>
          <w:szCs w:val="32"/>
          <w:rtl/>
        </w:rPr>
        <w:t>(</w:t>
      </w:r>
      <w:r w:rsidRPr="00D860CE">
        <w:rPr>
          <w:rFonts w:eastAsia="Arial" w:cs="Traditional Arabic"/>
          <w:spacing w:val="-1"/>
          <w:szCs w:val="32"/>
        </w:rPr>
        <w:t>NIKS</w:t>
      </w:r>
      <w:r w:rsidRPr="00D860CE">
        <w:rPr>
          <w:rFonts w:eastAsia="Arial" w:cs="Traditional Arabic"/>
          <w:spacing w:val="2"/>
          <w:szCs w:val="32"/>
        </w:rPr>
        <w:t>O</w:t>
      </w:r>
      <w:r w:rsidRPr="00D860CE">
        <w:rPr>
          <w:rFonts w:eastAsia="Arial" w:cs="Traditional Arabic"/>
          <w:spacing w:val="1"/>
          <w:szCs w:val="32"/>
          <w:rtl/>
        </w:rPr>
        <w:t>)</w:t>
      </w:r>
      <w:r w:rsidR="004D2A7A">
        <w:rPr>
          <w:rFonts w:eastAsia="Arial" w:cs="Traditional Arabic" w:hint="cs"/>
          <w:spacing w:val="1"/>
          <w:szCs w:val="32"/>
          <w:rtl/>
        </w:rPr>
        <w:t>)</w:t>
      </w:r>
      <w:r w:rsidRPr="00D860CE">
        <w:rPr>
          <w:rFonts w:eastAsia="Arial" w:cs="Traditional Arabic"/>
          <w:spacing w:val="1"/>
          <w:szCs w:val="32"/>
          <w:rtl/>
        </w:rPr>
        <w:t xml:space="preserve"> تهتم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 بوضع قائمة حصر التراث الثقافي غير المادي الذي قد يكون له تطبيقات تجارية (</w:t>
      </w:r>
      <w:r w:rsidR="006728FF">
        <w:rPr>
          <w:rFonts w:eastAsia="Arial" w:cs="Traditional Arabic" w:hint="cs"/>
          <w:spacing w:val="1"/>
          <w:szCs w:val="32"/>
          <w:rtl/>
        </w:rPr>
        <w:t xml:space="preserve">هذا ما </w:t>
      </w:r>
      <w:r w:rsidRPr="00D860CE">
        <w:rPr>
          <w:rFonts w:eastAsia="Arial" w:cs="Traditional Arabic"/>
          <w:spacing w:val="1"/>
          <w:szCs w:val="32"/>
          <w:rtl/>
        </w:rPr>
        <w:t>يُسمّى "</w:t>
      </w:r>
      <w:r w:rsidR="00B21A07">
        <w:rPr>
          <w:rFonts w:eastAsia="Arial" w:cs="Traditional Arabic" w:hint="cs"/>
          <w:spacing w:val="1"/>
          <w:szCs w:val="32"/>
          <w:rtl/>
        </w:rPr>
        <w:t>معارف السكان الأصليين</w:t>
      </w:r>
      <w:r w:rsidRPr="00D860CE">
        <w:rPr>
          <w:rFonts w:eastAsia="Arial" w:cs="Traditional Arabic"/>
          <w:spacing w:val="1"/>
          <w:szCs w:val="32"/>
          <w:rtl/>
        </w:rPr>
        <w:t>") وتعز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ز </w:t>
      </w:r>
      <w:r w:rsidR="00D80BAC">
        <w:rPr>
          <w:rFonts w:eastAsia="Arial" w:cs="Traditional Arabic" w:hint="cs"/>
          <w:spacing w:val="1"/>
          <w:szCs w:val="32"/>
          <w:rtl/>
        </w:rPr>
        <w:t>مساهمة هذا التراث</w:t>
      </w:r>
      <w:r w:rsidR="00D80BAC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في الاقتصاد الوطني مع حماية حقوق الجماعات</w:t>
      </w:r>
      <w:r w:rsidR="00C71976">
        <w:rPr>
          <w:rFonts w:eastAsia="Arial" w:cs="Traditional Arabic" w:hint="cs"/>
          <w:spacing w:val="1"/>
          <w:szCs w:val="32"/>
          <w:rtl/>
        </w:rPr>
        <w:t xml:space="preserve"> في ملكيته</w:t>
      </w:r>
      <w:r w:rsidRPr="00D860CE">
        <w:rPr>
          <w:rFonts w:eastAsia="Arial" w:cs="Traditional Arabic"/>
          <w:spacing w:val="1"/>
          <w:szCs w:val="32"/>
          <w:rtl/>
        </w:rPr>
        <w:t>.</w:t>
      </w:r>
    </w:p>
    <w:p w14:paraId="4C7E192F" w14:textId="526D14B4" w:rsidR="009A1C00" w:rsidRPr="00D860CE" w:rsidRDefault="0053110D" w:rsidP="00997CEF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>
        <w:rPr>
          <w:rFonts w:eastAsia="Arial" w:cs="Traditional Arabic" w:hint="cs"/>
          <w:spacing w:val="1"/>
          <w:szCs w:val="32"/>
          <w:rtl/>
        </w:rPr>
        <w:t>و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أدخلت وزارة التجارة والصناعة بعض التعديلات على قانون الملكية الفكرية الوطني ليشمل </w:t>
      </w:r>
      <w:r w:rsidR="00991510">
        <w:rPr>
          <w:rFonts w:eastAsia="Arial" w:cs="Traditional Arabic" w:hint="cs"/>
          <w:spacing w:val="1"/>
          <w:szCs w:val="32"/>
          <w:rtl/>
        </w:rPr>
        <w:t>معارف السكان الأصليين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="009A1C00" w:rsidRPr="00D860CE">
        <w:rPr>
          <w:rFonts w:eastAsia="Arial" w:cs="Traditional Arabic" w:hint="cs"/>
          <w:spacing w:val="1"/>
          <w:szCs w:val="32"/>
          <w:rtl/>
        </w:rPr>
        <w:t>و</w:t>
      </w:r>
      <w:r w:rsidR="009A1C00" w:rsidRPr="00D860CE">
        <w:rPr>
          <w:rFonts w:eastAsia="Arial" w:cs="Traditional Arabic"/>
          <w:spacing w:val="1"/>
          <w:szCs w:val="32"/>
          <w:rtl/>
        </w:rPr>
        <w:t>جرى</w:t>
      </w:r>
      <w:r w:rsidR="009A1C00"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="009A1C00" w:rsidRPr="00D860CE">
        <w:rPr>
          <w:rFonts w:eastAsia="Arial" w:cs="Traditional Arabic"/>
          <w:spacing w:val="1"/>
          <w:szCs w:val="32"/>
          <w:rtl/>
        </w:rPr>
        <w:t>على سبيل المثال</w:t>
      </w:r>
      <w:r w:rsidR="009A1C00">
        <w:rPr>
          <w:rFonts w:eastAsia="Arial" w:cs="Traditional Arabic"/>
          <w:spacing w:val="1"/>
          <w:szCs w:val="32"/>
          <w:rtl/>
        </w:rPr>
        <w:t xml:space="preserve"> </w:t>
      </w:r>
      <w:r w:rsidR="009A1C00" w:rsidRPr="00D860CE">
        <w:rPr>
          <w:rFonts w:eastAsia="Arial" w:cs="Traditional Arabic"/>
          <w:spacing w:val="1"/>
          <w:szCs w:val="32"/>
          <w:rtl/>
        </w:rPr>
        <w:t>تعديل قانون براءات الاختراع في عام 2005</w:t>
      </w:r>
      <w:r w:rsidR="009A1C00" w:rsidRPr="00D860CE">
        <w:rPr>
          <w:rFonts w:eastAsia="Arial" w:cs="Traditional Arabic" w:hint="cs"/>
          <w:spacing w:val="1"/>
          <w:szCs w:val="32"/>
          <w:rtl/>
        </w:rPr>
        <w:t xml:space="preserve"> فبات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ينصّ على ضرورة حصول مقدّمي براءات الاختراع على إذنٍ من الجماعات المعنية</w:t>
      </w:r>
      <w:r w:rsidR="009A1C00" w:rsidRPr="00D860CE">
        <w:rPr>
          <w:rFonts w:eastAsia="Arial" w:cs="Traditional Arabic" w:hint="cs"/>
          <w:spacing w:val="1"/>
          <w:szCs w:val="32"/>
          <w:rtl/>
        </w:rPr>
        <w:t>،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إذا ما كانت البراءة تعتمد على "مورد بيولوجي أصلي أو مورد جيني أصلي أو </w:t>
      </w:r>
      <w:r w:rsidR="009A1C00" w:rsidRPr="00D860CE">
        <w:rPr>
          <w:rFonts w:eastAsia="Arial" w:cs="Traditional Arabic" w:hint="cs"/>
          <w:spacing w:val="1"/>
          <w:szCs w:val="32"/>
          <w:rtl/>
        </w:rPr>
        <w:t>معارف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تقليدية </w:t>
      </w:r>
      <w:r w:rsidR="009A1C00" w:rsidRPr="008F53D5">
        <w:rPr>
          <w:rFonts w:eastAsia="Arial" w:cs="Traditional Arabic"/>
          <w:spacing w:val="1"/>
          <w:szCs w:val="32"/>
          <w:rtl/>
        </w:rPr>
        <w:t>أو استخدامها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". </w:t>
      </w:r>
      <w:r w:rsidR="000A2DEC">
        <w:rPr>
          <w:rFonts w:eastAsia="Arial" w:cs="Traditional Arabic" w:hint="cs"/>
          <w:spacing w:val="1"/>
          <w:szCs w:val="32"/>
          <w:rtl/>
        </w:rPr>
        <w:t>واقت</w:t>
      </w:r>
      <w:r w:rsidR="006213C7">
        <w:rPr>
          <w:rFonts w:eastAsia="Arial" w:cs="Traditional Arabic" w:hint="cs"/>
          <w:spacing w:val="1"/>
          <w:szCs w:val="32"/>
          <w:rtl/>
        </w:rPr>
        <w:t>ُ</w:t>
      </w:r>
      <w:r w:rsidR="000A2DEC">
        <w:rPr>
          <w:rFonts w:eastAsia="Arial" w:cs="Traditional Arabic" w:hint="cs"/>
          <w:spacing w:val="1"/>
          <w:szCs w:val="32"/>
          <w:rtl/>
        </w:rPr>
        <w:t xml:space="preserve">رح إدخال تعديلات أخرى </w:t>
      </w:r>
      <w:r w:rsidR="00C11598">
        <w:rPr>
          <w:rFonts w:eastAsia="Arial" w:cs="Traditional Arabic" w:hint="cs"/>
          <w:spacing w:val="1"/>
          <w:szCs w:val="32"/>
          <w:rtl/>
        </w:rPr>
        <w:t xml:space="preserve">على </w:t>
      </w:r>
      <w:r w:rsidR="009A1C00" w:rsidRPr="00D860CE">
        <w:rPr>
          <w:rFonts w:eastAsia="Arial" w:cs="Traditional Arabic"/>
          <w:spacing w:val="1"/>
          <w:szCs w:val="32"/>
          <w:rtl/>
        </w:rPr>
        <w:t>قانون حماية المؤدّين (ل</w:t>
      </w:r>
      <w:r w:rsidR="009A1C00" w:rsidRPr="00D860CE">
        <w:rPr>
          <w:rFonts w:eastAsia="Arial" w:cs="Traditional Arabic" w:hint="cs"/>
          <w:spacing w:val="1"/>
          <w:szCs w:val="32"/>
          <w:rtl/>
        </w:rPr>
        <w:t xml:space="preserve">كي </w:t>
      </w:r>
      <w:r w:rsidR="009A1C00" w:rsidRPr="00D860CE">
        <w:rPr>
          <w:rFonts w:eastAsia="Arial" w:cs="Traditional Arabic"/>
          <w:spacing w:val="1"/>
          <w:szCs w:val="32"/>
          <w:rtl/>
        </w:rPr>
        <w:t>تشمل الحماية "</w:t>
      </w:r>
      <w:r w:rsidR="00EB1D64">
        <w:rPr>
          <w:rFonts w:eastAsia="Arial" w:cs="Traditional Arabic" w:hint="cs"/>
          <w:spacing w:val="1"/>
          <w:szCs w:val="32"/>
          <w:rtl/>
        </w:rPr>
        <w:t xml:space="preserve">أشكال التعبير </w:t>
      </w:r>
      <w:r w:rsidR="009A1C00" w:rsidRPr="00D860CE">
        <w:rPr>
          <w:rFonts w:eastAsia="Arial" w:cs="Traditional Arabic"/>
          <w:spacing w:val="1"/>
          <w:szCs w:val="32"/>
          <w:rtl/>
        </w:rPr>
        <w:t>الفولكلور</w:t>
      </w:r>
      <w:r w:rsidR="00891A26">
        <w:rPr>
          <w:rFonts w:eastAsia="Arial" w:cs="Traditional Arabic" w:hint="cs"/>
          <w:spacing w:val="1"/>
          <w:szCs w:val="32"/>
          <w:rtl/>
        </w:rPr>
        <w:t>ي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") وقانون حقوق النشر (لتشمل الحماية "الأعمال ذات الطابع التقليدي" وإنشاء صندوق استئماني </w:t>
      </w:r>
      <w:r w:rsidR="00734B77" w:rsidRPr="00D860CE">
        <w:rPr>
          <w:rFonts w:eastAsia="Arial" w:cs="Traditional Arabic"/>
          <w:spacing w:val="1"/>
          <w:szCs w:val="32"/>
          <w:rtl/>
        </w:rPr>
        <w:t xml:space="preserve">وطني 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للملكية الفكرية التقليدية). </w:t>
      </w:r>
      <w:r w:rsidR="00997CEF">
        <w:rPr>
          <w:rFonts w:eastAsia="Arial" w:cs="Traditional Arabic" w:hint="cs"/>
          <w:spacing w:val="1"/>
          <w:szCs w:val="32"/>
          <w:rtl/>
        </w:rPr>
        <w:t xml:space="preserve">وكان البرلمان 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(في عام 2011) </w:t>
      </w:r>
      <w:r w:rsidR="0002790D">
        <w:rPr>
          <w:rFonts w:eastAsia="Arial" w:cs="Traditional Arabic" w:hint="cs"/>
          <w:spacing w:val="1"/>
          <w:szCs w:val="32"/>
          <w:rtl/>
        </w:rPr>
        <w:t xml:space="preserve">بصدد مناقشة 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هذه التعديلات. </w:t>
      </w:r>
    </w:p>
    <w:p w14:paraId="1C98F977" w14:textId="4DE225C0" w:rsidR="009A1C00" w:rsidRPr="00D860CE" w:rsidRDefault="009A1C00" w:rsidP="008A3063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>وضعت وزارة البيئة والسياحة أيضا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لوائح</w:t>
      </w:r>
      <w:r w:rsidRPr="00D860CE">
        <w:rPr>
          <w:rFonts w:eastAsia="Arial" w:cs="Traditional Arabic"/>
          <w:spacing w:val="1"/>
          <w:szCs w:val="32"/>
          <w:rtl/>
        </w:rPr>
        <w:t xml:space="preserve"> تنصّ على أن تراخيص البحث </w:t>
      </w:r>
      <w:r w:rsidR="00A01CEB">
        <w:rPr>
          <w:rFonts w:eastAsia="Arial" w:cs="Traditional Arabic" w:hint="cs"/>
          <w:spacing w:val="1"/>
          <w:szCs w:val="32"/>
          <w:rtl/>
        </w:rPr>
        <w:t>والاستقصاء البيولوجي والتصدير الخاصة ب</w:t>
      </w:r>
      <w:r w:rsidRPr="00D860CE">
        <w:rPr>
          <w:rFonts w:eastAsia="Arial" w:cs="Traditional Arabic"/>
          <w:spacing w:val="1"/>
          <w:szCs w:val="32"/>
          <w:rtl/>
        </w:rPr>
        <w:t xml:space="preserve">الموارد البيولوجية الأصلية لا تُمنح إلاّ بعد الحصول على الموافقة المسبقة </w:t>
      </w:r>
      <w:r w:rsidRPr="00D860CE">
        <w:rPr>
          <w:rFonts w:eastAsia="Arial" w:cs="Traditional Arabic" w:hint="cs"/>
          <w:spacing w:val="1"/>
          <w:szCs w:val="32"/>
          <w:rtl/>
        </w:rPr>
        <w:t>والمطلعة</w:t>
      </w:r>
      <w:r w:rsidRPr="00D860CE">
        <w:rPr>
          <w:rFonts w:eastAsia="Arial" w:cs="Traditional Arabic"/>
          <w:spacing w:val="1"/>
          <w:szCs w:val="32"/>
          <w:rtl/>
        </w:rPr>
        <w:t xml:space="preserve"> من الجهات المعنية التي تتيح </w:t>
      </w:r>
      <w:r w:rsidRPr="00D860CE">
        <w:rPr>
          <w:rFonts w:eastAsia="Arial" w:cs="Traditional Arabic" w:hint="cs"/>
          <w:spacing w:val="1"/>
          <w:szCs w:val="32"/>
          <w:rtl/>
        </w:rPr>
        <w:t>الانتفاع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>الموارد البيولوجية الأصلية (ومنها الجماعات التي تم</w:t>
      </w:r>
      <w:r w:rsidR="00A711BE">
        <w:rPr>
          <w:rFonts w:eastAsia="Arial" w:cs="Traditional Arabic" w:hint="cs"/>
          <w:spacing w:val="1"/>
          <w:szCs w:val="32"/>
          <w:rtl/>
        </w:rPr>
        <w:t>ت</w:t>
      </w:r>
      <w:r w:rsidRPr="00D860CE">
        <w:rPr>
          <w:rFonts w:eastAsia="Arial" w:cs="Traditional Arabic"/>
          <w:spacing w:val="1"/>
          <w:szCs w:val="32"/>
          <w:rtl/>
        </w:rPr>
        <w:t>لك المع</w:t>
      </w:r>
      <w:r w:rsidR="00A711BE">
        <w:rPr>
          <w:rFonts w:eastAsia="Arial" w:cs="Traditional Arabic" w:hint="cs"/>
          <w:spacing w:val="1"/>
          <w:szCs w:val="32"/>
          <w:rtl/>
        </w:rPr>
        <w:t>ا</w:t>
      </w:r>
      <w:r w:rsidRPr="00D860CE">
        <w:rPr>
          <w:rFonts w:eastAsia="Arial" w:cs="Traditional Arabic"/>
          <w:spacing w:val="1"/>
          <w:szCs w:val="32"/>
          <w:rtl/>
        </w:rPr>
        <w:t>رف أو الأر</w:t>
      </w:r>
      <w:r w:rsidR="008A3063">
        <w:rPr>
          <w:rFonts w:eastAsia="Arial" w:cs="Traditional Arabic" w:hint="cs"/>
          <w:spacing w:val="1"/>
          <w:szCs w:val="32"/>
          <w:rtl/>
        </w:rPr>
        <w:t>ا</w:t>
      </w:r>
      <w:r w:rsidRPr="00D860CE">
        <w:rPr>
          <w:rFonts w:eastAsia="Arial" w:cs="Traditional Arabic"/>
          <w:spacing w:val="1"/>
          <w:szCs w:val="32"/>
          <w:rtl/>
        </w:rPr>
        <w:t>ض</w:t>
      </w:r>
      <w:r w:rsidR="008A3063">
        <w:rPr>
          <w:rFonts w:eastAsia="Arial" w:cs="Traditional Arabic" w:hint="cs"/>
          <w:spacing w:val="1"/>
          <w:szCs w:val="32"/>
          <w:rtl/>
        </w:rPr>
        <w:t>ي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215053">
        <w:rPr>
          <w:rFonts w:eastAsia="Arial" w:cs="Traditional Arabic" w:hint="cs"/>
          <w:spacing w:val="1"/>
          <w:szCs w:val="32"/>
          <w:rtl/>
        </w:rPr>
        <w:t>المعنية</w:t>
      </w:r>
      <w:r w:rsidRPr="00D860CE">
        <w:rPr>
          <w:rFonts w:eastAsia="Arial" w:cs="Traditional Arabic"/>
          <w:spacing w:val="1"/>
          <w:szCs w:val="32"/>
          <w:rtl/>
        </w:rPr>
        <w:t xml:space="preserve">). </w:t>
      </w:r>
      <w:r w:rsidR="00015AB4">
        <w:rPr>
          <w:rFonts w:eastAsia="Arial" w:cs="Traditional Arabic" w:hint="cs"/>
          <w:spacing w:val="1"/>
          <w:szCs w:val="32"/>
          <w:rtl/>
        </w:rPr>
        <w:t>ويضمن</w:t>
      </w:r>
      <w:r w:rsidR="00015AB4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نظام التراخيص هذا إشراك الجماعات قدر الإمكان في تقاسم المنافع.</w:t>
      </w:r>
      <w:r w:rsidRPr="00D860CE">
        <w:rPr>
          <w:rStyle w:val="FootnoteReference"/>
          <w:rFonts w:eastAsia="Arial" w:cs="Traditional Arabic"/>
          <w:spacing w:val="1"/>
          <w:szCs w:val="32"/>
          <w:rtl/>
        </w:rPr>
        <w:footnoteReference w:id="1"/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bookmarkStart w:id="2" w:name="_GoBack"/>
      <w:bookmarkEnd w:id="2"/>
    </w:p>
    <w:p w14:paraId="4B424971" w14:textId="3940DB0F" w:rsidR="00384DE7" w:rsidRPr="00221A95" w:rsidRDefault="00917F7B" w:rsidP="001B2055">
      <w:pPr>
        <w:bidi/>
        <w:spacing w:after="200" w:line="240" w:lineRule="auto"/>
        <w:rPr>
          <w:rFonts w:cs="Traditional Arabic"/>
          <w:b/>
          <w:bCs/>
          <w:noProof/>
          <w:color w:val="0000FF"/>
          <w:sz w:val="22"/>
          <w:szCs w:val="40"/>
          <w:rtl/>
          <w:lang w:val="en-GB" w:eastAsia="en-US" w:bidi="ar-SY"/>
        </w:rPr>
      </w:pPr>
      <w:r>
        <w:rPr>
          <w:rFonts w:eastAsia="Arial" w:cs="Traditional Arabic" w:hint="cs"/>
          <w:spacing w:val="1"/>
          <w:szCs w:val="32"/>
          <w:rtl/>
        </w:rPr>
        <w:t>و</w:t>
      </w:r>
      <w:r w:rsidR="009A1C00" w:rsidRPr="00D860CE">
        <w:rPr>
          <w:rFonts w:eastAsia="Arial" w:cs="Traditional Arabic"/>
          <w:spacing w:val="1"/>
          <w:szCs w:val="32"/>
          <w:rtl/>
        </w:rPr>
        <w:t>في الوقت عينه، وضعت وزارتا الصحة والزراعة</w:t>
      </w:r>
      <w:r w:rsidR="009A1C00" w:rsidRPr="00D860CE">
        <w:rPr>
          <w:rFonts w:eastAsia="Arial" w:cs="Traditional Arabic" w:hint="cs"/>
          <w:spacing w:val="1"/>
          <w:szCs w:val="32"/>
          <w:rtl/>
        </w:rPr>
        <w:t>،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على سبيل المثال</w:t>
      </w:r>
      <w:r w:rsidR="009A1C00" w:rsidRPr="00D860CE">
        <w:rPr>
          <w:rFonts w:eastAsia="Arial" w:cs="Traditional Arabic" w:hint="cs"/>
          <w:spacing w:val="1"/>
          <w:szCs w:val="32"/>
          <w:rtl/>
        </w:rPr>
        <w:t>،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سياسات وتشريعات </w:t>
      </w:r>
      <w:r w:rsidR="009A1C00" w:rsidRPr="00D860CE">
        <w:rPr>
          <w:rFonts w:eastAsia="Arial" w:cs="Traditional Arabic" w:hint="cs"/>
          <w:spacing w:val="1"/>
          <w:szCs w:val="32"/>
          <w:rtl/>
        </w:rPr>
        <w:t>ولوائح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أخرى تحمي حقوق الجماعات </w:t>
      </w:r>
      <w:r w:rsidR="009A1C00" w:rsidRPr="00D860CE">
        <w:rPr>
          <w:rFonts w:eastAsia="Arial" w:cs="Traditional Arabic" w:hint="cs"/>
          <w:spacing w:val="1"/>
          <w:szCs w:val="32"/>
          <w:rtl/>
        </w:rPr>
        <w:t>في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382E50">
        <w:rPr>
          <w:rFonts w:eastAsia="Arial" w:cs="Traditional Arabic" w:hint="cs"/>
          <w:spacing w:val="1"/>
          <w:szCs w:val="32"/>
          <w:rtl/>
        </w:rPr>
        <w:t xml:space="preserve">ملكية 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تراثها الثقافي غير المادي وحقوق الشعوب </w:t>
      </w:r>
      <w:r w:rsidR="001B2055">
        <w:rPr>
          <w:rFonts w:eastAsia="Arial" w:cs="Traditional Arabic" w:hint="cs"/>
          <w:spacing w:val="1"/>
          <w:szCs w:val="32"/>
          <w:rtl/>
        </w:rPr>
        <w:t xml:space="preserve">في 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التمتع </w:t>
      </w:r>
      <w:r w:rsidR="009A1C00" w:rsidRPr="00D860CE">
        <w:rPr>
          <w:rFonts w:eastAsia="Arial" w:cs="Traditional Arabic" w:hint="cs"/>
          <w:spacing w:val="1"/>
          <w:szCs w:val="32"/>
          <w:rtl/>
        </w:rPr>
        <w:t xml:space="preserve">بصحّة </w:t>
      </w:r>
      <w:r w:rsidR="009A1C00" w:rsidRPr="00D860CE">
        <w:rPr>
          <w:rFonts w:eastAsia="Arial" w:cs="Traditional Arabic"/>
          <w:spacing w:val="1"/>
          <w:szCs w:val="32"/>
          <w:rtl/>
        </w:rPr>
        <w:t>جيدة</w:t>
      </w:r>
      <w:r w:rsidR="009A1C00" w:rsidRPr="00D860CE">
        <w:rPr>
          <w:rFonts w:eastAsia="Arial" w:cs="Traditional Arabic" w:hint="cs"/>
          <w:spacing w:val="1"/>
          <w:szCs w:val="32"/>
          <w:rtl/>
        </w:rPr>
        <w:t xml:space="preserve"> بفضل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9A1C00" w:rsidRPr="00D860CE">
        <w:rPr>
          <w:rFonts w:eastAsia="Arial" w:cs="Traditional Arabic" w:hint="cs"/>
          <w:spacing w:val="1"/>
          <w:szCs w:val="32"/>
          <w:rtl/>
        </w:rPr>
        <w:t>العلاجات</w:t>
      </w:r>
      <w:r w:rsidR="009A1C00" w:rsidRPr="00D860CE">
        <w:rPr>
          <w:rFonts w:eastAsia="Arial" w:cs="Traditional Arabic"/>
          <w:spacing w:val="1"/>
          <w:szCs w:val="32"/>
          <w:rtl/>
        </w:rPr>
        <w:t xml:space="preserve"> الطبية التقليدية. </w:t>
      </w:r>
    </w:p>
    <w:sectPr w:rsidR="00384DE7" w:rsidRPr="00221A95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A39C" w14:textId="77777777" w:rsidR="004B03F3" w:rsidRDefault="004B03F3" w:rsidP="000F4C6A">
      <w:r>
        <w:separator/>
      </w:r>
    </w:p>
    <w:p w14:paraId="3F477CAD" w14:textId="77777777" w:rsidR="004B03F3" w:rsidRDefault="004B03F3"/>
  </w:endnote>
  <w:endnote w:type="continuationSeparator" w:id="0">
    <w:p w14:paraId="32730570" w14:textId="77777777" w:rsidR="004B03F3" w:rsidRDefault="004B03F3" w:rsidP="000F4C6A">
      <w:r>
        <w:continuationSeparator/>
      </w:r>
    </w:p>
    <w:p w14:paraId="01A47960" w14:textId="77777777" w:rsidR="004B03F3" w:rsidRDefault="004B0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760DC373" w:rsidR="00C56CEB" w:rsidRPr="00BB7269" w:rsidRDefault="009F63FC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1312" behindDoc="0" locked="0" layoutInCell="1" allowOverlap="1" wp14:anchorId="090FFD41" wp14:editId="717DD911">
                <wp:simplePos x="0" y="0"/>
                <wp:positionH relativeFrom="column">
                  <wp:posOffset>1088390</wp:posOffset>
                </wp:positionH>
                <wp:positionV relativeFrom="paragraph">
                  <wp:posOffset>50165</wp:posOffset>
                </wp:positionV>
                <wp:extent cx="542925" cy="190500"/>
                <wp:effectExtent l="0" t="0" r="9525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6A1986E3" w14:textId="36D1F865" w:rsidR="00C56CEB" w:rsidRPr="00BB7269" w:rsidRDefault="00C56CEB" w:rsidP="009A1C00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</w:t>
          </w:r>
          <w:r w:rsidR="009A1C00">
            <w:rPr>
              <w:lang w:val="en-US"/>
            </w:rPr>
            <w:t>9</w:t>
          </w:r>
          <w:r w:rsidRPr="0020341B">
            <w:rPr>
              <w:lang w:val="en-US"/>
            </w:rPr>
            <w:t>-v1.</w:t>
          </w:r>
          <w:r w:rsidR="00B60111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B60111">
            <w:rPr>
              <w:lang w:val="en-US"/>
            </w:rPr>
            <w:t>AR</w:t>
          </w:r>
        </w:p>
      </w:tc>
    </w:tr>
  </w:tbl>
  <w:p w14:paraId="7D367C67" w14:textId="4591B05A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392C3713" w:rsidR="002255DD" w:rsidRPr="00BB7269" w:rsidRDefault="002255DD" w:rsidP="009A1C00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</w:t>
          </w:r>
          <w:r w:rsidR="009A1C00">
            <w:rPr>
              <w:lang w:val="en-US"/>
            </w:rPr>
            <w:t>9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732DE995" w:rsidR="00C56CEB" w:rsidRPr="00BB7269" w:rsidRDefault="009F63FC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4366F67C" wp14:editId="7C2A2879">
                <wp:simplePos x="0" y="0"/>
                <wp:positionH relativeFrom="column">
                  <wp:posOffset>1115060</wp:posOffset>
                </wp:positionH>
                <wp:positionV relativeFrom="paragraph">
                  <wp:posOffset>-83185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2750DF8E" w14:textId="06828018" w:rsidR="00C56CEB" w:rsidRPr="00BB7269" w:rsidRDefault="00C56CEB" w:rsidP="009A1C00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0C5506">
            <w:rPr>
              <w:lang w:val="en-US"/>
            </w:rPr>
            <w:t>2</w:t>
          </w:r>
          <w:r w:rsidR="009A1C00">
            <w:rPr>
              <w:lang w:val="en-US"/>
            </w:rPr>
            <w:t>9</w:t>
          </w:r>
          <w:r w:rsidRPr="0020341B">
            <w:rPr>
              <w:lang w:val="en-US"/>
            </w:rPr>
            <w:t>-v1.</w:t>
          </w:r>
          <w:r w:rsidR="00B60111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B60111">
            <w:rPr>
              <w:lang w:val="en-US"/>
            </w:rPr>
            <w:t>AR</w:t>
          </w:r>
        </w:p>
      </w:tc>
    </w:tr>
  </w:tbl>
  <w:p w14:paraId="7666B67F" w14:textId="77777777" w:rsidR="00C56CEB" w:rsidRPr="00BB7269" w:rsidRDefault="00C56CEB" w:rsidP="00C56CE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523F" w14:textId="77777777" w:rsidR="004B03F3" w:rsidRDefault="004B03F3" w:rsidP="00F87EDD">
      <w:pPr>
        <w:bidi/>
        <w:ind w:left="0"/>
      </w:pPr>
      <w:r>
        <w:separator/>
      </w:r>
    </w:p>
  </w:footnote>
  <w:footnote w:type="continuationSeparator" w:id="0">
    <w:p w14:paraId="14BD1BA3" w14:textId="77777777" w:rsidR="004B03F3" w:rsidRDefault="004B03F3" w:rsidP="000F4C6A">
      <w:r>
        <w:continuationSeparator/>
      </w:r>
    </w:p>
    <w:p w14:paraId="35DA0B44" w14:textId="77777777" w:rsidR="004B03F3" w:rsidRDefault="004B03F3"/>
  </w:footnote>
  <w:footnote w:id="1">
    <w:p w14:paraId="2DE70F2C" w14:textId="188255B7" w:rsidR="009A1C00" w:rsidRPr="00183608" w:rsidRDefault="009A1C00" w:rsidP="00E8544F">
      <w:pPr>
        <w:bidi/>
        <w:spacing w:line="240" w:lineRule="auto"/>
        <w:ind w:left="340" w:hanging="340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cs="Traditional Arabic" w:hint="cs"/>
          <w:sz w:val="18"/>
          <w:szCs w:val="28"/>
          <w:rtl/>
        </w:rPr>
        <w:t>الإدارة البيئية الوطنية: قانون التنوع البيولوجي لعام 2004، لوائح</w:t>
      </w:r>
      <w:r w:rsidR="007A2AE6">
        <w:rPr>
          <w:rFonts w:cs="Traditional Arabic" w:hint="cs"/>
          <w:sz w:val="18"/>
          <w:szCs w:val="28"/>
          <w:rtl/>
        </w:rPr>
        <w:t xml:space="preserve"> </w:t>
      </w:r>
      <w:r w:rsidR="00E8544F">
        <w:rPr>
          <w:rFonts w:cs="Traditional Arabic" w:hint="cs"/>
          <w:sz w:val="18"/>
          <w:szCs w:val="28"/>
          <w:rtl/>
        </w:rPr>
        <w:t>الاستقصاء البيولوجي</w:t>
      </w:r>
      <w:r w:rsidRPr="00183608">
        <w:rPr>
          <w:rFonts w:cs="Traditional Arabic" w:hint="cs"/>
          <w:sz w:val="18"/>
          <w:szCs w:val="28"/>
          <w:rtl/>
        </w:rPr>
        <w:t xml:space="preserve"> والانتفاع وتقاسم المنافع، 8</w:t>
      </w:r>
      <w:r>
        <w:rPr>
          <w:rFonts w:cs="Traditional Arabic" w:hint="eastAsia"/>
          <w:sz w:val="18"/>
          <w:szCs w:val="28"/>
        </w:rPr>
        <w:t> </w:t>
      </w:r>
      <w:r w:rsidRPr="00183608">
        <w:rPr>
          <w:rFonts w:cs="Traditional Arabic" w:hint="cs"/>
          <w:sz w:val="18"/>
          <w:szCs w:val="28"/>
          <w:rtl/>
        </w:rPr>
        <w:t xml:space="preserve">شباط/فبراير 2008: </w:t>
      </w:r>
      <w:hyperlink r:id="rId1">
        <w:r w:rsidRPr="00183608">
          <w:rPr>
            <w:rFonts w:eastAsia="Arial" w:cs="Traditional Arabic"/>
            <w:sz w:val="18"/>
            <w:szCs w:val="28"/>
          </w:rPr>
          <w:t xml:space="preserve"> ht</w:t>
        </w:r>
        <w:r w:rsidRPr="00183608">
          <w:rPr>
            <w:rFonts w:eastAsia="Arial" w:cs="Traditional Arabic"/>
            <w:spacing w:val="2"/>
            <w:sz w:val="18"/>
            <w:szCs w:val="28"/>
          </w:rPr>
          <w:t>t</w:t>
        </w:r>
        <w:r w:rsidRPr="00183608">
          <w:rPr>
            <w:rFonts w:eastAsia="Arial" w:cs="Traditional Arabic"/>
            <w:spacing w:val="-3"/>
            <w:sz w:val="18"/>
            <w:szCs w:val="28"/>
          </w:rPr>
          <w:t>p</w:t>
        </w:r>
        <w:r w:rsidRPr="00183608">
          <w:rPr>
            <w:rFonts w:eastAsia="Arial" w:cs="Traditional Arabic"/>
            <w:spacing w:val="1"/>
            <w:sz w:val="18"/>
            <w:szCs w:val="28"/>
          </w:rPr>
          <w:t>:</w:t>
        </w:r>
        <w:r w:rsidRPr="00183608">
          <w:rPr>
            <w:rFonts w:eastAsia="Arial" w:cs="Traditional Arabic"/>
            <w:spacing w:val="-1"/>
            <w:sz w:val="18"/>
            <w:szCs w:val="28"/>
          </w:rPr>
          <w:t>//</w:t>
        </w:r>
        <w:r w:rsidRPr="00183608">
          <w:rPr>
            <w:rFonts w:eastAsia="Arial" w:cs="Traditional Arabic"/>
            <w:spacing w:val="3"/>
            <w:sz w:val="18"/>
            <w:szCs w:val="28"/>
          </w:rPr>
          <w:t>f</w:t>
        </w:r>
        <w:r w:rsidRPr="00183608">
          <w:rPr>
            <w:rFonts w:eastAsia="Arial" w:cs="Traditional Arabic"/>
            <w:sz w:val="18"/>
            <w:szCs w:val="28"/>
          </w:rPr>
          <w:t>a</w:t>
        </w:r>
        <w:r w:rsidRPr="00183608">
          <w:rPr>
            <w:rFonts w:eastAsia="Arial" w:cs="Traditional Arabic"/>
            <w:spacing w:val="-1"/>
            <w:sz w:val="18"/>
            <w:szCs w:val="28"/>
          </w:rPr>
          <w:t>ol</w:t>
        </w:r>
        <w:r w:rsidRPr="00183608">
          <w:rPr>
            <w:rFonts w:eastAsia="Arial" w:cs="Traditional Arabic"/>
            <w:sz w:val="18"/>
            <w:szCs w:val="28"/>
          </w:rPr>
          <w:t>e</w:t>
        </w:r>
        <w:r w:rsidRPr="00183608">
          <w:rPr>
            <w:rFonts w:eastAsia="Arial" w:cs="Traditional Arabic"/>
            <w:spacing w:val="-3"/>
            <w:sz w:val="18"/>
            <w:szCs w:val="28"/>
          </w:rPr>
          <w:t>x</w:t>
        </w:r>
        <w:r w:rsidRPr="00183608">
          <w:rPr>
            <w:rFonts w:eastAsia="Arial" w:cs="Traditional Arabic"/>
            <w:spacing w:val="-1"/>
            <w:sz w:val="18"/>
            <w:szCs w:val="28"/>
          </w:rPr>
          <w:t>.</w:t>
        </w:r>
        <w:r w:rsidRPr="00183608">
          <w:rPr>
            <w:rFonts w:eastAsia="Arial" w:cs="Traditional Arabic"/>
            <w:spacing w:val="3"/>
            <w:sz w:val="18"/>
            <w:szCs w:val="28"/>
          </w:rPr>
          <w:t>f</w:t>
        </w:r>
        <w:r w:rsidRPr="00183608">
          <w:rPr>
            <w:rFonts w:eastAsia="Arial" w:cs="Traditional Arabic"/>
            <w:sz w:val="18"/>
            <w:szCs w:val="28"/>
          </w:rPr>
          <w:t>a</w:t>
        </w:r>
        <w:r w:rsidRPr="00183608">
          <w:rPr>
            <w:rFonts w:eastAsia="Arial" w:cs="Traditional Arabic"/>
            <w:spacing w:val="-3"/>
            <w:sz w:val="18"/>
            <w:szCs w:val="28"/>
          </w:rPr>
          <w:t>o</w:t>
        </w:r>
        <w:r w:rsidRPr="00183608">
          <w:rPr>
            <w:rFonts w:eastAsia="Arial" w:cs="Traditional Arabic"/>
            <w:spacing w:val="1"/>
            <w:sz w:val="18"/>
            <w:szCs w:val="28"/>
          </w:rPr>
          <w:t>.</w:t>
        </w:r>
        <w:r w:rsidRPr="00183608">
          <w:rPr>
            <w:rFonts w:eastAsia="Arial" w:cs="Traditional Arabic"/>
            <w:sz w:val="18"/>
            <w:szCs w:val="28"/>
          </w:rPr>
          <w:t>o</w:t>
        </w:r>
        <w:r w:rsidRPr="00183608">
          <w:rPr>
            <w:rFonts w:eastAsia="Arial" w:cs="Traditional Arabic"/>
            <w:spacing w:val="-2"/>
            <w:sz w:val="18"/>
            <w:szCs w:val="28"/>
          </w:rPr>
          <w:t>r</w:t>
        </w:r>
        <w:r w:rsidRPr="00183608">
          <w:rPr>
            <w:rFonts w:eastAsia="Arial" w:cs="Traditional Arabic"/>
            <w:sz w:val="18"/>
            <w:szCs w:val="28"/>
          </w:rPr>
          <w:t>g/doc</w:t>
        </w:r>
        <w:r w:rsidRPr="00183608">
          <w:rPr>
            <w:rFonts w:eastAsia="Arial" w:cs="Traditional Arabic"/>
            <w:spacing w:val="-2"/>
            <w:sz w:val="18"/>
            <w:szCs w:val="28"/>
          </w:rPr>
          <w:t>s</w:t>
        </w:r>
        <w:r w:rsidRPr="00183608">
          <w:rPr>
            <w:rFonts w:eastAsia="Arial" w:cs="Traditional Arabic"/>
            <w:spacing w:val="1"/>
            <w:sz w:val="18"/>
            <w:szCs w:val="28"/>
          </w:rPr>
          <w:t>/</w:t>
        </w:r>
        <w:r w:rsidRPr="00183608">
          <w:rPr>
            <w:rFonts w:eastAsia="Arial" w:cs="Traditional Arabic"/>
            <w:sz w:val="18"/>
            <w:szCs w:val="28"/>
          </w:rPr>
          <w:t>p</w:t>
        </w:r>
        <w:r w:rsidRPr="00183608">
          <w:rPr>
            <w:rFonts w:eastAsia="Arial" w:cs="Traditional Arabic"/>
            <w:spacing w:val="-3"/>
            <w:sz w:val="18"/>
            <w:szCs w:val="28"/>
          </w:rPr>
          <w:t>d</w:t>
        </w:r>
        <w:r w:rsidRPr="00183608">
          <w:rPr>
            <w:rFonts w:eastAsia="Arial" w:cs="Traditional Arabic"/>
            <w:spacing w:val="1"/>
            <w:sz w:val="18"/>
            <w:szCs w:val="28"/>
          </w:rPr>
          <w:t>f/</w:t>
        </w:r>
        <w:r w:rsidRPr="00183608">
          <w:rPr>
            <w:rFonts w:eastAsia="Arial" w:cs="Traditional Arabic"/>
            <w:sz w:val="18"/>
            <w:szCs w:val="28"/>
          </w:rPr>
          <w:t>s</w:t>
        </w:r>
        <w:r w:rsidRPr="00183608">
          <w:rPr>
            <w:rFonts w:eastAsia="Arial" w:cs="Traditional Arabic"/>
            <w:spacing w:val="-3"/>
            <w:sz w:val="18"/>
            <w:szCs w:val="28"/>
          </w:rPr>
          <w:t>a</w:t>
        </w:r>
        <w:r w:rsidRPr="00183608">
          <w:rPr>
            <w:rFonts w:eastAsia="Arial" w:cs="Traditional Arabic"/>
            <w:spacing w:val="3"/>
            <w:sz w:val="18"/>
            <w:szCs w:val="28"/>
          </w:rPr>
          <w:t>f</w:t>
        </w:r>
        <w:r w:rsidRPr="00183608">
          <w:rPr>
            <w:rFonts w:eastAsia="Arial" w:cs="Traditional Arabic"/>
            <w:sz w:val="18"/>
            <w:szCs w:val="28"/>
          </w:rPr>
          <w:t>8</w:t>
        </w:r>
        <w:r w:rsidRPr="00183608">
          <w:rPr>
            <w:rFonts w:eastAsia="Arial" w:cs="Traditional Arabic"/>
            <w:spacing w:val="-1"/>
            <w:sz w:val="18"/>
            <w:szCs w:val="28"/>
          </w:rPr>
          <w:t>5</w:t>
        </w:r>
        <w:r w:rsidRPr="00183608">
          <w:rPr>
            <w:rFonts w:eastAsia="Arial" w:cs="Traditional Arabic"/>
            <w:sz w:val="18"/>
            <w:szCs w:val="28"/>
          </w:rPr>
          <w:t>9</w:t>
        </w:r>
        <w:r w:rsidRPr="00183608">
          <w:rPr>
            <w:rFonts w:eastAsia="Arial" w:cs="Traditional Arabic"/>
            <w:spacing w:val="-1"/>
            <w:sz w:val="18"/>
            <w:szCs w:val="28"/>
          </w:rPr>
          <w:t>0</w:t>
        </w:r>
        <w:r w:rsidRPr="00183608">
          <w:rPr>
            <w:rFonts w:eastAsia="Arial" w:cs="Traditional Arabic"/>
            <w:spacing w:val="-3"/>
            <w:sz w:val="18"/>
            <w:szCs w:val="28"/>
          </w:rPr>
          <w:t>9</w:t>
        </w:r>
        <w:r w:rsidRPr="00183608">
          <w:rPr>
            <w:rFonts w:eastAsia="Arial" w:cs="Traditional Arabic"/>
            <w:spacing w:val="1"/>
            <w:sz w:val="18"/>
            <w:szCs w:val="28"/>
          </w:rPr>
          <w:t>.</w:t>
        </w:r>
        <w:r w:rsidRPr="00183608">
          <w:rPr>
            <w:rFonts w:eastAsia="Arial" w:cs="Traditional Arabic"/>
            <w:sz w:val="18"/>
            <w:szCs w:val="28"/>
          </w:rPr>
          <w:t>p</w:t>
        </w:r>
        <w:r w:rsidRPr="00183608">
          <w:rPr>
            <w:rFonts w:eastAsia="Arial" w:cs="Traditional Arabic"/>
            <w:spacing w:val="-3"/>
            <w:sz w:val="18"/>
            <w:szCs w:val="28"/>
          </w:rPr>
          <w:t>d</w:t>
        </w:r>
        <w:r w:rsidRPr="00183608">
          <w:rPr>
            <w:rFonts w:eastAsia="Arial" w:cs="Traditional Arabic"/>
            <w:sz w:val="18"/>
            <w:szCs w:val="28"/>
          </w:rPr>
          <w:t>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23AE19B9" w:rsidR="00C56CEB" w:rsidRPr="00B33EDC" w:rsidRDefault="00C56CEB" w:rsidP="009A1C0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  <w:r w:rsidR="009A1C00">
            <w:rPr>
              <w:rFonts w:cs="Traditional Arabic" w:hint="cs"/>
              <w:sz w:val="18"/>
              <w:szCs w:val="24"/>
              <w:rtl/>
              <w:lang w:val="fr-FR" w:bidi="ar-SY"/>
            </w:rPr>
            <w:t>9</w:t>
          </w:r>
        </w:p>
      </w:tc>
      <w:tc>
        <w:tcPr>
          <w:tcW w:w="1667" w:type="pct"/>
        </w:tcPr>
        <w:p w14:paraId="42E5772A" w14:textId="39504498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9F63FC" w:rsidRPr="009F63FC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40024C" w:rsidRPr="0040024C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30A6A2E7" w:rsidR="002255DD" w:rsidRPr="009A1C00" w:rsidRDefault="002255DD" w:rsidP="009A1C0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  <w:r w:rsidR="009A1C00">
            <w:rPr>
              <w:rFonts w:cs="Traditional Arabic" w:hint="cs"/>
              <w:sz w:val="18"/>
              <w:szCs w:val="24"/>
              <w:rtl/>
              <w:lang w:val="fr-FR" w:bidi="ar-SY"/>
            </w:rPr>
            <w:t>9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8A2954"/>
    <w:multiLevelType w:val="hybridMultilevel"/>
    <w:tmpl w:val="6BD4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02313"/>
    <w:multiLevelType w:val="hybridMultilevel"/>
    <w:tmpl w:val="01349138"/>
    <w:lvl w:ilvl="0" w:tplc="962CBE6E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6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6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9695ED4"/>
    <w:multiLevelType w:val="hybridMultilevel"/>
    <w:tmpl w:val="6F06CC64"/>
    <w:lvl w:ilvl="0" w:tplc="0809000F">
      <w:start w:val="1"/>
      <w:numFmt w:val="decimal"/>
      <w:lvlText w:val="%1."/>
      <w:lvlJc w:val="left"/>
      <w:pPr>
        <w:ind w:left="669" w:hanging="360"/>
      </w:p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D81F12"/>
    <w:multiLevelType w:val="hybridMultilevel"/>
    <w:tmpl w:val="5E3A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637EAB"/>
    <w:multiLevelType w:val="hybridMultilevel"/>
    <w:tmpl w:val="CFCEAAC6"/>
    <w:lvl w:ilvl="0" w:tplc="55FE433C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36758C"/>
    <w:multiLevelType w:val="hybridMultilevel"/>
    <w:tmpl w:val="AF9EC19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3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4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5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5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8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60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2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3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7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7"/>
  </w:num>
  <w:num w:numId="3">
    <w:abstractNumId w:val="273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2"/>
  </w:num>
  <w:num w:numId="7">
    <w:abstractNumId w:val="282"/>
  </w:num>
  <w:num w:numId="8">
    <w:abstractNumId w:val="240"/>
  </w:num>
  <w:num w:numId="9">
    <w:abstractNumId w:val="292"/>
  </w:num>
  <w:num w:numId="10">
    <w:abstractNumId w:val="220"/>
  </w:num>
  <w:num w:numId="11">
    <w:abstractNumId w:val="225"/>
  </w:num>
  <w:num w:numId="12">
    <w:abstractNumId w:val="263"/>
  </w:num>
  <w:num w:numId="13">
    <w:abstractNumId w:val="29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2"/>
  </w:num>
  <w:num w:numId="19">
    <w:abstractNumId w:val="43"/>
  </w:num>
  <w:num w:numId="20">
    <w:abstractNumId w:val="335"/>
  </w:num>
  <w:num w:numId="21">
    <w:abstractNumId w:val="76"/>
  </w:num>
  <w:num w:numId="22">
    <w:abstractNumId w:val="254"/>
  </w:num>
  <w:num w:numId="23">
    <w:abstractNumId w:val="31"/>
  </w:num>
  <w:num w:numId="24">
    <w:abstractNumId w:val="167"/>
  </w:num>
  <w:num w:numId="25">
    <w:abstractNumId w:val="235"/>
  </w:num>
  <w:num w:numId="26">
    <w:abstractNumId w:val="91"/>
  </w:num>
  <w:num w:numId="27">
    <w:abstractNumId w:val="58"/>
  </w:num>
  <w:num w:numId="28">
    <w:abstractNumId w:val="224"/>
  </w:num>
  <w:num w:numId="29">
    <w:abstractNumId w:val="66"/>
  </w:num>
  <w:num w:numId="30">
    <w:abstractNumId w:val="315"/>
  </w:num>
  <w:num w:numId="31">
    <w:abstractNumId w:val="19"/>
  </w:num>
  <w:num w:numId="32">
    <w:abstractNumId w:val="79"/>
  </w:num>
  <w:num w:numId="33">
    <w:abstractNumId w:val="188"/>
  </w:num>
  <w:num w:numId="34">
    <w:abstractNumId w:val="241"/>
  </w:num>
  <w:num w:numId="35">
    <w:abstractNumId w:val="102"/>
  </w:num>
  <w:num w:numId="36">
    <w:abstractNumId w:val="143"/>
  </w:num>
  <w:num w:numId="37">
    <w:abstractNumId w:val="340"/>
  </w:num>
  <w:num w:numId="38">
    <w:abstractNumId w:val="5"/>
  </w:num>
  <w:num w:numId="39">
    <w:abstractNumId w:val="317"/>
  </w:num>
  <w:num w:numId="40">
    <w:abstractNumId w:val="185"/>
  </w:num>
  <w:num w:numId="41">
    <w:abstractNumId w:val="214"/>
  </w:num>
  <w:num w:numId="42">
    <w:abstractNumId w:val="157"/>
  </w:num>
  <w:num w:numId="43">
    <w:abstractNumId w:val="149"/>
  </w:num>
  <w:num w:numId="44">
    <w:abstractNumId w:val="269"/>
  </w:num>
  <w:num w:numId="45">
    <w:abstractNumId w:val="147"/>
  </w:num>
  <w:num w:numId="46">
    <w:abstractNumId w:val="145"/>
  </w:num>
  <w:num w:numId="47">
    <w:abstractNumId w:val="249"/>
  </w:num>
  <w:num w:numId="48">
    <w:abstractNumId w:val="190"/>
  </w:num>
  <w:num w:numId="49">
    <w:abstractNumId w:val="136"/>
  </w:num>
  <w:num w:numId="50">
    <w:abstractNumId w:val="130"/>
  </w:num>
  <w:num w:numId="51">
    <w:abstractNumId w:val="110"/>
  </w:num>
  <w:num w:numId="52">
    <w:abstractNumId w:val="288"/>
  </w:num>
  <w:num w:numId="53">
    <w:abstractNumId w:val="304"/>
  </w:num>
  <w:num w:numId="54">
    <w:abstractNumId w:val="191"/>
  </w:num>
  <w:num w:numId="55">
    <w:abstractNumId w:val="83"/>
  </w:num>
  <w:num w:numId="56">
    <w:abstractNumId w:val="173"/>
  </w:num>
  <w:num w:numId="57">
    <w:abstractNumId w:val="133"/>
  </w:num>
  <w:num w:numId="58">
    <w:abstractNumId w:val="92"/>
  </w:num>
  <w:num w:numId="59">
    <w:abstractNumId w:val="33"/>
  </w:num>
  <w:num w:numId="60">
    <w:abstractNumId w:val="25"/>
  </w:num>
  <w:num w:numId="61">
    <w:abstractNumId w:val="286"/>
  </w:num>
  <w:num w:numId="62">
    <w:abstractNumId w:val="256"/>
  </w:num>
  <w:num w:numId="63">
    <w:abstractNumId w:val="314"/>
  </w:num>
  <w:num w:numId="64">
    <w:abstractNumId w:val="175"/>
  </w:num>
  <w:num w:numId="65">
    <w:abstractNumId w:val="34"/>
  </w:num>
  <w:num w:numId="66">
    <w:abstractNumId w:val="87"/>
  </w:num>
  <w:num w:numId="67">
    <w:abstractNumId w:val="61"/>
  </w:num>
  <w:num w:numId="68">
    <w:abstractNumId w:val="117"/>
  </w:num>
  <w:num w:numId="69">
    <w:abstractNumId w:val="261"/>
  </w:num>
  <w:num w:numId="70">
    <w:abstractNumId w:val="244"/>
  </w:num>
  <w:num w:numId="71">
    <w:abstractNumId w:val="71"/>
  </w:num>
  <w:num w:numId="72">
    <w:abstractNumId w:val="111"/>
  </w:num>
  <w:num w:numId="73">
    <w:abstractNumId w:val="294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4"/>
  </w:num>
  <w:num w:numId="85">
    <w:abstractNumId w:val="18"/>
  </w:num>
  <w:num w:numId="86">
    <w:abstractNumId w:val="176"/>
  </w:num>
  <w:num w:numId="87">
    <w:abstractNumId w:val="127"/>
  </w:num>
  <w:num w:numId="88">
    <w:abstractNumId w:val="172"/>
  </w:num>
  <w:num w:numId="89">
    <w:abstractNumId w:val="326"/>
  </w:num>
  <w:num w:numId="90">
    <w:abstractNumId w:val="245"/>
  </w:num>
  <w:num w:numId="91">
    <w:abstractNumId w:val="15"/>
  </w:num>
  <w:num w:numId="92">
    <w:abstractNumId w:val="312"/>
  </w:num>
  <w:num w:numId="93">
    <w:abstractNumId w:val="205"/>
  </w:num>
  <w:num w:numId="94">
    <w:abstractNumId w:val="260"/>
  </w:num>
  <w:num w:numId="95">
    <w:abstractNumId w:val="345"/>
  </w:num>
  <w:num w:numId="96">
    <w:abstractNumId w:val="89"/>
  </w:num>
  <w:num w:numId="97">
    <w:abstractNumId w:val="284"/>
  </w:num>
  <w:num w:numId="98">
    <w:abstractNumId w:val="46"/>
  </w:num>
  <w:num w:numId="99">
    <w:abstractNumId w:val="323"/>
  </w:num>
  <w:num w:numId="100">
    <w:abstractNumId w:val="134"/>
  </w:num>
  <w:num w:numId="101">
    <w:abstractNumId w:val="135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9"/>
  </w:num>
  <w:num w:numId="106">
    <w:abstractNumId w:val="347"/>
  </w:num>
  <w:num w:numId="107">
    <w:abstractNumId w:val="202"/>
  </w:num>
  <w:num w:numId="108">
    <w:abstractNumId w:val="0"/>
  </w:num>
  <w:num w:numId="109">
    <w:abstractNumId w:val="289"/>
  </w:num>
  <w:num w:numId="110">
    <w:abstractNumId w:val="302"/>
  </w:num>
  <w:num w:numId="111">
    <w:abstractNumId w:val="302"/>
  </w:num>
  <w:num w:numId="112">
    <w:abstractNumId w:val="302"/>
  </w:num>
  <w:num w:numId="113">
    <w:abstractNumId w:val="302"/>
  </w:num>
  <w:num w:numId="114">
    <w:abstractNumId w:val="302"/>
  </w:num>
  <w:num w:numId="115">
    <w:abstractNumId w:val="302"/>
  </w:num>
  <w:num w:numId="116">
    <w:abstractNumId w:val="302"/>
  </w:num>
  <w:num w:numId="117">
    <w:abstractNumId w:val="302"/>
  </w:num>
  <w:num w:numId="118">
    <w:abstractNumId w:val="302"/>
  </w:num>
  <w:num w:numId="119">
    <w:abstractNumId w:val="302"/>
  </w:num>
  <w:num w:numId="120">
    <w:abstractNumId w:val="302"/>
  </w:num>
  <w:num w:numId="121">
    <w:abstractNumId w:val="302"/>
  </w:num>
  <w:num w:numId="122">
    <w:abstractNumId w:val="302"/>
  </w:num>
  <w:num w:numId="123">
    <w:abstractNumId w:val="302"/>
  </w:num>
  <w:num w:numId="124">
    <w:abstractNumId w:val="302"/>
  </w:num>
  <w:num w:numId="125">
    <w:abstractNumId w:val="302"/>
  </w:num>
  <w:num w:numId="126">
    <w:abstractNumId w:val="302"/>
  </w:num>
  <w:num w:numId="127">
    <w:abstractNumId w:val="302"/>
  </w:num>
  <w:num w:numId="128">
    <w:abstractNumId w:val="302"/>
  </w:num>
  <w:num w:numId="129">
    <w:abstractNumId w:val="302"/>
  </w:num>
  <w:num w:numId="130">
    <w:abstractNumId w:val="302"/>
  </w:num>
  <w:num w:numId="131">
    <w:abstractNumId w:val="302"/>
  </w:num>
  <w:num w:numId="132">
    <w:abstractNumId w:val="302"/>
  </w:num>
  <w:num w:numId="133">
    <w:abstractNumId w:val="302"/>
  </w:num>
  <w:num w:numId="134">
    <w:abstractNumId w:val="302"/>
  </w:num>
  <w:num w:numId="135">
    <w:abstractNumId w:val="302"/>
  </w:num>
  <w:num w:numId="136">
    <w:abstractNumId w:val="302"/>
  </w:num>
  <w:num w:numId="137">
    <w:abstractNumId w:val="302"/>
  </w:num>
  <w:num w:numId="138">
    <w:abstractNumId w:val="302"/>
  </w:num>
  <w:num w:numId="139">
    <w:abstractNumId w:val="302"/>
  </w:num>
  <w:num w:numId="140">
    <w:abstractNumId w:val="300"/>
  </w:num>
  <w:num w:numId="141">
    <w:abstractNumId w:val="341"/>
  </w:num>
  <w:num w:numId="142">
    <w:abstractNumId w:val="57"/>
  </w:num>
  <w:num w:numId="143">
    <w:abstractNumId w:val="264"/>
  </w:num>
  <w:num w:numId="144">
    <w:abstractNumId w:val="226"/>
  </w:num>
  <w:num w:numId="145">
    <w:abstractNumId w:val="262"/>
  </w:num>
  <w:num w:numId="146">
    <w:abstractNumId w:val="154"/>
  </w:num>
  <w:num w:numId="147">
    <w:abstractNumId w:val="316"/>
  </w:num>
  <w:num w:numId="148">
    <w:abstractNumId w:val="142"/>
  </w:num>
  <w:num w:numId="149">
    <w:abstractNumId w:val="275"/>
  </w:num>
  <w:num w:numId="150">
    <w:abstractNumId w:val="154"/>
  </w:num>
  <w:num w:numId="151">
    <w:abstractNumId w:val="267"/>
  </w:num>
  <w:num w:numId="152">
    <w:abstractNumId w:val="221"/>
  </w:num>
  <w:num w:numId="153">
    <w:abstractNumId w:val="120"/>
  </w:num>
  <w:num w:numId="154">
    <w:abstractNumId w:val="168"/>
  </w:num>
  <w:num w:numId="155">
    <w:abstractNumId w:val="170"/>
  </w:num>
  <w:num w:numId="156">
    <w:abstractNumId w:val="344"/>
  </w:num>
  <w:num w:numId="157">
    <w:abstractNumId w:val="297"/>
  </w:num>
  <w:num w:numId="158">
    <w:abstractNumId w:val="106"/>
  </w:num>
  <w:num w:numId="159">
    <w:abstractNumId w:val="146"/>
  </w:num>
  <w:num w:numId="160">
    <w:abstractNumId w:val="297"/>
    <w:lvlOverride w:ilvl="0">
      <w:startOverride w:val="1"/>
    </w:lvlOverride>
  </w:num>
  <w:num w:numId="161">
    <w:abstractNumId w:val="37"/>
  </w:num>
  <w:num w:numId="162">
    <w:abstractNumId w:val="303"/>
  </w:num>
  <w:num w:numId="163">
    <w:abstractNumId w:val="109"/>
  </w:num>
  <w:num w:numId="164">
    <w:abstractNumId w:val="227"/>
  </w:num>
  <w:num w:numId="165">
    <w:abstractNumId w:val="10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2"/>
  </w:num>
  <w:num w:numId="171">
    <w:abstractNumId w:val="302"/>
  </w:num>
  <w:num w:numId="172">
    <w:abstractNumId w:val="302"/>
  </w:num>
  <w:num w:numId="173">
    <w:abstractNumId w:val="302"/>
  </w:num>
  <w:num w:numId="174">
    <w:abstractNumId w:val="302"/>
  </w:num>
  <w:num w:numId="175">
    <w:abstractNumId w:val="302"/>
  </w:num>
  <w:num w:numId="176">
    <w:abstractNumId w:val="237"/>
  </w:num>
  <w:num w:numId="177">
    <w:abstractNumId w:val="329"/>
  </w:num>
  <w:num w:numId="178">
    <w:abstractNumId w:val="298"/>
  </w:num>
  <w:num w:numId="179">
    <w:abstractNumId w:val="302"/>
  </w:num>
  <w:num w:numId="180">
    <w:abstractNumId w:val="242"/>
  </w:num>
  <w:num w:numId="181">
    <w:abstractNumId w:val="217"/>
  </w:num>
  <w:num w:numId="182">
    <w:abstractNumId w:val="49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7"/>
  </w:num>
  <w:num w:numId="190">
    <w:abstractNumId w:val="20"/>
  </w:num>
  <w:num w:numId="191">
    <w:abstractNumId w:val="38"/>
  </w:num>
  <w:num w:numId="192">
    <w:abstractNumId w:val="183"/>
  </w:num>
  <w:num w:numId="193">
    <w:abstractNumId w:val="332"/>
  </w:num>
  <w:num w:numId="194">
    <w:abstractNumId w:val="213"/>
  </w:num>
  <w:num w:numId="195">
    <w:abstractNumId w:val="82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1"/>
  </w:num>
  <w:num w:numId="206">
    <w:abstractNumId w:val="1"/>
  </w:num>
  <w:num w:numId="207">
    <w:abstractNumId w:val="12"/>
  </w:num>
  <w:num w:numId="208">
    <w:abstractNumId w:val="32"/>
  </w:num>
  <w:num w:numId="209">
    <w:abstractNumId w:val="65"/>
  </w:num>
  <w:num w:numId="210">
    <w:abstractNumId w:val="270"/>
  </w:num>
  <w:num w:numId="211">
    <w:abstractNumId w:val="165"/>
  </w:num>
  <w:num w:numId="212">
    <w:abstractNumId w:val="278"/>
  </w:num>
  <w:num w:numId="213">
    <w:abstractNumId w:val="295"/>
  </w:num>
  <w:num w:numId="214">
    <w:abstractNumId w:val="349"/>
  </w:num>
  <w:num w:numId="215">
    <w:abstractNumId w:val="349"/>
  </w:num>
  <w:num w:numId="216">
    <w:abstractNumId w:val="4"/>
  </w:num>
  <w:num w:numId="217">
    <w:abstractNumId w:val="349"/>
    <w:lvlOverride w:ilvl="0">
      <w:startOverride w:val="1"/>
    </w:lvlOverride>
  </w:num>
  <w:num w:numId="218">
    <w:abstractNumId w:val="169"/>
  </w:num>
  <w:num w:numId="219">
    <w:abstractNumId w:val="338"/>
  </w:num>
  <w:num w:numId="220">
    <w:abstractNumId w:val="306"/>
  </w:num>
  <w:num w:numId="221">
    <w:abstractNumId w:val="333"/>
  </w:num>
  <w:num w:numId="222">
    <w:abstractNumId w:val="179"/>
  </w:num>
  <w:num w:numId="223">
    <w:abstractNumId w:val="258"/>
  </w:num>
  <w:num w:numId="224">
    <w:abstractNumId w:val="277"/>
  </w:num>
  <w:num w:numId="225">
    <w:abstractNumId w:val="272"/>
  </w:num>
  <w:num w:numId="226">
    <w:abstractNumId w:val="78"/>
  </w:num>
  <w:num w:numId="227">
    <w:abstractNumId w:val="348"/>
  </w:num>
  <w:num w:numId="228">
    <w:abstractNumId w:val="228"/>
  </w:num>
  <w:num w:numId="229">
    <w:abstractNumId w:val="21"/>
  </w:num>
  <w:num w:numId="230">
    <w:abstractNumId w:val="302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1"/>
  </w:num>
  <w:num w:numId="238">
    <w:abstractNumId w:val="208"/>
  </w:num>
  <w:num w:numId="239">
    <w:abstractNumId w:val="30"/>
  </w:num>
  <w:num w:numId="240">
    <w:abstractNumId w:val="247"/>
  </w:num>
  <w:num w:numId="241">
    <w:abstractNumId w:val="94"/>
  </w:num>
  <w:num w:numId="242">
    <w:abstractNumId w:val="331"/>
  </w:num>
  <w:num w:numId="243">
    <w:abstractNumId w:val="9"/>
  </w:num>
  <w:num w:numId="244">
    <w:abstractNumId w:val="107"/>
  </w:num>
  <w:num w:numId="245">
    <w:abstractNumId w:val="53"/>
  </w:num>
  <w:num w:numId="246">
    <w:abstractNumId w:val="67"/>
  </w:num>
  <w:num w:numId="247">
    <w:abstractNumId w:val="104"/>
  </w:num>
  <w:num w:numId="248">
    <w:abstractNumId w:val="229"/>
  </w:num>
  <w:num w:numId="249">
    <w:abstractNumId w:val="283"/>
  </w:num>
  <w:num w:numId="250">
    <w:abstractNumId w:val="203"/>
  </w:num>
  <w:num w:numId="251">
    <w:abstractNumId w:val="268"/>
  </w:num>
  <w:num w:numId="252">
    <w:abstractNumId w:val="6"/>
  </w:num>
  <w:num w:numId="253">
    <w:abstractNumId w:val="302"/>
  </w:num>
  <w:num w:numId="254">
    <w:abstractNumId w:val="342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8"/>
  </w:num>
  <w:num w:numId="258">
    <w:abstractNumId w:val="160"/>
  </w:num>
  <w:num w:numId="259">
    <w:abstractNumId w:val="181"/>
  </w:num>
  <w:num w:numId="260">
    <w:abstractNumId w:val="310"/>
  </w:num>
  <w:num w:numId="261">
    <w:abstractNumId w:val="84"/>
  </w:num>
  <w:num w:numId="262">
    <w:abstractNumId w:val="77"/>
  </w:num>
  <w:num w:numId="263">
    <w:abstractNumId w:val="181"/>
    <w:lvlOverride w:ilvl="0">
      <w:startOverride w:val="2"/>
    </w:lvlOverride>
  </w:num>
  <w:num w:numId="264">
    <w:abstractNumId w:val="42"/>
  </w:num>
  <w:num w:numId="265">
    <w:abstractNumId w:val="139"/>
  </w:num>
  <w:num w:numId="266">
    <w:abstractNumId w:val="44"/>
  </w:num>
  <w:num w:numId="267">
    <w:abstractNumId w:val="296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7"/>
  </w:num>
  <w:num w:numId="272">
    <w:abstractNumId w:val="352"/>
  </w:num>
  <w:num w:numId="273">
    <w:abstractNumId w:val="155"/>
  </w:num>
  <w:num w:numId="274">
    <w:abstractNumId w:val="51"/>
  </w:num>
  <w:num w:numId="275">
    <w:abstractNumId w:val="35"/>
  </w:num>
  <w:num w:numId="276">
    <w:abstractNumId w:val="11"/>
  </w:num>
  <w:num w:numId="277">
    <w:abstractNumId w:val="125"/>
  </w:num>
  <w:num w:numId="278">
    <w:abstractNumId w:val="234"/>
  </w:num>
  <w:num w:numId="279">
    <w:abstractNumId w:val="16"/>
  </w:num>
  <w:num w:numId="280">
    <w:abstractNumId w:val="346"/>
  </w:num>
  <w:num w:numId="281">
    <w:abstractNumId w:val="321"/>
  </w:num>
  <w:num w:numId="282">
    <w:abstractNumId w:val="68"/>
  </w:num>
  <w:num w:numId="283">
    <w:abstractNumId w:val="250"/>
  </w:num>
  <w:num w:numId="284">
    <w:abstractNumId w:val="313"/>
  </w:num>
  <w:num w:numId="285">
    <w:abstractNumId w:val="186"/>
  </w:num>
  <w:num w:numId="286">
    <w:abstractNumId w:val="353"/>
  </w:num>
  <w:num w:numId="287">
    <w:abstractNumId w:val="40"/>
  </w:num>
  <w:num w:numId="288">
    <w:abstractNumId w:val="237"/>
  </w:num>
  <w:num w:numId="289">
    <w:abstractNumId w:val="237"/>
  </w:num>
  <w:num w:numId="290">
    <w:abstractNumId w:val="237"/>
  </w:num>
  <w:num w:numId="291">
    <w:abstractNumId w:val="237"/>
  </w:num>
  <w:num w:numId="292">
    <w:abstractNumId w:val="237"/>
  </w:num>
  <w:num w:numId="293">
    <w:abstractNumId w:val="138"/>
  </w:num>
  <w:num w:numId="294">
    <w:abstractNumId w:val="123"/>
  </w:num>
  <w:num w:numId="295">
    <w:abstractNumId w:val="231"/>
  </w:num>
  <w:num w:numId="296">
    <w:abstractNumId w:val="156"/>
  </w:num>
  <w:num w:numId="297">
    <w:abstractNumId w:val="36"/>
  </w:num>
  <w:num w:numId="298">
    <w:abstractNumId w:val="236"/>
  </w:num>
  <w:num w:numId="299">
    <w:abstractNumId w:val="184"/>
  </w:num>
  <w:num w:numId="300">
    <w:abstractNumId w:val="251"/>
  </w:num>
  <w:num w:numId="301">
    <w:abstractNumId w:val="14"/>
  </w:num>
  <w:num w:numId="302">
    <w:abstractNumId w:val="324"/>
  </w:num>
  <w:num w:numId="303">
    <w:abstractNumId w:val="193"/>
  </w:num>
  <w:num w:numId="304">
    <w:abstractNumId w:val="141"/>
  </w:num>
  <w:num w:numId="305">
    <w:abstractNumId w:val="129"/>
  </w:num>
  <w:num w:numId="306">
    <w:abstractNumId w:val="337"/>
  </w:num>
  <w:num w:numId="307">
    <w:abstractNumId w:val="336"/>
  </w:num>
  <w:num w:numId="308">
    <w:abstractNumId w:val="197"/>
  </w:num>
  <w:num w:numId="309">
    <w:abstractNumId w:val="100"/>
  </w:num>
  <w:num w:numId="310">
    <w:abstractNumId w:val="212"/>
  </w:num>
  <w:num w:numId="311">
    <w:abstractNumId w:val="56"/>
  </w:num>
  <w:num w:numId="312">
    <w:abstractNumId w:val="198"/>
  </w:num>
  <w:num w:numId="313">
    <w:abstractNumId w:val="162"/>
  </w:num>
  <w:num w:numId="314">
    <w:abstractNumId w:val="162"/>
  </w:num>
  <w:num w:numId="315">
    <w:abstractNumId w:val="233"/>
  </w:num>
  <w:num w:numId="316">
    <w:abstractNumId w:val="280"/>
  </w:num>
  <w:num w:numId="317">
    <w:abstractNumId w:val="122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5"/>
  </w:num>
  <w:num w:numId="324">
    <w:abstractNumId w:val="343"/>
  </w:num>
  <w:num w:numId="325">
    <w:abstractNumId w:val="351"/>
  </w:num>
  <w:num w:numId="326">
    <w:abstractNumId w:val="259"/>
  </w:num>
  <w:num w:numId="327">
    <w:abstractNumId w:val="98"/>
  </w:num>
  <w:num w:numId="328">
    <w:abstractNumId w:val="248"/>
  </w:num>
  <w:num w:numId="329">
    <w:abstractNumId w:val="55"/>
    <w:lvlOverride w:ilvl="0">
      <w:startOverride w:val="1"/>
    </w:lvlOverride>
  </w:num>
  <w:num w:numId="330">
    <w:abstractNumId w:val="55"/>
    <w:lvlOverride w:ilvl="0">
      <w:startOverride w:val="2"/>
    </w:lvlOverride>
  </w:num>
  <w:num w:numId="331">
    <w:abstractNumId w:val="55"/>
    <w:lvlOverride w:ilvl="0">
      <w:startOverride w:val="3"/>
    </w:lvlOverride>
  </w:num>
  <w:num w:numId="332">
    <w:abstractNumId w:val="55"/>
    <w:lvlOverride w:ilvl="0">
      <w:startOverride w:val="4"/>
    </w:lvlOverride>
  </w:num>
  <w:num w:numId="333">
    <w:abstractNumId w:val="55"/>
  </w:num>
  <w:num w:numId="334">
    <w:abstractNumId w:val="27"/>
  </w:num>
  <w:num w:numId="335">
    <w:abstractNumId w:val="8"/>
  </w:num>
  <w:num w:numId="336">
    <w:abstractNumId w:val="55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3"/>
  </w:num>
  <w:num w:numId="340">
    <w:abstractNumId w:val="325"/>
  </w:num>
  <w:num w:numId="341">
    <w:abstractNumId w:val="230"/>
  </w:num>
  <w:num w:numId="342">
    <w:abstractNumId w:val="311"/>
  </w:num>
  <w:num w:numId="343">
    <w:abstractNumId w:val="80"/>
  </w:num>
  <w:num w:numId="344">
    <w:abstractNumId w:val="302"/>
  </w:num>
  <w:num w:numId="345">
    <w:abstractNumId w:val="302"/>
  </w:num>
  <w:num w:numId="346">
    <w:abstractNumId w:val="307"/>
  </w:num>
  <w:num w:numId="347">
    <w:abstractNumId w:val="163"/>
  </w:num>
  <w:num w:numId="348">
    <w:abstractNumId w:val="177"/>
  </w:num>
  <w:num w:numId="349">
    <w:abstractNumId w:val="239"/>
  </w:num>
  <w:num w:numId="350">
    <w:abstractNumId w:val="307"/>
  </w:num>
  <w:num w:numId="351">
    <w:abstractNumId w:val="48"/>
  </w:num>
  <w:num w:numId="352">
    <w:abstractNumId w:val="39"/>
  </w:num>
  <w:num w:numId="353">
    <w:abstractNumId w:val="39"/>
  </w:num>
  <w:num w:numId="354">
    <w:abstractNumId w:val="215"/>
  </w:num>
  <w:num w:numId="355">
    <w:abstractNumId w:val="334"/>
  </w:num>
  <w:num w:numId="356">
    <w:abstractNumId w:val="291"/>
  </w:num>
  <w:num w:numId="357">
    <w:abstractNumId w:val="266"/>
  </w:num>
  <w:num w:numId="358">
    <w:abstractNumId w:val="189"/>
  </w:num>
  <w:num w:numId="359">
    <w:abstractNumId w:val="257"/>
  </w:num>
  <w:num w:numId="360">
    <w:abstractNumId w:val="237"/>
    <w:lvlOverride w:ilvl="0">
      <w:startOverride w:val="1"/>
    </w:lvlOverride>
  </w:num>
  <w:num w:numId="361">
    <w:abstractNumId w:val="81"/>
  </w:num>
  <w:num w:numId="362">
    <w:abstractNumId w:val="237"/>
    <w:lvlOverride w:ilvl="0">
      <w:startOverride w:val="1"/>
    </w:lvlOverride>
  </w:num>
  <w:num w:numId="363">
    <w:abstractNumId w:val="73"/>
  </w:num>
  <w:num w:numId="364">
    <w:abstractNumId w:val="237"/>
    <w:lvlOverride w:ilvl="0">
      <w:startOverride w:val="1"/>
    </w:lvlOverride>
  </w:num>
  <w:num w:numId="365">
    <w:abstractNumId w:val="124"/>
  </w:num>
  <w:num w:numId="366">
    <w:abstractNumId w:val="237"/>
    <w:lvlOverride w:ilvl="0">
      <w:startOverride w:val="1"/>
    </w:lvlOverride>
  </w:num>
  <w:num w:numId="367">
    <w:abstractNumId w:val="99"/>
  </w:num>
  <w:num w:numId="368">
    <w:abstractNumId w:val="237"/>
    <w:lvlOverride w:ilvl="0">
      <w:startOverride w:val="1"/>
    </w:lvlOverride>
  </w:num>
  <w:num w:numId="369">
    <w:abstractNumId w:val="182"/>
  </w:num>
  <w:num w:numId="370">
    <w:abstractNumId w:val="237"/>
    <w:lvlOverride w:ilvl="0">
      <w:startOverride w:val="1"/>
    </w:lvlOverride>
  </w:num>
  <w:num w:numId="371">
    <w:abstractNumId w:val="39"/>
  </w:num>
  <w:num w:numId="372">
    <w:abstractNumId w:val="39"/>
  </w:num>
  <w:num w:numId="373">
    <w:abstractNumId w:val="39"/>
  </w:num>
  <w:num w:numId="374">
    <w:abstractNumId w:val="39"/>
  </w:num>
  <w:num w:numId="375">
    <w:abstractNumId w:val="39"/>
  </w:num>
  <w:num w:numId="376">
    <w:abstractNumId w:val="39"/>
  </w:num>
  <w:num w:numId="377">
    <w:abstractNumId w:val="113"/>
  </w:num>
  <w:num w:numId="378">
    <w:abstractNumId w:val="237"/>
    <w:lvlOverride w:ilvl="0">
      <w:startOverride w:val="1"/>
    </w:lvlOverride>
  </w:num>
  <w:num w:numId="379">
    <w:abstractNumId w:val="39"/>
  </w:num>
  <w:num w:numId="380">
    <w:abstractNumId w:val="29"/>
  </w:num>
  <w:num w:numId="381">
    <w:abstractNumId w:val="237"/>
    <w:lvlOverride w:ilvl="0">
      <w:startOverride w:val="1"/>
    </w:lvlOverride>
  </w:num>
  <w:num w:numId="382">
    <w:abstractNumId w:val="103"/>
  </w:num>
  <w:num w:numId="383">
    <w:abstractNumId w:val="63"/>
  </w:num>
  <w:num w:numId="384">
    <w:abstractNumId w:val="200"/>
  </w:num>
  <w:num w:numId="385">
    <w:abstractNumId w:val="144"/>
  </w:num>
  <w:num w:numId="386">
    <w:abstractNumId w:val="24"/>
  </w:num>
  <w:num w:numId="387">
    <w:abstractNumId w:val="330"/>
  </w:num>
  <w:num w:numId="388">
    <w:abstractNumId w:val="253"/>
  </w:num>
  <w:num w:numId="389">
    <w:abstractNumId w:val="319"/>
  </w:num>
  <w:num w:numId="390">
    <w:abstractNumId w:val="39"/>
  </w:num>
  <w:num w:numId="391">
    <w:abstractNumId w:val="39"/>
  </w:num>
  <w:num w:numId="392">
    <w:abstractNumId w:val="39"/>
  </w:num>
  <w:num w:numId="393">
    <w:abstractNumId w:val="39"/>
  </w:num>
  <w:num w:numId="394">
    <w:abstractNumId w:val="39"/>
  </w:num>
  <w:num w:numId="395">
    <w:abstractNumId w:val="39"/>
  </w:num>
  <w:num w:numId="396">
    <w:abstractNumId w:val="39"/>
  </w:num>
  <w:num w:numId="397">
    <w:abstractNumId w:val="47"/>
  </w:num>
  <w:num w:numId="398">
    <w:abstractNumId w:val="115"/>
  </w:num>
  <w:num w:numId="399">
    <w:abstractNumId w:val="237"/>
    <w:lvlOverride w:ilvl="0">
      <w:startOverride w:val="1"/>
    </w:lvlOverride>
  </w:num>
  <w:num w:numId="400">
    <w:abstractNumId w:val="237"/>
  </w:num>
  <w:num w:numId="401">
    <w:abstractNumId w:val="64"/>
  </w:num>
  <w:num w:numId="402">
    <w:abstractNumId w:val="237"/>
    <w:lvlOverride w:ilvl="0">
      <w:startOverride w:val="1"/>
    </w:lvlOverride>
  </w:num>
  <w:num w:numId="403">
    <w:abstractNumId w:val="101"/>
  </w:num>
  <w:num w:numId="404">
    <w:abstractNumId w:val="237"/>
    <w:lvlOverride w:ilvl="0">
      <w:startOverride w:val="1"/>
    </w:lvlOverride>
  </w:num>
  <w:num w:numId="405">
    <w:abstractNumId w:val="308"/>
  </w:num>
  <w:num w:numId="406">
    <w:abstractNumId w:val="7"/>
  </w:num>
  <w:num w:numId="407">
    <w:abstractNumId w:val="163"/>
  </w:num>
  <w:num w:numId="408">
    <w:abstractNumId w:val="302"/>
  </w:num>
  <w:num w:numId="409">
    <w:abstractNumId w:val="302"/>
  </w:num>
  <w:num w:numId="410">
    <w:abstractNumId w:val="302"/>
  </w:num>
  <w:num w:numId="411">
    <w:abstractNumId w:val="302"/>
  </w:num>
  <w:num w:numId="412">
    <w:abstractNumId w:val="302"/>
  </w:num>
  <w:num w:numId="413">
    <w:abstractNumId w:val="302"/>
  </w:num>
  <w:num w:numId="414">
    <w:abstractNumId w:val="302"/>
  </w:num>
  <w:num w:numId="415">
    <w:abstractNumId w:val="302"/>
  </w:num>
  <w:num w:numId="416">
    <w:abstractNumId w:val="302"/>
  </w:num>
  <w:num w:numId="417">
    <w:abstractNumId w:val="302"/>
  </w:num>
  <w:num w:numId="418">
    <w:abstractNumId w:val="302"/>
  </w:num>
  <w:num w:numId="419">
    <w:abstractNumId w:val="39"/>
  </w:num>
  <w:num w:numId="420">
    <w:abstractNumId w:val="302"/>
  </w:num>
  <w:num w:numId="421">
    <w:abstractNumId w:val="302"/>
  </w:num>
  <w:num w:numId="422">
    <w:abstractNumId w:val="302"/>
  </w:num>
  <w:num w:numId="423">
    <w:abstractNumId w:val="302"/>
  </w:num>
  <w:num w:numId="424">
    <w:abstractNumId w:val="39"/>
  </w:num>
  <w:num w:numId="425">
    <w:abstractNumId w:val="39"/>
  </w:num>
  <w:num w:numId="426">
    <w:abstractNumId w:val="39"/>
  </w:num>
  <w:num w:numId="427">
    <w:abstractNumId w:val="39"/>
  </w:num>
  <w:num w:numId="428">
    <w:abstractNumId w:val="39"/>
  </w:num>
  <w:num w:numId="429">
    <w:abstractNumId w:val="39"/>
  </w:num>
  <w:num w:numId="430">
    <w:abstractNumId w:val="72"/>
  </w:num>
  <w:num w:numId="431">
    <w:abstractNumId w:val="299"/>
  </w:num>
  <w:num w:numId="432">
    <w:abstractNumId w:val="276"/>
  </w:num>
  <w:num w:numId="433">
    <w:abstractNumId w:val="322"/>
  </w:num>
  <w:num w:numId="434">
    <w:abstractNumId w:val="166"/>
  </w:num>
  <w:num w:numId="435">
    <w:abstractNumId w:val="237"/>
    <w:lvlOverride w:ilvl="0">
      <w:startOverride w:val="1"/>
    </w:lvlOverride>
  </w:num>
  <w:num w:numId="436">
    <w:abstractNumId w:val="74"/>
  </w:num>
  <w:num w:numId="437">
    <w:abstractNumId w:val="237"/>
    <w:lvlOverride w:ilvl="0">
      <w:startOverride w:val="1"/>
    </w:lvlOverride>
  </w:num>
  <w:num w:numId="438">
    <w:abstractNumId w:val="39"/>
  </w:num>
  <w:num w:numId="439">
    <w:abstractNumId w:val="39"/>
  </w:num>
  <w:num w:numId="440">
    <w:abstractNumId w:val="279"/>
  </w:num>
  <w:num w:numId="441">
    <w:abstractNumId w:val="237"/>
    <w:lvlOverride w:ilvl="0">
      <w:startOverride w:val="1"/>
    </w:lvlOverride>
  </w:num>
  <w:num w:numId="442">
    <w:abstractNumId w:val="237"/>
  </w:num>
  <w:num w:numId="443">
    <w:abstractNumId w:val="3"/>
  </w:num>
  <w:num w:numId="444">
    <w:abstractNumId w:val="62"/>
  </w:num>
  <w:num w:numId="445">
    <w:abstractNumId w:val="237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1"/>
  </w:num>
  <w:num w:numId="449">
    <w:abstractNumId w:val="161"/>
    <w:lvlOverride w:ilvl="0">
      <w:startOverride w:val="1"/>
    </w:lvlOverride>
  </w:num>
  <w:num w:numId="450">
    <w:abstractNumId w:val="39"/>
  </w:num>
  <w:num w:numId="451">
    <w:abstractNumId w:val="243"/>
  </w:num>
  <w:num w:numId="452">
    <w:abstractNumId w:val="161"/>
    <w:lvlOverride w:ilvl="0">
      <w:startOverride w:val="1"/>
    </w:lvlOverride>
  </w:num>
  <w:num w:numId="453">
    <w:abstractNumId w:val="45"/>
  </w:num>
  <w:num w:numId="454">
    <w:abstractNumId w:val="161"/>
    <w:lvlOverride w:ilvl="0">
      <w:startOverride w:val="1"/>
    </w:lvlOverride>
  </w:num>
  <w:num w:numId="455">
    <w:abstractNumId w:val="39"/>
  </w:num>
  <w:num w:numId="456">
    <w:abstractNumId w:val="28"/>
  </w:num>
  <w:num w:numId="457">
    <w:abstractNumId w:val="161"/>
    <w:lvlOverride w:ilvl="0">
      <w:startOverride w:val="1"/>
    </w:lvlOverride>
  </w:num>
  <w:num w:numId="458">
    <w:abstractNumId w:val="209"/>
  </w:num>
  <w:num w:numId="459">
    <w:abstractNumId w:val="119"/>
  </w:num>
  <w:num w:numId="460">
    <w:abstractNumId w:val="196"/>
  </w:num>
  <w:num w:numId="461">
    <w:abstractNumId w:val="164"/>
  </w:num>
  <w:num w:numId="462">
    <w:abstractNumId w:val="95"/>
  </w:num>
  <w:num w:numId="463">
    <w:abstractNumId w:val="252"/>
  </w:num>
  <w:num w:numId="464">
    <w:abstractNumId w:val="223"/>
  </w:num>
  <w:num w:numId="465">
    <w:abstractNumId w:val="161"/>
    <w:lvlOverride w:ilvl="0">
      <w:startOverride w:val="1"/>
    </w:lvlOverride>
  </w:num>
  <w:num w:numId="466">
    <w:abstractNumId w:val="59"/>
  </w:num>
  <w:num w:numId="467">
    <w:abstractNumId w:val="255"/>
  </w:num>
  <w:num w:numId="468">
    <w:abstractNumId w:val="148"/>
  </w:num>
  <w:num w:numId="469">
    <w:abstractNumId w:val="255"/>
  </w:num>
  <w:num w:numId="470">
    <w:abstractNumId w:val="318"/>
  </w:num>
  <w:num w:numId="471">
    <w:abstractNumId w:val="255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50"/>
  </w:num>
  <w:num w:numId="475">
    <w:abstractNumId w:val="88"/>
  </w:num>
  <w:num w:numId="476">
    <w:abstractNumId w:val="265"/>
  </w:num>
  <w:num w:numId="477">
    <w:abstractNumId w:val="60"/>
  </w:num>
  <w:num w:numId="478">
    <w:abstractNumId w:val="39"/>
  </w:num>
  <w:num w:numId="479">
    <w:abstractNumId w:val="246"/>
  </w:num>
  <w:num w:numId="480">
    <w:abstractNumId w:val="90"/>
  </w:num>
  <w:num w:numId="481">
    <w:abstractNumId w:val="195"/>
  </w:num>
  <w:num w:numId="482">
    <w:abstractNumId w:val="54"/>
  </w:num>
  <w:num w:numId="483">
    <w:abstractNumId w:val="350"/>
  </w:num>
  <w:num w:numId="484">
    <w:abstractNumId w:val="96"/>
  </w:num>
  <w:num w:numId="485">
    <w:abstractNumId w:val="150"/>
  </w:num>
  <w:num w:numId="486">
    <w:abstractNumId w:val="97"/>
  </w:num>
  <w:num w:numId="487">
    <w:abstractNumId w:val="216"/>
  </w:num>
  <w:num w:numId="488">
    <w:abstractNumId w:val="281"/>
  </w:num>
  <w:num w:numId="489">
    <w:abstractNumId w:val="70"/>
  </w:num>
  <w:num w:numId="490">
    <w:abstractNumId w:val="219"/>
  </w:num>
  <w:num w:numId="491">
    <w:abstractNumId w:val="131"/>
  </w:num>
  <w:num w:numId="492">
    <w:abstractNumId w:val="194"/>
  </w:num>
  <w:num w:numId="493">
    <w:abstractNumId w:val="116"/>
  </w:num>
  <w:num w:numId="494">
    <w:abstractNumId w:val="39"/>
  </w:num>
  <w:num w:numId="495">
    <w:abstractNumId w:val="39"/>
  </w:num>
  <w:num w:numId="496">
    <w:abstractNumId w:val="39"/>
  </w:num>
  <w:num w:numId="497">
    <w:abstractNumId w:val="126"/>
  </w:num>
  <w:num w:numId="498">
    <w:abstractNumId w:val="41"/>
  </w:num>
  <w:num w:numId="499">
    <w:abstractNumId w:val="290"/>
  </w:num>
  <w:num w:numId="500">
    <w:abstractNumId w:val="232"/>
  </w:num>
  <w:num w:numId="501">
    <w:abstractNumId w:val="108"/>
  </w:num>
  <w:num w:numId="502">
    <w:abstractNumId w:val="23"/>
  </w:num>
  <w:num w:numId="503">
    <w:abstractNumId w:val="204"/>
  </w:num>
  <w:num w:numId="504">
    <w:abstractNumId w:val="206"/>
  </w:num>
  <w:num w:numId="505">
    <w:abstractNumId w:val="13"/>
  </w:num>
  <w:num w:numId="506">
    <w:abstractNumId w:val="2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3FF3"/>
    <w:rsid w:val="00014873"/>
    <w:rsid w:val="00015AB4"/>
    <w:rsid w:val="00017D71"/>
    <w:rsid w:val="00020A88"/>
    <w:rsid w:val="00020DDD"/>
    <w:rsid w:val="000213A8"/>
    <w:rsid w:val="0002203F"/>
    <w:rsid w:val="00022302"/>
    <w:rsid w:val="0002511C"/>
    <w:rsid w:val="00025E6B"/>
    <w:rsid w:val="00027510"/>
    <w:rsid w:val="0002790D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2DEC"/>
    <w:rsid w:val="000A7857"/>
    <w:rsid w:val="000A7B9A"/>
    <w:rsid w:val="000A7DE3"/>
    <w:rsid w:val="000B3BEF"/>
    <w:rsid w:val="000B5732"/>
    <w:rsid w:val="000B6CC5"/>
    <w:rsid w:val="000C0E6A"/>
    <w:rsid w:val="000C4C10"/>
    <w:rsid w:val="000C5506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2EFE"/>
    <w:rsid w:val="000F4C6A"/>
    <w:rsid w:val="001002E2"/>
    <w:rsid w:val="00100F44"/>
    <w:rsid w:val="001044A2"/>
    <w:rsid w:val="00104F6B"/>
    <w:rsid w:val="00106058"/>
    <w:rsid w:val="00106956"/>
    <w:rsid w:val="00111A8E"/>
    <w:rsid w:val="00111BCC"/>
    <w:rsid w:val="00111F09"/>
    <w:rsid w:val="00115021"/>
    <w:rsid w:val="001160AD"/>
    <w:rsid w:val="00117168"/>
    <w:rsid w:val="00117A62"/>
    <w:rsid w:val="00120A61"/>
    <w:rsid w:val="00124079"/>
    <w:rsid w:val="001259D8"/>
    <w:rsid w:val="00125DEF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EE9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2055"/>
    <w:rsid w:val="001B3C85"/>
    <w:rsid w:val="001B586D"/>
    <w:rsid w:val="001B6785"/>
    <w:rsid w:val="001B7688"/>
    <w:rsid w:val="001C618F"/>
    <w:rsid w:val="001C7258"/>
    <w:rsid w:val="001D0283"/>
    <w:rsid w:val="001D1BDC"/>
    <w:rsid w:val="001D2F2B"/>
    <w:rsid w:val="001D3FC1"/>
    <w:rsid w:val="001D67E3"/>
    <w:rsid w:val="001D70CD"/>
    <w:rsid w:val="001D7458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219F"/>
    <w:rsid w:val="002032E2"/>
    <w:rsid w:val="002057D7"/>
    <w:rsid w:val="00210630"/>
    <w:rsid w:val="00210AA6"/>
    <w:rsid w:val="00210EAC"/>
    <w:rsid w:val="002132D2"/>
    <w:rsid w:val="00215053"/>
    <w:rsid w:val="00216E1F"/>
    <w:rsid w:val="002207C3"/>
    <w:rsid w:val="00221A95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361C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34BE"/>
    <w:rsid w:val="002B6A2C"/>
    <w:rsid w:val="002C078E"/>
    <w:rsid w:val="002C53CE"/>
    <w:rsid w:val="002C5DD4"/>
    <w:rsid w:val="002D0B10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082F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67A76"/>
    <w:rsid w:val="00373663"/>
    <w:rsid w:val="00375BFE"/>
    <w:rsid w:val="0037647E"/>
    <w:rsid w:val="00376601"/>
    <w:rsid w:val="003801E5"/>
    <w:rsid w:val="00381789"/>
    <w:rsid w:val="00382E50"/>
    <w:rsid w:val="00384DE7"/>
    <w:rsid w:val="00387787"/>
    <w:rsid w:val="0039555D"/>
    <w:rsid w:val="00396449"/>
    <w:rsid w:val="003967C2"/>
    <w:rsid w:val="0039745B"/>
    <w:rsid w:val="003A1010"/>
    <w:rsid w:val="003A33AE"/>
    <w:rsid w:val="003A6CA1"/>
    <w:rsid w:val="003B0438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18FF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D89"/>
    <w:rsid w:val="003F586A"/>
    <w:rsid w:val="003F6393"/>
    <w:rsid w:val="003F7994"/>
    <w:rsid w:val="0040024C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5E1C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53716"/>
    <w:rsid w:val="00460BA9"/>
    <w:rsid w:val="00461004"/>
    <w:rsid w:val="00466D6B"/>
    <w:rsid w:val="00473C8E"/>
    <w:rsid w:val="00475F68"/>
    <w:rsid w:val="00476162"/>
    <w:rsid w:val="00477C3F"/>
    <w:rsid w:val="00483E5F"/>
    <w:rsid w:val="00486923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03F3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2A7A"/>
    <w:rsid w:val="004D318B"/>
    <w:rsid w:val="004D5C00"/>
    <w:rsid w:val="004D7EB9"/>
    <w:rsid w:val="004E095F"/>
    <w:rsid w:val="004E3C57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4E9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110D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65E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6C2B"/>
    <w:rsid w:val="006073FB"/>
    <w:rsid w:val="00610F11"/>
    <w:rsid w:val="0061203C"/>
    <w:rsid w:val="006145E4"/>
    <w:rsid w:val="0061494B"/>
    <w:rsid w:val="00614A3E"/>
    <w:rsid w:val="00614CB8"/>
    <w:rsid w:val="00615968"/>
    <w:rsid w:val="006213C7"/>
    <w:rsid w:val="00621FCA"/>
    <w:rsid w:val="00625277"/>
    <w:rsid w:val="006273B9"/>
    <w:rsid w:val="0063095F"/>
    <w:rsid w:val="00630C59"/>
    <w:rsid w:val="00631706"/>
    <w:rsid w:val="00631C5F"/>
    <w:rsid w:val="006326AD"/>
    <w:rsid w:val="00633031"/>
    <w:rsid w:val="00633EDB"/>
    <w:rsid w:val="006361C2"/>
    <w:rsid w:val="00640640"/>
    <w:rsid w:val="00640A46"/>
    <w:rsid w:val="00644E84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28FF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47CD"/>
    <w:rsid w:val="00695434"/>
    <w:rsid w:val="0069648B"/>
    <w:rsid w:val="00696A79"/>
    <w:rsid w:val="006A2C05"/>
    <w:rsid w:val="006A34BE"/>
    <w:rsid w:val="006A4374"/>
    <w:rsid w:val="006B030B"/>
    <w:rsid w:val="006B0E7D"/>
    <w:rsid w:val="006B20AA"/>
    <w:rsid w:val="006B2303"/>
    <w:rsid w:val="006C3379"/>
    <w:rsid w:val="006C6F2C"/>
    <w:rsid w:val="006D1422"/>
    <w:rsid w:val="006D37C8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5C44"/>
    <w:rsid w:val="006F64E6"/>
    <w:rsid w:val="006F74B3"/>
    <w:rsid w:val="00701EE2"/>
    <w:rsid w:val="0070388C"/>
    <w:rsid w:val="0070685A"/>
    <w:rsid w:val="007102EC"/>
    <w:rsid w:val="00713C62"/>
    <w:rsid w:val="00714DBC"/>
    <w:rsid w:val="00722C13"/>
    <w:rsid w:val="00724E76"/>
    <w:rsid w:val="00726F77"/>
    <w:rsid w:val="00731BEB"/>
    <w:rsid w:val="00732E2B"/>
    <w:rsid w:val="007342F5"/>
    <w:rsid w:val="00734B77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2AFA"/>
    <w:rsid w:val="00793BB8"/>
    <w:rsid w:val="00795C6B"/>
    <w:rsid w:val="00795D4A"/>
    <w:rsid w:val="007A0E22"/>
    <w:rsid w:val="007A15E6"/>
    <w:rsid w:val="007A2A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161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00A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2DB9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1A26"/>
    <w:rsid w:val="00893E45"/>
    <w:rsid w:val="00896B30"/>
    <w:rsid w:val="00896C11"/>
    <w:rsid w:val="008A003E"/>
    <w:rsid w:val="008A3063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3447"/>
    <w:rsid w:val="008E5022"/>
    <w:rsid w:val="008E5EBF"/>
    <w:rsid w:val="008F0B2A"/>
    <w:rsid w:val="008F1260"/>
    <w:rsid w:val="008F50F6"/>
    <w:rsid w:val="008F53D5"/>
    <w:rsid w:val="008F630C"/>
    <w:rsid w:val="008F7BC2"/>
    <w:rsid w:val="00906C0A"/>
    <w:rsid w:val="00906E9E"/>
    <w:rsid w:val="0091201E"/>
    <w:rsid w:val="00912EA5"/>
    <w:rsid w:val="00913500"/>
    <w:rsid w:val="00913F6A"/>
    <w:rsid w:val="0091635C"/>
    <w:rsid w:val="009169F6"/>
    <w:rsid w:val="009173EE"/>
    <w:rsid w:val="00917F7B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086"/>
    <w:rsid w:val="00953DB9"/>
    <w:rsid w:val="00954D9A"/>
    <w:rsid w:val="00955176"/>
    <w:rsid w:val="00961866"/>
    <w:rsid w:val="00961BE5"/>
    <w:rsid w:val="009672A6"/>
    <w:rsid w:val="0097127F"/>
    <w:rsid w:val="00971DEC"/>
    <w:rsid w:val="0097251E"/>
    <w:rsid w:val="00973CF0"/>
    <w:rsid w:val="00974912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1510"/>
    <w:rsid w:val="00992155"/>
    <w:rsid w:val="009940E0"/>
    <w:rsid w:val="009940E4"/>
    <w:rsid w:val="00997CEF"/>
    <w:rsid w:val="009A05B3"/>
    <w:rsid w:val="009A1C00"/>
    <w:rsid w:val="009A2615"/>
    <w:rsid w:val="009A3E3D"/>
    <w:rsid w:val="009A47F4"/>
    <w:rsid w:val="009A6C4C"/>
    <w:rsid w:val="009B217B"/>
    <w:rsid w:val="009B2295"/>
    <w:rsid w:val="009B2428"/>
    <w:rsid w:val="009B3F88"/>
    <w:rsid w:val="009B4BEA"/>
    <w:rsid w:val="009C12C4"/>
    <w:rsid w:val="009C402D"/>
    <w:rsid w:val="009D15A0"/>
    <w:rsid w:val="009D16DD"/>
    <w:rsid w:val="009D4232"/>
    <w:rsid w:val="009D4AB5"/>
    <w:rsid w:val="009E36E3"/>
    <w:rsid w:val="009E3CFB"/>
    <w:rsid w:val="009E459E"/>
    <w:rsid w:val="009E47DA"/>
    <w:rsid w:val="009E59B1"/>
    <w:rsid w:val="009F3AAE"/>
    <w:rsid w:val="009F49D4"/>
    <w:rsid w:val="009F63FC"/>
    <w:rsid w:val="009F6803"/>
    <w:rsid w:val="00A0061D"/>
    <w:rsid w:val="00A01CEB"/>
    <w:rsid w:val="00A0517A"/>
    <w:rsid w:val="00A055C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6E57"/>
    <w:rsid w:val="00A27F81"/>
    <w:rsid w:val="00A35B1B"/>
    <w:rsid w:val="00A42BCC"/>
    <w:rsid w:val="00A45068"/>
    <w:rsid w:val="00A45356"/>
    <w:rsid w:val="00A4618E"/>
    <w:rsid w:val="00A46534"/>
    <w:rsid w:val="00A47CA1"/>
    <w:rsid w:val="00A51122"/>
    <w:rsid w:val="00A51DFB"/>
    <w:rsid w:val="00A528CB"/>
    <w:rsid w:val="00A53AD2"/>
    <w:rsid w:val="00A55396"/>
    <w:rsid w:val="00A5561A"/>
    <w:rsid w:val="00A5684F"/>
    <w:rsid w:val="00A60C59"/>
    <w:rsid w:val="00A60D82"/>
    <w:rsid w:val="00A62EB4"/>
    <w:rsid w:val="00A63B69"/>
    <w:rsid w:val="00A6597D"/>
    <w:rsid w:val="00A67DA7"/>
    <w:rsid w:val="00A711BE"/>
    <w:rsid w:val="00A716C2"/>
    <w:rsid w:val="00A72B46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09DC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1A07"/>
    <w:rsid w:val="00B24530"/>
    <w:rsid w:val="00B245A2"/>
    <w:rsid w:val="00B2590B"/>
    <w:rsid w:val="00B26124"/>
    <w:rsid w:val="00B31B06"/>
    <w:rsid w:val="00B320C1"/>
    <w:rsid w:val="00B32948"/>
    <w:rsid w:val="00B33EDC"/>
    <w:rsid w:val="00B545FC"/>
    <w:rsid w:val="00B554D7"/>
    <w:rsid w:val="00B55B6D"/>
    <w:rsid w:val="00B57BFE"/>
    <w:rsid w:val="00B60111"/>
    <w:rsid w:val="00B63045"/>
    <w:rsid w:val="00B701B7"/>
    <w:rsid w:val="00B71F74"/>
    <w:rsid w:val="00B72373"/>
    <w:rsid w:val="00B73E0C"/>
    <w:rsid w:val="00B74174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137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31B2"/>
    <w:rsid w:val="00BD4F2F"/>
    <w:rsid w:val="00BD55FF"/>
    <w:rsid w:val="00BD6B48"/>
    <w:rsid w:val="00BD7B3D"/>
    <w:rsid w:val="00BE17CC"/>
    <w:rsid w:val="00BE1A87"/>
    <w:rsid w:val="00BE74B0"/>
    <w:rsid w:val="00BF300D"/>
    <w:rsid w:val="00BF4B81"/>
    <w:rsid w:val="00BF4CC4"/>
    <w:rsid w:val="00BF57B3"/>
    <w:rsid w:val="00C043FA"/>
    <w:rsid w:val="00C05680"/>
    <w:rsid w:val="00C05A18"/>
    <w:rsid w:val="00C06D96"/>
    <w:rsid w:val="00C07366"/>
    <w:rsid w:val="00C10A1F"/>
    <w:rsid w:val="00C11598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368DD"/>
    <w:rsid w:val="00C40B56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1976"/>
    <w:rsid w:val="00C751F7"/>
    <w:rsid w:val="00C7573D"/>
    <w:rsid w:val="00C75B4A"/>
    <w:rsid w:val="00C76400"/>
    <w:rsid w:val="00C775D6"/>
    <w:rsid w:val="00C77D06"/>
    <w:rsid w:val="00C82340"/>
    <w:rsid w:val="00C82715"/>
    <w:rsid w:val="00C82E38"/>
    <w:rsid w:val="00C83FC7"/>
    <w:rsid w:val="00C84051"/>
    <w:rsid w:val="00C85529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515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3A1F"/>
    <w:rsid w:val="00D55AD1"/>
    <w:rsid w:val="00D56B4E"/>
    <w:rsid w:val="00D57EC4"/>
    <w:rsid w:val="00D609C5"/>
    <w:rsid w:val="00D626D1"/>
    <w:rsid w:val="00D628CC"/>
    <w:rsid w:val="00D64052"/>
    <w:rsid w:val="00D70798"/>
    <w:rsid w:val="00D727EE"/>
    <w:rsid w:val="00D74536"/>
    <w:rsid w:val="00D75ACB"/>
    <w:rsid w:val="00D762C8"/>
    <w:rsid w:val="00D76C34"/>
    <w:rsid w:val="00D80BAC"/>
    <w:rsid w:val="00D816A5"/>
    <w:rsid w:val="00D8190A"/>
    <w:rsid w:val="00D8196E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19AD"/>
    <w:rsid w:val="00DE27BD"/>
    <w:rsid w:val="00DE4B71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256C7"/>
    <w:rsid w:val="00E327C8"/>
    <w:rsid w:val="00E33654"/>
    <w:rsid w:val="00E3474D"/>
    <w:rsid w:val="00E525AA"/>
    <w:rsid w:val="00E5533D"/>
    <w:rsid w:val="00E56BF9"/>
    <w:rsid w:val="00E61793"/>
    <w:rsid w:val="00E61C19"/>
    <w:rsid w:val="00E63D7A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44F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4266"/>
    <w:rsid w:val="00EA5762"/>
    <w:rsid w:val="00EB1D64"/>
    <w:rsid w:val="00EB2F19"/>
    <w:rsid w:val="00EB4637"/>
    <w:rsid w:val="00EB4707"/>
    <w:rsid w:val="00EB4F91"/>
    <w:rsid w:val="00EB6DF4"/>
    <w:rsid w:val="00EC0518"/>
    <w:rsid w:val="00EC0C35"/>
    <w:rsid w:val="00ED1093"/>
    <w:rsid w:val="00ED4698"/>
    <w:rsid w:val="00ED6F66"/>
    <w:rsid w:val="00EE2067"/>
    <w:rsid w:val="00EE33A5"/>
    <w:rsid w:val="00EE3CAB"/>
    <w:rsid w:val="00EF0733"/>
    <w:rsid w:val="00EF5320"/>
    <w:rsid w:val="00EF6749"/>
    <w:rsid w:val="00EF693C"/>
    <w:rsid w:val="00EF7124"/>
    <w:rsid w:val="00EF7621"/>
    <w:rsid w:val="00F00BAB"/>
    <w:rsid w:val="00F05812"/>
    <w:rsid w:val="00F06EFE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67892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02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89B68884-2F1D-46C4-A2E5-6E61AC13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olex.fao.org/docs/pdf/saf85909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7358E-9A8F-4D5B-AAB5-0EE33218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3305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115</cp:revision>
  <cp:lastPrinted>2014-04-15T11:42:00Z</cp:lastPrinted>
  <dcterms:created xsi:type="dcterms:W3CDTF">2015-06-19T08:10:00Z</dcterms:created>
  <dcterms:modified xsi:type="dcterms:W3CDTF">2018-04-19T08:50:00Z</dcterms:modified>
</cp:coreProperties>
</file>