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083DF" w14:textId="77777777" w:rsidR="004325DC" w:rsidRDefault="00C10A1F" w:rsidP="00BD3D90">
      <w:pPr>
        <w:pStyle w:val="Caschap"/>
      </w:pPr>
      <w:bookmarkStart w:id="0" w:name="_Toc241065267"/>
      <w:bookmarkStart w:id="1" w:name="_Toc301443486"/>
      <w:bookmarkStart w:id="2" w:name="_Toc321407133"/>
      <w:r w:rsidRPr="00556D69">
        <w:t>Étude de cas</w:t>
      </w:r>
      <w:r w:rsidR="00AB3F98">
        <w:t xml:space="preserve"> 3</w:t>
      </w:r>
      <w:bookmarkEnd w:id="0"/>
    </w:p>
    <w:p w14:paraId="7BBFE331" w14:textId="4A0901A5" w:rsidR="004325DC" w:rsidRPr="00836A0F" w:rsidRDefault="00C10A1F" w:rsidP="00BD3D90">
      <w:pPr>
        <w:pStyle w:val="Cas"/>
        <w:rPr>
          <w:color w:val="0000FF"/>
        </w:rPr>
      </w:pPr>
      <w:bookmarkStart w:id="3" w:name="_Toc238963380"/>
      <w:bookmarkStart w:id="4" w:name="_Toc241065268"/>
      <w:r w:rsidRPr="00836A0F">
        <w:rPr>
          <w:color w:val="0000FF"/>
        </w:rPr>
        <w:t>Sensibilisation</w:t>
      </w:r>
      <w:r w:rsidR="00EA1FE1" w:rsidRPr="00836A0F">
        <w:rPr>
          <w:color w:val="0000FF"/>
        </w:rPr>
        <w:t> :</w:t>
      </w:r>
      <w:r w:rsidRPr="00836A0F">
        <w:rPr>
          <w:color w:val="0000FF"/>
        </w:rPr>
        <w:t xml:space="preserve"> activités de sensibilisation</w:t>
      </w:r>
      <w:bookmarkEnd w:id="1"/>
      <w:r w:rsidRPr="00836A0F">
        <w:rPr>
          <w:color w:val="0000FF"/>
        </w:rPr>
        <w:t xml:space="preserve"> en Colombie</w:t>
      </w:r>
      <w:bookmarkEnd w:id="2"/>
      <w:bookmarkEnd w:id="3"/>
      <w:bookmarkEnd w:id="4"/>
    </w:p>
    <w:p w14:paraId="2562A653" w14:textId="1DD8D88A" w:rsidR="004325DC" w:rsidRDefault="00C10A1F" w:rsidP="00836A0F">
      <w:pPr>
        <w:pStyle w:val="Texte1"/>
      </w:pPr>
      <w:r w:rsidRPr="00556D69">
        <w:t xml:space="preserve">En 2002 le Gouvernement colombien, avec l’appui de l’UNESCO et l’aide financière du Gouvernement nippon, a lancé une campagne nationale afin d’alerter les communautés, la société civile, les institutions scientifiques et les services publics quant à l’importance de sauvegarder le </w:t>
      </w:r>
      <w:r w:rsidR="00BB2FF5" w:rsidRPr="00556D69">
        <w:t>patrimoine culturel immatériel</w:t>
      </w:r>
      <w:r w:rsidRPr="00556D69">
        <w:t xml:space="preserve"> de la Colombie. Le but était d’obtenir un soutien pour mener des actions en faveur du PCI auprès des élus et des responsables de l’élaboration des politiques, mais aussi engager le public et d’autres acteurs dans des projets de sauvegarde du PCI.</w:t>
      </w:r>
      <w:r w:rsidR="00B421AC">
        <w:t xml:space="preserve"> </w:t>
      </w:r>
      <w:r w:rsidRPr="00556D69">
        <w:t>Activités mises en œuvre</w:t>
      </w:r>
      <w:r w:rsidR="00EA1FE1" w:rsidRPr="00556D69">
        <w:t> :</w:t>
      </w:r>
    </w:p>
    <w:p w14:paraId="54938ABA" w14:textId="77777777" w:rsidR="004325DC" w:rsidRDefault="00C10A1F" w:rsidP="00035ACE">
      <w:pPr>
        <w:pStyle w:val="Enutiret"/>
        <w:spacing w:after="80"/>
      </w:pPr>
      <w:r w:rsidRPr="00556D69">
        <w:t xml:space="preserve">mise en place du Comité du </w:t>
      </w:r>
      <w:r w:rsidR="00BB2FF5" w:rsidRPr="00556D69">
        <w:t>patrimoine culturel immatériel</w:t>
      </w:r>
      <w:r w:rsidRPr="00556D69">
        <w:t xml:space="preserve"> (2004), organe consultatif auprès du Ministère colombien de la Culture pour la formulation des politiques</w:t>
      </w:r>
      <w:r w:rsidR="00EA1FE1" w:rsidRPr="00556D69">
        <w:t> ;</w:t>
      </w:r>
    </w:p>
    <w:p w14:paraId="3B3DF3D6" w14:textId="77777777" w:rsidR="004325DC" w:rsidRDefault="00C10A1F" w:rsidP="00035ACE">
      <w:pPr>
        <w:pStyle w:val="Enutiret"/>
        <w:spacing w:after="80"/>
      </w:pPr>
      <w:r w:rsidRPr="00556D69">
        <w:t>organisation de la première Rencontre nationale pour le PCI (Medellín, septembre</w:t>
      </w:r>
      <w:r w:rsidR="00547581">
        <w:t> </w:t>
      </w:r>
      <w:r w:rsidRPr="00556D69">
        <w:t>2005) qui a amené la création de réseaux nationaux et a encouragé les décideurs politiques à appuyer la ratification de la Convention</w:t>
      </w:r>
      <w:r w:rsidR="00EA1FE1" w:rsidRPr="00556D69">
        <w:t> ;</w:t>
      </w:r>
    </w:p>
    <w:p w14:paraId="52C032A8" w14:textId="77777777" w:rsidR="004325DC" w:rsidRDefault="00C10A1F" w:rsidP="00035ACE">
      <w:pPr>
        <w:pStyle w:val="Enutiret"/>
        <w:spacing w:after="80"/>
      </w:pPr>
      <w:r w:rsidRPr="00556D69">
        <w:t>lancement d’une campagne médiatique ayant pour slogan</w:t>
      </w:r>
      <w:r w:rsidR="00043DFF" w:rsidRPr="00556D69">
        <w:t xml:space="preserve"> « </w:t>
      </w:r>
      <w:r w:rsidRPr="00556D69">
        <w:t>Montre qui tu es</w:t>
      </w:r>
      <w:r w:rsidR="00043DFF" w:rsidRPr="00556D69">
        <w:t xml:space="preserve"> » </w:t>
      </w:r>
      <w:r w:rsidRPr="00556D69">
        <w:t xml:space="preserve">afin de faire prendre conscience, surtout aux jeunes colombiens, de l’importance de préserver la diversité culturelle du pays. La campagne a consisté à diffuser 3 spots télévisés sur les chaînes nationales et régionales, 40 messages sur quelque 200 stations de radio commerciales régionales et </w:t>
      </w:r>
      <w:r w:rsidR="009867A4">
        <w:t xml:space="preserve">des </w:t>
      </w:r>
      <w:r w:rsidR="00BA76B0">
        <w:t>communautés</w:t>
      </w:r>
      <w:r w:rsidRPr="00556D69">
        <w:t>, et une campagne publicitaire dans les principaux journaux</w:t>
      </w:r>
      <w:r w:rsidR="00BA76B0">
        <w:t> </w:t>
      </w:r>
      <w:r w:rsidR="00EA1FE1" w:rsidRPr="00556D69">
        <w:t>;</w:t>
      </w:r>
    </w:p>
    <w:p w14:paraId="32642FAC" w14:textId="77777777" w:rsidR="004325DC" w:rsidRDefault="00C10A1F" w:rsidP="00035ACE">
      <w:pPr>
        <w:pStyle w:val="Enutiret"/>
        <w:spacing w:after="80"/>
      </w:pPr>
      <w:r w:rsidRPr="00556D69">
        <w:t>organisation de cinq séminaires régionaux afin d’encourager les communautés, les agents culturels, les groupes autochtones et les professionnels de l’éducation et de la communication à prendre une part active aux mesures de sauvegarde</w:t>
      </w:r>
      <w:r w:rsidR="00EA1FE1" w:rsidRPr="00556D69">
        <w:t> ;</w:t>
      </w:r>
      <w:r w:rsidRPr="00556D69">
        <w:t xml:space="preserve"> et</w:t>
      </w:r>
    </w:p>
    <w:p w14:paraId="4885AEC1" w14:textId="22F7DFC1" w:rsidR="004325DC" w:rsidRPr="00836A0F" w:rsidRDefault="00C10A1F" w:rsidP="00836A0F">
      <w:pPr>
        <w:pStyle w:val="Enutiret"/>
        <w:spacing w:after="80"/>
        <w:rPr>
          <w:rFonts w:eastAsia="Times New Roman"/>
          <w:sz w:val="23"/>
          <w:szCs w:val="23"/>
          <w:lang w:eastAsia="fr-FR"/>
        </w:rPr>
      </w:pPr>
      <w:r w:rsidRPr="00556D69">
        <w:t xml:space="preserve">publication d’une brochure didactique et d’un guide avec des recommandations sur les méthodes à appliquer pour dresser le premier inventaire du PCI en Colombie (Registre d’inventaire du </w:t>
      </w:r>
      <w:r w:rsidR="00BB2FF5" w:rsidRPr="00035ACE">
        <w:t>patrimoine culturel immatériel</w:t>
      </w:r>
      <w:r w:rsidRPr="00035ACE">
        <w:t xml:space="preserve"> colombien</w:t>
      </w:r>
      <w:r w:rsidRPr="00556D69">
        <w:t>) et création d’une base de données compatible avec les systèmes nationaux existants, qui a aidé à tester les projets pilotes d’inventaire</w:t>
      </w:r>
      <w:r w:rsidRPr="00556D69">
        <w:rPr>
          <w:vertAlign w:val="superscript"/>
        </w:rPr>
        <w:footnoteReference w:id="1"/>
      </w:r>
      <w:r w:rsidRPr="00556D69">
        <w:t>.</w:t>
      </w:r>
    </w:p>
    <w:p w14:paraId="4B8DF0B6" w14:textId="77777777" w:rsidR="004325DC" w:rsidRDefault="00C10A1F" w:rsidP="00914287">
      <w:pPr>
        <w:pStyle w:val="Heading4"/>
      </w:pPr>
      <w:r w:rsidRPr="00556D69">
        <w:t>Candidatures sur les Listes et le Registre de la Convention</w:t>
      </w:r>
    </w:p>
    <w:p w14:paraId="1F5864B7" w14:textId="77777777" w:rsidR="004325DC" w:rsidRDefault="00C10A1F" w:rsidP="00914287">
      <w:pPr>
        <w:pStyle w:val="Texte1"/>
      </w:pPr>
      <w:r w:rsidRPr="00556D69">
        <w:t xml:space="preserve">La mise à candidature d’éléments du PCI sur les Listes et la sélection de pratiques de sauvegarde sur le Registre de la Convention sont aussi des moyens de sensibiliser au PCI sur le plan international et </w:t>
      </w:r>
      <w:r w:rsidR="00BB70F2">
        <w:t>– </w:t>
      </w:r>
      <w:r w:rsidRPr="00556D69">
        <w:t>dans bien des cas</w:t>
      </w:r>
      <w:r w:rsidR="00BB70F2">
        <w:t> –</w:t>
      </w:r>
      <w:r w:rsidRPr="00556D69">
        <w:t xml:space="preserve"> à l’échelon national.</w:t>
      </w:r>
    </w:p>
    <w:p w14:paraId="1E623277" w14:textId="263FB751" w:rsidR="004325DC" w:rsidRPr="00BD3D90" w:rsidRDefault="00C10A1F" w:rsidP="00836A0F">
      <w:pPr>
        <w:pStyle w:val="Texte1"/>
      </w:pPr>
      <w:r w:rsidRPr="00556D69">
        <w:t>Le carnaval de Barranquilla en Colombie, qui comporte un répertoire de danses et de musiques originaires de différentes sous-cultures colombiennes, se déroule chaque année dans la ville côtière de Barranquilla pendant les quatre jours précédant le Carême. Il a été inscrit sur la Liste représentative en 2008, après avoir été d’abord proclamé Chef-d’œuvre du patrimoine oral et immatériel de l’humanité en 2003. L’inscription du Carnaval a contribué à mieux le faire connaître à tr</w:t>
      </w:r>
      <w:bookmarkStart w:id="5" w:name="_GoBack"/>
      <w:bookmarkEnd w:id="5"/>
      <w:r w:rsidRPr="00556D69">
        <w:t>avers le monde et lui a donné un regain de popularité en Colombie.</w:t>
      </w:r>
    </w:p>
    <w:sectPr w:rsidR="004325DC" w:rsidRPr="00BD3D90" w:rsidSect="0078686D">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1E5F5588" w:rsidR="00780028" w:rsidRDefault="00780028" w:rsidP="00BD3D90">
    <w:pPr>
      <w:pStyle w:val="Footer"/>
    </w:pPr>
    <w:r>
      <w:rPr>
        <w:noProof/>
        <w:lang w:eastAsia="ja-JP"/>
      </w:rPr>
      <w:drawing>
        <wp:anchor distT="0" distB="0" distL="114300" distR="114300" simplePos="0" relativeHeight="252058624" behindDoc="1" locked="1" layoutInCell="1" allowOverlap="0" wp14:anchorId="330896AE" wp14:editId="2C00DA0B">
          <wp:simplePos x="0" y="0"/>
          <wp:positionH relativeFrom="column">
            <wp:posOffset>-635</wp:posOffset>
          </wp:positionH>
          <wp:positionV relativeFrom="margin">
            <wp:posOffset>8641715</wp:posOffset>
          </wp:positionV>
          <wp:extent cx="908050" cy="647700"/>
          <wp:effectExtent l="0" t="0" r="6350" b="0"/>
          <wp:wrapThrough wrapText="bothSides">
            <wp:wrapPolygon edited="0">
              <wp:start x="0" y="0"/>
              <wp:lineTo x="0" y="20965"/>
              <wp:lineTo x="21298" y="2096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t>© UNESCO • Ne pas reproduire sans autorisation</w:t>
    </w:r>
    <w:r>
      <w:tab/>
    </w:r>
    <w:r w:rsidR="002A1A70">
      <w:t>CS3-v1.0-FR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1195A11" w:rsidR="00780028" w:rsidRPr="00AB434F" w:rsidRDefault="00780028" w:rsidP="00BD3D90">
    <w:pPr>
      <w:pStyle w:val="Footer"/>
    </w:pPr>
    <w:r>
      <w:t>CS33-v1.0-FR</w:t>
    </w:r>
    <w:r>
      <w:tab/>
      <w:t>© UNESCO • Ne pas reproduire sans autorisation</w:t>
    </w:r>
    <w:r>
      <w:tab/>
    </w:r>
    <w:r>
      <w:rPr>
        <w:noProof/>
        <w:lang w:eastAsia="ja-JP"/>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4425D32E" w:rsidR="00780028" w:rsidRPr="00BD3D90" w:rsidRDefault="008E2E8B" w:rsidP="00BD3D90">
    <w:pPr>
      <w:pStyle w:val="Footer"/>
      <w:tabs>
        <w:tab w:val="left" w:pos="2453"/>
      </w:tabs>
      <w:rPr>
        <w:sz w:val="20"/>
      </w:rPr>
    </w:pPr>
    <w:r>
      <w:rPr>
        <w:noProof/>
        <w:lang w:eastAsia="ja-JP"/>
      </w:rPr>
      <w:drawing>
        <wp:anchor distT="0" distB="0" distL="114300" distR="114300" simplePos="0" relativeHeight="251658752" behindDoc="0" locked="0" layoutInCell="1" allowOverlap="1" wp14:anchorId="1D58ECFC" wp14:editId="770D089B">
          <wp:simplePos x="0" y="0"/>
          <wp:positionH relativeFrom="column">
            <wp:posOffset>2533650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CS3-v1.0-FR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2F8BEB61">
          <wp:simplePos x="0" y="0"/>
          <wp:positionH relativeFrom="column">
            <wp:posOffset>4679315</wp:posOffset>
          </wp:positionH>
          <wp:positionV relativeFrom="margin">
            <wp:posOffset>8819515</wp:posOffset>
          </wp:positionV>
          <wp:extent cx="908050" cy="654050"/>
          <wp:effectExtent l="0" t="0" r="6350" b="0"/>
          <wp:wrapThrough wrapText="bothSides">
            <wp:wrapPolygon edited="0">
              <wp:start x="0" y="0"/>
              <wp:lineTo x="0" y="20761"/>
              <wp:lineTo x="21298" y="20761"/>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415633D8" w14:textId="75687663" w:rsidR="00780028" w:rsidRPr="001B420B" w:rsidRDefault="00780028" w:rsidP="00556D69">
      <w:pPr>
        <w:pStyle w:val="FootnoteText"/>
      </w:pPr>
      <w:r w:rsidRPr="0040373D">
        <w:rPr>
          <w:szCs w:val="14"/>
        </w:rPr>
        <w:footnoteRef/>
      </w:r>
      <w:r>
        <w:rPr>
          <w:szCs w:val="14"/>
        </w:rPr>
        <w:t>.</w:t>
      </w:r>
      <w:r>
        <w:rPr>
          <w:szCs w:val="14"/>
        </w:rPr>
        <w:tab/>
      </w:r>
      <w:r w:rsidRPr="00556D69">
        <w:t>Consulter les Fiches d’information, Kit PCI de l’UNESCO :</w:t>
      </w:r>
      <w:r>
        <w:t xml:space="preserve"> </w:t>
      </w:r>
      <w:r w:rsidRPr="00E44500">
        <w:t>http://www.unesco.org/culture/ich/doc/src/01858-FR.pdf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4F16A0F9" w:rsidR="00780028" w:rsidRPr="007B0AC9" w:rsidRDefault="00780028" w:rsidP="00BD3D90">
    <w:pPr>
      <w:pStyle w:val="Header"/>
      <w:rPr>
        <w:lang w:val="fr-FR"/>
      </w:rPr>
    </w:pPr>
    <w:r>
      <w:rPr>
        <w:rStyle w:val="PageNumber"/>
      </w:rPr>
      <w:fldChar w:fldCharType="begin"/>
    </w:r>
    <w:r w:rsidRPr="007B0AC9">
      <w:rPr>
        <w:rStyle w:val="PageNumber"/>
        <w:lang w:val="fr-FR"/>
      </w:rPr>
      <w:instrText xml:space="preserve"> PAGE </w:instrText>
    </w:r>
    <w:r>
      <w:rPr>
        <w:rStyle w:val="PageNumber"/>
      </w:rPr>
      <w:fldChar w:fldCharType="separate"/>
    </w:r>
    <w:r w:rsidR="00836A0F">
      <w:rPr>
        <w:rStyle w:val="PageNumber"/>
        <w:noProof/>
        <w:lang w:val="fr-FR"/>
      </w:rPr>
      <w:t>2</w:t>
    </w:r>
    <w:r>
      <w:rPr>
        <w:rStyle w:val="PageNumber"/>
      </w:rPr>
      <w:fldChar w:fldCharType="end"/>
    </w:r>
    <w:r w:rsidRPr="007B0AC9">
      <w:rPr>
        <w:lang w:val="fr-FR"/>
      </w:rPr>
      <w:tab/>
    </w:r>
    <w:r w:rsidR="00D1749C" w:rsidRPr="007B0AC9">
      <w:rPr>
        <w:lang w:val="fr-FR"/>
      </w:rPr>
      <w:t>Etude</w:t>
    </w:r>
    <w:r w:rsidR="00B47DB8" w:rsidRPr="007B0AC9">
      <w:rPr>
        <w:lang w:val="fr-FR"/>
      </w:rPr>
      <w:t xml:space="preserve"> de cas </w:t>
    </w:r>
    <w:r w:rsidR="00D1749C" w:rsidRPr="007B0AC9">
      <w:rPr>
        <w:lang w:val="fr-FR"/>
      </w:rPr>
      <w:t xml:space="preserve"> 3</w:t>
    </w:r>
    <w:r w:rsidRPr="007B0AC9">
      <w:rPr>
        <w:lang w:val="fr-FR"/>
      </w:rPr>
      <w:tab/>
      <w:t>Étude</w:t>
    </w:r>
    <w:r w:rsidR="00D1749C" w:rsidRPr="007B0AC9">
      <w:rPr>
        <w:lang w:val="fr-FR"/>
      </w:rPr>
      <w:t>s</w:t>
    </w:r>
    <w:r w:rsidRPr="007B0AC9">
      <w:rPr>
        <w:lang w:val="fr-FR"/>
      </w:rPr>
      <w:t xml:space="preserve"> de cas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035ACE">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4A60F402" w:rsidR="00780028" w:rsidRPr="009F7A02" w:rsidRDefault="00780028" w:rsidP="00035ACE">
    <w:pPr>
      <w:pStyle w:val="Header"/>
      <w:ind w:right="360"/>
    </w:pPr>
    <w:r>
      <w:rPr>
        <w:rStyle w:val="PageNumber"/>
      </w:rPr>
      <w:tab/>
    </w:r>
    <w:proofErr w:type="spellStart"/>
    <w:r>
      <w:rPr>
        <w:rStyle w:val="PageNumber"/>
      </w:rPr>
      <w:t>Étude</w:t>
    </w:r>
    <w:r w:rsidR="00B47DB8">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32148432"/>
    <w:lvl w:ilvl="0" w:tplc="EAFC8D06">
      <w:numFmt w:val="bullet"/>
      <w:pStyle w:val="Enutiret"/>
      <w:lvlText w:val="–"/>
      <w:lvlJc w:val="left"/>
      <w:pPr>
        <w:tabs>
          <w:tab w:val="num" w:pos="1134"/>
        </w:tabs>
        <w:ind w:left="1134" w:hanging="283"/>
      </w:pPr>
      <w:rPr>
        <w:rFonts w:ascii="Arial" w:eastAsia="SimSun" w:hAnsi="Arial" w:hint="default"/>
        <w:b w:val="0"/>
        <w:sz w:val="20"/>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35ACE"/>
    <w:rsid w:val="00040131"/>
    <w:rsid w:val="00041C5D"/>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6598"/>
    <w:rsid w:val="000B752E"/>
    <w:rsid w:val="000C0E6A"/>
    <w:rsid w:val="000D6D71"/>
    <w:rsid w:val="000D7317"/>
    <w:rsid w:val="000E0530"/>
    <w:rsid w:val="000E4179"/>
    <w:rsid w:val="000F4C6A"/>
    <w:rsid w:val="00103657"/>
    <w:rsid w:val="00104CE1"/>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1A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45E9B"/>
    <w:rsid w:val="003677D8"/>
    <w:rsid w:val="00370391"/>
    <w:rsid w:val="00370EBE"/>
    <w:rsid w:val="00374529"/>
    <w:rsid w:val="00375BFE"/>
    <w:rsid w:val="00377639"/>
    <w:rsid w:val="0038175D"/>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57B"/>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86D"/>
    <w:rsid w:val="00795C6B"/>
    <w:rsid w:val="00795D4A"/>
    <w:rsid w:val="00795D56"/>
    <w:rsid w:val="00797C96"/>
    <w:rsid w:val="00797EB9"/>
    <w:rsid w:val="007A05E6"/>
    <w:rsid w:val="007A37BA"/>
    <w:rsid w:val="007A5C03"/>
    <w:rsid w:val="007A7A0B"/>
    <w:rsid w:val="007B0AC9"/>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36A0F"/>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2E8B"/>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583D"/>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1AC"/>
    <w:rsid w:val="00B42F77"/>
    <w:rsid w:val="00B47DB8"/>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1749C"/>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29F0"/>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AE35-F668-40FA-A252-648B35A6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2948</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2014-09-12T09:24:00Z</dcterms:created>
  <dcterms:modified xsi:type="dcterms:W3CDTF">2018-03-16T16:19:00Z</dcterms:modified>
</cp:coreProperties>
</file>