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2347" w14:textId="05326413" w:rsidR="008874A8" w:rsidRPr="008874A8" w:rsidRDefault="008874A8" w:rsidP="008874A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77"/>
      <w:r w:rsidRPr="008874A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 w:rsidR="00A77012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8874A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30</w:t>
      </w:r>
    </w:p>
    <w:p w14:paraId="36097337" w14:textId="557EC4EB" w:rsidR="008874A8" w:rsidRPr="008874A8" w:rsidRDefault="008874A8" w:rsidP="008874A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</w:pPr>
      <w:r w:rsidRPr="008874A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حماية حقوق الملكية الفكرية: علامة </w:t>
      </w:r>
      <w:r w:rsidR="00A94483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"</w:t>
      </w:r>
      <w:r w:rsidRPr="008874A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>توي إيهو</w:t>
      </w:r>
      <w:r w:rsidR="00A94483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"</w:t>
      </w:r>
      <w:r w:rsidRPr="008874A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</w:t>
      </w:r>
      <w:r w:rsidR="005C66D2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(</w:t>
      </w:r>
      <w:r w:rsidRPr="008874A8">
        <w:rPr>
          <w:rFonts w:cs="Traditional Arabic"/>
          <w:b/>
          <w:bCs/>
          <w:noProof/>
          <w:color w:val="0000FF"/>
          <w:sz w:val="28"/>
          <w:szCs w:val="40"/>
          <w:lang w:eastAsia="en-US" w:bidi="ar-SY"/>
        </w:rPr>
        <w:t>TOI IHO</w:t>
      </w:r>
      <w:r w:rsidR="005C66D2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)</w:t>
      </w:r>
      <w:r w:rsidRPr="008874A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التجارية في نيوزيلندا</w:t>
      </w:r>
      <w:bookmarkEnd w:id="0"/>
    </w:p>
    <w:p w14:paraId="2395CE30" w14:textId="12E875C7" w:rsidR="008874A8" w:rsidRPr="008729BC" w:rsidRDefault="008874A8" w:rsidP="00C67238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في عام 2002، أطلق مجلس فنون الماوري 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في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وكالة </w:t>
      </w:r>
      <w:r w:rsidR="009B66F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C67238" w:rsidRPr="008729BC">
        <w:rPr>
          <w:rFonts w:eastAsia="Arial" w:cs="Traditional Arabic"/>
          <w:spacing w:val="1"/>
          <w:sz w:val="22"/>
          <w:szCs w:val="32"/>
          <w:rtl/>
        </w:rPr>
        <w:t>كر</w:t>
      </w:r>
      <w:r w:rsidR="00C67238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C67238" w:rsidRPr="008729BC">
        <w:rPr>
          <w:rFonts w:eastAsia="Arial" w:cs="Traditional Arabic"/>
          <w:spacing w:val="1"/>
          <w:sz w:val="22"/>
          <w:szCs w:val="32"/>
          <w:rtl/>
        </w:rPr>
        <w:t>يا</w:t>
      </w:r>
      <w:r w:rsidR="00C67238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C67238" w:rsidRPr="008729BC">
        <w:rPr>
          <w:rFonts w:eastAsia="Arial" w:cs="Traditional Arabic"/>
          <w:spacing w:val="1"/>
          <w:sz w:val="22"/>
          <w:szCs w:val="32"/>
          <w:rtl/>
        </w:rPr>
        <w:t xml:space="preserve">تيف </w:t>
      </w:r>
      <w:r w:rsidRPr="008729BC">
        <w:rPr>
          <w:rFonts w:eastAsia="Arial" w:cs="Traditional Arabic"/>
          <w:spacing w:val="1"/>
          <w:sz w:val="22"/>
          <w:szCs w:val="32"/>
          <w:rtl/>
        </w:rPr>
        <w:t>نيوزيلند</w:t>
      </w:r>
      <w:r w:rsidR="009B66F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5C66D2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8729BC">
        <w:rPr>
          <w:rFonts w:eastAsia="Arial Unicode MS" w:cs="Traditional Arabic"/>
          <w:spacing w:val="-1"/>
          <w:sz w:val="22"/>
          <w:szCs w:val="32"/>
        </w:rPr>
        <w:t>C</w:t>
      </w:r>
      <w:r w:rsidRPr="008729BC">
        <w:rPr>
          <w:rFonts w:eastAsia="Arial Unicode MS" w:cs="Traditional Arabic"/>
          <w:spacing w:val="1"/>
          <w:sz w:val="22"/>
          <w:szCs w:val="32"/>
        </w:rPr>
        <w:t>r</w:t>
      </w:r>
      <w:r w:rsidRPr="008729BC">
        <w:rPr>
          <w:rFonts w:eastAsia="Arial Unicode MS" w:cs="Traditional Arabic"/>
          <w:sz w:val="22"/>
          <w:szCs w:val="32"/>
        </w:rPr>
        <w:t>e</w:t>
      </w:r>
      <w:r w:rsidRPr="008729BC">
        <w:rPr>
          <w:rFonts w:eastAsia="Arial Unicode MS" w:cs="Traditional Arabic"/>
          <w:spacing w:val="-1"/>
          <w:sz w:val="22"/>
          <w:szCs w:val="32"/>
        </w:rPr>
        <w:t>a</w:t>
      </w:r>
      <w:r w:rsidRPr="008729BC">
        <w:rPr>
          <w:rFonts w:eastAsia="Arial Unicode MS" w:cs="Traditional Arabic"/>
          <w:spacing w:val="1"/>
          <w:sz w:val="22"/>
          <w:szCs w:val="32"/>
        </w:rPr>
        <w:t>t</w:t>
      </w:r>
      <w:r w:rsidRPr="008729BC">
        <w:rPr>
          <w:rFonts w:eastAsia="Arial Unicode MS" w:cs="Traditional Arabic"/>
          <w:spacing w:val="-1"/>
          <w:sz w:val="22"/>
          <w:szCs w:val="32"/>
        </w:rPr>
        <w:t>i</w:t>
      </w:r>
      <w:r w:rsidRPr="008729BC">
        <w:rPr>
          <w:rFonts w:eastAsia="Arial Unicode MS" w:cs="Traditional Arabic"/>
          <w:spacing w:val="-2"/>
          <w:sz w:val="22"/>
          <w:szCs w:val="32"/>
        </w:rPr>
        <w:t>v</w:t>
      </w:r>
      <w:r w:rsidRPr="008729BC">
        <w:rPr>
          <w:rFonts w:eastAsia="Arial Unicode MS" w:cs="Traditional Arabic"/>
          <w:sz w:val="22"/>
          <w:szCs w:val="32"/>
        </w:rPr>
        <w:t>e</w:t>
      </w:r>
      <w:r w:rsidRPr="008729BC">
        <w:rPr>
          <w:rFonts w:eastAsia="Arial Unicode MS" w:cs="Traditional Arabic"/>
          <w:spacing w:val="4"/>
          <w:sz w:val="22"/>
          <w:szCs w:val="32"/>
        </w:rPr>
        <w:t xml:space="preserve"> </w:t>
      </w:r>
      <w:r w:rsidRPr="008729BC">
        <w:rPr>
          <w:rFonts w:eastAsia="Arial Unicode MS" w:cs="Traditional Arabic"/>
          <w:spacing w:val="-1"/>
          <w:sz w:val="22"/>
          <w:szCs w:val="32"/>
        </w:rPr>
        <w:t>N</w:t>
      </w:r>
      <w:r w:rsidRPr="008729BC">
        <w:rPr>
          <w:rFonts w:eastAsia="Arial Unicode MS" w:cs="Traditional Arabic"/>
          <w:sz w:val="22"/>
          <w:szCs w:val="32"/>
        </w:rPr>
        <w:t>ew</w:t>
      </w:r>
      <w:r w:rsidRPr="008729BC">
        <w:rPr>
          <w:rFonts w:eastAsia="Arial Unicode MS" w:cs="Traditional Arabic"/>
          <w:spacing w:val="1"/>
          <w:sz w:val="22"/>
          <w:szCs w:val="32"/>
        </w:rPr>
        <w:t xml:space="preserve"> </w:t>
      </w:r>
      <w:r w:rsidRPr="008729BC">
        <w:rPr>
          <w:rFonts w:eastAsia="Arial Unicode MS" w:cs="Traditional Arabic"/>
          <w:sz w:val="22"/>
          <w:szCs w:val="32"/>
        </w:rPr>
        <w:t>Z</w:t>
      </w:r>
      <w:r w:rsidRPr="008729BC">
        <w:rPr>
          <w:rFonts w:eastAsia="Arial Unicode MS" w:cs="Traditional Arabic"/>
          <w:spacing w:val="-1"/>
          <w:sz w:val="22"/>
          <w:szCs w:val="32"/>
        </w:rPr>
        <w:t>e</w:t>
      </w:r>
      <w:r w:rsidRPr="008729BC">
        <w:rPr>
          <w:rFonts w:eastAsia="Arial Unicode MS" w:cs="Traditional Arabic"/>
          <w:sz w:val="22"/>
          <w:szCs w:val="32"/>
        </w:rPr>
        <w:t>a</w:t>
      </w:r>
      <w:r w:rsidRPr="008729BC">
        <w:rPr>
          <w:rFonts w:eastAsia="Arial Unicode MS" w:cs="Traditional Arabic"/>
          <w:spacing w:val="-1"/>
          <w:sz w:val="22"/>
          <w:szCs w:val="32"/>
        </w:rPr>
        <w:t>l</w:t>
      </w:r>
      <w:r w:rsidRPr="008729BC">
        <w:rPr>
          <w:rFonts w:eastAsia="Arial Unicode MS" w:cs="Traditional Arabic"/>
          <w:sz w:val="22"/>
          <w:szCs w:val="32"/>
        </w:rPr>
        <w:t>a</w:t>
      </w:r>
      <w:r w:rsidRPr="008729BC">
        <w:rPr>
          <w:rFonts w:eastAsia="Arial Unicode MS" w:cs="Traditional Arabic"/>
          <w:spacing w:val="-1"/>
          <w:sz w:val="22"/>
          <w:szCs w:val="32"/>
        </w:rPr>
        <w:t>n</w:t>
      </w:r>
      <w:r w:rsidRPr="008729BC">
        <w:rPr>
          <w:rFonts w:eastAsia="Arial Unicode MS" w:cs="Traditional Arabic"/>
          <w:sz w:val="22"/>
          <w:szCs w:val="32"/>
        </w:rPr>
        <w:t>d</w:t>
      </w:r>
      <w:r w:rsidR="005C66D2">
        <w:rPr>
          <w:rFonts w:eastAsia="Arial Unicode MS" w:cs="Traditional Arabic" w:hint="cs"/>
          <w:sz w:val="22"/>
          <w:szCs w:val="32"/>
          <w:rtl/>
        </w:rPr>
        <w:t>)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علامة </w:t>
      </w:r>
      <w:r w:rsidR="00F43002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8729BC">
        <w:rPr>
          <w:rFonts w:eastAsia="Arial" w:cs="Traditional Arabic"/>
          <w:spacing w:val="1"/>
          <w:sz w:val="22"/>
          <w:szCs w:val="32"/>
          <w:rtl/>
        </w:rPr>
        <w:t>توي إيهو</w:t>
      </w:r>
      <w:r w:rsidRPr="008729BC">
        <w:rPr>
          <w:rFonts w:eastAsia="Arial Unicode MS" w:cs="Traditional Arabic"/>
          <w:position w:val="-1"/>
          <w:sz w:val="22"/>
          <w:szCs w:val="32"/>
        </w:rPr>
        <w:t>™</w:t>
      </w:r>
      <w:r w:rsidR="00D52BA1">
        <w:rPr>
          <w:rFonts w:eastAsia="Arial Unicode MS" w:cs="Traditional Arabic" w:hint="cs"/>
          <w:position w:val="-1"/>
          <w:sz w:val="22"/>
          <w:szCs w:val="32"/>
          <w:rtl/>
        </w:rPr>
        <w:t>"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التجارية التي تشير إلى جودة فن الماوري وأصالته. 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وكان 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السير أبيرانا نغاتا </w:t>
      </w:r>
      <w:r w:rsidR="005C66D2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8729BC">
        <w:rPr>
          <w:rFonts w:eastAsia="Arial Unicode MS" w:cs="Traditional Arabic"/>
          <w:spacing w:val="-1"/>
          <w:sz w:val="22"/>
          <w:szCs w:val="32"/>
        </w:rPr>
        <w:t>Si</w:t>
      </w:r>
      <w:r w:rsidRPr="008729BC">
        <w:rPr>
          <w:rFonts w:eastAsia="Arial Unicode MS" w:cs="Traditional Arabic"/>
          <w:sz w:val="22"/>
          <w:szCs w:val="32"/>
        </w:rPr>
        <w:t xml:space="preserve">r </w:t>
      </w:r>
      <w:r w:rsidRPr="008729BC">
        <w:rPr>
          <w:rFonts w:eastAsia="Arial Unicode MS" w:cs="Traditional Arabic"/>
          <w:spacing w:val="-1"/>
          <w:sz w:val="22"/>
          <w:szCs w:val="32"/>
        </w:rPr>
        <w:t>A</w:t>
      </w:r>
      <w:r w:rsidRPr="008729BC">
        <w:rPr>
          <w:rFonts w:eastAsia="Arial Unicode MS" w:cs="Traditional Arabic"/>
          <w:sz w:val="22"/>
          <w:szCs w:val="32"/>
        </w:rPr>
        <w:t>p</w:t>
      </w:r>
      <w:r w:rsidRPr="008729BC">
        <w:rPr>
          <w:rFonts w:eastAsia="Arial Unicode MS" w:cs="Traditional Arabic"/>
          <w:spacing w:val="-1"/>
          <w:sz w:val="22"/>
          <w:szCs w:val="32"/>
        </w:rPr>
        <w:t>i</w:t>
      </w:r>
      <w:r w:rsidRPr="008729BC">
        <w:rPr>
          <w:rFonts w:eastAsia="Arial Unicode MS" w:cs="Traditional Arabic"/>
          <w:spacing w:val="1"/>
          <w:sz w:val="22"/>
          <w:szCs w:val="32"/>
        </w:rPr>
        <w:t>r</w:t>
      </w:r>
      <w:r w:rsidRPr="008729BC">
        <w:rPr>
          <w:rFonts w:eastAsia="Arial Unicode MS" w:cs="Traditional Arabic"/>
          <w:sz w:val="22"/>
          <w:szCs w:val="32"/>
        </w:rPr>
        <w:t>a</w:t>
      </w:r>
      <w:r w:rsidRPr="008729BC">
        <w:rPr>
          <w:rFonts w:eastAsia="Arial Unicode MS" w:cs="Traditional Arabic"/>
          <w:spacing w:val="-1"/>
          <w:sz w:val="22"/>
          <w:szCs w:val="32"/>
        </w:rPr>
        <w:t>n</w:t>
      </w:r>
      <w:r w:rsidRPr="008729BC">
        <w:rPr>
          <w:rFonts w:eastAsia="Arial Unicode MS" w:cs="Traditional Arabic"/>
          <w:sz w:val="22"/>
          <w:szCs w:val="32"/>
        </w:rPr>
        <w:t>a</w:t>
      </w:r>
      <w:r w:rsidRPr="008729BC">
        <w:rPr>
          <w:rFonts w:eastAsia="Arial Unicode MS" w:cs="Traditional Arabic"/>
          <w:spacing w:val="8"/>
          <w:sz w:val="22"/>
          <w:szCs w:val="32"/>
        </w:rPr>
        <w:t xml:space="preserve"> </w:t>
      </w:r>
      <w:r w:rsidRPr="008729BC">
        <w:rPr>
          <w:rFonts w:eastAsia="Arial Unicode MS" w:cs="Traditional Arabic"/>
          <w:spacing w:val="-1"/>
          <w:sz w:val="22"/>
          <w:szCs w:val="32"/>
        </w:rPr>
        <w:t>N</w:t>
      </w:r>
      <w:r w:rsidRPr="008729BC">
        <w:rPr>
          <w:rFonts w:eastAsia="Arial Unicode MS" w:cs="Traditional Arabic"/>
          <w:spacing w:val="2"/>
          <w:sz w:val="22"/>
          <w:szCs w:val="32"/>
        </w:rPr>
        <w:t>g</w:t>
      </w:r>
      <w:r w:rsidRPr="008729BC">
        <w:rPr>
          <w:rFonts w:eastAsia="Arial Unicode MS" w:cs="Traditional Arabic"/>
          <w:spacing w:val="-3"/>
          <w:sz w:val="22"/>
          <w:szCs w:val="32"/>
        </w:rPr>
        <w:t>a</w:t>
      </w:r>
      <w:r w:rsidRPr="008729BC">
        <w:rPr>
          <w:rFonts w:eastAsia="Arial Unicode MS" w:cs="Traditional Arabic"/>
          <w:spacing w:val="1"/>
          <w:sz w:val="22"/>
          <w:szCs w:val="32"/>
        </w:rPr>
        <w:t>t</w:t>
      </w:r>
      <w:r w:rsidRPr="008729BC">
        <w:rPr>
          <w:rFonts w:eastAsia="Arial Unicode MS" w:cs="Traditional Arabic"/>
          <w:sz w:val="22"/>
          <w:szCs w:val="32"/>
        </w:rPr>
        <w:t>a</w:t>
      </w:r>
      <w:r w:rsidR="005C66D2">
        <w:rPr>
          <w:rFonts w:eastAsia="Arial Unicode MS" w:cs="Traditional Arabic" w:hint="cs"/>
          <w:sz w:val="22"/>
          <w:szCs w:val="32"/>
          <w:rtl/>
        </w:rPr>
        <w:t>)</w:t>
      </w:r>
      <w:r w:rsidRPr="008729BC">
        <w:rPr>
          <w:rFonts w:eastAsia="Arial Unicode MS" w:cs="Traditional Arabic" w:hint="cs"/>
          <w:sz w:val="22"/>
          <w:szCs w:val="32"/>
          <w:rtl/>
        </w:rPr>
        <w:t>، وهو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سياسي ومحامٍ بارز من جماعة الماوري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، قد 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اقترح منذ عام 1936 فكرة 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اعتماد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علامة ماوري للجودة والأصالة. </w:t>
      </w:r>
      <w:r w:rsidR="00CB3ACE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CB3ACE" w:rsidRPr="008729BC">
        <w:rPr>
          <w:rFonts w:eastAsia="Arial" w:cs="Traditional Arabic"/>
          <w:spacing w:val="1"/>
          <w:sz w:val="22"/>
          <w:szCs w:val="32"/>
          <w:rtl/>
        </w:rPr>
        <w:t>في عام 1964</w:t>
      </w:r>
      <w:r w:rsidR="00CB3ACE">
        <w:rPr>
          <w:rFonts w:eastAsia="Arial" w:cs="Traditional Arabic" w:hint="cs"/>
          <w:spacing w:val="1"/>
          <w:sz w:val="22"/>
          <w:szCs w:val="32"/>
          <w:rtl/>
        </w:rPr>
        <w:t xml:space="preserve">، </w:t>
      </w:r>
      <w:r w:rsidRPr="008729BC">
        <w:rPr>
          <w:rFonts w:eastAsia="Arial" w:cs="Traditional Arabic"/>
          <w:spacing w:val="1"/>
          <w:sz w:val="22"/>
          <w:szCs w:val="32"/>
          <w:rtl/>
        </w:rPr>
        <w:t>ناقش مجلس الماوري مجددا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هذه الفكرة </w:t>
      </w:r>
      <w:r w:rsidR="00752518">
        <w:rPr>
          <w:rFonts w:eastAsia="Arial" w:cs="Traditional Arabic" w:hint="cs"/>
          <w:spacing w:val="1"/>
          <w:sz w:val="22"/>
          <w:szCs w:val="32"/>
          <w:rtl/>
        </w:rPr>
        <w:t xml:space="preserve">التي 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لم تثمر حتى عام 2002، عندما طُوّرت العلامة التجارية بتوجيه من رئيسة </w:t>
      </w:r>
      <w:r w:rsidR="00B36C35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8729BC">
        <w:rPr>
          <w:rFonts w:eastAsia="Arial" w:cs="Traditional Arabic"/>
          <w:spacing w:val="1"/>
          <w:sz w:val="22"/>
          <w:szCs w:val="32"/>
          <w:rtl/>
        </w:rPr>
        <w:t>تي واكا توي</w:t>
      </w:r>
      <w:r w:rsidR="00B36C35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52132C">
        <w:rPr>
          <w:rFonts w:eastAsia="Arial" w:cs="Traditional Arabic" w:hint="cs"/>
          <w:spacing w:val="1"/>
          <w:sz w:val="22"/>
          <w:szCs w:val="32"/>
          <w:rtl/>
          <w:lang w:bidi="ar-SY"/>
        </w:rPr>
        <w:t xml:space="preserve"> </w:t>
      </w:r>
      <w:r w:rsidR="005C66D2">
        <w:rPr>
          <w:rFonts w:eastAsia="Arial" w:cs="Traditional Arabic" w:hint="cs"/>
          <w:spacing w:val="1"/>
          <w:sz w:val="22"/>
          <w:szCs w:val="32"/>
          <w:rtl/>
          <w:lang w:bidi="ar-SY"/>
        </w:rPr>
        <w:t>(</w:t>
      </w:r>
      <w:r w:rsidRPr="008729BC">
        <w:rPr>
          <w:rFonts w:eastAsia="Arial" w:cs="Traditional Arabic"/>
          <w:spacing w:val="2"/>
          <w:sz w:val="22"/>
          <w:szCs w:val="32"/>
        </w:rPr>
        <w:t>T</w:t>
      </w:r>
      <w:r w:rsidRPr="008729BC">
        <w:rPr>
          <w:rFonts w:eastAsia="Arial" w:cs="Traditional Arabic"/>
          <w:sz w:val="22"/>
          <w:szCs w:val="32"/>
        </w:rPr>
        <w:t>e</w:t>
      </w:r>
      <w:r w:rsidRPr="008729BC">
        <w:rPr>
          <w:rFonts w:eastAsia="Arial" w:cs="Traditional Arabic"/>
          <w:spacing w:val="25"/>
          <w:sz w:val="22"/>
          <w:szCs w:val="32"/>
        </w:rPr>
        <w:t xml:space="preserve"> </w:t>
      </w:r>
      <w:r w:rsidRPr="008729BC">
        <w:rPr>
          <w:rFonts w:eastAsia="Arial" w:cs="Traditional Arabic"/>
          <w:spacing w:val="7"/>
          <w:sz w:val="22"/>
          <w:szCs w:val="32"/>
        </w:rPr>
        <w:t>W</w:t>
      </w:r>
      <w:r w:rsidRPr="008729BC">
        <w:rPr>
          <w:rFonts w:eastAsia="Arial" w:cs="Traditional Arabic"/>
          <w:spacing w:val="-3"/>
          <w:sz w:val="22"/>
          <w:szCs w:val="32"/>
        </w:rPr>
        <w:t>a</w:t>
      </w:r>
      <w:r w:rsidRPr="008729BC">
        <w:rPr>
          <w:rFonts w:eastAsia="Arial" w:cs="Traditional Arabic"/>
          <w:sz w:val="22"/>
          <w:szCs w:val="32"/>
        </w:rPr>
        <w:t>ka</w:t>
      </w:r>
      <w:r w:rsidRPr="008729BC">
        <w:rPr>
          <w:rFonts w:eastAsia="Arial" w:cs="Traditional Arabic"/>
          <w:spacing w:val="27"/>
          <w:sz w:val="22"/>
          <w:szCs w:val="32"/>
        </w:rPr>
        <w:t xml:space="preserve"> </w:t>
      </w:r>
      <w:r w:rsidRPr="008729BC">
        <w:rPr>
          <w:rFonts w:eastAsia="Arial" w:cs="Traditional Arabic"/>
          <w:spacing w:val="2"/>
          <w:sz w:val="22"/>
          <w:szCs w:val="32"/>
        </w:rPr>
        <w:t>T</w:t>
      </w:r>
      <w:r w:rsidRPr="008729BC">
        <w:rPr>
          <w:rFonts w:eastAsia="Arial" w:cs="Traditional Arabic"/>
          <w:sz w:val="22"/>
          <w:szCs w:val="32"/>
        </w:rPr>
        <w:t>oi</w:t>
      </w:r>
      <w:r w:rsidR="005C66D2">
        <w:rPr>
          <w:rFonts w:eastAsia="Arial" w:cs="Traditional Arabic" w:hint="cs"/>
          <w:sz w:val="22"/>
          <w:szCs w:val="32"/>
          <w:rtl/>
        </w:rPr>
        <w:t>)</w:t>
      </w:r>
      <w:r w:rsidR="00B36C35">
        <w:rPr>
          <w:rFonts w:eastAsia="Arial" w:cs="Traditional Arabic" w:hint="cs"/>
          <w:sz w:val="22"/>
          <w:szCs w:val="32"/>
          <w:rtl/>
        </w:rPr>
        <w:t>،</w:t>
      </w:r>
      <w:r w:rsidRPr="008729BC">
        <w:rPr>
          <w:rFonts w:eastAsia="Arial" w:cs="Traditional Arabic"/>
          <w:spacing w:val="28"/>
          <w:sz w:val="22"/>
          <w:szCs w:val="32"/>
          <w:rtl/>
        </w:rPr>
        <w:t xml:space="preserve"> </w:t>
      </w:r>
      <w:r w:rsidRPr="008729BC">
        <w:rPr>
          <w:rFonts w:eastAsia="Arial" w:cs="Traditional Arabic"/>
          <w:spacing w:val="1"/>
          <w:sz w:val="22"/>
          <w:szCs w:val="32"/>
          <w:rtl/>
        </w:rPr>
        <w:t>إليزابيث إليس، ومجموعة من الفن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انين الماوريين، إثر سلسلة من اجتماعات </w:t>
      </w:r>
      <w:r w:rsidR="00BF2BD1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354274">
        <w:rPr>
          <w:rFonts w:eastAsia="Arial" w:cs="Traditional Arabic"/>
          <w:i/>
          <w:iCs/>
          <w:spacing w:val="1"/>
          <w:sz w:val="22"/>
          <w:szCs w:val="32"/>
          <w:rtl/>
        </w:rPr>
        <w:t>هوي</w:t>
      </w:r>
      <w:r w:rsidR="00BF2BD1" w:rsidRPr="0035427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35427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5C66D2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8729BC">
        <w:rPr>
          <w:rFonts w:eastAsia="Arial" w:cs="Traditional Arabic"/>
          <w:i/>
          <w:position w:val="1"/>
          <w:sz w:val="22"/>
          <w:szCs w:val="32"/>
        </w:rPr>
        <w:t>hui</w:t>
      </w:r>
      <w:r w:rsidR="005C66D2">
        <w:rPr>
          <w:rFonts w:eastAsia="Arial" w:cs="Traditional Arabic" w:hint="cs"/>
          <w:i/>
          <w:position w:val="1"/>
          <w:sz w:val="22"/>
          <w:szCs w:val="32"/>
          <w:rtl/>
        </w:rPr>
        <w:t>)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الوطنية، بدع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مٍ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من وكالة </w:t>
      </w:r>
      <w:r w:rsidR="00FD03C0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963485" w:rsidRPr="008729BC">
        <w:rPr>
          <w:rFonts w:eastAsia="Arial" w:cs="Traditional Arabic"/>
          <w:spacing w:val="1"/>
          <w:sz w:val="22"/>
          <w:szCs w:val="32"/>
          <w:rtl/>
        </w:rPr>
        <w:t>كر</w:t>
      </w:r>
      <w:r w:rsidR="00963485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963485" w:rsidRPr="008729BC">
        <w:rPr>
          <w:rFonts w:eastAsia="Arial" w:cs="Traditional Arabic"/>
          <w:spacing w:val="1"/>
          <w:sz w:val="22"/>
          <w:szCs w:val="32"/>
          <w:rtl/>
        </w:rPr>
        <w:t>يا</w:t>
      </w:r>
      <w:r w:rsidR="00963485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963485" w:rsidRPr="008729BC">
        <w:rPr>
          <w:rFonts w:eastAsia="Arial" w:cs="Traditional Arabic"/>
          <w:spacing w:val="1"/>
          <w:sz w:val="22"/>
          <w:szCs w:val="32"/>
          <w:rtl/>
        </w:rPr>
        <w:t xml:space="preserve">تيف </w:t>
      </w:r>
      <w:r w:rsidRPr="008729BC">
        <w:rPr>
          <w:rFonts w:eastAsia="Arial" w:cs="Traditional Arabic"/>
          <w:spacing w:val="1"/>
          <w:sz w:val="22"/>
          <w:szCs w:val="32"/>
          <w:rtl/>
        </w:rPr>
        <w:t>نيوزيلند</w:t>
      </w:r>
      <w:r w:rsidR="00FD03C0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كانت جماعة الماوري 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بالتالي مشاركةً 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إلى حدٍ بعيد في العملية، فكانت </w:t>
      </w:r>
      <w:r w:rsidR="00AC4FEB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مبادرة </w:t>
      </w:r>
      <w:r w:rsidR="00AC4FEB">
        <w:rPr>
          <w:rFonts w:eastAsia="Arial" w:cs="Traditional Arabic" w:hint="cs"/>
          <w:spacing w:val="1"/>
          <w:sz w:val="22"/>
          <w:szCs w:val="32"/>
          <w:rtl/>
        </w:rPr>
        <w:t xml:space="preserve">مبادرة 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"من الماوري من أجل الماوري". </w:t>
      </w:r>
    </w:p>
    <w:p w14:paraId="28981BC5" w14:textId="765616B8" w:rsidR="008874A8" w:rsidRDefault="007A7BA8" w:rsidP="009726FE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سجّلت وكالة </w:t>
      </w:r>
      <w:r w:rsidR="000B4DCC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0B4DCC" w:rsidRPr="008729BC">
        <w:rPr>
          <w:rFonts w:eastAsia="Arial" w:cs="Traditional Arabic"/>
          <w:spacing w:val="1"/>
          <w:sz w:val="22"/>
          <w:szCs w:val="32"/>
          <w:rtl/>
        </w:rPr>
        <w:t>كر</w:t>
      </w:r>
      <w:r w:rsidR="000B4DCC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0B4DCC" w:rsidRPr="008729BC">
        <w:rPr>
          <w:rFonts w:eastAsia="Arial" w:cs="Traditional Arabic"/>
          <w:spacing w:val="1"/>
          <w:sz w:val="22"/>
          <w:szCs w:val="32"/>
          <w:rtl/>
        </w:rPr>
        <w:t>يا</w:t>
      </w:r>
      <w:r w:rsidR="000B4DCC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0B4DCC" w:rsidRPr="008729BC">
        <w:rPr>
          <w:rFonts w:eastAsia="Arial" w:cs="Traditional Arabic"/>
          <w:spacing w:val="1"/>
          <w:sz w:val="22"/>
          <w:szCs w:val="32"/>
          <w:rtl/>
        </w:rPr>
        <w:t xml:space="preserve">تيف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نيوزيلند</w:t>
      </w:r>
      <w:r w:rsidR="000B4DCC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أربع علامات تجارية هي: </w:t>
      </w:r>
      <w:r w:rsidR="00413167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توي إيهو</w:t>
      </w:r>
      <w:r w:rsidR="008874A8" w:rsidRPr="008729BC">
        <w:rPr>
          <w:rFonts w:eastAsia="Arial Unicode MS" w:cs="Traditional Arabic"/>
          <w:position w:val="-1"/>
          <w:sz w:val="22"/>
          <w:szCs w:val="32"/>
        </w:rPr>
        <w:t>™</w:t>
      </w:r>
      <w:r w:rsidR="00413167">
        <w:rPr>
          <w:rFonts w:eastAsia="Arial Unicode MS" w:cs="Traditional Arabic" w:hint="cs"/>
          <w:position w:val="-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من صنع </w:t>
      </w:r>
      <w:r w:rsidR="00755CBA">
        <w:rPr>
          <w:rFonts w:eastAsia="Arial" w:cs="Traditional Arabic" w:hint="cs"/>
          <w:spacing w:val="1"/>
          <w:sz w:val="22"/>
          <w:szCs w:val="32"/>
          <w:rtl/>
        </w:rPr>
        <w:t xml:space="preserve">جماعة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الماوري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و</w:t>
      </w:r>
      <w:r w:rsidR="00413167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توي إيهو</w:t>
      </w:r>
      <w:r w:rsidR="008874A8" w:rsidRPr="008729BC">
        <w:rPr>
          <w:rFonts w:eastAsia="Arial Unicode MS" w:cs="Traditional Arabic"/>
          <w:position w:val="-1"/>
          <w:sz w:val="22"/>
          <w:szCs w:val="32"/>
        </w:rPr>
        <w:t>™</w:t>
      </w:r>
      <w:r w:rsidR="00413167">
        <w:rPr>
          <w:rFonts w:eastAsia="Arial Unicode MS" w:cs="Traditional Arabic" w:hint="cs"/>
          <w:position w:val="-1"/>
          <w:sz w:val="22"/>
          <w:szCs w:val="32"/>
          <w:rtl/>
        </w:rPr>
        <w:t>"</w:t>
      </w:r>
      <w:r w:rsidR="008874A8" w:rsidRPr="008729BC">
        <w:rPr>
          <w:rFonts w:eastAsia="Arial Unicode MS" w:cs="Traditional Arabic"/>
          <w:position w:val="-1"/>
          <w:sz w:val="22"/>
          <w:szCs w:val="32"/>
          <w:rtl/>
        </w:rPr>
        <w:t xml:space="preserve">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من صنع </w:t>
      </w:r>
      <w:r w:rsidR="00452BE7">
        <w:rPr>
          <w:rFonts w:eastAsia="Arial" w:cs="Traditional Arabic" w:hint="cs"/>
          <w:spacing w:val="1"/>
          <w:sz w:val="22"/>
          <w:szCs w:val="32"/>
          <w:rtl/>
        </w:rPr>
        <w:t xml:space="preserve">أشخاص </w:t>
      </w:r>
      <w:r w:rsidR="00581C24">
        <w:rPr>
          <w:rFonts w:eastAsia="Arial" w:cs="Traditional Arabic" w:hint="cs"/>
          <w:spacing w:val="1"/>
          <w:sz w:val="22"/>
          <w:szCs w:val="32"/>
          <w:rtl/>
        </w:rPr>
        <w:t>معظمهم من جماعة</w:t>
      </w:r>
      <w:r w:rsidR="00452BE7" w:rsidRPr="008729B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الماوري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و</w:t>
      </w:r>
      <w:r w:rsidR="00413167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توي إيهو</w:t>
      </w:r>
      <w:r w:rsidR="008874A8" w:rsidRPr="008729BC">
        <w:rPr>
          <w:rFonts w:eastAsia="Arial Unicode MS" w:cs="Traditional Arabic"/>
          <w:position w:val="-1"/>
          <w:sz w:val="22"/>
          <w:szCs w:val="32"/>
        </w:rPr>
        <w:t>™</w:t>
      </w:r>
      <w:r w:rsidR="00413167">
        <w:rPr>
          <w:rFonts w:eastAsia="Arial Unicode MS" w:cs="Traditional Arabic" w:hint="cs"/>
          <w:position w:val="-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من إنتاج مشترك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547050">
        <w:rPr>
          <w:rFonts w:eastAsia="Arial" w:cs="Traditional Arabic" w:hint="cs"/>
          <w:spacing w:val="1"/>
          <w:sz w:val="22"/>
          <w:szCs w:val="32"/>
          <w:rtl/>
        </w:rPr>
        <w:t>ووكلاء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9726FE">
        <w:rPr>
          <w:rFonts w:eastAsia="Arial" w:cs="Traditional Arabic" w:hint="cs"/>
          <w:spacing w:val="1"/>
          <w:sz w:val="22"/>
          <w:szCs w:val="32"/>
          <w:rtl/>
        </w:rPr>
        <w:t>مرخص لهم ب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بيع منتجات </w:t>
      </w:r>
      <w:r w:rsidR="00413167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توي إيهو</w:t>
      </w:r>
      <w:r w:rsidR="008874A8" w:rsidRPr="008729BC">
        <w:rPr>
          <w:rFonts w:eastAsia="Arial Unicode MS" w:cs="Traditional Arabic"/>
          <w:position w:val="-1"/>
          <w:sz w:val="22"/>
          <w:szCs w:val="32"/>
        </w:rPr>
        <w:t>™</w:t>
      </w:r>
      <w:r w:rsidR="00413167">
        <w:rPr>
          <w:rFonts w:eastAsia="Arial Unicode MS" w:cs="Traditional Arabic" w:hint="cs"/>
          <w:position w:val="-1"/>
          <w:sz w:val="22"/>
          <w:szCs w:val="32"/>
          <w:rtl/>
        </w:rPr>
        <w:t>"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.</w:t>
      </w:r>
      <w:r w:rsidR="008874A8" w:rsidRPr="008729BC">
        <w:rPr>
          <w:rFonts w:eastAsia="Arial Unicode MS" w:cs="Traditional Arabic"/>
          <w:position w:val="-1"/>
          <w:sz w:val="22"/>
          <w:szCs w:val="32"/>
          <w:rtl/>
        </w:rPr>
        <w:t xml:space="preserve"> </w:t>
      </w:r>
      <w:r w:rsidR="008874A8" w:rsidRPr="008729BC">
        <w:rPr>
          <w:rFonts w:eastAsia="Arial Unicode MS" w:cs="Traditional Arabic" w:hint="cs"/>
          <w:position w:val="-1"/>
          <w:sz w:val="22"/>
          <w:szCs w:val="32"/>
          <w:rtl/>
        </w:rPr>
        <w:t>و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تشير هذه العلامات التجارية إلى أن السلع عالية الجودة وأن مصنّعيها يتحدّرون من أصل ماوري أو </w:t>
      </w:r>
      <w:r w:rsidR="007329D8">
        <w:rPr>
          <w:rFonts w:eastAsia="Arial" w:cs="Traditional Arabic" w:hint="cs"/>
          <w:spacing w:val="1"/>
          <w:sz w:val="22"/>
          <w:szCs w:val="32"/>
          <w:rtl/>
        </w:rPr>
        <w:t xml:space="preserve">معظمهم من جماعة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الماوري، أو أن السلع أ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نتجت من خلال تعاون ما بين أشخاص من الماوري وآخرين من غير الماوري. 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أ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طلقت هذه العلامات التجارية ردا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على الهواجس التي 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أعرب عنها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أفراد الماوري بشأن حماية </w:t>
      </w:r>
      <w:r w:rsidR="009945E8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>حقوق</w:t>
      </w:r>
      <w:r w:rsidR="009945E8">
        <w:rPr>
          <w:rFonts w:eastAsia="Arial" w:cs="Traditional Arabic" w:hint="cs"/>
          <w:spacing w:val="1"/>
          <w:sz w:val="22"/>
          <w:szCs w:val="32"/>
          <w:rtl/>
        </w:rPr>
        <w:t xml:space="preserve"> الثقافية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9945E8">
        <w:rPr>
          <w:rFonts w:eastAsia="Arial" w:cs="Traditional Arabic" w:hint="cs"/>
          <w:spacing w:val="1"/>
          <w:sz w:val="22"/>
          <w:szCs w:val="32"/>
          <w:rtl/>
        </w:rPr>
        <w:t xml:space="preserve">وحقوق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الملكية الفكرية، وسوء استخدام مفاهيم الماوري وأساليبهم ورموزهم واستغلالها، 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وعدم حصول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الماوري 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على أي 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منافع تجارية. 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وتغطّي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هذه العلام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ات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التجارية حوال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ى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250 فنانا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ماوريا</w:t>
      </w:r>
      <w:r w:rsidR="008874A8" w:rsidRPr="008729BC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8874A8" w:rsidRPr="008729BC">
        <w:rPr>
          <w:rFonts w:eastAsia="Arial" w:cs="Traditional Arabic"/>
          <w:spacing w:val="1"/>
          <w:sz w:val="22"/>
          <w:szCs w:val="32"/>
          <w:rtl/>
        </w:rPr>
        <w:t xml:space="preserve"> عاملين في مجال الأزياء والهندسة والتصاميم الصناعية والجرافيكية.</w:t>
      </w:r>
    </w:p>
    <w:p w14:paraId="4513CCAC" w14:textId="6E6E0A5D" w:rsidR="008874A8" w:rsidRPr="008729BC" w:rsidRDefault="008874A8" w:rsidP="008874A8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8729BC">
        <w:rPr>
          <w:rFonts w:eastAsia="Arial" w:cs="Traditional Arabic"/>
          <w:spacing w:val="1"/>
          <w:sz w:val="22"/>
          <w:szCs w:val="32"/>
          <w:rtl/>
        </w:rPr>
        <w:t>مُنح هذا التسجيل بعد عملية طويلة من تقديم الطلبات اشترطت أن يبرهن الفن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8729BC">
        <w:rPr>
          <w:rFonts w:eastAsia="Arial" w:cs="Traditional Arabic"/>
          <w:spacing w:val="1"/>
          <w:sz w:val="22"/>
          <w:szCs w:val="32"/>
          <w:rtl/>
        </w:rPr>
        <w:t>انون أن أعمالهم عُرضت في صالات عرض ومعارض</w:t>
      </w:r>
      <w:r w:rsidRPr="008729BC">
        <w:rPr>
          <w:rFonts w:eastAsia="Arial" w:cs="Traditional Arabic" w:hint="cs"/>
          <w:spacing w:val="1"/>
          <w:sz w:val="22"/>
          <w:szCs w:val="32"/>
          <w:rtl/>
        </w:rPr>
        <w:t xml:space="preserve"> وأنها</w:t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"أصلية" وأن الفنانين أنفسهم من الماوري.</w:t>
      </w:r>
      <w:r w:rsidRPr="008729BC">
        <w:rPr>
          <w:rStyle w:val="FootnoteReference"/>
          <w:rFonts w:eastAsia="Arial" w:cs="Traditional Arabic"/>
          <w:spacing w:val="1"/>
          <w:sz w:val="22"/>
          <w:szCs w:val="32"/>
          <w:rtl/>
        </w:rPr>
        <w:footnoteReference w:id="1"/>
      </w:r>
      <w:r w:rsidRPr="008729BC">
        <w:rPr>
          <w:rFonts w:eastAsia="Arial" w:cs="Traditional Arabic"/>
          <w:spacing w:val="1"/>
          <w:sz w:val="22"/>
          <w:szCs w:val="32"/>
          <w:rtl/>
        </w:rPr>
        <w:t xml:space="preserve"> </w:t>
      </w:r>
    </w:p>
    <w:p w14:paraId="239FB608" w14:textId="77777777" w:rsidR="008874A8" w:rsidRPr="008729BC" w:rsidRDefault="008874A8" w:rsidP="00C96B72">
      <w:pPr>
        <w:bidi/>
        <w:spacing w:after="16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8729BC">
        <w:rPr>
          <w:rFonts w:eastAsia="Arial" w:cs="Traditional Arabic"/>
          <w:b/>
          <w:bCs/>
          <w:spacing w:val="1"/>
          <w:sz w:val="22"/>
          <w:szCs w:val="32"/>
          <w:rtl/>
        </w:rPr>
        <w:lastRenderedPageBreak/>
        <w:t>جماعة الماوري تتملّك العلام</w:t>
      </w:r>
      <w:r w:rsidRPr="008729BC">
        <w:rPr>
          <w:rFonts w:eastAsia="Arial" w:cs="Traditional Arabic" w:hint="cs"/>
          <w:b/>
          <w:bCs/>
          <w:spacing w:val="1"/>
          <w:sz w:val="22"/>
          <w:szCs w:val="32"/>
          <w:rtl/>
        </w:rPr>
        <w:t>ة</w:t>
      </w:r>
      <w:r w:rsidRPr="008729BC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التجارية</w:t>
      </w:r>
    </w:p>
    <w:p w14:paraId="411718B0" w14:textId="66D2AA16" w:rsidR="008874A8" w:rsidRPr="00C96B72" w:rsidRDefault="008874A8" w:rsidP="00C96B72">
      <w:pPr>
        <w:bidi/>
        <w:spacing w:after="160" w:line="240" w:lineRule="auto"/>
        <w:rPr>
          <w:rFonts w:eastAsia="Arial" w:cs="Traditional Arabic"/>
          <w:sz w:val="22"/>
          <w:szCs w:val="32"/>
          <w:rtl/>
        </w:rPr>
      </w:pPr>
      <w:r w:rsidRPr="00C96B72">
        <w:rPr>
          <w:rFonts w:eastAsia="Arial" w:cs="Traditional Arabic"/>
          <w:sz w:val="22"/>
          <w:szCs w:val="32"/>
          <w:rtl/>
        </w:rPr>
        <w:t xml:space="preserve">قرّرت وكالة </w:t>
      </w:r>
      <w:r w:rsidR="006A1909" w:rsidRPr="00C96B72">
        <w:rPr>
          <w:rFonts w:eastAsia="Arial" w:cs="Traditional Arabic"/>
          <w:sz w:val="22"/>
          <w:szCs w:val="32"/>
          <w:rtl/>
        </w:rPr>
        <w:t>"كر</w:t>
      </w:r>
      <w:r w:rsidR="006A1909" w:rsidRPr="00C96B72">
        <w:rPr>
          <w:rFonts w:eastAsia="Arial" w:cs="Traditional Arabic" w:hint="eastAsia"/>
          <w:sz w:val="22"/>
          <w:szCs w:val="32"/>
          <w:rtl/>
        </w:rPr>
        <w:t>ي</w:t>
      </w:r>
      <w:r w:rsidR="006A1909" w:rsidRPr="00C96B72">
        <w:rPr>
          <w:rFonts w:eastAsia="Arial" w:cs="Traditional Arabic"/>
          <w:sz w:val="22"/>
          <w:szCs w:val="32"/>
          <w:rtl/>
        </w:rPr>
        <w:t>يا</w:t>
      </w:r>
      <w:r w:rsidR="006A1909" w:rsidRPr="00C96B72">
        <w:rPr>
          <w:rFonts w:eastAsia="Arial" w:cs="Traditional Arabic" w:hint="eastAsia"/>
          <w:sz w:val="22"/>
          <w:szCs w:val="32"/>
          <w:rtl/>
        </w:rPr>
        <w:t>ي</w:t>
      </w:r>
      <w:r w:rsidR="006A1909" w:rsidRPr="00C96B72">
        <w:rPr>
          <w:rFonts w:eastAsia="Arial" w:cs="Traditional Arabic"/>
          <w:sz w:val="22"/>
          <w:szCs w:val="32"/>
          <w:rtl/>
        </w:rPr>
        <w:t xml:space="preserve">تيف </w:t>
      </w:r>
      <w:r w:rsidRPr="00C96B72">
        <w:rPr>
          <w:rFonts w:eastAsia="Arial" w:cs="Traditional Arabic"/>
          <w:sz w:val="22"/>
          <w:szCs w:val="32"/>
          <w:rtl/>
        </w:rPr>
        <w:t>نيوزيلند</w:t>
      </w:r>
      <w:r w:rsidR="006A1909" w:rsidRPr="00C96B72">
        <w:rPr>
          <w:rFonts w:eastAsia="Arial" w:cs="Traditional Arabic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 xml:space="preserve"> في عام 2009 أنها لن تستثمر بعد الآن في إدارة هذه العلامات التجارية و</w:t>
      </w:r>
      <w:r w:rsidRPr="00C96B72">
        <w:rPr>
          <w:rFonts w:eastAsia="Arial" w:cs="Traditional Arabic" w:hint="eastAsia"/>
          <w:sz w:val="22"/>
          <w:szCs w:val="32"/>
          <w:rtl/>
        </w:rPr>
        <w:t>ال</w:t>
      </w:r>
      <w:r w:rsidRPr="00C96B72">
        <w:rPr>
          <w:rFonts w:eastAsia="Arial" w:cs="Traditional Arabic"/>
          <w:sz w:val="22"/>
          <w:szCs w:val="32"/>
          <w:rtl/>
        </w:rPr>
        <w:t xml:space="preserve">ترويج لها. </w:t>
      </w:r>
      <w:r w:rsidRPr="00C96B72">
        <w:rPr>
          <w:rFonts w:eastAsia="Arial" w:cs="Traditional Arabic" w:hint="eastAsia"/>
          <w:sz w:val="22"/>
          <w:szCs w:val="32"/>
          <w:rtl/>
        </w:rPr>
        <w:t>فقد</w:t>
      </w:r>
      <w:r w:rsidRPr="00C96B72">
        <w:rPr>
          <w:rFonts w:eastAsia="Arial" w:cs="Traditional Arabic"/>
          <w:sz w:val="22"/>
          <w:szCs w:val="32"/>
          <w:rtl/>
        </w:rPr>
        <w:t xml:space="preserve"> زعمت الوكالة</w:t>
      </w:r>
      <w:r w:rsidRPr="00C96B72">
        <w:rPr>
          <w:rFonts w:eastAsia="Arial" w:cs="Traditional Arabic" w:hint="eastAsia"/>
          <w:sz w:val="22"/>
          <w:szCs w:val="32"/>
          <w:rtl/>
        </w:rPr>
        <w:t>،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A1D83" w:rsidRPr="00C96B72">
        <w:rPr>
          <w:rFonts w:eastAsia="Arial" w:cs="Traditional Arabic" w:hint="eastAsia"/>
          <w:sz w:val="22"/>
          <w:szCs w:val="32"/>
          <w:rtl/>
        </w:rPr>
        <w:t>استناداً</w:t>
      </w:r>
      <w:r w:rsidR="008A1D83" w:rsidRPr="00C96B72">
        <w:rPr>
          <w:rFonts w:eastAsia="Arial" w:cs="Traditional Arabic"/>
          <w:sz w:val="22"/>
          <w:szCs w:val="32"/>
          <w:rtl/>
        </w:rPr>
        <w:t xml:space="preserve"> إلى بحوث سوقية </w:t>
      </w:r>
      <w:r w:rsidRPr="00C96B72">
        <w:rPr>
          <w:rFonts w:eastAsia="Arial" w:cs="Traditional Arabic" w:hint="eastAsia"/>
          <w:sz w:val="22"/>
          <w:szCs w:val="32"/>
          <w:rtl/>
        </w:rPr>
        <w:t>وآراء</w:t>
      </w:r>
      <w:r w:rsidRPr="00C96B72">
        <w:rPr>
          <w:rFonts w:eastAsia="Arial" w:cs="Traditional Arabic"/>
          <w:sz w:val="22"/>
          <w:szCs w:val="32"/>
          <w:rtl/>
        </w:rPr>
        <w:t xml:space="preserve"> الفن</w:t>
      </w:r>
      <w:r w:rsidRPr="00C96B72">
        <w:rPr>
          <w:rFonts w:eastAsia="Arial" w:cs="Traditional Arabic" w:hint="eastAsia"/>
          <w:sz w:val="22"/>
          <w:szCs w:val="32"/>
          <w:rtl/>
        </w:rPr>
        <w:t>ّ</w:t>
      </w:r>
      <w:r w:rsidRPr="00C96B72">
        <w:rPr>
          <w:rFonts w:eastAsia="Arial" w:cs="Traditional Arabic"/>
          <w:sz w:val="22"/>
          <w:szCs w:val="32"/>
          <w:rtl/>
        </w:rPr>
        <w:t>انين وملاحظاتهم، أنه على الرغم من أن فنانين عدّة كانوا يستخدمون علام</w:t>
      </w:r>
      <w:r w:rsidRPr="00C96B72">
        <w:rPr>
          <w:rFonts w:eastAsia="Arial" w:cs="Traditional Arabic" w:hint="eastAsia"/>
          <w:sz w:val="22"/>
          <w:szCs w:val="32"/>
          <w:rtl/>
        </w:rPr>
        <w:t>ات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="000106F9" w:rsidRPr="00C96B72">
        <w:rPr>
          <w:rFonts w:eastAsia="Arial" w:cs="Traditional Arabic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>توي إيهو</w:t>
      </w:r>
      <w:r w:rsidRPr="009C42DC">
        <w:rPr>
          <w:rFonts w:eastAsia="Arial Unicode MS" w:cs="Traditional Arabic"/>
          <w:position w:val="1"/>
          <w:sz w:val="22"/>
          <w:szCs w:val="32"/>
        </w:rPr>
        <w:t>™</w:t>
      </w:r>
      <w:r w:rsidR="000106F9" w:rsidRPr="009C42DC">
        <w:rPr>
          <w:rFonts w:eastAsia="Arial Unicode MS" w:cs="Traditional Arabic"/>
          <w:position w:val="1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="000106F9" w:rsidRPr="00C96B72">
        <w:rPr>
          <w:rFonts w:eastAsia="Arial" w:cs="Traditional Arabic" w:hint="eastAsia"/>
          <w:sz w:val="22"/>
          <w:szCs w:val="32"/>
          <w:rtl/>
        </w:rPr>
        <w:t>التجارية</w:t>
      </w:r>
      <w:r w:rsidR="000106F9"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/>
          <w:sz w:val="22"/>
          <w:szCs w:val="32"/>
          <w:rtl/>
        </w:rPr>
        <w:t>ل</w:t>
      </w:r>
      <w:r w:rsidRPr="00C96B72">
        <w:rPr>
          <w:rFonts w:eastAsia="Arial" w:cs="Traditional Arabic" w:hint="eastAsia"/>
          <w:sz w:val="22"/>
          <w:szCs w:val="32"/>
          <w:rtl/>
        </w:rPr>
        <w:t>ل</w:t>
      </w:r>
      <w:r w:rsidRPr="00C96B72">
        <w:rPr>
          <w:rFonts w:eastAsia="Arial" w:cs="Traditional Arabic"/>
          <w:sz w:val="22"/>
          <w:szCs w:val="32"/>
          <w:rtl/>
        </w:rPr>
        <w:t xml:space="preserve">ترويج </w:t>
      </w:r>
      <w:r w:rsidRPr="00C96B72">
        <w:rPr>
          <w:rFonts w:eastAsia="Arial" w:cs="Traditional Arabic" w:hint="eastAsia"/>
          <w:sz w:val="22"/>
          <w:szCs w:val="32"/>
          <w:rtl/>
        </w:rPr>
        <w:t>ل</w:t>
      </w:r>
      <w:r w:rsidRPr="00C96B72">
        <w:rPr>
          <w:rFonts w:eastAsia="Arial" w:cs="Traditional Arabic"/>
          <w:sz w:val="22"/>
          <w:szCs w:val="32"/>
          <w:rtl/>
        </w:rPr>
        <w:t xml:space="preserve">أعمالهم، </w:t>
      </w:r>
      <w:r w:rsidRPr="00C96B72">
        <w:rPr>
          <w:rFonts w:eastAsia="Arial" w:cs="Traditional Arabic" w:hint="eastAsia"/>
          <w:sz w:val="22"/>
          <w:szCs w:val="32"/>
          <w:rtl/>
        </w:rPr>
        <w:t>غير</w:t>
      </w:r>
      <w:r w:rsidRPr="00C96B72">
        <w:rPr>
          <w:rFonts w:eastAsia="Arial" w:cs="Traditional Arabic"/>
          <w:sz w:val="22"/>
          <w:szCs w:val="32"/>
          <w:rtl/>
        </w:rPr>
        <w:t xml:space="preserve"> أن عدداً أكبر من فن</w:t>
      </w:r>
      <w:r w:rsidRPr="00C96B72">
        <w:rPr>
          <w:rFonts w:eastAsia="Arial" w:cs="Traditional Arabic" w:hint="eastAsia"/>
          <w:sz w:val="22"/>
          <w:szCs w:val="32"/>
          <w:rtl/>
        </w:rPr>
        <w:t>ّ</w:t>
      </w:r>
      <w:r w:rsidRPr="00C96B72">
        <w:rPr>
          <w:rFonts w:eastAsia="Arial" w:cs="Traditional Arabic"/>
          <w:sz w:val="22"/>
          <w:szCs w:val="32"/>
          <w:rtl/>
        </w:rPr>
        <w:t xml:space="preserve">اني الماوري حقّق النجاح </w:t>
      </w:r>
      <w:r w:rsidRPr="00C96B72">
        <w:rPr>
          <w:rFonts w:eastAsia="Arial" w:cs="Traditional Arabic" w:hint="eastAsia"/>
          <w:sz w:val="22"/>
          <w:szCs w:val="32"/>
          <w:rtl/>
        </w:rPr>
        <w:t>من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z w:val="22"/>
          <w:szCs w:val="32"/>
          <w:rtl/>
        </w:rPr>
        <w:t>دون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z w:val="22"/>
          <w:szCs w:val="32"/>
          <w:rtl/>
        </w:rPr>
        <w:t>استخدامها</w:t>
      </w:r>
      <w:r w:rsidRPr="00C96B72">
        <w:rPr>
          <w:rFonts w:eastAsia="Arial" w:cs="Traditional Arabic"/>
          <w:sz w:val="22"/>
          <w:szCs w:val="32"/>
          <w:rtl/>
        </w:rPr>
        <w:t xml:space="preserve">. </w:t>
      </w:r>
      <w:r w:rsidRPr="00C96B72">
        <w:rPr>
          <w:rFonts w:eastAsia="Arial" w:cs="Traditional Arabic" w:hint="eastAsia"/>
          <w:sz w:val="22"/>
          <w:szCs w:val="32"/>
          <w:rtl/>
        </w:rPr>
        <w:t>ووفقاً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z w:val="22"/>
          <w:szCs w:val="32"/>
          <w:rtl/>
        </w:rPr>
        <w:t>ل</w:t>
      </w:r>
      <w:r w:rsidRPr="00C96B72">
        <w:rPr>
          <w:rFonts w:eastAsia="Arial" w:cs="Traditional Arabic"/>
          <w:sz w:val="22"/>
          <w:szCs w:val="32"/>
          <w:rtl/>
        </w:rPr>
        <w:t>لوكالة، "فشلت العلام</w:t>
      </w:r>
      <w:r w:rsidRPr="00C96B72">
        <w:rPr>
          <w:rFonts w:eastAsia="Arial" w:cs="Traditional Arabic" w:hint="eastAsia"/>
          <w:sz w:val="22"/>
          <w:szCs w:val="32"/>
          <w:rtl/>
        </w:rPr>
        <w:t>ات</w:t>
      </w:r>
      <w:r w:rsidRPr="00C96B72">
        <w:rPr>
          <w:rFonts w:eastAsia="Arial" w:cs="Traditional Arabic"/>
          <w:sz w:val="22"/>
          <w:szCs w:val="32"/>
          <w:rtl/>
        </w:rPr>
        <w:t xml:space="preserve"> التجارية في الوفاء بوعدها </w:t>
      </w:r>
      <w:r w:rsidRPr="00C96B72">
        <w:rPr>
          <w:rFonts w:eastAsia="Arial" w:cs="Traditional Arabic" w:hint="eastAsia"/>
          <w:sz w:val="22"/>
          <w:szCs w:val="32"/>
          <w:rtl/>
        </w:rPr>
        <w:t>من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z w:val="22"/>
          <w:szCs w:val="32"/>
          <w:rtl/>
        </w:rPr>
        <w:t>حيث</w:t>
      </w:r>
      <w:r w:rsidRPr="00C96B72">
        <w:rPr>
          <w:rFonts w:eastAsia="Arial" w:cs="Traditional Arabic"/>
          <w:sz w:val="22"/>
          <w:szCs w:val="32"/>
          <w:rtl/>
        </w:rPr>
        <w:t xml:space="preserve"> زيادة مبيعات فن الماوري". </w:t>
      </w:r>
      <w:r w:rsidRPr="00C96B72">
        <w:rPr>
          <w:rFonts w:eastAsia="Arial" w:cs="Traditional Arabic" w:hint="eastAsia"/>
          <w:sz w:val="22"/>
          <w:szCs w:val="32"/>
          <w:rtl/>
        </w:rPr>
        <w:t>ونصحت</w:t>
      </w:r>
      <w:r w:rsidRPr="00C96B72">
        <w:rPr>
          <w:rFonts w:eastAsia="Arial" w:cs="Traditional Arabic"/>
          <w:sz w:val="22"/>
          <w:szCs w:val="32"/>
          <w:rtl/>
        </w:rPr>
        <w:t xml:space="preserve"> الوكالة الفن</w:t>
      </w:r>
      <w:r w:rsidRPr="00C96B72">
        <w:rPr>
          <w:rFonts w:eastAsia="Arial" w:cs="Traditional Arabic" w:hint="eastAsia"/>
          <w:sz w:val="22"/>
          <w:szCs w:val="32"/>
          <w:rtl/>
        </w:rPr>
        <w:t>ّ</w:t>
      </w:r>
      <w:r w:rsidRPr="00C96B72">
        <w:rPr>
          <w:rFonts w:eastAsia="Arial" w:cs="Traditional Arabic"/>
          <w:sz w:val="22"/>
          <w:szCs w:val="32"/>
          <w:rtl/>
        </w:rPr>
        <w:t xml:space="preserve">انين </w:t>
      </w:r>
      <w:r w:rsidR="005E0935" w:rsidRPr="00C96B72">
        <w:rPr>
          <w:rFonts w:eastAsia="Arial" w:cs="Traditional Arabic" w:hint="eastAsia"/>
          <w:sz w:val="22"/>
          <w:szCs w:val="32"/>
          <w:rtl/>
        </w:rPr>
        <w:t>والوكلاء</w:t>
      </w:r>
      <w:r w:rsidR="00DA65EF"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/>
          <w:sz w:val="22"/>
          <w:szCs w:val="32"/>
          <w:rtl/>
        </w:rPr>
        <w:t>المرخ</w:t>
      </w:r>
      <w:r w:rsidRPr="00C96B72">
        <w:rPr>
          <w:rFonts w:eastAsia="Arial" w:cs="Traditional Arabic" w:hint="eastAsia"/>
          <w:sz w:val="22"/>
          <w:szCs w:val="32"/>
          <w:rtl/>
        </w:rPr>
        <w:t>ّ</w:t>
      </w:r>
      <w:r w:rsidRPr="00C96B72">
        <w:rPr>
          <w:rFonts w:eastAsia="Arial" w:cs="Traditional Arabic"/>
          <w:sz w:val="22"/>
          <w:szCs w:val="32"/>
          <w:rtl/>
        </w:rPr>
        <w:t xml:space="preserve">ص لهم </w:t>
      </w:r>
      <w:r w:rsidR="00083812" w:rsidRPr="00C96B72">
        <w:rPr>
          <w:rFonts w:eastAsia="Arial" w:cs="Traditional Arabic" w:hint="eastAsia"/>
          <w:sz w:val="22"/>
          <w:szCs w:val="32"/>
          <w:rtl/>
        </w:rPr>
        <w:t>ب</w:t>
      </w:r>
      <w:r w:rsidRPr="00C96B72">
        <w:rPr>
          <w:rFonts w:eastAsia="Arial" w:cs="Traditional Arabic"/>
          <w:sz w:val="22"/>
          <w:szCs w:val="32"/>
          <w:rtl/>
        </w:rPr>
        <w:t xml:space="preserve">استخدام علامة </w:t>
      </w:r>
      <w:r w:rsidR="00083812" w:rsidRPr="00C96B72">
        <w:rPr>
          <w:rFonts w:eastAsia="Arial" w:cs="Traditional Arabic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>توي إيهو</w:t>
      </w:r>
      <w:r w:rsidRPr="009C42DC">
        <w:rPr>
          <w:rFonts w:eastAsia="Arial Unicode MS" w:cs="Traditional Arabic"/>
          <w:sz w:val="22"/>
          <w:szCs w:val="32"/>
        </w:rPr>
        <w:t>™</w:t>
      </w:r>
      <w:r w:rsidR="00083812" w:rsidRPr="009C42DC">
        <w:rPr>
          <w:rFonts w:eastAsia="Arial Unicode MS" w:cs="Traditional Arabic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z w:val="22"/>
          <w:szCs w:val="32"/>
          <w:rtl/>
        </w:rPr>
        <w:t>بأن</w:t>
      </w:r>
      <w:r w:rsidRPr="00C96B72">
        <w:rPr>
          <w:rFonts w:eastAsia="Arial" w:cs="Traditional Arabic"/>
          <w:sz w:val="22"/>
          <w:szCs w:val="32"/>
          <w:rtl/>
        </w:rPr>
        <w:t xml:space="preserve"> يحدّوا من استخدام العلامات التجارية.</w:t>
      </w:r>
    </w:p>
    <w:p w14:paraId="659F7C9D" w14:textId="718B045B" w:rsidR="008874A8" w:rsidRPr="00C96B72" w:rsidRDefault="00E3622E" w:rsidP="00C96B72">
      <w:pPr>
        <w:bidi/>
        <w:spacing w:after="160" w:line="240" w:lineRule="auto"/>
        <w:rPr>
          <w:rFonts w:eastAsia="Arial" w:cs="Traditional Arabic"/>
          <w:sz w:val="22"/>
          <w:szCs w:val="32"/>
          <w:rtl/>
        </w:rPr>
      </w:pPr>
      <w:r w:rsidRPr="00C96B72">
        <w:rPr>
          <w:rFonts w:eastAsia="Arial" w:cs="Traditional Arabic" w:hint="eastAsia"/>
          <w:sz w:val="22"/>
          <w:szCs w:val="32"/>
          <w:rtl/>
        </w:rPr>
        <w:t>و</w:t>
      </w:r>
      <w:r w:rsidR="008874A8" w:rsidRPr="00C96B72">
        <w:rPr>
          <w:rFonts w:eastAsia="Arial" w:cs="Traditional Arabic"/>
          <w:sz w:val="22"/>
          <w:szCs w:val="32"/>
          <w:rtl/>
        </w:rPr>
        <w:t>لم يكن فن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ّ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انو الماوري كلّهم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راضين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عن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تراجع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استخدام علاماتهم التجارية. فقامت مصممة الأزياء والمجوهرات الماورية سوزان تاماكي بمناقشة الحجج المقدّمة للحدّ من استخدام العلام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ات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، معلنةً أنها قد استفادت من تسجيلها كفنانة في </w:t>
      </w:r>
      <w:r w:rsidR="003E0787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>توي إيهو</w:t>
      </w:r>
      <w:r w:rsidR="008874A8" w:rsidRPr="009C42DC">
        <w:rPr>
          <w:rFonts w:eastAsia="Arial Unicode MS" w:cs="Traditional Arabic"/>
          <w:position w:val="1"/>
          <w:sz w:val="22"/>
          <w:szCs w:val="32"/>
        </w:rPr>
        <w:t>™</w:t>
      </w:r>
      <w:r w:rsidR="003E0787" w:rsidRPr="009C42DC">
        <w:rPr>
          <w:rFonts w:eastAsia="Arial Unicode MS" w:cs="Traditional Arabic"/>
          <w:position w:val="1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وأن المنافع لم تقتصر على التسويق والاحتراف </w:t>
      </w:r>
      <w:r w:rsidR="00CE2A94" w:rsidRPr="00C96B72">
        <w:rPr>
          <w:rFonts w:eastAsia="Arial" w:cs="Traditional Arabic" w:hint="eastAsia"/>
          <w:sz w:val="22"/>
          <w:szCs w:val="32"/>
          <w:rtl/>
        </w:rPr>
        <w:t>و</w:t>
      </w:r>
      <w:r w:rsidR="008874A8" w:rsidRPr="00C96B72">
        <w:rPr>
          <w:rFonts w:eastAsia="Arial" w:cs="Traditional Arabic"/>
          <w:sz w:val="22"/>
          <w:szCs w:val="32"/>
          <w:rtl/>
        </w:rPr>
        <w:t>لكنها شملت أيضا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ً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انضمامها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31675A" w:rsidRPr="00C96B72">
        <w:rPr>
          <w:rFonts w:eastAsia="Arial" w:cs="Traditional Arabic" w:hint="eastAsia"/>
          <w:sz w:val="22"/>
          <w:szCs w:val="32"/>
          <w:rtl/>
        </w:rPr>
        <w:t>إلى</w:t>
      </w:r>
      <w:r w:rsidR="0031675A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/>
          <w:sz w:val="22"/>
          <w:szCs w:val="32"/>
          <w:rtl/>
        </w:rPr>
        <w:t>مجموعة من فن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ّ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اني الماوري.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وقالت</w:t>
      </w:r>
      <w:r w:rsidR="008874A8" w:rsidRPr="00C96B72">
        <w:rPr>
          <w:rFonts w:eastAsia="Arial" w:cs="Traditional Arabic"/>
          <w:sz w:val="22"/>
          <w:szCs w:val="32"/>
          <w:rtl/>
        </w:rPr>
        <w:t>:</w:t>
      </w:r>
    </w:p>
    <w:p w14:paraId="2E1AF23A" w14:textId="6C265861" w:rsidR="008874A8" w:rsidRPr="00C96B72" w:rsidRDefault="008874A8" w:rsidP="00C96B72">
      <w:pPr>
        <w:bidi/>
        <w:spacing w:after="160" w:line="240" w:lineRule="auto"/>
        <w:ind w:left="1134"/>
        <w:rPr>
          <w:rFonts w:eastAsia="Arial" w:cs="Traditional Arabic"/>
          <w:sz w:val="22"/>
          <w:szCs w:val="32"/>
          <w:rtl/>
        </w:rPr>
      </w:pPr>
      <w:r w:rsidRPr="00C96B72">
        <w:rPr>
          <w:rFonts w:eastAsia="Arial" w:cs="Traditional Arabic"/>
          <w:sz w:val="22"/>
          <w:szCs w:val="32"/>
          <w:rtl/>
        </w:rPr>
        <w:t>"إن علامة [</w:t>
      </w:r>
      <w:r w:rsidR="00893CE9" w:rsidRPr="00C96B72">
        <w:rPr>
          <w:rFonts w:eastAsia="Arial" w:cs="Traditional Arabic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>توي إيهو</w:t>
      </w:r>
      <w:r w:rsidR="00893CE9" w:rsidRPr="00C96B72">
        <w:rPr>
          <w:rFonts w:eastAsia="Arial" w:cs="Traditional Arabic"/>
          <w:sz w:val="22"/>
          <w:szCs w:val="32"/>
          <w:rtl/>
        </w:rPr>
        <w:t>"</w:t>
      </w:r>
      <w:r w:rsidRPr="00C96B72">
        <w:rPr>
          <w:rFonts w:eastAsia="Arial" w:cs="Traditional Arabic"/>
          <w:sz w:val="22"/>
          <w:szCs w:val="32"/>
          <w:rtl/>
        </w:rPr>
        <w:t>]</w:t>
      </w:r>
      <w:r w:rsidR="00EE67B1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B05AA9" w:rsidRPr="00C96B72">
        <w:rPr>
          <w:rFonts w:eastAsia="Arial" w:cs="Traditional Arabic" w:hint="eastAsia"/>
          <w:sz w:val="22"/>
          <w:szCs w:val="32"/>
          <w:rtl/>
        </w:rPr>
        <w:t>تتيح</w:t>
      </w:r>
      <w:r w:rsidRPr="00C96B72">
        <w:rPr>
          <w:rFonts w:eastAsia="Arial" w:cs="Traditional Arabic"/>
          <w:sz w:val="22"/>
          <w:szCs w:val="32"/>
          <w:rtl/>
        </w:rPr>
        <w:t xml:space="preserve"> إشاعة التماسك بين </w:t>
      </w:r>
      <w:r w:rsidR="00E5394F" w:rsidRPr="00C96B72">
        <w:rPr>
          <w:rFonts w:eastAsia="Arial" w:cs="Traditional Arabic" w:hint="eastAsia"/>
          <w:sz w:val="22"/>
          <w:szCs w:val="32"/>
          <w:rtl/>
        </w:rPr>
        <w:t>ا</w:t>
      </w:r>
      <w:r w:rsidRPr="00C96B72">
        <w:rPr>
          <w:rFonts w:eastAsia="Arial" w:cs="Traditional Arabic" w:hint="eastAsia"/>
          <w:sz w:val="22"/>
          <w:szCs w:val="32"/>
          <w:rtl/>
        </w:rPr>
        <w:t>ل</w:t>
      </w:r>
      <w:r w:rsidRPr="00C96B72">
        <w:rPr>
          <w:rFonts w:eastAsia="Arial" w:cs="Traditional Arabic"/>
          <w:sz w:val="22"/>
          <w:szCs w:val="32"/>
          <w:rtl/>
        </w:rPr>
        <w:t xml:space="preserve">فنانين. </w:t>
      </w:r>
      <w:r w:rsidRPr="00C96B72">
        <w:rPr>
          <w:rFonts w:eastAsia="Arial" w:cs="Traditional Arabic" w:hint="eastAsia"/>
          <w:sz w:val="22"/>
          <w:szCs w:val="32"/>
          <w:rtl/>
        </w:rPr>
        <w:t>فبدلاً</w:t>
      </w:r>
      <w:r w:rsidRPr="00C96B72">
        <w:rPr>
          <w:rFonts w:eastAsia="Arial" w:cs="Traditional Arabic"/>
          <w:sz w:val="22"/>
          <w:szCs w:val="32"/>
          <w:rtl/>
        </w:rPr>
        <w:t xml:space="preserve"> من أن يقوم كلّ منّا بعمله بشكلٍ منفصل وأن نظهر مشتتين، تربطنا العلامة كمجموعة واحدة".</w:t>
      </w:r>
      <w:r w:rsidRPr="00C96B72">
        <w:rPr>
          <w:rStyle w:val="FootnoteReference"/>
          <w:rFonts w:eastAsia="Arial" w:cs="Traditional Arabic"/>
          <w:sz w:val="22"/>
          <w:szCs w:val="32"/>
          <w:rtl/>
        </w:rPr>
        <w:footnoteReference w:id="2"/>
      </w:r>
    </w:p>
    <w:p w14:paraId="53CB54D0" w14:textId="1030833B" w:rsidR="00F647A9" w:rsidRPr="00C96B72" w:rsidRDefault="00026F0F" w:rsidP="00C96B72">
      <w:pPr>
        <w:bidi/>
        <w:spacing w:after="160" w:line="240" w:lineRule="auto"/>
        <w:rPr>
          <w:rFonts w:eastAsia="Arial" w:cs="Traditional Arabic"/>
          <w:sz w:val="22"/>
          <w:szCs w:val="32"/>
          <w:rtl/>
        </w:rPr>
      </w:pPr>
      <w:r w:rsidRPr="00C96B72">
        <w:rPr>
          <w:rFonts w:eastAsia="Arial" w:cs="Traditional Arabic" w:hint="eastAsia"/>
          <w:sz w:val="22"/>
          <w:szCs w:val="32"/>
          <w:rtl/>
        </w:rPr>
        <w:t>و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لهذا السبب، أطلقت جماعة الماوري حملةً لتملّك العلامات التجارية من وكالة </w:t>
      </w:r>
      <w:r w:rsidR="00DE492D" w:rsidRPr="00C96B72">
        <w:rPr>
          <w:rFonts w:eastAsia="Arial" w:cs="Traditional Arabic"/>
          <w:sz w:val="22"/>
          <w:szCs w:val="32"/>
          <w:rtl/>
        </w:rPr>
        <w:t>"كر</w:t>
      </w:r>
      <w:r w:rsidR="00DE492D" w:rsidRPr="00C96B72">
        <w:rPr>
          <w:rFonts w:eastAsia="Arial" w:cs="Traditional Arabic" w:hint="eastAsia"/>
          <w:sz w:val="22"/>
          <w:szCs w:val="32"/>
          <w:rtl/>
        </w:rPr>
        <w:t>ي</w:t>
      </w:r>
      <w:r w:rsidR="00DE492D" w:rsidRPr="00C96B72">
        <w:rPr>
          <w:rFonts w:eastAsia="Arial" w:cs="Traditional Arabic"/>
          <w:sz w:val="22"/>
          <w:szCs w:val="32"/>
          <w:rtl/>
        </w:rPr>
        <w:t>يا</w:t>
      </w:r>
      <w:r w:rsidR="00DE492D" w:rsidRPr="00C96B72">
        <w:rPr>
          <w:rFonts w:eastAsia="Arial" w:cs="Traditional Arabic" w:hint="eastAsia"/>
          <w:sz w:val="22"/>
          <w:szCs w:val="32"/>
          <w:rtl/>
        </w:rPr>
        <w:t>ي</w:t>
      </w:r>
      <w:r w:rsidR="00DE492D" w:rsidRPr="00C96B72">
        <w:rPr>
          <w:rFonts w:eastAsia="Arial" w:cs="Traditional Arabic"/>
          <w:sz w:val="22"/>
          <w:szCs w:val="32"/>
          <w:rtl/>
        </w:rPr>
        <w:t xml:space="preserve">تيف </w:t>
      </w:r>
      <w:r w:rsidR="008874A8" w:rsidRPr="00C96B72">
        <w:rPr>
          <w:rFonts w:eastAsia="Arial" w:cs="Traditional Arabic"/>
          <w:sz w:val="22"/>
          <w:szCs w:val="32"/>
          <w:rtl/>
        </w:rPr>
        <w:t>نيوزيلند</w:t>
      </w:r>
      <w:r w:rsidR="00DE492D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.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و</w:t>
      </w:r>
      <w:r w:rsidR="008874A8" w:rsidRPr="00C96B72">
        <w:rPr>
          <w:rFonts w:eastAsia="Arial" w:cs="Traditional Arabic"/>
          <w:sz w:val="22"/>
          <w:szCs w:val="32"/>
          <w:rtl/>
        </w:rPr>
        <w:t>قالت إليزابيث إليس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،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وهي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فنّانة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ماورية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رائدة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وأمينة </w:t>
      </w:r>
      <w:r w:rsidR="008E102C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>مؤسسة الفنون</w:t>
      </w:r>
      <w:r w:rsidR="008E102C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في نيوزيلندا</w:t>
      </w:r>
      <w:r w:rsidR="00D72AFA" w:rsidRPr="00C96B72">
        <w:rPr>
          <w:rFonts w:eastAsia="Arial" w:cs="Traditional Arabic" w:hint="eastAsia"/>
          <w:sz w:val="22"/>
          <w:szCs w:val="32"/>
          <w:rtl/>
        </w:rPr>
        <w:t>،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شارك</w:t>
      </w:r>
      <w:r w:rsidR="00D72AFA" w:rsidRPr="00C96B72">
        <w:rPr>
          <w:rFonts w:eastAsia="Arial" w:cs="Traditional Arabic" w:hint="eastAsia"/>
          <w:sz w:val="22"/>
          <w:szCs w:val="32"/>
          <w:rtl/>
        </w:rPr>
        <w:t>ت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بنشاط في إطلاق المبادرة:</w:t>
      </w:r>
    </w:p>
    <w:p w14:paraId="5ACB7030" w14:textId="302723DC" w:rsidR="008874A8" w:rsidRPr="00C96B72" w:rsidRDefault="008874A8" w:rsidP="00C96B72">
      <w:pPr>
        <w:bidi/>
        <w:spacing w:after="160" w:line="240" w:lineRule="auto"/>
        <w:ind w:left="1134"/>
        <w:rPr>
          <w:rFonts w:eastAsia="Arial" w:cs="Traditional Arabic"/>
          <w:spacing w:val="-4"/>
          <w:sz w:val="22"/>
          <w:szCs w:val="32"/>
          <w:rtl/>
        </w:rPr>
      </w:pPr>
      <w:r w:rsidRPr="00C96B72">
        <w:rPr>
          <w:rFonts w:eastAsia="Arial" w:cs="Traditional Arabic"/>
          <w:spacing w:val="-4"/>
          <w:sz w:val="22"/>
          <w:szCs w:val="32"/>
          <w:rtl/>
        </w:rPr>
        <w:t>"نحن</w:t>
      </w:r>
      <w:r w:rsidRPr="00C96B72">
        <w:rPr>
          <w:rFonts w:eastAsia="Arial" w:cs="Traditional Arabic" w:hint="eastAsia"/>
          <w:spacing w:val="-4"/>
          <w:sz w:val="22"/>
          <w:szCs w:val="32"/>
          <w:rtl/>
        </w:rPr>
        <w:t>،</w:t>
      </w:r>
      <w:r w:rsidRPr="00C96B72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pacing w:val="-4"/>
          <w:sz w:val="22"/>
          <w:szCs w:val="32"/>
          <w:rtl/>
        </w:rPr>
        <w:t>جماعة</w:t>
      </w:r>
      <w:r w:rsidRPr="00C96B72">
        <w:rPr>
          <w:rFonts w:eastAsia="Arial" w:cs="Traditional Arabic"/>
          <w:spacing w:val="-4"/>
          <w:sz w:val="22"/>
          <w:szCs w:val="32"/>
          <w:rtl/>
        </w:rPr>
        <w:t xml:space="preserve"> الماوري</w:t>
      </w:r>
      <w:r w:rsidRPr="00C96B72">
        <w:rPr>
          <w:rFonts w:eastAsia="Arial" w:cs="Traditional Arabic" w:hint="eastAsia"/>
          <w:spacing w:val="-4"/>
          <w:sz w:val="22"/>
          <w:szCs w:val="32"/>
          <w:rtl/>
        </w:rPr>
        <w:t>،</w:t>
      </w:r>
      <w:r w:rsidRPr="00C96B72">
        <w:rPr>
          <w:rFonts w:eastAsia="Arial" w:cs="Traditional Arabic"/>
          <w:spacing w:val="-4"/>
          <w:sz w:val="22"/>
          <w:szCs w:val="32"/>
          <w:rtl/>
        </w:rPr>
        <w:t xml:space="preserve"> ننظر إلى [علامة </w:t>
      </w:r>
      <w:r w:rsidR="00F40A74" w:rsidRPr="00C96B72">
        <w:rPr>
          <w:rFonts w:eastAsia="Arial" w:cs="Traditional Arabic"/>
          <w:spacing w:val="-4"/>
          <w:sz w:val="22"/>
          <w:szCs w:val="32"/>
          <w:rtl/>
        </w:rPr>
        <w:t>"</w:t>
      </w:r>
      <w:r w:rsidRPr="00C96B72">
        <w:rPr>
          <w:rFonts w:eastAsia="Arial" w:cs="Traditional Arabic"/>
          <w:spacing w:val="-4"/>
          <w:sz w:val="22"/>
          <w:szCs w:val="32"/>
          <w:rtl/>
        </w:rPr>
        <w:t>توي إيهو</w:t>
      </w:r>
      <w:r w:rsidR="00F40A74" w:rsidRPr="00C96B72">
        <w:rPr>
          <w:rFonts w:eastAsia="Arial" w:cs="Traditional Arabic"/>
          <w:spacing w:val="-4"/>
          <w:sz w:val="22"/>
          <w:szCs w:val="32"/>
          <w:rtl/>
        </w:rPr>
        <w:t>"</w:t>
      </w:r>
      <w:r w:rsidRPr="00C96B72">
        <w:rPr>
          <w:rFonts w:eastAsia="Arial" w:cs="Traditional Arabic"/>
          <w:spacing w:val="-4"/>
          <w:sz w:val="22"/>
          <w:szCs w:val="32"/>
          <w:rtl/>
        </w:rPr>
        <w:t xml:space="preserve">] على أنها كيان حيّ، لا بل رمز الإبداع الماوري ومبادرة إيجابية لفن الماوري </w:t>
      </w:r>
      <w:r w:rsidRPr="00C96B72">
        <w:rPr>
          <w:rFonts w:eastAsia="Arial" w:cs="Traditional Arabic" w:hint="eastAsia"/>
          <w:spacing w:val="-4"/>
          <w:sz w:val="22"/>
          <w:szCs w:val="32"/>
          <w:rtl/>
        </w:rPr>
        <w:t>ال</w:t>
      </w:r>
      <w:r w:rsidRPr="00C96B72">
        <w:rPr>
          <w:rFonts w:eastAsia="Arial" w:cs="Traditional Arabic"/>
          <w:spacing w:val="-4"/>
          <w:sz w:val="22"/>
          <w:szCs w:val="32"/>
          <w:rtl/>
        </w:rPr>
        <w:t xml:space="preserve">عالي الجودة. </w:t>
      </w:r>
      <w:r w:rsidR="00D30C22" w:rsidRPr="00C96B72">
        <w:rPr>
          <w:rFonts w:eastAsia="Arial" w:cs="Traditional Arabic" w:hint="eastAsia"/>
          <w:spacing w:val="-4"/>
          <w:sz w:val="22"/>
          <w:szCs w:val="32"/>
          <w:rtl/>
        </w:rPr>
        <w:t>ف</w:t>
      </w:r>
      <w:r w:rsidRPr="00C96B72">
        <w:rPr>
          <w:rFonts w:eastAsia="Arial" w:cs="Traditional Arabic" w:hint="eastAsia"/>
          <w:spacing w:val="-4"/>
          <w:sz w:val="22"/>
          <w:szCs w:val="32"/>
          <w:rtl/>
        </w:rPr>
        <w:t>الأمر</w:t>
      </w:r>
      <w:r w:rsidRPr="00C96B72">
        <w:rPr>
          <w:rFonts w:eastAsia="Arial" w:cs="Traditional Arabic"/>
          <w:spacing w:val="-4"/>
          <w:sz w:val="22"/>
          <w:szCs w:val="32"/>
          <w:rtl/>
        </w:rPr>
        <w:t xml:space="preserve"> ليس بمثابة مشروع بيروقراطي يمكن </w:t>
      </w:r>
      <w:r w:rsidR="002508C7" w:rsidRPr="00C96B72">
        <w:rPr>
          <w:rFonts w:eastAsia="Arial" w:cs="Traditional Arabic" w:hint="eastAsia"/>
          <w:spacing w:val="-4"/>
          <w:sz w:val="22"/>
          <w:szCs w:val="32"/>
          <w:rtl/>
        </w:rPr>
        <w:t>وقفه</w:t>
      </w:r>
      <w:r w:rsidR="002508C7" w:rsidRPr="00C96B72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C96B72">
        <w:rPr>
          <w:rFonts w:eastAsia="Arial" w:cs="Traditional Arabic"/>
          <w:spacing w:val="-4"/>
          <w:sz w:val="22"/>
          <w:szCs w:val="32"/>
          <w:rtl/>
        </w:rPr>
        <w:t>بسهولة".</w:t>
      </w:r>
      <w:r w:rsidRPr="00C96B72">
        <w:rPr>
          <w:rStyle w:val="FootnoteReference"/>
          <w:rFonts w:eastAsia="Arial" w:cs="Traditional Arabic"/>
          <w:spacing w:val="-4"/>
          <w:sz w:val="22"/>
          <w:szCs w:val="32"/>
          <w:rtl/>
        </w:rPr>
        <w:footnoteReference w:id="3"/>
      </w:r>
    </w:p>
    <w:p w14:paraId="60D610DA" w14:textId="0F517568" w:rsidR="009C42DC" w:rsidRPr="00C96B72" w:rsidRDefault="00B61C66" w:rsidP="00C96B72">
      <w:pPr>
        <w:bidi/>
        <w:spacing w:after="160" w:line="240" w:lineRule="auto"/>
        <w:rPr>
          <w:rFonts w:eastAsia="Arial" w:cs="Traditional Arabic"/>
          <w:sz w:val="22"/>
          <w:szCs w:val="32"/>
          <w:rtl/>
        </w:rPr>
      </w:pPr>
      <w:r w:rsidRPr="00C96B72">
        <w:rPr>
          <w:rFonts w:eastAsia="Arial" w:cs="Traditional Arabic" w:hint="eastAsia"/>
          <w:sz w:val="22"/>
          <w:szCs w:val="32"/>
          <w:rtl/>
        </w:rPr>
        <w:t>وبناءً</w:t>
      </w:r>
      <w:r w:rsidRPr="00C96B72">
        <w:rPr>
          <w:rFonts w:eastAsia="Arial" w:cs="Traditional Arabic"/>
          <w:sz w:val="22"/>
          <w:szCs w:val="32"/>
          <w:rtl/>
        </w:rPr>
        <w:t xml:space="preserve"> </w:t>
      </w:r>
      <w:r w:rsidRPr="00C96B72">
        <w:rPr>
          <w:rFonts w:eastAsia="Arial" w:cs="Traditional Arabic" w:hint="eastAsia"/>
          <w:sz w:val="22"/>
          <w:szCs w:val="32"/>
          <w:rtl/>
        </w:rPr>
        <w:t>ع</w:t>
      </w:r>
      <w:r w:rsidR="00E233E6" w:rsidRPr="00C96B72">
        <w:rPr>
          <w:rFonts w:eastAsia="Arial" w:cs="Traditional Arabic" w:hint="eastAsia"/>
          <w:sz w:val="22"/>
          <w:szCs w:val="32"/>
          <w:rtl/>
        </w:rPr>
        <w:t>لى</w:t>
      </w:r>
      <w:r w:rsidR="00E233E6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ذلك،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تم في شهر أيار/مايو 2010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نقل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علامات </w:t>
      </w:r>
      <w:r w:rsidR="00964BC5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>توي إيهو</w:t>
      </w:r>
      <w:r w:rsidR="008874A8" w:rsidRPr="009C42DC">
        <w:rPr>
          <w:rFonts w:eastAsia="Arial Unicode MS" w:cs="Traditional Arabic"/>
          <w:position w:val="1"/>
          <w:sz w:val="22"/>
          <w:szCs w:val="32"/>
        </w:rPr>
        <w:t>™</w:t>
      </w:r>
      <w:r w:rsidR="00964BC5" w:rsidRPr="009C42DC">
        <w:rPr>
          <w:rFonts w:eastAsia="Arial Unicode MS" w:cs="Traditional Arabic"/>
          <w:position w:val="1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964BC5" w:rsidRPr="00C96B72">
        <w:rPr>
          <w:rFonts w:eastAsia="Arial" w:cs="Traditional Arabic" w:hint="eastAsia"/>
          <w:sz w:val="22"/>
          <w:szCs w:val="32"/>
          <w:rtl/>
        </w:rPr>
        <w:t>التجارية</w:t>
      </w:r>
      <w:r w:rsidR="00964BC5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من وكالة </w:t>
      </w:r>
      <w:r w:rsidR="008B14EC" w:rsidRPr="00C96B72">
        <w:rPr>
          <w:rFonts w:eastAsia="Arial" w:cs="Traditional Arabic"/>
          <w:sz w:val="22"/>
          <w:szCs w:val="32"/>
          <w:rtl/>
        </w:rPr>
        <w:t>"كر</w:t>
      </w:r>
      <w:r w:rsidR="008B14EC" w:rsidRPr="00C96B72">
        <w:rPr>
          <w:rFonts w:eastAsia="Arial" w:cs="Traditional Arabic" w:hint="eastAsia"/>
          <w:sz w:val="22"/>
          <w:szCs w:val="32"/>
          <w:rtl/>
        </w:rPr>
        <w:t>ي</w:t>
      </w:r>
      <w:r w:rsidR="008B14EC" w:rsidRPr="00C96B72">
        <w:rPr>
          <w:rFonts w:eastAsia="Arial" w:cs="Traditional Arabic"/>
          <w:sz w:val="22"/>
          <w:szCs w:val="32"/>
          <w:rtl/>
        </w:rPr>
        <w:t>يا</w:t>
      </w:r>
      <w:r w:rsidR="008B14EC" w:rsidRPr="00C96B72">
        <w:rPr>
          <w:rFonts w:eastAsia="Arial" w:cs="Traditional Arabic" w:hint="eastAsia"/>
          <w:sz w:val="22"/>
          <w:szCs w:val="32"/>
          <w:rtl/>
        </w:rPr>
        <w:t>ي</w:t>
      </w:r>
      <w:r w:rsidR="008B14EC" w:rsidRPr="00C96B72">
        <w:rPr>
          <w:rFonts w:eastAsia="Arial" w:cs="Traditional Arabic"/>
          <w:sz w:val="22"/>
          <w:szCs w:val="32"/>
          <w:rtl/>
        </w:rPr>
        <w:t xml:space="preserve">تيف </w:t>
      </w:r>
      <w:r w:rsidR="008874A8" w:rsidRPr="00C96B72">
        <w:rPr>
          <w:rFonts w:eastAsia="Arial" w:cs="Traditional Arabic"/>
          <w:sz w:val="22"/>
          <w:szCs w:val="32"/>
          <w:rtl/>
        </w:rPr>
        <w:t>نيوزيلند</w:t>
      </w:r>
      <w:r w:rsidR="008B14EC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الممو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ّ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لة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من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الحكومة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إلى هيئة ج</w:t>
      </w:r>
      <w:bookmarkStart w:id="1" w:name="_GoBack"/>
      <w:bookmarkEnd w:id="1"/>
      <w:r w:rsidR="008874A8" w:rsidRPr="00C96B72">
        <w:rPr>
          <w:rFonts w:eastAsia="Arial" w:cs="Traditional Arabic"/>
          <w:sz w:val="22"/>
          <w:szCs w:val="32"/>
          <w:rtl/>
        </w:rPr>
        <w:t xml:space="preserve">ديدة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ذات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ملكية ماورية هي </w:t>
      </w:r>
      <w:r w:rsidR="00163428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>مؤسسة توي إيهو</w:t>
      </w:r>
      <w:r w:rsidR="00B11650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163428" w:rsidRPr="00C96B72">
        <w:rPr>
          <w:rFonts w:eastAsia="Arial" w:cs="Traditional Arabic" w:hint="eastAsia"/>
          <w:sz w:val="22"/>
          <w:szCs w:val="32"/>
          <w:rtl/>
        </w:rPr>
        <w:t>الانتقالية</w:t>
      </w:r>
      <w:r w:rsidR="00163428" w:rsidRPr="00C96B72">
        <w:rPr>
          <w:rFonts w:eastAsia="Arial" w:cs="Traditional Arabic"/>
          <w:sz w:val="22"/>
          <w:szCs w:val="32"/>
          <w:rtl/>
        </w:rPr>
        <w:t>"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(</w:t>
      </w:r>
      <w:r w:rsidR="008874A8" w:rsidRPr="009C42DC">
        <w:rPr>
          <w:rFonts w:eastAsia="Arial" w:cs="Traditional Arabic"/>
          <w:sz w:val="22"/>
          <w:szCs w:val="32"/>
        </w:rPr>
        <w:t>TTIF</w:t>
      </w:r>
      <w:r w:rsidR="008874A8" w:rsidRPr="00C96B72">
        <w:rPr>
          <w:rFonts w:eastAsia="Arial" w:cs="Traditional Arabic"/>
          <w:sz w:val="22"/>
          <w:szCs w:val="32"/>
          <w:rtl/>
        </w:rPr>
        <w:t>)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،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</w:t>
      </w:r>
      <w:r w:rsidR="008874A8" w:rsidRPr="00C96B72">
        <w:rPr>
          <w:rFonts w:eastAsia="Arial" w:cs="Traditional Arabic" w:hint="eastAsia"/>
          <w:sz w:val="22"/>
          <w:szCs w:val="32"/>
          <w:rtl/>
        </w:rPr>
        <w:t>بانتظار</w:t>
      </w:r>
      <w:r w:rsidR="008874A8" w:rsidRPr="00C96B72">
        <w:rPr>
          <w:rFonts w:eastAsia="Arial" w:cs="Traditional Arabic"/>
          <w:sz w:val="22"/>
          <w:szCs w:val="32"/>
          <w:rtl/>
        </w:rPr>
        <w:t xml:space="preserve"> إنشاء هيئة قانونية جديدة.</w:t>
      </w:r>
      <w:r w:rsidR="008874A8" w:rsidRPr="00C96B72">
        <w:rPr>
          <w:rStyle w:val="FootnoteReference"/>
          <w:rFonts w:eastAsia="Arial" w:cs="Traditional Arabic"/>
          <w:sz w:val="22"/>
          <w:szCs w:val="32"/>
          <w:rtl/>
        </w:rPr>
        <w:footnoteReference w:id="4"/>
      </w:r>
    </w:p>
    <w:sectPr w:rsidR="009C42DC" w:rsidRPr="00C96B72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E0A0" w14:textId="77777777" w:rsidR="009D4ACD" w:rsidRDefault="009D4ACD" w:rsidP="000F4C6A">
      <w:r>
        <w:separator/>
      </w:r>
    </w:p>
    <w:p w14:paraId="21E71EB0" w14:textId="77777777" w:rsidR="009D4ACD" w:rsidRDefault="009D4ACD"/>
  </w:endnote>
  <w:endnote w:type="continuationSeparator" w:id="0">
    <w:p w14:paraId="67E53BDB" w14:textId="77777777" w:rsidR="009D4ACD" w:rsidRDefault="009D4ACD" w:rsidP="000F4C6A">
      <w:r>
        <w:continuationSeparator/>
      </w:r>
    </w:p>
    <w:p w14:paraId="60363DD6" w14:textId="77777777" w:rsidR="009D4ACD" w:rsidRDefault="009D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67FB1675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5ACEEA6E" w:rsidR="00C56CEB" w:rsidRPr="00BB7269" w:rsidRDefault="00C56CEB" w:rsidP="00F647A9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30</w:t>
          </w:r>
          <w:r w:rsidRPr="0020341B">
            <w:rPr>
              <w:lang w:val="en-US"/>
            </w:rPr>
            <w:t>-v1.</w:t>
          </w:r>
          <w:r w:rsidR="00C96B72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C96B72">
            <w:rPr>
              <w:lang w:val="en-US"/>
            </w:rPr>
            <w:t>AR</w:t>
          </w:r>
        </w:p>
      </w:tc>
    </w:tr>
  </w:tbl>
  <w:p w14:paraId="7D367C67" w14:textId="269963A4" w:rsidR="00F87EDD" w:rsidRPr="00C56CEB" w:rsidRDefault="00C44831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5B02202" wp14:editId="5050EFCB">
          <wp:simplePos x="0" y="0"/>
          <wp:positionH relativeFrom="column">
            <wp:posOffset>2557145</wp:posOffset>
          </wp:positionH>
          <wp:positionV relativeFrom="paragraph">
            <wp:posOffset>-64770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02C163F7" w:rsidR="002255DD" w:rsidRPr="00BB7269" w:rsidRDefault="002255DD" w:rsidP="00F647A9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30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3C25C76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4E03B94D" w:rsidR="00C56CEB" w:rsidRPr="00BB7269" w:rsidRDefault="00C56CEB" w:rsidP="00F647A9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30</w:t>
          </w:r>
          <w:r w:rsidRPr="0020341B">
            <w:rPr>
              <w:lang w:val="en-US"/>
            </w:rPr>
            <w:t>-v1.</w:t>
          </w:r>
          <w:r w:rsidR="00C96B72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C96B72">
            <w:rPr>
              <w:lang w:val="en-US"/>
            </w:rPr>
            <w:t>AR</w:t>
          </w:r>
        </w:p>
      </w:tc>
    </w:tr>
  </w:tbl>
  <w:p w14:paraId="7666B67F" w14:textId="105F922A" w:rsidR="00C56CEB" w:rsidRPr="00BB7269" w:rsidRDefault="00C44831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4E5814D2" wp14:editId="17EC872C">
          <wp:simplePos x="0" y="0"/>
          <wp:positionH relativeFrom="column">
            <wp:posOffset>2536190</wp:posOffset>
          </wp:positionH>
          <wp:positionV relativeFrom="paragraph">
            <wp:posOffset>-26670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0391" w14:textId="77777777" w:rsidR="009D4ACD" w:rsidRDefault="009D4ACD" w:rsidP="00F87EDD">
      <w:pPr>
        <w:bidi/>
        <w:ind w:left="0"/>
      </w:pPr>
      <w:r>
        <w:separator/>
      </w:r>
    </w:p>
  </w:footnote>
  <w:footnote w:type="continuationSeparator" w:id="0">
    <w:p w14:paraId="3D6E68E7" w14:textId="77777777" w:rsidR="009D4ACD" w:rsidRDefault="009D4ACD" w:rsidP="000F4C6A">
      <w:r>
        <w:continuationSeparator/>
      </w:r>
    </w:p>
    <w:p w14:paraId="4FBB4D2B" w14:textId="77777777" w:rsidR="009D4ACD" w:rsidRDefault="009D4ACD"/>
  </w:footnote>
  <w:footnote w:id="1">
    <w:p w14:paraId="64837FBF" w14:textId="3E332E9E" w:rsidR="008874A8" w:rsidRPr="00C96B72" w:rsidRDefault="008874A8" w:rsidP="00C96B72">
      <w:pPr>
        <w:bidi/>
        <w:spacing w:line="216" w:lineRule="auto"/>
        <w:ind w:left="340" w:hanging="340"/>
        <w:rPr>
          <w:rFonts w:cs="Traditional Arabic"/>
          <w:szCs w:val="26"/>
          <w:rtl/>
        </w:rPr>
      </w:pPr>
      <w:r w:rsidRPr="00C96B72">
        <w:rPr>
          <w:rStyle w:val="FootnoteReference"/>
          <w:rFonts w:cs="Traditional Arabic"/>
          <w:sz w:val="20"/>
          <w:szCs w:val="26"/>
        </w:rPr>
        <w:footnoteRef/>
      </w:r>
      <w:r w:rsidRPr="00C96B72">
        <w:rPr>
          <w:rFonts w:cs="Traditional Arabic"/>
          <w:szCs w:val="26"/>
          <w:rtl/>
        </w:rPr>
        <w:tab/>
        <w:t xml:space="preserve">مقال "جماعة الماوري تطالب باستعادة </w:t>
      </w:r>
      <w:r w:rsidR="00C92CD4" w:rsidRPr="00C96B72">
        <w:rPr>
          <w:rFonts w:cs="Traditional Arabic"/>
          <w:szCs w:val="26"/>
          <w:rtl/>
        </w:rPr>
        <w:t>"</w:t>
      </w:r>
      <w:r w:rsidRPr="00C96B72">
        <w:rPr>
          <w:rFonts w:cs="Traditional Arabic"/>
          <w:szCs w:val="26"/>
          <w:rtl/>
        </w:rPr>
        <w:t>توي إيهو</w:t>
      </w:r>
      <w:r w:rsidR="00C92CD4" w:rsidRPr="00C96B72">
        <w:rPr>
          <w:rFonts w:cs="Traditional Arabic"/>
          <w:szCs w:val="26"/>
          <w:rtl/>
        </w:rPr>
        <w:t>"</w:t>
      </w:r>
      <w:r w:rsidRPr="00C96B72">
        <w:rPr>
          <w:rFonts w:cs="Traditional Arabic"/>
          <w:szCs w:val="26"/>
          <w:rtl/>
        </w:rPr>
        <w:t>، العلامة التجارية التي تشير إلى التميّز في الفن الماوري":</w:t>
      </w:r>
    </w:p>
    <w:p w14:paraId="23C8B57B" w14:textId="79EF5B95" w:rsidR="008874A8" w:rsidRPr="00C96B72" w:rsidRDefault="00C44831" w:rsidP="00C96B72">
      <w:pPr>
        <w:pStyle w:val="FootnoteText"/>
        <w:spacing w:after="0" w:line="216" w:lineRule="auto"/>
        <w:ind w:left="0" w:firstLine="0"/>
        <w:jc w:val="left"/>
        <w:rPr>
          <w:rFonts w:cs="Traditional Arabic"/>
          <w:sz w:val="20"/>
          <w:szCs w:val="26"/>
          <w:rtl/>
        </w:rPr>
      </w:pPr>
      <w:hyperlink r:id="rId1"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h</w:t>
        </w:r>
        <w:r w:rsidR="008874A8" w:rsidRPr="00C96B72">
          <w:rPr>
            <w:rFonts w:eastAsia="Arial Unicode MS" w:cs="Traditional Arabic"/>
            <w:spacing w:val="-2"/>
            <w:position w:val="1"/>
            <w:sz w:val="20"/>
            <w:szCs w:val="26"/>
          </w:rPr>
          <w:t>t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t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p</w:t>
        </w:r>
        <w:r w:rsidR="008874A8" w:rsidRPr="00C96B72">
          <w:rPr>
            <w:rFonts w:eastAsia="Arial Unicode MS" w:cs="Traditional Arabic"/>
            <w:spacing w:val="-2"/>
            <w:position w:val="1"/>
            <w:sz w:val="20"/>
            <w:szCs w:val="26"/>
          </w:rPr>
          <w:t>: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//</w:t>
        </w:r>
        <w:r w:rsidR="008874A8" w:rsidRPr="00C96B72">
          <w:rPr>
            <w:rFonts w:eastAsia="Arial Unicode MS" w:cs="Traditional Arabic"/>
            <w:spacing w:val="-3"/>
            <w:position w:val="1"/>
            <w:sz w:val="20"/>
            <w:szCs w:val="26"/>
          </w:rPr>
          <w:t>w</w:t>
        </w:r>
        <w:r w:rsidR="008874A8" w:rsidRPr="00C96B72">
          <w:rPr>
            <w:rFonts w:eastAsia="Arial Unicode MS" w:cs="Traditional Arabic"/>
            <w:spacing w:val="-1"/>
            <w:position w:val="1"/>
            <w:sz w:val="20"/>
            <w:szCs w:val="26"/>
          </w:rPr>
          <w:t>w</w:t>
        </w:r>
        <w:r w:rsidR="008874A8" w:rsidRPr="00C96B72">
          <w:rPr>
            <w:rFonts w:eastAsia="Arial Unicode MS" w:cs="Traditional Arabic"/>
            <w:spacing w:val="-3"/>
            <w:position w:val="1"/>
            <w:sz w:val="20"/>
            <w:szCs w:val="26"/>
          </w:rPr>
          <w:t>w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.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n</w:t>
        </w:r>
        <w:r w:rsidR="008874A8" w:rsidRPr="00C96B72">
          <w:rPr>
            <w:rFonts w:eastAsia="Arial Unicode MS" w:cs="Traditional Arabic"/>
            <w:spacing w:val="2"/>
            <w:position w:val="1"/>
            <w:sz w:val="20"/>
            <w:szCs w:val="26"/>
          </w:rPr>
          <w:t>e</w:t>
        </w:r>
        <w:r w:rsidR="008874A8" w:rsidRPr="00C96B72">
          <w:rPr>
            <w:rFonts w:eastAsia="Arial Unicode MS" w:cs="Traditional Arabic"/>
            <w:spacing w:val="-3"/>
            <w:position w:val="1"/>
            <w:sz w:val="20"/>
            <w:szCs w:val="26"/>
          </w:rPr>
          <w:t>w</w:t>
        </w:r>
        <w:r w:rsidR="008874A8" w:rsidRPr="00C96B72">
          <w:rPr>
            <w:rFonts w:eastAsia="Arial Unicode MS" w:cs="Traditional Arabic"/>
            <w:spacing w:val="2"/>
            <w:position w:val="1"/>
            <w:sz w:val="20"/>
            <w:szCs w:val="26"/>
          </w:rPr>
          <w:t>s</w:t>
        </w:r>
        <w:r w:rsidR="008874A8" w:rsidRPr="00C96B72">
          <w:rPr>
            <w:rFonts w:eastAsia="Arial Unicode MS" w:cs="Traditional Arabic"/>
            <w:spacing w:val="-1"/>
            <w:position w:val="1"/>
            <w:sz w:val="20"/>
            <w:szCs w:val="26"/>
          </w:rPr>
          <w:t>wi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r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e.co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.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n</w:t>
        </w:r>
        <w:r w:rsidR="008874A8" w:rsidRPr="00C96B72">
          <w:rPr>
            <w:rFonts w:eastAsia="Arial Unicode MS" w:cs="Traditional Arabic"/>
            <w:spacing w:val="-3"/>
            <w:position w:val="1"/>
            <w:sz w:val="20"/>
            <w:szCs w:val="26"/>
          </w:rPr>
          <w:t>z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/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2</w:t>
        </w:r>
        <w:r w:rsidR="008874A8" w:rsidRPr="00C96B72">
          <w:rPr>
            <w:rFonts w:eastAsia="Arial Unicode MS" w:cs="Traditional Arabic"/>
            <w:spacing w:val="-1"/>
            <w:position w:val="1"/>
            <w:sz w:val="20"/>
            <w:szCs w:val="26"/>
          </w:rPr>
          <w:t>0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1</w:t>
        </w:r>
        <w:r w:rsidR="008874A8" w:rsidRPr="00C96B72">
          <w:rPr>
            <w:rFonts w:eastAsia="Arial Unicode MS" w:cs="Traditional Arabic"/>
            <w:spacing w:val="-1"/>
            <w:position w:val="1"/>
            <w:sz w:val="20"/>
            <w:szCs w:val="26"/>
          </w:rPr>
          <w:t>0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/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0</w:t>
        </w:r>
        <w:r w:rsidR="008874A8" w:rsidRPr="00C96B72">
          <w:rPr>
            <w:rFonts w:eastAsia="Arial Unicode MS" w:cs="Traditional Arabic"/>
            <w:spacing w:val="-3"/>
            <w:position w:val="1"/>
            <w:sz w:val="20"/>
            <w:szCs w:val="26"/>
          </w:rPr>
          <w:t>2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/</w:t>
        </w:r>
        <w:r w:rsidR="008874A8" w:rsidRPr="00C96B72">
          <w:rPr>
            <w:rFonts w:eastAsia="Arial Unicode MS" w:cs="Traditional Arabic"/>
            <w:spacing w:val="-4"/>
            <w:position w:val="1"/>
            <w:sz w:val="20"/>
            <w:szCs w:val="26"/>
          </w:rPr>
          <w:t>M</w:t>
        </w:r>
        <w:r w:rsidR="008874A8" w:rsidRPr="00C96B72">
          <w:rPr>
            <w:rFonts w:eastAsia="Arial Unicode MS" w:cs="Traditional Arabic"/>
            <w:position w:val="1"/>
            <w:sz w:val="20"/>
            <w:szCs w:val="26"/>
          </w:rPr>
          <w:t>ā</w:t>
        </w:r>
        <w:r w:rsidR="008874A8" w:rsidRPr="00C96B72">
          <w:rPr>
            <w:rFonts w:eastAsia="Arial Unicode MS" w:cs="Traditional Arabic"/>
            <w:spacing w:val="-1"/>
            <w:position w:val="1"/>
            <w:sz w:val="20"/>
            <w:szCs w:val="26"/>
          </w:rPr>
          <w:t>o</w:t>
        </w:r>
        <w:r w:rsidR="008874A8" w:rsidRPr="00C96B72">
          <w:rPr>
            <w:rFonts w:eastAsia="Arial Unicode MS" w:cs="Traditional Arabic"/>
            <w:spacing w:val="1"/>
            <w:position w:val="1"/>
            <w:sz w:val="20"/>
            <w:szCs w:val="26"/>
          </w:rPr>
          <w:t>r</w:t>
        </w:r>
        <w:r w:rsidR="008874A8" w:rsidRPr="00C96B72">
          <w:rPr>
            <w:rFonts w:eastAsia="Arial Unicode MS" w:cs="Traditional Arabic"/>
            <w:spacing w:val="2"/>
            <w:position w:val="1"/>
            <w:sz w:val="20"/>
            <w:szCs w:val="26"/>
          </w:rPr>
          <w:t>i</w:t>
        </w:r>
        <w:r w:rsidR="008874A8" w:rsidRPr="00C96B72">
          <w:rPr>
            <w:rFonts w:eastAsia="Arial" w:cs="Traditional Arabic"/>
            <w:spacing w:val="1"/>
            <w:position w:val="1"/>
            <w:sz w:val="20"/>
            <w:szCs w:val="26"/>
          </w:rPr>
          <w:t>-</w:t>
        </w:r>
        <w:r w:rsidR="008874A8" w:rsidRPr="00C96B72">
          <w:rPr>
            <w:rFonts w:eastAsia="Arial" w:cs="Traditional Arabic"/>
            <w:position w:val="1"/>
            <w:sz w:val="20"/>
            <w:szCs w:val="26"/>
          </w:rPr>
          <w:t>sa</w:t>
        </w:r>
        <w:r w:rsidR="008874A8" w:rsidRPr="00C96B72">
          <w:rPr>
            <w:rFonts w:eastAsia="Arial" w:cs="Traditional Arabic"/>
            <w:spacing w:val="-3"/>
            <w:position w:val="1"/>
            <w:sz w:val="20"/>
            <w:szCs w:val="26"/>
          </w:rPr>
          <w:t>v</w:t>
        </w:r>
        <w:r w:rsidR="008874A8" w:rsidRPr="00C96B72">
          <w:rPr>
            <w:rFonts w:eastAsia="Arial" w:cs="Traditional Arabic"/>
            <w:position w:val="1"/>
            <w:sz w:val="20"/>
            <w:szCs w:val="26"/>
          </w:rPr>
          <w:t>e/</w:t>
        </w:r>
      </w:hyperlink>
    </w:p>
  </w:footnote>
  <w:footnote w:id="2">
    <w:p w14:paraId="5BF2B366" w14:textId="5671FFCE" w:rsidR="008874A8" w:rsidRPr="00C96B72" w:rsidRDefault="008874A8" w:rsidP="00C96B72">
      <w:pPr>
        <w:bidi/>
        <w:spacing w:line="216" w:lineRule="auto"/>
        <w:ind w:left="340" w:hanging="340"/>
        <w:rPr>
          <w:rFonts w:eastAsia="Arial" w:cs="Traditional Arabic"/>
          <w:szCs w:val="26"/>
          <w:rtl/>
          <w:lang w:bidi="ar-SY"/>
        </w:rPr>
      </w:pPr>
      <w:r w:rsidRPr="00C96B72">
        <w:rPr>
          <w:rStyle w:val="FootnoteReference"/>
          <w:rFonts w:cs="Traditional Arabic"/>
          <w:sz w:val="20"/>
          <w:szCs w:val="26"/>
        </w:rPr>
        <w:footnoteRef/>
      </w:r>
      <w:r w:rsidRPr="00C96B72">
        <w:rPr>
          <w:rFonts w:cs="Traditional Arabic"/>
          <w:szCs w:val="26"/>
          <w:rtl/>
        </w:rPr>
        <w:tab/>
      </w:r>
      <w:r w:rsidR="00C92CD4" w:rsidRPr="00C96B72">
        <w:rPr>
          <w:rFonts w:cs="Traditional Arabic"/>
          <w:szCs w:val="26"/>
          <w:rtl/>
        </w:rPr>
        <w:t>المرجع نفسه.</w:t>
      </w:r>
    </w:p>
  </w:footnote>
  <w:footnote w:id="3">
    <w:p w14:paraId="08D9422D" w14:textId="6E6F688F" w:rsidR="008874A8" w:rsidRPr="00C96B72" w:rsidRDefault="008874A8" w:rsidP="00C96B72">
      <w:pPr>
        <w:pStyle w:val="FootnoteText"/>
        <w:bidi/>
        <w:spacing w:after="0" w:line="216" w:lineRule="auto"/>
        <w:rPr>
          <w:rFonts w:cs="Traditional Arabic"/>
          <w:sz w:val="20"/>
          <w:szCs w:val="26"/>
          <w:rtl/>
        </w:rPr>
      </w:pPr>
      <w:r w:rsidRPr="00C96B72">
        <w:rPr>
          <w:rStyle w:val="FootnoteReference"/>
          <w:rFonts w:cs="Traditional Arabic"/>
          <w:sz w:val="20"/>
          <w:szCs w:val="26"/>
        </w:rPr>
        <w:footnoteRef/>
      </w:r>
      <w:r w:rsidRPr="00C96B72">
        <w:rPr>
          <w:rFonts w:cs="Traditional Arabic"/>
          <w:sz w:val="20"/>
          <w:szCs w:val="26"/>
          <w:rtl/>
        </w:rPr>
        <w:tab/>
        <w:t>إليس، مذكورة في المرجع نفسه.</w:t>
      </w:r>
    </w:p>
  </w:footnote>
  <w:footnote w:id="4">
    <w:p w14:paraId="1176D630" w14:textId="77777777" w:rsidR="009C42DC" w:rsidRDefault="008874A8" w:rsidP="00C96B72">
      <w:pPr>
        <w:bidi/>
        <w:spacing w:line="216" w:lineRule="auto"/>
        <w:ind w:left="340" w:hanging="340"/>
        <w:rPr>
          <w:rFonts w:cs="Traditional Arabic"/>
          <w:szCs w:val="26"/>
          <w:rtl/>
        </w:rPr>
      </w:pPr>
      <w:r w:rsidRPr="00C96B72">
        <w:rPr>
          <w:rStyle w:val="FootnoteReference"/>
          <w:rFonts w:cs="Traditional Arabic"/>
          <w:sz w:val="20"/>
          <w:szCs w:val="26"/>
        </w:rPr>
        <w:footnoteRef/>
      </w:r>
      <w:r w:rsidRPr="00C96B72">
        <w:rPr>
          <w:rFonts w:cs="Traditional Arabic"/>
          <w:szCs w:val="26"/>
          <w:rtl/>
        </w:rPr>
        <w:tab/>
      </w:r>
      <w:r w:rsidR="007B0234" w:rsidRPr="00C96B72">
        <w:rPr>
          <w:rFonts w:cs="Traditional Arabic"/>
          <w:szCs w:val="26"/>
          <w:rtl/>
        </w:rPr>
        <w:t>"</w:t>
      </w:r>
      <w:r w:rsidRPr="00C96B72">
        <w:rPr>
          <w:rFonts w:cs="Traditional Arabic"/>
          <w:szCs w:val="26"/>
          <w:rtl/>
        </w:rPr>
        <w:t>توي إيهو</w:t>
      </w:r>
      <w:r w:rsidR="007B0234" w:rsidRPr="00C96B72">
        <w:rPr>
          <w:rFonts w:cs="Traditional Arabic"/>
          <w:szCs w:val="26"/>
          <w:rtl/>
        </w:rPr>
        <w:t>"</w:t>
      </w:r>
      <w:r w:rsidRPr="00C96B72">
        <w:rPr>
          <w:rFonts w:cs="Traditional Arabic"/>
          <w:szCs w:val="26"/>
          <w:rtl/>
        </w:rPr>
        <w:t xml:space="preserve"> بين </w:t>
      </w:r>
      <w:r w:rsidR="007B0234" w:rsidRPr="00C96B72">
        <w:rPr>
          <w:rFonts w:cs="Traditional Arabic"/>
          <w:szCs w:val="26"/>
          <w:rtl/>
        </w:rPr>
        <w:t xml:space="preserve">أيدي </w:t>
      </w:r>
      <w:r w:rsidRPr="00C96B72">
        <w:rPr>
          <w:rFonts w:cs="Traditional Arabic"/>
          <w:szCs w:val="26"/>
          <w:rtl/>
        </w:rPr>
        <w:t>الماوري (أخيراً</w:t>
      </w:r>
      <w:r w:rsidR="00851FE9" w:rsidRPr="00C96B72">
        <w:rPr>
          <w:rFonts w:cs="Traditional Arabic"/>
          <w:szCs w:val="26"/>
          <w:rtl/>
        </w:rPr>
        <w:t>!</w:t>
      </w:r>
      <w:r w:rsidRPr="00C96B72">
        <w:rPr>
          <w:rFonts w:cs="Traditional Arabic"/>
          <w:szCs w:val="26"/>
          <w:rtl/>
        </w:rPr>
        <w:t>)، 22 أيار/مايو 2010:</w:t>
      </w:r>
    </w:p>
    <w:p w14:paraId="683D873F" w14:textId="3C35E06C" w:rsidR="008874A8" w:rsidRPr="00C96B72" w:rsidRDefault="009C42DC" w:rsidP="00C96B72">
      <w:pPr>
        <w:bidi/>
        <w:spacing w:line="216" w:lineRule="auto"/>
        <w:ind w:left="340" w:hanging="340"/>
        <w:jc w:val="right"/>
        <w:rPr>
          <w:rFonts w:cs="Traditional Arabic"/>
          <w:szCs w:val="26"/>
          <w:rtl/>
        </w:rPr>
      </w:pPr>
      <w:r w:rsidRPr="00C96B72">
        <w:rPr>
          <w:szCs w:val="26"/>
          <w:lang w:val="en-GB"/>
        </w:rPr>
        <w:t xml:space="preserve"> http://news.tangatawhenua.com/2010/05/toi-iho-in-maori-control-finally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1252CB77" w:rsidR="00C56CEB" w:rsidRPr="00F647A9" w:rsidRDefault="00C56CEB" w:rsidP="00F647A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647A9">
            <w:rPr>
              <w:rFonts w:cs="Traditional Arabic" w:hint="cs"/>
              <w:sz w:val="18"/>
              <w:szCs w:val="24"/>
              <w:rtl/>
              <w:lang w:val="fr-FR" w:bidi="ar-SY"/>
            </w:rPr>
            <w:t>30</w:t>
          </w:r>
        </w:p>
      </w:tc>
      <w:tc>
        <w:tcPr>
          <w:tcW w:w="1667" w:type="pct"/>
        </w:tcPr>
        <w:p w14:paraId="42E5772A" w14:textId="4169AABB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C44831" w:rsidRPr="00C44831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6F7321E6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C44831" w:rsidRPr="00C44831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409E5E68" w:rsidR="002255DD" w:rsidRPr="009A1C00" w:rsidRDefault="002255DD" w:rsidP="00F647A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647A9">
            <w:rPr>
              <w:rFonts w:cs="Traditional Arabic" w:hint="cs"/>
              <w:sz w:val="18"/>
              <w:szCs w:val="24"/>
              <w:rtl/>
              <w:lang w:val="fr-FR" w:bidi="ar-SY"/>
            </w:rPr>
            <w:t>30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8A2954"/>
    <w:multiLevelType w:val="hybridMultilevel"/>
    <w:tmpl w:val="6BD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6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D81F12"/>
    <w:multiLevelType w:val="hybridMultilevel"/>
    <w:tmpl w:val="5E3A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637EAB"/>
    <w:multiLevelType w:val="hybridMultilevel"/>
    <w:tmpl w:val="CFCEAAC6"/>
    <w:lvl w:ilvl="0" w:tplc="55FE433C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36758C"/>
    <w:multiLevelType w:val="hybridMultilevel"/>
    <w:tmpl w:val="AF9EC19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3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4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8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0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2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7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7"/>
  </w:num>
  <w:num w:numId="3">
    <w:abstractNumId w:val="273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2"/>
  </w:num>
  <w:num w:numId="7">
    <w:abstractNumId w:val="282"/>
  </w:num>
  <w:num w:numId="8">
    <w:abstractNumId w:val="240"/>
  </w:num>
  <w:num w:numId="9">
    <w:abstractNumId w:val="292"/>
  </w:num>
  <w:num w:numId="10">
    <w:abstractNumId w:val="220"/>
  </w:num>
  <w:num w:numId="11">
    <w:abstractNumId w:val="225"/>
  </w:num>
  <w:num w:numId="12">
    <w:abstractNumId w:val="263"/>
  </w:num>
  <w:num w:numId="13">
    <w:abstractNumId w:val="29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2"/>
  </w:num>
  <w:num w:numId="19">
    <w:abstractNumId w:val="43"/>
  </w:num>
  <w:num w:numId="20">
    <w:abstractNumId w:val="335"/>
  </w:num>
  <w:num w:numId="21">
    <w:abstractNumId w:val="76"/>
  </w:num>
  <w:num w:numId="22">
    <w:abstractNumId w:val="254"/>
  </w:num>
  <w:num w:numId="23">
    <w:abstractNumId w:val="31"/>
  </w:num>
  <w:num w:numId="24">
    <w:abstractNumId w:val="167"/>
  </w:num>
  <w:num w:numId="25">
    <w:abstractNumId w:val="235"/>
  </w:num>
  <w:num w:numId="26">
    <w:abstractNumId w:val="91"/>
  </w:num>
  <w:num w:numId="27">
    <w:abstractNumId w:val="58"/>
  </w:num>
  <w:num w:numId="28">
    <w:abstractNumId w:val="224"/>
  </w:num>
  <w:num w:numId="29">
    <w:abstractNumId w:val="66"/>
  </w:num>
  <w:num w:numId="30">
    <w:abstractNumId w:val="315"/>
  </w:num>
  <w:num w:numId="31">
    <w:abstractNumId w:val="19"/>
  </w:num>
  <w:num w:numId="32">
    <w:abstractNumId w:val="79"/>
  </w:num>
  <w:num w:numId="33">
    <w:abstractNumId w:val="188"/>
  </w:num>
  <w:num w:numId="34">
    <w:abstractNumId w:val="241"/>
  </w:num>
  <w:num w:numId="35">
    <w:abstractNumId w:val="102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5"/>
  </w:num>
  <w:num w:numId="41">
    <w:abstractNumId w:val="214"/>
  </w:num>
  <w:num w:numId="42">
    <w:abstractNumId w:val="157"/>
  </w:num>
  <w:num w:numId="43">
    <w:abstractNumId w:val="149"/>
  </w:num>
  <w:num w:numId="44">
    <w:abstractNumId w:val="269"/>
  </w:num>
  <w:num w:numId="45">
    <w:abstractNumId w:val="147"/>
  </w:num>
  <w:num w:numId="46">
    <w:abstractNumId w:val="145"/>
  </w:num>
  <w:num w:numId="47">
    <w:abstractNumId w:val="249"/>
  </w:num>
  <w:num w:numId="48">
    <w:abstractNumId w:val="190"/>
  </w:num>
  <w:num w:numId="49">
    <w:abstractNumId w:val="136"/>
  </w:num>
  <w:num w:numId="50">
    <w:abstractNumId w:val="130"/>
  </w:num>
  <w:num w:numId="51">
    <w:abstractNumId w:val="110"/>
  </w:num>
  <w:num w:numId="52">
    <w:abstractNumId w:val="288"/>
  </w:num>
  <w:num w:numId="53">
    <w:abstractNumId w:val="304"/>
  </w:num>
  <w:num w:numId="54">
    <w:abstractNumId w:val="191"/>
  </w:num>
  <w:num w:numId="55">
    <w:abstractNumId w:val="83"/>
  </w:num>
  <w:num w:numId="56">
    <w:abstractNumId w:val="173"/>
  </w:num>
  <w:num w:numId="57">
    <w:abstractNumId w:val="133"/>
  </w:num>
  <w:num w:numId="58">
    <w:abstractNumId w:val="92"/>
  </w:num>
  <w:num w:numId="59">
    <w:abstractNumId w:val="33"/>
  </w:num>
  <w:num w:numId="60">
    <w:abstractNumId w:val="25"/>
  </w:num>
  <w:num w:numId="61">
    <w:abstractNumId w:val="286"/>
  </w:num>
  <w:num w:numId="62">
    <w:abstractNumId w:val="256"/>
  </w:num>
  <w:num w:numId="63">
    <w:abstractNumId w:val="314"/>
  </w:num>
  <w:num w:numId="64">
    <w:abstractNumId w:val="175"/>
  </w:num>
  <w:num w:numId="65">
    <w:abstractNumId w:val="34"/>
  </w:num>
  <w:num w:numId="66">
    <w:abstractNumId w:val="87"/>
  </w:num>
  <w:num w:numId="67">
    <w:abstractNumId w:val="61"/>
  </w:num>
  <w:num w:numId="68">
    <w:abstractNumId w:val="117"/>
  </w:num>
  <w:num w:numId="69">
    <w:abstractNumId w:val="261"/>
  </w:num>
  <w:num w:numId="70">
    <w:abstractNumId w:val="244"/>
  </w:num>
  <w:num w:numId="71">
    <w:abstractNumId w:val="71"/>
  </w:num>
  <w:num w:numId="72">
    <w:abstractNumId w:val="111"/>
  </w:num>
  <w:num w:numId="73">
    <w:abstractNumId w:val="294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4"/>
  </w:num>
  <w:num w:numId="85">
    <w:abstractNumId w:val="18"/>
  </w:num>
  <w:num w:numId="86">
    <w:abstractNumId w:val="176"/>
  </w:num>
  <w:num w:numId="87">
    <w:abstractNumId w:val="127"/>
  </w:num>
  <w:num w:numId="88">
    <w:abstractNumId w:val="172"/>
  </w:num>
  <w:num w:numId="89">
    <w:abstractNumId w:val="326"/>
  </w:num>
  <w:num w:numId="90">
    <w:abstractNumId w:val="245"/>
  </w:num>
  <w:num w:numId="91">
    <w:abstractNumId w:val="15"/>
  </w:num>
  <w:num w:numId="92">
    <w:abstractNumId w:val="312"/>
  </w:num>
  <w:num w:numId="93">
    <w:abstractNumId w:val="205"/>
  </w:num>
  <w:num w:numId="94">
    <w:abstractNumId w:val="260"/>
  </w:num>
  <w:num w:numId="95">
    <w:abstractNumId w:val="345"/>
  </w:num>
  <w:num w:numId="96">
    <w:abstractNumId w:val="89"/>
  </w:num>
  <w:num w:numId="97">
    <w:abstractNumId w:val="284"/>
  </w:num>
  <w:num w:numId="98">
    <w:abstractNumId w:val="46"/>
  </w:num>
  <w:num w:numId="99">
    <w:abstractNumId w:val="323"/>
  </w:num>
  <w:num w:numId="100">
    <w:abstractNumId w:val="134"/>
  </w:num>
  <w:num w:numId="101">
    <w:abstractNumId w:val="135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9"/>
  </w:num>
  <w:num w:numId="106">
    <w:abstractNumId w:val="347"/>
  </w:num>
  <w:num w:numId="107">
    <w:abstractNumId w:val="202"/>
  </w:num>
  <w:num w:numId="108">
    <w:abstractNumId w:val="0"/>
  </w:num>
  <w:num w:numId="109">
    <w:abstractNumId w:val="289"/>
  </w:num>
  <w:num w:numId="110">
    <w:abstractNumId w:val="302"/>
  </w:num>
  <w:num w:numId="111">
    <w:abstractNumId w:val="302"/>
  </w:num>
  <w:num w:numId="112">
    <w:abstractNumId w:val="302"/>
  </w:num>
  <w:num w:numId="113">
    <w:abstractNumId w:val="302"/>
  </w:num>
  <w:num w:numId="114">
    <w:abstractNumId w:val="302"/>
  </w:num>
  <w:num w:numId="115">
    <w:abstractNumId w:val="302"/>
  </w:num>
  <w:num w:numId="116">
    <w:abstractNumId w:val="302"/>
  </w:num>
  <w:num w:numId="117">
    <w:abstractNumId w:val="302"/>
  </w:num>
  <w:num w:numId="118">
    <w:abstractNumId w:val="302"/>
  </w:num>
  <w:num w:numId="119">
    <w:abstractNumId w:val="302"/>
  </w:num>
  <w:num w:numId="120">
    <w:abstractNumId w:val="302"/>
  </w:num>
  <w:num w:numId="121">
    <w:abstractNumId w:val="302"/>
  </w:num>
  <w:num w:numId="122">
    <w:abstractNumId w:val="302"/>
  </w:num>
  <w:num w:numId="123">
    <w:abstractNumId w:val="302"/>
  </w:num>
  <w:num w:numId="124">
    <w:abstractNumId w:val="302"/>
  </w:num>
  <w:num w:numId="125">
    <w:abstractNumId w:val="302"/>
  </w:num>
  <w:num w:numId="126">
    <w:abstractNumId w:val="302"/>
  </w:num>
  <w:num w:numId="127">
    <w:abstractNumId w:val="302"/>
  </w:num>
  <w:num w:numId="128">
    <w:abstractNumId w:val="302"/>
  </w:num>
  <w:num w:numId="129">
    <w:abstractNumId w:val="302"/>
  </w:num>
  <w:num w:numId="130">
    <w:abstractNumId w:val="302"/>
  </w:num>
  <w:num w:numId="131">
    <w:abstractNumId w:val="302"/>
  </w:num>
  <w:num w:numId="132">
    <w:abstractNumId w:val="302"/>
  </w:num>
  <w:num w:numId="133">
    <w:abstractNumId w:val="302"/>
  </w:num>
  <w:num w:numId="134">
    <w:abstractNumId w:val="302"/>
  </w:num>
  <w:num w:numId="135">
    <w:abstractNumId w:val="302"/>
  </w:num>
  <w:num w:numId="136">
    <w:abstractNumId w:val="302"/>
  </w:num>
  <w:num w:numId="137">
    <w:abstractNumId w:val="302"/>
  </w:num>
  <w:num w:numId="138">
    <w:abstractNumId w:val="302"/>
  </w:num>
  <w:num w:numId="139">
    <w:abstractNumId w:val="302"/>
  </w:num>
  <w:num w:numId="140">
    <w:abstractNumId w:val="300"/>
  </w:num>
  <w:num w:numId="141">
    <w:abstractNumId w:val="341"/>
  </w:num>
  <w:num w:numId="142">
    <w:abstractNumId w:val="57"/>
  </w:num>
  <w:num w:numId="143">
    <w:abstractNumId w:val="264"/>
  </w:num>
  <w:num w:numId="144">
    <w:abstractNumId w:val="226"/>
  </w:num>
  <w:num w:numId="145">
    <w:abstractNumId w:val="262"/>
  </w:num>
  <w:num w:numId="146">
    <w:abstractNumId w:val="154"/>
  </w:num>
  <w:num w:numId="147">
    <w:abstractNumId w:val="316"/>
  </w:num>
  <w:num w:numId="148">
    <w:abstractNumId w:val="142"/>
  </w:num>
  <w:num w:numId="149">
    <w:abstractNumId w:val="275"/>
  </w:num>
  <w:num w:numId="150">
    <w:abstractNumId w:val="154"/>
  </w:num>
  <w:num w:numId="151">
    <w:abstractNumId w:val="267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4"/>
  </w:num>
  <w:num w:numId="157">
    <w:abstractNumId w:val="297"/>
  </w:num>
  <w:num w:numId="158">
    <w:abstractNumId w:val="106"/>
  </w:num>
  <w:num w:numId="159">
    <w:abstractNumId w:val="146"/>
  </w:num>
  <w:num w:numId="160">
    <w:abstractNumId w:val="297"/>
    <w:lvlOverride w:ilvl="0">
      <w:startOverride w:val="1"/>
    </w:lvlOverride>
  </w:num>
  <w:num w:numId="161">
    <w:abstractNumId w:val="37"/>
  </w:num>
  <w:num w:numId="162">
    <w:abstractNumId w:val="303"/>
  </w:num>
  <w:num w:numId="163">
    <w:abstractNumId w:val="109"/>
  </w:num>
  <w:num w:numId="164">
    <w:abstractNumId w:val="227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2"/>
  </w:num>
  <w:num w:numId="171">
    <w:abstractNumId w:val="302"/>
  </w:num>
  <w:num w:numId="172">
    <w:abstractNumId w:val="302"/>
  </w:num>
  <w:num w:numId="173">
    <w:abstractNumId w:val="302"/>
  </w:num>
  <w:num w:numId="174">
    <w:abstractNumId w:val="302"/>
  </w:num>
  <w:num w:numId="175">
    <w:abstractNumId w:val="302"/>
  </w:num>
  <w:num w:numId="176">
    <w:abstractNumId w:val="237"/>
  </w:num>
  <w:num w:numId="177">
    <w:abstractNumId w:val="329"/>
  </w:num>
  <w:num w:numId="178">
    <w:abstractNumId w:val="298"/>
  </w:num>
  <w:num w:numId="179">
    <w:abstractNumId w:val="302"/>
  </w:num>
  <w:num w:numId="180">
    <w:abstractNumId w:val="242"/>
  </w:num>
  <w:num w:numId="181">
    <w:abstractNumId w:val="217"/>
  </w:num>
  <w:num w:numId="182">
    <w:abstractNumId w:val="49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7"/>
  </w:num>
  <w:num w:numId="190">
    <w:abstractNumId w:val="20"/>
  </w:num>
  <w:num w:numId="191">
    <w:abstractNumId w:val="38"/>
  </w:num>
  <w:num w:numId="192">
    <w:abstractNumId w:val="183"/>
  </w:num>
  <w:num w:numId="193">
    <w:abstractNumId w:val="332"/>
  </w:num>
  <w:num w:numId="194">
    <w:abstractNumId w:val="213"/>
  </w:num>
  <w:num w:numId="195">
    <w:abstractNumId w:val="82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1"/>
  </w:num>
  <w:num w:numId="206">
    <w:abstractNumId w:val="1"/>
  </w:num>
  <w:num w:numId="207">
    <w:abstractNumId w:val="12"/>
  </w:num>
  <w:num w:numId="208">
    <w:abstractNumId w:val="32"/>
  </w:num>
  <w:num w:numId="209">
    <w:abstractNumId w:val="65"/>
  </w:num>
  <w:num w:numId="210">
    <w:abstractNumId w:val="270"/>
  </w:num>
  <w:num w:numId="211">
    <w:abstractNumId w:val="165"/>
  </w:num>
  <w:num w:numId="212">
    <w:abstractNumId w:val="278"/>
  </w:num>
  <w:num w:numId="213">
    <w:abstractNumId w:val="295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6"/>
  </w:num>
  <w:num w:numId="221">
    <w:abstractNumId w:val="333"/>
  </w:num>
  <w:num w:numId="222">
    <w:abstractNumId w:val="179"/>
  </w:num>
  <w:num w:numId="223">
    <w:abstractNumId w:val="258"/>
  </w:num>
  <w:num w:numId="224">
    <w:abstractNumId w:val="277"/>
  </w:num>
  <w:num w:numId="225">
    <w:abstractNumId w:val="272"/>
  </w:num>
  <w:num w:numId="226">
    <w:abstractNumId w:val="78"/>
  </w:num>
  <w:num w:numId="227">
    <w:abstractNumId w:val="348"/>
  </w:num>
  <w:num w:numId="228">
    <w:abstractNumId w:val="228"/>
  </w:num>
  <w:num w:numId="229">
    <w:abstractNumId w:val="21"/>
  </w:num>
  <w:num w:numId="230">
    <w:abstractNumId w:val="302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8"/>
  </w:num>
  <w:num w:numId="239">
    <w:abstractNumId w:val="30"/>
  </w:num>
  <w:num w:numId="240">
    <w:abstractNumId w:val="247"/>
  </w:num>
  <w:num w:numId="241">
    <w:abstractNumId w:val="94"/>
  </w:num>
  <w:num w:numId="242">
    <w:abstractNumId w:val="331"/>
  </w:num>
  <w:num w:numId="243">
    <w:abstractNumId w:val="9"/>
  </w:num>
  <w:num w:numId="244">
    <w:abstractNumId w:val="107"/>
  </w:num>
  <w:num w:numId="245">
    <w:abstractNumId w:val="53"/>
  </w:num>
  <w:num w:numId="246">
    <w:abstractNumId w:val="67"/>
  </w:num>
  <w:num w:numId="247">
    <w:abstractNumId w:val="104"/>
  </w:num>
  <w:num w:numId="248">
    <w:abstractNumId w:val="229"/>
  </w:num>
  <w:num w:numId="249">
    <w:abstractNumId w:val="283"/>
  </w:num>
  <w:num w:numId="250">
    <w:abstractNumId w:val="203"/>
  </w:num>
  <w:num w:numId="251">
    <w:abstractNumId w:val="268"/>
  </w:num>
  <w:num w:numId="252">
    <w:abstractNumId w:val="6"/>
  </w:num>
  <w:num w:numId="253">
    <w:abstractNumId w:val="302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8"/>
  </w:num>
  <w:num w:numId="258">
    <w:abstractNumId w:val="160"/>
  </w:num>
  <w:num w:numId="259">
    <w:abstractNumId w:val="181"/>
  </w:num>
  <w:num w:numId="260">
    <w:abstractNumId w:val="310"/>
  </w:num>
  <w:num w:numId="261">
    <w:abstractNumId w:val="84"/>
  </w:num>
  <w:num w:numId="262">
    <w:abstractNumId w:val="77"/>
  </w:num>
  <w:num w:numId="263">
    <w:abstractNumId w:val="181"/>
    <w:lvlOverride w:ilvl="0">
      <w:startOverride w:val="2"/>
    </w:lvlOverride>
  </w:num>
  <w:num w:numId="264">
    <w:abstractNumId w:val="42"/>
  </w:num>
  <w:num w:numId="265">
    <w:abstractNumId w:val="139"/>
  </w:num>
  <w:num w:numId="266">
    <w:abstractNumId w:val="44"/>
  </w:num>
  <w:num w:numId="267">
    <w:abstractNumId w:val="296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7"/>
  </w:num>
  <w:num w:numId="272">
    <w:abstractNumId w:val="352"/>
  </w:num>
  <w:num w:numId="273">
    <w:abstractNumId w:val="155"/>
  </w:num>
  <w:num w:numId="274">
    <w:abstractNumId w:val="51"/>
  </w:num>
  <w:num w:numId="275">
    <w:abstractNumId w:val="35"/>
  </w:num>
  <w:num w:numId="276">
    <w:abstractNumId w:val="11"/>
  </w:num>
  <w:num w:numId="277">
    <w:abstractNumId w:val="125"/>
  </w:num>
  <w:num w:numId="278">
    <w:abstractNumId w:val="234"/>
  </w:num>
  <w:num w:numId="279">
    <w:abstractNumId w:val="16"/>
  </w:num>
  <w:num w:numId="280">
    <w:abstractNumId w:val="346"/>
  </w:num>
  <w:num w:numId="281">
    <w:abstractNumId w:val="321"/>
  </w:num>
  <w:num w:numId="282">
    <w:abstractNumId w:val="68"/>
  </w:num>
  <w:num w:numId="283">
    <w:abstractNumId w:val="250"/>
  </w:num>
  <w:num w:numId="284">
    <w:abstractNumId w:val="313"/>
  </w:num>
  <w:num w:numId="285">
    <w:abstractNumId w:val="186"/>
  </w:num>
  <w:num w:numId="286">
    <w:abstractNumId w:val="353"/>
  </w:num>
  <w:num w:numId="287">
    <w:abstractNumId w:val="40"/>
  </w:num>
  <w:num w:numId="288">
    <w:abstractNumId w:val="237"/>
  </w:num>
  <w:num w:numId="289">
    <w:abstractNumId w:val="237"/>
  </w:num>
  <w:num w:numId="290">
    <w:abstractNumId w:val="237"/>
  </w:num>
  <w:num w:numId="291">
    <w:abstractNumId w:val="237"/>
  </w:num>
  <w:num w:numId="292">
    <w:abstractNumId w:val="237"/>
  </w:num>
  <w:num w:numId="293">
    <w:abstractNumId w:val="138"/>
  </w:num>
  <w:num w:numId="294">
    <w:abstractNumId w:val="123"/>
  </w:num>
  <w:num w:numId="295">
    <w:abstractNumId w:val="231"/>
  </w:num>
  <w:num w:numId="296">
    <w:abstractNumId w:val="156"/>
  </w:num>
  <w:num w:numId="297">
    <w:abstractNumId w:val="36"/>
  </w:num>
  <w:num w:numId="298">
    <w:abstractNumId w:val="236"/>
  </w:num>
  <w:num w:numId="299">
    <w:abstractNumId w:val="184"/>
  </w:num>
  <w:num w:numId="300">
    <w:abstractNumId w:val="251"/>
  </w:num>
  <w:num w:numId="301">
    <w:abstractNumId w:val="14"/>
  </w:num>
  <w:num w:numId="302">
    <w:abstractNumId w:val="324"/>
  </w:num>
  <w:num w:numId="303">
    <w:abstractNumId w:val="193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7"/>
  </w:num>
  <w:num w:numId="309">
    <w:abstractNumId w:val="100"/>
  </w:num>
  <w:num w:numId="310">
    <w:abstractNumId w:val="212"/>
  </w:num>
  <w:num w:numId="311">
    <w:abstractNumId w:val="56"/>
  </w:num>
  <w:num w:numId="312">
    <w:abstractNumId w:val="198"/>
  </w:num>
  <w:num w:numId="313">
    <w:abstractNumId w:val="162"/>
  </w:num>
  <w:num w:numId="314">
    <w:abstractNumId w:val="162"/>
  </w:num>
  <w:num w:numId="315">
    <w:abstractNumId w:val="233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5"/>
  </w:num>
  <w:num w:numId="324">
    <w:abstractNumId w:val="343"/>
  </w:num>
  <w:num w:numId="325">
    <w:abstractNumId w:val="351"/>
  </w:num>
  <w:num w:numId="326">
    <w:abstractNumId w:val="259"/>
  </w:num>
  <w:num w:numId="327">
    <w:abstractNumId w:val="98"/>
  </w:num>
  <w:num w:numId="328">
    <w:abstractNumId w:val="248"/>
  </w:num>
  <w:num w:numId="329">
    <w:abstractNumId w:val="55"/>
    <w:lvlOverride w:ilvl="0">
      <w:startOverride w:val="1"/>
    </w:lvlOverride>
  </w:num>
  <w:num w:numId="330">
    <w:abstractNumId w:val="55"/>
    <w:lvlOverride w:ilvl="0">
      <w:startOverride w:val="2"/>
    </w:lvlOverride>
  </w:num>
  <w:num w:numId="331">
    <w:abstractNumId w:val="55"/>
    <w:lvlOverride w:ilvl="0">
      <w:startOverride w:val="3"/>
    </w:lvlOverride>
  </w:num>
  <w:num w:numId="332">
    <w:abstractNumId w:val="55"/>
    <w:lvlOverride w:ilvl="0">
      <w:startOverride w:val="4"/>
    </w:lvlOverride>
  </w:num>
  <w:num w:numId="333">
    <w:abstractNumId w:val="55"/>
  </w:num>
  <w:num w:numId="334">
    <w:abstractNumId w:val="27"/>
  </w:num>
  <w:num w:numId="335">
    <w:abstractNumId w:val="8"/>
  </w:num>
  <w:num w:numId="336">
    <w:abstractNumId w:val="55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3"/>
  </w:num>
  <w:num w:numId="340">
    <w:abstractNumId w:val="325"/>
  </w:num>
  <w:num w:numId="341">
    <w:abstractNumId w:val="230"/>
  </w:num>
  <w:num w:numId="342">
    <w:abstractNumId w:val="311"/>
  </w:num>
  <w:num w:numId="343">
    <w:abstractNumId w:val="80"/>
  </w:num>
  <w:num w:numId="344">
    <w:abstractNumId w:val="302"/>
  </w:num>
  <w:num w:numId="345">
    <w:abstractNumId w:val="302"/>
  </w:num>
  <w:num w:numId="346">
    <w:abstractNumId w:val="307"/>
  </w:num>
  <w:num w:numId="347">
    <w:abstractNumId w:val="163"/>
  </w:num>
  <w:num w:numId="348">
    <w:abstractNumId w:val="177"/>
  </w:num>
  <w:num w:numId="349">
    <w:abstractNumId w:val="239"/>
  </w:num>
  <w:num w:numId="350">
    <w:abstractNumId w:val="307"/>
  </w:num>
  <w:num w:numId="351">
    <w:abstractNumId w:val="48"/>
  </w:num>
  <w:num w:numId="352">
    <w:abstractNumId w:val="39"/>
  </w:num>
  <w:num w:numId="353">
    <w:abstractNumId w:val="39"/>
  </w:num>
  <w:num w:numId="354">
    <w:abstractNumId w:val="215"/>
  </w:num>
  <w:num w:numId="355">
    <w:abstractNumId w:val="334"/>
  </w:num>
  <w:num w:numId="356">
    <w:abstractNumId w:val="291"/>
  </w:num>
  <w:num w:numId="357">
    <w:abstractNumId w:val="266"/>
  </w:num>
  <w:num w:numId="358">
    <w:abstractNumId w:val="189"/>
  </w:num>
  <w:num w:numId="359">
    <w:abstractNumId w:val="257"/>
  </w:num>
  <w:num w:numId="360">
    <w:abstractNumId w:val="237"/>
    <w:lvlOverride w:ilvl="0">
      <w:startOverride w:val="1"/>
    </w:lvlOverride>
  </w:num>
  <w:num w:numId="361">
    <w:abstractNumId w:val="81"/>
  </w:num>
  <w:num w:numId="362">
    <w:abstractNumId w:val="237"/>
    <w:lvlOverride w:ilvl="0">
      <w:startOverride w:val="1"/>
    </w:lvlOverride>
  </w:num>
  <w:num w:numId="363">
    <w:abstractNumId w:val="73"/>
  </w:num>
  <w:num w:numId="364">
    <w:abstractNumId w:val="237"/>
    <w:lvlOverride w:ilvl="0">
      <w:startOverride w:val="1"/>
    </w:lvlOverride>
  </w:num>
  <w:num w:numId="365">
    <w:abstractNumId w:val="124"/>
  </w:num>
  <w:num w:numId="366">
    <w:abstractNumId w:val="237"/>
    <w:lvlOverride w:ilvl="0">
      <w:startOverride w:val="1"/>
    </w:lvlOverride>
  </w:num>
  <w:num w:numId="367">
    <w:abstractNumId w:val="99"/>
  </w:num>
  <w:num w:numId="368">
    <w:abstractNumId w:val="237"/>
    <w:lvlOverride w:ilvl="0">
      <w:startOverride w:val="1"/>
    </w:lvlOverride>
  </w:num>
  <w:num w:numId="369">
    <w:abstractNumId w:val="182"/>
  </w:num>
  <w:num w:numId="370">
    <w:abstractNumId w:val="237"/>
    <w:lvlOverride w:ilvl="0">
      <w:startOverride w:val="1"/>
    </w:lvlOverride>
  </w:num>
  <w:num w:numId="371">
    <w:abstractNumId w:val="39"/>
  </w:num>
  <w:num w:numId="372">
    <w:abstractNumId w:val="39"/>
  </w:num>
  <w:num w:numId="373">
    <w:abstractNumId w:val="39"/>
  </w:num>
  <w:num w:numId="374">
    <w:abstractNumId w:val="39"/>
  </w:num>
  <w:num w:numId="375">
    <w:abstractNumId w:val="39"/>
  </w:num>
  <w:num w:numId="376">
    <w:abstractNumId w:val="39"/>
  </w:num>
  <w:num w:numId="377">
    <w:abstractNumId w:val="113"/>
  </w:num>
  <w:num w:numId="378">
    <w:abstractNumId w:val="237"/>
    <w:lvlOverride w:ilvl="0">
      <w:startOverride w:val="1"/>
    </w:lvlOverride>
  </w:num>
  <w:num w:numId="379">
    <w:abstractNumId w:val="39"/>
  </w:num>
  <w:num w:numId="380">
    <w:abstractNumId w:val="29"/>
  </w:num>
  <w:num w:numId="381">
    <w:abstractNumId w:val="237"/>
    <w:lvlOverride w:ilvl="0">
      <w:startOverride w:val="1"/>
    </w:lvlOverride>
  </w:num>
  <w:num w:numId="382">
    <w:abstractNumId w:val="103"/>
  </w:num>
  <w:num w:numId="383">
    <w:abstractNumId w:val="63"/>
  </w:num>
  <w:num w:numId="384">
    <w:abstractNumId w:val="200"/>
  </w:num>
  <w:num w:numId="385">
    <w:abstractNumId w:val="144"/>
  </w:num>
  <w:num w:numId="386">
    <w:abstractNumId w:val="24"/>
  </w:num>
  <w:num w:numId="387">
    <w:abstractNumId w:val="330"/>
  </w:num>
  <w:num w:numId="388">
    <w:abstractNumId w:val="253"/>
  </w:num>
  <w:num w:numId="389">
    <w:abstractNumId w:val="319"/>
  </w:num>
  <w:num w:numId="390">
    <w:abstractNumId w:val="39"/>
  </w:num>
  <w:num w:numId="391">
    <w:abstractNumId w:val="39"/>
  </w:num>
  <w:num w:numId="392">
    <w:abstractNumId w:val="39"/>
  </w:num>
  <w:num w:numId="393">
    <w:abstractNumId w:val="39"/>
  </w:num>
  <w:num w:numId="394">
    <w:abstractNumId w:val="39"/>
  </w:num>
  <w:num w:numId="395">
    <w:abstractNumId w:val="39"/>
  </w:num>
  <w:num w:numId="396">
    <w:abstractNumId w:val="39"/>
  </w:num>
  <w:num w:numId="397">
    <w:abstractNumId w:val="47"/>
  </w:num>
  <w:num w:numId="398">
    <w:abstractNumId w:val="115"/>
  </w:num>
  <w:num w:numId="399">
    <w:abstractNumId w:val="237"/>
    <w:lvlOverride w:ilvl="0">
      <w:startOverride w:val="1"/>
    </w:lvlOverride>
  </w:num>
  <w:num w:numId="400">
    <w:abstractNumId w:val="237"/>
  </w:num>
  <w:num w:numId="401">
    <w:abstractNumId w:val="64"/>
  </w:num>
  <w:num w:numId="402">
    <w:abstractNumId w:val="237"/>
    <w:lvlOverride w:ilvl="0">
      <w:startOverride w:val="1"/>
    </w:lvlOverride>
  </w:num>
  <w:num w:numId="403">
    <w:abstractNumId w:val="101"/>
  </w:num>
  <w:num w:numId="404">
    <w:abstractNumId w:val="237"/>
    <w:lvlOverride w:ilvl="0">
      <w:startOverride w:val="1"/>
    </w:lvlOverride>
  </w:num>
  <w:num w:numId="405">
    <w:abstractNumId w:val="308"/>
  </w:num>
  <w:num w:numId="406">
    <w:abstractNumId w:val="7"/>
  </w:num>
  <w:num w:numId="407">
    <w:abstractNumId w:val="163"/>
  </w:num>
  <w:num w:numId="408">
    <w:abstractNumId w:val="302"/>
  </w:num>
  <w:num w:numId="409">
    <w:abstractNumId w:val="302"/>
  </w:num>
  <w:num w:numId="410">
    <w:abstractNumId w:val="302"/>
  </w:num>
  <w:num w:numId="411">
    <w:abstractNumId w:val="302"/>
  </w:num>
  <w:num w:numId="412">
    <w:abstractNumId w:val="302"/>
  </w:num>
  <w:num w:numId="413">
    <w:abstractNumId w:val="302"/>
  </w:num>
  <w:num w:numId="414">
    <w:abstractNumId w:val="302"/>
  </w:num>
  <w:num w:numId="415">
    <w:abstractNumId w:val="302"/>
  </w:num>
  <w:num w:numId="416">
    <w:abstractNumId w:val="302"/>
  </w:num>
  <w:num w:numId="417">
    <w:abstractNumId w:val="302"/>
  </w:num>
  <w:num w:numId="418">
    <w:abstractNumId w:val="302"/>
  </w:num>
  <w:num w:numId="419">
    <w:abstractNumId w:val="39"/>
  </w:num>
  <w:num w:numId="420">
    <w:abstractNumId w:val="302"/>
  </w:num>
  <w:num w:numId="421">
    <w:abstractNumId w:val="302"/>
  </w:num>
  <w:num w:numId="422">
    <w:abstractNumId w:val="302"/>
  </w:num>
  <w:num w:numId="423">
    <w:abstractNumId w:val="302"/>
  </w:num>
  <w:num w:numId="424">
    <w:abstractNumId w:val="39"/>
  </w:num>
  <w:num w:numId="425">
    <w:abstractNumId w:val="39"/>
  </w:num>
  <w:num w:numId="426">
    <w:abstractNumId w:val="39"/>
  </w:num>
  <w:num w:numId="427">
    <w:abstractNumId w:val="39"/>
  </w:num>
  <w:num w:numId="428">
    <w:abstractNumId w:val="39"/>
  </w:num>
  <w:num w:numId="429">
    <w:abstractNumId w:val="39"/>
  </w:num>
  <w:num w:numId="430">
    <w:abstractNumId w:val="72"/>
  </w:num>
  <w:num w:numId="431">
    <w:abstractNumId w:val="299"/>
  </w:num>
  <w:num w:numId="432">
    <w:abstractNumId w:val="276"/>
  </w:num>
  <w:num w:numId="433">
    <w:abstractNumId w:val="322"/>
  </w:num>
  <w:num w:numId="434">
    <w:abstractNumId w:val="166"/>
  </w:num>
  <w:num w:numId="435">
    <w:abstractNumId w:val="237"/>
    <w:lvlOverride w:ilvl="0">
      <w:startOverride w:val="1"/>
    </w:lvlOverride>
  </w:num>
  <w:num w:numId="436">
    <w:abstractNumId w:val="74"/>
  </w:num>
  <w:num w:numId="437">
    <w:abstractNumId w:val="237"/>
    <w:lvlOverride w:ilvl="0">
      <w:startOverride w:val="1"/>
    </w:lvlOverride>
  </w:num>
  <w:num w:numId="438">
    <w:abstractNumId w:val="39"/>
  </w:num>
  <w:num w:numId="439">
    <w:abstractNumId w:val="39"/>
  </w:num>
  <w:num w:numId="440">
    <w:abstractNumId w:val="279"/>
  </w:num>
  <w:num w:numId="441">
    <w:abstractNumId w:val="237"/>
    <w:lvlOverride w:ilvl="0">
      <w:startOverride w:val="1"/>
    </w:lvlOverride>
  </w:num>
  <w:num w:numId="442">
    <w:abstractNumId w:val="237"/>
  </w:num>
  <w:num w:numId="443">
    <w:abstractNumId w:val="3"/>
  </w:num>
  <w:num w:numId="444">
    <w:abstractNumId w:val="62"/>
  </w:num>
  <w:num w:numId="445">
    <w:abstractNumId w:val="237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9"/>
  </w:num>
  <w:num w:numId="451">
    <w:abstractNumId w:val="243"/>
  </w:num>
  <w:num w:numId="452">
    <w:abstractNumId w:val="161"/>
    <w:lvlOverride w:ilvl="0">
      <w:startOverride w:val="1"/>
    </w:lvlOverride>
  </w:num>
  <w:num w:numId="453">
    <w:abstractNumId w:val="45"/>
  </w:num>
  <w:num w:numId="454">
    <w:abstractNumId w:val="161"/>
    <w:lvlOverride w:ilvl="0">
      <w:startOverride w:val="1"/>
    </w:lvlOverride>
  </w:num>
  <w:num w:numId="455">
    <w:abstractNumId w:val="39"/>
  </w:num>
  <w:num w:numId="456">
    <w:abstractNumId w:val="28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6"/>
  </w:num>
  <w:num w:numId="461">
    <w:abstractNumId w:val="164"/>
  </w:num>
  <w:num w:numId="462">
    <w:abstractNumId w:val="95"/>
  </w:num>
  <w:num w:numId="463">
    <w:abstractNumId w:val="252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9"/>
  </w:num>
  <w:num w:numId="467">
    <w:abstractNumId w:val="255"/>
  </w:num>
  <w:num w:numId="468">
    <w:abstractNumId w:val="148"/>
  </w:num>
  <w:num w:numId="469">
    <w:abstractNumId w:val="255"/>
  </w:num>
  <w:num w:numId="470">
    <w:abstractNumId w:val="318"/>
  </w:num>
  <w:num w:numId="471">
    <w:abstractNumId w:val="255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50"/>
  </w:num>
  <w:num w:numId="475">
    <w:abstractNumId w:val="88"/>
  </w:num>
  <w:num w:numId="476">
    <w:abstractNumId w:val="265"/>
  </w:num>
  <w:num w:numId="477">
    <w:abstractNumId w:val="60"/>
  </w:num>
  <w:num w:numId="478">
    <w:abstractNumId w:val="39"/>
  </w:num>
  <w:num w:numId="479">
    <w:abstractNumId w:val="246"/>
  </w:num>
  <w:num w:numId="480">
    <w:abstractNumId w:val="90"/>
  </w:num>
  <w:num w:numId="481">
    <w:abstractNumId w:val="195"/>
  </w:num>
  <w:num w:numId="482">
    <w:abstractNumId w:val="54"/>
  </w:num>
  <w:num w:numId="483">
    <w:abstractNumId w:val="350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70"/>
  </w:num>
  <w:num w:numId="490">
    <w:abstractNumId w:val="219"/>
  </w:num>
  <w:num w:numId="491">
    <w:abstractNumId w:val="131"/>
  </w:num>
  <w:num w:numId="492">
    <w:abstractNumId w:val="194"/>
  </w:num>
  <w:num w:numId="493">
    <w:abstractNumId w:val="116"/>
  </w:num>
  <w:num w:numId="494">
    <w:abstractNumId w:val="39"/>
  </w:num>
  <w:num w:numId="495">
    <w:abstractNumId w:val="39"/>
  </w:num>
  <w:num w:numId="496">
    <w:abstractNumId w:val="39"/>
  </w:num>
  <w:num w:numId="497">
    <w:abstractNumId w:val="126"/>
  </w:num>
  <w:num w:numId="498">
    <w:abstractNumId w:val="41"/>
  </w:num>
  <w:num w:numId="499">
    <w:abstractNumId w:val="290"/>
  </w:num>
  <w:num w:numId="500">
    <w:abstractNumId w:val="232"/>
  </w:num>
  <w:num w:numId="501">
    <w:abstractNumId w:val="108"/>
  </w:num>
  <w:num w:numId="502">
    <w:abstractNumId w:val="23"/>
  </w:num>
  <w:num w:numId="503">
    <w:abstractNumId w:val="204"/>
  </w:num>
  <w:num w:numId="504">
    <w:abstractNumId w:val="206"/>
  </w:num>
  <w:num w:numId="505">
    <w:abstractNumId w:val="13"/>
  </w:num>
  <w:num w:numId="506">
    <w:abstractNumId w:val="2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06F9"/>
    <w:rsid w:val="00010ADC"/>
    <w:rsid w:val="00014873"/>
    <w:rsid w:val="00014C29"/>
    <w:rsid w:val="00017D71"/>
    <w:rsid w:val="00020A88"/>
    <w:rsid w:val="00020DDD"/>
    <w:rsid w:val="000213A8"/>
    <w:rsid w:val="0002203F"/>
    <w:rsid w:val="00022302"/>
    <w:rsid w:val="000245C2"/>
    <w:rsid w:val="0002511C"/>
    <w:rsid w:val="00025E6B"/>
    <w:rsid w:val="00026F0F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12"/>
    <w:rsid w:val="0008382A"/>
    <w:rsid w:val="000838BD"/>
    <w:rsid w:val="0008417E"/>
    <w:rsid w:val="00085406"/>
    <w:rsid w:val="000870DC"/>
    <w:rsid w:val="0009132C"/>
    <w:rsid w:val="00092091"/>
    <w:rsid w:val="00094B61"/>
    <w:rsid w:val="00094E6C"/>
    <w:rsid w:val="000A06A3"/>
    <w:rsid w:val="000A137F"/>
    <w:rsid w:val="000A7857"/>
    <w:rsid w:val="000A7B9A"/>
    <w:rsid w:val="000A7DE3"/>
    <w:rsid w:val="000B3BEF"/>
    <w:rsid w:val="000B4DCC"/>
    <w:rsid w:val="000B6CC5"/>
    <w:rsid w:val="000C0E6A"/>
    <w:rsid w:val="000C4C10"/>
    <w:rsid w:val="000C5506"/>
    <w:rsid w:val="000C61DA"/>
    <w:rsid w:val="000C65CB"/>
    <w:rsid w:val="000D42FA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5021"/>
    <w:rsid w:val="001160AD"/>
    <w:rsid w:val="0011644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3DE7"/>
    <w:rsid w:val="00155FF4"/>
    <w:rsid w:val="00160FD6"/>
    <w:rsid w:val="001621D9"/>
    <w:rsid w:val="00163428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77AA3"/>
    <w:rsid w:val="00180896"/>
    <w:rsid w:val="00180DB2"/>
    <w:rsid w:val="00184583"/>
    <w:rsid w:val="00184FC1"/>
    <w:rsid w:val="00185FB0"/>
    <w:rsid w:val="00186D10"/>
    <w:rsid w:val="00187367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38C7"/>
    <w:rsid w:val="001C618F"/>
    <w:rsid w:val="001C7258"/>
    <w:rsid w:val="001D0283"/>
    <w:rsid w:val="001D1BDC"/>
    <w:rsid w:val="001D27F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3EF6"/>
    <w:rsid w:val="001F4496"/>
    <w:rsid w:val="001F7B54"/>
    <w:rsid w:val="00201A3C"/>
    <w:rsid w:val="002032E2"/>
    <w:rsid w:val="002057D7"/>
    <w:rsid w:val="00210630"/>
    <w:rsid w:val="00210AA6"/>
    <w:rsid w:val="00210EAC"/>
    <w:rsid w:val="0021140F"/>
    <w:rsid w:val="002132D2"/>
    <w:rsid w:val="00216E1F"/>
    <w:rsid w:val="002207C3"/>
    <w:rsid w:val="00221A95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08C7"/>
    <w:rsid w:val="00253333"/>
    <w:rsid w:val="0025444A"/>
    <w:rsid w:val="00256CE6"/>
    <w:rsid w:val="002573B2"/>
    <w:rsid w:val="00261A28"/>
    <w:rsid w:val="002650D4"/>
    <w:rsid w:val="002712FD"/>
    <w:rsid w:val="002727D1"/>
    <w:rsid w:val="002745E2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4027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75A"/>
    <w:rsid w:val="00316F9E"/>
    <w:rsid w:val="00317D79"/>
    <w:rsid w:val="00322ABA"/>
    <w:rsid w:val="00325004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4274"/>
    <w:rsid w:val="00356606"/>
    <w:rsid w:val="00373663"/>
    <w:rsid w:val="00375BFE"/>
    <w:rsid w:val="00376601"/>
    <w:rsid w:val="003801E5"/>
    <w:rsid w:val="00381789"/>
    <w:rsid w:val="00384DE7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787"/>
    <w:rsid w:val="003E0DFA"/>
    <w:rsid w:val="003E1AF1"/>
    <w:rsid w:val="003E2227"/>
    <w:rsid w:val="003E3FB3"/>
    <w:rsid w:val="003E5408"/>
    <w:rsid w:val="003E687B"/>
    <w:rsid w:val="003E697A"/>
    <w:rsid w:val="003E7A11"/>
    <w:rsid w:val="003F104E"/>
    <w:rsid w:val="003F2D89"/>
    <w:rsid w:val="003F586A"/>
    <w:rsid w:val="003F7994"/>
    <w:rsid w:val="00400713"/>
    <w:rsid w:val="0040083C"/>
    <w:rsid w:val="0040286F"/>
    <w:rsid w:val="00402BBD"/>
    <w:rsid w:val="0040373D"/>
    <w:rsid w:val="00406D32"/>
    <w:rsid w:val="00413167"/>
    <w:rsid w:val="004150DA"/>
    <w:rsid w:val="0041526A"/>
    <w:rsid w:val="004172D7"/>
    <w:rsid w:val="0042312C"/>
    <w:rsid w:val="004233C1"/>
    <w:rsid w:val="00425E1C"/>
    <w:rsid w:val="004272A4"/>
    <w:rsid w:val="00430B70"/>
    <w:rsid w:val="00432261"/>
    <w:rsid w:val="004338FB"/>
    <w:rsid w:val="0043485C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2BE7"/>
    <w:rsid w:val="00460BA9"/>
    <w:rsid w:val="00461004"/>
    <w:rsid w:val="00465C26"/>
    <w:rsid w:val="00466D6B"/>
    <w:rsid w:val="00475F68"/>
    <w:rsid w:val="00476162"/>
    <w:rsid w:val="00477C3F"/>
    <w:rsid w:val="00483E5F"/>
    <w:rsid w:val="00487F47"/>
    <w:rsid w:val="004910F9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2B5B"/>
    <w:rsid w:val="004E5B44"/>
    <w:rsid w:val="004E7D6C"/>
    <w:rsid w:val="004F37E0"/>
    <w:rsid w:val="004F3C16"/>
    <w:rsid w:val="004F46C9"/>
    <w:rsid w:val="004F653A"/>
    <w:rsid w:val="00501117"/>
    <w:rsid w:val="005058A4"/>
    <w:rsid w:val="00505D0A"/>
    <w:rsid w:val="00505F03"/>
    <w:rsid w:val="00506791"/>
    <w:rsid w:val="00506ADE"/>
    <w:rsid w:val="00507FCB"/>
    <w:rsid w:val="0051158F"/>
    <w:rsid w:val="005141D8"/>
    <w:rsid w:val="005149D2"/>
    <w:rsid w:val="00520CB3"/>
    <w:rsid w:val="00521249"/>
    <w:rsid w:val="0052132C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050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C24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37C7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3D23"/>
    <w:rsid w:val="005C66D2"/>
    <w:rsid w:val="005D15F4"/>
    <w:rsid w:val="005D5FA7"/>
    <w:rsid w:val="005D643B"/>
    <w:rsid w:val="005D72AA"/>
    <w:rsid w:val="005D72E2"/>
    <w:rsid w:val="005E0090"/>
    <w:rsid w:val="005E0935"/>
    <w:rsid w:val="005E0EFD"/>
    <w:rsid w:val="005E221C"/>
    <w:rsid w:val="005E274A"/>
    <w:rsid w:val="005E3735"/>
    <w:rsid w:val="005E39EF"/>
    <w:rsid w:val="005E4F57"/>
    <w:rsid w:val="005E64A8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679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7701A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5BC0"/>
    <w:rsid w:val="0069648B"/>
    <w:rsid w:val="00696A79"/>
    <w:rsid w:val="006A1909"/>
    <w:rsid w:val="006A2C05"/>
    <w:rsid w:val="006A34BE"/>
    <w:rsid w:val="006B0E7D"/>
    <w:rsid w:val="006B20AA"/>
    <w:rsid w:val="006B2303"/>
    <w:rsid w:val="006B5459"/>
    <w:rsid w:val="006B7EB1"/>
    <w:rsid w:val="006C3379"/>
    <w:rsid w:val="006C6F2C"/>
    <w:rsid w:val="006D06BF"/>
    <w:rsid w:val="006D1422"/>
    <w:rsid w:val="006D2D8D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9D8"/>
    <w:rsid w:val="00732E2B"/>
    <w:rsid w:val="007342F5"/>
    <w:rsid w:val="00735500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2518"/>
    <w:rsid w:val="00754559"/>
    <w:rsid w:val="00755CBA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1107"/>
    <w:rsid w:val="00793BB8"/>
    <w:rsid w:val="00795C6B"/>
    <w:rsid w:val="00795D4A"/>
    <w:rsid w:val="007A0E22"/>
    <w:rsid w:val="007A15E6"/>
    <w:rsid w:val="007A4666"/>
    <w:rsid w:val="007A7BA8"/>
    <w:rsid w:val="007B0234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7F45D5"/>
    <w:rsid w:val="007F7CA5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1FE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874A8"/>
    <w:rsid w:val="00893CE9"/>
    <w:rsid w:val="00893E45"/>
    <w:rsid w:val="00894C00"/>
    <w:rsid w:val="00896B30"/>
    <w:rsid w:val="008A003E"/>
    <w:rsid w:val="008A0F31"/>
    <w:rsid w:val="008A1D83"/>
    <w:rsid w:val="008A30D2"/>
    <w:rsid w:val="008A3BB7"/>
    <w:rsid w:val="008A4FAC"/>
    <w:rsid w:val="008A6E0D"/>
    <w:rsid w:val="008A7E01"/>
    <w:rsid w:val="008B06F2"/>
    <w:rsid w:val="008B0D35"/>
    <w:rsid w:val="008B14CC"/>
    <w:rsid w:val="008B14E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36B4"/>
    <w:rsid w:val="008D72C7"/>
    <w:rsid w:val="008D7E7E"/>
    <w:rsid w:val="008E102C"/>
    <w:rsid w:val="008E1AEC"/>
    <w:rsid w:val="008E5022"/>
    <w:rsid w:val="008E5EBF"/>
    <w:rsid w:val="008E6C16"/>
    <w:rsid w:val="008F0B2A"/>
    <w:rsid w:val="008F1260"/>
    <w:rsid w:val="008F50F6"/>
    <w:rsid w:val="008F630C"/>
    <w:rsid w:val="008F7BC2"/>
    <w:rsid w:val="0090143B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27CA3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3485"/>
    <w:rsid w:val="00964BC5"/>
    <w:rsid w:val="009672A6"/>
    <w:rsid w:val="0097127F"/>
    <w:rsid w:val="0097251E"/>
    <w:rsid w:val="009726F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1E4C"/>
    <w:rsid w:val="00992155"/>
    <w:rsid w:val="009940E0"/>
    <w:rsid w:val="009940E4"/>
    <w:rsid w:val="009945E8"/>
    <w:rsid w:val="009A05B3"/>
    <w:rsid w:val="009A1C00"/>
    <w:rsid w:val="009A2615"/>
    <w:rsid w:val="009A3E3D"/>
    <w:rsid w:val="009A47F4"/>
    <w:rsid w:val="009A6C4C"/>
    <w:rsid w:val="009B217B"/>
    <w:rsid w:val="009B2428"/>
    <w:rsid w:val="009B3F88"/>
    <w:rsid w:val="009B4BEA"/>
    <w:rsid w:val="009B66F4"/>
    <w:rsid w:val="009C12C4"/>
    <w:rsid w:val="009C402D"/>
    <w:rsid w:val="009C42DC"/>
    <w:rsid w:val="009D15A0"/>
    <w:rsid w:val="009D16DD"/>
    <w:rsid w:val="009D4AB5"/>
    <w:rsid w:val="009D4ACD"/>
    <w:rsid w:val="009E2BBC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690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5B1B"/>
    <w:rsid w:val="00A37211"/>
    <w:rsid w:val="00A41CCA"/>
    <w:rsid w:val="00A42BCC"/>
    <w:rsid w:val="00A45068"/>
    <w:rsid w:val="00A45356"/>
    <w:rsid w:val="00A4618E"/>
    <w:rsid w:val="00A46534"/>
    <w:rsid w:val="00A47CA1"/>
    <w:rsid w:val="00A5040E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012"/>
    <w:rsid w:val="00A775DA"/>
    <w:rsid w:val="00A80468"/>
    <w:rsid w:val="00A81058"/>
    <w:rsid w:val="00A84586"/>
    <w:rsid w:val="00A84E50"/>
    <w:rsid w:val="00A853D3"/>
    <w:rsid w:val="00A85D64"/>
    <w:rsid w:val="00A9415D"/>
    <w:rsid w:val="00A94483"/>
    <w:rsid w:val="00A94C82"/>
    <w:rsid w:val="00A9799B"/>
    <w:rsid w:val="00A97BA0"/>
    <w:rsid w:val="00AA1129"/>
    <w:rsid w:val="00AA16C5"/>
    <w:rsid w:val="00AA1819"/>
    <w:rsid w:val="00AA31AC"/>
    <w:rsid w:val="00AA46A5"/>
    <w:rsid w:val="00AA4CD6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4FEB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AF5679"/>
    <w:rsid w:val="00B003DD"/>
    <w:rsid w:val="00B00A46"/>
    <w:rsid w:val="00B05AA9"/>
    <w:rsid w:val="00B10189"/>
    <w:rsid w:val="00B11650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3EDC"/>
    <w:rsid w:val="00B36C35"/>
    <w:rsid w:val="00B42033"/>
    <w:rsid w:val="00B5249D"/>
    <w:rsid w:val="00B545FC"/>
    <w:rsid w:val="00B554D7"/>
    <w:rsid w:val="00B55B6D"/>
    <w:rsid w:val="00B57BFE"/>
    <w:rsid w:val="00B61C66"/>
    <w:rsid w:val="00B63045"/>
    <w:rsid w:val="00B701B7"/>
    <w:rsid w:val="00B71F74"/>
    <w:rsid w:val="00B73E0C"/>
    <w:rsid w:val="00B74174"/>
    <w:rsid w:val="00B74223"/>
    <w:rsid w:val="00B7470A"/>
    <w:rsid w:val="00B75810"/>
    <w:rsid w:val="00B804E1"/>
    <w:rsid w:val="00B81E78"/>
    <w:rsid w:val="00B828E6"/>
    <w:rsid w:val="00B8479E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3950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ECB"/>
    <w:rsid w:val="00BF2BD1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945"/>
    <w:rsid w:val="00C42BA0"/>
    <w:rsid w:val="00C430F5"/>
    <w:rsid w:val="00C44811"/>
    <w:rsid w:val="00C4483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67238"/>
    <w:rsid w:val="00C70B5B"/>
    <w:rsid w:val="00C74A37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2CD4"/>
    <w:rsid w:val="00C93A79"/>
    <w:rsid w:val="00C9615E"/>
    <w:rsid w:val="00C96B72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3ACE"/>
    <w:rsid w:val="00CB7436"/>
    <w:rsid w:val="00CB7619"/>
    <w:rsid w:val="00CC346A"/>
    <w:rsid w:val="00CC4285"/>
    <w:rsid w:val="00CC4980"/>
    <w:rsid w:val="00CC4C82"/>
    <w:rsid w:val="00CD1F3D"/>
    <w:rsid w:val="00CE06CF"/>
    <w:rsid w:val="00CE1B8F"/>
    <w:rsid w:val="00CE2A94"/>
    <w:rsid w:val="00CE383F"/>
    <w:rsid w:val="00CE3D17"/>
    <w:rsid w:val="00CE6A9D"/>
    <w:rsid w:val="00CE759F"/>
    <w:rsid w:val="00CF6DF7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45"/>
    <w:rsid w:val="00D20766"/>
    <w:rsid w:val="00D21D73"/>
    <w:rsid w:val="00D23759"/>
    <w:rsid w:val="00D244B9"/>
    <w:rsid w:val="00D261A5"/>
    <w:rsid w:val="00D279E8"/>
    <w:rsid w:val="00D30C22"/>
    <w:rsid w:val="00D30E8A"/>
    <w:rsid w:val="00D31866"/>
    <w:rsid w:val="00D31A5B"/>
    <w:rsid w:val="00D3271E"/>
    <w:rsid w:val="00D41905"/>
    <w:rsid w:val="00D41D2C"/>
    <w:rsid w:val="00D43AB5"/>
    <w:rsid w:val="00D45389"/>
    <w:rsid w:val="00D45EA3"/>
    <w:rsid w:val="00D46566"/>
    <w:rsid w:val="00D50B0A"/>
    <w:rsid w:val="00D52BA1"/>
    <w:rsid w:val="00D55AD1"/>
    <w:rsid w:val="00D56B4E"/>
    <w:rsid w:val="00D57EC4"/>
    <w:rsid w:val="00D609C5"/>
    <w:rsid w:val="00D626D1"/>
    <w:rsid w:val="00D628CC"/>
    <w:rsid w:val="00D64052"/>
    <w:rsid w:val="00D714F8"/>
    <w:rsid w:val="00D727EE"/>
    <w:rsid w:val="00D72AFA"/>
    <w:rsid w:val="00D74536"/>
    <w:rsid w:val="00D762C8"/>
    <w:rsid w:val="00D76C34"/>
    <w:rsid w:val="00D7709E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65EF"/>
    <w:rsid w:val="00DA711D"/>
    <w:rsid w:val="00DA794E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92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157A"/>
    <w:rsid w:val="00E233E6"/>
    <w:rsid w:val="00E24688"/>
    <w:rsid w:val="00E251C3"/>
    <w:rsid w:val="00E25329"/>
    <w:rsid w:val="00E327C8"/>
    <w:rsid w:val="00E33654"/>
    <w:rsid w:val="00E3474D"/>
    <w:rsid w:val="00E3622E"/>
    <w:rsid w:val="00E525AA"/>
    <w:rsid w:val="00E5394F"/>
    <w:rsid w:val="00E5533D"/>
    <w:rsid w:val="00E56BF9"/>
    <w:rsid w:val="00E61793"/>
    <w:rsid w:val="00E61C19"/>
    <w:rsid w:val="00E62182"/>
    <w:rsid w:val="00E66191"/>
    <w:rsid w:val="00E70A86"/>
    <w:rsid w:val="00E72352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0099"/>
    <w:rsid w:val="00ED1093"/>
    <w:rsid w:val="00ED4698"/>
    <w:rsid w:val="00EE2067"/>
    <w:rsid w:val="00EE3CAB"/>
    <w:rsid w:val="00EE67B1"/>
    <w:rsid w:val="00EF0711"/>
    <w:rsid w:val="00EF0733"/>
    <w:rsid w:val="00EF5320"/>
    <w:rsid w:val="00EF6749"/>
    <w:rsid w:val="00EF693C"/>
    <w:rsid w:val="00EF7124"/>
    <w:rsid w:val="00EF7621"/>
    <w:rsid w:val="00F032F6"/>
    <w:rsid w:val="00F05812"/>
    <w:rsid w:val="00F105B9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0A74"/>
    <w:rsid w:val="00F43002"/>
    <w:rsid w:val="00F44180"/>
    <w:rsid w:val="00F456DC"/>
    <w:rsid w:val="00F50BB0"/>
    <w:rsid w:val="00F51B06"/>
    <w:rsid w:val="00F53DE1"/>
    <w:rsid w:val="00F61A93"/>
    <w:rsid w:val="00F647A9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09F8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1026"/>
    <w:rsid w:val="00FC20ED"/>
    <w:rsid w:val="00FC5D9B"/>
    <w:rsid w:val="00FC747E"/>
    <w:rsid w:val="00FC7DDA"/>
    <w:rsid w:val="00FD03C0"/>
    <w:rsid w:val="00FD060F"/>
    <w:rsid w:val="00FD1B37"/>
    <w:rsid w:val="00FD1E95"/>
    <w:rsid w:val="00FD59B9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A39020FC-5F07-4654-9B33-08C3CEC6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swire.co.nz/2010/02/maori-sav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9E356-B164-4CE8-8BF0-23F6D995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3396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146</cp:revision>
  <cp:lastPrinted>2014-04-15T11:42:00Z</cp:lastPrinted>
  <dcterms:created xsi:type="dcterms:W3CDTF">2015-06-19T08:15:00Z</dcterms:created>
  <dcterms:modified xsi:type="dcterms:W3CDTF">2018-04-19T08:51:00Z</dcterms:modified>
</cp:coreProperties>
</file>