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36CB" w14:textId="70CD4CA2" w:rsidR="009C557E" w:rsidRPr="009C557E" w:rsidRDefault="00EE7287" w:rsidP="009C557E">
      <w:pPr>
        <w:pStyle w:val="Caschap"/>
        <w:jc w:val="left"/>
        <w:rPr>
          <w:b/>
          <w:i w:val="0"/>
          <w:caps w:val="0"/>
        </w:rPr>
      </w:pPr>
      <w:r>
        <w:rPr>
          <w:b/>
          <w:i w:val="0"/>
          <w:caps w:val="0"/>
        </w:rPr>
        <w:t>ESTUDIO DE CASO</w:t>
      </w:r>
      <w:r w:rsidR="009C557E">
        <w:rPr>
          <w:b/>
          <w:i w:val="0"/>
          <w:caps w:val="0"/>
        </w:rPr>
        <w:t xml:space="preserve"> 37</w:t>
      </w:r>
    </w:p>
    <w:p w14:paraId="15D0D1BA" w14:textId="7A5D6E76" w:rsidR="00BB7D0E" w:rsidRPr="009C557E" w:rsidRDefault="00AB3A63" w:rsidP="009C557E">
      <w:pPr>
        <w:pStyle w:val="Cas"/>
        <w:jc w:val="left"/>
        <w:rPr>
          <w:i w:val="0"/>
          <w:iCs w:val="0"/>
          <w:caps w:val="0"/>
        </w:rPr>
      </w:pPr>
      <w:r w:rsidRPr="009C557E">
        <w:rPr>
          <w:i w:val="0"/>
          <w:iCs w:val="0"/>
          <w:caps w:val="0"/>
        </w:rPr>
        <w:t xml:space="preserve">La </w:t>
      </w:r>
      <w:r w:rsidR="009C557E">
        <w:rPr>
          <w:i w:val="0"/>
          <w:iCs w:val="0"/>
          <w:caps w:val="0"/>
        </w:rPr>
        <w:t>participaci</w:t>
      </w:r>
      <w:r w:rsidR="009C557E" w:rsidRPr="009C557E">
        <w:rPr>
          <w:i w:val="0"/>
          <w:iCs w:val="0"/>
          <w:caps w:val="0"/>
        </w:rPr>
        <w:t>ó</w:t>
      </w:r>
      <w:r w:rsidR="009C557E">
        <w:rPr>
          <w:i w:val="0"/>
          <w:iCs w:val="0"/>
          <w:caps w:val="0"/>
        </w:rPr>
        <w:t>n</w:t>
      </w:r>
      <w:r w:rsidR="005072B5" w:rsidRPr="009C557E">
        <w:rPr>
          <w:i w:val="0"/>
          <w:iCs w:val="0"/>
          <w:caps w:val="0"/>
        </w:rPr>
        <w:t xml:space="preserve"> de la sociedad civil en la elaboración de políticas</w:t>
      </w:r>
      <w:r w:rsidR="009C557E">
        <w:rPr>
          <w:i w:val="0"/>
          <w:iCs w:val="0"/>
          <w:caps w:val="0"/>
        </w:rPr>
        <w:t xml:space="preserve">: </w:t>
      </w:r>
      <w:r w:rsidR="005072B5" w:rsidRPr="009C557E">
        <w:rPr>
          <w:i w:val="0"/>
          <w:iCs w:val="0"/>
          <w:caps w:val="0"/>
        </w:rPr>
        <w:t xml:space="preserve">La experiencia de </w:t>
      </w:r>
      <w:r w:rsidR="00B749DD" w:rsidRPr="009C557E">
        <w:rPr>
          <w:i w:val="0"/>
          <w:iCs w:val="0"/>
          <w:caps w:val="0"/>
        </w:rPr>
        <w:t>la Fundación para la Diversidad Cultural de Uganda</w:t>
      </w:r>
    </w:p>
    <w:p w14:paraId="070A87EB" w14:textId="029DC65E" w:rsidR="00BB7D0E" w:rsidRPr="009C557E" w:rsidRDefault="00724C2D" w:rsidP="009C557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eastAsia="en-US"/>
        </w:rPr>
      </w:pPr>
      <w:r w:rsidRPr="009C557E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eastAsia="en-US"/>
        </w:rPr>
        <w:t>Cuadro de situación</w:t>
      </w:r>
    </w:p>
    <w:p w14:paraId="3A0CF074" w14:textId="76D6FFCD" w:rsidR="00FD1089" w:rsidRPr="009C557E" w:rsidRDefault="00BB7D0E" w:rsidP="009C557E">
      <w:pPr>
        <w:pStyle w:val="Texte1"/>
      </w:pPr>
      <w:r w:rsidRPr="009C557E">
        <w:t xml:space="preserve">Uganda es un país de una gran diversidad cultural: tiene 38 millones de habitantes y 65 grupos étnicos. En </w:t>
      </w:r>
      <w:r w:rsidR="00B749DD" w:rsidRPr="009C557E">
        <w:t>su</w:t>
      </w:r>
      <w:r w:rsidRPr="009C557E">
        <w:t xml:space="preserve"> Constitución se reconoce esta diversidad y se considera que el patrimonio cultural constituye un aspecto importante del desarrollo social y</w:t>
      </w:r>
      <w:r w:rsidR="00447D6F" w:rsidRPr="009C557E">
        <w:t xml:space="preserve"> la identidad de los ugandeses; a</w:t>
      </w:r>
      <w:r w:rsidRPr="009C557E">
        <w:t>simismo, se destaca la necesidad de preservar y promover dicho patrimonio mediante instituciones culturales elegidas por las comunidades pertinentes.</w:t>
      </w:r>
      <w:r w:rsidR="00814F4C" w:rsidRPr="009C557E">
        <w:t xml:space="preserve"> </w:t>
      </w:r>
      <w:r w:rsidR="00B749DD" w:rsidRPr="009C557E">
        <w:t>Además, e</w:t>
      </w:r>
      <w:r w:rsidRPr="009C557E">
        <w:t>l Gobierno de Uganda ha ratificado instrumentos internacionales conexos, entre los que cuentan la Convención de la UNESCO de 2003 y, más recientemente, la de 2005.</w:t>
      </w:r>
    </w:p>
    <w:p w14:paraId="1D7160D1" w14:textId="3D47FD30" w:rsidR="00D23772" w:rsidRPr="009C557E" w:rsidRDefault="00C50B6F" w:rsidP="009C557E">
      <w:pPr>
        <w:pStyle w:val="Texte1"/>
      </w:pPr>
      <w:r w:rsidRPr="009C557E">
        <w:t xml:space="preserve">La política sobre cultura nacional (2006) desarrolla el concepto de patrimonio cultural, en el que se distingue entre recursos patrimoniales materiales e inmateriales. Se destaca la necesidad de preservar y promover el patrimonio cultural y se encomienda dicha tarea a dos departamentos de </w:t>
      </w:r>
      <w:r w:rsidR="00280792" w:rsidRPr="009C557E">
        <w:t>dos</w:t>
      </w:r>
      <w:r w:rsidRPr="009C557E">
        <w:t xml:space="preserve"> ministerios</w:t>
      </w:r>
      <w:r w:rsidR="00280792" w:rsidRPr="009C557E">
        <w:t xml:space="preserve"> distintos</w:t>
      </w:r>
      <w:r w:rsidRPr="009C557E">
        <w:t xml:space="preserve">. Así, el patrimonio cultural inmaterial </w:t>
      </w:r>
      <w:r w:rsidR="00B749DD" w:rsidRPr="009C557E">
        <w:t>se encuentra</w:t>
      </w:r>
      <w:r w:rsidRPr="009C557E">
        <w:t xml:space="preserve"> bajo la competencia del Departamento de Cultura y A</w:t>
      </w:r>
      <w:r w:rsidR="00280792" w:rsidRPr="009C557E">
        <w:t>suntos Familiares, perteneciente a</w:t>
      </w:r>
      <w:r w:rsidRPr="009C557E">
        <w:t xml:space="preserve">l Ministerio de Igualdad de Género, Trabajo y Desarrollo Social; mientras que el patrimonio cultural material </w:t>
      </w:r>
      <w:r w:rsidR="00B749DD" w:rsidRPr="009C557E">
        <w:t>se encuentra</w:t>
      </w:r>
      <w:r w:rsidRPr="009C557E">
        <w:t xml:space="preserve"> bajo la competencia del Departamento de Museos y Monumentos, del Ministerio de Turismo, Flora y Fa</w:t>
      </w:r>
      <w:r w:rsidR="009C557E" w:rsidRPr="009C557E">
        <w:t>una Silvestres, y Antigüedades.</w:t>
      </w:r>
    </w:p>
    <w:p w14:paraId="219C0121" w14:textId="6F984D40" w:rsidR="00BB7D0E" w:rsidRPr="009C557E" w:rsidRDefault="00D23772" w:rsidP="009C557E">
      <w:pPr>
        <w:pStyle w:val="Texte1"/>
      </w:pPr>
      <w:r w:rsidRPr="009C557E">
        <w:t xml:space="preserve">No existen políticas, estructuras, partidas presupuestarias o programas específicos para el fomento del PCI, sino atribuciones generales para los dos departamentos responsables </w:t>
      </w:r>
      <w:r w:rsidR="00280792" w:rsidRPr="009C557E">
        <w:t>d</w:t>
      </w:r>
      <w:r w:rsidRPr="009C557E">
        <w:t xml:space="preserve">el patrimonio </w:t>
      </w:r>
      <w:r w:rsidR="005072B5" w:rsidRPr="009C557E">
        <w:t>cultural. Los</w:t>
      </w:r>
      <w:r w:rsidRPr="009C557E">
        <w:t xml:space="preserve"> fondos de ambos departamentos combinados representan menos del 0,003% d</w:t>
      </w:r>
      <w:r w:rsidR="00B749DD" w:rsidRPr="009C557E">
        <w:t>el presupuesto nacional. Además, ambos</w:t>
      </w:r>
      <w:r w:rsidRPr="009C557E">
        <w:t xml:space="preserve"> departamentos tienen prioridades e intereses opuestos con relación al turismo y a las industrias e instituciones culturales. La falta de un ministerio de cultura centralizado dificulta la coordinación y a veces provoca controversias sobre a qué departamento incumben determ</w:t>
      </w:r>
      <w:r w:rsidR="009C557E" w:rsidRPr="009C557E">
        <w:t>inados aspectos del patrimonio.</w:t>
      </w:r>
    </w:p>
    <w:p w14:paraId="5E36C14A" w14:textId="19EB9635" w:rsidR="00326589" w:rsidRPr="009C557E" w:rsidRDefault="002966F9" w:rsidP="009C557E">
      <w:pPr>
        <w:pStyle w:val="Texte1"/>
      </w:pPr>
      <w:r w:rsidRPr="009C557E">
        <w:t xml:space="preserve">En ocasiones, las autoridades convocan a un grupo de representantes de las comunidades y la sociedad civil para que </w:t>
      </w:r>
      <w:r w:rsidR="005072B5" w:rsidRPr="009C557E">
        <w:t>participen</w:t>
      </w:r>
      <w:r w:rsidRPr="009C557E">
        <w:t xml:space="preserve"> en la formulación o la revisión de las políticas nacionales y los planes de desarrollo. En estas consultas, generalmente se trabaja sobre la base de un documento preliminar redactado por funcionarios de los ministerios o elaborado a partir de un estudio preparado por especialistas externos. La decisión de convocar a representantes de las comunidades y la sociedad civil puede obedecer a la confianza y seguridad que estos inspiran en las diversas partes interesadas; a su posición o su credibilidad en materia de capacidad institucional; o al prestigio alcanzado por haber ejercido sus actividades </w:t>
      </w:r>
      <w:r w:rsidR="00280792" w:rsidRPr="009C557E">
        <w:t>demostrando su aprecio por</w:t>
      </w:r>
      <w:r w:rsidRPr="009C557E">
        <w:t xml:space="preserve"> la cultura y</w:t>
      </w:r>
      <w:r w:rsidR="00280792" w:rsidRPr="009C557E">
        <w:t xml:space="preserve"> el</w:t>
      </w:r>
      <w:r w:rsidR="009C557E" w:rsidRPr="009C557E">
        <w:t xml:space="preserve"> respeto al prójimo.</w:t>
      </w:r>
    </w:p>
    <w:p w14:paraId="75A219B5" w14:textId="0C7B832B" w:rsidR="00737F22" w:rsidRPr="009C557E" w:rsidRDefault="00586FFB" w:rsidP="009C557E">
      <w:pPr>
        <w:pStyle w:val="Texte1"/>
      </w:pPr>
      <w:r w:rsidRPr="009C557E">
        <w:t>Así pues, suele ser el Estado —</w:t>
      </w:r>
      <w:r w:rsidR="00A04705" w:rsidRPr="009C557E">
        <w:t xml:space="preserve">por medio </w:t>
      </w:r>
      <w:r w:rsidRPr="009C557E">
        <w:t>del ministerio correspondiente— quien invita a las organizaciones de la sociedad civil a participar en la elaboración de las políticas. En este breve informe, se presenta la experiencia de la Fundación para la Diversidad Cultural de Uganda en la elaboración de políticas nacionales; se analiza la manera en que la Fundación promovió la participación de las comunidades</w:t>
      </w:r>
      <w:r w:rsidR="00A04705" w:rsidRPr="009C557E">
        <w:t xml:space="preserve"> en este ámbito</w:t>
      </w:r>
      <w:r w:rsidRPr="009C557E">
        <w:t>; y se exponen algunas enseñanzas y conclusiones.</w:t>
      </w:r>
    </w:p>
    <w:p w14:paraId="66C12F2F" w14:textId="3868BB8C" w:rsidR="00D23772" w:rsidRPr="009C557E" w:rsidRDefault="00586FFB" w:rsidP="009C557E">
      <w:pPr>
        <w:pStyle w:val="Texte1"/>
      </w:pPr>
      <w:r w:rsidRPr="009C557E">
        <w:lastRenderedPageBreak/>
        <w:t xml:space="preserve">La Fundación para la Diversidad Cultural de Uganda (CCFU, por sus siglas en inglés) es una organización no gubernamental sin fines de lucro establecida en 2006 que se dedica a promover el reconocimiento de la cultura como un factor vital para el desarrollo humano, atendiendo a la diversidad </w:t>
      </w:r>
      <w:r w:rsidR="00A04705" w:rsidRPr="009C557E">
        <w:t>e</w:t>
      </w:r>
      <w:r w:rsidRPr="009C557E">
        <w:t xml:space="preserve"> identidad nacional de Uganda. La </w:t>
      </w:r>
      <w:r w:rsidR="00A04705" w:rsidRPr="009C557E">
        <w:t>CCFU</w:t>
      </w:r>
      <w:r w:rsidRPr="009C557E">
        <w:t xml:space="preserve"> se basa en la convicción de que la cultura ocupa un lugar central en el desarrollo sostenible y de que, explotando los aspectos positivos de la cultura, se puede generar un cambio profundo en la realidad económ</w:t>
      </w:r>
      <w:r w:rsidR="00A04705" w:rsidRPr="009C557E">
        <w:t>ica y social. El enfoque de la “cultura del desarrollo”</w:t>
      </w:r>
      <w:r w:rsidRPr="009C557E">
        <w:t xml:space="preserve"> adoptado por la </w:t>
      </w:r>
      <w:r w:rsidR="00A04705" w:rsidRPr="009C557E">
        <w:t>CCFU</w:t>
      </w:r>
      <w:r w:rsidRPr="009C557E">
        <w:t xml:space="preserve"> es relativamente nuevo en Uganda, por lo que </w:t>
      </w:r>
      <w:r w:rsidR="00A04705" w:rsidRPr="009C557E">
        <w:t xml:space="preserve">la CCFU </w:t>
      </w:r>
      <w:r w:rsidRPr="009C557E">
        <w:t xml:space="preserve">encontró escasos puntos de referencia y experiencias previas que le permitieran extraer </w:t>
      </w:r>
      <w:r w:rsidR="005072B5" w:rsidRPr="009C557E">
        <w:t>enseñanzas</w:t>
      </w:r>
      <w:r w:rsidRPr="009C557E">
        <w:t xml:space="preserve">, y </w:t>
      </w:r>
      <w:r w:rsidR="00B749DD" w:rsidRPr="009C557E">
        <w:t>consiguió</w:t>
      </w:r>
      <w:r w:rsidRPr="009C557E">
        <w:t xml:space="preserve"> poco apoyo fina</w:t>
      </w:r>
      <w:r w:rsidR="009C557E" w:rsidRPr="009C557E">
        <w:t>nciero en las etapas iniciales.</w:t>
      </w:r>
    </w:p>
    <w:p w14:paraId="1C3C16C9" w14:textId="24EFC6FF" w:rsidR="001100E6" w:rsidRPr="009C557E" w:rsidRDefault="00BB7D0E" w:rsidP="009C557E">
      <w:pPr>
        <w:pStyle w:val="Texte1"/>
      </w:pPr>
      <w:r w:rsidRPr="009C557E">
        <w:t xml:space="preserve">No obstante, durante los últimos nueve años, ha aumentado el interés por el patrimonio cultural en los planos nacional e internacional, así como el apoyo recibido, en especial cuando el patrimonio cultural está vinculado con el desarrollo sostenible. </w:t>
      </w:r>
      <w:r w:rsidR="00B749DD" w:rsidRPr="009C557E">
        <w:t>Como resultado, el sector de la cultura en Uganda ha experimentado</w:t>
      </w:r>
      <w:r w:rsidRPr="009C557E">
        <w:t xml:space="preserve"> un crecimiento generalizado</w:t>
      </w:r>
      <w:r w:rsidR="00B749DD" w:rsidRPr="009C557E">
        <w:t xml:space="preserve"> y goza de mayor visibilidad</w:t>
      </w:r>
      <w:r w:rsidRPr="009C557E">
        <w:t>.</w:t>
      </w:r>
    </w:p>
    <w:p w14:paraId="4842E866" w14:textId="20CA975D" w:rsidR="001100E6" w:rsidRPr="009C557E" w:rsidRDefault="00447D6F" w:rsidP="009C557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9C557E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Preparación y capacidad institucionales</w:t>
      </w:r>
    </w:p>
    <w:p w14:paraId="59B6F6B5" w14:textId="1DB1F603" w:rsidR="00BB7D0E" w:rsidRPr="009C557E" w:rsidRDefault="001100E6" w:rsidP="009C557E">
      <w:pPr>
        <w:pStyle w:val="Texte1"/>
      </w:pPr>
      <w:r w:rsidRPr="009C557E">
        <w:t xml:space="preserve">La seriedad y la credibilidad son cualidades importantes para </w:t>
      </w:r>
      <w:r w:rsidR="00A04705" w:rsidRPr="009C557E">
        <w:t>las organizaciones que participa</w:t>
      </w:r>
      <w:r w:rsidRPr="009C557E">
        <w:t xml:space="preserve">n en los procesos de formulación y revisión de políticas. La CCFU comenzó a fortalecer sus competencias internas realizando trabajos de investigación, documentando la incidencia que la cultura </w:t>
      </w:r>
      <w:r w:rsidR="00A04705" w:rsidRPr="009C557E">
        <w:t>tenía</w:t>
      </w:r>
      <w:r w:rsidRPr="009C557E">
        <w:t xml:space="preserve"> en el desarrollo y estudiando el contexto cultural local.</w:t>
      </w:r>
      <w:r w:rsidR="00814F4C" w:rsidRPr="009C557E">
        <w:t xml:space="preserve"> </w:t>
      </w:r>
      <w:r w:rsidRPr="009C557E">
        <w:t>La labor que la Fundación realiza</w:t>
      </w:r>
      <w:r w:rsidR="00A04705" w:rsidRPr="009C557E">
        <w:t>ba</w:t>
      </w:r>
      <w:r w:rsidRPr="009C557E">
        <w:t xml:space="preserve"> en materia de educación sobre patrimonio y derechos culturales, y el apoyo que brinda</w:t>
      </w:r>
      <w:r w:rsidR="00A04705" w:rsidRPr="009C557E">
        <w:t>ba</w:t>
      </w:r>
      <w:r w:rsidRPr="009C557E">
        <w:t xml:space="preserve"> a los museos comunitarios, le permitieron adquirir experiencia y establecer una red de colaboradores en el ámbito de la promoción del patrimonio.</w:t>
      </w:r>
      <w:r w:rsidR="00814F4C" w:rsidRPr="009C557E">
        <w:t xml:space="preserve"> </w:t>
      </w:r>
      <w:r w:rsidRPr="009C557E">
        <w:t xml:space="preserve">Además, la CCFU supo </w:t>
      </w:r>
      <w:r w:rsidR="00A04705" w:rsidRPr="009C557E">
        <w:t xml:space="preserve">aumentar a través de los años </w:t>
      </w:r>
      <w:r w:rsidRPr="009C557E">
        <w:t xml:space="preserve">un colectivo crítico de personas que </w:t>
      </w:r>
      <w:r w:rsidR="005072B5" w:rsidRPr="009C557E">
        <w:t>defienden</w:t>
      </w:r>
      <w:r w:rsidRPr="009C557E">
        <w:t xml:space="preserve"> el patrimonio y que funciona como un for</w:t>
      </w:r>
      <w:r w:rsidR="001909E5" w:rsidRPr="009C557E">
        <w:t>o de consulta para la Fundación,</w:t>
      </w:r>
      <w:r w:rsidRPr="009C557E">
        <w:t xml:space="preserve"> y cuyos integrantes abogan por diversas causas relacionadas con el patrimonio. </w:t>
      </w:r>
      <w:r w:rsidR="00A04705" w:rsidRPr="009C557E">
        <w:t>La participación de estas personas ha</w:t>
      </w:r>
      <w:r w:rsidRPr="009C557E">
        <w:t xml:space="preserve"> aumentado la credibilidad de la </w:t>
      </w:r>
      <w:r w:rsidR="001909E5" w:rsidRPr="009C557E">
        <w:t>CCFU</w:t>
      </w:r>
      <w:r w:rsidRPr="009C557E">
        <w:t xml:space="preserve">, ha inspirado mayor confianza en las comunidades y las autoridades gubernamentales, y ha permitido que </w:t>
      </w:r>
      <w:r w:rsidR="001909E5" w:rsidRPr="009C557E">
        <w:t>la Fundación</w:t>
      </w:r>
      <w:r w:rsidRPr="009C557E">
        <w:t xml:space="preserve"> fuera percibida como un asociado apropiado para las deliberaciones sobre políticas.</w:t>
      </w:r>
    </w:p>
    <w:p w14:paraId="5B2376C3" w14:textId="2166AF05" w:rsidR="0014255B" w:rsidRPr="009C557E" w:rsidRDefault="009676FD" w:rsidP="009C557E">
      <w:pPr>
        <w:pStyle w:val="Texte1"/>
      </w:pPr>
      <w:r w:rsidRPr="009C557E">
        <w:t xml:space="preserve">En el plano institucional, la CCFU ha adoptado medidas con fines precisos para mantenerse informada y recibir asesoramiento </w:t>
      </w:r>
      <w:r w:rsidR="001909E5" w:rsidRPr="009C557E">
        <w:t>en materia de</w:t>
      </w:r>
      <w:r w:rsidRPr="009C557E">
        <w:t xml:space="preserve"> políticas por parte de instituciones creíbles. Su Junta Directiva está compuesta por siete miembros: un representante de la Comisión Nacional de la UNESCO, un </w:t>
      </w:r>
      <w:r w:rsidR="007D2FA1" w:rsidRPr="009C557E">
        <w:t>representante del ministerio correspondiente</w:t>
      </w:r>
      <w:r w:rsidRPr="009C557E">
        <w:t>, un representante de una universidad prestigiosa, uno de una institución cultural y uno de una organización de la so</w:t>
      </w:r>
      <w:r w:rsidR="001909E5" w:rsidRPr="009C557E">
        <w:t xml:space="preserve">ciedad civil. </w:t>
      </w:r>
      <w:r w:rsidRPr="009C557E">
        <w:t xml:space="preserve">En el plano internacional, la CCFU está acreditada como ONG de conformidad con la Convención del Patrimonio Inmaterial y es miembro de otras dos organizaciones en el ámbito del patrimonio internacional. Gracias a esta posición, el personal de la </w:t>
      </w:r>
      <w:r w:rsidR="007D2FA1" w:rsidRPr="009C557E">
        <w:t>CCFU</w:t>
      </w:r>
      <w:r w:rsidR="001909E5" w:rsidRPr="009C557E">
        <w:t xml:space="preserve"> puede estar al corriente de la situación</w:t>
      </w:r>
      <w:r w:rsidRPr="009C557E">
        <w:t xml:space="preserve"> y la aplicación de las políticas relativas al patrimonio en los planos nacional e internacional. Asimismo, el trabajo que </w:t>
      </w:r>
      <w:r w:rsidR="007D2FA1" w:rsidRPr="009C557E">
        <w:t>realiza “</w:t>
      </w:r>
      <w:r w:rsidRPr="009C557E">
        <w:t>sobre el terr</w:t>
      </w:r>
      <w:r w:rsidR="007D2FA1" w:rsidRPr="009C557E">
        <w:t>eno”</w:t>
      </w:r>
      <w:r w:rsidRPr="009C557E">
        <w:t xml:space="preserve"> en asociación con organizaciones comunitarias y departamentos </w:t>
      </w:r>
      <w:r w:rsidR="00526B15" w:rsidRPr="009C557E">
        <w:t>gubernamentales a nivel</w:t>
      </w:r>
      <w:r w:rsidRPr="009C557E">
        <w:t xml:space="preserve"> de distrito le ha permitido conocer diversas experiencias comunitarias relacionadas con la promoción del PCI.</w:t>
      </w:r>
    </w:p>
    <w:p w14:paraId="7A8FFE16" w14:textId="0B49159B" w:rsidR="00BB7D0E" w:rsidRPr="009C557E" w:rsidRDefault="00984691" w:rsidP="009C557E">
      <w:pPr>
        <w:pStyle w:val="Texte1"/>
      </w:pPr>
      <w:r w:rsidRPr="009C557E">
        <w:t>En los enfoques y las estrategias de la Fundación</w:t>
      </w:r>
      <w:r w:rsidR="001909E5" w:rsidRPr="009C557E">
        <w:t>,</w:t>
      </w:r>
      <w:r w:rsidRPr="009C557E">
        <w:t xml:space="preserve"> se refleja el respeto por la cultura y los depositarios del conocimiento, y se entiende que la cultura es una entidad dinámica que requiere revisiones periódicas y objetivas. Esto es especialmente importante porque la CCFU entiende que ha de desempeñar una función catalizadora, facilitando espacios de reflexión y aprendizaje para las </w:t>
      </w:r>
      <w:r w:rsidRPr="009C557E">
        <w:lastRenderedPageBreak/>
        <w:t>diversas partes interesadas en todos los planos, brindando apoyo técnico, fortaleciendo las capacidades y generando vínculos entre las comunidades y las instituciones de apoyo. Además, mediante la divulgación de material</w:t>
      </w:r>
      <w:r w:rsidR="007D2FA1" w:rsidRPr="009C557E">
        <w:t xml:space="preserve"> pertinente</w:t>
      </w:r>
      <w:r w:rsidRPr="009C557E">
        <w:t>, la CCFU vela por</w:t>
      </w:r>
      <w:r w:rsidR="007D2FA1" w:rsidRPr="009C557E">
        <w:t xml:space="preserve"> </w:t>
      </w:r>
      <w:r w:rsidRPr="009C557E">
        <w:t xml:space="preserve">que las personas de las comunidades con las que trabaja tengan acceso a información adecuada y cuenten con las herramientas necesarias para poder </w:t>
      </w:r>
      <w:r w:rsidR="001909E5" w:rsidRPr="009C557E">
        <w:t>promover</w:t>
      </w:r>
      <w:r w:rsidRPr="009C557E">
        <w:t xml:space="preserve"> las políticas por cuenta p</w:t>
      </w:r>
      <w:r w:rsidR="009C557E" w:rsidRPr="009C557E">
        <w:t>ropia.</w:t>
      </w:r>
    </w:p>
    <w:p w14:paraId="01139DBD" w14:textId="31703ECA" w:rsidR="005D3481" w:rsidRPr="009C557E" w:rsidRDefault="00C26950" w:rsidP="009C557E">
      <w:pPr>
        <w:pStyle w:val="Texte1"/>
      </w:pPr>
      <w:r w:rsidRPr="009C557E">
        <w:t xml:space="preserve">Como resultado, la CCFU ha sido invitada a participar en diversos procesos de formulación y revisión de políticas nacionales: al día de la fecha, ha comentado el texto preliminar de la política de cultura de Uganda, así como los borradores de las políticas de familia, patrimonio, museos y monumentos, y tres ciclos de planes de desarrollo nacional. Además, integró comités técnicos que realizaron estudios a nivel nacional sobre valores culturales, la biósfera y la industria cultural ugandesa; algunos de estos estudios fueron utilizados en la elaboración de políticas nacionales. La </w:t>
      </w:r>
      <w:r w:rsidR="007D2FA1" w:rsidRPr="009C557E">
        <w:t>CCFU</w:t>
      </w:r>
      <w:r w:rsidRPr="009C557E">
        <w:t xml:space="preserve"> colaboró con el grupo de trabajo sobre cultura del Pacto Internacional sobre Derechos Económicos, Sociales y Culturales de 1972, y con la Comisión de Derechos Humanos.</w:t>
      </w:r>
    </w:p>
    <w:p w14:paraId="689705FE" w14:textId="282795CA" w:rsidR="0026665A" w:rsidRPr="009C557E" w:rsidRDefault="00447D6F" w:rsidP="009C557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9C557E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Fomentar la participación de las comunidades en la elaboración de políticas</w:t>
      </w:r>
    </w:p>
    <w:p w14:paraId="04CDD32B" w14:textId="77891D94" w:rsidR="00BB7D0E" w:rsidRPr="009C557E" w:rsidRDefault="0071293A" w:rsidP="009C557E">
      <w:pPr>
        <w:pStyle w:val="Texte1"/>
      </w:pPr>
      <w:r w:rsidRPr="009C557E">
        <w:t>Tanto los representantes de las comunidades como el personal de las organizaciones de la sociedad civil participan en la elaboración de políticas por invitación del Estado.</w:t>
      </w:r>
      <w:r w:rsidR="00814F4C" w:rsidRPr="009C557E">
        <w:t xml:space="preserve"> </w:t>
      </w:r>
      <w:r w:rsidRPr="009C557E">
        <w:t xml:space="preserve">Sin embargo, los representantes de las comunidades suelen llegar mal preparados porque reciben las notificaciones con muy poca antelación o porque carecen de la información necesaria; motivo por el cual no aprovechan plenamente las oportunidades </w:t>
      </w:r>
      <w:r w:rsidR="001909E5" w:rsidRPr="009C557E">
        <w:t xml:space="preserve">que tienen </w:t>
      </w:r>
      <w:r w:rsidRPr="009C557E">
        <w:t>para solicitar que se atienda a sus planteos de manera integral.</w:t>
      </w:r>
    </w:p>
    <w:p w14:paraId="672ADB28" w14:textId="4A36F072" w:rsidR="004003BA" w:rsidRPr="009C557E" w:rsidRDefault="002A64ED" w:rsidP="009C557E">
      <w:pPr>
        <w:pStyle w:val="Texte1"/>
      </w:pPr>
      <w:r w:rsidRPr="00FF045F">
        <w:rPr>
          <w:lang w:val="fr-FR"/>
        </w:rPr>
        <w:t>La CCFU reconoce que las comunidades desempeñan una función primordial en los asuntos relativos al</w:t>
      </w:r>
      <w:r w:rsidR="001909E5" w:rsidRPr="00FF045F">
        <w:rPr>
          <w:lang w:val="fr-FR"/>
        </w:rPr>
        <w:t xml:space="preserve"> patrimonio cultural y hacen las veces de custodios de</w:t>
      </w:r>
      <w:r w:rsidRPr="00FF045F">
        <w:rPr>
          <w:lang w:val="fr-FR"/>
        </w:rPr>
        <w:t xml:space="preserve"> los recursos patrimoniales. Por eso la </w:t>
      </w:r>
      <w:r w:rsidR="007D2FA1" w:rsidRPr="00FF045F">
        <w:rPr>
          <w:lang w:val="fr-FR"/>
        </w:rPr>
        <w:t>CCFU</w:t>
      </w:r>
      <w:r w:rsidRPr="00FF045F">
        <w:rPr>
          <w:lang w:val="fr-FR"/>
        </w:rPr>
        <w:t xml:space="preserve"> </w:t>
      </w:r>
      <w:r w:rsidR="001909E5" w:rsidRPr="00FF045F">
        <w:rPr>
          <w:lang w:val="fr-FR"/>
        </w:rPr>
        <w:t>participó</w:t>
      </w:r>
      <w:r w:rsidRPr="00FF045F">
        <w:rPr>
          <w:lang w:val="fr-FR"/>
        </w:rPr>
        <w:t xml:space="preserve"> en proyectos de desarrollo destinados a que los miembros de la comunidad adqui</w:t>
      </w:r>
      <w:r w:rsidR="001909E5" w:rsidRPr="00FF045F">
        <w:rPr>
          <w:lang w:val="fr-FR"/>
        </w:rPr>
        <w:t>ri</w:t>
      </w:r>
      <w:r w:rsidRPr="00FF045F">
        <w:rPr>
          <w:lang w:val="fr-FR"/>
        </w:rPr>
        <w:t>eran más capacidad para participar activamente en la elaboración de políticas. Por ejemplo,</w:t>
      </w:r>
      <w:r w:rsidR="007D2FA1" w:rsidRPr="00FF045F">
        <w:rPr>
          <w:lang w:val="fr-FR"/>
        </w:rPr>
        <w:t xml:space="preserve"> mediante la labor que realizó</w:t>
      </w:r>
      <w:r w:rsidRPr="00FF045F">
        <w:rPr>
          <w:lang w:val="fr-FR"/>
        </w:rPr>
        <w:t xml:space="preserve"> con cinco grupos étnicos minoritarios (los </w:t>
      </w:r>
      <w:r w:rsidR="007D2FA1" w:rsidRPr="00FF045F">
        <w:rPr>
          <w:lang w:val="fr-FR"/>
        </w:rPr>
        <w:t>b</w:t>
      </w:r>
      <w:r w:rsidRPr="00FF045F">
        <w:rPr>
          <w:lang w:val="fr-FR"/>
        </w:rPr>
        <w:t>enet</w:t>
      </w:r>
      <w:r w:rsidR="007D2FA1" w:rsidRPr="00FF045F">
        <w:rPr>
          <w:lang w:val="fr-FR"/>
        </w:rPr>
        <w:t>s</w:t>
      </w:r>
      <w:r w:rsidRPr="00FF045F">
        <w:rPr>
          <w:lang w:val="fr-FR"/>
        </w:rPr>
        <w:t xml:space="preserve">, los </w:t>
      </w:r>
      <w:r w:rsidR="007D2FA1" w:rsidRPr="00FF045F">
        <w:rPr>
          <w:lang w:val="fr-FR"/>
        </w:rPr>
        <w:t>i</w:t>
      </w:r>
      <w:r w:rsidRPr="00FF045F">
        <w:rPr>
          <w:lang w:val="fr-FR"/>
        </w:rPr>
        <w:t>k</w:t>
      </w:r>
      <w:r w:rsidR="007D2FA1" w:rsidRPr="00FF045F">
        <w:rPr>
          <w:lang w:val="fr-FR"/>
        </w:rPr>
        <w:t>s</w:t>
      </w:r>
      <w:r w:rsidRPr="00FF045F">
        <w:rPr>
          <w:lang w:val="fr-FR"/>
        </w:rPr>
        <w:t xml:space="preserve">, los </w:t>
      </w:r>
      <w:r w:rsidR="007D2FA1" w:rsidRPr="00FF045F">
        <w:rPr>
          <w:lang w:val="fr-FR"/>
        </w:rPr>
        <w:t>b</w:t>
      </w:r>
      <w:r w:rsidRPr="00FF045F">
        <w:rPr>
          <w:lang w:val="fr-FR"/>
        </w:rPr>
        <w:t>abwisi</w:t>
      </w:r>
      <w:r w:rsidR="007D2FA1" w:rsidRPr="00FF045F">
        <w:rPr>
          <w:lang w:val="fr-FR"/>
        </w:rPr>
        <w:t>s</w:t>
      </w:r>
      <w:r w:rsidRPr="00FF045F">
        <w:rPr>
          <w:lang w:val="fr-FR"/>
        </w:rPr>
        <w:t xml:space="preserve">, los </w:t>
      </w:r>
      <w:r w:rsidR="007D2FA1" w:rsidRPr="00FF045F">
        <w:rPr>
          <w:lang w:val="fr-FR"/>
        </w:rPr>
        <w:t>b</w:t>
      </w:r>
      <w:r w:rsidRPr="00FF045F">
        <w:rPr>
          <w:lang w:val="fr-FR"/>
        </w:rPr>
        <w:t>amba</w:t>
      </w:r>
      <w:r w:rsidR="007D2FA1" w:rsidRPr="00FF045F">
        <w:rPr>
          <w:lang w:val="fr-FR"/>
        </w:rPr>
        <w:t>s</w:t>
      </w:r>
      <w:r w:rsidRPr="00FF045F">
        <w:rPr>
          <w:lang w:val="fr-FR"/>
        </w:rPr>
        <w:t xml:space="preserve"> y los </w:t>
      </w:r>
      <w:r w:rsidR="007D2FA1" w:rsidRPr="00FF045F">
        <w:rPr>
          <w:lang w:val="fr-FR"/>
        </w:rPr>
        <w:t>b</w:t>
      </w:r>
      <w:r w:rsidRPr="00FF045F">
        <w:rPr>
          <w:lang w:val="fr-FR"/>
        </w:rPr>
        <w:t>avanoma</w:t>
      </w:r>
      <w:r w:rsidR="007D2FA1" w:rsidRPr="00FF045F">
        <w:rPr>
          <w:lang w:val="fr-FR"/>
        </w:rPr>
        <w:t>s</w:t>
      </w:r>
      <w:r w:rsidRPr="00FF045F">
        <w:rPr>
          <w:lang w:val="fr-FR"/>
        </w:rPr>
        <w:t xml:space="preserve">), la CCFU promovió la reflexión sobre la importancia de la cultura en el desarrollo. </w:t>
      </w:r>
      <w:r w:rsidRPr="009C557E">
        <w:t>Además, organizó talleres de redacción para perfeccionar las etapas de investigación y documentación en la elaboración de documentos sobre políticas que planteen inquietudes específicas sobre la cultura, y para identificar medidas de mitigación y partes interesadas que pudieran ayudar a satisface</w:t>
      </w:r>
      <w:r w:rsidR="009C557E" w:rsidRPr="009C557E">
        <w:t>r las demandas de las minorías.</w:t>
      </w:r>
    </w:p>
    <w:p w14:paraId="722672C2" w14:textId="4DB3F067" w:rsidR="00BB7D0E" w:rsidRPr="009C557E" w:rsidRDefault="002A64ED" w:rsidP="009C557E">
      <w:pPr>
        <w:pStyle w:val="Texte1"/>
      </w:pPr>
      <w:r w:rsidRPr="009C557E">
        <w:t xml:space="preserve">Basándose en principios similares, la CCFU brindó su apoyo a 26 representantes de instituciones culturales para que redactasen un documento que </w:t>
      </w:r>
      <w:r w:rsidR="001909E5" w:rsidRPr="009C557E">
        <w:t>recogiera</w:t>
      </w:r>
      <w:r w:rsidRPr="009C557E">
        <w:t xml:space="preserve"> sus aspiraciones y expectativas, y que pudiera servir para impulsar cambios en las políticas por parte del Estado y otros actores responsables </w:t>
      </w:r>
      <w:r w:rsidR="000F6982" w:rsidRPr="009C557E">
        <w:t>de</w:t>
      </w:r>
      <w:r w:rsidRPr="009C557E">
        <w:t>l desarrollo. La CCFU puede acompañar a sus asociados mientras presentan sus demandas a las autoridades pertinentes, si estos lo solicitaran o si resultara necesario, pero no p</w:t>
      </w:r>
      <w:r w:rsidR="009C557E" w:rsidRPr="009C557E">
        <w:t>uede hablar en nombre de ellos.</w:t>
      </w:r>
    </w:p>
    <w:p w14:paraId="480D6587" w14:textId="6938F2CA" w:rsidR="00BB7D0E" w:rsidRPr="009C557E" w:rsidRDefault="00447D6F" w:rsidP="009C557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9C557E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Enseñanzas sobre la participación en la elabo</w:t>
      </w:r>
      <w:bookmarkStart w:id="0" w:name="_GoBack"/>
      <w:bookmarkEnd w:id="0"/>
      <w:r w:rsidRPr="009C557E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ración de políticas</w:t>
      </w:r>
    </w:p>
    <w:p w14:paraId="44FCB8FF" w14:textId="77777777" w:rsidR="00743E41" w:rsidRPr="009C557E" w:rsidRDefault="00D50735" w:rsidP="009C557E">
      <w:pPr>
        <w:pStyle w:val="Texte1"/>
      </w:pPr>
      <w:r w:rsidRPr="009C557E">
        <w:t xml:space="preserve">Durante los últimos años, la CCFU ha </w:t>
      </w:r>
      <w:r w:rsidR="005072B5" w:rsidRPr="009C557E">
        <w:t>extraído</w:t>
      </w:r>
      <w:r w:rsidRPr="009C557E">
        <w:t xml:space="preserve"> diversas enseñanzas y conclusiones de su participación en los procesos de elaboración de políticas.</w:t>
      </w:r>
    </w:p>
    <w:p w14:paraId="2E51D705" w14:textId="0B1A7344" w:rsidR="00BB7D0E" w:rsidRPr="009C557E" w:rsidRDefault="00CF0358" w:rsidP="009C557E">
      <w:pPr>
        <w:pStyle w:val="Texte1"/>
      </w:pPr>
      <w:r w:rsidRPr="009C557E">
        <w:lastRenderedPageBreak/>
        <w:t>La primera tiene que ver con el valor de la sinergia y de la participación de diversas partes interesadas que aport</w:t>
      </w:r>
      <w:r w:rsidR="000F6982" w:rsidRPr="009C557E">
        <w:t>a</w:t>
      </w:r>
      <w:r w:rsidRPr="009C557E">
        <w:t xml:space="preserve">n su experiencia, pero que además </w:t>
      </w:r>
      <w:r w:rsidR="000F6982" w:rsidRPr="009C557E">
        <w:t>facilita</w:t>
      </w:r>
      <w:r w:rsidRPr="009C557E">
        <w:t>n relaciones favorables con otras instituciones y personas influyentes. No obstante, las diferencias entre las culturas</w:t>
      </w:r>
      <w:r w:rsidR="000F6982" w:rsidRPr="009C557E">
        <w:t xml:space="preserve"> y enfoques</w:t>
      </w:r>
      <w:r w:rsidRPr="009C557E">
        <w:t xml:space="preserve"> institucionales pueden ocasionar inconvenientes; por e</w:t>
      </w:r>
      <w:r w:rsidR="00447D6F" w:rsidRPr="009C557E">
        <w:t>jemplo, puede suceder que alguna</w:t>
      </w:r>
      <w:r w:rsidRPr="009C557E">
        <w:t xml:space="preserve">s </w:t>
      </w:r>
      <w:r w:rsidR="00447D6F" w:rsidRPr="009C557E">
        <w:t>partes asociadas asignen</w:t>
      </w:r>
      <w:r w:rsidRPr="009C557E">
        <w:t xml:space="preserve"> mayor importancia a</w:t>
      </w:r>
      <w:r w:rsidR="00447D6F" w:rsidRPr="009C557E">
        <w:t xml:space="preserve"> los procesos, mientras que otras valoren más los resultados. </w:t>
      </w:r>
      <w:r w:rsidRPr="009C557E">
        <w:t xml:space="preserve">Tales circunstancias pueden hacer que el cumplimiento de los plazos y los </w:t>
      </w:r>
      <w:r w:rsidR="000F6982" w:rsidRPr="009C557E">
        <w:t>objetivos</w:t>
      </w:r>
      <w:r w:rsidRPr="009C557E">
        <w:t xml:space="preserve"> resulte problemático, sin contar las expectativas de remuneración, que requieren acuerdos y concesiones constantes.</w:t>
      </w:r>
    </w:p>
    <w:p w14:paraId="14B2A021" w14:textId="253C52D6" w:rsidR="004003BA" w:rsidRPr="009C557E" w:rsidRDefault="004003BA" w:rsidP="009C557E">
      <w:pPr>
        <w:pStyle w:val="Texte1"/>
      </w:pPr>
      <w:r w:rsidRPr="009C557E">
        <w:t xml:space="preserve">En segundo lugar, los procesos de elaboración de políticas pueden prolongarse considerablemente y requerir </w:t>
      </w:r>
      <w:r w:rsidR="005072B5" w:rsidRPr="009C557E">
        <w:t>capacidad de resistencia y recuperación</w:t>
      </w:r>
      <w:r w:rsidRPr="009C557E">
        <w:t>, creatividad y recursos</w:t>
      </w:r>
      <w:r w:rsidR="00447D6F" w:rsidRPr="009C557E">
        <w:t xml:space="preserve"> adicionales</w:t>
      </w:r>
      <w:r w:rsidR="000F6982" w:rsidRPr="009C557E">
        <w:t>,</w:t>
      </w:r>
      <w:r w:rsidRPr="009C557E">
        <w:t xml:space="preserve"> que no siempre estarán disponibles.</w:t>
      </w:r>
      <w:r w:rsidR="00814F4C" w:rsidRPr="009C557E">
        <w:t xml:space="preserve"> </w:t>
      </w:r>
      <w:r w:rsidRPr="009C557E">
        <w:t xml:space="preserve">Las intervenciones de la sociedad civil suelen estar financiadas por donantes y tener plazos concretos, lo cual puede </w:t>
      </w:r>
      <w:r w:rsidR="000F6982" w:rsidRPr="009C557E">
        <w:t>afectar a su</w:t>
      </w:r>
      <w:r w:rsidR="00447D6F" w:rsidRPr="009C557E">
        <w:t xml:space="preserve"> continuidad. Por es</w:t>
      </w:r>
      <w:r w:rsidRPr="009C557E">
        <w:t xml:space="preserve">o resulta necesario que diversas organizaciones e instituciones incorporen la promoción de políticas a sus planes estratégicos. Las políticas nacionales e internacionales revisten una gran importancia, pero también es importante que se apliquen de manera sostenible y, en el caso de la Convención del Patrimonio Inmaterial, </w:t>
      </w:r>
      <w:r w:rsidR="00447D6F" w:rsidRPr="009C557E">
        <w:t>que se controlen y se promuevan</w:t>
      </w:r>
      <w:r w:rsidR="000F6982" w:rsidRPr="009C557E">
        <w:t xml:space="preserve"> una vez inscri</w:t>
      </w:r>
      <w:r w:rsidRPr="009C557E">
        <w:t>to el patrimonio.</w:t>
      </w:r>
    </w:p>
    <w:p w14:paraId="23B5C624" w14:textId="65606470" w:rsidR="004003BA" w:rsidRPr="009C557E" w:rsidRDefault="004003BA" w:rsidP="009C557E">
      <w:pPr>
        <w:pStyle w:val="Texte1"/>
      </w:pPr>
      <w:r w:rsidRPr="009C557E">
        <w:t>En tercer lugar, la falta de una estructura pública centralizada en materia de cultura (como en el caso de Uganda) puede dificultar la coordinación de las comunicaciones y la gestión de los asuntos culturales, además de intensificar la co</w:t>
      </w:r>
      <w:r w:rsidR="009C557E" w:rsidRPr="009C557E">
        <w:t>mpetencia por recursos exiguos.</w:t>
      </w:r>
    </w:p>
    <w:p w14:paraId="0F7F16BE" w14:textId="3EB78E10" w:rsidR="009C2C8F" w:rsidRPr="009C557E" w:rsidRDefault="009C2C8F" w:rsidP="009C557E">
      <w:pPr>
        <w:pStyle w:val="Texte1"/>
      </w:pPr>
      <w:r w:rsidRPr="009C557E">
        <w:t>En cuarto lugar, las instituciones culturales tradicionales de Uganda, como los reinados y los cacicazgos, s</w:t>
      </w:r>
      <w:r w:rsidR="008E7B1A" w:rsidRPr="009C557E">
        <w:t>on considerados como cuerpos “culturales”</w:t>
      </w:r>
      <w:r w:rsidRPr="009C557E">
        <w:t xml:space="preserve"> por el Estado. Los líderes de estas instituciones son custodios del patrimonio cultural, pero además suelen ser percibidos como posibles representantes políticos de </w:t>
      </w:r>
      <w:r w:rsidR="008E7B1A" w:rsidRPr="009C557E">
        <w:t>“</w:t>
      </w:r>
      <w:r w:rsidRPr="009C557E">
        <w:t>sus</w:t>
      </w:r>
      <w:r w:rsidR="008E7B1A" w:rsidRPr="009C557E">
        <w:t>”</w:t>
      </w:r>
      <w:r w:rsidRPr="009C557E">
        <w:t xml:space="preserve"> comunidades. Esta ambivalencia pone en riesgo su participación en la elaboración de políticas al momento de gestionar relaciones de poder con el Estado y </w:t>
      </w:r>
      <w:r w:rsidR="00447D6F" w:rsidRPr="009C557E">
        <w:t>demás</w:t>
      </w:r>
      <w:r w:rsidR="009C557E" w:rsidRPr="009C557E">
        <w:t xml:space="preserve"> actores políticos.</w:t>
      </w:r>
    </w:p>
    <w:p w14:paraId="19982B53" w14:textId="1279EFBD" w:rsidR="009C2C8F" w:rsidRPr="009C557E" w:rsidRDefault="009C2C8F" w:rsidP="009C557E">
      <w:pPr>
        <w:pStyle w:val="Texte1"/>
      </w:pPr>
      <w:r w:rsidRPr="009C557E">
        <w:t xml:space="preserve">Por último, siendo un país en desarrollo, con altas tasas de pobreza y desempleo, la preservación del patrimonio —y en particular la salvaguarda del PCI— debe abordarse conjuntamente con el desarrollo sostenible </w:t>
      </w:r>
      <w:r w:rsidR="008E7B1A" w:rsidRPr="009C557E">
        <w:t>para poder</w:t>
      </w:r>
      <w:r w:rsidRPr="009C557E">
        <w:t xml:space="preserve"> satisfacer las necesidades de las generaciones presente</w:t>
      </w:r>
      <w:r w:rsidR="00814F4C" w:rsidRPr="009C557E">
        <w:t>s y futuras de manera integral.</w:t>
      </w:r>
    </w:p>
    <w:sectPr w:rsidR="009C2C8F" w:rsidRPr="009C557E" w:rsidSect="00475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82FE9" w14:textId="77777777" w:rsidR="0086249F" w:rsidRDefault="0086249F" w:rsidP="008A7997">
      <w:pPr>
        <w:spacing w:after="0"/>
      </w:pPr>
      <w:r>
        <w:separator/>
      </w:r>
    </w:p>
  </w:endnote>
  <w:endnote w:type="continuationSeparator" w:id="0">
    <w:p w14:paraId="03A79696" w14:textId="77777777" w:rsidR="0086249F" w:rsidRDefault="0086249F" w:rsidP="008A79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536F" w14:textId="33675670" w:rsidR="00475189" w:rsidRPr="00475189" w:rsidRDefault="00FF045F" w:rsidP="00475189">
    <w:pPr>
      <w:tabs>
        <w:tab w:val="clear" w:pos="567"/>
        <w:tab w:val="center" w:pos="4423"/>
        <w:tab w:val="right" w:pos="9360"/>
      </w:tabs>
      <w:spacing w:before="0" w:after="0" w:line="240" w:lineRule="exact"/>
      <w:jc w:val="left"/>
      <w:rPr>
        <w:sz w:val="16"/>
        <w:szCs w:val="18"/>
        <w:lang w:val="es-ES" w:eastAsia="es-ES" w:bidi="es-ES"/>
      </w:rPr>
    </w:pPr>
    <w:r>
      <w:rPr>
        <w:noProof/>
        <w:snapToGrid/>
        <w:lang w:val="fr-FR" w:eastAsia="ja-JP"/>
      </w:rPr>
      <w:drawing>
        <wp:anchor distT="0" distB="0" distL="114300" distR="114300" simplePos="0" relativeHeight="251671552" behindDoc="0" locked="0" layoutInCell="1" allowOverlap="1" wp14:editId="69A545ED">
          <wp:simplePos x="0" y="0"/>
          <wp:positionH relativeFrom="column">
            <wp:posOffset>2691130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864">
      <w:rPr>
        <w:noProof/>
        <w:lang w:val="fr-FR" w:eastAsia="ja-JP"/>
      </w:rPr>
      <w:drawing>
        <wp:anchor distT="0" distB="0" distL="114300" distR="114300" simplePos="0" relativeHeight="251667456" behindDoc="0" locked="0" layoutInCell="1" allowOverlap="1" wp14:anchorId="5B3108E0" wp14:editId="7486D427">
          <wp:simplePos x="0" y="0"/>
          <wp:positionH relativeFrom="column">
            <wp:posOffset>-114272</wp:posOffset>
          </wp:positionH>
          <wp:positionV relativeFrom="paragraph">
            <wp:posOffset>-163490</wp:posOffset>
          </wp:positionV>
          <wp:extent cx="827405" cy="6000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189" w:rsidRPr="00475189">
      <w:rPr>
        <w:lang w:val="es-ES" w:eastAsia="es-ES" w:bidi="es-ES"/>
      </w:rPr>
      <w:tab/>
    </w:r>
    <w:r w:rsidR="00475189" w:rsidRPr="00475189">
      <w:rPr>
        <w:lang w:val="es-ES" w:eastAsia="es-ES" w:bidi="es-ES"/>
      </w:rPr>
      <w:tab/>
    </w:r>
    <w:r w:rsidR="00395864">
      <w:rPr>
        <w:sz w:val="16"/>
        <w:lang w:val="es-ES" w:eastAsia="es-ES" w:bidi="es-ES"/>
      </w:rPr>
      <w:t>CS37</w:t>
    </w:r>
    <w:r w:rsidR="00475189" w:rsidRPr="00475189">
      <w:rPr>
        <w:sz w:val="16"/>
        <w:lang w:val="es-ES" w:eastAsia="es-ES" w:bidi="es-ES"/>
      </w:rPr>
      <w:t>-v1.0-ES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3BF7" w14:textId="0754B8EE" w:rsidR="00475189" w:rsidRPr="00475189" w:rsidRDefault="00FF045F" w:rsidP="00475189">
    <w:pPr>
      <w:tabs>
        <w:tab w:val="clear" w:pos="567"/>
        <w:tab w:val="center" w:pos="4423"/>
        <w:tab w:val="right" w:pos="8845"/>
      </w:tabs>
      <w:spacing w:before="0" w:after="0" w:line="240" w:lineRule="exact"/>
      <w:jc w:val="left"/>
      <w:rPr>
        <w:sz w:val="16"/>
        <w:szCs w:val="18"/>
        <w:lang w:val="es-ES" w:eastAsia="es-ES" w:bidi="es-ES"/>
      </w:rPr>
    </w:pPr>
    <w:r>
      <w:rPr>
        <w:noProof/>
        <w:snapToGrid/>
        <w:lang w:val="fr-FR" w:eastAsia="ja-JP"/>
      </w:rPr>
      <w:drawing>
        <wp:anchor distT="0" distB="0" distL="114300" distR="114300" simplePos="0" relativeHeight="251672576" behindDoc="0" locked="0" layoutInCell="1" allowOverlap="1" wp14:editId="5204E350">
          <wp:simplePos x="0" y="0"/>
          <wp:positionH relativeFrom="column">
            <wp:posOffset>2691130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864">
      <w:rPr>
        <w:noProof/>
        <w:lang w:val="fr-FR" w:eastAsia="ja-JP"/>
      </w:rPr>
      <w:drawing>
        <wp:anchor distT="0" distB="0" distL="114300" distR="114300" simplePos="0" relativeHeight="251669504" behindDoc="0" locked="0" layoutInCell="1" allowOverlap="1" wp14:anchorId="0CB15404" wp14:editId="523C68AD">
          <wp:simplePos x="0" y="0"/>
          <wp:positionH relativeFrom="column">
            <wp:posOffset>5257800</wp:posOffset>
          </wp:positionH>
          <wp:positionV relativeFrom="paragraph">
            <wp:posOffset>-163830</wp:posOffset>
          </wp:positionV>
          <wp:extent cx="827405" cy="6000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864">
      <w:rPr>
        <w:sz w:val="16"/>
        <w:lang w:val="es-ES" w:eastAsia="es-ES" w:bidi="es-ES"/>
      </w:rPr>
      <w:t>CS37</w:t>
    </w:r>
    <w:r w:rsidR="00475189" w:rsidRPr="00475189">
      <w:rPr>
        <w:sz w:val="16"/>
        <w:lang w:val="es-ES" w:eastAsia="es-ES" w:bidi="es-ES"/>
      </w:rPr>
      <w:t>-v1.0-ES</w:t>
    </w:r>
    <w:r w:rsidR="00475189" w:rsidRPr="00475189">
      <w:rPr>
        <w:lang w:val="es-ES" w:eastAsia="es-ES" w:bidi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84800" w14:textId="141C3D73" w:rsidR="00475189" w:rsidRPr="00475189" w:rsidRDefault="00FF045F" w:rsidP="000D2B41">
    <w:pPr>
      <w:tabs>
        <w:tab w:val="clear" w:pos="567"/>
        <w:tab w:val="center" w:pos="4860"/>
        <w:tab w:val="right" w:pos="8845"/>
      </w:tabs>
      <w:spacing w:before="0" w:after="0" w:line="240" w:lineRule="exact"/>
      <w:jc w:val="left"/>
      <w:rPr>
        <w:sz w:val="16"/>
        <w:szCs w:val="18"/>
        <w:lang w:val="es-ES" w:eastAsia="es-ES" w:bidi="es-ES"/>
      </w:rPr>
    </w:pPr>
    <w:r>
      <w:rPr>
        <w:noProof/>
        <w:snapToGrid/>
        <w:lang w:val="fr-FR" w:eastAsia="ja-JP"/>
      </w:rPr>
      <w:drawing>
        <wp:anchor distT="0" distB="0" distL="114300" distR="114300" simplePos="0" relativeHeight="251670528" behindDoc="0" locked="0" layoutInCell="1" allowOverlap="1" wp14:editId="707600EF">
          <wp:simplePos x="0" y="0"/>
          <wp:positionH relativeFrom="column">
            <wp:posOffset>2824480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864">
      <w:rPr>
        <w:noProof/>
        <w:lang w:val="fr-FR" w:eastAsia="ja-JP"/>
      </w:rPr>
      <w:drawing>
        <wp:anchor distT="0" distB="0" distL="114300" distR="114300" simplePos="0" relativeHeight="251665408" behindDoc="0" locked="0" layoutInCell="1" allowOverlap="1" wp14:anchorId="785F587A" wp14:editId="13CA207D">
          <wp:simplePos x="0" y="0"/>
          <wp:positionH relativeFrom="column">
            <wp:posOffset>5257800</wp:posOffset>
          </wp:positionH>
          <wp:positionV relativeFrom="paragraph">
            <wp:posOffset>-163830</wp:posOffset>
          </wp:positionV>
          <wp:extent cx="827405" cy="6000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864">
      <w:rPr>
        <w:sz w:val="16"/>
        <w:lang w:val="es-ES" w:eastAsia="es-ES" w:bidi="es-ES"/>
      </w:rPr>
      <w:t>CS37</w:t>
    </w:r>
    <w:r w:rsidR="00475189" w:rsidRPr="00475189">
      <w:rPr>
        <w:sz w:val="16"/>
        <w:lang w:val="es-ES" w:eastAsia="es-ES" w:bidi="es-ES"/>
      </w:rPr>
      <w:t>-v1.0-ES</w:t>
    </w:r>
    <w:r w:rsidR="00475189" w:rsidRPr="00475189">
      <w:rPr>
        <w:lang w:val="es-ES" w:eastAsia="es-ES" w:bidi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627CF" w14:textId="77777777" w:rsidR="0086249F" w:rsidRDefault="0086249F" w:rsidP="008A7997">
      <w:pPr>
        <w:spacing w:after="0"/>
      </w:pPr>
      <w:r>
        <w:separator/>
      </w:r>
    </w:p>
  </w:footnote>
  <w:footnote w:type="continuationSeparator" w:id="0">
    <w:p w14:paraId="06450F30" w14:textId="77777777" w:rsidR="0086249F" w:rsidRDefault="0086249F" w:rsidP="008A79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F0A0E" w14:textId="569C367E" w:rsidR="00475189" w:rsidRPr="00475189" w:rsidRDefault="00475189" w:rsidP="00475189">
    <w:pPr>
      <w:keepNext/>
      <w:tabs>
        <w:tab w:val="clear" w:pos="567"/>
        <w:tab w:val="center" w:pos="4423"/>
        <w:tab w:val="right" w:pos="9360"/>
      </w:tabs>
      <w:spacing w:before="0" w:after="0" w:line="280" w:lineRule="exact"/>
      <w:jc w:val="left"/>
      <w:rPr>
        <w:sz w:val="16"/>
        <w:szCs w:val="20"/>
        <w:lang w:val="es-ES" w:eastAsia="es-ES" w:bidi="es-ES"/>
      </w:rPr>
    </w:pPr>
    <w:r w:rsidRPr="00475189">
      <w:rPr>
        <w:sz w:val="16"/>
        <w:szCs w:val="20"/>
        <w:lang w:val="es-ES" w:eastAsia="es-ES" w:bidi="es-ES"/>
      </w:rPr>
      <w:fldChar w:fldCharType="begin"/>
    </w:r>
    <w:r w:rsidRPr="00475189">
      <w:rPr>
        <w:sz w:val="16"/>
        <w:szCs w:val="20"/>
        <w:lang w:val="es-ES" w:eastAsia="es-ES" w:bidi="es-ES"/>
      </w:rPr>
      <w:instrText xml:space="preserve"> PAGE </w:instrText>
    </w:r>
    <w:r w:rsidRPr="00475189">
      <w:rPr>
        <w:sz w:val="16"/>
        <w:szCs w:val="20"/>
        <w:lang w:val="es-ES" w:eastAsia="es-ES" w:bidi="es-ES"/>
      </w:rPr>
      <w:fldChar w:fldCharType="separate"/>
    </w:r>
    <w:r w:rsidR="00FF045F">
      <w:rPr>
        <w:noProof/>
        <w:sz w:val="16"/>
        <w:szCs w:val="20"/>
        <w:lang w:val="es-ES" w:eastAsia="es-ES" w:bidi="es-ES"/>
      </w:rPr>
      <w:t>2</w:t>
    </w:r>
    <w:r w:rsidRPr="00475189">
      <w:rPr>
        <w:sz w:val="16"/>
        <w:szCs w:val="20"/>
        <w:lang w:val="es-ES" w:eastAsia="es-ES" w:bidi="es-ES"/>
      </w:rPr>
      <w:fldChar w:fldCharType="end"/>
    </w:r>
    <w:r w:rsidRPr="00475189">
      <w:rPr>
        <w:lang w:val="es-ES" w:eastAsia="es-ES" w:bidi="es-ES"/>
      </w:rPr>
      <w:tab/>
    </w:r>
    <w:r w:rsidR="000D2B41">
      <w:rPr>
        <w:sz w:val="16"/>
        <w:lang w:val="es-ES" w:eastAsia="es-ES" w:bidi="es-ES"/>
      </w:rPr>
      <w:t>Estudio de caso 37</w:t>
    </w:r>
    <w:r w:rsidRPr="00475189">
      <w:rPr>
        <w:lang w:val="es-ES" w:eastAsia="es-ES" w:bidi="es-ES"/>
      </w:rPr>
      <w:tab/>
    </w:r>
    <w:r w:rsidRPr="00475189">
      <w:rPr>
        <w:sz w:val="16"/>
        <w:lang w:val="es-ES" w:eastAsia="es-ES" w:bidi="es-ES"/>
      </w:rPr>
      <w:t>Estudios de caso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89EB" w14:textId="6D5D7953" w:rsidR="00475189" w:rsidRPr="00475189" w:rsidRDefault="00475189" w:rsidP="00010565">
    <w:pPr>
      <w:tabs>
        <w:tab w:val="clear" w:pos="567"/>
        <w:tab w:val="center" w:pos="4680"/>
        <w:tab w:val="right" w:pos="9360"/>
      </w:tabs>
      <w:spacing w:before="0" w:after="0" w:line="280" w:lineRule="exact"/>
      <w:jc w:val="left"/>
      <w:rPr>
        <w:sz w:val="16"/>
        <w:szCs w:val="20"/>
        <w:lang w:bidi="es-ES"/>
      </w:rPr>
    </w:pPr>
    <w:r w:rsidRPr="00475189">
      <w:rPr>
        <w:sz w:val="16"/>
        <w:szCs w:val="20"/>
        <w:lang w:val="es-ES" w:bidi="es-ES"/>
      </w:rPr>
      <w:t>Estudios de caso</w:t>
    </w:r>
    <w:r w:rsidRPr="00475189">
      <w:rPr>
        <w:sz w:val="16"/>
        <w:szCs w:val="20"/>
        <w:lang w:bidi="es-ES"/>
      </w:rPr>
      <w:tab/>
    </w:r>
    <w:r w:rsidR="000D2B41">
      <w:rPr>
        <w:sz w:val="16"/>
        <w:szCs w:val="20"/>
        <w:lang w:bidi="es-ES"/>
      </w:rPr>
      <w:t>Estudio de caso 37</w:t>
    </w:r>
    <w:r w:rsidRPr="00475189">
      <w:rPr>
        <w:sz w:val="16"/>
        <w:szCs w:val="20"/>
        <w:lang w:bidi="es-ES"/>
      </w:rPr>
      <w:tab/>
    </w:r>
    <w:r w:rsidRPr="00475189">
      <w:rPr>
        <w:sz w:val="16"/>
        <w:szCs w:val="20"/>
        <w:lang w:bidi="es-ES"/>
      </w:rPr>
      <w:fldChar w:fldCharType="begin"/>
    </w:r>
    <w:r w:rsidRPr="00475189">
      <w:rPr>
        <w:sz w:val="16"/>
        <w:szCs w:val="20"/>
        <w:lang w:bidi="es-ES"/>
      </w:rPr>
      <w:instrText xml:space="preserve"> PAGE </w:instrText>
    </w:r>
    <w:r w:rsidRPr="00475189">
      <w:rPr>
        <w:sz w:val="16"/>
        <w:szCs w:val="20"/>
        <w:lang w:bidi="es-ES"/>
      </w:rPr>
      <w:fldChar w:fldCharType="separate"/>
    </w:r>
    <w:r w:rsidR="00FF045F">
      <w:rPr>
        <w:noProof/>
        <w:sz w:val="16"/>
        <w:szCs w:val="20"/>
        <w:lang w:bidi="es-ES"/>
      </w:rPr>
      <w:t>3</w:t>
    </w:r>
    <w:r w:rsidRPr="00475189">
      <w:rPr>
        <w:sz w:val="16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BA7A" w14:textId="0CFF4BF4" w:rsidR="00475189" w:rsidRPr="00475189" w:rsidRDefault="00475189" w:rsidP="00475189">
    <w:pPr>
      <w:tabs>
        <w:tab w:val="clear" w:pos="567"/>
        <w:tab w:val="center" w:pos="4423"/>
        <w:tab w:val="right" w:pos="8250"/>
      </w:tabs>
      <w:spacing w:before="0" w:after="0" w:line="280" w:lineRule="exact"/>
      <w:jc w:val="left"/>
      <w:rPr>
        <w:sz w:val="16"/>
        <w:szCs w:val="20"/>
        <w:lang w:val="es-ES" w:eastAsia="es-ES" w:bidi="es-ES"/>
      </w:rPr>
    </w:pPr>
    <w:r w:rsidRPr="00475189">
      <w:rPr>
        <w:lang w:val="es-ES" w:eastAsia="es-ES" w:bidi="es-ES"/>
      </w:rPr>
      <w:tab/>
    </w:r>
    <w:r w:rsidRPr="00475189">
      <w:rPr>
        <w:sz w:val="16"/>
        <w:lang w:val="es-ES" w:eastAsia="es-ES" w:bidi="es-ES"/>
      </w:rPr>
      <w:t>Estudios de casos</w:t>
    </w:r>
    <w:r w:rsidRPr="00475189">
      <w:rPr>
        <w:lang w:val="es-ES" w:eastAsia="es-ES" w:bidi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9D6"/>
    <w:multiLevelType w:val="hybridMultilevel"/>
    <w:tmpl w:val="78D858A6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5336"/>
    <w:multiLevelType w:val="hybridMultilevel"/>
    <w:tmpl w:val="25AE0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39D2"/>
    <w:multiLevelType w:val="hybridMultilevel"/>
    <w:tmpl w:val="084CB2FC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4CC8"/>
    <w:multiLevelType w:val="hybridMultilevel"/>
    <w:tmpl w:val="F9583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3EC557D9"/>
    <w:multiLevelType w:val="hybridMultilevel"/>
    <w:tmpl w:val="F026610C"/>
    <w:lvl w:ilvl="0" w:tplc="A13E79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93067"/>
    <w:multiLevelType w:val="hybridMultilevel"/>
    <w:tmpl w:val="B6CEA712"/>
    <w:lvl w:ilvl="0" w:tplc="A13E79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1191"/>
    <w:multiLevelType w:val="hybridMultilevel"/>
    <w:tmpl w:val="9F94A27E"/>
    <w:lvl w:ilvl="0" w:tplc="91CE2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D63F83"/>
    <w:multiLevelType w:val="hybridMultilevel"/>
    <w:tmpl w:val="97EA8276"/>
    <w:lvl w:ilvl="0" w:tplc="CB227D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0E"/>
    <w:rsid w:val="0000064B"/>
    <w:rsid w:val="00010565"/>
    <w:rsid w:val="0001680D"/>
    <w:rsid w:val="000416EA"/>
    <w:rsid w:val="000806E2"/>
    <w:rsid w:val="000B6852"/>
    <w:rsid w:val="000D2B41"/>
    <w:rsid w:val="000F2DD3"/>
    <w:rsid w:val="000F6982"/>
    <w:rsid w:val="001100E6"/>
    <w:rsid w:val="0014255B"/>
    <w:rsid w:val="00150A76"/>
    <w:rsid w:val="001636A7"/>
    <w:rsid w:val="001708A8"/>
    <w:rsid w:val="001768E4"/>
    <w:rsid w:val="001909E5"/>
    <w:rsid w:val="00226DDD"/>
    <w:rsid w:val="002435C2"/>
    <w:rsid w:val="0026665A"/>
    <w:rsid w:val="00270518"/>
    <w:rsid w:val="00280792"/>
    <w:rsid w:val="00282DAB"/>
    <w:rsid w:val="002966F9"/>
    <w:rsid w:val="002A64ED"/>
    <w:rsid w:val="002B08E6"/>
    <w:rsid w:val="00315AE1"/>
    <w:rsid w:val="00326589"/>
    <w:rsid w:val="00353DCB"/>
    <w:rsid w:val="003721F1"/>
    <w:rsid w:val="00395864"/>
    <w:rsid w:val="003D6C45"/>
    <w:rsid w:val="004003BA"/>
    <w:rsid w:val="00431A09"/>
    <w:rsid w:val="00434511"/>
    <w:rsid w:val="00447D6F"/>
    <w:rsid w:val="004721F0"/>
    <w:rsid w:val="00475189"/>
    <w:rsid w:val="004876C3"/>
    <w:rsid w:val="004F1423"/>
    <w:rsid w:val="005072B5"/>
    <w:rsid w:val="00526B15"/>
    <w:rsid w:val="00561851"/>
    <w:rsid w:val="00561D2E"/>
    <w:rsid w:val="00566331"/>
    <w:rsid w:val="00582789"/>
    <w:rsid w:val="00586FFB"/>
    <w:rsid w:val="005913D6"/>
    <w:rsid w:val="005C7D47"/>
    <w:rsid w:val="005D11E6"/>
    <w:rsid w:val="005D3481"/>
    <w:rsid w:val="005E2BC5"/>
    <w:rsid w:val="006A4E02"/>
    <w:rsid w:val="006C4EFC"/>
    <w:rsid w:val="0071293A"/>
    <w:rsid w:val="00724C2D"/>
    <w:rsid w:val="00737F22"/>
    <w:rsid w:val="00743E41"/>
    <w:rsid w:val="00744BD7"/>
    <w:rsid w:val="00753B92"/>
    <w:rsid w:val="007D2FA1"/>
    <w:rsid w:val="008126E4"/>
    <w:rsid w:val="00814F4C"/>
    <w:rsid w:val="00833FEC"/>
    <w:rsid w:val="0086249F"/>
    <w:rsid w:val="00865576"/>
    <w:rsid w:val="00881D4E"/>
    <w:rsid w:val="008912E8"/>
    <w:rsid w:val="008927EA"/>
    <w:rsid w:val="008A7997"/>
    <w:rsid w:val="008B3DA7"/>
    <w:rsid w:val="008E7B1A"/>
    <w:rsid w:val="00943600"/>
    <w:rsid w:val="009676FD"/>
    <w:rsid w:val="0097370A"/>
    <w:rsid w:val="00984691"/>
    <w:rsid w:val="009C2C8F"/>
    <w:rsid w:val="009C4CD6"/>
    <w:rsid w:val="009C557E"/>
    <w:rsid w:val="00A04705"/>
    <w:rsid w:val="00A3769E"/>
    <w:rsid w:val="00A6600E"/>
    <w:rsid w:val="00A9476B"/>
    <w:rsid w:val="00AB3A63"/>
    <w:rsid w:val="00AC7541"/>
    <w:rsid w:val="00B23D3D"/>
    <w:rsid w:val="00B749DD"/>
    <w:rsid w:val="00B762FD"/>
    <w:rsid w:val="00BB7D0E"/>
    <w:rsid w:val="00BC31EE"/>
    <w:rsid w:val="00BD1919"/>
    <w:rsid w:val="00C036D1"/>
    <w:rsid w:val="00C26950"/>
    <w:rsid w:val="00C50B6F"/>
    <w:rsid w:val="00C76B99"/>
    <w:rsid w:val="00CD4173"/>
    <w:rsid w:val="00CF0358"/>
    <w:rsid w:val="00D23772"/>
    <w:rsid w:val="00D50735"/>
    <w:rsid w:val="00DC07FB"/>
    <w:rsid w:val="00DE2479"/>
    <w:rsid w:val="00E03558"/>
    <w:rsid w:val="00E14BA4"/>
    <w:rsid w:val="00E76434"/>
    <w:rsid w:val="00ED46C1"/>
    <w:rsid w:val="00EE7287"/>
    <w:rsid w:val="00F47BB1"/>
    <w:rsid w:val="00F63448"/>
    <w:rsid w:val="00F87772"/>
    <w:rsid w:val="00FB63D6"/>
    <w:rsid w:val="00FD1089"/>
    <w:rsid w:val="00FF0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57DB658"/>
  <w15:docId w15:val="{302A8E0B-D326-49AE-8DDD-FCA5EFAA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89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089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089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GB"/>
    </w:rPr>
  </w:style>
  <w:style w:type="paragraph" w:styleId="Heading4">
    <w:name w:val="heading 4"/>
    <w:basedOn w:val="Normal"/>
    <w:next w:val="Normal"/>
    <w:link w:val="Heading4Char"/>
    <w:unhideWhenUsed/>
    <w:rsid w:val="00FD10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FD1089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089"/>
    <w:pPr>
      <w:tabs>
        <w:tab w:val="clear" w:pos="567"/>
        <w:tab w:val="left" w:pos="360"/>
      </w:tabs>
      <w:ind w:left="720" w:hanging="360"/>
    </w:pPr>
  </w:style>
  <w:style w:type="paragraph" w:customStyle="1" w:styleId="Default">
    <w:name w:val="Default"/>
    <w:rsid w:val="00BB7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7997"/>
  </w:style>
  <w:style w:type="paragraph" w:styleId="Footer">
    <w:name w:val="footer"/>
    <w:basedOn w:val="Normal"/>
    <w:link w:val="FooterChar"/>
    <w:uiPriority w:val="99"/>
    <w:unhideWhenUsed/>
    <w:rsid w:val="008A79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7997"/>
  </w:style>
  <w:style w:type="paragraph" w:styleId="BalloonText">
    <w:name w:val="Balloon Text"/>
    <w:basedOn w:val="Normal"/>
    <w:link w:val="BalloonTextChar"/>
    <w:uiPriority w:val="99"/>
    <w:semiHidden/>
    <w:unhideWhenUsed/>
    <w:rsid w:val="009436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00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link w:val="1Char"/>
    <w:qFormat/>
    <w:rsid w:val="00FD1089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FD1089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FD1089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FD1089"/>
    <w:pPr>
      <w:tabs>
        <w:tab w:val="clear" w:pos="567"/>
      </w:tabs>
      <w:snapToGrid/>
      <w:spacing w:before="240" w:after="0"/>
      <w:ind w:left="360" w:hanging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FD1089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FD1089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FD1089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D1089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FD1089"/>
    <w:pPr>
      <w:numPr>
        <w:ilvl w:val="1"/>
        <w:numId w:val="12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FD1089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D1089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FD1089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08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FD1089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D108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FD1089"/>
    <w:rPr>
      <w:b/>
      <w:bCs/>
    </w:rPr>
  </w:style>
  <w:style w:type="character" w:styleId="Emphasis">
    <w:name w:val="Emphasis"/>
    <w:basedOn w:val="DefaultParagraphFont"/>
    <w:uiPriority w:val="20"/>
    <w:qFormat/>
    <w:rsid w:val="00FD1089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FD1089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GB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FD1089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08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089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FD1089"/>
    <w:pPr>
      <w:spacing w:before="200" w:after="160"/>
      <w:ind w:left="864" w:right="864"/>
    </w:pPr>
    <w:rPr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FD1089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089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089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089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FD1089"/>
    <w:rPr>
      <w:vertAlign w:val="superscript"/>
    </w:rPr>
  </w:style>
  <w:style w:type="paragraph" w:styleId="Revision">
    <w:name w:val="Revision"/>
    <w:hidden/>
    <w:uiPriority w:val="99"/>
    <w:semiHidden/>
    <w:rsid w:val="005072B5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chap">
    <w:name w:val="Caschap"/>
    <w:basedOn w:val="Normal"/>
    <w:rsid w:val="009C557E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Cs/>
      <w:i/>
      <w:caps/>
      <w:snapToGrid/>
      <w:w w:val="107"/>
      <w:sz w:val="36"/>
      <w:szCs w:val="48"/>
      <w:lang w:eastAsia="en-US"/>
    </w:rPr>
  </w:style>
  <w:style w:type="paragraph" w:customStyle="1" w:styleId="Cas">
    <w:name w:val="Cas"/>
    <w:basedOn w:val="Heading4"/>
    <w:rsid w:val="009C557E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9C557E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9C557E"/>
    <w:rPr>
      <w:rFonts w:ascii="Arial" w:eastAsia="SimSun" w:hAnsi="Arial" w:cs="Arial"/>
      <w:w w:val="95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28DD-F01B-45E5-A38E-7C533783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2029</Words>
  <Characters>11165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Kim, Dain</cp:lastModifiedBy>
  <cp:revision>18</cp:revision>
  <dcterms:created xsi:type="dcterms:W3CDTF">2015-12-11T11:02:00Z</dcterms:created>
  <dcterms:modified xsi:type="dcterms:W3CDTF">2018-03-20T14:26:00Z</dcterms:modified>
</cp:coreProperties>
</file>