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7E759" w14:textId="1E54EE7C" w:rsidR="00BC05CE" w:rsidRPr="003E3D81" w:rsidRDefault="00144307" w:rsidP="003E3D81">
      <w:pPr>
        <w:pStyle w:val="Caschap"/>
        <w:rPr>
          <w:i w:val="0"/>
        </w:rPr>
      </w:pPr>
      <w:bookmarkStart w:id="0" w:name="_Toc415314043"/>
      <w:r w:rsidRPr="003E3D81">
        <w:rPr>
          <w:i w:val="0"/>
        </w:rPr>
        <w:t>Estudio de caso</w:t>
      </w:r>
      <w:r w:rsidR="00BC05CE" w:rsidRPr="003E3D81">
        <w:rPr>
          <w:i w:val="0"/>
        </w:rPr>
        <w:t> 38</w:t>
      </w:r>
    </w:p>
    <w:p w14:paraId="69431088" w14:textId="77777777" w:rsidR="00507ED1" w:rsidRPr="003E3D81" w:rsidRDefault="00B55954" w:rsidP="00427C11">
      <w:pPr>
        <w:pStyle w:val="Cas"/>
        <w:jc w:val="left"/>
        <w:rPr>
          <w:i w:val="0"/>
          <w:iCs w:val="0"/>
          <w:caps w:val="0"/>
        </w:rPr>
      </w:pPr>
      <w:r w:rsidRPr="003E3D81">
        <w:rPr>
          <w:i w:val="0"/>
          <w:iCs w:val="0"/>
          <w:caps w:val="0"/>
        </w:rPr>
        <w:t xml:space="preserve">El </w:t>
      </w:r>
      <w:r w:rsidRPr="003E3D81">
        <w:rPr>
          <w:caps w:val="0"/>
        </w:rPr>
        <w:t>t</w:t>
      </w:r>
      <w:r w:rsidR="00DF024F" w:rsidRPr="003E3D81">
        <w:rPr>
          <w:caps w:val="0"/>
        </w:rPr>
        <w:t>átau</w:t>
      </w:r>
      <w:r w:rsidR="00DF024F" w:rsidRPr="003E3D81">
        <w:rPr>
          <w:i w:val="0"/>
          <w:iCs w:val="0"/>
          <w:vertAlign w:val="superscript"/>
        </w:rPr>
        <w:footnoteReference w:id="1"/>
      </w:r>
    </w:p>
    <w:p w14:paraId="4CDE2206" w14:textId="71732D39" w:rsidR="00F01F8C" w:rsidRPr="003E3D81" w:rsidRDefault="00F01F8C" w:rsidP="003E3D81">
      <w:pPr>
        <w:pStyle w:val="Texte1"/>
      </w:pPr>
      <w:r w:rsidRPr="003E3D81">
        <w:t xml:space="preserve">El presente estudio de caso versa sobre la tradición samoana de tatuarse la piel (también conocida con el vocablo polinesio tátau). </w:t>
      </w:r>
      <w:r w:rsidR="00AF4AC8" w:rsidRPr="003E3D81">
        <w:t>Se presentan</w:t>
      </w:r>
      <w:r w:rsidRPr="003E3D81">
        <w:t xml:space="preserve"> tres enfoques de políticas supuestamente compatibles en el ámbito de la cultura y el desarrollo, y </w:t>
      </w:r>
      <w:r w:rsidR="00AF4AC8" w:rsidRPr="003E3D81">
        <w:t>luego se analiza la compatibilidad de estos enfoques efectuando un análisis</w:t>
      </w:r>
      <w:r w:rsidR="007874D3" w:rsidRPr="003E3D81">
        <w:t xml:space="preserve"> de la situación actual </w:t>
      </w:r>
      <w:r w:rsidR="00AF4AC8" w:rsidRPr="003E3D81">
        <w:t>de esta tradición samoana</w:t>
      </w:r>
      <w:r w:rsidRPr="003E3D81">
        <w:t>.</w:t>
      </w:r>
    </w:p>
    <w:p w14:paraId="00CC1A3F" w14:textId="6698B96E" w:rsidR="00CC02DF" w:rsidRPr="003E3D81" w:rsidRDefault="0050273B" w:rsidP="00BC05CE">
      <w:pPr>
        <w:pStyle w:val="Heading4"/>
        <w:rPr>
          <w:lang w:val="en-US"/>
        </w:rPr>
      </w:pPr>
      <w:r w:rsidRPr="003E3D81">
        <w:rPr>
          <w:lang w:val="en-US"/>
        </w:rPr>
        <w:t>Tres enfoques en materia de cultura y desarrollo</w:t>
      </w:r>
    </w:p>
    <w:p w14:paraId="3117A31A" w14:textId="2C9D2C55" w:rsidR="00147C44" w:rsidRPr="003E3D81" w:rsidRDefault="00E25FB6" w:rsidP="00B37DFB">
      <w:pPr>
        <w:pStyle w:val="Texte1"/>
      </w:pPr>
      <w:r w:rsidRPr="003E3D81">
        <w:t xml:space="preserve">El interés por proteger los conocimientos tradicionales y salvaguardar el patrimonio cultural inmaterial </w:t>
      </w:r>
      <w:r w:rsidR="00F930A6" w:rsidRPr="003E3D81">
        <w:t>ha aumentado en el mundo entero y, e</w:t>
      </w:r>
      <w:r w:rsidRPr="003E3D81">
        <w:t xml:space="preserve">n la región de las islas del Pacífico, se ha plasmado en políticas </w:t>
      </w:r>
      <w:r w:rsidR="0041791B" w:rsidRPr="003E3D81">
        <w:t>basadas</w:t>
      </w:r>
      <w:r w:rsidRPr="003E3D81">
        <w:t xml:space="preserve"> en tres enfoques principales:</w:t>
      </w:r>
    </w:p>
    <w:p w14:paraId="72D8E978" w14:textId="31F9FC8A" w:rsidR="00147C44" w:rsidRPr="00BC78C7" w:rsidRDefault="0000207A" w:rsidP="00B37DFB">
      <w:pPr>
        <w:pStyle w:val="Texte1"/>
        <w:numPr>
          <w:ilvl w:val="0"/>
          <w:numId w:val="18"/>
        </w:numPr>
        <w:rPr>
          <w:lang w:val="es-ES"/>
        </w:rPr>
      </w:pPr>
      <w:r w:rsidRPr="00BC78C7">
        <w:rPr>
          <w:lang w:val="es-ES"/>
        </w:rPr>
        <w:t xml:space="preserve">la aplicación de nuevos regímenes especiales en materia de protección de la propiedad intelectual </w:t>
      </w:r>
      <w:r w:rsidR="003D3F02">
        <w:rPr>
          <w:lang w:val="es-ES"/>
        </w:rPr>
        <w:t xml:space="preserve">(regímenes </w:t>
      </w:r>
      <w:r w:rsidR="003D3F02" w:rsidRPr="003D3F02">
        <w:rPr>
          <w:i/>
          <w:lang w:val="es-ES"/>
        </w:rPr>
        <w:t>sui generis</w:t>
      </w:r>
      <w:r w:rsidR="003D3F02">
        <w:rPr>
          <w:lang w:val="es-ES"/>
        </w:rPr>
        <w:t xml:space="preserve">) </w:t>
      </w:r>
      <w:r w:rsidRPr="00BC78C7">
        <w:rPr>
          <w:lang w:val="es-ES"/>
        </w:rPr>
        <w:t>que confieren los derechos y el control exclusivo de los conocimientos tradicionales a sus propietarios históricos;</w:t>
      </w:r>
    </w:p>
    <w:p w14:paraId="0681A1D0" w14:textId="77777777" w:rsidR="00147C44" w:rsidRPr="00BC78C7" w:rsidRDefault="0000207A" w:rsidP="00B37DFB">
      <w:pPr>
        <w:pStyle w:val="Texte1"/>
        <w:numPr>
          <w:ilvl w:val="0"/>
          <w:numId w:val="18"/>
        </w:numPr>
        <w:rPr>
          <w:lang w:val="es-ES"/>
        </w:rPr>
      </w:pPr>
      <w:r w:rsidRPr="00BC78C7">
        <w:rPr>
          <w:lang w:val="es-ES"/>
        </w:rPr>
        <w:t xml:space="preserve">la promoción de las industrias culturales como medio del desarrollo sostenible; y </w:t>
      </w:r>
    </w:p>
    <w:p w14:paraId="36295226" w14:textId="77777777" w:rsidR="00147C44" w:rsidRPr="00BC78C7" w:rsidRDefault="0000207A" w:rsidP="00B37DFB">
      <w:pPr>
        <w:pStyle w:val="Texte1"/>
        <w:numPr>
          <w:ilvl w:val="0"/>
          <w:numId w:val="18"/>
        </w:numPr>
        <w:rPr>
          <w:lang w:val="es-ES"/>
        </w:rPr>
      </w:pPr>
      <w:r w:rsidRPr="00BC78C7">
        <w:rPr>
          <w:lang w:val="es-ES"/>
        </w:rPr>
        <w:t>la salvaguardia del patrimonio cultural inmaterial (PCI).</w:t>
      </w:r>
    </w:p>
    <w:p w14:paraId="6A414E60" w14:textId="502704BE" w:rsidR="009F3EEE" w:rsidRPr="00BC78C7" w:rsidRDefault="009F3EEE" w:rsidP="00B37DFB">
      <w:pPr>
        <w:pStyle w:val="Texte1"/>
        <w:rPr>
          <w:lang w:val="es-ES"/>
        </w:rPr>
      </w:pPr>
      <w:r w:rsidRPr="00BC78C7">
        <w:rPr>
          <w:lang w:val="es-ES"/>
        </w:rPr>
        <w:t xml:space="preserve">Los tres enfoques fueron motivados por una serie de demandas relacionadas con la malversación de los conocimientos tradicionales, el déficit de transmisión de esos conocimientos, y el deterioro y la pérdida de la cultura provocados por la globalización; otra motivación fue la esperanza de que las comunidades locales pudieran capitalizar los conocimientos tradicionales para impulsar sus economías.  Conferir el control o los derechos de propiedad sobre los conocimientos tradicionales (o el PCI) a comunidades o grupos —en vez de </w:t>
      </w:r>
      <w:r w:rsidR="00485E2E">
        <w:rPr>
          <w:lang w:val="es-ES"/>
        </w:rPr>
        <w:t>otorgárselos</w:t>
      </w:r>
      <w:r w:rsidRPr="00BC78C7">
        <w:rPr>
          <w:lang w:val="es-ES"/>
        </w:rPr>
        <w:t xml:space="preserve"> a particulares o al Estado— se presenta como una alternativa cada vez más atractiva.</w:t>
      </w:r>
    </w:p>
    <w:p w14:paraId="66689928" w14:textId="4CEB3572" w:rsidR="00007000" w:rsidRPr="001F1B95" w:rsidRDefault="0050273B" w:rsidP="00BC05CE">
      <w:pPr>
        <w:pStyle w:val="Heading4"/>
        <w:rPr>
          <w:lang w:val="es-ES"/>
        </w:rPr>
      </w:pPr>
      <w:r w:rsidRPr="001F1B95">
        <w:rPr>
          <w:lang w:val="es-ES"/>
        </w:rPr>
        <w:t xml:space="preserve">El </w:t>
      </w:r>
      <w:r w:rsidRPr="001F1B95">
        <w:rPr>
          <w:i/>
          <w:lang w:val="es-ES"/>
        </w:rPr>
        <w:t>tátau</w:t>
      </w:r>
      <w:r w:rsidRPr="001F1B95">
        <w:rPr>
          <w:lang w:val="es-ES"/>
        </w:rPr>
        <w:t xml:space="preserve"> samoano: una tradición en constante cambio</w:t>
      </w:r>
    </w:p>
    <w:p w14:paraId="55C87D07" w14:textId="5435A916" w:rsidR="00D8079D" w:rsidRPr="00BC78C7" w:rsidRDefault="007D5AC7" w:rsidP="00B37DFB">
      <w:pPr>
        <w:pStyle w:val="Texte1"/>
        <w:rPr>
          <w:lang w:val="es-ES"/>
        </w:rPr>
      </w:pPr>
      <w:r w:rsidRPr="00BC78C7">
        <w:rPr>
          <w:lang w:val="es-ES"/>
        </w:rPr>
        <w:t xml:space="preserve">El </w:t>
      </w:r>
      <w:r w:rsidRPr="00BC78C7">
        <w:rPr>
          <w:i/>
          <w:iCs/>
          <w:lang w:val="es-ES"/>
        </w:rPr>
        <w:t>tátau</w:t>
      </w:r>
      <w:r w:rsidRPr="00BC78C7">
        <w:rPr>
          <w:lang w:val="es-ES"/>
        </w:rPr>
        <w:t xml:space="preserve"> es realizado por tatuadores especializados conocidos como </w:t>
      </w:r>
      <w:r w:rsidRPr="00BC78C7">
        <w:rPr>
          <w:i/>
          <w:iCs/>
          <w:lang w:val="es-ES"/>
        </w:rPr>
        <w:t>tufuga</w:t>
      </w:r>
      <w:r w:rsidRPr="00BC78C7">
        <w:rPr>
          <w:lang w:val="es-ES"/>
        </w:rPr>
        <w:t>. En el siglo XIX,</w:t>
      </w:r>
      <w:r w:rsidR="001B22F2">
        <w:rPr>
          <w:lang w:val="es-ES"/>
        </w:rPr>
        <w:t xml:space="preserve"> y por lo general en la actualidad,</w:t>
      </w:r>
      <w:r w:rsidRPr="00BC78C7">
        <w:rPr>
          <w:lang w:val="es-ES"/>
        </w:rPr>
        <w:t xml:space="preserve"> los </w:t>
      </w:r>
      <w:r w:rsidRPr="00BC78C7">
        <w:rPr>
          <w:i/>
          <w:iCs/>
          <w:lang w:val="es-ES"/>
        </w:rPr>
        <w:t>tufuga</w:t>
      </w:r>
      <w:r w:rsidRPr="00BC78C7">
        <w:rPr>
          <w:lang w:val="es-ES"/>
        </w:rPr>
        <w:t xml:space="preserve"> estaban asociados con dos de los principales grupos familiares del país (</w:t>
      </w:r>
      <w:r w:rsidR="001B22F2">
        <w:rPr>
          <w:lang w:val="es-ES"/>
        </w:rPr>
        <w:t xml:space="preserve">llamados </w:t>
      </w:r>
      <w:r w:rsidRPr="00BC78C7">
        <w:rPr>
          <w:i/>
          <w:iCs/>
          <w:lang w:val="es-ES"/>
        </w:rPr>
        <w:t>aiga</w:t>
      </w:r>
      <w:r w:rsidRPr="00BC78C7">
        <w:rPr>
          <w:lang w:val="es-ES"/>
        </w:rPr>
        <w:t>’</w:t>
      </w:r>
      <w:r w:rsidR="001B22F2">
        <w:rPr>
          <w:iCs/>
          <w:lang w:val="es-ES"/>
        </w:rPr>
        <w:t xml:space="preserve"> </w:t>
      </w:r>
      <w:r w:rsidRPr="001B22F2">
        <w:rPr>
          <w:iCs/>
          <w:lang w:val="es-ES"/>
        </w:rPr>
        <w:t>en samoano</w:t>
      </w:r>
      <w:r w:rsidRPr="001B22F2">
        <w:rPr>
          <w:lang w:val="es-ES"/>
        </w:rPr>
        <w:t>)</w:t>
      </w:r>
      <w:r w:rsidR="0041791B" w:rsidRPr="001B22F2">
        <w:rPr>
          <w:lang w:val="es-ES"/>
        </w:rPr>
        <w:t>.</w:t>
      </w:r>
      <w:r w:rsidR="0041791B" w:rsidRPr="00BC78C7">
        <w:rPr>
          <w:lang w:val="es-ES"/>
        </w:rPr>
        <w:t xml:space="preserve"> </w:t>
      </w:r>
      <w:r w:rsidRPr="00BC78C7">
        <w:rPr>
          <w:lang w:val="es-ES"/>
        </w:rPr>
        <w:t xml:space="preserve">La </w:t>
      </w:r>
      <w:r w:rsidR="00F930A6" w:rsidRPr="00BC78C7">
        <w:rPr>
          <w:lang w:val="es-ES"/>
        </w:rPr>
        <w:t>organización</w:t>
      </w:r>
      <w:r w:rsidRPr="00BC78C7">
        <w:rPr>
          <w:lang w:val="es-ES"/>
        </w:rPr>
        <w:t xml:space="preserve"> de estas familias guarda alguna similitud con las colonias de artesanos de otras sociedades: </w:t>
      </w:r>
      <w:r w:rsidR="00F930A6" w:rsidRPr="00BC78C7">
        <w:rPr>
          <w:lang w:val="es-ES"/>
        </w:rPr>
        <w:t xml:space="preserve">los </w:t>
      </w:r>
      <w:r w:rsidR="00F930A6" w:rsidRPr="00BC78C7">
        <w:rPr>
          <w:i/>
          <w:lang w:val="es-ES"/>
        </w:rPr>
        <w:t>tufuga</w:t>
      </w:r>
      <w:r w:rsidR="00F930A6" w:rsidRPr="00BC78C7">
        <w:rPr>
          <w:lang w:val="es-ES"/>
        </w:rPr>
        <w:t xml:space="preserve"> </w:t>
      </w:r>
      <w:r w:rsidRPr="00BC78C7">
        <w:rPr>
          <w:lang w:val="es-ES"/>
        </w:rPr>
        <w:t>se rigen por un sistema mediante el cual los artesanos más experimentados ense</w:t>
      </w:r>
      <w:r w:rsidR="00254DED" w:rsidRPr="00BC78C7">
        <w:rPr>
          <w:lang w:val="es-ES"/>
        </w:rPr>
        <w:t>ñan el oficio a sus aprendices.</w:t>
      </w:r>
      <w:r w:rsidR="001B22F2">
        <w:rPr>
          <w:lang w:val="es-ES"/>
        </w:rPr>
        <w:t xml:space="preserve"> Todas las “familias”</w:t>
      </w:r>
      <w:r w:rsidRPr="00BC78C7">
        <w:rPr>
          <w:lang w:val="es-ES"/>
        </w:rPr>
        <w:t xml:space="preserve"> de tatuadores tienen una estructura jerárquica, aunque cada una sigue sus propias reglas y tiene una marca distintiva propia.</w:t>
      </w:r>
    </w:p>
    <w:p w14:paraId="07716C29" w14:textId="1D27A00C" w:rsidR="0072367C" w:rsidRPr="00BC78C7" w:rsidRDefault="00B22E55" w:rsidP="00B37DFB">
      <w:pPr>
        <w:pStyle w:val="Texte1"/>
        <w:rPr>
          <w:lang w:val="es-ES"/>
        </w:rPr>
      </w:pPr>
      <w:r w:rsidRPr="00BC78C7">
        <w:rPr>
          <w:lang w:val="es-ES"/>
        </w:rPr>
        <w:t xml:space="preserve">Históricamente, el </w:t>
      </w:r>
      <w:r w:rsidRPr="00BC78C7">
        <w:rPr>
          <w:i/>
          <w:iCs/>
          <w:lang w:val="es-ES"/>
        </w:rPr>
        <w:t>tátau</w:t>
      </w:r>
      <w:r w:rsidRPr="00BC78C7">
        <w:rPr>
          <w:lang w:val="es-ES"/>
        </w:rPr>
        <w:t xml:space="preserve"> se practicaba en el marco de un rito de pasaje a la edad adulta que duraba varios días y solía incl</w:t>
      </w:r>
      <w:r w:rsidR="00254DED" w:rsidRPr="00BC78C7">
        <w:rPr>
          <w:lang w:val="es-ES"/>
        </w:rPr>
        <w:t xml:space="preserve">uir banquetes y celebraciones. </w:t>
      </w:r>
      <w:r w:rsidRPr="00BC78C7">
        <w:rPr>
          <w:lang w:val="es-ES"/>
        </w:rPr>
        <w:t xml:space="preserve">Las púas que usaban los tatuadores tradicionales estaban hechas de colmillos de jabalí y la tinta se preparaba diluyendo en agua el hollín de los frutos de un árbol (el </w:t>
      </w:r>
      <w:r w:rsidRPr="00BC78C7">
        <w:rPr>
          <w:i/>
          <w:iCs/>
          <w:lang w:val="es-ES"/>
        </w:rPr>
        <w:t>aleurites moluccanus</w:t>
      </w:r>
      <w:r w:rsidRPr="00BC78C7">
        <w:rPr>
          <w:lang w:val="es-ES"/>
        </w:rPr>
        <w:t xml:space="preserve">). El </w:t>
      </w:r>
      <w:r w:rsidRPr="00BC78C7">
        <w:rPr>
          <w:i/>
          <w:iCs/>
          <w:lang w:val="es-ES"/>
        </w:rPr>
        <w:t>tátau</w:t>
      </w:r>
      <w:r w:rsidRPr="00BC78C7">
        <w:rPr>
          <w:lang w:val="es-ES"/>
        </w:rPr>
        <w:t xml:space="preserve"> fue </w:t>
      </w:r>
      <w:r w:rsidR="00254DED" w:rsidRPr="00BC78C7">
        <w:rPr>
          <w:lang w:val="es-ES"/>
        </w:rPr>
        <w:t>proscrito</w:t>
      </w:r>
      <w:r w:rsidRPr="00BC78C7">
        <w:rPr>
          <w:lang w:val="es-ES"/>
        </w:rPr>
        <w:t xml:space="preserve"> por los misioneros en la década de 1830 y se mantuvo en la clandestinidad hasta que la Iglesia Católica </w:t>
      </w:r>
      <w:r w:rsidRPr="00BC78C7">
        <w:rPr>
          <w:lang w:val="es-ES"/>
        </w:rPr>
        <w:lastRenderedPageBreak/>
        <w:t>comenzó a</w:t>
      </w:r>
      <w:r w:rsidR="00934672" w:rsidRPr="00BC78C7">
        <w:rPr>
          <w:lang w:val="es-ES"/>
        </w:rPr>
        <w:t xml:space="preserve"> permitir los tatuajes en 1870.</w:t>
      </w:r>
      <w:r w:rsidR="001B22F2">
        <w:rPr>
          <w:lang w:val="es-ES"/>
        </w:rPr>
        <w:t xml:space="preserve"> </w:t>
      </w:r>
      <w:r w:rsidRPr="00BC78C7">
        <w:rPr>
          <w:lang w:val="es-ES"/>
        </w:rPr>
        <w:t xml:space="preserve">El interés por esta práctica ha crecido a nivel local e internacional desde principios de la década de 1960. En la actualidad, el </w:t>
      </w:r>
      <w:r w:rsidRPr="00BC78C7">
        <w:rPr>
          <w:i/>
          <w:iCs/>
          <w:lang w:val="es-ES"/>
        </w:rPr>
        <w:t>tátau</w:t>
      </w:r>
      <w:r w:rsidRPr="00BC78C7">
        <w:rPr>
          <w:lang w:val="es-ES"/>
        </w:rPr>
        <w:t xml:space="preserve"> ha trascendido las ceremonias tribales para convertirse en una insignia del patrimonio y la identidad de los samoanos, en particular para </w:t>
      </w:r>
      <w:r w:rsidR="00C71CF0" w:rsidRPr="00BC78C7">
        <w:rPr>
          <w:lang w:val="es-ES"/>
        </w:rPr>
        <w:t xml:space="preserve">quienes han emigrado del país. </w:t>
      </w:r>
      <w:r w:rsidR="00934672" w:rsidRPr="00BC78C7">
        <w:rPr>
          <w:lang w:val="es-ES"/>
        </w:rPr>
        <w:t>Hoy en día, tatutar a los extranjeros se ha convertido en una práctica habitual y, e</w:t>
      </w:r>
      <w:r w:rsidRPr="00BC78C7">
        <w:rPr>
          <w:lang w:val="es-ES"/>
        </w:rPr>
        <w:t xml:space="preserve">n algunos contextos, </w:t>
      </w:r>
      <w:r w:rsidR="00934672" w:rsidRPr="00BC78C7">
        <w:rPr>
          <w:lang w:val="es-ES"/>
        </w:rPr>
        <w:t>se trabaja con</w:t>
      </w:r>
      <w:r w:rsidRPr="00BC78C7">
        <w:rPr>
          <w:lang w:val="es-ES"/>
        </w:rPr>
        <w:t xml:space="preserve"> tinta y agujas m</w:t>
      </w:r>
      <w:r w:rsidR="00C71CF0" w:rsidRPr="00BC78C7">
        <w:rPr>
          <w:lang w:val="es-ES"/>
        </w:rPr>
        <w:t>odernas</w:t>
      </w:r>
      <w:r w:rsidR="00934672" w:rsidRPr="00BC78C7">
        <w:rPr>
          <w:lang w:val="es-ES"/>
        </w:rPr>
        <w:t>. Incluso</w:t>
      </w:r>
      <w:r w:rsidRPr="00BC78C7">
        <w:rPr>
          <w:lang w:val="es-ES"/>
        </w:rPr>
        <w:t xml:space="preserve"> suele ver</w:t>
      </w:r>
      <w:r w:rsidR="00934672" w:rsidRPr="00BC78C7">
        <w:rPr>
          <w:lang w:val="es-ES"/>
        </w:rPr>
        <w:t>se</w:t>
      </w:r>
      <w:r w:rsidRPr="00BC78C7">
        <w:rPr>
          <w:lang w:val="es-ES"/>
        </w:rPr>
        <w:t xml:space="preserve"> a mujeres con diseños que </w:t>
      </w:r>
      <w:r w:rsidR="00254DED" w:rsidRPr="00BC78C7">
        <w:rPr>
          <w:lang w:val="es-ES"/>
        </w:rPr>
        <w:t>tradicionalmente</w:t>
      </w:r>
      <w:r w:rsidRPr="00BC78C7">
        <w:rPr>
          <w:lang w:val="es-ES"/>
        </w:rPr>
        <w:t xml:space="preserve"> eran exclusivos de los hombres. </w:t>
      </w:r>
      <w:r w:rsidR="00934672" w:rsidRPr="00BC78C7">
        <w:rPr>
          <w:lang w:val="es-ES"/>
        </w:rPr>
        <w:t>Además, l</w:t>
      </w:r>
      <w:r w:rsidRPr="00BC78C7">
        <w:rPr>
          <w:lang w:val="es-ES"/>
        </w:rPr>
        <w:t>os tatuadores tradicionales han comenzado a incorporar diseños provenientes de Occidente y otros pu</w:t>
      </w:r>
      <w:r w:rsidR="00934672" w:rsidRPr="00BC78C7">
        <w:rPr>
          <w:lang w:val="es-ES"/>
        </w:rPr>
        <w:t>eblos polinesios, como el maorí</w:t>
      </w:r>
      <w:r w:rsidRPr="00BC78C7">
        <w:rPr>
          <w:lang w:val="es-ES"/>
        </w:rPr>
        <w:t xml:space="preserve"> </w:t>
      </w:r>
      <w:r w:rsidR="00934672" w:rsidRPr="00BC78C7">
        <w:rPr>
          <w:lang w:val="es-ES"/>
        </w:rPr>
        <w:t>(</w:t>
      </w:r>
      <w:r w:rsidR="001B22F2">
        <w:rPr>
          <w:lang w:val="es-ES"/>
        </w:rPr>
        <w:t xml:space="preserve">aunque, al parecer, </w:t>
      </w:r>
      <w:r w:rsidRPr="00BC78C7">
        <w:rPr>
          <w:lang w:val="es-ES"/>
        </w:rPr>
        <w:t xml:space="preserve">esto </w:t>
      </w:r>
      <w:r w:rsidR="00C71CF0" w:rsidRPr="00BC78C7">
        <w:rPr>
          <w:lang w:val="es-ES"/>
        </w:rPr>
        <w:t>ocurr</w:t>
      </w:r>
      <w:r w:rsidR="001B22F2">
        <w:rPr>
          <w:lang w:val="es-ES"/>
        </w:rPr>
        <w:t xml:space="preserve">e </w:t>
      </w:r>
      <w:r w:rsidRPr="00BC78C7">
        <w:rPr>
          <w:lang w:val="es-ES"/>
        </w:rPr>
        <w:t>al menos desde la d</w:t>
      </w:r>
      <w:r w:rsidR="00C71CF0" w:rsidRPr="00BC78C7">
        <w:rPr>
          <w:lang w:val="es-ES"/>
        </w:rPr>
        <w:t>écada de 1930</w:t>
      </w:r>
      <w:r w:rsidR="00934672" w:rsidRPr="00BC78C7">
        <w:rPr>
          <w:lang w:val="es-ES"/>
        </w:rPr>
        <w:t>)</w:t>
      </w:r>
      <w:r w:rsidR="00C71CF0" w:rsidRPr="00BC78C7">
        <w:rPr>
          <w:lang w:val="es-ES"/>
        </w:rPr>
        <w:t>. Por último, sucede</w:t>
      </w:r>
      <w:r w:rsidRPr="00BC78C7">
        <w:rPr>
          <w:lang w:val="es-ES"/>
        </w:rPr>
        <w:t xml:space="preserve"> cada vez más que los tatuajes se pagan únicamente con dinero, o con dinero y objetos de valor tradicionales.</w:t>
      </w:r>
    </w:p>
    <w:p w14:paraId="254F029D" w14:textId="27438794" w:rsidR="00D051A3" w:rsidRPr="001F1B95" w:rsidRDefault="0050273B" w:rsidP="00BC05CE">
      <w:pPr>
        <w:pStyle w:val="Heading4"/>
        <w:rPr>
          <w:lang w:val="es-ES"/>
        </w:rPr>
      </w:pPr>
      <w:r w:rsidRPr="001F1B95">
        <w:rPr>
          <w:lang w:val="es-ES"/>
        </w:rPr>
        <w:t>Diversas partes interesadas se atribuyen la potestad sobre la tradición</w:t>
      </w:r>
    </w:p>
    <w:p w14:paraId="632410D5" w14:textId="30FD4791" w:rsidR="000946C9" w:rsidRPr="00BC78C7" w:rsidRDefault="00007000" w:rsidP="00B37DFB">
      <w:pPr>
        <w:pStyle w:val="Texte1"/>
        <w:rPr>
          <w:lang w:val="es-ES"/>
        </w:rPr>
      </w:pPr>
      <w:r w:rsidRPr="00BC78C7">
        <w:rPr>
          <w:lang w:val="es-ES"/>
        </w:rPr>
        <w:t>Los samoanos</w:t>
      </w:r>
      <w:r w:rsidR="000F4B7F">
        <w:rPr>
          <w:lang w:val="es-ES"/>
        </w:rPr>
        <w:t xml:space="preserve"> y las familias </w:t>
      </w:r>
      <w:r w:rsidR="000F4B7F" w:rsidRPr="000F4B7F">
        <w:rPr>
          <w:i/>
          <w:lang w:val="es-ES"/>
        </w:rPr>
        <w:t>tufuga</w:t>
      </w:r>
      <w:r w:rsidRPr="00BC78C7">
        <w:rPr>
          <w:lang w:val="es-ES"/>
        </w:rPr>
        <w:t xml:space="preserve">, tanto dentro como fuera del país, mantienen profundas diferencias sobre si conviene o no cambiar las tradiciones del </w:t>
      </w:r>
      <w:r w:rsidRPr="00BC78C7">
        <w:rPr>
          <w:i/>
          <w:iCs/>
          <w:lang w:val="es-ES"/>
        </w:rPr>
        <w:t>tátau,</w:t>
      </w:r>
      <w:r w:rsidRPr="00BC78C7">
        <w:rPr>
          <w:lang w:val="es-ES"/>
        </w:rPr>
        <w:t xml:space="preserve"> y sobre quién debería tomar decisiones y ejercer el control sobre </w:t>
      </w:r>
      <w:r w:rsidR="00C71CF0" w:rsidRPr="00BC78C7">
        <w:rPr>
          <w:lang w:val="es-ES"/>
        </w:rPr>
        <w:t xml:space="preserve">los </w:t>
      </w:r>
      <w:r w:rsidRPr="00BC78C7">
        <w:rPr>
          <w:lang w:val="es-ES"/>
        </w:rPr>
        <w:t>cambios</w:t>
      </w:r>
      <w:r w:rsidR="00C71CF0" w:rsidRPr="00BC78C7">
        <w:rPr>
          <w:lang w:val="es-ES"/>
        </w:rPr>
        <w:t xml:space="preserve"> eventuales</w:t>
      </w:r>
      <w:r w:rsidRPr="00BC78C7">
        <w:rPr>
          <w:lang w:val="es-ES"/>
        </w:rPr>
        <w:t xml:space="preserve">. Existen tres grupos que se atribuyen la potestad sobre el </w:t>
      </w:r>
      <w:r w:rsidRPr="00BC78C7">
        <w:rPr>
          <w:i/>
          <w:iCs/>
          <w:lang w:val="es-ES"/>
        </w:rPr>
        <w:t>tátau</w:t>
      </w:r>
      <w:r w:rsidRPr="00BC78C7">
        <w:rPr>
          <w:lang w:val="es-ES"/>
        </w:rPr>
        <w:t xml:space="preserve">: los </w:t>
      </w:r>
      <w:r w:rsidRPr="00BC78C7">
        <w:rPr>
          <w:i/>
          <w:iCs/>
          <w:lang w:val="es-ES"/>
        </w:rPr>
        <w:t>tufuga</w:t>
      </w:r>
      <w:r w:rsidRPr="00BC78C7">
        <w:rPr>
          <w:lang w:val="es-ES"/>
        </w:rPr>
        <w:t xml:space="preserve"> (en especial las dos familias principales que históricamente se han dedicado a practicar la tradición), el Estado y </w:t>
      </w:r>
      <w:r w:rsidR="000F4B7F">
        <w:rPr>
          <w:lang w:val="es-ES"/>
        </w:rPr>
        <w:t>la población en general</w:t>
      </w:r>
      <w:r w:rsidR="00907584">
        <w:rPr>
          <w:lang w:val="es-ES"/>
        </w:rPr>
        <w:t>.</w:t>
      </w:r>
    </w:p>
    <w:p w14:paraId="79A6A660" w14:textId="396C3B6D" w:rsidR="00CF3F2A" w:rsidRPr="00BC78C7" w:rsidRDefault="00115615" w:rsidP="00B37DFB">
      <w:pPr>
        <w:pStyle w:val="Texte1"/>
        <w:rPr>
          <w:lang w:val="es-ES"/>
        </w:rPr>
      </w:pPr>
      <w:r w:rsidRPr="00BC78C7">
        <w:rPr>
          <w:b/>
          <w:bCs/>
          <w:lang w:val="es-ES"/>
        </w:rPr>
        <w:t xml:space="preserve">Los </w:t>
      </w:r>
      <w:r w:rsidRPr="000F4B7F">
        <w:rPr>
          <w:b/>
          <w:bCs/>
          <w:i/>
          <w:lang w:val="es-ES"/>
        </w:rPr>
        <w:t>tufuga</w:t>
      </w:r>
      <w:r w:rsidRPr="00BC78C7">
        <w:rPr>
          <w:lang w:val="es-ES"/>
        </w:rPr>
        <w:t xml:space="preserve">, por lo general, consideran que el </w:t>
      </w:r>
      <w:r w:rsidRPr="00BC78C7">
        <w:rPr>
          <w:i/>
          <w:iCs/>
          <w:lang w:val="es-ES"/>
        </w:rPr>
        <w:t xml:space="preserve">tátau </w:t>
      </w:r>
      <w:r w:rsidRPr="00BC78C7">
        <w:rPr>
          <w:lang w:val="es-ES"/>
        </w:rPr>
        <w:t xml:space="preserve">debe acompañar </w:t>
      </w:r>
      <w:r w:rsidR="000F4B7F">
        <w:rPr>
          <w:lang w:val="es-ES"/>
        </w:rPr>
        <w:t xml:space="preserve">a </w:t>
      </w:r>
      <w:r w:rsidRPr="00BC78C7">
        <w:rPr>
          <w:lang w:val="es-ES"/>
        </w:rPr>
        <w:t xml:space="preserve">los tiempos modernos. Algunos difunden activamente la tradición organizando festivales y enseñando el oficio a otros artesanos, mientras que otros prefieren no modificar los diseños. Dentro de este último grupo, miembros de ambas familias aducen derechos históricos sobre la práctica del </w:t>
      </w:r>
      <w:r w:rsidRPr="00BC78C7">
        <w:rPr>
          <w:i/>
          <w:iCs/>
          <w:lang w:val="es-ES"/>
        </w:rPr>
        <w:t>tátau</w:t>
      </w:r>
      <w:r w:rsidRPr="00BC78C7">
        <w:rPr>
          <w:lang w:val="es-ES"/>
        </w:rPr>
        <w:t xml:space="preserve">. Fundan su reclamo en una leyenda mitológica según la cual sus ancestros recibieron el </w:t>
      </w:r>
      <w:r w:rsidR="000F4B7F">
        <w:rPr>
          <w:lang w:val="es-ES"/>
        </w:rPr>
        <w:t xml:space="preserve">“don” </w:t>
      </w:r>
      <w:r w:rsidRPr="00BC78C7">
        <w:rPr>
          <w:lang w:val="es-ES"/>
        </w:rPr>
        <w:t xml:space="preserve">del </w:t>
      </w:r>
      <w:r w:rsidRPr="00BC78C7">
        <w:rPr>
          <w:i/>
          <w:iCs/>
          <w:lang w:val="es-ES"/>
        </w:rPr>
        <w:t>tátau</w:t>
      </w:r>
      <w:r w:rsidRPr="00BC78C7">
        <w:rPr>
          <w:lang w:val="es-ES"/>
        </w:rPr>
        <w:t xml:space="preserve"> de manos de dos deidades gemelas que se presentaron en Samoa y les dieron una canasta con púas e instrucciones sobre cómo utilizarlas. Estas familias </w:t>
      </w:r>
      <w:r w:rsidR="00C71CF0" w:rsidRPr="00BC78C7">
        <w:rPr>
          <w:lang w:val="es-ES"/>
        </w:rPr>
        <w:t>reclaman</w:t>
      </w:r>
      <w:r w:rsidRPr="00BC78C7">
        <w:rPr>
          <w:lang w:val="es-ES"/>
        </w:rPr>
        <w:t xml:space="preserve"> derechos de autor sobre los diseños tradicionales y </w:t>
      </w:r>
      <w:r w:rsidR="00C71CF0" w:rsidRPr="00BC78C7">
        <w:rPr>
          <w:lang w:val="es-ES"/>
        </w:rPr>
        <w:t xml:space="preserve">pretenden </w:t>
      </w:r>
      <w:r w:rsidRPr="00BC78C7">
        <w:rPr>
          <w:lang w:val="es-ES"/>
        </w:rPr>
        <w:t xml:space="preserve">controlar su uso en billetes, vestimentas y </w:t>
      </w:r>
      <w:r w:rsidR="00934672" w:rsidRPr="00BC78C7">
        <w:rPr>
          <w:lang w:val="es-ES"/>
        </w:rPr>
        <w:t>diversos</w:t>
      </w:r>
      <w:r w:rsidRPr="00BC78C7">
        <w:rPr>
          <w:lang w:val="es-ES"/>
        </w:rPr>
        <w:t xml:space="preserve"> artículos. Existe otro grupo de </w:t>
      </w:r>
      <w:r w:rsidRPr="00BC78C7">
        <w:rPr>
          <w:i/>
          <w:iCs/>
          <w:lang w:val="es-ES"/>
        </w:rPr>
        <w:t>tufuga</w:t>
      </w:r>
      <w:r w:rsidRPr="00BC78C7">
        <w:rPr>
          <w:lang w:val="es-ES"/>
        </w:rPr>
        <w:t xml:space="preserve">, que vendría a constituir una tercera </w:t>
      </w:r>
      <w:r w:rsidR="000F4B7F">
        <w:rPr>
          <w:lang w:val="es-ES"/>
        </w:rPr>
        <w:t>“familia”</w:t>
      </w:r>
      <w:r w:rsidR="00C71CF0" w:rsidRPr="00BC78C7">
        <w:rPr>
          <w:lang w:val="es-ES"/>
        </w:rPr>
        <w:t>, que no adhiere a estos</w:t>
      </w:r>
      <w:r w:rsidRPr="00BC78C7">
        <w:rPr>
          <w:lang w:val="es-ES"/>
        </w:rPr>
        <w:t xml:space="preserve"> reclamo</w:t>
      </w:r>
      <w:r w:rsidR="00C71CF0" w:rsidRPr="00BC78C7">
        <w:rPr>
          <w:lang w:val="es-ES"/>
        </w:rPr>
        <w:t>s</w:t>
      </w:r>
      <w:r w:rsidRPr="00BC78C7">
        <w:rPr>
          <w:lang w:val="es-ES"/>
        </w:rPr>
        <w:t xml:space="preserve">. No obstante, todos los </w:t>
      </w:r>
      <w:r w:rsidRPr="00BC78C7">
        <w:rPr>
          <w:i/>
          <w:iCs/>
          <w:lang w:val="es-ES"/>
        </w:rPr>
        <w:t>tufuga</w:t>
      </w:r>
      <w:r w:rsidRPr="00BC78C7">
        <w:rPr>
          <w:lang w:val="es-ES"/>
        </w:rPr>
        <w:t xml:space="preserve"> reclaman el derecho de tomar decisiones sobre el </w:t>
      </w:r>
      <w:r w:rsidRPr="00BC78C7">
        <w:rPr>
          <w:i/>
          <w:iCs/>
          <w:lang w:val="es-ES"/>
        </w:rPr>
        <w:t>tátau</w:t>
      </w:r>
      <w:r w:rsidRPr="00BC78C7">
        <w:rPr>
          <w:lang w:val="es-ES"/>
        </w:rPr>
        <w:t xml:space="preserve"> y obtener beneficios económicos de </w:t>
      </w:r>
      <w:r w:rsidR="00934672" w:rsidRPr="00BC78C7">
        <w:rPr>
          <w:lang w:val="es-ES"/>
        </w:rPr>
        <w:t>la</w:t>
      </w:r>
      <w:r w:rsidRPr="00BC78C7">
        <w:rPr>
          <w:lang w:val="es-ES"/>
        </w:rPr>
        <w:t xml:space="preserve"> práctica.</w:t>
      </w:r>
    </w:p>
    <w:p w14:paraId="09499967" w14:textId="7AE2790C" w:rsidR="00115615" w:rsidRPr="00BC78C7" w:rsidRDefault="000946C9" w:rsidP="00B37DFB">
      <w:pPr>
        <w:pStyle w:val="Texte1"/>
        <w:rPr>
          <w:lang w:val="es-ES"/>
        </w:rPr>
      </w:pPr>
      <w:r w:rsidRPr="00BC78C7">
        <w:rPr>
          <w:lang w:val="es-ES"/>
        </w:rPr>
        <w:t xml:space="preserve">El </w:t>
      </w:r>
      <w:r w:rsidRPr="00BC78C7">
        <w:rPr>
          <w:b/>
          <w:bCs/>
          <w:lang w:val="es-ES"/>
        </w:rPr>
        <w:t>Estado</w:t>
      </w:r>
      <w:r w:rsidRPr="00BC78C7">
        <w:rPr>
          <w:lang w:val="es-ES"/>
        </w:rPr>
        <w:t xml:space="preserve"> considera que el </w:t>
      </w:r>
      <w:r w:rsidR="00C71CF0" w:rsidRPr="00BC78C7">
        <w:rPr>
          <w:i/>
          <w:iCs/>
          <w:lang w:val="es-ES"/>
        </w:rPr>
        <w:t>t</w:t>
      </w:r>
      <w:r w:rsidRPr="00BC78C7">
        <w:rPr>
          <w:i/>
          <w:iCs/>
          <w:lang w:val="es-ES"/>
        </w:rPr>
        <w:t>átau</w:t>
      </w:r>
      <w:r w:rsidRPr="00BC78C7">
        <w:rPr>
          <w:lang w:val="es-ES"/>
        </w:rPr>
        <w:t xml:space="preserve"> es un símbolo nacional y lo explota para promocionar el país como destino turístico. La Oficina de Turismo lo </w:t>
      </w:r>
      <w:r w:rsidR="00934672" w:rsidRPr="00BC78C7">
        <w:rPr>
          <w:lang w:val="es-ES"/>
        </w:rPr>
        <w:t>exhibe</w:t>
      </w:r>
      <w:r w:rsidRPr="00BC78C7">
        <w:rPr>
          <w:lang w:val="es-ES"/>
        </w:rPr>
        <w:t xml:space="preserve"> como una marca nacional de la cultura y el patrimonio de los samoanos en competencias deportivas y demás foros internacionales. Además, los diseños del </w:t>
      </w:r>
      <w:r w:rsidRPr="00BC78C7">
        <w:rPr>
          <w:i/>
          <w:iCs/>
          <w:lang w:val="es-ES"/>
        </w:rPr>
        <w:t>tátau</w:t>
      </w:r>
      <w:r w:rsidRPr="00BC78C7">
        <w:rPr>
          <w:lang w:val="es-ES"/>
        </w:rPr>
        <w:t xml:space="preserve"> figuran impresos en los billetes. El arte del </w:t>
      </w:r>
      <w:r w:rsidRPr="00BC78C7">
        <w:rPr>
          <w:i/>
          <w:iCs/>
          <w:lang w:val="es-ES"/>
        </w:rPr>
        <w:t>tátau</w:t>
      </w:r>
      <w:r w:rsidRPr="00BC78C7">
        <w:rPr>
          <w:lang w:val="es-ES"/>
        </w:rPr>
        <w:t xml:space="preserve"> ha despertado mucha admirac</w:t>
      </w:r>
      <w:r w:rsidR="00C71CF0" w:rsidRPr="00BC78C7">
        <w:rPr>
          <w:lang w:val="es-ES"/>
        </w:rPr>
        <w:t>ión en el extranjero y se asocia</w:t>
      </w:r>
      <w:r w:rsidRPr="00BC78C7">
        <w:rPr>
          <w:lang w:val="es-ES"/>
        </w:rPr>
        <w:t xml:space="preserve"> inequívocamente con la geografía samoana.</w:t>
      </w:r>
    </w:p>
    <w:p w14:paraId="678EC6E1" w14:textId="2AD9CFAB" w:rsidR="003E0D3D" w:rsidRPr="00BC78C7" w:rsidRDefault="000F4B7F" w:rsidP="00B37DFB">
      <w:pPr>
        <w:pStyle w:val="Texte1"/>
        <w:rPr>
          <w:lang w:val="es-ES"/>
        </w:rPr>
      </w:pPr>
      <w:r>
        <w:rPr>
          <w:lang w:val="es-ES"/>
        </w:rPr>
        <w:t>La</w:t>
      </w:r>
      <w:r w:rsidR="00874C2C" w:rsidRPr="00BC78C7">
        <w:rPr>
          <w:lang w:val="es-ES"/>
        </w:rPr>
        <w:t xml:space="preserve"> </w:t>
      </w:r>
      <w:r>
        <w:rPr>
          <w:b/>
          <w:bCs/>
          <w:lang w:val="es-ES"/>
        </w:rPr>
        <w:t>población en</w:t>
      </w:r>
      <w:r w:rsidR="00874C2C" w:rsidRPr="00BC78C7">
        <w:rPr>
          <w:b/>
          <w:bCs/>
          <w:lang w:val="es-ES"/>
        </w:rPr>
        <w:t xml:space="preserve"> general</w:t>
      </w:r>
      <w:r w:rsidR="0043119A" w:rsidRPr="0043119A">
        <w:rPr>
          <w:bCs/>
          <w:lang w:val="es-ES"/>
        </w:rPr>
        <w:t>, tanto los samoanos que residen en el país como las comunidades de migrantes en el extranjero,</w:t>
      </w:r>
      <w:r w:rsidR="00874C2C" w:rsidRPr="00BC78C7">
        <w:rPr>
          <w:lang w:val="es-ES"/>
        </w:rPr>
        <w:t xml:space="preserve"> considera que el </w:t>
      </w:r>
      <w:r w:rsidR="00874C2C" w:rsidRPr="00BC78C7">
        <w:rPr>
          <w:i/>
          <w:lang w:val="es-ES"/>
        </w:rPr>
        <w:t>tátau</w:t>
      </w:r>
      <w:r w:rsidR="00874C2C" w:rsidRPr="00BC78C7">
        <w:rPr>
          <w:lang w:val="es-ES"/>
        </w:rPr>
        <w:t xml:space="preserve"> forma</w:t>
      </w:r>
      <w:r w:rsidR="00C71CF0" w:rsidRPr="00BC78C7">
        <w:rPr>
          <w:lang w:val="es-ES"/>
        </w:rPr>
        <w:t xml:space="preserve"> parte de su identidad cultural: prueba de esto es el aumento</w:t>
      </w:r>
      <w:r w:rsidR="00874C2C" w:rsidRPr="00BC78C7">
        <w:rPr>
          <w:lang w:val="es-ES"/>
        </w:rPr>
        <w:t xml:space="preserve"> </w:t>
      </w:r>
      <w:r w:rsidR="0041791B" w:rsidRPr="00BC78C7">
        <w:rPr>
          <w:lang w:val="es-ES"/>
        </w:rPr>
        <w:t>en el</w:t>
      </w:r>
      <w:r w:rsidR="00874C2C" w:rsidRPr="00BC78C7">
        <w:rPr>
          <w:lang w:val="es-ES"/>
        </w:rPr>
        <w:t xml:space="preserve"> número de personas que deciden hacerse tatuajes tradicionales tanto dentro del país como en las comunidades de </w:t>
      </w:r>
      <w:r w:rsidR="0043119A">
        <w:rPr>
          <w:lang w:val="es-ES"/>
        </w:rPr>
        <w:t>la diáspora</w:t>
      </w:r>
      <w:r w:rsidR="00874C2C" w:rsidRPr="00BC78C7">
        <w:rPr>
          <w:lang w:val="es-ES"/>
        </w:rPr>
        <w:t xml:space="preserve">. Muchos </w:t>
      </w:r>
      <w:r w:rsidR="0041791B" w:rsidRPr="00BC78C7">
        <w:rPr>
          <w:lang w:val="es-ES"/>
        </w:rPr>
        <w:t>samoanos</w:t>
      </w:r>
      <w:r w:rsidR="00874C2C" w:rsidRPr="00BC78C7">
        <w:rPr>
          <w:lang w:val="es-ES"/>
        </w:rPr>
        <w:t xml:space="preserve"> están preocupados por los nuevos rumbos que están tomando los </w:t>
      </w:r>
      <w:r w:rsidR="00874C2C" w:rsidRPr="00BC78C7">
        <w:rPr>
          <w:i/>
          <w:iCs/>
          <w:lang w:val="es-ES"/>
        </w:rPr>
        <w:t>tufuga</w:t>
      </w:r>
      <w:r w:rsidR="00874C2C" w:rsidRPr="00BC78C7">
        <w:rPr>
          <w:lang w:val="es-ES"/>
        </w:rPr>
        <w:t xml:space="preserve"> en relación con el </w:t>
      </w:r>
      <w:r w:rsidR="00874C2C" w:rsidRPr="00BC78C7">
        <w:rPr>
          <w:i/>
          <w:iCs/>
          <w:lang w:val="es-ES"/>
        </w:rPr>
        <w:t>tátau</w:t>
      </w:r>
      <w:r w:rsidR="00C71CF0" w:rsidRPr="00BC78C7">
        <w:rPr>
          <w:lang w:val="es-ES"/>
        </w:rPr>
        <w:t xml:space="preserve"> y los acusan de actuar </w:t>
      </w:r>
      <w:r w:rsidR="0041791B" w:rsidRPr="00BC78C7">
        <w:rPr>
          <w:lang w:val="es-ES"/>
        </w:rPr>
        <w:t>movidos únicamente</w:t>
      </w:r>
      <w:r w:rsidR="00874C2C" w:rsidRPr="00BC78C7">
        <w:rPr>
          <w:lang w:val="es-ES"/>
        </w:rPr>
        <w:t xml:space="preserve"> por razones comerciales. Algunos samoanos abr</w:t>
      </w:r>
      <w:r w:rsidR="00C71CF0" w:rsidRPr="00BC78C7">
        <w:rPr>
          <w:lang w:val="es-ES"/>
        </w:rPr>
        <w:t xml:space="preserve">ieron un grupo de Facebook </w:t>
      </w:r>
      <w:r w:rsidR="0043119A">
        <w:rPr>
          <w:lang w:val="es-ES"/>
        </w:rPr>
        <w:t>con el siguiente objetivo</w:t>
      </w:r>
      <w:r w:rsidR="00C71CF0" w:rsidRPr="00BC78C7">
        <w:rPr>
          <w:lang w:val="es-ES"/>
        </w:rPr>
        <w:t>:</w:t>
      </w:r>
    </w:p>
    <w:p w14:paraId="6B7083FF" w14:textId="16176593" w:rsidR="003E0D3D" w:rsidRPr="00BC78C7" w:rsidRDefault="0043119A" w:rsidP="0043119A">
      <w:pPr>
        <w:pStyle w:val="citation"/>
        <w:rPr>
          <w:lang w:val="es-ES"/>
        </w:rPr>
      </w:pPr>
      <w:r>
        <w:rPr>
          <w:lang w:val="es-ES"/>
        </w:rPr>
        <w:t>“</w:t>
      </w:r>
      <w:r w:rsidR="00115615" w:rsidRPr="00BC78C7">
        <w:rPr>
          <w:lang w:val="es-ES"/>
        </w:rPr>
        <w:t xml:space="preserve">detener a quienes intentan adueñarse de los tatuajes tradicionales sin tener el debido conocimiento de la cultura y el protocolo del </w:t>
      </w:r>
      <w:r w:rsidR="00C71CF0" w:rsidRPr="00BC78C7">
        <w:rPr>
          <w:i/>
          <w:iCs/>
          <w:lang w:val="es-ES"/>
        </w:rPr>
        <w:t>tátau/m</w:t>
      </w:r>
      <w:r w:rsidR="00115615" w:rsidRPr="00BC78C7">
        <w:rPr>
          <w:i/>
          <w:iCs/>
          <w:lang w:val="es-ES"/>
        </w:rPr>
        <w:t>alu</w:t>
      </w:r>
      <w:r>
        <w:rPr>
          <w:lang w:val="es-ES"/>
        </w:rPr>
        <w:t xml:space="preserve"> y su significado sagrado. L</w:t>
      </w:r>
      <w:r w:rsidR="00115615" w:rsidRPr="00BC78C7">
        <w:rPr>
          <w:lang w:val="es-ES"/>
        </w:rPr>
        <w:t xml:space="preserve">os titulares de la propiedad intelectual de esos bienes culturales somos todos los samoanos y ya no queremos ver cómo arrastran por el </w:t>
      </w:r>
      <w:r>
        <w:rPr>
          <w:lang w:val="es-ES"/>
        </w:rPr>
        <w:t>barro nuestro preciado tesoro”</w:t>
      </w:r>
      <w:r w:rsidR="00115615" w:rsidRPr="00BC78C7">
        <w:rPr>
          <w:lang w:val="es-ES"/>
        </w:rPr>
        <w:t>.</w:t>
      </w:r>
    </w:p>
    <w:p w14:paraId="5684BACE" w14:textId="37B582FE" w:rsidR="000946C9" w:rsidRPr="00BC78C7" w:rsidRDefault="0043119A" w:rsidP="00B37DFB">
      <w:pPr>
        <w:pStyle w:val="Texte1"/>
        <w:rPr>
          <w:lang w:val="es-ES"/>
        </w:rPr>
      </w:pPr>
      <w:r>
        <w:rPr>
          <w:lang w:val="es-ES"/>
        </w:rPr>
        <w:t>Mediante esta declaración expresaba el deseo de</w:t>
      </w:r>
      <w:r w:rsidR="0029067A" w:rsidRPr="00BC78C7">
        <w:rPr>
          <w:lang w:val="es-ES"/>
        </w:rPr>
        <w:t xml:space="preserve"> </w:t>
      </w:r>
      <w:r w:rsidR="00BB1C6B" w:rsidRPr="00BC78C7">
        <w:rPr>
          <w:lang w:val="es-ES"/>
        </w:rPr>
        <w:t>preservar la práctica limitándola a su forma premoderna para fortalecer el sentido de identidad samoana y el orgullo cultural.</w:t>
      </w:r>
    </w:p>
    <w:p w14:paraId="3CFF63B4" w14:textId="63C468DA" w:rsidR="00007000" w:rsidRPr="001F1B95" w:rsidRDefault="0050273B" w:rsidP="009B2F0B">
      <w:pPr>
        <w:pStyle w:val="Heading4"/>
        <w:rPr>
          <w:lang w:val="es-ES"/>
        </w:rPr>
      </w:pPr>
      <w:r w:rsidRPr="001F1B95">
        <w:rPr>
          <w:lang w:val="es-ES"/>
        </w:rPr>
        <w:lastRenderedPageBreak/>
        <w:t xml:space="preserve">Diversas políticas que afectan la salvaguardia del </w:t>
      </w:r>
      <w:r w:rsidRPr="001F1B95">
        <w:rPr>
          <w:i/>
          <w:lang w:val="es-ES"/>
        </w:rPr>
        <w:t>tátau</w:t>
      </w:r>
    </w:p>
    <w:p w14:paraId="2CA0B553" w14:textId="77777777" w:rsidR="00104690" w:rsidRPr="00907584" w:rsidRDefault="00104690" w:rsidP="00907584">
      <w:pPr>
        <w:pStyle w:val="Soustitre"/>
        <w:tabs>
          <w:tab w:val="clear" w:pos="567"/>
        </w:tabs>
        <w:snapToGrid/>
        <w:jc w:val="left"/>
        <w:rPr>
          <w:rFonts w:ascii="Arial" w:hAnsi="Arial"/>
          <w:snapToGrid/>
          <w:shd w:val="clear" w:color="auto" w:fill="FFFFFF"/>
          <w:lang w:val="en-GB" w:eastAsia="nl-NL"/>
        </w:rPr>
      </w:pPr>
      <w:r w:rsidRPr="00907584">
        <w:rPr>
          <w:rFonts w:ascii="Arial" w:hAnsi="Arial"/>
          <w:snapToGrid/>
          <w:shd w:val="clear" w:color="auto" w:fill="FFFFFF"/>
          <w:lang w:val="en-GB" w:eastAsia="nl-NL"/>
        </w:rPr>
        <w:t>Protección de la propiedad intelectual mediante regímenes especiales</w:t>
      </w:r>
    </w:p>
    <w:p w14:paraId="2C590F30" w14:textId="168A9D3B" w:rsidR="00007000" w:rsidRPr="00BC78C7" w:rsidRDefault="00CC02DF" w:rsidP="00B37DFB">
      <w:pPr>
        <w:pStyle w:val="Texte1"/>
        <w:rPr>
          <w:lang w:val="es-ES"/>
        </w:rPr>
      </w:pPr>
      <w:r w:rsidRPr="00BC78C7">
        <w:rPr>
          <w:lang w:val="es-ES"/>
        </w:rPr>
        <w:t>La legislación samoana sobre los conocimientos tradicionales de la nación, que se encuentra en curso de elaboración, se inspira en el Marco Regional para la Protección de los Conocimientos Tradicionales y las Expresiones Culturales (2002)</w:t>
      </w:r>
      <w:r w:rsidR="0029067A" w:rsidRPr="00BC78C7">
        <w:rPr>
          <w:lang w:val="es-ES"/>
        </w:rPr>
        <w:t>,</w:t>
      </w:r>
      <w:r w:rsidRPr="00BC78C7">
        <w:rPr>
          <w:lang w:val="es-ES"/>
        </w:rPr>
        <w:t xml:space="preserve"> y demás instrumentos. En líneas generales, estos documentos siguen los modelos de cláusulas desarrollados por la UNESCO y la Organización Mundial de la Propiedad Intelectual (OMPI) en 1985</w:t>
      </w:r>
      <w:r w:rsidR="00B539AD" w:rsidRPr="009B2F0B">
        <w:rPr>
          <w:rStyle w:val="FootnoteReference"/>
          <w:sz w:val="20"/>
          <w:szCs w:val="20"/>
        </w:rPr>
        <w:footnoteReference w:id="2"/>
      </w:r>
      <w:r w:rsidRPr="00BC78C7">
        <w:rPr>
          <w:lang w:val="es-ES"/>
        </w:rPr>
        <w:t xml:space="preserve">. Uno de los objetivos es evitar la malversación de los conocimientos tradicionales </w:t>
      </w:r>
      <w:r w:rsidR="00254DED" w:rsidRPr="00BC78C7">
        <w:rPr>
          <w:lang w:val="es-ES"/>
        </w:rPr>
        <w:t>confiriendo</w:t>
      </w:r>
      <w:r w:rsidRPr="00BC78C7">
        <w:rPr>
          <w:lang w:val="es-ES"/>
        </w:rPr>
        <w:t xml:space="preserve"> a los propietarios el derecho a autorizar la explotación de los conocimientos tradicionales por parte de terceros, e impidiendo que terceros exploten los conocimientos tradicionales sin el consentimiento libre, p</w:t>
      </w:r>
      <w:r w:rsidR="00254DED" w:rsidRPr="00BC78C7">
        <w:rPr>
          <w:lang w:val="es-ES"/>
        </w:rPr>
        <w:t>revio e informado de los propie</w:t>
      </w:r>
      <w:r w:rsidRPr="00BC78C7">
        <w:rPr>
          <w:lang w:val="es-ES"/>
        </w:rPr>
        <w:t xml:space="preserve">tarios. Otro </w:t>
      </w:r>
      <w:r w:rsidR="0029067A" w:rsidRPr="00BC78C7">
        <w:rPr>
          <w:lang w:val="es-ES"/>
        </w:rPr>
        <w:t xml:space="preserve">de los </w:t>
      </w:r>
      <w:r w:rsidRPr="00BC78C7">
        <w:rPr>
          <w:lang w:val="es-ES"/>
        </w:rPr>
        <w:t>objetivo</w:t>
      </w:r>
      <w:r w:rsidR="0029067A" w:rsidRPr="00BC78C7">
        <w:rPr>
          <w:lang w:val="es-ES"/>
        </w:rPr>
        <w:t>s</w:t>
      </w:r>
      <w:r w:rsidRPr="00BC78C7">
        <w:rPr>
          <w:lang w:val="es-ES"/>
        </w:rPr>
        <w:t xml:space="preserve"> es facilitar la comercialización de este tip</w:t>
      </w:r>
      <w:r w:rsidR="0029067A" w:rsidRPr="00BC78C7">
        <w:rPr>
          <w:lang w:val="es-ES"/>
        </w:rPr>
        <w:t>o de conocimientos para</w:t>
      </w:r>
      <w:r w:rsidRPr="00BC78C7">
        <w:rPr>
          <w:lang w:val="es-ES"/>
        </w:rPr>
        <w:t xml:space="preserve"> fomentar el desa</w:t>
      </w:r>
      <w:r w:rsidR="003E3D81">
        <w:rPr>
          <w:lang w:val="es-ES"/>
        </w:rPr>
        <w:t>rrollo sostenible en la región.</w:t>
      </w:r>
    </w:p>
    <w:p w14:paraId="6FA87CB3" w14:textId="70044BC6" w:rsidR="00A14FBB" w:rsidRPr="00BC78C7" w:rsidRDefault="00052CF0" w:rsidP="00B37DFB">
      <w:pPr>
        <w:pStyle w:val="Texte1"/>
        <w:rPr>
          <w:lang w:val="es-ES"/>
        </w:rPr>
      </w:pPr>
      <w:r w:rsidRPr="00BC78C7">
        <w:rPr>
          <w:lang w:val="es-ES"/>
        </w:rPr>
        <w:t>Las políticas que se están legislando probablemente confieran</w:t>
      </w:r>
      <w:r w:rsidR="0029067A" w:rsidRPr="00BC78C7">
        <w:rPr>
          <w:lang w:val="es-ES"/>
        </w:rPr>
        <w:t xml:space="preserve"> los</w:t>
      </w:r>
      <w:r w:rsidRPr="00BC78C7">
        <w:rPr>
          <w:lang w:val="es-ES"/>
        </w:rPr>
        <w:t xml:space="preserve"> derechos de propiedad a perpetuidad sobre todos los aspectos del </w:t>
      </w:r>
      <w:r w:rsidRPr="00BC78C7">
        <w:rPr>
          <w:i/>
          <w:iCs/>
          <w:lang w:val="es-ES"/>
        </w:rPr>
        <w:t>tátau</w:t>
      </w:r>
      <w:r w:rsidR="00B539AD">
        <w:rPr>
          <w:lang w:val="es-ES"/>
        </w:rPr>
        <w:t xml:space="preserve"> a los “</w:t>
      </w:r>
      <w:r w:rsidRPr="00BC78C7">
        <w:rPr>
          <w:lang w:val="es-ES"/>
        </w:rPr>
        <w:t>depositarios de los conocimientos</w:t>
      </w:r>
      <w:r w:rsidR="00B539AD">
        <w:rPr>
          <w:lang w:val="es-ES"/>
        </w:rPr>
        <w:t>”</w:t>
      </w:r>
      <w:r w:rsidRPr="00BC78C7">
        <w:rPr>
          <w:lang w:val="es-ES"/>
        </w:rPr>
        <w:t xml:space="preserve"> (los </w:t>
      </w:r>
      <w:r w:rsidRPr="00BC78C7">
        <w:rPr>
          <w:i/>
          <w:iCs/>
          <w:lang w:val="es-ES"/>
        </w:rPr>
        <w:t>tufuga</w:t>
      </w:r>
      <w:r w:rsidRPr="00BC78C7">
        <w:rPr>
          <w:lang w:val="es-ES"/>
        </w:rPr>
        <w:t>).</w:t>
      </w:r>
      <w:r w:rsidRPr="00BC78C7">
        <w:rPr>
          <w:i/>
          <w:iCs/>
          <w:lang w:val="es-ES"/>
        </w:rPr>
        <w:t xml:space="preserve"> </w:t>
      </w:r>
      <w:r w:rsidR="0029067A" w:rsidRPr="00BC78C7">
        <w:rPr>
          <w:iCs/>
          <w:lang w:val="es-ES"/>
        </w:rPr>
        <w:t>En ese caso</w:t>
      </w:r>
      <w:r w:rsidRPr="00BC78C7">
        <w:rPr>
          <w:lang w:val="es-ES"/>
        </w:rPr>
        <w:t xml:space="preserve">, los </w:t>
      </w:r>
      <w:r w:rsidRPr="00BC78C7">
        <w:rPr>
          <w:i/>
          <w:iCs/>
          <w:lang w:val="es-ES"/>
        </w:rPr>
        <w:t>tufuga</w:t>
      </w:r>
      <w:r w:rsidRPr="00BC78C7">
        <w:rPr>
          <w:lang w:val="es-ES"/>
        </w:rPr>
        <w:t xml:space="preserve"> podrían determinar quiénes están autorizados a practicar el </w:t>
      </w:r>
      <w:r w:rsidRPr="00BC78C7">
        <w:rPr>
          <w:i/>
          <w:iCs/>
          <w:lang w:val="es-ES"/>
        </w:rPr>
        <w:t>tátau</w:t>
      </w:r>
      <w:r w:rsidRPr="00BC78C7">
        <w:rPr>
          <w:lang w:val="es-ES"/>
        </w:rPr>
        <w:t xml:space="preserve"> y utilizar los diseños</w:t>
      </w:r>
      <w:r w:rsidR="0029067A" w:rsidRPr="00BC78C7">
        <w:rPr>
          <w:lang w:val="es-ES"/>
        </w:rPr>
        <w:t xml:space="preserve"> de los tatuajes</w:t>
      </w:r>
      <w:r w:rsidRPr="00BC78C7">
        <w:rPr>
          <w:lang w:val="es-ES"/>
        </w:rPr>
        <w:t xml:space="preserve">. Sin embargo, no será fácil determinar quiénes </w:t>
      </w:r>
      <w:r w:rsidR="0029067A" w:rsidRPr="00BC78C7">
        <w:rPr>
          <w:lang w:val="es-ES"/>
        </w:rPr>
        <w:t>son</w:t>
      </w:r>
      <w:r w:rsidRPr="00BC78C7">
        <w:rPr>
          <w:lang w:val="es-ES"/>
        </w:rPr>
        <w:t xml:space="preserve"> los depositarios </w:t>
      </w:r>
      <w:r w:rsidR="0029067A" w:rsidRPr="00BC78C7">
        <w:rPr>
          <w:lang w:val="es-ES"/>
        </w:rPr>
        <w:t xml:space="preserve">legítimos </w:t>
      </w:r>
      <w:r w:rsidRPr="00BC78C7">
        <w:rPr>
          <w:lang w:val="es-ES"/>
        </w:rPr>
        <w:t xml:space="preserve">de los conocimientos tradicionales. Los aspirantes son los </w:t>
      </w:r>
      <w:r w:rsidRPr="00BC78C7">
        <w:rPr>
          <w:i/>
          <w:iCs/>
          <w:lang w:val="es-ES"/>
        </w:rPr>
        <w:t>tufuga</w:t>
      </w:r>
      <w:r w:rsidRPr="00BC78C7">
        <w:rPr>
          <w:lang w:val="es-ES"/>
        </w:rPr>
        <w:t xml:space="preserve"> de las dos familias principales —todos los miembros de las familias, lo qu</w:t>
      </w:r>
      <w:r w:rsidR="00B539AD">
        <w:rPr>
          <w:lang w:val="es-ES"/>
        </w:rPr>
        <w:t xml:space="preserve">e complica aún más la situación, pues </w:t>
      </w:r>
      <w:r w:rsidRPr="00BC78C7">
        <w:rPr>
          <w:lang w:val="es-ES"/>
        </w:rPr>
        <w:t xml:space="preserve">la pertenencia no es estrictamente hereditaria— y, posiblemente, otras familias que también hayan presentado solicitudes para practicar el </w:t>
      </w:r>
      <w:r w:rsidRPr="00BC78C7">
        <w:rPr>
          <w:i/>
          <w:iCs/>
          <w:lang w:val="es-ES"/>
        </w:rPr>
        <w:t>tátau</w:t>
      </w:r>
      <w:r w:rsidRPr="00BC78C7">
        <w:rPr>
          <w:lang w:val="es-ES"/>
        </w:rPr>
        <w:t xml:space="preserve">. </w:t>
      </w:r>
      <w:r w:rsidR="0029067A" w:rsidRPr="00BC78C7">
        <w:rPr>
          <w:lang w:val="es-ES"/>
        </w:rPr>
        <w:t>También han reclamado derechos</w:t>
      </w:r>
      <w:r w:rsidRPr="00BC78C7">
        <w:rPr>
          <w:lang w:val="es-ES"/>
        </w:rPr>
        <w:t xml:space="preserve"> los </w:t>
      </w:r>
      <w:r w:rsidRPr="00BC78C7">
        <w:rPr>
          <w:i/>
          <w:iCs/>
          <w:lang w:val="es-ES"/>
        </w:rPr>
        <w:t>tufuga</w:t>
      </w:r>
      <w:r w:rsidRPr="00BC78C7">
        <w:rPr>
          <w:lang w:val="es-ES"/>
        </w:rPr>
        <w:t xml:space="preserve"> samoanos que viven en el extranjero.</w:t>
      </w:r>
    </w:p>
    <w:p w14:paraId="2DC4DE2F" w14:textId="3CEC3D09" w:rsidR="00104690" w:rsidRPr="00BC78C7" w:rsidRDefault="004A6A7D" w:rsidP="00B37DFB">
      <w:pPr>
        <w:pStyle w:val="Texte1"/>
        <w:rPr>
          <w:lang w:val="es-ES"/>
        </w:rPr>
      </w:pPr>
      <w:r w:rsidRPr="00BC78C7">
        <w:rPr>
          <w:lang w:val="es-ES"/>
        </w:rPr>
        <w:t xml:space="preserve">Si los legisladores consideran que los artesanos del </w:t>
      </w:r>
      <w:r w:rsidRPr="00BC78C7">
        <w:rPr>
          <w:i/>
          <w:iCs/>
          <w:lang w:val="es-ES"/>
        </w:rPr>
        <w:t>tátau</w:t>
      </w:r>
      <w:r w:rsidRPr="00BC78C7">
        <w:rPr>
          <w:lang w:val="es-ES"/>
        </w:rPr>
        <w:t xml:space="preserve"> constituyen un solo grupo, quienes quieran </w:t>
      </w:r>
      <w:r w:rsidR="00B539AD">
        <w:rPr>
          <w:lang w:val="es-ES"/>
        </w:rPr>
        <w:t>explotar</w:t>
      </w:r>
      <w:r w:rsidRPr="00BC78C7">
        <w:rPr>
          <w:lang w:val="es-ES"/>
        </w:rPr>
        <w:t xml:space="preserve"> el </w:t>
      </w:r>
      <w:r w:rsidRPr="00BC78C7">
        <w:rPr>
          <w:i/>
          <w:iCs/>
          <w:lang w:val="es-ES"/>
        </w:rPr>
        <w:t>tátau</w:t>
      </w:r>
      <w:r w:rsidRPr="00BC78C7">
        <w:rPr>
          <w:lang w:val="es-ES"/>
        </w:rPr>
        <w:t xml:space="preserve"> con fines no tradicionales </w:t>
      </w:r>
      <w:r w:rsidR="00B539AD">
        <w:rPr>
          <w:lang w:val="es-ES"/>
        </w:rPr>
        <w:t xml:space="preserve">(incluso los propios </w:t>
      </w:r>
      <w:r w:rsidR="00B539AD" w:rsidRPr="00B539AD">
        <w:rPr>
          <w:i/>
          <w:lang w:val="es-ES"/>
        </w:rPr>
        <w:t>tufuga</w:t>
      </w:r>
      <w:r w:rsidR="00B539AD">
        <w:rPr>
          <w:lang w:val="es-ES"/>
        </w:rPr>
        <w:t xml:space="preserve">) </w:t>
      </w:r>
      <w:r w:rsidRPr="00BC78C7">
        <w:rPr>
          <w:lang w:val="es-ES"/>
        </w:rPr>
        <w:t xml:space="preserve">tendrán que obtener el consentimiento de todos los </w:t>
      </w:r>
      <w:r w:rsidRPr="00BC78C7">
        <w:rPr>
          <w:i/>
          <w:iCs/>
          <w:lang w:val="es-ES"/>
        </w:rPr>
        <w:t>tufuga</w:t>
      </w:r>
      <w:r w:rsidRPr="00BC78C7">
        <w:rPr>
          <w:lang w:val="es-ES"/>
        </w:rPr>
        <w:t xml:space="preserve">. Esto implica que serían los </w:t>
      </w:r>
      <w:r w:rsidRPr="00BC78C7">
        <w:rPr>
          <w:i/>
          <w:iCs/>
          <w:lang w:val="es-ES"/>
        </w:rPr>
        <w:t>tufuga</w:t>
      </w:r>
      <w:r w:rsidRPr="00BC78C7">
        <w:rPr>
          <w:lang w:val="es-ES"/>
        </w:rPr>
        <w:t xml:space="preserve"> más conservadores quienes determinarían lo mucho o poco que </w:t>
      </w:r>
      <w:r w:rsidR="00B9240C">
        <w:rPr>
          <w:lang w:val="es-ES"/>
        </w:rPr>
        <w:t xml:space="preserve">puede </w:t>
      </w:r>
      <w:r w:rsidR="005F6240" w:rsidRPr="00BC78C7">
        <w:rPr>
          <w:lang w:val="es-ES"/>
        </w:rPr>
        <w:t>cambiar la práctica. Cabe señalar que,</w:t>
      </w:r>
      <w:r w:rsidRPr="00BC78C7">
        <w:rPr>
          <w:lang w:val="es-ES"/>
        </w:rPr>
        <w:t xml:space="preserve"> en el presente, un particular puede llevar adelante iniciativas nuevas de manera independiente.</w:t>
      </w:r>
    </w:p>
    <w:p w14:paraId="748C6DFD" w14:textId="77777777" w:rsidR="002C58CE" w:rsidRPr="00907584" w:rsidRDefault="002C58CE" w:rsidP="00907584">
      <w:pPr>
        <w:pStyle w:val="Soustitre"/>
        <w:tabs>
          <w:tab w:val="clear" w:pos="567"/>
        </w:tabs>
        <w:snapToGrid/>
        <w:jc w:val="left"/>
        <w:rPr>
          <w:rFonts w:ascii="Arial" w:hAnsi="Arial"/>
          <w:snapToGrid/>
          <w:shd w:val="clear" w:color="auto" w:fill="FFFFFF"/>
          <w:lang w:val="en-GB" w:eastAsia="nl-NL"/>
        </w:rPr>
      </w:pPr>
      <w:r w:rsidRPr="00907584">
        <w:rPr>
          <w:rFonts w:ascii="Arial" w:hAnsi="Arial"/>
          <w:snapToGrid/>
          <w:shd w:val="clear" w:color="auto" w:fill="FFFFFF"/>
          <w:lang w:val="en-GB" w:eastAsia="nl-NL"/>
        </w:rPr>
        <w:t>La promoción de las industrias culturales</w:t>
      </w:r>
    </w:p>
    <w:p w14:paraId="4A647699" w14:textId="5AB6B058" w:rsidR="00007000" w:rsidRPr="00BC78C7" w:rsidRDefault="002C58CE" w:rsidP="00B37DFB">
      <w:pPr>
        <w:pStyle w:val="Texte1"/>
        <w:rPr>
          <w:lang w:val="es-ES"/>
        </w:rPr>
      </w:pPr>
      <w:r w:rsidRPr="00BC78C7">
        <w:rPr>
          <w:lang w:val="es-ES"/>
        </w:rPr>
        <w:t xml:space="preserve">Samoa todavía no ha ratificado la Convención sobre la Protección y Promoción de la Diversidad de las Expresiones Culturales elaborada por la UNESCO en 2005. El desarrollo de las industrias culturales en la región se ha forjado principalmente en el marco de un proyecto </w:t>
      </w:r>
      <w:r w:rsidR="00B9240C">
        <w:rPr>
          <w:lang w:val="es-ES"/>
        </w:rPr>
        <w:t>financiado</w:t>
      </w:r>
      <w:r w:rsidRPr="00BC78C7">
        <w:rPr>
          <w:lang w:val="es-ES"/>
        </w:rPr>
        <w:t xml:space="preserve"> por la Unión </w:t>
      </w:r>
      <w:r w:rsidR="00B9240C">
        <w:rPr>
          <w:lang w:val="es-ES"/>
        </w:rPr>
        <w:t>Europea que se titula “</w:t>
      </w:r>
      <w:r w:rsidRPr="00BC78C7">
        <w:rPr>
          <w:lang w:val="es-ES"/>
        </w:rPr>
        <w:t>Structuring the Cultural Sector in the Pacific fo</w:t>
      </w:r>
      <w:r w:rsidR="005F6240" w:rsidRPr="00BC78C7">
        <w:rPr>
          <w:lang w:val="es-ES"/>
        </w:rPr>
        <w:t>r Improved Human Development</w:t>
      </w:r>
      <w:r w:rsidR="00B9240C">
        <w:rPr>
          <w:lang w:val="es-ES"/>
        </w:rPr>
        <w:t>”</w:t>
      </w:r>
      <w:r w:rsidR="005F6240" w:rsidRPr="00BC78C7">
        <w:rPr>
          <w:lang w:val="es-ES"/>
        </w:rPr>
        <w:t xml:space="preserve"> (L</w:t>
      </w:r>
      <w:r w:rsidRPr="00BC78C7">
        <w:rPr>
          <w:lang w:val="es-ES"/>
        </w:rPr>
        <w:t xml:space="preserve">a estructuración del sector cultural en el Pacífico como motor del desarrollo humano). El objetivo último es que todos los agentes del sector de la cultura —el gobierno, las comunidades, los individuos, los artistas, los académicos, los depositarios y los dirigentes de los conocimientos tradicionales— </w:t>
      </w:r>
      <w:r w:rsidR="000A2581">
        <w:rPr>
          <w:lang w:val="es-ES"/>
        </w:rPr>
        <w:t>desempe</w:t>
      </w:r>
      <w:r w:rsidR="00B934ED">
        <w:rPr>
          <w:lang w:val="es-ES"/>
        </w:rPr>
        <w:t>ñen un papel</w:t>
      </w:r>
      <w:r w:rsidR="000A2581">
        <w:rPr>
          <w:lang w:val="es-ES"/>
        </w:rPr>
        <w:t xml:space="preserve"> protagonista, y por lo tanto </w:t>
      </w:r>
      <w:r w:rsidR="00B934ED">
        <w:rPr>
          <w:lang w:val="es-ES"/>
        </w:rPr>
        <w:t>inviertan constantemente</w:t>
      </w:r>
      <w:r w:rsidR="000A2581">
        <w:rPr>
          <w:lang w:val="es-ES"/>
        </w:rPr>
        <w:t>, en</w:t>
      </w:r>
      <w:r w:rsidRPr="00BC78C7">
        <w:rPr>
          <w:lang w:val="es-ES"/>
        </w:rPr>
        <w:t xml:space="preserve"> el sector de la cultura</w:t>
      </w:r>
      <w:r w:rsidR="005F6240" w:rsidRPr="00BC78C7">
        <w:rPr>
          <w:lang w:val="es-ES"/>
        </w:rPr>
        <w:t xml:space="preserve">. </w:t>
      </w:r>
      <w:r w:rsidRPr="00BC78C7">
        <w:rPr>
          <w:lang w:val="es-ES"/>
        </w:rPr>
        <w:t>Los programas de cartografía cultural sirven para determinar los recursos culturales existentes En estos programas, la cul</w:t>
      </w:r>
      <w:r w:rsidR="00B934ED">
        <w:rPr>
          <w:lang w:val="es-ES"/>
        </w:rPr>
        <w:t>tura se concibe en términos de “bienes” o “recursos”</w:t>
      </w:r>
      <w:r w:rsidRPr="00BC78C7">
        <w:rPr>
          <w:lang w:val="es-ES"/>
        </w:rPr>
        <w:t>. El enfoque de las industrias culturales se centra en generar oportunidades para un amplio espectro de la población con el fin de explotar los bienes culturales con fines comerciales.</w:t>
      </w:r>
    </w:p>
    <w:p w14:paraId="0B26B6CF" w14:textId="7B85C0DB" w:rsidR="009B6734" w:rsidRPr="00BC78C7" w:rsidRDefault="00AE3243" w:rsidP="00B37DFB">
      <w:pPr>
        <w:pStyle w:val="Texte1"/>
        <w:rPr>
          <w:lang w:val="es-ES"/>
        </w:rPr>
      </w:pPr>
      <w:r w:rsidRPr="00BC78C7">
        <w:rPr>
          <w:lang w:val="es-ES"/>
        </w:rPr>
        <w:t xml:space="preserve">Los partidarios de este enfoque consideran </w:t>
      </w:r>
      <w:r w:rsidR="005F6240" w:rsidRPr="00BC78C7">
        <w:rPr>
          <w:lang w:val="es-ES"/>
        </w:rPr>
        <w:t xml:space="preserve">que </w:t>
      </w:r>
      <w:r w:rsidRPr="00BC78C7">
        <w:rPr>
          <w:lang w:val="es-ES"/>
        </w:rPr>
        <w:t xml:space="preserve">conferir derechos a los </w:t>
      </w:r>
      <w:r w:rsidRPr="00BC78C7">
        <w:rPr>
          <w:i/>
          <w:iCs/>
          <w:lang w:val="es-ES"/>
        </w:rPr>
        <w:t>tufuga</w:t>
      </w:r>
      <w:r w:rsidRPr="00BC78C7">
        <w:rPr>
          <w:lang w:val="es-ES"/>
        </w:rPr>
        <w:t xml:space="preserve"> sobre la práctica de las expres</w:t>
      </w:r>
      <w:r w:rsidR="00CB6B8B">
        <w:rPr>
          <w:lang w:val="es-ES"/>
        </w:rPr>
        <w:t>iones culturales tradicionales “</w:t>
      </w:r>
      <w:r w:rsidRPr="00BC78C7">
        <w:rPr>
          <w:lang w:val="es-ES"/>
        </w:rPr>
        <w:t xml:space="preserve">finalmente tendrá consecuencias devastadoras en el uso justo </w:t>
      </w:r>
      <w:r w:rsidR="00E22BC2">
        <w:rPr>
          <w:lang w:val="es-ES"/>
        </w:rPr>
        <w:t>y la expresión artística</w:t>
      </w:r>
      <w:r w:rsidR="00CB6B8B">
        <w:rPr>
          <w:lang w:val="es-ES"/>
        </w:rPr>
        <w:t>”</w:t>
      </w:r>
      <w:r w:rsidR="005F6240" w:rsidRPr="00BC78C7">
        <w:rPr>
          <w:lang w:val="es-ES"/>
        </w:rPr>
        <w:t xml:space="preserve">. </w:t>
      </w:r>
      <w:r w:rsidRPr="00BC78C7">
        <w:rPr>
          <w:lang w:val="es-ES"/>
        </w:rPr>
        <w:t xml:space="preserve">Establecer un marco normativo para las industrias culturales </w:t>
      </w:r>
      <w:r w:rsidRPr="00BC78C7">
        <w:rPr>
          <w:lang w:val="es-ES"/>
        </w:rPr>
        <w:lastRenderedPageBreak/>
        <w:t>sería una forma de velar por</w:t>
      </w:r>
      <w:r w:rsidR="00E22BC2">
        <w:rPr>
          <w:lang w:val="es-ES"/>
        </w:rPr>
        <w:t xml:space="preserve"> </w:t>
      </w:r>
      <w:r w:rsidRPr="00BC78C7">
        <w:rPr>
          <w:lang w:val="es-ES"/>
        </w:rPr>
        <w:t xml:space="preserve">que todos los samoanos tuvieran acceso </w:t>
      </w:r>
      <w:r w:rsidR="00254DED" w:rsidRPr="00BC78C7">
        <w:rPr>
          <w:lang w:val="es-ES"/>
        </w:rPr>
        <w:t>irrestricto</w:t>
      </w:r>
      <w:r w:rsidRPr="00BC78C7">
        <w:rPr>
          <w:lang w:val="es-ES"/>
        </w:rPr>
        <w:t xml:space="preserve"> a la práctica del </w:t>
      </w:r>
      <w:r w:rsidRPr="00BC78C7">
        <w:rPr>
          <w:i/>
          <w:iCs/>
          <w:lang w:val="es-ES"/>
        </w:rPr>
        <w:t>tátau</w:t>
      </w:r>
      <w:r w:rsidRPr="00BC78C7">
        <w:rPr>
          <w:lang w:val="es-ES"/>
        </w:rPr>
        <w:t xml:space="preserve"> y evitaría que los </w:t>
      </w:r>
      <w:r w:rsidRPr="00BC78C7">
        <w:rPr>
          <w:i/>
          <w:iCs/>
          <w:lang w:val="es-ES"/>
        </w:rPr>
        <w:t>tufuga</w:t>
      </w:r>
      <w:r w:rsidRPr="00BC78C7">
        <w:rPr>
          <w:lang w:val="es-ES"/>
        </w:rPr>
        <w:t xml:space="preserve"> ejercieran el control. Tal marco podría menoscabar la autoridad de las familias </w:t>
      </w:r>
      <w:r w:rsidRPr="00BC78C7">
        <w:rPr>
          <w:i/>
          <w:iCs/>
          <w:lang w:val="es-ES"/>
        </w:rPr>
        <w:t xml:space="preserve">tufuga </w:t>
      </w:r>
      <w:r w:rsidRPr="00BC78C7">
        <w:rPr>
          <w:lang w:val="es-ES"/>
        </w:rPr>
        <w:t xml:space="preserve">que tradicionalmente han controlado algunos aspectos de la práctica del </w:t>
      </w:r>
      <w:r w:rsidRPr="00BC78C7">
        <w:rPr>
          <w:i/>
          <w:iCs/>
          <w:lang w:val="es-ES"/>
        </w:rPr>
        <w:t>tátau</w:t>
      </w:r>
      <w:r w:rsidRPr="00BC78C7">
        <w:rPr>
          <w:lang w:val="es-ES"/>
        </w:rPr>
        <w:t xml:space="preserve">. Sin embargo, </w:t>
      </w:r>
      <w:r w:rsidR="00E22BC2">
        <w:rPr>
          <w:lang w:val="es-ES"/>
        </w:rPr>
        <w:t>es posible</w:t>
      </w:r>
      <w:r w:rsidRPr="00BC78C7">
        <w:rPr>
          <w:lang w:val="es-ES"/>
        </w:rPr>
        <w:t xml:space="preserve"> que esto no suponga cambi</w:t>
      </w:r>
      <w:r w:rsidR="005F6240" w:rsidRPr="00BC78C7">
        <w:rPr>
          <w:lang w:val="es-ES"/>
        </w:rPr>
        <w:t>os drásticos en la práctica</w:t>
      </w:r>
      <w:r w:rsidRPr="00BC78C7">
        <w:rPr>
          <w:i/>
          <w:iCs/>
          <w:lang w:val="es-ES"/>
        </w:rPr>
        <w:t>:</w:t>
      </w:r>
      <w:r w:rsidRPr="00BC78C7">
        <w:rPr>
          <w:lang w:val="es-ES"/>
        </w:rPr>
        <w:t xml:space="preserve"> muchos samoanos dentro y fuera del país quieren que se conserven más aspectos tradicionales de la práctica del </w:t>
      </w:r>
      <w:r w:rsidRPr="00BC78C7">
        <w:rPr>
          <w:i/>
          <w:iCs/>
          <w:lang w:val="es-ES"/>
        </w:rPr>
        <w:t>tátau</w:t>
      </w:r>
      <w:r w:rsidRPr="00BC78C7">
        <w:rPr>
          <w:lang w:val="es-ES"/>
        </w:rPr>
        <w:t xml:space="preserve"> que los </w:t>
      </w:r>
      <w:r w:rsidR="00E22BC2">
        <w:rPr>
          <w:lang w:val="es-ES"/>
        </w:rPr>
        <w:t>propios</w:t>
      </w:r>
      <w:r w:rsidRPr="00BC78C7">
        <w:rPr>
          <w:lang w:val="es-ES"/>
        </w:rPr>
        <w:t xml:space="preserve"> </w:t>
      </w:r>
      <w:r w:rsidRPr="00BC78C7">
        <w:rPr>
          <w:i/>
          <w:iCs/>
          <w:lang w:val="es-ES"/>
        </w:rPr>
        <w:t>tufuga</w:t>
      </w:r>
      <w:r w:rsidRPr="00BC78C7">
        <w:rPr>
          <w:lang w:val="es-ES"/>
        </w:rPr>
        <w:t>.</w:t>
      </w:r>
    </w:p>
    <w:p w14:paraId="673FD3E7" w14:textId="77777777" w:rsidR="009B6734" w:rsidRPr="00907584" w:rsidRDefault="009B6734" w:rsidP="00907584">
      <w:pPr>
        <w:pStyle w:val="Soustitre"/>
        <w:tabs>
          <w:tab w:val="clear" w:pos="567"/>
        </w:tabs>
        <w:snapToGrid/>
        <w:jc w:val="left"/>
        <w:rPr>
          <w:rFonts w:ascii="Arial" w:hAnsi="Arial"/>
          <w:snapToGrid/>
          <w:shd w:val="clear" w:color="auto" w:fill="FFFFFF"/>
          <w:lang w:val="en-GB" w:eastAsia="nl-NL"/>
        </w:rPr>
      </w:pPr>
      <w:r w:rsidRPr="00907584">
        <w:rPr>
          <w:rFonts w:ascii="Arial" w:hAnsi="Arial"/>
          <w:snapToGrid/>
          <w:shd w:val="clear" w:color="auto" w:fill="FFFFFF"/>
          <w:lang w:val="en-GB" w:eastAsia="nl-NL"/>
        </w:rPr>
        <w:t>La salvaguardia del patrimonio inmaterial</w:t>
      </w:r>
    </w:p>
    <w:p w14:paraId="16B1214F" w14:textId="0F654ABA" w:rsidR="00F2546A" w:rsidRPr="00BC78C7" w:rsidRDefault="00007000" w:rsidP="00B37DFB">
      <w:pPr>
        <w:pStyle w:val="Texte1"/>
        <w:rPr>
          <w:lang w:val="es-ES"/>
        </w:rPr>
      </w:pPr>
      <w:r w:rsidRPr="00BC78C7">
        <w:rPr>
          <w:lang w:val="es-ES"/>
        </w:rPr>
        <w:t>En 2013, Samoa ratificó la Convención de la UNESCO para la Salvaguardia del Patrimonio Cultural Inmaterial (en adelante, la Convención). La finalidad principal de la Convención, como su nombre</w:t>
      </w:r>
      <w:r w:rsidR="00E22BC2">
        <w:rPr>
          <w:lang w:val="es-ES"/>
        </w:rPr>
        <w:t xml:space="preserve"> completo</w:t>
      </w:r>
      <w:r w:rsidRPr="00BC78C7">
        <w:rPr>
          <w:lang w:val="es-ES"/>
        </w:rPr>
        <w:t xml:space="preserve"> lo indica, es salvaguardar el PCI, pero además generar conciencia sobre su importancia, tal como lo estipula </w:t>
      </w:r>
      <w:r w:rsidR="005F6240" w:rsidRPr="00BC78C7">
        <w:rPr>
          <w:lang w:val="es-ES"/>
        </w:rPr>
        <w:t>su primer artículo</w:t>
      </w:r>
      <w:r w:rsidRPr="00BC78C7">
        <w:rPr>
          <w:lang w:val="es-ES"/>
        </w:rPr>
        <w:t xml:space="preserve">. Estos procesos requieren la mayor participación posible de las comunidades, los grupos y los individuos de que se trate, según lo dispuesto en el artículo 15.  La Convención y las directrices operativas conexas constituyen un marco normativo en el ámbito internacional para que las comunidades tengan la libertad de tomar decisiones sobre sus propias medidas y métodos de salvaguardia, dentro de lo </w:t>
      </w:r>
      <w:r w:rsidR="00E22BC2">
        <w:rPr>
          <w:lang w:val="es-ES"/>
        </w:rPr>
        <w:t xml:space="preserve">límites de </w:t>
      </w:r>
      <w:r w:rsidRPr="00BC78C7">
        <w:rPr>
          <w:lang w:val="es-ES"/>
        </w:rPr>
        <w:t>los ordenamientos jurídicos nacionales. En la actualidad, Samoa no tiene leyes específicas en materia de PCI.</w:t>
      </w:r>
      <w:bookmarkEnd w:id="0"/>
    </w:p>
    <w:p w14:paraId="245785C1" w14:textId="13037C52" w:rsidR="00F2546A" w:rsidRPr="00BC78C7" w:rsidRDefault="00F2546A" w:rsidP="00B37DFB">
      <w:pPr>
        <w:pStyle w:val="Texte1"/>
        <w:rPr>
          <w:lang w:val="es-ES"/>
        </w:rPr>
      </w:pPr>
      <w:r w:rsidRPr="00BC78C7">
        <w:rPr>
          <w:lang w:val="es-ES"/>
        </w:rPr>
        <w:t xml:space="preserve">De conformidad con lo dispuesto en los artículos 11 y 12 de la Convención, incumbe a los Estados Partes </w:t>
      </w:r>
      <w:r w:rsidR="00254DED" w:rsidRPr="00BC78C7">
        <w:rPr>
          <w:lang w:val="es-ES"/>
        </w:rPr>
        <w:t>inventariar</w:t>
      </w:r>
      <w:r w:rsidRPr="00BC78C7">
        <w:rPr>
          <w:lang w:val="es-ES"/>
        </w:rPr>
        <w:t xml:space="preserve"> el PCI presente en sus territorios de una manera favorable al objetivo de salvaguardia. Además, en virtud del artículo 15, los Estados Partes deben velar por que se genere la mayor participación posible de comunidades, grupos y, si procediera, individuos en las actividades de salvaguardia. En lo relativo a las nominaciones y las inscripciones, </w:t>
      </w:r>
      <w:r w:rsidRPr="00BC78C7">
        <w:rPr>
          <w:szCs w:val="22"/>
          <w:lang w:val="es-ES"/>
        </w:rPr>
        <w:t>ha de prestarse especial atención a que las comunidades, los grupos y los individuos participen en la elaboración de los documentos de nominación; asimismo, el consentimiento previo, libre e informado es obligatorio para poder presentar una nominación. Por último, los informes sobre las medidas de salvaguardia relativas a los e</w:t>
      </w:r>
      <w:r w:rsidR="00E22BC2">
        <w:rPr>
          <w:szCs w:val="22"/>
          <w:lang w:val="es-ES"/>
        </w:rPr>
        <w:t>lemento inscri</w:t>
      </w:r>
      <w:r w:rsidRPr="00BC78C7">
        <w:rPr>
          <w:szCs w:val="22"/>
          <w:lang w:val="es-ES"/>
        </w:rPr>
        <w:t>tos de patrimonio cultural inmaterial deben incluir una explicación sobre cómo se integró a la comunidad.</w:t>
      </w:r>
    </w:p>
    <w:p w14:paraId="4CB2FD7A" w14:textId="5EF1BB53" w:rsidR="00F201C8" w:rsidRPr="00BC78C7" w:rsidRDefault="00E22BC2" w:rsidP="00B37DFB">
      <w:pPr>
        <w:pStyle w:val="Texte1"/>
        <w:rPr>
          <w:lang w:val="es-ES"/>
        </w:rPr>
      </w:pPr>
      <w:r>
        <w:rPr>
          <w:lang w:val="es-ES"/>
        </w:rPr>
        <w:t>El término “</w:t>
      </w:r>
      <w:r w:rsidR="003101FC" w:rsidRPr="00BC78C7">
        <w:rPr>
          <w:lang w:val="es-ES"/>
        </w:rPr>
        <w:t>comunidades, grup</w:t>
      </w:r>
      <w:r>
        <w:rPr>
          <w:lang w:val="es-ES"/>
        </w:rPr>
        <w:t>os e individuos de que se trate”</w:t>
      </w:r>
      <w:r w:rsidR="003101FC" w:rsidRPr="00BC78C7">
        <w:rPr>
          <w:lang w:val="es-ES"/>
        </w:rPr>
        <w:t xml:space="preserve">, según se ha interpretado, abarca a quienes practican algún elemento de su PCI, así como a quienes consideran alguna práctica como parte de su patrimonio cultural, en consonancia con lo dispuesto en el artículo 2. En lo que se refiere a la </w:t>
      </w:r>
      <w:r w:rsidR="00254DED" w:rsidRPr="00BC78C7">
        <w:rPr>
          <w:lang w:val="es-ES"/>
        </w:rPr>
        <w:t>práctica</w:t>
      </w:r>
      <w:r w:rsidR="003101FC" w:rsidRPr="00BC78C7">
        <w:rPr>
          <w:lang w:val="es-ES"/>
        </w:rPr>
        <w:t xml:space="preserve"> del </w:t>
      </w:r>
      <w:r w:rsidR="003101FC" w:rsidRPr="00BC78C7">
        <w:rPr>
          <w:i/>
          <w:iCs/>
          <w:lang w:val="es-ES"/>
        </w:rPr>
        <w:t>tátau</w:t>
      </w:r>
      <w:r>
        <w:rPr>
          <w:lang w:val="es-ES"/>
        </w:rPr>
        <w:t>, el término “</w:t>
      </w:r>
      <w:r w:rsidR="003101FC" w:rsidRPr="00BC78C7">
        <w:rPr>
          <w:lang w:val="es-ES"/>
        </w:rPr>
        <w:t>c</w:t>
      </w:r>
      <w:r>
        <w:rPr>
          <w:lang w:val="es-ES"/>
        </w:rPr>
        <w:t xml:space="preserve">omunidades, grupos e individuos” </w:t>
      </w:r>
      <w:r w:rsidR="003101FC" w:rsidRPr="00BC78C7">
        <w:rPr>
          <w:lang w:val="es-ES"/>
        </w:rPr>
        <w:t xml:space="preserve">abarcaría a las familias </w:t>
      </w:r>
      <w:r w:rsidR="003101FC" w:rsidRPr="00BC78C7">
        <w:rPr>
          <w:i/>
          <w:iCs/>
          <w:lang w:val="es-ES"/>
        </w:rPr>
        <w:t>tufuga</w:t>
      </w:r>
      <w:r w:rsidR="003101FC" w:rsidRPr="00BC78C7">
        <w:rPr>
          <w:lang w:val="es-ES"/>
        </w:rPr>
        <w:t xml:space="preserve">, o a los </w:t>
      </w:r>
      <w:r w:rsidR="003101FC" w:rsidRPr="00BC78C7">
        <w:rPr>
          <w:i/>
          <w:iCs/>
          <w:lang w:val="es-ES"/>
        </w:rPr>
        <w:t>tufuga</w:t>
      </w:r>
      <w:r w:rsidR="003101FC" w:rsidRPr="00BC78C7">
        <w:rPr>
          <w:lang w:val="es-ES"/>
        </w:rPr>
        <w:t xml:space="preserve"> en general, pero también a todos los samoanos que residen en el país y en el extranjero y que consideran la práctica del </w:t>
      </w:r>
      <w:r w:rsidR="003101FC" w:rsidRPr="00BC78C7">
        <w:rPr>
          <w:i/>
          <w:iCs/>
          <w:lang w:val="es-ES"/>
        </w:rPr>
        <w:t>tátau</w:t>
      </w:r>
      <w:r w:rsidR="003101FC" w:rsidRPr="00BC78C7">
        <w:rPr>
          <w:lang w:val="es-ES"/>
        </w:rPr>
        <w:t xml:space="preserve"> como propia. Al tratarse de grupos tan dispares, lo más conveniente sería que todos contribuyeran a identificar la práctica del </w:t>
      </w:r>
      <w:r w:rsidR="003101FC" w:rsidRPr="00BC78C7">
        <w:rPr>
          <w:i/>
          <w:iCs/>
          <w:lang w:val="es-ES"/>
        </w:rPr>
        <w:t>tátau</w:t>
      </w:r>
      <w:r w:rsidR="003101FC" w:rsidRPr="00BC78C7">
        <w:rPr>
          <w:lang w:val="es-ES"/>
        </w:rPr>
        <w:t xml:space="preserve"> en calidad de PCI en los procesos de confección de inventarios y a encontrar la mejor forma de proceder para salvaguardarlo. Normalmente, un eventual proceso de inventariado incluiría los puntos de vista de representantes de la comunidad. Así pues, las circunstancias en que se ejecute el proceso de </w:t>
      </w:r>
      <w:r w:rsidR="00254DED" w:rsidRPr="00BC78C7">
        <w:rPr>
          <w:lang w:val="es-ES"/>
        </w:rPr>
        <w:t>inventariado</w:t>
      </w:r>
      <w:r w:rsidR="003101FC" w:rsidRPr="00BC78C7">
        <w:rPr>
          <w:lang w:val="es-ES"/>
        </w:rPr>
        <w:t xml:space="preserve"> y los beneficios relativos que puedan resultar de participar en dicho proceso probablemente afecten las negociaciones en el seno de la comunidad y determinen qué voces </w:t>
      </w:r>
      <w:r w:rsidR="00254DED" w:rsidRPr="00BC78C7">
        <w:rPr>
          <w:lang w:val="es-ES"/>
        </w:rPr>
        <w:t>serán</w:t>
      </w:r>
      <w:r w:rsidR="003101FC" w:rsidRPr="00BC78C7">
        <w:rPr>
          <w:lang w:val="es-ES"/>
        </w:rPr>
        <w:t xml:space="preserve"> oídas.</w:t>
      </w:r>
    </w:p>
    <w:p w14:paraId="09B30C49" w14:textId="54D94726" w:rsidR="00255C09" w:rsidRPr="00BC78C7" w:rsidRDefault="00226DFE" w:rsidP="00B37DFB">
      <w:pPr>
        <w:pStyle w:val="Texte1"/>
        <w:rPr>
          <w:lang w:val="es-ES"/>
        </w:rPr>
      </w:pPr>
      <w:r w:rsidRPr="00BC78C7">
        <w:rPr>
          <w:lang w:val="es-ES"/>
        </w:rPr>
        <w:t>En el artículo 13 de la Convención</w:t>
      </w:r>
      <w:r w:rsidR="005F6240" w:rsidRPr="00BC78C7">
        <w:rPr>
          <w:lang w:val="es-ES"/>
        </w:rPr>
        <w:t>,</w:t>
      </w:r>
      <w:r w:rsidRPr="00BC78C7">
        <w:rPr>
          <w:lang w:val="es-ES"/>
        </w:rPr>
        <w:t xml:space="preserve"> se destaca </w:t>
      </w:r>
      <w:r w:rsidR="00E22BC2">
        <w:rPr>
          <w:lang w:val="es-ES"/>
        </w:rPr>
        <w:t>la importancia de respetar los “usos consuetudinarios”</w:t>
      </w:r>
      <w:r w:rsidRPr="00BC78C7">
        <w:rPr>
          <w:lang w:val="es-ES"/>
        </w:rPr>
        <w:t xml:space="preserve"> por los que se rige el acceso al patrimonio cultural inmaterial; esto puede implicar que algunos grupos o </w:t>
      </w:r>
      <w:r w:rsidR="00254DED" w:rsidRPr="00BC78C7">
        <w:rPr>
          <w:lang w:val="es-ES"/>
        </w:rPr>
        <w:t>individuos</w:t>
      </w:r>
      <w:r w:rsidRPr="00BC78C7">
        <w:rPr>
          <w:lang w:val="es-ES"/>
        </w:rPr>
        <w:t xml:space="preserve"> de la comunidad ejerzan mayor control sobre el PCI que otros. En el caso que nos ocupa, es probable que esto genere rechazo entre quienes desean que el </w:t>
      </w:r>
      <w:r w:rsidRPr="00BC78C7">
        <w:rPr>
          <w:i/>
          <w:iCs/>
          <w:lang w:val="es-ES"/>
        </w:rPr>
        <w:t>tátau</w:t>
      </w:r>
      <w:r w:rsidRPr="00BC78C7">
        <w:rPr>
          <w:lang w:val="es-ES"/>
        </w:rPr>
        <w:t xml:space="preserve"> sea un símbolo del país en general, y que, por el contrario, despierte simpatía entre quienes pretenden circunscribirlo al ámbito de las </w:t>
      </w:r>
      <w:r w:rsidR="00254DED" w:rsidRPr="00BC78C7">
        <w:rPr>
          <w:lang w:val="es-ES"/>
        </w:rPr>
        <w:t>tradicionales</w:t>
      </w:r>
      <w:r w:rsidRPr="00BC78C7">
        <w:rPr>
          <w:lang w:val="es-ES"/>
        </w:rPr>
        <w:t xml:space="preserve"> de iniciación a la identid</w:t>
      </w:r>
      <w:r w:rsidR="005F6240" w:rsidRPr="00BC78C7">
        <w:rPr>
          <w:lang w:val="es-ES"/>
        </w:rPr>
        <w:t>ad samoana. Es posible</w:t>
      </w:r>
      <w:r w:rsidRPr="00BC78C7">
        <w:rPr>
          <w:lang w:val="es-ES"/>
        </w:rPr>
        <w:t xml:space="preserve"> que las familias </w:t>
      </w:r>
      <w:r w:rsidRPr="00BC78C7">
        <w:rPr>
          <w:i/>
          <w:iCs/>
          <w:lang w:val="es-ES"/>
        </w:rPr>
        <w:t>tufuga</w:t>
      </w:r>
      <w:r w:rsidRPr="00BC78C7">
        <w:rPr>
          <w:lang w:val="es-ES"/>
        </w:rPr>
        <w:t xml:space="preserve"> intenten conservar su autoridad sobre la práctica del </w:t>
      </w:r>
      <w:r w:rsidRPr="00BC78C7">
        <w:rPr>
          <w:i/>
          <w:iCs/>
          <w:lang w:val="es-ES"/>
        </w:rPr>
        <w:t>tátau</w:t>
      </w:r>
      <w:r w:rsidRPr="00BC78C7">
        <w:rPr>
          <w:lang w:val="es-ES"/>
        </w:rPr>
        <w:t xml:space="preserve"> para proteger sus ingresos.</w:t>
      </w:r>
    </w:p>
    <w:p w14:paraId="34EB13A1" w14:textId="2BDE3593" w:rsidR="003101FC" w:rsidRPr="00BC78C7" w:rsidRDefault="00254DED" w:rsidP="00B37DFB">
      <w:pPr>
        <w:pStyle w:val="Texte1"/>
        <w:rPr>
          <w:lang w:val="es-ES"/>
        </w:rPr>
      </w:pPr>
      <w:r w:rsidRPr="00BC78C7">
        <w:rPr>
          <w:lang w:val="es-ES"/>
        </w:rPr>
        <w:lastRenderedPageBreak/>
        <w:t>Inventariar</w:t>
      </w:r>
      <w:r w:rsidR="003101FC" w:rsidRPr="00BC78C7">
        <w:rPr>
          <w:lang w:val="es-ES"/>
        </w:rPr>
        <w:t xml:space="preserve"> la práctica del </w:t>
      </w:r>
      <w:r w:rsidR="003101FC" w:rsidRPr="00BC78C7">
        <w:rPr>
          <w:i/>
          <w:lang w:val="es-ES"/>
        </w:rPr>
        <w:t>tátau</w:t>
      </w:r>
      <w:r w:rsidR="003101FC" w:rsidRPr="00BC78C7">
        <w:rPr>
          <w:lang w:val="es-ES"/>
        </w:rPr>
        <w:t xml:space="preserve"> de conformidad con la Convención de 2003 no implicar</w:t>
      </w:r>
      <w:r w:rsidR="00E22BC2">
        <w:rPr>
          <w:lang w:val="es-ES"/>
        </w:rPr>
        <w:t>ía</w:t>
      </w:r>
      <w:r w:rsidR="003101FC" w:rsidRPr="00BC78C7">
        <w:rPr>
          <w:lang w:val="es-ES"/>
        </w:rPr>
        <w:t xml:space="preserve"> la adjudicación de derechos adicionales a un grupo de personas en particular (los </w:t>
      </w:r>
      <w:r w:rsidR="003101FC" w:rsidRPr="00BC78C7">
        <w:rPr>
          <w:i/>
          <w:iCs/>
          <w:lang w:val="es-ES"/>
        </w:rPr>
        <w:t>tufuga</w:t>
      </w:r>
      <w:r w:rsidR="003101FC" w:rsidRPr="00BC78C7">
        <w:rPr>
          <w:lang w:val="es-ES"/>
        </w:rPr>
        <w:t>, por ejemplo). No obstante, si la legislación nacional de Samoa legitimara los reclamos sobre la propiedad intelectual de los conocimientos tradicionales,</w:t>
      </w:r>
      <w:r w:rsidR="00E22BC2">
        <w:rPr>
          <w:lang w:val="es-ES"/>
        </w:rPr>
        <w:t xml:space="preserve"> el inventariado del PCI podría</w:t>
      </w:r>
      <w:r w:rsidR="003101FC" w:rsidRPr="00BC78C7">
        <w:rPr>
          <w:lang w:val="es-ES"/>
        </w:rPr>
        <w:t xml:space="preserve"> usarse como prueba de titularidad. Los depositarios de los conocimientos tradicionales —suponiendo que pudieran identificarse— podrían entonces aducir el derecho exclusivo de decidir qué medidas de salvaguardia adoptar (o no adoptar).</w:t>
      </w:r>
    </w:p>
    <w:p w14:paraId="395CC96D" w14:textId="164BE80D" w:rsidR="00E567AF" w:rsidRPr="00BC78C7" w:rsidRDefault="00E22BC2" w:rsidP="00B37DFB">
      <w:pPr>
        <w:pStyle w:val="Texte1"/>
        <w:rPr>
          <w:lang w:val="es-ES"/>
        </w:rPr>
      </w:pPr>
      <w:r>
        <w:rPr>
          <w:lang w:val="es-ES"/>
        </w:rPr>
        <w:t>En las Directrices O</w:t>
      </w:r>
      <w:r w:rsidR="00226DFE" w:rsidRPr="00BC78C7">
        <w:rPr>
          <w:lang w:val="es-ES"/>
        </w:rPr>
        <w:t xml:space="preserve">perativas de la Convención, se alienta a los Estados Partes a que velen por los derechos de comunidades, grupos e individuos al emprender actividades promocionales o comerciales en relación con su patrimonio, particularmente mediante la aplicación de los derechos de propiedad intelectual (párrafo 104). De hecho, ciertas actividades, como la documentación y el </w:t>
      </w:r>
      <w:r w:rsidR="00254DED" w:rsidRPr="00BC78C7">
        <w:rPr>
          <w:lang w:val="es-ES"/>
        </w:rPr>
        <w:t>inventariado</w:t>
      </w:r>
      <w:r w:rsidR="00226DFE" w:rsidRPr="00BC78C7">
        <w:rPr>
          <w:lang w:val="es-ES"/>
        </w:rPr>
        <w:t xml:space="preserve"> del PCI, pueden generar nuevos derechos de propiedad intelectual (por ejemplo, sobre </w:t>
      </w:r>
      <w:r>
        <w:rPr>
          <w:lang w:val="es-ES"/>
        </w:rPr>
        <w:t xml:space="preserve">los </w:t>
      </w:r>
      <w:r w:rsidR="00226DFE" w:rsidRPr="00BC78C7">
        <w:rPr>
          <w:lang w:val="es-ES"/>
        </w:rPr>
        <w:t>documentos o las bases de datos). Los adjudicatarios naturales de estos nuevos derechos podrán ser los organismos públicos, los investigadores o las ONG que participen en la elaboració</w:t>
      </w:r>
      <w:r w:rsidR="0041791B" w:rsidRPr="00BC78C7">
        <w:rPr>
          <w:lang w:val="es-ES"/>
        </w:rPr>
        <w:t>n de los registros. Así pues</w:t>
      </w:r>
      <w:r w:rsidR="00226DFE" w:rsidRPr="00BC78C7">
        <w:rPr>
          <w:lang w:val="es-ES"/>
        </w:rPr>
        <w:t xml:space="preserve">, sería importante que estas actividades se encomendaran específicamente a las comunidades, los grupos y los individuos. </w:t>
      </w:r>
      <w:r w:rsidR="0041791B" w:rsidRPr="00BC78C7">
        <w:rPr>
          <w:lang w:val="es-ES"/>
        </w:rPr>
        <w:t>Por último, s</w:t>
      </w:r>
      <w:r w:rsidR="00226DFE" w:rsidRPr="00BC78C7">
        <w:rPr>
          <w:lang w:val="es-ES"/>
        </w:rPr>
        <w:t xml:space="preserve">i los derechos de autor </w:t>
      </w:r>
      <w:r>
        <w:rPr>
          <w:lang w:val="es-ES"/>
        </w:rPr>
        <w:t>se confirieran</w:t>
      </w:r>
      <w:r w:rsidR="00226DFE" w:rsidRPr="00BC78C7">
        <w:rPr>
          <w:lang w:val="es-ES"/>
        </w:rPr>
        <w:t xml:space="preserve"> a miembros de la comunidad, </w:t>
      </w:r>
      <w:r>
        <w:rPr>
          <w:lang w:val="es-ES"/>
        </w:rPr>
        <w:t>cabría</w:t>
      </w:r>
      <w:r w:rsidR="00226DFE" w:rsidRPr="00BC78C7">
        <w:rPr>
          <w:lang w:val="es-ES"/>
        </w:rPr>
        <w:t xml:space="preserve"> preguntarse si correspondería cedérselos a los </w:t>
      </w:r>
      <w:r w:rsidR="00226DFE" w:rsidRPr="00BC78C7">
        <w:rPr>
          <w:i/>
          <w:lang w:val="es-ES"/>
        </w:rPr>
        <w:t>tufuga</w:t>
      </w:r>
      <w:r w:rsidR="00226DFE" w:rsidRPr="00BC78C7">
        <w:rPr>
          <w:lang w:val="es-ES"/>
        </w:rPr>
        <w:t xml:space="preserve"> o una organización comunitaria general. </w:t>
      </w:r>
    </w:p>
    <w:p w14:paraId="37A82E71" w14:textId="2B8F55B8" w:rsidR="00532B1A" w:rsidRPr="00D72F15" w:rsidRDefault="0050273B" w:rsidP="00AB0560">
      <w:pPr>
        <w:pStyle w:val="Heading4"/>
        <w:rPr>
          <w:lang w:val="en-GB"/>
        </w:rPr>
      </w:pPr>
      <w:r w:rsidRPr="00D72F15">
        <w:rPr>
          <w:lang w:val="en-GB"/>
        </w:rPr>
        <w:t>Conclusión</w:t>
      </w:r>
    </w:p>
    <w:p w14:paraId="4A0A88B5" w14:textId="173535B7" w:rsidR="00F2546A" w:rsidRPr="00BC78C7" w:rsidRDefault="00532B1A" w:rsidP="00B37DFB">
      <w:pPr>
        <w:pStyle w:val="Texte1"/>
        <w:rPr>
          <w:lang w:val="es-ES"/>
        </w:rPr>
      </w:pPr>
      <w:r w:rsidRPr="00BC78C7">
        <w:rPr>
          <w:lang w:val="es-ES"/>
        </w:rPr>
        <w:t xml:space="preserve">En conclusión, los objetivos de los tres enfoques normativos descriptos en el informe presentan numerosas coincidencias, pero </w:t>
      </w:r>
      <w:r w:rsidR="0041791B" w:rsidRPr="00BC78C7">
        <w:rPr>
          <w:lang w:val="es-ES"/>
        </w:rPr>
        <w:t xml:space="preserve">también </w:t>
      </w:r>
      <w:r w:rsidRPr="00BC78C7">
        <w:rPr>
          <w:lang w:val="es-ES"/>
        </w:rPr>
        <w:t xml:space="preserve">difieren en algunos aspectos. En particular, los tres proponen soluciones muy dispares acerca de quiénes deben obtener beneficios de la práctica del </w:t>
      </w:r>
      <w:r w:rsidRPr="00BC78C7">
        <w:rPr>
          <w:i/>
          <w:iCs/>
          <w:lang w:val="es-ES"/>
        </w:rPr>
        <w:t>tátau</w:t>
      </w:r>
      <w:r w:rsidRPr="00BC78C7">
        <w:rPr>
          <w:lang w:val="es-ES"/>
        </w:rPr>
        <w:t xml:space="preserve"> y </w:t>
      </w:r>
      <w:r w:rsidR="0041791B" w:rsidRPr="00BC78C7">
        <w:rPr>
          <w:lang w:val="es-ES"/>
        </w:rPr>
        <w:t xml:space="preserve">ejercer el control sobre esta. </w:t>
      </w:r>
      <w:r w:rsidRPr="00BC78C7">
        <w:rPr>
          <w:lang w:val="es-ES"/>
        </w:rPr>
        <w:t xml:space="preserve">Por lo tanto, es importante analizar los puntos en común que puedan existir entre los enfoques y determinar la mejor manera de mitigar o salvar las divergencias en el contexto de la salvaguardia del </w:t>
      </w:r>
      <w:r w:rsidRPr="00BC78C7">
        <w:rPr>
          <w:i/>
          <w:iCs/>
          <w:lang w:val="es-ES"/>
        </w:rPr>
        <w:t>tátau</w:t>
      </w:r>
      <w:r w:rsidRPr="00BC78C7">
        <w:rPr>
          <w:lang w:val="es-ES"/>
        </w:rPr>
        <w:t>.</w:t>
      </w:r>
    </w:p>
    <w:p w14:paraId="112B5190" w14:textId="016BF62E" w:rsidR="00507ED1" w:rsidRPr="00D72F15" w:rsidRDefault="0050273B" w:rsidP="00507ED1">
      <w:pPr>
        <w:pStyle w:val="Heading4"/>
      </w:pPr>
      <w:r w:rsidRPr="00D72F15">
        <w:t>Preguntas finales</w:t>
      </w:r>
    </w:p>
    <w:p w14:paraId="45E4B191" w14:textId="6CEAF79C" w:rsidR="00FE5281" w:rsidRPr="00BC78C7" w:rsidRDefault="0049403D" w:rsidP="00B37DFB">
      <w:pPr>
        <w:pStyle w:val="Texte1"/>
        <w:numPr>
          <w:ilvl w:val="0"/>
          <w:numId w:val="15"/>
        </w:numPr>
        <w:rPr>
          <w:lang w:val="es-ES"/>
        </w:rPr>
      </w:pPr>
      <w:r w:rsidRPr="00BC78C7">
        <w:rPr>
          <w:lang w:val="es-ES"/>
        </w:rPr>
        <w:t xml:space="preserve">¿Qué enfoques normativos </w:t>
      </w:r>
      <w:r w:rsidR="0050273B" w:rsidRPr="00BC78C7">
        <w:rPr>
          <w:lang w:val="es-ES"/>
        </w:rPr>
        <w:t>en materia de cultura y</w:t>
      </w:r>
      <w:r w:rsidRPr="00BC78C7">
        <w:rPr>
          <w:lang w:val="es-ES"/>
        </w:rPr>
        <w:t xml:space="preserve"> desarrollo podrían incidir en la práctica del </w:t>
      </w:r>
      <w:r w:rsidRPr="00BC78C7">
        <w:rPr>
          <w:i/>
          <w:iCs/>
          <w:lang w:val="es-ES"/>
        </w:rPr>
        <w:t>tátau</w:t>
      </w:r>
      <w:r w:rsidR="00D72F15">
        <w:rPr>
          <w:lang w:val="es-ES"/>
        </w:rPr>
        <w:t xml:space="preserve"> en las islas del Pacífico?</w:t>
      </w:r>
    </w:p>
    <w:p w14:paraId="717CE09D" w14:textId="77777777" w:rsidR="00FE5281" w:rsidRPr="00BC78C7" w:rsidRDefault="0049403D" w:rsidP="00B37DFB">
      <w:pPr>
        <w:pStyle w:val="Texte1"/>
        <w:numPr>
          <w:ilvl w:val="0"/>
          <w:numId w:val="15"/>
        </w:numPr>
        <w:rPr>
          <w:lang w:val="es-ES"/>
        </w:rPr>
      </w:pPr>
      <w:r w:rsidRPr="00BC78C7">
        <w:rPr>
          <w:lang w:val="es-ES"/>
        </w:rPr>
        <w:t>¿De qué manera se relacionarían con el derecho internacional y la legislación regional?</w:t>
      </w:r>
    </w:p>
    <w:p w14:paraId="5EC1D82D" w14:textId="20BED1AE" w:rsidR="00FE5281" w:rsidRPr="00BC78C7" w:rsidRDefault="0049403D" w:rsidP="00B37DFB">
      <w:pPr>
        <w:pStyle w:val="Texte1"/>
        <w:numPr>
          <w:ilvl w:val="0"/>
          <w:numId w:val="15"/>
        </w:numPr>
        <w:rPr>
          <w:lang w:val="es-ES"/>
        </w:rPr>
      </w:pPr>
      <w:r w:rsidRPr="00BC78C7">
        <w:rPr>
          <w:lang w:val="es-ES"/>
        </w:rPr>
        <w:t xml:space="preserve">¿Por qué el presente estudio de caso sugiere que los tres marcos normativos tendrán efectos diferentes en la práctica del </w:t>
      </w:r>
      <w:r w:rsidRPr="00BC78C7">
        <w:rPr>
          <w:i/>
          <w:iCs/>
          <w:lang w:val="es-ES"/>
        </w:rPr>
        <w:t>tátau</w:t>
      </w:r>
      <w:r w:rsidR="00D72F15">
        <w:rPr>
          <w:lang w:val="es-ES"/>
        </w:rPr>
        <w:t xml:space="preserve"> en Samoa?</w:t>
      </w:r>
    </w:p>
    <w:p w14:paraId="4D8F1AFA" w14:textId="77777777" w:rsidR="004973B2" w:rsidRPr="00BC78C7" w:rsidRDefault="004973B2" w:rsidP="00B37DFB">
      <w:pPr>
        <w:pStyle w:val="Texte1"/>
        <w:numPr>
          <w:ilvl w:val="0"/>
          <w:numId w:val="15"/>
        </w:numPr>
        <w:rPr>
          <w:lang w:val="es-ES"/>
        </w:rPr>
      </w:pPr>
      <w:r w:rsidRPr="00BC78C7">
        <w:rPr>
          <w:lang w:val="es-ES"/>
        </w:rPr>
        <w:t xml:space="preserve">¿Que pasaría si se incluyera información sobre el </w:t>
      </w:r>
      <w:r w:rsidRPr="00BC78C7">
        <w:rPr>
          <w:i/>
          <w:iCs/>
          <w:lang w:val="es-ES"/>
        </w:rPr>
        <w:t>tátau</w:t>
      </w:r>
      <w:r w:rsidRPr="00BC78C7">
        <w:rPr>
          <w:lang w:val="es-ES"/>
        </w:rPr>
        <w:t xml:space="preserve"> en las bases de datos sobre conocimientos tradicionales y en los inventarios del PCI?</w:t>
      </w:r>
    </w:p>
    <w:p w14:paraId="060AC07E" w14:textId="77777777" w:rsidR="00507ED1" w:rsidRPr="00BC78C7" w:rsidRDefault="0049403D" w:rsidP="00B37DFB">
      <w:pPr>
        <w:pStyle w:val="Texte1"/>
        <w:numPr>
          <w:ilvl w:val="0"/>
          <w:numId w:val="15"/>
        </w:numPr>
        <w:rPr>
          <w:lang w:val="es-ES"/>
        </w:rPr>
      </w:pPr>
      <w:r w:rsidRPr="00BC78C7">
        <w:rPr>
          <w:lang w:val="es-ES"/>
        </w:rPr>
        <w:t>Sobre la base de su propia experiencia, ¿qué tipo de controversias podrían surgir como resultado de la aplicación de los difer</w:t>
      </w:r>
      <w:bookmarkStart w:id="1" w:name="_GoBack"/>
      <w:bookmarkEnd w:id="1"/>
      <w:r w:rsidRPr="00BC78C7">
        <w:rPr>
          <w:lang w:val="es-ES"/>
        </w:rPr>
        <w:t>entes enfoques normativos?</w:t>
      </w:r>
    </w:p>
    <w:sectPr w:rsidR="00507ED1" w:rsidRPr="00BC78C7" w:rsidSect="00BC05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9A60" w14:textId="77777777" w:rsidR="00942D25" w:rsidRDefault="00942D25" w:rsidP="00656D65">
      <w:pPr>
        <w:spacing w:after="0"/>
      </w:pPr>
      <w:r>
        <w:separator/>
      </w:r>
    </w:p>
  </w:endnote>
  <w:endnote w:type="continuationSeparator" w:id="0">
    <w:p w14:paraId="207FA146" w14:textId="77777777" w:rsidR="00942D25" w:rsidRDefault="00942D25" w:rsidP="00656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76D7" w14:textId="3FC100D9" w:rsidR="00934672" w:rsidRPr="00BC78C7" w:rsidRDefault="005D6E39" w:rsidP="003E3D81">
    <w:pPr>
      <w:tabs>
        <w:tab w:val="clear" w:pos="567"/>
        <w:tab w:val="center" w:pos="4423"/>
        <w:tab w:val="right" w:pos="9000"/>
      </w:tabs>
      <w:spacing w:before="0" w:after="0" w:line="240" w:lineRule="exact"/>
      <w:jc w:val="left"/>
      <w:rPr>
        <w:sz w:val="16"/>
        <w:szCs w:val="18"/>
        <w:lang w:val="es-ES"/>
      </w:rPr>
    </w:pPr>
    <w:r>
      <w:rPr>
        <w:noProof/>
        <w:snapToGrid/>
        <w:sz w:val="16"/>
        <w:szCs w:val="18"/>
        <w:lang w:val="fr-FR" w:eastAsia="ja-JP"/>
      </w:rPr>
      <w:drawing>
        <wp:anchor distT="0" distB="0" distL="114300" distR="114300" simplePos="0" relativeHeight="251665408" behindDoc="0" locked="0" layoutInCell="1" allowOverlap="1" wp14:editId="367CE316">
          <wp:simplePos x="0" y="0"/>
          <wp:positionH relativeFrom="column">
            <wp:posOffset>2586355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672">
      <w:rPr>
        <w:noProof/>
        <w:snapToGrid/>
        <w:sz w:val="16"/>
        <w:szCs w:val="18"/>
        <w:lang w:val="fr-FR" w:eastAsia="ja-JP"/>
      </w:rPr>
      <w:drawing>
        <wp:anchor distT="0" distB="0" distL="114300" distR="114300" simplePos="0" relativeHeight="251661312" behindDoc="0" locked="1" layoutInCell="1" allowOverlap="0" wp14:anchorId="532D01F5" wp14:editId="6F1E3256">
          <wp:simplePos x="0" y="0"/>
          <wp:positionH relativeFrom="margin">
            <wp:posOffset>100330</wp:posOffset>
          </wp:positionH>
          <wp:positionV relativeFrom="margin">
            <wp:posOffset>8934450</wp:posOffset>
          </wp:positionV>
          <wp:extent cx="741680" cy="538480"/>
          <wp:effectExtent l="0" t="0" r="1270" b="0"/>
          <wp:wrapSquare wrapText="bothSides"/>
          <wp:docPr id="2"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r w:rsidR="00934672">
      <w:rPr>
        <w:sz w:val="16"/>
        <w:szCs w:val="18"/>
        <w:lang w:val="es"/>
      </w:rPr>
      <w:tab/>
    </w:r>
    <w:r w:rsidR="00BC78C7">
      <w:rPr>
        <w:sz w:val="16"/>
        <w:szCs w:val="18"/>
        <w:lang w:val="es"/>
      </w:rPr>
      <w:tab/>
      <w:t>CS38-v1.0-ES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ECBA" w14:textId="5696C568" w:rsidR="00934672" w:rsidRPr="00BC78C7" w:rsidRDefault="005D6E39" w:rsidP="00211047">
    <w:pPr>
      <w:tabs>
        <w:tab w:val="clear" w:pos="567"/>
        <w:tab w:val="center" w:pos="4423"/>
        <w:tab w:val="right" w:pos="8845"/>
      </w:tabs>
      <w:spacing w:before="0" w:after="0" w:line="240" w:lineRule="exact"/>
      <w:jc w:val="left"/>
      <w:rPr>
        <w:sz w:val="16"/>
        <w:szCs w:val="18"/>
        <w:lang w:val="es-ES"/>
      </w:rPr>
    </w:pPr>
    <w:r>
      <w:rPr>
        <w:noProof/>
        <w:snapToGrid/>
        <w:sz w:val="16"/>
        <w:szCs w:val="18"/>
        <w:lang w:val="fr-FR" w:eastAsia="ja-JP"/>
      </w:rPr>
      <w:drawing>
        <wp:anchor distT="0" distB="0" distL="114300" distR="114300" simplePos="0" relativeHeight="251666432" behindDoc="0" locked="0" layoutInCell="1" allowOverlap="1" wp14:editId="0BEB076F">
          <wp:simplePos x="0" y="0"/>
          <wp:positionH relativeFrom="column">
            <wp:posOffset>2586355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8C7">
      <w:rPr>
        <w:sz w:val="16"/>
        <w:szCs w:val="18"/>
        <w:lang w:val="es"/>
      </w:rPr>
      <w:t>CS38-v1.0-ES</w:t>
    </w:r>
    <w:r w:rsidR="00934672">
      <w:rPr>
        <w:sz w:val="16"/>
        <w:szCs w:val="18"/>
        <w:lang w:val="es"/>
      </w:rPr>
      <w:tab/>
    </w:r>
    <w:r w:rsidR="00934672">
      <w:rPr>
        <w:sz w:val="16"/>
        <w:szCs w:val="18"/>
        <w:lang w:val="es"/>
      </w:rPr>
      <w:tab/>
    </w:r>
    <w:r w:rsidR="00934672">
      <w:rPr>
        <w:noProof/>
        <w:snapToGrid/>
        <w:sz w:val="16"/>
        <w:szCs w:val="18"/>
        <w:lang w:val="fr-FR" w:eastAsia="ja-JP"/>
      </w:rPr>
      <w:drawing>
        <wp:anchor distT="0" distB="0" distL="114300" distR="114300" simplePos="0" relativeHeight="251663360" behindDoc="0" locked="1" layoutInCell="1" allowOverlap="0" wp14:anchorId="22A09B1A" wp14:editId="5C330D38">
          <wp:simplePos x="0" y="0"/>
          <wp:positionH relativeFrom="margin">
            <wp:posOffset>4967605</wp:posOffset>
          </wp:positionH>
          <wp:positionV relativeFrom="margin">
            <wp:posOffset>8905875</wp:posOffset>
          </wp:positionV>
          <wp:extent cx="741680" cy="538480"/>
          <wp:effectExtent l="0" t="0" r="1270" b="0"/>
          <wp:wrapSquare wrapText="bothSides"/>
          <wp:docPr id="3"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7309" w14:textId="303CDE07" w:rsidR="00934672" w:rsidRPr="00BC78C7" w:rsidRDefault="005D6E39" w:rsidP="00211047">
    <w:pPr>
      <w:tabs>
        <w:tab w:val="clear" w:pos="567"/>
        <w:tab w:val="center" w:pos="4423"/>
        <w:tab w:val="right" w:pos="8845"/>
      </w:tabs>
      <w:spacing w:before="0" w:after="0" w:line="240" w:lineRule="exact"/>
      <w:jc w:val="left"/>
      <w:rPr>
        <w:sz w:val="16"/>
        <w:szCs w:val="18"/>
        <w:lang w:val="es-ES"/>
      </w:rPr>
    </w:pPr>
    <w:r>
      <w:rPr>
        <w:noProof/>
        <w:snapToGrid/>
        <w:sz w:val="16"/>
        <w:szCs w:val="18"/>
        <w:lang w:val="fr-FR" w:eastAsia="ja-JP"/>
      </w:rPr>
      <w:drawing>
        <wp:anchor distT="0" distB="0" distL="114300" distR="114300" simplePos="0" relativeHeight="251664384" behindDoc="0" locked="0" layoutInCell="1" allowOverlap="1" wp14:editId="0B533907">
          <wp:simplePos x="0" y="0"/>
          <wp:positionH relativeFrom="column">
            <wp:posOffset>2586355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8C7">
      <w:rPr>
        <w:sz w:val="16"/>
        <w:szCs w:val="18"/>
        <w:lang w:val="es"/>
      </w:rPr>
      <w:t>CS38-v1.0-ES</w:t>
    </w:r>
    <w:r w:rsidR="00934672">
      <w:rPr>
        <w:sz w:val="16"/>
        <w:szCs w:val="18"/>
        <w:lang w:val="es"/>
      </w:rPr>
      <w:tab/>
    </w:r>
    <w:r w:rsidR="00934672">
      <w:rPr>
        <w:sz w:val="16"/>
        <w:szCs w:val="18"/>
        <w:lang w:val="es"/>
      </w:rPr>
      <w:tab/>
    </w:r>
    <w:r w:rsidR="00934672">
      <w:rPr>
        <w:noProof/>
        <w:snapToGrid/>
        <w:sz w:val="16"/>
        <w:szCs w:val="18"/>
        <w:lang w:val="fr-FR" w:eastAsia="ja-JP"/>
      </w:rPr>
      <w:drawing>
        <wp:anchor distT="0" distB="0" distL="114300" distR="114300" simplePos="0" relativeHeight="251659264" behindDoc="0" locked="1" layoutInCell="1" allowOverlap="0" wp14:anchorId="529A3481" wp14:editId="445383D1">
          <wp:simplePos x="0" y="0"/>
          <wp:positionH relativeFrom="margin">
            <wp:posOffset>4967605</wp:posOffset>
          </wp:positionH>
          <wp:positionV relativeFrom="margin">
            <wp:posOffset>8943975</wp:posOffset>
          </wp:positionV>
          <wp:extent cx="741680" cy="538480"/>
          <wp:effectExtent l="0" t="0" r="1270" b="0"/>
          <wp:wrapSquare wrapText="bothSides"/>
          <wp:docPr id="1"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5C72" w14:textId="77777777" w:rsidR="00942D25" w:rsidRDefault="00942D25" w:rsidP="00656D65">
      <w:pPr>
        <w:spacing w:after="0"/>
      </w:pPr>
      <w:r>
        <w:separator/>
      </w:r>
    </w:p>
  </w:footnote>
  <w:footnote w:type="continuationSeparator" w:id="0">
    <w:p w14:paraId="35EA280F" w14:textId="77777777" w:rsidR="00942D25" w:rsidRDefault="00942D25" w:rsidP="00656D65">
      <w:pPr>
        <w:spacing w:after="0"/>
      </w:pPr>
      <w:r>
        <w:continuationSeparator/>
      </w:r>
    </w:p>
  </w:footnote>
  <w:footnote w:id="1">
    <w:p w14:paraId="12B08064" w14:textId="6E1D7A71" w:rsidR="00934672" w:rsidRPr="003E3D81" w:rsidRDefault="00934672" w:rsidP="003E3D81">
      <w:pPr>
        <w:pStyle w:val="FootnoteText"/>
        <w:rPr>
          <w:rStyle w:val="FootnoteReference"/>
          <w:sz w:val="16"/>
          <w:szCs w:val="16"/>
          <w:vertAlign w:val="baseline"/>
        </w:rPr>
      </w:pPr>
      <w:r w:rsidRPr="003E3D81">
        <w:rPr>
          <w:rStyle w:val="FootnoteReference"/>
          <w:sz w:val="16"/>
          <w:szCs w:val="16"/>
          <w:vertAlign w:val="baseline"/>
        </w:rPr>
        <w:footnoteRef/>
      </w:r>
      <w:r w:rsidRPr="003E3D81">
        <w:rPr>
          <w:rStyle w:val="FootnoteReference"/>
          <w:sz w:val="16"/>
          <w:szCs w:val="16"/>
          <w:vertAlign w:val="baseline"/>
        </w:rPr>
        <w:t>.</w:t>
      </w:r>
      <w:r w:rsidRPr="003E3D81">
        <w:rPr>
          <w:rStyle w:val="FootnoteReference"/>
          <w:sz w:val="16"/>
          <w:szCs w:val="16"/>
          <w:vertAlign w:val="baseline"/>
        </w:rPr>
        <w:tab/>
        <w:t>Adaptado para el taller de la UNESCO sobre la base del artículo de M. Forsyth titulad</w:t>
      </w:r>
      <w:r w:rsidR="00B539AD" w:rsidRPr="003E3D81">
        <w:rPr>
          <w:rStyle w:val="FootnoteReference"/>
          <w:sz w:val="16"/>
          <w:szCs w:val="16"/>
          <w:vertAlign w:val="baseline"/>
        </w:rPr>
        <w:t>o “</w:t>
      </w:r>
      <w:r w:rsidRPr="003E3D81">
        <w:rPr>
          <w:rStyle w:val="FootnoteReference"/>
          <w:sz w:val="16"/>
          <w:szCs w:val="16"/>
          <w:vertAlign w:val="baseline"/>
        </w:rPr>
        <w:t>Lifting the Lid on The Community: Who Has the Right to Control Access to Traditional Knowle</w:t>
      </w:r>
      <w:r w:rsidR="00B539AD" w:rsidRPr="003E3D81">
        <w:rPr>
          <w:rStyle w:val="FootnoteReference"/>
          <w:sz w:val="16"/>
          <w:szCs w:val="16"/>
          <w:vertAlign w:val="baseline"/>
        </w:rPr>
        <w:t xml:space="preserve">dge and Expressions of Culture?”. </w:t>
      </w:r>
      <w:r w:rsidRPr="003E3D81">
        <w:rPr>
          <w:rStyle w:val="FootnoteReference"/>
          <w:sz w:val="16"/>
          <w:szCs w:val="16"/>
          <w:vertAlign w:val="baseline"/>
        </w:rPr>
        <w:t>International Jo</w:t>
      </w:r>
      <w:r w:rsidR="00B539AD" w:rsidRPr="003E3D81">
        <w:rPr>
          <w:rStyle w:val="FootnoteReference"/>
          <w:sz w:val="16"/>
          <w:szCs w:val="16"/>
          <w:vertAlign w:val="baseline"/>
        </w:rPr>
        <w:t>urnal of Cultural Property, 2012,</w:t>
      </w:r>
      <w:r w:rsidRPr="003E3D81">
        <w:rPr>
          <w:rStyle w:val="FootnoteReference"/>
          <w:sz w:val="16"/>
          <w:szCs w:val="16"/>
          <w:vertAlign w:val="baseline"/>
        </w:rPr>
        <w:t xml:space="preserve"> 19:1–31. Algunos aspectos del artículo (en especial la glosa sobre la Convención del Patrimonio Inmaterial) han sido modificados para el presente taller y puede que no reflejen la opinión de Forsyth. Se invita al lector a consultar la versión original completa.</w:t>
      </w:r>
    </w:p>
  </w:footnote>
  <w:footnote w:id="2">
    <w:p w14:paraId="78A08972" w14:textId="2D76B6BD" w:rsidR="00B539AD" w:rsidRPr="00B934ED" w:rsidRDefault="00B539AD" w:rsidP="00B539AD">
      <w:pPr>
        <w:pStyle w:val="FootnoteText"/>
        <w:rPr>
          <w:lang w:val="es-ES"/>
        </w:rPr>
      </w:pPr>
      <w:r w:rsidRPr="009B2F0B">
        <w:rPr>
          <w:rStyle w:val="FootnoteReference"/>
          <w:sz w:val="16"/>
          <w:szCs w:val="16"/>
          <w:vertAlign w:val="baseline"/>
        </w:rPr>
        <w:footnoteRef/>
      </w:r>
      <w:r w:rsidRPr="00B934ED">
        <w:rPr>
          <w:lang w:val="es-ES"/>
        </w:rPr>
        <w:t>.</w:t>
      </w:r>
      <w:r w:rsidRPr="00B934ED">
        <w:rPr>
          <w:lang w:val="es-ES"/>
        </w:rPr>
        <w:tab/>
      </w:r>
      <w:r w:rsidR="00B934ED">
        <w:rPr>
          <w:lang w:val="es-ES"/>
        </w:rPr>
        <w:t xml:space="preserve">OMPI y UNESCO: </w:t>
      </w:r>
      <w:r w:rsidR="00B934ED" w:rsidRPr="00B934ED">
        <w:rPr>
          <w:i/>
          <w:lang w:val="es-ES"/>
        </w:rPr>
        <w:t>Disposiciones tipo para leyes nacionales sobre la protección de las expresiones del folclore contra la explotación ilícita y otras formas de acción lesivas</w:t>
      </w:r>
      <w:r w:rsidR="00B934E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8F68" w14:textId="09A5B520" w:rsidR="00934672" w:rsidRPr="00BC78C7" w:rsidRDefault="00934672" w:rsidP="003E3D81">
    <w:pPr>
      <w:keepNext/>
      <w:tabs>
        <w:tab w:val="clear" w:pos="567"/>
        <w:tab w:val="center" w:pos="4423"/>
        <w:tab w:val="right" w:pos="9000"/>
      </w:tabs>
      <w:spacing w:before="0" w:after="0" w:line="280" w:lineRule="exact"/>
      <w:jc w:val="left"/>
      <w:rPr>
        <w:sz w:val="16"/>
        <w:szCs w:val="20"/>
        <w:lang w:val="es-ES"/>
      </w:rPr>
    </w:pPr>
    <w:r>
      <w:rPr>
        <w:sz w:val="16"/>
        <w:szCs w:val="20"/>
        <w:lang w:val="es"/>
      </w:rPr>
      <w:fldChar w:fldCharType="begin"/>
    </w:r>
    <w:r>
      <w:rPr>
        <w:sz w:val="16"/>
        <w:szCs w:val="20"/>
        <w:lang w:val="es"/>
      </w:rPr>
      <w:instrText xml:space="preserve"> PAGE </w:instrText>
    </w:r>
    <w:r>
      <w:rPr>
        <w:sz w:val="16"/>
        <w:szCs w:val="20"/>
        <w:lang w:val="es"/>
      </w:rPr>
      <w:fldChar w:fldCharType="separate"/>
    </w:r>
    <w:r w:rsidR="005D6E39">
      <w:rPr>
        <w:noProof/>
        <w:sz w:val="16"/>
        <w:szCs w:val="20"/>
        <w:lang w:val="es"/>
      </w:rPr>
      <w:t>4</w:t>
    </w:r>
    <w:r>
      <w:rPr>
        <w:sz w:val="16"/>
        <w:szCs w:val="20"/>
        <w:lang w:val="es"/>
      </w:rPr>
      <w:fldChar w:fldCharType="end"/>
    </w:r>
    <w:r>
      <w:rPr>
        <w:sz w:val="16"/>
        <w:szCs w:val="20"/>
        <w:lang w:val="es"/>
      </w:rPr>
      <w:tab/>
      <w:t>Estudio de caso</w:t>
    </w:r>
    <w:r w:rsidR="001F1B95">
      <w:rPr>
        <w:sz w:val="16"/>
        <w:szCs w:val="20"/>
        <w:lang w:val="es"/>
      </w:rPr>
      <w:t xml:space="preserve"> N</w:t>
    </w:r>
    <w:r w:rsidR="00BC78C7">
      <w:rPr>
        <w:sz w:val="16"/>
        <w:szCs w:val="20"/>
        <w:lang w:val="es"/>
      </w:rPr>
      <w:t>.°</w:t>
    </w:r>
    <w:r>
      <w:rPr>
        <w:sz w:val="16"/>
        <w:szCs w:val="20"/>
        <w:lang w:val="es"/>
      </w:rPr>
      <w:t> 38</w:t>
    </w:r>
    <w:r>
      <w:rPr>
        <w:sz w:val="16"/>
        <w:szCs w:val="20"/>
        <w:lang w:val="es"/>
      </w:rPr>
      <w:tab/>
      <w:t>Estudios de caso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7A94" w14:textId="0C53C9B2" w:rsidR="00934672" w:rsidRPr="00BC78C7" w:rsidRDefault="00934672" w:rsidP="003E3D81">
    <w:pPr>
      <w:keepNext/>
      <w:tabs>
        <w:tab w:val="clear" w:pos="567"/>
        <w:tab w:val="center" w:pos="4423"/>
        <w:tab w:val="right" w:pos="9000"/>
      </w:tabs>
      <w:spacing w:before="0" w:after="0" w:line="280" w:lineRule="exact"/>
      <w:jc w:val="left"/>
      <w:rPr>
        <w:sz w:val="16"/>
        <w:szCs w:val="20"/>
        <w:lang w:val="es-ES"/>
      </w:rPr>
    </w:pPr>
    <w:r>
      <w:rPr>
        <w:sz w:val="16"/>
        <w:szCs w:val="20"/>
        <w:lang w:val="es"/>
      </w:rPr>
      <w:t>Estudios de caso</w:t>
    </w:r>
    <w:r>
      <w:rPr>
        <w:sz w:val="16"/>
        <w:szCs w:val="20"/>
        <w:lang w:val="es"/>
      </w:rPr>
      <w:tab/>
      <w:t>Estudio de caso</w:t>
    </w:r>
    <w:r w:rsidR="00BC78C7">
      <w:rPr>
        <w:sz w:val="16"/>
        <w:szCs w:val="20"/>
        <w:lang w:val="es"/>
      </w:rPr>
      <w:t xml:space="preserve"> </w:t>
    </w:r>
    <w:r w:rsidR="001F1B95">
      <w:rPr>
        <w:sz w:val="16"/>
        <w:szCs w:val="20"/>
        <w:lang w:val="es"/>
      </w:rPr>
      <w:t>N</w:t>
    </w:r>
    <w:r w:rsidR="00BC78C7">
      <w:rPr>
        <w:sz w:val="16"/>
        <w:szCs w:val="20"/>
        <w:lang w:val="es"/>
      </w:rPr>
      <w:t>.°</w:t>
    </w:r>
    <w:r>
      <w:rPr>
        <w:sz w:val="16"/>
        <w:szCs w:val="20"/>
        <w:lang w:val="es"/>
      </w:rPr>
      <w:t> 38</w:t>
    </w:r>
    <w:r>
      <w:rPr>
        <w:sz w:val="16"/>
        <w:szCs w:val="20"/>
        <w:lang w:val="es"/>
      </w:rPr>
      <w:tab/>
    </w:r>
    <w:r>
      <w:rPr>
        <w:sz w:val="16"/>
        <w:szCs w:val="20"/>
        <w:lang w:val="es"/>
      </w:rPr>
      <w:fldChar w:fldCharType="begin"/>
    </w:r>
    <w:r>
      <w:rPr>
        <w:sz w:val="16"/>
        <w:szCs w:val="20"/>
        <w:lang w:val="es"/>
      </w:rPr>
      <w:instrText xml:space="preserve"> PAGE </w:instrText>
    </w:r>
    <w:r>
      <w:rPr>
        <w:sz w:val="16"/>
        <w:szCs w:val="20"/>
        <w:lang w:val="es"/>
      </w:rPr>
      <w:fldChar w:fldCharType="separate"/>
    </w:r>
    <w:r w:rsidR="005D6E39">
      <w:rPr>
        <w:noProof/>
        <w:sz w:val="16"/>
        <w:szCs w:val="20"/>
        <w:lang w:val="es"/>
      </w:rPr>
      <w:t>5</w:t>
    </w:r>
    <w:r>
      <w:rPr>
        <w:sz w:val="16"/>
        <w:szCs w:val="20"/>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F4D6" w14:textId="77777777" w:rsidR="00934672" w:rsidRPr="00211047" w:rsidRDefault="00934672" w:rsidP="00D72F15">
    <w:pPr>
      <w:keepNext/>
      <w:tabs>
        <w:tab w:val="clear" w:pos="567"/>
        <w:tab w:val="center" w:pos="4423"/>
        <w:tab w:val="left" w:pos="9000"/>
      </w:tabs>
      <w:spacing w:before="0" w:after="0" w:line="280" w:lineRule="exact"/>
      <w:ind w:right="26"/>
      <w:jc w:val="left"/>
      <w:rPr>
        <w:sz w:val="16"/>
        <w:szCs w:val="20"/>
      </w:rPr>
    </w:pPr>
    <w:r>
      <w:rPr>
        <w:sz w:val="16"/>
        <w:szCs w:val="20"/>
        <w:lang w:val="es"/>
      </w:rPr>
      <w:tab/>
      <w:t>Estudios de caso</w:t>
    </w:r>
    <w:r>
      <w:rPr>
        <w:sz w:val="16"/>
        <w:szCs w:val="20"/>
        <w:lang w:val="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82E"/>
    <w:multiLevelType w:val="hybridMultilevel"/>
    <w:tmpl w:val="D7045424"/>
    <w:lvl w:ilvl="0" w:tplc="4EB25310">
      <w:start w:val="1"/>
      <w:numFmt w:val="decimal"/>
      <w:lvlText w:val="%1."/>
      <w:lvlJc w:val="left"/>
      <w:pPr>
        <w:tabs>
          <w:tab w:val="num" w:pos="720"/>
        </w:tabs>
        <w:ind w:left="720" w:hanging="360"/>
      </w:pPr>
    </w:lvl>
    <w:lvl w:ilvl="1" w:tplc="10FE2BF2" w:tentative="1">
      <w:start w:val="1"/>
      <w:numFmt w:val="decimal"/>
      <w:lvlText w:val="%2."/>
      <w:lvlJc w:val="left"/>
      <w:pPr>
        <w:tabs>
          <w:tab w:val="num" w:pos="1440"/>
        </w:tabs>
        <w:ind w:left="1440" w:hanging="360"/>
      </w:pPr>
    </w:lvl>
    <w:lvl w:ilvl="2" w:tplc="54E2CB72" w:tentative="1">
      <w:start w:val="1"/>
      <w:numFmt w:val="decimal"/>
      <w:lvlText w:val="%3."/>
      <w:lvlJc w:val="left"/>
      <w:pPr>
        <w:tabs>
          <w:tab w:val="num" w:pos="2160"/>
        </w:tabs>
        <w:ind w:left="2160" w:hanging="360"/>
      </w:pPr>
    </w:lvl>
    <w:lvl w:ilvl="3" w:tplc="635ACB40" w:tentative="1">
      <w:start w:val="1"/>
      <w:numFmt w:val="decimal"/>
      <w:lvlText w:val="%4."/>
      <w:lvlJc w:val="left"/>
      <w:pPr>
        <w:tabs>
          <w:tab w:val="num" w:pos="2880"/>
        </w:tabs>
        <w:ind w:left="2880" w:hanging="360"/>
      </w:pPr>
    </w:lvl>
    <w:lvl w:ilvl="4" w:tplc="F16C3F38" w:tentative="1">
      <w:start w:val="1"/>
      <w:numFmt w:val="decimal"/>
      <w:lvlText w:val="%5."/>
      <w:lvlJc w:val="left"/>
      <w:pPr>
        <w:tabs>
          <w:tab w:val="num" w:pos="3600"/>
        </w:tabs>
        <w:ind w:left="3600" w:hanging="360"/>
      </w:pPr>
    </w:lvl>
    <w:lvl w:ilvl="5" w:tplc="D81C3AB8" w:tentative="1">
      <w:start w:val="1"/>
      <w:numFmt w:val="decimal"/>
      <w:lvlText w:val="%6."/>
      <w:lvlJc w:val="left"/>
      <w:pPr>
        <w:tabs>
          <w:tab w:val="num" w:pos="4320"/>
        </w:tabs>
        <w:ind w:left="4320" w:hanging="360"/>
      </w:pPr>
    </w:lvl>
    <w:lvl w:ilvl="6" w:tplc="F9D2A580" w:tentative="1">
      <w:start w:val="1"/>
      <w:numFmt w:val="decimal"/>
      <w:lvlText w:val="%7."/>
      <w:lvlJc w:val="left"/>
      <w:pPr>
        <w:tabs>
          <w:tab w:val="num" w:pos="5040"/>
        </w:tabs>
        <w:ind w:left="5040" w:hanging="360"/>
      </w:pPr>
    </w:lvl>
    <w:lvl w:ilvl="7" w:tplc="A656C31C" w:tentative="1">
      <w:start w:val="1"/>
      <w:numFmt w:val="decimal"/>
      <w:lvlText w:val="%8."/>
      <w:lvlJc w:val="left"/>
      <w:pPr>
        <w:tabs>
          <w:tab w:val="num" w:pos="5760"/>
        </w:tabs>
        <w:ind w:left="5760" w:hanging="360"/>
      </w:pPr>
    </w:lvl>
    <w:lvl w:ilvl="8" w:tplc="94A615F6" w:tentative="1">
      <w:start w:val="1"/>
      <w:numFmt w:val="decimal"/>
      <w:lvlText w:val="%9."/>
      <w:lvlJc w:val="left"/>
      <w:pPr>
        <w:tabs>
          <w:tab w:val="num" w:pos="6480"/>
        </w:tabs>
        <w:ind w:left="6480" w:hanging="360"/>
      </w:pPr>
    </w:lvl>
  </w:abstractNum>
  <w:abstractNum w:abstractNumId="1" w15:restartNumberingAfterBreak="0">
    <w:nsid w:val="0D1A3DD0"/>
    <w:multiLevelType w:val="hybridMultilevel"/>
    <w:tmpl w:val="2266F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05EA8"/>
    <w:multiLevelType w:val="hybridMultilevel"/>
    <w:tmpl w:val="84F65B98"/>
    <w:lvl w:ilvl="0" w:tplc="95BE32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438F8"/>
    <w:multiLevelType w:val="hybridMultilevel"/>
    <w:tmpl w:val="885466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9656B0"/>
    <w:multiLevelType w:val="hybridMultilevel"/>
    <w:tmpl w:val="E13AF614"/>
    <w:lvl w:ilvl="0" w:tplc="0409000F">
      <w:start w:val="1"/>
      <w:numFmt w:val="decimal"/>
      <w:pStyle w:val="Paragraph"/>
      <w:lvlText w:val="%1."/>
      <w:lvlJc w:val="left"/>
      <w:pPr>
        <w:tabs>
          <w:tab w:val="num" w:pos="360"/>
        </w:tabs>
        <w:ind w:left="360" w:hanging="360"/>
      </w:pPr>
      <w:rPr>
        <w:rFonts w:hint="default"/>
      </w:rPr>
    </w:lvl>
    <w:lvl w:ilvl="1" w:tplc="3F26FE0E" w:tentative="1">
      <w:start w:val="1"/>
      <w:numFmt w:val="bullet"/>
      <w:lvlText w:val=""/>
      <w:lvlJc w:val="left"/>
      <w:pPr>
        <w:tabs>
          <w:tab w:val="num" w:pos="1080"/>
        </w:tabs>
        <w:ind w:left="1080" w:hanging="360"/>
      </w:pPr>
      <w:rPr>
        <w:rFonts w:ascii="Wingdings 2" w:hAnsi="Wingdings 2" w:hint="default"/>
      </w:rPr>
    </w:lvl>
    <w:lvl w:ilvl="2" w:tplc="E2C6412A" w:tentative="1">
      <w:start w:val="1"/>
      <w:numFmt w:val="bullet"/>
      <w:lvlText w:val=""/>
      <w:lvlJc w:val="left"/>
      <w:pPr>
        <w:tabs>
          <w:tab w:val="num" w:pos="1800"/>
        </w:tabs>
        <w:ind w:left="1800" w:hanging="360"/>
      </w:pPr>
      <w:rPr>
        <w:rFonts w:ascii="Wingdings 2" w:hAnsi="Wingdings 2" w:hint="default"/>
      </w:rPr>
    </w:lvl>
    <w:lvl w:ilvl="3" w:tplc="40C4E8FC" w:tentative="1">
      <w:start w:val="1"/>
      <w:numFmt w:val="bullet"/>
      <w:lvlText w:val=""/>
      <w:lvlJc w:val="left"/>
      <w:pPr>
        <w:tabs>
          <w:tab w:val="num" w:pos="2520"/>
        </w:tabs>
        <w:ind w:left="2520" w:hanging="360"/>
      </w:pPr>
      <w:rPr>
        <w:rFonts w:ascii="Wingdings 2" w:hAnsi="Wingdings 2" w:hint="default"/>
      </w:rPr>
    </w:lvl>
    <w:lvl w:ilvl="4" w:tplc="98DA525E" w:tentative="1">
      <w:start w:val="1"/>
      <w:numFmt w:val="bullet"/>
      <w:lvlText w:val=""/>
      <w:lvlJc w:val="left"/>
      <w:pPr>
        <w:tabs>
          <w:tab w:val="num" w:pos="3240"/>
        </w:tabs>
        <w:ind w:left="3240" w:hanging="360"/>
      </w:pPr>
      <w:rPr>
        <w:rFonts w:ascii="Wingdings 2" w:hAnsi="Wingdings 2" w:hint="default"/>
      </w:rPr>
    </w:lvl>
    <w:lvl w:ilvl="5" w:tplc="514AD7D0" w:tentative="1">
      <w:start w:val="1"/>
      <w:numFmt w:val="bullet"/>
      <w:lvlText w:val=""/>
      <w:lvlJc w:val="left"/>
      <w:pPr>
        <w:tabs>
          <w:tab w:val="num" w:pos="3960"/>
        </w:tabs>
        <w:ind w:left="3960" w:hanging="360"/>
      </w:pPr>
      <w:rPr>
        <w:rFonts w:ascii="Wingdings 2" w:hAnsi="Wingdings 2" w:hint="default"/>
      </w:rPr>
    </w:lvl>
    <w:lvl w:ilvl="6" w:tplc="00A28054" w:tentative="1">
      <w:start w:val="1"/>
      <w:numFmt w:val="bullet"/>
      <w:lvlText w:val=""/>
      <w:lvlJc w:val="left"/>
      <w:pPr>
        <w:tabs>
          <w:tab w:val="num" w:pos="4680"/>
        </w:tabs>
        <w:ind w:left="4680" w:hanging="360"/>
      </w:pPr>
      <w:rPr>
        <w:rFonts w:ascii="Wingdings 2" w:hAnsi="Wingdings 2" w:hint="default"/>
      </w:rPr>
    </w:lvl>
    <w:lvl w:ilvl="7" w:tplc="91947EAE" w:tentative="1">
      <w:start w:val="1"/>
      <w:numFmt w:val="bullet"/>
      <w:lvlText w:val=""/>
      <w:lvlJc w:val="left"/>
      <w:pPr>
        <w:tabs>
          <w:tab w:val="num" w:pos="5400"/>
        </w:tabs>
        <w:ind w:left="5400" w:hanging="360"/>
      </w:pPr>
      <w:rPr>
        <w:rFonts w:ascii="Wingdings 2" w:hAnsi="Wingdings 2" w:hint="default"/>
      </w:rPr>
    </w:lvl>
    <w:lvl w:ilvl="8" w:tplc="7F8CB3B0" w:tentative="1">
      <w:start w:val="1"/>
      <w:numFmt w:val="bullet"/>
      <w:lvlText w:val=""/>
      <w:lvlJc w:val="left"/>
      <w:pPr>
        <w:tabs>
          <w:tab w:val="num" w:pos="6120"/>
        </w:tabs>
        <w:ind w:left="6120" w:hanging="360"/>
      </w:pPr>
      <w:rPr>
        <w:rFonts w:ascii="Wingdings 2" w:hAnsi="Wingdings 2" w:hint="default"/>
      </w:rPr>
    </w:lvl>
  </w:abstractNum>
  <w:abstractNum w:abstractNumId="5" w15:restartNumberingAfterBreak="0">
    <w:nsid w:val="2A315610"/>
    <w:multiLevelType w:val="hybridMultilevel"/>
    <w:tmpl w:val="6ED8DBD4"/>
    <w:lvl w:ilvl="0" w:tplc="04090017">
      <w:start w:val="1"/>
      <w:numFmt w:val="low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6" w15:restartNumberingAfterBreak="0">
    <w:nsid w:val="2BE22629"/>
    <w:multiLevelType w:val="hybridMultilevel"/>
    <w:tmpl w:val="11DEAE58"/>
    <w:lvl w:ilvl="0" w:tplc="850CAA48">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7" w15:restartNumberingAfterBreak="0">
    <w:nsid w:val="30240E93"/>
    <w:multiLevelType w:val="hybridMultilevel"/>
    <w:tmpl w:val="A8AC4D88"/>
    <w:lvl w:ilvl="0" w:tplc="04090017">
      <w:start w:val="1"/>
      <w:numFmt w:val="low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8"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 w15:restartNumberingAfterBreak="0">
    <w:nsid w:val="3F8C1EAC"/>
    <w:multiLevelType w:val="hybridMultilevel"/>
    <w:tmpl w:val="CB3EB216"/>
    <w:lvl w:ilvl="0" w:tplc="094E5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544B6"/>
    <w:multiLevelType w:val="hybridMultilevel"/>
    <w:tmpl w:val="7804C7A4"/>
    <w:lvl w:ilvl="0" w:tplc="411A1768">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C0AC2"/>
    <w:multiLevelType w:val="hybridMultilevel"/>
    <w:tmpl w:val="2F24E8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8F1133"/>
    <w:multiLevelType w:val="hybridMultilevel"/>
    <w:tmpl w:val="04AC7EEC"/>
    <w:lvl w:ilvl="0" w:tplc="A6464034">
      <w:start w:val="1"/>
      <w:numFmt w:val="decimal"/>
      <w:lvlText w:val="%1."/>
      <w:lvlJc w:val="left"/>
      <w:pPr>
        <w:tabs>
          <w:tab w:val="num" w:pos="720"/>
        </w:tabs>
        <w:ind w:left="720" w:hanging="360"/>
      </w:pPr>
    </w:lvl>
    <w:lvl w:ilvl="1" w:tplc="600ABA8E" w:tentative="1">
      <w:start w:val="1"/>
      <w:numFmt w:val="decimal"/>
      <w:lvlText w:val="%2."/>
      <w:lvlJc w:val="left"/>
      <w:pPr>
        <w:tabs>
          <w:tab w:val="num" w:pos="1440"/>
        </w:tabs>
        <w:ind w:left="1440" w:hanging="360"/>
      </w:pPr>
    </w:lvl>
    <w:lvl w:ilvl="2" w:tplc="4D60D3E2" w:tentative="1">
      <w:start w:val="1"/>
      <w:numFmt w:val="decimal"/>
      <w:lvlText w:val="%3."/>
      <w:lvlJc w:val="left"/>
      <w:pPr>
        <w:tabs>
          <w:tab w:val="num" w:pos="2160"/>
        </w:tabs>
        <w:ind w:left="2160" w:hanging="360"/>
      </w:pPr>
    </w:lvl>
    <w:lvl w:ilvl="3" w:tplc="31D29DC2" w:tentative="1">
      <w:start w:val="1"/>
      <w:numFmt w:val="decimal"/>
      <w:lvlText w:val="%4."/>
      <w:lvlJc w:val="left"/>
      <w:pPr>
        <w:tabs>
          <w:tab w:val="num" w:pos="2880"/>
        </w:tabs>
        <w:ind w:left="2880" w:hanging="360"/>
      </w:pPr>
    </w:lvl>
    <w:lvl w:ilvl="4" w:tplc="8594DE42" w:tentative="1">
      <w:start w:val="1"/>
      <w:numFmt w:val="decimal"/>
      <w:lvlText w:val="%5."/>
      <w:lvlJc w:val="left"/>
      <w:pPr>
        <w:tabs>
          <w:tab w:val="num" w:pos="3600"/>
        </w:tabs>
        <w:ind w:left="3600" w:hanging="360"/>
      </w:pPr>
    </w:lvl>
    <w:lvl w:ilvl="5" w:tplc="4C9C62FA" w:tentative="1">
      <w:start w:val="1"/>
      <w:numFmt w:val="decimal"/>
      <w:lvlText w:val="%6."/>
      <w:lvlJc w:val="left"/>
      <w:pPr>
        <w:tabs>
          <w:tab w:val="num" w:pos="4320"/>
        </w:tabs>
        <w:ind w:left="4320" w:hanging="360"/>
      </w:pPr>
    </w:lvl>
    <w:lvl w:ilvl="6" w:tplc="697878CC" w:tentative="1">
      <w:start w:val="1"/>
      <w:numFmt w:val="decimal"/>
      <w:lvlText w:val="%7."/>
      <w:lvlJc w:val="left"/>
      <w:pPr>
        <w:tabs>
          <w:tab w:val="num" w:pos="5040"/>
        </w:tabs>
        <w:ind w:left="5040" w:hanging="360"/>
      </w:pPr>
    </w:lvl>
    <w:lvl w:ilvl="7" w:tplc="B614C37E" w:tentative="1">
      <w:start w:val="1"/>
      <w:numFmt w:val="decimal"/>
      <w:lvlText w:val="%8."/>
      <w:lvlJc w:val="left"/>
      <w:pPr>
        <w:tabs>
          <w:tab w:val="num" w:pos="5760"/>
        </w:tabs>
        <w:ind w:left="5760" w:hanging="360"/>
      </w:pPr>
    </w:lvl>
    <w:lvl w:ilvl="8" w:tplc="3F808612" w:tentative="1">
      <w:start w:val="1"/>
      <w:numFmt w:val="decimal"/>
      <w:lvlText w:val="%9."/>
      <w:lvlJc w:val="left"/>
      <w:pPr>
        <w:tabs>
          <w:tab w:val="num" w:pos="6480"/>
        </w:tabs>
        <w:ind w:left="6480" w:hanging="360"/>
      </w:pPr>
    </w:lvl>
  </w:abstractNum>
  <w:abstractNum w:abstractNumId="14" w15:restartNumberingAfterBreak="0">
    <w:nsid w:val="72C95EB3"/>
    <w:multiLevelType w:val="multilevel"/>
    <w:tmpl w:val="497A304E"/>
    <w:lvl w:ilvl="0">
      <w:start w:val="1"/>
      <w:numFmt w:val="lowerLetter"/>
      <w:lvlText w:val="(%1)"/>
      <w:lvlJc w:val="lef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num w:numId="1">
    <w:abstractNumId w:val="4"/>
  </w:num>
  <w:num w:numId="2">
    <w:abstractNumId w:val="9"/>
  </w:num>
  <w:num w:numId="3">
    <w:abstractNumId w:val="1"/>
  </w:num>
  <w:num w:numId="4">
    <w:abstractNumId w:val="10"/>
  </w:num>
  <w:num w:numId="5">
    <w:abstractNumId w:val="9"/>
  </w:num>
  <w:num w:numId="6">
    <w:abstractNumId w:val="2"/>
  </w:num>
  <w:num w:numId="7">
    <w:abstractNumId w:val="11"/>
  </w:num>
  <w:num w:numId="8">
    <w:abstractNumId w:val="12"/>
  </w:num>
  <w:num w:numId="9">
    <w:abstractNumId w:val="8"/>
  </w:num>
  <w:num w:numId="10">
    <w:abstractNumId w:val="12"/>
  </w:num>
  <w:num w:numId="11">
    <w:abstractNumId w:val="8"/>
  </w:num>
  <w:num w:numId="12">
    <w:abstractNumId w:val="6"/>
  </w:num>
  <w:num w:numId="13">
    <w:abstractNumId w:val="5"/>
  </w:num>
  <w:num w:numId="14">
    <w:abstractNumId w:val="0"/>
  </w:num>
  <w:num w:numId="15">
    <w:abstractNumId w:val="3"/>
  </w:num>
  <w:num w:numId="16">
    <w:abstractNumId w:val="1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evenAndOddHeaders/>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4F"/>
    <w:rsid w:val="0000207A"/>
    <w:rsid w:val="00007000"/>
    <w:rsid w:val="00013512"/>
    <w:rsid w:val="000246D9"/>
    <w:rsid w:val="00052CF0"/>
    <w:rsid w:val="000946C9"/>
    <w:rsid w:val="000A2581"/>
    <w:rsid w:val="000C501D"/>
    <w:rsid w:val="000F2B4E"/>
    <w:rsid w:val="000F4B7F"/>
    <w:rsid w:val="001024EC"/>
    <w:rsid w:val="00104690"/>
    <w:rsid w:val="00115615"/>
    <w:rsid w:val="00125352"/>
    <w:rsid w:val="001424B1"/>
    <w:rsid w:val="00144307"/>
    <w:rsid w:val="00147C44"/>
    <w:rsid w:val="0016142E"/>
    <w:rsid w:val="00172141"/>
    <w:rsid w:val="00173E2D"/>
    <w:rsid w:val="001A76FB"/>
    <w:rsid w:val="001B22F2"/>
    <w:rsid w:val="001B3DF0"/>
    <w:rsid w:val="001B416E"/>
    <w:rsid w:val="001C0801"/>
    <w:rsid w:val="001C42AF"/>
    <w:rsid w:val="001D749A"/>
    <w:rsid w:val="001E3A2C"/>
    <w:rsid w:val="001F1B95"/>
    <w:rsid w:val="0020680A"/>
    <w:rsid w:val="00211047"/>
    <w:rsid w:val="00222335"/>
    <w:rsid w:val="00226DFE"/>
    <w:rsid w:val="00245948"/>
    <w:rsid w:val="00254DED"/>
    <w:rsid w:val="00255C09"/>
    <w:rsid w:val="0027141E"/>
    <w:rsid w:val="0027248C"/>
    <w:rsid w:val="0029067A"/>
    <w:rsid w:val="002A25E0"/>
    <w:rsid w:val="002B7944"/>
    <w:rsid w:val="002C53A9"/>
    <w:rsid w:val="002C58CE"/>
    <w:rsid w:val="002D1F10"/>
    <w:rsid w:val="002F663F"/>
    <w:rsid w:val="002F6E85"/>
    <w:rsid w:val="003101FC"/>
    <w:rsid w:val="0031589B"/>
    <w:rsid w:val="003306AF"/>
    <w:rsid w:val="0035796F"/>
    <w:rsid w:val="00370A02"/>
    <w:rsid w:val="00390355"/>
    <w:rsid w:val="003D3F02"/>
    <w:rsid w:val="003E0D3D"/>
    <w:rsid w:val="003E0F67"/>
    <w:rsid w:val="003E3D81"/>
    <w:rsid w:val="0041791B"/>
    <w:rsid w:val="00427C11"/>
    <w:rsid w:val="0043119A"/>
    <w:rsid w:val="00434F80"/>
    <w:rsid w:val="00452D1D"/>
    <w:rsid w:val="0046261E"/>
    <w:rsid w:val="00481407"/>
    <w:rsid w:val="00481B62"/>
    <w:rsid w:val="00484D8D"/>
    <w:rsid w:val="00485E2E"/>
    <w:rsid w:val="00490F88"/>
    <w:rsid w:val="004930C2"/>
    <w:rsid w:val="0049403D"/>
    <w:rsid w:val="004973B2"/>
    <w:rsid w:val="004A19D6"/>
    <w:rsid w:val="004A6A7D"/>
    <w:rsid w:val="004C57F2"/>
    <w:rsid w:val="004E4913"/>
    <w:rsid w:val="004F5225"/>
    <w:rsid w:val="0050273B"/>
    <w:rsid w:val="00507ED1"/>
    <w:rsid w:val="00522399"/>
    <w:rsid w:val="005232F2"/>
    <w:rsid w:val="0053131E"/>
    <w:rsid w:val="00532B1A"/>
    <w:rsid w:val="00533A12"/>
    <w:rsid w:val="00566447"/>
    <w:rsid w:val="00586806"/>
    <w:rsid w:val="005D053C"/>
    <w:rsid w:val="005D4B0B"/>
    <w:rsid w:val="005D6E39"/>
    <w:rsid w:val="005F08FB"/>
    <w:rsid w:val="005F12A5"/>
    <w:rsid w:val="005F1FAD"/>
    <w:rsid w:val="005F6240"/>
    <w:rsid w:val="005F6B66"/>
    <w:rsid w:val="00607B9D"/>
    <w:rsid w:val="00625D84"/>
    <w:rsid w:val="006348A4"/>
    <w:rsid w:val="00651859"/>
    <w:rsid w:val="00656D65"/>
    <w:rsid w:val="00664987"/>
    <w:rsid w:val="00667982"/>
    <w:rsid w:val="006770A4"/>
    <w:rsid w:val="006912B7"/>
    <w:rsid w:val="006A4C12"/>
    <w:rsid w:val="006F6BB9"/>
    <w:rsid w:val="0072367C"/>
    <w:rsid w:val="00730FAB"/>
    <w:rsid w:val="00736E72"/>
    <w:rsid w:val="00737C0D"/>
    <w:rsid w:val="00742C27"/>
    <w:rsid w:val="00754419"/>
    <w:rsid w:val="007728B7"/>
    <w:rsid w:val="0077620E"/>
    <w:rsid w:val="00776BB9"/>
    <w:rsid w:val="007874D3"/>
    <w:rsid w:val="007A3BAF"/>
    <w:rsid w:val="007A409B"/>
    <w:rsid w:val="007C7BF0"/>
    <w:rsid w:val="007D5AC7"/>
    <w:rsid w:val="008029FF"/>
    <w:rsid w:val="00810F1D"/>
    <w:rsid w:val="00823D98"/>
    <w:rsid w:val="00831492"/>
    <w:rsid w:val="00836EB8"/>
    <w:rsid w:val="00841D5F"/>
    <w:rsid w:val="00854527"/>
    <w:rsid w:val="00861087"/>
    <w:rsid w:val="00874C2C"/>
    <w:rsid w:val="00886349"/>
    <w:rsid w:val="00891749"/>
    <w:rsid w:val="008A4E7E"/>
    <w:rsid w:val="008D36BA"/>
    <w:rsid w:val="008D619E"/>
    <w:rsid w:val="008E3FE8"/>
    <w:rsid w:val="008E49EE"/>
    <w:rsid w:val="00905AE6"/>
    <w:rsid w:val="00907584"/>
    <w:rsid w:val="00934672"/>
    <w:rsid w:val="009354B2"/>
    <w:rsid w:val="00942D25"/>
    <w:rsid w:val="009541B5"/>
    <w:rsid w:val="009743C6"/>
    <w:rsid w:val="0098704A"/>
    <w:rsid w:val="00996A50"/>
    <w:rsid w:val="009B27BB"/>
    <w:rsid w:val="009B2F0B"/>
    <w:rsid w:val="009B6734"/>
    <w:rsid w:val="009F312B"/>
    <w:rsid w:val="009F3EEE"/>
    <w:rsid w:val="009F6E61"/>
    <w:rsid w:val="00A14FBB"/>
    <w:rsid w:val="00A317A5"/>
    <w:rsid w:val="00A642F8"/>
    <w:rsid w:val="00A933FE"/>
    <w:rsid w:val="00AB0560"/>
    <w:rsid w:val="00AB63EF"/>
    <w:rsid w:val="00AE3243"/>
    <w:rsid w:val="00AF4AC8"/>
    <w:rsid w:val="00B10461"/>
    <w:rsid w:val="00B1354E"/>
    <w:rsid w:val="00B22E55"/>
    <w:rsid w:val="00B37C04"/>
    <w:rsid w:val="00B37DFB"/>
    <w:rsid w:val="00B451F3"/>
    <w:rsid w:val="00B539AD"/>
    <w:rsid w:val="00B55954"/>
    <w:rsid w:val="00B56139"/>
    <w:rsid w:val="00B57742"/>
    <w:rsid w:val="00B61F07"/>
    <w:rsid w:val="00B723DB"/>
    <w:rsid w:val="00B8321C"/>
    <w:rsid w:val="00B9240C"/>
    <w:rsid w:val="00B934ED"/>
    <w:rsid w:val="00B97827"/>
    <w:rsid w:val="00BA1C9E"/>
    <w:rsid w:val="00BA29E4"/>
    <w:rsid w:val="00BB1C6B"/>
    <w:rsid w:val="00BB3C4D"/>
    <w:rsid w:val="00BC05CE"/>
    <w:rsid w:val="00BC38E8"/>
    <w:rsid w:val="00BC78C7"/>
    <w:rsid w:val="00BD0B85"/>
    <w:rsid w:val="00BF019E"/>
    <w:rsid w:val="00C004B9"/>
    <w:rsid w:val="00C0126B"/>
    <w:rsid w:val="00C02AF7"/>
    <w:rsid w:val="00C164FD"/>
    <w:rsid w:val="00C432FE"/>
    <w:rsid w:val="00C55EA8"/>
    <w:rsid w:val="00C55EFA"/>
    <w:rsid w:val="00C66605"/>
    <w:rsid w:val="00C70CA0"/>
    <w:rsid w:val="00C71CF0"/>
    <w:rsid w:val="00C726A0"/>
    <w:rsid w:val="00C75E7E"/>
    <w:rsid w:val="00C87768"/>
    <w:rsid w:val="00CB6B8B"/>
    <w:rsid w:val="00CB7EE7"/>
    <w:rsid w:val="00CC02DF"/>
    <w:rsid w:val="00CC4C8F"/>
    <w:rsid w:val="00CE4FD4"/>
    <w:rsid w:val="00CF0619"/>
    <w:rsid w:val="00CF208C"/>
    <w:rsid w:val="00CF3F2A"/>
    <w:rsid w:val="00D051A3"/>
    <w:rsid w:val="00D15E8A"/>
    <w:rsid w:val="00D33C46"/>
    <w:rsid w:val="00D359EF"/>
    <w:rsid w:val="00D50943"/>
    <w:rsid w:val="00D610CD"/>
    <w:rsid w:val="00D72F15"/>
    <w:rsid w:val="00D7421F"/>
    <w:rsid w:val="00D8079D"/>
    <w:rsid w:val="00D820F4"/>
    <w:rsid w:val="00D93BF3"/>
    <w:rsid w:val="00DC297A"/>
    <w:rsid w:val="00DD0767"/>
    <w:rsid w:val="00DD3DC5"/>
    <w:rsid w:val="00DE1EEE"/>
    <w:rsid w:val="00DE3746"/>
    <w:rsid w:val="00DF024F"/>
    <w:rsid w:val="00DF4FE0"/>
    <w:rsid w:val="00DF521A"/>
    <w:rsid w:val="00E159B2"/>
    <w:rsid w:val="00E219C5"/>
    <w:rsid w:val="00E22BC2"/>
    <w:rsid w:val="00E25FB6"/>
    <w:rsid w:val="00E43B4E"/>
    <w:rsid w:val="00E46D3B"/>
    <w:rsid w:val="00E567AF"/>
    <w:rsid w:val="00E703BB"/>
    <w:rsid w:val="00E7103E"/>
    <w:rsid w:val="00E91588"/>
    <w:rsid w:val="00E97C01"/>
    <w:rsid w:val="00EC1AD4"/>
    <w:rsid w:val="00EC22A5"/>
    <w:rsid w:val="00EC3D84"/>
    <w:rsid w:val="00ED179B"/>
    <w:rsid w:val="00ED37C4"/>
    <w:rsid w:val="00EF1FF6"/>
    <w:rsid w:val="00F01F8C"/>
    <w:rsid w:val="00F201C8"/>
    <w:rsid w:val="00F2546A"/>
    <w:rsid w:val="00F46CFE"/>
    <w:rsid w:val="00F54D34"/>
    <w:rsid w:val="00F55E15"/>
    <w:rsid w:val="00F61DD9"/>
    <w:rsid w:val="00F65DFC"/>
    <w:rsid w:val="00F7263D"/>
    <w:rsid w:val="00F73EF8"/>
    <w:rsid w:val="00F746C0"/>
    <w:rsid w:val="00F7518D"/>
    <w:rsid w:val="00F77A0E"/>
    <w:rsid w:val="00F90CFF"/>
    <w:rsid w:val="00F91194"/>
    <w:rsid w:val="00F930A6"/>
    <w:rsid w:val="00FB70EB"/>
    <w:rsid w:val="00FB72A3"/>
    <w:rsid w:val="00FB7821"/>
    <w:rsid w:val="00FD4898"/>
    <w:rsid w:val="00FD495F"/>
    <w:rsid w:val="00FE5281"/>
    <w:rsid w:val="00FF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5A01FD0E"/>
  <w15:docId w15:val="{AB1212B9-D086-4C40-9073-6B382242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F4"/>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D820F4"/>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D820F4"/>
    <w:pPr>
      <w:keepNext/>
      <w:keepLines/>
      <w:spacing w:before="480" w:after="480" w:line="480" w:lineRule="exact"/>
      <w:jc w:val="left"/>
      <w:outlineLvl w:val="1"/>
    </w:pPr>
    <w:rPr>
      <w:rFonts w:eastAsia="Calibri"/>
      <w:bCs/>
      <w:noProof/>
      <w:color w:val="3366FF"/>
      <w:kern w:val="28"/>
      <w:sz w:val="32"/>
      <w:szCs w:val="32"/>
    </w:rPr>
  </w:style>
  <w:style w:type="paragraph" w:styleId="Heading3">
    <w:name w:val="heading 3"/>
    <w:basedOn w:val="Heading4"/>
    <w:next w:val="Normal"/>
    <w:link w:val="Heading3Char"/>
    <w:uiPriority w:val="9"/>
    <w:unhideWhenUsed/>
    <w:qFormat/>
    <w:rsid w:val="00D820F4"/>
    <w:pPr>
      <w:snapToGrid/>
      <w:spacing w:before="360" w:after="120"/>
      <w:jc w:val="left"/>
      <w:outlineLvl w:val="2"/>
    </w:pPr>
    <w:rPr>
      <w:rFonts w:eastAsia="SimSun"/>
      <w:b w:val="0"/>
      <w:bCs w:val="0"/>
      <w:i/>
      <w:iCs/>
      <w:caps w:val="0"/>
      <w:snapToGrid w:val="0"/>
      <w:sz w:val="24"/>
      <w:lang w:val="it-IT"/>
    </w:rPr>
  </w:style>
  <w:style w:type="paragraph" w:styleId="Heading4">
    <w:name w:val="heading 4"/>
    <w:basedOn w:val="Normal"/>
    <w:next w:val="Normal"/>
    <w:link w:val="Heading4Char"/>
    <w:rsid w:val="00BC05CE"/>
    <w:pPr>
      <w:keepNext/>
      <w:widowControl w:val="0"/>
      <w:tabs>
        <w:tab w:val="clear" w:pos="567"/>
      </w:tabs>
      <w:spacing w:before="480" w:after="240" w:line="300" w:lineRule="exact"/>
      <w:outlineLvl w:val="3"/>
    </w:pPr>
    <w:rPr>
      <w:rFonts w:eastAsia="Times New Roman"/>
      <w:b/>
      <w:bCs/>
      <w:caps/>
      <w:snapToGrid/>
      <w:sz w:val="20"/>
      <w:lang w:val="fr-FR" w:eastAsia="en-US"/>
    </w:rPr>
  </w:style>
  <w:style w:type="paragraph" w:styleId="Heading5">
    <w:name w:val="heading 5"/>
    <w:basedOn w:val="Heading4"/>
    <w:next w:val="Normal"/>
    <w:link w:val="Heading5Char"/>
    <w:uiPriority w:val="9"/>
    <w:semiHidden/>
    <w:unhideWhenUsed/>
    <w:qFormat/>
    <w:rsid w:val="00D820F4"/>
    <w:pPr>
      <w:snapToGrid/>
      <w:spacing w:before="360" w:after="120"/>
      <w:jc w:val="left"/>
      <w:outlineLvl w:val="4"/>
    </w:pPr>
    <w:rPr>
      <w:rFonts w:eastAsia="SimSun"/>
      <w:b w:val="0"/>
      <w:bCs w:val="0"/>
      <w:i/>
      <w:iCs/>
      <w:caps w:val="0"/>
      <w:snapToGrid w:val="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20F4"/>
    <w:rPr>
      <w:rFonts w:ascii="Arial" w:eastAsiaTheme="majorEastAsia" w:hAnsi="Arial" w:cs="Arial"/>
      <w:b/>
      <w:bCs/>
      <w:cap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D820F4"/>
    <w:rPr>
      <w:rFonts w:ascii="Arial" w:eastAsia="SimSun" w:hAnsi="Arial" w:cstheme="majorBidi"/>
      <w:b/>
      <w:bCs/>
      <w:caps/>
      <w:sz w:val="24"/>
      <w:szCs w:val="24"/>
      <w:lang w:val="it-IT"/>
    </w:rPr>
  </w:style>
  <w:style w:type="paragraph" w:styleId="ListParagraph">
    <w:name w:val="List Paragraph"/>
    <w:basedOn w:val="Normal"/>
    <w:uiPriority w:val="34"/>
    <w:qFormat/>
    <w:rsid w:val="00D820F4"/>
    <w:pPr>
      <w:tabs>
        <w:tab w:val="clear" w:pos="567"/>
        <w:tab w:val="left" w:pos="360"/>
      </w:tabs>
      <w:ind w:left="720" w:hanging="360"/>
    </w:pPr>
  </w:style>
  <w:style w:type="paragraph" w:customStyle="1" w:styleId="U1">
    <w:name w:val="U.1"/>
    <w:basedOn w:val="Normal"/>
    <w:qFormat/>
    <w:rsid w:val="00D820F4"/>
    <w:pPr>
      <w:widowControl w:val="0"/>
      <w:tabs>
        <w:tab w:val="clear" w:pos="567"/>
        <w:tab w:val="left" w:pos="1701"/>
      </w:tabs>
      <w:autoSpaceDE w:val="0"/>
      <w:autoSpaceDN w:val="0"/>
      <w:adjustRightInd w:val="0"/>
      <w:snapToGrid/>
      <w:ind w:left="1701" w:hanging="567"/>
      <w:jc w:val="left"/>
    </w:pPr>
    <w:rPr>
      <w:snapToGrid/>
      <w:szCs w:val="22"/>
      <w:lang w:eastAsia="fr-FR"/>
    </w:rPr>
  </w:style>
  <w:style w:type="character" w:customStyle="1" w:styleId="Heading2Char">
    <w:name w:val="Heading 2 Char"/>
    <w:basedOn w:val="DefaultParagraphFont"/>
    <w:link w:val="Heading2"/>
    <w:uiPriority w:val="9"/>
    <w:rsid w:val="00D820F4"/>
    <w:rPr>
      <w:rFonts w:ascii="Arial" w:eastAsia="Calibri" w:hAnsi="Arial" w:cs="Arial"/>
      <w:bCs/>
      <w:noProof/>
      <w:snapToGrid w:val="0"/>
      <w:color w:val="3366FF"/>
      <w:kern w:val="28"/>
      <w:sz w:val="32"/>
      <w:szCs w:val="32"/>
      <w:lang w:val="en-US" w:eastAsia="zh-CN"/>
    </w:rPr>
  </w:style>
  <w:style w:type="character" w:customStyle="1" w:styleId="Heading4Char">
    <w:name w:val="Heading 4 Char"/>
    <w:link w:val="Heading4"/>
    <w:rsid w:val="00BC05CE"/>
    <w:rPr>
      <w:rFonts w:ascii="Arial" w:eastAsia="Times New Roman" w:hAnsi="Arial" w:cs="Arial"/>
      <w:b/>
      <w:bCs/>
      <w:caps/>
      <w:sz w:val="20"/>
      <w:szCs w:val="24"/>
      <w:lang w:val="fr-FR"/>
    </w:rPr>
  </w:style>
  <w:style w:type="character" w:customStyle="1" w:styleId="Heading5Char">
    <w:name w:val="Heading 5 Char"/>
    <w:basedOn w:val="DefaultParagraphFont"/>
    <w:link w:val="Heading5"/>
    <w:uiPriority w:val="9"/>
    <w:semiHidden/>
    <w:rsid w:val="00D820F4"/>
    <w:rPr>
      <w:rFonts w:ascii="Arial" w:eastAsia="SimSun" w:hAnsi="Arial" w:cstheme="majorBidi"/>
      <w:b/>
      <w:bCs/>
      <w:caps/>
      <w:sz w:val="20"/>
      <w:szCs w:val="24"/>
      <w:lang w:val="it-IT"/>
    </w:rPr>
  </w:style>
  <w:style w:type="paragraph" w:styleId="Title">
    <w:name w:val="Title"/>
    <w:basedOn w:val="Normal"/>
    <w:next w:val="Normal"/>
    <w:link w:val="TitleChar"/>
    <w:uiPriority w:val="10"/>
    <w:qFormat/>
    <w:rsid w:val="00D820F4"/>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D820F4"/>
    <w:rPr>
      <w:rFonts w:ascii="Arial" w:eastAsiaTheme="majorEastAsia" w:hAnsi="Arial" w:cs="Arial"/>
      <w:b/>
      <w:bCs/>
      <w:caps/>
      <w:noProof/>
      <w:snapToGrid w:val="0"/>
      <w:color w:val="3366FF"/>
      <w:kern w:val="28"/>
      <w:sz w:val="48"/>
      <w:szCs w:val="48"/>
      <w:lang w:eastAsia="zh-CN"/>
    </w:rPr>
  </w:style>
  <w:style w:type="character" w:styleId="Strong">
    <w:name w:val="Strong"/>
    <w:basedOn w:val="DefaultParagraphFont"/>
    <w:uiPriority w:val="22"/>
    <w:qFormat/>
    <w:rsid w:val="00D820F4"/>
    <w:rPr>
      <w:b/>
      <w:bCs/>
    </w:rPr>
  </w:style>
  <w:style w:type="character" w:styleId="Emphasis">
    <w:name w:val="Emphasis"/>
    <w:basedOn w:val="DefaultParagraphFont"/>
    <w:uiPriority w:val="20"/>
    <w:qFormat/>
    <w:rsid w:val="00D820F4"/>
    <w:rPr>
      <w:i/>
      <w:iCs/>
    </w:rPr>
  </w:style>
  <w:style w:type="paragraph" w:styleId="NoSpacing">
    <w:name w:val="No Spacing"/>
    <w:aliases w:val="Title Ed"/>
    <w:basedOn w:val="FootnoteText"/>
    <w:link w:val="NoSpacingChar"/>
    <w:uiPriority w:val="1"/>
    <w:qFormat/>
    <w:rsid w:val="00D820F4"/>
    <w:pPr>
      <w:tabs>
        <w:tab w:val="left" w:pos="369"/>
      </w:tabs>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D820F4"/>
    <w:rPr>
      <w:rFonts w:ascii="Calibri" w:hAnsi="Calibri" w:cs="Arial"/>
      <w:sz w:val="20"/>
      <w:szCs w:val="20"/>
    </w:rPr>
  </w:style>
  <w:style w:type="paragraph" w:styleId="FootnoteText">
    <w:name w:val="footnote text"/>
    <w:basedOn w:val="Normal"/>
    <w:link w:val="FootnoteTextChar"/>
    <w:rsid w:val="00BC05CE"/>
    <w:pPr>
      <w:widowControl w:val="0"/>
      <w:tabs>
        <w:tab w:val="clear" w:pos="567"/>
      </w:tabs>
      <w:spacing w:before="0" w:after="60" w:line="180" w:lineRule="exact"/>
      <w:ind w:left="340" w:hanging="340"/>
      <w:contextualSpacing/>
    </w:pPr>
    <w:rPr>
      <w:sz w:val="16"/>
      <w:szCs w:val="16"/>
      <w:lang w:val="fr-FR"/>
    </w:rPr>
  </w:style>
  <w:style w:type="character" w:customStyle="1" w:styleId="FootnoteTextChar">
    <w:name w:val="Footnote Text Char"/>
    <w:link w:val="FootnoteText"/>
    <w:rsid w:val="00BC05CE"/>
    <w:rPr>
      <w:rFonts w:ascii="Arial" w:eastAsia="SimSun" w:hAnsi="Arial" w:cs="Arial"/>
      <w:snapToGrid w:val="0"/>
      <w:sz w:val="16"/>
      <w:szCs w:val="16"/>
      <w:lang w:val="fr-FR" w:eastAsia="zh-CN"/>
    </w:rPr>
  </w:style>
  <w:style w:type="paragraph" w:styleId="Quote">
    <w:name w:val="Quote"/>
    <w:basedOn w:val="Normal"/>
    <w:next w:val="Normal"/>
    <w:link w:val="QuoteChar"/>
    <w:uiPriority w:val="29"/>
    <w:qFormat/>
    <w:rsid w:val="00D820F4"/>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D820F4"/>
    <w:rPr>
      <w:rFonts w:ascii="Arial" w:eastAsia="SimSun" w:hAnsi="Arial" w:cs="Arial"/>
      <w:i/>
      <w:iCs/>
      <w:snapToGrid w:val="0"/>
      <w:color w:val="404040" w:themeColor="text1" w:themeTint="BF"/>
      <w:szCs w:val="24"/>
    </w:rPr>
  </w:style>
  <w:style w:type="character" w:styleId="FootnoteReference">
    <w:name w:val="footnote reference"/>
    <w:rsid w:val="00BC05CE"/>
    <w:rPr>
      <w:rFonts w:ascii="Arial" w:hAnsi="Arial"/>
      <w:sz w:val="14"/>
      <w:szCs w:val="14"/>
      <w:vertAlign w:val="superscript"/>
    </w:rPr>
  </w:style>
  <w:style w:type="paragraph" w:styleId="BalloonText">
    <w:name w:val="Balloon Text"/>
    <w:basedOn w:val="Normal"/>
    <w:link w:val="BalloonTextChar"/>
    <w:uiPriority w:val="99"/>
    <w:semiHidden/>
    <w:unhideWhenUsed/>
    <w:rsid w:val="00656D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D65"/>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CF208C"/>
    <w:rPr>
      <w:sz w:val="16"/>
      <w:szCs w:val="16"/>
    </w:rPr>
  </w:style>
  <w:style w:type="paragraph" w:styleId="CommentText">
    <w:name w:val="annotation text"/>
    <w:basedOn w:val="Normal"/>
    <w:link w:val="CommentTextChar"/>
    <w:uiPriority w:val="99"/>
    <w:semiHidden/>
    <w:unhideWhenUsed/>
    <w:rsid w:val="00CF208C"/>
    <w:rPr>
      <w:sz w:val="20"/>
      <w:szCs w:val="20"/>
    </w:rPr>
  </w:style>
  <w:style w:type="character" w:customStyle="1" w:styleId="CommentTextChar">
    <w:name w:val="Comment Text Char"/>
    <w:basedOn w:val="DefaultParagraphFont"/>
    <w:link w:val="CommentText"/>
    <w:uiPriority w:val="99"/>
    <w:semiHidden/>
    <w:rsid w:val="00CF208C"/>
    <w:rPr>
      <w:rFonts w:ascii="Arial" w:hAnsi="Arial"/>
      <w:snapToGrid w:val="0"/>
      <w:sz w:val="20"/>
      <w:szCs w:val="20"/>
    </w:rPr>
  </w:style>
  <w:style w:type="paragraph" w:styleId="CommentSubject">
    <w:name w:val="annotation subject"/>
    <w:basedOn w:val="CommentText"/>
    <w:next w:val="CommentText"/>
    <w:link w:val="CommentSubjectChar"/>
    <w:uiPriority w:val="99"/>
    <w:semiHidden/>
    <w:unhideWhenUsed/>
    <w:rsid w:val="00CF208C"/>
    <w:rPr>
      <w:b/>
      <w:bCs/>
    </w:rPr>
  </w:style>
  <w:style w:type="character" w:customStyle="1" w:styleId="CommentSubjectChar">
    <w:name w:val="Comment Subject Char"/>
    <w:basedOn w:val="CommentTextChar"/>
    <w:link w:val="CommentSubject"/>
    <w:uiPriority w:val="99"/>
    <w:semiHidden/>
    <w:rsid w:val="00CF208C"/>
    <w:rPr>
      <w:rFonts w:ascii="Arial" w:hAnsi="Arial"/>
      <w:b/>
      <w:bCs/>
      <w:snapToGrid w:val="0"/>
      <w:sz w:val="20"/>
      <w:szCs w:val="20"/>
    </w:rPr>
  </w:style>
  <w:style w:type="paragraph" w:customStyle="1" w:styleId="1">
    <w:name w:val="1."/>
    <w:basedOn w:val="Normal"/>
    <w:link w:val="1Char"/>
    <w:qFormat/>
    <w:rsid w:val="00D820F4"/>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D820F4"/>
    <w:rPr>
      <w:rFonts w:ascii="Arial" w:eastAsia="SimSun" w:hAnsi="Arial" w:cs="Arial"/>
      <w:w w:val="96"/>
      <w:lang w:val="en-US" w:eastAsia="fr-FR"/>
    </w:rPr>
  </w:style>
  <w:style w:type="paragraph" w:customStyle="1" w:styleId="Paragraph">
    <w:name w:val="Paragraph"/>
    <w:basedOn w:val="Normal"/>
    <w:link w:val="ParagraphChar"/>
    <w:qFormat/>
    <w:rsid w:val="00D820F4"/>
    <w:pPr>
      <w:numPr>
        <w:numId w:val="1"/>
      </w:numPr>
      <w:tabs>
        <w:tab w:val="clear" w:pos="360"/>
        <w:tab w:val="clear" w:pos="567"/>
      </w:tabs>
      <w:snapToGrid/>
      <w:spacing w:before="240" w:after="0"/>
    </w:pPr>
    <w:rPr>
      <w:snapToGrid/>
      <w:szCs w:val="22"/>
      <w:lang w:eastAsia="fr-FR"/>
    </w:rPr>
  </w:style>
  <w:style w:type="character" w:customStyle="1" w:styleId="ParagraphChar">
    <w:name w:val="Paragraph Char"/>
    <w:link w:val="Paragraph"/>
    <w:rsid w:val="00D820F4"/>
    <w:rPr>
      <w:rFonts w:ascii="Arial" w:eastAsia="SimSun" w:hAnsi="Arial" w:cs="Arial"/>
      <w:lang w:val="en-US" w:eastAsia="fr-FR"/>
    </w:rPr>
  </w:style>
  <w:style w:type="paragraph" w:customStyle="1" w:styleId="Slideheading">
    <w:name w:val="Slide heading"/>
    <w:basedOn w:val="Heading2"/>
    <w:link w:val="SlideheadingChar"/>
    <w:qFormat/>
    <w:rsid w:val="00D820F4"/>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D820F4"/>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D820F4"/>
    <w:pPr>
      <w:numPr>
        <w:ilvl w:val="1"/>
        <w:numId w:val="11"/>
      </w:numPr>
      <w:spacing w:before="0" w:after="60" w:line="280" w:lineRule="exact"/>
    </w:pPr>
    <w:rPr>
      <w:snapToGrid/>
      <w:sz w:val="20"/>
      <w:lang w:val="fr-FR"/>
    </w:rPr>
  </w:style>
  <w:style w:type="paragraph" w:customStyle="1" w:styleId="citationunit">
    <w:name w:val="citation unit"/>
    <w:basedOn w:val="Normal"/>
    <w:qFormat/>
    <w:rsid w:val="00D820F4"/>
    <w:pPr>
      <w:spacing w:before="0" w:after="60" w:line="280" w:lineRule="exact"/>
      <w:ind w:left="1134" w:right="284"/>
    </w:pPr>
    <w:rPr>
      <w:snapToGrid/>
      <w:sz w:val="20"/>
      <w:lang w:val="fr-FR"/>
    </w:rPr>
  </w:style>
  <w:style w:type="paragraph" w:styleId="IntenseQuote">
    <w:name w:val="Intense Quote"/>
    <w:basedOn w:val="Normal"/>
    <w:next w:val="Normal"/>
    <w:link w:val="IntenseQuoteChar"/>
    <w:uiPriority w:val="30"/>
    <w:qFormat/>
    <w:rsid w:val="00D820F4"/>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D820F4"/>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D820F4"/>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paragraph" w:styleId="Header">
    <w:name w:val="header"/>
    <w:basedOn w:val="Normal"/>
    <w:link w:val="HeaderChar"/>
    <w:uiPriority w:val="99"/>
    <w:unhideWhenUsed/>
    <w:rsid w:val="008D619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8D619E"/>
    <w:rPr>
      <w:rFonts w:ascii="Arial" w:eastAsia="SimSun" w:hAnsi="Arial" w:cs="Arial"/>
      <w:snapToGrid w:val="0"/>
      <w:szCs w:val="24"/>
      <w:lang w:val="en-US" w:eastAsia="zh-CN"/>
    </w:rPr>
  </w:style>
  <w:style w:type="paragraph" w:styleId="Footer">
    <w:name w:val="footer"/>
    <w:basedOn w:val="Normal"/>
    <w:link w:val="FooterChar"/>
    <w:uiPriority w:val="99"/>
    <w:unhideWhenUsed/>
    <w:rsid w:val="008D619E"/>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8D619E"/>
    <w:rPr>
      <w:rFonts w:ascii="Arial" w:eastAsia="SimSun" w:hAnsi="Arial" w:cs="Arial"/>
      <w:snapToGrid w:val="0"/>
      <w:szCs w:val="24"/>
      <w:lang w:val="en-US" w:eastAsia="zh-CN"/>
    </w:rPr>
  </w:style>
  <w:style w:type="character" w:customStyle="1" w:styleId="hps">
    <w:name w:val="hps"/>
    <w:uiPriority w:val="99"/>
    <w:rsid w:val="00DD0767"/>
  </w:style>
  <w:style w:type="paragraph" w:customStyle="1" w:styleId="Cas">
    <w:name w:val="Cas"/>
    <w:basedOn w:val="Heading4"/>
    <w:rsid w:val="00BC05CE"/>
    <w:pPr>
      <w:spacing w:before="0" w:line="360" w:lineRule="exact"/>
    </w:pPr>
    <w:rPr>
      <w:i/>
      <w:iCs/>
      <w:color w:val="0000FF"/>
      <w:w w:val="107"/>
      <w:sz w:val="28"/>
      <w:szCs w:val="28"/>
      <w:lang w:val="en-GB"/>
    </w:rPr>
  </w:style>
  <w:style w:type="paragraph" w:customStyle="1" w:styleId="Caschap">
    <w:name w:val="Caschap"/>
    <w:basedOn w:val="Normal"/>
    <w:rsid w:val="00BC05CE"/>
    <w:pPr>
      <w:keepNext/>
      <w:widowControl w:val="0"/>
      <w:tabs>
        <w:tab w:val="clear" w:pos="567"/>
      </w:tabs>
      <w:spacing w:before="0" w:line="480" w:lineRule="exact"/>
      <w:outlineLvl w:val="3"/>
    </w:pPr>
    <w:rPr>
      <w:rFonts w:eastAsia="Times New Roman"/>
      <w:b/>
      <w:bCs/>
      <w:i/>
      <w:iCs/>
      <w:caps/>
      <w:snapToGrid/>
      <w:w w:val="107"/>
      <w:sz w:val="36"/>
      <w:szCs w:val="48"/>
      <w:lang w:eastAsia="en-US"/>
    </w:rPr>
  </w:style>
  <w:style w:type="paragraph" w:customStyle="1" w:styleId="Texte1">
    <w:name w:val="Texte1"/>
    <w:basedOn w:val="Normal"/>
    <w:link w:val="Texte1Car"/>
    <w:autoRedefine/>
    <w:rsid w:val="00B37DFB"/>
    <w:pPr>
      <w:spacing w:before="0" w:after="60" w:line="280" w:lineRule="exact"/>
      <w:ind w:left="850"/>
    </w:pPr>
    <w:rPr>
      <w:snapToGrid/>
      <w:w w:val="95"/>
      <w:sz w:val="20"/>
      <w:szCs w:val="20"/>
      <w:lang w:val="en-GB"/>
    </w:rPr>
  </w:style>
  <w:style w:type="character" w:customStyle="1" w:styleId="Texte1Car">
    <w:name w:val="Texte1 Car"/>
    <w:link w:val="Texte1"/>
    <w:rsid w:val="00B37DFB"/>
    <w:rPr>
      <w:rFonts w:ascii="Arial" w:eastAsia="SimSun" w:hAnsi="Arial" w:cs="Arial"/>
      <w:w w:val="95"/>
      <w:sz w:val="20"/>
      <w:szCs w:val="20"/>
      <w:lang w:eastAsia="zh-CN"/>
    </w:rPr>
  </w:style>
  <w:style w:type="paragraph" w:customStyle="1" w:styleId="citation">
    <w:name w:val="citation"/>
    <w:basedOn w:val="Texte1"/>
    <w:rsid w:val="00BC05CE"/>
    <w:pPr>
      <w:ind w:left="1134" w:right="284"/>
    </w:pPr>
  </w:style>
  <w:style w:type="paragraph" w:customStyle="1" w:styleId="Soustitre">
    <w:name w:val="Soustitre"/>
    <w:basedOn w:val="Normal"/>
    <w:link w:val="SoustitreCar"/>
    <w:qFormat/>
    <w:rsid w:val="0090758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907584"/>
    <w:rPr>
      <w:rFonts w:ascii="Arial Gras" w:eastAsia="SimSun" w:hAnsi="Arial Gras" w:cs="Arial"/>
      <w:b/>
      <w:bCs/>
      <w:i/>
      <w:noProof/>
      <w:snapToGrid w:val="0"/>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7864">
      <w:bodyDiv w:val="1"/>
      <w:marLeft w:val="0"/>
      <w:marRight w:val="0"/>
      <w:marTop w:val="0"/>
      <w:marBottom w:val="0"/>
      <w:divBdr>
        <w:top w:val="none" w:sz="0" w:space="0" w:color="auto"/>
        <w:left w:val="none" w:sz="0" w:space="0" w:color="auto"/>
        <w:bottom w:val="none" w:sz="0" w:space="0" w:color="auto"/>
        <w:right w:val="none" w:sz="0" w:space="0" w:color="auto"/>
      </w:divBdr>
    </w:div>
    <w:div w:id="639573509">
      <w:bodyDiv w:val="1"/>
      <w:marLeft w:val="0"/>
      <w:marRight w:val="0"/>
      <w:marTop w:val="0"/>
      <w:marBottom w:val="0"/>
      <w:divBdr>
        <w:top w:val="none" w:sz="0" w:space="0" w:color="auto"/>
        <w:left w:val="none" w:sz="0" w:space="0" w:color="auto"/>
        <w:bottom w:val="none" w:sz="0" w:space="0" w:color="auto"/>
        <w:right w:val="none" w:sz="0" w:space="0" w:color="auto"/>
      </w:divBdr>
      <w:divsChild>
        <w:div w:id="1506749167">
          <w:marLeft w:val="547"/>
          <w:marRight w:val="0"/>
          <w:marTop w:val="120"/>
          <w:marBottom w:val="120"/>
          <w:divBdr>
            <w:top w:val="none" w:sz="0" w:space="0" w:color="auto"/>
            <w:left w:val="none" w:sz="0" w:space="0" w:color="auto"/>
            <w:bottom w:val="none" w:sz="0" w:space="0" w:color="auto"/>
            <w:right w:val="none" w:sz="0" w:space="0" w:color="auto"/>
          </w:divBdr>
        </w:div>
        <w:div w:id="988680002">
          <w:marLeft w:val="547"/>
          <w:marRight w:val="0"/>
          <w:marTop w:val="120"/>
          <w:marBottom w:val="120"/>
          <w:divBdr>
            <w:top w:val="none" w:sz="0" w:space="0" w:color="auto"/>
            <w:left w:val="none" w:sz="0" w:space="0" w:color="auto"/>
            <w:bottom w:val="none" w:sz="0" w:space="0" w:color="auto"/>
            <w:right w:val="none" w:sz="0" w:space="0" w:color="auto"/>
          </w:divBdr>
        </w:div>
        <w:div w:id="584654352">
          <w:marLeft w:val="547"/>
          <w:marRight w:val="0"/>
          <w:marTop w:val="120"/>
          <w:marBottom w:val="120"/>
          <w:divBdr>
            <w:top w:val="none" w:sz="0" w:space="0" w:color="auto"/>
            <w:left w:val="none" w:sz="0" w:space="0" w:color="auto"/>
            <w:bottom w:val="none" w:sz="0" w:space="0" w:color="auto"/>
            <w:right w:val="none" w:sz="0" w:space="0" w:color="auto"/>
          </w:divBdr>
        </w:div>
        <w:div w:id="1439258254">
          <w:marLeft w:val="547"/>
          <w:marRight w:val="0"/>
          <w:marTop w:val="120"/>
          <w:marBottom w:val="120"/>
          <w:divBdr>
            <w:top w:val="none" w:sz="0" w:space="0" w:color="auto"/>
            <w:left w:val="none" w:sz="0" w:space="0" w:color="auto"/>
            <w:bottom w:val="none" w:sz="0" w:space="0" w:color="auto"/>
            <w:right w:val="none" w:sz="0" w:space="0" w:color="auto"/>
          </w:divBdr>
        </w:div>
      </w:divsChild>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225677701">
      <w:bodyDiv w:val="1"/>
      <w:marLeft w:val="0"/>
      <w:marRight w:val="0"/>
      <w:marTop w:val="0"/>
      <w:marBottom w:val="0"/>
      <w:divBdr>
        <w:top w:val="none" w:sz="0" w:space="0" w:color="auto"/>
        <w:left w:val="none" w:sz="0" w:space="0" w:color="auto"/>
        <w:bottom w:val="none" w:sz="0" w:space="0" w:color="auto"/>
        <w:right w:val="none" w:sz="0" w:space="0" w:color="auto"/>
      </w:divBdr>
      <w:divsChild>
        <w:div w:id="738133355">
          <w:marLeft w:val="547"/>
          <w:marRight w:val="0"/>
          <w:marTop w:val="120"/>
          <w:marBottom w:val="120"/>
          <w:divBdr>
            <w:top w:val="none" w:sz="0" w:space="0" w:color="auto"/>
            <w:left w:val="none" w:sz="0" w:space="0" w:color="auto"/>
            <w:bottom w:val="none" w:sz="0" w:space="0" w:color="auto"/>
            <w:right w:val="none" w:sz="0" w:space="0" w:color="auto"/>
          </w:divBdr>
        </w:div>
        <w:div w:id="831724619">
          <w:marLeft w:val="547"/>
          <w:marRight w:val="0"/>
          <w:marTop w:val="120"/>
          <w:marBottom w:val="120"/>
          <w:divBdr>
            <w:top w:val="none" w:sz="0" w:space="0" w:color="auto"/>
            <w:left w:val="none" w:sz="0" w:space="0" w:color="auto"/>
            <w:bottom w:val="none" w:sz="0" w:space="0" w:color="auto"/>
            <w:right w:val="none" w:sz="0" w:space="0" w:color="auto"/>
          </w:divBdr>
        </w:div>
        <w:div w:id="801921150">
          <w:marLeft w:val="547"/>
          <w:marRight w:val="0"/>
          <w:marTop w:val="120"/>
          <w:marBottom w:val="120"/>
          <w:divBdr>
            <w:top w:val="none" w:sz="0" w:space="0" w:color="auto"/>
            <w:left w:val="none" w:sz="0" w:space="0" w:color="auto"/>
            <w:bottom w:val="none" w:sz="0" w:space="0" w:color="auto"/>
            <w:right w:val="none" w:sz="0" w:space="0" w:color="auto"/>
          </w:divBdr>
        </w:div>
        <w:div w:id="318702154">
          <w:marLeft w:val="547"/>
          <w:marRight w:val="0"/>
          <w:marTop w:val="120"/>
          <w:marBottom w:val="120"/>
          <w:divBdr>
            <w:top w:val="none" w:sz="0" w:space="0" w:color="auto"/>
            <w:left w:val="none" w:sz="0" w:space="0" w:color="auto"/>
            <w:bottom w:val="none" w:sz="0" w:space="0" w:color="auto"/>
            <w:right w:val="none" w:sz="0" w:space="0" w:color="auto"/>
          </w:divBdr>
        </w:div>
      </w:divsChild>
    </w:div>
    <w:div w:id="1690914548">
      <w:bodyDiv w:val="1"/>
      <w:marLeft w:val="0"/>
      <w:marRight w:val="0"/>
      <w:marTop w:val="0"/>
      <w:marBottom w:val="0"/>
      <w:divBdr>
        <w:top w:val="none" w:sz="0" w:space="0" w:color="auto"/>
        <w:left w:val="none" w:sz="0" w:space="0" w:color="auto"/>
        <w:bottom w:val="none" w:sz="0" w:space="0" w:color="auto"/>
        <w:right w:val="none" w:sz="0" w:space="0" w:color="auto"/>
      </w:divBdr>
    </w:div>
    <w:div w:id="2008630370">
      <w:bodyDiv w:val="1"/>
      <w:marLeft w:val="0"/>
      <w:marRight w:val="0"/>
      <w:marTop w:val="0"/>
      <w:marBottom w:val="0"/>
      <w:divBdr>
        <w:top w:val="none" w:sz="0" w:space="0" w:color="auto"/>
        <w:left w:val="none" w:sz="0" w:space="0" w:color="auto"/>
        <w:bottom w:val="none" w:sz="0" w:space="0" w:color="auto"/>
        <w:right w:val="none" w:sz="0" w:space="0" w:color="auto"/>
      </w:divBdr>
    </w:div>
    <w:div w:id="2011788943">
      <w:bodyDiv w:val="1"/>
      <w:marLeft w:val="0"/>
      <w:marRight w:val="0"/>
      <w:marTop w:val="0"/>
      <w:marBottom w:val="0"/>
      <w:divBdr>
        <w:top w:val="none" w:sz="0" w:space="0" w:color="auto"/>
        <w:left w:val="none" w:sz="0" w:space="0" w:color="auto"/>
        <w:bottom w:val="none" w:sz="0" w:space="0" w:color="auto"/>
        <w:right w:val="none" w:sz="0" w:space="0" w:color="auto"/>
      </w:divBdr>
      <w:divsChild>
        <w:div w:id="460197332">
          <w:marLeft w:val="547"/>
          <w:marRight w:val="0"/>
          <w:marTop w:val="120"/>
          <w:marBottom w:val="120"/>
          <w:divBdr>
            <w:top w:val="none" w:sz="0" w:space="0" w:color="auto"/>
            <w:left w:val="none" w:sz="0" w:space="0" w:color="auto"/>
            <w:bottom w:val="none" w:sz="0" w:space="0" w:color="auto"/>
            <w:right w:val="none" w:sz="0" w:space="0" w:color="auto"/>
          </w:divBdr>
        </w:div>
        <w:div w:id="682826479">
          <w:marLeft w:val="547"/>
          <w:marRight w:val="0"/>
          <w:marTop w:val="120"/>
          <w:marBottom w:val="120"/>
          <w:divBdr>
            <w:top w:val="none" w:sz="0" w:space="0" w:color="auto"/>
            <w:left w:val="none" w:sz="0" w:space="0" w:color="auto"/>
            <w:bottom w:val="none" w:sz="0" w:space="0" w:color="auto"/>
            <w:right w:val="none" w:sz="0" w:space="0" w:color="auto"/>
          </w:divBdr>
        </w:div>
        <w:div w:id="2081906101">
          <w:marLeft w:val="547"/>
          <w:marRight w:val="0"/>
          <w:marTop w:val="120"/>
          <w:marBottom w:val="120"/>
          <w:divBdr>
            <w:top w:val="none" w:sz="0" w:space="0" w:color="auto"/>
            <w:left w:val="none" w:sz="0" w:space="0" w:color="auto"/>
            <w:bottom w:val="none" w:sz="0" w:space="0" w:color="auto"/>
            <w:right w:val="none" w:sz="0" w:space="0" w:color="auto"/>
          </w:divBdr>
        </w:div>
        <w:div w:id="191974943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C2CC-B13C-4169-93ED-1F897E3A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2716</Words>
  <Characters>14941</Characters>
  <Application>Microsoft Office Word</Application>
  <DocSecurity>0</DocSecurity>
  <Lines>124</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26</cp:revision>
  <cp:lastPrinted>2015-09-14T15:17:00Z</cp:lastPrinted>
  <dcterms:created xsi:type="dcterms:W3CDTF">2015-12-11T11:02:00Z</dcterms:created>
  <dcterms:modified xsi:type="dcterms:W3CDTF">2018-03-20T14:29:00Z</dcterms:modified>
</cp:coreProperties>
</file>