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C4" w:rsidRPr="00221202" w:rsidRDefault="00EA5733" w:rsidP="00584BC4">
      <w:pPr>
        <w:pStyle w:val="Caschap"/>
        <w:rPr>
          <w:i w:val="0"/>
          <w:lang w:val="fr-FR"/>
        </w:rPr>
      </w:pPr>
      <w:r w:rsidRPr="00221202">
        <w:rPr>
          <w:i w:val="0"/>
          <w:lang w:val="fr-FR"/>
        </w:rPr>
        <w:t>Étu</w:t>
      </w:r>
      <w:bookmarkStart w:id="0" w:name="_GoBack"/>
      <w:bookmarkEnd w:id="0"/>
      <w:r w:rsidRPr="00221202">
        <w:rPr>
          <w:i w:val="0"/>
          <w:lang w:val="fr-FR"/>
        </w:rPr>
        <w:t>de</w:t>
      </w:r>
      <w:r w:rsidR="002740E5" w:rsidRPr="00221202">
        <w:rPr>
          <w:i w:val="0"/>
          <w:lang w:val="fr-FR"/>
        </w:rPr>
        <w:t xml:space="preserve"> de cas</w:t>
      </w:r>
    </w:p>
    <w:p w:rsidR="00584BC4" w:rsidRPr="00221202" w:rsidRDefault="00584BC4" w:rsidP="00584BC4">
      <w:pPr>
        <w:pStyle w:val="Cas"/>
        <w:rPr>
          <w:i w:val="0"/>
          <w:caps w:val="0"/>
          <w:lang w:val="fr-FR"/>
        </w:rPr>
      </w:pPr>
      <w:r w:rsidRPr="00221202">
        <w:rPr>
          <w:i w:val="0"/>
          <w:caps w:val="0"/>
          <w:lang w:val="fr-FR"/>
        </w:rPr>
        <w:t>L</w:t>
      </w:r>
      <w:r w:rsidR="002740E5" w:rsidRPr="00221202">
        <w:rPr>
          <w:i w:val="0"/>
          <w:caps w:val="0"/>
          <w:lang w:val="fr-FR"/>
        </w:rPr>
        <w:t xml:space="preserve">e </w:t>
      </w:r>
      <w:proofErr w:type="spellStart"/>
      <w:r w:rsidR="002740E5" w:rsidRPr="00221202">
        <w:rPr>
          <w:caps w:val="0"/>
          <w:lang w:val="fr-FR"/>
        </w:rPr>
        <w:t>tatau</w:t>
      </w:r>
      <w:proofErr w:type="spellEnd"/>
      <w:r w:rsidR="002740E5" w:rsidRPr="007A04F1">
        <w:rPr>
          <w:rStyle w:val="FootnoteReference"/>
          <w:i w:val="0"/>
          <w:caps w:val="0"/>
          <w:sz w:val="28"/>
          <w:szCs w:val="28"/>
        </w:rPr>
        <w:footnoteReference w:id="1"/>
      </w:r>
    </w:p>
    <w:p w:rsidR="00F51A9A" w:rsidRPr="002C4E8F" w:rsidRDefault="00F51A9A" w:rsidP="002C4E8F">
      <w:pPr>
        <w:pStyle w:val="Texte1"/>
      </w:pPr>
      <w:r w:rsidRPr="002C4E8F">
        <w:t>Cette étude de cas concerne la pratique du tatouage (</w:t>
      </w:r>
      <w:proofErr w:type="spellStart"/>
      <w:r w:rsidRPr="002C4E8F">
        <w:t>tatau</w:t>
      </w:r>
      <w:proofErr w:type="spellEnd"/>
      <w:r w:rsidRPr="002C4E8F">
        <w:t xml:space="preserve">) </w:t>
      </w:r>
      <w:r w:rsidR="00A9747C" w:rsidRPr="002C4E8F">
        <w:t>aux</w:t>
      </w:r>
      <w:r w:rsidRPr="002C4E8F">
        <w:t xml:space="preserve"> Samoa.</w:t>
      </w:r>
      <w:r w:rsidRPr="002C4E8F">
        <w:rPr>
          <w:b/>
          <w:caps/>
        </w:rPr>
        <w:t xml:space="preserve"> </w:t>
      </w:r>
      <w:r w:rsidRPr="002C4E8F">
        <w:t>Elle commence par présenter trois approches en matière de politiques dans le domaine de la culture et du développement, qui sont supposées être compatibles. L’étude de cas teste ensuite cette hypothèse à travers</w:t>
      </w:r>
      <w:r w:rsidR="00A620E4" w:rsidRPr="002C4E8F">
        <w:t xml:space="preserve"> l’</w:t>
      </w:r>
      <w:r w:rsidR="00DF3DD8" w:rsidRPr="002C4E8F">
        <w:t>étude</w:t>
      </w:r>
      <w:r w:rsidR="00A620E4" w:rsidRPr="002C4E8F">
        <w:t xml:space="preserve"> </w:t>
      </w:r>
      <w:r w:rsidRPr="002C4E8F">
        <w:t>de la pratique du tatouage (</w:t>
      </w:r>
      <w:proofErr w:type="spellStart"/>
      <w:r w:rsidRPr="002C4E8F">
        <w:t>tatau</w:t>
      </w:r>
      <w:proofErr w:type="spellEnd"/>
      <w:r w:rsidRPr="002C4E8F">
        <w:t>) au</w:t>
      </w:r>
      <w:r w:rsidR="00A9747C" w:rsidRPr="002C4E8F">
        <w:t>x</w:t>
      </w:r>
      <w:r w:rsidRPr="002C4E8F">
        <w:t xml:space="preserve"> Samoa.</w:t>
      </w:r>
    </w:p>
    <w:p w:rsidR="0019415A" w:rsidRPr="007E2165" w:rsidRDefault="0019415A" w:rsidP="00584BC4">
      <w:pPr>
        <w:pStyle w:val="Heading4"/>
      </w:pPr>
      <w:r w:rsidRPr="007E2165">
        <w:t>Trois approches en matière de culture et de développement</w:t>
      </w:r>
    </w:p>
    <w:p w:rsidR="00693943" w:rsidRPr="00693943" w:rsidRDefault="0065547A" w:rsidP="002C4E8F">
      <w:pPr>
        <w:pStyle w:val="Texte1"/>
      </w:pPr>
      <w:r w:rsidRPr="00221202">
        <w:t>L’intérêt pour la protection</w:t>
      </w:r>
      <w:r w:rsidR="008B6EF7" w:rsidRPr="00221202">
        <w:t xml:space="preserve"> </w:t>
      </w:r>
      <w:r w:rsidR="0019415A" w:rsidRPr="00221202">
        <w:t xml:space="preserve">des savoirs traditionnels et la sauvegarde du patrimoine culturel immatériel </w:t>
      </w:r>
      <w:r w:rsidRPr="00221202">
        <w:t xml:space="preserve">n’a cessé de croître </w:t>
      </w:r>
      <w:r w:rsidR="009F4675">
        <w:t>à travers</w:t>
      </w:r>
      <w:r w:rsidR="00533F1D" w:rsidRPr="00221202">
        <w:t xml:space="preserve"> le monde</w:t>
      </w:r>
      <w:r w:rsidR="0019415A" w:rsidRPr="00221202">
        <w:t xml:space="preserve">. </w:t>
      </w:r>
      <w:r w:rsidR="0019415A" w:rsidRPr="00693943">
        <w:t>Dans la région des îles du Pacifique</w:t>
      </w:r>
      <w:r w:rsidR="005E27C1" w:rsidRPr="00693943">
        <w:t>, cet intérêt s’est traduit</w:t>
      </w:r>
      <w:r w:rsidR="0049799B" w:rsidRPr="00693943">
        <w:t xml:space="preserve"> par</w:t>
      </w:r>
      <w:r w:rsidR="005E27C1" w:rsidRPr="00693943">
        <w:t xml:space="preserve"> de</w:t>
      </w:r>
      <w:r w:rsidR="00AF11FA" w:rsidRPr="00693943">
        <w:t>s</w:t>
      </w:r>
      <w:r w:rsidR="005E27C1" w:rsidRPr="00693943">
        <w:t xml:space="preserve"> politiques relevant de trois</w:t>
      </w:r>
      <w:r w:rsidR="00A81D24">
        <w:t xml:space="preserve"> </w:t>
      </w:r>
      <w:r w:rsidR="00A81D24" w:rsidRPr="00693943">
        <w:t>approches</w:t>
      </w:r>
      <w:r w:rsidR="005E27C1" w:rsidRPr="00693943">
        <w:t xml:space="preserve"> </w:t>
      </w:r>
      <w:r w:rsidR="00CB23B8" w:rsidRPr="00693943">
        <w:t>principales</w:t>
      </w:r>
      <w:r w:rsidR="005E27C1" w:rsidRPr="00693943">
        <w:t>:</w:t>
      </w:r>
    </w:p>
    <w:p w:rsidR="005E27C1" w:rsidRPr="00221202" w:rsidRDefault="00626C44" w:rsidP="002C4E8F">
      <w:pPr>
        <w:pStyle w:val="Texte1"/>
        <w:numPr>
          <w:ilvl w:val="0"/>
          <w:numId w:val="4"/>
        </w:numPr>
      </w:pPr>
      <w:r w:rsidRPr="00221202">
        <w:t xml:space="preserve">le déploiement de nouveaux types de protection des droits de propriété intellectuelle (régimes </w:t>
      </w:r>
      <w:r w:rsidRPr="00221202">
        <w:rPr>
          <w:i/>
        </w:rPr>
        <w:t>sui generis</w:t>
      </w:r>
      <w:r w:rsidRPr="00221202">
        <w:t xml:space="preserve">) </w:t>
      </w:r>
      <w:r w:rsidR="00984F07" w:rsidRPr="00221202">
        <w:t xml:space="preserve">pour </w:t>
      </w:r>
      <w:r w:rsidR="0081182F" w:rsidRPr="00221202">
        <w:t>conférer</w:t>
      </w:r>
      <w:r w:rsidR="00984F07" w:rsidRPr="00221202">
        <w:t xml:space="preserve"> </w:t>
      </w:r>
      <w:r w:rsidR="00941706">
        <w:t>la</w:t>
      </w:r>
      <w:r w:rsidR="00984F07" w:rsidRPr="00221202">
        <w:t xml:space="preserve"> propriété et le contrôle exclusif </w:t>
      </w:r>
      <w:r w:rsidR="00941706">
        <w:t>d</w:t>
      </w:r>
      <w:r w:rsidR="00984F07" w:rsidRPr="00221202">
        <w:t xml:space="preserve">es savoirs traditionnels à </w:t>
      </w:r>
      <w:r w:rsidR="0081182F" w:rsidRPr="00221202">
        <w:t>leurs</w:t>
      </w:r>
      <w:r w:rsidR="00984F07" w:rsidRPr="00221202">
        <w:t xml:space="preserve"> </w:t>
      </w:r>
      <w:r w:rsidR="005E27C1" w:rsidRPr="00221202">
        <w:t xml:space="preserve">propriétaires </w:t>
      </w:r>
      <w:r w:rsidR="00A81D24">
        <w:t>habituel</w:t>
      </w:r>
      <w:r w:rsidR="005E27C1" w:rsidRPr="00221202">
        <w:t>s</w:t>
      </w:r>
      <w:r w:rsidR="00941706">
        <w:t>;</w:t>
      </w:r>
    </w:p>
    <w:p w:rsidR="0065547A" w:rsidRPr="00221202" w:rsidRDefault="0065547A" w:rsidP="002C4E8F">
      <w:pPr>
        <w:pStyle w:val="Texte1"/>
        <w:numPr>
          <w:ilvl w:val="0"/>
          <w:numId w:val="4"/>
        </w:numPr>
      </w:pPr>
      <w:r w:rsidRPr="00221202">
        <w:t xml:space="preserve">la promotion des industries culturelles comme </w:t>
      </w:r>
      <w:r w:rsidR="00E24642" w:rsidRPr="00221202">
        <w:t>m</w:t>
      </w:r>
      <w:r w:rsidR="00E24642">
        <w:t>oyen</w:t>
      </w:r>
      <w:r w:rsidR="00E24642" w:rsidRPr="00221202">
        <w:t xml:space="preserve"> </w:t>
      </w:r>
      <w:r w:rsidRPr="00221202">
        <w:t>d</w:t>
      </w:r>
      <w:r w:rsidR="00E24642">
        <w:t>e</w:t>
      </w:r>
      <w:r w:rsidRPr="00221202">
        <w:t xml:space="preserve"> développement durable</w:t>
      </w:r>
      <w:r w:rsidR="00941706">
        <w:t>;</w:t>
      </w:r>
      <w:r w:rsidRPr="00221202">
        <w:t xml:space="preserve"> et</w:t>
      </w:r>
    </w:p>
    <w:p w:rsidR="001D510B" w:rsidRPr="001D510B" w:rsidRDefault="0065547A" w:rsidP="002C4E8F">
      <w:pPr>
        <w:pStyle w:val="Texte1"/>
        <w:numPr>
          <w:ilvl w:val="0"/>
          <w:numId w:val="4"/>
        </w:numPr>
      </w:pPr>
      <w:r w:rsidRPr="00E24642">
        <w:t>la sauvegarde du patrimoine culturel immatériel</w:t>
      </w:r>
      <w:r w:rsidR="00A81D24">
        <w:t xml:space="preserve"> </w:t>
      </w:r>
      <w:r w:rsidRPr="00E24642">
        <w:t>(PCI).</w:t>
      </w:r>
    </w:p>
    <w:p w:rsidR="00E9300E" w:rsidRPr="00221202" w:rsidRDefault="00E9300E" w:rsidP="002C4E8F">
      <w:pPr>
        <w:pStyle w:val="Texte1"/>
      </w:pPr>
      <w:r w:rsidRPr="00E24642">
        <w:t xml:space="preserve">Ces trois approches ont été motivées par </w:t>
      </w:r>
      <w:r w:rsidR="00280E8E" w:rsidRPr="00E24642">
        <w:t xml:space="preserve">un </w:t>
      </w:r>
      <w:r w:rsidRPr="00E24642">
        <w:t xml:space="preserve">ensemble de préoccupations concernant </w:t>
      </w:r>
      <w:r w:rsidR="00941706">
        <w:t xml:space="preserve">le détournement </w:t>
      </w:r>
      <w:r w:rsidRPr="00E24642">
        <w:t xml:space="preserve">des savoirs traditionnels, </w:t>
      </w:r>
      <w:r w:rsidR="00A81D24">
        <w:t xml:space="preserve">la baisse </w:t>
      </w:r>
      <w:r w:rsidR="009D1527" w:rsidRPr="00E24642">
        <w:t xml:space="preserve">de </w:t>
      </w:r>
      <w:r w:rsidR="00D6219F">
        <w:t xml:space="preserve">la </w:t>
      </w:r>
      <w:r w:rsidR="009D1527" w:rsidRPr="00E24642">
        <w:t>transmission de ce</w:t>
      </w:r>
      <w:r w:rsidR="00660C1F" w:rsidRPr="00E24642">
        <w:t>s</w:t>
      </w:r>
      <w:r w:rsidR="009D1527" w:rsidRPr="00E24642">
        <w:t xml:space="preserve"> savoir</w:t>
      </w:r>
      <w:r w:rsidR="00660C1F" w:rsidRPr="00E24642">
        <w:t>s</w:t>
      </w:r>
      <w:r w:rsidR="009D1527" w:rsidRPr="00E24642">
        <w:t xml:space="preserve">, </w:t>
      </w:r>
      <w:r w:rsidR="00D6219F" w:rsidRPr="00E24642">
        <w:t>l</w:t>
      </w:r>
      <w:r w:rsidR="00D6219F">
        <w:t>a dilution</w:t>
      </w:r>
      <w:r w:rsidR="00D6219F" w:rsidRPr="00E24642">
        <w:t xml:space="preserve"> </w:t>
      </w:r>
      <w:r w:rsidR="009D1527" w:rsidRPr="00E24642">
        <w:t xml:space="preserve">et la </w:t>
      </w:r>
      <w:r w:rsidR="00D6219F">
        <w:t xml:space="preserve">perte de la </w:t>
      </w:r>
      <w:r w:rsidR="009D1527" w:rsidRPr="00E24642">
        <w:t>culture</w:t>
      </w:r>
      <w:r w:rsidR="00D6219F">
        <w:t>. Elles</w:t>
      </w:r>
      <w:r w:rsidR="009D1527" w:rsidRPr="00E24642">
        <w:t xml:space="preserve"> </w:t>
      </w:r>
      <w:r w:rsidR="00D6219F">
        <w:t>résultent des pressions</w:t>
      </w:r>
      <w:r w:rsidR="009D1527" w:rsidRPr="00E24642">
        <w:t xml:space="preserve"> de la mondialisation </w:t>
      </w:r>
      <w:r w:rsidR="00D6219F">
        <w:t>et</w:t>
      </w:r>
      <w:r w:rsidR="00660C1F" w:rsidRPr="00E24642">
        <w:t xml:space="preserve"> </w:t>
      </w:r>
      <w:r w:rsidR="00D6219F">
        <w:t>de</w:t>
      </w:r>
      <w:r w:rsidR="00D6219F" w:rsidRPr="00E24642">
        <w:t xml:space="preserve"> </w:t>
      </w:r>
      <w:r w:rsidR="00660C1F" w:rsidRPr="00E24642">
        <w:t>l’espoir que les savoirs traditionnels deviennent un</w:t>
      </w:r>
      <w:r w:rsidR="00280E8E" w:rsidRPr="00E24642">
        <w:t>e</w:t>
      </w:r>
      <w:r w:rsidR="00660C1F" w:rsidRPr="00E24642">
        <w:t xml:space="preserve"> </w:t>
      </w:r>
      <w:r w:rsidR="00280E8E" w:rsidRPr="00E24642">
        <w:t>ressource</w:t>
      </w:r>
      <w:r w:rsidR="00660C1F" w:rsidRPr="00E24642">
        <w:t xml:space="preserve"> </w:t>
      </w:r>
      <w:r w:rsidR="00280E8E" w:rsidRPr="00E24642">
        <w:t>qui puisse être exploitée</w:t>
      </w:r>
      <w:r w:rsidR="00660C1F" w:rsidRPr="00E24642">
        <w:t xml:space="preserve"> </w:t>
      </w:r>
      <w:r w:rsidR="00280E8E" w:rsidRPr="00E24642">
        <w:t xml:space="preserve">afin </w:t>
      </w:r>
      <w:r w:rsidR="00C54C6A" w:rsidRPr="00E24642">
        <w:t>de fournir</w:t>
      </w:r>
      <w:r w:rsidR="00280E8E" w:rsidRPr="00E24642">
        <w:t xml:space="preserve"> des opportunités économiques</w:t>
      </w:r>
      <w:r w:rsidR="00660C1F" w:rsidRPr="00E24642">
        <w:t xml:space="preserve"> </w:t>
      </w:r>
      <w:r w:rsidR="00280E8E" w:rsidRPr="00E24642">
        <w:t>aux</w:t>
      </w:r>
      <w:r w:rsidR="00660C1F" w:rsidRPr="00E24642">
        <w:t xml:space="preserve"> communautés locales.</w:t>
      </w:r>
      <w:r w:rsidR="003A1888" w:rsidRPr="00E24642">
        <w:t xml:space="preserve"> </w:t>
      </w:r>
      <w:r w:rsidR="00722535" w:rsidRPr="00221202">
        <w:t xml:space="preserve">De même, </w:t>
      </w:r>
      <w:r w:rsidR="00941706">
        <w:t>l’appropriation ou le contrôle d</w:t>
      </w:r>
      <w:r w:rsidR="00D6219F" w:rsidRPr="0073766B">
        <w:t xml:space="preserve">es savoirs traditionnels (ou </w:t>
      </w:r>
      <w:r w:rsidR="00941706">
        <w:t xml:space="preserve">du </w:t>
      </w:r>
      <w:r w:rsidR="00D6219F" w:rsidRPr="0073766B">
        <w:t>PCI)</w:t>
      </w:r>
      <w:r w:rsidR="00D6219F">
        <w:t xml:space="preserve"> </w:t>
      </w:r>
      <w:r w:rsidR="00941706">
        <w:t xml:space="preserve">par les </w:t>
      </w:r>
      <w:r w:rsidR="00C54C6A" w:rsidRPr="00221202">
        <w:t xml:space="preserve">communautés </w:t>
      </w:r>
      <w:r w:rsidR="004D7D13" w:rsidRPr="00221202">
        <w:t>ou</w:t>
      </w:r>
      <w:r w:rsidR="00C54C6A" w:rsidRPr="00221202">
        <w:t xml:space="preserve"> </w:t>
      </w:r>
      <w:r w:rsidR="00941706">
        <w:t xml:space="preserve">les </w:t>
      </w:r>
      <w:r w:rsidR="00C54C6A" w:rsidRPr="00221202">
        <w:t xml:space="preserve">groupes </w:t>
      </w:r>
      <w:r w:rsidR="00801E9C">
        <w:t>sont</w:t>
      </w:r>
      <w:r w:rsidR="00941706">
        <w:t xml:space="preserve"> de plus en plus perçu</w:t>
      </w:r>
      <w:r w:rsidR="00801E9C">
        <w:t>s</w:t>
      </w:r>
      <w:r w:rsidR="00941706">
        <w:t xml:space="preserve"> comme </w:t>
      </w:r>
      <w:r w:rsidR="00801E9C">
        <w:t>des</w:t>
      </w:r>
      <w:r w:rsidR="00941706" w:rsidRPr="00221202">
        <w:t xml:space="preserve"> alternative</w:t>
      </w:r>
      <w:r w:rsidR="00801E9C">
        <w:t>s</w:t>
      </w:r>
      <w:r w:rsidR="00941706" w:rsidRPr="00221202">
        <w:t xml:space="preserve"> </w:t>
      </w:r>
      <w:r w:rsidR="00801E9C">
        <w:t>intéressantes permettant</w:t>
      </w:r>
      <w:r w:rsidR="00941706">
        <w:t xml:space="preserve"> l’octroi de droits sur ces savoirs </w:t>
      </w:r>
      <w:r w:rsidR="00C54C6A" w:rsidRPr="00221202">
        <w:t xml:space="preserve">à </w:t>
      </w:r>
      <w:r w:rsidR="00722535" w:rsidRPr="00221202">
        <w:t xml:space="preserve">l’État ou </w:t>
      </w:r>
      <w:r w:rsidR="00C54C6A" w:rsidRPr="00221202">
        <w:t>aux</w:t>
      </w:r>
      <w:r w:rsidR="00722535" w:rsidRPr="00221202">
        <w:t xml:space="preserve"> individus.</w:t>
      </w:r>
    </w:p>
    <w:p w:rsidR="00AA76EA" w:rsidRPr="00693943" w:rsidRDefault="00AA76EA" w:rsidP="00693943">
      <w:pPr>
        <w:pStyle w:val="Heading4"/>
      </w:pPr>
      <w:r w:rsidRPr="00693943">
        <w:t xml:space="preserve">Le </w:t>
      </w:r>
      <w:r w:rsidRPr="009C77E9">
        <w:rPr>
          <w:i/>
        </w:rPr>
        <w:t>tatau</w:t>
      </w:r>
      <w:r w:rsidR="00C55A85" w:rsidRPr="00693943">
        <w:t xml:space="preserve"> au</w:t>
      </w:r>
      <w:r w:rsidR="00A9747C">
        <w:t>x</w:t>
      </w:r>
      <w:r w:rsidRPr="00693943">
        <w:t xml:space="preserve"> Samoa : une tradition en constante évolution</w:t>
      </w:r>
    </w:p>
    <w:p w:rsidR="00B70000" w:rsidRPr="000B575F" w:rsidRDefault="00041EA4" w:rsidP="002C4E8F">
      <w:pPr>
        <w:pStyle w:val="Texte1"/>
      </w:pPr>
      <w:r w:rsidRPr="00221202">
        <w:t xml:space="preserve">Le </w:t>
      </w:r>
      <w:proofErr w:type="spellStart"/>
      <w:r w:rsidRPr="00221202">
        <w:rPr>
          <w:i/>
        </w:rPr>
        <w:t>tatau</w:t>
      </w:r>
      <w:proofErr w:type="spellEnd"/>
      <w:r w:rsidRPr="00221202">
        <w:t xml:space="preserve"> est réalisé par des spécialistes </w:t>
      </w:r>
      <w:r w:rsidR="00941706">
        <w:t xml:space="preserve">du tatouage </w:t>
      </w:r>
      <w:r w:rsidRPr="00221202">
        <w:t xml:space="preserve">connus sous le nom de </w:t>
      </w:r>
      <w:proofErr w:type="spellStart"/>
      <w:r w:rsidRPr="00221202">
        <w:rPr>
          <w:i/>
        </w:rPr>
        <w:t>tufuga</w:t>
      </w:r>
      <w:proofErr w:type="spellEnd"/>
      <w:r w:rsidRPr="00221202">
        <w:t xml:space="preserve">. Au </w:t>
      </w:r>
      <w:r w:rsidR="00715F28">
        <w:t>19</w:t>
      </w:r>
      <w:r w:rsidR="00941706">
        <w:t>ème</w:t>
      </w:r>
      <w:r w:rsidR="00715F28" w:rsidRPr="00221202">
        <w:t xml:space="preserve"> </w:t>
      </w:r>
      <w:r w:rsidRPr="00221202">
        <w:t>siècle, et encore aujourd’hui</w:t>
      </w:r>
      <w:r w:rsidR="006C3200">
        <w:t xml:space="preserve"> de manière générale</w:t>
      </w:r>
      <w:r w:rsidRPr="00221202">
        <w:t xml:space="preserve">, les </w:t>
      </w:r>
      <w:proofErr w:type="spellStart"/>
      <w:r w:rsidRPr="00221202">
        <w:rPr>
          <w:i/>
        </w:rPr>
        <w:t>tufuga</w:t>
      </w:r>
      <w:proofErr w:type="spellEnd"/>
      <w:r w:rsidRPr="00221202">
        <w:t xml:space="preserve"> sont associés aux deux principales </w:t>
      </w:r>
      <w:proofErr w:type="spellStart"/>
      <w:r w:rsidRPr="00221202">
        <w:rPr>
          <w:i/>
        </w:rPr>
        <w:t>aiga</w:t>
      </w:r>
      <w:proofErr w:type="spellEnd"/>
      <w:r w:rsidRPr="00221202">
        <w:t>, (familles étendues) d</w:t>
      </w:r>
      <w:r w:rsidR="00A9747C">
        <w:t>es</w:t>
      </w:r>
      <w:r w:rsidRPr="00221202">
        <w:t xml:space="preserve"> Samoa</w:t>
      </w:r>
      <w:r w:rsidR="00B70000" w:rsidRPr="00221202">
        <w:t xml:space="preserve">. L’organisation de ces familles est comparable à celle des </w:t>
      </w:r>
      <w:r w:rsidR="00A921F2">
        <w:t>corporations</w:t>
      </w:r>
      <w:r w:rsidR="00B70000" w:rsidRPr="00221202">
        <w:t xml:space="preserve"> d’artisans dans d’autres sociétés où les maîtres artisan</w:t>
      </w:r>
      <w:r w:rsidR="00BD37D6" w:rsidRPr="00221202">
        <w:t>s</w:t>
      </w:r>
      <w:r w:rsidR="00B70000" w:rsidRPr="00221202">
        <w:t xml:space="preserve"> enseigne</w:t>
      </w:r>
      <w:r w:rsidR="00BD37D6" w:rsidRPr="00221202">
        <w:t>nt</w:t>
      </w:r>
      <w:r w:rsidR="00B70000" w:rsidRPr="00221202">
        <w:t xml:space="preserve"> le</w:t>
      </w:r>
      <w:r w:rsidR="00A921F2">
        <w:t>ur</w:t>
      </w:r>
      <w:r w:rsidR="00B70000" w:rsidRPr="00221202">
        <w:t xml:space="preserve"> savoir-faire à leurs apprentis</w:t>
      </w:r>
      <w:r w:rsidR="00BD37D6" w:rsidRPr="00221202">
        <w:t xml:space="preserve">. </w:t>
      </w:r>
      <w:r w:rsidR="00BD37D6" w:rsidRPr="000B575F">
        <w:t xml:space="preserve">Chaque « famille » spécialisée dans l’art du tatouage est </w:t>
      </w:r>
      <w:r w:rsidR="002B419F">
        <w:t xml:space="preserve">organisée </w:t>
      </w:r>
      <w:r w:rsidR="00BD37D6" w:rsidRPr="000B575F">
        <w:t xml:space="preserve">de façon hiérarchique et </w:t>
      </w:r>
      <w:r w:rsidR="002B419F">
        <w:t>a ses propres</w:t>
      </w:r>
      <w:r w:rsidR="00BD37D6" w:rsidRPr="000B575F">
        <w:t xml:space="preserve"> règles</w:t>
      </w:r>
      <w:r w:rsidR="002B419F">
        <w:t>, s</w:t>
      </w:r>
      <w:r w:rsidR="004D7D13" w:rsidRPr="000B575F">
        <w:t xml:space="preserve">es </w:t>
      </w:r>
      <w:r w:rsidR="000D77E8" w:rsidRPr="000B575F">
        <w:t xml:space="preserve">critères </w:t>
      </w:r>
      <w:r w:rsidR="00BD37D6" w:rsidRPr="000B575F">
        <w:t xml:space="preserve">et </w:t>
      </w:r>
      <w:r w:rsidR="002B419F">
        <w:t>s</w:t>
      </w:r>
      <w:r w:rsidR="000B575F" w:rsidRPr="000B575F">
        <w:t xml:space="preserve">es </w:t>
      </w:r>
      <w:r w:rsidR="001F25FD" w:rsidRPr="000B575F">
        <w:t xml:space="preserve">signes </w:t>
      </w:r>
      <w:r w:rsidR="00DC17C4" w:rsidRPr="000B575F">
        <w:t>distinctifs</w:t>
      </w:r>
      <w:r w:rsidR="000D77E8" w:rsidRPr="000B575F">
        <w:t>.</w:t>
      </w:r>
    </w:p>
    <w:p w:rsidR="00DE5896" w:rsidRPr="003606D4" w:rsidRDefault="001F25FD" w:rsidP="002C4E8F">
      <w:pPr>
        <w:pStyle w:val="Texte1"/>
      </w:pPr>
      <w:r w:rsidRPr="000B575F">
        <w:t xml:space="preserve">Historiquement, le </w:t>
      </w:r>
      <w:proofErr w:type="spellStart"/>
      <w:r w:rsidRPr="000B575F">
        <w:rPr>
          <w:i/>
        </w:rPr>
        <w:t>tatau</w:t>
      </w:r>
      <w:proofErr w:type="spellEnd"/>
      <w:r w:rsidRPr="000B575F">
        <w:t xml:space="preserve"> était réalisé </w:t>
      </w:r>
      <w:r w:rsidR="00372136" w:rsidRPr="000B575F">
        <w:t xml:space="preserve">comme un rite de passage </w:t>
      </w:r>
      <w:r w:rsidRPr="000B575F">
        <w:t xml:space="preserve">à l’âge adulte </w:t>
      </w:r>
      <w:r w:rsidR="000B575F" w:rsidRPr="000B575F">
        <w:t>qui</w:t>
      </w:r>
      <w:r w:rsidRPr="000B575F">
        <w:t xml:space="preserve"> se déroulait sur </w:t>
      </w:r>
      <w:r w:rsidR="00372136" w:rsidRPr="000B575F">
        <w:t>plusieurs jours</w:t>
      </w:r>
      <w:r w:rsidR="00715F28">
        <w:t xml:space="preserve">, souvent accompagnés </w:t>
      </w:r>
      <w:r w:rsidRPr="000B575F">
        <w:t xml:space="preserve">de fêtes et </w:t>
      </w:r>
      <w:r w:rsidR="000B575F">
        <w:t xml:space="preserve">de </w:t>
      </w:r>
      <w:r w:rsidRPr="000B575F">
        <w:t>célébrations.</w:t>
      </w:r>
      <w:r w:rsidR="004B261B" w:rsidRPr="000B575F">
        <w:t xml:space="preserve"> </w:t>
      </w:r>
      <w:r w:rsidR="004B261B" w:rsidRPr="00221202">
        <w:t xml:space="preserve">Les </w:t>
      </w:r>
      <w:r w:rsidR="00E9229B">
        <w:t xml:space="preserve">peignes </w:t>
      </w:r>
      <w:r w:rsidR="00715F28">
        <w:t xml:space="preserve">de tatouage </w:t>
      </w:r>
      <w:r w:rsidR="004B261B" w:rsidRPr="00221202">
        <w:t>traditionnel</w:t>
      </w:r>
      <w:r w:rsidR="00715F28">
        <w:t>lement utilisé</w:t>
      </w:r>
      <w:r w:rsidR="00941706">
        <w:t>s</w:t>
      </w:r>
      <w:r w:rsidR="00715F28">
        <w:t xml:space="preserve"> par les</w:t>
      </w:r>
      <w:r w:rsidR="004B261B" w:rsidRPr="00221202">
        <w:t xml:space="preserve"> </w:t>
      </w:r>
      <w:proofErr w:type="spellStart"/>
      <w:r w:rsidR="004B261B" w:rsidRPr="00221202">
        <w:rPr>
          <w:i/>
        </w:rPr>
        <w:t>tufuga</w:t>
      </w:r>
      <w:proofErr w:type="spellEnd"/>
      <w:r w:rsidR="004B261B" w:rsidRPr="00221202">
        <w:t xml:space="preserve"> étaie</w:t>
      </w:r>
      <w:r w:rsidR="00C54458" w:rsidRPr="00221202">
        <w:t>nt fabriqué</w:t>
      </w:r>
      <w:r w:rsidR="00372136" w:rsidRPr="00221202">
        <w:t>s à partir de</w:t>
      </w:r>
      <w:r w:rsidR="004B261B" w:rsidRPr="00221202">
        <w:t xml:space="preserve"> défenses de sanglier</w:t>
      </w:r>
      <w:r w:rsidR="00941706">
        <w:t> ;</w:t>
      </w:r>
      <w:r w:rsidR="00E9229B">
        <w:t xml:space="preserve"> </w:t>
      </w:r>
      <w:r w:rsidR="006D50C4" w:rsidRPr="00221202">
        <w:t xml:space="preserve">l’encre utilisée était </w:t>
      </w:r>
      <w:r w:rsidR="00E9229B">
        <w:t xml:space="preserve">quant à elle </w:t>
      </w:r>
      <w:r w:rsidR="006D50C4" w:rsidRPr="00221202">
        <w:t xml:space="preserve">faite de </w:t>
      </w:r>
      <w:r w:rsidR="00C54458" w:rsidRPr="00221202">
        <w:t>suie de noix mélangé</w:t>
      </w:r>
      <w:r w:rsidR="00372136" w:rsidRPr="00221202">
        <w:t>e</w:t>
      </w:r>
      <w:r w:rsidR="00C54458" w:rsidRPr="00221202">
        <w:t xml:space="preserve"> à de l’</w:t>
      </w:r>
      <w:r w:rsidR="006D50C4" w:rsidRPr="00221202">
        <w:t xml:space="preserve">eau. </w:t>
      </w:r>
      <w:r w:rsidR="004D7D13" w:rsidRPr="00221202">
        <w:t>Initialement interdit par les missionnaires</w:t>
      </w:r>
      <w:r w:rsidR="00887105">
        <w:t xml:space="preserve"> dans les années 1830</w:t>
      </w:r>
      <w:r w:rsidR="004D7D13" w:rsidRPr="00221202">
        <w:t>,</w:t>
      </w:r>
      <w:r w:rsidR="006D50C4" w:rsidRPr="00221202">
        <w:t xml:space="preserve"> </w:t>
      </w:r>
      <w:r w:rsidR="004D7D13" w:rsidRPr="00221202">
        <w:t>le</w:t>
      </w:r>
      <w:r w:rsidR="006D50C4" w:rsidRPr="00221202">
        <w:t xml:space="preserve"> </w:t>
      </w:r>
      <w:proofErr w:type="spellStart"/>
      <w:r w:rsidR="006D50C4" w:rsidRPr="00221202">
        <w:rPr>
          <w:i/>
        </w:rPr>
        <w:t>tatau</w:t>
      </w:r>
      <w:proofErr w:type="spellEnd"/>
      <w:r w:rsidR="006D50C4" w:rsidRPr="00221202">
        <w:t xml:space="preserve"> </w:t>
      </w:r>
      <w:r w:rsidR="004D7D13" w:rsidRPr="00221202">
        <w:t>était</w:t>
      </w:r>
      <w:r w:rsidR="006D50C4" w:rsidRPr="00221202">
        <w:t xml:space="preserve"> réalisé clandestinement jusque dans les années 1870 lorsque l’Église catholique a commencé à tolérer</w:t>
      </w:r>
      <w:r w:rsidR="001D510B">
        <w:t xml:space="preserve"> cette pratique</w:t>
      </w:r>
      <w:r w:rsidR="006D50C4" w:rsidRPr="00221202">
        <w:t xml:space="preserve">. </w:t>
      </w:r>
      <w:r w:rsidR="00383BA1" w:rsidRPr="00221202">
        <w:t xml:space="preserve">À partir du début </w:t>
      </w:r>
      <w:r w:rsidR="00383BA1" w:rsidRPr="00221202">
        <w:lastRenderedPageBreak/>
        <w:t xml:space="preserve">des années 1960, l’intérêt local et international pour le </w:t>
      </w:r>
      <w:proofErr w:type="spellStart"/>
      <w:r w:rsidR="00383BA1" w:rsidRPr="00221202">
        <w:rPr>
          <w:i/>
        </w:rPr>
        <w:t>tatau</w:t>
      </w:r>
      <w:proofErr w:type="spellEnd"/>
      <w:r w:rsidR="00383BA1" w:rsidRPr="00221202">
        <w:t xml:space="preserve"> n’a cessé de croître. De nos jours, le </w:t>
      </w:r>
      <w:proofErr w:type="spellStart"/>
      <w:r w:rsidR="00383BA1" w:rsidRPr="00221202">
        <w:rPr>
          <w:i/>
        </w:rPr>
        <w:t>tatau</w:t>
      </w:r>
      <w:proofErr w:type="spellEnd"/>
      <w:r w:rsidR="00383BA1" w:rsidRPr="00221202">
        <w:t xml:space="preserve"> incarne davantage l’identité et le patrimoine samoans qu’un rite de passage à l’</w:t>
      </w:r>
      <w:r w:rsidR="00E60BB2" w:rsidRPr="00221202">
        <w:t>âge adulte</w:t>
      </w:r>
      <w:r w:rsidR="00153A50" w:rsidRPr="00221202">
        <w:t>, en particulier parmi les communautés de la diaspora samoane,</w:t>
      </w:r>
      <w:r w:rsidR="00E60BB2" w:rsidRPr="00221202">
        <w:t xml:space="preserve"> et </w:t>
      </w:r>
      <w:r w:rsidR="00A75E48" w:rsidRPr="00221202">
        <w:t>il n’</w:t>
      </w:r>
      <w:r w:rsidR="00E60BB2" w:rsidRPr="00221202">
        <w:t xml:space="preserve">est pas rare qu’il </w:t>
      </w:r>
      <w:r w:rsidR="00A75E48" w:rsidRPr="00221202">
        <w:t>soit réalisé sur des personnes n’appartenant pas aux communautés samoanes.</w:t>
      </w:r>
      <w:r w:rsidR="00074932" w:rsidRPr="00221202">
        <w:t xml:space="preserve"> </w:t>
      </w:r>
      <w:r w:rsidR="00E9229B">
        <w:t>Aujourd’hui, d</w:t>
      </w:r>
      <w:r w:rsidR="00074932" w:rsidRPr="00221202">
        <w:t xml:space="preserve">ans certains cas, le </w:t>
      </w:r>
      <w:proofErr w:type="spellStart"/>
      <w:r w:rsidR="00074932" w:rsidRPr="00221202">
        <w:rPr>
          <w:i/>
        </w:rPr>
        <w:t>tatau</w:t>
      </w:r>
      <w:proofErr w:type="spellEnd"/>
      <w:r w:rsidR="00074932" w:rsidRPr="00221202">
        <w:t xml:space="preserve"> est</w:t>
      </w:r>
      <w:r w:rsidR="00E9229B">
        <w:t xml:space="preserve"> </w:t>
      </w:r>
      <w:r w:rsidR="00074932" w:rsidRPr="00221202">
        <w:t>effectué à l’aide d’aiguilles et d’</w:t>
      </w:r>
      <w:r w:rsidR="00E60BB2" w:rsidRPr="00221202">
        <w:t>encre modernes</w:t>
      </w:r>
      <w:r w:rsidR="00E9229B">
        <w:t>.</w:t>
      </w:r>
      <w:r w:rsidR="00E60BB2" w:rsidRPr="00221202">
        <w:t xml:space="preserve"> </w:t>
      </w:r>
      <w:r w:rsidR="00E9229B">
        <w:t>L</w:t>
      </w:r>
      <w:r w:rsidR="00E60BB2" w:rsidRPr="00221202">
        <w:t>es dessins traditionnellement réservés aux hommes sont à présent</w:t>
      </w:r>
      <w:r w:rsidR="00E6144C">
        <w:t xml:space="preserve"> également réalisés</w:t>
      </w:r>
      <w:r w:rsidR="00E60BB2" w:rsidRPr="00221202">
        <w:t xml:space="preserve"> sur </w:t>
      </w:r>
      <w:r w:rsidR="00F73523">
        <w:t>d</w:t>
      </w:r>
      <w:r w:rsidR="00E60BB2" w:rsidRPr="00221202">
        <w:t>es femmes.</w:t>
      </w:r>
      <w:r w:rsidR="009B4E18" w:rsidRPr="00221202">
        <w:t xml:space="preserve"> De même, </w:t>
      </w:r>
      <w:r w:rsidR="00887105">
        <w:t xml:space="preserve">des </w:t>
      </w:r>
      <w:r w:rsidR="0070458F" w:rsidRPr="00221202">
        <w:t xml:space="preserve">motifs </w:t>
      </w:r>
      <w:r w:rsidR="00887105">
        <w:t xml:space="preserve">occidentaux et </w:t>
      </w:r>
      <w:r w:rsidR="00887105" w:rsidRPr="00221202">
        <w:t xml:space="preserve">d’autres </w:t>
      </w:r>
      <w:r w:rsidR="00887105">
        <w:t xml:space="preserve">motifs </w:t>
      </w:r>
      <w:r w:rsidR="0070458F" w:rsidRPr="00221202">
        <w:t>polynésiens</w:t>
      </w:r>
      <w:r w:rsidR="00E9229B">
        <w:t xml:space="preserve"> (</w:t>
      </w:r>
      <w:r w:rsidR="0070458F" w:rsidRPr="00221202">
        <w:t>comme ceux des Maori</w:t>
      </w:r>
      <w:r w:rsidR="00E9229B">
        <w:t>)</w:t>
      </w:r>
      <w:r w:rsidR="0070458F" w:rsidRPr="00221202">
        <w:t xml:space="preserve"> sont </w:t>
      </w:r>
      <w:r w:rsidR="00967FF9" w:rsidRPr="00221202">
        <w:t>peu à peu</w:t>
      </w:r>
      <w:r w:rsidR="0070458F" w:rsidRPr="00221202">
        <w:t xml:space="preserve"> intégrés au </w:t>
      </w:r>
      <w:proofErr w:type="spellStart"/>
      <w:r w:rsidR="0070458F" w:rsidRPr="00221202">
        <w:rPr>
          <w:i/>
        </w:rPr>
        <w:t>tatau</w:t>
      </w:r>
      <w:proofErr w:type="spellEnd"/>
      <w:r w:rsidR="008C4746" w:rsidRPr="00221202">
        <w:t xml:space="preserve">, même si </w:t>
      </w:r>
      <w:r w:rsidR="00E60BB2" w:rsidRPr="00221202">
        <w:t xml:space="preserve">ce mélange semble exister </w:t>
      </w:r>
      <w:r w:rsidR="00E9229B">
        <w:t>depuis au moins</w:t>
      </w:r>
      <w:r w:rsidR="00E9229B" w:rsidRPr="00221202">
        <w:t xml:space="preserve"> </w:t>
      </w:r>
      <w:r w:rsidR="00E60BB2" w:rsidRPr="00221202">
        <w:t>les années 1930.</w:t>
      </w:r>
      <w:r w:rsidR="00DE344D" w:rsidRPr="00221202">
        <w:t xml:space="preserve"> </w:t>
      </w:r>
      <w:r w:rsidR="00887105">
        <w:t xml:space="preserve">Enfin, </w:t>
      </w:r>
      <w:r w:rsidR="00E75673" w:rsidRPr="003606D4">
        <w:t>l’argent est de plus</w:t>
      </w:r>
      <w:r w:rsidR="000B575F">
        <w:t xml:space="preserve"> en plus</w:t>
      </w:r>
      <w:r w:rsidR="00887105">
        <w:t xml:space="preserve"> utilisé pour payer le </w:t>
      </w:r>
      <w:proofErr w:type="spellStart"/>
      <w:r w:rsidR="00887105">
        <w:t>tatau</w:t>
      </w:r>
      <w:proofErr w:type="spellEnd"/>
      <w:r w:rsidR="00817667">
        <w:t xml:space="preserve"> soit </w:t>
      </w:r>
      <w:r w:rsidR="002D77DB">
        <w:t>comme unique</w:t>
      </w:r>
      <w:r w:rsidR="00817667">
        <w:t xml:space="preserve"> moyen de paiement</w:t>
      </w:r>
      <w:r w:rsidR="000B575F">
        <w:t xml:space="preserve">, </w:t>
      </w:r>
      <w:r w:rsidR="00817667">
        <w:t>soit en échange</w:t>
      </w:r>
      <w:r w:rsidR="00887105">
        <w:t xml:space="preserve"> </w:t>
      </w:r>
      <w:r w:rsidR="00817667">
        <w:t>d’</w:t>
      </w:r>
      <w:r w:rsidR="00887105">
        <w:t>objets de valeur traditionnel</w:t>
      </w:r>
      <w:r w:rsidR="002D77DB">
        <w:t>s et d’une partie en argent</w:t>
      </w:r>
      <w:r w:rsidR="006B23AA">
        <w:t xml:space="preserve"> liquide</w:t>
      </w:r>
      <w:r w:rsidR="000B575F">
        <w:t>.</w:t>
      </w:r>
    </w:p>
    <w:p w:rsidR="007E2165" w:rsidRPr="007E2165" w:rsidRDefault="007E2165" w:rsidP="00693943">
      <w:pPr>
        <w:pStyle w:val="Heading4"/>
      </w:pPr>
      <w:r w:rsidRPr="007E2165">
        <w:t>Plusieurs parties prenantes</w:t>
      </w:r>
      <w:r>
        <w:t xml:space="preserve"> réclamen</w:t>
      </w:r>
      <w:r w:rsidR="003117FC">
        <w:t>t la gestion du</w:t>
      </w:r>
      <w:r w:rsidRPr="007E2165">
        <w:t xml:space="preserve"> </w:t>
      </w:r>
      <w:r w:rsidRPr="007E2165">
        <w:rPr>
          <w:i/>
        </w:rPr>
        <w:t>tatau</w:t>
      </w:r>
    </w:p>
    <w:p w:rsidR="00B343C6" w:rsidRPr="003606D4" w:rsidRDefault="00E6144C" w:rsidP="002C4E8F">
      <w:pPr>
        <w:pStyle w:val="Texte1"/>
      </w:pPr>
      <w:r>
        <w:t xml:space="preserve">D’importants </w:t>
      </w:r>
      <w:r w:rsidR="00887105">
        <w:t>désaccords</w:t>
      </w:r>
      <w:r>
        <w:t xml:space="preserve"> existent</w:t>
      </w:r>
      <w:r w:rsidR="00994F5D">
        <w:t xml:space="preserve"> à la fois </w:t>
      </w:r>
      <w:r w:rsidR="00887105">
        <w:t>entre l</w:t>
      </w:r>
      <w:r w:rsidR="000D310A" w:rsidRPr="00221202">
        <w:t xml:space="preserve">es Samoans, la diaspora samoane et les familles de </w:t>
      </w:r>
      <w:proofErr w:type="spellStart"/>
      <w:r w:rsidR="000D310A" w:rsidRPr="00221202">
        <w:rPr>
          <w:i/>
        </w:rPr>
        <w:t>tufuga</w:t>
      </w:r>
      <w:proofErr w:type="spellEnd"/>
      <w:r>
        <w:t xml:space="preserve">, </w:t>
      </w:r>
      <w:r w:rsidR="00887105">
        <w:t>et</w:t>
      </w:r>
      <w:r>
        <w:t xml:space="preserve"> sont présents</w:t>
      </w:r>
      <w:r w:rsidR="00887105">
        <w:t xml:space="preserve"> </w:t>
      </w:r>
      <w:r w:rsidR="00994F5D">
        <w:t>au</w:t>
      </w:r>
      <w:r w:rsidR="00887105">
        <w:t xml:space="preserve"> sein</w:t>
      </w:r>
      <w:r w:rsidR="00994F5D">
        <w:t>-même de ces familles</w:t>
      </w:r>
      <w:r>
        <w:t>,</w:t>
      </w:r>
      <w:r w:rsidR="00887105">
        <w:t xml:space="preserve"> </w:t>
      </w:r>
      <w:r>
        <w:t xml:space="preserve">pour savoir si </w:t>
      </w:r>
      <w:r w:rsidR="000D310A" w:rsidRPr="00221202">
        <w:t xml:space="preserve">les changements apportés aux traditions du </w:t>
      </w:r>
      <w:proofErr w:type="spellStart"/>
      <w:r w:rsidR="000D310A" w:rsidRPr="00221202">
        <w:rPr>
          <w:i/>
        </w:rPr>
        <w:t>tatau</w:t>
      </w:r>
      <w:proofErr w:type="spellEnd"/>
      <w:r w:rsidR="00887105">
        <w:rPr>
          <w:i/>
        </w:rPr>
        <w:t xml:space="preserve"> </w:t>
      </w:r>
      <w:r w:rsidR="00887105">
        <w:t xml:space="preserve">constituent ou non </w:t>
      </w:r>
      <w:r w:rsidR="00887105" w:rsidRPr="00A42BDE">
        <w:t>des développements positifs</w:t>
      </w:r>
      <w:r w:rsidR="00887105">
        <w:rPr>
          <w:i/>
        </w:rPr>
        <w:t xml:space="preserve"> </w:t>
      </w:r>
      <w:r w:rsidR="00887105">
        <w:t xml:space="preserve">et </w:t>
      </w:r>
      <w:r w:rsidR="00AF542B" w:rsidRPr="00221202">
        <w:t xml:space="preserve">à qui revient </w:t>
      </w:r>
      <w:r w:rsidR="00B343C6" w:rsidRPr="00221202">
        <w:t xml:space="preserve">le </w:t>
      </w:r>
      <w:r w:rsidR="0040294F" w:rsidRPr="00221202">
        <w:t>droit</w:t>
      </w:r>
      <w:r w:rsidR="00B343C6" w:rsidRPr="00221202">
        <w:t xml:space="preserve"> de décider de ces changements et de les contrôler.</w:t>
      </w:r>
      <w:r w:rsidR="0040294F" w:rsidRPr="00221202">
        <w:t xml:space="preserve"> </w:t>
      </w:r>
      <w:r w:rsidR="00887105">
        <w:t>Dans ce débat, t</w:t>
      </w:r>
      <w:r w:rsidR="0040294F" w:rsidRPr="003606D4">
        <w:t xml:space="preserve">rois différents </w:t>
      </w:r>
      <w:r w:rsidR="00DD688F" w:rsidRPr="003606D4">
        <w:t xml:space="preserve">groupes réclament </w:t>
      </w:r>
      <w:r w:rsidR="00A673CD" w:rsidRPr="003606D4">
        <w:t>l</w:t>
      </w:r>
      <w:r w:rsidR="00C30C5D">
        <w:t>a gestion</w:t>
      </w:r>
      <w:r w:rsidR="00A673CD" w:rsidRPr="003606D4">
        <w:t xml:space="preserve"> </w:t>
      </w:r>
      <w:r w:rsidR="00DD688F" w:rsidRPr="003606D4">
        <w:t xml:space="preserve">ou </w:t>
      </w:r>
      <w:r w:rsidR="0040294F" w:rsidRPr="003606D4">
        <w:t>la</w:t>
      </w:r>
      <w:r w:rsidR="00DD688F" w:rsidRPr="003606D4">
        <w:t xml:space="preserve"> propriété </w:t>
      </w:r>
      <w:r w:rsidR="00C30C5D">
        <w:t>du</w:t>
      </w:r>
      <w:r w:rsidR="00DD688F" w:rsidRPr="003606D4">
        <w:t xml:space="preserve"> </w:t>
      </w:r>
      <w:proofErr w:type="spellStart"/>
      <w:r w:rsidR="00DD688F" w:rsidRPr="003606D4">
        <w:rPr>
          <w:i/>
        </w:rPr>
        <w:t>tatau</w:t>
      </w:r>
      <w:proofErr w:type="spellEnd"/>
      <w:r w:rsidR="00DD688F" w:rsidRPr="003606D4">
        <w:t> : les</w:t>
      </w:r>
      <w:r w:rsidR="00C30C5D">
        <w:t xml:space="preserve"> praticiens</w:t>
      </w:r>
      <w:r w:rsidR="00DD688F" w:rsidRPr="003606D4">
        <w:t xml:space="preserve"> </w:t>
      </w:r>
      <w:proofErr w:type="spellStart"/>
      <w:r w:rsidR="00DD688F" w:rsidRPr="003606D4">
        <w:rPr>
          <w:i/>
        </w:rPr>
        <w:t>tufuga</w:t>
      </w:r>
      <w:proofErr w:type="spellEnd"/>
      <w:r w:rsidR="00DD688F" w:rsidRPr="003606D4">
        <w:t xml:space="preserve"> (en particulier </w:t>
      </w:r>
      <w:r w:rsidR="00547A2E" w:rsidRPr="003606D4">
        <w:t>les deux familles auxquel</w:t>
      </w:r>
      <w:r w:rsidR="0040294F" w:rsidRPr="003606D4">
        <w:t xml:space="preserve">les le rôle de praticien est </w:t>
      </w:r>
      <w:r w:rsidR="00547A2E" w:rsidRPr="003606D4">
        <w:t>attribué</w:t>
      </w:r>
      <w:r w:rsidR="00D576E3" w:rsidRPr="003606D4">
        <w:t xml:space="preserve"> historiquement</w:t>
      </w:r>
      <w:r w:rsidR="00547A2E" w:rsidRPr="003606D4">
        <w:t>)</w:t>
      </w:r>
      <w:r w:rsidR="003606D4" w:rsidRPr="003606D4">
        <w:t>, l’État et le grand public.</w:t>
      </w:r>
    </w:p>
    <w:p w:rsidR="00A83C14" w:rsidRPr="003606D4" w:rsidRDefault="00854043" w:rsidP="002C4E8F">
      <w:pPr>
        <w:pStyle w:val="Texte1"/>
      </w:pPr>
      <w:r w:rsidRPr="00221202">
        <w:t xml:space="preserve">La majorité des </w:t>
      </w:r>
      <w:proofErr w:type="spellStart"/>
      <w:r w:rsidRPr="00A42BDE">
        <w:rPr>
          <w:b/>
          <w:i/>
        </w:rPr>
        <w:t>tufuga</w:t>
      </w:r>
      <w:proofErr w:type="spellEnd"/>
      <w:r w:rsidRPr="00221202">
        <w:t xml:space="preserve"> considère</w:t>
      </w:r>
      <w:r w:rsidR="00C30C5D">
        <w:t>nt</w:t>
      </w:r>
      <w:r w:rsidRPr="00221202">
        <w:t xml:space="preserve"> qu’il faut évoluer avec son temps. Certains d’entre eux participent activement à la diffusion de </w:t>
      </w:r>
      <w:r w:rsidR="00043D80">
        <w:t>cette tradition</w:t>
      </w:r>
      <w:r w:rsidR="009244A0" w:rsidRPr="00221202">
        <w:t xml:space="preserve"> du </w:t>
      </w:r>
      <w:proofErr w:type="spellStart"/>
      <w:r w:rsidR="009244A0" w:rsidRPr="00221202">
        <w:rPr>
          <w:i/>
        </w:rPr>
        <w:t>tatau</w:t>
      </w:r>
      <w:proofErr w:type="spellEnd"/>
      <w:r w:rsidRPr="00221202">
        <w:t xml:space="preserve"> en organisant des festivals et en enseignant </w:t>
      </w:r>
      <w:r w:rsidR="00043D80">
        <w:t xml:space="preserve">la pratique de </w:t>
      </w:r>
      <w:r w:rsidR="009244A0" w:rsidRPr="00221202">
        <w:t>ce savoir-faire</w:t>
      </w:r>
      <w:r w:rsidR="0018654D" w:rsidRPr="00221202">
        <w:t>.</w:t>
      </w:r>
      <w:r w:rsidR="009244A0" w:rsidRPr="00221202">
        <w:t xml:space="preserve"> </w:t>
      </w:r>
      <w:r w:rsidR="00C30C5D">
        <w:t>D’autres</w:t>
      </w:r>
      <w:r w:rsidR="009244A0" w:rsidRPr="00221202">
        <w:t xml:space="preserve"> </w:t>
      </w:r>
      <w:r w:rsidR="00043D80">
        <w:t>souhaitent que les motifs ne soient pas modifiés</w:t>
      </w:r>
      <w:r w:rsidR="009244A0" w:rsidRPr="00221202">
        <w:t xml:space="preserve">. </w:t>
      </w:r>
      <w:r w:rsidR="00F34E55" w:rsidRPr="00221202">
        <w:t xml:space="preserve">Au sein de ce groupe, des membres des deux principales familles de </w:t>
      </w:r>
      <w:proofErr w:type="spellStart"/>
      <w:r w:rsidR="00F34E55" w:rsidRPr="00221202">
        <w:rPr>
          <w:i/>
        </w:rPr>
        <w:t>tufuga</w:t>
      </w:r>
      <w:proofErr w:type="spellEnd"/>
      <w:r w:rsidR="00F34E55" w:rsidRPr="00221202">
        <w:t xml:space="preserve"> </w:t>
      </w:r>
      <w:r w:rsidR="009244A0" w:rsidRPr="00221202">
        <w:t>revendiquent des droit</w:t>
      </w:r>
      <w:r w:rsidR="00F34E55" w:rsidRPr="00221202">
        <w:t xml:space="preserve">s spéciaux sur la pratique du </w:t>
      </w:r>
      <w:proofErr w:type="spellStart"/>
      <w:r w:rsidR="00F34E55" w:rsidRPr="00221202">
        <w:rPr>
          <w:i/>
        </w:rPr>
        <w:t>tatau</w:t>
      </w:r>
      <w:proofErr w:type="spellEnd"/>
      <w:r w:rsidR="00F34E55" w:rsidRPr="00221202">
        <w:t xml:space="preserve"> </w:t>
      </w:r>
      <w:r w:rsidR="00A673CD" w:rsidRPr="00221202">
        <w:t>en raison</w:t>
      </w:r>
      <w:r w:rsidR="00F34E55" w:rsidRPr="00221202">
        <w:t xml:space="preserve"> </w:t>
      </w:r>
      <w:r w:rsidR="009244A0" w:rsidRPr="00221202">
        <w:t>du lien historique qui les r</w:t>
      </w:r>
      <w:r w:rsidR="00AD300C">
        <w:t>elie</w:t>
      </w:r>
      <w:r w:rsidR="009244A0" w:rsidRPr="00221202">
        <w:t xml:space="preserve"> à ce savoir-faire</w:t>
      </w:r>
      <w:r w:rsidR="00F34E55" w:rsidRPr="00221202">
        <w:t xml:space="preserve">. </w:t>
      </w:r>
      <w:r w:rsidR="002D0531" w:rsidRPr="00221202">
        <w:t xml:space="preserve">Ils font remonter l’origine de leur « don » à un mythe </w:t>
      </w:r>
      <w:r w:rsidR="00887105">
        <w:t>selon</w:t>
      </w:r>
      <w:r w:rsidR="00887105" w:rsidRPr="00221202">
        <w:t xml:space="preserve"> </w:t>
      </w:r>
      <w:r w:rsidR="002D0531" w:rsidRPr="00221202">
        <w:t xml:space="preserve">lequel </w:t>
      </w:r>
      <w:r w:rsidR="00F34E55" w:rsidRPr="00221202">
        <w:t>deux déesses jumelles</w:t>
      </w:r>
      <w:r w:rsidR="002D0531" w:rsidRPr="00221202">
        <w:t xml:space="preserve"> arrivèrent au</w:t>
      </w:r>
      <w:r w:rsidR="001356A3">
        <w:t>x</w:t>
      </w:r>
      <w:r w:rsidR="002D0531" w:rsidRPr="00221202">
        <w:t xml:space="preserve"> Samoa et donnèrent </w:t>
      </w:r>
      <w:r w:rsidR="00131500" w:rsidRPr="00221202">
        <w:t xml:space="preserve">à leurs ancêtres </w:t>
      </w:r>
      <w:r w:rsidR="002D0531" w:rsidRPr="00221202">
        <w:t xml:space="preserve">un panier avec des peignes pour le </w:t>
      </w:r>
      <w:proofErr w:type="spellStart"/>
      <w:r w:rsidR="002D0531" w:rsidRPr="00221202">
        <w:rPr>
          <w:i/>
        </w:rPr>
        <w:t>tatau</w:t>
      </w:r>
      <w:proofErr w:type="spellEnd"/>
      <w:r w:rsidR="002D0531" w:rsidRPr="00221202">
        <w:t xml:space="preserve"> et des instructions sur la façon de les utiliser. </w:t>
      </w:r>
      <w:r w:rsidR="00D43AB2" w:rsidRPr="000B34E5">
        <w:t xml:space="preserve">Ces familles veulent protéger les dessins traditionnels par un </w:t>
      </w:r>
      <w:r w:rsidR="001E4504" w:rsidRPr="000B34E5">
        <w:t>droit d’auteur</w:t>
      </w:r>
      <w:r w:rsidR="00D43AB2" w:rsidRPr="000B34E5">
        <w:t xml:space="preserve"> et contrôler leur utilisation sur les billets de banque, les tissus et </w:t>
      </w:r>
      <w:r w:rsidR="000B34E5" w:rsidRPr="000B34E5">
        <w:t>d’</w:t>
      </w:r>
      <w:r w:rsidR="00D43AB2" w:rsidRPr="000B34E5">
        <w:t>autres objets.</w:t>
      </w:r>
      <w:r w:rsidR="00703434" w:rsidRPr="000B34E5">
        <w:t xml:space="preserve"> D’autres </w:t>
      </w:r>
      <w:proofErr w:type="spellStart"/>
      <w:r w:rsidR="00703434" w:rsidRPr="000B34E5">
        <w:rPr>
          <w:i/>
        </w:rPr>
        <w:t>tufuga</w:t>
      </w:r>
      <w:proofErr w:type="spellEnd"/>
      <w:r w:rsidR="00703434" w:rsidRPr="000B34E5">
        <w:t xml:space="preserve">, </w:t>
      </w:r>
      <w:r w:rsidR="001E4504" w:rsidRPr="000B34E5">
        <w:t>en particulier un</w:t>
      </w:r>
      <w:r w:rsidR="000B34E5" w:rsidRPr="000B34E5">
        <w:t>e</w:t>
      </w:r>
      <w:r w:rsidR="001E4504" w:rsidRPr="000B34E5">
        <w:t xml:space="preserve"> possible</w:t>
      </w:r>
      <w:r w:rsidR="00703434" w:rsidRPr="000B34E5">
        <w:t xml:space="preserve"> troisième « famille », conteste</w:t>
      </w:r>
      <w:r w:rsidR="001E4504" w:rsidRPr="000B34E5">
        <w:t>nt</w:t>
      </w:r>
      <w:r w:rsidR="00703434" w:rsidRPr="000B34E5">
        <w:t xml:space="preserve"> cette revendication.</w:t>
      </w:r>
      <w:r w:rsidR="004078F1" w:rsidRPr="000B34E5">
        <w:t xml:space="preserve"> </w:t>
      </w:r>
      <w:r w:rsidR="004078F1" w:rsidRPr="003606D4">
        <w:t xml:space="preserve">Ainsi, les </w:t>
      </w:r>
      <w:proofErr w:type="spellStart"/>
      <w:r w:rsidR="004078F1" w:rsidRPr="003606D4">
        <w:rPr>
          <w:i/>
        </w:rPr>
        <w:t>tufuga</w:t>
      </w:r>
      <w:proofErr w:type="spellEnd"/>
      <w:r w:rsidR="004078F1" w:rsidRPr="003606D4">
        <w:t xml:space="preserve"> veulent tous </w:t>
      </w:r>
      <w:r w:rsidR="00EE54FB" w:rsidRPr="003606D4">
        <w:t xml:space="preserve">détenir le droit de prendre les décisions concernant le </w:t>
      </w:r>
      <w:proofErr w:type="spellStart"/>
      <w:r w:rsidR="00EE54FB" w:rsidRPr="003606D4">
        <w:rPr>
          <w:i/>
        </w:rPr>
        <w:t>tatau</w:t>
      </w:r>
      <w:proofErr w:type="spellEnd"/>
      <w:r w:rsidR="00EE54FB" w:rsidRPr="003606D4">
        <w:t xml:space="preserve"> et de bénéficier fi</w:t>
      </w:r>
      <w:r w:rsidR="003606D4" w:rsidRPr="003606D4">
        <w:t>nancièrement de cette pratique.</w:t>
      </w:r>
    </w:p>
    <w:p w:rsidR="000D6FCE" w:rsidRPr="003606D4" w:rsidRDefault="00EE54FB" w:rsidP="002C4E8F">
      <w:pPr>
        <w:pStyle w:val="Texte1"/>
      </w:pPr>
      <w:r w:rsidRPr="00E24642">
        <w:t>L’</w:t>
      </w:r>
      <w:r w:rsidRPr="00E24642">
        <w:rPr>
          <w:b/>
        </w:rPr>
        <w:t>État</w:t>
      </w:r>
      <w:r w:rsidRPr="00E24642">
        <w:t xml:space="preserve"> </w:t>
      </w:r>
      <w:r w:rsidR="00887105">
        <w:t>revendique</w:t>
      </w:r>
      <w:r w:rsidRPr="00E24642">
        <w:t xml:space="preserve"> le </w:t>
      </w:r>
      <w:proofErr w:type="spellStart"/>
      <w:r w:rsidRPr="00E24642">
        <w:rPr>
          <w:i/>
        </w:rPr>
        <w:t>tatau</w:t>
      </w:r>
      <w:proofErr w:type="spellEnd"/>
      <w:r w:rsidRPr="00E24642">
        <w:t xml:space="preserve"> comme symbole national </w:t>
      </w:r>
      <w:r w:rsidR="00F10484" w:rsidRPr="00E24642">
        <w:t xml:space="preserve">et souhaiterait l’utiliser </w:t>
      </w:r>
      <w:r w:rsidR="00887105">
        <w:t xml:space="preserve">pour </w:t>
      </w:r>
      <w:r w:rsidR="00EE05F2">
        <w:t>faire</w:t>
      </w:r>
      <w:r w:rsidR="00F10484" w:rsidRPr="00E24642">
        <w:t xml:space="preserve"> </w:t>
      </w:r>
      <w:r w:rsidR="00EE05F2">
        <w:t>d</w:t>
      </w:r>
      <w:r w:rsidR="001356A3">
        <w:t xml:space="preserve">es </w:t>
      </w:r>
      <w:r w:rsidR="00F10484" w:rsidRPr="00E24642">
        <w:t xml:space="preserve">Samoa </w:t>
      </w:r>
      <w:r w:rsidR="00EE05F2">
        <w:t xml:space="preserve">une </w:t>
      </w:r>
      <w:r w:rsidR="00F10484" w:rsidRPr="00E24642">
        <w:t xml:space="preserve">destination touristique. </w:t>
      </w:r>
      <w:r w:rsidR="000D6FCE" w:rsidRPr="00221202">
        <w:t xml:space="preserve">Par conséquent, l’État </w:t>
      </w:r>
      <w:r w:rsidR="00887105">
        <w:t>promeut</w:t>
      </w:r>
      <w:r w:rsidR="00887105" w:rsidRPr="00221202">
        <w:t xml:space="preserve"> </w:t>
      </w:r>
      <w:r w:rsidR="000D6FCE" w:rsidRPr="00221202">
        <w:t xml:space="preserve">le </w:t>
      </w:r>
      <w:proofErr w:type="spellStart"/>
      <w:r w:rsidR="000D6FCE" w:rsidRPr="00221202">
        <w:rPr>
          <w:i/>
        </w:rPr>
        <w:t>tatau</w:t>
      </w:r>
      <w:proofErr w:type="spellEnd"/>
      <w:r w:rsidR="000D6FCE" w:rsidRPr="00221202">
        <w:t xml:space="preserve"> comme </w:t>
      </w:r>
      <w:r w:rsidR="006C0E85">
        <w:t>symbole</w:t>
      </w:r>
      <w:r w:rsidR="000D6FCE" w:rsidRPr="00221202">
        <w:t xml:space="preserve"> national de sa culture </w:t>
      </w:r>
      <w:r w:rsidR="0038378F" w:rsidRPr="00221202">
        <w:t xml:space="preserve">et de son patrimoine à travers son </w:t>
      </w:r>
      <w:r w:rsidR="00F8155C" w:rsidRPr="00221202">
        <w:t>office de tourisme ou encore</w:t>
      </w:r>
      <w:r w:rsidR="000D6FCE" w:rsidRPr="00221202">
        <w:t xml:space="preserve"> lors de forums ou d’événements sportifs internationaux.</w:t>
      </w:r>
      <w:r w:rsidR="0038378F" w:rsidRPr="00221202">
        <w:t xml:space="preserve"> Les motifs du </w:t>
      </w:r>
      <w:proofErr w:type="spellStart"/>
      <w:r w:rsidR="0038378F" w:rsidRPr="00221202">
        <w:rPr>
          <w:i/>
        </w:rPr>
        <w:t>tatau</w:t>
      </w:r>
      <w:proofErr w:type="spellEnd"/>
      <w:r w:rsidR="0038378F" w:rsidRPr="00221202">
        <w:t xml:space="preserve"> sont </w:t>
      </w:r>
      <w:r w:rsidR="00882AA5" w:rsidRPr="00221202">
        <w:t>également</w:t>
      </w:r>
      <w:r w:rsidR="0038378F" w:rsidRPr="00221202">
        <w:t xml:space="preserve"> imprimés sur les billets de banque</w:t>
      </w:r>
      <w:r w:rsidR="00887105">
        <w:t xml:space="preserve"> de Samoa</w:t>
      </w:r>
      <w:r w:rsidR="0038378F" w:rsidRPr="00221202">
        <w:t xml:space="preserve">. </w:t>
      </w:r>
      <w:r w:rsidR="00F8155C" w:rsidRPr="003606D4">
        <w:t xml:space="preserve">L’art du </w:t>
      </w:r>
      <w:proofErr w:type="spellStart"/>
      <w:r w:rsidR="00F8155C" w:rsidRPr="003606D4">
        <w:rPr>
          <w:i/>
        </w:rPr>
        <w:t>tatau</w:t>
      </w:r>
      <w:proofErr w:type="spellEnd"/>
      <w:r w:rsidR="00F8155C" w:rsidRPr="003606D4">
        <w:t xml:space="preserve"> est profondément admiré par l</w:t>
      </w:r>
      <w:r w:rsidR="0038378F" w:rsidRPr="003606D4">
        <w:t xml:space="preserve">es étrangers </w:t>
      </w:r>
      <w:r w:rsidR="00F8155C" w:rsidRPr="003606D4">
        <w:t xml:space="preserve">et </w:t>
      </w:r>
      <w:r w:rsidR="00EE1781">
        <w:t>est</w:t>
      </w:r>
      <w:r w:rsidR="00EE1781" w:rsidRPr="003606D4">
        <w:t xml:space="preserve"> </w:t>
      </w:r>
      <w:r w:rsidR="00EE1781">
        <w:t xml:space="preserve">associé </w:t>
      </w:r>
      <w:r w:rsidR="00887105">
        <w:t>sans ambiguïté</w:t>
      </w:r>
      <w:r w:rsidR="00EE1781" w:rsidRPr="003606D4">
        <w:t xml:space="preserve"> </w:t>
      </w:r>
      <w:r w:rsidR="003606D4" w:rsidRPr="003606D4">
        <w:t>à la région d</w:t>
      </w:r>
      <w:r w:rsidR="001356A3">
        <w:t>es</w:t>
      </w:r>
      <w:r w:rsidR="003606D4" w:rsidRPr="003606D4">
        <w:t xml:space="preserve"> Samoa.</w:t>
      </w:r>
    </w:p>
    <w:p w:rsidR="00B54C9C" w:rsidRPr="00221202" w:rsidRDefault="00564382" w:rsidP="002C4E8F">
      <w:pPr>
        <w:pStyle w:val="Texte1"/>
      </w:pPr>
      <w:r w:rsidRPr="00E24642">
        <w:t xml:space="preserve">Le </w:t>
      </w:r>
      <w:r w:rsidRPr="00E24642">
        <w:rPr>
          <w:b/>
        </w:rPr>
        <w:t>grand public</w:t>
      </w:r>
      <w:r w:rsidRPr="00E24642">
        <w:t>, aussi bien au</w:t>
      </w:r>
      <w:r w:rsidR="001356A3">
        <w:t>x</w:t>
      </w:r>
      <w:r w:rsidRPr="00E24642">
        <w:t xml:space="preserve"> Samoa qu</w:t>
      </w:r>
      <w:r w:rsidR="001F15B9">
        <w:t>e les membres</w:t>
      </w:r>
      <w:r w:rsidRPr="00E24642">
        <w:t xml:space="preserve"> de</w:t>
      </w:r>
      <w:r w:rsidR="001F15B9">
        <w:t xml:space="preserve"> la</w:t>
      </w:r>
      <w:r w:rsidRPr="00E24642">
        <w:t xml:space="preserve"> communauté </w:t>
      </w:r>
      <w:r w:rsidR="00EE1781">
        <w:t>vivant à l'étranger</w:t>
      </w:r>
      <w:r w:rsidRPr="00E24642">
        <w:t xml:space="preserve">, revendique le </w:t>
      </w:r>
      <w:proofErr w:type="spellStart"/>
      <w:r w:rsidRPr="00E24642">
        <w:rPr>
          <w:i/>
        </w:rPr>
        <w:t>tatau</w:t>
      </w:r>
      <w:proofErr w:type="spellEnd"/>
      <w:r w:rsidRPr="00E24642">
        <w:t xml:space="preserve"> comme faisant partie de leur identité culturelle. De fait, </w:t>
      </w:r>
      <w:r w:rsidR="001F15B9">
        <w:t xml:space="preserve">de plus en plus </w:t>
      </w:r>
      <w:r w:rsidRPr="00E24642">
        <w:t>de Sam</w:t>
      </w:r>
      <w:r w:rsidR="003E775F" w:rsidRPr="00E24642">
        <w:t>oans se font tatou</w:t>
      </w:r>
      <w:r w:rsidR="001F15B9">
        <w:t>er</w:t>
      </w:r>
      <w:r w:rsidR="003E775F" w:rsidRPr="00E24642">
        <w:t xml:space="preserve"> au</w:t>
      </w:r>
      <w:r w:rsidR="001356A3">
        <w:t>x</w:t>
      </w:r>
      <w:r w:rsidR="003E775F" w:rsidRPr="00E24642">
        <w:t xml:space="preserve"> Samoa </w:t>
      </w:r>
      <w:r w:rsidR="00882AA5" w:rsidRPr="00E24642">
        <w:t>et</w:t>
      </w:r>
      <w:r w:rsidRPr="00E24642">
        <w:t xml:space="preserve"> dans les régions où </w:t>
      </w:r>
      <w:r w:rsidR="001F15B9">
        <w:t>se sont</w:t>
      </w:r>
      <w:r w:rsidR="00887105">
        <w:t xml:space="preserve"> </w:t>
      </w:r>
      <w:r w:rsidRPr="00E24642">
        <w:t>installé</w:t>
      </w:r>
      <w:r w:rsidR="001F15B9">
        <w:t>s les membres de</w:t>
      </w:r>
      <w:r w:rsidRPr="00E24642">
        <w:t xml:space="preserve"> </w:t>
      </w:r>
      <w:r w:rsidR="00887105">
        <w:t xml:space="preserve">la diaspora </w:t>
      </w:r>
      <w:r w:rsidRPr="00E24642">
        <w:t>samoan</w:t>
      </w:r>
      <w:r w:rsidR="00887105">
        <w:t>e</w:t>
      </w:r>
      <w:r w:rsidRPr="00E24642">
        <w:t xml:space="preserve">. </w:t>
      </w:r>
      <w:r w:rsidR="00995DEC" w:rsidRPr="00E24642">
        <w:t xml:space="preserve">De nombreux membres de la communauté </w:t>
      </w:r>
      <w:r w:rsidR="00300B82" w:rsidRPr="00E24642">
        <w:t xml:space="preserve">s’inquiètent de l’avenir que les </w:t>
      </w:r>
      <w:proofErr w:type="spellStart"/>
      <w:r w:rsidR="00300B82" w:rsidRPr="00E24642">
        <w:rPr>
          <w:i/>
        </w:rPr>
        <w:t>tufuga</w:t>
      </w:r>
      <w:proofErr w:type="spellEnd"/>
      <w:r w:rsidR="00300B82" w:rsidRPr="00E24642">
        <w:t xml:space="preserve"> réserve</w:t>
      </w:r>
      <w:r w:rsidR="00557F20" w:rsidRPr="00E24642">
        <w:t>nt</w:t>
      </w:r>
      <w:r w:rsidR="00300B82" w:rsidRPr="00E24642">
        <w:t xml:space="preserve"> au </w:t>
      </w:r>
      <w:proofErr w:type="spellStart"/>
      <w:r w:rsidR="00300B82" w:rsidRPr="00E24642">
        <w:rPr>
          <w:i/>
        </w:rPr>
        <w:t>tatau</w:t>
      </w:r>
      <w:proofErr w:type="spellEnd"/>
      <w:r w:rsidR="00300B82" w:rsidRPr="00E24642">
        <w:t xml:space="preserve"> </w:t>
      </w:r>
      <w:r w:rsidR="004C1625" w:rsidRPr="00E24642">
        <w:t xml:space="preserve">et </w:t>
      </w:r>
      <w:r w:rsidR="00300B82" w:rsidRPr="00E24642">
        <w:t>accusent ces derniers</w:t>
      </w:r>
      <w:r w:rsidR="004C1625" w:rsidRPr="00E24642">
        <w:t xml:space="preserve"> </w:t>
      </w:r>
      <w:r w:rsidR="00300B82" w:rsidRPr="00E24642">
        <w:t>de vouloir s</w:t>
      </w:r>
      <w:r w:rsidR="00557F20" w:rsidRPr="00E24642">
        <w:t>e</w:t>
      </w:r>
      <w:r w:rsidR="00300B82" w:rsidRPr="00E24642">
        <w:t xml:space="preserve"> servir</w:t>
      </w:r>
      <w:r w:rsidR="00557F20" w:rsidRPr="00E24642">
        <w:t xml:space="preserve"> de cet art</w:t>
      </w:r>
      <w:r w:rsidR="00300B82" w:rsidRPr="00E24642">
        <w:t xml:space="preserve"> à des fins commerciales</w:t>
      </w:r>
      <w:r w:rsidR="004C1625" w:rsidRPr="00E24642">
        <w:t xml:space="preserve">. </w:t>
      </w:r>
      <w:r w:rsidR="004C1625" w:rsidRPr="00221202">
        <w:t>Certains Sa</w:t>
      </w:r>
      <w:r w:rsidR="003E775F" w:rsidRPr="00221202">
        <w:t>moans ont même créé</w:t>
      </w:r>
      <w:r w:rsidR="004C1625" w:rsidRPr="00221202">
        <w:t xml:space="preserve"> une page Facebook</w:t>
      </w:r>
      <w:r w:rsidR="00E6144C">
        <w:t>. Cette initiative a été mise sur pied afin d’</w:t>
      </w:r>
      <w:r w:rsidR="004C1625" w:rsidRPr="00221202">
        <w:t> :</w:t>
      </w:r>
    </w:p>
    <w:p w:rsidR="00564382" w:rsidRPr="00221202" w:rsidRDefault="004C1625" w:rsidP="002C4E8F">
      <w:pPr>
        <w:pStyle w:val="citation"/>
      </w:pPr>
      <w:r w:rsidRPr="00221202">
        <w:t>« </w:t>
      </w:r>
      <w:r w:rsidR="00071FDB" w:rsidRPr="00221202">
        <w:t xml:space="preserve">[…] </w:t>
      </w:r>
      <w:r w:rsidRPr="00221202">
        <w:t xml:space="preserve">empêcher </w:t>
      </w:r>
      <w:r w:rsidR="00165A20" w:rsidRPr="00221202">
        <w:t>ceux qui n’ont aucune connaissance</w:t>
      </w:r>
      <w:r w:rsidR="000D5DE1">
        <w:t>/étiquette</w:t>
      </w:r>
      <w:r w:rsidR="00165A20" w:rsidRPr="00221202">
        <w:t xml:space="preserve"> de la culture et de la signification sacrée du </w:t>
      </w:r>
      <w:proofErr w:type="spellStart"/>
      <w:r w:rsidR="00165A20" w:rsidRPr="00221202">
        <w:rPr>
          <w:i/>
        </w:rPr>
        <w:t>Tatau</w:t>
      </w:r>
      <w:proofErr w:type="spellEnd"/>
      <w:r w:rsidR="00165A20" w:rsidRPr="00221202">
        <w:t xml:space="preserve"> et du </w:t>
      </w:r>
      <w:proofErr w:type="spellStart"/>
      <w:r w:rsidR="00165A20" w:rsidRPr="00221202">
        <w:rPr>
          <w:i/>
        </w:rPr>
        <w:t>Malu</w:t>
      </w:r>
      <w:proofErr w:type="spellEnd"/>
      <w:r w:rsidR="00165A20" w:rsidRPr="00221202">
        <w:t xml:space="preserve"> d’acquérir ces tatouages traditionnels. </w:t>
      </w:r>
      <w:r w:rsidR="00071FDB" w:rsidRPr="00221202">
        <w:t>[…]</w:t>
      </w:r>
      <w:r w:rsidR="00165A20" w:rsidRPr="00221202">
        <w:t xml:space="preserve"> </w:t>
      </w:r>
      <w:r w:rsidR="00DC7A08" w:rsidRPr="00221202">
        <w:t xml:space="preserve">En tant que Samoans, nous sommes tous </w:t>
      </w:r>
      <w:r w:rsidR="00882AA5" w:rsidRPr="00221202">
        <w:t>codétenteurs</w:t>
      </w:r>
      <w:r w:rsidR="00DC7A08" w:rsidRPr="00221202">
        <w:t xml:space="preserve"> de cette </w:t>
      </w:r>
      <w:r w:rsidR="00165A20" w:rsidRPr="00221202">
        <w:t xml:space="preserve">propriété intellectuelle et </w:t>
      </w:r>
      <w:r w:rsidR="00165A20" w:rsidRPr="00221202">
        <w:lastRenderedPageBreak/>
        <w:t>culturelle</w:t>
      </w:r>
      <w:r w:rsidR="00DC7A08" w:rsidRPr="00221202">
        <w:t xml:space="preserve">, et nous ne permettrons pas que ce joyau de notre trésor soit </w:t>
      </w:r>
      <w:r w:rsidR="006C53DC" w:rsidRPr="00221202">
        <w:t>à</w:t>
      </w:r>
      <w:r w:rsidR="00DC7A08" w:rsidRPr="00221202">
        <w:t xml:space="preserve"> nouveau traîné dans la boue »</w:t>
      </w:r>
      <w:r w:rsidR="001356A3">
        <w:t>.</w:t>
      </w:r>
    </w:p>
    <w:p w:rsidR="00DC7A08" w:rsidRPr="00E24642" w:rsidRDefault="00DC7A08" w:rsidP="002C4E8F">
      <w:pPr>
        <w:pStyle w:val="Texte1"/>
      </w:pPr>
      <w:r w:rsidRPr="00E24642">
        <w:t xml:space="preserve">Cette attitude reflète un désir de préserver et de limiter la pratique du </w:t>
      </w:r>
      <w:proofErr w:type="spellStart"/>
      <w:r w:rsidRPr="00E24642">
        <w:rPr>
          <w:i/>
        </w:rPr>
        <w:t>tatau</w:t>
      </w:r>
      <w:proofErr w:type="spellEnd"/>
      <w:r w:rsidRPr="00E24642">
        <w:t xml:space="preserve"> </w:t>
      </w:r>
      <w:r w:rsidR="00887105">
        <w:t>à</w:t>
      </w:r>
      <w:r w:rsidR="00887105" w:rsidRPr="00E24642">
        <w:t xml:space="preserve"> </w:t>
      </w:r>
      <w:r w:rsidRPr="00E24642">
        <w:t xml:space="preserve">sa forme traditionnelle afin de renforcer </w:t>
      </w:r>
      <w:r w:rsidR="00887105">
        <w:t>un</w:t>
      </w:r>
      <w:r w:rsidR="00887105" w:rsidRPr="00E24642">
        <w:t xml:space="preserve"> </w:t>
      </w:r>
      <w:r w:rsidRPr="00E24642">
        <w:t xml:space="preserve">sentiment d’identité et </w:t>
      </w:r>
      <w:r w:rsidR="00887105">
        <w:t>de</w:t>
      </w:r>
      <w:r w:rsidR="00887105" w:rsidRPr="00E24642">
        <w:t xml:space="preserve"> </w:t>
      </w:r>
      <w:r w:rsidRPr="00E24642">
        <w:t>fierté culturelle des Samoans.</w:t>
      </w:r>
    </w:p>
    <w:p w:rsidR="00DC7A08" w:rsidRPr="000B7FEB" w:rsidRDefault="007E3422" w:rsidP="007A04F1">
      <w:pPr>
        <w:pStyle w:val="Heading4"/>
      </w:pPr>
      <w:r>
        <w:t>Quels EFFETS LES DIFF</w:t>
      </w:r>
      <w:r w:rsidR="00E86505">
        <w:t>É</w:t>
      </w:r>
      <w:r>
        <w:t>RENTES</w:t>
      </w:r>
      <w:r w:rsidR="00497D34">
        <w:t xml:space="preserve"> politiques </w:t>
      </w:r>
      <w:r>
        <w:t>ONT</w:t>
      </w:r>
      <w:r w:rsidR="00497D34">
        <w:t>-elle</w:t>
      </w:r>
      <w:r>
        <w:t>S</w:t>
      </w:r>
      <w:r w:rsidR="00497D34">
        <w:t xml:space="preserve"> </w:t>
      </w:r>
      <w:r>
        <w:t xml:space="preserve">SUR </w:t>
      </w:r>
      <w:r w:rsidR="00DC7A08" w:rsidRPr="000B7FEB">
        <w:t xml:space="preserve">la sauvegarde du </w:t>
      </w:r>
      <w:r w:rsidR="005C57E8">
        <w:rPr>
          <w:i/>
        </w:rPr>
        <w:t>t</w:t>
      </w:r>
      <w:r w:rsidR="00DC7A08" w:rsidRPr="000B7FEB">
        <w:rPr>
          <w:i/>
        </w:rPr>
        <w:t>atau</w:t>
      </w:r>
      <w:r w:rsidR="00497D34">
        <w:rPr>
          <w:i/>
        </w:rPr>
        <w:t> </w:t>
      </w:r>
      <w:r w:rsidR="00941706">
        <w:t>?</w:t>
      </w:r>
    </w:p>
    <w:p w:rsidR="00DC7A08" w:rsidRPr="002C4E8F" w:rsidRDefault="000B7FEB" w:rsidP="002C4E8F">
      <w:pPr>
        <w:spacing w:before="200" w:after="60" w:line="240" w:lineRule="auto"/>
        <w:jc w:val="both"/>
        <w:rPr>
          <w:rFonts w:ascii="Arial" w:hAnsi="Arial" w:cs="Arial"/>
          <w:b/>
          <w:i/>
          <w:iCs/>
          <w:sz w:val="20"/>
          <w:szCs w:val="20"/>
        </w:rPr>
      </w:pPr>
      <w:r w:rsidRPr="002C4E8F">
        <w:rPr>
          <w:rFonts w:ascii="Arial" w:hAnsi="Arial" w:cs="Arial"/>
          <w:b/>
          <w:i/>
          <w:iCs/>
          <w:sz w:val="20"/>
          <w:szCs w:val="20"/>
        </w:rPr>
        <w:t>Protection des droits de propriété intellectuelle via un régime sui generis</w:t>
      </w:r>
    </w:p>
    <w:p w:rsidR="00DC7A08" w:rsidRPr="003606D4" w:rsidRDefault="004036EF" w:rsidP="002C4E8F">
      <w:pPr>
        <w:pStyle w:val="Texte1"/>
        <w:rPr>
          <w:bCs/>
        </w:rPr>
      </w:pPr>
      <w:r w:rsidRPr="00E24642">
        <w:t xml:space="preserve">Les politiques et dispositions législatives nationales concernant les </w:t>
      </w:r>
      <w:r w:rsidR="00384D8A">
        <w:t>s</w:t>
      </w:r>
      <w:r w:rsidRPr="00E24642">
        <w:t>avoirs traditionnels au</w:t>
      </w:r>
      <w:r w:rsidR="001356A3">
        <w:t>x</w:t>
      </w:r>
      <w:r w:rsidRPr="00E24642">
        <w:t xml:space="preserve"> Samoa, actuellement en cours d</w:t>
      </w:r>
      <w:r w:rsidR="00384D8A">
        <w:t>e discussion</w:t>
      </w:r>
      <w:r w:rsidRPr="00E24642">
        <w:t xml:space="preserve">, </w:t>
      </w:r>
      <w:r w:rsidR="008F5A9F" w:rsidRPr="00E24642">
        <w:t>s’inspirent</w:t>
      </w:r>
      <w:r w:rsidRPr="00E24642">
        <w:t xml:space="preserve"> du </w:t>
      </w:r>
      <w:r w:rsidRPr="00E24642">
        <w:rPr>
          <w:bCs/>
        </w:rPr>
        <w:t xml:space="preserve">Cadre régional pour la protection des expressions de la culture et des savoirs traditionnels (2002) </w:t>
      </w:r>
      <w:r w:rsidR="00DA4F07" w:rsidRPr="00E24642">
        <w:rPr>
          <w:bCs/>
        </w:rPr>
        <w:t>ainsi que</w:t>
      </w:r>
      <w:r w:rsidRPr="00E24642">
        <w:rPr>
          <w:bCs/>
        </w:rPr>
        <w:t xml:space="preserve"> d’autres instruments régionaux.</w:t>
      </w:r>
      <w:r w:rsidR="00497D34" w:rsidRPr="00E24642">
        <w:rPr>
          <w:bCs/>
        </w:rPr>
        <w:t xml:space="preserve"> Ces derniers </w:t>
      </w:r>
      <w:r w:rsidR="008F5A9F" w:rsidRPr="00E24642">
        <w:rPr>
          <w:bCs/>
        </w:rPr>
        <w:t>ont</w:t>
      </w:r>
      <w:r w:rsidR="007635D0" w:rsidRPr="00E24642">
        <w:rPr>
          <w:bCs/>
        </w:rPr>
        <w:t xml:space="preserve"> en grande partie </w:t>
      </w:r>
      <w:r w:rsidR="008F5A9F" w:rsidRPr="00E24642">
        <w:rPr>
          <w:bCs/>
        </w:rPr>
        <w:t>été influencés par les</w:t>
      </w:r>
      <w:r w:rsidR="00497D34" w:rsidRPr="00E24642">
        <w:rPr>
          <w:bCs/>
        </w:rPr>
        <w:t xml:space="preserve"> Dispositions</w:t>
      </w:r>
      <w:r w:rsidR="00F71A39">
        <w:rPr>
          <w:bCs/>
        </w:rPr>
        <w:t>-</w:t>
      </w:r>
      <w:r w:rsidR="00497D34" w:rsidRPr="00E24642">
        <w:rPr>
          <w:bCs/>
        </w:rPr>
        <w:t xml:space="preserve">types </w:t>
      </w:r>
      <w:r w:rsidR="00400C65" w:rsidRPr="00E24642">
        <w:rPr>
          <w:bCs/>
        </w:rPr>
        <w:t>adoptées par</w:t>
      </w:r>
      <w:r w:rsidR="00497D34" w:rsidRPr="00E24642">
        <w:rPr>
          <w:bCs/>
        </w:rPr>
        <w:t xml:space="preserve"> l’UNESCO et l’OMPI </w:t>
      </w:r>
      <w:r w:rsidR="00400C65" w:rsidRPr="00E24642">
        <w:rPr>
          <w:bCs/>
        </w:rPr>
        <w:t>en</w:t>
      </w:r>
      <w:r w:rsidR="007635D0" w:rsidRPr="00E24642">
        <w:rPr>
          <w:bCs/>
        </w:rPr>
        <w:t xml:space="preserve"> </w:t>
      </w:r>
      <w:r w:rsidR="00497D34" w:rsidRPr="00E24642">
        <w:rPr>
          <w:bCs/>
        </w:rPr>
        <w:t>1985.</w:t>
      </w:r>
      <w:r w:rsidR="00497D34" w:rsidRPr="003606D4">
        <w:rPr>
          <w:rStyle w:val="FootnoteReference"/>
          <w:bCs/>
          <w:sz w:val="20"/>
          <w:szCs w:val="20"/>
        </w:rPr>
        <w:footnoteReference w:id="2"/>
      </w:r>
      <w:r w:rsidR="009C2D0C" w:rsidRPr="00E24642">
        <w:rPr>
          <w:bCs/>
        </w:rPr>
        <w:t xml:space="preserve"> </w:t>
      </w:r>
      <w:r w:rsidR="00D93659" w:rsidRPr="00E24642">
        <w:rPr>
          <w:bCs/>
        </w:rPr>
        <w:t xml:space="preserve">Ils ont pour but d’empêcher </w:t>
      </w:r>
      <w:r w:rsidR="00887105">
        <w:rPr>
          <w:bCs/>
        </w:rPr>
        <w:t>le détournement</w:t>
      </w:r>
      <w:r w:rsidR="00D93659" w:rsidRPr="00E24642">
        <w:rPr>
          <w:bCs/>
        </w:rPr>
        <w:t xml:space="preserve"> des savoirs traditionnels en conférant </w:t>
      </w:r>
      <w:r w:rsidR="008F02C0" w:rsidRPr="00E24642">
        <w:rPr>
          <w:bCs/>
        </w:rPr>
        <w:t>à leurs détenteurs le droit d’autoriser l’exploitation de ces savoirs</w:t>
      </w:r>
      <w:r w:rsidR="00887105">
        <w:rPr>
          <w:bCs/>
        </w:rPr>
        <w:t xml:space="preserve"> par d’autres</w:t>
      </w:r>
      <w:r w:rsidR="00A72605" w:rsidRPr="00E24642">
        <w:rPr>
          <w:bCs/>
        </w:rPr>
        <w:t>,</w:t>
      </w:r>
      <w:r w:rsidR="008F02C0" w:rsidRPr="00E24642">
        <w:rPr>
          <w:bCs/>
        </w:rPr>
        <w:t xml:space="preserve"> ou </w:t>
      </w:r>
      <w:r w:rsidR="00887105">
        <w:rPr>
          <w:bCs/>
        </w:rPr>
        <w:t xml:space="preserve">de l’empêcher </w:t>
      </w:r>
      <w:r w:rsidR="009C2D0C" w:rsidRPr="00E24642">
        <w:rPr>
          <w:bCs/>
        </w:rPr>
        <w:t>sans l’obtention de leur consentement libre, préalable et éclairé</w:t>
      </w:r>
      <w:r w:rsidR="008F02C0" w:rsidRPr="00E24642">
        <w:rPr>
          <w:bCs/>
        </w:rPr>
        <w:t>.</w:t>
      </w:r>
      <w:r w:rsidR="00210DD2" w:rsidRPr="00E24642">
        <w:rPr>
          <w:bCs/>
        </w:rPr>
        <w:t xml:space="preserve"> </w:t>
      </w:r>
      <w:r w:rsidR="00210DD2" w:rsidRPr="003606D4">
        <w:rPr>
          <w:bCs/>
        </w:rPr>
        <w:t xml:space="preserve">Ils ont également pour but de faciliter la commercialisation des savoirs traditionnels </w:t>
      </w:r>
      <w:r w:rsidR="007B1475" w:rsidRPr="003606D4">
        <w:rPr>
          <w:bCs/>
        </w:rPr>
        <w:t>afin de contribuer au déve</w:t>
      </w:r>
      <w:r w:rsidR="003606D4" w:rsidRPr="003606D4">
        <w:rPr>
          <w:bCs/>
        </w:rPr>
        <w:t>loppement durable de la région.</w:t>
      </w:r>
    </w:p>
    <w:p w:rsidR="00B97376" w:rsidRPr="003606D4" w:rsidRDefault="008B701C" w:rsidP="002C4E8F">
      <w:pPr>
        <w:pStyle w:val="Texte1"/>
      </w:pPr>
      <w:r w:rsidRPr="003606D4">
        <w:t xml:space="preserve">De telles politiques </w:t>
      </w:r>
      <w:r w:rsidR="00152432" w:rsidRPr="003606D4">
        <w:t>accorderaient</w:t>
      </w:r>
      <w:r w:rsidRPr="003606D4">
        <w:t xml:space="preserve"> probablement </w:t>
      </w:r>
      <w:r w:rsidR="009822AB" w:rsidRPr="003606D4">
        <w:t>les droits de propriété</w:t>
      </w:r>
      <w:r w:rsidR="00D1163F">
        <w:t>,</w:t>
      </w:r>
      <w:r w:rsidR="009822AB" w:rsidRPr="003606D4">
        <w:t xml:space="preserve"> </w:t>
      </w:r>
      <w:r w:rsidRPr="003606D4">
        <w:t>à vie</w:t>
      </w:r>
      <w:r w:rsidR="00D1163F">
        <w:t>,</w:t>
      </w:r>
      <w:r w:rsidRPr="003606D4">
        <w:t xml:space="preserve"> </w:t>
      </w:r>
      <w:r w:rsidR="00D1163F">
        <w:t>à</w:t>
      </w:r>
      <w:r w:rsidRPr="003606D4">
        <w:t xml:space="preserve"> tous les aspects du </w:t>
      </w:r>
      <w:proofErr w:type="spellStart"/>
      <w:r w:rsidRPr="003606D4">
        <w:rPr>
          <w:i/>
        </w:rPr>
        <w:t>tatau</w:t>
      </w:r>
      <w:proofErr w:type="spellEnd"/>
      <w:r w:rsidRPr="003606D4">
        <w:t xml:space="preserve"> aux « détenteurs des savoirs » (les </w:t>
      </w:r>
      <w:proofErr w:type="spellStart"/>
      <w:r w:rsidRPr="003606D4">
        <w:rPr>
          <w:i/>
        </w:rPr>
        <w:t>tufuga</w:t>
      </w:r>
      <w:proofErr w:type="spellEnd"/>
      <w:r w:rsidRPr="003606D4">
        <w:t>).</w:t>
      </w:r>
      <w:r w:rsidR="00B77ABE" w:rsidRPr="003606D4">
        <w:t xml:space="preserve"> </w:t>
      </w:r>
      <w:r w:rsidR="00B77ABE" w:rsidRPr="00221202">
        <w:t xml:space="preserve">Cela permettrait aux </w:t>
      </w:r>
      <w:proofErr w:type="spellStart"/>
      <w:r w:rsidR="00B77ABE" w:rsidRPr="00221202">
        <w:rPr>
          <w:i/>
        </w:rPr>
        <w:t>tufuga</w:t>
      </w:r>
      <w:proofErr w:type="spellEnd"/>
      <w:r w:rsidR="00B77ABE" w:rsidRPr="00221202">
        <w:t xml:space="preserve"> de déterminer qui a le droit </w:t>
      </w:r>
      <w:r w:rsidR="007E3422">
        <w:t>de pratiquer</w:t>
      </w:r>
      <w:r w:rsidR="007E3422" w:rsidRPr="00221202">
        <w:t xml:space="preserve"> </w:t>
      </w:r>
      <w:r w:rsidR="00B77ABE" w:rsidRPr="00221202">
        <w:t xml:space="preserve">le </w:t>
      </w:r>
      <w:proofErr w:type="spellStart"/>
      <w:r w:rsidR="00B77ABE" w:rsidRPr="00221202">
        <w:rPr>
          <w:i/>
        </w:rPr>
        <w:t>tatau</w:t>
      </w:r>
      <w:proofErr w:type="spellEnd"/>
      <w:r w:rsidR="00B77ABE" w:rsidRPr="00221202">
        <w:t xml:space="preserve"> et d’</w:t>
      </w:r>
      <w:r w:rsidR="00F71A39">
        <w:t xml:space="preserve">en </w:t>
      </w:r>
      <w:r w:rsidR="00B77ABE" w:rsidRPr="00221202">
        <w:t>utiliser les motifs.</w:t>
      </w:r>
      <w:r w:rsidR="0059497A" w:rsidRPr="00221202">
        <w:t xml:space="preserve"> </w:t>
      </w:r>
      <w:r w:rsidR="00F71A39">
        <w:t>Le</w:t>
      </w:r>
      <w:r w:rsidR="0059497A" w:rsidRPr="00221202">
        <w:t xml:space="preserve"> cas</w:t>
      </w:r>
      <w:r w:rsidR="00F71A39">
        <w:t xml:space="preserve"> échéant</w:t>
      </w:r>
      <w:r w:rsidR="0059497A" w:rsidRPr="00221202">
        <w:t>, il sera</w:t>
      </w:r>
      <w:r w:rsidR="00A72605" w:rsidRPr="00221202">
        <w:t>it</w:t>
      </w:r>
      <w:r w:rsidR="0059497A" w:rsidRPr="00221202">
        <w:t xml:space="preserve"> difficile d’identifier qu</w:t>
      </w:r>
      <w:r w:rsidR="00F71A39">
        <w:t>i</w:t>
      </w:r>
      <w:r w:rsidR="0059497A" w:rsidRPr="00221202">
        <w:t xml:space="preserve"> sont les détenteu</w:t>
      </w:r>
      <w:r w:rsidR="00E9110F" w:rsidRPr="00221202">
        <w:t>rs de ces savoirs traditionnels</w:t>
      </w:r>
      <w:r w:rsidR="00556BA1" w:rsidRPr="00221202">
        <w:t xml:space="preserve">. Ces groupes comprennent les </w:t>
      </w:r>
      <w:proofErr w:type="spellStart"/>
      <w:r w:rsidR="00556BA1" w:rsidRPr="00221202">
        <w:rPr>
          <w:i/>
        </w:rPr>
        <w:t>tufuga</w:t>
      </w:r>
      <w:proofErr w:type="spellEnd"/>
      <w:r w:rsidR="00556BA1" w:rsidRPr="00221202">
        <w:t xml:space="preserve"> des deux principales familles, tous les membres de ces familles (ce qui est compliqué en soi car </w:t>
      </w:r>
      <w:r w:rsidR="00B97376" w:rsidRPr="00221202">
        <w:t>l’appartenance à ces familles n’est pas strictement héréditaire</w:t>
      </w:r>
      <w:r w:rsidR="00556BA1" w:rsidRPr="00221202">
        <w:t xml:space="preserve">) et, peut-être un certain nombre d’autres familles qui </w:t>
      </w:r>
      <w:r w:rsidR="00887105">
        <w:t xml:space="preserve">prétendent également pratiquer le </w:t>
      </w:r>
      <w:proofErr w:type="spellStart"/>
      <w:r w:rsidR="00887105" w:rsidRPr="00A42BDE">
        <w:rPr>
          <w:i/>
        </w:rPr>
        <w:t>tatau</w:t>
      </w:r>
      <w:proofErr w:type="spellEnd"/>
      <w:r w:rsidR="00556BA1" w:rsidRPr="00221202">
        <w:t xml:space="preserve">. </w:t>
      </w:r>
      <w:r w:rsidR="00556BA1" w:rsidRPr="003606D4">
        <w:t xml:space="preserve">Enfin, les </w:t>
      </w:r>
      <w:proofErr w:type="spellStart"/>
      <w:r w:rsidR="00556BA1" w:rsidRPr="003606D4">
        <w:rPr>
          <w:i/>
        </w:rPr>
        <w:t>tufuga</w:t>
      </w:r>
      <w:proofErr w:type="spellEnd"/>
      <w:r w:rsidR="00556BA1" w:rsidRPr="003606D4">
        <w:t xml:space="preserve"> Samoans qui vivent à l’étranger revendiquent également leurs droits sur le </w:t>
      </w:r>
      <w:proofErr w:type="spellStart"/>
      <w:r w:rsidR="00556BA1" w:rsidRPr="003606D4">
        <w:rPr>
          <w:i/>
        </w:rPr>
        <w:t>tatau</w:t>
      </w:r>
      <w:proofErr w:type="spellEnd"/>
      <w:r w:rsidR="003606D4" w:rsidRPr="003606D4">
        <w:t>.</w:t>
      </w:r>
    </w:p>
    <w:p w:rsidR="00A60BCC" w:rsidRPr="00E24642" w:rsidRDefault="00787874" w:rsidP="002C4E8F">
      <w:pPr>
        <w:pStyle w:val="Texte1"/>
      </w:pPr>
      <w:r w:rsidRPr="000B34E5">
        <w:t>Si la législation consid</w:t>
      </w:r>
      <w:r w:rsidR="00F71A39">
        <w:t>ère</w:t>
      </w:r>
      <w:r w:rsidR="00680D40" w:rsidRPr="000B34E5">
        <w:t xml:space="preserve"> les praticiens comme </w:t>
      </w:r>
      <w:r w:rsidR="00F71A39">
        <w:t xml:space="preserve">étant </w:t>
      </w:r>
      <w:r w:rsidR="00680D40" w:rsidRPr="000B34E5">
        <w:t>un seul</w:t>
      </w:r>
      <w:r w:rsidR="00E26A41" w:rsidRPr="000B34E5">
        <w:t xml:space="preserve"> groupe, cela signifie</w:t>
      </w:r>
      <w:r w:rsidRPr="000B34E5">
        <w:t>rait</w:t>
      </w:r>
      <w:r w:rsidR="00E26A41" w:rsidRPr="000B34E5">
        <w:t xml:space="preserve"> qu’à chaque fois </w:t>
      </w:r>
      <w:r w:rsidR="000B34E5" w:rsidRPr="000B34E5">
        <w:t xml:space="preserve">que quelqu’un, </w:t>
      </w:r>
      <w:r w:rsidR="00680D40" w:rsidRPr="000B34E5">
        <w:t xml:space="preserve">y compris un </w:t>
      </w:r>
      <w:proofErr w:type="spellStart"/>
      <w:r w:rsidR="00680D40" w:rsidRPr="000B34E5">
        <w:rPr>
          <w:i/>
        </w:rPr>
        <w:t>tufuga</w:t>
      </w:r>
      <w:proofErr w:type="spellEnd"/>
      <w:r w:rsidR="000B34E5">
        <w:t xml:space="preserve">, </w:t>
      </w:r>
      <w:r w:rsidR="00680D40" w:rsidRPr="000B34E5">
        <w:t>voudra</w:t>
      </w:r>
      <w:r w:rsidRPr="000B34E5">
        <w:t>it</w:t>
      </w:r>
      <w:r w:rsidR="00680D40" w:rsidRPr="000B34E5">
        <w:t xml:space="preserve"> utiliser le </w:t>
      </w:r>
      <w:proofErr w:type="spellStart"/>
      <w:r w:rsidR="00680D40" w:rsidRPr="000B34E5">
        <w:rPr>
          <w:i/>
        </w:rPr>
        <w:t>tatau</w:t>
      </w:r>
      <w:proofErr w:type="spellEnd"/>
      <w:r w:rsidR="00680D40" w:rsidRPr="000B34E5">
        <w:t xml:space="preserve"> d’une manière qui ne relève </w:t>
      </w:r>
      <w:r w:rsidR="00E26A41" w:rsidRPr="000B34E5">
        <w:t>pas d’</w:t>
      </w:r>
      <w:r w:rsidR="00680D40" w:rsidRPr="000B34E5">
        <w:t xml:space="preserve">un usage coutumier, </w:t>
      </w:r>
      <w:r w:rsidR="000B34E5">
        <w:t>celui-ci</w:t>
      </w:r>
      <w:r w:rsidR="00680D40" w:rsidRPr="000B34E5">
        <w:t xml:space="preserve"> devra obtenir au préalable le consentement </w:t>
      </w:r>
      <w:r w:rsidR="003229C9" w:rsidRPr="000B34E5">
        <w:t>de tous les</w:t>
      </w:r>
      <w:r w:rsidR="00680D40" w:rsidRPr="000B34E5">
        <w:t xml:space="preserve"> autres </w:t>
      </w:r>
      <w:proofErr w:type="spellStart"/>
      <w:r w:rsidR="00680D40" w:rsidRPr="000B34E5">
        <w:rPr>
          <w:i/>
        </w:rPr>
        <w:t>tufuga</w:t>
      </w:r>
      <w:proofErr w:type="spellEnd"/>
      <w:r w:rsidR="00680D40" w:rsidRPr="000B34E5">
        <w:t xml:space="preserve">. </w:t>
      </w:r>
      <w:r w:rsidR="00523CE2" w:rsidRPr="00E24642">
        <w:t>Par conséquent, le degré d’évolution de cette pratique sera</w:t>
      </w:r>
      <w:r w:rsidRPr="00E24642">
        <w:t>it</w:t>
      </w:r>
      <w:r w:rsidR="00523CE2" w:rsidRPr="00E24642">
        <w:t xml:space="preserve"> déterminé par le </w:t>
      </w:r>
      <w:proofErr w:type="spellStart"/>
      <w:r w:rsidR="00523CE2" w:rsidRPr="00E24642">
        <w:rPr>
          <w:i/>
        </w:rPr>
        <w:t>tufuga</w:t>
      </w:r>
      <w:proofErr w:type="spellEnd"/>
      <w:r w:rsidR="00523CE2" w:rsidRPr="00E24642">
        <w:t xml:space="preserve"> le plus conservateur, tandis qu’auparavant </w:t>
      </w:r>
      <w:r w:rsidR="00BF0970" w:rsidRPr="00E24642">
        <w:t>chaque individu pouvait entreprendre de nouvelles initiatives de façon indépendante.</w:t>
      </w:r>
    </w:p>
    <w:p w:rsidR="00C30967" w:rsidRPr="002C4E8F" w:rsidRDefault="00C30967" w:rsidP="002C4E8F">
      <w:pPr>
        <w:spacing w:before="200" w:after="60" w:line="240" w:lineRule="auto"/>
        <w:jc w:val="both"/>
        <w:rPr>
          <w:rFonts w:ascii="Arial" w:hAnsi="Arial" w:cs="Arial"/>
          <w:b/>
          <w:i/>
          <w:iCs/>
          <w:sz w:val="20"/>
          <w:szCs w:val="20"/>
        </w:rPr>
      </w:pPr>
      <w:r w:rsidRPr="002C4E8F">
        <w:rPr>
          <w:rFonts w:ascii="Arial" w:hAnsi="Arial" w:cs="Arial"/>
          <w:b/>
          <w:i/>
          <w:iCs/>
          <w:sz w:val="20"/>
          <w:szCs w:val="20"/>
        </w:rPr>
        <w:t>Promotion des industries culturelles</w:t>
      </w:r>
    </w:p>
    <w:p w:rsidR="00142CC8" w:rsidRPr="003606D4" w:rsidRDefault="00142CC8" w:rsidP="002C4E8F">
      <w:pPr>
        <w:pStyle w:val="Texte1"/>
      </w:pPr>
      <w:r w:rsidRPr="00221202">
        <w:t>Les Samoa n’ont pas encore ratifié la Convention de l’UNESCO de 2005 sur la protection et la promotion de la diversi</w:t>
      </w:r>
      <w:r w:rsidR="00D02FF9" w:rsidRPr="00221202">
        <w:t xml:space="preserve">té des expressions culturelles. </w:t>
      </w:r>
      <w:r w:rsidRPr="00221202">
        <w:rPr>
          <w:rStyle w:val="st1"/>
        </w:rPr>
        <w:t>Le développement des industries cult</w:t>
      </w:r>
      <w:r w:rsidR="00E84631" w:rsidRPr="00221202">
        <w:rPr>
          <w:rStyle w:val="st1"/>
        </w:rPr>
        <w:t xml:space="preserve">urelles de la région s’inscrit </w:t>
      </w:r>
      <w:r w:rsidRPr="00221202">
        <w:rPr>
          <w:rStyle w:val="st1"/>
        </w:rPr>
        <w:t>en grande partie dans le cadre du projet financé par l’Union européenne pour la « </w:t>
      </w:r>
      <w:r w:rsidR="00583620" w:rsidRPr="00221202">
        <w:rPr>
          <w:rStyle w:val="st1"/>
        </w:rPr>
        <w:t>Structuration du secteur culturel dans le Pacifique à des fins de développement humain</w:t>
      </w:r>
      <w:r w:rsidR="007F503C" w:rsidRPr="00221202">
        <w:rPr>
          <w:rStyle w:val="st1"/>
        </w:rPr>
        <w:t xml:space="preserve"> ». </w:t>
      </w:r>
      <w:r w:rsidR="00E84631" w:rsidRPr="00221202">
        <w:rPr>
          <w:rStyle w:val="st1"/>
        </w:rPr>
        <w:t xml:space="preserve">Ce projet a pour </w:t>
      </w:r>
      <w:r w:rsidR="00237A1F">
        <w:rPr>
          <w:rStyle w:val="st1"/>
        </w:rPr>
        <w:t>objectif</w:t>
      </w:r>
      <w:r w:rsidR="00E84631" w:rsidRPr="00221202">
        <w:rPr>
          <w:rStyle w:val="st1"/>
        </w:rPr>
        <w:t xml:space="preserve"> que toutes les parties prenantes dans le secteur de la culture</w:t>
      </w:r>
      <w:r w:rsidR="00A60BCC">
        <w:rPr>
          <w:rStyle w:val="st1"/>
        </w:rPr>
        <w:t xml:space="preserve"> -</w:t>
      </w:r>
      <w:r w:rsidR="00E84631" w:rsidRPr="00221202">
        <w:rPr>
          <w:rStyle w:val="st1"/>
        </w:rPr>
        <w:t xml:space="preserve"> </w:t>
      </w:r>
      <w:r w:rsidR="00A60BCC">
        <w:rPr>
          <w:rStyle w:val="st1"/>
        </w:rPr>
        <w:t>à savoir</w:t>
      </w:r>
      <w:r w:rsidR="00E84631" w:rsidRPr="00221202">
        <w:rPr>
          <w:rStyle w:val="st1"/>
        </w:rPr>
        <w:t xml:space="preserve"> le gouvernement, les communautés, les individus, les artistes, les universitaires</w:t>
      </w:r>
      <w:r w:rsidR="00E075C5" w:rsidRPr="00221202">
        <w:rPr>
          <w:rStyle w:val="st1"/>
        </w:rPr>
        <w:t>, les détenteurs des savoirs traditionnels et les dirigeants</w:t>
      </w:r>
      <w:r w:rsidR="00A60BCC">
        <w:rPr>
          <w:rStyle w:val="st1"/>
        </w:rPr>
        <w:t xml:space="preserve"> -</w:t>
      </w:r>
      <w:r w:rsidR="00E075C5" w:rsidRPr="00221202">
        <w:rPr>
          <w:rStyle w:val="st1"/>
        </w:rPr>
        <w:t xml:space="preserve"> s’approprient</w:t>
      </w:r>
      <w:r w:rsidR="00A60BCC">
        <w:rPr>
          <w:rStyle w:val="st1"/>
        </w:rPr>
        <w:t xml:space="preserve"> tous</w:t>
      </w:r>
      <w:r w:rsidR="005C476C" w:rsidRPr="00221202">
        <w:rPr>
          <w:rStyle w:val="st1"/>
        </w:rPr>
        <w:t xml:space="preserve"> le secteur culturel et par conséquent y investissent de façon continue. </w:t>
      </w:r>
      <w:r w:rsidR="008248A9">
        <w:t>D</w:t>
      </w:r>
      <w:r w:rsidR="00814E1E" w:rsidRPr="00221202">
        <w:t xml:space="preserve">es programmes de cartographie culturelle </w:t>
      </w:r>
      <w:r w:rsidR="008248A9">
        <w:t xml:space="preserve">sont mis en œuvre afin </w:t>
      </w:r>
      <w:r w:rsidR="00DC3444" w:rsidRPr="00221202">
        <w:t>d’identifier</w:t>
      </w:r>
      <w:r w:rsidR="00D02FF9" w:rsidRPr="00221202">
        <w:t xml:space="preserve"> </w:t>
      </w:r>
      <w:r w:rsidR="00814E1E" w:rsidRPr="00221202">
        <w:t>les ressources culturelles</w:t>
      </w:r>
      <w:r w:rsidR="00E42FF4" w:rsidRPr="00221202">
        <w:t xml:space="preserve"> existantes. Par conséquent, la culture est </w:t>
      </w:r>
      <w:r w:rsidR="008248A9">
        <w:t xml:space="preserve">perçue </w:t>
      </w:r>
      <w:r w:rsidR="00E42FF4" w:rsidRPr="00221202">
        <w:t>comme un « atout »</w:t>
      </w:r>
      <w:r w:rsidR="00E47106" w:rsidRPr="00221202">
        <w:t xml:space="preserve"> </w:t>
      </w:r>
      <w:r w:rsidR="00D02FF9" w:rsidRPr="00221202">
        <w:t>ou</w:t>
      </w:r>
      <w:r w:rsidR="00E47106" w:rsidRPr="00221202">
        <w:t xml:space="preserve"> une « ressource ». </w:t>
      </w:r>
      <w:r w:rsidR="00B02190" w:rsidRPr="003606D4">
        <w:t xml:space="preserve">L’approche des industries culturelles consiste à créer des opportunités </w:t>
      </w:r>
      <w:r w:rsidR="00D02FF9" w:rsidRPr="003606D4">
        <w:t>de façon à ce</w:t>
      </w:r>
      <w:r w:rsidR="00B02190" w:rsidRPr="003606D4">
        <w:t xml:space="preserve"> qu’un large éventail de la population</w:t>
      </w:r>
      <w:r w:rsidR="00C435E7">
        <w:t xml:space="preserve"> puisse</w:t>
      </w:r>
      <w:r w:rsidR="00B02190" w:rsidRPr="003606D4">
        <w:t xml:space="preserve"> </w:t>
      </w:r>
      <w:r w:rsidR="00C435E7">
        <w:t>tirer parti</w:t>
      </w:r>
      <w:r w:rsidR="00B02190" w:rsidRPr="003606D4">
        <w:t xml:space="preserve"> des </w:t>
      </w:r>
      <w:r w:rsidR="00C435E7">
        <w:t>bénéfices</w:t>
      </w:r>
      <w:r w:rsidR="00B02190" w:rsidRPr="003606D4">
        <w:t xml:space="preserve"> </w:t>
      </w:r>
      <w:r w:rsidR="003606D4" w:rsidRPr="003606D4">
        <w:t>de ces atouts culturels.</w:t>
      </w:r>
    </w:p>
    <w:p w:rsidR="003606D4" w:rsidRPr="003606D4" w:rsidRDefault="001037C3" w:rsidP="002C4E8F">
      <w:pPr>
        <w:pStyle w:val="Texte1"/>
      </w:pPr>
      <w:r w:rsidRPr="00A620E4">
        <w:lastRenderedPageBreak/>
        <w:t xml:space="preserve">Les défenseurs de cette approche </w:t>
      </w:r>
      <w:r w:rsidR="00E804C0" w:rsidRPr="00A620E4">
        <w:t xml:space="preserve">soutiennent </w:t>
      </w:r>
      <w:r w:rsidR="00E81469" w:rsidRPr="00A620E4">
        <w:t xml:space="preserve">que </w:t>
      </w:r>
      <w:r w:rsidR="00D02FF9" w:rsidRPr="00A620E4">
        <w:t>le fait de réguler</w:t>
      </w:r>
      <w:r w:rsidR="00E804C0" w:rsidRPr="00A620E4">
        <w:t xml:space="preserve"> la pratique des  expressions culturelles traditionnelles en</w:t>
      </w:r>
      <w:r w:rsidR="00E804C0" w:rsidRPr="00E24642">
        <w:t xml:space="preserve"> conférant des droits juridiques </w:t>
      </w:r>
      <w:r w:rsidR="00E81469" w:rsidRPr="00E24642">
        <w:t xml:space="preserve">sur celles-ci </w:t>
      </w:r>
      <w:r w:rsidR="00E804C0" w:rsidRPr="00E24642">
        <w:t xml:space="preserve">aux </w:t>
      </w:r>
      <w:proofErr w:type="spellStart"/>
      <w:r w:rsidR="00E804C0" w:rsidRPr="00E24642">
        <w:rPr>
          <w:i/>
        </w:rPr>
        <w:t>tufuga</w:t>
      </w:r>
      <w:proofErr w:type="spellEnd"/>
      <w:r w:rsidR="00E81469" w:rsidRPr="00E24642">
        <w:t xml:space="preserve"> est un</w:t>
      </w:r>
      <w:r w:rsidR="001615BB" w:rsidRPr="00E24642">
        <w:t xml:space="preserve"> procédé</w:t>
      </w:r>
      <w:r w:rsidR="00E81469" w:rsidRPr="00E24642">
        <w:t xml:space="preserve"> « voué</w:t>
      </w:r>
      <w:r w:rsidR="00D02FF9" w:rsidRPr="00E24642">
        <w:t xml:space="preserve"> à nuire</w:t>
      </w:r>
      <w:r w:rsidR="001615BB" w:rsidRPr="00E24642">
        <w:t xml:space="preserve"> à</w:t>
      </w:r>
      <w:r w:rsidR="00E81469" w:rsidRPr="00E24642">
        <w:t xml:space="preserve"> l’expression artistique </w:t>
      </w:r>
      <w:r w:rsidR="001615BB" w:rsidRPr="00E24642">
        <w:t xml:space="preserve">et à un usage juste de celle-ci ». </w:t>
      </w:r>
      <w:r w:rsidR="00785F3F" w:rsidRPr="00221202">
        <w:t xml:space="preserve">L’élaboration d’un cadre normatif </w:t>
      </w:r>
      <w:r w:rsidR="008248A9">
        <w:t xml:space="preserve">pour </w:t>
      </w:r>
      <w:r w:rsidR="00785F3F" w:rsidRPr="00221202">
        <w:t xml:space="preserve">les industries culturelles permettrait d’étendre la pratique du </w:t>
      </w:r>
      <w:proofErr w:type="spellStart"/>
      <w:r w:rsidR="00785F3F" w:rsidRPr="00221202">
        <w:rPr>
          <w:i/>
        </w:rPr>
        <w:t>tatau</w:t>
      </w:r>
      <w:proofErr w:type="spellEnd"/>
      <w:r w:rsidR="00785F3F" w:rsidRPr="00221202">
        <w:t xml:space="preserve"> à tous les Samoans plutôt que </w:t>
      </w:r>
      <w:r w:rsidR="00D02FF9" w:rsidRPr="00221202">
        <w:t>d’aider les</w:t>
      </w:r>
      <w:r w:rsidR="00785F3F" w:rsidRPr="00221202">
        <w:t xml:space="preserve"> </w:t>
      </w:r>
      <w:proofErr w:type="spellStart"/>
      <w:r w:rsidR="00785F3F" w:rsidRPr="00221202">
        <w:rPr>
          <w:i/>
        </w:rPr>
        <w:t>tufuga</w:t>
      </w:r>
      <w:proofErr w:type="spellEnd"/>
      <w:r w:rsidR="00785F3F" w:rsidRPr="00221202">
        <w:t xml:space="preserve"> </w:t>
      </w:r>
      <w:r w:rsidR="00D02FF9" w:rsidRPr="00221202">
        <w:t>à la contrôler.</w:t>
      </w:r>
      <w:r w:rsidR="00DD6BEA" w:rsidRPr="00221202">
        <w:t xml:space="preserve"> </w:t>
      </w:r>
      <w:r w:rsidR="005D4B17">
        <w:t>Cela pourrait aussi affaiblir l’autorité</w:t>
      </w:r>
      <w:r w:rsidR="00B35AE7" w:rsidRPr="000B34E5">
        <w:t xml:space="preserve"> </w:t>
      </w:r>
      <w:r w:rsidR="005D4B17">
        <w:t>d</w:t>
      </w:r>
      <w:r w:rsidR="00B35AE7" w:rsidRPr="000B34E5">
        <w:t xml:space="preserve">es familles de </w:t>
      </w:r>
      <w:proofErr w:type="spellStart"/>
      <w:r w:rsidR="00B35AE7" w:rsidRPr="000B34E5">
        <w:rPr>
          <w:i/>
        </w:rPr>
        <w:t>tufuga</w:t>
      </w:r>
      <w:proofErr w:type="spellEnd"/>
      <w:r w:rsidR="00B35AE7" w:rsidRPr="000B34E5">
        <w:t xml:space="preserve"> qui contrôle</w:t>
      </w:r>
      <w:r w:rsidR="00DD6BEA" w:rsidRPr="000B34E5">
        <w:t>nt</w:t>
      </w:r>
      <w:r w:rsidR="00B35AE7" w:rsidRPr="000B34E5">
        <w:t xml:space="preserve"> traditionnellement cer</w:t>
      </w:r>
      <w:r w:rsidR="000B34E5" w:rsidRPr="000B34E5">
        <w:t xml:space="preserve">tains aspects de </w:t>
      </w:r>
      <w:r w:rsidR="005D4B17">
        <w:t xml:space="preserve">la </w:t>
      </w:r>
      <w:r w:rsidR="000B34E5" w:rsidRPr="000B34E5">
        <w:t>pratique</w:t>
      </w:r>
      <w:r w:rsidR="005D4B17">
        <w:t xml:space="preserve"> du </w:t>
      </w:r>
      <w:proofErr w:type="spellStart"/>
      <w:r w:rsidR="005D4B17" w:rsidRPr="00A42BDE">
        <w:rPr>
          <w:i/>
        </w:rPr>
        <w:t>tatau</w:t>
      </w:r>
      <w:proofErr w:type="spellEnd"/>
      <w:r w:rsidR="00B35AE7" w:rsidRPr="000B34E5">
        <w:t xml:space="preserve">. </w:t>
      </w:r>
      <w:r w:rsidR="00B35AE7" w:rsidRPr="003606D4">
        <w:t xml:space="preserve">Néanmoins, </w:t>
      </w:r>
      <w:r w:rsidR="00540AB2" w:rsidRPr="003606D4">
        <w:t xml:space="preserve">cela ne devrait pas </w:t>
      </w:r>
      <w:r w:rsidR="00DD6BEA" w:rsidRPr="003606D4">
        <w:t>engendrer</w:t>
      </w:r>
      <w:r w:rsidR="00540AB2" w:rsidRPr="003606D4">
        <w:t xml:space="preserve"> de changements </w:t>
      </w:r>
      <w:r w:rsidR="000C2EFC">
        <w:t>significatifs</w:t>
      </w:r>
      <w:r w:rsidR="00540AB2" w:rsidRPr="003606D4">
        <w:t xml:space="preserve"> </w:t>
      </w:r>
      <w:r w:rsidR="000C2EFC">
        <w:t xml:space="preserve">quant à la pratique du </w:t>
      </w:r>
      <w:proofErr w:type="spellStart"/>
      <w:r w:rsidR="000C2EFC" w:rsidRPr="00A42BDE">
        <w:rPr>
          <w:i/>
        </w:rPr>
        <w:t>tatau</w:t>
      </w:r>
      <w:proofErr w:type="spellEnd"/>
      <w:r w:rsidR="000C2EFC">
        <w:t xml:space="preserve">  </w:t>
      </w:r>
      <w:r w:rsidR="00540AB2" w:rsidRPr="003606D4">
        <w:t>étant donné que les Samoans, y compris l</w:t>
      </w:r>
      <w:r w:rsidR="000C2EFC">
        <w:t>es membres de la</w:t>
      </w:r>
      <w:r w:rsidR="00540AB2" w:rsidRPr="003606D4">
        <w:t xml:space="preserve"> diaspora samoane, souhaitent conserver davantage d’aspects traditionnels du </w:t>
      </w:r>
      <w:proofErr w:type="spellStart"/>
      <w:r w:rsidR="00540AB2" w:rsidRPr="003606D4">
        <w:rPr>
          <w:i/>
        </w:rPr>
        <w:t>tatau</w:t>
      </w:r>
      <w:proofErr w:type="spellEnd"/>
      <w:r w:rsidR="00540AB2" w:rsidRPr="003606D4">
        <w:t xml:space="preserve"> que les familles de </w:t>
      </w:r>
      <w:proofErr w:type="spellStart"/>
      <w:r w:rsidR="00540AB2" w:rsidRPr="003606D4">
        <w:rPr>
          <w:i/>
        </w:rPr>
        <w:t>tufuga</w:t>
      </w:r>
      <w:proofErr w:type="spellEnd"/>
      <w:r w:rsidR="005D4B17">
        <w:rPr>
          <w:i/>
        </w:rPr>
        <w:t xml:space="preserve"> </w:t>
      </w:r>
      <w:r w:rsidR="005D4B17" w:rsidRPr="00A42BDE">
        <w:t>ne le font</w:t>
      </w:r>
      <w:r w:rsidR="003606D4" w:rsidRPr="003606D4">
        <w:t>.</w:t>
      </w:r>
    </w:p>
    <w:p w:rsidR="00312038" w:rsidRPr="002C4E8F" w:rsidRDefault="007A04F1" w:rsidP="002C4E8F">
      <w:pPr>
        <w:spacing w:before="200" w:after="60" w:line="240" w:lineRule="auto"/>
        <w:jc w:val="both"/>
        <w:rPr>
          <w:rFonts w:ascii="Arial" w:hAnsi="Arial" w:cs="Arial"/>
          <w:b/>
          <w:i/>
          <w:iCs/>
          <w:sz w:val="20"/>
          <w:szCs w:val="20"/>
        </w:rPr>
      </w:pPr>
      <w:r w:rsidRPr="002C4E8F">
        <w:rPr>
          <w:rFonts w:ascii="Arial" w:hAnsi="Arial" w:cs="Arial"/>
          <w:b/>
          <w:i/>
          <w:iCs/>
          <w:sz w:val="20"/>
          <w:szCs w:val="20"/>
        </w:rPr>
        <w:t>S</w:t>
      </w:r>
      <w:r w:rsidR="00312038" w:rsidRPr="002C4E8F">
        <w:rPr>
          <w:rFonts w:ascii="Arial" w:hAnsi="Arial" w:cs="Arial"/>
          <w:b/>
          <w:i/>
          <w:iCs/>
          <w:sz w:val="20"/>
          <w:szCs w:val="20"/>
        </w:rPr>
        <w:t>auvegarde du patrimoine immatériel</w:t>
      </w:r>
    </w:p>
    <w:p w:rsidR="00CA617B" w:rsidRPr="003606D4" w:rsidRDefault="00630FEA" w:rsidP="002C4E8F">
      <w:pPr>
        <w:pStyle w:val="Texte1"/>
      </w:pPr>
      <w:r w:rsidRPr="00221202">
        <w:t xml:space="preserve">Les Samoa ont ratifié la Convention de l’UNESCO pour la sauvegarde du patrimoine culturel immatériel (ci-après désignée « la Convention ») en 2013. Le but principal de la mise en œuvre de la Convention est la sauvegarde du patrimoine culturel immatériel (PCI) et la sensibilisation à l’importance de celui-ci (article 1). </w:t>
      </w:r>
      <w:r w:rsidR="00480C6B">
        <w:t>C</w:t>
      </w:r>
      <w:r w:rsidRPr="00221202">
        <w:t>e processus</w:t>
      </w:r>
      <w:r w:rsidR="00480C6B">
        <w:t xml:space="preserve"> encourage</w:t>
      </w:r>
      <w:r w:rsidRPr="00221202">
        <w:t xml:space="preserve"> la plus </w:t>
      </w:r>
      <w:r w:rsidR="00480C6B">
        <w:t>grande</w:t>
      </w:r>
      <w:r w:rsidRPr="00221202">
        <w:t xml:space="preserve"> participation possible des communautés, groupes et ind</w:t>
      </w:r>
      <w:r w:rsidR="00CA617B" w:rsidRPr="00221202">
        <w:t>ividus concernés</w:t>
      </w:r>
      <w:r w:rsidR="00231910">
        <w:t xml:space="preserve"> </w:t>
      </w:r>
      <w:r w:rsidR="00CA617B" w:rsidRPr="00221202">
        <w:t xml:space="preserve">(article 15). </w:t>
      </w:r>
      <w:r w:rsidR="00CA617B" w:rsidRPr="00453149">
        <w:t>La Convention</w:t>
      </w:r>
      <w:r w:rsidR="00CA5812">
        <w:t>,</w:t>
      </w:r>
      <w:r w:rsidR="00453149" w:rsidRPr="00A42BDE">
        <w:t xml:space="preserve"> </w:t>
      </w:r>
      <w:r w:rsidR="00B80218">
        <w:t>ainsi que</w:t>
      </w:r>
      <w:r w:rsidR="00453149">
        <w:t xml:space="preserve"> ses Directives opérationnelles</w:t>
      </w:r>
      <w:r w:rsidR="00CA5812">
        <w:t>,</w:t>
      </w:r>
      <w:r w:rsidR="00480C6B">
        <w:t xml:space="preserve"> </w:t>
      </w:r>
      <w:r w:rsidR="00CA617B" w:rsidRPr="00453149">
        <w:t xml:space="preserve">constitue un </w:t>
      </w:r>
      <w:r w:rsidR="00453149" w:rsidRPr="00A42BDE">
        <w:t>cadre</w:t>
      </w:r>
      <w:r w:rsidR="00453149">
        <w:t xml:space="preserve"> </w:t>
      </w:r>
      <w:r w:rsidR="00CA617B" w:rsidRPr="00453149">
        <w:t>normatif</w:t>
      </w:r>
      <w:r w:rsidR="00CA5812">
        <w:t xml:space="preserve"> international</w:t>
      </w:r>
      <w:r w:rsidR="00CA617B" w:rsidRPr="00453149">
        <w:t>, permettant aux commu</w:t>
      </w:r>
      <w:r w:rsidR="00846B8D" w:rsidRPr="00453149">
        <w:t>nautés de prendre des décisions sur</w:t>
      </w:r>
      <w:r w:rsidR="00846B8D" w:rsidRPr="00221202">
        <w:t xml:space="preserve"> leurs propres approches et mesures en matière de sauvegarde</w:t>
      </w:r>
      <w:r w:rsidR="00FB7DCB">
        <w:t xml:space="preserve"> du PCI, et ce</w:t>
      </w:r>
      <w:r w:rsidR="00846B8D" w:rsidRPr="00221202">
        <w:t xml:space="preserve"> dans le respect du système juridique national. </w:t>
      </w:r>
      <w:r w:rsidR="00846B8D" w:rsidRPr="003606D4">
        <w:t>Actuellement, les Samoa ne disposent pas de législation</w:t>
      </w:r>
      <w:r w:rsidR="00DD6BEA" w:rsidRPr="003606D4">
        <w:t xml:space="preserve"> spécifique</w:t>
      </w:r>
      <w:r w:rsidR="003606D4" w:rsidRPr="003606D4">
        <w:t xml:space="preserve"> concernant le PCI.</w:t>
      </w:r>
    </w:p>
    <w:p w:rsidR="00702BB6" w:rsidRPr="00A620E4" w:rsidRDefault="00612BF3" w:rsidP="002C4E8F">
      <w:pPr>
        <w:pStyle w:val="Texte1"/>
      </w:pPr>
      <w:r w:rsidRPr="00221202">
        <w:t>Au titre de la Convention, les États parties doivent s’assurer que les inventaires du PCI sont dressés sur leur terr</w:t>
      </w:r>
      <w:r w:rsidR="00E81674" w:rsidRPr="00221202">
        <w:t xml:space="preserve">itoire </w:t>
      </w:r>
      <w:r w:rsidR="002605FF">
        <w:t xml:space="preserve">et de manière à assurer </w:t>
      </w:r>
      <w:r w:rsidR="00E81674" w:rsidRPr="00221202">
        <w:t xml:space="preserve"> </w:t>
      </w:r>
      <w:r w:rsidR="006B7396" w:rsidRPr="00221202">
        <w:t>leur</w:t>
      </w:r>
      <w:r w:rsidR="00E81674" w:rsidRPr="00221202">
        <w:t xml:space="preserve"> sauvegarde (articles 11-12).</w:t>
      </w:r>
      <w:r w:rsidR="006B7396" w:rsidRPr="00221202">
        <w:t xml:space="preserve"> </w:t>
      </w:r>
      <w:r w:rsidR="00A620E4" w:rsidRPr="00A620E4">
        <w:t>En outre, les Etats parties</w:t>
      </w:r>
      <w:r w:rsidR="00A620E4" w:rsidRPr="00A42BDE">
        <w:t xml:space="preserve"> doivent </w:t>
      </w:r>
      <w:r w:rsidR="00DD6F83">
        <w:t>œuvrer en vue</w:t>
      </w:r>
      <w:r w:rsidR="00A620E4" w:rsidRPr="00A42BDE">
        <w:t xml:space="preserve"> d</w:t>
      </w:r>
      <w:r w:rsidR="00DD6F83">
        <w:t>e garantir</w:t>
      </w:r>
      <w:r w:rsidR="00A620E4" w:rsidRPr="00A42BDE">
        <w:t xml:space="preserve"> la plus </w:t>
      </w:r>
      <w:r w:rsidR="00DD6F83">
        <w:t>grande</w:t>
      </w:r>
      <w:r w:rsidR="00A620E4" w:rsidRPr="00A42BDE">
        <w:t xml:space="preserve"> participation possible des communautés,</w:t>
      </w:r>
      <w:r w:rsidR="00A620E4">
        <w:t xml:space="preserve"> </w:t>
      </w:r>
      <w:r w:rsidR="00A620E4" w:rsidRPr="00A42BDE">
        <w:t>groupes</w:t>
      </w:r>
      <w:r w:rsidR="00A620E4" w:rsidRPr="00A620E4">
        <w:t xml:space="preserve"> </w:t>
      </w:r>
      <w:r w:rsidR="00A620E4">
        <w:t>et, le cas échéant, des individus, dans le cadre de ses activités de sauvegarde</w:t>
      </w:r>
      <w:r w:rsidR="00A620E4" w:rsidRPr="00A42BDE">
        <w:t xml:space="preserve"> (</w:t>
      </w:r>
      <w:r w:rsidR="00A620E4">
        <w:t>a</w:t>
      </w:r>
      <w:r w:rsidR="00A620E4" w:rsidRPr="00A42BDE">
        <w:t>rticle 15).</w:t>
      </w:r>
    </w:p>
    <w:p w:rsidR="0000587D" w:rsidRPr="003606D4" w:rsidRDefault="00A620E4" w:rsidP="002C4E8F">
      <w:pPr>
        <w:pStyle w:val="Texte1"/>
      </w:pPr>
      <w:r>
        <w:t>L</w:t>
      </w:r>
      <w:r w:rsidR="002D2190" w:rsidRPr="00E24642">
        <w:t xml:space="preserve">e terme « communautés, groupes et individus concernés » désigne à la fois les praticiens du PCI et les personnes qui reconnaissent </w:t>
      </w:r>
      <w:r w:rsidR="00CF059D" w:rsidRPr="00E24642">
        <w:t>ces</w:t>
      </w:r>
      <w:r w:rsidR="002D2190" w:rsidRPr="00E24642">
        <w:t xml:space="preserve"> pratiques comme faisant partie de leur patrimoine culturel (article 2.1)</w:t>
      </w:r>
      <w:r w:rsidR="00CF059D" w:rsidRPr="00E24642">
        <w:t>.</w:t>
      </w:r>
      <w:r w:rsidR="00912A87" w:rsidRPr="00E24642">
        <w:t xml:space="preserve"> Dans le cas du </w:t>
      </w:r>
      <w:proofErr w:type="spellStart"/>
      <w:r w:rsidR="00912A87" w:rsidRPr="00E24642">
        <w:rPr>
          <w:i/>
        </w:rPr>
        <w:t>tatau</w:t>
      </w:r>
      <w:proofErr w:type="spellEnd"/>
      <w:r w:rsidR="00912A87" w:rsidRPr="00E24642">
        <w:t xml:space="preserve">, les « communautés, groupes et individus concernés » incluraient non seulement les familles de </w:t>
      </w:r>
      <w:proofErr w:type="spellStart"/>
      <w:r w:rsidR="00912A87" w:rsidRPr="00E24642">
        <w:rPr>
          <w:i/>
        </w:rPr>
        <w:t>tufuga</w:t>
      </w:r>
      <w:proofErr w:type="spellEnd"/>
      <w:r w:rsidR="00912A87" w:rsidRPr="00E24642">
        <w:t xml:space="preserve"> et les </w:t>
      </w:r>
      <w:proofErr w:type="spellStart"/>
      <w:r w:rsidR="00912A87" w:rsidRPr="00E24642">
        <w:rPr>
          <w:i/>
        </w:rPr>
        <w:t>tufuga</w:t>
      </w:r>
      <w:proofErr w:type="spellEnd"/>
      <w:r w:rsidR="00912A87" w:rsidRPr="00E24642">
        <w:t xml:space="preserve"> en général mais </w:t>
      </w:r>
      <w:r w:rsidR="004B70C6">
        <w:t>également</w:t>
      </w:r>
      <w:r w:rsidR="00912A87" w:rsidRPr="00E24642">
        <w:t xml:space="preserve"> </w:t>
      </w:r>
      <w:r w:rsidR="004B70C6">
        <w:t>l’ensemble d</w:t>
      </w:r>
      <w:r w:rsidR="00912A87" w:rsidRPr="00E24642">
        <w:t>es Samoans</w:t>
      </w:r>
      <w:r w:rsidR="004B70C6">
        <w:t>,</w:t>
      </w:r>
      <w:r w:rsidR="00912A87" w:rsidRPr="00E24642">
        <w:t xml:space="preserve"> </w:t>
      </w:r>
      <w:r w:rsidR="004B70C6">
        <w:t xml:space="preserve">dont les membres de la </w:t>
      </w:r>
      <w:r w:rsidR="00912A87" w:rsidRPr="00E24642">
        <w:t>diaspora samoane</w:t>
      </w:r>
      <w:r w:rsidR="004B70C6">
        <w:t>,</w:t>
      </w:r>
      <w:r w:rsidR="00912A87" w:rsidRPr="00E24642">
        <w:t xml:space="preserve"> qui identifie</w:t>
      </w:r>
      <w:r w:rsidR="008B28BF" w:rsidRPr="00E24642">
        <w:t>nt</w:t>
      </w:r>
      <w:r w:rsidR="00912A87" w:rsidRPr="00E24642">
        <w:t xml:space="preserve"> le </w:t>
      </w:r>
      <w:proofErr w:type="spellStart"/>
      <w:r w:rsidR="00912A87" w:rsidRPr="00E24642">
        <w:rPr>
          <w:i/>
        </w:rPr>
        <w:t>tatau</w:t>
      </w:r>
      <w:proofErr w:type="spellEnd"/>
      <w:r w:rsidR="00912A87" w:rsidRPr="00E24642">
        <w:t xml:space="preserve"> comme </w:t>
      </w:r>
      <w:r w:rsidR="008B28BF" w:rsidRPr="00E24642">
        <w:t xml:space="preserve">une </w:t>
      </w:r>
      <w:r w:rsidR="00912A87" w:rsidRPr="00E24642">
        <w:t>pratique faisant partie de leur patrimoine.</w:t>
      </w:r>
      <w:r w:rsidR="00C0297C" w:rsidRPr="00E24642">
        <w:t xml:space="preserve"> Ces groupes plutôt hétéroclite</w:t>
      </w:r>
      <w:r w:rsidR="002C1171" w:rsidRPr="00E24642">
        <w:t>s</w:t>
      </w:r>
      <w:r w:rsidR="008B28BF" w:rsidRPr="00E24642">
        <w:t xml:space="preserve"> </w:t>
      </w:r>
      <w:r w:rsidR="00C0297C" w:rsidRPr="00E24642">
        <w:t xml:space="preserve">devraient tous, dans l’idéal, </w:t>
      </w:r>
      <w:r w:rsidR="00453149">
        <w:t xml:space="preserve">avoir </w:t>
      </w:r>
      <w:r w:rsidR="004B70C6">
        <w:t>leur mot à dire</w:t>
      </w:r>
      <w:r w:rsidR="00453149">
        <w:t xml:space="preserve"> </w:t>
      </w:r>
      <w:r w:rsidR="004B70C6">
        <w:t>quant à</w:t>
      </w:r>
      <w:r w:rsidR="00453149">
        <w:t xml:space="preserve"> la </w:t>
      </w:r>
      <w:r w:rsidR="004B70C6">
        <w:t xml:space="preserve">manière de </w:t>
      </w:r>
      <w:r w:rsidR="00453149">
        <w:t>défini</w:t>
      </w:r>
      <w:r w:rsidR="004B70C6">
        <w:t xml:space="preserve">r le </w:t>
      </w:r>
      <w:proofErr w:type="spellStart"/>
      <w:r w:rsidR="005B0DC7" w:rsidRPr="00E24642">
        <w:rPr>
          <w:i/>
        </w:rPr>
        <w:t>tatau</w:t>
      </w:r>
      <w:proofErr w:type="spellEnd"/>
      <w:r w:rsidR="005B0DC7" w:rsidRPr="00E24642">
        <w:t xml:space="preserve"> </w:t>
      </w:r>
      <w:r w:rsidR="004B70C6">
        <w:t>en tant qu’élément</w:t>
      </w:r>
      <w:r w:rsidR="005B0DC7" w:rsidRPr="00E24642">
        <w:t xml:space="preserve"> </w:t>
      </w:r>
      <w:r w:rsidR="004B70C6">
        <w:t xml:space="preserve">du </w:t>
      </w:r>
      <w:r w:rsidR="005B0DC7" w:rsidRPr="00E24642">
        <w:t>PCI dans le processus d’inventaire</w:t>
      </w:r>
      <w:r w:rsidR="00C0297C" w:rsidRPr="00E24642">
        <w:t xml:space="preserve"> et déterminer</w:t>
      </w:r>
      <w:r w:rsidR="008B28BF" w:rsidRPr="00E24642">
        <w:t>, le cas échéant,</w:t>
      </w:r>
      <w:r w:rsidR="00C0297C" w:rsidRPr="00E24642">
        <w:t xml:space="preserve"> les mesur</w:t>
      </w:r>
      <w:r w:rsidR="008B28BF" w:rsidRPr="00E24642">
        <w:t xml:space="preserve">es nécessaires à sa sauvegarde. </w:t>
      </w:r>
      <w:r w:rsidR="005B0DC7" w:rsidRPr="00E24642">
        <w:t>Cependant, l</w:t>
      </w:r>
      <w:r w:rsidR="00D97C85" w:rsidRPr="00E24642">
        <w:t xml:space="preserve">’inventaire </w:t>
      </w:r>
      <w:r w:rsidR="00835577" w:rsidRPr="00E24642">
        <w:t xml:space="preserve">s’appuie généralement sur les </w:t>
      </w:r>
      <w:r w:rsidR="00D97C85" w:rsidRPr="00E24642">
        <w:t xml:space="preserve">représentants de la communauté qui s’expriment en son nom. </w:t>
      </w:r>
      <w:r w:rsidR="006F2834" w:rsidRPr="003606D4">
        <w:t xml:space="preserve">Par conséquent, le cadre dans lequel est mené l’inventaire ainsi que l’évaluation des avantages qui </w:t>
      </w:r>
      <w:r w:rsidR="000D5AAC" w:rsidRPr="003606D4">
        <w:t xml:space="preserve">en </w:t>
      </w:r>
      <w:r w:rsidR="006F2834" w:rsidRPr="003606D4">
        <w:t xml:space="preserve">découleraient sont susceptibles d’influencer les négociations au sein de la communauté </w:t>
      </w:r>
      <w:r w:rsidR="00453149">
        <w:t>et de déterminer quelles voix seraient privilégiées</w:t>
      </w:r>
      <w:r w:rsidR="003606D4" w:rsidRPr="003606D4">
        <w:t>.</w:t>
      </w:r>
    </w:p>
    <w:p w:rsidR="0000587D" w:rsidRPr="003606D4" w:rsidRDefault="0095446E" w:rsidP="002C4E8F">
      <w:pPr>
        <w:pStyle w:val="Texte1"/>
      </w:pPr>
      <w:r w:rsidRPr="00E24642">
        <w:t xml:space="preserve">La Convention souligne l’importance du respect des « pratiques coutumières qui régissent l’accès » </w:t>
      </w:r>
      <w:r w:rsidR="00453149">
        <w:t xml:space="preserve">dans la garantie de l’accès public </w:t>
      </w:r>
      <w:r w:rsidRPr="00E24642">
        <w:t xml:space="preserve">au </w:t>
      </w:r>
      <w:r w:rsidR="00453149">
        <w:t>PCI</w:t>
      </w:r>
      <w:r w:rsidRPr="00E24642">
        <w:t xml:space="preserve"> (article 13), ce qui </w:t>
      </w:r>
      <w:r w:rsidR="00453149">
        <w:t xml:space="preserve">peut </w:t>
      </w:r>
      <w:r w:rsidRPr="00E24642">
        <w:t>signifie</w:t>
      </w:r>
      <w:r w:rsidR="00453149">
        <w:t>r</w:t>
      </w:r>
      <w:r w:rsidRPr="00E24642">
        <w:t xml:space="preserve"> que certains individus ou groupes au sein de la communauté concernée peuvent conserver un contrôle plus important sur le PCI que les autres. </w:t>
      </w:r>
      <w:r w:rsidRPr="00221202">
        <w:t xml:space="preserve">Dans le cas du </w:t>
      </w:r>
      <w:proofErr w:type="spellStart"/>
      <w:r w:rsidRPr="00221202">
        <w:rPr>
          <w:i/>
        </w:rPr>
        <w:t>tatau</w:t>
      </w:r>
      <w:proofErr w:type="spellEnd"/>
      <w:r w:rsidRPr="00221202">
        <w:t>, les « pratiques coutumières qui régissent l’accès »</w:t>
      </w:r>
      <w:r w:rsidR="00236E7D" w:rsidRPr="00221202">
        <w:t xml:space="preserve"> à cet art </w:t>
      </w:r>
      <w:r w:rsidRPr="00221202">
        <w:t xml:space="preserve">sont susceptibles d’être contestées par ceux qui veulent le hisser au rang de symbole </w:t>
      </w:r>
      <w:r w:rsidR="00D43F6D" w:rsidRPr="00221202">
        <w:t>d</w:t>
      </w:r>
      <w:r w:rsidR="001356A3">
        <w:t>es</w:t>
      </w:r>
      <w:r w:rsidRPr="00221202">
        <w:t xml:space="preserve"> Samoa en général</w:t>
      </w:r>
      <w:r w:rsidR="006C53DC" w:rsidRPr="00221202">
        <w:t xml:space="preserve">, et soutenues par ceux qui veulent </w:t>
      </w:r>
      <w:r w:rsidR="00453149">
        <w:t xml:space="preserve">en </w:t>
      </w:r>
      <w:r w:rsidR="006C53DC" w:rsidRPr="00221202">
        <w:t xml:space="preserve">limiter </w:t>
      </w:r>
      <w:r w:rsidR="00453149">
        <w:t>l’</w:t>
      </w:r>
      <w:r w:rsidR="006C53DC" w:rsidRPr="00221202">
        <w:t>usage</w:t>
      </w:r>
      <w:r w:rsidR="00031DCB" w:rsidRPr="00221202">
        <w:t xml:space="preserve"> aux </w:t>
      </w:r>
      <w:r w:rsidR="00453149">
        <w:t>rites d’initiation à l’identité samoane</w:t>
      </w:r>
      <w:r w:rsidR="00031DCB" w:rsidRPr="00221202">
        <w:t xml:space="preserve">. </w:t>
      </w:r>
      <w:r w:rsidR="00BF4CD4" w:rsidRPr="003606D4">
        <w:t xml:space="preserve">Les familles de </w:t>
      </w:r>
      <w:proofErr w:type="spellStart"/>
      <w:r w:rsidR="00BF4CD4" w:rsidRPr="003606D4">
        <w:rPr>
          <w:i/>
        </w:rPr>
        <w:t>tufuga</w:t>
      </w:r>
      <w:proofErr w:type="spellEnd"/>
      <w:r w:rsidR="00BF4CD4" w:rsidRPr="003606D4">
        <w:t xml:space="preserve"> peuvent quant à elles tenter de conserver leur autorité sur l’usage du </w:t>
      </w:r>
      <w:proofErr w:type="spellStart"/>
      <w:r w:rsidR="00BF4CD4" w:rsidRPr="003606D4">
        <w:rPr>
          <w:i/>
        </w:rPr>
        <w:t>tatau</w:t>
      </w:r>
      <w:proofErr w:type="spellEnd"/>
      <w:r w:rsidR="00BF4CD4" w:rsidRPr="003606D4">
        <w:t xml:space="preserve"> et s’assurer </w:t>
      </w:r>
      <w:r w:rsidR="00407FAF">
        <w:t xml:space="preserve">d’en tirer </w:t>
      </w:r>
      <w:r w:rsidR="00BF4CD4" w:rsidRPr="003606D4">
        <w:t>un</w:t>
      </w:r>
      <w:r w:rsidR="003606D4" w:rsidRPr="003606D4">
        <w:t xml:space="preserve"> revenu.</w:t>
      </w:r>
    </w:p>
    <w:p w:rsidR="00BF4CD4" w:rsidRPr="00E24642" w:rsidRDefault="00A77EAE" w:rsidP="002C4E8F">
      <w:pPr>
        <w:pStyle w:val="Texte1"/>
      </w:pPr>
      <w:r w:rsidRPr="00E24642">
        <w:t xml:space="preserve">Le fait de réaliser un inventaire du </w:t>
      </w:r>
      <w:proofErr w:type="spellStart"/>
      <w:r w:rsidRPr="00E24642">
        <w:rPr>
          <w:i/>
        </w:rPr>
        <w:t>tatau</w:t>
      </w:r>
      <w:proofErr w:type="spellEnd"/>
      <w:r w:rsidR="00B955C0">
        <w:rPr>
          <w:i/>
        </w:rPr>
        <w:t>,</w:t>
      </w:r>
      <w:r w:rsidRPr="00E24642">
        <w:t xml:space="preserve"> au titre de la Convention</w:t>
      </w:r>
      <w:r w:rsidR="00B955C0">
        <w:t>,</w:t>
      </w:r>
      <w:r w:rsidRPr="00E24642">
        <w:t xml:space="preserve"> ne conférerait aucun</w:t>
      </w:r>
      <w:r w:rsidR="00D43F6D" w:rsidRPr="00E24642">
        <w:t>s</w:t>
      </w:r>
      <w:r w:rsidRPr="00E24642">
        <w:t xml:space="preserve"> nouveaux droits juridiques à un groupe spécifique, comme les </w:t>
      </w:r>
      <w:proofErr w:type="spellStart"/>
      <w:r w:rsidRPr="00E24642">
        <w:rPr>
          <w:i/>
        </w:rPr>
        <w:t>tufuga</w:t>
      </w:r>
      <w:proofErr w:type="spellEnd"/>
      <w:r w:rsidRPr="00E24642">
        <w:t xml:space="preserve"> par exemple. Néanmoins,</w:t>
      </w:r>
      <w:r w:rsidR="00B24799" w:rsidRPr="00E24642">
        <w:t xml:space="preserve"> </w:t>
      </w:r>
      <w:r w:rsidR="003F34AF" w:rsidRPr="00E24642">
        <w:t>si</w:t>
      </w:r>
      <w:r w:rsidR="00B24799" w:rsidRPr="00E24642">
        <w:t xml:space="preserve"> la législation </w:t>
      </w:r>
      <w:r w:rsidR="003F34AF" w:rsidRPr="00E24642">
        <w:t xml:space="preserve">sur la propriété intellectuelle </w:t>
      </w:r>
      <w:r w:rsidR="00B24799" w:rsidRPr="00E24642">
        <w:t>en vigueur au</w:t>
      </w:r>
      <w:r w:rsidR="001356A3">
        <w:t>x</w:t>
      </w:r>
      <w:r w:rsidR="00B24799" w:rsidRPr="00E24642">
        <w:t xml:space="preserve"> Samoa permet de réclamer des droits </w:t>
      </w:r>
      <w:r w:rsidR="00B24799" w:rsidRPr="00E24642">
        <w:lastRenderedPageBreak/>
        <w:t>de propriété sur le</w:t>
      </w:r>
      <w:r w:rsidR="005D2328" w:rsidRPr="00E24642">
        <w:t>s</w:t>
      </w:r>
      <w:r w:rsidR="00B24799" w:rsidRPr="00E24642">
        <w:t xml:space="preserve"> savoirs traditionnels,</w:t>
      </w:r>
      <w:r w:rsidRPr="00E24642">
        <w:t xml:space="preserve"> il est possible que l</w:t>
      </w:r>
      <w:r w:rsidR="00F02126">
        <w:t xml:space="preserve">es </w:t>
      </w:r>
      <w:r w:rsidRPr="00E24642">
        <w:t>inventaire</w:t>
      </w:r>
      <w:r w:rsidR="00F02126">
        <w:t>s</w:t>
      </w:r>
      <w:r w:rsidRPr="00E24642">
        <w:t xml:space="preserve"> du PCI soi</w:t>
      </w:r>
      <w:r w:rsidR="00F02126">
        <w:t>en</w:t>
      </w:r>
      <w:r w:rsidRPr="00E24642">
        <w:t>t utilisé</w:t>
      </w:r>
      <w:r w:rsidR="00F02126">
        <w:t>s</w:t>
      </w:r>
      <w:r w:rsidRPr="00E24642">
        <w:t xml:space="preserve"> </w:t>
      </w:r>
      <w:r w:rsidR="00F02126">
        <w:t>comme preuve de propriété</w:t>
      </w:r>
      <w:r w:rsidR="00B24799" w:rsidRPr="00E24642">
        <w:t>.</w:t>
      </w:r>
      <w:r w:rsidR="003D1AEA" w:rsidRPr="00E24642">
        <w:t xml:space="preserve"> </w:t>
      </w:r>
      <w:r w:rsidR="003F34AF" w:rsidRPr="00E24642">
        <w:t xml:space="preserve">Les propriétaires des savoirs traditionnels </w:t>
      </w:r>
      <w:r w:rsidR="00EC5406">
        <w:t>(</w:t>
      </w:r>
      <w:r w:rsidR="003F34AF" w:rsidRPr="00E24642">
        <w:t>s’ils peuvent être identifiés</w:t>
      </w:r>
      <w:r w:rsidR="00EC5406">
        <w:t>)</w:t>
      </w:r>
      <w:r w:rsidR="003F34AF" w:rsidRPr="00E24642">
        <w:t xml:space="preserve"> seront susceptibles de réclamer le droit exclusif de déterminer</w:t>
      </w:r>
      <w:r w:rsidR="00B955C0" w:rsidRPr="00B955C0">
        <w:t>, le cas échéant</w:t>
      </w:r>
      <w:r w:rsidR="00B955C0">
        <w:t>,</w:t>
      </w:r>
      <w:r w:rsidR="003F34AF" w:rsidRPr="00E24642">
        <w:t xml:space="preserve"> quelles mesures de sauvegarde doivent être mises en place.</w:t>
      </w:r>
    </w:p>
    <w:p w:rsidR="005D2328" w:rsidRPr="00E24642" w:rsidRDefault="00A620E4" w:rsidP="002C4E8F">
      <w:pPr>
        <w:pStyle w:val="Texte1"/>
      </w:pPr>
      <w:r w:rsidRPr="00A42BDE">
        <w:t xml:space="preserve">Les Directives opérationnelles de la Convention encouragent les </w:t>
      </w:r>
      <w:r w:rsidRPr="00A620E4">
        <w:t>États</w:t>
      </w:r>
      <w:r w:rsidRPr="00A42BDE">
        <w:t xml:space="preserve"> parties à faire en sorte, notamment à travers l’application des droits de propriété intellectuelle [</w:t>
      </w:r>
      <w:r>
        <w:t>…], que les droits des communautés, des groupes et des individus concernés so</w:t>
      </w:r>
      <w:r w:rsidR="005112C3">
        <w:t>ie</w:t>
      </w:r>
      <w:r>
        <w:t xml:space="preserve">nt dûment protégés lorsqu’ils sensibilisent à ce patrimoine ou entreprennent des activités commerciales </w:t>
      </w:r>
      <w:r w:rsidRPr="00A42BDE">
        <w:t>(</w:t>
      </w:r>
      <w:r w:rsidR="005112C3">
        <w:t xml:space="preserve">DO </w:t>
      </w:r>
      <w:r w:rsidRPr="00A42BDE">
        <w:t xml:space="preserve">104). </w:t>
      </w:r>
      <w:r>
        <w:t>En effet</w:t>
      </w:r>
      <w:r w:rsidRPr="00A42BDE">
        <w:t xml:space="preserve">, </w:t>
      </w:r>
      <w:r w:rsidR="00D27471" w:rsidRPr="0003162A">
        <w:t xml:space="preserve">des activités comme la documentation ou le travail d’inventaire du PCI peuvent créer </w:t>
      </w:r>
      <w:r w:rsidR="0003162A" w:rsidRPr="0003162A">
        <w:t>de nouveaux droits de propriété</w:t>
      </w:r>
      <w:r w:rsidR="00223153" w:rsidRPr="0003162A">
        <w:t xml:space="preserve"> intellectuelle</w:t>
      </w:r>
      <w:r w:rsidR="0087621F">
        <w:t xml:space="preserve"> (à travers</w:t>
      </w:r>
      <w:r w:rsidR="00D27471" w:rsidRPr="0003162A">
        <w:t xml:space="preserve"> la documentation ou les bases de données</w:t>
      </w:r>
      <w:r w:rsidR="0087621F">
        <w:t>)</w:t>
      </w:r>
      <w:r w:rsidR="00D27471" w:rsidRPr="0003162A">
        <w:t>, accordés par défaut à des agences étatiques, des chercheurs ou encore des ONG impliqués dans la réalisation de ces inventaires.</w:t>
      </w:r>
      <w:r w:rsidR="00216EBE" w:rsidRPr="0003162A">
        <w:t xml:space="preserve"> </w:t>
      </w:r>
      <w:r w:rsidR="00216EBE" w:rsidRPr="00E24642">
        <w:t xml:space="preserve">Par conséquent, ces droits </w:t>
      </w:r>
      <w:r w:rsidR="0071728C" w:rsidRPr="00E24642">
        <w:t>d</w:t>
      </w:r>
      <w:r w:rsidR="0071728C">
        <w:t>evraient p</w:t>
      </w:r>
      <w:r w:rsidR="0017769B">
        <w:t>robablement</w:t>
      </w:r>
      <w:r w:rsidR="0071728C" w:rsidRPr="00E24642">
        <w:t xml:space="preserve"> </w:t>
      </w:r>
      <w:r w:rsidR="00216EBE" w:rsidRPr="00E24642">
        <w:t>être assignés en particulier aux communautés, groupes et individus concernés.</w:t>
      </w:r>
      <w:r w:rsidR="00A30ABF" w:rsidRPr="00E24642">
        <w:t xml:space="preserve"> Si les droits </w:t>
      </w:r>
      <w:r w:rsidR="0071728C">
        <w:t>de propriété intellectuelle</w:t>
      </w:r>
      <w:r w:rsidR="0071728C" w:rsidRPr="00E24642">
        <w:t xml:space="preserve"> </w:t>
      </w:r>
      <w:r w:rsidR="00A30ABF" w:rsidRPr="00E24642">
        <w:t xml:space="preserve">sont assignés aux membres de la communauté, il convient de savoir si ces droits reviennent aux </w:t>
      </w:r>
      <w:proofErr w:type="spellStart"/>
      <w:r w:rsidR="00A30ABF" w:rsidRPr="00E24642">
        <w:rPr>
          <w:i/>
        </w:rPr>
        <w:t>tufuga</w:t>
      </w:r>
      <w:proofErr w:type="spellEnd"/>
      <w:r w:rsidR="00A30ABF" w:rsidRPr="00E24642">
        <w:t xml:space="preserve"> ou bien à une organisation communautaire plus large.</w:t>
      </w:r>
    </w:p>
    <w:p w:rsidR="00A30ABF" w:rsidRPr="00934F52" w:rsidRDefault="003606D4" w:rsidP="00C5255E">
      <w:pPr>
        <w:pStyle w:val="Heading4"/>
      </w:pPr>
      <w:r>
        <w:t>Conclusion</w:t>
      </w:r>
    </w:p>
    <w:p w:rsidR="00B66DC2" w:rsidRDefault="00934F52" w:rsidP="002C4E8F">
      <w:pPr>
        <w:pStyle w:val="Texte1"/>
      </w:pPr>
      <w:r w:rsidRPr="00E24642">
        <w:t xml:space="preserve">Pour conclure, il apparaît que les trois approches évoquées en matière de politiques </w:t>
      </w:r>
      <w:r w:rsidR="00CA2D2E">
        <w:t xml:space="preserve">se rejoignent </w:t>
      </w:r>
      <w:r w:rsidR="0017769B">
        <w:t xml:space="preserve"> sur plusieurs points</w:t>
      </w:r>
      <w:r w:rsidR="00CA2D2E">
        <w:t>,</w:t>
      </w:r>
      <w:r w:rsidRPr="00E24642">
        <w:t xml:space="preserve"> </w:t>
      </w:r>
      <w:r w:rsidR="0017769B">
        <w:t xml:space="preserve">et </w:t>
      </w:r>
      <w:r w:rsidRPr="00E24642">
        <w:t>diffèrent sur</w:t>
      </w:r>
      <w:r w:rsidR="0017769B">
        <w:t xml:space="preserve"> d’autres</w:t>
      </w:r>
      <w:r w:rsidRPr="00E24642">
        <w:t xml:space="preserve">. </w:t>
      </w:r>
      <w:r w:rsidRPr="0003162A">
        <w:t xml:space="preserve">Ces approches </w:t>
      </w:r>
      <w:r w:rsidR="0071728C">
        <w:t xml:space="preserve">proposent </w:t>
      </w:r>
      <w:r w:rsidRPr="0003162A">
        <w:t xml:space="preserve">des </w:t>
      </w:r>
      <w:r w:rsidR="00F02126">
        <w:t>réponses</w:t>
      </w:r>
      <w:r w:rsidR="00F02126" w:rsidRPr="0003162A">
        <w:t xml:space="preserve"> </w:t>
      </w:r>
      <w:r w:rsidR="0017769B">
        <w:t xml:space="preserve">très diverses </w:t>
      </w:r>
      <w:r w:rsidRPr="0003162A">
        <w:t xml:space="preserve">notamment pour désigner </w:t>
      </w:r>
      <w:r w:rsidR="0017769B">
        <w:t xml:space="preserve">les bénéficiaires </w:t>
      </w:r>
      <w:r w:rsidR="0003162A" w:rsidRPr="0003162A">
        <w:t>du PCI</w:t>
      </w:r>
      <w:r w:rsidR="0017769B">
        <w:t>,</w:t>
      </w:r>
      <w:r w:rsidR="0003162A" w:rsidRPr="0003162A">
        <w:t xml:space="preserve"> </w:t>
      </w:r>
      <w:r w:rsidR="0003162A">
        <w:t>tel que</w:t>
      </w:r>
      <w:r w:rsidR="0003162A" w:rsidRPr="0003162A">
        <w:t xml:space="preserve"> le </w:t>
      </w:r>
      <w:proofErr w:type="spellStart"/>
      <w:r w:rsidR="0003162A" w:rsidRPr="0003162A">
        <w:rPr>
          <w:i/>
        </w:rPr>
        <w:t>tatau</w:t>
      </w:r>
      <w:proofErr w:type="spellEnd"/>
      <w:r w:rsidR="0003162A" w:rsidRPr="0003162A">
        <w:t xml:space="preserve">, </w:t>
      </w:r>
      <w:r w:rsidRPr="0003162A">
        <w:t xml:space="preserve">et </w:t>
      </w:r>
      <w:r w:rsidR="0071728C">
        <w:t>en</w:t>
      </w:r>
      <w:r w:rsidRPr="0003162A">
        <w:t xml:space="preserve"> contrôler </w:t>
      </w:r>
      <w:r w:rsidR="0071728C">
        <w:t>la pratique</w:t>
      </w:r>
      <w:r w:rsidR="0003162A">
        <w:t xml:space="preserve">. </w:t>
      </w:r>
      <w:r w:rsidR="00B66DC2" w:rsidRPr="00C5255E">
        <w:t xml:space="preserve">Par conséquent, il est important </w:t>
      </w:r>
      <w:r w:rsidR="0003162A">
        <w:t>de considérer comment</w:t>
      </w:r>
      <w:r w:rsidR="00B66DC2" w:rsidRPr="00C5255E">
        <w:t xml:space="preserve"> ces approches en matière de politiques peuvent interagir les unes avec les autres et dans quelle mesure </w:t>
      </w:r>
      <w:r w:rsidR="0017769B">
        <w:t xml:space="preserve">il serait possible </w:t>
      </w:r>
      <w:r w:rsidR="00F02126">
        <w:t>d</w:t>
      </w:r>
      <w:r w:rsidR="00B66DC2" w:rsidRPr="00C5255E">
        <w:t>e</w:t>
      </w:r>
      <w:r w:rsidR="0017769B">
        <w:t xml:space="preserve"> réduire et contrôler d’</w:t>
      </w:r>
      <w:r w:rsidR="0017769B" w:rsidRPr="0017769B">
        <w:t>éventuelles</w:t>
      </w:r>
      <w:r w:rsidR="0017769B">
        <w:t xml:space="preserve"> </w:t>
      </w:r>
      <w:r w:rsidR="00B66DC2" w:rsidRPr="00C5255E">
        <w:t xml:space="preserve">tensions  dans le contexte de la sauvegarde du </w:t>
      </w:r>
      <w:proofErr w:type="spellStart"/>
      <w:r w:rsidR="00B66DC2" w:rsidRPr="00C5255E">
        <w:rPr>
          <w:i/>
        </w:rPr>
        <w:t>tatau</w:t>
      </w:r>
      <w:proofErr w:type="spellEnd"/>
      <w:r w:rsidR="00B66DC2" w:rsidRPr="00C5255E">
        <w:t>.</w:t>
      </w:r>
    </w:p>
    <w:p w:rsidR="0008423E" w:rsidRDefault="0008423E" w:rsidP="0008423E">
      <w:pPr>
        <w:pStyle w:val="Heading4"/>
        <w:tabs>
          <w:tab w:val="left" w:pos="3278"/>
        </w:tabs>
      </w:pPr>
      <w:r>
        <w:t>Questions à traiter :</w:t>
      </w:r>
    </w:p>
    <w:p w:rsidR="00E13B76" w:rsidRDefault="0008423E" w:rsidP="002C4E8F">
      <w:pPr>
        <w:pStyle w:val="Texte1"/>
        <w:numPr>
          <w:ilvl w:val="0"/>
          <w:numId w:val="3"/>
        </w:numPr>
      </w:pPr>
      <w:r w:rsidRPr="00E24642">
        <w:t xml:space="preserve">Quelles approches en matière de culture et </w:t>
      </w:r>
      <w:r w:rsidR="0017769B">
        <w:t xml:space="preserve">de </w:t>
      </w:r>
      <w:r w:rsidRPr="00E24642">
        <w:t xml:space="preserve">développement ont influencé les </w:t>
      </w:r>
      <w:r>
        <w:t>réponses</w:t>
      </w:r>
      <w:r w:rsidRPr="00E24642">
        <w:t xml:space="preserve"> apportées à la sauvegarde du </w:t>
      </w:r>
      <w:proofErr w:type="spellStart"/>
      <w:r w:rsidRPr="00E24642">
        <w:rPr>
          <w:i/>
        </w:rPr>
        <w:t>tatau</w:t>
      </w:r>
      <w:proofErr w:type="spellEnd"/>
      <w:r w:rsidRPr="00E24642">
        <w:t xml:space="preserve"> dans les îles du Pacifique</w:t>
      </w:r>
      <w:r>
        <w:t> ?</w:t>
      </w:r>
    </w:p>
    <w:p w:rsidR="0008423E" w:rsidRPr="003606D4" w:rsidRDefault="0008423E" w:rsidP="002C4E8F">
      <w:pPr>
        <w:pStyle w:val="Texte1"/>
        <w:numPr>
          <w:ilvl w:val="0"/>
          <w:numId w:val="3"/>
        </w:numPr>
      </w:pPr>
      <w:r>
        <w:t xml:space="preserve">Quel </w:t>
      </w:r>
      <w:r w:rsidR="00E13B76">
        <w:t>lien existe-t-il</w:t>
      </w:r>
      <w:r>
        <w:t xml:space="preserve"> entre </w:t>
      </w:r>
      <w:r w:rsidRPr="003606D4">
        <w:t xml:space="preserve">ces approches </w:t>
      </w:r>
      <w:r>
        <w:t xml:space="preserve">et </w:t>
      </w:r>
      <w:r w:rsidR="0017769B">
        <w:t xml:space="preserve">à la fois </w:t>
      </w:r>
      <w:r w:rsidRPr="003606D4">
        <w:t>le droit régional et international</w:t>
      </w:r>
      <w:r>
        <w:t> ?</w:t>
      </w:r>
    </w:p>
    <w:p w:rsidR="0008423E" w:rsidRDefault="0008423E" w:rsidP="002C4E8F">
      <w:pPr>
        <w:pStyle w:val="Texte1"/>
        <w:numPr>
          <w:ilvl w:val="0"/>
          <w:numId w:val="3"/>
        </w:numPr>
      </w:pPr>
      <w:r w:rsidRPr="00E24642">
        <w:t>Pourquoi cette étude de cas suggère-t-elle que les trois cadres politiques donneront lieu à des résultats différents</w:t>
      </w:r>
      <w:r w:rsidR="00E13B76">
        <w:t xml:space="preserve"> quant à la pratique</w:t>
      </w:r>
      <w:r w:rsidRPr="005C39C8">
        <w:t> </w:t>
      </w:r>
      <w:r w:rsidR="00E13B76">
        <w:t xml:space="preserve">du </w:t>
      </w:r>
      <w:proofErr w:type="spellStart"/>
      <w:r w:rsidR="00E13B76" w:rsidRPr="00E24642">
        <w:rPr>
          <w:i/>
        </w:rPr>
        <w:t>tatau</w:t>
      </w:r>
      <w:proofErr w:type="spellEnd"/>
      <w:r w:rsidR="00E13B76">
        <w:rPr>
          <w:i/>
        </w:rPr>
        <w:t xml:space="preserve"> </w:t>
      </w:r>
      <w:r w:rsidR="00E13B76">
        <w:t xml:space="preserve">aux Samoa </w:t>
      </w:r>
      <w:r w:rsidRPr="00A42BDE">
        <w:t>?</w:t>
      </w:r>
    </w:p>
    <w:p w:rsidR="00E13B76" w:rsidRPr="00A42BDE" w:rsidRDefault="00E13B76" w:rsidP="002C4E8F">
      <w:pPr>
        <w:pStyle w:val="Texte1"/>
        <w:numPr>
          <w:ilvl w:val="0"/>
          <w:numId w:val="3"/>
        </w:numPr>
      </w:pPr>
      <w:r>
        <w:t>Quels effets auraient l’insertion,</w:t>
      </w:r>
      <w:r w:rsidRPr="00E13B76">
        <w:t xml:space="preserve"> </w:t>
      </w:r>
      <w:r>
        <w:t xml:space="preserve">dans des bases de données destinées aux savoirs traditionnels, d’informations au sujet du </w:t>
      </w:r>
      <w:proofErr w:type="spellStart"/>
      <w:r w:rsidRPr="00E24642">
        <w:rPr>
          <w:i/>
        </w:rPr>
        <w:t>tatau</w:t>
      </w:r>
      <w:proofErr w:type="spellEnd"/>
      <w:r>
        <w:rPr>
          <w:i/>
        </w:rPr>
        <w:t xml:space="preserve"> </w:t>
      </w:r>
      <w:r>
        <w:t>et d’inventaires du PCI ?</w:t>
      </w:r>
    </w:p>
    <w:p w:rsidR="0008423E" w:rsidRPr="00A87C37" w:rsidRDefault="0008423E" w:rsidP="002C4E8F">
      <w:pPr>
        <w:pStyle w:val="Texte1"/>
        <w:numPr>
          <w:ilvl w:val="0"/>
          <w:numId w:val="3"/>
        </w:numPr>
      </w:pPr>
      <w:r w:rsidRPr="00E24642">
        <w:t>Avez-vous d’autres exemples</w:t>
      </w:r>
      <w:r w:rsidR="007F2943">
        <w:t xml:space="preserve"> de tensions potentielles,</w:t>
      </w:r>
      <w:r w:rsidRPr="00E24642">
        <w:t xml:space="preserve"> tiré</w:t>
      </w:r>
      <w:r w:rsidR="0017769B">
        <w:t>e</w:t>
      </w:r>
      <w:r w:rsidRPr="00E24642">
        <w:t>s de votre expérience</w:t>
      </w:r>
      <w:r w:rsidR="0017769B">
        <w:t xml:space="preserve"> personnelle</w:t>
      </w:r>
      <w:r w:rsidR="007F2943">
        <w:t xml:space="preserve">, </w:t>
      </w:r>
      <w:r w:rsidR="00C24CA9">
        <w:t xml:space="preserve">en raison </w:t>
      </w:r>
      <w:r w:rsidR="007F2943">
        <w:t xml:space="preserve">d’approches </w:t>
      </w:r>
      <w:r w:rsidR="007F2943" w:rsidRPr="00E24642">
        <w:t>différent</w:t>
      </w:r>
      <w:r w:rsidR="007F2943">
        <w:t>e</w:t>
      </w:r>
      <w:r w:rsidR="007F2943" w:rsidRPr="00E24642">
        <w:t>s</w:t>
      </w:r>
      <w:r w:rsidR="007F2943">
        <w:t xml:space="preserve"> en matière de </w:t>
      </w:r>
      <w:r w:rsidRPr="00E24642">
        <w:t>politiques</w:t>
      </w:r>
      <w:r>
        <w:t> ?</w:t>
      </w:r>
    </w:p>
    <w:sectPr w:rsidR="0008423E" w:rsidRPr="00A87C37" w:rsidSect="003606D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F3" w:rsidRDefault="00BF3BF3" w:rsidP="002740E5">
      <w:pPr>
        <w:spacing w:after="0" w:line="240" w:lineRule="auto"/>
      </w:pPr>
      <w:r>
        <w:separator/>
      </w:r>
    </w:p>
  </w:endnote>
  <w:endnote w:type="continuationSeparator" w:id="0">
    <w:p w:rsidR="00BF3BF3" w:rsidRDefault="00BF3BF3" w:rsidP="0027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4" w:rsidRPr="003606D4" w:rsidRDefault="00063CFA" w:rsidP="003606D4">
    <w:pPr>
      <w:keepNext/>
      <w:tabs>
        <w:tab w:val="center" w:pos="4423"/>
        <w:tab w:val="right" w:pos="8845"/>
      </w:tabs>
      <w:snapToGrid w:val="0"/>
      <w:spacing w:after="0" w:line="280" w:lineRule="exact"/>
      <w:rPr>
        <w:rFonts w:ascii="Arial" w:eastAsia="SimSun" w:hAnsi="Arial" w:cs="Arial"/>
        <w:snapToGrid w:val="0"/>
        <w:sz w:val="16"/>
        <w:szCs w:val="18"/>
        <w:lang w:eastAsia="zh-CN"/>
      </w:rPr>
    </w:pPr>
    <w:r w:rsidRPr="006021AD">
      <w:rPr>
        <w:noProof/>
        <w:lang w:eastAsia="fr-FR"/>
      </w:rPr>
      <w:drawing>
        <wp:anchor distT="0" distB="0" distL="114300" distR="114300" simplePos="0" relativeHeight="251667456" behindDoc="0" locked="0" layoutInCell="1" allowOverlap="1" wp14:anchorId="49F2FD6E" wp14:editId="09F143F9">
          <wp:simplePos x="0" y="0"/>
          <wp:positionH relativeFrom="column">
            <wp:posOffset>2646680</wp:posOffset>
          </wp:positionH>
          <wp:positionV relativeFrom="paragraph">
            <wp:posOffset>0</wp:posOffset>
          </wp:positionV>
          <wp:extent cx="542925" cy="190500"/>
          <wp:effectExtent l="0" t="0" r="9525" b="0"/>
          <wp:wrapThrough wrapText="bothSides">
            <wp:wrapPolygon edited="0">
              <wp:start x="0" y="0"/>
              <wp:lineTo x="0" y="19440"/>
              <wp:lineTo x="21221" y="19440"/>
              <wp:lineTo x="2122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606D4" w:rsidRPr="003606D4">
      <w:rPr>
        <w:rFonts w:ascii="Arial" w:eastAsia="SimSun" w:hAnsi="Arial" w:cs="Arial"/>
        <w:noProof/>
        <w:snapToGrid w:val="0"/>
        <w:sz w:val="16"/>
        <w:szCs w:val="18"/>
        <w:lang w:eastAsia="fr-FR"/>
      </w:rPr>
      <w:drawing>
        <wp:anchor distT="0" distB="0" distL="114300" distR="114300" simplePos="0" relativeHeight="251661312" behindDoc="1" locked="1" layoutInCell="1" allowOverlap="0" wp14:anchorId="7683F1A3" wp14:editId="3ED9F0AD">
          <wp:simplePos x="0" y="0"/>
          <wp:positionH relativeFrom="column">
            <wp:posOffset>-635</wp:posOffset>
          </wp:positionH>
          <wp:positionV relativeFrom="margin">
            <wp:posOffset>8917940</wp:posOffset>
          </wp:positionV>
          <wp:extent cx="908050" cy="615950"/>
          <wp:effectExtent l="0" t="0" r="6350" b="0"/>
          <wp:wrapThrough wrapText="bothSides">
            <wp:wrapPolygon edited="0">
              <wp:start x="0" y="0"/>
              <wp:lineTo x="0" y="20709"/>
              <wp:lineTo x="21298" y="20709"/>
              <wp:lineTo x="21298" y="0"/>
              <wp:lineTo x="0" y="0"/>
            </wp:wrapPolygon>
          </wp:wrapThrough>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06D4" w:rsidRPr="003606D4">
      <w:rPr>
        <w:rFonts w:ascii="Arial" w:eastAsia="SimSun" w:hAnsi="Arial" w:cs="Arial"/>
        <w:snapToGrid w:val="0"/>
        <w:sz w:val="16"/>
        <w:szCs w:val="18"/>
        <w:lang w:eastAsia="zh-CN"/>
      </w:rPr>
      <w:tab/>
    </w:r>
    <w:r w:rsidR="003606D4">
      <w:rPr>
        <w:rFonts w:ascii="Arial" w:eastAsia="SimSun" w:hAnsi="Arial" w:cs="Arial"/>
        <w:snapToGrid w:val="0"/>
        <w:sz w:val="16"/>
        <w:szCs w:val="18"/>
        <w:lang w:eastAsia="zh-CN"/>
      </w:rPr>
      <w:tab/>
      <w:t>CS3</w:t>
    </w:r>
    <w:r w:rsidR="003606D4" w:rsidRPr="003606D4">
      <w:rPr>
        <w:rFonts w:ascii="Arial" w:eastAsia="SimSun" w:hAnsi="Arial" w:cs="Arial"/>
        <w:snapToGrid w:val="0"/>
        <w:sz w:val="16"/>
        <w:szCs w:val="18"/>
        <w:lang w:eastAsia="zh-CN"/>
      </w:rPr>
      <w:t>8-v1.0-FR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4" w:rsidRPr="003606D4" w:rsidRDefault="00063CFA" w:rsidP="003606D4">
    <w:pPr>
      <w:keepNext/>
      <w:tabs>
        <w:tab w:val="center" w:pos="4423"/>
        <w:tab w:val="right" w:pos="8845"/>
      </w:tabs>
      <w:snapToGrid w:val="0"/>
      <w:spacing w:after="0" w:line="280" w:lineRule="exact"/>
      <w:rPr>
        <w:rFonts w:ascii="Arial" w:eastAsia="SimSun" w:hAnsi="Arial" w:cs="Arial"/>
        <w:snapToGrid w:val="0"/>
        <w:sz w:val="16"/>
        <w:szCs w:val="18"/>
        <w:lang w:eastAsia="zh-CN"/>
      </w:rPr>
    </w:pPr>
    <w:r w:rsidRPr="006021AD">
      <w:rPr>
        <w:noProof/>
        <w:lang w:eastAsia="fr-FR"/>
      </w:rPr>
      <w:drawing>
        <wp:anchor distT="0" distB="0" distL="114300" distR="114300" simplePos="0" relativeHeight="251669504" behindDoc="0" locked="0" layoutInCell="1" allowOverlap="1" wp14:anchorId="6CD7CCA0" wp14:editId="2DD21940">
          <wp:simplePos x="0" y="0"/>
          <wp:positionH relativeFrom="column">
            <wp:posOffset>2715895</wp:posOffset>
          </wp:positionH>
          <wp:positionV relativeFrom="paragraph">
            <wp:posOffset>17145</wp:posOffset>
          </wp:positionV>
          <wp:extent cx="542925" cy="190500"/>
          <wp:effectExtent l="0" t="0" r="9525" b="0"/>
          <wp:wrapThrough wrapText="bothSides">
            <wp:wrapPolygon edited="0">
              <wp:start x="0" y="0"/>
              <wp:lineTo x="0" y="19440"/>
              <wp:lineTo x="21221" y="19440"/>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606D4">
      <w:rPr>
        <w:rFonts w:ascii="Arial" w:eastAsia="SimSun" w:hAnsi="Arial" w:cs="Arial"/>
        <w:snapToGrid w:val="0"/>
        <w:sz w:val="16"/>
        <w:szCs w:val="18"/>
        <w:lang w:eastAsia="zh-CN"/>
      </w:rPr>
      <w:t>CS3</w:t>
    </w:r>
    <w:r w:rsidR="003606D4" w:rsidRPr="003606D4">
      <w:rPr>
        <w:rFonts w:ascii="Arial" w:eastAsia="SimSun" w:hAnsi="Arial" w:cs="Arial"/>
        <w:snapToGrid w:val="0"/>
        <w:sz w:val="16"/>
        <w:szCs w:val="18"/>
        <w:lang w:eastAsia="zh-CN"/>
      </w:rPr>
      <w:t>8-v1.0-FR</w:t>
    </w:r>
    <w:r w:rsidR="003606D4" w:rsidRPr="003606D4">
      <w:rPr>
        <w:rFonts w:ascii="Arial" w:eastAsia="SimSun" w:hAnsi="Arial" w:cs="Arial"/>
        <w:snapToGrid w:val="0"/>
        <w:sz w:val="16"/>
        <w:szCs w:val="18"/>
        <w:lang w:eastAsia="zh-CN"/>
      </w:rPr>
      <w:tab/>
    </w:r>
    <w:r w:rsidR="003606D4" w:rsidRPr="003606D4">
      <w:rPr>
        <w:rFonts w:ascii="Arial" w:eastAsia="SimSun" w:hAnsi="Arial" w:cs="Arial"/>
        <w:snapToGrid w:val="0"/>
        <w:sz w:val="16"/>
        <w:szCs w:val="18"/>
        <w:lang w:eastAsia="zh-CN"/>
      </w:rPr>
      <w:tab/>
    </w:r>
    <w:r w:rsidR="003606D4" w:rsidRPr="003606D4">
      <w:rPr>
        <w:rFonts w:ascii="Arial" w:eastAsia="SimSun" w:hAnsi="Arial" w:cs="Arial"/>
        <w:noProof/>
        <w:snapToGrid w:val="0"/>
        <w:sz w:val="16"/>
        <w:szCs w:val="18"/>
        <w:lang w:eastAsia="fr-FR"/>
      </w:rPr>
      <w:drawing>
        <wp:anchor distT="0" distB="0" distL="114300" distR="114300" simplePos="0" relativeHeight="251663360" behindDoc="1" locked="1" layoutInCell="1" allowOverlap="0" wp14:anchorId="4420AD43" wp14:editId="34A3C5DF">
          <wp:simplePos x="0" y="0"/>
          <wp:positionH relativeFrom="column">
            <wp:posOffset>4679315</wp:posOffset>
          </wp:positionH>
          <wp:positionV relativeFrom="margin">
            <wp:posOffset>8927465</wp:posOffset>
          </wp:positionV>
          <wp:extent cx="908050" cy="666750"/>
          <wp:effectExtent l="0" t="0" r="6350" b="0"/>
          <wp:wrapThrough wrapText="bothSides">
            <wp:wrapPolygon edited="0">
              <wp:start x="0" y="0"/>
              <wp:lineTo x="0" y="20983"/>
              <wp:lineTo x="21298" y="20983"/>
              <wp:lineTo x="21298" y="0"/>
              <wp:lineTo x="0" y="0"/>
            </wp:wrapPolygon>
          </wp:wrapThrough>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4" w:rsidRPr="003606D4" w:rsidRDefault="00063CFA" w:rsidP="003606D4">
    <w:pPr>
      <w:keepNext/>
      <w:tabs>
        <w:tab w:val="left" w:pos="2453"/>
        <w:tab w:val="center" w:pos="4423"/>
        <w:tab w:val="right" w:pos="8845"/>
      </w:tabs>
      <w:snapToGrid w:val="0"/>
      <w:spacing w:after="0" w:line="280" w:lineRule="exact"/>
      <w:rPr>
        <w:rFonts w:ascii="Arial" w:eastAsia="SimSun" w:hAnsi="Arial" w:cs="Arial"/>
        <w:snapToGrid w:val="0"/>
        <w:sz w:val="20"/>
        <w:szCs w:val="18"/>
        <w:lang w:eastAsia="zh-CN"/>
      </w:rPr>
    </w:pPr>
    <w:r w:rsidRPr="006021AD">
      <w:rPr>
        <w:noProof/>
        <w:lang w:eastAsia="fr-FR"/>
      </w:rPr>
      <w:drawing>
        <wp:anchor distT="0" distB="0" distL="114300" distR="114300" simplePos="0" relativeHeight="251665408" behindDoc="0" locked="0" layoutInCell="1" allowOverlap="1" wp14:anchorId="7FB09B37" wp14:editId="353F961A">
          <wp:simplePos x="0" y="0"/>
          <wp:positionH relativeFrom="column">
            <wp:posOffset>2578100</wp:posOffset>
          </wp:positionH>
          <wp:positionV relativeFrom="paragraph">
            <wp:posOffset>17145</wp:posOffset>
          </wp:positionV>
          <wp:extent cx="542925" cy="190500"/>
          <wp:effectExtent l="0" t="0" r="9525" b="0"/>
          <wp:wrapThrough wrapText="bothSides">
            <wp:wrapPolygon edited="0">
              <wp:start x="0" y="0"/>
              <wp:lineTo x="0" y="19440"/>
              <wp:lineTo x="21221" y="19440"/>
              <wp:lineTo x="21221"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3606D4">
      <w:rPr>
        <w:rFonts w:ascii="Arial" w:eastAsia="SimSun" w:hAnsi="Arial" w:cs="Arial"/>
        <w:snapToGrid w:val="0"/>
        <w:sz w:val="16"/>
        <w:szCs w:val="18"/>
        <w:lang w:eastAsia="zh-CN"/>
      </w:rPr>
      <w:t>CS38</w:t>
    </w:r>
    <w:r w:rsidR="003606D4" w:rsidRPr="003606D4">
      <w:rPr>
        <w:rFonts w:ascii="Arial" w:eastAsia="SimSun" w:hAnsi="Arial" w:cs="Arial"/>
        <w:snapToGrid w:val="0"/>
        <w:sz w:val="16"/>
        <w:szCs w:val="18"/>
        <w:lang w:eastAsia="zh-CN"/>
      </w:rPr>
      <w:t>-v1.0-FR</w:t>
    </w:r>
    <w:r w:rsidR="003606D4" w:rsidRPr="003606D4">
      <w:rPr>
        <w:rFonts w:ascii="Arial" w:eastAsia="SimSun" w:hAnsi="Arial" w:cs="Arial"/>
        <w:snapToGrid w:val="0"/>
        <w:sz w:val="16"/>
        <w:szCs w:val="18"/>
        <w:lang w:eastAsia="zh-CN"/>
      </w:rPr>
      <w:tab/>
    </w:r>
    <w:r w:rsidR="003606D4" w:rsidRPr="003606D4">
      <w:rPr>
        <w:rFonts w:ascii="Arial" w:eastAsia="SimSun" w:hAnsi="Arial" w:cs="Arial"/>
        <w:snapToGrid w:val="0"/>
        <w:sz w:val="16"/>
        <w:szCs w:val="18"/>
        <w:lang w:eastAsia="zh-CN"/>
      </w:rPr>
      <w:tab/>
    </w:r>
    <w:r w:rsidR="003606D4" w:rsidRPr="003606D4">
      <w:rPr>
        <w:rFonts w:ascii="Arial" w:eastAsia="SimSun" w:hAnsi="Arial" w:cs="Arial"/>
        <w:noProof/>
        <w:snapToGrid w:val="0"/>
        <w:sz w:val="16"/>
        <w:szCs w:val="18"/>
        <w:lang w:eastAsia="fr-FR"/>
      </w:rPr>
      <w:drawing>
        <wp:anchor distT="0" distB="0" distL="114300" distR="114300" simplePos="0" relativeHeight="251659264" behindDoc="1" locked="1" layoutInCell="1" allowOverlap="0" wp14:anchorId="09EAD062" wp14:editId="10490750">
          <wp:simplePos x="0" y="0"/>
          <wp:positionH relativeFrom="column">
            <wp:posOffset>4726940</wp:posOffset>
          </wp:positionH>
          <wp:positionV relativeFrom="margin">
            <wp:posOffset>8936990</wp:posOffset>
          </wp:positionV>
          <wp:extent cx="908050" cy="635000"/>
          <wp:effectExtent l="0" t="0" r="6350" b="0"/>
          <wp:wrapThrough wrapText="bothSides">
            <wp:wrapPolygon edited="0">
              <wp:start x="0" y="0"/>
              <wp:lineTo x="0" y="20736"/>
              <wp:lineTo x="21298" y="20736"/>
              <wp:lineTo x="21298" y="0"/>
              <wp:lineTo x="0" y="0"/>
            </wp:wrapPolygon>
          </wp:wrapThrough>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F3" w:rsidRDefault="00BF3BF3" w:rsidP="002740E5">
      <w:pPr>
        <w:spacing w:after="0" w:line="240" w:lineRule="auto"/>
      </w:pPr>
      <w:r>
        <w:separator/>
      </w:r>
    </w:p>
  </w:footnote>
  <w:footnote w:type="continuationSeparator" w:id="0">
    <w:p w:rsidR="00BF3BF3" w:rsidRDefault="00BF3BF3" w:rsidP="002740E5">
      <w:pPr>
        <w:spacing w:after="0" w:line="240" w:lineRule="auto"/>
      </w:pPr>
      <w:r>
        <w:continuationSeparator/>
      </w:r>
    </w:p>
  </w:footnote>
  <w:footnote w:id="1">
    <w:p w:rsidR="002740E5" w:rsidRPr="00693943" w:rsidRDefault="002740E5" w:rsidP="00693943">
      <w:pPr>
        <w:pStyle w:val="FootnoteText"/>
      </w:pPr>
      <w:r w:rsidRPr="00693943">
        <w:rPr>
          <w:rStyle w:val="FootnoteReference"/>
          <w:sz w:val="16"/>
          <w:szCs w:val="16"/>
          <w:vertAlign w:val="baseline"/>
        </w:rPr>
        <w:footnoteRef/>
      </w:r>
      <w:r w:rsidR="00693943" w:rsidRPr="00951032">
        <w:rPr>
          <w:lang w:val="en-US"/>
        </w:rPr>
        <w:t>.</w:t>
      </w:r>
      <w:r w:rsidR="00693943" w:rsidRPr="00951032">
        <w:rPr>
          <w:lang w:val="en-US"/>
        </w:rPr>
        <w:tab/>
      </w:r>
      <w:proofErr w:type="spellStart"/>
      <w:r w:rsidRPr="00951032">
        <w:rPr>
          <w:lang w:val="en-US"/>
        </w:rPr>
        <w:t>Texte</w:t>
      </w:r>
      <w:proofErr w:type="spellEnd"/>
      <w:r w:rsidRPr="00951032">
        <w:rPr>
          <w:lang w:val="en-US"/>
        </w:rPr>
        <w:t xml:space="preserve"> </w:t>
      </w:r>
      <w:proofErr w:type="spellStart"/>
      <w:r w:rsidRPr="00951032">
        <w:rPr>
          <w:lang w:val="en-US"/>
        </w:rPr>
        <w:t>adapté</w:t>
      </w:r>
      <w:proofErr w:type="spellEnd"/>
      <w:r w:rsidRPr="00951032">
        <w:rPr>
          <w:lang w:val="en-US"/>
        </w:rPr>
        <w:t xml:space="preserve"> </w:t>
      </w:r>
      <w:r w:rsidR="00822A75" w:rsidRPr="00951032">
        <w:rPr>
          <w:lang w:val="en-US"/>
        </w:rPr>
        <w:t xml:space="preserve">pour </w:t>
      </w:r>
      <w:proofErr w:type="spellStart"/>
      <w:r w:rsidR="00822A75" w:rsidRPr="00951032">
        <w:rPr>
          <w:lang w:val="en-US"/>
        </w:rPr>
        <w:t>l’atelier</w:t>
      </w:r>
      <w:proofErr w:type="spellEnd"/>
      <w:r w:rsidR="00822A75" w:rsidRPr="00951032">
        <w:rPr>
          <w:lang w:val="en-US"/>
        </w:rPr>
        <w:t xml:space="preserve"> de </w:t>
      </w:r>
      <w:proofErr w:type="spellStart"/>
      <w:r w:rsidR="00822A75" w:rsidRPr="00951032">
        <w:rPr>
          <w:lang w:val="en-US"/>
        </w:rPr>
        <w:t>l’UNESCO</w:t>
      </w:r>
      <w:proofErr w:type="spellEnd"/>
      <w:r w:rsidR="00822A75" w:rsidRPr="00951032">
        <w:rPr>
          <w:lang w:val="en-US"/>
        </w:rPr>
        <w:t xml:space="preserve"> à </w:t>
      </w:r>
      <w:proofErr w:type="spellStart"/>
      <w:r w:rsidR="00822A75" w:rsidRPr="00951032">
        <w:rPr>
          <w:lang w:val="en-US"/>
        </w:rPr>
        <w:t>partir</w:t>
      </w:r>
      <w:proofErr w:type="spellEnd"/>
      <w:r w:rsidR="00822A75" w:rsidRPr="00951032">
        <w:rPr>
          <w:lang w:val="en-US"/>
        </w:rPr>
        <w:t xml:space="preserve"> de </w:t>
      </w:r>
      <w:proofErr w:type="spellStart"/>
      <w:r w:rsidR="00822A75" w:rsidRPr="00951032">
        <w:rPr>
          <w:lang w:val="en-US"/>
        </w:rPr>
        <w:t>l’article</w:t>
      </w:r>
      <w:proofErr w:type="spellEnd"/>
      <w:r w:rsidR="00AF27CC" w:rsidRPr="00951032">
        <w:rPr>
          <w:lang w:val="en-US"/>
        </w:rPr>
        <w:t xml:space="preserve"> </w:t>
      </w:r>
      <w:r w:rsidR="00D30B2A" w:rsidRPr="00951032">
        <w:rPr>
          <w:lang w:val="en-US"/>
        </w:rPr>
        <w:t xml:space="preserve">de Miranda </w:t>
      </w:r>
      <w:r w:rsidR="00822A75" w:rsidRPr="00951032">
        <w:rPr>
          <w:lang w:val="en-US"/>
        </w:rPr>
        <w:t xml:space="preserve">Forsyth </w:t>
      </w:r>
      <w:proofErr w:type="spellStart"/>
      <w:r w:rsidR="006376F0" w:rsidRPr="00951032">
        <w:rPr>
          <w:lang w:val="en-US"/>
        </w:rPr>
        <w:t>intitulé</w:t>
      </w:r>
      <w:proofErr w:type="spellEnd"/>
      <w:r w:rsidR="008D1B20" w:rsidRPr="00951032">
        <w:rPr>
          <w:lang w:val="en-US"/>
        </w:rPr>
        <w:t xml:space="preserve"> </w:t>
      </w:r>
      <w:r w:rsidR="00AF27CC" w:rsidRPr="00951032">
        <w:rPr>
          <w:lang w:val="en-US"/>
        </w:rPr>
        <w:t>‘Lifting the Lid on the “The Community”: Who Has the Right to Control Access to Traditional Knowledge and Expressions of Culture?’</w:t>
      </w:r>
      <w:r w:rsidR="00822A75" w:rsidRPr="00951032">
        <w:rPr>
          <w:lang w:val="en-US"/>
        </w:rPr>
        <w:t xml:space="preserve"> </w:t>
      </w:r>
      <w:r w:rsidR="00822A75" w:rsidRPr="00693943">
        <w:t>[« Lever le voile sur « La communauté » : Qui a le droit de contrôler l’accès au</w:t>
      </w:r>
      <w:r w:rsidR="002B3D58" w:rsidRPr="00693943">
        <w:t>x</w:t>
      </w:r>
      <w:r w:rsidR="00822A75" w:rsidRPr="00693943">
        <w:t xml:space="preserve"> savoir</w:t>
      </w:r>
      <w:r w:rsidR="002B3D58" w:rsidRPr="00693943">
        <w:t>s</w:t>
      </w:r>
      <w:r w:rsidR="00822A75" w:rsidRPr="00693943">
        <w:t xml:space="preserve"> traditionnel</w:t>
      </w:r>
      <w:r w:rsidR="002B3D58" w:rsidRPr="00693943">
        <w:t>s</w:t>
      </w:r>
      <w:r w:rsidR="00822A75" w:rsidRPr="00693943">
        <w:t xml:space="preserve"> et aux expressions culturelles ? »] </w:t>
      </w:r>
      <w:r w:rsidR="00AF27CC" w:rsidRPr="000B575F">
        <w:rPr>
          <w:i/>
        </w:rPr>
        <w:t xml:space="preserve">International Journal of Cultural </w:t>
      </w:r>
      <w:proofErr w:type="spellStart"/>
      <w:r w:rsidR="00AF27CC" w:rsidRPr="000B575F">
        <w:rPr>
          <w:i/>
        </w:rPr>
        <w:t>Property</w:t>
      </w:r>
      <w:proofErr w:type="spellEnd"/>
      <w:r w:rsidR="00822A75" w:rsidRPr="00693943">
        <w:t xml:space="preserve"> (2012) 19:1–31.</w:t>
      </w:r>
      <w:r w:rsidR="006376F0" w:rsidRPr="00693943">
        <w:t xml:space="preserve"> Certains aspects de l’</w:t>
      </w:r>
      <w:r w:rsidR="00D30B2A" w:rsidRPr="00693943">
        <w:t>article ont été modifiés aux fins du présent atelier, en particulier le commentaire sur la Convention sur le patrimoine culturel immatériel</w:t>
      </w:r>
      <w:r w:rsidR="008D1B20" w:rsidRPr="00693943">
        <w:t>,</w:t>
      </w:r>
      <w:r w:rsidR="00D30B2A" w:rsidRPr="00693943">
        <w:t xml:space="preserve"> </w:t>
      </w:r>
      <w:r w:rsidR="006376F0" w:rsidRPr="00693943">
        <w:t xml:space="preserve">et </w:t>
      </w:r>
      <w:r w:rsidR="00D30B2A" w:rsidRPr="00693943">
        <w:t>peuvent ne pas refléter la pensée de Miranda Forsyth. Pour la version originale, consulter la version intégrale de l’article.</w:t>
      </w:r>
    </w:p>
  </w:footnote>
  <w:footnote w:id="2">
    <w:p w:rsidR="00497D34" w:rsidRDefault="00497D34" w:rsidP="003606D4">
      <w:pPr>
        <w:pStyle w:val="FootnoteText"/>
      </w:pPr>
      <w:r w:rsidRPr="007A04F1">
        <w:rPr>
          <w:rStyle w:val="FootnoteReference"/>
          <w:sz w:val="16"/>
          <w:szCs w:val="16"/>
          <w:vertAlign w:val="baseline"/>
        </w:rPr>
        <w:footnoteRef/>
      </w:r>
      <w:r w:rsidR="007A04F1">
        <w:t>.</w:t>
      </w:r>
      <w:r w:rsidR="007A04F1">
        <w:tab/>
      </w:r>
      <w:r w:rsidR="0084418D" w:rsidRPr="007A04F1">
        <w:t>Dispositions</w:t>
      </w:r>
      <w:r w:rsidR="0021393B">
        <w:t>-</w:t>
      </w:r>
      <w:r w:rsidR="0084418D" w:rsidRPr="007A04F1">
        <w:t>types de législation nationale sur la protection des expressions du folklore contre leur exploitation illicite et autres actions dommageables</w:t>
      </w:r>
      <w:r w:rsidR="00C83540" w:rsidRPr="007A04F1">
        <w:t>, OMPI-UNESCO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4" w:rsidRPr="003606D4" w:rsidRDefault="003606D4" w:rsidP="003606D4">
    <w:pPr>
      <w:keepNext/>
      <w:tabs>
        <w:tab w:val="center" w:pos="4423"/>
        <w:tab w:val="right" w:pos="8845"/>
      </w:tabs>
      <w:snapToGrid w:val="0"/>
      <w:spacing w:after="0" w:line="280" w:lineRule="exact"/>
      <w:rPr>
        <w:rFonts w:ascii="Arial" w:eastAsia="SimSun" w:hAnsi="Arial" w:cs="Arial"/>
        <w:snapToGrid w:val="0"/>
        <w:sz w:val="16"/>
        <w:szCs w:val="20"/>
        <w:lang w:eastAsia="zh-CN"/>
      </w:rPr>
    </w:pPr>
    <w:r w:rsidRPr="003606D4">
      <w:rPr>
        <w:rFonts w:ascii="Arial" w:eastAsia="SimSun" w:hAnsi="Arial" w:cs="Arial"/>
        <w:snapToGrid w:val="0"/>
        <w:sz w:val="16"/>
        <w:szCs w:val="20"/>
        <w:lang w:val="en-US" w:eastAsia="zh-CN"/>
      </w:rPr>
      <w:fldChar w:fldCharType="begin"/>
    </w:r>
    <w:r w:rsidRPr="003606D4">
      <w:rPr>
        <w:rFonts w:ascii="Arial" w:eastAsia="SimSun" w:hAnsi="Arial" w:cs="Arial"/>
        <w:snapToGrid w:val="0"/>
        <w:sz w:val="16"/>
        <w:szCs w:val="20"/>
        <w:lang w:eastAsia="zh-CN"/>
      </w:rPr>
      <w:instrText xml:space="preserve"> PAGE </w:instrText>
    </w:r>
    <w:r w:rsidRPr="003606D4">
      <w:rPr>
        <w:rFonts w:ascii="Arial" w:eastAsia="SimSun" w:hAnsi="Arial" w:cs="Arial"/>
        <w:snapToGrid w:val="0"/>
        <w:sz w:val="16"/>
        <w:szCs w:val="20"/>
        <w:lang w:val="en-US" w:eastAsia="zh-CN"/>
      </w:rPr>
      <w:fldChar w:fldCharType="separate"/>
    </w:r>
    <w:r w:rsidR="00063CFA">
      <w:rPr>
        <w:rFonts w:ascii="Arial" w:eastAsia="SimSun" w:hAnsi="Arial" w:cs="Arial"/>
        <w:noProof/>
        <w:snapToGrid w:val="0"/>
        <w:sz w:val="16"/>
        <w:szCs w:val="20"/>
        <w:lang w:eastAsia="zh-CN"/>
      </w:rPr>
      <w:t>2</w:t>
    </w:r>
    <w:r w:rsidRPr="003606D4">
      <w:rPr>
        <w:rFonts w:ascii="Arial" w:eastAsia="SimSun" w:hAnsi="Arial" w:cs="Arial"/>
        <w:snapToGrid w:val="0"/>
        <w:sz w:val="16"/>
        <w:szCs w:val="20"/>
        <w:lang w:val="en-US" w:eastAsia="zh-CN"/>
      </w:rPr>
      <w:fldChar w:fldCharType="end"/>
    </w:r>
    <w:r w:rsidRPr="003606D4">
      <w:rPr>
        <w:rFonts w:ascii="Arial" w:eastAsia="SimSun" w:hAnsi="Arial" w:cs="Arial"/>
        <w:snapToGrid w:val="0"/>
        <w:sz w:val="16"/>
        <w:szCs w:val="20"/>
        <w:lang w:eastAsia="zh-CN"/>
      </w:rPr>
      <w:tab/>
      <w:t>Étude de cas</w:t>
    </w:r>
    <w:r>
      <w:rPr>
        <w:rFonts w:ascii="Arial" w:eastAsia="SimSun" w:hAnsi="Arial" w:cs="Arial"/>
        <w:snapToGrid w:val="0"/>
        <w:sz w:val="16"/>
        <w:szCs w:val="20"/>
        <w:lang w:eastAsia="zh-CN"/>
      </w:rPr>
      <w:t xml:space="preserve"> 38</w:t>
    </w:r>
    <w:r w:rsidRPr="003606D4">
      <w:rPr>
        <w:rFonts w:ascii="Arial" w:eastAsia="SimSun" w:hAnsi="Arial" w:cs="Arial"/>
        <w:snapToGrid w:val="0"/>
        <w:sz w:val="16"/>
        <w:szCs w:val="20"/>
        <w:lang w:eastAsia="zh-CN"/>
      </w:rPr>
      <w:tab/>
      <w:t>Études de cas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BC4" w:rsidRPr="003606D4" w:rsidRDefault="003606D4" w:rsidP="003606D4">
    <w:pPr>
      <w:keepNext/>
      <w:tabs>
        <w:tab w:val="center" w:pos="4423"/>
        <w:tab w:val="right" w:pos="8845"/>
      </w:tabs>
      <w:snapToGrid w:val="0"/>
      <w:spacing w:after="0" w:line="280" w:lineRule="exact"/>
      <w:rPr>
        <w:rFonts w:ascii="Arial" w:eastAsia="SimSun" w:hAnsi="Arial" w:cs="Arial"/>
        <w:snapToGrid w:val="0"/>
        <w:sz w:val="16"/>
        <w:szCs w:val="20"/>
        <w:lang w:eastAsia="zh-CN"/>
      </w:rPr>
    </w:pPr>
    <w:r w:rsidRPr="003606D4">
      <w:rPr>
        <w:rFonts w:ascii="Arial" w:eastAsia="SimSun" w:hAnsi="Arial" w:cs="Arial"/>
        <w:snapToGrid w:val="0"/>
        <w:sz w:val="16"/>
        <w:szCs w:val="20"/>
        <w:lang w:eastAsia="zh-CN"/>
      </w:rPr>
      <w:t>Études de cas</w:t>
    </w:r>
    <w:r w:rsidRPr="003606D4">
      <w:rPr>
        <w:rFonts w:ascii="Arial" w:eastAsia="SimSun" w:hAnsi="Arial" w:cs="Arial"/>
        <w:snapToGrid w:val="0"/>
        <w:sz w:val="16"/>
        <w:szCs w:val="20"/>
        <w:lang w:eastAsia="zh-CN"/>
      </w:rPr>
      <w:tab/>
      <w:t>Étude de cas</w:t>
    </w:r>
    <w:r>
      <w:rPr>
        <w:rFonts w:ascii="Arial" w:eastAsia="SimSun" w:hAnsi="Arial" w:cs="Arial"/>
        <w:snapToGrid w:val="0"/>
        <w:sz w:val="16"/>
        <w:szCs w:val="20"/>
        <w:lang w:eastAsia="zh-CN"/>
      </w:rPr>
      <w:t xml:space="preserve"> 3</w:t>
    </w:r>
    <w:r w:rsidRPr="003606D4">
      <w:rPr>
        <w:rFonts w:ascii="Arial" w:eastAsia="SimSun" w:hAnsi="Arial" w:cs="Arial"/>
        <w:snapToGrid w:val="0"/>
        <w:sz w:val="16"/>
        <w:szCs w:val="20"/>
        <w:lang w:eastAsia="zh-CN"/>
      </w:rPr>
      <w:t>8</w:t>
    </w:r>
    <w:r w:rsidRPr="003606D4">
      <w:rPr>
        <w:rFonts w:ascii="Arial" w:eastAsia="SimSun" w:hAnsi="Arial" w:cs="Arial"/>
        <w:snapToGrid w:val="0"/>
        <w:sz w:val="16"/>
        <w:szCs w:val="20"/>
        <w:lang w:eastAsia="zh-CN"/>
      </w:rPr>
      <w:tab/>
    </w:r>
    <w:r w:rsidRPr="003606D4">
      <w:rPr>
        <w:rFonts w:ascii="Arial" w:eastAsia="SimSun" w:hAnsi="Arial" w:cs="Arial"/>
        <w:snapToGrid w:val="0"/>
        <w:sz w:val="16"/>
        <w:szCs w:val="20"/>
        <w:lang w:val="en-US" w:eastAsia="zh-CN"/>
      </w:rPr>
      <w:fldChar w:fldCharType="begin"/>
    </w:r>
    <w:r w:rsidRPr="003606D4">
      <w:rPr>
        <w:rFonts w:ascii="Arial" w:eastAsia="SimSun" w:hAnsi="Arial" w:cs="Arial"/>
        <w:snapToGrid w:val="0"/>
        <w:sz w:val="16"/>
        <w:szCs w:val="20"/>
        <w:lang w:eastAsia="zh-CN"/>
      </w:rPr>
      <w:instrText xml:space="preserve"> PAGE </w:instrText>
    </w:r>
    <w:r w:rsidRPr="003606D4">
      <w:rPr>
        <w:rFonts w:ascii="Arial" w:eastAsia="SimSun" w:hAnsi="Arial" w:cs="Arial"/>
        <w:snapToGrid w:val="0"/>
        <w:sz w:val="16"/>
        <w:szCs w:val="20"/>
        <w:lang w:val="en-US" w:eastAsia="zh-CN"/>
      </w:rPr>
      <w:fldChar w:fldCharType="separate"/>
    </w:r>
    <w:r w:rsidR="00063CFA">
      <w:rPr>
        <w:rFonts w:ascii="Arial" w:eastAsia="SimSun" w:hAnsi="Arial" w:cs="Arial"/>
        <w:noProof/>
        <w:snapToGrid w:val="0"/>
        <w:sz w:val="16"/>
        <w:szCs w:val="20"/>
        <w:lang w:eastAsia="zh-CN"/>
      </w:rPr>
      <w:t>3</w:t>
    </w:r>
    <w:r w:rsidRPr="003606D4">
      <w:rPr>
        <w:rFonts w:ascii="Arial" w:eastAsia="SimSun" w:hAnsi="Arial" w:cs="Arial"/>
        <w:snapToGrid w:val="0"/>
        <w:sz w:val="16"/>
        <w:szCs w:val="20"/>
        <w:lang w:val="en-US" w:eastAsia="zh-C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D4" w:rsidRPr="003606D4" w:rsidRDefault="003606D4" w:rsidP="003606D4">
    <w:pPr>
      <w:keepNext/>
      <w:tabs>
        <w:tab w:val="center" w:pos="4423"/>
        <w:tab w:val="right" w:pos="8845"/>
      </w:tabs>
      <w:snapToGrid w:val="0"/>
      <w:spacing w:after="0" w:line="280" w:lineRule="exact"/>
      <w:ind w:right="360"/>
      <w:rPr>
        <w:rFonts w:ascii="Arial" w:eastAsia="SimSun" w:hAnsi="Arial" w:cs="Arial"/>
        <w:snapToGrid w:val="0"/>
        <w:sz w:val="16"/>
        <w:szCs w:val="20"/>
        <w:lang w:val="en-US" w:eastAsia="zh-CN"/>
      </w:rPr>
    </w:pPr>
    <w:r w:rsidRPr="003606D4">
      <w:rPr>
        <w:rFonts w:ascii="Arial" w:eastAsia="SimSun" w:hAnsi="Arial" w:cs="Arial"/>
        <w:snapToGrid w:val="0"/>
        <w:sz w:val="16"/>
        <w:szCs w:val="20"/>
        <w:lang w:val="en-US" w:eastAsia="zh-CN"/>
      </w:rPr>
      <w:tab/>
    </w:r>
    <w:proofErr w:type="spellStart"/>
    <w:r w:rsidRPr="003606D4">
      <w:rPr>
        <w:rFonts w:ascii="Arial" w:eastAsia="SimSun" w:hAnsi="Arial" w:cs="Arial"/>
        <w:snapToGrid w:val="0"/>
        <w:sz w:val="16"/>
        <w:szCs w:val="20"/>
        <w:lang w:val="en-US" w:eastAsia="zh-CN"/>
      </w:rPr>
      <w:t>Études</w:t>
    </w:r>
    <w:proofErr w:type="spellEnd"/>
    <w:r w:rsidRPr="003606D4">
      <w:rPr>
        <w:rFonts w:ascii="Arial" w:eastAsia="SimSun" w:hAnsi="Arial" w:cs="Arial"/>
        <w:snapToGrid w:val="0"/>
        <w:sz w:val="16"/>
        <w:szCs w:val="20"/>
        <w:lang w:val="en-US" w:eastAsia="zh-CN"/>
      </w:rPr>
      <w:t xml:space="preserve"> de </w:t>
    </w:r>
    <w:proofErr w:type="spellStart"/>
    <w:r w:rsidRPr="003606D4">
      <w:rPr>
        <w:rFonts w:ascii="Arial" w:eastAsia="SimSun" w:hAnsi="Arial" w:cs="Arial"/>
        <w:snapToGrid w:val="0"/>
        <w:sz w:val="16"/>
        <w:szCs w:val="20"/>
        <w:lang w:val="en-US" w:eastAsia="zh-CN"/>
      </w:rPr>
      <w:t>cas</w:t>
    </w:r>
    <w:proofErr w:type="spellEnd"/>
    <w:r w:rsidRPr="003606D4">
      <w:rPr>
        <w:rFonts w:ascii="Arial" w:eastAsia="SimSun" w:hAnsi="Arial" w:cs="Arial"/>
        <w:snapToGrid w:val="0"/>
        <w:sz w:val="16"/>
        <w:szCs w:val="20"/>
        <w:lang w:val="en-US"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E97"/>
    <w:multiLevelType w:val="hybridMultilevel"/>
    <w:tmpl w:val="8EAE456A"/>
    <w:lvl w:ilvl="0" w:tplc="4BAA2D4E">
      <w:start w:val="1"/>
      <w:numFmt w:val="lowerLetter"/>
      <w:lvlText w:val="(%1)"/>
      <w:lvlJc w:val="left"/>
      <w:pPr>
        <w:ind w:left="1211" w:hanging="360"/>
      </w:pPr>
      <w:rPr>
        <w:rFonts w:ascii="Arial" w:eastAsia="SimSun" w:hAnsi="Arial" w:cs="Arial"/>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
    <w:nsid w:val="138215E4"/>
    <w:multiLevelType w:val="hybridMultilevel"/>
    <w:tmpl w:val="427848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7775C0"/>
    <w:multiLevelType w:val="hybridMultilevel"/>
    <w:tmpl w:val="0D5E1918"/>
    <w:lvl w:ilvl="0" w:tplc="4308DA0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nsid w:val="5D2D46A0"/>
    <w:multiLevelType w:val="hybridMultilevel"/>
    <w:tmpl w:val="4ED6FDAA"/>
    <w:lvl w:ilvl="0" w:tplc="058E79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F42"/>
    <w:rsid w:val="0000587D"/>
    <w:rsid w:val="0003059A"/>
    <w:rsid w:val="0003162A"/>
    <w:rsid w:val="00031DCB"/>
    <w:rsid w:val="00041EA4"/>
    <w:rsid w:val="000421DB"/>
    <w:rsid w:val="00043D80"/>
    <w:rsid w:val="00054703"/>
    <w:rsid w:val="00063CFA"/>
    <w:rsid w:val="00067C7C"/>
    <w:rsid w:val="00071FDB"/>
    <w:rsid w:val="00074932"/>
    <w:rsid w:val="00083BAD"/>
    <w:rsid w:val="0008423E"/>
    <w:rsid w:val="000B34E5"/>
    <w:rsid w:val="000B575F"/>
    <w:rsid w:val="000B7FEB"/>
    <w:rsid w:val="000C2EFC"/>
    <w:rsid w:val="000D310A"/>
    <w:rsid w:val="000D58DC"/>
    <w:rsid w:val="000D5AAC"/>
    <w:rsid w:val="000D5DE1"/>
    <w:rsid w:val="000D6FCE"/>
    <w:rsid w:val="000D77E8"/>
    <w:rsid w:val="000F64A4"/>
    <w:rsid w:val="001037C3"/>
    <w:rsid w:val="00131500"/>
    <w:rsid w:val="001356A3"/>
    <w:rsid w:val="00142CC8"/>
    <w:rsid w:val="00152432"/>
    <w:rsid w:val="001538D8"/>
    <w:rsid w:val="00153A50"/>
    <w:rsid w:val="001615BB"/>
    <w:rsid w:val="00165A20"/>
    <w:rsid w:val="001751A7"/>
    <w:rsid w:val="0017769B"/>
    <w:rsid w:val="0018654D"/>
    <w:rsid w:val="0019415A"/>
    <w:rsid w:val="001C5AF2"/>
    <w:rsid w:val="001D510B"/>
    <w:rsid w:val="001E177B"/>
    <w:rsid w:val="001E4504"/>
    <w:rsid w:val="001F15B9"/>
    <w:rsid w:val="001F25FD"/>
    <w:rsid w:val="00205679"/>
    <w:rsid w:val="00210DD2"/>
    <w:rsid w:val="0021393B"/>
    <w:rsid w:val="00216EBE"/>
    <w:rsid w:val="00217EAE"/>
    <w:rsid w:val="00221202"/>
    <w:rsid w:val="00223153"/>
    <w:rsid w:val="0022371F"/>
    <w:rsid w:val="00231910"/>
    <w:rsid w:val="00236E7D"/>
    <w:rsid w:val="00237A1F"/>
    <w:rsid w:val="002605FF"/>
    <w:rsid w:val="002740E5"/>
    <w:rsid w:val="00280E8E"/>
    <w:rsid w:val="002B1B91"/>
    <w:rsid w:val="002B3D58"/>
    <w:rsid w:val="002B419F"/>
    <w:rsid w:val="002C1171"/>
    <w:rsid w:val="002C4E8F"/>
    <w:rsid w:val="002D0531"/>
    <w:rsid w:val="002D2190"/>
    <w:rsid w:val="002D77DB"/>
    <w:rsid w:val="002E17E3"/>
    <w:rsid w:val="00300B82"/>
    <w:rsid w:val="003117FC"/>
    <w:rsid w:val="00312038"/>
    <w:rsid w:val="003174C2"/>
    <w:rsid w:val="003229C9"/>
    <w:rsid w:val="003301C3"/>
    <w:rsid w:val="00335EFD"/>
    <w:rsid w:val="003555F5"/>
    <w:rsid w:val="003606D4"/>
    <w:rsid w:val="00372136"/>
    <w:rsid w:val="00372F54"/>
    <w:rsid w:val="0038378F"/>
    <w:rsid w:val="00383BA1"/>
    <w:rsid w:val="00383D2E"/>
    <w:rsid w:val="00384D8A"/>
    <w:rsid w:val="00397641"/>
    <w:rsid w:val="003A1888"/>
    <w:rsid w:val="003A190C"/>
    <w:rsid w:val="003A5A9D"/>
    <w:rsid w:val="003D1AEA"/>
    <w:rsid w:val="003D6C0D"/>
    <w:rsid w:val="003E775F"/>
    <w:rsid w:val="003F34AF"/>
    <w:rsid w:val="00400C65"/>
    <w:rsid w:val="0040294F"/>
    <w:rsid w:val="004036EF"/>
    <w:rsid w:val="0040449F"/>
    <w:rsid w:val="004078F1"/>
    <w:rsid w:val="00407FAF"/>
    <w:rsid w:val="004122C3"/>
    <w:rsid w:val="00413FBB"/>
    <w:rsid w:val="00433D80"/>
    <w:rsid w:val="00443172"/>
    <w:rsid w:val="004504B6"/>
    <w:rsid w:val="00453149"/>
    <w:rsid w:val="00462BF1"/>
    <w:rsid w:val="00480C6B"/>
    <w:rsid w:val="0049799B"/>
    <w:rsid w:val="00497D34"/>
    <w:rsid w:val="004A7771"/>
    <w:rsid w:val="004B261B"/>
    <w:rsid w:val="004B70C6"/>
    <w:rsid w:val="004C1625"/>
    <w:rsid w:val="004D7D13"/>
    <w:rsid w:val="004E5AC0"/>
    <w:rsid w:val="005112C3"/>
    <w:rsid w:val="00523CE2"/>
    <w:rsid w:val="00533F1D"/>
    <w:rsid w:val="00540AB2"/>
    <w:rsid w:val="00547A2E"/>
    <w:rsid w:val="00556BA1"/>
    <w:rsid w:val="00557F20"/>
    <w:rsid w:val="00564382"/>
    <w:rsid w:val="00583620"/>
    <w:rsid w:val="00584BC4"/>
    <w:rsid w:val="0059497A"/>
    <w:rsid w:val="005A1F42"/>
    <w:rsid w:val="005B0DC7"/>
    <w:rsid w:val="005C0133"/>
    <w:rsid w:val="005C1CC8"/>
    <w:rsid w:val="005C476C"/>
    <w:rsid w:val="005C57E8"/>
    <w:rsid w:val="005D2328"/>
    <w:rsid w:val="005D4B17"/>
    <w:rsid w:val="005E27C1"/>
    <w:rsid w:val="00612BF3"/>
    <w:rsid w:val="006179EA"/>
    <w:rsid w:val="00626C44"/>
    <w:rsid w:val="00630FEA"/>
    <w:rsid w:val="006376F0"/>
    <w:rsid w:val="0065547A"/>
    <w:rsid w:val="00660044"/>
    <w:rsid w:val="00660C1F"/>
    <w:rsid w:val="00680D40"/>
    <w:rsid w:val="00693943"/>
    <w:rsid w:val="006B23AA"/>
    <w:rsid w:val="006B7396"/>
    <w:rsid w:val="006C0E85"/>
    <w:rsid w:val="006C3200"/>
    <w:rsid w:val="006C53DC"/>
    <w:rsid w:val="006D50C4"/>
    <w:rsid w:val="006F2834"/>
    <w:rsid w:val="007012CD"/>
    <w:rsid w:val="00702BB6"/>
    <w:rsid w:val="00703434"/>
    <w:rsid w:val="0070458F"/>
    <w:rsid w:val="00706722"/>
    <w:rsid w:val="00715C49"/>
    <w:rsid w:val="00715F28"/>
    <w:rsid w:val="0071728C"/>
    <w:rsid w:val="00722535"/>
    <w:rsid w:val="0074352C"/>
    <w:rsid w:val="007635D0"/>
    <w:rsid w:val="00785F3F"/>
    <w:rsid w:val="00787874"/>
    <w:rsid w:val="00790FD2"/>
    <w:rsid w:val="007A04F1"/>
    <w:rsid w:val="007A3B35"/>
    <w:rsid w:val="007B1475"/>
    <w:rsid w:val="007E2165"/>
    <w:rsid w:val="007E3422"/>
    <w:rsid w:val="007F2943"/>
    <w:rsid w:val="007F503C"/>
    <w:rsid w:val="007F5FF6"/>
    <w:rsid w:val="00801E9C"/>
    <w:rsid w:val="0080675F"/>
    <w:rsid w:val="0081182F"/>
    <w:rsid w:val="00814E1E"/>
    <w:rsid w:val="00817667"/>
    <w:rsid w:val="00822A75"/>
    <w:rsid w:val="008248A9"/>
    <w:rsid w:val="00835577"/>
    <w:rsid w:val="0084418D"/>
    <w:rsid w:val="00846B8D"/>
    <w:rsid w:val="00854043"/>
    <w:rsid w:val="0087621F"/>
    <w:rsid w:val="00882AA5"/>
    <w:rsid w:val="00887105"/>
    <w:rsid w:val="008925DA"/>
    <w:rsid w:val="008B28BF"/>
    <w:rsid w:val="008B6EF7"/>
    <w:rsid w:val="008B701C"/>
    <w:rsid w:val="008C4746"/>
    <w:rsid w:val="008D1B20"/>
    <w:rsid w:val="008E4235"/>
    <w:rsid w:val="008F02C0"/>
    <w:rsid w:val="008F5A9F"/>
    <w:rsid w:val="00900D97"/>
    <w:rsid w:val="00912A87"/>
    <w:rsid w:val="00914647"/>
    <w:rsid w:val="009244A0"/>
    <w:rsid w:val="00934F52"/>
    <w:rsid w:val="00941706"/>
    <w:rsid w:val="00951032"/>
    <w:rsid w:val="0095446E"/>
    <w:rsid w:val="00967FF9"/>
    <w:rsid w:val="009822AB"/>
    <w:rsid w:val="00984F07"/>
    <w:rsid w:val="00987DAE"/>
    <w:rsid w:val="00994F5D"/>
    <w:rsid w:val="00995DEC"/>
    <w:rsid w:val="009B2A92"/>
    <w:rsid w:val="009B384A"/>
    <w:rsid w:val="009B4E18"/>
    <w:rsid w:val="009C2D0C"/>
    <w:rsid w:val="009C77E9"/>
    <w:rsid w:val="009D1527"/>
    <w:rsid w:val="009F4675"/>
    <w:rsid w:val="00A248E8"/>
    <w:rsid w:val="00A30ABF"/>
    <w:rsid w:val="00A42BDE"/>
    <w:rsid w:val="00A47994"/>
    <w:rsid w:val="00A56CC1"/>
    <w:rsid w:val="00A60BCC"/>
    <w:rsid w:val="00A620E4"/>
    <w:rsid w:val="00A673CD"/>
    <w:rsid w:val="00A72332"/>
    <w:rsid w:val="00A72605"/>
    <w:rsid w:val="00A75E48"/>
    <w:rsid w:val="00A77EAE"/>
    <w:rsid w:val="00A80D52"/>
    <w:rsid w:val="00A81D24"/>
    <w:rsid w:val="00A83C14"/>
    <w:rsid w:val="00A87C37"/>
    <w:rsid w:val="00A921F2"/>
    <w:rsid w:val="00A9747C"/>
    <w:rsid w:val="00AA76EA"/>
    <w:rsid w:val="00AC131F"/>
    <w:rsid w:val="00AC21AB"/>
    <w:rsid w:val="00AD300C"/>
    <w:rsid w:val="00AF11FA"/>
    <w:rsid w:val="00AF27CC"/>
    <w:rsid w:val="00AF542B"/>
    <w:rsid w:val="00B02190"/>
    <w:rsid w:val="00B22388"/>
    <w:rsid w:val="00B24799"/>
    <w:rsid w:val="00B27D0A"/>
    <w:rsid w:val="00B343C6"/>
    <w:rsid w:val="00B35AE7"/>
    <w:rsid w:val="00B535C5"/>
    <w:rsid w:val="00B54C9C"/>
    <w:rsid w:val="00B66DC2"/>
    <w:rsid w:val="00B70000"/>
    <w:rsid w:val="00B77ABE"/>
    <w:rsid w:val="00B80218"/>
    <w:rsid w:val="00B955C0"/>
    <w:rsid w:val="00B97376"/>
    <w:rsid w:val="00BA4663"/>
    <w:rsid w:val="00BC5914"/>
    <w:rsid w:val="00BD19C4"/>
    <w:rsid w:val="00BD37D6"/>
    <w:rsid w:val="00BF0970"/>
    <w:rsid w:val="00BF2D76"/>
    <w:rsid w:val="00BF3BF3"/>
    <w:rsid w:val="00BF4CD4"/>
    <w:rsid w:val="00C0297C"/>
    <w:rsid w:val="00C24CA9"/>
    <w:rsid w:val="00C30967"/>
    <w:rsid w:val="00C30C5D"/>
    <w:rsid w:val="00C403AE"/>
    <w:rsid w:val="00C435E7"/>
    <w:rsid w:val="00C5255E"/>
    <w:rsid w:val="00C54458"/>
    <w:rsid w:val="00C54C6A"/>
    <w:rsid w:val="00C55A85"/>
    <w:rsid w:val="00C83540"/>
    <w:rsid w:val="00CA2D2E"/>
    <w:rsid w:val="00CA4F6D"/>
    <w:rsid w:val="00CA5812"/>
    <w:rsid w:val="00CA617B"/>
    <w:rsid w:val="00CB23B8"/>
    <w:rsid w:val="00CF059D"/>
    <w:rsid w:val="00CF2515"/>
    <w:rsid w:val="00D02FF9"/>
    <w:rsid w:val="00D1163F"/>
    <w:rsid w:val="00D27471"/>
    <w:rsid w:val="00D30858"/>
    <w:rsid w:val="00D30B2A"/>
    <w:rsid w:val="00D43AB2"/>
    <w:rsid w:val="00D43F6D"/>
    <w:rsid w:val="00D472B4"/>
    <w:rsid w:val="00D545DB"/>
    <w:rsid w:val="00D5582D"/>
    <w:rsid w:val="00D576E3"/>
    <w:rsid w:val="00D6219F"/>
    <w:rsid w:val="00D93659"/>
    <w:rsid w:val="00D97C85"/>
    <w:rsid w:val="00DA4F07"/>
    <w:rsid w:val="00DC17C4"/>
    <w:rsid w:val="00DC3444"/>
    <w:rsid w:val="00DC7A08"/>
    <w:rsid w:val="00DD1A33"/>
    <w:rsid w:val="00DD688F"/>
    <w:rsid w:val="00DD6BEA"/>
    <w:rsid w:val="00DD6F83"/>
    <w:rsid w:val="00DE344D"/>
    <w:rsid w:val="00DE5896"/>
    <w:rsid w:val="00DF3DD8"/>
    <w:rsid w:val="00DF6679"/>
    <w:rsid w:val="00E075C5"/>
    <w:rsid w:val="00E13B76"/>
    <w:rsid w:val="00E23ECD"/>
    <w:rsid w:val="00E24642"/>
    <w:rsid w:val="00E26A41"/>
    <w:rsid w:val="00E35013"/>
    <w:rsid w:val="00E42FF4"/>
    <w:rsid w:val="00E47106"/>
    <w:rsid w:val="00E60BB2"/>
    <w:rsid w:val="00E6144C"/>
    <w:rsid w:val="00E75673"/>
    <w:rsid w:val="00E804C0"/>
    <w:rsid w:val="00E81469"/>
    <w:rsid w:val="00E81674"/>
    <w:rsid w:val="00E84631"/>
    <w:rsid w:val="00E86505"/>
    <w:rsid w:val="00E9110F"/>
    <w:rsid w:val="00E9229B"/>
    <w:rsid w:val="00E9300E"/>
    <w:rsid w:val="00EA1D9E"/>
    <w:rsid w:val="00EA5733"/>
    <w:rsid w:val="00EB79EB"/>
    <w:rsid w:val="00EC5406"/>
    <w:rsid w:val="00EE05F2"/>
    <w:rsid w:val="00EE1781"/>
    <w:rsid w:val="00EE54FB"/>
    <w:rsid w:val="00F02126"/>
    <w:rsid w:val="00F10484"/>
    <w:rsid w:val="00F207B7"/>
    <w:rsid w:val="00F34E55"/>
    <w:rsid w:val="00F51A9A"/>
    <w:rsid w:val="00F71A39"/>
    <w:rsid w:val="00F73523"/>
    <w:rsid w:val="00F8155C"/>
    <w:rsid w:val="00F82C63"/>
    <w:rsid w:val="00FB7DCB"/>
    <w:rsid w:val="00FE27B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584BC4"/>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93943"/>
    <w:pPr>
      <w:widowControl w:val="0"/>
      <w:snapToGrid w:val="0"/>
      <w:spacing w:after="60" w:line="180" w:lineRule="exact"/>
      <w:ind w:left="340" w:hanging="340"/>
      <w:contextualSpacing/>
      <w:jc w:val="both"/>
    </w:pPr>
    <w:rPr>
      <w:rFonts w:ascii="Arial" w:eastAsia="SimSun" w:hAnsi="Arial" w:cs="Arial"/>
      <w:snapToGrid w:val="0"/>
      <w:sz w:val="16"/>
      <w:szCs w:val="16"/>
      <w:lang w:eastAsia="zh-CN"/>
    </w:rPr>
  </w:style>
  <w:style w:type="character" w:customStyle="1" w:styleId="FootnoteTextChar">
    <w:name w:val="Footnote Text Char"/>
    <w:link w:val="FootnoteText"/>
    <w:rsid w:val="00693943"/>
    <w:rPr>
      <w:rFonts w:ascii="Arial" w:eastAsia="SimSun" w:hAnsi="Arial" w:cs="Arial"/>
      <w:snapToGrid w:val="0"/>
      <w:sz w:val="16"/>
      <w:szCs w:val="16"/>
      <w:lang w:eastAsia="zh-CN"/>
    </w:rPr>
  </w:style>
  <w:style w:type="character" w:styleId="FootnoteReference">
    <w:name w:val="footnote reference"/>
    <w:rsid w:val="00693943"/>
    <w:rPr>
      <w:rFonts w:ascii="Arial" w:hAnsi="Arial"/>
      <w:sz w:val="14"/>
      <w:szCs w:val="14"/>
      <w:vertAlign w:val="superscript"/>
    </w:rPr>
  </w:style>
  <w:style w:type="paragraph" w:styleId="ListParagraph">
    <w:name w:val="List Paragraph"/>
    <w:basedOn w:val="Normal"/>
    <w:uiPriority w:val="34"/>
    <w:qFormat/>
    <w:rsid w:val="005E27C1"/>
    <w:pPr>
      <w:ind w:left="720"/>
      <w:contextualSpacing/>
    </w:pPr>
  </w:style>
  <w:style w:type="character" w:styleId="CommentReference">
    <w:name w:val="annotation reference"/>
    <w:basedOn w:val="DefaultParagraphFont"/>
    <w:uiPriority w:val="99"/>
    <w:semiHidden/>
    <w:unhideWhenUsed/>
    <w:rsid w:val="003555F5"/>
    <w:rPr>
      <w:sz w:val="16"/>
      <w:szCs w:val="16"/>
    </w:rPr>
  </w:style>
  <w:style w:type="paragraph" w:styleId="CommentText">
    <w:name w:val="annotation text"/>
    <w:basedOn w:val="Normal"/>
    <w:link w:val="CommentTextChar"/>
    <w:uiPriority w:val="99"/>
    <w:semiHidden/>
    <w:unhideWhenUsed/>
    <w:rsid w:val="003555F5"/>
    <w:pPr>
      <w:spacing w:line="240" w:lineRule="auto"/>
    </w:pPr>
    <w:rPr>
      <w:sz w:val="20"/>
      <w:szCs w:val="20"/>
    </w:rPr>
  </w:style>
  <w:style w:type="character" w:customStyle="1" w:styleId="CommentTextChar">
    <w:name w:val="Comment Text Char"/>
    <w:basedOn w:val="DefaultParagraphFont"/>
    <w:link w:val="CommentText"/>
    <w:uiPriority w:val="99"/>
    <w:semiHidden/>
    <w:rsid w:val="003555F5"/>
    <w:rPr>
      <w:sz w:val="20"/>
      <w:szCs w:val="20"/>
    </w:rPr>
  </w:style>
  <w:style w:type="paragraph" w:styleId="CommentSubject">
    <w:name w:val="annotation subject"/>
    <w:basedOn w:val="CommentText"/>
    <w:next w:val="CommentText"/>
    <w:link w:val="CommentSubjectChar"/>
    <w:uiPriority w:val="99"/>
    <w:semiHidden/>
    <w:unhideWhenUsed/>
    <w:rsid w:val="003555F5"/>
    <w:rPr>
      <w:b/>
      <w:bCs/>
    </w:rPr>
  </w:style>
  <w:style w:type="character" w:customStyle="1" w:styleId="CommentSubjectChar">
    <w:name w:val="Comment Subject Char"/>
    <w:basedOn w:val="CommentTextChar"/>
    <w:link w:val="CommentSubject"/>
    <w:uiPriority w:val="99"/>
    <w:semiHidden/>
    <w:rsid w:val="003555F5"/>
    <w:rPr>
      <w:b/>
      <w:bCs/>
      <w:sz w:val="20"/>
      <w:szCs w:val="20"/>
    </w:rPr>
  </w:style>
  <w:style w:type="paragraph" w:styleId="BalloonText">
    <w:name w:val="Balloon Text"/>
    <w:basedOn w:val="Normal"/>
    <w:link w:val="BalloonTextChar"/>
    <w:uiPriority w:val="99"/>
    <w:semiHidden/>
    <w:unhideWhenUsed/>
    <w:rsid w:val="00355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F5"/>
    <w:rPr>
      <w:rFonts w:ascii="Tahoma" w:hAnsi="Tahoma" w:cs="Tahoma"/>
      <w:sz w:val="16"/>
      <w:szCs w:val="16"/>
    </w:rPr>
  </w:style>
  <w:style w:type="character" w:styleId="Emphasis">
    <w:name w:val="Emphasis"/>
    <w:basedOn w:val="DefaultParagraphFont"/>
    <w:uiPriority w:val="20"/>
    <w:qFormat/>
    <w:rsid w:val="00142CC8"/>
    <w:rPr>
      <w:b/>
      <w:bCs/>
      <w:i w:val="0"/>
      <w:iCs w:val="0"/>
    </w:rPr>
  </w:style>
  <w:style w:type="character" w:customStyle="1" w:styleId="st1">
    <w:name w:val="st1"/>
    <w:basedOn w:val="DefaultParagraphFont"/>
    <w:rsid w:val="00142CC8"/>
  </w:style>
  <w:style w:type="paragraph" w:styleId="Header">
    <w:name w:val="header"/>
    <w:basedOn w:val="Normal"/>
    <w:link w:val="HeaderChar"/>
    <w:unhideWhenUsed/>
    <w:rsid w:val="00584BC4"/>
    <w:pPr>
      <w:tabs>
        <w:tab w:val="center" w:pos="4536"/>
        <w:tab w:val="right" w:pos="9072"/>
      </w:tabs>
      <w:spacing w:after="0" w:line="240" w:lineRule="auto"/>
    </w:pPr>
  </w:style>
  <w:style w:type="character" w:customStyle="1" w:styleId="HeaderChar">
    <w:name w:val="Header Char"/>
    <w:basedOn w:val="DefaultParagraphFont"/>
    <w:link w:val="Header"/>
    <w:rsid w:val="00584BC4"/>
  </w:style>
  <w:style w:type="paragraph" w:styleId="Footer">
    <w:name w:val="footer"/>
    <w:basedOn w:val="Normal"/>
    <w:link w:val="FooterChar"/>
    <w:uiPriority w:val="99"/>
    <w:unhideWhenUsed/>
    <w:rsid w:val="00584B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BC4"/>
  </w:style>
  <w:style w:type="paragraph" w:customStyle="1" w:styleId="Cas">
    <w:name w:val="Cas"/>
    <w:basedOn w:val="Heading4"/>
    <w:rsid w:val="00584BC4"/>
    <w:pPr>
      <w:spacing w:before="0" w:line="360" w:lineRule="exact"/>
    </w:pPr>
    <w:rPr>
      <w:i/>
      <w:iCs/>
      <w:color w:val="0000FF"/>
      <w:w w:val="107"/>
      <w:sz w:val="28"/>
      <w:szCs w:val="28"/>
      <w:lang w:val="en-GB"/>
    </w:rPr>
  </w:style>
  <w:style w:type="character" w:customStyle="1" w:styleId="Heading4Char">
    <w:name w:val="Heading 4 Char"/>
    <w:link w:val="Heading4"/>
    <w:rsid w:val="00584BC4"/>
    <w:rPr>
      <w:rFonts w:ascii="Arial" w:eastAsia="Times New Roman" w:hAnsi="Arial" w:cs="Arial"/>
      <w:b/>
      <w:bCs/>
      <w:caps/>
      <w:sz w:val="20"/>
      <w:szCs w:val="24"/>
    </w:rPr>
  </w:style>
  <w:style w:type="paragraph" w:customStyle="1" w:styleId="Caschap">
    <w:name w:val="Caschap"/>
    <w:basedOn w:val="Cas"/>
    <w:rsid w:val="00584BC4"/>
    <w:pPr>
      <w:spacing w:after="120" w:line="480" w:lineRule="exact"/>
    </w:pPr>
    <w:rPr>
      <w:color w:val="auto"/>
      <w:sz w:val="36"/>
      <w:szCs w:val="48"/>
      <w:lang w:val="en-US"/>
    </w:rPr>
  </w:style>
  <w:style w:type="paragraph" w:customStyle="1" w:styleId="Texte1">
    <w:name w:val="Texte1"/>
    <w:basedOn w:val="Normal"/>
    <w:link w:val="Texte1Car"/>
    <w:autoRedefine/>
    <w:rsid w:val="002C4E8F"/>
    <w:pPr>
      <w:tabs>
        <w:tab w:val="left" w:pos="567"/>
      </w:tabs>
      <w:snapToGrid w:val="0"/>
      <w:spacing w:after="60" w:line="280" w:lineRule="exact"/>
      <w:ind w:left="850"/>
      <w:jc w:val="both"/>
    </w:pPr>
    <w:rPr>
      <w:rFonts w:ascii="Arial" w:eastAsia="SimSun" w:hAnsi="Arial" w:cs="Arial"/>
      <w:iCs/>
      <w:w w:val="95"/>
      <w:sz w:val="20"/>
      <w:szCs w:val="20"/>
      <w:lang w:eastAsia="zh-CN"/>
    </w:rPr>
  </w:style>
  <w:style w:type="character" w:customStyle="1" w:styleId="Texte1Car">
    <w:name w:val="Texte1 Car"/>
    <w:link w:val="Texte1"/>
    <w:rsid w:val="002C4E8F"/>
    <w:rPr>
      <w:rFonts w:ascii="Arial" w:eastAsia="SimSun" w:hAnsi="Arial" w:cs="Arial"/>
      <w:iCs/>
      <w:w w:val="95"/>
      <w:sz w:val="20"/>
      <w:szCs w:val="20"/>
      <w:lang w:eastAsia="zh-CN"/>
    </w:rPr>
  </w:style>
  <w:style w:type="paragraph" w:customStyle="1" w:styleId="citation">
    <w:name w:val="citation"/>
    <w:basedOn w:val="Texte1"/>
    <w:rsid w:val="007A04F1"/>
    <w:pPr>
      <w:ind w:left="1134" w:right="284"/>
    </w:pPr>
  </w:style>
  <w:style w:type="paragraph" w:customStyle="1" w:styleId="citationa">
    <w:name w:val="citation(a)"/>
    <w:basedOn w:val="Normal"/>
    <w:rsid w:val="007A04F1"/>
    <w:pPr>
      <w:snapToGrid w:val="0"/>
      <w:spacing w:after="60" w:line="280" w:lineRule="exact"/>
      <w:ind w:left="924" w:hanging="357"/>
      <w:jc w:val="both"/>
    </w:pPr>
    <w:rPr>
      <w:rFonts w:ascii="Arial" w:eastAsia="SimSun" w:hAnsi="Arial" w:cs="Arial"/>
      <w:w w:val="95"/>
      <w:sz w:val="20"/>
      <w:szCs w:val="20"/>
      <w:lang w:val="en-GB" w:eastAsia="zh-CN"/>
    </w:rPr>
  </w:style>
  <w:style w:type="character" w:styleId="PageNumber">
    <w:name w:val="page number"/>
    <w:rsid w:val="00360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rsid w:val="00584BC4"/>
    <w:pPr>
      <w:keepNext/>
      <w:widowControl w:val="0"/>
      <w:snapToGrid w:val="0"/>
      <w:spacing w:before="480" w:after="240" w:line="300" w:lineRule="exact"/>
      <w:jc w:val="both"/>
      <w:outlineLvl w:val="3"/>
    </w:pPr>
    <w:rPr>
      <w:rFonts w:ascii="Arial" w:eastAsia="Times New Roman" w:hAnsi="Arial" w:cs="Arial"/>
      <w:b/>
      <w:bCs/>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93943"/>
    <w:pPr>
      <w:widowControl w:val="0"/>
      <w:snapToGrid w:val="0"/>
      <w:spacing w:after="60" w:line="180" w:lineRule="exact"/>
      <w:ind w:left="340" w:hanging="340"/>
      <w:contextualSpacing/>
      <w:jc w:val="both"/>
    </w:pPr>
    <w:rPr>
      <w:rFonts w:ascii="Arial" w:eastAsia="SimSun" w:hAnsi="Arial" w:cs="Arial"/>
      <w:snapToGrid w:val="0"/>
      <w:sz w:val="16"/>
      <w:szCs w:val="16"/>
      <w:lang w:eastAsia="zh-CN"/>
    </w:rPr>
  </w:style>
  <w:style w:type="character" w:customStyle="1" w:styleId="FootnoteTextChar">
    <w:name w:val="Footnote Text Char"/>
    <w:link w:val="FootnoteText"/>
    <w:rsid w:val="00693943"/>
    <w:rPr>
      <w:rFonts w:ascii="Arial" w:eastAsia="SimSun" w:hAnsi="Arial" w:cs="Arial"/>
      <w:snapToGrid w:val="0"/>
      <w:sz w:val="16"/>
      <w:szCs w:val="16"/>
      <w:lang w:eastAsia="zh-CN"/>
    </w:rPr>
  </w:style>
  <w:style w:type="character" w:styleId="FootnoteReference">
    <w:name w:val="footnote reference"/>
    <w:rsid w:val="00693943"/>
    <w:rPr>
      <w:rFonts w:ascii="Arial" w:hAnsi="Arial"/>
      <w:sz w:val="14"/>
      <w:szCs w:val="14"/>
      <w:vertAlign w:val="superscript"/>
    </w:rPr>
  </w:style>
  <w:style w:type="paragraph" w:styleId="ListParagraph">
    <w:name w:val="List Paragraph"/>
    <w:basedOn w:val="Normal"/>
    <w:uiPriority w:val="34"/>
    <w:qFormat/>
    <w:rsid w:val="005E27C1"/>
    <w:pPr>
      <w:ind w:left="720"/>
      <w:contextualSpacing/>
    </w:pPr>
  </w:style>
  <w:style w:type="character" w:styleId="CommentReference">
    <w:name w:val="annotation reference"/>
    <w:basedOn w:val="DefaultParagraphFont"/>
    <w:uiPriority w:val="99"/>
    <w:semiHidden/>
    <w:unhideWhenUsed/>
    <w:rsid w:val="003555F5"/>
    <w:rPr>
      <w:sz w:val="16"/>
      <w:szCs w:val="16"/>
    </w:rPr>
  </w:style>
  <w:style w:type="paragraph" w:styleId="CommentText">
    <w:name w:val="annotation text"/>
    <w:basedOn w:val="Normal"/>
    <w:link w:val="CommentTextChar"/>
    <w:uiPriority w:val="99"/>
    <w:semiHidden/>
    <w:unhideWhenUsed/>
    <w:rsid w:val="003555F5"/>
    <w:pPr>
      <w:spacing w:line="240" w:lineRule="auto"/>
    </w:pPr>
    <w:rPr>
      <w:sz w:val="20"/>
      <w:szCs w:val="20"/>
    </w:rPr>
  </w:style>
  <w:style w:type="character" w:customStyle="1" w:styleId="CommentTextChar">
    <w:name w:val="Comment Text Char"/>
    <w:basedOn w:val="DefaultParagraphFont"/>
    <w:link w:val="CommentText"/>
    <w:uiPriority w:val="99"/>
    <w:semiHidden/>
    <w:rsid w:val="003555F5"/>
    <w:rPr>
      <w:sz w:val="20"/>
      <w:szCs w:val="20"/>
    </w:rPr>
  </w:style>
  <w:style w:type="paragraph" w:styleId="CommentSubject">
    <w:name w:val="annotation subject"/>
    <w:basedOn w:val="CommentText"/>
    <w:next w:val="CommentText"/>
    <w:link w:val="CommentSubjectChar"/>
    <w:uiPriority w:val="99"/>
    <w:semiHidden/>
    <w:unhideWhenUsed/>
    <w:rsid w:val="003555F5"/>
    <w:rPr>
      <w:b/>
      <w:bCs/>
    </w:rPr>
  </w:style>
  <w:style w:type="character" w:customStyle="1" w:styleId="CommentSubjectChar">
    <w:name w:val="Comment Subject Char"/>
    <w:basedOn w:val="CommentTextChar"/>
    <w:link w:val="CommentSubject"/>
    <w:uiPriority w:val="99"/>
    <w:semiHidden/>
    <w:rsid w:val="003555F5"/>
    <w:rPr>
      <w:b/>
      <w:bCs/>
      <w:sz w:val="20"/>
      <w:szCs w:val="20"/>
    </w:rPr>
  </w:style>
  <w:style w:type="paragraph" w:styleId="BalloonText">
    <w:name w:val="Balloon Text"/>
    <w:basedOn w:val="Normal"/>
    <w:link w:val="BalloonTextChar"/>
    <w:uiPriority w:val="99"/>
    <w:semiHidden/>
    <w:unhideWhenUsed/>
    <w:rsid w:val="00355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5F5"/>
    <w:rPr>
      <w:rFonts w:ascii="Tahoma" w:hAnsi="Tahoma" w:cs="Tahoma"/>
      <w:sz w:val="16"/>
      <w:szCs w:val="16"/>
    </w:rPr>
  </w:style>
  <w:style w:type="character" w:styleId="Emphasis">
    <w:name w:val="Emphasis"/>
    <w:basedOn w:val="DefaultParagraphFont"/>
    <w:uiPriority w:val="20"/>
    <w:qFormat/>
    <w:rsid w:val="00142CC8"/>
    <w:rPr>
      <w:b/>
      <w:bCs/>
      <w:i w:val="0"/>
      <w:iCs w:val="0"/>
    </w:rPr>
  </w:style>
  <w:style w:type="character" w:customStyle="1" w:styleId="st1">
    <w:name w:val="st1"/>
    <w:basedOn w:val="DefaultParagraphFont"/>
    <w:rsid w:val="00142CC8"/>
  </w:style>
  <w:style w:type="paragraph" w:styleId="Header">
    <w:name w:val="header"/>
    <w:basedOn w:val="Normal"/>
    <w:link w:val="HeaderChar"/>
    <w:unhideWhenUsed/>
    <w:rsid w:val="00584BC4"/>
    <w:pPr>
      <w:tabs>
        <w:tab w:val="center" w:pos="4536"/>
        <w:tab w:val="right" w:pos="9072"/>
      </w:tabs>
      <w:spacing w:after="0" w:line="240" w:lineRule="auto"/>
    </w:pPr>
  </w:style>
  <w:style w:type="character" w:customStyle="1" w:styleId="HeaderChar">
    <w:name w:val="Header Char"/>
    <w:basedOn w:val="DefaultParagraphFont"/>
    <w:link w:val="Header"/>
    <w:rsid w:val="00584BC4"/>
  </w:style>
  <w:style w:type="paragraph" w:styleId="Footer">
    <w:name w:val="footer"/>
    <w:basedOn w:val="Normal"/>
    <w:link w:val="FooterChar"/>
    <w:uiPriority w:val="99"/>
    <w:unhideWhenUsed/>
    <w:rsid w:val="00584B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4BC4"/>
  </w:style>
  <w:style w:type="paragraph" w:customStyle="1" w:styleId="Cas">
    <w:name w:val="Cas"/>
    <w:basedOn w:val="Heading4"/>
    <w:rsid w:val="00584BC4"/>
    <w:pPr>
      <w:spacing w:before="0" w:line="360" w:lineRule="exact"/>
    </w:pPr>
    <w:rPr>
      <w:i/>
      <w:iCs/>
      <w:color w:val="0000FF"/>
      <w:w w:val="107"/>
      <w:sz w:val="28"/>
      <w:szCs w:val="28"/>
      <w:lang w:val="en-GB"/>
    </w:rPr>
  </w:style>
  <w:style w:type="character" w:customStyle="1" w:styleId="Heading4Char">
    <w:name w:val="Heading 4 Char"/>
    <w:link w:val="Heading4"/>
    <w:rsid w:val="00584BC4"/>
    <w:rPr>
      <w:rFonts w:ascii="Arial" w:eastAsia="Times New Roman" w:hAnsi="Arial" w:cs="Arial"/>
      <w:b/>
      <w:bCs/>
      <w:caps/>
      <w:sz w:val="20"/>
      <w:szCs w:val="24"/>
    </w:rPr>
  </w:style>
  <w:style w:type="paragraph" w:customStyle="1" w:styleId="Caschap">
    <w:name w:val="Caschap"/>
    <w:basedOn w:val="Cas"/>
    <w:rsid w:val="00584BC4"/>
    <w:pPr>
      <w:spacing w:after="120" w:line="480" w:lineRule="exact"/>
    </w:pPr>
    <w:rPr>
      <w:color w:val="auto"/>
      <w:sz w:val="36"/>
      <w:szCs w:val="48"/>
      <w:lang w:val="en-US"/>
    </w:rPr>
  </w:style>
  <w:style w:type="paragraph" w:customStyle="1" w:styleId="Texte1">
    <w:name w:val="Texte1"/>
    <w:basedOn w:val="Normal"/>
    <w:link w:val="Texte1Car"/>
    <w:autoRedefine/>
    <w:rsid w:val="002C4E8F"/>
    <w:pPr>
      <w:tabs>
        <w:tab w:val="left" w:pos="567"/>
      </w:tabs>
      <w:snapToGrid w:val="0"/>
      <w:spacing w:after="60" w:line="280" w:lineRule="exact"/>
      <w:ind w:left="850"/>
      <w:jc w:val="both"/>
    </w:pPr>
    <w:rPr>
      <w:rFonts w:ascii="Arial" w:eastAsia="SimSun" w:hAnsi="Arial" w:cs="Arial"/>
      <w:iCs/>
      <w:w w:val="95"/>
      <w:sz w:val="20"/>
      <w:szCs w:val="20"/>
      <w:lang w:eastAsia="zh-CN"/>
    </w:rPr>
  </w:style>
  <w:style w:type="character" w:customStyle="1" w:styleId="Texte1Car">
    <w:name w:val="Texte1 Car"/>
    <w:link w:val="Texte1"/>
    <w:rsid w:val="002C4E8F"/>
    <w:rPr>
      <w:rFonts w:ascii="Arial" w:eastAsia="SimSun" w:hAnsi="Arial" w:cs="Arial"/>
      <w:iCs/>
      <w:w w:val="95"/>
      <w:sz w:val="20"/>
      <w:szCs w:val="20"/>
      <w:lang w:eastAsia="zh-CN"/>
    </w:rPr>
  </w:style>
  <w:style w:type="paragraph" w:customStyle="1" w:styleId="citation">
    <w:name w:val="citation"/>
    <w:basedOn w:val="Texte1"/>
    <w:rsid w:val="007A04F1"/>
    <w:pPr>
      <w:ind w:left="1134" w:right="284"/>
    </w:pPr>
  </w:style>
  <w:style w:type="paragraph" w:customStyle="1" w:styleId="citationa">
    <w:name w:val="citation(a)"/>
    <w:basedOn w:val="Normal"/>
    <w:rsid w:val="007A04F1"/>
    <w:pPr>
      <w:snapToGrid w:val="0"/>
      <w:spacing w:after="60" w:line="280" w:lineRule="exact"/>
      <w:ind w:left="924" w:hanging="357"/>
      <w:jc w:val="both"/>
    </w:pPr>
    <w:rPr>
      <w:rFonts w:ascii="Arial" w:eastAsia="SimSun" w:hAnsi="Arial" w:cs="Arial"/>
      <w:w w:val="95"/>
      <w:sz w:val="20"/>
      <w:szCs w:val="20"/>
      <w:lang w:val="en-GB" w:eastAsia="zh-CN"/>
    </w:rPr>
  </w:style>
  <w:style w:type="character" w:styleId="PageNumber">
    <w:name w:val="page number"/>
    <w:rsid w:val="0036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87E9-1902-481E-98E0-3E33FC785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5</Pages>
  <Words>2702</Words>
  <Characters>14863</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Ombeline Scour</dc:creator>
  <cp:lastModifiedBy>UNESCO</cp:lastModifiedBy>
  <cp:revision>57</cp:revision>
  <cp:lastPrinted>2015-09-14T15:17:00Z</cp:lastPrinted>
  <dcterms:created xsi:type="dcterms:W3CDTF">2015-09-17T10:28:00Z</dcterms:created>
  <dcterms:modified xsi:type="dcterms:W3CDTF">2018-02-20T10:33:00Z</dcterms:modified>
</cp:coreProperties>
</file>