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FCE" w:rsidRPr="00B85A39" w:rsidRDefault="006278B1" w:rsidP="00B85A39">
      <w:pPr>
        <w:pBdr>
          <w:bottom w:val="single" w:sz="4" w:space="1" w:color="3366FF"/>
        </w:pBdr>
        <w:bidi/>
        <w:spacing w:after="200" w:line="240" w:lineRule="auto"/>
        <w:rPr>
          <w:rFonts w:ascii="Traditional Arabic" w:hAnsi="Traditional Arabic" w:cs="Traditional Arabic"/>
          <w:b/>
          <w:bCs/>
          <w:color w:val="3366FF"/>
          <w:sz w:val="72"/>
          <w:szCs w:val="72"/>
          <w:rtl/>
          <w:lang w:val="en-US" w:bidi="ar-IQ"/>
        </w:rPr>
      </w:pPr>
      <w:bookmarkStart w:id="0" w:name="_Toc241229778"/>
      <w:bookmarkStart w:id="1" w:name="_Toc241229982"/>
      <w:bookmarkStart w:id="2" w:name="_Toc242165676"/>
      <w:r w:rsidRPr="00B85A39">
        <w:rPr>
          <w:rFonts w:ascii="Traditional Arabic" w:hAnsi="Traditional Arabic" w:cs="Traditional Arabic" w:hint="cs"/>
          <w:b/>
          <w:bCs/>
          <w:color w:val="3366FF"/>
          <w:sz w:val="72"/>
          <w:szCs w:val="72"/>
          <w:rtl/>
          <w:lang w:val="en-US" w:bidi="ar-IQ"/>
        </w:rPr>
        <w:t>دراسة حالة</w:t>
      </w:r>
      <w:r w:rsidR="00BD7FCE" w:rsidRPr="00B85A39">
        <w:rPr>
          <w:rFonts w:ascii="Traditional Arabic" w:hAnsi="Traditional Arabic" w:cs="Traditional Arabic" w:hint="cs"/>
          <w:b/>
          <w:bCs/>
          <w:color w:val="3366FF"/>
          <w:sz w:val="72"/>
          <w:szCs w:val="72"/>
          <w:rtl/>
          <w:lang w:val="en-US" w:bidi="ar-IQ"/>
        </w:rPr>
        <w:t xml:space="preserve"> </w:t>
      </w:r>
      <w:r w:rsidR="003D027F" w:rsidRPr="00B85A39">
        <w:rPr>
          <w:rFonts w:ascii="Traditional Arabic" w:hAnsi="Traditional Arabic" w:cs="Traditional Arabic" w:hint="cs"/>
          <w:b/>
          <w:bCs/>
          <w:color w:val="3366FF"/>
          <w:sz w:val="72"/>
          <w:szCs w:val="72"/>
          <w:rtl/>
          <w:lang w:val="en-US" w:bidi="ar-IQ"/>
        </w:rPr>
        <w:t>42</w:t>
      </w:r>
    </w:p>
    <w:bookmarkEnd w:id="0"/>
    <w:bookmarkEnd w:id="1"/>
    <w:bookmarkEnd w:id="2"/>
    <w:p w:rsidR="00B467C0" w:rsidRDefault="009841AF" w:rsidP="00B85A39">
      <w:pPr>
        <w:bidi/>
        <w:spacing w:after="200" w:line="240" w:lineRule="auto"/>
        <w:rPr>
          <w:rFonts w:cs="Traditional Arabic"/>
          <w:kern w:val="36"/>
          <w:sz w:val="50"/>
          <w:szCs w:val="50"/>
          <w:rtl/>
          <w:lang w:eastAsia="en-GB" w:bidi="ar-MA"/>
        </w:rPr>
      </w:pPr>
      <w:r w:rsidRPr="00B85A39">
        <w:rPr>
          <w:rFonts w:ascii="Traditional Arabic" w:hAnsi="Traditional Arabic" w:cs="Traditional Arabic" w:hint="cs"/>
          <w:b/>
          <w:bCs/>
          <w:color w:val="3366FF"/>
          <w:sz w:val="48"/>
          <w:szCs w:val="48"/>
          <w:rtl/>
          <w:lang w:val="en-US" w:bidi="ar-IQ"/>
        </w:rPr>
        <w:t>الفن الطقسي والأدائي لطائفة الهجري ذات الهوية الجنسية الملتبسة</w:t>
      </w:r>
      <w:r>
        <w:rPr>
          <w:rStyle w:val="FootnoteReference"/>
          <w:rFonts w:cs="Traditional Arabic"/>
          <w:kern w:val="36"/>
          <w:sz w:val="50"/>
          <w:szCs w:val="50"/>
          <w:rtl/>
          <w:lang w:eastAsia="en-GB" w:bidi="ar-MA"/>
        </w:rPr>
        <w:footnoteReference w:id="1"/>
      </w:r>
    </w:p>
    <w:p w:rsidR="00361DF6" w:rsidRDefault="00DC2CDC" w:rsidP="00B85A39">
      <w:pPr>
        <w:bidi/>
        <w:ind w:left="850"/>
        <w:jc w:val="both"/>
        <w:rPr>
          <w:rFonts w:ascii="Traditional Arabic" w:hAnsi="Traditional Arabic" w:cs="Traditional Arabic"/>
          <w:sz w:val="32"/>
          <w:szCs w:val="32"/>
          <w:rtl/>
          <w:lang w:val="en-US"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>تعرض</w:t>
      </w:r>
      <w:r w:rsidR="009841AF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 xml:space="preserve"> هذه الحالة عنصراً من التراث الثقافي غير المادي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 xml:space="preserve"> يمثل تعبيراً فنياً تؤديه طائفة </w:t>
      </w:r>
      <w:r w:rsidR="00520DF0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مهمشة </w:t>
      </w:r>
      <w:r w:rsidR="004B388C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>ذات هوية جنسية ملتبسة</w:t>
      </w:r>
      <w:r w:rsidR="00D74525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 xml:space="preserve"> إذ لا تُحسب على الذكورة ولا على الأنوثة ولا تتطابق مع </w:t>
      </w:r>
      <w:r w:rsidR="00F75A63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>أ</w:t>
      </w:r>
      <w:r w:rsidR="00D74525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>ي من الجنسين.</w:t>
      </w:r>
      <w:r w:rsidR="004120F4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 xml:space="preserve"> </w:t>
      </w:r>
      <w:r w:rsidR="00D74525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>وعلى ذلك لا يحظى أفراد</w:t>
      </w:r>
      <w:r w:rsidR="00520DF0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>ها</w:t>
      </w:r>
      <w:r w:rsidR="00D74525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 xml:space="preserve"> بقبول </w:t>
      </w:r>
      <w:r w:rsidR="00520DF0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 xml:space="preserve">تام </w:t>
      </w:r>
      <w:r w:rsidR="00F75A63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>لدى الناس</w:t>
      </w:r>
      <w:r w:rsidR="00520DF0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 xml:space="preserve"> ولكنها </w:t>
      </w:r>
      <w:r w:rsidR="003F773C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 xml:space="preserve">حازت في سياق ممارستها لفنها </w:t>
      </w:r>
      <w:r w:rsidR="00520DF0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 xml:space="preserve">على </w:t>
      </w:r>
      <w:r w:rsidR="003F773C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>وضع مقبول</w:t>
      </w:r>
      <w:r w:rsidR="00520DF0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 xml:space="preserve"> في المجتمع </w:t>
      </w:r>
      <w:r w:rsidR="003F773C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>و</w:t>
      </w:r>
      <w:r w:rsidR="00F75A63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 xml:space="preserve">على </w:t>
      </w:r>
      <w:r w:rsidR="003F773C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>إمكانية كسب لقمة العيش. وتتألف هذه الطائفة من أشخاص</w:t>
      </w:r>
      <w:r w:rsidR="00737319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 xml:space="preserve"> يصنفون كبين بين، أي لا هم بالرجال ولا هم بالنساء، وإن كان جلهم في الأصل من الرجال الذي</w:t>
      </w:r>
      <w:r w:rsidR="00F75A63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>ن</w:t>
      </w:r>
      <w:r w:rsidR="00737319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 xml:space="preserve"> خضعوا </w:t>
      </w:r>
      <w:r w:rsidR="00332178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>لطقوس</w:t>
      </w:r>
      <w:r w:rsidR="00DC75B3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 xml:space="preserve"> </w:t>
      </w:r>
      <w:r w:rsidR="002C31ED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>تحويل الهوية الجنسية</w:t>
      </w:r>
      <w:r w:rsidR="00DC75B3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 xml:space="preserve"> لصالح الأنوثة فقطعوا مع الذكورة ولم يصبحوا إناثاً حقا</w:t>
      </w:r>
      <w:r w:rsidR="004120F4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>ً</w:t>
      </w:r>
      <w:r w:rsidR="00DC75B3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>، ومن</w:t>
      </w:r>
      <w:r w:rsidR="00332178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 xml:space="preserve">هم عدد قليل من الذكور الذين </w:t>
      </w:r>
      <w:r w:rsidR="00D502C7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 xml:space="preserve">كانوا خناثاً بالولادة، لذا </w:t>
      </w:r>
      <w:r w:rsidR="00E823DA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 xml:space="preserve">قُدِّر </w:t>
      </w:r>
      <w:r w:rsidR="002C31ED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>لهؤلاء</w:t>
      </w:r>
      <w:r w:rsidR="00E823DA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 xml:space="preserve"> جميعاً</w:t>
      </w:r>
      <w:r w:rsidR="00D502C7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 xml:space="preserve"> أن يكونوا طائفة</w:t>
      </w:r>
      <w:r w:rsidR="0048186E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 xml:space="preserve"> </w:t>
      </w:r>
      <w:r w:rsidR="00D502C7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>مهمشة في الهند.</w:t>
      </w:r>
      <w:r w:rsidR="00E823DA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 xml:space="preserve"> ولكنها في المقابل طائفة ضاربة في القدم تكفلها الأساطير والطقوس والفنون الهندوسية وتتمتع بمكانة اجتماعية خاصة</w:t>
      </w:r>
      <w:r w:rsidR="00AB2CA9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 xml:space="preserve"> توازن</w:t>
      </w:r>
      <w:r w:rsidR="002C31ED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 xml:space="preserve"> بها</w:t>
      </w:r>
      <w:r w:rsidR="00AB2CA9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 xml:space="preserve"> حالة التهميش. وتمثل عملية </w:t>
      </w:r>
      <w:r w:rsidR="002C31ED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 xml:space="preserve">تحويل </w:t>
      </w:r>
      <w:r w:rsidR="00DA15FD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>الهوية الجنسية</w:t>
      </w:r>
      <w:r w:rsidR="00AB2CA9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 xml:space="preserve"> (التي يتم فيها إزالة كل أو جزء من الأعضاء التناسلية للذكر) </w:t>
      </w:r>
      <w:r w:rsidR="00DA15FD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>طقس الترسيم الأساسي في حياة الطائفة والمعيار المحدد لهويتها. وفي هذا الطقس، وبعد</w:t>
      </w:r>
      <w:r w:rsidR="00AB2CA9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 xml:space="preserve"> </w:t>
      </w:r>
      <w:r w:rsidR="00DA15FD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 xml:space="preserve">تلقي بركات </w:t>
      </w:r>
      <w:r w:rsidR="00F75A63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>الإلهة</w:t>
      </w:r>
      <w:r w:rsidR="00DA15FD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 xml:space="preserve"> الأم في الأساطير الهندية، يقوم بإجراء عملية تحويل الهوية الجنسية</w:t>
      </w:r>
      <w:r w:rsidR="004120F4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 xml:space="preserve"> </w:t>
      </w:r>
      <w:r w:rsidR="00DA15FD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>أحد أعضاء الطائفة</w:t>
      </w:r>
      <w:r w:rsidR="00C52327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 xml:space="preserve"> الذي يُطلق عليه اسم "القابلة". وبعد إجراء العملية، يخضع العضو الجديد في الطائفة </w:t>
      </w:r>
      <w:r w:rsidR="004120F4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>لنظام غذائي خاص ويُعزل عن الآ</w:t>
      </w:r>
      <w:r w:rsidR="008E414B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>خرين على نحو ما تخضع له المرأة</w:t>
      </w:r>
      <w:r w:rsidR="00C52327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 xml:space="preserve"> </w:t>
      </w:r>
      <w:r w:rsidR="008E414B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 xml:space="preserve">من طقوس بعد الولادة. وبعد فترة 40 يوماً من العزلة، </w:t>
      </w:r>
      <w:r w:rsidR="00B63357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>يُكسى هذا الرجل/المرأة</w:t>
      </w:r>
      <w:r w:rsidR="004120F4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 xml:space="preserve"> </w:t>
      </w:r>
      <w:r w:rsidR="008E414B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 xml:space="preserve">زي العروس </w:t>
      </w:r>
      <w:r w:rsidR="00B63357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 xml:space="preserve">ويُقاد/تُقاد في موكب يتجه نحو جسم مائي حيث تُجرى طقوس ترمز للخصوبة والزواج والولادة وبختامها </w:t>
      </w:r>
      <w:r w:rsidR="00304A41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>تكتمل طقوس الترسيم والانتماء لهذه الطائفة وبها يصبح</w:t>
      </w:r>
      <w:r w:rsidR="00B63357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 xml:space="preserve"> هذا الشخص</w:t>
      </w:r>
      <w:r w:rsidR="00304A41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 xml:space="preserve"> عضوا</w:t>
      </w:r>
      <w:r w:rsidR="004120F4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>ً</w:t>
      </w:r>
      <w:r w:rsidR="00304A41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 xml:space="preserve"> كامل العضوية فيها. وفي هذا الوقت يكون هذا الشخص قد تلبست فيه قوة </w:t>
      </w:r>
      <w:r w:rsidR="009557DE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>وقدرات</w:t>
      </w:r>
      <w:r w:rsidR="00304A41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 xml:space="preserve"> </w:t>
      </w:r>
      <w:r w:rsidR="00F75A63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>الإلهة</w:t>
      </w:r>
      <w:r w:rsidR="00304A41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 xml:space="preserve"> الأم</w:t>
      </w:r>
      <w:r w:rsidR="009557DE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 xml:space="preserve"> بعد أن أكمل عملية التحول من ذكر عاجز </w:t>
      </w:r>
      <w:r w:rsidR="00F963EE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>إلى "امرأة" قادرة وعابرة للجنس.</w:t>
      </w:r>
    </w:p>
    <w:p w:rsidR="00F963EE" w:rsidRDefault="00F963EE" w:rsidP="00F963EE">
      <w:pPr>
        <w:bidi/>
        <w:ind w:left="850"/>
        <w:jc w:val="both"/>
        <w:rPr>
          <w:rFonts w:ascii="Traditional Arabic" w:hAnsi="Traditional Arabic" w:cs="Traditional Arabic"/>
          <w:sz w:val="32"/>
          <w:szCs w:val="32"/>
          <w:rtl/>
          <w:lang w:val="en-US" w:bidi="ar-IQ"/>
        </w:rPr>
      </w:pPr>
    </w:p>
    <w:p w:rsidR="009557DE" w:rsidRPr="00E21B80" w:rsidRDefault="005F7A81" w:rsidP="004120F4">
      <w:pPr>
        <w:bidi/>
        <w:ind w:left="850"/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lastRenderedPageBreak/>
        <w:t xml:space="preserve">وأحد الجوانب المهمة لهذه التقاليد الثقافية وما يصاحبها من فن أدائي هو أن قوة "الخنثى"، أي الشخص الثنائي الجنس، </w:t>
      </w:r>
      <w:r w:rsidR="005B36F7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>تُعتبر من الموضوعات المشتركة والمهمة في التقاليد الدينية. فمن أكثر المظاهر شعبية لتجلي أحد الآلهة الكبرى في الديانة الهندوسية هو تصوير</w:t>
      </w:r>
      <w:r w:rsidR="00F75A63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>ه</w:t>
      </w:r>
      <w:r w:rsidR="005B36F7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 xml:space="preserve"> على شكل نصف ذكر ونصف أنثى يرمز إلى اتحاد هذا الإله </w:t>
      </w:r>
      <w:r w:rsidR="00AE2FE3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 xml:space="preserve">مع القوة الخلاقة لامرأته. </w:t>
      </w:r>
      <w:r w:rsidR="00F5586C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 xml:space="preserve">كما </w:t>
      </w:r>
      <w:r w:rsidR="00AE2FE3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 xml:space="preserve">نجد في إحدى القصائد الملحمية </w:t>
      </w:r>
      <w:r w:rsidR="00F5586C">
        <w:rPr>
          <w:rFonts w:ascii="Traditional Arabic" w:hAnsi="Traditional Arabic" w:cs="Traditional Arabic" w:hint="cs"/>
          <w:sz w:val="32"/>
          <w:szCs w:val="32"/>
          <w:rtl/>
          <w:lang w:val="en-US" w:bidi="ar-IQ"/>
        </w:rPr>
        <w:t xml:space="preserve">أن </w:t>
      </w:r>
      <w:r w:rsidR="00E21B80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أحد الشخوص الرئيسيين يعيش لمدة سنة كخصي، ونرى في ملحمة أخرى أن أفراد الطائفة العابرة للجنس أظهروا تفانيهم وإخلاصهم</w:t>
      </w:r>
      <w:r w:rsidR="004120F4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r w:rsidR="00E21B80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للبطل الرئيس خلال مدة نفيه البالغة 14 سنة إلى درجة أن هذا </w:t>
      </w:r>
      <w:r w:rsidR="004120F4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</w:t>
      </w:r>
      <w:r w:rsidR="004576B4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عطاهم امتياز منح البركة للناس أثناء المناسبات الميمونة. وهذا هو أصل المورد الذي تستقي منه هذه الطائفة العابرة للجنس</w:t>
      </w:r>
      <w:r w:rsidR="00F27B30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تقاليدها وشرعيتها</w:t>
      </w:r>
      <w:r w:rsidR="004576B4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وتستمد منه فنها الأدائي</w:t>
      </w:r>
      <w:r w:rsidR="00F75A6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="004576B4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حيث يغني أفرادها ويرقصون ويمنحون البركة</w:t>
      </w:r>
      <w:r w:rsidR="00F27B30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في المراحل المفصلية لدورة الحياة المتعلقة بالإنجاب - الولادة والزواج </w:t>
      </w:r>
      <w:r w:rsidR="00F963EE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</w:t>
      </w:r>
      <w:r w:rsidR="00F27B30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r w:rsidR="00C36500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لذلك تنطوي ثقافتهم التعبيرية على قدر كبير </w:t>
      </w:r>
      <w:r w:rsidR="00F75A6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من </w:t>
      </w:r>
      <w:r w:rsidR="00C36500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الإيحاءات والرموز المتعلقة بالخصوبة باعتبارها وسائل لتجليات القوة الابتكارية للإلهة</w:t>
      </w:r>
      <w:r w:rsidR="004120F4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r w:rsidR="00C36500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الأم. وبفضل هذا الأداء والفن الطقسي، يكتسب </w:t>
      </w:r>
      <w:r w:rsidR="004120F4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أفراد</w:t>
      </w:r>
      <w:r w:rsidR="00C36500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هذه الطائفة عيشهم</w:t>
      </w:r>
      <w:r w:rsidR="004120F4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r w:rsidR="00C36500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ويمنحهم المجتمع حيزاً من المكانة المجتمعية</w:t>
      </w:r>
      <w:r w:rsidR="00E1762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. ويقوم أداؤهم على السخرية من سلوك الأنثى</w:t>
      </w:r>
      <w:r w:rsidR="00F75A6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="00E1762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والكثير </w:t>
      </w:r>
      <w:r w:rsidR="00061DB4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من عناصره الهزلية يتأتى من التنافر بين سلوكهم المشين والسلوك العادي لامرأة محكومة بتقاليد الأدب واللياقة. فهم يستخدمون لغة وإيماءات فجة </w:t>
      </w:r>
      <w:proofErr w:type="spellStart"/>
      <w:r w:rsidR="00061DB4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وخادشة</w:t>
      </w:r>
      <w:proofErr w:type="spellEnd"/>
      <w:r w:rsidR="00061DB4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للحياء وتلميحات جنسية ويعاكسون </w:t>
      </w:r>
      <w:r w:rsidR="00F75A6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الأطفال </w:t>
      </w:r>
      <w:r w:rsidR="00061DB4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الذكور ويسخرون من أفراد العائلة وعلاقاتها. ومن المشاهد التقليدية المشهودة تمثيل دور </w:t>
      </w:r>
      <w:bookmarkStart w:id="3" w:name="_GoBack"/>
      <w:bookmarkEnd w:id="3"/>
      <w:r w:rsidR="00061DB4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المرأة الحامل وإظهار المصاعب </w:t>
      </w:r>
      <w:r w:rsidR="00D5144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التي تلاقيها</w:t>
      </w:r>
      <w:r w:rsidR="00061DB4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في كل مرحلة من مراحل الحمل</w:t>
      </w:r>
      <w:r w:rsidR="00D5144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.</w:t>
      </w:r>
    </w:p>
    <w:sectPr w:rsidR="009557DE" w:rsidRPr="00E21B80" w:rsidSect="00B85A39">
      <w:headerReference w:type="default" r:id="rId7"/>
      <w:footerReference w:type="default" r:id="rId8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CB2" w:rsidRDefault="00AB0CB2" w:rsidP="006742B2">
      <w:pPr>
        <w:spacing w:after="0" w:line="240" w:lineRule="auto"/>
      </w:pPr>
      <w:r>
        <w:separator/>
      </w:r>
    </w:p>
  </w:endnote>
  <w:endnote w:type="continuationSeparator" w:id="0">
    <w:p w:rsidR="00AB0CB2" w:rsidRDefault="00AB0CB2" w:rsidP="00674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8"/>
      <w:gridCol w:w="4831"/>
      <w:gridCol w:w="2429"/>
    </w:tblGrid>
    <w:tr w:rsidR="00B85A39" w:rsidTr="00B85A39">
      <w:tc>
        <w:tcPr>
          <w:tcW w:w="1234" w:type="pct"/>
          <w:vAlign w:val="center"/>
          <w:hideMark/>
        </w:tcPr>
        <w:p w:rsidR="00B85A39" w:rsidRDefault="00B85A39" w:rsidP="00B85A39">
          <w:pPr>
            <w:tabs>
              <w:tab w:val="right" w:pos="2018"/>
            </w:tabs>
            <w:rPr>
              <w:rFonts w:ascii="Calibri" w:eastAsia="Calibri" w:hAnsi="Calibri" w:cs="Arial"/>
            </w:rPr>
          </w:pPr>
          <w:r>
            <w:rPr>
              <w:rFonts w:ascii="Calibri" w:eastAsia="Calibri" w:hAnsi="Calibri" w:cs="Arial"/>
              <w:noProof/>
              <w:lang w:eastAsia="ja-JP"/>
            </w:rPr>
            <w:drawing>
              <wp:inline distT="0" distB="0" distL="0" distR="0">
                <wp:extent cx="1041400" cy="668020"/>
                <wp:effectExtent l="0" t="0" r="6350" b="0"/>
                <wp:docPr id="2" name="Image 2" descr="unesco_logo_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unesco_logo_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  <w:hideMark/>
        </w:tcPr>
        <w:p w:rsidR="00B85A39" w:rsidRDefault="00850AEA" w:rsidP="00B85A39">
          <w:pPr>
            <w:bidi/>
            <w:jc w:val="center"/>
            <w:rPr>
              <w:rFonts w:ascii="Calibri" w:eastAsia="Calibri" w:hAnsi="Calibri" w:cs="Arial"/>
              <w:lang w:val="en-US"/>
            </w:rPr>
          </w:pPr>
          <w:r>
            <w:rPr>
              <w:noProof/>
              <w:lang w:eastAsia="ja-JP"/>
            </w:rPr>
            <w:drawing>
              <wp:anchor distT="0" distB="0" distL="114300" distR="114300" simplePos="0" relativeHeight="251659264" behindDoc="0" locked="0" layoutInCell="1" allowOverlap="1" wp14:anchorId="0ABB283E" wp14:editId="49039AAE">
                <wp:simplePos x="0" y="0"/>
                <wp:positionH relativeFrom="column">
                  <wp:posOffset>1203960</wp:posOffset>
                </wp:positionH>
                <wp:positionV relativeFrom="paragraph">
                  <wp:posOffset>-61595</wp:posOffset>
                </wp:positionV>
                <wp:extent cx="542925" cy="190500"/>
                <wp:effectExtent l="0" t="0" r="9525" b="0"/>
                <wp:wrapTopAndBottom/>
                <wp:docPr id="10" name="Picture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60" w:type="pct"/>
          <w:vAlign w:val="bottom"/>
          <w:hideMark/>
        </w:tcPr>
        <w:p w:rsidR="00B85A39" w:rsidRDefault="00B85A39" w:rsidP="00B85A39">
          <w:pPr>
            <w:jc w:val="right"/>
            <w:rPr>
              <w:rFonts w:ascii="Arial" w:eastAsia="Calibri" w:hAnsi="Arial" w:cs="Arial"/>
              <w:sz w:val="18"/>
              <w:szCs w:val="18"/>
              <w:lang w:val="en-US"/>
            </w:rPr>
          </w:pPr>
          <w:r>
            <w:rPr>
              <w:rFonts w:ascii="Arial" w:eastAsia="Calibri" w:hAnsi="Arial" w:cs="Arial"/>
              <w:sz w:val="18"/>
              <w:szCs w:val="18"/>
              <w:lang w:val="en-GB"/>
            </w:rPr>
            <w:t>CS42-v1.0-AR</w:t>
          </w:r>
        </w:p>
      </w:tc>
    </w:tr>
  </w:tbl>
  <w:p w:rsidR="00B85A39" w:rsidRDefault="00B85A39" w:rsidP="00B85A39">
    <w:pPr>
      <w:pStyle w:val="Header"/>
      <w:rPr>
        <w:rFonts w:ascii="Calibri" w:eastAsia="Calibri" w:hAnsi="Calibri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CB2" w:rsidRDefault="00AB0CB2" w:rsidP="00F963EE">
      <w:pPr>
        <w:bidi/>
        <w:spacing w:after="0" w:line="240" w:lineRule="auto"/>
      </w:pPr>
      <w:r>
        <w:separator/>
      </w:r>
    </w:p>
  </w:footnote>
  <w:footnote w:type="continuationSeparator" w:id="0">
    <w:p w:rsidR="00AB0CB2" w:rsidRDefault="00AB0CB2" w:rsidP="006742B2">
      <w:pPr>
        <w:spacing w:after="0" w:line="240" w:lineRule="auto"/>
      </w:pPr>
      <w:r>
        <w:continuationSeparator/>
      </w:r>
    </w:p>
  </w:footnote>
  <w:footnote w:id="1">
    <w:p w:rsidR="009841AF" w:rsidRDefault="009841AF" w:rsidP="000C7A05">
      <w:pPr>
        <w:pStyle w:val="FootnoteText"/>
        <w:bidi/>
        <w:spacing w:line="204" w:lineRule="auto"/>
        <w:ind w:left="284" w:hanging="284"/>
        <w:jc w:val="both"/>
        <w:rPr>
          <w:rtl/>
          <w:lang w:val="en-GB"/>
        </w:rPr>
      </w:pPr>
      <w:r w:rsidRPr="000C7A05">
        <w:rPr>
          <w:rStyle w:val="FootnoteReference"/>
          <w:rFonts w:ascii="Traditional Arabic" w:hAnsi="Traditional Arabic"/>
          <w:sz w:val="28"/>
          <w:szCs w:val="28"/>
        </w:rPr>
        <w:footnoteRef/>
      </w:r>
      <w:r w:rsidR="000C7A05">
        <w:rPr>
          <w:rtl/>
          <w:lang w:val="en-GB"/>
        </w:rPr>
        <w:tab/>
      </w:r>
      <w:r w:rsidR="000C7A05" w:rsidRPr="009841AF">
        <w:rPr>
          <w:lang w:val="en-GB"/>
        </w:rPr>
        <w:t xml:space="preserve">Serena Nanda, Neither Man nor Woman: The </w:t>
      </w:r>
      <w:proofErr w:type="spellStart"/>
      <w:r w:rsidR="000C7A05" w:rsidRPr="009841AF">
        <w:rPr>
          <w:lang w:val="en-GB"/>
        </w:rPr>
        <w:t>Hijras</w:t>
      </w:r>
      <w:proofErr w:type="spellEnd"/>
      <w:r w:rsidR="000C7A05" w:rsidRPr="009841AF">
        <w:rPr>
          <w:lang w:val="en-GB"/>
        </w:rPr>
        <w:t xml:space="preserve"> of India, second edition (Belmont, CA: Wadsworth Publishing, 1999). See also: Nita </w:t>
      </w:r>
      <w:proofErr w:type="spellStart"/>
      <w:r w:rsidR="000C7A05" w:rsidRPr="009841AF">
        <w:rPr>
          <w:lang w:val="en-GB"/>
        </w:rPr>
        <w:t>Bhalla</w:t>
      </w:r>
      <w:proofErr w:type="spellEnd"/>
      <w:r w:rsidR="000C7A05" w:rsidRPr="009841AF">
        <w:rPr>
          <w:lang w:val="en-GB"/>
        </w:rPr>
        <w:t xml:space="preserve"> with </w:t>
      </w:r>
      <w:proofErr w:type="spellStart"/>
      <w:r w:rsidR="000C7A05" w:rsidRPr="009841AF">
        <w:rPr>
          <w:lang w:val="en-GB"/>
        </w:rPr>
        <w:t>Suchitra</w:t>
      </w:r>
      <w:proofErr w:type="spellEnd"/>
      <w:r w:rsidR="000C7A05" w:rsidRPr="009841AF">
        <w:rPr>
          <w:lang w:val="en-GB"/>
        </w:rPr>
        <w:t xml:space="preserve"> </w:t>
      </w:r>
      <w:proofErr w:type="spellStart"/>
      <w:r w:rsidR="000C7A05" w:rsidRPr="009841AF">
        <w:rPr>
          <w:lang w:val="en-GB"/>
        </w:rPr>
        <w:t>Mohanty</w:t>
      </w:r>
      <w:proofErr w:type="spellEnd"/>
      <w:r w:rsidR="000C7A05" w:rsidRPr="009841AF">
        <w:rPr>
          <w:lang w:val="en-GB"/>
        </w:rPr>
        <w:t xml:space="preserve"> and Sunil </w:t>
      </w:r>
      <w:proofErr w:type="spellStart"/>
      <w:r w:rsidR="000C7A05" w:rsidRPr="009841AF">
        <w:rPr>
          <w:lang w:val="en-GB"/>
        </w:rPr>
        <w:t>Kataria</w:t>
      </w:r>
      <w:proofErr w:type="spellEnd"/>
      <w:r w:rsidR="000C7A05" w:rsidRPr="009841AF">
        <w:rPr>
          <w:lang w:val="en-GB"/>
        </w:rPr>
        <w:t xml:space="preserve"> ‘Supreme Court recognises </w:t>
      </w:r>
      <w:proofErr w:type="spellStart"/>
      <w:r w:rsidR="000C7A05" w:rsidRPr="009841AF">
        <w:rPr>
          <w:lang w:val="en-GB"/>
        </w:rPr>
        <w:t>transgenders</w:t>
      </w:r>
      <w:proofErr w:type="spellEnd"/>
      <w:r w:rsidR="000C7A05" w:rsidRPr="009841AF">
        <w:rPr>
          <w:lang w:val="en-GB"/>
        </w:rPr>
        <w:t xml:space="preserve"> as third gender in landmark ruling,’ Times of India, 15 April 2014.</w:t>
      </w:r>
    </w:p>
    <w:p w:rsidR="00F34FE0" w:rsidRDefault="00F34FE0" w:rsidP="00F34FE0">
      <w:pPr>
        <w:pStyle w:val="FootnoteText"/>
        <w:bidi/>
        <w:spacing w:line="204" w:lineRule="auto"/>
        <w:ind w:left="284" w:hanging="284"/>
        <w:jc w:val="both"/>
        <w:rPr>
          <w:rtl/>
          <w:lang w:val="en-GB"/>
        </w:rPr>
      </w:pPr>
    </w:p>
    <w:p w:rsidR="000D21B0" w:rsidRPr="009841AF" w:rsidRDefault="000D21B0" w:rsidP="000D21B0">
      <w:pPr>
        <w:pStyle w:val="FootnoteText"/>
        <w:bidi/>
        <w:spacing w:line="204" w:lineRule="auto"/>
        <w:ind w:left="284" w:hanging="284"/>
        <w:jc w:val="both"/>
        <w:rPr>
          <w:rtl/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4"/>
      <w:gridCol w:w="3213"/>
      <w:gridCol w:w="3211"/>
    </w:tblGrid>
    <w:tr w:rsidR="00B85A39" w:rsidTr="00B85A39">
      <w:trPr>
        <w:jc w:val="center"/>
      </w:trPr>
      <w:tc>
        <w:tcPr>
          <w:tcW w:w="1667" w:type="pct"/>
        </w:tcPr>
        <w:p w:rsidR="00B85A39" w:rsidRDefault="00B85A39" w:rsidP="00B85A39">
          <w:pPr>
            <w:pStyle w:val="Header"/>
            <w:bidi/>
            <w:jc w:val="right"/>
            <w:rPr>
              <w:rFonts w:cs="Traditional Arabic"/>
              <w:sz w:val="18"/>
              <w:szCs w:val="24"/>
            </w:rPr>
          </w:pPr>
        </w:p>
      </w:tc>
      <w:tc>
        <w:tcPr>
          <w:tcW w:w="1667" w:type="pct"/>
          <w:hideMark/>
        </w:tcPr>
        <w:p w:rsidR="00B85A39" w:rsidRDefault="00B85A39" w:rsidP="00B85A39">
          <w:pPr>
            <w:pStyle w:val="Header"/>
            <w:jc w:val="center"/>
            <w:rPr>
              <w:rFonts w:cs="Traditional Arabic"/>
              <w:sz w:val="18"/>
              <w:szCs w:val="24"/>
              <w:lang w:bidi="ar-SY"/>
            </w:rPr>
          </w:pPr>
          <w:r>
            <w:rPr>
              <w:rFonts w:eastAsia="Times New Roman" w:cs="Traditional Arabic"/>
              <w:kern w:val="36"/>
              <w:sz w:val="26"/>
              <w:szCs w:val="24"/>
              <w:rtl/>
              <w:lang w:eastAsia="en-GB" w:bidi="ar-MA"/>
            </w:rPr>
            <w:t>دراسة حالة</w:t>
          </w:r>
        </w:p>
      </w:tc>
      <w:tc>
        <w:tcPr>
          <w:tcW w:w="1667" w:type="pct"/>
          <w:hideMark/>
        </w:tcPr>
        <w:p w:rsidR="00B85A39" w:rsidRDefault="00B85A39" w:rsidP="00B85A39">
          <w:pPr>
            <w:pStyle w:val="Header"/>
            <w:jc w:val="right"/>
            <w:rPr>
              <w:rFonts w:asciiTheme="minorBidi" w:hAnsiTheme="minorBidi"/>
            </w:rPr>
          </w:pPr>
          <w:r>
            <w:rPr>
              <w:rFonts w:asciiTheme="minorBidi" w:hAnsiTheme="minorBidi"/>
            </w:rPr>
            <w:fldChar w:fldCharType="begin"/>
          </w:r>
          <w:r>
            <w:rPr>
              <w:rFonts w:asciiTheme="minorBidi" w:hAnsiTheme="minorBidi"/>
            </w:rPr>
            <w:instrText>PAGE   \* MERGEFORMAT</w:instrText>
          </w:r>
          <w:r>
            <w:rPr>
              <w:rFonts w:asciiTheme="minorBidi" w:hAnsiTheme="minorBidi"/>
            </w:rPr>
            <w:fldChar w:fldCharType="separate"/>
          </w:r>
          <w:r w:rsidR="00850AEA">
            <w:rPr>
              <w:rFonts w:asciiTheme="minorBidi" w:hAnsiTheme="minorBidi"/>
              <w:noProof/>
            </w:rPr>
            <w:t>2</w:t>
          </w:r>
          <w:r>
            <w:rPr>
              <w:rFonts w:asciiTheme="minorBidi" w:hAnsiTheme="minorBidi"/>
            </w:rPr>
            <w:fldChar w:fldCharType="end"/>
          </w:r>
        </w:p>
      </w:tc>
    </w:tr>
  </w:tbl>
  <w:p w:rsidR="00B85A39" w:rsidRDefault="00B85A39" w:rsidP="00B85A39">
    <w:pPr>
      <w:pStyle w:val="Head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24"/>
    <w:rsid w:val="00012727"/>
    <w:rsid w:val="00012C6D"/>
    <w:rsid w:val="00061DB4"/>
    <w:rsid w:val="0007094C"/>
    <w:rsid w:val="0007539E"/>
    <w:rsid w:val="00093519"/>
    <w:rsid w:val="000C7A05"/>
    <w:rsid w:val="000D21B0"/>
    <w:rsid w:val="000E49B7"/>
    <w:rsid w:val="000F4481"/>
    <w:rsid w:val="00130496"/>
    <w:rsid w:val="00131125"/>
    <w:rsid w:val="00134F0D"/>
    <w:rsid w:val="00136574"/>
    <w:rsid w:val="00142E96"/>
    <w:rsid w:val="00145197"/>
    <w:rsid w:val="00171908"/>
    <w:rsid w:val="00173473"/>
    <w:rsid w:val="00180845"/>
    <w:rsid w:val="0018413A"/>
    <w:rsid w:val="001941AF"/>
    <w:rsid w:val="001B7895"/>
    <w:rsid w:val="001F76D7"/>
    <w:rsid w:val="00220203"/>
    <w:rsid w:val="002253FF"/>
    <w:rsid w:val="00271585"/>
    <w:rsid w:val="002717B3"/>
    <w:rsid w:val="002732B4"/>
    <w:rsid w:val="002C0E81"/>
    <w:rsid w:val="002C14E7"/>
    <w:rsid w:val="002C31ED"/>
    <w:rsid w:val="002D685D"/>
    <w:rsid w:val="002F37DE"/>
    <w:rsid w:val="00304972"/>
    <w:rsid w:val="00304A41"/>
    <w:rsid w:val="00315B18"/>
    <w:rsid w:val="00327BD2"/>
    <w:rsid w:val="00332178"/>
    <w:rsid w:val="00361DF6"/>
    <w:rsid w:val="00376805"/>
    <w:rsid w:val="003C0650"/>
    <w:rsid w:val="003C7E45"/>
    <w:rsid w:val="003D027F"/>
    <w:rsid w:val="003D09FE"/>
    <w:rsid w:val="003F773C"/>
    <w:rsid w:val="004120F4"/>
    <w:rsid w:val="0042038A"/>
    <w:rsid w:val="00427310"/>
    <w:rsid w:val="00455EE2"/>
    <w:rsid w:val="004576B4"/>
    <w:rsid w:val="00464882"/>
    <w:rsid w:val="0048186E"/>
    <w:rsid w:val="004A1E58"/>
    <w:rsid w:val="004B2FBF"/>
    <w:rsid w:val="004B388C"/>
    <w:rsid w:val="004C3170"/>
    <w:rsid w:val="004F5085"/>
    <w:rsid w:val="005144B8"/>
    <w:rsid w:val="00520DF0"/>
    <w:rsid w:val="0056629A"/>
    <w:rsid w:val="00576C34"/>
    <w:rsid w:val="005807A3"/>
    <w:rsid w:val="005B36F7"/>
    <w:rsid w:val="005C6AE1"/>
    <w:rsid w:val="005D42F3"/>
    <w:rsid w:val="005F3CAC"/>
    <w:rsid w:val="005F7A81"/>
    <w:rsid w:val="00611B9C"/>
    <w:rsid w:val="006278B1"/>
    <w:rsid w:val="006742B2"/>
    <w:rsid w:val="00677B19"/>
    <w:rsid w:val="006953DE"/>
    <w:rsid w:val="006C0208"/>
    <w:rsid w:val="00700334"/>
    <w:rsid w:val="00716EBB"/>
    <w:rsid w:val="00737319"/>
    <w:rsid w:val="00771EBE"/>
    <w:rsid w:val="007C296C"/>
    <w:rsid w:val="008038CB"/>
    <w:rsid w:val="00805824"/>
    <w:rsid w:val="00825173"/>
    <w:rsid w:val="00850AEA"/>
    <w:rsid w:val="00861217"/>
    <w:rsid w:val="008960F5"/>
    <w:rsid w:val="008C3DFC"/>
    <w:rsid w:val="008E414B"/>
    <w:rsid w:val="00903ADC"/>
    <w:rsid w:val="00924A60"/>
    <w:rsid w:val="009403FC"/>
    <w:rsid w:val="00943AB4"/>
    <w:rsid w:val="009557DE"/>
    <w:rsid w:val="0098308F"/>
    <w:rsid w:val="009841AF"/>
    <w:rsid w:val="00A20FF4"/>
    <w:rsid w:val="00A70A8F"/>
    <w:rsid w:val="00A76E09"/>
    <w:rsid w:val="00A913BC"/>
    <w:rsid w:val="00AB0CB2"/>
    <w:rsid w:val="00AB2CA9"/>
    <w:rsid w:val="00AC66BF"/>
    <w:rsid w:val="00AE2FE3"/>
    <w:rsid w:val="00AE6CBA"/>
    <w:rsid w:val="00AE7766"/>
    <w:rsid w:val="00AF07EF"/>
    <w:rsid w:val="00B12E03"/>
    <w:rsid w:val="00B2156F"/>
    <w:rsid w:val="00B467C0"/>
    <w:rsid w:val="00B63357"/>
    <w:rsid w:val="00B85A39"/>
    <w:rsid w:val="00BA6665"/>
    <w:rsid w:val="00BC5121"/>
    <w:rsid w:val="00BD7FCE"/>
    <w:rsid w:val="00BE31B2"/>
    <w:rsid w:val="00C126FB"/>
    <w:rsid w:val="00C36500"/>
    <w:rsid w:val="00C52327"/>
    <w:rsid w:val="00C57690"/>
    <w:rsid w:val="00C60E7C"/>
    <w:rsid w:val="00C80D47"/>
    <w:rsid w:val="00CC3053"/>
    <w:rsid w:val="00CE5A67"/>
    <w:rsid w:val="00CF31E1"/>
    <w:rsid w:val="00D1266E"/>
    <w:rsid w:val="00D20EB7"/>
    <w:rsid w:val="00D25AE0"/>
    <w:rsid w:val="00D374D6"/>
    <w:rsid w:val="00D502C7"/>
    <w:rsid w:val="00D51442"/>
    <w:rsid w:val="00D661E3"/>
    <w:rsid w:val="00D74525"/>
    <w:rsid w:val="00D83FE6"/>
    <w:rsid w:val="00D8576B"/>
    <w:rsid w:val="00D85AC3"/>
    <w:rsid w:val="00D931B0"/>
    <w:rsid w:val="00D93A28"/>
    <w:rsid w:val="00DA15FD"/>
    <w:rsid w:val="00DB38F8"/>
    <w:rsid w:val="00DB637B"/>
    <w:rsid w:val="00DC2C0D"/>
    <w:rsid w:val="00DC2CDC"/>
    <w:rsid w:val="00DC75B3"/>
    <w:rsid w:val="00DD09D0"/>
    <w:rsid w:val="00E10F3F"/>
    <w:rsid w:val="00E17629"/>
    <w:rsid w:val="00E21B80"/>
    <w:rsid w:val="00E426D7"/>
    <w:rsid w:val="00E512D8"/>
    <w:rsid w:val="00E66571"/>
    <w:rsid w:val="00E751D1"/>
    <w:rsid w:val="00E823DA"/>
    <w:rsid w:val="00E9148D"/>
    <w:rsid w:val="00EB2203"/>
    <w:rsid w:val="00ED7661"/>
    <w:rsid w:val="00F0439E"/>
    <w:rsid w:val="00F1185C"/>
    <w:rsid w:val="00F22488"/>
    <w:rsid w:val="00F27B30"/>
    <w:rsid w:val="00F3052F"/>
    <w:rsid w:val="00F34FE0"/>
    <w:rsid w:val="00F4254B"/>
    <w:rsid w:val="00F5586C"/>
    <w:rsid w:val="00F71E00"/>
    <w:rsid w:val="00F75A63"/>
    <w:rsid w:val="00F76E55"/>
    <w:rsid w:val="00F851FA"/>
    <w:rsid w:val="00F963EE"/>
    <w:rsid w:val="00FD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2F7C1D"/>
  <w15:docId w15:val="{BBC6E3B0-73E8-4EE7-B722-3B627E92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7F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742B2"/>
    <w:pPr>
      <w:spacing w:after="0" w:line="240" w:lineRule="auto"/>
    </w:pPr>
    <w:rPr>
      <w:rFonts w:ascii="Arial" w:hAnsi="Arial" w:cs="Traditional Arabic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42B2"/>
    <w:rPr>
      <w:rFonts w:ascii="Arial" w:hAnsi="Arial" w:cs="Traditional Arab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42B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742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7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FCE"/>
  </w:style>
  <w:style w:type="paragraph" w:styleId="Footer">
    <w:name w:val="footer"/>
    <w:basedOn w:val="Normal"/>
    <w:link w:val="FooterChar"/>
    <w:uiPriority w:val="99"/>
    <w:unhideWhenUsed/>
    <w:rsid w:val="00BD7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FCE"/>
  </w:style>
  <w:style w:type="paragraph" w:customStyle="1" w:styleId="Chapitre">
    <w:name w:val="Chapitre"/>
    <w:basedOn w:val="Heading1"/>
    <w:link w:val="ChapitreCar"/>
    <w:rsid w:val="00BD7FCE"/>
    <w:pPr>
      <w:pBdr>
        <w:bottom w:val="single" w:sz="4" w:space="14" w:color="3366FF"/>
      </w:pBdr>
      <w:tabs>
        <w:tab w:val="left" w:pos="567"/>
      </w:tabs>
      <w:snapToGrid w:val="0"/>
      <w:spacing w:after="480" w:line="840" w:lineRule="exact"/>
    </w:pPr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ChapitreCar">
    <w:name w:val="Chapitre Car"/>
    <w:link w:val="Chapitre"/>
    <w:rsid w:val="00BD7FC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BD7F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O2">
    <w:name w:val="HO2"/>
    <w:basedOn w:val="Normal"/>
    <w:link w:val="HO2Car"/>
    <w:rsid w:val="00BD7FCE"/>
    <w:pPr>
      <w:keepNext/>
      <w:keepLines/>
      <w:tabs>
        <w:tab w:val="left" w:pos="567"/>
      </w:tabs>
      <w:snapToGrid w:val="0"/>
      <w:spacing w:after="480" w:line="480" w:lineRule="exact"/>
      <w:outlineLvl w:val="0"/>
    </w:pPr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O2Car">
    <w:name w:val="HO2 Car"/>
    <w:basedOn w:val="DefaultParagraphFont"/>
    <w:link w:val="HO2"/>
    <w:rsid w:val="00BD7FC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2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85A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8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D62BE-8DC3-4C48-851F-8CD8320F2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Kaddoura, Maha</dc:creator>
  <cp:lastModifiedBy>Kim, Dain</cp:lastModifiedBy>
  <cp:revision>9</cp:revision>
  <dcterms:created xsi:type="dcterms:W3CDTF">2016-05-12T14:41:00Z</dcterms:created>
  <dcterms:modified xsi:type="dcterms:W3CDTF">2018-04-19T08:55:00Z</dcterms:modified>
</cp:coreProperties>
</file>