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6DEB4" w14:textId="77777777" w:rsidR="00E47631" w:rsidRPr="00E47631" w:rsidRDefault="00F83789" w:rsidP="00E47631">
      <w:pPr>
        <w:pStyle w:val="Caschap"/>
        <w:rPr>
          <w:caps/>
        </w:rPr>
      </w:pPr>
      <w:r>
        <w:rPr>
          <w:caps/>
        </w:rPr>
        <w:t>Estudio de caso 42</w:t>
      </w:r>
    </w:p>
    <w:p w14:paraId="05CA8B71" w14:textId="77777777" w:rsidR="005D3C08" w:rsidRPr="00E47631" w:rsidRDefault="005D3C08" w:rsidP="00E47631">
      <w:pPr>
        <w:pStyle w:val="Cas"/>
        <w:rPr>
          <w:i w:val="0"/>
          <w:caps w:val="0"/>
        </w:rPr>
      </w:pPr>
      <w:r w:rsidRPr="00527103">
        <w:rPr>
          <w:i w:val="0"/>
          <w:caps w:val="0"/>
        </w:rPr>
        <w:t>Arte del espectáculo y ritual de un grupo de género no predominante</w:t>
      </w:r>
      <w:r w:rsidRPr="00527103">
        <w:rPr>
          <w:i w:val="0"/>
          <w:caps w:val="0"/>
          <w:vertAlign w:val="superscript"/>
        </w:rPr>
        <w:footnoteReference w:id="1"/>
      </w:r>
    </w:p>
    <w:p w14:paraId="46541EAE" w14:textId="5370EA08" w:rsidR="005D3C08" w:rsidRPr="00E47631" w:rsidRDefault="005D3C08" w:rsidP="00E47631">
      <w:pPr>
        <w:pStyle w:val="Texte1"/>
      </w:pPr>
      <w:r>
        <w:t xml:space="preserve">Este caso ilustra un elemento del PCI como una expresión artística que es puesta en práctica exclusivamente por un grupo de género no predominante. El grupo es por lo </w:t>
      </w:r>
      <w:r w:rsidR="009D587C">
        <w:t>de</w:t>
      </w:r>
      <w:r>
        <w:t>más poco aceptado en la sociedad, pero en el contexto de esta práctica ha cobrado aceptación social y la posibilidad de ganarse la vida. El grupo en cuestión está formado por persona</w:t>
      </w:r>
      <w:r w:rsidR="00527103">
        <w:t>s</w:t>
      </w:r>
      <w:r>
        <w:t xml:space="preserve"> de género ambiguo, en </w:t>
      </w:r>
      <w:r w:rsidR="00CB251E">
        <w:t>su</w:t>
      </w:r>
      <w:r>
        <w:t xml:space="preserve"> mayoría hombres que se sometieron a un ritual de reasignación de género, aunque algunos de ellos nacieron con variaciones </w:t>
      </w:r>
      <w:hyperlink r:id="rId7" w:history="1">
        <w:r w:rsidRPr="00E75AF9">
          <w:rPr>
            <w:rStyle w:val="Hyperlink"/>
            <w:color w:val="auto"/>
            <w:u w:val="none"/>
          </w:rPr>
          <w:t>intersexuales</w:t>
        </w:r>
      </w:hyperlink>
      <w:r>
        <w:t xml:space="preserve"> </w:t>
      </w:r>
      <w:hyperlink r:id="rId8" w:tooltip="Intersexualidad">
        <w:r>
          <w:t>masculinas</w:t>
        </w:r>
      </w:hyperlink>
      <w:r>
        <w:t xml:space="preserve">, por lo que representan una comunidad potencialmente marginada de la India. Sin embargo, a la vez son investidos por la mitología, los rituales y el arte hindú </w:t>
      </w:r>
      <w:r w:rsidR="00CB251E">
        <w:t>de</w:t>
      </w:r>
      <w:r>
        <w:t xml:space="preserve"> un rango social que les ayuda a contrarrestar la marginación. La operación de reasignación de género, mediante la cual todos los genitales masculinos o parte de ellos son extirpados, constituye la ceremonia central de su vida en la comunidad y es lo que los define como grupo. En este ritual, luego de recibir autorización de la Diosa Madre de la mitología religiosa, una integrante del grupo conocida como “comadrona” practica la operación, al término de la cual, al integrante recién iniciado se le prescribe una dieta y queda aislado en reclusión emulando los rituales tradicionales reservados para las mujeres y asociados a una mujer que recién ha dado a luz. Tras un aislamiento de cuarenta días, ella/él es vestida/o de novia y llevado/a en procesión a una masa de agua donde se realiza un ritual simbólico relacionado con la fertilidad, el matrimonio y el alumbramiento y a partir del cual se convierte en miembro plena/o del grupo. En este punto, se le inviste </w:t>
      </w:r>
      <w:r w:rsidR="00CB251E">
        <w:t>d</w:t>
      </w:r>
      <w:r>
        <w:t xml:space="preserve">el poder de la diosa madre y así culmina </w:t>
      </w:r>
      <w:r w:rsidR="00CB251E">
        <w:t>la</w:t>
      </w:r>
      <w:r>
        <w:t xml:space="preserve"> transformación de un hombre impotente </w:t>
      </w:r>
      <w:r w:rsidR="00CB251E">
        <w:t>en</w:t>
      </w:r>
      <w:r>
        <w:t xml:space="preserve"> una “mujer” </w:t>
      </w:r>
      <w:proofErr w:type="spellStart"/>
      <w:r>
        <w:t>transgénero</w:t>
      </w:r>
      <w:proofErr w:type="spellEnd"/>
      <w:r>
        <w:t xml:space="preserve"> potente.</w:t>
      </w:r>
    </w:p>
    <w:p w14:paraId="2429CEA2" w14:textId="427E3435" w:rsidR="00B41195" w:rsidRPr="00E47631" w:rsidRDefault="005D3C08" w:rsidP="00E47631">
      <w:pPr>
        <w:pStyle w:val="Texte1"/>
      </w:pPr>
      <w:r>
        <w:t xml:space="preserve">Un aspecto importante de esta tradición cultural y su arte </w:t>
      </w:r>
      <w:r w:rsidR="008A6E05">
        <w:t>del espectáculo</w:t>
      </w:r>
      <w:r>
        <w:t xml:space="preserve"> asociado es que el poder de una persona “hermafrodita” constituye un tema común e importante de la tradición religiosa: una de las manifestaciones más populares de una deidad central es una figura mitad hombre, mitad mujer que representa a la deidad cuando como hombre está unido a su poder creador femenino. De forma semejante, en un poema épico, uno de los protagonistas vive durante un año como eunuco; mientras que en otro poema, los integrantes de </w:t>
      </w:r>
      <w:r w:rsidR="00F800EC">
        <w:t>una</w:t>
      </w:r>
      <w:r>
        <w:t xml:space="preserve"> comunidad </w:t>
      </w:r>
      <w:proofErr w:type="spellStart"/>
      <w:r>
        <w:t>transgénero</w:t>
      </w:r>
      <w:proofErr w:type="spellEnd"/>
      <w:r>
        <w:t xml:space="preserve"> profesaban tal devoción </w:t>
      </w:r>
      <w:hyperlink r:id="rId9" w:tooltip="Rama">
        <w:r>
          <w:t>al</w:t>
        </w:r>
      </w:hyperlink>
      <w:r>
        <w:t xml:space="preserve"> </w:t>
      </w:r>
      <w:hyperlink r:id="rId10" w:history="1">
        <w:r w:rsidRPr="007C5500">
          <w:rPr>
            <w:rStyle w:val="Hyperlink"/>
            <w:color w:val="auto"/>
            <w:u w:val="none"/>
          </w:rPr>
          <w:t>protagonista</w:t>
        </w:r>
      </w:hyperlink>
      <w:r w:rsidRPr="007C5500">
        <w:t xml:space="preserve"> </w:t>
      </w:r>
      <w:r>
        <w:t xml:space="preserve">principal durante sus 14 años de exilio que este les otorgó el privilegio de conferir bendiciones a las personas cuando la ocasión era propicia. Tal es el origen de este arte del espectáculo donde ellas/ellos cantan, danzan y profieren bendiciones. Así disfrutan el privilegio de actuar en momentos centrales del ciclo vital relacionado con la reproducción —alumbramiento y matrimonio—, mientras que buena parte de sus expresiones culturales emplean simbolismos de la fertilidad considerados vehículos del poder creador de la diosa madre. Con estas actuaciones y su rol en los rituales, se ganan la vida y se les ha conferido un rango social. Sus actuaciones son burlescas del comportamiento femenino y buena parte de su comedia </w:t>
      </w:r>
      <w:bookmarkStart w:id="0" w:name="_GoBack"/>
      <w:bookmarkEnd w:id="0"/>
      <w:r>
        <w:t>deriva de la falta de armonía entre su comportamiento escandaloso y del comportamiento de las mujeres de a pie que se ven limitadas por las normas de corrección: usan palabras y gestos groseros y hacen insinuaciones sexuales, gastando bromas a los niños varones presentes y mofándose de los miembros de la familia y las relaciones familiares. En una escena tradicional muy celebrada, se representa el papel de una mujer embarazada y ella/él comenta sobre las dificultades de cada etapa del embarazo.</w:t>
      </w:r>
    </w:p>
    <w:sectPr w:rsidR="00B41195" w:rsidRPr="00E47631" w:rsidSect="00E47631">
      <w:head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14394" w14:textId="77777777" w:rsidR="00E27D9B" w:rsidRDefault="00E27D9B" w:rsidP="005D3C08">
      <w:pPr>
        <w:spacing w:after="0" w:line="240" w:lineRule="auto"/>
      </w:pPr>
      <w:r>
        <w:separator/>
      </w:r>
    </w:p>
  </w:endnote>
  <w:endnote w:type="continuationSeparator" w:id="0">
    <w:p w14:paraId="25B9B389" w14:textId="77777777" w:rsidR="00E27D9B" w:rsidRDefault="00E27D9B" w:rsidP="005D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4439" w14:textId="719448CA" w:rsidR="00A73493" w:rsidRPr="00A73493" w:rsidRDefault="00F4684A" w:rsidP="00A73493">
    <w:pPr>
      <w:tabs>
        <w:tab w:val="center" w:pos="4423"/>
        <w:tab w:val="right" w:pos="8845"/>
      </w:tabs>
      <w:snapToGrid w:val="0"/>
      <w:spacing w:after="0" w:line="240" w:lineRule="exact"/>
      <w:rPr>
        <w:rFonts w:ascii="Arial" w:eastAsia="SimSun" w:hAnsi="Arial" w:cs="Arial"/>
        <w:snapToGrid w:val="0"/>
        <w:sz w:val="16"/>
        <w:szCs w:val="18"/>
      </w:rPr>
    </w:pPr>
    <w:r>
      <w:rPr>
        <w:noProof/>
        <w:lang w:val="fr-FR" w:eastAsia="zh-TW" w:bidi="ar-SA"/>
      </w:rPr>
      <w:drawing>
        <wp:anchor distT="0" distB="0" distL="114300" distR="114300" simplePos="0" relativeHeight="251659264" behindDoc="0" locked="0" layoutInCell="1" allowOverlap="1" wp14:editId="43BA6F47">
          <wp:simplePos x="0" y="0"/>
          <wp:positionH relativeFrom="column">
            <wp:posOffset>2607310</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D59">
      <w:rPr>
        <w:noProof/>
        <w:lang w:val="fr-FR" w:eastAsia="zh-TW" w:bidi="ar-SA"/>
      </w:rPr>
      <w:drawing>
        <wp:anchor distT="0" distB="0" distL="114300" distR="114300" simplePos="0" relativeHeight="251658240" behindDoc="0" locked="0" layoutInCell="1" allowOverlap="1" wp14:anchorId="5EF01594" wp14:editId="29DD20E8">
          <wp:simplePos x="0" y="0"/>
          <wp:positionH relativeFrom="column">
            <wp:posOffset>4805680</wp:posOffset>
          </wp:positionH>
          <wp:positionV relativeFrom="paragraph">
            <wp:posOffset>-275829</wp:posOffset>
          </wp:positionV>
          <wp:extent cx="909955" cy="659765"/>
          <wp:effectExtent l="0" t="0" r="4445" b="698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909955" cy="659765"/>
                  </a:xfrm>
                  <a:prstGeom prst="rect">
                    <a:avLst/>
                  </a:prstGeom>
                </pic:spPr>
              </pic:pic>
            </a:graphicData>
          </a:graphic>
          <wp14:sizeRelH relativeFrom="page">
            <wp14:pctWidth>0</wp14:pctWidth>
          </wp14:sizeRelH>
          <wp14:sizeRelV relativeFrom="page">
            <wp14:pctHeight>0</wp14:pctHeight>
          </wp14:sizeRelV>
        </wp:anchor>
      </w:drawing>
    </w:r>
    <w:r w:rsidR="00A73493">
      <w:rPr>
        <w:rFonts w:ascii="Arial" w:hAnsi="Arial"/>
        <w:snapToGrid w:val="0"/>
        <w:sz w:val="16"/>
      </w:rPr>
      <w:t>CS42-v1.0-ES</w:t>
    </w:r>
    <w:r w:rsidR="00A73493">
      <w:tab/>
    </w:r>
    <w:r w:rsidR="00A7349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8E0F" w14:textId="77777777" w:rsidR="00E27D9B" w:rsidRDefault="00E27D9B" w:rsidP="005D3C08">
      <w:pPr>
        <w:spacing w:after="0" w:line="240" w:lineRule="auto"/>
      </w:pPr>
      <w:r>
        <w:separator/>
      </w:r>
    </w:p>
  </w:footnote>
  <w:footnote w:type="continuationSeparator" w:id="0">
    <w:p w14:paraId="7D66D1B9" w14:textId="77777777" w:rsidR="00E27D9B" w:rsidRDefault="00E27D9B" w:rsidP="005D3C08">
      <w:pPr>
        <w:spacing w:after="0" w:line="240" w:lineRule="auto"/>
      </w:pPr>
      <w:r>
        <w:continuationSeparator/>
      </w:r>
    </w:p>
  </w:footnote>
  <w:footnote w:id="1">
    <w:p w14:paraId="086582A4" w14:textId="16D84A93" w:rsidR="005D3C08" w:rsidRPr="00527103" w:rsidRDefault="005D3C08" w:rsidP="00E47631">
      <w:pPr>
        <w:pStyle w:val="FootnoteText"/>
        <w:rPr>
          <w:szCs w:val="16"/>
          <w:lang w:val="es-AR"/>
        </w:rPr>
      </w:pPr>
      <w:r>
        <w:footnoteRef/>
      </w:r>
      <w:r>
        <w:rPr>
          <w:rStyle w:val="reference-text"/>
        </w:rPr>
        <w:t>.</w:t>
      </w:r>
      <w:r>
        <w:tab/>
      </w:r>
      <w:r>
        <w:rPr>
          <w:rStyle w:val="reference-text"/>
        </w:rPr>
        <w:t xml:space="preserve">Serena </w:t>
      </w:r>
      <w:proofErr w:type="spellStart"/>
      <w:r>
        <w:rPr>
          <w:rStyle w:val="reference-text"/>
        </w:rPr>
        <w:t>Nanda</w:t>
      </w:r>
      <w:proofErr w:type="spellEnd"/>
      <w:r>
        <w:rPr>
          <w:rStyle w:val="reference-text"/>
        </w:rPr>
        <w:t xml:space="preserve">, </w:t>
      </w:r>
      <w:proofErr w:type="spellStart"/>
      <w:r>
        <w:rPr>
          <w:rStyle w:val="reference-text"/>
          <w:i/>
        </w:rPr>
        <w:t>Neither</w:t>
      </w:r>
      <w:proofErr w:type="spellEnd"/>
      <w:r>
        <w:rPr>
          <w:rStyle w:val="reference-text"/>
          <w:i/>
        </w:rPr>
        <w:t xml:space="preserve"> </w:t>
      </w:r>
      <w:proofErr w:type="spellStart"/>
      <w:r>
        <w:rPr>
          <w:rStyle w:val="reference-text"/>
          <w:i/>
        </w:rPr>
        <w:t>Man</w:t>
      </w:r>
      <w:proofErr w:type="spellEnd"/>
      <w:r>
        <w:rPr>
          <w:rStyle w:val="reference-text"/>
          <w:i/>
        </w:rPr>
        <w:t xml:space="preserve"> </w:t>
      </w:r>
      <w:proofErr w:type="spellStart"/>
      <w:r>
        <w:rPr>
          <w:rStyle w:val="reference-text"/>
          <w:i/>
        </w:rPr>
        <w:t>nor</w:t>
      </w:r>
      <w:proofErr w:type="spellEnd"/>
      <w:r>
        <w:rPr>
          <w:rStyle w:val="reference-text"/>
          <w:i/>
        </w:rPr>
        <w:t xml:space="preserve"> </w:t>
      </w:r>
      <w:proofErr w:type="spellStart"/>
      <w:r>
        <w:rPr>
          <w:rStyle w:val="reference-text"/>
          <w:i/>
        </w:rPr>
        <w:t>Woman</w:t>
      </w:r>
      <w:proofErr w:type="spellEnd"/>
      <w:r>
        <w:rPr>
          <w:rStyle w:val="reference-text"/>
          <w:i/>
        </w:rPr>
        <w:t xml:space="preserve">: </w:t>
      </w:r>
      <w:proofErr w:type="spellStart"/>
      <w:r>
        <w:rPr>
          <w:rStyle w:val="reference-text"/>
          <w:i/>
        </w:rPr>
        <w:t>The</w:t>
      </w:r>
      <w:proofErr w:type="spellEnd"/>
      <w:r>
        <w:rPr>
          <w:rStyle w:val="reference-text"/>
          <w:i/>
        </w:rPr>
        <w:t xml:space="preserve"> </w:t>
      </w:r>
      <w:proofErr w:type="spellStart"/>
      <w:r>
        <w:rPr>
          <w:rStyle w:val="reference-text"/>
          <w:i/>
        </w:rPr>
        <w:t>Hijras</w:t>
      </w:r>
      <w:proofErr w:type="spellEnd"/>
      <w:r>
        <w:rPr>
          <w:rStyle w:val="reference-text"/>
          <w:i/>
        </w:rPr>
        <w:t xml:space="preserve"> of India </w:t>
      </w:r>
      <w:r>
        <w:rPr>
          <w:rStyle w:val="reference-text"/>
        </w:rPr>
        <w:t xml:space="preserve">[Ni hombre ni mujer: </w:t>
      </w:r>
      <w:proofErr w:type="spellStart"/>
      <w:r>
        <w:rPr>
          <w:rStyle w:val="reference-text"/>
        </w:rPr>
        <w:t>hijras</w:t>
      </w:r>
      <w:proofErr w:type="spellEnd"/>
      <w:r>
        <w:rPr>
          <w:rStyle w:val="reference-text"/>
        </w:rPr>
        <w:t xml:space="preserve"> de la India], segunda edición (</w:t>
      </w:r>
      <w:r>
        <w:rPr>
          <w:rStyle w:val="st"/>
        </w:rPr>
        <w:t xml:space="preserve">Belmont, CA: </w:t>
      </w:r>
      <w:proofErr w:type="spellStart"/>
      <w:r>
        <w:rPr>
          <w:rStyle w:val="st"/>
        </w:rPr>
        <w:t>Wadsworth</w:t>
      </w:r>
      <w:proofErr w:type="spellEnd"/>
      <w:r>
        <w:rPr>
          <w:rStyle w:val="st"/>
        </w:rPr>
        <w:t xml:space="preserve"> Publishing, </w:t>
      </w:r>
      <w:r>
        <w:rPr>
          <w:rStyle w:val="reference-text"/>
        </w:rPr>
        <w:t xml:space="preserve">1999). Consúltese también: </w:t>
      </w:r>
      <w:proofErr w:type="spellStart"/>
      <w:r>
        <w:t>Nita</w:t>
      </w:r>
      <w:proofErr w:type="spellEnd"/>
      <w:r>
        <w:t xml:space="preserve"> </w:t>
      </w:r>
      <w:proofErr w:type="spellStart"/>
      <w:r>
        <w:t>Bhalla</w:t>
      </w:r>
      <w:proofErr w:type="spellEnd"/>
      <w:r>
        <w:t xml:space="preserve"> con </w:t>
      </w:r>
      <w:proofErr w:type="spellStart"/>
      <w:r>
        <w:t>Suchitra</w:t>
      </w:r>
      <w:proofErr w:type="spellEnd"/>
      <w:r>
        <w:t xml:space="preserve"> </w:t>
      </w:r>
      <w:proofErr w:type="spellStart"/>
      <w:r>
        <w:t>Mohanty</w:t>
      </w:r>
      <w:proofErr w:type="spellEnd"/>
      <w:r>
        <w:t xml:space="preserve"> y </w:t>
      </w:r>
      <w:proofErr w:type="spellStart"/>
      <w:r>
        <w:t>Sunil</w:t>
      </w:r>
      <w:proofErr w:type="spellEnd"/>
      <w:r>
        <w:t xml:space="preserve"> </w:t>
      </w:r>
      <w:proofErr w:type="spellStart"/>
      <w:r>
        <w:t>Kataria</w:t>
      </w:r>
      <w:proofErr w:type="spellEnd"/>
      <w:r>
        <w:t xml:space="preserve"> “</w:t>
      </w:r>
      <w:proofErr w:type="spellStart"/>
      <w:r>
        <w:rPr>
          <w:rStyle w:val="reference-text"/>
        </w:rPr>
        <w:t>Supreme</w:t>
      </w:r>
      <w:proofErr w:type="spellEnd"/>
      <w:r>
        <w:rPr>
          <w:rStyle w:val="reference-text"/>
        </w:rPr>
        <w:t xml:space="preserve"> </w:t>
      </w:r>
      <w:proofErr w:type="spellStart"/>
      <w:r>
        <w:rPr>
          <w:rStyle w:val="reference-text"/>
        </w:rPr>
        <w:t>Court</w:t>
      </w:r>
      <w:proofErr w:type="spellEnd"/>
      <w:r>
        <w:rPr>
          <w:rStyle w:val="reference-text"/>
        </w:rPr>
        <w:t xml:space="preserve"> </w:t>
      </w:r>
      <w:proofErr w:type="spellStart"/>
      <w:r>
        <w:rPr>
          <w:rStyle w:val="reference-text"/>
        </w:rPr>
        <w:t>recognises</w:t>
      </w:r>
      <w:proofErr w:type="spellEnd"/>
      <w:r>
        <w:rPr>
          <w:rStyle w:val="reference-text"/>
        </w:rPr>
        <w:t xml:space="preserve"> </w:t>
      </w:r>
      <w:proofErr w:type="spellStart"/>
      <w:r>
        <w:rPr>
          <w:rStyle w:val="reference-text"/>
        </w:rPr>
        <w:t>transgenders</w:t>
      </w:r>
      <w:proofErr w:type="spellEnd"/>
      <w:r>
        <w:rPr>
          <w:rStyle w:val="reference-text"/>
        </w:rPr>
        <w:t xml:space="preserve"> as </w:t>
      </w:r>
      <w:proofErr w:type="spellStart"/>
      <w:r>
        <w:rPr>
          <w:rStyle w:val="reference-text"/>
        </w:rPr>
        <w:t>third</w:t>
      </w:r>
      <w:proofErr w:type="spellEnd"/>
      <w:r>
        <w:rPr>
          <w:rStyle w:val="reference-text"/>
        </w:rPr>
        <w:t xml:space="preserve"> </w:t>
      </w:r>
      <w:proofErr w:type="spellStart"/>
      <w:r>
        <w:rPr>
          <w:rStyle w:val="reference-text"/>
        </w:rPr>
        <w:t>gender</w:t>
      </w:r>
      <w:proofErr w:type="spellEnd"/>
      <w:r>
        <w:rPr>
          <w:rStyle w:val="reference-text"/>
        </w:rPr>
        <w:t xml:space="preserve"> in </w:t>
      </w:r>
      <w:proofErr w:type="spellStart"/>
      <w:r>
        <w:rPr>
          <w:rStyle w:val="reference-text"/>
        </w:rPr>
        <w:t>landmark</w:t>
      </w:r>
      <w:proofErr w:type="spellEnd"/>
      <w:r>
        <w:rPr>
          <w:rStyle w:val="reference-text"/>
        </w:rPr>
        <w:t xml:space="preserve"> </w:t>
      </w:r>
      <w:proofErr w:type="spellStart"/>
      <w:r>
        <w:rPr>
          <w:rStyle w:val="reference-text"/>
        </w:rPr>
        <w:t>ruling</w:t>
      </w:r>
      <w:proofErr w:type="spellEnd"/>
      <w:r>
        <w:rPr>
          <w:rStyle w:val="reference-text"/>
        </w:rPr>
        <w:t xml:space="preserve">” [Corte Suprema reconoce en histórico fallo a las personas </w:t>
      </w:r>
      <w:proofErr w:type="spellStart"/>
      <w:r>
        <w:rPr>
          <w:rStyle w:val="reference-text"/>
        </w:rPr>
        <w:t>transgénero</w:t>
      </w:r>
      <w:proofErr w:type="spellEnd"/>
      <w:r>
        <w:rPr>
          <w:rStyle w:val="reference-text"/>
        </w:rPr>
        <w:t xml:space="preserve"> como tercer género], </w:t>
      </w:r>
      <w:r>
        <w:rPr>
          <w:rStyle w:val="reference-text"/>
          <w:i/>
        </w:rPr>
        <w:t>Times of India</w:t>
      </w:r>
      <w:r>
        <w:rPr>
          <w:rStyle w:val="reference-text"/>
        </w:rPr>
        <w:t>, 15 de abril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7A49" w14:textId="77777777" w:rsidR="00E47631" w:rsidRPr="00E47631" w:rsidRDefault="00E47631" w:rsidP="00E47631">
    <w:pPr>
      <w:pStyle w:val="Header"/>
      <w:jc w:val="center"/>
      <w:rPr>
        <w:rFonts w:ascii="Arial" w:hAnsi="Arial" w:cs="Arial"/>
        <w:sz w:val="16"/>
        <w:szCs w:val="16"/>
      </w:rPr>
    </w:pPr>
    <w:r>
      <w:rPr>
        <w:rFonts w:ascii="Arial" w:hAnsi="Arial"/>
        <w:sz w:val="16"/>
      </w:rPr>
      <w:t>Estudios de casos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C91B" w14:textId="77777777" w:rsidR="00E47631" w:rsidRPr="00E47631" w:rsidRDefault="00E47631" w:rsidP="00E47631">
    <w:pPr>
      <w:pStyle w:val="Header"/>
      <w:jc w:val="center"/>
      <w:rPr>
        <w:rFonts w:ascii="Arial" w:hAnsi="Arial" w:cs="Arial"/>
        <w:sz w:val="16"/>
        <w:szCs w:val="16"/>
      </w:rPr>
    </w:pPr>
    <w:r>
      <w:rPr>
        <w:rFonts w:ascii="Arial" w:hAnsi="Arial"/>
        <w:sz w:val="16"/>
      </w:rPr>
      <w:t>Estudios de casos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08"/>
    <w:rsid w:val="00016330"/>
    <w:rsid w:val="00033D59"/>
    <w:rsid w:val="00142C6A"/>
    <w:rsid w:val="001B47BF"/>
    <w:rsid w:val="00294BEB"/>
    <w:rsid w:val="002B7B8D"/>
    <w:rsid w:val="00506800"/>
    <w:rsid w:val="00527103"/>
    <w:rsid w:val="005D3C08"/>
    <w:rsid w:val="007C5500"/>
    <w:rsid w:val="008A6E05"/>
    <w:rsid w:val="008E1B06"/>
    <w:rsid w:val="009056D3"/>
    <w:rsid w:val="009D587C"/>
    <w:rsid w:val="00A73493"/>
    <w:rsid w:val="00A929F4"/>
    <w:rsid w:val="00B41195"/>
    <w:rsid w:val="00B97AE1"/>
    <w:rsid w:val="00CB251E"/>
    <w:rsid w:val="00E27D9B"/>
    <w:rsid w:val="00E47631"/>
    <w:rsid w:val="00E75AF9"/>
    <w:rsid w:val="00F4684A"/>
    <w:rsid w:val="00F800EC"/>
    <w:rsid w:val="00F83789"/>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3FDF2EBA"/>
  <w15:docId w15:val="{9EBCF123-534C-4572-859F-0D667142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rsid w:val="00E47631"/>
    <w:pPr>
      <w:keepNext/>
      <w:widowControl w:val="0"/>
      <w:snapToGrid w:val="0"/>
      <w:spacing w:before="480" w:after="240" w:line="300" w:lineRule="exact"/>
      <w:jc w:val="both"/>
      <w:outlineLvl w:val="3"/>
    </w:pPr>
    <w:rPr>
      <w:rFonts w:ascii="Arial" w:eastAsia="Times New Roman" w:hAnsi="Arial" w:cs="Arial"/>
      <w:b/>
      <w:bCs/>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47631"/>
    <w:pPr>
      <w:snapToGrid w:val="0"/>
      <w:spacing w:after="60" w:line="180" w:lineRule="exact"/>
      <w:ind w:left="340" w:hanging="340"/>
      <w:jc w:val="both"/>
    </w:pPr>
    <w:rPr>
      <w:rFonts w:ascii="Arial" w:eastAsia="SimSun" w:hAnsi="Arial" w:cs="Arial"/>
      <w:snapToGrid w:val="0"/>
      <w:sz w:val="16"/>
      <w:szCs w:val="20"/>
    </w:rPr>
  </w:style>
  <w:style w:type="character" w:customStyle="1" w:styleId="FootnoteTextChar">
    <w:name w:val="Footnote Text Char"/>
    <w:link w:val="FootnoteText"/>
    <w:rsid w:val="00E47631"/>
    <w:rPr>
      <w:rFonts w:ascii="Arial" w:eastAsia="SimSun" w:hAnsi="Arial" w:cs="Arial"/>
      <w:snapToGrid w:val="0"/>
      <w:sz w:val="16"/>
      <w:szCs w:val="20"/>
      <w:lang w:val="es-ES" w:eastAsia="es-ES"/>
    </w:rPr>
  </w:style>
  <w:style w:type="character" w:styleId="FootnoteReference">
    <w:name w:val="footnote reference"/>
    <w:aliases w:val="4_G"/>
    <w:basedOn w:val="DefaultParagraphFont"/>
    <w:unhideWhenUsed/>
    <w:rsid w:val="005D3C08"/>
    <w:rPr>
      <w:vertAlign w:val="superscript"/>
    </w:rPr>
  </w:style>
  <w:style w:type="character" w:customStyle="1" w:styleId="reference-text">
    <w:name w:val="reference-text"/>
    <w:basedOn w:val="DefaultParagraphFont"/>
    <w:rsid w:val="005D3C08"/>
  </w:style>
  <w:style w:type="character" w:customStyle="1" w:styleId="st">
    <w:name w:val="st"/>
    <w:basedOn w:val="DefaultParagraphFont"/>
    <w:rsid w:val="005D3C08"/>
  </w:style>
  <w:style w:type="paragraph" w:customStyle="1" w:styleId="Caschap">
    <w:name w:val="Caschap"/>
    <w:basedOn w:val="Normal"/>
    <w:rsid w:val="00E47631"/>
    <w:pPr>
      <w:keepNext/>
      <w:widowControl w:val="0"/>
      <w:snapToGrid w:val="0"/>
      <w:spacing w:after="120" w:line="480" w:lineRule="exact"/>
      <w:outlineLvl w:val="3"/>
    </w:pPr>
    <w:rPr>
      <w:rFonts w:ascii="Arial" w:eastAsia="Times New Roman" w:hAnsi="Arial" w:cs="Arial"/>
      <w:b/>
      <w:bCs/>
      <w:w w:val="107"/>
      <w:sz w:val="36"/>
      <w:szCs w:val="48"/>
    </w:rPr>
  </w:style>
  <w:style w:type="paragraph" w:customStyle="1" w:styleId="Cas">
    <w:name w:val="Cas"/>
    <w:basedOn w:val="Heading4"/>
    <w:rsid w:val="00E47631"/>
    <w:pPr>
      <w:spacing w:before="0" w:line="360" w:lineRule="exact"/>
    </w:pPr>
    <w:rPr>
      <w:i/>
      <w:iCs/>
      <w:color w:val="0000FF"/>
      <w:w w:val="107"/>
      <w:sz w:val="28"/>
      <w:szCs w:val="28"/>
    </w:rPr>
  </w:style>
  <w:style w:type="character" w:customStyle="1" w:styleId="Heading4Char">
    <w:name w:val="Heading 4 Char"/>
    <w:link w:val="Heading4"/>
    <w:rsid w:val="00E47631"/>
    <w:rPr>
      <w:rFonts w:ascii="Arial" w:eastAsia="Times New Roman" w:hAnsi="Arial" w:cs="Arial"/>
      <w:b/>
      <w:bCs/>
      <w:caps/>
      <w:sz w:val="20"/>
      <w:szCs w:val="24"/>
      <w:lang w:val="es-ES"/>
    </w:rPr>
  </w:style>
  <w:style w:type="paragraph" w:customStyle="1" w:styleId="Texte1">
    <w:name w:val="Texte1"/>
    <w:basedOn w:val="Normal"/>
    <w:link w:val="Texte1Car"/>
    <w:autoRedefine/>
    <w:rsid w:val="00E47631"/>
    <w:pPr>
      <w:tabs>
        <w:tab w:val="left" w:pos="567"/>
      </w:tabs>
      <w:snapToGrid w:val="0"/>
      <w:spacing w:after="60" w:line="280" w:lineRule="exact"/>
      <w:ind w:left="851"/>
      <w:jc w:val="both"/>
    </w:pPr>
    <w:rPr>
      <w:rFonts w:ascii="Arial" w:eastAsia="SimSun" w:hAnsi="Arial" w:cs="Arial"/>
      <w:w w:val="95"/>
      <w:sz w:val="20"/>
      <w:szCs w:val="20"/>
    </w:rPr>
  </w:style>
  <w:style w:type="character" w:customStyle="1" w:styleId="Texte1Car">
    <w:name w:val="Texte1 Car"/>
    <w:link w:val="Texte1"/>
    <w:rsid w:val="00E47631"/>
    <w:rPr>
      <w:rFonts w:ascii="Arial" w:eastAsia="SimSun" w:hAnsi="Arial" w:cs="Arial"/>
      <w:w w:val="95"/>
      <w:sz w:val="20"/>
      <w:szCs w:val="20"/>
      <w:lang w:val="es-ES" w:eastAsia="es-ES"/>
    </w:rPr>
  </w:style>
  <w:style w:type="paragraph" w:customStyle="1" w:styleId="Enutiret">
    <w:name w:val="Enutiret"/>
    <w:basedOn w:val="Texte1"/>
    <w:link w:val="EnutiretCar"/>
    <w:rsid w:val="00E47631"/>
    <w:pPr>
      <w:numPr>
        <w:numId w:val="1"/>
      </w:numPr>
    </w:pPr>
  </w:style>
  <w:style w:type="character" w:customStyle="1" w:styleId="EnutiretCar">
    <w:name w:val="Enutiret Car"/>
    <w:basedOn w:val="Texte1Car"/>
    <w:link w:val="Enutiret"/>
    <w:rsid w:val="00E47631"/>
    <w:rPr>
      <w:rFonts w:ascii="Arial" w:eastAsia="SimSun" w:hAnsi="Arial" w:cs="Arial"/>
      <w:w w:val="95"/>
      <w:sz w:val="20"/>
      <w:szCs w:val="20"/>
      <w:lang w:val="es-ES" w:eastAsia="es-ES"/>
    </w:rPr>
  </w:style>
  <w:style w:type="paragraph" w:customStyle="1" w:styleId="Soustitre">
    <w:name w:val="Soustitre"/>
    <w:basedOn w:val="Texte1"/>
    <w:link w:val="SoustitreCar"/>
    <w:autoRedefine/>
    <w:rsid w:val="00E47631"/>
    <w:pPr>
      <w:keepNext/>
      <w:widowControl w:val="0"/>
      <w:spacing w:before="120" w:after="80"/>
    </w:pPr>
    <w:rPr>
      <w:b/>
      <w:bCs/>
    </w:rPr>
  </w:style>
  <w:style w:type="character" w:customStyle="1" w:styleId="SoustitreCar">
    <w:name w:val="Soustitre Car"/>
    <w:link w:val="Soustitre"/>
    <w:rsid w:val="00E47631"/>
    <w:rPr>
      <w:rFonts w:ascii="Arial" w:eastAsia="SimSun" w:hAnsi="Arial" w:cs="Arial"/>
      <w:b/>
      <w:bCs/>
      <w:w w:val="95"/>
      <w:sz w:val="20"/>
      <w:szCs w:val="20"/>
      <w:lang w:val="es-ES" w:eastAsia="es-ES"/>
    </w:rPr>
  </w:style>
  <w:style w:type="paragraph" w:styleId="Header">
    <w:name w:val="header"/>
    <w:basedOn w:val="Normal"/>
    <w:link w:val="HeaderChar"/>
    <w:uiPriority w:val="99"/>
    <w:unhideWhenUsed/>
    <w:rsid w:val="00E476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7631"/>
  </w:style>
  <w:style w:type="paragraph" w:styleId="Footer">
    <w:name w:val="footer"/>
    <w:basedOn w:val="Normal"/>
    <w:link w:val="FooterChar"/>
    <w:uiPriority w:val="99"/>
    <w:unhideWhenUsed/>
    <w:rsid w:val="00E476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7631"/>
  </w:style>
  <w:style w:type="paragraph" w:styleId="BalloonText">
    <w:name w:val="Balloon Text"/>
    <w:basedOn w:val="Normal"/>
    <w:link w:val="BalloonTextChar"/>
    <w:uiPriority w:val="99"/>
    <w:semiHidden/>
    <w:unhideWhenUsed/>
    <w:rsid w:val="009056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6D3"/>
    <w:rPr>
      <w:rFonts w:ascii="Lucida Grande" w:hAnsi="Lucida Grande" w:cs="Lucida Grande"/>
      <w:sz w:val="18"/>
      <w:szCs w:val="18"/>
    </w:rPr>
  </w:style>
  <w:style w:type="character" w:styleId="Hyperlink">
    <w:name w:val="Hyperlink"/>
    <w:basedOn w:val="DefaultParagraphFont"/>
    <w:uiPriority w:val="99"/>
    <w:unhideWhenUsed/>
    <w:rsid w:val="00142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tersexualida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wikipedia.org/wiki/Intersexualidad"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wikipedia.org/wiki/Rama_(dios_indio)" TargetMode="External"/><Relationship Id="rId4" Type="http://schemas.openxmlformats.org/officeDocument/2006/relationships/webSettings" Target="webSettings.xml"/><Relationship Id="rId9" Type="http://schemas.openxmlformats.org/officeDocument/2006/relationships/hyperlink" Target="https://es.wikipedia.org/wiki/Rama_(dios_indi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611</Words>
  <Characters>3365</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Cunningham</dc:creator>
  <cp:lastModifiedBy>Kim, Dain</cp:lastModifiedBy>
  <cp:revision>5</cp:revision>
  <dcterms:created xsi:type="dcterms:W3CDTF">2016-05-09T22:08:00Z</dcterms:created>
  <dcterms:modified xsi:type="dcterms:W3CDTF">2018-03-20T14:43:00Z</dcterms:modified>
</cp:coreProperties>
</file>