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E" w:rsidRPr="00BD18D9" w:rsidRDefault="006278B1" w:rsidP="00BD18D9">
      <w:pPr>
        <w:pBdr>
          <w:bottom w:val="single" w:sz="4" w:space="1" w:color="3366FF"/>
        </w:pBdr>
        <w:bidi/>
        <w:spacing w:after="200" w:line="240" w:lineRule="auto"/>
        <w:rPr>
          <w:rFonts w:ascii="Traditional Arabic" w:hAnsi="Traditional Arabic" w:cs="Traditional Arabic"/>
          <w:b/>
          <w:bCs/>
          <w:color w:val="3366FF"/>
          <w:sz w:val="72"/>
          <w:szCs w:val="72"/>
          <w:rtl/>
          <w:lang w:val="en-US" w:bidi="ar-IQ"/>
        </w:rPr>
      </w:pPr>
      <w:bookmarkStart w:id="0" w:name="_Toc241229778"/>
      <w:bookmarkStart w:id="1" w:name="_Toc241229982"/>
      <w:bookmarkStart w:id="2" w:name="_Toc242165676"/>
      <w:r w:rsidRPr="00BD18D9">
        <w:rPr>
          <w:rFonts w:ascii="Traditional Arabic" w:hAnsi="Traditional Arabic" w:cs="Traditional Arabic" w:hint="cs"/>
          <w:b/>
          <w:bCs/>
          <w:color w:val="3366FF"/>
          <w:sz w:val="72"/>
          <w:szCs w:val="72"/>
          <w:rtl/>
          <w:lang w:val="en-US" w:bidi="ar-IQ"/>
        </w:rPr>
        <w:t>دراسة حالة</w:t>
      </w:r>
      <w:r w:rsidR="00BD7FCE" w:rsidRPr="00BD18D9">
        <w:rPr>
          <w:rFonts w:ascii="Traditional Arabic" w:hAnsi="Traditional Arabic" w:cs="Traditional Arabic" w:hint="cs"/>
          <w:b/>
          <w:bCs/>
          <w:color w:val="3366FF"/>
          <w:sz w:val="72"/>
          <w:szCs w:val="72"/>
          <w:rtl/>
          <w:lang w:val="en-US" w:bidi="ar-IQ"/>
        </w:rPr>
        <w:t xml:space="preserve"> </w:t>
      </w:r>
      <w:r w:rsidR="00DF093D" w:rsidRPr="00BD18D9">
        <w:rPr>
          <w:rFonts w:ascii="Traditional Arabic" w:hAnsi="Traditional Arabic" w:cs="Traditional Arabic" w:hint="cs"/>
          <w:b/>
          <w:bCs/>
          <w:color w:val="3366FF"/>
          <w:sz w:val="72"/>
          <w:szCs w:val="72"/>
          <w:rtl/>
          <w:lang w:val="en-US" w:bidi="ar-IQ"/>
        </w:rPr>
        <w:t>43</w:t>
      </w:r>
    </w:p>
    <w:bookmarkEnd w:id="0"/>
    <w:bookmarkEnd w:id="1"/>
    <w:bookmarkEnd w:id="2"/>
    <w:p w:rsidR="00B467C0" w:rsidRPr="00BD18D9" w:rsidRDefault="007B6E41" w:rsidP="00BD18D9">
      <w:pPr>
        <w:bidi/>
        <w:spacing w:after="200" w:line="240" w:lineRule="auto"/>
        <w:rPr>
          <w:rFonts w:ascii="Traditional Arabic" w:hAnsi="Traditional Arabic" w:cs="Traditional Arabic"/>
          <w:b/>
          <w:bCs/>
          <w:color w:val="3366FF"/>
          <w:sz w:val="48"/>
          <w:szCs w:val="48"/>
          <w:rtl/>
          <w:lang w:val="en-US" w:bidi="ar-IQ"/>
        </w:rPr>
      </w:pPr>
      <w:r w:rsidRPr="00BD18D9">
        <w:rPr>
          <w:rFonts w:ascii="Traditional Arabic" w:hAnsi="Traditional Arabic" w:cs="Traditional Arabic" w:hint="cs"/>
          <w:b/>
          <w:bCs/>
          <w:color w:val="3366FF"/>
          <w:sz w:val="48"/>
          <w:szCs w:val="48"/>
          <w:rtl/>
          <w:lang w:val="en-US" w:bidi="ar-IQ"/>
        </w:rPr>
        <w:t>أداء الرقص التقليدي المندوسي</w:t>
      </w:r>
      <w:r w:rsidR="000C1D7F" w:rsidRPr="00BD18D9">
        <w:rPr>
          <w:rFonts w:ascii="Traditional Arabic" w:hAnsi="Traditional Arabic"/>
          <w:b/>
          <w:bCs/>
          <w:color w:val="3366FF"/>
          <w:sz w:val="48"/>
          <w:szCs w:val="48"/>
          <w:vertAlign w:val="superscript"/>
          <w:rtl/>
          <w:lang w:val="en-US" w:bidi="ar-IQ"/>
        </w:rPr>
        <w:footnoteReference w:id="1"/>
      </w:r>
    </w:p>
    <w:p w:rsidR="00060BCC" w:rsidRPr="00BD18D9" w:rsidRDefault="00060BCC" w:rsidP="00CC599C">
      <w:pPr>
        <w:bidi/>
        <w:spacing w:after="200" w:line="240" w:lineRule="auto"/>
        <w:ind w:left="851"/>
        <w:jc w:val="both"/>
        <w:rPr>
          <w:rFonts w:ascii="Traditional Arabic" w:hAnsi="Traditional Arabic" w:cs="Traditional Arabic"/>
          <w:b/>
          <w:bCs/>
          <w:kern w:val="36"/>
          <w:sz w:val="32"/>
          <w:szCs w:val="32"/>
          <w:rtl/>
          <w:lang w:eastAsia="en-GB"/>
        </w:rPr>
      </w:pPr>
      <w:r w:rsidRPr="00BD18D9">
        <w:rPr>
          <w:rFonts w:ascii="Traditional Arabic" w:hAnsi="Traditional Arabic" w:cs="Traditional Arabic"/>
          <w:kern w:val="36"/>
          <w:sz w:val="32"/>
          <w:szCs w:val="32"/>
          <w:rtl/>
          <w:lang w:eastAsia="en-GB"/>
        </w:rPr>
        <w:t xml:space="preserve">تعرض دراسة الحالة هذه عنصراً من التراث الثقافي غير المادي تمثل العلاقات بين الجنسين جزءاً من موضوعه وأدائه. والرقص التقليدي في المجتمع المندوسي هو أداء جماعي يعبر عن حياة المجتمع وليس الأفراد، حيث يعبر الراقصون من خلال مواهبهم الفردية عن رغبات الجماعة وقيمها </w:t>
      </w:r>
      <w:r w:rsidR="00BD18D9" w:rsidRPr="00BD18D9">
        <w:rPr>
          <w:rFonts w:ascii="Traditional Arabic" w:hAnsi="Traditional Arabic" w:cs="Traditional Arabic" w:hint="cs"/>
          <w:kern w:val="36"/>
          <w:sz w:val="32"/>
          <w:szCs w:val="32"/>
          <w:rtl/>
          <w:lang w:eastAsia="en-GB"/>
        </w:rPr>
        <w:t>وإبداعها</w:t>
      </w:r>
      <w:r w:rsidRPr="00BD18D9">
        <w:rPr>
          <w:rFonts w:ascii="Traditional Arabic" w:hAnsi="Traditional Arabic" w:cs="Traditional Arabic"/>
          <w:kern w:val="36"/>
          <w:sz w:val="32"/>
          <w:szCs w:val="32"/>
          <w:rtl/>
          <w:lang w:eastAsia="en-GB"/>
        </w:rPr>
        <w:t xml:space="preserve"> الجماعي.</w:t>
      </w:r>
      <w:r w:rsidR="00BD18D9">
        <w:rPr>
          <w:rFonts w:ascii="Traditional Arabic" w:hAnsi="Traditional Arabic" w:cs="Traditional Arabic"/>
          <w:kern w:val="36"/>
          <w:sz w:val="32"/>
          <w:szCs w:val="32"/>
          <w:rtl/>
          <w:lang w:eastAsia="en-GB"/>
        </w:rPr>
        <w:t xml:space="preserve"> </w:t>
      </w:r>
      <w:r w:rsidRPr="00BD18D9">
        <w:rPr>
          <w:rFonts w:ascii="Traditional Arabic" w:hAnsi="Traditional Arabic" w:cs="Traditional Arabic"/>
          <w:kern w:val="36"/>
          <w:sz w:val="32"/>
          <w:szCs w:val="32"/>
          <w:rtl/>
          <w:lang w:eastAsia="en-GB"/>
        </w:rPr>
        <w:t xml:space="preserve">وغالباً ما يُفصل بين الرقصات حسب نوع الجنس، إذ تقتصر ممارسة العديد من الرقصات </w:t>
      </w:r>
      <w:r w:rsidR="00146859" w:rsidRPr="00BD18D9">
        <w:rPr>
          <w:rFonts w:ascii="Traditional Arabic" w:hAnsi="Traditional Arabic" w:cs="Traditional Arabic"/>
          <w:kern w:val="36"/>
          <w:sz w:val="32"/>
          <w:szCs w:val="32"/>
          <w:rtl/>
          <w:lang w:eastAsia="en-GB"/>
        </w:rPr>
        <w:t>إ</w:t>
      </w:r>
      <w:r w:rsidRPr="00BD18D9">
        <w:rPr>
          <w:rFonts w:ascii="Traditional Arabic" w:hAnsi="Traditional Arabic" w:cs="Traditional Arabic"/>
          <w:kern w:val="36"/>
          <w:sz w:val="32"/>
          <w:szCs w:val="32"/>
          <w:rtl/>
          <w:lang w:eastAsia="en-GB"/>
        </w:rPr>
        <w:t>ما على الذكور فقط أو على الإناث فقط، ما يعبر عن سطوة المحرمات في الثقافة المندوسية بشأن التفاعل والتداخل بين الجنسين ويبين وجود معتقدات قو</w:t>
      </w:r>
      <w:r w:rsidR="00CC599C">
        <w:rPr>
          <w:rFonts w:ascii="Traditional Arabic" w:hAnsi="Traditional Arabic" w:cs="Traditional Arabic" w:hint="cs"/>
          <w:kern w:val="36"/>
          <w:sz w:val="32"/>
          <w:szCs w:val="32"/>
          <w:rtl/>
          <w:lang w:eastAsia="en-GB"/>
        </w:rPr>
        <w:t>ي</w:t>
      </w:r>
      <w:r w:rsidRPr="00BD18D9">
        <w:rPr>
          <w:rFonts w:ascii="Traditional Arabic" w:hAnsi="Traditional Arabic" w:cs="Traditional Arabic"/>
          <w:kern w:val="36"/>
          <w:sz w:val="32"/>
          <w:szCs w:val="32"/>
          <w:rtl/>
          <w:lang w:eastAsia="en-GB"/>
        </w:rPr>
        <w:t>ة بشأن ما معنى أن يكون الإنسان ذكراً أو أن يكون أنثى. ثم إن أداء الرقص التقليدي يعزز الأدوار الجنسانية السائدة والبنى والقيم المجتمعية الأخرى مثل القرابة والعمر والوضع الاجتماعي</w:t>
      </w:r>
      <w:r w:rsidRPr="00BD18D9">
        <w:rPr>
          <w:rFonts w:ascii="Traditional Arabic" w:hAnsi="Traditional Arabic" w:cs="Traditional Arabic"/>
          <w:kern w:val="36"/>
          <w:sz w:val="32"/>
          <w:szCs w:val="32"/>
          <w:lang w:eastAsia="en-GB" w:bidi="ar-MA"/>
        </w:rPr>
        <w:t>.</w:t>
      </w:r>
    </w:p>
    <w:p w:rsidR="00060BCC" w:rsidRPr="00BD18D9" w:rsidRDefault="00060BCC" w:rsidP="00BD18D9">
      <w:pPr>
        <w:pStyle w:val="BodyTextIndent"/>
        <w:rPr>
          <w:b/>
          <w:bCs/>
          <w:rtl/>
        </w:rPr>
      </w:pPr>
      <w:r w:rsidRPr="00BD18D9">
        <w:rPr>
          <w:rtl/>
        </w:rPr>
        <w:t>وعلى الرغم من أن الرجال والنساء يؤدون معاً هذا الرقص التقليدي في مندوسيا إلا أنهم يقومون بأدوار محددة تحديداً دقيقاً وفقاً لجنسهم ما يعبر عن نموذج ثقافي شعبي للتجليات الجنسانية.</w:t>
      </w:r>
      <w:r w:rsidR="00BD18D9">
        <w:rPr>
          <w:rtl/>
        </w:rPr>
        <w:t xml:space="preserve"> </w:t>
      </w:r>
      <w:r w:rsidRPr="00BD18D9">
        <w:rPr>
          <w:rtl/>
        </w:rPr>
        <w:t xml:space="preserve">ويتميز هذا الرقص بحركات حسية وبهلوانية تؤدى على توقيعات طبل الطبَّال، يصاحبها رجال يلعبون بالمصفقات الخشبية ونساء يصفقن بأيديهن ويغنين. وهو رقص قوامه التودد والغزل يُمارس </w:t>
      </w:r>
      <w:r w:rsidR="00BD18D9">
        <w:rPr>
          <w:rFonts w:hint="cs"/>
          <w:rtl/>
        </w:rPr>
        <w:t>أ</w:t>
      </w:r>
      <w:r w:rsidRPr="00BD18D9">
        <w:rPr>
          <w:rtl/>
        </w:rPr>
        <w:t>ثناء الأعراس أو الحفلات الممهدة للزواج. فعندما يكون الشباب في قرية معينة على استعداد للزواج يقومون بتنظيم احتفال كبير يجمع بين الذكور والإناث لاختيار الشريك المحتمل. وفي هذه الثقافة، يعتقد الناس أن أفضل راقص يمثل أفضل شريك في الحياة الزوجية. ويؤدي الرجال والنساء هذا الرقص أزواجاً في العادة ويأتون بحركات ذات إيحاءات جنسية معبرة عن الفحولة والخصوبة. والرقص عبارة عن حكاية تروي مسابقة في القوة الجنسية بين الرجال والنساء.</w:t>
      </w:r>
      <w:r w:rsidR="00BD18D9">
        <w:rPr>
          <w:rtl/>
        </w:rPr>
        <w:t xml:space="preserve"> </w:t>
      </w:r>
      <w:r w:rsidRPr="00BD18D9">
        <w:rPr>
          <w:rtl/>
        </w:rPr>
        <w:t xml:space="preserve">وفيها يتقدم شخص محب أو عاشق، وقد </w:t>
      </w:r>
      <w:r w:rsidRPr="00BD18D9">
        <w:rPr>
          <w:rtl/>
        </w:rPr>
        <w:lastRenderedPageBreak/>
        <w:t>أعجبه ما لدى راقص آخر من عنفوان ومهارات بهلوانية، نحو الراقصين لتبدأ مسابقة</w:t>
      </w:r>
      <w:r w:rsidR="00146859" w:rsidRPr="00BD18D9">
        <w:rPr>
          <w:rtl/>
        </w:rPr>
        <w:t xml:space="preserve"> الحب</w:t>
      </w:r>
      <w:r w:rsidRPr="00BD18D9">
        <w:rPr>
          <w:rtl/>
        </w:rPr>
        <w:t>؛</w:t>
      </w:r>
      <w:r w:rsidR="00BD18D9">
        <w:rPr>
          <w:rtl/>
        </w:rPr>
        <w:t xml:space="preserve"> </w:t>
      </w:r>
      <w:r w:rsidRPr="00BD18D9">
        <w:rPr>
          <w:rtl/>
        </w:rPr>
        <w:t xml:space="preserve">وفي معظم الحالات تفوز الراقصات </w:t>
      </w:r>
      <w:r w:rsidR="00146859" w:rsidRPr="00BD18D9">
        <w:rPr>
          <w:rtl/>
        </w:rPr>
        <w:t xml:space="preserve">في </w:t>
      </w:r>
      <w:r w:rsidRPr="00BD18D9">
        <w:rPr>
          <w:rtl/>
        </w:rPr>
        <w:t xml:space="preserve">هذه المسابقة الدرامية التي </w:t>
      </w:r>
      <w:r w:rsidR="00146859" w:rsidRPr="00BD18D9">
        <w:rPr>
          <w:rtl/>
        </w:rPr>
        <w:t>يتضمنها</w:t>
      </w:r>
      <w:r w:rsidRPr="00BD18D9">
        <w:rPr>
          <w:rtl/>
        </w:rPr>
        <w:t xml:space="preserve"> هذا الضرب من الرقص. وتُثبت الخراخيش على أرجل الذكور لتصدر أصوات وإيقاعات عند الرقص، وتزداد إثارة عندما يتصاعد وقعها حتى تحل محل توقيعات الطبل.</w:t>
      </w:r>
    </w:p>
    <w:p w:rsidR="00060BCC" w:rsidRPr="00BD18D9" w:rsidRDefault="00060BCC" w:rsidP="00BD18D9">
      <w:pPr>
        <w:bidi/>
        <w:spacing w:after="200" w:line="240" w:lineRule="auto"/>
        <w:ind w:left="851"/>
        <w:jc w:val="both"/>
        <w:rPr>
          <w:rFonts w:ascii="Traditional Arabic" w:hAnsi="Traditional Arabic" w:cs="Traditional Arabic"/>
          <w:b/>
          <w:bCs/>
          <w:kern w:val="36"/>
          <w:sz w:val="32"/>
          <w:szCs w:val="32"/>
          <w:rtl/>
          <w:lang w:eastAsia="en-GB" w:bidi="ar-MA"/>
        </w:rPr>
      </w:pPr>
      <w:r w:rsidRPr="00BD18D9">
        <w:rPr>
          <w:rFonts w:ascii="Traditional Arabic" w:hAnsi="Traditional Arabic" w:cs="Traditional Arabic"/>
          <w:kern w:val="36"/>
          <w:sz w:val="32"/>
          <w:szCs w:val="32"/>
          <w:rtl/>
          <w:lang w:eastAsia="en-GB" w:bidi="ar-MA"/>
        </w:rPr>
        <w:t>وهناك أيضاً طقوس ذات صلة تتمثل في رقصة مقنَّعة يمارسها الرجال وتديرها النساء، وتعبر عن الدور المهم للنساء في الحياة المجتمعية</w:t>
      </w:r>
      <w:r w:rsidR="00327EF3" w:rsidRPr="00BD18D9">
        <w:rPr>
          <w:rFonts w:ascii="Traditional Arabic" w:hAnsi="Traditional Arabic" w:cs="Traditional Arabic"/>
          <w:kern w:val="36"/>
          <w:sz w:val="32"/>
          <w:szCs w:val="32"/>
          <w:rtl/>
          <w:lang w:eastAsia="en-GB" w:bidi="ar-MA"/>
        </w:rPr>
        <w:t>.</w:t>
      </w:r>
      <w:r w:rsidR="000212A4" w:rsidRPr="00BD18D9">
        <w:rPr>
          <w:rFonts w:ascii="Traditional Arabic" w:hAnsi="Traditional Arabic" w:cs="Traditional Arabic"/>
          <w:kern w:val="36"/>
          <w:sz w:val="32"/>
          <w:szCs w:val="32"/>
          <w:rtl/>
          <w:lang w:eastAsia="en-GB" w:bidi="ar-MA"/>
        </w:rPr>
        <w:t xml:space="preserve"> ويقتصر </w:t>
      </w:r>
      <w:r w:rsidR="000212A4" w:rsidRPr="00BD18D9">
        <w:rPr>
          <w:rFonts w:ascii="Traditional Arabic" w:hAnsi="Traditional Arabic" w:cs="Traditional Arabic"/>
          <w:kern w:val="36"/>
          <w:sz w:val="32"/>
          <w:szCs w:val="32"/>
          <w:rtl/>
          <w:lang w:eastAsia="en-GB"/>
        </w:rPr>
        <w:t>لبس</w:t>
      </w:r>
      <w:r w:rsidR="000212A4" w:rsidRPr="00BD18D9">
        <w:rPr>
          <w:rFonts w:ascii="Traditional Arabic" w:hAnsi="Traditional Arabic" w:cs="Traditional Arabic"/>
          <w:kern w:val="36"/>
          <w:sz w:val="32"/>
          <w:szCs w:val="32"/>
          <w:rtl/>
          <w:lang w:eastAsia="en-GB" w:bidi="ar-MA"/>
        </w:rPr>
        <w:t xml:space="preserve"> الأقنعة والرقص بها على الرجال فقط</w:t>
      </w:r>
      <w:r w:rsidR="000E0D76" w:rsidRPr="00BD18D9">
        <w:rPr>
          <w:rFonts w:ascii="Traditional Arabic" w:hAnsi="Traditional Arabic" w:cs="Traditional Arabic"/>
          <w:kern w:val="36"/>
          <w:sz w:val="32"/>
          <w:szCs w:val="32"/>
          <w:rtl/>
          <w:lang w:eastAsia="en-GB" w:bidi="ar-MA"/>
        </w:rPr>
        <w:t xml:space="preserve"> باعتبار أن النساء، اللاتي يجري تكريمهن، ينبغي </w:t>
      </w:r>
      <w:r w:rsidR="00054201" w:rsidRPr="00BD18D9">
        <w:rPr>
          <w:rFonts w:ascii="Traditional Arabic" w:hAnsi="Traditional Arabic" w:cs="Traditional Arabic"/>
          <w:kern w:val="36"/>
          <w:sz w:val="32"/>
          <w:szCs w:val="32"/>
          <w:rtl/>
          <w:lang w:eastAsia="en-GB" w:bidi="ar-MA"/>
        </w:rPr>
        <w:t>تنزيههن عن</w:t>
      </w:r>
      <w:r w:rsidR="000E0D76" w:rsidRPr="00BD18D9">
        <w:rPr>
          <w:rFonts w:ascii="Traditional Arabic" w:hAnsi="Traditional Arabic" w:cs="Traditional Arabic"/>
          <w:kern w:val="36"/>
          <w:sz w:val="32"/>
          <w:szCs w:val="32"/>
          <w:rtl/>
          <w:lang w:eastAsia="en-GB" w:bidi="ar-MA"/>
        </w:rPr>
        <w:t xml:space="preserve"> </w:t>
      </w:r>
      <w:r w:rsidR="00BD18D9">
        <w:rPr>
          <w:rFonts w:ascii="Traditional Arabic" w:hAnsi="Traditional Arabic" w:cs="Traditional Arabic"/>
          <w:kern w:val="36"/>
          <w:sz w:val="32"/>
          <w:szCs w:val="32"/>
          <w:rtl/>
          <w:lang w:eastAsia="en-GB" w:bidi="ar-MA"/>
        </w:rPr>
        <w:t>ال</w:t>
      </w:r>
      <w:r w:rsidR="00BD18D9">
        <w:rPr>
          <w:rFonts w:ascii="Traditional Arabic" w:hAnsi="Traditional Arabic" w:cs="Traditional Arabic" w:hint="cs"/>
          <w:kern w:val="36"/>
          <w:sz w:val="32"/>
          <w:szCs w:val="32"/>
          <w:rtl/>
          <w:lang w:eastAsia="en-GB" w:bidi="ar-MA"/>
        </w:rPr>
        <w:t>ا</w:t>
      </w:r>
      <w:r w:rsidR="00054201" w:rsidRPr="00BD18D9">
        <w:rPr>
          <w:rFonts w:ascii="Traditional Arabic" w:hAnsi="Traditional Arabic" w:cs="Traditional Arabic"/>
          <w:kern w:val="36"/>
          <w:sz w:val="32"/>
          <w:szCs w:val="32"/>
          <w:rtl/>
          <w:lang w:eastAsia="en-GB" w:bidi="ar-MA"/>
        </w:rPr>
        <w:t>نخراط</w:t>
      </w:r>
      <w:r w:rsidR="000E0D76" w:rsidRPr="00BD18D9">
        <w:rPr>
          <w:rFonts w:ascii="Traditional Arabic" w:hAnsi="Traditional Arabic" w:cs="Traditional Arabic"/>
          <w:kern w:val="36"/>
          <w:sz w:val="32"/>
          <w:szCs w:val="32"/>
          <w:rtl/>
          <w:lang w:eastAsia="en-GB" w:bidi="ar-MA"/>
        </w:rPr>
        <w:t xml:space="preserve"> في أنشطة </w:t>
      </w:r>
      <w:r w:rsidR="00B05E70" w:rsidRPr="00BD18D9">
        <w:rPr>
          <w:rFonts w:ascii="Traditional Arabic" w:hAnsi="Traditional Arabic" w:cs="Traditional Arabic"/>
          <w:kern w:val="36"/>
          <w:sz w:val="32"/>
          <w:szCs w:val="32"/>
          <w:rtl/>
          <w:lang w:eastAsia="en-GB" w:bidi="ar-MA"/>
        </w:rPr>
        <w:t>ترفيهية</w:t>
      </w:r>
      <w:r w:rsidR="00054201" w:rsidRPr="00BD18D9">
        <w:rPr>
          <w:rFonts w:ascii="Traditional Arabic" w:hAnsi="Traditional Arabic" w:cs="Traditional Arabic"/>
          <w:kern w:val="36"/>
          <w:sz w:val="32"/>
          <w:szCs w:val="32"/>
          <w:rtl/>
          <w:lang w:eastAsia="en-GB" w:bidi="ar-MA"/>
        </w:rPr>
        <w:t xml:space="preserve">. كما يعتبر الرقص بالأقنعة (الخشبية الثقيلة) ممارسة </w:t>
      </w:r>
      <w:r w:rsidR="00074B73" w:rsidRPr="00BD18D9">
        <w:rPr>
          <w:rFonts w:ascii="Traditional Arabic" w:hAnsi="Traditional Arabic" w:cs="Traditional Arabic"/>
          <w:kern w:val="36"/>
          <w:sz w:val="32"/>
          <w:szCs w:val="32"/>
          <w:rtl/>
          <w:lang w:eastAsia="en-GB" w:bidi="ar-MA"/>
        </w:rPr>
        <w:t xml:space="preserve">شاقة بالنسبة للنساء، ناهيك عن الاعتقاد بأن الأقنعة تؤثر على </w:t>
      </w:r>
      <w:r w:rsidR="00C4698C" w:rsidRPr="00BD18D9">
        <w:rPr>
          <w:rFonts w:ascii="Traditional Arabic" w:hAnsi="Traditional Arabic" w:cs="Traditional Arabic"/>
          <w:kern w:val="36"/>
          <w:sz w:val="32"/>
          <w:szCs w:val="32"/>
          <w:rtl/>
          <w:lang w:eastAsia="en-GB" w:bidi="ar-MA"/>
        </w:rPr>
        <w:t>قدرتهن الإنجابية</w:t>
      </w:r>
      <w:r w:rsidR="00074B73" w:rsidRPr="00BD18D9">
        <w:rPr>
          <w:rFonts w:ascii="Traditional Arabic" w:hAnsi="Traditional Arabic" w:cs="Traditional Arabic"/>
          <w:kern w:val="36"/>
          <w:sz w:val="32"/>
          <w:szCs w:val="32"/>
          <w:rtl/>
          <w:lang w:eastAsia="en-GB" w:bidi="ar-MA"/>
        </w:rPr>
        <w:t xml:space="preserve"> التي تمثل عماد </w:t>
      </w:r>
      <w:r w:rsidR="00C4698C" w:rsidRPr="00BD18D9">
        <w:rPr>
          <w:rFonts w:ascii="Traditional Arabic" w:hAnsi="Traditional Arabic" w:cs="Traditional Arabic"/>
          <w:kern w:val="36"/>
          <w:sz w:val="32"/>
          <w:szCs w:val="32"/>
          <w:rtl/>
          <w:lang w:eastAsia="en-GB" w:bidi="ar-MA"/>
        </w:rPr>
        <w:t>مكانة</w:t>
      </w:r>
      <w:r w:rsidR="00074B73" w:rsidRPr="00BD18D9">
        <w:rPr>
          <w:rFonts w:ascii="Traditional Arabic" w:hAnsi="Traditional Arabic" w:cs="Traditional Arabic"/>
          <w:kern w:val="36"/>
          <w:sz w:val="32"/>
          <w:szCs w:val="32"/>
          <w:rtl/>
          <w:lang w:eastAsia="en-GB" w:bidi="ar-MA"/>
        </w:rPr>
        <w:t xml:space="preserve"> </w:t>
      </w:r>
      <w:r w:rsidR="00B05E70" w:rsidRPr="00BD18D9">
        <w:rPr>
          <w:rFonts w:ascii="Traditional Arabic" w:hAnsi="Traditional Arabic" w:cs="Traditional Arabic"/>
          <w:kern w:val="36"/>
          <w:sz w:val="32"/>
          <w:szCs w:val="32"/>
          <w:rtl/>
          <w:lang w:eastAsia="en-GB" w:bidi="ar-MA"/>
        </w:rPr>
        <w:t>ا</w:t>
      </w:r>
      <w:r w:rsidR="00C4698C" w:rsidRPr="00BD18D9">
        <w:rPr>
          <w:rFonts w:ascii="Traditional Arabic" w:hAnsi="Traditional Arabic" w:cs="Traditional Arabic"/>
          <w:kern w:val="36"/>
          <w:sz w:val="32"/>
          <w:szCs w:val="32"/>
          <w:rtl/>
          <w:lang w:eastAsia="en-GB" w:bidi="ar-MA"/>
        </w:rPr>
        <w:t xml:space="preserve">لمرأة </w:t>
      </w:r>
      <w:r w:rsidR="00074B73" w:rsidRPr="00BD18D9">
        <w:rPr>
          <w:rFonts w:ascii="Traditional Arabic" w:hAnsi="Traditional Arabic" w:cs="Traditional Arabic"/>
          <w:kern w:val="36"/>
          <w:sz w:val="32"/>
          <w:szCs w:val="32"/>
          <w:rtl/>
          <w:lang w:eastAsia="en-GB" w:bidi="ar-MA"/>
        </w:rPr>
        <w:t>وقوتها. والرقص المقنَّع مصمم للفوز برضا "الأم العظيمة" و"الأمهات القويات" (النساء)</w:t>
      </w:r>
      <w:r w:rsidR="00167820" w:rsidRPr="00BD18D9">
        <w:rPr>
          <w:rFonts w:ascii="Traditional Arabic" w:hAnsi="Traditional Arabic" w:cs="Traditional Arabic"/>
          <w:kern w:val="36"/>
          <w:sz w:val="32"/>
          <w:szCs w:val="32"/>
          <w:rtl/>
          <w:lang w:eastAsia="en-GB" w:bidi="ar-MA"/>
        </w:rPr>
        <w:t xml:space="preserve"> اللاتي يمثلنها على الأرض، كما ي</w:t>
      </w:r>
      <w:r w:rsidR="00B05E70" w:rsidRPr="00BD18D9">
        <w:rPr>
          <w:rFonts w:ascii="Traditional Arabic" w:hAnsi="Traditional Arabic" w:cs="Traditional Arabic"/>
          <w:kern w:val="36"/>
          <w:sz w:val="32"/>
          <w:szCs w:val="32"/>
          <w:rtl/>
          <w:lang w:eastAsia="en-GB" w:bidi="ar-MA"/>
        </w:rPr>
        <w:t>َ</w:t>
      </w:r>
      <w:r w:rsidR="00167820" w:rsidRPr="00BD18D9">
        <w:rPr>
          <w:rFonts w:ascii="Traditional Arabic" w:hAnsi="Traditional Arabic" w:cs="Traditional Arabic"/>
          <w:kern w:val="36"/>
          <w:sz w:val="32"/>
          <w:szCs w:val="32"/>
          <w:rtl/>
          <w:lang w:eastAsia="en-GB" w:bidi="ar-MA"/>
        </w:rPr>
        <w:t>سخر المجتمع علناً من خلال هذا النوع من الرقص من قوى الشر الاجتماعي</w:t>
      </w:r>
      <w:r w:rsidR="00146859" w:rsidRPr="00BD18D9">
        <w:rPr>
          <w:rFonts w:ascii="Traditional Arabic" w:hAnsi="Traditional Arabic" w:cs="Traditional Arabic"/>
          <w:kern w:val="36"/>
          <w:sz w:val="32"/>
          <w:szCs w:val="32"/>
          <w:rtl/>
          <w:lang w:eastAsia="en-GB" w:bidi="ar-MA"/>
        </w:rPr>
        <w:t>،</w:t>
      </w:r>
      <w:r w:rsidR="00167820" w:rsidRPr="00BD18D9">
        <w:rPr>
          <w:rFonts w:ascii="Traditional Arabic" w:hAnsi="Traditional Arabic" w:cs="Traditional Arabic"/>
          <w:kern w:val="36"/>
          <w:sz w:val="32"/>
          <w:szCs w:val="32"/>
          <w:rtl/>
          <w:lang w:eastAsia="en-GB" w:bidi="ar-MA"/>
        </w:rPr>
        <w:t xml:space="preserve"> </w:t>
      </w:r>
      <w:r w:rsidR="00146859" w:rsidRPr="00BD18D9">
        <w:rPr>
          <w:rFonts w:ascii="Traditional Arabic" w:hAnsi="Traditional Arabic" w:cs="Traditional Arabic"/>
          <w:kern w:val="36"/>
          <w:sz w:val="32"/>
          <w:szCs w:val="32"/>
          <w:rtl/>
          <w:lang w:eastAsia="en-GB" w:bidi="ar-MA"/>
        </w:rPr>
        <w:t xml:space="preserve">ممثلة بالسحرة وعناصر غير اجتماعية أخرى، </w:t>
      </w:r>
      <w:r w:rsidR="00C4698C" w:rsidRPr="00BD18D9">
        <w:rPr>
          <w:rFonts w:ascii="Traditional Arabic" w:hAnsi="Traditional Arabic" w:cs="Traditional Arabic"/>
          <w:kern w:val="36"/>
          <w:sz w:val="32"/>
          <w:szCs w:val="32"/>
          <w:rtl/>
          <w:lang w:eastAsia="en-GB" w:bidi="ar-MA"/>
        </w:rPr>
        <w:t>التي</w:t>
      </w:r>
      <w:r w:rsidR="00167820" w:rsidRPr="00BD18D9">
        <w:rPr>
          <w:rFonts w:ascii="Traditional Arabic" w:hAnsi="Traditional Arabic" w:cs="Traditional Arabic"/>
          <w:kern w:val="36"/>
          <w:sz w:val="32"/>
          <w:szCs w:val="32"/>
          <w:rtl/>
          <w:lang w:eastAsia="en-GB" w:bidi="ar-MA"/>
        </w:rPr>
        <w:t xml:space="preserve"> تهدد الإنسجام المجتمعي</w:t>
      </w:r>
      <w:r w:rsidR="00C4698C" w:rsidRPr="00BD18D9">
        <w:rPr>
          <w:rFonts w:ascii="Traditional Arabic" w:hAnsi="Traditional Arabic" w:cs="Traditional Arabic"/>
          <w:kern w:val="36"/>
          <w:sz w:val="32"/>
          <w:szCs w:val="32"/>
          <w:rtl/>
          <w:lang w:eastAsia="en-GB" w:bidi="ar-MA"/>
        </w:rPr>
        <w:t xml:space="preserve">. ويبدأ مهرجان الرقص بحفل يستمر طوال الليل </w:t>
      </w:r>
      <w:r w:rsidR="00373770" w:rsidRPr="00BD18D9">
        <w:rPr>
          <w:rFonts w:ascii="Traditional Arabic" w:hAnsi="Traditional Arabic" w:cs="Traditional Arabic"/>
          <w:kern w:val="36"/>
          <w:sz w:val="32"/>
          <w:szCs w:val="32"/>
          <w:rtl/>
          <w:lang w:eastAsia="en-GB" w:bidi="ar-MA"/>
        </w:rPr>
        <w:t xml:space="preserve">يرقص فيه الرجال </w:t>
      </w:r>
      <w:r w:rsidR="00B05E70" w:rsidRPr="00BD18D9">
        <w:rPr>
          <w:rFonts w:ascii="Traditional Arabic" w:hAnsi="Traditional Arabic" w:cs="Traditional Arabic"/>
          <w:kern w:val="36"/>
          <w:sz w:val="32"/>
          <w:szCs w:val="32"/>
          <w:rtl/>
          <w:lang w:eastAsia="en-GB" w:bidi="ar-MA"/>
        </w:rPr>
        <w:t>بالأقنعة وتستخدم فيه الأهجوَّة للترفيه والتثقيف. ويقام الاحتفال الرئيسي بعد ظهر اليوم التالي حيث يمارس</w:t>
      </w:r>
      <w:r w:rsidR="006A3C85" w:rsidRPr="00BD18D9">
        <w:rPr>
          <w:rFonts w:ascii="Traditional Arabic" w:hAnsi="Traditional Arabic" w:cs="Traditional Arabic"/>
          <w:kern w:val="36"/>
          <w:sz w:val="32"/>
          <w:szCs w:val="32"/>
          <w:rtl/>
          <w:lang w:eastAsia="en-GB" w:bidi="ar-MA"/>
        </w:rPr>
        <w:t xml:space="preserve"> الرجال</w:t>
      </w:r>
      <w:r w:rsidR="00B05E70" w:rsidRPr="00BD18D9">
        <w:rPr>
          <w:rFonts w:ascii="Traditional Arabic" w:hAnsi="Traditional Arabic" w:cs="Traditional Arabic"/>
          <w:kern w:val="36"/>
          <w:sz w:val="32"/>
          <w:szCs w:val="32"/>
          <w:rtl/>
          <w:lang w:eastAsia="en-GB" w:bidi="ar-MA"/>
        </w:rPr>
        <w:t xml:space="preserve"> الرقص المقنع المصمم بعناية ي</w:t>
      </w:r>
      <w:r w:rsidR="006A3C85" w:rsidRPr="00BD18D9">
        <w:rPr>
          <w:rFonts w:ascii="Traditional Arabic" w:hAnsi="Traditional Arabic" w:cs="Traditional Arabic"/>
          <w:kern w:val="36"/>
          <w:sz w:val="32"/>
          <w:szCs w:val="32"/>
          <w:rtl/>
          <w:lang w:eastAsia="en-GB" w:bidi="ar-MA"/>
        </w:rPr>
        <w:t>صاحبه الغناء والموسيقى</w:t>
      </w:r>
      <w:r w:rsidR="00B05E70" w:rsidRPr="00BD18D9">
        <w:rPr>
          <w:rFonts w:ascii="Traditional Arabic" w:hAnsi="Traditional Arabic" w:cs="Traditional Arabic"/>
          <w:kern w:val="36"/>
          <w:sz w:val="32"/>
          <w:szCs w:val="32"/>
          <w:rtl/>
          <w:lang w:eastAsia="en-GB" w:bidi="ar-MA"/>
        </w:rPr>
        <w:t xml:space="preserve"> ولا</w:t>
      </w:r>
      <w:r w:rsidR="00BD18D9">
        <w:rPr>
          <w:rFonts w:ascii="Traditional Arabic" w:hAnsi="Traditional Arabic" w:cs="Traditional Arabic" w:hint="cs"/>
          <w:kern w:val="36"/>
          <w:sz w:val="32"/>
          <w:szCs w:val="32"/>
          <w:rtl/>
          <w:lang w:eastAsia="en-GB" w:bidi="ar-MA"/>
        </w:rPr>
        <w:t xml:space="preserve"> </w:t>
      </w:r>
      <w:r w:rsidR="00B05E70" w:rsidRPr="00BD18D9">
        <w:rPr>
          <w:rFonts w:ascii="Traditional Arabic" w:hAnsi="Traditional Arabic" w:cs="Traditional Arabic"/>
          <w:kern w:val="36"/>
          <w:sz w:val="32"/>
          <w:szCs w:val="32"/>
          <w:rtl/>
          <w:lang w:eastAsia="en-GB" w:bidi="ar-MA"/>
        </w:rPr>
        <w:t xml:space="preserve">سيما </w:t>
      </w:r>
      <w:r w:rsidR="006A3C85" w:rsidRPr="00BD18D9">
        <w:rPr>
          <w:rFonts w:ascii="Traditional Arabic" w:hAnsi="Traditional Arabic" w:cs="Traditional Arabic"/>
          <w:kern w:val="36"/>
          <w:sz w:val="32"/>
          <w:szCs w:val="32"/>
          <w:rtl/>
          <w:lang w:eastAsia="en-GB" w:bidi="ar-MA"/>
        </w:rPr>
        <w:t>التطبيل. ويلبس الرجال الأقنعة الخشبية المنحوتة على هيئة أشكال مختلفة تشمل الحيوانات والناس أو آلات الخياطة والطبول.</w:t>
      </w:r>
      <w:r w:rsidR="00373770" w:rsidRPr="00BD18D9">
        <w:rPr>
          <w:rFonts w:ascii="Traditional Arabic" w:hAnsi="Traditional Arabic" w:cs="Traditional Arabic"/>
          <w:kern w:val="36"/>
          <w:sz w:val="32"/>
          <w:szCs w:val="32"/>
          <w:rtl/>
          <w:lang w:eastAsia="en-GB" w:bidi="ar-MA"/>
        </w:rPr>
        <w:t xml:space="preserve"> </w:t>
      </w:r>
      <w:r w:rsidR="00F53255" w:rsidRPr="00BD18D9">
        <w:rPr>
          <w:rFonts w:ascii="Traditional Arabic" w:hAnsi="Traditional Arabic" w:cs="Traditional Arabic"/>
          <w:kern w:val="36"/>
          <w:sz w:val="32"/>
          <w:szCs w:val="32"/>
          <w:rtl/>
          <w:lang w:eastAsia="en-GB" w:bidi="ar-MA"/>
        </w:rPr>
        <w:t xml:space="preserve">أما الأزياء، فتلفت الانتباه إلى خصائص الجنسين وإلى السلوكيات بشكل مبالغ فيه. ويتنكر الرجال خلال رقص الأقنعة </w:t>
      </w:r>
      <w:r w:rsidR="00BD18D9">
        <w:rPr>
          <w:rFonts w:ascii="Traditional Arabic" w:hAnsi="Traditional Arabic" w:cs="Traditional Arabic"/>
          <w:kern w:val="36"/>
          <w:sz w:val="32"/>
          <w:szCs w:val="32"/>
          <w:rtl/>
          <w:lang w:eastAsia="en-GB" w:bidi="ar-MA"/>
        </w:rPr>
        <w:t>ب</w:t>
      </w:r>
      <w:r w:rsidR="00BD18D9">
        <w:rPr>
          <w:rFonts w:ascii="Traditional Arabic" w:hAnsi="Traditional Arabic" w:cs="Traditional Arabic" w:hint="cs"/>
          <w:kern w:val="36"/>
          <w:sz w:val="32"/>
          <w:szCs w:val="32"/>
          <w:rtl/>
          <w:lang w:eastAsia="en-GB" w:bidi="ar-MA"/>
        </w:rPr>
        <w:t>أ</w:t>
      </w:r>
      <w:r w:rsidR="00376F1A" w:rsidRPr="00BD18D9">
        <w:rPr>
          <w:rFonts w:ascii="Traditional Arabic" w:hAnsi="Traditional Arabic" w:cs="Traditional Arabic"/>
          <w:kern w:val="36"/>
          <w:sz w:val="32"/>
          <w:szCs w:val="32"/>
          <w:rtl/>
          <w:lang w:eastAsia="en-GB" w:bidi="ar-MA"/>
        </w:rPr>
        <w:t>زياء النساء ويرقصون أزواجاً أزواجا من أجل تسلية وامتاع واسترضاء الأمهات باعتبارهن مخلوقات ذات قوة عظيمة وقادرات على استخدام سلطانهن لأغراض الخير أو الشر. ولما كان رقص الأقنعة يجري في مجتمع أبوي</w:t>
      </w:r>
      <w:r w:rsidR="00C72BAA" w:rsidRPr="00BD18D9">
        <w:rPr>
          <w:rFonts w:ascii="Traditional Arabic" w:hAnsi="Traditional Arabic" w:cs="Traditional Arabic"/>
          <w:kern w:val="36"/>
          <w:sz w:val="32"/>
          <w:szCs w:val="32"/>
          <w:rtl/>
          <w:lang w:eastAsia="en-GB" w:bidi="ar-MA"/>
        </w:rPr>
        <w:t xml:space="preserve">، فإنه يفيد في تذكير المجتمع بأهمية الحفاظ على علاقات جيدة بين الرجال والنساء من خلال الدعوة إلى إظهار الاحترام </w:t>
      </w:r>
      <w:r w:rsidR="00686A97" w:rsidRPr="00BD18D9">
        <w:rPr>
          <w:rFonts w:ascii="Traditional Arabic" w:hAnsi="Traditional Arabic" w:cs="Traditional Arabic"/>
          <w:kern w:val="36"/>
          <w:sz w:val="32"/>
          <w:szCs w:val="32"/>
          <w:rtl/>
          <w:lang w:eastAsia="en-GB" w:bidi="ar-MA"/>
        </w:rPr>
        <w:t xml:space="preserve">للأمومة التي يعتقد أنها تنطوي على قدرات خاصة بإمكانها جلب الخير أو الشر. وعلى الرغم من أن مجتمع رقص الأقنعة مفتوح للجميع، إلا أن عدد النساء يميل إلى تجاوز عدد الرجال </w:t>
      </w:r>
      <w:r w:rsidR="00146859" w:rsidRPr="00BD18D9">
        <w:rPr>
          <w:rFonts w:ascii="Traditional Arabic" w:hAnsi="Traditional Arabic" w:cs="Traditional Arabic"/>
          <w:kern w:val="36"/>
          <w:sz w:val="32"/>
          <w:szCs w:val="32"/>
          <w:rtl/>
          <w:lang w:eastAsia="en-GB" w:bidi="ar-MA"/>
        </w:rPr>
        <w:t>لما تحظى به المرأة والأمومة من احتفاء وتبجيل في هذا المجتمع.</w:t>
      </w:r>
      <w:r w:rsidR="00686A97" w:rsidRPr="00BD18D9">
        <w:rPr>
          <w:rFonts w:ascii="Traditional Arabic" w:hAnsi="Traditional Arabic" w:cs="Traditional Arabic"/>
          <w:kern w:val="36"/>
          <w:sz w:val="32"/>
          <w:szCs w:val="32"/>
          <w:rtl/>
          <w:lang w:eastAsia="en-GB" w:bidi="ar-MA"/>
        </w:rPr>
        <w:t xml:space="preserve"> </w:t>
      </w:r>
      <w:bookmarkStart w:id="3" w:name="_GoBack"/>
      <w:bookmarkEnd w:id="3"/>
    </w:p>
    <w:sectPr w:rsidR="00060BCC" w:rsidRPr="00BD18D9" w:rsidSect="00BD18D9">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B2" w:rsidRDefault="00AB0CB2" w:rsidP="006742B2">
      <w:pPr>
        <w:spacing w:after="0" w:line="240" w:lineRule="auto"/>
      </w:pPr>
      <w:r>
        <w:separator/>
      </w:r>
    </w:p>
  </w:endnote>
  <w:endnote w:type="continuationSeparator" w:id="0">
    <w:p w:rsidR="00AB0CB2" w:rsidRDefault="00AB0CB2" w:rsidP="0067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4831"/>
      <w:gridCol w:w="2429"/>
    </w:tblGrid>
    <w:tr w:rsidR="00BD18D9" w:rsidTr="00BD18D9">
      <w:tc>
        <w:tcPr>
          <w:tcW w:w="1234" w:type="pct"/>
          <w:vAlign w:val="center"/>
          <w:hideMark/>
        </w:tcPr>
        <w:p w:rsidR="00BD18D9" w:rsidRDefault="00BD18D9" w:rsidP="00BD18D9">
          <w:pPr>
            <w:rPr>
              <w:rFonts w:ascii="Calibri" w:eastAsia="Calibri" w:hAnsi="Calibri" w:cs="Arial"/>
            </w:rPr>
          </w:pPr>
          <w:r>
            <w:rPr>
              <w:rFonts w:ascii="Calibri" w:eastAsia="Calibri" w:hAnsi="Calibri" w:cs="Arial"/>
              <w:noProof/>
              <w:lang w:eastAsia="ja-JP"/>
            </w:rPr>
            <w:drawing>
              <wp:inline distT="0" distB="0" distL="0" distR="0">
                <wp:extent cx="1041400" cy="668020"/>
                <wp:effectExtent l="0" t="0" r="6350" b="0"/>
                <wp:docPr id="2"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668020"/>
                        </a:xfrm>
                        <a:prstGeom prst="rect">
                          <a:avLst/>
                        </a:prstGeom>
                        <a:noFill/>
                        <a:ln>
                          <a:noFill/>
                        </a:ln>
                      </pic:spPr>
                    </pic:pic>
                  </a:graphicData>
                </a:graphic>
              </wp:inline>
            </w:drawing>
          </w:r>
        </w:p>
      </w:tc>
      <w:tc>
        <w:tcPr>
          <w:tcW w:w="2506" w:type="pct"/>
          <w:vAlign w:val="bottom"/>
          <w:hideMark/>
        </w:tcPr>
        <w:p w:rsidR="00BD18D9" w:rsidRDefault="003E61DE" w:rsidP="00BD18D9">
          <w:pPr>
            <w:bidi/>
            <w:jc w:val="center"/>
            <w:rPr>
              <w:rFonts w:ascii="Calibri" w:eastAsia="Calibri" w:hAnsi="Calibri" w:cs="Arial"/>
              <w:lang w:val="en-US"/>
            </w:rPr>
          </w:pPr>
          <w:r>
            <w:rPr>
              <w:noProof/>
              <w:lang w:eastAsia="ja-JP"/>
            </w:rPr>
            <w:drawing>
              <wp:anchor distT="0" distB="0" distL="114300" distR="114300" simplePos="0" relativeHeight="251659264" behindDoc="0" locked="0" layoutInCell="1" allowOverlap="1" wp14:anchorId="0ABB283E" wp14:editId="49039AAE">
                <wp:simplePos x="0" y="0"/>
                <wp:positionH relativeFrom="column">
                  <wp:posOffset>1223010</wp:posOffset>
                </wp:positionH>
                <wp:positionV relativeFrom="paragraph">
                  <wp:posOffset>690245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hideMark/>
        </w:tcPr>
        <w:p w:rsidR="00BD18D9" w:rsidRDefault="00BD18D9" w:rsidP="00BD18D9">
          <w:pPr>
            <w:jc w:val="right"/>
            <w:rPr>
              <w:rFonts w:ascii="Arial" w:eastAsia="Calibri" w:hAnsi="Arial" w:cs="Arial"/>
              <w:sz w:val="18"/>
              <w:szCs w:val="18"/>
              <w:lang w:val="en-US"/>
            </w:rPr>
          </w:pPr>
          <w:r>
            <w:rPr>
              <w:rFonts w:ascii="Arial" w:eastAsia="Calibri" w:hAnsi="Arial" w:cs="Arial"/>
              <w:sz w:val="18"/>
              <w:szCs w:val="18"/>
              <w:lang w:val="en-GB"/>
            </w:rPr>
            <w:t>CS43-v1.0-AR</w:t>
          </w:r>
        </w:p>
      </w:tc>
    </w:tr>
  </w:tbl>
  <w:p w:rsidR="00BD18D9" w:rsidRDefault="00BD18D9" w:rsidP="00BD18D9">
    <w:pPr>
      <w:pStyle w:val="Header"/>
      <w:tabs>
        <w:tab w:val="clear" w:pos="4536"/>
        <w:tab w:val="clear" w:pos="9072"/>
      </w:tabs>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B2" w:rsidRDefault="00AB0CB2" w:rsidP="006C3873">
      <w:pPr>
        <w:bidi/>
        <w:spacing w:after="0" w:line="240" w:lineRule="auto"/>
      </w:pPr>
      <w:r>
        <w:separator/>
      </w:r>
    </w:p>
  </w:footnote>
  <w:footnote w:type="continuationSeparator" w:id="0">
    <w:p w:rsidR="00AB0CB2" w:rsidRDefault="00AB0CB2" w:rsidP="006742B2">
      <w:pPr>
        <w:spacing w:after="0" w:line="240" w:lineRule="auto"/>
      </w:pPr>
      <w:r>
        <w:continuationSeparator/>
      </w:r>
    </w:p>
  </w:footnote>
  <w:footnote w:id="1">
    <w:p w:rsidR="000C1D7F" w:rsidRPr="006C3873" w:rsidRDefault="000C1D7F" w:rsidP="00952ED1">
      <w:pPr>
        <w:pStyle w:val="FootnoteText"/>
        <w:bidi/>
        <w:spacing w:line="204" w:lineRule="auto"/>
        <w:ind w:left="284" w:hanging="284"/>
        <w:jc w:val="both"/>
        <w:rPr>
          <w:szCs w:val="28"/>
          <w:rtl/>
        </w:rPr>
      </w:pPr>
      <w:r w:rsidRPr="006C3873">
        <w:rPr>
          <w:rStyle w:val="FootnoteReference"/>
          <w:szCs w:val="28"/>
        </w:rPr>
        <w:footnoteRef/>
      </w:r>
      <w:r w:rsidR="006C3873">
        <w:rPr>
          <w:szCs w:val="28"/>
          <w:rtl/>
        </w:rPr>
        <w:tab/>
      </w:r>
      <w:r w:rsidR="00BE6344" w:rsidRPr="006C3873">
        <w:rPr>
          <w:rFonts w:hint="cs"/>
          <w:szCs w:val="28"/>
          <w:rtl/>
        </w:rPr>
        <w:t xml:space="preserve">تمثل هذه الحالة مزيجاً من عدة رقصات تقليدية أفريقية، منها رقصة التي تمارسها جماعة </w:t>
      </w:r>
      <w:proofErr w:type="spellStart"/>
      <w:r w:rsidR="00BE6344" w:rsidRPr="006C3873">
        <w:rPr>
          <w:rFonts w:hint="cs"/>
          <w:szCs w:val="28"/>
          <w:rtl/>
        </w:rPr>
        <w:t>زيزورو</w:t>
      </w:r>
      <w:proofErr w:type="spellEnd"/>
      <w:r w:rsidR="00BE6344" w:rsidRPr="006C3873">
        <w:rPr>
          <w:rFonts w:hint="cs"/>
          <w:szCs w:val="28"/>
          <w:rtl/>
        </w:rPr>
        <w:t xml:space="preserve"> شونا في زيمبابوي، </w:t>
      </w:r>
      <w:r w:rsidR="00952ED1">
        <w:rPr>
          <w:rFonts w:hint="cs"/>
          <w:szCs w:val="28"/>
          <w:rtl/>
        </w:rPr>
        <w:t>ا</w:t>
      </w:r>
      <w:r w:rsidR="00BE6344" w:rsidRPr="006C3873">
        <w:rPr>
          <w:rFonts w:hint="cs"/>
          <w:szCs w:val="28"/>
          <w:rtl/>
        </w:rPr>
        <w:t>نظر:</w:t>
      </w:r>
      <w:r w:rsidR="00952ED1">
        <w:rPr>
          <w:szCs w:val="28"/>
          <w:rtl/>
        </w:rPr>
        <w:br/>
      </w:r>
      <w:r w:rsidR="00BE6344" w:rsidRPr="006C3873">
        <w:rPr>
          <w:szCs w:val="28"/>
        </w:rPr>
        <w:t xml:space="preserve">Kelvin </w:t>
      </w:r>
      <w:proofErr w:type="spellStart"/>
      <w:r w:rsidR="00BE6344" w:rsidRPr="006C3873">
        <w:rPr>
          <w:szCs w:val="28"/>
        </w:rPr>
        <w:t>Chikonzo</w:t>
      </w:r>
      <w:proofErr w:type="spellEnd"/>
      <w:r w:rsidR="00BE6344" w:rsidRPr="006C3873">
        <w:rPr>
          <w:szCs w:val="28"/>
        </w:rPr>
        <w:t xml:space="preserve"> ‘</w:t>
      </w:r>
      <w:proofErr w:type="spellStart"/>
      <w:r w:rsidR="00BE6344" w:rsidRPr="006C3873">
        <w:rPr>
          <w:szCs w:val="28"/>
        </w:rPr>
        <w:t>Mbende</w:t>
      </w:r>
      <w:proofErr w:type="spellEnd"/>
      <w:r w:rsidR="00BE6344" w:rsidRPr="006C3873">
        <w:rPr>
          <w:szCs w:val="28"/>
        </w:rPr>
        <w:t xml:space="preserve">/ </w:t>
      </w:r>
      <w:proofErr w:type="spellStart"/>
      <w:r w:rsidR="00BE6344" w:rsidRPr="006C3873">
        <w:rPr>
          <w:szCs w:val="28"/>
        </w:rPr>
        <w:t>Jerusarema</w:t>
      </w:r>
      <w:proofErr w:type="spellEnd"/>
      <w:r w:rsidR="00BE6344" w:rsidRPr="006C3873">
        <w:rPr>
          <w:szCs w:val="28"/>
        </w:rPr>
        <w:t xml:space="preserve"> dance,’ Panorama Magazine, 2013</w:t>
      </w:r>
      <w:r w:rsidR="007D6208" w:rsidRPr="006C3873">
        <w:rPr>
          <w:rFonts w:hint="cs"/>
          <w:szCs w:val="28"/>
          <w:rtl/>
        </w:rPr>
        <w:t xml:space="preserve">، المتاحة على الإنترنت على العنوان التالي: </w:t>
      </w:r>
      <w:hyperlink r:id="rId1" w:history="1">
        <w:r w:rsidR="007D6208" w:rsidRPr="006C3873">
          <w:rPr>
            <w:rStyle w:val="Hyperlink"/>
            <w:szCs w:val="28"/>
          </w:rPr>
          <w:t>http://www.panorama.co.zw/index.php/archives/119-perspective/599-mbende-jerusarema-dance</w:t>
        </w:r>
      </w:hyperlink>
    </w:p>
    <w:p w:rsidR="006C3873" w:rsidRDefault="00060BCC" w:rsidP="006C3873">
      <w:pPr>
        <w:pStyle w:val="FootnoteText"/>
        <w:bidi/>
        <w:ind w:left="284"/>
        <w:jc w:val="both"/>
        <w:rPr>
          <w:szCs w:val="28"/>
        </w:rPr>
      </w:pPr>
      <w:r w:rsidRPr="006C3873">
        <w:rPr>
          <w:rFonts w:hint="cs"/>
          <w:szCs w:val="28"/>
          <w:rtl/>
        </w:rPr>
        <w:t>ومنها</w:t>
      </w:r>
      <w:r w:rsidR="007D6208" w:rsidRPr="006C3873">
        <w:rPr>
          <w:rFonts w:hint="cs"/>
          <w:szCs w:val="28"/>
          <w:rtl/>
        </w:rPr>
        <w:t xml:space="preserve"> أيضاً </w:t>
      </w:r>
      <w:r w:rsidR="003B7CF8">
        <w:rPr>
          <w:rFonts w:hint="cs"/>
          <w:szCs w:val="28"/>
          <w:rtl/>
        </w:rPr>
        <w:t>أغاني ورقصات</w:t>
      </w:r>
      <w:r w:rsidRPr="006C3873">
        <w:rPr>
          <w:rFonts w:hint="cs"/>
          <w:szCs w:val="28"/>
          <w:rtl/>
        </w:rPr>
        <w:t xml:space="preserve">، </w:t>
      </w:r>
      <w:r w:rsidR="006C3873">
        <w:rPr>
          <w:rFonts w:hint="cs"/>
          <w:szCs w:val="28"/>
          <w:rtl/>
        </w:rPr>
        <w:t>ا</w:t>
      </w:r>
      <w:r w:rsidRPr="006C3873">
        <w:rPr>
          <w:rFonts w:hint="cs"/>
          <w:szCs w:val="28"/>
          <w:rtl/>
        </w:rPr>
        <w:t>نظر:</w:t>
      </w:r>
    </w:p>
    <w:p w:rsidR="007D6208" w:rsidRPr="00CC599C" w:rsidRDefault="00060BCC" w:rsidP="006C3873">
      <w:pPr>
        <w:pStyle w:val="FootnoteText"/>
        <w:ind w:right="284"/>
        <w:jc w:val="both"/>
        <w:rPr>
          <w:szCs w:val="28"/>
          <w:lang w:val="en-US" w:bidi="ar-IQ"/>
        </w:rPr>
      </w:pPr>
      <w:r w:rsidRPr="006C3873">
        <w:rPr>
          <w:szCs w:val="28"/>
          <w:lang w:val="en-US"/>
        </w:rPr>
        <w:t xml:space="preserve">Benge </w:t>
      </w:r>
      <w:proofErr w:type="spellStart"/>
      <w:r w:rsidRPr="006C3873">
        <w:rPr>
          <w:szCs w:val="28"/>
          <w:lang w:val="en-US"/>
        </w:rPr>
        <w:t>Okot</w:t>
      </w:r>
      <w:proofErr w:type="spellEnd"/>
      <w:r w:rsidRPr="006C3873">
        <w:rPr>
          <w:szCs w:val="28"/>
          <w:lang w:val="en-US"/>
        </w:rPr>
        <w:t xml:space="preserve"> (2012) ‘Striking the Snake with its own Fangs: Uganda </w:t>
      </w:r>
      <w:proofErr w:type="spellStart"/>
      <w:r w:rsidRPr="006C3873">
        <w:rPr>
          <w:szCs w:val="28"/>
          <w:lang w:val="en-US"/>
        </w:rPr>
        <w:t>Acoli</w:t>
      </w:r>
      <w:proofErr w:type="spellEnd"/>
      <w:r w:rsidRPr="006C3873">
        <w:rPr>
          <w:szCs w:val="28"/>
          <w:lang w:val="en-US"/>
        </w:rPr>
        <w:t xml:space="preserve"> Song, Performance and Gender Dynamics,’ pp. 109-128 in V. Y. </w:t>
      </w:r>
      <w:proofErr w:type="spellStart"/>
      <w:r w:rsidRPr="006C3873">
        <w:rPr>
          <w:szCs w:val="28"/>
          <w:lang w:val="en-US"/>
        </w:rPr>
        <w:t>Mudimbe</w:t>
      </w:r>
      <w:proofErr w:type="spellEnd"/>
      <w:r w:rsidRPr="006C3873">
        <w:rPr>
          <w:szCs w:val="28"/>
          <w:lang w:val="en-US"/>
        </w:rPr>
        <w:t xml:space="preserve"> (ed.) </w:t>
      </w:r>
      <w:r w:rsidRPr="006C3873">
        <w:rPr>
          <w:szCs w:val="28"/>
          <w:lang w:val="en-GB"/>
        </w:rPr>
        <w:t xml:space="preserve">Contemporary African Cultural Productions, Dakar, CODESRIA, 2012 and the </w:t>
      </w:r>
      <w:proofErr w:type="spellStart"/>
      <w:r w:rsidRPr="006C3873">
        <w:rPr>
          <w:szCs w:val="28"/>
          <w:lang w:val="en-GB"/>
        </w:rPr>
        <w:t>Gelede</w:t>
      </w:r>
      <w:proofErr w:type="spellEnd"/>
      <w:r w:rsidRPr="006C3873">
        <w:rPr>
          <w:szCs w:val="28"/>
          <w:lang w:val="en-GB"/>
        </w:rPr>
        <w:t xml:space="preserve"> ceremony (Benin, Nigeria and Togo) as described in </w:t>
      </w:r>
      <w:proofErr w:type="spellStart"/>
      <w:r w:rsidRPr="006C3873">
        <w:rPr>
          <w:szCs w:val="28"/>
          <w:lang w:val="en-GB"/>
        </w:rPr>
        <w:t>Babatunde</w:t>
      </w:r>
      <w:proofErr w:type="spellEnd"/>
      <w:r w:rsidRPr="006C3873">
        <w:rPr>
          <w:szCs w:val="28"/>
          <w:lang w:val="en-GB"/>
        </w:rPr>
        <w:t xml:space="preserve"> </w:t>
      </w:r>
      <w:proofErr w:type="spellStart"/>
      <w:r w:rsidRPr="006C3873">
        <w:rPr>
          <w:szCs w:val="28"/>
          <w:lang w:val="en-GB"/>
        </w:rPr>
        <w:t>Lawal</w:t>
      </w:r>
      <w:proofErr w:type="spellEnd"/>
      <w:r w:rsidRPr="006C3873">
        <w:rPr>
          <w:szCs w:val="28"/>
          <w:lang w:val="en-GB"/>
        </w:rPr>
        <w:t xml:space="preserve"> (1996) The </w:t>
      </w:r>
      <w:proofErr w:type="spellStart"/>
      <w:r w:rsidRPr="006C3873">
        <w:rPr>
          <w:szCs w:val="28"/>
          <w:lang w:val="en-GB"/>
        </w:rPr>
        <w:t>Gelede</w:t>
      </w:r>
      <w:proofErr w:type="spellEnd"/>
      <w:r w:rsidRPr="006C3873">
        <w:rPr>
          <w:szCs w:val="28"/>
          <w:lang w:val="en-GB"/>
        </w:rPr>
        <w:t xml:space="preserve"> Spectacle: Art, Gender, and Social Harmony in an African Culture. </w:t>
      </w:r>
      <w:r w:rsidRPr="00CC599C">
        <w:rPr>
          <w:szCs w:val="28"/>
          <w:lang w:val="en-US"/>
        </w:rPr>
        <w:t>Seattle: University of Washington Press</w:t>
      </w:r>
      <w:r w:rsidR="006C3873" w:rsidRPr="00CC599C">
        <w:rPr>
          <w:szCs w:val="28"/>
          <w:lang w:val="en-US"/>
        </w:rPr>
        <w:t>.</w:t>
      </w:r>
    </w:p>
    <w:p w:rsidR="006C3873" w:rsidRPr="006C3873" w:rsidRDefault="006C3873" w:rsidP="006C3873">
      <w:pPr>
        <w:pStyle w:val="FootnoteText"/>
        <w:ind w:right="284"/>
        <w:jc w:val="both"/>
        <w:rPr>
          <w:szCs w:val="28"/>
          <w:rtl/>
          <w:lang w:bidi="ar-IQ"/>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BD18D9" w:rsidTr="00BD18D9">
      <w:trPr>
        <w:jc w:val="center"/>
      </w:trPr>
      <w:tc>
        <w:tcPr>
          <w:tcW w:w="1667" w:type="pct"/>
        </w:tcPr>
        <w:p w:rsidR="00BD18D9" w:rsidRDefault="00BD18D9" w:rsidP="00BD18D9">
          <w:pPr>
            <w:pStyle w:val="Header"/>
            <w:tabs>
              <w:tab w:val="clear" w:pos="4536"/>
              <w:tab w:val="clear" w:pos="9072"/>
            </w:tabs>
            <w:bidi/>
            <w:jc w:val="right"/>
            <w:rPr>
              <w:rFonts w:cs="Traditional Arabic"/>
              <w:sz w:val="18"/>
              <w:szCs w:val="24"/>
            </w:rPr>
          </w:pPr>
        </w:p>
      </w:tc>
      <w:tc>
        <w:tcPr>
          <w:tcW w:w="1667" w:type="pct"/>
          <w:hideMark/>
        </w:tcPr>
        <w:p w:rsidR="00BD18D9" w:rsidRDefault="00BD18D9" w:rsidP="00BD18D9">
          <w:pPr>
            <w:pStyle w:val="Header"/>
            <w:tabs>
              <w:tab w:val="clear" w:pos="4536"/>
              <w:tab w:val="clear" w:pos="9072"/>
            </w:tabs>
            <w:jc w:val="center"/>
            <w:rPr>
              <w:rFonts w:cs="Traditional Arabic"/>
              <w:sz w:val="18"/>
              <w:szCs w:val="24"/>
              <w:lang w:bidi="ar-SY"/>
            </w:rPr>
          </w:pPr>
          <w:r>
            <w:rPr>
              <w:rFonts w:eastAsia="Times New Roman" w:cs="Traditional Arabic"/>
              <w:kern w:val="36"/>
              <w:sz w:val="26"/>
              <w:szCs w:val="24"/>
              <w:rtl/>
              <w:lang w:eastAsia="en-GB" w:bidi="ar-MA"/>
            </w:rPr>
            <w:t>دراسة حالة</w:t>
          </w:r>
        </w:p>
      </w:tc>
      <w:tc>
        <w:tcPr>
          <w:tcW w:w="1667" w:type="pct"/>
          <w:hideMark/>
        </w:tcPr>
        <w:p w:rsidR="00BD18D9" w:rsidRDefault="00BD18D9" w:rsidP="00BD18D9">
          <w:pPr>
            <w:pStyle w:val="Header"/>
            <w:tabs>
              <w:tab w:val="clear" w:pos="4536"/>
              <w:tab w:val="clear" w:pos="9072"/>
            </w:tabs>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sidR="003E61DE">
            <w:rPr>
              <w:rFonts w:asciiTheme="minorBidi" w:hAnsiTheme="minorBidi"/>
              <w:noProof/>
            </w:rPr>
            <w:t>2</w:t>
          </w:r>
          <w:r>
            <w:rPr>
              <w:rFonts w:asciiTheme="minorBidi" w:hAnsiTheme="minorBidi"/>
            </w:rPr>
            <w:fldChar w:fldCharType="end"/>
          </w:r>
        </w:p>
      </w:tc>
    </w:tr>
  </w:tbl>
  <w:p w:rsidR="00BD18D9" w:rsidRDefault="00BD18D9" w:rsidP="00BD18D9">
    <w:pPr>
      <w:pStyle w:val="Header"/>
      <w:tabs>
        <w:tab w:val="clear" w:pos="4536"/>
        <w:tab w:val="clear" w:pos="9072"/>
      </w:tabs>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24"/>
    <w:rsid w:val="00012727"/>
    <w:rsid w:val="00012C6D"/>
    <w:rsid w:val="000212A4"/>
    <w:rsid w:val="00054201"/>
    <w:rsid w:val="00060BCC"/>
    <w:rsid w:val="00061DB4"/>
    <w:rsid w:val="0007094C"/>
    <w:rsid w:val="00074B73"/>
    <w:rsid w:val="0007539E"/>
    <w:rsid w:val="000C1D7F"/>
    <w:rsid w:val="000E0D76"/>
    <w:rsid w:val="000E49B7"/>
    <w:rsid w:val="000F4481"/>
    <w:rsid w:val="00124D95"/>
    <w:rsid w:val="00130496"/>
    <w:rsid w:val="00131125"/>
    <w:rsid w:val="00134F0D"/>
    <w:rsid w:val="00136574"/>
    <w:rsid w:val="00142E96"/>
    <w:rsid w:val="00144433"/>
    <w:rsid w:val="00145197"/>
    <w:rsid w:val="00146859"/>
    <w:rsid w:val="001473EF"/>
    <w:rsid w:val="00167820"/>
    <w:rsid w:val="00171908"/>
    <w:rsid w:val="00173473"/>
    <w:rsid w:val="00180845"/>
    <w:rsid w:val="00182F61"/>
    <w:rsid w:val="0018413A"/>
    <w:rsid w:val="001941AF"/>
    <w:rsid w:val="001B7895"/>
    <w:rsid w:val="001E21F1"/>
    <w:rsid w:val="001F76D7"/>
    <w:rsid w:val="00220203"/>
    <w:rsid w:val="002253FF"/>
    <w:rsid w:val="00271585"/>
    <w:rsid w:val="002717B3"/>
    <w:rsid w:val="002732B4"/>
    <w:rsid w:val="002C0E81"/>
    <w:rsid w:val="002C14E7"/>
    <w:rsid w:val="002C31ED"/>
    <w:rsid w:val="002C46AC"/>
    <w:rsid w:val="002D685D"/>
    <w:rsid w:val="002D761A"/>
    <w:rsid w:val="002E7C57"/>
    <w:rsid w:val="002F37DE"/>
    <w:rsid w:val="00304972"/>
    <w:rsid w:val="00304A41"/>
    <w:rsid w:val="00312CBF"/>
    <w:rsid w:val="00315B18"/>
    <w:rsid w:val="00315CD9"/>
    <w:rsid w:val="00323BC2"/>
    <w:rsid w:val="00323D43"/>
    <w:rsid w:val="00324E72"/>
    <w:rsid w:val="00327BD2"/>
    <w:rsid w:val="00327EF3"/>
    <w:rsid w:val="00332178"/>
    <w:rsid w:val="00346D69"/>
    <w:rsid w:val="00361DF6"/>
    <w:rsid w:val="00373770"/>
    <w:rsid w:val="00376805"/>
    <w:rsid w:val="00376F1A"/>
    <w:rsid w:val="003861D7"/>
    <w:rsid w:val="003B7CF8"/>
    <w:rsid w:val="003C0650"/>
    <w:rsid w:val="003C7E45"/>
    <w:rsid w:val="003D027F"/>
    <w:rsid w:val="003D09FE"/>
    <w:rsid w:val="003E61DE"/>
    <w:rsid w:val="003F1BC8"/>
    <w:rsid w:val="003F773C"/>
    <w:rsid w:val="0042038A"/>
    <w:rsid w:val="00427310"/>
    <w:rsid w:val="00455EE2"/>
    <w:rsid w:val="004576B4"/>
    <w:rsid w:val="00464882"/>
    <w:rsid w:val="0048186E"/>
    <w:rsid w:val="004A1E58"/>
    <w:rsid w:val="004A6BB9"/>
    <w:rsid w:val="004B2FBF"/>
    <w:rsid w:val="004B388C"/>
    <w:rsid w:val="004C3170"/>
    <w:rsid w:val="004F5085"/>
    <w:rsid w:val="005144B8"/>
    <w:rsid w:val="00520DF0"/>
    <w:rsid w:val="00565B82"/>
    <w:rsid w:val="0056629A"/>
    <w:rsid w:val="00576C34"/>
    <w:rsid w:val="005807A3"/>
    <w:rsid w:val="0059496C"/>
    <w:rsid w:val="005A4BEF"/>
    <w:rsid w:val="005B36F7"/>
    <w:rsid w:val="005C6AE1"/>
    <w:rsid w:val="005D42F3"/>
    <w:rsid w:val="005D5D56"/>
    <w:rsid w:val="005E2DA5"/>
    <w:rsid w:val="005F3CAC"/>
    <w:rsid w:val="005F7A81"/>
    <w:rsid w:val="00611B9C"/>
    <w:rsid w:val="006278B1"/>
    <w:rsid w:val="00645222"/>
    <w:rsid w:val="006742B2"/>
    <w:rsid w:val="00677B19"/>
    <w:rsid w:val="006864C9"/>
    <w:rsid w:val="00686A97"/>
    <w:rsid w:val="006953DE"/>
    <w:rsid w:val="006A3C85"/>
    <w:rsid w:val="006B0C7F"/>
    <w:rsid w:val="006C0208"/>
    <w:rsid w:val="006C3873"/>
    <w:rsid w:val="00700334"/>
    <w:rsid w:val="0070714C"/>
    <w:rsid w:val="00716EBB"/>
    <w:rsid w:val="00737319"/>
    <w:rsid w:val="00771EBE"/>
    <w:rsid w:val="007B6E41"/>
    <w:rsid w:val="007C296C"/>
    <w:rsid w:val="007D6208"/>
    <w:rsid w:val="00801FE0"/>
    <w:rsid w:val="008038CB"/>
    <w:rsid w:val="00805824"/>
    <w:rsid w:val="00825173"/>
    <w:rsid w:val="00861217"/>
    <w:rsid w:val="00861A20"/>
    <w:rsid w:val="008960F5"/>
    <w:rsid w:val="008C3DFC"/>
    <w:rsid w:val="008E414B"/>
    <w:rsid w:val="00903ADC"/>
    <w:rsid w:val="00924A60"/>
    <w:rsid w:val="009403FC"/>
    <w:rsid w:val="00943AB4"/>
    <w:rsid w:val="00952ED1"/>
    <w:rsid w:val="009557DE"/>
    <w:rsid w:val="0098308F"/>
    <w:rsid w:val="009841AF"/>
    <w:rsid w:val="009E55F8"/>
    <w:rsid w:val="00A20FF4"/>
    <w:rsid w:val="00A51B3D"/>
    <w:rsid w:val="00A70A8F"/>
    <w:rsid w:val="00A76E09"/>
    <w:rsid w:val="00A913BC"/>
    <w:rsid w:val="00AB0CB2"/>
    <w:rsid w:val="00AB1364"/>
    <w:rsid w:val="00AB2CA9"/>
    <w:rsid w:val="00AC66BF"/>
    <w:rsid w:val="00AE2FE3"/>
    <w:rsid w:val="00AE6CBA"/>
    <w:rsid w:val="00AE7766"/>
    <w:rsid w:val="00AF07EF"/>
    <w:rsid w:val="00B05E70"/>
    <w:rsid w:val="00B12E03"/>
    <w:rsid w:val="00B2156F"/>
    <w:rsid w:val="00B216DA"/>
    <w:rsid w:val="00B467C0"/>
    <w:rsid w:val="00B63357"/>
    <w:rsid w:val="00B63AC2"/>
    <w:rsid w:val="00B72798"/>
    <w:rsid w:val="00BA6665"/>
    <w:rsid w:val="00BB1BFC"/>
    <w:rsid w:val="00BC5121"/>
    <w:rsid w:val="00BD18D9"/>
    <w:rsid w:val="00BD7FCE"/>
    <w:rsid w:val="00BE31B2"/>
    <w:rsid w:val="00BE6344"/>
    <w:rsid w:val="00C126FB"/>
    <w:rsid w:val="00C30FF8"/>
    <w:rsid w:val="00C36500"/>
    <w:rsid w:val="00C4698C"/>
    <w:rsid w:val="00C52327"/>
    <w:rsid w:val="00C57690"/>
    <w:rsid w:val="00C60E7C"/>
    <w:rsid w:val="00C622EC"/>
    <w:rsid w:val="00C72BAA"/>
    <w:rsid w:val="00C80D47"/>
    <w:rsid w:val="00CC3053"/>
    <w:rsid w:val="00CC599C"/>
    <w:rsid w:val="00CE5A67"/>
    <w:rsid w:val="00CF31E1"/>
    <w:rsid w:val="00D1266E"/>
    <w:rsid w:val="00D20EB7"/>
    <w:rsid w:val="00D25AE0"/>
    <w:rsid w:val="00D374D6"/>
    <w:rsid w:val="00D42605"/>
    <w:rsid w:val="00D502C7"/>
    <w:rsid w:val="00D51442"/>
    <w:rsid w:val="00D661E3"/>
    <w:rsid w:val="00D74525"/>
    <w:rsid w:val="00D83FE6"/>
    <w:rsid w:val="00D8576B"/>
    <w:rsid w:val="00D85AC3"/>
    <w:rsid w:val="00D931B0"/>
    <w:rsid w:val="00D93A28"/>
    <w:rsid w:val="00DA15FD"/>
    <w:rsid w:val="00DB38F8"/>
    <w:rsid w:val="00DB637B"/>
    <w:rsid w:val="00DC2C0D"/>
    <w:rsid w:val="00DC2CDC"/>
    <w:rsid w:val="00DC4043"/>
    <w:rsid w:val="00DC75B3"/>
    <w:rsid w:val="00DD09D0"/>
    <w:rsid w:val="00DF093D"/>
    <w:rsid w:val="00E10F3F"/>
    <w:rsid w:val="00E17629"/>
    <w:rsid w:val="00E21B80"/>
    <w:rsid w:val="00E35FBF"/>
    <w:rsid w:val="00E426D7"/>
    <w:rsid w:val="00E512D8"/>
    <w:rsid w:val="00E66571"/>
    <w:rsid w:val="00E751D1"/>
    <w:rsid w:val="00E823DA"/>
    <w:rsid w:val="00E9148D"/>
    <w:rsid w:val="00E95BA1"/>
    <w:rsid w:val="00EB2203"/>
    <w:rsid w:val="00ED7661"/>
    <w:rsid w:val="00F0439E"/>
    <w:rsid w:val="00F04B54"/>
    <w:rsid w:val="00F06033"/>
    <w:rsid w:val="00F06C06"/>
    <w:rsid w:val="00F1185C"/>
    <w:rsid w:val="00F22488"/>
    <w:rsid w:val="00F27B30"/>
    <w:rsid w:val="00F3052F"/>
    <w:rsid w:val="00F316E4"/>
    <w:rsid w:val="00F4254B"/>
    <w:rsid w:val="00F53255"/>
    <w:rsid w:val="00F5586C"/>
    <w:rsid w:val="00F56CBD"/>
    <w:rsid w:val="00F71E00"/>
    <w:rsid w:val="00F76E55"/>
    <w:rsid w:val="00F851FA"/>
    <w:rsid w:val="00FC636D"/>
    <w:rsid w:val="00FD3B1A"/>
    <w:rsid w:val="00FD55E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A55CE"/>
  <w15:docId w15:val="{C0C4CED9-AE70-4326-A176-C12E1B9F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2B2"/>
    <w:pPr>
      <w:spacing w:after="0" w:line="240" w:lineRule="auto"/>
    </w:pPr>
    <w:rPr>
      <w:rFonts w:ascii="Arial" w:hAnsi="Arial" w:cs="Traditional Arabic"/>
      <w:sz w:val="20"/>
      <w:szCs w:val="20"/>
    </w:rPr>
  </w:style>
  <w:style w:type="character" w:customStyle="1" w:styleId="FootnoteTextChar">
    <w:name w:val="Footnote Text Char"/>
    <w:basedOn w:val="DefaultParagraphFont"/>
    <w:link w:val="FootnoteText"/>
    <w:uiPriority w:val="99"/>
    <w:semiHidden/>
    <w:rsid w:val="006742B2"/>
    <w:rPr>
      <w:rFonts w:ascii="Arial" w:hAnsi="Arial" w:cs="Traditional Arabic"/>
      <w:sz w:val="20"/>
      <w:szCs w:val="20"/>
    </w:rPr>
  </w:style>
  <w:style w:type="character" w:styleId="FootnoteReference">
    <w:name w:val="footnote reference"/>
    <w:basedOn w:val="DefaultParagraphFont"/>
    <w:uiPriority w:val="99"/>
    <w:semiHidden/>
    <w:unhideWhenUsed/>
    <w:rsid w:val="006742B2"/>
    <w:rPr>
      <w:vertAlign w:val="superscript"/>
    </w:rPr>
  </w:style>
  <w:style w:type="paragraph" w:styleId="ListParagraph">
    <w:name w:val="List Paragraph"/>
    <w:basedOn w:val="Normal"/>
    <w:uiPriority w:val="34"/>
    <w:qFormat/>
    <w:rsid w:val="006742B2"/>
    <w:pPr>
      <w:ind w:left="720"/>
      <w:contextualSpacing/>
    </w:pPr>
  </w:style>
  <w:style w:type="paragraph" w:styleId="Header">
    <w:name w:val="header"/>
    <w:basedOn w:val="Normal"/>
    <w:link w:val="HeaderChar"/>
    <w:uiPriority w:val="99"/>
    <w:unhideWhenUsed/>
    <w:rsid w:val="00BD7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FCE"/>
  </w:style>
  <w:style w:type="paragraph" w:styleId="Footer">
    <w:name w:val="footer"/>
    <w:basedOn w:val="Normal"/>
    <w:link w:val="FooterChar"/>
    <w:uiPriority w:val="99"/>
    <w:unhideWhenUsed/>
    <w:rsid w:val="00BD7F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7FCE"/>
  </w:style>
  <w:style w:type="paragraph" w:customStyle="1" w:styleId="Chapitre">
    <w:name w:val="Chapitre"/>
    <w:basedOn w:val="Heading1"/>
    <w:link w:val="ChapitreCar"/>
    <w:rsid w:val="00BD7FCE"/>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BD7FCE"/>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D7FCE"/>
    <w:rPr>
      <w:rFonts w:asciiTheme="majorHAnsi" w:eastAsiaTheme="majorEastAsia" w:hAnsiTheme="majorHAnsi" w:cstheme="majorBidi"/>
      <w:color w:val="2E74B5" w:themeColor="accent1" w:themeShade="BF"/>
      <w:sz w:val="32"/>
      <w:szCs w:val="32"/>
    </w:rPr>
  </w:style>
  <w:style w:type="paragraph" w:customStyle="1" w:styleId="HO2">
    <w:name w:val="HO2"/>
    <w:basedOn w:val="Normal"/>
    <w:link w:val="HO2Car"/>
    <w:rsid w:val="00BD7FCE"/>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BD7FCE"/>
    <w:rPr>
      <w:rFonts w:ascii="Arial" w:eastAsia="Times New Roman" w:hAnsi="Arial" w:cs="Arial"/>
      <w:b/>
      <w:bCs/>
      <w:caps/>
      <w:noProof/>
      <w:snapToGrid w:val="0"/>
      <w:color w:val="3366FF"/>
      <w:kern w:val="28"/>
      <w:sz w:val="32"/>
      <w:szCs w:val="32"/>
      <w:lang w:val="en-US" w:eastAsia="zh-CN"/>
    </w:rPr>
  </w:style>
  <w:style w:type="paragraph" w:styleId="BalloonText">
    <w:name w:val="Balloon Text"/>
    <w:basedOn w:val="Normal"/>
    <w:link w:val="BalloonTextChar"/>
    <w:uiPriority w:val="99"/>
    <w:semiHidden/>
    <w:unhideWhenUsed/>
    <w:rsid w:val="00E5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D8"/>
    <w:rPr>
      <w:rFonts w:ascii="Tahoma" w:hAnsi="Tahoma" w:cs="Tahoma"/>
      <w:sz w:val="16"/>
      <w:szCs w:val="16"/>
    </w:rPr>
  </w:style>
  <w:style w:type="character" w:styleId="Hyperlink">
    <w:name w:val="Hyperlink"/>
    <w:basedOn w:val="DefaultParagraphFont"/>
    <w:uiPriority w:val="99"/>
    <w:unhideWhenUsed/>
    <w:rsid w:val="007D6208"/>
    <w:rPr>
      <w:color w:val="0563C1" w:themeColor="hyperlink"/>
      <w:u w:val="single"/>
    </w:rPr>
  </w:style>
  <w:style w:type="paragraph" w:styleId="BodyTextIndent">
    <w:name w:val="Body Text Indent"/>
    <w:basedOn w:val="Normal"/>
    <w:link w:val="BodyTextIndentChar"/>
    <w:uiPriority w:val="99"/>
    <w:unhideWhenUsed/>
    <w:rsid w:val="00BD18D9"/>
    <w:pPr>
      <w:bidi/>
      <w:spacing w:after="200" w:line="240" w:lineRule="auto"/>
      <w:ind w:left="851"/>
      <w:jc w:val="both"/>
    </w:pPr>
    <w:rPr>
      <w:rFonts w:ascii="Traditional Arabic" w:hAnsi="Traditional Arabic" w:cs="Traditional Arabic"/>
      <w:kern w:val="36"/>
      <w:sz w:val="32"/>
      <w:szCs w:val="32"/>
      <w:lang w:eastAsia="en-GB"/>
    </w:rPr>
  </w:style>
  <w:style w:type="character" w:customStyle="1" w:styleId="BodyTextIndentChar">
    <w:name w:val="Body Text Indent Char"/>
    <w:basedOn w:val="DefaultParagraphFont"/>
    <w:link w:val="BodyTextIndent"/>
    <w:uiPriority w:val="99"/>
    <w:rsid w:val="00BD18D9"/>
    <w:rPr>
      <w:rFonts w:ascii="Traditional Arabic" w:hAnsi="Traditional Arabic" w:cs="Traditional Arabic"/>
      <w:kern w:val="36"/>
      <w:sz w:val="32"/>
      <w:szCs w:val="32"/>
      <w:lang w:eastAsia="en-GB"/>
    </w:rPr>
  </w:style>
  <w:style w:type="table" w:styleId="TableGrid">
    <w:name w:val="Table Grid"/>
    <w:basedOn w:val="TableNormal"/>
    <w:rsid w:val="00BD1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6144">
      <w:bodyDiv w:val="1"/>
      <w:marLeft w:val="0"/>
      <w:marRight w:val="0"/>
      <w:marTop w:val="0"/>
      <w:marBottom w:val="0"/>
      <w:divBdr>
        <w:top w:val="none" w:sz="0" w:space="0" w:color="auto"/>
        <w:left w:val="none" w:sz="0" w:space="0" w:color="auto"/>
        <w:bottom w:val="none" w:sz="0" w:space="0" w:color="auto"/>
        <w:right w:val="none" w:sz="0" w:space="0" w:color="auto"/>
      </w:divBdr>
    </w:div>
    <w:div w:id="7050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anorama.co.zw/index.php/archives/119-perspective/599-mbende-jerusarema-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56F7-02B2-4B72-8CC6-86587B3D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Kaddoura, Maha</dc:creator>
  <cp:lastModifiedBy>Kim, Dain</cp:lastModifiedBy>
  <cp:revision>7</cp:revision>
  <dcterms:created xsi:type="dcterms:W3CDTF">2016-05-12T13:37:00Z</dcterms:created>
  <dcterms:modified xsi:type="dcterms:W3CDTF">2018-04-19T08:55:00Z</dcterms:modified>
</cp:coreProperties>
</file>