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E" w:rsidRPr="006D0EA9" w:rsidRDefault="006278B1" w:rsidP="006D0EA9">
      <w:pPr>
        <w:pBdr>
          <w:bottom w:val="single" w:sz="4" w:space="1" w:color="3366FF"/>
        </w:pBd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72"/>
          <w:szCs w:val="72"/>
          <w:lang w:val="en-US" w:bidi="ar-IQ"/>
        </w:rPr>
      </w:pPr>
      <w:bookmarkStart w:id="0" w:name="_Toc241229778"/>
      <w:bookmarkStart w:id="1" w:name="_Toc241229982"/>
      <w:bookmarkStart w:id="2" w:name="_Toc242165676"/>
      <w:r w:rsidRPr="006D0EA9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دراسة حالة</w:t>
      </w:r>
      <w:r w:rsidR="00BD7FCE" w:rsidRPr="006D0EA9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 xml:space="preserve"> </w:t>
      </w:r>
      <w:r w:rsidR="00BF2968" w:rsidRPr="006D0EA9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44</w:t>
      </w:r>
    </w:p>
    <w:bookmarkEnd w:id="0"/>
    <w:bookmarkEnd w:id="1"/>
    <w:bookmarkEnd w:id="2"/>
    <w:p w:rsidR="00B467C0" w:rsidRPr="000E5137" w:rsidRDefault="000E5137" w:rsidP="006D0EA9">
      <w:pPr>
        <w:bidi/>
        <w:spacing w:after="200" w:line="240" w:lineRule="auto"/>
        <w:rPr>
          <w:rFonts w:cs="Traditional Arabic"/>
          <w:kern w:val="36"/>
          <w:sz w:val="50"/>
          <w:szCs w:val="50"/>
          <w:rtl/>
          <w:lang w:eastAsia="en-GB" w:bidi="ar-IQ"/>
        </w:rPr>
      </w:pPr>
      <w:r w:rsidRPr="006D0EA9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طقوس ومراسم شامانية</w:t>
      </w:r>
      <w:r>
        <w:rPr>
          <w:rStyle w:val="FootnoteReference"/>
          <w:rFonts w:cs="Traditional Arabic"/>
          <w:kern w:val="36"/>
          <w:sz w:val="50"/>
          <w:szCs w:val="50"/>
          <w:rtl/>
          <w:lang w:eastAsia="en-GB" w:bidi="ar-IQ"/>
        </w:rPr>
        <w:footnoteReference w:id="1"/>
      </w:r>
    </w:p>
    <w:p w:rsidR="00624487" w:rsidRDefault="000E5137" w:rsidP="003F0896">
      <w:pPr>
        <w:pStyle w:val="BodyTextIndent"/>
        <w:rPr>
          <w:rtl/>
        </w:rPr>
      </w:pPr>
      <w:r>
        <w:rPr>
          <w:rFonts w:hint="cs"/>
          <w:rtl/>
        </w:rPr>
        <w:t xml:space="preserve">نتناول في هذه الحالة </w:t>
      </w:r>
      <w:r w:rsidR="00C34DBE">
        <w:rPr>
          <w:rFonts w:hint="cs"/>
          <w:rtl/>
        </w:rPr>
        <w:t xml:space="preserve">عنصراً من التراث الثقافي غير المادي تتزعزع فيه </w:t>
      </w:r>
      <w:r w:rsidR="00EC7EE5">
        <w:rPr>
          <w:rFonts w:hint="cs"/>
          <w:rtl/>
        </w:rPr>
        <w:t>وتتبادل</w:t>
      </w:r>
      <w:r w:rsidR="00C34DBE">
        <w:rPr>
          <w:rFonts w:hint="cs"/>
          <w:rtl/>
        </w:rPr>
        <w:t xml:space="preserve"> الأدوار "التقليدية" للجنسين. فبعض </w:t>
      </w:r>
      <w:r w:rsidR="0008698E">
        <w:rPr>
          <w:rFonts w:hint="cs"/>
          <w:rtl/>
        </w:rPr>
        <w:t xml:space="preserve">عناصر التراث الثقافي غير المادي تمثل، باعتبارها تراثاً حياً، خطاباً </w:t>
      </w:r>
      <w:proofErr w:type="spellStart"/>
      <w:r w:rsidR="0008698E">
        <w:rPr>
          <w:rFonts w:hint="cs"/>
          <w:rtl/>
        </w:rPr>
        <w:t>تحويرياً</w:t>
      </w:r>
      <w:proofErr w:type="spellEnd"/>
      <w:r w:rsidR="0008698E">
        <w:rPr>
          <w:rFonts w:hint="cs"/>
          <w:rtl/>
        </w:rPr>
        <w:t xml:space="preserve"> </w:t>
      </w:r>
      <w:r w:rsidR="00DB60A9">
        <w:rPr>
          <w:rFonts w:hint="cs"/>
          <w:rtl/>
        </w:rPr>
        <w:t xml:space="preserve">أو </w:t>
      </w:r>
      <w:proofErr w:type="spellStart"/>
      <w:r w:rsidR="00DB60A9">
        <w:rPr>
          <w:rFonts w:hint="cs"/>
          <w:rtl/>
        </w:rPr>
        <w:t>انحرافياً</w:t>
      </w:r>
      <w:proofErr w:type="spellEnd"/>
      <w:r w:rsidR="00DB60A9">
        <w:rPr>
          <w:rFonts w:hint="cs"/>
          <w:rtl/>
        </w:rPr>
        <w:t xml:space="preserve">، كما في الحالات التي تنعكس فيها وتتبادل الأدوار بين </w:t>
      </w:r>
      <w:r w:rsidR="003F0896">
        <w:rPr>
          <w:rFonts w:hint="cs"/>
          <w:rtl/>
        </w:rPr>
        <w:t>الشخصيات البارزة ذات السلطة والآ</w:t>
      </w:r>
      <w:r w:rsidR="00DB60A9">
        <w:rPr>
          <w:rFonts w:hint="cs"/>
          <w:rtl/>
        </w:rPr>
        <w:t xml:space="preserve">خرين </w:t>
      </w:r>
      <w:r w:rsidR="0010194C">
        <w:rPr>
          <w:rFonts w:hint="cs"/>
          <w:rtl/>
        </w:rPr>
        <w:t>في معرض نقد موجه من قاعدة الهرم الاجتماعي إلى السلطة وحيث ي</w:t>
      </w:r>
      <w:r w:rsidR="00301CBD">
        <w:rPr>
          <w:rFonts w:hint="cs"/>
          <w:rtl/>
        </w:rPr>
        <w:t>ُ</w:t>
      </w:r>
      <w:r w:rsidR="0010194C">
        <w:rPr>
          <w:rFonts w:hint="cs"/>
          <w:rtl/>
        </w:rPr>
        <w:t>س</w:t>
      </w:r>
      <w:r w:rsidR="00301CBD">
        <w:rPr>
          <w:rFonts w:hint="cs"/>
          <w:rtl/>
        </w:rPr>
        <w:t>َ</w:t>
      </w:r>
      <w:r w:rsidR="0010194C">
        <w:rPr>
          <w:rFonts w:hint="cs"/>
          <w:rtl/>
        </w:rPr>
        <w:t>ل</w:t>
      </w:r>
      <w:r w:rsidR="00301CBD">
        <w:rPr>
          <w:rFonts w:hint="cs"/>
          <w:rtl/>
        </w:rPr>
        <w:t>َّ</w:t>
      </w:r>
      <w:r w:rsidR="0010194C">
        <w:rPr>
          <w:rFonts w:hint="cs"/>
          <w:rtl/>
        </w:rPr>
        <w:t xml:space="preserve">ط الضوء على القيود الاجتماعية </w:t>
      </w:r>
      <w:proofErr w:type="spellStart"/>
      <w:r w:rsidR="0010194C">
        <w:rPr>
          <w:rFonts w:hint="cs"/>
          <w:rtl/>
        </w:rPr>
        <w:t>المؤطرة</w:t>
      </w:r>
      <w:proofErr w:type="spellEnd"/>
      <w:r w:rsidR="0010194C">
        <w:rPr>
          <w:rFonts w:hint="cs"/>
          <w:rtl/>
        </w:rPr>
        <w:t xml:space="preserve"> لحياة الناس العادية. وبهذا النحو، يمكن للتراث الثقافي غير المادي أن يوفر مجالاً ثقافياً يصلح للتعبير عن مواقف اجتماعية</w:t>
      </w:r>
      <w:r w:rsidR="003F0896">
        <w:rPr>
          <w:rFonts w:hint="cs"/>
          <w:rtl/>
        </w:rPr>
        <w:t xml:space="preserve"> </w:t>
      </w:r>
      <w:r w:rsidR="00301CBD">
        <w:rPr>
          <w:rFonts w:hint="cs"/>
          <w:rtl/>
        </w:rPr>
        <w:t xml:space="preserve">بديلة لما هو سائد، وبضمنها المواقف التي تنسف التحيز الجنساني "التقليدي" والأدوار "التقليدية" المرسومة للجنسين. لذا فإن </w:t>
      </w:r>
      <w:r w:rsidR="00151030">
        <w:rPr>
          <w:rFonts w:hint="cs"/>
          <w:rtl/>
        </w:rPr>
        <w:t>إعطاء</w:t>
      </w:r>
      <w:r w:rsidR="00301CBD">
        <w:rPr>
          <w:rFonts w:hint="cs"/>
          <w:rtl/>
        </w:rPr>
        <w:t xml:space="preserve"> قيمة تراثية لهذا النوع من التراث الثقافي غير المادي يمكن أن يشكل بحد ذاته وسيلة لتشجيع الاحترام للأقليات الجنسانية المهمشة و</w:t>
      </w:r>
      <w:r w:rsidR="00A72A48">
        <w:rPr>
          <w:rFonts w:hint="cs"/>
          <w:rtl/>
        </w:rPr>
        <w:t>لثقافتها ضمن مجتمع الأغلبية السائدة.</w:t>
      </w:r>
    </w:p>
    <w:p w:rsidR="009557DE" w:rsidRPr="00D06D9E" w:rsidRDefault="00624487" w:rsidP="00D06D9E">
      <w:pPr>
        <w:bidi/>
        <w:ind w:left="850"/>
        <w:jc w:val="both"/>
        <w:rPr>
          <w:rFonts w:ascii="Traditional Arabic" w:hAnsi="Traditional Arabic" w:cs="Traditional Arabic"/>
          <w:spacing w:val="-2"/>
          <w:sz w:val="32"/>
          <w:szCs w:val="32"/>
          <w:rtl/>
          <w:lang w:bidi="ar-IQ"/>
        </w:rPr>
      </w:pPr>
      <w:r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وقد نشأت المراسم الموصوفة هنا في القرن السادس عشر كشكل من </w:t>
      </w:r>
      <w:r w:rsidR="003F089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أ</w:t>
      </w:r>
      <w:r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شكال الفن الديني الذي كثيراً ما يُمارس خلال </w:t>
      </w:r>
      <w:r w:rsidR="00F17F97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ال</w:t>
      </w:r>
      <w:r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طقوس</w:t>
      </w:r>
      <w:r w:rsidR="003F089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</w:t>
      </w:r>
      <w:proofErr w:type="spellStart"/>
      <w:r w:rsidR="00F17F97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الشامانية</w:t>
      </w:r>
      <w:proofErr w:type="spellEnd"/>
      <w:r w:rsidR="00F17F97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للوساطة الروحانية. وهو يجمع بين الغناء والرقص في حالة النشوة باستخدام عدة أنواع من الآلات الموسيقية التي تعزف أنغام وإيقاعات محددة وبوتائر مختلفة، على ر</w:t>
      </w:r>
      <w:r w:rsidR="003F089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أ</w:t>
      </w:r>
      <w:r w:rsidR="00F17F97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سها آلة العود القمرية الشكل. وتفيد هذه المراسم غرضين </w:t>
      </w:r>
      <w:r w:rsidR="00604885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رئيسين: فهي تضع الوسيط</w:t>
      </w:r>
      <w:r w:rsidR="001A27BF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الروحي</w:t>
      </w:r>
      <w:r w:rsidR="00604885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في حالة نشوة تهيؤه </w:t>
      </w:r>
      <w:r w:rsidR="001A27BF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للتفاعل والتمازج مع الآلهة وتوفر في الوقت ذاته المناخ الموسيقي الملائم لحركات وانفعالات هذا الوسيط. ويقوم رئيس المراسم بادئ ذي بدء </w:t>
      </w:r>
      <w:r w:rsidR="0059242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بترديد</w:t>
      </w:r>
      <w:r w:rsidR="001A27BF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بعض التعويذات</w:t>
      </w:r>
      <w:r w:rsidR="0059242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</w:t>
      </w:r>
      <w:proofErr w:type="spellStart"/>
      <w:r w:rsidR="0059242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والتعزيمات</w:t>
      </w:r>
      <w:proofErr w:type="spellEnd"/>
      <w:r w:rsidR="003F089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</w:t>
      </w:r>
      <w:r w:rsidR="001A27BF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الموجهة للعالم السفلي داعياً الأرواح إلى القدوم والتجلي</w:t>
      </w:r>
      <w:r w:rsidR="0059242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. وفي هذه الأثناء يكون الوسيط </w:t>
      </w:r>
      <w:r w:rsidR="003F089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- </w:t>
      </w:r>
      <w:r w:rsidR="0059242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وهو عادة من النساء </w:t>
      </w:r>
      <w:r w:rsidR="003F089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-</w:t>
      </w:r>
      <w:r w:rsidR="0059242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الذي سيتكلم بالنيابة عن الأرواح، جالساً على حصيرة</w:t>
      </w:r>
      <w:r w:rsidR="003F0896" w:rsidRPr="00D06D9E">
        <w:rPr>
          <w:rFonts w:ascii="Traditional Arabic" w:hAnsi="Traditional Arabic" w:cs="Traditional Arabic"/>
          <w:spacing w:val="-2"/>
          <w:sz w:val="32"/>
          <w:szCs w:val="32"/>
          <w:rtl/>
          <w:lang w:val="en-US" w:bidi="ar-IQ"/>
        </w:rPr>
        <w:t xml:space="preserve"> </w:t>
      </w:r>
      <w:r w:rsidR="0059242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مقابل المذبح. وعندها يقوم رئيس المراسم والفرقة الموسيقية بالعزف معاً لتشجيع الروح </w:t>
      </w:r>
      <w:r w:rsidR="00F36D3B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على الحلول في الوسيط وتقمصه، وحين يتم ذلك يعلم </w:t>
      </w:r>
      <w:r w:rsidR="00F36D3B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lastRenderedPageBreak/>
        <w:t xml:space="preserve">الوسيط رئيس المراسيم بهذا الأمر من خلال إيماءة خاصة. ويعتبر التحول الجنساني جزءاً لا يتجزأ من هذه الطقوس. </w:t>
      </w:r>
      <w:r w:rsidR="00EC7EE5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فعندما ي</w:t>
      </w:r>
      <w:r w:rsidR="005A6D87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كون الوسيط امرأة وتحل فيها </w:t>
      </w:r>
      <w:r w:rsidR="00D06D9E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أ</w:t>
      </w:r>
      <w:r w:rsidR="005A6D87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رواح الذكور، تتقمص هذه الوسيطة أدوار الذكور وخصائصهم، فتصبح تارة من مشاهير العلماء وتارة من المحاربين الأشداء، أو من الأمراء اللاهين، أو الصبيان المشاكسين، وتلبس </w:t>
      </w:r>
      <w:r w:rsidR="00EC7EE5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ملابس</w:t>
      </w:r>
      <w:r w:rsidR="005A6D87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الذكور، وترقص رقصات حربية بالسيوف والرماح، وتستخدم لغة ذكورية، وتدخن السكائر وتشرب خمر الأرز.</w:t>
      </w:r>
      <w:r w:rsidR="00E918E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وتنقلب الأدوار </w:t>
      </w:r>
      <w:r w:rsidR="00D06D9E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أ</w:t>
      </w:r>
      <w:r w:rsidR="00E918E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يضاً إذا كان الوسيط من الذكور وحلَّت فيه</w:t>
      </w:r>
      <w:r w:rsidR="003F089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</w:t>
      </w:r>
      <w:r w:rsidR="00E918E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أرواح الإناث، فيصبح تارة امرأة جميلة وتارة أميرة رشيقة غير متزوجة، أو فتاة وقحة وصفيقة، </w:t>
      </w:r>
      <w:proofErr w:type="spellStart"/>
      <w:r w:rsidR="00E918E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ويتزيَّ</w:t>
      </w:r>
      <w:r w:rsidR="00D06D9E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ا</w:t>
      </w:r>
      <w:proofErr w:type="spellEnd"/>
      <w:r w:rsidR="00E918E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بزي النساء</w:t>
      </w:r>
      <w:r w:rsidR="00052BA4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ويكلل رأسه بغطاء زاهي</w:t>
      </w:r>
      <w:r w:rsidR="003F089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</w:t>
      </w:r>
      <w:r w:rsidR="00052BA4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الألوان، ويتكلم بصوت ناعم، ويرقص بأناقة مع المعجبين، ويمضغ التنبول ويقدم فاكهة غريبة.</w:t>
      </w:r>
      <w:r w:rsidR="00E918E6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 xml:space="preserve"> </w:t>
      </w:r>
      <w:r w:rsidR="00EC7EE5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وهكذا تعبر هذه الطقوس عن التشابكات بين الجنسين والقوة/السلطة التي غالباً ما نجدها في الممارسات الروحية حيث يستخدم الممارسون مجموعة من الوسائل والأساليب لخلق مجتمعات رو</w:t>
      </w:r>
      <w:bookmarkStart w:id="3" w:name="_GoBack"/>
      <w:bookmarkEnd w:id="3"/>
      <w:r w:rsidR="00EC7EE5" w:rsidRPr="00D06D9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IQ"/>
        </w:rPr>
        <w:t>حية لا تؤدي إلى تراتبيات قائمة على نوع الجنس.</w:t>
      </w:r>
    </w:p>
    <w:sectPr w:rsidR="009557DE" w:rsidRPr="00D06D9E" w:rsidSect="006D0EA9">
      <w:headerReference w:type="default" r:id="rId7"/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B2" w:rsidRDefault="00AB0CB2" w:rsidP="006742B2">
      <w:pPr>
        <w:spacing w:after="0" w:line="240" w:lineRule="auto"/>
      </w:pPr>
      <w:r>
        <w:separator/>
      </w:r>
    </w:p>
  </w:endnote>
  <w:endnote w:type="continuationSeparator" w:id="0">
    <w:p w:rsidR="00AB0CB2" w:rsidRDefault="00AB0CB2" w:rsidP="006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8"/>
      <w:gridCol w:w="4831"/>
      <w:gridCol w:w="2429"/>
    </w:tblGrid>
    <w:tr w:rsidR="002A5B8E" w:rsidTr="002A5B8E">
      <w:tc>
        <w:tcPr>
          <w:tcW w:w="1234" w:type="pct"/>
          <w:vAlign w:val="center"/>
          <w:hideMark/>
        </w:tcPr>
        <w:p w:rsidR="002A5B8E" w:rsidRDefault="002A5B8E" w:rsidP="002A5B8E">
          <w:pPr>
            <w:tabs>
              <w:tab w:val="right" w:pos="2018"/>
            </w:tabs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  <w:noProof/>
              <w:lang w:eastAsia="ja-JP"/>
            </w:rPr>
            <w:drawing>
              <wp:inline distT="0" distB="0" distL="0" distR="0">
                <wp:extent cx="1041400" cy="668020"/>
                <wp:effectExtent l="0" t="0" r="6350" b="0"/>
                <wp:docPr id="2" name="Image 2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  <w:hideMark/>
        </w:tcPr>
        <w:p w:rsidR="002A5B8E" w:rsidRDefault="00E47ED3" w:rsidP="002A5B8E">
          <w:pPr>
            <w:bidi/>
            <w:jc w:val="center"/>
            <w:rPr>
              <w:rFonts w:ascii="Calibri" w:eastAsia="Calibri" w:hAnsi="Calibri" w:cs="Arial"/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0ABB283E" wp14:editId="49039AAE">
                <wp:simplePos x="0" y="0"/>
                <wp:positionH relativeFrom="column">
                  <wp:posOffset>1203960</wp:posOffset>
                </wp:positionH>
                <wp:positionV relativeFrom="paragraph">
                  <wp:posOffset>711835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  <w:hideMark/>
        </w:tcPr>
        <w:p w:rsidR="002A5B8E" w:rsidRDefault="002A5B8E" w:rsidP="002A5B8E">
          <w:pPr>
            <w:jc w:val="right"/>
            <w:rPr>
              <w:rFonts w:ascii="Arial" w:eastAsia="Calibri" w:hAnsi="Arial" w:cs="Arial"/>
              <w:sz w:val="18"/>
              <w:szCs w:val="18"/>
              <w:lang w:val="en-US"/>
            </w:rPr>
          </w:pPr>
          <w:r>
            <w:rPr>
              <w:rFonts w:ascii="Arial" w:eastAsia="Calibri" w:hAnsi="Arial" w:cs="Arial"/>
              <w:sz w:val="18"/>
              <w:szCs w:val="18"/>
              <w:lang w:val="en-GB"/>
            </w:rPr>
            <w:t>CS44-v1.0-AR</w:t>
          </w:r>
        </w:p>
      </w:tc>
    </w:tr>
  </w:tbl>
  <w:p w:rsidR="002A5B8E" w:rsidRDefault="002A5B8E" w:rsidP="002A5B8E">
    <w:pPr>
      <w:pStyle w:val="Header"/>
      <w:rPr>
        <w:rFonts w:ascii="Calibri" w:eastAsia="Calibri" w:hAnsi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B2" w:rsidRDefault="00AB0CB2" w:rsidP="002A5B8E">
      <w:pPr>
        <w:bidi/>
        <w:spacing w:after="0" w:line="240" w:lineRule="auto"/>
      </w:pPr>
      <w:r>
        <w:separator/>
      </w:r>
    </w:p>
  </w:footnote>
  <w:footnote w:type="continuationSeparator" w:id="0">
    <w:p w:rsidR="00AB0CB2" w:rsidRDefault="00AB0CB2" w:rsidP="006742B2">
      <w:pPr>
        <w:spacing w:after="0" w:line="240" w:lineRule="auto"/>
      </w:pPr>
      <w:r>
        <w:continuationSeparator/>
      </w:r>
    </w:p>
  </w:footnote>
  <w:footnote w:id="1">
    <w:p w:rsidR="000E5137" w:rsidRPr="002A5B8E" w:rsidRDefault="000E5137" w:rsidP="002A5B8E">
      <w:pPr>
        <w:pStyle w:val="FootnoteText"/>
        <w:bidi/>
        <w:ind w:left="284" w:hanging="284"/>
        <w:rPr>
          <w:szCs w:val="28"/>
          <w:rtl/>
          <w:lang w:val="en-GB"/>
        </w:rPr>
      </w:pPr>
      <w:r w:rsidRPr="002A5B8E">
        <w:rPr>
          <w:rStyle w:val="FootnoteReference"/>
          <w:szCs w:val="28"/>
        </w:rPr>
        <w:footnoteRef/>
      </w:r>
      <w:r w:rsidR="002A5B8E">
        <w:rPr>
          <w:szCs w:val="28"/>
          <w:rtl/>
          <w:lang w:val="en-GB"/>
        </w:rPr>
        <w:tab/>
      </w:r>
      <w:r w:rsidR="002A5B8E">
        <w:rPr>
          <w:rFonts w:hint="cs"/>
          <w:szCs w:val="28"/>
          <w:rtl/>
          <w:lang w:val="en-GB"/>
        </w:rPr>
        <w:t>ا</w:t>
      </w:r>
      <w:r w:rsidRPr="002A5B8E">
        <w:rPr>
          <w:rFonts w:hint="cs"/>
          <w:szCs w:val="28"/>
          <w:rtl/>
          <w:lang w:val="en-GB"/>
        </w:rPr>
        <w:t>نظر:</w:t>
      </w:r>
    </w:p>
    <w:p w:rsidR="000E5137" w:rsidRDefault="000E5137" w:rsidP="000E5137">
      <w:pPr>
        <w:pStyle w:val="FootnoteText"/>
        <w:rPr>
          <w:szCs w:val="28"/>
          <w:lang w:val="en-GB" w:bidi="ar-IQ"/>
        </w:rPr>
      </w:pPr>
      <w:r w:rsidRPr="002A5B8E">
        <w:rPr>
          <w:szCs w:val="28"/>
          <w:lang w:val="en-GB" w:bidi="ar-IQ"/>
        </w:rPr>
        <w:t>Barley Norton (2009)’Engendering mediumship,’ Songs for the Spirits - Music and Mediums in Modern Vietnam, University of Illinois Press at pp. 155-189; Philip Taylor (2007) Modernity and Re-Enchantment: Religion in Post-Revolutionary Vietnam, Singapore: Institute of Southeast Asian Studies</w:t>
      </w:r>
      <w:r w:rsidRPr="002A5B8E">
        <w:rPr>
          <w:szCs w:val="28"/>
          <w:rtl/>
          <w:lang w:val="en-GB" w:bidi="ar-IQ"/>
        </w:rPr>
        <w:t>.</w:t>
      </w:r>
    </w:p>
    <w:p w:rsidR="002A5B8E" w:rsidRPr="002A5B8E" w:rsidRDefault="002A5B8E" w:rsidP="000E5137">
      <w:pPr>
        <w:pStyle w:val="FootnoteText"/>
        <w:rPr>
          <w:szCs w:val="28"/>
          <w:rtl/>
          <w:lang w:val="en-GB" w:bidi="ar-IQ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2A5B8E" w:rsidTr="002A5B8E">
      <w:trPr>
        <w:jc w:val="center"/>
      </w:trPr>
      <w:tc>
        <w:tcPr>
          <w:tcW w:w="1667" w:type="pct"/>
        </w:tcPr>
        <w:p w:rsidR="002A5B8E" w:rsidRDefault="002A5B8E" w:rsidP="002A5B8E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2A5B8E" w:rsidRDefault="002A5B8E" w:rsidP="002A5B8E">
          <w:pPr>
            <w:pStyle w:val="Header"/>
            <w:jc w:val="center"/>
            <w:rPr>
              <w:rFonts w:cs="Traditional Arabic"/>
              <w:sz w:val="18"/>
              <w:szCs w:val="24"/>
              <w:lang w:bidi="ar-SY"/>
            </w:rPr>
          </w:pP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MA"/>
            </w:rPr>
            <w:t>دراسة حالة</w:t>
          </w:r>
        </w:p>
      </w:tc>
      <w:tc>
        <w:tcPr>
          <w:tcW w:w="1667" w:type="pct"/>
          <w:hideMark/>
        </w:tcPr>
        <w:p w:rsidR="002A5B8E" w:rsidRDefault="002A5B8E" w:rsidP="002A5B8E">
          <w:pPr>
            <w:pStyle w:val="Header"/>
            <w:jc w:val="right"/>
            <w:rPr>
              <w:rFonts w:asciiTheme="minorBidi" w:hAnsiTheme="minorBidi"/>
            </w:rPr>
          </w:pPr>
          <w:r>
            <w:rPr>
              <w:rFonts w:asciiTheme="minorBidi" w:hAnsiTheme="minorBidi"/>
            </w:rPr>
            <w:fldChar w:fldCharType="begin"/>
          </w:r>
          <w:r>
            <w:rPr>
              <w:rFonts w:asciiTheme="minorBidi" w:hAnsiTheme="minorBidi"/>
            </w:rPr>
            <w:instrText>PAGE   \* MERGEFORMAT</w:instrText>
          </w:r>
          <w:r>
            <w:rPr>
              <w:rFonts w:asciiTheme="minorBidi" w:hAnsiTheme="minorBidi"/>
            </w:rPr>
            <w:fldChar w:fldCharType="separate"/>
          </w:r>
          <w:r w:rsidR="00E47ED3">
            <w:rPr>
              <w:rFonts w:asciiTheme="minorBidi" w:hAnsiTheme="minorBidi"/>
              <w:noProof/>
            </w:rPr>
            <w:t>2</w:t>
          </w:r>
          <w:r>
            <w:rPr>
              <w:rFonts w:asciiTheme="minorBidi" w:hAnsiTheme="minorBidi"/>
            </w:rPr>
            <w:fldChar w:fldCharType="end"/>
          </w:r>
        </w:p>
      </w:tc>
    </w:tr>
  </w:tbl>
  <w:p w:rsidR="002A5B8E" w:rsidRDefault="002A5B8E" w:rsidP="002A5B8E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24"/>
    <w:rsid w:val="00012727"/>
    <w:rsid w:val="00012C6D"/>
    <w:rsid w:val="00052BA4"/>
    <w:rsid w:val="00061DB4"/>
    <w:rsid w:val="0007094C"/>
    <w:rsid w:val="0007539E"/>
    <w:rsid w:val="0008698E"/>
    <w:rsid w:val="000E49B7"/>
    <w:rsid w:val="000E5137"/>
    <w:rsid w:val="000F4481"/>
    <w:rsid w:val="0010194C"/>
    <w:rsid w:val="00130496"/>
    <w:rsid w:val="00131125"/>
    <w:rsid w:val="00134F0D"/>
    <w:rsid w:val="00136574"/>
    <w:rsid w:val="00142E96"/>
    <w:rsid w:val="00145197"/>
    <w:rsid w:val="00151030"/>
    <w:rsid w:val="00171908"/>
    <w:rsid w:val="00173473"/>
    <w:rsid w:val="00180845"/>
    <w:rsid w:val="0018413A"/>
    <w:rsid w:val="001941AF"/>
    <w:rsid w:val="001A27BF"/>
    <w:rsid w:val="001B7895"/>
    <w:rsid w:val="001F76D7"/>
    <w:rsid w:val="00220203"/>
    <w:rsid w:val="002253FF"/>
    <w:rsid w:val="00271585"/>
    <w:rsid w:val="002717B3"/>
    <w:rsid w:val="002732B4"/>
    <w:rsid w:val="002A5B8E"/>
    <w:rsid w:val="002C0E81"/>
    <w:rsid w:val="002C14E7"/>
    <w:rsid w:val="002C31ED"/>
    <w:rsid w:val="002D685D"/>
    <w:rsid w:val="002F37DE"/>
    <w:rsid w:val="00301CBD"/>
    <w:rsid w:val="00304972"/>
    <w:rsid w:val="00304A41"/>
    <w:rsid w:val="00315B18"/>
    <w:rsid w:val="00327BD2"/>
    <w:rsid w:val="00332178"/>
    <w:rsid w:val="00361DF6"/>
    <w:rsid w:val="00376805"/>
    <w:rsid w:val="003C0650"/>
    <w:rsid w:val="003C7E45"/>
    <w:rsid w:val="003D027F"/>
    <w:rsid w:val="003D09FE"/>
    <w:rsid w:val="003F0896"/>
    <w:rsid w:val="003F773C"/>
    <w:rsid w:val="0042038A"/>
    <w:rsid w:val="00427310"/>
    <w:rsid w:val="00455EE2"/>
    <w:rsid w:val="004576B4"/>
    <w:rsid w:val="00464882"/>
    <w:rsid w:val="0048186E"/>
    <w:rsid w:val="004A1E58"/>
    <w:rsid w:val="004B2FBF"/>
    <w:rsid w:val="004B388C"/>
    <w:rsid w:val="004C3170"/>
    <w:rsid w:val="004F5085"/>
    <w:rsid w:val="005144B8"/>
    <w:rsid w:val="00520DF0"/>
    <w:rsid w:val="0056629A"/>
    <w:rsid w:val="00576C34"/>
    <w:rsid w:val="005807A3"/>
    <w:rsid w:val="00592426"/>
    <w:rsid w:val="005A6D87"/>
    <w:rsid w:val="005B36F7"/>
    <w:rsid w:val="005C6AE1"/>
    <w:rsid w:val="005D42F3"/>
    <w:rsid w:val="005F3CAC"/>
    <w:rsid w:val="005F7A81"/>
    <w:rsid w:val="00604885"/>
    <w:rsid w:val="00611B9C"/>
    <w:rsid w:val="00624487"/>
    <w:rsid w:val="006278B1"/>
    <w:rsid w:val="006742B2"/>
    <w:rsid w:val="00677B19"/>
    <w:rsid w:val="006953DE"/>
    <w:rsid w:val="006C0208"/>
    <w:rsid w:val="006D0EA9"/>
    <w:rsid w:val="00700334"/>
    <w:rsid w:val="00716EBB"/>
    <w:rsid w:val="0072197C"/>
    <w:rsid w:val="00737319"/>
    <w:rsid w:val="00771EBE"/>
    <w:rsid w:val="007C296C"/>
    <w:rsid w:val="008038CB"/>
    <w:rsid w:val="00805824"/>
    <w:rsid w:val="00825173"/>
    <w:rsid w:val="00861217"/>
    <w:rsid w:val="008960F5"/>
    <w:rsid w:val="008C3DFC"/>
    <w:rsid w:val="008E414B"/>
    <w:rsid w:val="00903ADC"/>
    <w:rsid w:val="00924A60"/>
    <w:rsid w:val="009403FC"/>
    <w:rsid w:val="00943AB4"/>
    <w:rsid w:val="009557DE"/>
    <w:rsid w:val="0098308F"/>
    <w:rsid w:val="009841AF"/>
    <w:rsid w:val="00A20FF4"/>
    <w:rsid w:val="00A70A8F"/>
    <w:rsid w:val="00A72A48"/>
    <w:rsid w:val="00A76E09"/>
    <w:rsid w:val="00A913BC"/>
    <w:rsid w:val="00AB0CB2"/>
    <w:rsid w:val="00AB2CA9"/>
    <w:rsid w:val="00AC66BF"/>
    <w:rsid w:val="00AE2FE3"/>
    <w:rsid w:val="00AE6CBA"/>
    <w:rsid w:val="00AE7766"/>
    <w:rsid w:val="00AF07EF"/>
    <w:rsid w:val="00B12E03"/>
    <w:rsid w:val="00B2156F"/>
    <w:rsid w:val="00B467C0"/>
    <w:rsid w:val="00B63357"/>
    <w:rsid w:val="00BA6665"/>
    <w:rsid w:val="00BC5121"/>
    <w:rsid w:val="00BD7FCE"/>
    <w:rsid w:val="00BE31B2"/>
    <w:rsid w:val="00BF2968"/>
    <w:rsid w:val="00C126FB"/>
    <w:rsid w:val="00C34DBE"/>
    <w:rsid w:val="00C36500"/>
    <w:rsid w:val="00C52327"/>
    <w:rsid w:val="00C57690"/>
    <w:rsid w:val="00C60E7C"/>
    <w:rsid w:val="00C80D47"/>
    <w:rsid w:val="00CC3053"/>
    <w:rsid w:val="00CE5A67"/>
    <w:rsid w:val="00CF31E1"/>
    <w:rsid w:val="00D06D9E"/>
    <w:rsid w:val="00D1266E"/>
    <w:rsid w:val="00D20EB7"/>
    <w:rsid w:val="00D25AE0"/>
    <w:rsid w:val="00D374D6"/>
    <w:rsid w:val="00D502C7"/>
    <w:rsid w:val="00D51442"/>
    <w:rsid w:val="00D661E3"/>
    <w:rsid w:val="00D74525"/>
    <w:rsid w:val="00D83FE6"/>
    <w:rsid w:val="00D8576B"/>
    <w:rsid w:val="00D85AC3"/>
    <w:rsid w:val="00D931B0"/>
    <w:rsid w:val="00D93A28"/>
    <w:rsid w:val="00DA15FD"/>
    <w:rsid w:val="00DB38F8"/>
    <w:rsid w:val="00DB60A9"/>
    <w:rsid w:val="00DB637B"/>
    <w:rsid w:val="00DC2C0D"/>
    <w:rsid w:val="00DC2CDC"/>
    <w:rsid w:val="00DC75B3"/>
    <w:rsid w:val="00DD09D0"/>
    <w:rsid w:val="00E10F3F"/>
    <w:rsid w:val="00E17629"/>
    <w:rsid w:val="00E21B80"/>
    <w:rsid w:val="00E426D7"/>
    <w:rsid w:val="00E47ED3"/>
    <w:rsid w:val="00E512D8"/>
    <w:rsid w:val="00E66571"/>
    <w:rsid w:val="00E751D1"/>
    <w:rsid w:val="00E823DA"/>
    <w:rsid w:val="00E9148D"/>
    <w:rsid w:val="00E918E6"/>
    <w:rsid w:val="00EB2203"/>
    <w:rsid w:val="00EC7EE5"/>
    <w:rsid w:val="00ED7661"/>
    <w:rsid w:val="00F0439E"/>
    <w:rsid w:val="00F1185C"/>
    <w:rsid w:val="00F17F97"/>
    <w:rsid w:val="00F22488"/>
    <w:rsid w:val="00F27B30"/>
    <w:rsid w:val="00F3052F"/>
    <w:rsid w:val="00F36D3B"/>
    <w:rsid w:val="00F4254B"/>
    <w:rsid w:val="00F5586C"/>
    <w:rsid w:val="00F71E00"/>
    <w:rsid w:val="00F76E55"/>
    <w:rsid w:val="00F851FA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070453"/>
  <w15:docId w15:val="{843322E9-6C65-4B27-A713-FB287DED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2B2"/>
    <w:pPr>
      <w:spacing w:after="0" w:line="240" w:lineRule="auto"/>
    </w:pPr>
    <w:rPr>
      <w:rFonts w:ascii="Arial" w:hAnsi="Arial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B2"/>
    <w:rPr>
      <w:rFonts w:ascii="Arial" w:hAnsi="Arial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2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CE"/>
  </w:style>
  <w:style w:type="paragraph" w:styleId="Footer">
    <w:name w:val="footer"/>
    <w:basedOn w:val="Normal"/>
    <w:link w:val="Foot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CE"/>
  </w:style>
  <w:style w:type="paragraph" w:customStyle="1" w:styleId="Chapitre">
    <w:name w:val="Chapitre"/>
    <w:basedOn w:val="Heading1"/>
    <w:link w:val="ChapitreCar"/>
    <w:rsid w:val="00BD7FCE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7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O2">
    <w:name w:val="HO2"/>
    <w:basedOn w:val="Normal"/>
    <w:link w:val="HO2Car"/>
    <w:rsid w:val="00BD7FCE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5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3F0896"/>
    <w:pPr>
      <w:bidi/>
      <w:ind w:left="850"/>
      <w:jc w:val="both"/>
    </w:pPr>
    <w:rPr>
      <w:rFonts w:ascii="Traditional Arabic" w:hAnsi="Traditional Arabic" w:cs="Traditional Arabic"/>
      <w:sz w:val="32"/>
      <w:szCs w:val="32"/>
      <w:lang w:bidi="ar-IQ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F0896"/>
    <w:rPr>
      <w:rFonts w:ascii="Traditional Arabic" w:hAnsi="Traditional Arabic" w:cs="Traditional Arabic"/>
      <w:sz w:val="32"/>
      <w:szCs w:val="32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4846-E10C-47DA-82A3-509604CD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Kaddoura, Maha</dc:creator>
  <cp:lastModifiedBy>Kim, Dain</cp:lastModifiedBy>
  <cp:revision>7</cp:revision>
  <dcterms:created xsi:type="dcterms:W3CDTF">2016-05-12T14:28:00Z</dcterms:created>
  <dcterms:modified xsi:type="dcterms:W3CDTF">2018-04-19T08:55:00Z</dcterms:modified>
</cp:coreProperties>
</file>