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A37" w:rsidRPr="004F6A37" w:rsidRDefault="001A4070" w:rsidP="004F6A37">
      <w:pPr>
        <w:pStyle w:val="Caschap"/>
        <w:jc w:val="left"/>
        <w:rPr>
          <w:i w:val="0"/>
          <w:iCs w:val="0"/>
          <w:caps w:val="0"/>
        </w:rPr>
      </w:pPr>
      <w:r w:rsidRPr="001A4070">
        <w:rPr>
          <w:i w:val="0"/>
          <w:iCs w:val="0"/>
          <w:caps w:val="0"/>
        </w:rPr>
        <w:t>ESTUDIO DE CASO</w:t>
      </w:r>
      <w:r w:rsidR="004F6A37" w:rsidRPr="001A4070">
        <w:rPr>
          <w:i w:val="0"/>
          <w:iCs w:val="0"/>
          <w:caps w:val="0"/>
        </w:rPr>
        <w:t xml:space="preserve"> 53</w:t>
      </w:r>
    </w:p>
    <w:p w:rsidR="00404A37" w:rsidRPr="004F6A37" w:rsidRDefault="00404A37" w:rsidP="004F6A37">
      <w:pPr>
        <w:pStyle w:val="Cas"/>
      </w:pPr>
      <w:r w:rsidRPr="004F6A37">
        <w:t>Colombia: Una política amplia de alcance intersectorial</w:t>
      </w:r>
    </w:p>
    <w:p w:rsidR="00404A37" w:rsidRPr="004F6A37" w:rsidRDefault="00404A37" w:rsidP="004F6A37">
      <w:pPr>
        <w:pStyle w:val="Texte1"/>
        <w:ind w:left="851"/>
      </w:pPr>
      <w:r w:rsidRPr="004F6A37">
        <w:t>Como resultado de un proceso iniciado en 2007, Colombia cuenta ahora con un marco normativo y jurídico para la salvagu</w:t>
      </w:r>
      <w:r w:rsidR="004F6A37" w:rsidRPr="004F6A37">
        <w:t>ardia del PCI en su territorio.</w:t>
      </w:r>
    </w:p>
    <w:p w:rsidR="00404A37" w:rsidRPr="004F6A37" w:rsidRDefault="00404A37" w:rsidP="004F6A37">
      <w:pPr>
        <w:pStyle w:val="Heading4"/>
        <w:keepLines w:val="0"/>
        <w:widowControl w:val="0"/>
        <w:tabs>
          <w:tab w:val="clear" w:pos="567"/>
        </w:tabs>
        <w:spacing w:before="480" w:after="240" w:line="300" w:lineRule="exact"/>
        <w:rPr>
          <w:rFonts w:ascii="Arial" w:eastAsia="Times New Roman" w:hAnsi="Arial" w:cs="Arial"/>
          <w:b/>
          <w:bCs/>
          <w:snapToGrid/>
          <w:sz w:val="20"/>
          <w:lang w:eastAsia="en-US"/>
        </w:rPr>
      </w:pPr>
      <w:r w:rsidRPr="004F6A37">
        <w:rPr>
          <w:rFonts w:ascii="Arial" w:eastAsia="Times New Roman" w:hAnsi="Arial" w:cs="Arial"/>
          <w:b/>
          <w:bCs/>
          <w:snapToGrid/>
          <w:sz w:val="20"/>
          <w:lang w:eastAsia="en-US"/>
        </w:rPr>
        <w:t>Una política fundamen</w:t>
      </w:r>
      <w:r w:rsidR="004F6A37" w:rsidRPr="004F6A37">
        <w:rPr>
          <w:rFonts w:ascii="Arial" w:eastAsia="Times New Roman" w:hAnsi="Arial" w:cs="Arial"/>
          <w:b/>
          <w:bCs/>
          <w:snapToGrid/>
          <w:sz w:val="20"/>
          <w:lang w:eastAsia="en-US"/>
        </w:rPr>
        <w:t>tada en la Constitución de 1991</w:t>
      </w:r>
    </w:p>
    <w:p w:rsidR="00E8343F" w:rsidRPr="00B541B3" w:rsidRDefault="00CB1727" w:rsidP="00B541B3">
      <w:pPr>
        <w:pStyle w:val="Texte1"/>
        <w:ind w:left="851"/>
      </w:pPr>
      <w:r w:rsidRPr="00525290">
        <w:rPr>
          <w:lang w:val="fr-FR"/>
        </w:rPr>
        <w:t>En 1991, Colombia ratificó el Convenio núm. 169</w:t>
      </w:r>
      <w:r w:rsidR="00DD36B1" w:rsidRPr="001A4070">
        <w:rPr>
          <w:vertAlign w:val="superscript"/>
        </w:rPr>
        <w:footnoteReference w:id="1"/>
      </w:r>
      <w:r w:rsidRPr="00525290">
        <w:rPr>
          <w:lang w:val="fr-FR"/>
        </w:rPr>
        <w:t xml:space="preserve"> de la Organización Internacional </w:t>
      </w:r>
      <w:r w:rsidR="00DD36B1" w:rsidRPr="00525290">
        <w:rPr>
          <w:lang w:val="fr-FR"/>
        </w:rPr>
        <w:t>del Trabajo (OIT) que promueve “</w:t>
      </w:r>
      <w:r w:rsidRPr="00525290">
        <w:rPr>
          <w:lang w:val="fr-FR"/>
        </w:rPr>
        <w:t>la plena efectividad de los derechos sociales, económicos y culturales de esos pueblos [indígenas o tribales], respetando su identidad social y cultural, sus costumbres y t</w:t>
      </w:r>
      <w:r w:rsidR="00DD36B1" w:rsidRPr="00525290">
        <w:rPr>
          <w:lang w:val="fr-FR"/>
        </w:rPr>
        <w:t>radiciones, y sus instituciones”</w:t>
      </w:r>
      <w:r w:rsidRPr="00525290">
        <w:rPr>
          <w:lang w:val="fr-FR"/>
        </w:rPr>
        <w:t xml:space="preserve"> (artículo 2.2 b)) y establece la necesidad de adoptar medidas especiales para proteger a estos pueblos (artículo 4.1). </w:t>
      </w:r>
      <w:r w:rsidRPr="00B541B3">
        <w:t xml:space="preserve">La Comisión Nacional de Territorios Indígenas (artículo 12 del Decreto 1397 de 8 de agosto de 1996) </w:t>
      </w:r>
      <w:r w:rsidR="00DD36B1" w:rsidRPr="00B541B3">
        <w:t>creó</w:t>
      </w:r>
      <w:r w:rsidRPr="00B541B3">
        <w:t xml:space="preserve"> la Mesa Permanente de Concertación para colaborar con las comunidades indígenas en el desarrollo de medios para proteger los derechos de los pueblos indígenas respecto del acceso a los recursos genéticos, la biodiversidad y la protección de los conocimientos colectivos, la propiedad intelectual y los </w:t>
      </w:r>
      <w:r w:rsidR="004F6A37" w:rsidRPr="00B541B3">
        <w:t>derechos culturales colectivos.</w:t>
      </w:r>
    </w:p>
    <w:p w:rsidR="00443B22" w:rsidRPr="00B541B3" w:rsidRDefault="00E8343F" w:rsidP="00B541B3">
      <w:pPr>
        <w:pStyle w:val="Texte1"/>
        <w:ind w:left="851"/>
      </w:pPr>
      <w:r w:rsidRPr="00B541B3">
        <w:t>En 1991, se promulgó una nueva Constitución. El artículo 70 de la Constitución establec</w:t>
      </w:r>
      <w:r w:rsidR="00DD36B1" w:rsidRPr="00B541B3">
        <w:t xml:space="preserve">e que “[…] </w:t>
      </w:r>
      <w:r w:rsidRPr="00B541B3">
        <w:t>la cultura en sus diversas manifestaciones es fundamento de la nacionalidad. El Estado reconoce la igualdad y dignidad de to</w:t>
      </w:r>
      <w:r w:rsidR="00DD36B1" w:rsidRPr="00B541B3">
        <w:t>das las que conviven en el país”</w:t>
      </w:r>
      <w:r w:rsidRPr="00B541B3">
        <w:t xml:space="preserve"> (Ministerio de Cultura, 2009). Colombia ratificó la Convención para la Salvaguardia del Patrimonio Cultural Inmaterial en 2008 y para entonces el Gobierno ya había empezado a desarrollar una política para la salvaguardia del PCI.</w:t>
      </w:r>
    </w:p>
    <w:p w:rsidR="00404A37" w:rsidRPr="00B541B3" w:rsidRDefault="00404A37" w:rsidP="00B541B3">
      <w:pPr>
        <w:pStyle w:val="Texte1"/>
      </w:pPr>
      <w:r w:rsidRPr="00B541B3">
        <w:t>La política estatal de 2009 relativa a la s</w:t>
      </w:r>
      <w:r w:rsidR="004F6A37" w:rsidRPr="00B541B3">
        <w:t>alvaguardia del PCI señala que:</w:t>
      </w:r>
    </w:p>
    <w:p w:rsidR="00404A37" w:rsidRPr="00B541B3" w:rsidRDefault="00404A37" w:rsidP="00B541B3">
      <w:pPr>
        <w:pStyle w:val="Texte1"/>
        <w:ind w:left="1276"/>
      </w:pPr>
      <w:r w:rsidRPr="00B541B3">
        <w:t>La política de PCI tiene su fundamento primordial en la Constitución Política de Colombia en la cual se establece la obligación del Estado y de los particulares de proteger las riquezas culturales y naturales de la nación, como uno de sus fundamentos, y se consagra el respeto y reconocimiento de la diversidad étnica y cu</w:t>
      </w:r>
      <w:r w:rsidR="00B541B3" w:rsidRPr="00B541B3">
        <w:t>ltural de los colombianos [...]</w:t>
      </w:r>
    </w:p>
    <w:p w:rsidR="00404A37" w:rsidRPr="00525290" w:rsidRDefault="00404A37" w:rsidP="00B541B3">
      <w:pPr>
        <w:pStyle w:val="Texte1"/>
        <w:rPr>
          <w:lang w:val="fr-FR"/>
        </w:rPr>
      </w:pPr>
      <w:r w:rsidRPr="00525290">
        <w:rPr>
          <w:lang w:val="fr-FR"/>
        </w:rPr>
        <w:t>La salvaguardia del PCI se entiende como un medio para alcanzar los objetivos de respeto y promoción de la diversidad cultural consagrados en la Constitución a través de un enfoque basado en los derec</w:t>
      </w:r>
      <w:r w:rsidR="004F6A37" w:rsidRPr="00525290">
        <w:rPr>
          <w:lang w:val="fr-FR"/>
        </w:rPr>
        <w:t>hos humanos.</w:t>
      </w:r>
    </w:p>
    <w:p w:rsidR="00404A37" w:rsidRPr="00525290" w:rsidRDefault="00404A37" w:rsidP="00B541B3">
      <w:pPr>
        <w:pStyle w:val="Heading4"/>
        <w:keepLines w:val="0"/>
        <w:widowControl w:val="0"/>
        <w:tabs>
          <w:tab w:val="clear" w:pos="567"/>
        </w:tabs>
        <w:spacing w:before="480" w:after="240" w:line="300" w:lineRule="exact"/>
        <w:rPr>
          <w:rFonts w:ascii="Arial" w:eastAsia="Times New Roman" w:hAnsi="Arial" w:cs="Arial"/>
          <w:b/>
          <w:bCs/>
          <w:snapToGrid/>
          <w:sz w:val="20"/>
          <w:lang w:val="fr-FR" w:eastAsia="en-US"/>
        </w:rPr>
      </w:pPr>
      <w:r w:rsidRPr="00525290">
        <w:rPr>
          <w:rFonts w:ascii="Arial" w:eastAsia="Times New Roman" w:hAnsi="Arial" w:cs="Arial"/>
          <w:b/>
          <w:bCs/>
          <w:snapToGrid/>
          <w:sz w:val="20"/>
          <w:lang w:val="fr-FR" w:eastAsia="en-US"/>
        </w:rPr>
        <w:t>Un marco para la salvaguardia con participación de la comunidad</w:t>
      </w:r>
    </w:p>
    <w:p w:rsidR="00404A37" w:rsidRPr="00B541B3" w:rsidRDefault="00E8343F" w:rsidP="00B541B3">
      <w:pPr>
        <w:pStyle w:val="Texte1"/>
      </w:pPr>
      <w:r w:rsidRPr="00B541B3">
        <w:t xml:space="preserve">A tenor de la política relativa a la salvaguardia del PCI, se </w:t>
      </w:r>
      <w:r w:rsidR="00C036CB" w:rsidRPr="00B541B3">
        <w:t>elaboran</w:t>
      </w:r>
      <w:r w:rsidRPr="00B541B3">
        <w:t xml:space="preserve"> listas en el plano nacional y departamental, así como a nivel de los municipios y los distritos, o en función de los grupos étnicos. Estas listas, que se </w:t>
      </w:r>
      <w:r w:rsidR="00C036CB" w:rsidRPr="00B541B3">
        <w:t>elaboran</w:t>
      </w:r>
      <w:r w:rsidRPr="00B541B3">
        <w:t xml:space="preserve"> con el consentimiento de las comunidades interesadas, se consideran instrumentos de cooperación entre las autoridades públicas competentes y las comunidades interesadas y sirven para la implementación de un plan de salvaguardia especial para cada elemento del PCI.</w:t>
      </w:r>
    </w:p>
    <w:p w:rsidR="00404A37" w:rsidRPr="00B541B3" w:rsidRDefault="00404A37" w:rsidP="00B541B3">
      <w:pPr>
        <w:pStyle w:val="Texte1"/>
      </w:pPr>
      <w:r w:rsidRPr="00B541B3">
        <w:t xml:space="preserve">El plan de salvaguardia debe incluir, entre otras cosas, </w:t>
      </w:r>
      <w:r w:rsidR="00C036CB" w:rsidRPr="00B541B3">
        <w:t>métodos de</w:t>
      </w:r>
      <w:r w:rsidRPr="00B541B3">
        <w:t xml:space="preserve"> identificación del elemento, medidas de salvaguardia para velar por su viabilidad, mecanismos para la consulta y </w:t>
      </w:r>
      <w:r w:rsidRPr="00B541B3">
        <w:lastRenderedPageBreak/>
        <w:t xml:space="preserve">participación de las comunidades, una </w:t>
      </w:r>
      <w:r w:rsidR="00C036CB" w:rsidRPr="00B541B3">
        <w:t>regulación</w:t>
      </w:r>
      <w:r w:rsidRPr="00B541B3">
        <w:t xml:space="preserve"> sobre el acceso al elemento y un presupuesto</w:t>
      </w:r>
      <w:r w:rsidR="004F6A37" w:rsidRPr="00B541B3">
        <w:t xml:space="preserve"> (Ministerio de Cultura, 2009).</w:t>
      </w:r>
    </w:p>
    <w:p w:rsidR="00404A37" w:rsidRPr="00B541B3" w:rsidRDefault="00B0277D" w:rsidP="00B541B3">
      <w:pPr>
        <w:pStyle w:val="Heading4"/>
        <w:keepLines w:val="0"/>
        <w:widowControl w:val="0"/>
        <w:tabs>
          <w:tab w:val="clear" w:pos="567"/>
        </w:tabs>
        <w:spacing w:before="480" w:after="240" w:line="300" w:lineRule="exact"/>
        <w:rPr>
          <w:rFonts w:ascii="Arial" w:eastAsia="Times New Roman" w:hAnsi="Arial" w:cs="Arial"/>
          <w:b/>
          <w:bCs/>
          <w:snapToGrid/>
          <w:sz w:val="20"/>
          <w:lang w:eastAsia="en-US"/>
        </w:rPr>
      </w:pPr>
      <w:r w:rsidRPr="00B541B3">
        <w:rPr>
          <w:rFonts w:ascii="Arial" w:eastAsia="Times New Roman" w:hAnsi="Arial" w:cs="Arial"/>
          <w:b/>
          <w:bCs/>
          <w:snapToGrid/>
          <w:sz w:val="20"/>
          <w:lang w:eastAsia="en-US"/>
        </w:rPr>
        <w:t xml:space="preserve">UN </w:t>
      </w:r>
      <w:r w:rsidR="00B541B3" w:rsidRPr="00B541B3">
        <w:rPr>
          <w:rFonts w:ascii="Arial" w:eastAsia="Times New Roman" w:hAnsi="Arial" w:cs="Arial"/>
          <w:b/>
          <w:bCs/>
          <w:snapToGrid/>
          <w:sz w:val="20"/>
          <w:lang w:eastAsia="en-US"/>
        </w:rPr>
        <w:t>enfoque intersectorial</w:t>
      </w:r>
    </w:p>
    <w:p w:rsidR="00404A37" w:rsidRPr="00B541B3" w:rsidRDefault="00443B22" w:rsidP="00B541B3">
      <w:pPr>
        <w:pStyle w:val="Texte1"/>
      </w:pPr>
      <w:r w:rsidRPr="00B541B3">
        <w:t xml:space="preserve">La política colombiana relativa a la salvaguardia del PCI adopta un enfoque intersectorial debido a la clara relación que </w:t>
      </w:r>
      <w:r w:rsidR="00C036CB" w:rsidRPr="00B541B3">
        <w:t>existe</w:t>
      </w:r>
      <w:r w:rsidRPr="00B541B3">
        <w:t xml:space="preserve"> entre el PCI y el desarrollo sostenible. Si bien </w:t>
      </w:r>
      <w:r w:rsidR="00C036CB" w:rsidRPr="00B541B3">
        <w:t xml:space="preserve">se </w:t>
      </w:r>
      <w:r w:rsidRPr="00B541B3">
        <w:t>reco</w:t>
      </w:r>
      <w:r w:rsidR="00C036CB" w:rsidRPr="00B541B3">
        <w:t>noce que este patrimonio es un “factor estratégico”</w:t>
      </w:r>
      <w:r w:rsidRPr="00B541B3">
        <w:t xml:space="preserve"> para el desarrollo sostenible, también </w:t>
      </w:r>
      <w:r w:rsidR="00C036CB" w:rsidRPr="00B541B3">
        <w:t xml:space="preserve">se </w:t>
      </w:r>
      <w:r w:rsidRPr="00B541B3">
        <w:t xml:space="preserve">busca mitigar o prevenir las consecuencias negativas del desarrollo económico sobre el PCI. La cooperación intersectorial </w:t>
      </w:r>
      <w:r w:rsidR="00C036CB" w:rsidRPr="00B541B3">
        <w:t>se considera</w:t>
      </w:r>
      <w:r w:rsidRPr="00B541B3">
        <w:t xml:space="preserve"> una herramienta para tal mitigación y prevención</w:t>
      </w:r>
      <w:r w:rsidR="004F6A37" w:rsidRPr="00B541B3">
        <w:t xml:space="preserve"> (Ministerio de Cultura, 2009).</w:t>
      </w:r>
    </w:p>
    <w:p w:rsidR="00506958" w:rsidRPr="00525290" w:rsidRDefault="00404A37" w:rsidP="00B541B3">
      <w:pPr>
        <w:pStyle w:val="Texte1"/>
        <w:rPr>
          <w:lang w:val="fr-FR"/>
        </w:rPr>
      </w:pPr>
      <w:r w:rsidRPr="00525290">
        <w:rPr>
          <w:lang w:val="fr-FR"/>
        </w:rPr>
        <w:t>El documento normativo defiende el papel de otros sectores, diferentes al de la cultura, en la salvaguardia del PCI y define claramente el papel de varios organismos estatales en relación</w:t>
      </w:r>
      <w:r w:rsidR="00506958" w:rsidRPr="00525290">
        <w:rPr>
          <w:lang w:val="fr-FR"/>
        </w:rPr>
        <w:t xml:space="preserve"> con distintos ámbitos del PCI.</w:t>
      </w:r>
    </w:p>
    <w:p w:rsidR="00506958" w:rsidRPr="00525290" w:rsidRDefault="00404A37" w:rsidP="003D5F7E">
      <w:pPr>
        <w:pStyle w:val="Texte1"/>
        <w:numPr>
          <w:ilvl w:val="0"/>
          <w:numId w:val="7"/>
        </w:numPr>
        <w:rPr>
          <w:lang w:val="fr-FR"/>
        </w:rPr>
      </w:pPr>
      <w:r w:rsidRPr="00525290">
        <w:rPr>
          <w:lang w:val="fr-FR"/>
        </w:rPr>
        <w:t xml:space="preserve">La </w:t>
      </w:r>
      <w:r w:rsidRPr="00525290">
        <w:rPr>
          <w:b/>
          <w:bCs/>
          <w:lang w:val="fr-FR"/>
        </w:rPr>
        <w:t xml:space="preserve">Dirección de Patrimonio del Ministerio de Cultura </w:t>
      </w:r>
      <w:r w:rsidRPr="00525290">
        <w:rPr>
          <w:lang w:val="fr-FR"/>
        </w:rPr>
        <w:t>y su Grupo de Patrimonio Cultural Inmaterial desempeñan un papel rector en la facilitación de la c</w:t>
      </w:r>
      <w:r w:rsidR="00506958" w:rsidRPr="00525290">
        <w:rPr>
          <w:lang w:val="fr-FR"/>
        </w:rPr>
        <w:t>oordinación interinstitucional.</w:t>
      </w:r>
    </w:p>
    <w:p w:rsidR="00506958" w:rsidRPr="00525290" w:rsidRDefault="00404A37" w:rsidP="003D5F7E">
      <w:pPr>
        <w:pStyle w:val="Texte1"/>
        <w:numPr>
          <w:ilvl w:val="0"/>
          <w:numId w:val="7"/>
        </w:numPr>
        <w:rPr>
          <w:lang w:val="fr-FR"/>
        </w:rPr>
      </w:pPr>
      <w:r w:rsidRPr="00525290">
        <w:rPr>
          <w:lang w:val="fr-FR"/>
        </w:rPr>
        <w:t xml:space="preserve">El </w:t>
      </w:r>
      <w:r w:rsidRPr="00525290">
        <w:rPr>
          <w:b/>
          <w:bCs/>
          <w:lang w:val="fr-FR"/>
        </w:rPr>
        <w:t>Ministerio de Ambiente y Desarrollo Sostenible</w:t>
      </w:r>
      <w:r w:rsidRPr="00525290">
        <w:rPr>
          <w:lang w:val="fr-FR"/>
        </w:rPr>
        <w:t xml:space="preserve"> es responsable de los conocimientos tradicion</w:t>
      </w:r>
      <w:r w:rsidR="00C036CB" w:rsidRPr="00525290">
        <w:rPr>
          <w:lang w:val="fr-FR"/>
        </w:rPr>
        <w:t xml:space="preserve">ales asociados con los recursos biológicos, en lo referente al </w:t>
      </w:r>
      <w:r w:rsidRPr="00525290">
        <w:rPr>
          <w:lang w:val="fr-FR"/>
        </w:rPr>
        <w:t>Convenio</w:t>
      </w:r>
      <w:r w:rsidR="00506958" w:rsidRPr="00525290">
        <w:rPr>
          <w:lang w:val="fr-FR"/>
        </w:rPr>
        <w:t xml:space="preserve"> sobre la Diversidad Biológica.</w:t>
      </w:r>
    </w:p>
    <w:p w:rsidR="003D5F7E" w:rsidRPr="00525290" w:rsidRDefault="00404A37" w:rsidP="003D5F7E">
      <w:pPr>
        <w:pStyle w:val="Texte1"/>
        <w:numPr>
          <w:ilvl w:val="0"/>
          <w:numId w:val="7"/>
        </w:numPr>
        <w:rPr>
          <w:lang w:val="fr-FR"/>
        </w:rPr>
      </w:pPr>
      <w:r w:rsidRPr="00525290">
        <w:rPr>
          <w:lang w:val="fr-FR"/>
        </w:rPr>
        <w:t xml:space="preserve">El </w:t>
      </w:r>
      <w:r w:rsidRPr="00525290">
        <w:rPr>
          <w:b/>
          <w:bCs/>
          <w:lang w:val="fr-FR"/>
        </w:rPr>
        <w:t>Ministerio de Comercio, Industria y Turismo</w:t>
      </w:r>
      <w:r w:rsidRPr="00525290">
        <w:rPr>
          <w:lang w:val="fr-FR"/>
        </w:rPr>
        <w:t xml:space="preserve"> se encarga de </w:t>
      </w:r>
      <w:r w:rsidR="00C036CB" w:rsidRPr="00525290">
        <w:rPr>
          <w:lang w:val="fr-FR"/>
        </w:rPr>
        <w:t xml:space="preserve">los </w:t>
      </w:r>
      <w:r w:rsidRPr="00525290">
        <w:rPr>
          <w:lang w:val="fr-FR"/>
        </w:rPr>
        <w:t>aspectos relativos a la propiedad intelectual y a elementos del PCI relacionados con las artesaní</w:t>
      </w:r>
      <w:r w:rsidR="003D5F7E" w:rsidRPr="00525290">
        <w:rPr>
          <w:lang w:val="fr-FR"/>
        </w:rPr>
        <w:t>as y otros procesos productivos.</w:t>
      </w:r>
    </w:p>
    <w:p w:rsidR="003D5F7E" w:rsidRPr="00525290" w:rsidRDefault="003D5F7E" w:rsidP="003D5F7E">
      <w:pPr>
        <w:pStyle w:val="Texte1"/>
        <w:numPr>
          <w:ilvl w:val="0"/>
          <w:numId w:val="7"/>
        </w:numPr>
        <w:rPr>
          <w:lang w:val="fr-FR"/>
        </w:rPr>
      </w:pPr>
      <w:r w:rsidRPr="00525290">
        <w:rPr>
          <w:lang w:val="fr-FR"/>
        </w:rPr>
        <w:t>E</w:t>
      </w:r>
      <w:r w:rsidR="00404A37" w:rsidRPr="00525290">
        <w:rPr>
          <w:lang w:val="fr-FR"/>
        </w:rPr>
        <w:t xml:space="preserve">l </w:t>
      </w:r>
      <w:r w:rsidR="00404A37" w:rsidRPr="00525290">
        <w:rPr>
          <w:b/>
          <w:bCs/>
          <w:lang w:val="fr-FR"/>
        </w:rPr>
        <w:t>Ministerio de Agricultura</w:t>
      </w:r>
      <w:r w:rsidR="00404A37" w:rsidRPr="00525290">
        <w:rPr>
          <w:lang w:val="fr-FR"/>
        </w:rPr>
        <w:t xml:space="preserve"> es responsable de los derechos de los campesinos y de los elementos del PCI relacionados con las actividades</w:t>
      </w:r>
      <w:r w:rsidRPr="00525290">
        <w:rPr>
          <w:lang w:val="fr-FR"/>
        </w:rPr>
        <w:t xml:space="preserve"> agrarias y ganaderas.</w:t>
      </w:r>
    </w:p>
    <w:p w:rsidR="00404A37" w:rsidRPr="00525290" w:rsidRDefault="003D5F7E" w:rsidP="003D5F7E">
      <w:pPr>
        <w:pStyle w:val="Texte1"/>
        <w:numPr>
          <w:ilvl w:val="0"/>
          <w:numId w:val="7"/>
        </w:numPr>
        <w:rPr>
          <w:lang w:val="fr-FR"/>
        </w:rPr>
      </w:pPr>
      <w:r w:rsidRPr="00525290">
        <w:rPr>
          <w:lang w:val="fr-FR"/>
        </w:rPr>
        <w:t>E</w:t>
      </w:r>
      <w:r w:rsidR="00404A37" w:rsidRPr="00525290">
        <w:rPr>
          <w:lang w:val="fr-FR"/>
        </w:rPr>
        <w:t xml:space="preserve">l </w:t>
      </w:r>
      <w:r w:rsidR="00404A37" w:rsidRPr="00525290">
        <w:rPr>
          <w:b/>
          <w:bCs/>
          <w:lang w:val="fr-FR"/>
        </w:rPr>
        <w:t>Ministerio de Salud y Protección Social</w:t>
      </w:r>
      <w:r w:rsidR="00404A37" w:rsidRPr="00525290">
        <w:rPr>
          <w:lang w:val="fr-FR"/>
        </w:rPr>
        <w:t xml:space="preserve"> se ocupa, entre otras cos</w:t>
      </w:r>
      <w:r w:rsidR="004F6A37" w:rsidRPr="00525290">
        <w:rPr>
          <w:lang w:val="fr-FR"/>
        </w:rPr>
        <w:t>as, de la medicina tradicional.</w:t>
      </w:r>
    </w:p>
    <w:p w:rsidR="00404A37" w:rsidRPr="00B541B3" w:rsidRDefault="00C036CB" w:rsidP="00B541B3">
      <w:pPr>
        <w:pStyle w:val="Texte1"/>
      </w:pPr>
      <w:r w:rsidRPr="00525290">
        <w:rPr>
          <w:lang w:val="fr-FR"/>
        </w:rPr>
        <w:t>L</w:t>
      </w:r>
      <w:r w:rsidR="005201C3" w:rsidRPr="00525290">
        <w:rPr>
          <w:lang w:val="fr-FR"/>
        </w:rPr>
        <w:t xml:space="preserve">a cooperación intersectorial ha </w:t>
      </w:r>
      <w:r w:rsidRPr="00525290">
        <w:rPr>
          <w:lang w:val="fr-FR"/>
        </w:rPr>
        <w:t>cosechado éxitos en la práctica</w:t>
      </w:r>
      <w:r w:rsidR="005201C3" w:rsidRPr="00525290">
        <w:rPr>
          <w:lang w:val="fr-FR"/>
        </w:rPr>
        <w:t xml:space="preserve"> mediante iniciativas específicas como la política para el conocimiento, la salvaguardia y el fomento de la alimentación y las cocinas tradicionales de Colombia adoptada en 2012. </w:t>
      </w:r>
      <w:r w:rsidR="005201C3" w:rsidRPr="00B541B3">
        <w:t xml:space="preserve">Esta política, en particular en lo que respecta a ámbitos específicos del PCI, </w:t>
      </w:r>
      <w:r w:rsidRPr="00B541B3">
        <w:t>se ha diseñado a través de una “mesa redonda intersectorial”</w:t>
      </w:r>
      <w:r w:rsidR="005201C3" w:rsidRPr="00B541B3">
        <w:t xml:space="preserve"> en la que participaron instituciones de las esferas de la salud, el turismo y la educación, reunidas con el objetivo común de desarrollar una estrategia holística desde la perspectiva de los portadores de las tradiciones </w:t>
      </w:r>
      <w:r w:rsidR="004F6A37" w:rsidRPr="00B541B3">
        <w:t>(Ministerio de Cultura, 2014).</w:t>
      </w:r>
    </w:p>
    <w:p w:rsidR="00404A37" w:rsidRPr="00B541B3" w:rsidRDefault="00B0277D" w:rsidP="00B541B3">
      <w:pPr>
        <w:pStyle w:val="Heading4"/>
        <w:keepLines w:val="0"/>
        <w:widowControl w:val="0"/>
        <w:tabs>
          <w:tab w:val="clear" w:pos="567"/>
        </w:tabs>
        <w:spacing w:before="480" w:after="240" w:line="300" w:lineRule="exact"/>
        <w:rPr>
          <w:rFonts w:ascii="Arial" w:eastAsia="Times New Roman" w:hAnsi="Arial" w:cs="Arial"/>
          <w:b/>
          <w:bCs/>
          <w:snapToGrid/>
          <w:sz w:val="20"/>
          <w:lang w:eastAsia="en-US"/>
        </w:rPr>
      </w:pPr>
      <w:r w:rsidRPr="00B541B3">
        <w:rPr>
          <w:rFonts w:ascii="Arial" w:eastAsia="Times New Roman" w:hAnsi="Arial" w:cs="Arial"/>
          <w:b/>
          <w:bCs/>
          <w:snapToGrid/>
          <w:sz w:val="20"/>
          <w:lang w:eastAsia="en-US"/>
        </w:rPr>
        <w:t xml:space="preserve">LA </w:t>
      </w:r>
      <w:r w:rsidR="00404A37" w:rsidRPr="00B541B3">
        <w:rPr>
          <w:rFonts w:ascii="Arial" w:eastAsia="Times New Roman" w:hAnsi="Arial" w:cs="Arial"/>
          <w:b/>
          <w:bCs/>
          <w:snapToGrid/>
          <w:sz w:val="20"/>
          <w:lang w:eastAsia="en-US"/>
        </w:rPr>
        <w:t>Protección de la propiedad intelectual</w:t>
      </w:r>
    </w:p>
    <w:p w:rsidR="00404A37" w:rsidRPr="00B541B3" w:rsidRDefault="00404A37" w:rsidP="00B541B3">
      <w:pPr>
        <w:pStyle w:val="Texte1"/>
      </w:pPr>
      <w:r w:rsidRPr="00B541B3">
        <w:t>En consonancia con las Directrices Operativas de la Convención, la política de Colombia ha intentado abordar los desafíos que entrañan los derechos de propieda</w:t>
      </w:r>
      <w:r w:rsidR="004F6A37" w:rsidRPr="00B541B3">
        <w:t>d intelectual respecto del PCI:</w:t>
      </w:r>
    </w:p>
    <w:p w:rsidR="00404A37" w:rsidRPr="00B541B3" w:rsidRDefault="00404A37" w:rsidP="00B541B3">
      <w:pPr>
        <w:pStyle w:val="Texte1"/>
        <w:ind w:left="1276"/>
      </w:pPr>
      <w:r w:rsidRPr="00B541B3">
        <w:t xml:space="preserve">El Ministerio de Cultura, en el marco del Documento Conpes 3.533 de 2008, velará por que los conocimientos, prácticas, tecnologías e innovaciones, que las   colectividades y comunidades han desarrollado a partir de las manifestaciones   de su patrimonio colectivo de cultura inmaterial, sean debidamente protegidos   mediante un régimen sui generis, en el que los derechos de autoría colectiva de las creaciones relacionadas con el PCI se consideren de carácter inalienable, se protejan las manifestaciones de la “piratería cultural”, </w:t>
      </w:r>
      <w:r w:rsidRPr="00B541B3">
        <w:lastRenderedPageBreak/>
        <w:t>y se garantice que las   comunidades o colectividades obtengan beneficios de su PCI. Las razones principales del régimen sui generis surgen del carácter colectivo del PCI</w:t>
      </w:r>
      <w:r w:rsidR="00B541B3">
        <w:t>. (Ministerio de Cultura, 2009)</w:t>
      </w:r>
    </w:p>
    <w:p w:rsidR="009704ED" w:rsidRPr="00B541B3" w:rsidRDefault="005201C3" w:rsidP="00B541B3">
      <w:pPr>
        <w:pStyle w:val="Texte1"/>
      </w:pPr>
      <w:r w:rsidRPr="00B541B3">
        <w:t xml:space="preserve">La aplicación de derechos colectivos de propiedad intelectual es un tema de debate actual que </w:t>
      </w:r>
      <w:r w:rsidR="00EF47CC" w:rsidRPr="00B541B3">
        <w:t>tar</w:t>
      </w:r>
      <w:r w:rsidRPr="00B541B3">
        <w:t>dará en concretarse vista la ausencia de un marco jurídico internacional claramente definido en este ámbito. El Ministerio de Cultura observa que, en la práctica, las listas del PCI confeccionadas a nivel nacional y local han funcionado como un sistema de registro público, protegiendo el PCI de usos inadecuados y evitando que terceras partes reclamen derechos de propiedad intelectual sobre</w:t>
      </w:r>
      <w:r w:rsidR="004F6A37" w:rsidRPr="00B541B3">
        <w:t xml:space="preserve"> él (Sánchez y Restrepo, 2014).</w:t>
      </w:r>
    </w:p>
    <w:p w:rsidR="001D6D59" w:rsidRPr="00B541B3" w:rsidRDefault="001D6D59" w:rsidP="00B541B3">
      <w:pPr>
        <w:pStyle w:val="Texte1"/>
      </w:pPr>
      <w:r w:rsidRPr="00B541B3">
        <w:t>En Colombia, algunos productos relacionados con el PCI están protegidos mediante el régimen jurídico de protección de la propiedad intelectual que rige en los países de la Comunidad Andina (en virtud de la Decisión 486 de la Comisión de la Comunidad Andina). El artículo 136 g) de la Decisión 486 establece que no podrán registrarse c</w:t>
      </w:r>
      <w:r w:rsidR="00EF47CC" w:rsidRPr="00B541B3">
        <w:t>omo marcas aquellos signos que “</w:t>
      </w:r>
      <w:r w:rsidRPr="00B541B3">
        <w:t>consistan en el nombre de las comunidades indígenas, afroamericanas o locales</w:t>
      </w:r>
      <w:r w:rsidR="00EF47CC" w:rsidRPr="00B541B3">
        <w:t>”</w:t>
      </w:r>
      <w:r w:rsidRPr="00B541B3">
        <w:t xml:space="preserve"> o </w:t>
      </w:r>
      <w:r w:rsidR="00EF47CC" w:rsidRPr="00B541B3">
        <w:t>“</w:t>
      </w:r>
      <w:r w:rsidRPr="00B541B3">
        <w:t>constituyan la expresión de su cultura o práctica, salvo que la solicitud sea presentada por la propia comunidad o con su consentimiento</w:t>
      </w:r>
      <w:r w:rsidR="00EF47CC" w:rsidRPr="00B541B3">
        <w:t xml:space="preserve"> expreso”</w:t>
      </w:r>
      <w:r w:rsidRPr="00B541B3">
        <w:t>. Colombia aplicó esta normativa al re</w:t>
      </w:r>
      <w:r w:rsidR="00EF47CC" w:rsidRPr="00B541B3">
        <w:t>chazar el registro de la marca “tairona”</w:t>
      </w:r>
      <w:r w:rsidRPr="00B541B3">
        <w:t xml:space="preserve"> por tratarse del nombre de una comunidad indígena que habitaba el territorio colombiano y de una expresión de su cultura y porque, en este caso, la solicitud no había sido presentada por la propia comunidad.</w:t>
      </w:r>
      <w:r w:rsidR="00EF47CC" w:rsidRPr="00B541B3">
        <w:rPr>
          <w:vertAlign w:val="superscript"/>
        </w:rPr>
        <w:footnoteReference w:id="2"/>
      </w:r>
    </w:p>
    <w:p w:rsidR="00404A37" w:rsidRPr="00B541B3" w:rsidRDefault="00404A37" w:rsidP="00B541B3">
      <w:pPr>
        <w:pStyle w:val="Heading4"/>
        <w:keepLines w:val="0"/>
        <w:widowControl w:val="0"/>
        <w:tabs>
          <w:tab w:val="clear" w:pos="567"/>
        </w:tabs>
        <w:spacing w:before="480" w:after="240" w:line="300" w:lineRule="exact"/>
        <w:rPr>
          <w:rFonts w:ascii="Arial" w:eastAsia="Times New Roman" w:hAnsi="Arial" w:cs="Arial"/>
          <w:b/>
          <w:bCs/>
          <w:snapToGrid/>
          <w:sz w:val="20"/>
          <w:lang w:eastAsia="en-US"/>
        </w:rPr>
      </w:pPr>
      <w:r w:rsidRPr="00B541B3">
        <w:rPr>
          <w:rFonts w:ascii="Arial" w:eastAsia="Times New Roman" w:hAnsi="Arial" w:cs="Arial"/>
          <w:b/>
          <w:bCs/>
          <w:snapToGrid/>
          <w:sz w:val="20"/>
          <w:lang w:eastAsia="en-US"/>
        </w:rPr>
        <w:t>Un mecanismo de financiación</w:t>
      </w:r>
      <w:r w:rsidR="00B0277D" w:rsidRPr="00B541B3">
        <w:rPr>
          <w:rFonts w:ascii="Arial" w:eastAsia="Times New Roman" w:hAnsi="Arial" w:cs="Arial"/>
          <w:b/>
          <w:bCs/>
          <w:snapToGrid/>
          <w:sz w:val="20"/>
          <w:lang w:eastAsia="en-US"/>
        </w:rPr>
        <w:t xml:space="preserve"> novedoso</w:t>
      </w:r>
    </w:p>
    <w:p w:rsidR="00404A37" w:rsidRPr="00B541B3" w:rsidRDefault="00404A37" w:rsidP="00B541B3">
      <w:pPr>
        <w:pStyle w:val="Texte1"/>
      </w:pPr>
      <w:r w:rsidRPr="00B541B3">
        <w:t>A fin de movilizar los recurs</w:t>
      </w:r>
      <w:r w:rsidR="00610955" w:rsidRPr="00B541B3">
        <w:t>os necesarios para implementar su</w:t>
      </w:r>
      <w:r w:rsidRPr="00B541B3">
        <w:t xml:space="preserve"> ambiciosa política relativa a la salvaguardia del PCI, Colombia se ha beneficiado de un novedoso mecanismo de financiación: un impuesto de telefonía móvil para financiar la política cultural. A través de este impuesto, se han recaudado aproximadamente 25 millones de pesos colombianos al año (alrededor de 14.000 dólares estadounidenses), una suma que gestionan los gobiernos locales y sus correspondientes instituciones culturales (Sánchez y Restrepo, 2014</w:t>
      </w:r>
      <w:r w:rsidR="004F6A37" w:rsidRPr="00B541B3">
        <w:t>; Ministerio de Cultura, 2014).</w:t>
      </w:r>
    </w:p>
    <w:p w:rsidR="00404A37" w:rsidRPr="00B541B3" w:rsidRDefault="00404A37" w:rsidP="00B541B3">
      <w:pPr>
        <w:pStyle w:val="Texte1"/>
      </w:pPr>
      <w:r w:rsidRPr="00B541B3">
        <w:t>Colombia también ha establecido incentivos económicos para financiar la salvaguardia del PCI. Las personas o instituciones que contribuy</w:t>
      </w:r>
      <w:r w:rsidR="00610955" w:rsidRPr="00B541B3">
        <w:t>en a los “</w:t>
      </w:r>
      <w:r w:rsidRPr="00B541B3">
        <w:t>Planes Especiales de Salvaguardia</w:t>
      </w:r>
      <w:r w:rsidR="00610955" w:rsidRPr="00B541B3">
        <w:t>”</w:t>
      </w:r>
      <w:r w:rsidRPr="00B541B3">
        <w:t xml:space="preserve"> </w:t>
      </w:r>
      <w:r w:rsidR="00610955" w:rsidRPr="00B541B3">
        <w:t>de</w:t>
      </w:r>
      <w:r w:rsidRPr="00B541B3">
        <w:t xml:space="preserve"> los elementos del PCI que figuran en las listas pueden beneficiarse de deducciones tributarias (Ministerio de Cultura, 2009).</w:t>
      </w:r>
    </w:p>
    <w:p w:rsidR="0055356A" w:rsidRPr="00B541B3" w:rsidRDefault="0055356A" w:rsidP="00B541B3">
      <w:pPr>
        <w:pStyle w:val="Heading4"/>
        <w:keepLines w:val="0"/>
        <w:widowControl w:val="0"/>
        <w:tabs>
          <w:tab w:val="clear" w:pos="567"/>
        </w:tabs>
        <w:spacing w:before="480" w:after="240" w:line="300" w:lineRule="exact"/>
        <w:rPr>
          <w:rFonts w:ascii="Arial" w:eastAsia="Times New Roman" w:hAnsi="Arial" w:cs="Arial"/>
          <w:b/>
          <w:bCs/>
          <w:snapToGrid/>
          <w:sz w:val="20"/>
          <w:lang w:eastAsia="en-US"/>
        </w:rPr>
      </w:pPr>
      <w:r w:rsidRPr="00B541B3">
        <w:rPr>
          <w:rFonts w:ascii="Arial" w:eastAsia="Times New Roman" w:hAnsi="Arial" w:cs="Arial"/>
          <w:b/>
          <w:bCs/>
          <w:snapToGrid/>
          <w:sz w:val="20"/>
          <w:lang w:eastAsia="en-US"/>
        </w:rPr>
        <w:t>Recursos e información adicional</w:t>
      </w:r>
    </w:p>
    <w:p w:rsidR="0055356A" w:rsidRPr="00B541B3" w:rsidRDefault="0055356A" w:rsidP="00B541B3">
      <w:pPr>
        <w:pStyle w:val="Texte1"/>
        <w:numPr>
          <w:ilvl w:val="0"/>
          <w:numId w:val="6"/>
        </w:numPr>
        <w:jc w:val="left"/>
      </w:pPr>
      <w:r w:rsidRPr="00B541B3">
        <w:t>Centro Regional para la Salvag</w:t>
      </w:r>
      <w:bookmarkStart w:id="0" w:name="_GoBack"/>
      <w:bookmarkEnd w:id="0"/>
      <w:r w:rsidRPr="00B541B3">
        <w:t xml:space="preserve">uardia del Patrimonio Cultural Inmaterial de América Latina (CRESPIAL). 2010. </w:t>
      </w:r>
      <w:r w:rsidR="00880C33" w:rsidRPr="00B541B3">
        <w:t>“</w:t>
      </w:r>
      <w:r w:rsidRPr="00B541B3">
        <w:t>Experiencias y políticas de salvaguardia del patrimonio inmaterial en América Latina</w:t>
      </w:r>
      <w:r w:rsidR="00880C33" w:rsidRPr="00B541B3">
        <w:t>”</w:t>
      </w:r>
      <w:r w:rsidRPr="00B541B3">
        <w:t xml:space="preserve">. Disponible en: </w:t>
      </w:r>
      <w:hyperlink r:id="rId8" w:history="1">
        <w:r w:rsidRPr="00B541B3">
          <w:t>http://archivo.iep.pe/textos/DDT/experienciasypoliticas.pdf</w:t>
        </w:r>
      </w:hyperlink>
    </w:p>
    <w:p w:rsidR="0055356A" w:rsidRPr="00B541B3" w:rsidRDefault="0055356A" w:rsidP="00B541B3">
      <w:pPr>
        <w:pStyle w:val="Texte1"/>
        <w:numPr>
          <w:ilvl w:val="0"/>
          <w:numId w:val="6"/>
        </w:numPr>
        <w:jc w:val="left"/>
      </w:pPr>
      <w:r w:rsidRPr="00525290">
        <w:rPr>
          <w:lang w:val="fr-FR"/>
        </w:rPr>
        <w:t xml:space="preserve">Entrevista con Enrique Sánchez e Isabel Cristina Restrepo Erasao, Dirección de Patrimonio, Ministerio de Cultura de Colombia. </w:t>
      </w:r>
      <w:r w:rsidRPr="00B541B3">
        <w:t>Realizada p</w:t>
      </w:r>
      <w:r w:rsidR="004F6A37" w:rsidRPr="00B541B3">
        <w:t>or Skype el 2 de julio de 2014.</w:t>
      </w:r>
    </w:p>
    <w:p w:rsidR="0055356A" w:rsidRPr="00B541B3" w:rsidRDefault="0055356A" w:rsidP="00B541B3">
      <w:pPr>
        <w:pStyle w:val="Texte1"/>
        <w:numPr>
          <w:ilvl w:val="0"/>
          <w:numId w:val="6"/>
        </w:numPr>
        <w:jc w:val="left"/>
      </w:pPr>
      <w:r w:rsidRPr="00B541B3">
        <w:t xml:space="preserve">Ministerio de Cultura. 2009. </w:t>
      </w:r>
      <w:r w:rsidR="00880C33" w:rsidRPr="00B541B3">
        <w:t>“</w:t>
      </w:r>
      <w:r w:rsidRPr="00B541B3">
        <w:t>Política de salvaguardia del patrimonio cultural inmaterial</w:t>
      </w:r>
      <w:r w:rsidR="00880C33" w:rsidRPr="00B541B3">
        <w:t>”</w:t>
      </w:r>
      <w:r w:rsidRPr="00B541B3">
        <w:t xml:space="preserve">. Disponible en:  </w:t>
      </w:r>
      <w:hyperlink r:id="rId9" w:history="1">
        <w:r w:rsidRPr="00B541B3">
          <w:t>http://www.mincultura.gov.co/ministerio/politicas-culturales/salvaguardia-</w:t>
        </w:r>
        <w:r w:rsidRPr="00B541B3">
          <w:lastRenderedPageBreak/>
          <w:t>patrimonio-cultural-inmaterial/Documents/03_politica_salvaguardia_patrimonio_cultural_inmaterial.pdf</w:t>
        </w:r>
      </w:hyperlink>
    </w:p>
    <w:p w:rsidR="0055356A" w:rsidRPr="00B541B3" w:rsidRDefault="0055356A" w:rsidP="00B541B3">
      <w:pPr>
        <w:pStyle w:val="Texte1"/>
        <w:numPr>
          <w:ilvl w:val="0"/>
          <w:numId w:val="6"/>
        </w:numPr>
      </w:pPr>
      <w:r w:rsidRPr="00B541B3">
        <w:t xml:space="preserve">Ministerio de Cultura. 2014. </w:t>
      </w:r>
      <w:r w:rsidR="00880C33" w:rsidRPr="00B541B3">
        <w:t>“</w:t>
      </w:r>
      <w:r w:rsidRPr="00B541B3">
        <w:t>Balance del Programa de Salvaguardia del Patrimonio Cultural de Naturaleza Inmaterial</w:t>
      </w:r>
      <w:r w:rsidR="00880C33" w:rsidRPr="00B541B3">
        <w:t>”</w:t>
      </w:r>
      <w:r w:rsidR="00B541B3">
        <w:t xml:space="preserve">. </w:t>
      </w:r>
      <w:r w:rsidRPr="00B541B3">
        <w:t>Documento de trabajo preparado por la Fundación Erigaie.</w:t>
      </w:r>
    </w:p>
    <w:sectPr w:rsidR="0055356A" w:rsidRPr="00B541B3" w:rsidSect="001A407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F7F" w:rsidRDefault="00C11F7F" w:rsidP="00A12E73">
      <w:pPr>
        <w:spacing w:before="0" w:after="0"/>
      </w:pPr>
      <w:r>
        <w:separator/>
      </w:r>
    </w:p>
  </w:endnote>
  <w:endnote w:type="continuationSeparator" w:id="0">
    <w:p w:rsidR="00C11F7F" w:rsidRDefault="00C11F7F" w:rsidP="00A12E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070" w:rsidRPr="001A4070" w:rsidRDefault="00525290" w:rsidP="001A4070">
    <w:pPr>
      <w:tabs>
        <w:tab w:val="clear" w:pos="567"/>
        <w:tab w:val="center" w:pos="4423"/>
        <w:tab w:val="right" w:pos="9000"/>
      </w:tabs>
      <w:spacing w:before="0" w:after="0" w:line="240" w:lineRule="exact"/>
      <w:jc w:val="left"/>
      <w:rPr>
        <w:sz w:val="16"/>
        <w:szCs w:val="18"/>
        <w:lang w:val="es-ES" w:eastAsia="es-ES" w:bidi="es-ES"/>
      </w:rPr>
    </w:pPr>
    <w:r>
      <w:rPr>
        <w:noProof/>
        <w:snapToGrid/>
        <w:lang w:val="fr-FR" w:eastAsia="zh-TW"/>
      </w:rPr>
      <w:drawing>
        <wp:anchor distT="0" distB="0" distL="114300" distR="114300" simplePos="0" relativeHeight="251665408" behindDoc="0" locked="0" layoutInCell="1" allowOverlap="1">
          <wp:simplePos x="0" y="0"/>
          <wp:positionH relativeFrom="column">
            <wp:posOffset>2588260</wp:posOffset>
          </wp:positionH>
          <wp:positionV relativeFrom="paragraph">
            <wp:posOffset>1905</wp:posOffset>
          </wp:positionV>
          <wp:extent cx="542925" cy="190500"/>
          <wp:effectExtent l="0" t="0" r="9525" b="0"/>
          <wp:wrapThrough wrapText="bothSides">
            <wp:wrapPolygon edited="0">
              <wp:start x="0" y="0"/>
              <wp:lineTo x="0" y="19440"/>
              <wp:lineTo x="21221" y="19440"/>
              <wp:lineTo x="2122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4070" w:rsidRPr="001A4070">
      <w:rPr>
        <w:noProof/>
        <w:lang w:val="fr-FR" w:eastAsia="zh-TW"/>
      </w:rPr>
      <w:drawing>
        <wp:anchor distT="0" distB="0" distL="114300" distR="114300" simplePos="0" relativeHeight="251661312" behindDoc="0" locked="0" layoutInCell="1" allowOverlap="1" wp14:anchorId="7387CD8D" wp14:editId="3BE598B4">
          <wp:simplePos x="0" y="0"/>
          <wp:positionH relativeFrom="column">
            <wp:posOffset>-114272</wp:posOffset>
          </wp:positionH>
          <wp:positionV relativeFrom="paragraph">
            <wp:posOffset>-163490</wp:posOffset>
          </wp:positionV>
          <wp:extent cx="827405" cy="6000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27405" cy="600075"/>
                  </a:xfrm>
                  <a:prstGeom prst="rect">
                    <a:avLst/>
                  </a:prstGeom>
                </pic:spPr>
              </pic:pic>
            </a:graphicData>
          </a:graphic>
          <wp14:sizeRelH relativeFrom="page">
            <wp14:pctWidth>0</wp14:pctWidth>
          </wp14:sizeRelH>
          <wp14:sizeRelV relativeFrom="page">
            <wp14:pctHeight>0</wp14:pctHeight>
          </wp14:sizeRelV>
        </wp:anchor>
      </w:drawing>
    </w:r>
    <w:r w:rsidR="001A4070" w:rsidRPr="001A4070">
      <w:rPr>
        <w:lang w:val="es-ES" w:eastAsia="es-ES" w:bidi="es-ES"/>
      </w:rPr>
      <w:tab/>
    </w:r>
    <w:r w:rsidR="001A4070" w:rsidRPr="001A4070">
      <w:rPr>
        <w:lang w:val="es-ES" w:eastAsia="es-ES" w:bidi="es-ES"/>
      </w:rPr>
      <w:tab/>
    </w:r>
    <w:r w:rsidR="001A4070">
      <w:rPr>
        <w:sz w:val="16"/>
        <w:lang w:val="es-ES" w:eastAsia="es-ES" w:bidi="es-ES"/>
      </w:rPr>
      <w:t>CS53</w:t>
    </w:r>
    <w:r w:rsidR="001A4070" w:rsidRPr="001A4070">
      <w:rPr>
        <w:sz w:val="16"/>
        <w:lang w:val="es-ES" w:eastAsia="es-ES" w:bidi="es-ES"/>
      </w:rPr>
      <w:t>-v1.0-ES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070" w:rsidRPr="001A4070" w:rsidRDefault="00525290" w:rsidP="001A4070">
    <w:pPr>
      <w:tabs>
        <w:tab w:val="clear" w:pos="567"/>
        <w:tab w:val="center" w:pos="4423"/>
        <w:tab w:val="right" w:pos="8845"/>
      </w:tabs>
      <w:spacing w:before="0" w:after="0" w:line="240" w:lineRule="exact"/>
      <w:jc w:val="left"/>
      <w:rPr>
        <w:sz w:val="16"/>
        <w:szCs w:val="18"/>
        <w:lang w:val="es-ES" w:eastAsia="es-ES" w:bidi="es-ES"/>
      </w:rPr>
    </w:pPr>
    <w:r>
      <w:rPr>
        <w:noProof/>
        <w:snapToGrid/>
        <w:lang w:val="fr-FR" w:eastAsia="zh-TW"/>
      </w:rPr>
      <w:drawing>
        <wp:anchor distT="0" distB="0" distL="114300" distR="114300" simplePos="0" relativeHeight="251666432" behindDoc="0" locked="0" layoutInCell="1" allowOverlap="1">
          <wp:simplePos x="0" y="0"/>
          <wp:positionH relativeFrom="column">
            <wp:posOffset>2588260</wp:posOffset>
          </wp:positionH>
          <wp:positionV relativeFrom="paragraph">
            <wp:posOffset>1905</wp:posOffset>
          </wp:positionV>
          <wp:extent cx="542925" cy="190500"/>
          <wp:effectExtent l="0" t="0" r="9525" b="0"/>
          <wp:wrapThrough wrapText="bothSides">
            <wp:wrapPolygon edited="0">
              <wp:start x="0" y="0"/>
              <wp:lineTo x="0" y="19440"/>
              <wp:lineTo x="21221" y="19440"/>
              <wp:lineTo x="2122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4070" w:rsidRPr="001A4070">
      <w:rPr>
        <w:noProof/>
        <w:lang w:val="fr-FR" w:eastAsia="zh-TW"/>
      </w:rPr>
      <w:drawing>
        <wp:anchor distT="0" distB="0" distL="114300" distR="114300" simplePos="0" relativeHeight="251663360" behindDoc="0" locked="0" layoutInCell="1" allowOverlap="1" wp14:anchorId="59F18576" wp14:editId="2199DCA1">
          <wp:simplePos x="0" y="0"/>
          <wp:positionH relativeFrom="column">
            <wp:posOffset>5257800</wp:posOffset>
          </wp:positionH>
          <wp:positionV relativeFrom="paragraph">
            <wp:posOffset>-163830</wp:posOffset>
          </wp:positionV>
          <wp:extent cx="827405" cy="6000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27405" cy="600075"/>
                  </a:xfrm>
                  <a:prstGeom prst="rect">
                    <a:avLst/>
                  </a:prstGeom>
                </pic:spPr>
              </pic:pic>
            </a:graphicData>
          </a:graphic>
          <wp14:sizeRelH relativeFrom="page">
            <wp14:pctWidth>0</wp14:pctWidth>
          </wp14:sizeRelH>
          <wp14:sizeRelV relativeFrom="page">
            <wp14:pctHeight>0</wp14:pctHeight>
          </wp14:sizeRelV>
        </wp:anchor>
      </w:drawing>
    </w:r>
    <w:r w:rsidR="001A4070">
      <w:rPr>
        <w:sz w:val="16"/>
        <w:lang w:val="es-ES" w:eastAsia="es-ES" w:bidi="es-ES"/>
      </w:rPr>
      <w:t>CS53</w:t>
    </w:r>
    <w:r w:rsidR="001A4070" w:rsidRPr="001A4070">
      <w:rPr>
        <w:sz w:val="16"/>
        <w:lang w:val="es-ES" w:eastAsia="es-ES" w:bidi="es-ES"/>
      </w:rPr>
      <w:t>-v1.0-ES</w:t>
    </w:r>
    <w:r w:rsidR="001A4070" w:rsidRPr="001A4070">
      <w:rPr>
        <w:lang w:val="es-ES" w:eastAsia="es-ES" w:bidi="es-ES"/>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070" w:rsidRPr="001A4070" w:rsidRDefault="00525290" w:rsidP="001A4070">
    <w:pPr>
      <w:tabs>
        <w:tab w:val="clear" w:pos="567"/>
        <w:tab w:val="center" w:pos="4860"/>
        <w:tab w:val="right" w:pos="9000"/>
      </w:tabs>
      <w:spacing w:before="0" w:after="0" w:line="240" w:lineRule="exact"/>
      <w:jc w:val="left"/>
      <w:rPr>
        <w:sz w:val="16"/>
        <w:szCs w:val="18"/>
        <w:lang w:val="es-ES" w:eastAsia="es-ES" w:bidi="es-ES"/>
      </w:rPr>
    </w:pPr>
    <w:r>
      <w:rPr>
        <w:noProof/>
        <w:snapToGrid/>
        <w:lang w:val="fr-FR" w:eastAsia="zh-TW"/>
      </w:rPr>
      <w:drawing>
        <wp:anchor distT="0" distB="0" distL="114300" distR="114300" simplePos="0" relativeHeight="251664384" behindDoc="0" locked="0" layoutInCell="1" allowOverlap="1">
          <wp:simplePos x="0" y="0"/>
          <wp:positionH relativeFrom="column">
            <wp:posOffset>2874010</wp:posOffset>
          </wp:positionH>
          <wp:positionV relativeFrom="paragraph">
            <wp:posOffset>1905</wp:posOffset>
          </wp:positionV>
          <wp:extent cx="542925" cy="190500"/>
          <wp:effectExtent l="0" t="0" r="9525" b="0"/>
          <wp:wrapThrough wrapText="bothSides">
            <wp:wrapPolygon edited="0">
              <wp:start x="0" y="0"/>
              <wp:lineTo x="0" y="19440"/>
              <wp:lineTo x="21221" y="19440"/>
              <wp:lineTo x="2122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4070" w:rsidRPr="001A4070">
      <w:rPr>
        <w:noProof/>
        <w:lang w:val="fr-FR" w:eastAsia="zh-TW"/>
      </w:rPr>
      <w:drawing>
        <wp:anchor distT="0" distB="0" distL="114300" distR="114300" simplePos="0" relativeHeight="251659264" behindDoc="0" locked="0" layoutInCell="1" allowOverlap="1" wp14:anchorId="2D1DE8AB" wp14:editId="6F73BD50">
          <wp:simplePos x="0" y="0"/>
          <wp:positionH relativeFrom="column">
            <wp:posOffset>5024887</wp:posOffset>
          </wp:positionH>
          <wp:positionV relativeFrom="paragraph">
            <wp:posOffset>-163830</wp:posOffset>
          </wp:positionV>
          <wp:extent cx="827405" cy="6000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27405" cy="600075"/>
                  </a:xfrm>
                  <a:prstGeom prst="rect">
                    <a:avLst/>
                  </a:prstGeom>
                </pic:spPr>
              </pic:pic>
            </a:graphicData>
          </a:graphic>
          <wp14:sizeRelH relativeFrom="page">
            <wp14:pctWidth>0</wp14:pctWidth>
          </wp14:sizeRelH>
          <wp14:sizeRelV relativeFrom="page">
            <wp14:pctHeight>0</wp14:pctHeight>
          </wp14:sizeRelV>
        </wp:anchor>
      </w:drawing>
    </w:r>
    <w:r w:rsidR="001A4070">
      <w:rPr>
        <w:sz w:val="16"/>
        <w:lang w:val="es-ES" w:eastAsia="es-ES" w:bidi="es-ES"/>
      </w:rPr>
      <w:t>CS53</w:t>
    </w:r>
    <w:r w:rsidR="001A4070" w:rsidRPr="001A4070">
      <w:rPr>
        <w:sz w:val="16"/>
        <w:lang w:val="es-ES" w:eastAsia="es-ES" w:bidi="es-ES"/>
      </w:rPr>
      <w:t>-v1.0-ES</w:t>
    </w:r>
    <w:r w:rsidR="001A4070" w:rsidRPr="001A4070">
      <w:rPr>
        <w:lang w:val="es-ES" w:eastAsia="es-ES" w:bidi="es-E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F7F" w:rsidRDefault="00C11F7F" w:rsidP="00A12E73">
      <w:pPr>
        <w:spacing w:before="0" w:after="0"/>
      </w:pPr>
      <w:r>
        <w:separator/>
      </w:r>
    </w:p>
  </w:footnote>
  <w:footnote w:type="continuationSeparator" w:id="0">
    <w:p w:rsidR="00C11F7F" w:rsidRDefault="00C11F7F" w:rsidP="00A12E73">
      <w:pPr>
        <w:spacing w:before="0" w:after="0"/>
      </w:pPr>
      <w:r>
        <w:continuationSeparator/>
      </w:r>
    </w:p>
  </w:footnote>
  <w:footnote w:id="1">
    <w:p w:rsidR="00DD36B1" w:rsidRPr="00880C33" w:rsidRDefault="00DD36B1" w:rsidP="00B541B3">
      <w:pPr>
        <w:pStyle w:val="FootnoteText"/>
        <w:tabs>
          <w:tab w:val="clear" w:pos="567"/>
        </w:tabs>
        <w:spacing w:after="60" w:line="180" w:lineRule="exact"/>
        <w:rPr>
          <w:lang w:val="es-ES"/>
        </w:rPr>
      </w:pPr>
      <w:r w:rsidRPr="00B541B3">
        <w:rPr>
          <w:rStyle w:val="FootnoteReference"/>
          <w:sz w:val="16"/>
          <w:vertAlign w:val="baseline"/>
          <w:lang w:val="fr-FR"/>
        </w:rPr>
        <w:footnoteRef/>
      </w:r>
      <w:r w:rsidR="00B541B3">
        <w:rPr>
          <w:sz w:val="16"/>
          <w:lang w:val="fr-FR"/>
        </w:rPr>
        <w:t>.</w:t>
      </w:r>
      <w:r w:rsidR="00B541B3">
        <w:rPr>
          <w:sz w:val="16"/>
          <w:lang w:val="fr-FR"/>
        </w:rPr>
        <w:tab/>
      </w:r>
      <w:hyperlink r:id="rId1" w:history="1">
        <w:r w:rsidRPr="00B541B3">
          <w:rPr>
            <w:rStyle w:val="FootnoteReference"/>
            <w:sz w:val="16"/>
            <w:vertAlign w:val="baseline"/>
            <w:lang w:val="fr-FR"/>
          </w:rPr>
          <w:t>http://www.ilo.org/indigenous/Conventions/no169/lang--es/index.htm</w:t>
        </w:r>
      </w:hyperlink>
    </w:p>
  </w:footnote>
  <w:footnote w:id="2">
    <w:p w:rsidR="00EF47CC" w:rsidRPr="00B541B3" w:rsidRDefault="00EF47CC" w:rsidP="00B541B3">
      <w:pPr>
        <w:pStyle w:val="FootnoteText"/>
        <w:tabs>
          <w:tab w:val="clear" w:pos="567"/>
        </w:tabs>
        <w:spacing w:after="60" w:line="180" w:lineRule="exact"/>
        <w:ind w:left="340" w:hanging="340"/>
        <w:rPr>
          <w:rStyle w:val="FootnoteReference"/>
          <w:sz w:val="16"/>
          <w:vertAlign w:val="baseline"/>
          <w:lang w:val="fr-FR"/>
        </w:rPr>
      </w:pPr>
      <w:r w:rsidRPr="00B541B3">
        <w:rPr>
          <w:rStyle w:val="FootnoteReference"/>
          <w:sz w:val="16"/>
          <w:vertAlign w:val="baseline"/>
          <w:lang w:val="fr-FR"/>
        </w:rPr>
        <w:footnoteRef/>
      </w:r>
      <w:r w:rsidR="00B541B3">
        <w:rPr>
          <w:sz w:val="16"/>
          <w:lang w:val="fr-FR"/>
        </w:rPr>
        <w:t>.</w:t>
      </w:r>
      <w:r w:rsidR="00B541B3">
        <w:rPr>
          <w:sz w:val="16"/>
          <w:lang w:val="fr-FR"/>
        </w:rPr>
        <w:tab/>
      </w:r>
      <w:r w:rsidRPr="00B541B3">
        <w:rPr>
          <w:rStyle w:val="FootnoteReference"/>
          <w:sz w:val="16"/>
          <w:vertAlign w:val="baseline"/>
          <w:lang w:val="fr-FR"/>
        </w:rPr>
        <w:t>OMPI, “</w:t>
      </w:r>
      <w:hyperlink r:id="rId2" w:history="1">
        <w:r w:rsidRPr="00B541B3">
          <w:rPr>
            <w:rStyle w:val="FootnoteReference"/>
            <w:sz w:val="16"/>
            <w:vertAlign w:val="baseline"/>
            <w:lang w:val="fr-FR"/>
          </w:rPr>
          <w:t>Análisis Consolidado de la Protección Jurídica de las Expresiones Culturales Tradicionales</w:t>
        </w:r>
      </w:hyperlink>
      <w:r w:rsidRPr="00B541B3">
        <w:rPr>
          <w:rStyle w:val="FootnoteReference"/>
          <w:sz w:val="16"/>
          <w:vertAlign w:val="baseline"/>
          <w:lang w:val="fr-FR"/>
        </w:rPr>
        <w:t>”, p.</w:t>
      </w:r>
      <w:r w:rsidR="006D582A" w:rsidRPr="00B541B3">
        <w:rPr>
          <w:rStyle w:val="FootnoteReference"/>
          <w:sz w:val="16"/>
          <w:vertAlign w:val="baseline"/>
          <w:lang w:val="fr-FR"/>
        </w:rPr>
        <w:t> </w:t>
      </w:r>
      <w:r w:rsidRPr="00B541B3">
        <w:rPr>
          <w:rStyle w:val="FootnoteReference"/>
          <w:sz w:val="16"/>
          <w:vertAlign w:val="baseline"/>
          <w:lang w:val="fr-FR"/>
        </w:rPr>
        <w:t>46</w:t>
      </w:r>
      <w:r w:rsidR="006D582A" w:rsidRPr="00B541B3">
        <w:rPr>
          <w:rStyle w:val="FootnoteReference"/>
          <w:sz w:val="16"/>
          <w:vertAlign w:val="baseline"/>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070" w:rsidRPr="001A4070" w:rsidRDefault="001A4070" w:rsidP="001A4070">
    <w:pPr>
      <w:keepNext/>
      <w:tabs>
        <w:tab w:val="clear" w:pos="567"/>
        <w:tab w:val="center" w:pos="4423"/>
        <w:tab w:val="right" w:pos="9000"/>
      </w:tabs>
      <w:spacing w:before="0" w:after="0" w:line="280" w:lineRule="exact"/>
      <w:jc w:val="left"/>
      <w:rPr>
        <w:sz w:val="16"/>
        <w:szCs w:val="20"/>
        <w:lang w:val="es-ES" w:eastAsia="es-ES" w:bidi="es-ES"/>
      </w:rPr>
    </w:pPr>
    <w:r w:rsidRPr="001A4070">
      <w:rPr>
        <w:sz w:val="16"/>
        <w:szCs w:val="20"/>
        <w:lang w:val="es-ES" w:eastAsia="es-ES" w:bidi="es-ES"/>
      </w:rPr>
      <w:fldChar w:fldCharType="begin"/>
    </w:r>
    <w:r w:rsidRPr="001A4070">
      <w:rPr>
        <w:sz w:val="16"/>
        <w:szCs w:val="20"/>
        <w:lang w:val="es-ES" w:eastAsia="es-ES" w:bidi="es-ES"/>
      </w:rPr>
      <w:instrText xml:space="preserve"> PAGE </w:instrText>
    </w:r>
    <w:r w:rsidRPr="001A4070">
      <w:rPr>
        <w:sz w:val="16"/>
        <w:szCs w:val="20"/>
        <w:lang w:val="es-ES" w:eastAsia="es-ES" w:bidi="es-ES"/>
      </w:rPr>
      <w:fldChar w:fldCharType="separate"/>
    </w:r>
    <w:r w:rsidR="00525290">
      <w:rPr>
        <w:noProof/>
        <w:sz w:val="16"/>
        <w:szCs w:val="20"/>
        <w:lang w:val="es-ES" w:eastAsia="es-ES" w:bidi="es-ES"/>
      </w:rPr>
      <w:t>4</w:t>
    </w:r>
    <w:r w:rsidRPr="001A4070">
      <w:rPr>
        <w:sz w:val="16"/>
        <w:szCs w:val="20"/>
        <w:lang w:val="es-ES" w:eastAsia="es-ES" w:bidi="es-ES"/>
      </w:rPr>
      <w:fldChar w:fldCharType="end"/>
    </w:r>
    <w:r w:rsidRPr="001A4070">
      <w:rPr>
        <w:lang w:val="es-ES" w:eastAsia="es-ES" w:bidi="es-ES"/>
      </w:rPr>
      <w:tab/>
    </w:r>
    <w:r>
      <w:rPr>
        <w:sz w:val="16"/>
        <w:lang w:val="es-ES" w:eastAsia="es-ES" w:bidi="es-ES"/>
      </w:rPr>
      <w:t>Estudio de caso 53</w:t>
    </w:r>
    <w:r w:rsidRPr="001A4070">
      <w:rPr>
        <w:lang w:val="es-ES" w:eastAsia="es-ES" w:bidi="es-ES"/>
      </w:rPr>
      <w:tab/>
    </w:r>
    <w:r w:rsidRPr="001A4070">
      <w:rPr>
        <w:sz w:val="16"/>
        <w:lang w:val="es-ES" w:eastAsia="es-ES" w:bidi="es-ES"/>
      </w:rPr>
      <w:t>Estudios de caso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070" w:rsidRPr="001A4070" w:rsidRDefault="001A4070" w:rsidP="001A4070">
    <w:pPr>
      <w:tabs>
        <w:tab w:val="clear" w:pos="567"/>
        <w:tab w:val="center" w:pos="4680"/>
        <w:tab w:val="right" w:pos="9000"/>
      </w:tabs>
      <w:spacing w:before="0" w:after="0" w:line="280" w:lineRule="exact"/>
      <w:jc w:val="left"/>
      <w:rPr>
        <w:sz w:val="16"/>
        <w:szCs w:val="20"/>
        <w:lang w:bidi="es-ES"/>
      </w:rPr>
    </w:pPr>
    <w:r w:rsidRPr="001A4070">
      <w:rPr>
        <w:sz w:val="16"/>
        <w:szCs w:val="20"/>
        <w:lang w:val="es-ES" w:bidi="es-ES"/>
      </w:rPr>
      <w:t>Estudios de caso</w:t>
    </w:r>
    <w:r w:rsidRPr="001A4070">
      <w:rPr>
        <w:sz w:val="16"/>
        <w:szCs w:val="20"/>
        <w:lang w:bidi="es-ES"/>
      </w:rPr>
      <w:tab/>
    </w:r>
    <w:r>
      <w:rPr>
        <w:sz w:val="16"/>
        <w:szCs w:val="20"/>
        <w:lang w:bidi="es-ES"/>
      </w:rPr>
      <w:t>Estudio de caso 53</w:t>
    </w:r>
    <w:r w:rsidRPr="001A4070">
      <w:rPr>
        <w:sz w:val="16"/>
        <w:szCs w:val="20"/>
        <w:lang w:bidi="es-ES"/>
      </w:rPr>
      <w:tab/>
    </w:r>
    <w:r w:rsidRPr="001A4070">
      <w:rPr>
        <w:sz w:val="16"/>
        <w:szCs w:val="20"/>
        <w:lang w:bidi="es-ES"/>
      </w:rPr>
      <w:fldChar w:fldCharType="begin"/>
    </w:r>
    <w:r w:rsidRPr="001A4070">
      <w:rPr>
        <w:sz w:val="16"/>
        <w:szCs w:val="20"/>
        <w:lang w:bidi="es-ES"/>
      </w:rPr>
      <w:instrText xml:space="preserve"> PAGE </w:instrText>
    </w:r>
    <w:r w:rsidRPr="001A4070">
      <w:rPr>
        <w:sz w:val="16"/>
        <w:szCs w:val="20"/>
        <w:lang w:bidi="es-ES"/>
      </w:rPr>
      <w:fldChar w:fldCharType="separate"/>
    </w:r>
    <w:r w:rsidR="00525290">
      <w:rPr>
        <w:noProof/>
        <w:sz w:val="16"/>
        <w:szCs w:val="20"/>
        <w:lang w:bidi="es-ES"/>
      </w:rPr>
      <w:t>3</w:t>
    </w:r>
    <w:r w:rsidRPr="001A4070">
      <w:rPr>
        <w:sz w:val="16"/>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070" w:rsidRPr="001A4070" w:rsidRDefault="001A4070" w:rsidP="001A4070">
    <w:pPr>
      <w:tabs>
        <w:tab w:val="clear" w:pos="567"/>
        <w:tab w:val="center" w:pos="4423"/>
        <w:tab w:val="right" w:pos="8250"/>
      </w:tabs>
      <w:spacing w:before="0" w:after="0" w:line="280" w:lineRule="exact"/>
      <w:jc w:val="left"/>
      <w:rPr>
        <w:sz w:val="16"/>
        <w:szCs w:val="20"/>
        <w:lang w:val="es-ES" w:eastAsia="es-ES" w:bidi="es-ES"/>
      </w:rPr>
    </w:pPr>
    <w:r w:rsidRPr="001A4070">
      <w:rPr>
        <w:lang w:val="es-ES" w:eastAsia="es-ES" w:bidi="es-ES"/>
      </w:rPr>
      <w:tab/>
    </w:r>
    <w:r w:rsidRPr="001A4070">
      <w:rPr>
        <w:sz w:val="16"/>
        <w:lang w:val="es-ES" w:eastAsia="es-ES" w:bidi="es-ES"/>
      </w:rPr>
      <w:t>Estudios de casos</w:t>
    </w:r>
    <w:r w:rsidRPr="001A4070">
      <w:rPr>
        <w:lang w:val="es-ES" w:eastAsia="es-ES" w:bidi="es-E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052DE"/>
    <w:multiLevelType w:val="hybridMultilevel"/>
    <w:tmpl w:val="BAFA83BA"/>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 w15:restartNumberingAfterBreak="0">
    <w:nsid w:val="3E78512A"/>
    <w:multiLevelType w:val="hybridMultilevel"/>
    <w:tmpl w:val="146241DE"/>
    <w:lvl w:ilvl="0" w:tplc="3F5287E4">
      <w:start w:val="1"/>
      <w:numFmt w:val="bullet"/>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2" w15:restartNumberingAfterBreak="0">
    <w:nsid w:val="5DC778C2"/>
    <w:multiLevelType w:val="hybridMultilevel"/>
    <w:tmpl w:val="6A525CD2"/>
    <w:lvl w:ilvl="0" w:tplc="24D08236">
      <w:start w:val="1"/>
      <w:numFmt w:val="decimal"/>
      <w:pStyle w:val="Paragraph"/>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29423D3"/>
    <w:multiLevelType w:val="hybridMultilevel"/>
    <w:tmpl w:val="3BC2D416"/>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4" w15:restartNumberingAfterBreak="0">
    <w:nsid w:val="75D53439"/>
    <w:multiLevelType w:val="hybridMultilevel"/>
    <w:tmpl w:val="42A8A52C"/>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num w:numId="1">
    <w:abstractNumId w:val="2"/>
  </w:num>
  <w:num w:numId="2">
    <w:abstractNumId w:val="1"/>
  </w:num>
  <w:num w:numId="3">
    <w:abstractNumId w:val="2"/>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A37"/>
    <w:rsid w:val="00147AD0"/>
    <w:rsid w:val="001A4070"/>
    <w:rsid w:val="001D6D59"/>
    <w:rsid w:val="001E3A2C"/>
    <w:rsid w:val="003D5F7E"/>
    <w:rsid w:val="00404A37"/>
    <w:rsid w:val="00443B22"/>
    <w:rsid w:val="004F6A37"/>
    <w:rsid w:val="00506958"/>
    <w:rsid w:val="005201C3"/>
    <w:rsid w:val="00525290"/>
    <w:rsid w:val="0055356A"/>
    <w:rsid w:val="00610955"/>
    <w:rsid w:val="00614EAC"/>
    <w:rsid w:val="006A153B"/>
    <w:rsid w:val="006D582A"/>
    <w:rsid w:val="007973FB"/>
    <w:rsid w:val="00810318"/>
    <w:rsid w:val="00880C33"/>
    <w:rsid w:val="00892B7B"/>
    <w:rsid w:val="009704ED"/>
    <w:rsid w:val="00985245"/>
    <w:rsid w:val="00A12E73"/>
    <w:rsid w:val="00A57EB2"/>
    <w:rsid w:val="00A95471"/>
    <w:rsid w:val="00AB29AF"/>
    <w:rsid w:val="00B0277D"/>
    <w:rsid w:val="00B541B3"/>
    <w:rsid w:val="00C036CB"/>
    <w:rsid w:val="00C11F7F"/>
    <w:rsid w:val="00C2284B"/>
    <w:rsid w:val="00C55EFA"/>
    <w:rsid w:val="00CB1727"/>
    <w:rsid w:val="00CE5384"/>
    <w:rsid w:val="00DD36B1"/>
    <w:rsid w:val="00DE47EE"/>
    <w:rsid w:val="00E821C5"/>
    <w:rsid w:val="00E8343F"/>
    <w:rsid w:val="00EC1AD4"/>
    <w:rsid w:val="00EC293C"/>
    <w:rsid w:val="00EF1FF6"/>
    <w:rsid w:val="00EF47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829A99"/>
  <w15:docId w15:val="{5623CB9C-CA2D-4341-B625-76F573B5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A37"/>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404A37"/>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Normal"/>
    <w:next w:val="Normal"/>
    <w:link w:val="Heading2Char"/>
    <w:uiPriority w:val="9"/>
    <w:unhideWhenUsed/>
    <w:qFormat/>
    <w:rsid w:val="00404A37"/>
    <w:pPr>
      <w:keepNext/>
      <w:keepLines/>
      <w:spacing w:before="480" w:after="480" w:line="480" w:lineRule="exact"/>
      <w:jc w:val="lef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404A37"/>
    <w:pPr>
      <w:tabs>
        <w:tab w:val="clear" w:pos="567"/>
      </w:tabs>
      <w:snapToGrid/>
      <w:spacing w:before="360" w:after="120" w:line="300" w:lineRule="exact"/>
      <w:jc w:val="left"/>
      <w:outlineLvl w:val="2"/>
    </w:pPr>
    <w:rPr>
      <w:rFonts w:ascii="Arial" w:eastAsia="SimSun" w:hAnsi="Arial"/>
      <w:b/>
      <w:bCs/>
      <w:snapToGrid/>
      <w:sz w:val="24"/>
      <w:lang w:val="it-IT" w:eastAsia="en-US"/>
    </w:rPr>
  </w:style>
  <w:style w:type="paragraph" w:styleId="Heading4">
    <w:name w:val="heading 4"/>
    <w:basedOn w:val="Normal"/>
    <w:next w:val="Normal"/>
    <w:link w:val="Heading4Char"/>
    <w:unhideWhenUsed/>
    <w:rsid w:val="00614EAC"/>
    <w:pPr>
      <w:keepNext/>
      <w:keepLines/>
      <w:spacing w:after="0"/>
      <w:outlineLvl w:val="3"/>
    </w:pPr>
    <w:rPr>
      <w:rFonts w:asciiTheme="majorHAnsi" w:eastAsiaTheme="majorEastAsia" w:hAnsiTheme="majorHAnsi" w:cstheme="majorBidi"/>
      <w:caps/>
    </w:rPr>
  </w:style>
  <w:style w:type="paragraph" w:styleId="Heading5">
    <w:name w:val="heading 5"/>
    <w:basedOn w:val="Heading4"/>
    <w:next w:val="Normal"/>
    <w:link w:val="Heading5Char"/>
    <w:uiPriority w:val="9"/>
    <w:semiHidden/>
    <w:unhideWhenUsed/>
    <w:qFormat/>
    <w:rsid w:val="00404A37"/>
    <w:pPr>
      <w:tabs>
        <w:tab w:val="clear" w:pos="567"/>
      </w:tabs>
      <w:snapToGrid/>
      <w:spacing w:before="360" w:after="120" w:line="300" w:lineRule="exact"/>
      <w:jc w:val="left"/>
      <w:outlineLvl w:val="4"/>
    </w:pPr>
    <w:rPr>
      <w:rFonts w:ascii="Arial" w:eastAsia="SimSun" w:hAnsi="Arial"/>
      <w:b/>
      <w:bCs/>
      <w:snapToGrid/>
      <w:sz w:val="20"/>
      <w:lang w:val="it-IT" w:eastAsia="en-US"/>
    </w:rPr>
  </w:style>
  <w:style w:type="paragraph" w:styleId="Heading6">
    <w:name w:val="heading 6"/>
    <w:basedOn w:val="Normal"/>
    <w:next w:val="Normal"/>
    <w:link w:val="Heading6Char"/>
    <w:uiPriority w:val="9"/>
    <w:semiHidden/>
    <w:unhideWhenUsed/>
    <w:qFormat/>
    <w:rsid w:val="00614E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4E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4E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4E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04A37"/>
    <w:rPr>
      <w:rFonts w:ascii="Arial" w:eastAsiaTheme="majorEastAsia" w:hAnsi="Arial" w:cs="Arial"/>
      <w:b/>
      <w:bCs/>
      <w:caps/>
      <w:noProof/>
      <w:snapToGrid w:val="0"/>
      <w:color w:val="3366FF"/>
      <w:kern w:val="28"/>
      <w:sz w:val="32"/>
      <w:szCs w:val="32"/>
      <w:lang w:val="en-US" w:eastAsia="zh-CN"/>
    </w:rPr>
  </w:style>
  <w:style w:type="character" w:customStyle="1" w:styleId="Heading2Char">
    <w:name w:val="Heading 2 Char"/>
    <w:basedOn w:val="DefaultParagraphFont"/>
    <w:link w:val="Heading2"/>
    <w:uiPriority w:val="9"/>
    <w:rsid w:val="00404A37"/>
    <w:rPr>
      <w:rFonts w:ascii="Arial" w:eastAsiaTheme="majorEastAsia" w:hAnsi="Arial" w:cs="Arial"/>
      <w:bCs/>
      <w:noProof/>
      <w:snapToGrid w:val="0"/>
      <w:color w:val="3366FF"/>
      <w:kern w:val="28"/>
      <w:sz w:val="32"/>
      <w:szCs w:val="32"/>
      <w:lang w:val="en-US" w:eastAsia="zh-CN"/>
    </w:rPr>
  </w:style>
  <w:style w:type="character" w:customStyle="1" w:styleId="Heading3Char">
    <w:name w:val="Heading 3 Char"/>
    <w:basedOn w:val="DefaultParagraphFont"/>
    <w:link w:val="Heading3"/>
    <w:uiPriority w:val="9"/>
    <w:rsid w:val="00404A37"/>
    <w:rPr>
      <w:rFonts w:ascii="Arial" w:eastAsia="SimSun" w:hAnsi="Arial" w:cstheme="majorBidi"/>
      <w:b/>
      <w:bCs/>
      <w:caps/>
      <w:sz w:val="24"/>
      <w:szCs w:val="24"/>
      <w:lang w:val="it-IT"/>
    </w:rPr>
  </w:style>
  <w:style w:type="character" w:customStyle="1" w:styleId="Heading4Char">
    <w:name w:val="Heading 4 Char"/>
    <w:basedOn w:val="DefaultParagraphFont"/>
    <w:link w:val="Heading4"/>
    <w:rsid w:val="00614EA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404A37"/>
    <w:rPr>
      <w:rFonts w:ascii="Arial" w:eastAsia="SimSun" w:hAnsi="Arial" w:cstheme="majorBidi"/>
      <w:b/>
      <w:bCs/>
      <w:caps/>
      <w:sz w:val="20"/>
      <w:szCs w:val="24"/>
      <w:lang w:val="it-IT"/>
    </w:rPr>
  </w:style>
  <w:style w:type="character" w:customStyle="1" w:styleId="Heading6Char">
    <w:name w:val="Heading 6 Char"/>
    <w:basedOn w:val="DefaultParagraphFont"/>
    <w:link w:val="Heading6"/>
    <w:uiPriority w:val="9"/>
    <w:semiHidden/>
    <w:rsid w:val="00614EAC"/>
    <w:rPr>
      <w:rFonts w:asciiTheme="majorHAnsi" w:eastAsiaTheme="majorEastAsia" w:hAnsiTheme="majorHAnsi" w:cstheme="majorBidi"/>
      <w:snapToGrid w:val="0"/>
      <w:color w:val="243F60" w:themeColor="accent1" w:themeShade="7F"/>
      <w:szCs w:val="24"/>
      <w:lang w:val="en-US" w:eastAsia="zh-CN"/>
    </w:rPr>
  </w:style>
  <w:style w:type="character" w:customStyle="1" w:styleId="Heading7Char">
    <w:name w:val="Heading 7 Char"/>
    <w:basedOn w:val="DefaultParagraphFont"/>
    <w:link w:val="Heading7"/>
    <w:uiPriority w:val="9"/>
    <w:semiHidden/>
    <w:rsid w:val="00614EAC"/>
    <w:rPr>
      <w:rFonts w:asciiTheme="majorHAnsi" w:eastAsiaTheme="majorEastAsia" w:hAnsiTheme="majorHAnsi" w:cstheme="majorBidi"/>
      <w:i/>
      <w:iCs/>
      <w:snapToGrid w:val="0"/>
      <w:color w:val="243F60" w:themeColor="accent1" w:themeShade="7F"/>
      <w:szCs w:val="24"/>
      <w:lang w:val="en-US" w:eastAsia="zh-CN"/>
    </w:rPr>
  </w:style>
  <w:style w:type="character" w:customStyle="1" w:styleId="Heading8Char">
    <w:name w:val="Heading 8 Char"/>
    <w:basedOn w:val="DefaultParagraphFont"/>
    <w:link w:val="Heading8"/>
    <w:uiPriority w:val="9"/>
    <w:semiHidden/>
    <w:rsid w:val="00614EAC"/>
    <w:rPr>
      <w:rFonts w:asciiTheme="majorHAnsi" w:eastAsiaTheme="majorEastAsia" w:hAnsiTheme="majorHAnsi" w:cstheme="majorBidi"/>
      <w:snapToGrid w:val="0"/>
      <w:color w:val="272727" w:themeColor="text1" w:themeTint="D8"/>
      <w:sz w:val="21"/>
      <w:szCs w:val="21"/>
      <w:lang w:val="en-US" w:eastAsia="zh-CN"/>
    </w:rPr>
  </w:style>
  <w:style w:type="character" w:customStyle="1" w:styleId="Heading9Char">
    <w:name w:val="Heading 9 Char"/>
    <w:basedOn w:val="DefaultParagraphFont"/>
    <w:link w:val="Heading9"/>
    <w:uiPriority w:val="9"/>
    <w:semiHidden/>
    <w:rsid w:val="00614EAC"/>
    <w:rPr>
      <w:rFonts w:asciiTheme="majorHAnsi" w:eastAsiaTheme="majorEastAsia" w:hAnsiTheme="majorHAnsi" w:cstheme="majorBidi"/>
      <w:i/>
      <w:iCs/>
      <w:snapToGrid w:val="0"/>
      <w:color w:val="272727" w:themeColor="text1" w:themeTint="D8"/>
      <w:sz w:val="21"/>
      <w:szCs w:val="21"/>
      <w:lang w:val="en-US" w:eastAsia="zh-CN"/>
    </w:rPr>
  </w:style>
  <w:style w:type="paragraph" w:styleId="Caption">
    <w:name w:val="caption"/>
    <w:basedOn w:val="Normal"/>
    <w:next w:val="Normal"/>
    <w:uiPriority w:val="35"/>
    <w:semiHidden/>
    <w:unhideWhenUsed/>
    <w:qFormat/>
    <w:rsid w:val="00614EAC"/>
    <w:pPr>
      <w:spacing w:before="0" w:after="200"/>
    </w:pPr>
    <w:rPr>
      <w:i/>
      <w:iCs/>
      <w:color w:val="1F497D" w:themeColor="text2"/>
      <w:sz w:val="18"/>
      <w:szCs w:val="18"/>
    </w:rPr>
  </w:style>
  <w:style w:type="paragraph" w:styleId="Title">
    <w:name w:val="Title"/>
    <w:basedOn w:val="Normal"/>
    <w:next w:val="Normal"/>
    <w:link w:val="TitleChar"/>
    <w:uiPriority w:val="10"/>
    <w:qFormat/>
    <w:rsid w:val="00404A37"/>
    <w:pPr>
      <w:keepNext/>
      <w:keepLines/>
      <w:spacing w:before="480" w:after="0" w:line="480" w:lineRule="exact"/>
      <w:jc w:val="left"/>
      <w:outlineLvl w:val="0"/>
    </w:pPr>
    <w:rPr>
      <w:rFonts w:eastAsiaTheme="majorEastAsia"/>
      <w:b/>
      <w:bCs/>
      <w:caps/>
      <w:noProof/>
      <w:color w:val="3366FF"/>
      <w:kern w:val="28"/>
      <w:sz w:val="48"/>
      <w:szCs w:val="48"/>
      <w:lang w:val="en-GB"/>
    </w:rPr>
  </w:style>
  <w:style w:type="character" w:customStyle="1" w:styleId="TitleChar">
    <w:name w:val="Title Char"/>
    <w:basedOn w:val="DefaultParagraphFont"/>
    <w:link w:val="Title"/>
    <w:uiPriority w:val="10"/>
    <w:rsid w:val="00404A37"/>
    <w:rPr>
      <w:rFonts w:ascii="Arial" w:eastAsiaTheme="majorEastAsia" w:hAnsi="Arial" w:cs="Arial"/>
      <w:b/>
      <w:bCs/>
      <w:caps/>
      <w:noProof/>
      <w:snapToGrid w:val="0"/>
      <w:color w:val="3366FF"/>
      <w:kern w:val="28"/>
      <w:sz w:val="48"/>
      <w:szCs w:val="48"/>
      <w:lang w:eastAsia="zh-CN"/>
    </w:rPr>
  </w:style>
  <w:style w:type="paragraph" w:styleId="Subtitle">
    <w:name w:val="Subtitle"/>
    <w:basedOn w:val="Normal"/>
    <w:next w:val="Normal"/>
    <w:link w:val="SubtitleChar"/>
    <w:uiPriority w:val="11"/>
    <w:qFormat/>
    <w:rsid w:val="00614EA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614EAC"/>
    <w:rPr>
      <w:rFonts w:eastAsiaTheme="minorEastAsia"/>
      <w:snapToGrid w:val="0"/>
      <w:color w:val="5A5A5A" w:themeColor="text1" w:themeTint="A5"/>
      <w:spacing w:val="15"/>
      <w:lang w:val="en-US" w:eastAsia="zh-CN"/>
    </w:rPr>
  </w:style>
  <w:style w:type="character" w:styleId="Strong">
    <w:name w:val="Strong"/>
    <w:basedOn w:val="DefaultParagraphFont"/>
    <w:uiPriority w:val="22"/>
    <w:qFormat/>
    <w:rsid w:val="00404A37"/>
    <w:rPr>
      <w:b/>
      <w:bCs/>
    </w:rPr>
  </w:style>
  <w:style w:type="character" w:styleId="Emphasis">
    <w:name w:val="Emphasis"/>
    <w:basedOn w:val="DefaultParagraphFont"/>
    <w:uiPriority w:val="20"/>
    <w:qFormat/>
    <w:rsid w:val="00404A37"/>
    <w:rPr>
      <w:i/>
      <w:iCs/>
    </w:rPr>
  </w:style>
  <w:style w:type="paragraph" w:styleId="NoSpacing">
    <w:name w:val="No Spacing"/>
    <w:aliases w:val="Title Ed"/>
    <w:basedOn w:val="FootnoteText"/>
    <w:link w:val="NoSpacingChar"/>
    <w:uiPriority w:val="1"/>
    <w:qFormat/>
    <w:rsid w:val="00404A37"/>
    <w:pPr>
      <w:tabs>
        <w:tab w:val="clear" w:pos="567"/>
        <w:tab w:val="left" w:pos="369"/>
      </w:tabs>
      <w:spacing w:after="60" w:line="180" w:lineRule="exact"/>
      <w:ind w:left="284" w:hanging="284"/>
      <w:jc w:val="left"/>
    </w:pPr>
    <w:rPr>
      <w:rFonts w:ascii="Calibri" w:eastAsiaTheme="minorHAnsi" w:hAnsi="Calibri"/>
      <w:snapToGrid/>
      <w:lang w:val="en-GB" w:eastAsia="en-US"/>
    </w:rPr>
  </w:style>
  <w:style w:type="character" w:customStyle="1" w:styleId="NoSpacingChar">
    <w:name w:val="No Spacing Char"/>
    <w:aliases w:val="Title Ed Char"/>
    <w:basedOn w:val="DefaultParagraphFont"/>
    <w:link w:val="NoSpacing"/>
    <w:uiPriority w:val="1"/>
    <w:locked/>
    <w:rsid w:val="00404A37"/>
    <w:rPr>
      <w:rFonts w:ascii="Calibri" w:hAnsi="Calibri" w:cs="Arial"/>
      <w:sz w:val="20"/>
      <w:szCs w:val="20"/>
    </w:rPr>
  </w:style>
  <w:style w:type="paragraph" w:styleId="ListParagraph">
    <w:name w:val="List Paragraph"/>
    <w:basedOn w:val="Normal"/>
    <w:uiPriority w:val="34"/>
    <w:qFormat/>
    <w:rsid w:val="00404A37"/>
    <w:pPr>
      <w:tabs>
        <w:tab w:val="clear" w:pos="567"/>
        <w:tab w:val="left" w:pos="360"/>
      </w:tabs>
      <w:ind w:left="720" w:hanging="360"/>
    </w:pPr>
  </w:style>
  <w:style w:type="paragraph" w:styleId="Quote">
    <w:name w:val="Quote"/>
    <w:basedOn w:val="Normal"/>
    <w:next w:val="Normal"/>
    <w:link w:val="QuoteChar"/>
    <w:uiPriority w:val="29"/>
    <w:qFormat/>
    <w:rsid w:val="00404A37"/>
    <w:pPr>
      <w:spacing w:before="200" w:after="160"/>
      <w:ind w:left="864" w:right="864"/>
    </w:pPr>
    <w:rPr>
      <w:i/>
      <w:iCs/>
      <w:color w:val="404040" w:themeColor="text1" w:themeTint="BF"/>
      <w:lang w:val="en-GB" w:eastAsia="en-US"/>
    </w:rPr>
  </w:style>
  <w:style w:type="character" w:customStyle="1" w:styleId="QuoteChar">
    <w:name w:val="Quote Char"/>
    <w:basedOn w:val="DefaultParagraphFont"/>
    <w:link w:val="Quote"/>
    <w:uiPriority w:val="29"/>
    <w:rsid w:val="00404A37"/>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404A37"/>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404A37"/>
    <w:rPr>
      <w:rFonts w:eastAsiaTheme="minorEastAsia" w:cs="Arial"/>
      <w:i/>
      <w:iCs/>
      <w:color w:val="4F81BD"/>
      <w:sz w:val="20"/>
      <w:szCs w:val="20"/>
      <w:lang w:val="en-US"/>
    </w:rPr>
  </w:style>
  <w:style w:type="character" w:styleId="SubtleEmphasis">
    <w:name w:val="Subtle Emphasis"/>
    <w:basedOn w:val="DefaultParagraphFont"/>
    <w:uiPriority w:val="19"/>
    <w:qFormat/>
    <w:rsid w:val="00614EAC"/>
    <w:rPr>
      <w:i/>
      <w:iCs/>
      <w:color w:val="404040" w:themeColor="text1" w:themeTint="BF"/>
    </w:rPr>
  </w:style>
  <w:style w:type="character" w:styleId="IntenseEmphasis">
    <w:name w:val="Intense Emphasis"/>
    <w:basedOn w:val="DefaultParagraphFont"/>
    <w:uiPriority w:val="21"/>
    <w:qFormat/>
    <w:rsid w:val="00614EAC"/>
    <w:rPr>
      <w:i/>
      <w:iCs/>
      <w:color w:val="4F81BD" w:themeColor="accent1"/>
    </w:rPr>
  </w:style>
  <w:style w:type="character" w:styleId="SubtleReference">
    <w:name w:val="Subtle Reference"/>
    <w:basedOn w:val="DefaultParagraphFont"/>
    <w:uiPriority w:val="31"/>
    <w:qFormat/>
    <w:rsid w:val="00614EAC"/>
    <w:rPr>
      <w:smallCaps/>
      <w:color w:val="5A5A5A" w:themeColor="text1" w:themeTint="A5"/>
    </w:rPr>
  </w:style>
  <w:style w:type="character" w:styleId="IntenseReference">
    <w:name w:val="Intense Reference"/>
    <w:basedOn w:val="DefaultParagraphFont"/>
    <w:uiPriority w:val="32"/>
    <w:qFormat/>
    <w:rsid w:val="00614EAC"/>
    <w:rPr>
      <w:b/>
      <w:bCs/>
      <w:smallCaps/>
      <w:color w:val="4F81BD" w:themeColor="accent1"/>
      <w:spacing w:val="5"/>
    </w:rPr>
  </w:style>
  <w:style w:type="character" w:styleId="BookTitle">
    <w:name w:val="Book Title"/>
    <w:basedOn w:val="DefaultParagraphFont"/>
    <w:uiPriority w:val="33"/>
    <w:qFormat/>
    <w:rsid w:val="00614EAC"/>
    <w:rPr>
      <w:b/>
      <w:bCs/>
      <w:i/>
      <w:iCs/>
      <w:spacing w:val="5"/>
    </w:rPr>
  </w:style>
  <w:style w:type="paragraph" w:styleId="TOCHeading">
    <w:name w:val="TOC Heading"/>
    <w:basedOn w:val="Heading1"/>
    <w:next w:val="Normal"/>
    <w:uiPriority w:val="39"/>
    <w:semiHidden/>
    <w:unhideWhenUsed/>
    <w:qFormat/>
    <w:rsid w:val="00404A37"/>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 w:type="paragraph" w:customStyle="1" w:styleId="1">
    <w:name w:val="1."/>
    <w:basedOn w:val="Normal"/>
    <w:link w:val="1Char"/>
    <w:qFormat/>
    <w:rsid w:val="00404A37"/>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404A37"/>
    <w:rPr>
      <w:rFonts w:ascii="Arial" w:eastAsia="SimSun" w:hAnsi="Arial" w:cs="Arial"/>
      <w:w w:val="96"/>
      <w:lang w:val="en-US" w:eastAsia="fr-FR"/>
    </w:rPr>
  </w:style>
  <w:style w:type="paragraph" w:customStyle="1" w:styleId="U1">
    <w:name w:val="U.1"/>
    <w:basedOn w:val="Normal"/>
    <w:qFormat/>
    <w:rsid w:val="00404A37"/>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404A37"/>
    <w:pPr>
      <w:numPr>
        <w:numId w:val="1"/>
      </w:numPr>
      <w:tabs>
        <w:tab w:val="clear" w:pos="567"/>
      </w:tabs>
      <w:snapToGrid/>
      <w:spacing w:before="240" w:after="0"/>
    </w:pPr>
    <w:rPr>
      <w:snapToGrid/>
      <w:szCs w:val="22"/>
      <w:lang w:eastAsia="fr-FR"/>
    </w:rPr>
  </w:style>
  <w:style w:type="character" w:customStyle="1" w:styleId="ParagraphChar">
    <w:name w:val="Paragraph Char"/>
    <w:link w:val="Paragraph"/>
    <w:rsid w:val="00404A37"/>
    <w:rPr>
      <w:rFonts w:ascii="Arial" w:eastAsia="SimSun" w:hAnsi="Arial" w:cs="Arial"/>
      <w:lang w:val="en-US" w:eastAsia="fr-FR"/>
    </w:rPr>
  </w:style>
  <w:style w:type="paragraph" w:customStyle="1" w:styleId="Slideheading">
    <w:name w:val="Slide heading"/>
    <w:basedOn w:val="Heading2"/>
    <w:link w:val="SlideheadingChar"/>
    <w:qFormat/>
    <w:rsid w:val="00404A37"/>
    <w:pPr>
      <w:spacing w:before="200"/>
    </w:pPr>
    <w:rPr>
      <w:rFonts w:eastAsia="Times New Roman" w:cs="Times New Roman"/>
      <w:b/>
      <w:noProof w:val="0"/>
      <w:color w:val="000000"/>
      <w:kern w:val="0"/>
      <w:sz w:val="24"/>
      <w:szCs w:val="26"/>
      <w:lang w:val="en-GB"/>
    </w:rPr>
  </w:style>
  <w:style w:type="character" w:customStyle="1" w:styleId="SlideheadingChar">
    <w:name w:val="Slide heading Char"/>
    <w:link w:val="Slideheading"/>
    <w:rsid w:val="00404A37"/>
    <w:rPr>
      <w:rFonts w:ascii="Arial" w:eastAsia="Times New Roman" w:hAnsi="Arial" w:cs="Times New Roman"/>
      <w:b/>
      <w:bCs/>
      <w:snapToGrid w:val="0"/>
      <w:color w:val="000000"/>
      <w:sz w:val="24"/>
      <w:szCs w:val="26"/>
      <w:lang w:eastAsia="zh-CN"/>
    </w:rPr>
  </w:style>
  <w:style w:type="paragraph" w:customStyle="1" w:styleId="Txtsecondbullet">
    <w:name w:val="Txt second bullet"/>
    <w:basedOn w:val="Normal"/>
    <w:qFormat/>
    <w:rsid w:val="00404A37"/>
    <w:pPr>
      <w:numPr>
        <w:ilvl w:val="1"/>
        <w:numId w:val="4"/>
      </w:numPr>
      <w:spacing w:before="0" w:after="60" w:line="280" w:lineRule="exact"/>
    </w:pPr>
    <w:rPr>
      <w:snapToGrid/>
      <w:sz w:val="20"/>
      <w:lang w:val="fr-FR"/>
    </w:rPr>
  </w:style>
  <w:style w:type="paragraph" w:customStyle="1" w:styleId="citationunit">
    <w:name w:val="citation unit"/>
    <w:basedOn w:val="Normal"/>
    <w:qFormat/>
    <w:rsid w:val="00404A37"/>
    <w:pPr>
      <w:spacing w:before="0" w:after="60" w:line="280" w:lineRule="exact"/>
      <w:ind w:left="1134" w:right="284"/>
    </w:pPr>
    <w:rPr>
      <w:snapToGrid/>
      <w:sz w:val="20"/>
      <w:lang w:val="fr-FR"/>
    </w:rPr>
  </w:style>
  <w:style w:type="paragraph" w:styleId="FootnoteText">
    <w:name w:val="footnote text"/>
    <w:basedOn w:val="Normal"/>
    <w:link w:val="FootnoteTextChar"/>
    <w:unhideWhenUsed/>
    <w:rsid w:val="00404A37"/>
    <w:pPr>
      <w:spacing w:before="0" w:after="0"/>
    </w:pPr>
    <w:rPr>
      <w:sz w:val="20"/>
      <w:szCs w:val="20"/>
    </w:rPr>
  </w:style>
  <w:style w:type="character" w:customStyle="1" w:styleId="FootnoteTextChar">
    <w:name w:val="Footnote Text Char"/>
    <w:basedOn w:val="DefaultParagraphFont"/>
    <w:link w:val="FootnoteText"/>
    <w:rsid w:val="00404A37"/>
    <w:rPr>
      <w:rFonts w:ascii="Arial" w:eastAsia="SimSun" w:hAnsi="Arial" w:cs="Arial"/>
      <w:snapToGrid w:val="0"/>
      <w:sz w:val="20"/>
      <w:szCs w:val="20"/>
      <w:lang w:val="en-US" w:eastAsia="zh-CN"/>
    </w:rPr>
  </w:style>
  <w:style w:type="character" w:styleId="FootnoteReference">
    <w:name w:val="footnote reference"/>
    <w:basedOn w:val="DefaultParagraphFont"/>
    <w:unhideWhenUsed/>
    <w:rsid w:val="00A12E73"/>
    <w:rPr>
      <w:vertAlign w:val="superscript"/>
    </w:rPr>
  </w:style>
  <w:style w:type="character" w:styleId="Hyperlink">
    <w:name w:val="Hyperlink"/>
    <w:basedOn w:val="DefaultParagraphFont"/>
    <w:uiPriority w:val="99"/>
    <w:unhideWhenUsed/>
    <w:rsid w:val="0055356A"/>
    <w:rPr>
      <w:color w:val="0000FF" w:themeColor="hyperlink"/>
      <w:u w:val="single"/>
    </w:rPr>
  </w:style>
  <w:style w:type="character" w:styleId="FollowedHyperlink">
    <w:name w:val="FollowedHyperlink"/>
    <w:basedOn w:val="DefaultParagraphFont"/>
    <w:uiPriority w:val="99"/>
    <w:semiHidden/>
    <w:unhideWhenUsed/>
    <w:rsid w:val="0055356A"/>
    <w:rPr>
      <w:color w:val="800080" w:themeColor="followedHyperlink"/>
      <w:u w:val="single"/>
    </w:rPr>
  </w:style>
  <w:style w:type="paragraph" w:customStyle="1" w:styleId="Caschap">
    <w:name w:val="Caschap"/>
    <w:basedOn w:val="Normal"/>
    <w:rsid w:val="004F6A37"/>
    <w:pPr>
      <w:keepNext/>
      <w:widowControl w:val="0"/>
      <w:tabs>
        <w:tab w:val="clear" w:pos="567"/>
      </w:tabs>
      <w:spacing w:before="0" w:line="480" w:lineRule="exact"/>
      <w:outlineLvl w:val="3"/>
    </w:pPr>
    <w:rPr>
      <w:rFonts w:eastAsia="Times New Roman"/>
      <w:b/>
      <w:bCs/>
      <w:i/>
      <w:iCs/>
      <w:caps/>
      <w:snapToGrid/>
      <w:w w:val="107"/>
      <w:sz w:val="36"/>
      <w:szCs w:val="48"/>
      <w:lang w:eastAsia="en-US"/>
    </w:rPr>
  </w:style>
  <w:style w:type="paragraph" w:customStyle="1" w:styleId="Cas">
    <w:name w:val="Cas"/>
    <w:basedOn w:val="Heading4"/>
    <w:rsid w:val="004F6A37"/>
    <w:pPr>
      <w:keepLines w:val="0"/>
      <w:widowControl w:val="0"/>
      <w:tabs>
        <w:tab w:val="clear" w:pos="567"/>
      </w:tabs>
      <w:spacing w:before="0" w:after="240" w:line="360" w:lineRule="exact"/>
      <w:jc w:val="left"/>
    </w:pPr>
    <w:rPr>
      <w:rFonts w:ascii="Arial" w:eastAsia="Times New Roman" w:hAnsi="Arial" w:cs="Arial"/>
      <w:b/>
      <w:bCs/>
      <w:caps w:val="0"/>
      <w:snapToGrid/>
      <w:color w:val="0000FF"/>
      <w:w w:val="107"/>
      <w:sz w:val="28"/>
      <w:szCs w:val="28"/>
      <w:lang w:val="en-GB" w:eastAsia="en-US"/>
    </w:rPr>
  </w:style>
  <w:style w:type="paragraph" w:customStyle="1" w:styleId="Texte1">
    <w:name w:val="Texte1"/>
    <w:basedOn w:val="Normal"/>
    <w:link w:val="Texte1Car"/>
    <w:autoRedefine/>
    <w:rsid w:val="004F6A37"/>
    <w:pPr>
      <w:spacing w:before="0" w:after="60" w:line="280" w:lineRule="exact"/>
      <w:ind w:left="850"/>
    </w:pPr>
    <w:rPr>
      <w:snapToGrid/>
      <w:w w:val="95"/>
      <w:sz w:val="20"/>
      <w:szCs w:val="20"/>
      <w:lang w:val="en-GB"/>
    </w:rPr>
  </w:style>
  <w:style w:type="character" w:customStyle="1" w:styleId="Texte1Car">
    <w:name w:val="Texte1 Car"/>
    <w:link w:val="Texte1"/>
    <w:rsid w:val="004F6A37"/>
    <w:rPr>
      <w:rFonts w:ascii="Arial" w:eastAsia="SimSun" w:hAnsi="Arial" w:cs="Arial"/>
      <w:w w:val="95"/>
      <w:sz w:val="20"/>
      <w:szCs w:val="20"/>
      <w:lang w:eastAsia="zh-CN"/>
    </w:rPr>
  </w:style>
  <w:style w:type="paragraph" w:styleId="Header">
    <w:name w:val="header"/>
    <w:basedOn w:val="Normal"/>
    <w:link w:val="HeaderChar"/>
    <w:uiPriority w:val="99"/>
    <w:unhideWhenUsed/>
    <w:rsid w:val="001A4070"/>
    <w:pPr>
      <w:tabs>
        <w:tab w:val="clear" w:pos="567"/>
        <w:tab w:val="center" w:pos="4536"/>
        <w:tab w:val="right" w:pos="9072"/>
      </w:tabs>
      <w:spacing w:before="0" w:after="0"/>
    </w:pPr>
  </w:style>
  <w:style w:type="character" w:customStyle="1" w:styleId="HeaderChar">
    <w:name w:val="Header Char"/>
    <w:basedOn w:val="DefaultParagraphFont"/>
    <w:link w:val="Header"/>
    <w:uiPriority w:val="99"/>
    <w:rsid w:val="001A4070"/>
    <w:rPr>
      <w:rFonts w:ascii="Arial" w:eastAsia="SimSun" w:hAnsi="Arial" w:cs="Arial"/>
      <w:snapToGrid w:val="0"/>
      <w:szCs w:val="24"/>
      <w:lang w:val="en-US" w:eastAsia="zh-CN"/>
    </w:rPr>
  </w:style>
  <w:style w:type="paragraph" w:styleId="Footer">
    <w:name w:val="footer"/>
    <w:basedOn w:val="Normal"/>
    <w:link w:val="FooterChar"/>
    <w:uiPriority w:val="99"/>
    <w:unhideWhenUsed/>
    <w:rsid w:val="001A4070"/>
    <w:pPr>
      <w:tabs>
        <w:tab w:val="clear" w:pos="567"/>
        <w:tab w:val="center" w:pos="4536"/>
        <w:tab w:val="right" w:pos="9072"/>
      </w:tabs>
      <w:spacing w:before="0" w:after="0"/>
    </w:pPr>
  </w:style>
  <w:style w:type="character" w:customStyle="1" w:styleId="FooterChar">
    <w:name w:val="Footer Char"/>
    <w:basedOn w:val="DefaultParagraphFont"/>
    <w:link w:val="Footer"/>
    <w:uiPriority w:val="99"/>
    <w:rsid w:val="001A4070"/>
    <w:rPr>
      <w:rFonts w:ascii="Arial" w:eastAsia="SimSun" w:hAnsi="Arial" w:cs="Arial"/>
      <w:snapToGrid w:val="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959340">
      <w:bodyDiv w:val="1"/>
      <w:marLeft w:val="0"/>
      <w:marRight w:val="0"/>
      <w:marTop w:val="0"/>
      <w:marBottom w:val="0"/>
      <w:divBdr>
        <w:top w:val="none" w:sz="0" w:space="0" w:color="auto"/>
        <w:left w:val="none" w:sz="0" w:space="0" w:color="auto"/>
        <w:bottom w:val="none" w:sz="0" w:space="0" w:color="auto"/>
        <w:right w:val="none" w:sz="0" w:space="0" w:color="auto"/>
      </w:divBdr>
    </w:div>
    <w:div w:id="171117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cultura.gov.co/ministerio/politicas-culturales/salvaguardia-patrimonio-cultural-inmaterial/Documents/03_politica_salvaguardia_patrimonio_cultural_inmaterial.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ncultura.gov.co/ministerio/politicas-culturales/salvaguardia-patrimonio-cultural-inmaterial/Documents/03_politica_salvaguardia_patrimonio_cultural_inmaterial.pdf"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google.ch/url?sa=t&amp;rct=j&amp;q=&amp;esrc=s&amp;source=web&amp;cd=1&amp;cad=rja&amp;uact=8&amp;ved=0ahUKEwj78Omd88TJAhXBuxQKHV8WCpYQFggdMAA&amp;url=http%3A%2F%2Fwww.wipo.int%2Fedocs%2Fmdocs%2Ftk%2Fes%2Fwipo_grtkf_ic_5%2Fwipo_grtkf_ic_5_3.doc&amp;usg=AFQjCNFrseTcmrbmnkFo691Q7LL6skgpng&amp;sig2=pr6rLxBZXvo6J9r4VTdUJA" TargetMode="External"/><Relationship Id="rId1" Type="http://schemas.openxmlformats.org/officeDocument/2006/relationships/hyperlink" Target="http://www.ilo.org/indigenous/Conventions/no169/lang--e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C18D6-C424-431E-BCF2-6245E8426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4</Pages>
  <Words>1530</Words>
  <Characters>8416</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Deacon</dc:creator>
  <cp:keywords/>
  <dc:description/>
  <cp:lastModifiedBy>Kim, Dain</cp:lastModifiedBy>
  <cp:revision>27</cp:revision>
  <dcterms:created xsi:type="dcterms:W3CDTF">2015-08-24T16:13:00Z</dcterms:created>
  <dcterms:modified xsi:type="dcterms:W3CDTF">2018-03-20T15:02:00Z</dcterms:modified>
</cp:coreProperties>
</file>