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49" w:rsidRPr="00CC7049" w:rsidRDefault="00CC7049" w:rsidP="00CC7049">
      <w:pPr>
        <w:pStyle w:val="Caschap"/>
        <w:jc w:val="left"/>
        <w:rPr>
          <w:b/>
          <w:i w:val="0"/>
          <w:caps w:val="0"/>
        </w:rPr>
      </w:pPr>
      <w:r>
        <w:rPr>
          <w:b/>
          <w:i w:val="0"/>
          <w:caps w:val="0"/>
        </w:rPr>
        <w:t>ESTUDIO DE CASO</w:t>
      </w:r>
      <w:r w:rsidRPr="00CC7049">
        <w:rPr>
          <w:b/>
          <w:i w:val="0"/>
          <w:caps w:val="0"/>
        </w:rPr>
        <w:t xml:space="preserve"> 54</w:t>
      </w:r>
    </w:p>
    <w:p w:rsidR="00414297" w:rsidRPr="00CC7049" w:rsidRDefault="00414297" w:rsidP="00CC7049">
      <w:pPr>
        <w:pStyle w:val="Cas"/>
        <w:jc w:val="left"/>
        <w:rPr>
          <w:i w:val="0"/>
          <w:iCs w:val="0"/>
          <w:caps w:val="0"/>
        </w:rPr>
      </w:pPr>
      <w:r w:rsidRPr="00CC7049">
        <w:rPr>
          <w:i w:val="0"/>
          <w:iCs w:val="0"/>
          <w:caps w:val="0"/>
        </w:rPr>
        <w:t>Flandes: una política de facilitación</w:t>
      </w:r>
    </w:p>
    <w:p w:rsidR="00997C40" w:rsidRPr="00683B0B" w:rsidRDefault="00997C40" w:rsidP="00683B0B">
      <w:pPr>
        <w:pStyle w:val="Texte1"/>
      </w:pPr>
      <w:r w:rsidRPr="00FE477A">
        <w:rPr>
          <w:lang w:val="fr-FR"/>
        </w:rPr>
        <w:t xml:space="preserve">Algunos Estados transfieren oficialmente al nivel subnacional las competencias en materia de formulación de políticas y gestión del patrimonio. </w:t>
      </w:r>
      <w:r w:rsidRPr="00683B0B">
        <w:t xml:space="preserve">En Bélgica, por ejemplo, que es un Estado federal con una fuerte autonomía regional, el Gobierno de la región flamenca tiene competencia sobre las cuestiones relativas a su patrimonio. Ha publicado un decreto sobre el patrimonio cultural y ha encomendado la aplicación de este decreto a una serie de organizaciones no gubernamentales y sin fines de lucro que trabajan en el ámbito del patrimonio </w:t>
      </w:r>
      <w:r w:rsidR="00683B0B" w:rsidRPr="00683B0B">
        <w:t>cultural material e inmaterial.</w:t>
      </w:r>
    </w:p>
    <w:p w:rsidR="00997C40" w:rsidRPr="00683B0B" w:rsidRDefault="00997C40" w:rsidP="00683B0B">
      <w:pPr>
        <w:pStyle w:val="Texte1"/>
      </w:pPr>
      <w:r w:rsidRPr="00683B0B">
        <w:t xml:space="preserve">A través del </w:t>
      </w:r>
      <w:r w:rsidR="00894D8B" w:rsidRPr="00683B0B">
        <w:t>D</w:t>
      </w:r>
      <w:r w:rsidRPr="00683B0B">
        <w:t xml:space="preserve">ecreto </w:t>
      </w:r>
      <w:r w:rsidR="00894D8B" w:rsidRPr="00683B0B">
        <w:t>del Patrimonio C</w:t>
      </w:r>
      <w:r w:rsidRPr="00683B0B">
        <w:t xml:space="preserve">ultural de 2008 (revisado en 2012), Flandes ha adoptado una política de facilitación, que se apoya en una activa red de organizaciones del patrimonio cultural </w:t>
      </w:r>
      <w:r w:rsidR="00894D8B" w:rsidRPr="00683B0B">
        <w:t>para</w:t>
      </w:r>
      <w:r w:rsidRPr="00683B0B">
        <w:t xml:space="preserve"> fomentar la labor de transmisión y salvaguardia del patrimonio </w:t>
      </w:r>
      <w:r w:rsidR="00894D8B" w:rsidRPr="00683B0B">
        <w:t>de</w:t>
      </w:r>
      <w:r w:rsidR="00F05D89" w:rsidRPr="00683B0B">
        <w:t xml:space="preserve"> los “</w:t>
      </w:r>
      <w:r w:rsidRPr="00683B0B">
        <w:t>grupos</w:t>
      </w:r>
      <w:r w:rsidR="00F05D89" w:rsidRPr="00683B0B">
        <w:t xml:space="preserve"> de trabajo sobre el patrimonio”</w:t>
      </w:r>
      <w:r w:rsidRPr="00683B0B">
        <w:t xml:space="preserve"> (</w:t>
      </w:r>
      <w:r w:rsidR="00047B87" w:rsidRPr="00683B0B">
        <w:t>Kunsten En Erfgoed,</w:t>
      </w:r>
      <w:r w:rsidRPr="00683B0B">
        <w:t xml:space="preserve"> 2010).  </w:t>
      </w:r>
      <w:r w:rsidR="003E7C29" w:rsidRPr="00683B0B">
        <w:t xml:space="preserve">Según este enfoque descentralizado, </w:t>
      </w:r>
      <w:r w:rsidRPr="00683B0B">
        <w:t xml:space="preserve">el Gobierno </w:t>
      </w:r>
      <w:r w:rsidR="003E7C29" w:rsidRPr="00683B0B">
        <w:t>desempeña el papel de</w:t>
      </w:r>
      <w:r w:rsidRPr="00683B0B">
        <w:t xml:space="preserve"> controlador, supervisor y moderador de la calidad del proceso, mientras que las comunidades y la sociedad civil se sitúan al fren</w:t>
      </w:r>
      <w:r w:rsidR="00683B0B" w:rsidRPr="00683B0B">
        <w:t>te de la labor de salvaguardia.</w:t>
      </w:r>
    </w:p>
    <w:p w:rsidR="00414297" w:rsidRPr="00683B0B" w:rsidRDefault="00414297" w:rsidP="00683B0B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 w:rsidRPr="00683B0B">
        <w:rPr>
          <w:rFonts w:ascii="Arial" w:eastAsia="Times New Roman" w:hAnsi="Arial" w:cs="Arial"/>
          <w:b/>
          <w:bCs/>
          <w:snapToGrid/>
          <w:sz w:val="20"/>
          <w:lang w:eastAsia="en-US"/>
        </w:rPr>
        <w:t>Una red bidimensio</w:t>
      </w:r>
      <w:r w:rsidR="00683B0B">
        <w:rPr>
          <w:rFonts w:ascii="Arial" w:eastAsia="Times New Roman" w:hAnsi="Arial" w:cs="Arial"/>
          <w:b/>
          <w:bCs/>
          <w:snapToGrid/>
          <w:sz w:val="20"/>
          <w:lang w:eastAsia="en-US"/>
        </w:rPr>
        <w:t>nal de alcance local y nacional</w:t>
      </w:r>
    </w:p>
    <w:p w:rsidR="00414297" w:rsidRPr="00683B0B" w:rsidRDefault="00414297" w:rsidP="00683B0B">
      <w:pPr>
        <w:pStyle w:val="Texte1"/>
        <w:ind w:left="850"/>
      </w:pPr>
      <w:r w:rsidRPr="00683B0B">
        <w:t xml:space="preserve">La política de facilitación funciona básicamente como </w:t>
      </w:r>
      <w:r w:rsidR="003E7C29" w:rsidRPr="00683B0B">
        <w:t>una red bidimensional:</w:t>
      </w:r>
    </w:p>
    <w:p w:rsidR="00414297" w:rsidRPr="00FE477A" w:rsidRDefault="00414297" w:rsidP="00683B0B">
      <w:pPr>
        <w:pStyle w:val="Texte1"/>
        <w:numPr>
          <w:ilvl w:val="0"/>
          <w:numId w:val="9"/>
        </w:numPr>
        <w:rPr>
          <w:lang w:val="fr-FR"/>
        </w:rPr>
      </w:pPr>
      <w:r w:rsidRPr="00FE477A">
        <w:rPr>
          <w:lang w:val="fr-FR"/>
        </w:rPr>
        <w:t xml:space="preserve">En el nivel nacional, corresponde a las organizaciones especializadas aplicar el decreto y proporcionar conocimientos temáticos o metodológicos en la región de Flandes. </w:t>
      </w:r>
      <w:r w:rsidR="003E7C29" w:rsidRPr="00FE477A">
        <w:rPr>
          <w:lang w:val="fr-FR"/>
        </w:rPr>
        <w:t>Las organizaciones s</w:t>
      </w:r>
      <w:r w:rsidRPr="00FE477A">
        <w:rPr>
          <w:lang w:val="fr-FR"/>
        </w:rPr>
        <w:t>uelen agruparse en función de los ámbitos del patrimonio cultural inmater</w:t>
      </w:r>
      <w:r w:rsidR="00683B0B" w:rsidRPr="00FE477A">
        <w:rPr>
          <w:lang w:val="fr-FR"/>
        </w:rPr>
        <w:t>ial que reconoce la Convención.</w:t>
      </w:r>
    </w:p>
    <w:p w:rsidR="00414297" w:rsidRPr="00FE477A" w:rsidRDefault="00414297" w:rsidP="00683B0B">
      <w:pPr>
        <w:pStyle w:val="Texte1"/>
        <w:numPr>
          <w:ilvl w:val="0"/>
          <w:numId w:val="9"/>
        </w:numPr>
        <w:rPr>
          <w:lang w:val="fr-FR"/>
        </w:rPr>
      </w:pPr>
      <w:r w:rsidRPr="00FE477A">
        <w:rPr>
          <w:lang w:val="fr-FR"/>
        </w:rPr>
        <w:t>En el nivel local, los trabajadores del patrimonio organizados en «grupos de trabajo sobre el patrimonio» aseguran la colaboración y las sin</w:t>
      </w:r>
      <w:r w:rsidR="00683B0B" w:rsidRPr="00FE477A">
        <w:rPr>
          <w:lang w:val="fr-FR"/>
        </w:rPr>
        <w:t>ergias con los actores locales.</w:t>
      </w:r>
    </w:p>
    <w:p w:rsidR="00414297" w:rsidRPr="00683B0B" w:rsidRDefault="00414297" w:rsidP="00683B0B">
      <w:pPr>
        <w:pStyle w:val="Texte1"/>
        <w:ind w:left="850"/>
      </w:pPr>
      <w:r w:rsidRPr="00683B0B">
        <w:t>Dos organizaciones independientes desempeñan un papel clave en la facilitación de esta red:</w:t>
      </w:r>
    </w:p>
    <w:p w:rsidR="00414297" w:rsidRPr="00683B0B" w:rsidRDefault="00414297" w:rsidP="00683B0B">
      <w:pPr>
        <w:pStyle w:val="Texte1"/>
        <w:numPr>
          <w:ilvl w:val="0"/>
          <w:numId w:val="10"/>
        </w:numPr>
      </w:pPr>
      <w:r w:rsidRPr="00683B0B">
        <w:t>El Flemish Interface Center for Cultural Heritage (FARO), cuyo objetivo es fortalecer y apoyar el patrimonio cultural de Flandes con vistas a alcanzar los objetivos del decret</w:t>
      </w:r>
      <w:r w:rsidR="00683B0B" w:rsidRPr="00683B0B">
        <w:t>o sobre el patrimonio cultural.</w:t>
      </w:r>
    </w:p>
    <w:p w:rsidR="00997C40" w:rsidRPr="00FE477A" w:rsidRDefault="00414297" w:rsidP="00683B0B">
      <w:pPr>
        <w:pStyle w:val="Texte1"/>
        <w:numPr>
          <w:ilvl w:val="0"/>
          <w:numId w:val="10"/>
        </w:numPr>
        <w:rPr>
          <w:lang w:val="fr-FR"/>
        </w:rPr>
      </w:pPr>
      <w:r w:rsidRPr="00FE477A">
        <w:rPr>
          <w:lang w:val="fr-FR"/>
        </w:rPr>
        <w:t>Tapis Plein, que se centra principalmente en métodos para guiar la participación ciudadana en la salvaguardia del patrimonio cultural inmaterial (</w:t>
      </w:r>
      <w:r w:rsidR="003E7C29" w:rsidRPr="00FE477A">
        <w:rPr>
          <w:lang w:val="fr-FR"/>
        </w:rPr>
        <w:t>Informe P</w:t>
      </w:r>
      <w:r w:rsidRPr="00FE477A">
        <w:rPr>
          <w:lang w:val="fr-FR"/>
        </w:rPr>
        <w:t>eriódico de la UNESCO, 2013).</w:t>
      </w:r>
    </w:p>
    <w:p w:rsidR="00414297" w:rsidRPr="00683B0B" w:rsidRDefault="00FD12F5" w:rsidP="00683B0B">
      <w:pPr>
        <w:pStyle w:val="Texte1"/>
      </w:pPr>
      <w:r w:rsidRPr="00683B0B">
        <w:t xml:space="preserve">El Gobierno apoya la política de facilitación mediante la concesión de subsidios a estas organizaciones </w:t>
      </w:r>
      <w:r w:rsidR="003E7C29" w:rsidRPr="00683B0B">
        <w:t>para</w:t>
      </w:r>
      <w:r w:rsidRPr="00683B0B">
        <w:t xml:space="preserve"> que</w:t>
      </w:r>
      <w:r w:rsidR="003E7C29" w:rsidRPr="00683B0B">
        <w:t xml:space="preserve"> estas</w:t>
      </w:r>
      <w:r w:rsidRPr="00683B0B">
        <w:t xml:space="preserve"> puedan cumplir sus funciones, por ejemplo, formando intermediarios o mediadores entre las autoridades nacionales y las comunidades interesadas. Estas organizaciones desempeñan otras funciones diferentes a las de salvaguardia del PCI, por lo que no todo el subsidio que reciben se destina a actividades relacionadas con </w:t>
      </w:r>
      <w:r w:rsidR="003E7C29" w:rsidRPr="00683B0B">
        <w:t>él</w:t>
      </w:r>
      <w:r w:rsidRPr="00683B0B">
        <w:t>. La comunidad flamenca también concede subsidios a las administraciones locales para ayudarlas a de</w:t>
      </w:r>
      <w:r w:rsidR="003E7C29" w:rsidRPr="00683B0B">
        <w:t>sarrollar una política local de</w:t>
      </w:r>
      <w:r w:rsidRPr="00683B0B">
        <w:t xml:space="preserve"> patrimonio (</w:t>
      </w:r>
      <w:r w:rsidR="003E7C29" w:rsidRPr="00683B0B">
        <w:t xml:space="preserve">Informe Periódico de la </w:t>
      </w:r>
      <w:r w:rsidRPr="00683B0B">
        <w:t>UNESCO, 2013).</w:t>
      </w:r>
    </w:p>
    <w:p w:rsidR="004361C7" w:rsidRPr="00FE477A" w:rsidRDefault="004361C7" w:rsidP="00683B0B">
      <w:pPr>
        <w:pStyle w:val="Texte1"/>
        <w:rPr>
          <w:lang w:val="fr-FR"/>
        </w:rPr>
      </w:pPr>
      <w:r w:rsidRPr="00FE477A">
        <w:rPr>
          <w:lang w:val="fr-FR"/>
        </w:rPr>
        <w:t>La política flamenca no se limita a actores del sector del patrimonio cultural (que reciben subsidios), sino que también se extiende a las artes, la agricultura y la pesca, el patrimonio inmueble, etc. (</w:t>
      </w:r>
      <w:r w:rsidR="00047B87" w:rsidRPr="00FE477A">
        <w:rPr>
          <w:lang w:val="fr-FR"/>
        </w:rPr>
        <w:t>Kunsten En Erfgoed</w:t>
      </w:r>
      <w:r w:rsidRPr="00FE477A">
        <w:rPr>
          <w:lang w:val="fr-FR"/>
        </w:rPr>
        <w:t xml:space="preserve">, 2010). Por ello, las organizaciones que no pertenecen al sector del patrimonio también pueden solicitar fondos en virtud de la política de facilitación del PCI si planean emprender proyectos </w:t>
      </w:r>
      <w:r w:rsidR="00683B0B" w:rsidRPr="00FE477A">
        <w:rPr>
          <w:lang w:val="fr-FR"/>
        </w:rPr>
        <w:t>relacionados con el patrimonio.</w:t>
      </w:r>
    </w:p>
    <w:p w:rsidR="00414297" w:rsidRPr="00683B0B" w:rsidRDefault="00F16A08" w:rsidP="00683B0B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 w:rsidRPr="00683B0B">
        <w:rPr>
          <w:rFonts w:ascii="Arial" w:eastAsia="Times New Roman" w:hAnsi="Arial" w:cs="Arial"/>
          <w:b/>
          <w:bCs/>
          <w:snapToGrid/>
          <w:sz w:val="20"/>
          <w:lang w:eastAsia="en-US"/>
        </w:rPr>
        <w:lastRenderedPageBreak/>
        <w:t>Una plataforma en línea para participar en políticas relacionadas con el PCI</w:t>
      </w:r>
    </w:p>
    <w:p w:rsidR="00414297" w:rsidRPr="00FE477A" w:rsidRDefault="00414297" w:rsidP="00683B0B">
      <w:pPr>
        <w:pStyle w:val="Texte1"/>
        <w:rPr>
          <w:lang w:val="fr-FR"/>
        </w:rPr>
      </w:pPr>
      <w:r w:rsidRPr="00FE477A">
        <w:rPr>
          <w:lang w:val="fr-FR"/>
        </w:rPr>
        <w:t xml:space="preserve">Entre otras herramientas que le han permitido aplicar su política de facilitación, Flandes ha utilizado una plataforma en línea para fomentar la participación pública. En 2012, el Gobierno y una red de partes interesadas publicaron un sitio web interactivo sobre la salvaguardia del PCI: </w:t>
      </w:r>
      <w:hyperlink r:id="rId8" w:history="1">
        <w:r w:rsidRPr="00FE477A">
          <w:rPr>
            <w:lang w:val="fr-FR"/>
          </w:rPr>
          <w:t>www.immaterieelerfgoed.be</w:t>
        </w:r>
      </w:hyperlink>
    </w:p>
    <w:p w:rsidR="00414297" w:rsidRPr="00683B0B" w:rsidRDefault="00414297" w:rsidP="00683B0B">
      <w:pPr>
        <w:pStyle w:val="Texte1"/>
      </w:pPr>
      <w:r w:rsidRPr="00FE477A">
        <w:rPr>
          <w:lang w:val="fr-FR"/>
        </w:rPr>
        <w:t xml:space="preserve">La plataforma en línea busca alejarse de las actuales técnicas de inventariado y proponer instrumentos innovadores que permitan que las partes interesadas trabajen en equipo, compartan información y aprendan.  </w:t>
      </w:r>
      <w:r w:rsidRPr="00683B0B">
        <w:t>Además de incluir una base de datos sobre los elementos del patrimonio cultural inmaterial, el sitio web también ofrece otras funcionalidades que permiten a los usuarios:</w:t>
      </w:r>
    </w:p>
    <w:p w:rsidR="00414297" w:rsidRPr="00683B0B" w:rsidRDefault="00414297" w:rsidP="00683B0B">
      <w:pPr>
        <w:pStyle w:val="Texte1"/>
        <w:numPr>
          <w:ilvl w:val="0"/>
          <w:numId w:val="11"/>
        </w:numPr>
      </w:pPr>
      <w:r w:rsidRPr="00683B0B">
        <w:t xml:space="preserve">relacionar elementos del PCI con ejemplos de mejores prácticas, centros especializados y redes de expertos; </w:t>
      </w:r>
    </w:p>
    <w:p w:rsidR="00414297" w:rsidRPr="00683B0B" w:rsidRDefault="00414297" w:rsidP="00683B0B">
      <w:pPr>
        <w:pStyle w:val="Texte1"/>
        <w:numPr>
          <w:ilvl w:val="0"/>
          <w:numId w:val="11"/>
        </w:numPr>
      </w:pPr>
      <w:r w:rsidRPr="00683B0B">
        <w:t xml:space="preserve">desarrollar, compartir, exponer y comunicar medidas de salvaguardia y </w:t>
      </w:r>
      <w:r w:rsidR="00832EE1" w:rsidRPr="00683B0B">
        <w:t>de</w:t>
      </w:r>
      <w:r w:rsidRPr="00683B0B">
        <w:t xml:space="preserve"> transmisión del PCI; y</w:t>
      </w:r>
    </w:p>
    <w:p w:rsidR="00414297" w:rsidRPr="00683B0B" w:rsidRDefault="00414297" w:rsidP="00683B0B">
      <w:pPr>
        <w:pStyle w:val="Texte1"/>
        <w:numPr>
          <w:ilvl w:val="0"/>
          <w:numId w:val="11"/>
        </w:numPr>
      </w:pPr>
      <w:r w:rsidRPr="00683B0B">
        <w:t>conectar a diferentes tipos de actores (comu</w:t>
      </w:r>
      <w:r w:rsidR="00832EE1" w:rsidRPr="00683B0B">
        <w:t>nidades, expertos, ONG, etc.) y en</w:t>
      </w:r>
      <w:r w:rsidRPr="00683B0B">
        <w:t xml:space="preserve"> todos los niveles (local, municipal, comunidad flamenca) (Flanders State of the Art, 2014).</w:t>
      </w:r>
    </w:p>
    <w:p w:rsidR="00414297" w:rsidRPr="00F05D89" w:rsidRDefault="00414297" w:rsidP="004361C7">
      <w:pPr>
        <w:pStyle w:val="Heading3"/>
        <w:rPr>
          <w:lang w:val="es-ES"/>
        </w:rPr>
      </w:pPr>
      <w:r w:rsidRPr="00F05D89">
        <w:rPr>
          <w:lang w:val="es-ES"/>
        </w:rPr>
        <w:t>La cooperación internacional: un objetivo importante</w:t>
      </w:r>
    </w:p>
    <w:p w:rsidR="00414297" w:rsidRPr="00683B0B" w:rsidRDefault="00414297" w:rsidP="00683B0B">
      <w:pPr>
        <w:pStyle w:val="Texte1"/>
      </w:pPr>
      <w:r w:rsidRPr="00683B0B">
        <w:t>La cooperación internacional es un objetivo importante de la política del patrimonio inmaterial de Flandes. En primer lugar, Flandes ha desempeñado un papel proactivo en los mecan</w:t>
      </w:r>
      <w:r w:rsidR="00210EAA" w:rsidRPr="00683B0B">
        <w:t xml:space="preserve">ismos de la Convención y, en segundo lugar, </w:t>
      </w:r>
      <w:r w:rsidRPr="00683B0B">
        <w:t>Bélgica/Flandes es actualmente miembro del Comité del Patrimonio Cultural Inmaterial. A través del fondo fiduciario UNESCO/Flandes, la comunidad flamenca ha apoyado diversos proyectos de fortalecimiento de las capacidades en materia de salvaguardia del patrimonio cultural inmaterial en África del Sur.</w:t>
      </w:r>
    </w:p>
    <w:p w:rsidR="00414297" w:rsidRPr="00683B0B" w:rsidRDefault="00210EAA" w:rsidP="00683B0B">
      <w:pPr>
        <w:pStyle w:val="Texte1"/>
      </w:pPr>
      <w:r w:rsidRPr="00FE477A">
        <w:rPr>
          <w:lang w:val="fr-FR"/>
        </w:rPr>
        <w:t>L</w:t>
      </w:r>
      <w:r w:rsidR="00414297" w:rsidRPr="00FE477A">
        <w:rPr>
          <w:lang w:val="fr-FR"/>
        </w:rPr>
        <w:t xml:space="preserve">a cooperación internacional no ha sido una cuestión puramente gubernamental: al igual que </w:t>
      </w:r>
      <w:r w:rsidRPr="00FE477A">
        <w:rPr>
          <w:lang w:val="fr-FR"/>
        </w:rPr>
        <w:t>en</w:t>
      </w:r>
      <w:r w:rsidR="00414297" w:rsidRPr="00FE477A">
        <w:rPr>
          <w:lang w:val="fr-FR"/>
        </w:rPr>
        <w:t xml:space="preserve"> otros aspectos de la aplicación de la política, la sociedad civil también ha desempeñado un papel activo en este sentido. </w:t>
      </w:r>
      <w:r w:rsidR="00414297" w:rsidRPr="00683B0B">
        <w:t>Por ejemplo, las organizaciones FARO y Tapis Plein han sido cofundadoras del Foro del PCI para ONG (ICHONG)</w:t>
      </w:r>
      <w:r w:rsidR="00832EE1" w:rsidRPr="00683B0B">
        <w:t>,</w:t>
      </w:r>
      <w:r w:rsidR="00414297" w:rsidRPr="00683B0B">
        <w:t xml:space="preserve"> reconocido por la UNESCO</w:t>
      </w:r>
      <w:r w:rsidR="00832EE1" w:rsidRPr="00683B0B">
        <w:t>,</w:t>
      </w:r>
      <w:r w:rsidR="00414297" w:rsidRPr="00683B0B">
        <w:t xml:space="preserve"> y participan diariamente en </w:t>
      </w:r>
      <w:r w:rsidR="00C63267" w:rsidRPr="00683B0B">
        <w:t>su</w:t>
      </w:r>
      <w:r w:rsidR="00414297" w:rsidRPr="00683B0B">
        <w:t xml:space="preserve"> coordinación</w:t>
      </w:r>
      <w:r w:rsidR="00C63267" w:rsidRPr="00683B0B">
        <w:t xml:space="preserve"> </w:t>
      </w:r>
      <w:r w:rsidR="00414297" w:rsidRPr="00683B0B">
        <w:t>(Fl</w:t>
      </w:r>
      <w:r w:rsidR="00683B0B">
        <w:t>anders State of the Art, 2014).</w:t>
      </w:r>
    </w:p>
    <w:p w:rsidR="004361C7" w:rsidRPr="00F05D89" w:rsidRDefault="004361C7" w:rsidP="004361C7">
      <w:pPr>
        <w:pStyle w:val="Heading3"/>
        <w:rPr>
          <w:lang w:val="es-ES"/>
        </w:rPr>
      </w:pPr>
      <w:r w:rsidRPr="00F05D89">
        <w:rPr>
          <w:lang w:val="es-ES"/>
        </w:rPr>
        <w:t>recursos e información adicional</w:t>
      </w:r>
    </w:p>
    <w:p w:rsidR="00C025C9" w:rsidRPr="00683B0B" w:rsidRDefault="00C025C9" w:rsidP="00683B0B">
      <w:pPr>
        <w:pStyle w:val="Texte1"/>
        <w:numPr>
          <w:ilvl w:val="0"/>
          <w:numId w:val="12"/>
        </w:numPr>
        <w:jc w:val="left"/>
      </w:pPr>
      <w:r w:rsidRPr="00683B0B">
        <w:t xml:space="preserve">Flanders State of the Art. 2014. Safeguarding cultural heritage in Flanders: perspectives, policies and practice. The Arts and Heritage Agency. </w:t>
      </w:r>
      <w:r w:rsidR="00047B87" w:rsidRPr="00683B0B">
        <w:t xml:space="preserve">Disponible en: </w:t>
      </w:r>
      <w:hyperlink r:id="rId9" w:history="1">
        <w:r w:rsidRPr="00683B0B">
          <w:t>http://www.faronet.be/en/news/safeguarding-intangible-cultural-heritage-in-flanders-perspectives-policies-and-practice</w:t>
        </w:r>
      </w:hyperlink>
    </w:p>
    <w:p w:rsidR="00C025C9" w:rsidRPr="00683B0B" w:rsidRDefault="00C025C9" w:rsidP="00683B0B">
      <w:pPr>
        <w:pStyle w:val="Texte1"/>
        <w:numPr>
          <w:ilvl w:val="0"/>
          <w:numId w:val="12"/>
        </w:numPr>
        <w:jc w:val="left"/>
      </w:pPr>
      <w:r w:rsidRPr="00683B0B">
        <w:t>Jacobs, M. Neyrink, J. y Van der Zeijden, A. (eds.) 2014. Brokers, Facilitators and Mediation: critical success (f)actors for the safeguarding of intangible cultural heritage, Special issue of Volkskunde: tijdschrift over de cultuur van het dagelijks leven</w:t>
      </w:r>
      <w:r w:rsidR="00683B0B">
        <w:t>, pp. 115 (3).</w:t>
      </w:r>
    </w:p>
    <w:p w:rsidR="00C025C9" w:rsidRPr="00683B0B" w:rsidRDefault="00C025C9" w:rsidP="00683B0B">
      <w:pPr>
        <w:pStyle w:val="Texte1"/>
        <w:numPr>
          <w:ilvl w:val="0"/>
          <w:numId w:val="12"/>
        </w:numPr>
        <w:jc w:val="left"/>
      </w:pPr>
      <w:r w:rsidRPr="00FE477A">
        <w:rPr>
          <w:lang w:val="fr-FR"/>
        </w:rPr>
        <w:t>Jacobs, M. 2012. «La sauvegarde du PCI en Flandres: un changement de paradigme» en Culture et recherche, núm. 127.</w:t>
      </w:r>
      <w:r w:rsidR="00047B87" w:rsidRPr="00FE477A">
        <w:rPr>
          <w:lang w:val="fr-FR"/>
        </w:rPr>
        <w:t xml:space="preserve"> </w:t>
      </w:r>
      <w:r w:rsidR="00047B87" w:rsidRPr="00683B0B">
        <w:t>Disponible en:</w:t>
      </w:r>
      <w:r w:rsidRPr="00683B0B">
        <w:t xml:space="preserve"> </w:t>
      </w:r>
      <w:hyperlink r:id="rId10" w:history="1">
        <w:r w:rsidRPr="00683B0B">
          <w:t>http://www.unesco-vlaanderen.be/media/73009/m%20jacobs_cr127_automne%202012.pdf</w:t>
        </w:r>
      </w:hyperlink>
    </w:p>
    <w:p w:rsidR="00C025C9" w:rsidRPr="00683B0B" w:rsidRDefault="00C025C9" w:rsidP="00683B0B">
      <w:pPr>
        <w:pStyle w:val="Texte1"/>
        <w:numPr>
          <w:ilvl w:val="0"/>
          <w:numId w:val="12"/>
        </w:numPr>
        <w:jc w:val="left"/>
      </w:pPr>
      <w:r w:rsidRPr="00683B0B">
        <w:t>Kunsten En Erfgoed</w:t>
      </w:r>
      <w:r w:rsidR="003E7C29" w:rsidRPr="00683B0B">
        <w:t xml:space="preserve"> (documento prospectivo)</w:t>
      </w:r>
      <w:r w:rsidRPr="00683B0B">
        <w:t xml:space="preserve">. 2010. The Government of Flanders’ policy for safeguarding ICH. </w:t>
      </w:r>
      <w:hyperlink r:id="rId11" w:history="1">
        <w:r w:rsidRPr="00683B0B">
          <w:t>http://issuu.com/kunstenenerfgoed/docs/het_beleid_van_de_vlaamse_overheid_voor_het_borgen/1</w:t>
        </w:r>
      </w:hyperlink>
    </w:p>
    <w:p w:rsidR="00C025C9" w:rsidRPr="00683B0B" w:rsidRDefault="00C025C9" w:rsidP="00683B0B">
      <w:pPr>
        <w:pStyle w:val="Texte1"/>
        <w:numPr>
          <w:ilvl w:val="0"/>
          <w:numId w:val="12"/>
        </w:numPr>
        <w:jc w:val="left"/>
      </w:pPr>
      <w:r w:rsidRPr="00683B0B">
        <w:t xml:space="preserve">Neyrinck, Jorijn. 2013. «La politique du patrimoine culturel immatériel en Flandres» en CFPCI.   L’administration du patrimoine culturel. </w:t>
      </w:r>
      <w:hyperlink r:id="rId12" w:history="1">
        <w:r w:rsidRPr="00683B0B">
          <w:t>http://www.cfpci.fr/medias/site/Cahier_CFPCI_n1.pdf</w:t>
        </w:r>
      </w:hyperlink>
    </w:p>
    <w:p w:rsidR="004361C7" w:rsidRPr="00683B0B" w:rsidRDefault="00C025C9" w:rsidP="00683B0B">
      <w:pPr>
        <w:pStyle w:val="Texte1"/>
        <w:numPr>
          <w:ilvl w:val="0"/>
          <w:numId w:val="12"/>
        </w:numPr>
        <w:jc w:val="left"/>
      </w:pPr>
      <w:r w:rsidRPr="00FE477A">
        <w:rPr>
          <w:lang w:val="fr-FR"/>
        </w:rPr>
        <w:t xml:space="preserve">UNESCO. 2013. Informe periódico núm. 00812/Bélgica. Comité Intergubernamental para la Salvaguardia del Patrimonio Cultural Inmaterial. Octava reunión. Baku, Azerbaiyán. 2-7 de diciembre de 2013. </w:t>
      </w:r>
      <w:r w:rsidRPr="00683B0B">
        <w:t xml:space="preserve">Disponible en: </w:t>
      </w:r>
      <w:hyperlink r:id="rId13" w:history="1">
        <w:r w:rsidR="00047B87" w:rsidRPr="00683B0B">
          <w:t>http://www.unesco.org/culture/ich/es/in</w:t>
        </w:r>
        <w:bookmarkStart w:id="0" w:name="_GoBack"/>
        <w:bookmarkEnd w:id="0"/>
        <w:r w:rsidR="00047B87" w:rsidRPr="00683B0B">
          <w:t>formes-periodicos-00460</w:t>
        </w:r>
      </w:hyperlink>
    </w:p>
    <w:sectPr w:rsidR="004361C7" w:rsidRPr="00683B0B" w:rsidSect="00CC70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FC" w:rsidRDefault="002726FC" w:rsidP="004361C7">
      <w:pPr>
        <w:spacing w:before="0" w:after="0"/>
      </w:pPr>
      <w:r>
        <w:separator/>
      </w:r>
    </w:p>
  </w:endnote>
  <w:endnote w:type="continuationSeparator" w:id="0">
    <w:p w:rsidR="002726FC" w:rsidRDefault="002726FC" w:rsidP="004361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73F" w:rsidRPr="00BD073F" w:rsidRDefault="00FE477A" w:rsidP="00BD073F">
    <w:pPr>
      <w:tabs>
        <w:tab w:val="clear" w:pos="567"/>
        <w:tab w:val="center" w:pos="4423"/>
        <w:tab w:val="right" w:pos="9000"/>
      </w:tabs>
      <w:spacing w:before="0" w:after="0" w:line="240" w:lineRule="exact"/>
      <w:jc w:val="left"/>
      <w:rPr>
        <w:sz w:val="16"/>
        <w:szCs w:val="18"/>
        <w:lang w:val="es-ES" w:eastAsia="es-ES" w:bidi="es-ES"/>
      </w:rPr>
    </w:pPr>
    <w:r>
      <w:rPr>
        <w:noProof/>
        <w:snapToGrid/>
        <w:lang w:val="fr-FR" w:eastAsia="zh-TW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2683510</wp:posOffset>
          </wp:positionH>
          <wp:positionV relativeFrom="paragraph">
            <wp:posOffset>1905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73F" w:rsidRPr="00BD073F">
      <w:rPr>
        <w:noProof/>
        <w:lang w:val="fr-FR" w:eastAsia="zh-TW"/>
      </w:rPr>
      <w:drawing>
        <wp:anchor distT="0" distB="0" distL="114300" distR="114300" simplePos="0" relativeHeight="251663360" behindDoc="0" locked="0" layoutInCell="1" allowOverlap="1" wp14:anchorId="69AD6DB1" wp14:editId="3D55FE89">
          <wp:simplePos x="0" y="0"/>
          <wp:positionH relativeFrom="column">
            <wp:posOffset>-114272</wp:posOffset>
          </wp:positionH>
          <wp:positionV relativeFrom="paragraph">
            <wp:posOffset>-163490</wp:posOffset>
          </wp:positionV>
          <wp:extent cx="827405" cy="6000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73F" w:rsidRPr="00BD073F">
      <w:rPr>
        <w:lang w:val="es-ES" w:eastAsia="es-ES" w:bidi="es-ES"/>
      </w:rPr>
      <w:tab/>
    </w:r>
    <w:r w:rsidR="00BD073F" w:rsidRPr="00BD073F">
      <w:rPr>
        <w:lang w:val="es-ES" w:eastAsia="es-ES" w:bidi="es-ES"/>
      </w:rPr>
      <w:tab/>
    </w:r>
    <w:r w:rsidR="00BD073F">
      <w:rPr>
        <w:sz w:val="16"/>
        <w:lang w:val="es-ES" w:eastAsia="es-ES" w:bidi="es-ES"/>
      </w:rPr>
      <w:t>CS54</w:t>
    </w:r>
    <w:r w:rsidR="00BD073F" w:rsidRPr="00BD073F">
      <w:rPr>
        <w:sz w:val="16"/>
        <w:lang w:val="es-ES" w:eastAsia="es-ES" w:bidi="es-ES"/>
      </w:rPr>
      <w:t>-v1.0-ES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49" w:rsidRPr="00CC7049" w:rsidRDefault="00FE477A" w:rsidP="00CC7049">
    <w:pPr>
      <w:tabs>
        <w:tab w:val="clear" w:pos="567"/>
        <w:tab w:val="center" w:pos="4860"/>
        <w:tab w:val="right" w:pos="8845"/>
      </w:tabs>
      <w:spacing w:before="0" w:after="0" w:line="240" w:lineRule="exact"/>
      <w:jc w:val="left"/>
      <w:rPr>
        <w:sz w:val="16"/>
        <w:szCs w:val="18"/>
        <w:lang w:val="es-ES" w:eastAsia="es-ES" w:bidi="es-ES"/>
      </w:rPr>
    </w:pPr>
    <w:r>
      <w:rPr>
        <w:noProof/>
        <w:snapToGrid/>
        <w:lang w:val="fr-FR" w:eastAsia="zh-TW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2788285</wp:posOffset>
          </wp:positionH>
          <wp:positionV relativeFrom="paragraph">
            <wp:posOffset>1905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049" w:rsidRPr="00CC7049">
      <w:rPr>
        <w:noProof/>
        <w:lang w:val="fr-FR" w:eastAsia="zh-TW"/>
      </w:rPr>
      <w:drawing>
        <wp:anchor distT="0" distB="0" distL="114300" distR="114300" simplePos="0" relativeHeight="251659264" behindDoc="0" locked="0" layoutInCell="1" allowOverlap="1" wp14:anchorId="639FF403" wp14:editId="0A611533">
          <wp:simplePos x="0" y="0"/>
          <wp:positionH relativeFrom="column">
            <wp:posOffset>5143500</wp:posOffset>
          </wp:positionH>
          <wp:positionV relativeFrom="paragraph">
            <wp:posOffset>-259080</wp:posOffset>
          </wp:positionV>
          <wp:extent cx="827405" cy="6000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73F">
      <w:rPr>
        <w:sz w:val="16"/>
        <w:lang w:val="es-ES" w:eastAsia="es-ES" w:bidi="es-ES"/>
      </w:rPr>
      <w:t>CS54</w:t>
    </w:r>
    <w:r w:rsidR="00CC7049" w:rsidRPr="00CC7049">
      <w:rPr>
        <w:sz w:val="16"/>
        <w:lang w:val="es-ES" w:eastAsia="es-ES" w:bidi="es-ES"/>
      </w:rPr>
      <w:t>-v1.0-ES</w:t>
    </w:r>
    <w:r w:rsidR="00CC7049" w:rsidRPr="00CC7049">
      <w:rPr>
        <w:lang w:val="es-ES" w:eastAsia="es-ES" w:bidi="es-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73F" w:rsidRPr="00BD073F" w:rsidRDefault="00FE477A" w:rsidP="00BD073F">
    <w:pPr>
      <w:tabs>
        <w:tab w:val="clear" w:pos="567"/>
        <w:tab w:val="center" w:pos="4860"/>
        <w:tab w:val="right" w:pos="8845"/>
      </w:tabs>
      <w:spacing w:before="0" w:after="0" w:line="240" w:lineRule="exact"/>
      <w:jc w:val="left"/>
      <w:rPr>
        <w:sz w:val="16"/>
        <w:szCs w:val="18"/>
        <w:lang w:val="es-ES" w:eastAsia="es-ES" w:bidi="es-ES"/>
      </w:rPr>
    </w:pPr>
    <w:r>
      <w:rPr>
        <w:noProof/>
        <w:snapToGrid/>
        <w:lang w:val="fr-FR" w:eastAsia="zh-TW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2740660</wp:posOffset>
          </wp:positionH>
          <wp:positionV relativeFrom="paragraph">
            <wp:posOffset>1905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73F" w:rsidRPr="00BD073F">
      <w:rPr>
        <w:noProof/>
        <w:lang w:val="fr-FR" w:eastAsia="zh-TW"/>
      </w:rPr>
      <w:drawing>
        <wp:anchor distT="0" distB="0" distL="114300" distR="114300" simplePos="0" relativeHeight="251661312" behindDoc="0" locked="0" layoutInCell="1" allowOverlap="1" wp14:anchorId="212E9659" wp14:editId="134AA81B">
          <wp:simplePos x="0" y="0"/>
          <wp:positionH relativeFrom="column">
            <wp:posOffset>5143500</wp:posOffset>
          </wp:positionH>
          <wp:positionV relativeFrom="paragraph">
            <wp:posOffset>-220980</wp:posOffset>
          </wp:positionV>
          <wp:extent cx="827405" cy="6000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73F">
      <w:rPr>
        <w:sz w:val="16"/>
        <w:lang w:val="es-ES" w:eastAsia="es-ES" w:bidi="es-ES"/>
      </w:rPr>
      <w:t>CS54</w:t>
    </w:r>
    <w:r w:rsidR="00BD073F" w:rsidRPr="00BD073F">
      <w:rPr>
        <w:sz w:val="16"/>
        <w:lang w:val="es-ES" w:eastAsia="es-ES" w:bidi="es-ES"/>
      </w:rPr>
      <w:t>-v1.0-ES</w:t>
    </w:r>
    <w:r w:rsidR="00BD073F" w:rsidRPr="00BD073F">
      <w:rPr>
        <w:lang w:val="es-ES" w:eastAsia="es-ES" w:bidi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FC" w:rsidRDefault="002726FC" w:rsidP="004361C7">
      <w:pPr>
        <w:spacing w:before="0" w:after="0"/>
      </w:pPr>
      <w:r>
        <w:separator/>
      </w:r>
    </w:p>
  </w:footnote>
  <w:footnote w:type="continuationSeparator" w:id="0">
    <w:p w:rsidR="002726FC" w:rsidRDefault="002726FC" w:rsidP="004361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73F" w:rsidRPr="00BD073F" w:rsidRDefault="00BD073F" w:rsidP="00BD073F">
    <w:pPr>
      <w:keepNext/>
      <w:tabs>
        <w:tab w:val="clear" w:pos="567"/>
        <w:tab w:val="center" w:pos="4423"/>
        <w:tab w:val="right" w:pos="9000"/>
      </w:tabs>
      <w:spacing w:before="0" w:after="0" w:line="280" w:lineRule="exact"/>
      <w:jc w:val="left"/>
      <w:rPr>
        <w:sz w:val="16"/>
        <w:szCs w:val="20"/>
        <w:lang w:val="es-ES" w:eastAsia="es-ES" w:bidi="es-ES"/>
      </w:rPr>
    </w:pPr>
    <w:r w:rsidRPr="00BD073F">
      <w:rPr>
        <w:sz w:val="16"/>
        <w:szCs w:val="20"/>
        <w:lang w:val="es-ES" w:eastAsia="es-ES" w:bidi="es-ES"/>
      </w:rPr>
      <w:fldChar w:fldCharType="begin"/>
    </w:r>
    <w:r w:rsidRPr="00BD073F">
      <w:rPr>
        <w:sz w:val="16"/>
        <w:szCs w:val="20"/>
        <w:lang w:val="es-ES" w:eastAsia="es-ES" w:bidi="es-ES"/>
      </w:rPr>
      <w:instrText xml:space="preserve"> PAGE </w:instrText>
    </w:r>
    <w:r w:rsidRPr="00BD073F">
      <w:rPr>
        <w:sz w:val="16"/>
        <w:szCs w:val="20"/>
        <w:lang w:val="es-ES" w:eastAsia="es-ES" w:bidi="es-ES"/>
      </w:rPr>
      <w:fldChar w:fldCharType="separate"/>
    </w:r>
    <w:r w:rsidR="00FE477A">
      <w:rPr>
        <w:noProof/>
        <w:sz w:val="16"/>
        <w:szCs w:val="20"/>
        <w:lang w:val="es-ES" w:eastAsia="es-ES" w:bidi="es-ES"/>
      </w:rPr>
      <w:t>2</w:t>
    </w:r>
    <w:r w:rsidRPr="00BD073F">
      <w:rPr>
        <w:sz w:val="16"/>
        <w:szCs w:val="20"/>
        <w:lang w:val="es-ES" w:eastAsia="es-ES" w:bidi="es-ES"/>
      </w:rPr>
      <w:fldChar w:fldCharType="end"/>
    </w:r>
    <w:r w:rsidRPr="00BD073F">
      <w:rPr>
        <w:lang w:val="es-ES" w:eastAsia="es-ES" w:bidi="es-ES"/>
      </w:rPr>
      <w:tab/>
    </w:r>
    <w:r>
      <w:rPr>
        <w:sz w:val="16"/>
        <w:lang w:val="es-ES" w:eastAsia="es-ES" w:bidi="es-ES"/>
      </w:rPr>
      <w:t>Estudio de caso 54</w:t>
    </w:r>
    <w:r w:rsidRPr="00BD073F">
      <w:rPr>
        <w:lang w:val="es-ES" w:eastAsia="es-ES" w:bidi="es-ES"/>
      </w:rPr>
      <w:tab/>
    </w:r>
    <w:r w:rsidRPr="00BD073F">
      <w:rPr>
        <w:sz w:val="16"/>
        <w:lang w:val="es-ES" w:eastAsia="es-ES" w:bidi="es-ES"/>
      </w:rPr>
      <w:t>Estudios de caso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49" w:rsidRPr="00BD073F" w:rsidRDefault="00BD073F" w:rsidP="00BD073F">
    <w:pPr>
      <w:tabs>
        <w:tab w:val="clear" w:pos="567"/>
        <w:tab w:val="center" w:pos="4680"/>
        <w:tab w:val="right" w:pos="9000"/>
      </w:tabs>
      <w:spacing w:before="0" w:after="0" w:line="280" w:lineRule="exact"/>
      <w:jc w:val="left"/>
      <w:rPr>
        <w:sz w:val="16"/>
        <w:szCs w:val="20"/>
        <w:lang w:bidi="es-ES"/>
      </w:rPr>
    </w:pPr>
    <w:r w:rsidRPr="00BD073F">
      <w:rPr>
        <w:sz w:val="16"/>
        <w:szCs w:val="20"/>
        <w:lang w:val="es-ES" w:bidi="es-ES"/>
      </w:rPr>
      <w:t>Estudios de caso</w:t>
    </w:r>
    <w:r w:rsidRPr="00BD073F">
      <w:rPr>
        <w:sz w:val="16"/>
        <w:szCs w:val="20"/>
        <w:lang w:bidi="es-ES"/>
      </w:rPr>
      <w:tab/>
    </w:r>
    <w:r>
      <w:rPr>
        <w:sz w:val="16"/>
        <w:szCs w:val="20"/>
        <w:lang w:bidi="es-ES"/>
      </w:rPr>
      <w:t>Estudio de caso 54</w:t>
    </w:r>
    <w:r w:rsidRPr="00BD073F">
      <w:rPr>
        <w:sz w:val="16"/>
        <w:szCs w:val="20"/>
        <w:lang w:bidi="es-ES"/>
      </w:rPr>
      <w:tab/>
    </w:r>
    <w:r w:rsidRPr="00BD073F">
      <w:rPr>
        <w:sz w:val="16"/>
        <w:szCs w:val="20"/>
        <w:lang w:bidi="es-ES"/>
      </w:rPr>
      <w:fldChar w:fldCharType="begin"/>
    </w:r>
    <w:r w:rsidRPr="00BD073F">
      <w:rPr>
        <w:sz w:val="16"/>
        <w:szCs w:val="20"/>
        <w:lang w:bidi="es-ES"/>
      </w:rPr>
      <w:instrText xml:space="preserve"> PAGE </w:instrText>
    </w:r>
    <w:r w:rsidRPr="00BD073F">
      <w:rPr>
        <w:sz w:val="16"/>
        <w:szCs w:val="20"/>
        <w:lang w:bidi="es-ES"/>
      </w:rPr>
      <w:fldChar w:fldCharType="separate"/>
    </w:r>
    <w:r w:rsidR="00FE477A">
      <w:rPr>
        <w:noProof/>
        <w:sz w:val="16"/>
        <w:szCs w:val="20"/>
        <w:lang w:bidi="es-ES"/>
      </w:rPr>
      <w:t>3</w:t>
    </w:r>
    <w:r w:rsidRPr="00BD073F">
      <w:rPr>
        <w:sz w:val="16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73F" w:rsidRPr="00BD073F" w:rsidRDefault="00BD073F" w:rsidP="00BD073F">
    <w:pPr>
      <w:tabs>
        <w:tab w:val="clear" w:pos="567"/>
        <w:tab w:val="center" w:pos="4423"/>
        <w:tab w:val="right" w:pos="8250"/>
      </w:tabs>
      <w:spacing w:before="0" w:after="0" w:line="280" w:lineRule="exact"/>
      <w:jc w:val="left"/>
      <w:rPr>
        <w:sz w:val="16"/>
        <w:szCs w:val="20"/>
        <w:lang w:val="es-ES" w:eastAsia="es-ES" w:bidi="es-ES"/>
      </w:rPr>
    </w:pPr>
    <w:r w:rsidRPr="00BD073F">
      <w:rPr>
        <w:lang w:val="es-ES" w:eastAsia="es-ES" w:bidi="es-ES"/>
      </w:rPr>
      <w:tab/>
    </w:r>
    <w:r w:rsidRPr="00BD073F">
      <w:rPr>
        <w:sz w:val="16"/>
        <w:lang w:val="es-ES" w:eastAsia="es-ES" w:bidi="es-ES"/>
      </w:rPr>
      <w:t>Estudios de casos</w:t>
    </w:r>
    <w:r w:rsidRPr="00BD073F">
      <w:rPr>
        <w:lang w:val="es-ES" w:eastAsia="es-ES" w:bidi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693E"/>
    <w:multiLevelType w:val="hybridMultilevel"/>
    <w:tmpl w:val="86562C4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B9944C4"/>
    <w:multiLevelType w:val="multilevel"/>
    <w:tmpl w:val="9E7C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A2D0B"/>
    <w:multiLevelType w:val="hybridMultilevel"/>
    <w:tmpl w:val="5AD8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12708"/>
    <w:multiLevelType w:val="hybridMultilevel"/>
    <w:tmpl w:val="0C4ACB0A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38D337D4"/>
    <w:multiLevelType w:val="hybridMultilevel"/>
    <w:tmpl w:val="EDD8F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D4420"/>
    <w:multiLevelType w:val="hybridMultilevel"/>
    <w:tmpl w:val="A2A66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4BB526D0"/>
    <w:multiLevelType w:val="hybridMultilevel"/>
    <w:tmpl w:val="535C696A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4D9C21DA"/>
    <w:multiLevelType w:val="hybridMultilevel"/>
    <w:tmpl w:val="B6568CB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97"/>
    <w:rsid w:val="00047B87"/>
    <w:rsid w:val="001418D2"/>
    <w:rsid w:val="001E3A2C"/>
    <w:rsid w:val="00210EAA"/>
    <w:rsid w:val="00215BCC"/>
    <w:rsid w:val="0023013B"/>
    <w:rsid w:val="002726FC"/>
    <w:rsid w:val="00282381"/>
    <w:rsid w:val="002A45A0"/>
    <w:rsid w:val="002C5EA4"/>
    <w:rsid w:val="0031279C"/>
    <w:rsid w:val="003E7C29"/>
    <w:rsid w:val="00414297"/>
    <w:rsid w:val="004361C7"/>
    <w:rsid w:val="00436900"/>
    <w:rsid w:val="00462E93"/>
    <w:rsid w:val="004A6AED"/>
    <w:rsid w:val="004C3C87"/>
    <w:rsid w:val="004D79B9"/>
    <w:rsid w:val="00614EAC"/>
    <w:rsid w:val="00683B0B"/>
    <w:rsid w:val="00761CE2"/>
    <w:rsid w:val="00790837"/>
    <w:rsid w:val="007E3418"/>
    <w:rsid w:val="00832EE1"/>
    <w:rsid w:val="008877E3"/>
    <w:rsid w:val="00894D8B"/>
    <w:rsid w:val="00951E42"/>
    <w:rsid w:val="00980984"/>
    <w:rsid w:val="00997C40"/>
    <w:rsid w:val="009C7006"/>
    <w:rsid w:val="00B33375"/>
    <w:rsid w:val="00BD073F"/>
    <w:rsid w:val="00C025C9"/>
    <w:rsid w:val="00C07A7D"/>
    <w:rsid w:val="00C10128"/>
    <w:rsid w:val="00C2284B"/>
    <w:rsid w:val="00C55EFA"/>
    <w:rsid w:val="00C63267"/>
    <w:rsid w:val="00CC7049"/>
    <w:rsid w:val="00EC1AD4"/>
    <w:rsid w:val="00EC293C"/>
    <w:rsid w:val="00EF1FF6"/>
    <w:rsid w:val="00F05D89"/>
    <w:rsid w:val="00F16A08"/>
    <w:rsid w:val="00FD12F5"/>
    <w:rsid w:val="00FE477A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25EFA38"/>
  <w15:docId w15:val="{E120DF15-E561-48CB-AFA5-D8BEF68C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29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297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297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414297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414297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1429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14297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14297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297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4297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1429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414297"/>
    <w:rPr>
      <w:b/>
      <w:bCs/>
    </w:rPr>
  </w:style>
  <w:style w:type="character" w:styleId="Emphasis">
    <w:name w:val="Emphasis"/>
    <w:basedOn w:val="DefaultParagraphFont"/>
    <w:uiPriority w:val="20"/>
    <w:qFormat/>
    <w:rsid w:val="00414297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414297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414297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297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414297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14297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297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297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4297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">
    <w:name w:val="1."/>
    <w:basedOn w:val="Normal"/>
    <w:link w:val="1Char"/>
    <w:qFormat/>
    <w:rsid w:val="00414297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414297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41429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414297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14297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414297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414297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414297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414297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29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297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361C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25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25C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09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984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984"/>
    <w:rPr>
      <w:rFonts w:ascii="Arial" w:eastAsia="SimSun" w:hAnsi="Arial" w:cs="Arial"/>
      <w:snapToGrid w:val="0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9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984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984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984"/>
    <w:rPr>
      <w:rFonts w:ascii="Lucida Grande" w:eastAsia="SimSun" w:hAnsi="Lucida Grande" w:cs="Lucida Grande"/>
      <w:snapToGrid w:val="0"/>
      <w:sz w:val="18"/>
      <w:szCs w:val="18"/>
      <w:lang w:val="en-US" w:eastAsia="zh-CN"/>
    </w:rPr>
  </w:style>
  <w:style w:type="paragraph" w:customStyle="1" w:styleId="Texte1">
    <w:name w:val="Texte1"/>
    <w:basedOn w:val="Normal"/>
    <w:link w:val="Texte1Car"/>
    <w:autoRedefine/>
    <w:rsid w:val="00683B0B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683B0B"/>
    <w:rPr>
      <w:rFonts w:ascii="Arial" w:eastAsia="SimSun" w:hAnsi="Arial" w:cs="Arial"/>
      <w:w w:val="95"/>
      <w:sz w:val="20"/>
      <w:szCs w:val="20"/>
      <w:lang w:eastAsia="zh-CN"/>
    </w:rPr>
  </w:style>
  <w:style w:type="paragraph" w:customStyle="1" w:styleId="Caschap">
    <w:name w:val="Caschap"/>
    <w:basedOn w:val="Normal"/>
    <w:rsid w:val="00CC7049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Cs/>
      <w:i/>
      <w:caps/>
      <w:snapToGrid/>
      <w:w w:val="107"/>
      <w:sz w:val="36"/>
      <w:szCs w:val="48"/>
      <w:lang w:eastAsia="en-US"/>
    </w:rPr>
  </w:style>
  <w:style w:type="paragraph" w:customStyle="1" w:styleId="Cas">
    <w:name w:val="Cas"/>
    <w:basedOn w:val="Heading4"/>
    <w:rsid w:val="00CC7049"/>
    <w:pPr>
      <w:keepLines w:val="0"/>
      <w:widowControl w:val="0"/>
      <w:tabs>
        <w:tab w:val="clear" w:pos="567"/>
      </w:tabs>
      <w:spacing w:before="0" w:after="240" w:line="360" w:lineRule="exact"/>
    </w:pPr>
    <w:rPr>
      <w:rFonts w:ascii="Arial" w:eastAsia="Times New Roman" w:hAnsi="Arial" w:cs="Arial"/>
      <w:b/>
      <w:bCs/>
      <w:i/>
      <w:iCs/>
      <w:snapToGrid/>
      <w:color w:val="0000FF"/>
      <w:w w:val="107"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C7049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C7049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C7049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C7049"/>
    <w:rPr>
      <w:rFonts w:ascii="Arial" w:eastAsia="SimSun" w:hAnsi="Arial" w:cs="Arial"/>
      <w:snapToGrid w:val="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aterieelerfgoed.be" TargetMode="External"/><Relationship Id="rId13" Type="http://schemas.openxmlformats.org/officeDocument/2006/relationships/hyperlink" Target="http://www.unesco.org/culture/ich/es/informes-periodicos-0046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fpci.fr/medias/site/Cahier_CFPCI_n1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suu.com/kunstenenerfgoed/docs/het_beleid_van_de_vlaamse_overheid_voor_het_borgen/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nesco-vlaanderen.be/media/73009/m%20jacobs_cr127_automne%202012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faronet.be/en/news/safeguarding-intangible-cultural-heritage-in-flanders-perspectives-policies-and-practic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7E8A-FB48-4281-AE49-161A132F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1152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Deacon</dc:creator>
  <cp:keywords/>
  <dc:description/>
  <cp:lastModifiedBy>Kim, Dain</cp:lastModifiedBy>
  <cp:revision>19</cp:revision>
  <dcterms:created xsi:type="dcterms:W3CDTF">2015-11-07T11:22:00Z</dcterms:created>
  <dcterms:modified xsi:type="dcterms:W3CDTF">2018-03-20T15:03:00Z</dcterms:modified>
</cp:coreProperties>
</file>