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D6" w:rsidRPr="007136D6" w:rsidRDefault="007136D6" w:rsidP="007136D6">
      <w:pPr>
        <w:pStyle w:val="Caschap"/>
        <w:rPr>
          <w:spacing w:val="5"/>
          <w:lang w:val="fr-FR"/>
        </w:rPr>
      </w:pPr>
      <w:r w:rsidRPr="007136D6">
        <w:rPr>
          <w:spacing w:val="5"/>
          <w:lang w:val="fr-FR"/>
        </w:rPr>
        <w:t>ETUDE DE CAS 56</w:t>
      </w:r>
    </w:p>
    <w:p w:rsidR="007136D6" w:rsidRPr="007136D6" w:rsidRDefault="006C345D" w:rsidP="007136D6">
      <w:pPr>
        <w:pStyle w:val="Cas"/>
        <w:rPr>
          <w:lang w:val="fr-FR"/>
        </w:rPr>
      </w:pPr>
      <w:r>
        <w:rPr>
          <w:lang w:val="fr-FR"/>
        </w:rPr>
        <w:t>Le projet</w:t>
      </w:r>
      <w:r w:rsidR="00FF22C5">
        <w:rPr>
          <w:lang w:val="fr-FR"/>
        </w:rPr>
        <w:t xml:space="preserve"> de </w:t>
      </w:r>
      <w:proofErr w:type="spellStart"/>
      <w:r w:rsidR="00FF22C5">
        <w:rPr>
          <w:lang w:val="fr-FR"/>
        </w:rPr>
        <w:t>bioprospection</w:t>
      </w:r>
      <w:proofErr w:type="spellEnd"/>
      <w:r w:rsidR="00FF22C5">
        <w:rPr>
          <w:lang w:val="fr-FR"/>
        </w:rPr>
        <w:t xml:space="preserve"> Maya</w:t>
      </w:r>
    </w:p>
    <w:p w:rsidR="007136D6" w:rsidRPr="007F61CB" w:rsidRDefault="007136D6" w:rsidP="00FF22C5">
      <w:pPr>
        <w:pStyle w:val="Heading4"/>
        <w:keepLines w:val="0"/>
        <w:widowControl w:val="0"/>
        <w:snapToGrid w:val="0"/>
        <w:spacing w:before="480" w:after="240" w:line="300" w:lineRule="exact"/>
        <w:rPr>
          <w:rFonts w:ascii="Arial" w:eastAsia="Times New Roman" w:hAnsi="Arial" w:cs="Arial"/>
          <w:i w:val="0"/>
          <w:iCs w:val="0"/>
          <w:caps/>
          <w:color w:val="auto"/>
          <w:sz w:val="20"/>
          <w:szCs w:val="24"/>
        </w:rPr>
      </w:pPr>
      <w:r w:rsidRPr="007F61CB">
        <w:rPr>
          <w:rFonts w:ascii="Arial" w:eastAsia="Times New Roman" w:hAnsi="Arial" w:cs="Arial"/>
          <w:i w:val="0"/>
          <w:iCs w:val="0"/>
          <w:caps/>
          <w:color w:val="auto"/>
          <w:sz w:val="20"/>
          <w:szCs w:val="24"/>
        </w:rPr>
        <w:t>Notes à l’attention du facilitateur</w:t>
      </w:r>
    </w:p>
    <w:p w:rsidR="007136D6" w:rsidRPr="007F61CB" w:rsidRDefault="007136D6" w:rsidP="00FF22C5">
      <w:pPr>
        <w:pStyle w:val="Texte1"/>
        <w:rPr>
          <w:w w:val="95"/>
          <w:sz w:val="20"/>
          <w:szCs w:val="20"/>
        </w:rPr>
      </w:pPr>
      <w:r w:rsidRPr="007F61CB">
        <w:rPr>
          <w:w w:val="95"/>
          <w:sz w:val="20"/>
          <w:szCs w:val="20"/>
        </w:rPr>
        <w:t xml:space="preserve">L’objectif de l’étude de cas est d’amener les participants à réfléchir aux défis et aux complexités pour assurer la participation adéquate des communautés aux projets de sauvegarde. </w:t>
      </w:r>
    </w:p>
    <w:p w:rsidR="005C65FC" w:rsidRPr="007F61CB" w:rsidRDefault="007136D6" w:rsidP="00FF22C5">
      <w:pPr>
        <w:pStyle w:val="Texte1"/>
        <w:rPr>
          <w:w w:val="95"/>
          <w:sz w:val="20"/>
          <w:szCs w:val="20"/>
        </w:rPr>
      </w:pPr>
      <w:r w:rsidRPr="007F61CB">
        <w:rPr>
          <w:w w:val="95"/>
          <w:sz w:val="20"/>
          <w:szCs w:val="20"/>
        </w:rPr>
        <w:t xml:space="preserve">L’objet de cette étude de cas est un projet de </w:t>
      </w:r>
      <w:proofErr w:type="spellStart"/>
      <w:r w:rsidRPr="007F61CB">
        <w:rPr>
          <w:w w:val="95"/>
          <w:sz w:val="20"/>
          <w:szCs w:val="20"/>
        </w:rPr>
        <w:t>bioprospection</w:t>
      </w:r>
      <w:proofErr w:type="spellEnd"/>
      <w:r w:rsidRPr="007F61CB">
        <w:rPr>
          <w:w w:val="95"/>
          <w:sz w:val="20"/>
          <w:szCs w:val="20"/>
        </w:rPr>
        <w:t xml:space="preserve"> à Chiapas, au Mexique. </w:t>
      </w:r>
      <w:r w:rsidR="005C65FC" w:rsidRPr="007F61CB">
        <w:rPr>
          <w:w w:val="95"/>
          <w:sz w:val="20"/>
          <w:szCs w:val="20"/>
        </w:rPr>
        <w:t xml:space="preserve">Le </w:t>
      </w:r>
      <w:proofErr w:type="spellStart"/>
      <w:r w:rsidR="005C65FC" w:rsidRPr="007F61CB">
        <w:rPr>
          <w:w w:val="95"/>
          <w:sz w:val="20"/>
          <w:szCs w:val="20"/>
        </w:rPr>
        <w:t>bioprospection</w:t>
      </w:r>
      <w:proofErr w:type="spellEnd"/>
      <w:r w:rsidR="005C65FC" w:rsidRPr="007F61CB">
        <w:rPr>
          <w:w w:val="95"/>
          <w:sz w:val="20"/>
          <w:szCs w:val="20"/>
        </w:rPr>
        <w:t xml:space="preserve"> se réfère à la recherche de ressources naturelles qui pourraient être mises à profit pour développer des nouveaux médicaments et d’autres produits ayant une valeur commerciale. Même si le projet met l’accent sur la </w:t>
      </w:r>
      <w:proofErr w:type="spellStart"/>
      <w:r w:rsidR="005C65FC" w:rsidRPr="007F61CB">
        <w:rPr>
          <w:w w:val="95"/>
          <w:sz w:val="20"/>
          <w:szCs w:val="20"/>
        </w:rPr>
        <w:t>bioprospection</w:t>
      </w:r>
      <w:proofErr w:type="spellEnd"/>
      <w:r w:rsidR="005C65FC" w:rsidRPr="007F61CB">
        <w:rPr>
          <w:w w:val="95"/>
          <w:sz w:val="20"/>
          <w:szCs w:val="20"/>
        </w:rPr>
        <w:t>, il demeure intéressant pour discuter de la représentation des communautés et leur consentement pour les projets de sauvegarde du PCI. Bien que les concepteurs du projet entendaient contribuer au développement communautaire le projet a fini par échouer en raison de désaccords pour savoir :</w:t>
      </w:r>
    </w:p>
    <w:p w:rsidR="005C65FC" w:rsidRPr="00FF22C5" w:rsidRDefault="005C65FC" w:rsidP="00FF22C5">
      <w:pPr>
        <w:pStyle w:val="Txtpucegras"/>
        <w:numPr>
          <w:ilvl w:val="0"/>
          <w:numId w:val="9"/>
        </w:numPr>
        <w:tabs>
          <w:tab w:val="clear" w:pos="340"/>
          <w:tab w:val="left" w:pos="567"/>
          <w:tab w:val="num" w:pos="2127"/>
        </w:tabs>
        <w:ind w:left="1418" w:hanging="425"/>
        <w:rPr>
          <w:sz w:val="20"/>
        </w:rPr>
      </w:pPr>
      <w:proofErr w:type="gramStart"/>
      <w:r w:rsidRPr="00FF22C5">
        <w:rPr>
          <w:sz w:val="20"/>
        </w:rPr>
        <w:t>qui</w:t>
      </w:r>
      <w:proofErr w:type="gramEnd"/>
      <w:r w:rsidRPr="00FF22C5">
        <w:rPr>
          <w:sz w:val="20"/>
        </w:rPr>
        <w:t xml:space="preserve"> constituait la communauté ;</w:t>
      </w:r>
    </w:p>
    <w:p w:rsidR="005C65FC" w:rsidRPr="00FF22C5" w:rsidRDefault="005C65FC" w:rsidP="00FF22C5">
      <w:pPr>
        <w:pStyle w:val="Txtpucegras"/>
        <w:numPr>
          <w:ilvl w:val="0"/>
          <w:numId w:val="9"/>
        </w:numPr>
        <w:tabs>
          <w:tab w:val="clear" w:pos="340"/>
          <w:tab w:val="left" w:pos="567"/>
          <w:tab w:val="num" w:pos="2127"/>
        </w:tabs>
        <w:ind w:left="1418" w:hanging="425"/>
        <w:rPr>
          <w:sz w:val="20"/>
        </w:rPr>
      </w:pPr>
      <w:proofErr w:type="gramStart"/>
      <w:r w:rsidRPr="00FF22C5">
        <w:rPr>
          <w:sz w:val="20"/>
        </w:rPr>
        <w:t>qui</w:t>
      </w:r>
      <w:proofErr w:type="gramEnd"/>
      <w:r w:rsidRPr="00FF22C5">
        <w:rPr>
          <w:sz w:val="20"/>
        </w:rPr>
        <w:t xml:space="preserve"> représentait la communauté ;</w:t>
      </w:r>
    </w:p>
    <w:p w:rsidR="005C65FC" w:rsidRPr="00FF22C5" w:rsidRDefault="005C65FC" w:rsidP="00FF22C5">
      <w:pPr>
        <w:pStyle w:val="Txtpucegras"/>
        <w:numPr>
          <w:ilvl w:val="0"/>
          <w:numId w:val="9"/>
        </w:numPr>
        <w:tabs>
          <w:tab w:val="clear" w:pos="340"/>
          <w:tab w:val="left" w:pos="567"/>
          <w:tab w:val="num" w:pos="2127"/>
        </w:tabs>
        <w:ind w:left="1418" w:hanging="425"/>
        <w:rPr>
          <w:sz w:val="20"/>
        </w:rPr>
      </w:pPr>
      <w:proofErr w:type="gramStart"/>
      <w:r w:rsidRPr="00FF22C5">
        <w:rPr>
          <w:sz w:val="20"/>
        </w:rPr>
        <w:t>comment</w:t>
      </w:r>
      <w:proofErr w:type="gramEnd"/>
      <w:r w:rsidRPr="00FF22C5">
        <w:rPr>
          <w:sz w:val="20"/>
        </w:rPr>
        <w:t xml:space="preserve"> la communauté allait en bénéficier ; et</w:t>
      </w:r>
    </w:p>
    <w:p w:rsidR="007136D6" w:rsidRPr="00FF22C5" w:rsidRDefault="005C65FC" w:rsidP="00FF22C5">
      <w:pPr>
        <w:pStyle w:val="Txtpucegras"/>
        <w:numPr>
          <w:ilvl w:val="0"/>
          <w:numId w:val="9"/>
        </w:numPr>
        <w:tabs>
          <w:tab w:val="clear" w:pos="340"/>
          <w:tab w:val="left" w:pos="567"/>
          <w:tab w:val="num" w:pos="2127"/>
        </w:tabs>
        <w:ind w:left="1418" w:hanging="425"/>
        <w:rPr>
          <w:sz w:val="20"/>
        </w:rPr>
      </w:pPr>
      <w:proofErr w:type="gramStart"/>
      <w:r w:rsidRPr="00FF22C5">
        <w:rPr>
          <w:sz w:val="20"/>
        </w:rPr>
        <w:t>ce</w:t>
      </w:r>
      <w:proofErr w:type="gramEnd"/>
      <w:r w:rsidRPr="00FF22C5">
        <w:rPr>
          <w:sz w:val="20"/>
        </w:rPr>
        <w:t xml:space="preserve"> qui constituait le consentement de la communauté pour la réalisation du projet.</w:t>
      </w:r>
    </w:p>
    <w:p w:rsidR="003B7F16" w:rsidRDefault="00A03D6B" w:rsidP="00FF22C5">
      <w:pPr>
        <w:pStyle w:val="Texte1"/>
        <w:rPr>
          <w:w w:val="95"/>
          <w:sz w:val="20"/>
          <w:szCs w:val="20"/>
        </w:rPr>
      </w:pPr>
      <w:r w:rsidRPr="007F61CB">
        <w:rPr>
          <w:w w:val="95"/>
          <w:sz w:val="20"/>
          <w:szCs w:val="20"/>
        </w:rPr>
        <w:t xml:space="preserve">Les raisons de l’échec du projet ont alimenté bien des débats parmi les </w:t>
      </w:r>
      <w:r w:rsidR="00A90420" w:rsidRPr="007F61CB">
        <w:rPr>
          <w:w w:val="95"/>
          <w:sz w:val="20"/>
          <w:szCs w:val="20"/>
        </w:rPr>
        <w:t>cercles scientifiques et</w:t>
      </w:r>
      <w:r w:rsidRPr="007F61CB">
        <w:rPr>
          <w:w w:val="95"/>
          <w:sz w:val="20"/>
          <w:szCs w:val="20"/>
        </w:rPr>
        <w:t xml:space="preserve"> universitaires. Cette étude de cas n’est pas destinée à comprendre pourquoi le projet n’a pas abouti et les personnes intéressées pourront trouver des références pour de plus amples informations à la fin du document. </w:t>
      </w:r>
    </w:p>
    <w:p w:rsidR="00A03D6B" w:rsidRPr="007F61CB" w:rsidRDefault="00A03D6B" w:rsidP="00FF22C5">
      <w:pPr>
        <w:pStyle w:val="Texte1"/>
        <w:rPr>
          <w:b/>
          <w:w w:val="95"/>
          <w:sz w:val="20"/>
          <w:szCs w:val="20"/>
        </w:rPr>
      </w:pPr>
      <w:r w:rsidRPr="007F61CB">
        <w:rPr>
          <w:b/>
          <w:w w:val="95"/>
          <w:sz w:val="20"/>
          <w:szCs w:val="20"/>
        </w:rPr>
        <w:t xml:space="preserve">Mots clés : </w:t>
      </w:r>
      <w:r w:rsidR="00A90420" w:rsidRPr="007F61CB">
        <w:rPr>
          <w:w w:val="95"/>
          <w:sz w:val="20"/>
          <w:szCs w:val="20"/>
        </w:rPr>
        <w:t xml:space="preserve">participation des communautés, éthique, partage des bénéfices, consentement libre, préalable et éclairé, commercialisation, </w:t>
      </w:r>
      <w:r w:rsidR="00901A65">
        <w:rPr>
          <w:w w:val="95"/>
          <w:sz w:val="20"/>
          <w:szCs w:val="20"/>
        </w:rPr>
        <w:t>peuples autochtones</w:t>
      </w:r>
    </w:p>
    <w:p w:rsidR="007136D6" w:rsidRPr="00654EDF" w:rsidRDefault="007136D6" w:rsidP="006C345D">
      <w:pPr>
        <w:pStyle w:val="Txtpucegras"/>
      </w:pPr>
    </w:p>
    <w:p w:rsidR="007136D6" w:rsidRPr="00654EDF" w:rsidRDefault="007136D6" w:rsidP="007136D6">
      <w:pPr>
        <w:rPr>
          <w:rFonts w:eastAsia="SimSun" w:cs="Arial"/>
          <w:szCs w:val="24"/>
          <w:lang w:eastAsia="zh-CN"/>
        </w:rPr>
      </w:pPr>
      <w:r w:rsidRPr="00654EDF">
        <w:br w:type="page"/>
      </w:r>
    </w:p>
    <w:p w:rsidR="006C345D" w:rsidRPr="00A33193" w:rsidRDefault="006C345D" w:rsidP="00FF22C5">
      <w:pPr>
        <w:pStyle w:val="Caschap"/>
        <w:jc w:val="left"/>
        <w:rPr>
          <w:spacing w:val="5"/>
          <w:lang w:val="fr-FR"/>
        </w:rPr>
      </w:pPr>
      <w:bookmarkStart w:id="0" w:name="_Toc301101352"/>
      <w:r w:rsidRPr="00A33193">
        <w:rPr>
          <w:spacing w:val="5"/>
          <w:lang w:val="fr-FR"/>
        </w:rPr>
        <w:lastRenderedPageBreak/>
        <w:t>ETUDE DE CAS 56</w:t>
      </w:r>
    </w:p>
    <w:p w:rsidR="006C345D" w:rsidRPr="00A33193" w:rsidRDefault="006C345D" w:rsidP="006C345D">
      <w:pPr>
        <w:pStyle w:val="Cas"/>
        <w:rPr>
          <w:lang w:val="fr-FR"/>
        </w:rPr>
      </w:pPr>
      <w:r w:rsidRPr="00A33193">
        <w:rPr>
          <w:lang w:val="fr-FR"/>
        </w:rPr>
        <w:t>Le projet</w:t>
      </w:r>
      <w:r w:rsidR="00FF22C5" w:rsidRPr="00A33193">
        <w:rPr>
          <w:lang w:val="fr-FR"/>
        </w:rPr>
        <w:t xml:space="preserve"> de </w:t>
      </w:r>
      <w:proofErr w:type="spellStart"/>
      <w:r w:rsidR="00FF22C5" w:rsidRPr="00A33193">
        <w:rPr>
          <w:lang w:val="fr-FR"/>
        </w:rPr>
        <w:t>bioprospection</w:t>
      </w:r>
      <w:proofErr w:type="spellEnd"/>
      <w:r w:rsidR="00FF22C5" w:rsidRPr="00A33193">
        <w:rPr>
          <w:lang w:val="fr-FR"/>
        </w:rPr>
        <w:t xml:space="preserve"> Maya</w:t>
      </w:r>
    </w:p>
    <w:p w:rsidR="006C345D" w:rsidRPr="00901A65" w:rsidRDefault="006C345D" w:rsidP="00FF22C5">
      <w:pPr>
        <w:pStyle w:val="Heading4"/>
        <w:keepLines w:val="0"/>
        <w:widowControl w:val="0"/>
        <w:snapToGrid w:val="0"/>
        <w:spacing w:before="480" w:after="240" w:line="300" w:lineRule="exact"/>
        <w:rPr>
          <w:rFonts w:ascii="Arial" w:eastAsia="Times New Roman" w:hAnsi="Arial" w:cs="Arial"/>
          <w:i w:val="0"/>
          <w:iCs w:val="0"/>
          <w:caps/>
          <w:color w:val="auto"/>
          <w:sz w:val="20"/>
          <w:szCs w:val="24"/>
        </w:rPr>
      </w:pPr>
      <w:r w:rsidRPr="00901A65">
        <w:rPr>
          <w:rFonts w:ascii="Arial" w:eastAsia="Times New Roman" w:hAnsi="Arial" w:cs="Arial"/>
          <w:i w:val="0"/>
          <w:iCs w:val="0"/>
          <w:caps/>
          <w:color w:val="auto"/>
          <w:sz w:val="20"/>
          <w:szCs w:val="24"/>
        </w:rPr>
        <w:t>Introduction</w:t>
      </w:r>
    </w:p>
    <w:p w:rsidR="003B172C" w:rsidRPr="007F61CB" w:rsidRDefault="003B172C" w:rsidP="00FF22C5">
      <w:pPr>
        <w:pStyle w:val="Texte1"/>
        <w:rPr>
          <w:sz w:val="20"/>
        </w:rPr>
      </w:pPr>
      <w:r w:rsidRPr="007F61CB">
        <w:rPr>
          <w:sz w:val="20"/>
        </w:rPr>
        <w:t>Le projet Maya ICBG</w:t>
      </w:r>
      <w:r w:rsidRPr="00FF22C5">
        <w:rPr>
          <w:sz w:val="20"/>
          <w:vertAlign w:val="superscript"/>
          <w:lang w:val="en-US"/>
        </w:rPr>
        <w:footnoteReference w:id="1"/>
      </w:r>
      <w:r w:rsidRPr="007F61CB">
        <w:rPr>
          <w:sz w:val="20"/>
          <w:vertAlign w:val="superscript"/>
        </w:rPr>
        <w:t xml:space="preserve"> </w:t>
      </w:r>
      <w:r w:rsidRPr="007F61CB">
        <w:rPr>
          <w:sz w:val="20"/>
        </w:rPr>
        <w:t xml:space="preserve">était un projet de recherche prévu sur cinq ans </w:t>
      </w:r>
      <w:r w:rsidR="00146DB0" w:rsidRPr="007F61CB">
        <w:rPr>
          <w:sz w:val="20"/>
        </w:rPr>
        <w:t xml:space="preserve">destiné à recueillir des informations ethnobotaniques </w:t>
      </w:r>
      <w:r w:rsidRPr="007F61CB">
        <w:rPr>
          <w:sz w:val="20"/>
        </w:rPr>
        <w:t>dans les hautes terres du Chiapas, au sud du  Mexique. Son but : dresser un inventaire des plantes endémiques de la région afin d’en faire, si possible, des produits commercialisables.</w:t>
      </w:r>
      <w:r w:rsidR="00146DB0" w:rsidRPr="007F61CB">
        <w:rPr>
          <w:sz w:val="20"/>
        </w:rPr>
        <w:t xml:space="preserve"> Le projet entendait également contribuer au développement communautaire en renforçant les capacités techniques locales.</w:t>
      </w:r>
    </w:p>
    <w:p w:rsidR="003B172C" w:rsidRPr="007F61CB" w:rsidRDefault="003B172C" w:rsidP="00FF22C5">
      <w:pPr>
        <w:pStyle w:val="Heading4"/>
        <w:keepLines w:val="0"/>
        <w:widowControl w:val="0"/>
        <w:snapToGrid w:val="0"/>
        <w:spacing w:before="480" w:after="240" w:line="300" w:lineRule="exact"/>
        <w:rPr>
          <w:rFonts w:ascii="Arial" w:eastAsia="Times New Roman" w:hAnsi="Arial" w:cs="Arial"/>
          <w:i w:val="0"/>
          <w:iCs w:val="0"/>
          <w:caps/>
          <w:color w:val="auto"/>
          <w:sz w:val="20"/>
          <w:szCs w:val="24"/>
        </w:rPr>
      </w:pPr>
      <w:r w:rsidRPr="007F61CB">
        <w:rPr>
          <w:rFonts w:ascii="Arial" w:eastAsia="Times New Roman" w:hAnsi="Arial" w:cs="Arial"/>
          <w:i w:val="0"/>
          <w:iCs w:val="0"/>
          <w:caps/>
          <w:color w:val="auto"/>
          <w:sz w:val="20"/>
          <w:szCs w:val="24"/>
        </w:rPr>
        <w:t>Contexte socio-culturel</w:t>
      </w:r>
      <w:r w:rsidR="00A73DB1">
        <w:rPr>
          <w:rFonts w:ascii="Arial" w:eastAsia="Times New Roman" w:hAnsi="Arial" w:cs="Arial"/>
          <w:i w:val="0"/>
          <w:iCs w:val="0"/>
          <w:caps/>
          <w:color w:val="auto"/>
          <w:sz w:val="20"/>
          <w:szCs w:val="24"/>
        </w:rPr>
        <w:t xml:space="preserve"> socio-politique</w:t>
      </w:r>
    </w:p>
    <w:p w:rsidR="00146DB0" w:rsidRPr="007F61CB" w:rsidRDefault="00146DB0" w:rsidP="00FF22C5">
      <w:pPr>
        <w:pStyle w:val="Texte1"/>
        <w:rPr>
          <w:sz w:val="20"/>
        </w:rPr>
      </w:pPr>
      <w:r w:rsidRPr="007F61CB">
        <w:rPr>
          <w:sz w:val="20"/>
        </w:rPr>
        <w:t xml:space="preserve">Les communautés des hautes terres de Chiapas comptent 900 000 personnes. Elles sont réparties sur environ 8000 villages et parlent l’une des quatre langues Maya. </w:t>
      </w:r>
      <w:r w:rsidR="00145FA8" w:rsidRPr="007F61CB">
        <w:rPr>
          <w:sz w:val="20"/>
        </w:rPr>
        <w:t>Les populations autochtones de la région du Chiapas sont historiquement marginalisées ; nombreux sont ceux qui vivent dans des conditions de pauvreté extrême et ont vécu des dizaines d’années de conflits religieux et politiques.</w:t>
      </w:r>
    </w:p>
    <w:p w:rsidR="00C17ABC" w:rsidRPr="007F61CB" w:rsidRDefault="00145FA8" w:rsidP="00FF22C5">
      <w:pPr>
        <w:pStyle w:val="Texte1"/>
        <w:rPr>
          <w:sz w:val="20"/>
        </w:rPr>
      </w:pPr>
      <w:r w:rsidRPr="007F61CB">
        <w:rPr>
          <w:sz w:val="20"/>
        </w:rPr>
        <w:t>En outre, le concept de communauté ne fait pas l’unanimité à Chiapas. Il n’existait en effet aucun organe socio-politique global pour représenter les communautés et parler en leur nom. La population Maya est en fait organisée autour d’un certain nombre de formes dynamique</w:t>
      </w:r>
      <w:r w:rsidR="00A0482D">
        <w:rPr>
          <w:sz w:val="20"/>
        </w:rPr>
        <w:t>s</w:t>
      </w:r>
      <w:r w:rsidRPr="007F61CB">
        <w:rPr>
          <w:sz w:val="20"/>
        </w:rPr>
        <w:t xml:space="preserve"> et parfois conflictuelles d’organisation</w:t>
      </w:r>
      <w:r w:rsidR="00A0482D">
        <w:rPr>
          <w:sz w:val="20"/>
        </w:rPr>
        <w:t>s</w:t>
      </w:r>
      <w:r w:rsidRPr="007F61CB">
        <w:rPr>
          <w:sz w:val="20"/>
        </w:rPr>
        <w:t xml:space="preserve"> territoria</w:t>
      </w:r>
      <w:r w:rsidR="00E97195" w:rsidRPr="007F61CB">
        <w:rPr>
          <w:sz w:val="20"/>
        </w:rPr>
        <w:t>les, politiques et religieuses.</w:t>
      </w:r>
    </w:p>
    <w:p w:rsidR="003B172C" w:rsidRPr="007F61CB" w:rsidRDefault="003B172C" w:rsidP="00FF22C5">
      <w:pPr>
        <w:pStyle w:val="Heading4"/>
        <w:keepLines w:val="0"/>
        <w:widowControl w:val="0"/>
        <w:snapToGrid w:val="0"/>
        <w:spacing w:before="480" w:after="240" w:line="300" w:lineRule="exact"/>
        <w:rPr>
          <w:rFonts w:ascii="Arial" w:eastAsia="Times New Roman" w:hAnsi="Arial" w:cs="Arial"/>
          <w:i w:val="0"/>
          <w:iCs w:val="0"/>
          <w:caps/>
          <w:color w:val="auto"/>
          <w:sz w:val="20"/>
          <w:szCs w:val="24"/>
        </w:rPr>
      </w:pPr>
      <w:r w:rsidRPr="007F61CB">
        <w:rPr>
          <w:rFonts w:ascii="Arial" w:eastAsia="Times New Roman" w:hAnsi="Arial" w:cs="Arial"/>
          <w:i w:val="0"/>
          <w:iCs w:val="0"/>
          <w:caps/>
          <w:color w:val="auto"/>
          <w:sz w:val="20"/>
          <w:szCs w:val="24"/>
        </w:rPr>
        <w:t>Parties prenantes</w:t>
      </w:r>
      <w:r w:rsidR="00E97195" w:rsidRPr="007F61CB">
        <w:rPr>
          <w:rFonts w:ascii="Arial" w:eastAsia="Times New Roman" w:hAnsi="Arial" w:cs="Arial"/>
          <w:i w:val="0"/>
          <w:iCs w:val="0"/>
          <w:caps/>
          <w:color w:val="auto"/>
          <w:sz w:val="20"/>
          <w:szCs w:val="24"/>
        </w:rPr>
        <w:t xml:space="preserve"> cl</w:t>
      </w:r>
      <w:r w:rsidR="00A0482D">
        <w:rPr>
          <w:rFonts w:ascii="Arial" w:eastAsia="Times New Roman" w:hAnsi="Arial" w:cs="Arial"/>
          <w:i w:val="0"/>
          <w:iCs w:val="0"/>
          <w:caps/>
          <w:color w:val="auto"/>
          <w:sz w:val="20"/>
          <w:szCs w:val="24"/>
        </w:rPr>
        <w:t>É</w:t>
      </w:r>
      <w:r w:rsidR="00BE748F" w:rsidRPr="007F61CB">
        <w:rPr>
          <w:rFonts w:ascii="Arial" w:eastAsia="Times New Roman" w:hAnsi="Arial" w:cs="Arial"/>
          <w:i w:val="0"/>
          <w:iCs w:val="0"/>
          <w:caps/>
          <w:color w:val="auto"/>
          <w:sz w:val="20"/>
          <w:szCs w:val="24"/>
        </w:rPr>
        <w:t>s</w:t>
      </w:r>
    </w:p>
    <w:p w:rsidR="00504796" w:rsidRPr="007F61CB" w:rsidRDefault="00C17ABC" w:rsidP="00FF22C5">
      <w:pPr>
        <w:pStyle w:val="Texte1"/>
        <w:rPr>
          <w:sz w:val="20"/>
        </w:rPr>
      </w:pPr>
      <w:r w:rsidRPr="007F61CB">
        <w:rPr>
          <w:sz w:val="20"/>
        </w:rPr>
        <w:t xml:space="preserve">En 1998, le programme </w:t>
      </w:r>
      <w:r w:rsidR="00A0482D">
        <w:rPr>
          <w:sz w:val="20"/>
        </w:rPr>
        <w:t>« </w:t>
      </w:r>
      <w:r w:rsidRPr="007F61CB">
        <w:rPr>
          <w:sz w:val="20"/>
        </w:rPr>
        <w:t xml:space="preserve">International </w:t>
      </w:r>
      <w:proofErr w:type="spellStart"/>
      <w:r w:rsidRPr="007F61CB">
        <w:rPr>
          <w:sz w:val="20"/>
        </w:rPr>
        <w:t>Cooperative</w:t>
      </w:r>
      <w:proofErr w:type="spellEnd"/>
      <w:r w:rsidRPr="007F61CB">
        <w:rPr>
          <w:sz w:val="20"/>
        </w:rPr>
        <w:t xml:space="preserve"> </w:t>
      </w:r>
      <w:proofErr w:type="spellStart"/>
      <w:r w:rsidRPr="007F61CB">
        <w:rPr>
          <w:sz w:val="20"/>
        </w:rPr>
        <w:t>Biodiversity</w:t>
      </w:r>
      <w:proofErr w:type="spellEnd"/>
      <w:r w:rsidRPr="007F61CB">
        <w:rPr>
          <w:sz w:val="20"/>
        </w:rPr>
        <w:t xml:space="preserve"> Groups</w:t>
      </w:r>
      <w:r w:rsidR="00A0482D">
        <w:rPr>
          <w:sz w:val="20"/>
        </w:rPr>
        <w:t> »</w:t>
      </w:r>
      <w:r w:rsidRPr="007F61CB">
        <w:rPr>
          <w:sz w:val="20"/>
        </w:rPr>
        <w:t xml:space="preserve"> octroie une subven</w:t>
      </w:r>
      <w:r w:rsidR="003F611C">
        <w:rPr>
          <w:sz w:val="20"/>
        </w:rPr>
        <w:t>tion de 2,5 millions de dollars</w:t>
      </w:r>
      <w:r w:rsidRPr="007F61CB">
        <w:rPr>
          <w:sz w:val="20"/>
        </w:rPr>
        <w:t xml:space="preserve"> au projet de </w:t>
      </w:r>
      <w:proofErr w:type="spellStart"/>
      <w:r w:rsidRPr="007F61CB">
        <w:rPr>
          <w:sz w:val="20"/>
        </w:rPr>
        <w:t>bioprosection</w:t>
      </w:r>
      <w:proofErr w:type="spellEnd"/>
      <w:r w:rsidRPr="007F61CB">
        <w:rPr>
          <w:sz w:val="20"/>
        </w:rPr>
        <w:t xml:space="preserve">. L’ICBG est un consortium d’agences fédérales des </w:t>
      </w:r>
      <w:r w:rsidR="00A0482D">
        <w:rPr>
          <w:sz w:val="20"/>
        </w:rPr>
        <w:t>É</w:t>
      </w:r>
      <w:r w:rsidRPr="007F61CB">
        <w:rPr>
          <w:sz w:val="20"/>
        </w:rPr>
        <w:t>tats-Unis qui regroupe</w:t>
      </w:r>
      <w:r w:rsidR="00A0482D">
        <w:rPr>
          <w:sz w:val="20"/>
        </w:rPr>
        <w:t>,</w:t>
      </w:r>
      <w:r w:rsidRPr="007F61CB">
        <w:rPr>
          <w:sz w:val="20"/>
        </w:rPr>
        <w:t xml:space="preserve"> entre autre</w:t>
      </w:r>
      <w:r w:rsidR="00A0482D">
        <w:rPr>
          <w:sz w:val="20"/>
        </w:rPr>
        <w:t>,</w:t>
      </w:r>
      <w:r w:rsidRPr="007F61CB">
        <w:rPr>
          <w:sz w:val="20"/>
        </w:rPr>
        <w:t xml:space="preserve"> les National Institutes of </w:t>
      </w:r>
      <w:proofErr w:type="spellStart"/>
      <w:r w:rsidRPr="007F61CB">
        <w:rPr>
          <w:sz w:val="20"/>
        </w:rPr>
        <w:t>Health</w:t>
      </w:r>
      <w:proofErr w:type="spellEnd"/>
      <w:r w:rsidRPr="007F61CB">
        <w:rPr>
          <w:sz w:val="20"/>
        </w:rPr>
        <w:t xml:space="preserve"> (NIH) et le ministère de l’Agriculture des </w:t>
      </w:r>
      <w:r w:rsidR="00A0482D">
        <w:rPr>
          <w:sz w:val="20"/>
        </w:rPr>
        <w:t>É</w:t>
      </w:r>
      <w:r w:rsidRPr="007F61CB">
        <w:rPr>
          <w:sz w:val="20"/>
        </w:rPr>
        <w:t>tats-Unis</w:t>
      </w:r>
      <w:r w:rsidR="00504796" w:rsidRPr="007F61CB">
        <w:rPr>
          <w:sz w:val="20"/>
        </w:rPr>
        <w:t xml:space="preserve">. </w:t>
      </w:r>
      <w:r w:rsidR="00A0482D">
        <w:rPr>
          <w:sz w:val="20"/>
        </w:rPr>
        <w:t xml:space="preserve"> Le partenariat incluait également, en plus de l’équipe de recherche américaine</w:t>
      </w:r>
      <w:r w:rsidR="00504796" w:rsidRPr="007F61CB">
        <w:rPr>
          <w:sz w:val="20"/>
        </w:rPr>
        <w:t xml:space="preserve">, l’Université de Géorgie, le </w:t>
      </w:r>
      <w:proofErr w:type="spellStart"/>
      <w:r w:rsidR="00504796" w:rsidRPr="007F61CB">
        <w:rPr>
          <w:sz w:val="20"/>
        </w:rPr>
        <w:t>Colegio</w:t>
      </w:r>
      <w:proofErr w:type="spellEnd"/>
      <w:r w:rsidR="00504796" w:rsidRPr="007F61CB">
        <w:rPr>
          <w:sz w:val="20"/>
        </w:rPr>
        <w:t xml:space="preserve"> de la Frontera Sur (ECOSUR), un Centre mexicain d’enseignement et de recherche ainsi qu’une petite société de biotechnologie travaillant sur la découverte de produits naturels, implantée au Pays de Galles (Royaume-Uni).</w:t>
      </w:r>
    </w:p>
    <w:p w:rsidR="00204E04" w:rsidRPr="00204E04" w:rsidRDefault="00331D5C" w:rsidP="00FF22C5">
      <w:pPr>
        <w:pStyle w:val="Texte1"/>
        <w:rPr>
          <w:sz w:val="22"/>
          <w:szCs w:val="22"/>
        </w:rPr>
      </w:pPr>
      <w:r w:rsidRPr="007F61CB">
        <w:rPr>
          <w:sz w:val="20"/>
        </w:rPr>
        <w:t>La quatrième partie prenante principale n’était autre que les indigènes des hautes terres. Malgré le rôle crucial des populations indigènes, le consortium initial n’incluait aucune représentation Maya.</w:t>
      </w:r>
      <w:r w:rsidR="005139F9" w:rsidRPr="007F61CB">
        <w:rPr>
          <w:sz w:val="20"/>
        </w:rPr>
        <w:t xml:space="preserve"> L’un des objectifs primaires était de donner aux populations indigènes une part égale des bénéfices générés par le projet. C’est ce qui explique en partie la création par le projet Maya ICBG d’une organisation à but non lucratif appelée « Promotion des droits de propriété intellectuelle des Maya des hautes terres du Chiapas » (PROMAYA) pour représenter la population maya locale et ses intérêts dans le projet. Elle devait recevoir un quart de l’ensemble des bénéfices générés par un travail de </w:t>
      </w:r>
      <w:proofErr w:type="spellStart"/>
      <w:r w:rsidR="005139F9" w:rsidRPr="007F61CB">
        <w:rPr>
          <w:sz w:val="20"/>
        </w:rPr>
        <w:t>bioprospection</w:t>
      </w:r>
      <w:proofErr w:type="spellEnd"/>
      <w:r w:rsidR="005139F9" w:rsidRPr="007F61CB">
        <w:rPr>
          <w:sz w:val="20"/>
        </w:rPr>
        <w:t xml:space="preserve"> fructueux. PROMAYA devait compter une majorité de représentants maya et quelques membres extérieurs.</w:t>
      </w:r>
    </w:p>
    <w:p w:rsidR="00204E04" w:rsidRPr="00901A65" w:rsidRDefault="00204E04" w:rsidP="00FF22C5">
      <w:pPr>
        <w:pStyle w:val="Heading4"/>
        <w:keepLines w:val="0"/>
        <w:widowControl w:val="0"/>
        <w:snapToGrid w:val="0"/>
        <w:spacing w:before="480" w:after="240" w:line="300" w:lineRule="exact"/>
        <w:rPr>
          <w:rFonts w:ascii="Arial" w:eastAsia="Times New Roman" w:hAnsi="Arial" w:cs="Arial"/>
          <w:i w:val="0"/>
          <w:iCs w:val="0"/>
          <w:caps/>
          <w:color w:val="auto"/>
          <w:sz w:val="20"/>
          <w:szCs w:val="24"/>
        </w:rPr>
      </w:pPr>
      <w:r w:rsidRPr="00901A65">
        <w:rPr>
          <w:rFonts w:ascii="Arial" w:eastAsia="Times New Roman" w:hAnsi="Arial" w:cs="Arial"/>
          <w:i w:val="0"/>
          <w:iCs w:val="0"/>
          <w:caps/>
          <w:color w:val="auto"/>
          <w:sz w:val="20"/>
          <w:szCs w:val="24"/>
        </w:rPr>
        <w:lastRenderedPageBreak/>
        <w:t>Consentement des communautés</w:t>
      </w:r>
    </w:p>
    <w:p w:rsidR="00654EDF" w:rsidRPr="007F61CB" w:rsidRDefault="00654EDF" w:rsidP="00FF22C5">
      <w:pPr>
        <w:pStyle w:val="Texte1"/>
        <w:rPr>
          <w:sz w:val="20"/>
        </w:rPr>
      </w:pPr>
      <w:r w:rsidRPr="007F61CB">
        <w:rPr>
          <w:sz w:val="20"/>
        </w:rPr>
        <w:t xml:space="preserve">La Convention de 1992 sur la diversité biologique (CBD) confère aux </w:t>
      </w:r>
      <w:r w:rsidR="00F42DFC">
        <w:rPr>
          <w:sz w:val="20"/>
        </w:rPr>
        <w:t>É</w:t>
      </w:r>
      <w:r w:rsidRPr="007F61CB">
        <w:rPr>
          <w:sz w:val="20"/>
        </w:rPr>
        <w:t>tats souverain</w:t>
      </w:r>
      <w:r w:rsidR="00F42DFC">
        <w:rPr>
          <w:sz w:val="20"/>
        </w:rPr>
        <w:t>s</w:t>
      </w:r>
      <w:r w:rsidRPr="007F61CB">
        <w:rPr>
          <w:sz w:val="20"/>
        </w:rPr>
        <w:t xml:space="preserve"> des droits sur leurs ressources biologiques.</w:t>
      </w:r>
      <w:r w:rsidRPr="00FF22C5">
        <w:rPr>
          <w:sz w:val="20"/>
          <w:vertAlign w:val="superscript"/>
          <w:lang w:val="en-US"/>
        </w:rPr>
        <w:footnoteReference w:id="2"/>
      </w:r>
      <w:r w:rsidRPr="007F61CB">
        <w:rPr>
          <w:sz w:val="20"/>
        </w:rPr>
        <w:t xml:space="preserve"> De plus, ce traité </w:t>
      </w:r>
      <w:r w:rsidR="00E538A5" w:rsidRPr="007F61CB">
        <w:rPr>
          <w:sz w:val="20"/>
        </w:rPr>
        <w:t>prévoit que le consentement de la communauté locale pour l’usage des ressources génétiques doit être obtenu.</w:t>
      </w:r>
      <w:r w:rsidR="00E538A5" w:rsidRPr="00FF22C5">
        <w:rPr>
          <w:sz w:val="20"/>
          <w:lang w:val="en-US"/>
        </w:rPr>
        <w:footnoteReference w:id="3"/>
      </w:r>
      <w:r w:rsidR="00E538A5" w:rsidRPr="007F61CB">
        <w:rPr>
          <w:sz w:val="20"/>
        </w:rPr>
        <w:t xml:space="preserve"> Le projet s’est donc déroulé en accord avec ces exigences internationales pour obtenir le consentement </w:t>
      </w:r>
      <w:r w:rsidR="00C64D7D">
        <w:rPr>
          <w:sz w:val="20"/>
        </w:rPr>
        <w:t xml:space="preserve">libre, </w:t>
      </w:r>
      <w:r w:rsidR="00E538A5" w:rsidRPr="007F61CB">
        <w:rPr>
          <w:sz w:val="20"/>
        </w:rPr>
        <w:t xml:space="preserve">préalable et éclairé de la « communauté » à Chiapas, </w:t>
      </w:r>
      <w:r w:rsidR="007C28A2" w:rsidRPr="007F61CB">
        <w:rPr>
          <w:sz w:val="20"/>
        </w:rPr>
        <w:t>malgré la difficulté de définir</w:t>
      </w:r>
      <w:r w:rsidR="00C64D7D">
        <w:rPr>
          <w:i/>
          <w:sz w:val="20"/>
        </w:rPr>
        <w:t>, de par sa nature variable,</w:t>
      </w:r>
      <w:r w:rsidR="007C28A2" w:rsidRPr="007F61CB">
        <w:rPr>
          <w:sz w:val="20"/>
        </w:rPr>
        <w:t xml:space="preserve"> la communauté dans ce cas-là.</w:t>
      </w:r>
    </w:p>
    <w:p w:rsidR="007C28A2" w:rsidRPr="007F61CB" w:rsidRDefault="007C28A2" w:rsidP="00FF22C5">
      <w:pPr>
        <w:pStyle w:val="Texte1"/>
        <w:rPr>
          <w:sz w:val="20"/>
        </w:rPr>
      </w:pPr>
      <w:r w:rsidRPr="007F61CB">
        <w:rPr>
          <w:sz w:val="20"/>
        </w:rPr>
        <w:t>La loi nationale mexicaine disposait que la collecte de plantes à des fins scientifiques n’était au</w:t>
      </w:r>
      <w:r w:rsidR="003F611C">
        <w:rPr>
          <w:sz w:val="20"/>
        </w:rPr>
        <w:t>torisée qu’avec le consentement</w:t>
      </w:r>
      <w:r w:rsidRPr="007F61CB">
        <w:rPr>
          <w:sz w:val="20"/>
        </w:rPr>
        <w:t xml:space="preserve"> </w:t>
      </w:r>
      <w:r w:rsidR="00C64D7D">
        <w:rPr>
          <w:sz w:val="20"/>
        </w:rPr>
        <w:t xml:space="preserve">libre, </w:t>
      </w:r>
      <w:r w:rsidRPr="007F61CB">
        <w:rPr>
          <w:sz w:val="20"/>
        </w:rPr>
        <w:t>préalable</w:t>
      </w:r>
      <w:r w:rsidR="00C64D7D">
        <w:rPr>
          <w:sz w:val="20"/>
        </w:rPr>
        <w:t xml:space="preserve"> et éclairé</w:t>
      </w:r>
      <w:r w:rsidRPr="007F61CB">
        <w:rPr>
          <w:sz w:val="20"/>
        </w:rPr>
        <w:t xml:space="preserve"> </w:t>
      </w:r>
      <w:r w:rsidR="00C64D7D">
        <w:rPr>
          <w:sz w:val="20"/>
        </w:rPr>
        <w:t xml:space="preserve">des </w:t>
      </w:r>
      <w:r w:rsidRPr="007F61CB">
        <w:rPr>
          <w:sz w:val="20"/>
        </w:rPr>
        <w:t>propriétaire</w:t>
      </w:r>
      <w:r w:rsidR="00C64D7D">
        <w:rPr>
          <w:sz w:val="20"/>
        </w:rPr>
        <w:t>s</w:t>
      </w:r>
      <w:r w:rsidRPr="007F61CB">
        <w:rPr>
          <w:sz w:val="20"/>
        </w:rPr>
        <w:t xml:space="preserve"> légitime des terres où se trouvaient les espèces végétales découvertes. Toutefois, cette réglementation ne s’appliquait pas dans les cas de recherche biotechnologique où des échantillons pourraient être élaborés à des fins commerciales. Le projet </w:t>
      </w:r>
      <w:r w:rsidR="008817FD" w:rsidRPr="007F61CB">
        <w:rPr>
          <w:sz w:val="20"/>
        </w:rPr>
        <w:t xml:space="preserve">ICBG Maya </w:t>
      </w:r>
      <w:r w:rsidR="00BE748F" w:rsidRPr="007F61CB">
        <w:rPr>
          <w:sz w:val="20"/>
        </w:rPr>
        <w:t>a fait</w:t>
      </w:r>
      <w:r w:rsidR="008817FD" w:rsidRPr="007F61CB">
        <w:rPr>
          <w:sz w:val="20"/>
        </w:rPr>
        <w:t xml:space="preserve"> </w:t>
      </w:r>
      <w:r w:rsidR="00C64D7D">
        <w:rPr>
          <w:sz w:val="20"/>
        </w:rPr>
        <w:t xml:space="preserve">la </w:t>
      </w:r>
      <w:r w:rsidR="008817FD" w:rsidRPr="007F61CB">
        <w:rPr>
          <w:sz w:val="20"/>
        </w:rPr>
        <w:t xml:space="preserve">première demande de </w:t>
      </w:r>
      <w:r w:rsidR="00C64D7D">
        <w:rPr>
          <w:sz w:val="20"/>
        </w:rPr>
        <w:t>« </w:t>
      </w:r>
      <w:r w:rsidR="008817FD" w:rsidRPr="007F61CB">
        <w:rPr>
          <w:sz w:val="20"/>
        </w:rPr>
        <w:t>collectes biotechnologiques</w:t>
      </w:r>
      <w:r w:rsidR="00C64D7D">
        <w:rPr>
          <w:sz w:val="20"/>
        </w:rPr>
        <w:t> »</w:t>
      </w:r>
      <w:r w:rsidR="008817FD" w:rsidRPr="007F61CB">
        <w:rPr>
          <w:sz w:val="20"/>
        </w:rPr>
        <w:t xml:space="preserve"> au Mexique.</w:t>
      </w:r>
    </w:p>
    <w:p w:rsidR="008817FD" w:rsidRPr="007F61CB" w:rsidRDefault="00BE748F" w:rsidP="00FF22C5">
      <w:pPr>
        <w:pStyle w:val="Texte1"/>
        <w:rPr>
          <w:sz w:val="20"/>
        </w:rPr>
      </w:pPr>
      <w:r w:rsidRPr="007F61CB">
        <w:rPr>
          <w:sz w:val="20"/>
        </w:rPr>
        <w:t>Con</w:t>
      </w:r>
      <w:r w:rsidR="003F611C">
        <w:rPr>
          <w:sz w:val="20"/>
        </w:rPr>
        <w:t>scient de</w:t>
      </w:r>
      <w:r w:rsidR="004D7AC0">
        <w:rPr>
          <w:sz w:val="20"/>
        </w:rPr>
        <w:t xml:space="preserve"> la nécessité</w:t>
      </w:r>
      <w:r w:rsidRPr="007F61CB">
        <w:rPr>
          <w:sz w:val="20"/>
        </w:rPr>
        <w:t xml:space="preserve"> d’obtenir le consentement </w:t>
      </w:r>
      <w:r w:rsidR="004D7AC0">
        <w:rPr>
          <w:sz w:val="20"/>
        </w:rPr>
        <w:t xml:space="preserve">libre, </w:t>
      </w:r>
      <w:r w:rsidRPr="007F61CB">
        <w:rPr>
          <w:sz w:val="20"/>
        </w:rPr>
        <w:t>préalable et éclairé des communautés, le projet ICBG Maya a élaboré un processus en plusieurs étapes pour informer les communautés afin qu’elles donnent leur consentement en connaissance de cause. Les membres du projet ont commencé par organiser un forum national sur l’expérience du Mexique dans le domaine de l</w:t>
      </w:r>
      <w:r w:rsidR="003F611C">
        <w:rPr>
          <w:sz w:val="20"/>
        </w:rPr>
        <w:t xml:space="preserve">a </w:t>
      </w:r>
      <w:proofErr w:type="spellStart"/>
      <w:r w:rsidR="003F611C">
        <w:rPr>
          <w:sz w:val="20"/>
        </w:rPr>
        <w:t>bioprospection</w:t>
      </w:r>
      <w:proofErr w:type="spellEnd"/>
      <w:r w:rsidR="003F611C">
        <w:rPr>
          <w:sz w:val="20"/>
        </w:rPr>
        <w:t xml:space="preserve"> pour tirer des</w:t>
      </w:r>
      <w:r w:rsidR="004D7AC0">
        <w:rPr>
          <w:sz w:val="20"/>
        </w:rPr>
        <w:t xml:space="preserve"> enseignements</w:t>
      </w:r>
      <w:r w:rsidRPr="007F61CB">
        <w:rPr>
          <w:sz w:val="20"/>
        </w:rPr>
        <w:t xml:space="preserve"> des projets passés. </w:t>
      </w:r>
      <w:r w:rsidR="006C67F6" w:rsidRPr="007F61CB">
        <w:rPr>
          <w:sz w:val="20"/>
        </w:rPr>
        <w:t>Ensuite</w:t>
      </w:r>
      <w:r w:rsidR="004D7AC0">
        <w:rPr>
          <w:sz w:val="20"/>
        </w:rPr>
        <w:t>,</w:t>
      </w:r>
      <w:r w:rsidR="006C67F6" w:rsidRPr="007F61CB">
        <w:rPr>
          <w:sz w:val="20"/>
        </w:rPr>
        <w:t xml:space="preserve"> ils ont organisé une assemblé d’information générale destinée aux membres de la communauté Maya, distribué des flyers en langues indigènes et diffusé des messages à la radio. De plus,</w:t>
      </w:r>
      <w:r w:rsidR="003F611C">
        <w:rPr>
          <w:sz w:val="20"/>
        </w:rPr>
        <w:t xml:space="preserve"> </w:t>
      </w:r>
      <w:r w:rsidR="004D7AC0">
        <w:rPr>
          <w:sz w:val="20"/>
        </w:rPr>
        <w:t>l’essentiel de</w:t>
      </w:r>
      <w:r w:rsidR="003F611C">
        <w:rPr>
          <w:sz w:val="20"/>
        </w:rPr>
        <w:t xml:space="preserve"> la proposition de projet</w:t>
      </w:r>
      <w:r w:rsidR="00AE0A51">
        <w:rPr>
          <w:sz w:val="20"/>
        </w:rPr>
        <w:t xml:space="preserve"> ainsi que</w:t>
      </w:r>
      <w:r w:rsidR="006C67F6" w:rsidRPr="007F61CB">
        <w:rPr>
          <w:sz w:val="20"/>
        </w:rPr>
        <w:t xml:space="preserve"> les rapports de progrès étaient publiés sur le site web de l’Unive</w:t>
      </w:r>
      <w:r w:rsidR="007F61CB" w:rsidRPr="007F61CB">
        <w:rPr>
          <w:sz w:val="20"/>
        </w:rPr>
        <w:t>r</w:t>
      </w:r>
      <w:r w:rsidR="006C67F6" w:rsidRPr="007F61CB">
        <w:rPr>
          <w:sz w:val="20"/>
        </w:rPr>
        <w:t>sité de Géorgie et un endroit était prévu pour commenter le projet pour l’améliorer.</w:t>
      </w:r>
      <w:r w:rsidR="00AE0A51">
        <w:rPr>
          <w:sz w:val="20"/>
        </w:rPr>
        <w:t xml:space="preserve"> / et des commentaires étaient sollicités afin d’améliorer le projet</w:t>
      </w:r>
    </w:p>
    <w:p w:rsidR="00CE620B" w:rsidRDefault="00BC1975" w:rsidP="009E6B35">
      <w:pPr>
        <w:pStyle w:val="Texte1"/>
        <w:rPr>
          <w:sz w:val="20"/>
        </w:rPr>
      </w:pPr>
      <w:r w:rsidRPr="007F61CB">
        <w:rPr>
          <w:sz w:val="20"/>
        </w:rPr>
        <w:t xml:space="preserve">Le processus de consentement des communautés s’articulait autour d’une pièce de théâtre en </w:t>
      </w:r>
      <w:proofErr w:type="gramStart"/>
      <w:r w:rsidRPr="007F61CB">
        <w:rPr>
          <w:sz w:val="20"/>
        </w:rPr>
        <w:t>un acte montée</w:t>
      </w:r>
      <w:proofErr w:type="gramEnd"/>
      <w:r w:rsidRPr="007F61CB">
        <w:rPr>
          <w:sz w:val="20"/>
        </w:rPr>
        <w:t xml:space="preserve"> par l’ECOSUR et les membres Mayas du projet. La pièce</w:t>
      </w:r>
      <w:r w:rsidR="00AE0A51">
        <w:rPr>
          <w:sz w:val="20"/>
        </w:rPr>
        <w:t>, jouée en langues autochtones,</w:t>
      </w:r>
      <w:r w:rsidRPr="007F61CB">
        <w:rPr>
          <w:sz w:val="20"/>
        </w:rPr>
        <w:t xml:space="preserve"> illustrait les ob</w:t>
      </w:r>
      <w:r w:rsidR="003F611C">
        <w:rPr>
          <w:sz w:val="20"/>
        </w:rPr>
        <w:t>jectifs du projet, les méthodes</w:t>
      </w:r>
      <w:r w:rsidR="00AE0A51">
        <w:rPr>
          <w:sz w:val="20"/>
        </w:rPr>
        <w:t xml:space="preserve"> employées,</w:t>
      </w:r>
      <w:r w:rsidRPr="007F61CB">
        <w:rPr>
          <w:sz w:val="20"/>
        </w:rPr>
        <w:t xml:space="preserve"> ainsi que ses b</w:t>
      </w:r>
      <w:r w:rsidR="003F611C">
        <w:rPr>
          <w:sz w:val="20"/>
        </w:rPr>
        <w:t>énéfices potentiels. Elle était</w:t>
      </w:r>
      <w:r w:rsidRPr="007F61CB">
        <w:rPr>
          <w:sz w:val="20"/>
        </w:rPr>
        <w:t xml:space="preserve"> </w:t>
      </w:r>
      <w:r w:rsidR="00AE0A51">
        <w:rPr>
          <w:sz w:val="20"/>
        </w:rPr>
        <w:t xml:space="preserve">destinée aux </w:t>
      </w:r>
      <w:bookmarkStart w:id="1" w:name="_GoBack"/>
      <w:bookmarkEnd w:id="1"/>
      <w:r w:rsidR="000D6E4D">
        <w:rPr>
          <w:sz w:val="20"/>
        </w:rPr>
        <w:t xml:space="preserve">représentants </w:t>
      </w:r>
      <w:r w:rsidRPr="007F61CB">
        <w:rPr>
          <w:sz w:val="20"/>
        </w:rPr>
        <w:t xml:space="preserve">de la communauté  </w:t>
      </w:r>
      <w:r w:rsidR="000D6E4D">
        <w:rPr>
          <w:sz w:val="20"/>
        </w:rPr>
        <w:t xml:space="preserve"> ainsi qu’aux </w:t>
      </w:r>
      <w:r w:rsidR="00DE7D26" w:rsidRPr="007F61CB">
        <w:rPr>
          <w:sz w:val="20"/>
        </w:rPr>
        <w:t xml:space="preserve"> membres de la communauté  </w:t>
      </w:r>
      <w:r w:rsidR="000D6E4D">
        <w:rPr>
          <w:sz w:val="20"/>
        </w:rPr>
        <w:t xml:space="preserve">ayant </w:t>
      </w:r>
      <w:r w:rsidR="00DE7D26" w:rsidRPr="007F61CB">
        <w:rPr>
          <w:sz w:val="20"/>
        </w:rPr>
        <w:t xml:space="preserve">répondu aux invitations générales du groupe. </w:t>
      </w:r>
      <w:r w:rsidR="00CE620B" w:rsidRPr="007F61CB">
        <w:rPr>
          <w:sz w:val="20"/>
        </w:rPr>
        <w:t>L’équipe du projet a aussi invité les représentants de la communauté à visiter le laboratoire et a proposé de retourner dans les</w:t>
      </w:r>
      <w:r w:rsidR="003F611C">
        <w:rPr>
          <w:sz w:val="20"/>
        </w:rPr>
        <w:t xml:space="preserve"> villages pour rejouer la pièce</w:t>
      </w:r>
      <w:r w:rsidR="00CE620B" w:rsidRPr="007F61CB">
        <w:rPr>
          <w:sz w:val="20"/>
        </w:rPr>
        <w:t xml:space="preserve"> devant toute la communauté. </w:t>
      </w:r>
      <w:r w:rsidR="000D6E4D">
        <w:rPr>
          <w:sz w:val="20"/>
        </w:rPr>
        <w:t xml:space="preserve"> À</w:t>
      </w:r>
      <w:r w:rsidR="00CE620B" w:rsidRPr="007F61CB">
        <w:rPr>
          <w:sz w:val="20"/>
        </w:rPr>
        <w:t xml:space="preserve"> l’issue d’une représentation dans un village, la communauté a été invitée à participer au projet et à signer un </w:t>
      </w:r>
      <w:r w:rsidR="000D6E4D" w:rsidRPr="007F61CB">
        <w:rPr>
          <w:sz w:val="20"/>
        </w:rPr>
        <w:t>mémorandum</w:t>
      </w:r>
      <w:r w:rsidR="00CE620B" w:rsidRPr="007F61CB">
        <w:rPr>
          <w:sz w:val="20"/>
        </w:rPr>
        <w:t xml:space="preserve"> </w:t>
      </w:r>
      <w:r w:rsidR="00C67AE4" w:rsidRPr="007F61CB">
        <w:rPr>
          <w:sz w:val="20"/>
        </w:rPr>
        <w:t>général pour exprimer son intérê</w:t>
      </w:r>
      <w:r w:rsidR="00CE620B" w:rsidRPr="007F61CB">
        <w:rPr>
          <w:sz w:val="20"/>
        </w:rPr>
        <w:t>t</w:t>
      </w:r>
      <w:r w:rsidR="000D6E4D">
        <w:rPr>
          <w:sz w:val="20"/>
        </w:rPr>
        <w:t xml:space="preserve">. </w:t>
      </w:r>
      <w:r w:rsidR="00CE620B" w:rsidRPr="007F61CB">
        <w:rPr>
          <w:sz w:val="20"/>
        </w:rPr>
        <w:t xml:space="preserve">Au cours des trois mois où la pièce a été jouée, 46 hameaux sur les 47 de la région </w:t>
      </w:r>
      <w:r w:rsidR="00C67AE4" w:rsidRPr="007F61CB">
        <w:rPr>
          <w:sz w:val="20"/>
        </w:rPr>
        <w:t>ont donné</w:t>
      </w:r>
      <w:r w:rsidR="00CE620B" w:rsidRPr="007F61CB">
        <w:rPr>
          <w:sz w:val="20"/>
        </w:rPr>
        <w:t xml:space="preserve"> leur consentement écrit</w:t>
      </w:r>
      <w:r w:rsidR="00C67AE4" w:rsidRPr="007F61CB">
        <w:rPr>
          <w:sz w:val="20"/>
        </w:rPr>
        <w:t>.</w:t>
      </w:r>
    </w:p>
    <w:p w:rsidR="00191EE8" w:rsidRDefault="00191EE8" w:rsidP="009E6B35">
      <w:pPr>
        <w:pStyle w:val="Texte1"/>
        <w:rPr>
          <w:sz w:val="20"/>
        </w:rPr>
      </w:pPr>
    </w:p>
    <w:p w:rsidR="00191EE8" w:rsidRDefault="00191EE8" w:rsidP="009E6B35">
      <w:pPr>
        <w:pStyle w:val="Texte1"/>
        <w:rPr>
          <w:b/>
          <w:sz w:val="20"/>
        </w:rPr>
      </w:pPr>
    </w:p>
    <w:p w:rsidR="00191EE8" w:rsidRDefault="00191EE8" w:rsidP="009E6B35">
      <w:pPr>
        <w:pStyle w:val="Texte1"/>
        <w:rPr>
          <w:b/>
          <w:sz w:val="20"/>
        </w:rPr>
      </w:pPr>
    </w:p>
    <w:p w:rsidR="00191EE8" w:rsidRDefault="00191EE8" w:rsidP="009E6B35">
      <w:pPr>
        <w:pStyle w:val="Texte1"/>
        <w:rPr>
          <w:b/>
          <w:sz w:val="20"/>
        </w:rPr>
      </w:pPr>
    </w:p>
    <w:p w:rsidR="00191EE8" w:rsidRDefault="00191EE8" w:rsidP="009E6B35">
      <w:pPr>
        <w:pStyle w:val="Texte1"/>
        <w:rPr>
          <w:b/>
          <w:sz w:val="20"/>
        </w:rPr>
      </w:pPr>
    </w:p>
    <w:p w:rsidR="00191EE8" w:rsidRPr="003F611C" w:rsidRDefault="00191EE8" w:rsidP="009E6B35">
      <w:pPr>
        <w:pStyle w:val="Texte1"/>
        <w:rPr>
          <w:b/>
          <w:color w:val="000000" w:themeColor="text1"/>
          <w:sz w:val="20"/>
        </w:rPr>
      </w:pPr>
      <w:r w:rsidRPr="003F611C">
        <w:rPr>
          <w:b/>
          <w:color w:val="000000" w:themeColor="text1"/>
          <w:sz w:val="20"/>
        </w:rPr>
        <w:lastRenderedPageBreak/>
        <w:t>OPPOSITION AU PROJET</w:t>
      </w:r>
    </w:p>
    <w:p w:rsidR="00191EE8" w:rsidRPr="003F611C" w:rsidRDefault="00191EE8" w:rsidP="009E6B35">
      <w:pPr>
        <w:pStyle w:val="Texte1"/>
        <w:rPr>
          <w:color w:val="000000" w:themeColor="text1"/>
          <w:sz w:val="20"/>
        </w:rPr>
      </w:pPr>
      <w:r w:rsidRPr="003F611C">
        <w:rPr>
          <w:color w:val="000000" w:themeColor="text1"/>
          <w:sz w:val="20"/>
        </w:rPr>
        <w:t xml:space="preserve">Bien que les chefs du projet Maya ICBG aient pensé respecter les exigences légales et éthiques relatives au partage des bénéfices et au consentement libre, préalable et éclairé, les organismes communautaires contestèrent le projet. </w:t>
      </w:r>
    </w:p>
    <w:p w:rsidR="00191EE8" w:rsidRPr="003F611C" w:rsidRDefault="00412FB1" w:rsidP="009E6B35">
      <w:pPr>
        <w:pStyle w:val="Texte1"/>
        <w:rPr>
          <w:color w:val="000000" w:themeColor="text1"/>
          <w:sz w:val="20"/>
        </w:rPr>
      </w:pPr>
      <w:r w:rsidRPr="003F611C">
        <w:rPr>
          <w:color w:val="000000" w:themeColor="text1"/>
          <w:sz w:val="20"/>
        </w:rPr>
        <w:t xml:space="preserve">Une confédération d’organismes de guérisseurs locaux, appelée « Council of </w:t>
      </w:r>
      <w:proofErr w:type="spellStart"/>
      <w:r w:rsidRPr="003F611C">
        <w:rPr>
          <w:color w:val="000000" w:themeColor="text1"/>
          <w:sz w:val="20"/>
        </w:rPr>
        <w:t>Traditional</w:t>
      </w:r>
      <w:proofErr w:type="spellEnd"/>
      <w:r w:rsidRPr="003F611C">
        <w:rPr>
          <w:color w:val="000000" w:themeColor="text1"/>
          <w:sz w:val="20"/>
        </w:rPr>
        <w:t xml:space="preserve"> </w:t>
      </w:r>
      <w:proofErr w:type="spellStart"/>
      <w:r w:rsidRPr="003F611C">
        <w:rPr>
          <w:color w:val="000000" w:themeColor="text1"/>
          <w:sz w:val="20"/>
        </w:rPr>
        <w:t>Indigenous</w:t>
      </w:r>
      <w:proofErr w:type="spellEnd"/>
      <w:r w:rsidRPr="003F611C">
        <w:rPr>
          <w:color w:val="000000" w:themeColor="text1"/>
          <w:sz w:val="20"/>
        </w:rPr>
        <w:t xml:space="preserve"> </w:t>
      </w:r>
      <w:proofErr w:type="spellStart"/>
      <w:r w:rsidRPr="003F611C">
        <w:rPr>
          <w:color w:val="000000" w:themeColor="text1"/>
          <w:sz w:val="20"/>
        </w:rPr>
        <w:t>Doctor</w:t>
      </w:r>
      <w:proofErr w:type="spellEnd"/>
      <w:r w:rsidRPr="003F611C">
        <w:rPr>
          <w:color w:val="000000" w:themeColor="text1"/>
          <w:sz w:val="20"/>
        </w:rPr>
        <w:t xml:space="preserve"> and </w:t>
      </w:r>
      <w:proofErr w:type="spellStart"/>
      <w:r w:rsidRPr="003F611C">
        <w:rPr>
          <w:color w:val="000000" w:themeColor="text1"/>
          <w:sz w:val="20"/>
        </w:rPr>
        <w:t>Midwife</w:t>
      </w:r>
      <w:proofErr w:type="spellEnd"/>
      <w:r w:rsidRPr="003F611C">
        <w:rPr>
          <w:color w:val="000000" w:themeColor="text1"/>
          <w:sz w:val="20"/>
        </w:rPr>
        <w:t xml:space="preserve"> </w:t>
      </w:r>
      <w:proofErr w:type="spellStart"/>
      <w:r w:rsidRPr="003F611C">
        <w:rPr>
          <w:color w:val="000000" w:themeColor="text1"/>
          <w:sz w:val="20"/>
        </w:rPr>
        <w:t>Organizations</w:t>
      </w:r>
      <w:proofErr w:type="spellEnd"/>
      <w:r w:rsidRPr="003F611C">
        <w:rPr>
          <w:color w:val="000000" w:themeColor="text1"/>
          <w:sz w:val="20"/>
        </w:rPr>
        <w:t xml:space="preserve"> » (COMPITCH), ainsi qu’une ONG internationale nommée « Rural </w:t>
      </w:r>
      <w:proofErr w:type="spellStart"/>
      <w:r w:rsidRPr="003F611C">
        <w:rPr>
          <w:color w:val="000000" w:themeColor="text1"/>
          <w:sz w:val="20"/>
        </w:rPr>
        <w:t>Advancement</w:t>
      </w:r>
      <w:proofErr w:type="spellEnd"/>
      <w:r w:rsidRPr="003F611C">
        <w:rPr>
          <w:color w:val="000000" w:themeColor="text1"/>
          <w:sz w:val="20"/>
        </w:rPr>
        <w:t xml:space="preserve"> </w:t>
      </w:r>
      <w:proofErr w:type="spellStart"/>
      <w:r w:rsidRPr="003F611C">
        <w:rPr>
          <w:color w:val="000000" w:themeColor="text1"/>
          <w:sz w:val="20"/>
        </w:rPr>
        <w:t>Foundation</w:t>
      </w:r>
      <w:proofErr w:type="spellEnd"/>
      <w:r w:rsidRPr="003F611C">
        <w:rPr>
          <w:color w:val="000000" w:themeColor="text1"/>
          <w:sz w:val="20"/>
        </w:rPr>
        <w:t xml:space="preserve"> International » (RAFI), lancèrent, en 1999, une campagne médiatique contre le projet. Selon eux, </w:t>
      </w:r>
      <w:r w:rsidR="00E3319D" w:rsidRPr="003F611C">
        <w:rPr>
          <w:color w:val="000000" w:themeColor="text1"/>
          <w:sz w:val="20"/>
        </w:rPr>
        <w:t>le processus de consentement des villages participants était inadéquat et les manifestations d’intérêt des communautés devraient par conséquent être annulées. Leur critique fondamentale concernait le manque de protection juridique des droits autochtones en matière de ressources génétiques et intellectuelles, aussi bien au niveau national que mondial.</w:t>
      </w:r>
    </w:p>
    <w:p w:rsidR="003161E5" w:rsidRPr="003F611C" w:rsidRDefault="003161E5" w:rsidP="009E6B35">
      <w:pPr>
        <w:pStyle w:val="Texte1"/>
        <w:rPr>
          <w:color w:val="000000" w:themeColor="text1"/>
          <w:sz w:val="20"/>
        </w:rPr>
      </w:pPr>
    </w:p>
    <w:p w:rsidR="003161E5" w:rsidRPr="003F611C" w:rsidRDefault="003161E5" w:rsidP="009E6B35">
      <w:pPr>
        <w:pStyle w:val="Texte1"/>
        <w:rPr>
          <w:color w:val="000000" w:themeColor="text1"/>
          <w:sz w:val="20"/>
        </w:rPr>
      </w:pPr>
      <w:r w:rsidRPr="003F611C">
        <w:rPr>
          <w:color w:val="000000" w:themeColor="text1"/>
          <w:sz w:val="20"/>
        </w:rPr>
        <w:t>Leurs critiques à l’encontre du projet Maya ICBG dénonçaient plus précisément :</w:t>
      </w:r>
    </w:p>
    <w:p w:rsidR="003161E5" w:rsidRPr="003F611C" w:rsidRDefault="003161E5" w:rsidP="003161E5">
      <w:pPr>
        <w:pStyle w:val="Texte1"/>
        <w:rPr>
          <w:color w:val="000000" w:themeColor="text1"/>
          <w:sz w:val="20"/>
        </w:rPr>
      </w:pPr>
      <w:r w:rsidRPr="003F611C">
        <w:rPr>
          <w:color w:val="000000" w:themeColor="text1"/>
          <w:sz w:val="20"/>
        </w:rPr>
        <w:t>1 – le fait que la pièce de théâtre informative ait omis une description du débat politique au nivea</w:t>
      </w:r>
      <w:r w:rsidR="006A6BC3" w:rsidRPr="003F611C">
        <w:rPr>
          <w:color w:val="000000" w:themeColor="text1"/>
          <w:sz w:val="20"/>
        </w:rPr>
        <w:t>u mondial sur les brevets et le savoir traditionnel</w:t>
      </w:r>
      <w:r w:rsidRPr="003F611C">
        <w:rPr>
          <w:color w:val="000000" w:themeColor="text1"/>
          <w:sz w:val="20"/>
        </w:rPr>
        <w:t> ;</w:t>
      </w:r>
    </w:p>
    <w:p w:rsidR="001643D7" w:rsidRPr="003F611C" w:rsidRDefault="003161E5" w:rsidP="003161E5">
      <w:pPr>
        <w:pStyle w:val="Texte1"/>
        <w:rPr>
          <w:color w:val="000000" w:themeColor="text1"/>
          <w:sz w:val="20"/>
        </w:rPr>
      </w:pPr>
      <w:r w:rsidRPr="003F611C">
        <w:rPr>
          <w:color w:val="000000" w:themeColor="text1"/>
          <w:sz w:val="20"/>
        </w:rPr>
        <w:t xml:space="preserve">2 </w:t>
      </w:r>
      <w:r w:rsidR="001643D7" w:rsidRPr="003F611C">
        <w:rPr>
          <w:color w:val="000000" w:themeColor="text1"/>
          <w:sz w:val="20"/>
        </w:rPr>
        <w:t>–</w:t>
      </w:r>
      <w:r w:rsidRPr="003F611C">
        <w:rPr>
          <w:color w:val="000000" w:themeColor="text1"/>
          <w:sz w:val="20"/>
        </w:rPr>
        <w:t xml:space="preserve"> </w:t>
      </w:r>
      <w:r w:rsidR="001643D7" w:rsidRPr="003F611C">
        <w:rPr>
          <w:color w:val="000000" w:themeColor="text1"/>
          <w:sz w:val="20"/>
        </w:rPr>
        <w:t>le fait que le nombre de signatures présentes sur les mémorandums de nombreuses communautés n’atteignait pas le pourcentage imposé par le droit coutumier ;</w:t>
      </w:r>
    </w:p>
    <w:p w:rsidR="003161E5" w:rsidRPr="003F611C" w:rsidRDefault="001643D7" w:rsidP="003161E5">
      <w:pPr>
        <w:pStyle w:val="Texte1"/>
        <w:rPr>
          <w:color w:val="000000" w:themeColor="text1"/>
          <w:sz w:val="20"/>
        </w:rPr>
      </w:pPr>
      <w:r w:rsidRPr="003F611C">
        <w:rPr>
          <w:color w:val="000000" w:themeColor="text1"/>
          <w:sz w:val="20"/>
        </w:rPr>
        <w:t>3 – le fait qu’aucun consentement valable ne pourrait être obtenu tant que l’ensemble des communautés mexicaines et guatémaliennes parlant le Maya (plus de 2 millions de personnes) ne seraient engagées dans le projet.</w:t>
      </w:r>
    </w:p>
    <w:p w:rsidR="008C77DC" w:rsidRPr="003F611C" w:rsidRDefault="001643D7" w:rsidP="009E6B35">
      <w:pPr>
        <w:pStyle w:val="Texte1"/>
        <w:rPr>
          <w:color w:val="000000" w:themeColor="text1"/>
          <w:sz w:val="20"/>
        </w:rPr>
      </w:pPr>
      <w:r w:rsidRPr="003F611C">
        <w:rPr>
          <w:color w:val="000000" w:themeColor="text1"/>
          <w:sz w:val="20"/>
        </w:rPr>
        <w:t xml:space="preserve">Les contestations de COMPITCH </w:t>
      </w:r>
      <w:r w:rsidR="00CC343C" w:rsidRPr="003F611C">
        <w:rPr>
          <w:color w:val="000000" w:themeColor="text1"/>
          <w:sz w:val="20"/>
        </w:rPr>
        <w:t xml:space="preserve">connurent un élan considérable dans les médias. La campagne relança un débat sur la </w:t>
      </w:r>
      <w:proofErr w:type="spellStart"/>
      <w:r w:rsidR="00CC343C" w:rsidRPr="003F611C">
        <w:rPr>
          <w:color w:val="000000" w:themeColor="text1"/>
          <w:sz w:val="20"/>
        </w:rPr>
        <w:t>bioprospection</w:t>
      </w:r>
      <w:proofErr w:type="spellEnd"/>
      <w:r w:rsidR="00CC343C" w:rsidRPr="003F611C">
        <w:rPr>
          <w:color w:val="000000" w:themeColor="text1"/>
          <w:sz w:val="20"/>
        </w:rPr>
        <w:t xml:space="preserve">, le système des brevets et sur la détresse des Mayas Chiapas, a une échelle nationale et internationale. </w:t>
      </w:r>
      <w:r w:rsidR="008C77DC" w:rsidRPr="003F611C">
        <w:rPr>
          <w:color w:val="000000" w:themeColor="text1"/>
          <w:sz w:val="20"/>
        </w:rPr>
        <w:t>Comme l’ont noté certains observateurs, les participants communautaires n’étaient que peu présents dans la presse, alors même qu’ils avaient été interviewés. Ils ne disposaient pas non plus de sites internet dédiés ni de plateformes sur lesquelles présenter leurs points de vue.</w:t>
      </w:r>
    </w:p>
    <w:p w:rsidR="00E50FF7" w:rsidRPr="003F611C" w:rsidRDefault="008C77DC" w:rsidP="009E6B35">
      <w:pPr>
        <w:pStyle w:val="Texte1"/>
        <w:rPr>
          <w:color w:val="000000" w:themeColor="text1"/>
          <w:sz w:val="20"/>
        </w:rPr>
      </w:pPr>
      <w:r w:rsidRPr="003F611C">
        <w:rPr>
          <w:color w:val="000000" w:themeColor="text1"/>
          <w:sz w:val="20"/>
        </w:rPr>
        <w:t>Face à la pression nationale et internationale croissante, ECOSUR, le partenaire national, annula sa demande de permis auprès des autorités mexicaines</w:t>
      </w:r>
      <w:r w:rsidR="00E50FF7" w:rsidRPr="003F611C">
        <w:rPr>
          <w:color w:val="000000" w:themeColor="text1"/>
          <w:sz w:val="20"/>
        </w:rPr>
        <w:t>. Sans un partenaire national le projet ne correspondait plus aux critères permettant l’obtention d’une subvention et le projet Maya ICBG s’en trouva annulé en 2001.</w:t>
      </w:r>
    </w:p>
    <w:p w:rsidR="00E50FF7" w:rsidRPr="003F611C" w:rsidRDefault="00E50FF7" w:rsidP="009E6B35">
      <w:pPr>
        <w:pStyle w:val="Texte1"/>
        <w:rPr>
          <w:color w:val="000000" w:themeColor="text1"/>
          <w:sz w:val="20"/>
        </w:rPr>
      </w:pPr>
    </w:p>
    <w:p w:rsidR="00772BEF" w:rsidRPr="003F611C" w:rsidRDefault="001C4370" w:rsidP="001C4370">
      <w:pPr>
        <w:pStyle w:val="Texte1"/>
        <w:rPr>
          <w:b/>
          <w:color w:val="000000" w:themeColor="text1"/>
          <w:sz w:val="20"/>
        </w:rPr>
      </w:pPr>
      <w:r w:rsidRPr="003F611C">
        <w:rPr>
          <w:b/>
          <w:color w:val="000000" w:themeColor="text1"/>
          <w:sz w:val="20"/>
        </w:rPr>
        <w:t>CONCLUSION</w:t>
      </w:r>
    </w:p>
    <w:p w:rsidR="00762682" w:rsidRPr="003F611C" w:rsidRDefault="001C4370" w:rsidP="009E6B35">
      <w:pPr>
        <w:pStyle w:val="Texte1"/>
        <w:rPr>
          <w:color w:val="000000" w:themeColor="text1"/>
          <w:sz w:val="20"/>
        </w:rPr>
      </w:pPr>
      <w:r w:rsidRPr="003F611C">
        <w:rPr>
          <w:color w:val="000000" w:themeColor="text1"/>
          <w:sz w:val="20"/>
        </w:rPr>
        <w:t>Les chefs de projet prévoyaient que la population autochtone Maya puisse à la fois contribuer au projet et en bénéficier considérablement. Afin de garantir la participation et l’engagement de la communauté, ils élaborèrent des plans ainsi qu’un vaste processus de consultation communautaire. Toutefois,</w:t>
      </w:r>
      <w:r w:rsidR="00762682" w:rsidRPr="003F611C">
        <w:rPr>
          <w:color w:val="000000" w:themeColor="text1"/>
          <w:sz w:val="20"/>
        </w:rPr>
        <w:t xml:space="preserve"> malgré les meilleures intentions et</w:t>
      </w:r>
      <w:r w:rsidRPr="003F611C">
        <w:rPr>
          <w:color w:val="000000" w:themeColor="text1"/>
          <w:sz w:val="20"/>
        </w:rPr>
        <w:t xml:space="preserve"> comme le montre cette étude de cas, </w:t>
      </w:r>
      <w:r w:rsidR="00762682" w:rsidRPr="003F611C">
        <w:rPr>
          <w:color w:val="000000" w:themeColor="text1"/>
          <w:sz w:val="20"/>
        </w:rPr>
        <w:t>le projet dut faire face à de nombreuses difficultés et fut finalement abandonné en 2001.</w:t>
      </w:r>
    </w:p>
    <w:p w:rsidR="00191EE8" w:rsidRPr="003F611C" w:rsidRDefault="00762682" w:rsidP="009E6B35">
      <w:pPr>
        <w:pStyle w:val="Texte1"/>
        <w:rPr>
          <w:color w:val="000000" w:themeColor="text1"/>
          <w:sz w:val="20"/>
        </w:rPr>
      </w:pPr>
      <w:r w:rsidRPr="003F611C">
        <w:rPr>
          <w:color w:val="000000" w:themeColor="text1"/>
          <w:sz w:val="20"/>
        </w:rPr>
        <w:t xml:space="preserve">Les raisons de cet échec sont nombreuses et complexes. La méfiance entre les parties a joué un rôle notable. Des différends </w:t>
      </w:r>
      <w:r w:rsidR="00120367" w:rsidRPr="003F611C">
        <w:rPr>
          <w:color w:val="000000" w:themeColor="text1"/>
          <w:sz w:val="20"/>
        </w:rPr>
        <w:t xml:space="preserve">surgirent </w:t>
      </w:r>
      <w:r w:rsidRPr="003F611C">
        <w:rPr>
          <w:color w:val="000000" w:themeColor="text1"/>
          <w:sz w:val="20"/>
        </w:rPr>
        <w:t xml:space="preserve">entre organisations et activités communautaires et l’équipe du projet </w:t>
      </w:r>
      <w:r w:rsidR="00120367" w:rsidRPr="003F611C">
        <w:rPr>
          <w:color w:val="000000" w:themeColor="text1"/>
          <w:sz w:val="20"/>
        </w:rPr>
        <w:t>quant : au processus, aux intentions, aux résultats éven</w:t>
      </w:r>
      <w:r w:rsidR="003F611C">
        <w:rPr>
          <w:color w:val="000000" w:themeColor="text1"/>
          <w:sz w:val="20"/>
        </w:rPr>
        <w:t>tuels de ce projet,</w:t>
      </w:r>
      <w:r w:rsidR="00120367" w:rsidRPr="003F611C">
        <w:rPr>
          <w:color w:val="000000" w:themeColor="text1"/>
          <w:sz w:val="20"/>
        </w:rPr>
        <w:t xml:space="preserve"> à la manière dont la communauté a été défini et dont on a tenté d’obtenir son consentement. L’étude de cas montre également qu’il est difficile d’établir un consentement communautaire en l’absence de fortes structures de gouvernance communautaire </w:t>
      </w:r>
      <w:r w:rsidR="006A6BC3" w:rsidRPr="003F611C">
        <w:rPr>
          <w:color w:val="000000" w:themeColor="text1"/>
          <w:sz w:val="20"/>
        </w:rPr>
        <w:t xml:space="preserve">perçues par tous comme étant légitimes. Le manque de mécanisme de suivi </w:t>
      </w:r>
      <w:r w:rsidR="006A6BC3" w:rsidRPr="003F611C">
        <w:rPr>
          <w:color w:val="000000" w:themeColor="text1"/>
          <w:sz w:val="20"/>
        </w:rPr>
        <w:lastRenderedPageBreak/>
        <w:t xml:space="preserve">et de législation nationale claire et uniforme afin d’assurer que les droits communautaires relatifs au savoir traditionnel soient protégés posa des problèmes supplémentaires. </w:t>
      </w:r>
    </w:p>
    <w:p w:rsidR="00D12630" w:rsidRPr="003F611C" w:rsidRDefault="00D95F9A" w:rsidP="009E6B35">
      <w:pPr>
        <w:pStyle w:val="Texte1"/>
        <w:rPr>
          <w:color w:val="000000" w:themeColor="text1"/>
          <w:sz w:val="20"/>
        </w:rPr>
      </w:pPr>
      <w:r w:rsidRPr="003F611C">
        <w:rPr>
          <w:color w:val="000000" w:themeColor="text1"/>
          <w:sz w:val="20"/>
        </w:rPr>
        <w:t>Cette étude de cas</w:t>
      </w:r>
      <w:r w:rsidR="00D12630" w:rsidRPr="003F611C">
        <w:rPr>
          <w:color w:val="000000" w:themeColor="text1"/>
          <w:sz w:val="20"/>
        </w:rPr>
        <w:t>, à inscrire plus largement dans un contexte de contestations politiques et sociales entre activistes communautaires,</w:t>
      </w:r>
      <w:r w:rsidRPr="003F611C">
        <w:rPr>
          <w:color w:val="000000" w:themeColor="text1"/>
          <w:sz w:val="20"/>
        </w:rPr>
        <w:t xml:space="preserve"> démontre également les complexités en jeu lorsque de </w:t>
      </w:r>
      <w:r w:rsidR="00D12630" w:rsidRPr="003F611C">
        <w:rPr>
          <w:color w:val="000000" w:themeColor="text1"/>
          <w:sz w:val="20"/>
        </w:rPr>
        <w:t>différents acteurs</w:t>
      </w:r>
      <w:r w:rsidRPr="003F611C">
        <w:rPr>
          <w:color w:val="000000" w:themeColor="text1"/>
          <w:sz w:val="20"/>
        </w:rPr>
        <w:t xml:space="preserve"> ont des enjeux concurrents dans un projet de sauvegarde</w:t>
      </w:r>
      <w:r w:rsidR="00D12630" w:rsidRPr="003F611C">
        <w:rPr>
          <w:color w:val="000000" w:themeColor="text1"/>
          <w:sz w:val="20"/>
        </w:rPr>
        <w:t>.</w:t>
      </w:r>
    </w:p>
    <w:p w:rsidR="00191EE8" w:rsidRPr="003F611C" w:rsidRDefault="00D12630" w:rsidP="00606C65">
      <w:pPr>
        <w:pStyle w:val="Texte1"/>
        <w:rPr>
          <w:color w:val="000000" w:themeColor="text1"/>
          <w:sz w:val="20"/>
        </w:rPr>
      </w:pPr>
      <w:r w:rsidRPr="003F611C">
        <w:rPr>
          <w:color w:val="000000" w:themeColor="text1"/>
          <w:sz w:val="20"/>
        </w:rPr>
        <w:t>Un autre enseignement clé à tirer du sort de ce projet concerne l’importance de développer une participation, un consentement et des modèles de profit faits sur mesure</w:t>
      </w:r>
      <w:r w:rsidR="00606C65" w:rsidRPr="003F611C">
        <w:rPr>
          <w:color w:val="000000" w:themeColor="text1"/>
          <w:sz w:val="20"/>
        </w:rPr>
        <w:t xml:space="preserve"> pour la communauté. À retenir également : mettre en place, dès le départ, des stratégies de sauvegarde du patrimoine culturel immatériel considérées acceptables par les communautés et autres parties concernées.</w:t>
      </w:r>
    </w:p>
    <w:p w:rsidR="003B172C" w:rsidRPr="003B7F16" w:rsidRDefault="003B172C" w:rsidP="009E6B35">
      <w:pPr>
        <w:pStyle w:val="Heading4"/>
        <w:keepLines w:val="0"/>
        <w:widowControl w:val="0"/>
        <w:snapToGrid w:val="0"/>
        <w:spacing w:before="480" w:after="240" w:line="300" w:lineRule="exact"/>
        <w:rPr>
          <w:rFonts w:ascii="Arial" w:eastAsia="Times New Roman" w:hAnsi="Arial" w:cs="Arial"/>
          <w:i w:val="0"/>
          <w:iCs w:val="0"/>
          <w:caps/>
          <w:color w:val="auto"/>
          <w:sz w:val="20"/>
          <w:szCs w:val="24"/>
        </w:rPr>
      </w:pPr>
      <w:r w:rsidRPr="003B7F16">
        <w:rPr>
          <w:rFonts w:ascii="Arial" w:eastAsia="Times New Roman" w:hAnsi="Arial" w:cs="Arial"/>
          <w:i w:val="0"/>
          <w:iCs w:val="0"/>
          <w:caps/>
          <w:color w:val="auto"/>
          <w:sz w:val="20"/>
          <w:szCs w:val="24"/>
        </w:rPr>
        <w:t>Pour plus d’information</w:t>
      </w:r>
    </w:p>
    <w:p w:rsidR="003B172C" w:rsidRPr="007F61CB" w:rsidRDefault="003B172C" w:rsidP="009E6B35">
      <w:pPr>
        <w:pStyle w:val="Txtpucegras"/>
        <w:numPr>
          <w:ilvl w:val="0"/>
          <w:numId w:val="7"/>
        </w:numPr>
        <w:tabs>
          <w:tab w:val="clear" w:pos="340"/>
          <w:tab w:val="left" w:pos="567"/>
          <w:tab w:val="num" w:pos="851"/>
        </w:tabs>
        <w:ind w:left="851" w:hanging="284"/>
        <w:rPr>
          <w:sz w:val="20"/>
        </w:rPr>
      </w:pPr>
      <w:proofErr w:type="spellStart"/>
      <w:r w:rsidRPr="00336571">
        <w:rPr>
          <w:sz w:val="20"/>
          <w:lang w:val="en-US"/>
        </w:rPr>
        <w:t>Naville</w:t>
      </w:r>
      <w:proofErr w:type="spellEnd"/>
      <w:r w:rsidRPr="00336571">
        <w:rPr>
          <w:sz w:val="20"/>
          <w:lang w:val="en-US"/>
        </w:rPr>
        <w:t xml:space="preserve">, L. 2004. ‘The Experts, the Heroes, and </w:t>
      </w:r>
      <w:r w:rsidRPr="009E6B35">
        <w:rPr>
          <w:sz w:val="20"/>
          <w:lang w:val="en-US"/>
        </w:rPr>
        <w:t xml:space="preserve">the Indigenous People: the Story of the ICBG Maya Bioprospecting Project in Chiapas, Mexico’. </w:t>
      </w:r>
      <w:r w:rsidRPr="007F61CB">
        <w:rPr>
          <w:sz w:val="20"/>
        </w:rPr>
        <w:t xml:space="preserve">Mémoire de Master, </w:t>
      </w:r>
      <w:proofErr w:type="spellStart"/>
      <w:r w:rsidRPr="007F61CB">
        <w:rPr>
          <w:sz w:val="20"/>
        </w:rPr>
        <w:t>Noragric</w:t>
      </w:r>
      <w:proofErr w:type="spellEnd"/>
      <w:r w:rsidRPr="007F61CB">
        <w:rPr>
          <w:sz w:val="20"/>
        </w:rPr>
        <w:t xml:space="preserve">, Université agricole de Norvège, </w:t>
      </w:r>
      <w:proofErr w:type="spellStart"/>
      <w:r w:rsidRPr="007F61CB">
        <w:rPr>
          <w:sz w:val="20"/>
        </w:rPr>
        <w:t>Ås</w:t>
      </w:r>
      <w:proofErr w:type="spellEnd"/>
      <w:r w:rsidRPr="007F61CB">
        <w:rPr>
          <w:sz w:val="20"/>
        </w:rPr>
        <w:t>, Norvège. http://www.umb.no/statisk/noragric/publications/master/2004_lauren_naville.pdf</w:t>
      </w:r>
    </w:p>
    <w:p w:rsidR="003B172C" w:rsidRPr="009E6B35" w:rsidRDefault="003B172C" w:rsidP="009E6B35">
      <w:pPr>
        <w:pStyle w:val="Txtpucegras"/>
        <w:numPr>
          <w:ilvl w:val="0"/>
          <w:numId w:val="7"/>
        </w:numPr>
        <w:tabs>
          <w:tab w:val="clear" w:pos="340"/>
          <w:tab w:val="left" w:pos="567"/>
          <w:tab w:val="num" w:pos="851"/>
        </w:tabs>
        <w:ind w:left="851" w:hanging="284"/>
        <w:rPr>
          <w:sz w:val="20"/>
          <w:lang w:val="en-US"/>
        </w:rPr>
      </w:pPr>
      <w:r w:rsidRPr="007F61CB">
        <w:rPr>
          <w:sz w:val="20"/>
        </w:rPr>
        <w:t xml:space="preserve">Berlin, B. et Berlin, E. 2004. </w:t>
      </w:r>
      <w:r w:rsidRPr="009E6B35">
        <w:rPr>
          <w:sz w:val="20"/>
          <w:lang w:val="en-US"/>
        </w:rPr>
        <w:t>« Community Autonomy and the Maya ICBG Project in Chiapas, Mexico: How a Bioprospecting Project that should have Succeeded Failed ». Human Organization (</w:t>
      </w:r>
      <w:proofErr w:type="gramStart"/>
      <w:r w:rsidRPr="009E6B35">
        <w:rPr>
          <w:sz w:val="20"/>
          <w:lang w:val="en-US"/>
        </w:rPr>
        <w:t>Winter</w:t>
      </w:r>
      <w:proofErr w:type="gramEnd"/>
      <w:r w:rsidRPr="009E6B35">
        <w:rPr>
          <w:sz w:val="20"/>
          <w:lang w:val="en-US"/>
        </w:rPr>
        <w:t>).</w:t>
      </w:r>
    </w:p>
    <w:p w:rsidR="003B172C" w:rsidRPr="009E6B35" w:rsidRDefault="003B172C" w:rsidP="009E6B35">
      <w:pPr>
        <w:pStyle w:val="Txtpucegras"/>
        <w:numPr>
          <w:ilvl w:val="0"/>
          <w:numId w:val="7"/>
        </w:numPr>
        <w:tabs>
          <w:tab w:val="clear" w:pos="340"/>
          <w:tab w:val="left" w:pos="567"/>
          <w:tab w:val="num" w:pos="851"/>
        </w:tabs>
        <w:ind w:left="851" w:hanging="284"/>
        <w:rPr>
          <w:sz w:val="20"/>
          <w:lang w:val="en-US"/>
        </w:rPr>
      </w:pPr>
      <w:proofErr w:type="spellStart"/>
      <w:r w:rsidRPr="009E6B35">
        <w:rPr>
          <w:sz w:val="20"/>
          <w:lang w:val="en-US"/>
        </w:rPr>
        <w:t>Ceceña</w:t>
      </w:r>
      <w:proofErr w:type="spellEnd"/>
      <w:r w:rsidRPr="009E6B35">
        <w:rPr>
          <w:sz w:val="20"/>
          <w:lang w:val="en-US"/>
        </w:rPr>
        <w:t>, A. 2000. ¿</w:t>
      </w:r>
      <w:proofErr w:type="spellStart"/>
      <w:r w:rsidRPr="009E6B35">
        <w:rPr>
          <w:sz w:val="20"/>
          <w:lang w:val="en-US"/>
        </w:rPr>
        <w:t>Biopiratería</w:t>
      </w:r>
      <w:proofErr w:type="spellEnd"/>
      <w:r w:rsidRPr="009E6B35">
        <w:rPr>
          <w:sz w:val="20"/>
          <w:lang w:val="en-US"/>
        </w:rPr>
        <w:t xml:space="preserve"> o </w:t>
      </w:r>
      <w:proofErr w:type="spellStart"/>
      <w:r w:rsidRPr="009E6B35">
        <w:rPr>
          <w:sz w:val="20"/>
          <w:lang w:val="en-US"/>
        </w:rPr>
        <w:t>desarrollo</w:t>
      </w:r>
      <w:proofErr w:type="spellEnd"/>
      <w:r w:rsidRPr="009E6B35">
        <w:rPr>
          <w:sz w:val="20"/>
          <w:lang w:val="en-US"/>
        </w:rPr>
        <w:t xml:space="preserve"> </w:t>
      </w:r>
      <w:proofErr w:type="spellStart"/>
      <w:r w:rsidRPr="009E6B35">
        <w:rPr>
          <w:sz w:val="20"/>
          <w:lang w:val="en-US"/>
        </w:rPr>
        <w:t>sustentable</w:t>
      </w:r>
      <w:proofErr w:type="spellEnd"/>
      <w:r w:rsidRPr="009E6B35">
        <w:rPr>
          <w:sz w:val="20"/>
          <w:lang w:val="en-US"/>
        </w:rPr>
        <w:t xml:space="preserve">? Era-IIE, </w:t>
      </w:r>
      <w:proofErr w:type="spellStart"/>
      <w:r w:rsidRPr="009E6B35">
        <w:rPr>
          <w:sz w:val="20"/>
          <w:lang w:val="en-US"/>
        </w:rPr>
        <w:t>Revista</w:t>
      </w:r>
      <w:proofErr w:type="spellEnd"/>
      <w:r w:rsidRPr="009E6B35">
        <w:rPr>
          <w:sz w:val="20"/>
          <w:lang w:val="en-US"/>
        </w:rPr>
        <w:t xml:space="preserve"> Chiapas, </w:t>
      </w:r>
      <w:proofErr w:type="spellStart"/>
      <w:r w:rsidRPr="009E6B35">
        <w:rPr>
          <w:sz w:val="20"/>
          <w:lang w:val="en-US"/>
        </w:rPr>
        <w:t>Mexique</w:t>
      </w:r>
      <w:proofErr w:type="spellEnd"/>
      <w:r w:rsidRPr="009E6B35">
        <w:rPr>
          <w:sz w:val="20"/>
          <w:lang w:val="en-US"/>
        </w:rPr>
        <w:t>.</w:t>
      </w:r>
    </w:p>
    <w:p w:rsidR="003B172C" w:rsidRPr="009E6B35" w:rsidRDefault="003B172C" w:rsidP="009E6B35">
      <w:pPr>
        <w:pStyle w:val="Txtpucegras"/>
        <w:numPr>
          <w:ilvl w:val="0"/>
          <w:numId w:val="7"/>
        </w:numPr>
        <w:tabs>
          <w:tab w:val="clear" w:pos="340"/>
          <w:tab w:val="left" w:pos="567"/>
          <w:tab w:val="num" w:pos="851"/>
        </w:tabs>
        <w:ind w:left="851" w:hanging="284"/>
        <w:rPr>
          <w:sz w:val="20"/>
          <w:lang w:val="en-US"/>
        </w:rPr>
      </w:pPr>
      <w:proofErr w:type="spellStart"/>
      <w:r w:rsidRPr="007F61CB">
        <w:rPr>
          <w:sz w:val="20"/>
        </w:rPr>
        <w:t>Feinholz-Klip</w:t>
      </w:r>
      <w:proofErr w:type="spellEnd"/>
      <w:r w:rsidRPr="007F61CB">
        <w:rPr>
          <w:sz w:val="20"/>
        </w:rPr>
        <w:t xml:space="preserve">, D., Barrios, L. et Cook Lucas, J. 2009. </w:t>
      </w:r>
      <w:r w:rsidRPr="009E6B35">
        <w:rPr>
          <w:sz w:val="20"/>
          <w:lang w:val="en-US"/>
        </w:rPr>
        <w:t xml:space="preserve">« The Limitations of Good Intent: Problems of Representation and Informed Consent in the Maya ICBG Project in Chiapas, Mexico ». In: R. </w:t>
      </w:r>
      <w:proofErr w:type="spellStart"/>
      <w:r w:rsidRPr="009E6B35">
        <w:rPr>
          <w:sz w:val="20"/>
          <w:lang w:val="en-US"/>
        </w:rPr>
        <w:t>Wynberg</w:t>
      </w:r>
      <w:proofErr w:type="spellEnd"/>
      <w:r w:rsidRPr="009E6B35">
        <w:rPr>
          <w:sz w:val="20"/>
          <w:lang w:val="en-US"/>
        </w:rPr>
        <w:t xml:space="preserve">, et al. (eds.), Indigenous Peoples, Consent and Benefit Sharing: Lessons from the San-Hoodia Case. Heidelberg, Springer </w:t>
      </w:r>
      <w:proofErr w:type="spellStart"/>
      <w:r w:rsidRPr="009E6B35">
        <w:rPr>
          <w:sz w:val="20"/>
          <w:lang w:val="en-US"/>
        </w:rPr>
        <w:t>Science+Business</w:t>
      </w:r>
      <w:proofErr w:type="spellEnd"/>
      <w:r w:rsidRPr="009E6B35">
        <w:rPr>
          <w:sz w:val="20"/>
          <w:lang w:val="en-US"/>
        </w:rPr>
        <w:t xml:space="preserve"> Media B.V., pp. 315-331.</w:t>
      </w:r>
    </w:p>
    <w:p w:rsidR="003B172C" w:rsidRPr="009E6B35" w:rsidRDefault="003B172C" w:rsidP="009E6B35">
      <w:pPr>
        <w:pStyle w:val="Txtpucegras"/>
        <w:numPr>
          <w:ilvl w:val="0"/>
          <w:numId w:val="7"/>
        </w:numPr>
        <w:tabs>
          <w:tab w:val="clear" w:pos="340"/>
          <w:tab w:val="left" w:pos="567"/>
          <w:tab w:val="num" w:pos="851"/>
        </w:tabs>
        <w:ind w:left="851" w:hanging="284"/>
        <w:rPr>
          <w:sz w:val="20"/>
          <w:lang w:val="en-US"/>
        </w:rPr>
      </w:pPr>
      <w:r w:rsidRPr="009E6B35">
        <w:rPr>
          <w:sz w:val="20"/>
          <w:lang w:val="en-US"/>
        </w:rPr>
        <w:t>Rosenthal, J. P. 2006. « Politics, Culture, and Governance in the Development of Prior Informed Consent in Indigenous Communities ». Current Anthropology, Vol. 47, N 1, pp. 119-142.</w:t>
      </w:r>
    </w:p>
    <w:p w:rsidR="00331D5C" w:rsidRDefault="00331D5C" w:rsidP="00331D5C">
      <w:pPr>
        <w:sectPr w:rsidR="00331D5C">
          <w:headerReference w:type="default" r:id="rId8"/>
          <w:footerReference w:type="even" r:id="rId9"/>
          <w:pgSz w:w="11906" w:h="16838"/>
          <w:pgMar w:top="1417" w:right="1417" w:bottom="1417" w:left="1417" w:header="708" w:footer="708" w:gutter="0"/>
          <w:cols w:space="708"/>
          <w:docGrid w:linePitch="360"/>
        </w:sectPr>
      </w:pPr>
    </w:p>
    <w:p w:rsidR="003B172C" w:rsidRPr="009E6B35" w:rsidRDefault="003B172C" w:rsidP="009E6B35">
      <w:pPr>
        <w:spacing w:after="160" w:line="259" w:lineRule="auto"/>
        <w:rPr>
          <w:rFonts w:eastAsia="Times New Roman" w:cs="Arial"/>
          <w:b/>
          <w:bCs/>
          <w:caps/>
          <w:sz w:val="20"/>
          <w:szCs w:val="24"/>
          <w:lang w:val="en-US"/>
        </w:rPr>
      </w:pPr>
      <w:r w:rsidRPr="009E6B35">
        <w:rPr>
          <w:rFonts w:eastAsia="Times New Roman" w:cs="Arial"/>
          <w:b/>
          <w:bCs/>
          <w:caps/>
          <w:sz w:val="20"/>
          <w:szCs w:val="24"/>
          <w:lang w:val="en-US"/>
        </w:rPr>
        <w:lastRenderedPageBreak/>
        <w:t>Analyse des parties prenantes</w:t>
      </w:r>
    </w:p>
    <w:tbl>
      <w:tblPr>
        <w:tblStyle w:val="TableGrid"/>
        <w:tblpPr w:leftFromText="180" w:rightFromText="180" w:vertAnchor="page" w:horzAnchor="margin" w:tblpY="2245"/>
        <w:tblW w:w="14008" w:type="dxa"/>
        <w:tblLook w:val="04A0" w:firstRow="1" w:lastRow="0" w:firstColumn="1" w:lastColumn="0" w:noHBand="0" w:noVBand="1"/>
      </w:tblPr>
      <w:tblGrid>
        <w:gridCol w:w="2967"/>
        <w:gridCol w:w="4954"/>
        <w:gridCol w:w="6087"/>
      </w:tblGrid>
      <w:tr w:rsidR="00331D5C" w:rsidTr="0086099C">
        <w:trPr>
          <w:trHeight w:val="410"/>
        </w:trPr>
        <w:tc>
          <w:tcPr>
            <w:tcW w:w="2967" w:type="dxa"/>
          </w:tcPr>
          <w:p w:rsidR="00331D5C" w:rsidRPr="009E6B35" w:rsidRDefault="00606C65" w:rsidP="009E6B35">
            <w:pPr>
              <w:pStyle w:val="Txtpucegras"/>
              <w:tabs>
                <w:tab w:val="clear" w:pos="340"/>
                <w:tab w:val="left" w:pos="567"/>
              </w:tabs>
              <w:spacing w:line="276" w:lineRule="auto"/>
              <w:jc w:val="left"/>
              <w:rPr>
                <w:b/>
                <w:sz w:val="20"/>
                <w:lang w:val="en-US"/>
              </w:rPr>
            </w:pPr>
            <w:proofErr w:type="spellStart"/>
            <w:r>
              <w:rPr>
                <w:b/>
                <w:sz w:val="20"/>
                <w:lang w:val="en-US"/>
              </w:rPr>
              <w:t>Acteur</w:t>
            </w:r>
            <w:proofErr w:type="spellEnd"/>
          </w:p>
        </w:tc>
        <w:tc>
          <w:tcPr>
            <w:tcW w:w="4954" w:type="dxa"/>
          </w:tcPr>
          <w:p w:rsidR="00331D5C" w:rsidRPr="009E6B35" w:rsidRDefault="00331D5C" w:rsidP="009E6B35">
            <w:pPr>
              <w:pStyle w:val="Txtpucegras"/>
              <w:tabs>
                <w:tab w:val="clear" w:pos="340"/>
                <w:tab w:val="left" w:pos="567"/>
              </w:tabs>
              <w:spacing w:line="276" w:lineRule="auto"/>
              <w:rPr>
                <w:b/>
                <w:sz w:val="20"/>
                <w:lang w:val="en-US"/>
              </w:rPr>
            </w:pPr>
            <w:r w:rsidRPr="009E6B35">
              <w:rPr>
                <w:b/>
                <w:sz w:val="20"/>
                <w:lang w:val="en-US"/>
              </w:rPr>
              <w:t>Description</w:t>
            </w:r>
          </w:p>
        </w:tc>
        <w:tc>
          <w:tcPr>
            <w:tcW w:w="6087" w:type="dxa"/>
          </w:tcPr>
          <w:p w:rsidR="00331D5C" w:rsidRPr="009E6B35" w:rsidRDefault="00606C65" w:rsidP="009E6B35">
            <w:pPr>
              <w:pStyle w:val="Txtpucegras"/>
              <w:tabs>
                <w:tab w:val="clear" w:pos="340"/>
                <w:tab w:val="left" w:pos="567"/>
              </w:tabs>
              <w:spacing w:line="276" w:lineRule="auto"/>
              <w:rPr>
                <w:b/>
                <w:sz w:val="20"/>
                <w:lang w:val="en-US"/>
              </w:rPr>
            </w:pPr>
            <w:proofErr w:type="spellStart"/>
            <w:r>
              <w:rPr>
                <w:b/>
                <w:sz w:val="20"/>
                <w:lang w:val="en-US"/>
              </w:rPr>
              <w:t>Intérêts</w:t>
            </w:r>
            <w:proofErr w:type="spellEnd"/>
            <w:r>
              <w:rPr>
                <w:b/>
                <w:sz w:val="20"/>
                <w:lang w:val="en-US"/>
              </w:rPr>
              <w:t xml:space="preserve"> </w:t>
            </w:r>
            <w:proofErr w:type="spellStart"/>
            <w:r>
              <w:rPr>
                <w:b/>
                <w:sz w:val="20"/>
                <w:lang w:val="en-US"/>
              </w:rPr>
              <w:t>majeurs</w:t>
            </w:r>
            <w:proofErr w:type="spellEnd"/>
          </w:p>
        </w:tc>
      </w:tr>
      <w:tr w:rsidR="00331D5C" w:rsidRPr="004806A1" w:rsidTr="004806A1">
        <w:trPr>
          <w:trHeight w:val="1420"/>
        </w:trPr>
        <w:tc>
          <w:tcPr>
            <w:tcW w:w="2967" w:type="dxa"/>
          </w:tcPr>
          <w:p w:rsidR="00331D5C" w:rsidRPr="009E6B35" w:rsidRDefault="00331D5C" w:rsidP="0086099C">
            <w:pPr>
              <w:pStyle w:val="Txtpucegras"/>
              <w:spacing w:line="276" w:lineRule="auto"/>
              <w:jc w:val="left"/>
              <w:rPr>
                <w:rFonts w:eastAsia="Times New Roman"/>
                <w:bCs/>
                <w:caps/>
                <w:sz w:val="20"/>
                <w:szCs w:val="20"/>
                <w:lang w:eastAsia="en-US"/>
              </w:rPr>
            </w:pPr>
            <w:r w:rsidRPr="009E6B35">
              <w:rPr>
                <w:rFonts w:eastAsia="Times New Roman"/>
                <w:bCs/>
                <w:caps/>
                <w:sz w:val="20"/>
                <w:szCs w:val="20"/>
                <w:lang w:val="en-US" w:eastAsia="en-US"/>
              </w:rPr>
              <w:t>ICBG</w:t>
            </w:r>
            <w:r w:rsidRPr="009E6B35">
              <w:rPr>
                <w:sz w:val="20"/>
                <w:szCs w:val="20"/>
              </w:rPr>
              <w:t xml:space="preserve"> International Cooperative Biodiversity Groups</w:t>
            </w:r>
          </w:p>
        </w:tc>
        <w:tc>
          <w:tcPr>
            <w:tcW w:w="4954" w:type="dxa"/>
          </w:tcPr>
          <w:p w:rsidR="00331D5C" w:rsidRPr="004806A1" w:rsidRDefault="004806A1" w:rsidP="004806A1">
            <w:pPr>
              <w:pStyle w:val="Txtpucegras"/>
              <w:spacing w:line="276" w:lineRule="auto"/>
              <w:rPr>
                <w:sz w:val="20"/>
                <w:szCs w:val="20"/>
                <w:lang w:val="fr-FR"/>
              </w:rPr>
            </w:pPr>
            <w:r w:rsidRPr="004806A1">
              <w:rPr>
                <w:sz w:val="20"/>
                <w:lang w:val="fr-FR"/>
              </w:rPr>
              <w:t>Organisme de financement représent</w:t>
            </w:r>
            <w:r>
              <w:rPr>
                <w:sz w:val="20"/>
                <w:lang w:val="fr-FR"/>
              </w:rPr>
              <w:t xml:space="preserve">ant </w:t>
            </w:r>
            <w:r w:rsidRPr="004806A1">
              <w:rPr>
                <w:sz w:val="20"/>
                <w:lang w:val="fr-FR"/>
              </w:rPr>
              <w:t xml:space="preserve">un consortium d’agences fédérales des </w:t>
            </w:r>
            <w:r>
              <w:rPr>
                <w:sz w:val="20"/>
                <w:lang w:val="fr-FR"/>
              </w:rPr>
              <w:t>É</w:t>
            </w:r>
            <w:r w:rsidRPr="004806A1">
              <w:rPr>
                <w:sz w:val="20"/>
                <w:lang w:val="fr-FR"/>
              </w:rPr>
              <w:t>tats-Unis qui regroupe</w:t>
            </w:r>
            <w:r>
              <w:rPr>
                <w:sz w:val="20"/>
                <w:lang w:val="fr-FR"/>
              </w:rPr>
              <w:t xml:space="preserve"> </w:t>
            </w:r>
            <w:r w:rsidRPr="004806A1">
              <w:rPr>
                <w:sz w:val="20"/>
                <w:lang w:val="fr-FR"/>
              </w:rPr>
              <w:t xml:space="preserve">les National Institutes of </w:t>
            </w:r>
            <w:proofErr w:type="spellStart"/>
            <w:r w:rsidRPr="004806A1">
              <w:rPr>
                <w:sz w:val="20"/>
                <w:lang w:val="fr-FR"/>
              </w:rPr>
              <w:t>Health</w:t>
            </w:r>
            <w:proofErr w:type="spellEnd"/>
            <w:r w:rsidRPr="004806A1">
              <w:rPr>
                <w:sz w:val="20"/>
                <w:lang w:val="fr-FR"/>
              </w:rPr>
              <w:t xml:space="preserve"> (NIH) et le ministère de l’Agriculture des </w:t>
            </w:r>
            <w:r>
              <w:rPr>
                <w:sz w:val="20"/>
                <w:lang w:val="fr-FR"/>
              </w:rPr>
              <w:t>É</w:t>
            </w:r>
            <w:r w:rsidRPr="004806A1">
              <w:rPr>
                <w:sz w:val="20"/>
                <w:lang w:val="fr-FR"/>
              </w:rPr>
              <w:t>tats-Unis</w:t>
            </w:r>
          </w:p>
        </w:tc>
        <w:tc>
          <w:tcPr>
            <w:tcW w:w="6087" w:type="dxa"/>
          </w:tcPr>
          <w:p w:rsidR="00331D5C" w:rsidRPr="004806A1" w:rsidRDefault="00331D5C" w:rsidP="0086099C">
            <w:pPr>
              <w:pStyle w:val="Txtpucegras"/>
              <w:spacing w:line="276" w:lineRule="auto"/>
              <w:ind w:left="360"/>
              <w:rPr>
                <w:lang w:val="fr-FR"/>
              </w:rPr>
            </w:pPr>
          </w:p>
        </w:tc>
      </w:tr>
      <w:tr w:rsidR="00331D5C" w:rsidRPr="00BA1B02" w:rsidTr="0086099C">
        <w:trPr>
          <w:trHeight w:val="943"/>
        </w:trPr>
        <w:tc>
          <w:tcPr>
            <w:tcW w:w="2967" w:type="dxa"/>
          </w:tcPr>
          <w:p w:rsidR="00331D5C" w:rsidRPr="009E6B35" w:rsidRDefault="00331D5C" w:rsidP="0086099C">
            <w:pPr>
              <w:pStyle w:val="Txtpucegras"/>
              <w:spacing w:line="276" w:lineRule="auto"/>
              <w:jc w:val="left"/>
              <w:rPr>
                <w:sz w:val="20"/>
                <w:szCs w:val="20"/>
                <w:lang w:val="es-AR"/>
              </w:rPr>
            </w:pPr>
            <w:r w:rsidRPr="009E6B35">
              <w:rPr>
                <w:sz w:val="20"/>
                <w:szCs w:val="20"/>
                <w:lang w:val="es-AR"/>
              </w:rPr>
              <w:t xml:space="preserve">ECOSUR </w:t>
            </w:r>
            <w:proofErr w:type="spellStart"/>
            <w:r w:rsidRPr="009E6B35">
              <w:rPr>
                <w:sz w:val="20"/>
                <w:szCs w:val="20"/>
                <w:lang w:val="es-AR"/>
              </w:rPr>
              <w:t>University</w:t>
            </w:r>
            <w:proofErr w:type="spellEnd"/>
            <w:r w:rsidRPr="009E6B35">
              <w:rPr>
                <w:sz w:val="20"/>
                <w:szCs w:val="20"/>
                <w:lang w:val="es-AR"/>
              </w:rPr>
              <w:t xml:space="preserve"> of Georgia, El Colegio de la Frontera Sur</w:t>
            </w:r>
          </w:p>
        </w:tc>
        <w:tc>
          <w:tcPr>
            <w:tcW w:w="4954" w:type="dxa"/>
          </w:tcPr>
          <w:p w:rsidR="00331D5C" w:rsidRPr="004806A1" w:rsidRDefault="004806A1" w:rsidP="0086099C">
            <w:pPr>
              <w:pStyle w:val="Txtpucegras"/>
              <w:spacing w:line="276" w:lineRule="auto"/>
              <w:rPr>
                <w:sz w:val="20"/>
                <w:szCs w:val="20"/>
                <w:lang w:val="fr-FR"/>
              </w:rPr>
            </w:pPr>
            <w:r w:rsidRPr="004806A1">
              <w:rPr>
                <w:sz w:val="20"/>
                <w:szCs w:val="20"/>
                <w:lang w:val="fr-FR"/>
              </w:rPr>
              <w:t>Un centre mexicain d’enseignement et de recherche</w:t>
            </w:r>
          </w:p>
        </w:tc>
        <w:tc>
          <w:tcPr>
            <w:tcW w:w="6087" w:type="dxa"/>
          </w:tcPr>
          <w:p w:rsidR="00331D5C" w:rsidRPr="004806A1" w:rsidRDefault="00331D5C" w:rsidP="0086099C">
            <w:pPr>
              <w:pStyle w:val="Txtpucegras"/>
              <w:spacing w:line="276" w:lineRule="auto"/>
              <w:ind w:left="360"/>
              <w:rPr>
                <w:lang w:val="fr-FR"/>
              </w:rPr>
            </w:pPr>
          </w:p>
        </w:tc>
      </w:tr>
      <w:tr w:rsidR="00331D5C" w:rsidRPr="00BA1B02" w:rsidTr="0086099C">
        <w:trPr>
          <w:trHeight w:val="970"/>
        </w:trPr>
        <w:tc>
          <w:tcPr>
            <w:tcW w:w="2967" w:type="dxa"/>
          </w:tcPr>
          <w:p w:rsidR="00331D5C" w:rsidRPr="009E6B35" w:rsidRDefault="00331D5C" w:rsidP="0086099C">
            <w:pPr>
              <w:pStyle w:val="Txtpucegras"/>
              <w:spacing w:line="276" w:lineRule="auto"/>
              <w:jc w:val="left"/>
              <w:rPr>
                <w:sz w:val="20"/>
                <w:szCs w:val="20"/>
                <w:lang w:val="en-US"/>
              </w:rPr>
            </w:pPr>
            <w:r w:rsidRPr="009E6B35">
              <w:rPr>
                <w:sz w:val="20"/>
                <w:szCs w:val="20"/>
                <w:lang w:val="en-US"/>
              </w:rPr>
              <w:t xml:space="preserve">Molecular Nature Ltd. </w:t>
            </w:r>
          </w:p>
        </w:tc>
        <w:tc>
          <w:tcPr>
            <w:tcW w:w="4954" w:type="dxa"/>
          </w:tcPr>
          <w:p w:rsidR="00331D5C" w:rsidRPr="004806A1" w:rsidRDefault="004806A1" w:rsidP="0086099C">
            <w:pPr>
              <w:pStyle w:val="Txtpucegras"/>
              <w:spacing w:line="276" w:lineRule="auto"/>
              <w:rPr>
                <w:sz w:val="20"/>
                <w:szCs w:val="20"/>
                <w:lang w:val="fr-FR"/>
              </w:rPr>
            </w:pPr>
            <w:r w:rsidRPr="004806A1">
              <w:rPr>
                <w:sz w:val="20"/>
                <w:szCs w:val="20"/>
                <w:lang w:val="fr-FR"/>
              </w:rPr>
              <w:t xml:space="preserve">Une société de biotechnologie à but </w:t>
            </w:r>
            <w:r>
              <w:rPr>
                <w:sz w:val="20"/>
                <w:szCs w:val="20"/>
                <w:lang w:val="fr-FR"/>
              </w:rPr>
              <w:t>lucrative, implantée au Royaume-Uni</w:t>
            </w:r>
          </w:p>
        </w:tc>
        <w:tc>
          <w:tcPr>
            <w:tcW w:w="6087" w:type="dxa"/>
          </w:tcPr>
          <w:p w:rsidR="00331D5C" w:rsidRPr="004806A1" w:rsidRDefault="00331D5C" w:rsidP="0086099C">
            <w:pPr>
              <w:pStyle w:val="Txtpucegras"/>
              <w:spacing w:line="276" w:lineRule="auto"/>
              <w:ind w:left="360"/>
              <w:rPr>
                <w:lang w:val="fr-FR"/>
              </w:rPr>
            </w:pPr>
          </w:p>
        </w:tc>
      </w:tr>
      <w:tr w:rsidR="00331D5C" w:rsidRPr="00BA1B02" w:rsidTr="0086099C">
        <w:trPr>
          <w:trHeight w:val="1178"/>
        </w:trPr>
        <w:tc>
          <w:tcPr>
            <w:tcW w:w="2967" w:type="dxa"/>
          </w:tcPr>
          <w:p w:rsidR="00331D5C" w:rsidRPr="009E6B35" w:rsidRDefault="00331D5C" w:rsidP="0086099C">
            <w:pPr>
              <w:pStyle w:val="Txtpucegras"/>
              <w:spacing w:line="276" w:lineRule="auto"/>
              <w:jc w:val="left"/>
              <w:rPr>
                <w:sz w:val="20"/>
                <w:szCs w:val="20"/>
                <w:lang w:val="en-US"/>
              </w:rPr>
            </w:pPr>
            <w:r w:rsidRPr="009E6B35">
              <w:rPr>
                <w:sz w:val="20"/>
                <w:szCs w:val="20"/>
                <w:lang w:val="en-US"/>
              </w:rPr>
              <w:t>PROMOYA Promotion of Intellectual Property Rights of the highland Maya of Chiapas, Mexico</w:t>
            </w:r>
          </w:p>
        </w:tc>
        <w:tc>
          <w:tcPr>
            <w:tcW w:w="4954" w:type="dxa"/>
          </w:tcPr>
          <w:p w:rsidR="00331D5C" w:rsidRPr="00336571" w:rsidRDefault="00336571" w:rsidP="0086099C">
            <w:pPr>
              <w:pStyle w:val="Txtpucegras"/>
              <w:spacing w:line="276" w:lineRule="auto"/>
              <w:rPr>
                <w:sz w:val="20"/>
                <w:szCs w:val="20"/>
                <w:lang w:val="fr-FR"/>
              </w:rPr>
            </w:pPr>
            <w:r w:rsidRPr="00336571">
              <w:rPr>
                <w:sz w:val="20"/>
                <w:szCs w:val="20"/>
                <w:lang w:val="fr-FR"/>
              </w:rPr>
              <w:t xml:space="preserve">Une </w:t>
            </w:r>
            <w:r>
              <w:rPr>
                <w:sz w:val="20"/>
                <w:szCs w:val="20"/>
                <w:lang w:val="fr-FR"/>
              </w:rPr>
              <w:t>organis</w:t>
            </w:r>
            <w:r w:rsidRPr="00336571">
              <w:rPr>
                <w:sz w:val="20"/>
                <w:szCs w:val="20"/>
                <w:lang w:val="fr-FR"/>
              </w:rPr>
              <w:t xml:space="preserve">ation à but non lucratif </w:t>
            </w:r>
            <w:r w:rsidR="004806A1">
              <w:rPr>
                <w:sz w:val="20"/>
                <w:szCs w:val="20"/>
                <w:lang w:val="fr-FR"/>
              </w:rPr>
              <w:t>créée</w:t>
            </w:r>
            <w:r>
              <w:rPr>
                <w:sz w:val="20"/>
                <w:szCs w:val="20"/>
                <w:lang w:val="fr-FR"/>
              </w:rPr>
              <w:t xml:space="preserve"> par le projet ICBG pour représenter la population maya locale</w:t>
            </w:r>
          </w:p>
        </w:tc>
        <w:tc>
          <w:tcPr>
            <w:tcW w:w="6087" w:type="dxa"/>
          </w:tcPr>
          <w:p w:rsidR="00331D5C" w:rsidRPr="00336571" w:rsidRDefault="00331D5C" w:rsidP="0086099C">
            <w:pPr>
              <w:pStyle w:val="Txtpucegras"/>
              <w:spacing w:line="276" w:lineRule="auto"/>
              <w:ind w:left="360"/>
              <w:rPr>
                <w:lang w:val="fr-FR"/>
              </w:rPr>
            </w:pPr>
          </w:p>
        </w:tc>
      </w:tr>
      <w:tr w:rsidR="00331D5C" w:rsidRPr="009045F8" w:rsidTr="0086099C">
        <w:trPr>
          <w:trHeight w:val="932"/>
        </w:trPr>
        <w:tc>
          <w:tcPr>
            <w:tcW w:w="2967" w:type="dxa"/>
          </w:tcPr>
          <w:p w:rsidR="00331D5C" w:rsidRPr="009E6B35" w:rsidRDefault="00331D5C" w:rsidP="0086099C">
            <w:pPr>
              <w:pStyle w:val="Txtpucegras"/>
              <w:spacing w:line="276" w:lineRule="auto"/>
              <w:jc w:val="left"/>
              <w:rPr>
                <w:sz w:val="20"/>
                <w:szCs w:val="20"/>
                <w:lang w:val="en-US"/>
              </w:rPr>
            </w:pPr>
            <w:r w:rsidRPr="009E6B35">
              <w:rPr>
                <w:sz w:val="20"/>
                <w:szCs w:val="20"/>
                <w:lang w:val="en-US"/>
              </w:rPr>
              <w:t>Maya community members</w:t>
            </w:r>
          </w:p>
        </w:tc>
        <w:tc>
          <w:tcPr>
            <w:tcW w:w="4954" w:type="dxa"/>
          </w:tcPr>
          <w:p w:rsidR="00331D5C" w:rsidRPr="009045F8" w:rsidRDefault="009045F8" w:rsidP="0086099C">
            <w:pPr>
              <w:pStyle w:val="Txtpucegras"/>
              <w:spacing w:line="276" w:lineRule="auto"/>
              <w:rPr>
                <w:sz w:val="20"/>
                <w:szCs w:val="20"/>
                <w:lang w:val="fr-FR"/>
              </w:rPr>
            </w:pPr>
            <w:r w:rsidRPr="009045F8">
              <w:rPr>
                <w:sz w:val="20"/>
                <w:szCs w:val="20"/>
                <w:lang w:val="fr-FR"/>
              </w:rPr>
              <w:t>Les communautés locales / autochtones</w:t>
            </w:r>
            <w:r w:rsidR="00331D5C" w:rsidRPr="009045F8">
              <w:rPr>
                <w:sz w:val="20"/>
                <w:szCs w:val="20"/>
                <w:lang w:val="fr-FR"/>
              </w:rPr>
              <w:t xml:space="preserve"> </w:t>
            </w:r>
            <w:r w:rsidRPr="009045F8">
              <w:rPr>
                <w:sz w:val="20"/>
                <w:szCs w:val="20"/>
                <w:lang w:val="fr-FR"/>
              </w:rPr>
              <w:t>incarnant le</w:t>
            </w:r>
            <w:r>
              <w:rPr>
                <w:sz w:val="20"/>
                <w:szCs w:val="20"/>
                <w:lang w:val="fr-FR"/>
              </w:rPr>
              <w:t xml:space="preserve"> savoir traditionnel </w:t>
            </w:r>
          </w:p>
        </w:tc>
        <w:tc>
          <w:tcPr>
            <w:tcW w:w="6087" w:type="dxa"/>
          </w:tcPr>
          <w:p w:rsidR="00331D5C" w:rsidRPr="009045F8" w:rsidRDefault="00331D5C" w:rsidP="0086099C">
            <w:pPr>
              <w:pStyle w:val="Txtpucegras"/>
              <w:spacing w:line="276" w:lineRule="auto"/>
              <w:ind w:left="360"/>
              <w:rPr>
                <w:lang w:val="fr-FR"/>
              </w:rPr>
            </w:pPr>
          </w:p>
        </w:tc>
      </w:tr>
      <w:tr w:rsidR="00331D5C" w:rsidRPr="009045F8" w:rsidTr="0086099C">
        <w:trPr>
          <w:trHeight w:val="1178"/>
        </w:trPr>
        <w:tc>
          <w:tcPr>
            <w:tcW w:w="2967" w:type="dxa"/>
          </w:tcPr>
          <w:p w:rsidR="00331D5C" w:rsidRPr="009E6B35" w:rsidRDefault="00331D5C" w:rsidP="0086099C">
            <w:pPr>
              <w:pStyle w:val="Txtpucegras"/>
              <w:spacing w:line="276" w:lineRule="auto"/>
              <w:jc w:val="left"/>
              <w:rPr>
                <w:sz w:val="20"/>
                <w:szCs w:val="20"/>
                <w:lang w:val="en-US"/>
              </w:rPr>
            </w:pPr>
            <w:r w:rsidRPr="009E6B35">
              <w:rPr>
                <w:sz w:val="20"/>
                <w:szCs w:val="20"/>
                <w:lang w:val="en-US"/>
              </w:rPr>
              <w:t>COMPITCH</w:t>
            </w:r>
            <w:r w:rsidRPr="009E6B35">
              <w:rPr>
                <w:sz w:val="20"/>
                <w:szCs w:val="20"/>
              </w:rPr>
              <w:t xml:space="preserve"> Council of Traditional Indigenous Doctor and Midwife Organizations</w:t>
            </w:r>
          </w:p>
          <w:p w:rsidR="00331D5C" w:rsidRPr="009E6B35" w:rsidRDefault="00331D5C" w:rsidP="0086099C">
            <w:pPr>
              <w:pStyle w:val="Txtpucegras"/>
              <w:spacing w:line="276" w:lineRule="auto"/>
              <w:ind w:left="851" w:hanging="284"/>
              <w:jc w:val="left"/>
              <w:rPr>
                <w:sz w:val="20"/>
                <w:szCs w:val="20"/>
              </w:rPr>
            </w:pPr>
          </w:p>
        </w:tc>
        <w:tc>
          <w:tcPr>
            <w:tcW w:w="4954" w:type="dxa"/>
          </w:tcPr>
          <w:p w:rsidR="00331D5C" w:rsidRPr="009045F8" w:rsidRDefault="009045F8" w:rsidP="0086099C">
            <w:pPr>
              <w:pStyle w:val="Txtpucegras"/>
              <w:spacing w:line="276" w:lineRule="auto"/>
              <w:rPr>
                <w:sz w:val="20"/>
                <w:szCs w:val="20"/>
                <w:lang w:val="fr-FR"/>
              </w:rPr>
            </w:pPr>
            <w:r w:rsidRPr="009045F8">
              <w:rPr>
                <w:sz w:val="20"/>
                <w:szCs w:val="20"/>
                <w:lang w:val="fr-FR"/>
              </w:rPr>
              <w:t xml:space="preserve">Une confédération d’organismes de guérisseurs </w:t>
            </w:r>
            <w:r>
              <w:rPr>
                <w:sz w:val="20"/>
                <w:szCs w:val="20"/>
                <w:lang w:val="fr-FR"/>
              </w:rPr>
              <w:t>locaux, alliée des organismes sociaux pro-</w:t>
            </w:r>
            <w:proofErr w:type="spellStart"/>
            <w:r>
              <w:rPr>
                <w:sz w:val="20"/>
                <w:szCs w:val="20"/>
                <w:lang w:val="fr-FR"/>
              </w:rPr>
              <w:t>Zapatista</w:t>
            </w:r>
            <w:proofErr w:type="spellEnd"/>
          </w:p>
        </w:tc>
        <w:tc>
          <w:tcPr>
            <w:tcW w:w="6087" w:type="dxa"/>
          </w:tcPr>
          <w:p w:rsidR="00331D5C" w:rsidRPr="009045F8" w:rsidRDefault="00331D5C" w:rsidP="0086099C">
            <w:pPr>
              <w:pStyle w:val="Txtpucegras"/>
              <w:spacing w:line="276" w:lineRule="auto"/>
              <w:ind w:left="360"/>
              <w:rPr>
                <w:lang w:val="fr-FR"/>
              </w:rPr>
            </w:pPr>
          </w:p>
        </w:tc>
      </w:tr>
      <w:tr w:rsidR="00331D5C" w:rsidRPr="009045F8" w:rsidTr="00A33193">
        <w:trPr>
          <w:trHeight w:val="783"/>
        </w:trPr>
        <w:tc>
          <w:tcPr>
            <w:tcW w:w="2967" w:type="dxa"/>
          </w:tcPr>
          <w:p w:rsidR="00331D5C" w:rsidRPr="009E6B35" w:rsidRDefault="00331D5C" w:rsidP="0086099C">
            <w:pPr>
              <w:pStyle w:val="Txtpucegras"/>
              <w:spacing w:line="276" w:lineRule="auto"/>
              <w:jc w:val="left"/>
              <w:rPr>
                <w:sz w:val="20"/>
                <w:szCs w:val="20"/>
              </w:rPr>
            </w:pPr>
            <w:r w:rsidRPr="009E6B35">
              <w:rPr>
                <w:sz w:val="20"/>
                <w:szCs w:val="20"/>
                <w:lang w:val="en-US"/>
              </w:rPr>
              <w:t xml:space="preserve">RAFI </w:t>
            </w:r>
            <w:r w:rsidRPr="009E6B35">
              <w:rPr>
                <w:sz w:val="20"/>
                <w:szCs w:val="20"/>
              </w:rPr>
              <w:t>Rural Advancement Foundation International</w:t>
            </w:r>
          </w:p>
        </w:tc>
        <w:tc>
          <w:tcPr>
            <w:tcW w:w="4954" w:type="dxa"/>
          </w:tcPr>
          <w:p w:rsidR="00331D5C" w:rsidRPr="009045F8" w:rsidRDefault="00606C65" w:rsidP="0086099C">
            <w:pPr>
              <w:pStyle w:val="Txtpucegras"/>
              <w:spacing w:line="276" w:lineRule="auto"/>
              <w:rPr>
                <w:sz w:val="20"/>
                <w:szCs w:val="20"/>
                <w:lang w:val="fr-FR"/>
              </w:rPr>
            </w:pPr>
            <w:r w:rsidRPr="009045F8">
              <w:rPr>
                <w:sz w:val="20"/>
                <w:szCs w:val="20"/>
                <w:lang w:val="fr-FR"/>
              </w:rPr>
              <w:t>Une ONG international</w:t>
            </w:r>
            <w:r w:rsidR="009045F8" w:rsidRPr="009045F8">
              <w:rPr>
                <w:sz w:val="20"/>
                <w:szCs w:val="20"/>
                <w:lang w:val="fr-FR"/>
              </w:rPr>
              <w:t xml:space="preserve">e ayant des antécédents d’opposition à la </w:t>
            </w:r>
            <w:proofErr w:type="spellStart"/>
            <w:r w:rsidR="009045F8" w:rsidRPr="009045F8">
              <w:rPr>
                <w:sz w:val="20"/>
                <w:szCs w:val="20"/>
                <w:lang w:val="fr-FR"/>
              </w:rPr>
              <w:t>bioprospection</w:t>
            </w:r>
            <w:proofErr w:type="spellEnd"/>
          </w:p>
        </w:tc>
        <w:tc>
          <w:tcPr>
            <w:tcW w:w="6087" w:type="dxa"/>
          </w:tcPr>
          <w:p w:rsidR="00331D5C" w:rsidRPr="009045F8" w:rsidRDefault="00331D5C" w:rsidP="0086099C">
            <w:pPr>
              <w:pStyle w:val="Txtpucegras"/>
              <w:spacing w:line="276" w:lineRule="auto"/>
              <w:ind w:left="360"/>
              <w:rPr>
                <w:lang w:val="fr-FR"/>
              </w:rPr>
            </w:pPr>
          </w:p>
        </w:tc>
      </w:tr>
      <w:bookmarkEnd w:id="0"/>
    </w:tbl>
    <w:p w:rsidR="007136D6" w:rsidRPr="009045F8" w:rsidRDefault="007136D6" w:rsidP="007136D6">
      <w:pPr>
        <w:pStyle w:val="Soustitre"/>
        <w:rPr>
          <w:sz w:val="16"/>
          <w:szCs w:val="16"/>
        </w:rPr>
      </w:pPr>
    </w:p>
    <w:sectPr w:rsidR="007136D6" w:rsidRPr="009045F8" w:rsidSect="00331D5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D1" w:rsidRDefault="002072D1" w:rsidP="007136D6">
      <w:pPr>
        <w:spacing w:after="0" w:line="240" w:lineRule="auto"/>
      </w:pPr>
      <w:r>
        <w:separator/>
      </w:r>
    </w:p>
  </w:endnote>
  <w:endnote w:type="continuationSeparator" w:id="0">
    <w:p w:rsidR="002072D1" w:rsidRDefault="002072D1" w:rsidP="0071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B35" w:rsidRDefault="009E6B35" w:rsidP="00A33193">
    <w:pPr>
      <w:pStyle w:val="Footer"/>
      <w:tabs>
        <w:tab w:val="clear" w:pos="9072"/>
        <w:tab w:val="right" w:pos="1360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D1" w:rsidRDefault="002072D1" w:rsidP="007136D6">
      <w:pPr>
        <w:spacing w:after="0" w:line="240" w:lineRule="auto"/>
      </w:pPr>
      <w:r>
        <w:separator/>
      </w:r>
    </w:p>
  </w:footnote>
  <w:footnote w:type="continuationSeparator" w:id="0">
    <w:p w:rsidR="002072D1" w:rsidRDefault="002072D1" w:rsidP="007136D6">
      <w:pPr>
        <w:spacing w:after="0" w:line="240" w:lineRule="auto"/>
      </w:pPr>
      <w:r>
        <w:continuationSeparator/>
      </w:r>
    </w:p>
  </w:footnote>
  <w:footnote w:id="1">
    <w:p w:rsidR="003B172C" w:rsidRPr="00FF22C5" w:rsidRDefault="003B172C">
      <w:pPr>
        <w:pStyle w:val="FootnoteText"/>
      </w:pPr>
      <w:r w:rsidRPr="00FF22C5">
        <w:footnoteRef/>
      </w:r>
      <w:r w:rsidR="00FF22C5">
        <w:t>.</w:t>
      </w:r>
      <w:r w:rsidR="00FF22C5">
        <w:tab/>
      </w:r>
      <w:r w:rsidRPr="00FF22C5">
        <w:t xml:space="preserve">Le titre complet du projet est le suivant: « Découverte des drogues et de la biodiversité chez les Mayas du Mexique ». Cependant, on utilise toujours la version courte, « Projet de </w:t>
      </w:r>
      <w:proofErr w:type="spellStart"/>
      <w:r w:rsidRPr="00FF22C5">
        <w:t>bioprospection</w:t>
      </w:r>
      <w:proofErr w:type="spellEnd"/>
      <w:r w:rsidRPr="00FF22C5">
        <w:t xml:space="preserve"> Maya ICBG » ou « Projet Maya ICBG ».</w:t>
      </w:r>
    </w:p>
  </w:footnote>
  <w:footnote w:id="2">
    <w:p w:rsidR="00E538A5" w:rsidRPr="009E6B35" w:rsidRDefault="00654EDF" w:rsidP="009E6B35">
      <w:pPr>
        <w:tabs>
          <w:tab w:val="left" w:pos="426"/>
        </w:tabs>
        <w:spacing w:after="0" w:line="240" w:lineRule="auto"/>
        <w:ind w:left="284" w:hanging="284"/>
        <w:jc w:val="left"/>
        <w:rPr>
          <w:rStyle w:val="FootnoteReference"/>
          <w:rFonts w:eastAsiaTheme="minorEastAsia" w:cs="Arial"/>
          <w:sz w:val="16"/>
          <w:szCs w:val="16"/>
          <w:vertAlign w:val="baseline"/>
          <w:lang w:val="en-GB" w:eastAsia="zh-CN"/>
        </w:rPr>
      </w:pPr>
      <w:r w:rsidRPr="009E6B35">
        <w:rPr>
          <w:rStyle w:val="FootnoteReference"/>
          <w:rFonts w:eastAsiaTheme="minorEastAsia" w:cs="Arial"/>
          <w:sz w:val="16"/>
          <w:szCs w:val="16"/>
          <w:vertAlign w:val="baseline"/>
          <w:lang w:val="en-GB" w:eastAsia="zh-CN"/>
        </w:rPr>
        <w:footnoteRef/>
      </w:r>
      <w:r w:rsidR="009E6B35">
        <w:rPr>
          <w:rStyle w:val="FootnoteReference"/>
          <w:rFonts w:eastAsiaTheme="minorEastAsia" w:cs="Arial"/>
          <w:sz w:val="16"/>
          <w:szCs w:val="16"/>
          <w:vertAlign w:val="baseline"/>
          <w:lang w:val="en-GB" w:eastAsia="zh-CN"/>
        </w:rPr>
        <w:t>.</w:t>
      </w:r>
      <w:r w:rsidR="009E6B35">
        <w:rPr>
          <w:rStyle w:val="FootnoteReference"/>
          <w:rFonts w:eastAsiaTheme="minorEastAsia" w:cs="Arial"/>
          <w:sz w:val="16"/>
          <w:szCs w:val="16"/>
          <w:vertAlign w:val="baseline"/>
          <w:lang w:val="en-GB" w:eastAsia="zh-CN"/>
        </w:rPr>
        <w:tab/>
      </w:r>
      <w:r w:rsidRPr="009E6B35">
        <w:rPr>
          <w:rStyle w:val="FootnoteReference"/>
          <w:rFonts w:eastAsiaTheme="minorEastAsia" w:cs="Arial"/>
          <w:sz w:val="16"/>
          <w:szCs w:val="16"/>
          <w:vertAlign w:val="baseline"/>
          <w:lang w:val="en-GB" w:eastAsia="zh-CN"/>
        </w:rPr>
        <w:t>CBD 1992, art. 15 : « </w:t>
      </w:r>
      <w:proofErr w:type="spellStart"/>
      <w:r w:rsidRPr="009E6B35">
        <w:rPr>
          <w:rStyle w:val="FootnoteReference"/>
          <w:rFonts w:eastAsiaTheme="minorEastAsia" w:cs="Arial"/>
          <w:sz w:val="16"/>
          <w:szCs w:val="16"/>
          <w:vertAlign w:val="baseline"/>
          <w:lang w:val="en-GB" w:eastAsia="zh-CN"/>
        </w:rPr>
        <w:t>L'accès</w:t>
      </w:r>
      <w:proofErr w:type="spellEnd"/>
      <w:r w:rsidRPr="009E6B35">
        <w:rPr>
          <w:rStyle w:val="FootnoteReference"/>
          <w:rFonts w:eastAsiaTheme="minorEastAsia" w:cs="Arial"/>
          <w:sz w:val="16"/>
          <w:szCs w:val="16"/>
          <w:vertAlign w:val="baseline"/>
          <w:lang w:val="en-GB" w:eastAsia="zh-CN"/>
        </w:rPr>
        <w:t xml:space="preserve"> aux </w:t>
      </w:r>
      <w:proofErr w:type="spellStart"/>
      <w:r w:rsidRPr="009E6B35">
        <w:rPr>
          <w:rStyle w:val="FootnoteReference"/>
          <w:rFonts w:eastAsiaTheme="minorEastAsia" w:cs="Arial"/>
          <w:sz w:val="16"/>
          <w:szCs w:val="16"/>
          <w:vertAlign w:val="baseline"/>
          <w:lang w:val="en-GB" w:eastAsia="zh-CN"/>
        </w:rPr>
        <w:t>ressources</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génétiques</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est</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soumis</w:t>
      </w:r>
      <w:proofErr w:type="spellEnd"/>
      <w:r w:rsidRPr="009E6B35">
        <w:rPr>
          <w:rStyle w:val="FootnoteReference"/>
          <w:rFonts w:eastAsiaTheme="minorEastAsia" w:cs="Arial"/>
          <w:sz w:val="16"/>
          <w:szCs w:val="16"/>
          <w:vertAlign w:val="baseline"/>
          <w:lang w:val="en-GB" w:eastAsia="zh-CN"/>
        </w:rPr>
        <w:t xml:space="preserve"> au </w:t>
      </w:r>
      <w:proofErr w:type="spellStart"/>
      <w:r w:rsidRPr="009E6B35">
        <w:rPr>
          <w:rStyle w:val="FootnoteReference"/>
          <w:rFonts w:eastAsiaTheme="minorEastAsia" w:cs="Arial"/>
          <w:sz w:val="16"/>
          <w:szCs w:val="16"/>
          <w:vertAlign w:val="baseline"/>
          <w:lang w:val="en-GB" w:eastAsia="zh-CN"/>
        </w:rPr>
        <w:t>consentement</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préalable</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donné</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en</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connaissance</w:t>
      </w:r>
      <w:proofErr w:type="spellEnd"/>
      <w:r w:rsidRPr="009E6B35">
        <w:rPr>
          <w:rStyle w:val="FootnoteReference"/>
          <w:rFonts w:eastAsiaTheme="minorEastAsia" w:cs="Arial"/>
          <w:sz w:val="16"/>
          <w:szCs w:val="16"/>
          <w:vertAlign w:val="baseline"/>
          <w:lang w:val="en-GB" w:eastAsia="zh-CN"/>
        </w:rPr>
        <w:t xml:space="preserve"> de cause de la </w:t>
      </w:r>
      <w:proofErr w:type="spellStart"/>
      <w:r w:rsidRPr="009E6B35">
        <w:rPr>
          <w:rStyle w:val="FootnoteReference"/>
          <w:rFonts w:eastAsiaTheme="minorEastAsia" w:cs="Arial"/>
          <w:sz w:val="16"/>
          <w:szCs w:val="16"/>
          <w:vertAlign w:val="baseline"/>
          <w:lang w:val="en-GB" w:eastAsia="zh-CN"/>
        </w:rPr>
        <w:t>Partie</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contractante</w:t>
      </w:r>
      <w:proofErr w:type="spellEnd"/>
      <w:r w:rsidRPr="009E6B35">
        <w:rPr>
          <w:rStyle w:val="FootnoteReference"/>
          <w:rFonts w:eastAsiaTheme="minorEastAsia" w:cs="Arial"/>
          <w:sz w:val="16"/>
          <w:szCs w:val="16"/>
          <w:vertAlign w:val="baseline"/>
          <w:lang w:val="en-GB" w:eastAsia="zh-CN"/>
        </w:rPr>
        <w:t xml:space="preserve"> qui </w:t>
      </w:r>
      <w:proofErr w:type="spellStart"/>
      <w:r w:rsidRPr="009E6B35">
        <w:rPr>
          <w:rStyle w:val="FootnoteReference"/>
          <w:rFonts w:eastAsiaTheme="minorEastAsia" w:cs="Arial"/>
          <w:sz w:val="16"/>
          <w:szCs w:val="16"/>
          <w:vertAlign w:val="baseline"/>
          <w:lang w:val="en-GB" w:eastAsia="zh-CN"/>
        </w:rPr>
        <w:t>fournit</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lesdites</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ressources</w:t>
      </w:r>
      <w:proofErr w:type="spellEnd"/>
      <w:r w:rsidRPr="009E6B35">
        <w:rPr>
          <w:rStyle w:val="FootnoteReference"/>
          <w:rFonts w:eastAsiaTheme="minorEastAsia" w:cs="Arial"/>
          <w:sz w:val="16"/>
          <w:szCs w:val="16"/>
          <w:vertAlign w:val="baseline"/>
          <w:lang w:val="en-GB" w:eastAsia="zh-CN"/>
        </w:rPr>
        <w:t> »</w:t>
      </w:r>
    </w:p>
  </w:footnote>
  <w:footnote w:id="3">
    <w:p w:rsidR="00E538A5" w:rsidRDefault="00E538A5" w:rsidP="009E6B35">
      <w:pPr>
        <w:tabs>
          <w:tab w:val="left" w:pos="426"/>
        </w:tabs>
        <w:spacing w:after="0" w:line="240" w:lineRule="auto"/>
        <w:ind w:left="284" w:hanging="284"/>
        <w:jc w:val="left"/>
      </w:pPr>
      <w:r w:rsidRPr="009E6B35">
        <w:rPr>
          <w:rStyle w:val="FootnoteReference"/>
          <w:rFonts w:eastAsiaTheme="minorEastAsia" w:cs="Arial"/>
          <w:sz w:val="16"/>
          <w:szCs w:val="16"/>
          <w:vertAlign w:val="baseline"/>
          <w:lang w:val="en-GB" w:eastAsia="zh-CN"/>
        </w:rPr>
        <w:footnoteRef/>
      </w:r>
      <w:r w:rsidR="009E6B35">
        <w:rPr>
          <w:rStyle w:val="FootnoteReference"/>
          <w:rFonts w:eastAsiaTheme="minorEastAsia" w:cs="Arial"/>
          <w:sz w:val="16"/>
          <w:szCs w:val="16"/>
          <w:vertAlign w:val="baseline"/>
          <w:lang w:val="en-GB" w:eastAsia="zh-CN"/>
        </w:rPr>
        <w:t>.</w:t>
      </w:r>
      <w:r w:rsidR="009E6B35">
        <w:rPr>
          <w:rStyle w:val="FootnoteReference"/>
          <w:rFonts w:eastAsiaTheme="minorEastAsia" w:cs="Arial"/>
          <w:sz w:val="16"/>
          <w:szCs w:val="16"/>
          <w:vertAlign w:val="baseline"/>
          <w:lang w:val="en-GB" w:eastAsia="zh-CN"/>
        </w:rPr>
        <w:tab/>
      </w:r>
      <w:r w:rsidRPr="009E6B35">
        <w:rPr>
          <w:rStyle w:val="FootnoteReference"/>
          <w:rFonts w:eastAsiaTheme="minorEastAsia" w:cs="Arial"/>
          <w:sz w:val="16"/>
          <w:szCs w:val="16"/>
          <w:vertAlign w:val="baseline"/>
          <w:lang w:val="en-GB" w:eastAsia="zh-CN"/>
        </w:rPr>
        <w:t xml:space="preserve">CBD 1992, art 8j : Sous </w:t>
      </w:r>
      <w:proofErr w:type="spellStart"/>
      <w:r w:rsidRPr="009E6B35">
        <w:rPr>
          <w:rStyle w:val="FootnoteReference"/>
          <w:rFonts w:eastAsiaTheme="minorEastAsia" w:cs="Arial"/>
          <w:sz w:val="16"/>
          <w:szCs w:val="16"/>
          <w:vertAlign w:val="baseline"/>
          <w:lang w:val="en-GB" w:eastAsia="zh-CN"/>
        </w:rPr>
        <w:t>réserve</w:t>
      </w:r>
      <w:proofErr w:type="spellEnd"/>
      <w:r w:rsidRPr="009E6B35">
        <w:rPr>
          <w:rStyle w:val="FootnoteReference"/>
          <w:rFonts w:eastAsiaTheme="minorEastAsia" w:cs="Arial"/>
          <w:sz w:val="16"/>
          <w:szCs w:val="16"/>
          <w:vertAlign w:val="baseline"/>
          <w:lang w:val="en-GB" w:eastAsia="zh-CN"/>
        </w:rPr>
        <w:t xml:space="preserve"> des dispositions de </w:t>
      </w:r>
      <w:proofErr w:type="spellStart"/>
      <w:r w:rsidRPr="009E6B35">
        <w:rPr>
          <w:rStyle w:val="FootnoteReference"/>
          <w:rFonts w:eastAsiaTheme="minorEastAsia" w:cs="Arial"/>
          <w:sz w:val="16"/>
          <w:szCs w:val="16"/>
          <w:vertAlign w:val="baseline"/>
          <w:lang w:val="en-GB" w:eastAsia="zh-CN"/>
        </w:rPr>
        <w:t>sa</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législation</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nationale</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respecte</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préserve</w:t>
      </w:r>
      <w:proofErr w:type="spellEnd"/>
      <w:r w:rsidRPr="009E6B35">
        <w:rPr>
          <w:rStyle w:val="FootnoteReference"/>
          <w:rFonts w:eastAsiaTheme="minorEastAsia" w:cs="Arial"/>
          <w:sz w:val="16"/>
          <w:szCs w:val="16"/>
          <w:vertAlign w:val="baseline"/>
          <w:lang w:val="en-GB" w:eastAsia="zh-CN"/>
        </w:rPr>
        <w:t xml:space="preserve"> et </w:t>
      </w:r>
      <w:proofErr w:type="spellStart"/>
      <w:r w:rsidRPr="009E6B35">
        <w:rPr>
          <w:rStyle w:val="FootnoteReference"/>
          <w:rFonts w:eastAsiaTheme="minorEastAsia" w:cs="Arial"/>
          <w:sz w:val="16"/>
          <w:szCs w:val="16"/>
          <w:vertAlign w:val="baseline"/>
          <w:lang w:val="en-GB" w:eastAsia="zh-CN"/>
        </w:rPr>
        <w:t>maintient</w:t>
      </w:r>
      <w:proofErr w:type="spellEnd"/>
      <w:r w:rsidRPr="009E6B35">
        <w:rPr>
          <w:rStyle w:val="FootnoteReference"/>
          <w:rFonts w:eastAsiaTheme="minorEastAsia" w:cs="Arial"/>
          <w:sz w:val="16"/>
          <w:szCs w:val="16"/>
          <w:vertAlign w:val="baseline"/>
          <w:lang w:val="en-GB" w:eastAsia="zh-CN"/>
        </w:rPr>
        <w:t xml:space="preserve"> les </w:t>
      </w:r>
      <w:proofErr w:type="spellStart"/>
      <w:r w:rsidRPr="009E6B35">
        <w:rPr>
          <w:rStyle w:val="FootnoteReference"/>
          <w:rFonts w:eastAsiaTheme="minorEastAsia" w:cs="Arial"/>
          <w:sz w:val="16"/>
          <w:szCs w:val="16"/>
          <w:vertAlign w:val="baseline"/>
          <w:lang w:val="en-GB" w:eastAsia="zh-CN"/>
        </w:rPr>
        <w:t>connaissances</w:t>
      </w:r>
      <w:proofErr w:type="spellEnd"/>
      <w:r w:rsidRPr="009E6B35">
        <w:rPr>
          <w:rStyle w:val="FootnoteReference"/>
          <w:rFonts w:eastAsiaTheme="minorEastAsia" w:cs="Arial"/>
          <w:sz w:val="16"/>
          <w:szCs w:val="16"/>
          <w:vertAlign w:val="baseline"/>
          <w:lang w:val="en-GB" w:eastAsia="zh-CN"/>
        </w:rPr>
        <w:t xml:space="preserve">, innovations et </w:t>
      </w:r>
      <w:proofErr w:type="spellStart"/>
      <w:r w:rsidRPr="009E6B35">
        <w:rPr>
          <w:rStyle w:val="FootnoteReference"/>
          <w:rFonts w:eastAsiaTheme="minorEastAsia" w:cs="Arial"/>
          <w:sz w:val="16"/>
          <w:szCs w:val="16"/>
          <w:vertAlign w:val="baseline"/>
          <w:lang w:val="en-GB" w:eastAsia="zh-CN"/>
        </w:rPr>
        <w:t>pratiques</w:t>
      </w:r>
      <w:proofErr w:type="spellEnd"/>
      <w:r w:rsidRPr="009E6B35">
        <w:rPr>
          <w:rStyle w:val="FootnoteReference"/>
          <w:rFonts w:eastAsiaTheme="minorEastAsia" w:cs="Arial"/>
          <w:sz w:val="16"/>
          <w:szCs w:val="16"/>
          <w:vertAlign w:val="baseline"/>
          <w:lang w:val="en-GB" w:eastAsia="zh-CN"/>
        </w:rPr>
        <w:t xml:space="preserve"> des </w:t>
      </w:r>
      <w:proofErr w:type="spellStart"/>
      <w:r w:rsidRPr="009E6B35">
        <w:rPr>
          <w:rStyle w:val="FootnoteReference"/>
          <w:rFonts w:eastAsiaTheme="minorEastAsia" w:cs="Arial"/>
          <w:sz w:val="16"/>
          <w:szCs w:val="16"/>
          <w:vertAlign w:val="baseline"/>
          <w:lang w:val="en-GB" w:eastAsia="zh-CN"/>
        </w:rPr>
        <w:t>communautés</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autochtones</w:t>
      </w:r>
      <w:proofErr w:type="spellEnd"/>
      <w:r w:rsidRPr="009E6B35">
        <w:rPr>
          <w:rStyle w:val="FootnoteReference"/>
          <w:rFonts w:eastAsiaTheme="minorEastAsia" w:cs="Arial"/>
          <w:sz w:val="16"/>
          <w:szCs w:val="16"/>
          <w:vertAlign w:val="baseline"/>
          <w:lang w:val="en-GB" w:eastAsia="zh-CN"/>
        </w:rPr>
        <w:t xml:space="preserve"> et locales qui </w:t>
      </w:r>
      <w:proofErr w:type="spellStart"/>
      <w:r w:rsidRPr="009E6B35">
        <w:rPr>
          <w:rStyle w:val="FootnoteReference"/>
          <w:rFonts w:eastAsiaTheme="minorEastAsia" w:cs="Arial"/>
          <w:sz w:val="16"/>
          <w:szCs w:val="16"/>
          <w:vertAlign w:val="baseline"/>
          <w:lang w:val="en-GB" w:eastAsia="zh-CN"/>
        </w:rPr>
        <w:t>incarnent</w:t>
      </w:r>
      <w:proofErr w:type="spellEnd"/>
      <w:r w:rsidRPr="009E6B35">
        <w:rPr>
          <w:rStyle w:val="FootnoteReference"/>
          <w:rFonts w:eastAsiaTheme="minorEastAsia" w:cs="Arial"/>
          <w:sz w:val="16"/>
          <w:szCs w:val="16"/>
          <w:vertAlign w:val="baseline"/>
          <w:lang w:val="en-GB" w:eastAsia="zh-CN"/>
        </w:rPr>
        <w:t xml:space="preserve"> des modes de vie </w:t>
      </w:r>
      <w:proofErr w:type="spellStart"/>
      <w:r w:rsidRPr="009E6B35">
        <w:rPr>
          <w:rStyle w:val="FootnoteReference"/>
          <w:rFonts w:eastAsiaTheme="minorEastAsia" w:cs="Arial"/>
          <w:sz w:val="16"/>
          <w:szCs w:val="16"/>
          <w:vertAlign w:val="baseline"/>
          <w:lang w:val="en-GB" w:eastAsia="zh-CN"/>
        </w:rPr>
        <w:t>traditionnels</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présentant</w:t>
      </w:r>
      <w:proofErr w:type="spellEnd"/>
      <w:r w:rsidRPr="009E6B35">
        <w:rPr>
          <w:rStyle w:val="FootnoteReference"/>
          <w:rFonts w:eastAsiaTheme="minorEastAsia" w:cs="Arial"/>
          <w:sz w:val="16"/>
          <w:szCs w:val="16"/>
          <w:vertAlign w:val="baseline"/>
          <w:lang w:val="en-GB" w:eastAsia="zh-CN"/>
        </w:rPr>
        <w:t xml:space="preserve"> un </w:t>
      </w:r>
      <w:proofErr w:type="spellStart"/>
      <w:r w:rsidRPr="009E6B35">
        <w:rPr>
          <w:rStyle w:val="FootnoteReference"/>
          <w:rFonts w:eastAsiaTheme="minorEastAsia" w:cs="Arial"/>
          <w:sz w:val="16"/>
          <w:szCs w:val="16"/>
          <w:vertAlign w:val="baseline"/>
          <w:lang w:val="en-GB" w:eastAsia="zh-CN"/>
        </w:rPr>
        <w:t>intérêt</w:t>
      </w:r>
      <w:proofErr w:type="spellEnd"/>
      <w:r w:rsidRPr="009E6B35">
        <w:rPr>
          <w:rStyle w:val="FootnoteReference"/>
          <w:rFonts w:eastAsiaTheme="minorEastAsia" w:cs="Arial"/>
          <w:sz w:val="16"/>
          <w:szCs w:val="16"/>
          <w:vertAlign w:val="baseline"/>
          <w:lang w:val="en-GB" w:eastAsia="zh-CN"/>
        </w:rPr>
        <w:t xml:space="preserve"> pour la conservation et </w:t>
      </w:r>
      <w:proofErr w:type="spellStart"/>
      <w:r w:rsidRPr="009E6B35">
        <w:rPr>
          <w:rStyle w:val="FootnoteReference"/>
          <w:rFonts w:eastAsiaTheme="minorEastAsia" w:cs="Arial"/>
          <w:sz w:val="16"/>
          <w:szCs w:val="16"/>
          <w:vertAlign w:val="baseline"/>
          <w:lang w:val="en-GB" w:eastAsia="zh-CN"/>
        </w:rPr>
        <w:t>l'utilisation</w:t>
      </w:r>
      <w:proofErr w:type="spellEnd"/>
      <w:r w:rsidRPr="009E6B35">
        <w:rPr>
          <w:rStyle w:val="FootnoteReference"/>
          <w:rFonts w:eastAsiaTheme="minorEastAsia" w:cs="Arial"/>
          <w:sz w:val="16"/>
          <w:szCs w:val="16"/>
          <w:vertAlign w:val="baseline"/>
          <w:lang w:val="en-GB" w:eastAsia="zh-CN"/>
        </w:rPr>
        <w:t xml:space="preserve"> durable de la </w:t>
      </w:r>
      <w:proofErr w:type="spellStart"/>
      <w:r w:rsidRPr="009E6B35">
        <w:rPr>
          <w:rStyle w:val="FootnoteReference"/>
          <w:rFonts w:eastAsiaTheme="minorEastAsia" w:cs="Arial"/>
          <w:sz w:val="16"/>
          <w:szCs w:val="16"/>
          <w:vertAlign w:val="baseline"/>
          <w:lang w:val="en-GB" w:eastAsia="zh-CN"/>
        </w:rPr>
        <w:t>diversité</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biologique</w:t>
      </w:r>
      <w:proofErr w:type="spellEnd"/>
      <w:r w:rsidRPr="009E6B35">
        <w:rPr>
          <w:rStyle w:val="FootnoteReference"/>
          <w:rFonts w:eastAsiaTheme="minorEastAsia" w:cs="Arial"/>
          <w:sz w:val="16"/>
          <w:szCs w:val="16"/>
          <w:vertAlign w:val="baseline"/>
          <w:lang w:val="en-GB" w:eastAsia="zh-CN"/>
        </w:rPr>
        <w:t xml:space="preserve"> et </w:t>
      </w:r>
      <w:proofErr w:type="spellStart"/>
      <w:r w:rsidRPr="009E6B35">
        <w:rPr>
          <w:rStyle w:val="FootnoteReference"/>
          <w:rFonts w:eastAsiaTheme="minorEastAsia" w:cs="Arial"/>
          <w:sz w:val="16"/>
          <w:szCs w:val="16"/>
          <w:vertAlign w:val="baseline"/>
          <w:lang w:val="en-GB" w:eastAsia="zh-CN"/>
        </w:rPr>
        <w:t>en</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favorise</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l'application</w:t>
      </w:r>
      <w:proofErr w:type="spellEnd"/>
      <w:r w:rsidRPr="009E6B35">
        <w:rPr>
          <w:rStyle w:val="FootnoteReference"/>
          <w:rFonts w:eastAsiaTheme="minorEastAsia" w:cs="Arial"/>
          <w:sz w:val="16"/>
          <w:szCs w:val="16"/>
          <w:vertAlign w:val="baseline"/>
          <w:lang w:val="en-GB" w:eastAsia="zh-CN"/>
        </w:rPr>
        <w:t xml:space="preserve"> sur </w:t>
      </w:r>
      <w:proofErr w:type="spellStart"/>
      <w:r w:rsidRPr="009E6B35">
        <w:rPr>
          <w:rStyle w:val="FootnoteReference"/>
          <w:rFonts w:eastAsiaTheme="minorEastAsia" w:cs="Arial"/>
          <w:sz w:val="16"/>
          <w:szCs w:val="16"/>
          <w:vertAlign w:val="baseline"/>
          <w:lang w:val="en-GB" w:eastAsia="zh-CN"/>
        </w:rPr>
        <w:t>une</w:t>
      </w:r>
      <w:proofErr w:type="spellEnd"/>
      <w:r w:rsidRPr="009E6B35">
        <w:rPr>
          <w:rStyle w:val="FootnoteReference"/>
          <w:rFonts w:eastAsiaTheme="minorEastAsia" w:cs="Arial"/>
          <w:sz w:val="16"/>
          <w:szCs w:val="16"/>
          <w:vertAlign w:val="baseline"/>
          <w:lang w:val="en-GB" w:eastAsia="zh-CN"/>
        </w:rPr>
        <w:t xml:space="preserve"> plus </w:t>
      </w:r>
      <w:proofErr w:type="spellStart"/>
      <w:r w:rsidRPr="009E6B35">
        <w:rPr>
          <w:rStyle w:val="FootnoteReference"/>
          <w:rFonts w:eastAsiaTheme="minorEastAsia" w:cs="Arial"/>
          <w:sz w:val="16"/>
          <w:szCs w:val="16"/>
          <w:vertAlign w:val="baseline"/>
          <w:lang w:val="en-GB" w:eastAsia="zh-CN"/>
        </w:rPr>
        <w:t>grande</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échelle</w:t>
      </w:r>
      <w:proofErr w:type="spellEnd"/>
      <w:r w:rsidRPr="009E6B35">
        <w:rPr>
          <w:rStyle w:val="FootnoteReference"/>
          <w:rFonts w:eastAsiaTheme="minorEastAsia" w:cs="Arial"/>
          <w:sz w:val="16"/>
          <w:szCs w:val="16"/>
          <w:vertAlign w:val="baseline"/>
          <w:lang w:val="en-GB" w:eastAsia="zh-CN"/>
        </w:rPr>
        <w:t xml:space="preserve">, avec </w:t>
      </w:r>
      <w:proofErr w:type="spellStart"/>
      <w:r w:rsidRPr="009E6B35">
        <w:rPr>
          <w:rStyle w:val="FootnoteReference"/>
          <w:rFonts w:eastAsiaTheme="minorEastAsia" w:cs="Arial"/>
          <w:sz w:val="16"/>
          <w:szCs w:val="16"/>
          <w:vertAlign w:val="baseline"/>
          <w:lang w:val="en-GB" w:eastAsia="zh-CN"/>
        </w:rPr>
        <w:t>l'accord</w:t>
      </w:r>
      <w:proofErr w:type="spellEnd"/>
      <w:r w:rsidRPr="009E6B35">
        <w:rPr>
          <w:rStyle w:val="FootnoteReference"/>
          <w:rFonts w:eastAsiaTheme="minorEastAsia" w:cs="Arial"/>
          <w:sz w:val="16"/>
          <w:szCs w:val="16"/>
          <w:vertAlign w:val="baseline"/>
          <w:lang w:val="en-GB" w:eastAsia="zh-CN"/>
        </w:rPr>
        <w:t xml:space="preserve"> et la participation des </w:t>
      </w:r>
      <w:proofErr w:type="spellStart"/>
      <w:r w:rsidRPr="009E6B35">
        <w:rPr>
          <w:rStyle w:val="FootnoteReference"/>
          <w:rFonts w:eastAsiaTheme="minorEastAsia" w:cs="Arial"/>
          <w:sz w:val="16"/>
          <w:szCs w:val="16"/>
          <w:vertAlign w:val="baseline"/>
          <w:lang w:val="en-GB" w:eastAsia="zh-CN"/>
        </w:rPr>
        <w:t>dépositaires</w:t>
      </w:r>
      <w:proofErr w:type="spellEnd"/>
      <w:r w:rsidRPr="009E6B35">
        <w:rPr>
          <w:rStyle w:val="FootnoteReference"/>
          <w:rFonts w:eastAsiaTheme="minorEastAsia" w:cs="Arial"/>
          <w:sz w:val="16"/>
          <w:szCs w:val="16"/>
          <w:vertAlign w:val="baseline"/>
          <w:lang w:val="en-GB" w:eastAsia="zh-CN"/>
        </w:rPr>
        <w:t xml:space="preserve"> de </w:t>
      </w:r>
      <w:proofErr w:type="spellStart"/>
      <w:r w:rsidRPr="009E6B35">
        <w:rPr>
          <w:rStyle w:val="FootnoteReference"/>
          <w:rFonts w:eastAsiaTheme="minorEastAsia" w:cs="Arial"/>
          <w:sz w:val="16"/>
          <w:szCs w:val="16"/>
          <w:vertAlign w:val="baseline"/>
          <w:lang w:val="en-GB" w:eastAsia="zh-CN"/>
        </w:rPr>
        <w:t>ces</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connaissances</w:t>
      </w:r>
      <w:proofErr w:type="spellEnd"/>
      <w:r w:rsidRPr="009E6B35">
        <w:rPr>
          <w:rStyle w:val="FootnoteReference"/>
          <w:rFonts w:eastAsiaTheme="minorEastAsia" w:cs="Arial"/>
          <w:sz w:val="16"/>
          <w:szCs w:val="16"/>
          <w:vertAlign w:val="baseline"/>
          <w:lang w:val="en-GB" w:eastAsia="zh-CN"/>
        </w:rPr>
        <w:t xml:space="preserve">, innovations et </w:t>
      </w:r>
      <w:proofErr w:type="spellStart"/>
      <w:r w:rsidRPr="009E6B35">
        <w:rPr>
          <w:rStyle w:val="FootnoteReference"/>
          <w:rFonts w:eastAsiaTheme="minorEastAsia" w:cs="Arial"/>
          <w:sz w:val="16"/>
          <w:szCs w:val="16"/>
          <w:vertAlign w:val="baseline"/>
          <w:lang w:val="en-GB" w:eastAsia="zh-CN"/>
        </w:rPr>
        <w:t>pratiques</w:t>
      </w:r>
      <w:proofErr w:type="spellEnd"/>
      <w:r w:rsidRPr="009E6B35">
        <w:rPr>
          <w:rStyle w:val="FootnoteReference"/>
          <w:rFonts w:eastAsiaTheme="minorEastAsia" w:cs="Arial"/>
          <w:sz w:val="16"/>
          <w:szCs w:val="16"/>
          <w:vertAlign w:val="baseline"/>
          <w:lang w:val="en-GB" w:eastAsia="zh-CN"/>
        </w:rPr>
        <w:t xml:space="preserve"> et encourage le </w:t>
      </w:r>
      <w:proofErr w:type="spellStart"/>
      <w:r w:rsidRPr="009E6B35">
        <w:rPr>
          <w:rStyle w:val="FootnoteReference"/>
          <w:rFonts w:eastAsiaTheme="minorEastAsia" w:cs="Arial"/>
          <w:sz w:val="16"/>
          <w:szCs w:val="16"/>
          <w:vertAlign w:val="baseline"/>
          <w:lang w:val="en-GB" w:eastAsia="zh-CN"/>
        </w:rPr>
        <w:t>partage</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équitable</w:t>
      </w:r>
      <w:proofErr w:type="spellEnd"/>
      <w:r w:rsidRPr="009E6B35">
        <w:rPr>
          <w:rStyle w:val="FootnoteReference"/>
          <w:rFonts w:eastAsiaTheme="minorEastAsia" w:cs="Arial"/>
          <w:sz w:val="16"/>
          <w:szCs w:val="16"/>
          <w:vertAlign w:val="baseline"/>
          <w:lang w:val="en-GB" w:eastAsia="zh-CN"/>
        </w:rPr>
        <w:t xml:space="preserve"> des </w:t>
      </w:r>
      <w:proofErr w:type="spellStart"/>
      <w:r w:rsidRPr="009E6B35">
        <w:rPr>
          <w:rStyle w:val="FootnoteReference"/>
          <w:rFonts w:eastAsiaTheme="minorEastAsia" w:cs="Arial"/>
          <w:sz w:val="16"/>
          <w:szCs w:val="16"/>
          <w:vertAlign w:val="baseline"/>
          <w:lang w:val="en-GB" w:eastAsia="zh-CN"/>
        </w:rPr>
        <w:t>avantages</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découlant</w:t>
      </w:r>
      <w:proofErr w:type="spellEnd"/>
      <w:r w:rsidRPr="009E6B35">
        <w:rPr>
          <w:rStyle w:val="FootnoteReference"/>
          <w:rFonts w:eastAsiaTheme="minorEastAsia" w:cs="Arial"/>
          <w:sz w:val="16"/>
          <w:szCs w:val="16"/>
          <w:vertAlign w:val="baseline"/>
          <w:lang w:val="en-GB" w:eastAsia="zh-CN"/>
        </w:rPr>
        <w:t xml:space="preserve"> de </w:t>
      </w:r>
      <w:proofErr w:type="spellStart"/>
      <w:r w:rsidRPr="009E6B35">
        <w:rPr>
          <w:rStyle w:val="FootnoteReference"/>
          <w:rFonts w:eastAsiaTheme="minorEastAsia" w:cs="Arial"/>
          <w:sz w:val="16"/>
          <w:szCs w:val="16"/>
          <w:vertAlign w:val="baseline"/>
          <w:lang w:val="en-GB" w:eastAsia="zh-CN"/>
        </w:rPr>
        <w:t>l'utilisation</w:t>
      </w:r>
      <w:proofErr w:type="spellEnd"/>
      <w:r w:rsidRPr="009E6B35">
        <w:rPr>
          <w:rStyle w:val="FootnoteReference"/>
          <w:rFonts w:eastAsiaTheme="minorEastAsia" w:cs="Arial"/>
          <w:sz w:val="16"/>
          <w:szCs w:val="16"/>
          <w:vertAlign w:val="baseline"/>
          <w:lang w:val="en-GB" w:eastAsia="zh-CN"/>
        </w:rPr>
        <w:t xml:space="preserve"> de </w:t>
      </w:r>
      <w:proofErr w:type="spellStart"/>
      <w:r w:rsidRPr="009E6B35">
        <w:rPr>
          <w:rStyle w:val="FootnoteReference"/>
          <w:rFonts w:eastAsiaTheme="minorEastAsia" w:cs="Arial"/>
          <w:sz w:val="16"/>
          <w:szCs w:val="16"/>
          <w:vertAlign w:val="baseline"/>
          <w:lang w:val="en-GB" w:eastAsia="zh-CN"/>
        </w:rPr>
        <w:t>ces</w:t>
      </w:r>
      <w:proofErr w:type="spellEnd"/>
      <w:r w:rsidRPr="009E6B35">
        <w:rPr>
          <w:rStyle w:val="FootnoteReference"/>
          <w:rFonts w:eastAsiaTheme="minorEastAsia" w:cs="Arial"/>
          <w:sz w:val="16"/>
          <w:szCs w:val="16"/>
          <w:vertAlign w:val="baseline"/>
          <w:lang w:val="en-GB" w:eastAsia="zh-CN"/>
        </w:rPr>
        <w:t xml:space="preserve"> </w:t>
      </w:r>
      <w:proofErr w:type="spellStart"/>
      <w:r w:rsidRPr="009E6B35">
        <w:rPr>
          <w:rStyle w:val="FootnoteReference"/>
          <w:rFonts w:eastAsiaTheme="minorEastAsia" w:cs="Arial"/>
          <w:sz w:val="16"/>
          <w:szCs w:val="16"/>
          <w:vertAlign w:val="baseline"/>
          <w:lang w:val="en-GB" w:eastAsia="zh-CN"/>
        </w:rPr>
        <w:t>connaissa</w:t>
      </w:r>
      <w:r w:rsidR="009E6B35" w:rsidRPr="009E6B35">
        <w:rPr>
          <w:rStyle w:val="FootnoteReference"/>
          <w:rFonts w:eastAsiaTheme="minorEastAsia" w:cs="Arial"/>
          <w:sz w:val="16"/>
          <w:szCs w:val="16"/>
          <w:vertAlign w:val="baseline"/>
          <w:lang w:val="en-GB" w:eastAsia="zh-CN"/>
        </w:rPr>
        <w:t>nces</w:t>
      </w:r>
      <w:proofErr w:type="spellEnd"/>
      <w:r w:rsidR="009E6B35" w:rsidRPr="009E6B35">
        <w:rPr>
          <w:rStyle w:val="FootnoteReference"/>
          <w:rFonts w:eastAsiaTheme="minorEastAsia" w:cs="Arial"/>
          <w:sz w:val="16"/>
          <w:szCs w:val="16"/>
          <w:vertAlign w:val="baseline"/>
          <w:lang w:val="en-GB" w:eastAsia="zh-CN"/>
        </w:rPr>
        <w:t xml:space="preserve">, innovations et </w:t>
      </w:r>
      <w:proofErr w:type="spellStart"/>
      <w:r w:rsidR="009E6B35" w:rsidRPr="009E6B35">
        <w:rPr>
          <w:rStyle w:val="FootnoteReference"/>
          <w:rFonts w:eastAsiaTheme="minorEastAsia" w:cs="Arial"/>
          <w:sz w:val="16"/>
          <w:szCs w:val="16"/>
          <w:vertAlign w:val="baseline"/>
          <w:lang w:val="en-GB" w:eastAsia="zh-CN"/>
        </w:rPr>
        <w:t>pratiques</w:t>
      </w:r>
      <w:proofErr w:type="spellEnd"/>
      <w:r w:rsidR="009E6B35" w:rsidRPr="009E6B35">
        <w:rPr>
          <w:rStyle w:val="FootnoteReference"/>
          <w:rFonts w:eastAsiaTheme="minorEastAsia" w:cs="Arial"/>
          <w:sz w:val="16"/>
          <w:szCs w:val="16"/>
          <w:vertAlign w:val="baseline"/>
          <w:lang w:val="en-GB"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B35" w:rsidRPr="00A33193" w:rsidRDefault="00A33193" w:rsidP="00A33193">
    <w:pPr>
      <w:pStyle w:val="Header"/>
      <w:tabs>
        <w:tab w:val="clear" w:pos="9072"/>
        <w:tab w:val="right" w:pos="13608"/>
      </w:tabs>
      <w:ind w:right="360"/>
      <w:jc w:val="center"/>
      <w:rPr>
        <w:rFonts w:cs="Arial"/>
        <w:sz w:val="16"/>
        <w:szCs w:val="16"/>
      </w:rPr>
    </w:pPr>
    <w:r>
      <w:rPr>
        <w:rFonts w:cs="Arial"/>
        <w:sz w:val="16"/>
        <w:szCs w:val="16"/>
      </w:rPr>
      <w:t xml:space="preserve">Case </w:t>
    </w:r>
    <w:proofErr w:type="spellStart"/>
    <w:r>
      <w:rPr>
        <w:rFonts w:cs="Arial"/>
        <w:sz w:val="16"/>
        <w:szCs w:val="16"/>
      </w:rPr>
      <w:t>studies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6E6"/>
    <w:multiLevelType w:val="hybridMultilevel"/>
    <w:tmpl w:val="3FE21B9A"/>
    <w:lvl w:ilvl="0" w:tplc="97E6E7F4">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 w15:restartNumberingAfterBreak="0">
    <w:nsid w:val="371E423B"/>
    <w:multiLevelType w:val="hybridMultilevel"/>
    <w:tmpl w:val="2CBCB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78512A"/>
    <w:multiLevelType w:val="hybridMultilevel"/>
    <w:tmpl w:val="E7B6C4D4"/>
    <w:lvl w:ilvl="0" w:tplc="25E2CD48">
      <w:start w:val="1"/>
      <w:numFmt w:val="bullet"/>
      <w:lvlText w:val=""/>
      <w:lvlJc w:val="left"/>
      <w:pPr>
        <w:tabs>
          <w:tab w:val="num" w:pos="851"/>
        </w:tabs>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2E0FAA"/>
    <w:multiLevelType w:val="hybridMultilevel"/>
    <w:tmpl w:val="D1CE5E92"/>
    <w:lvl w:ilvl="0" w:tplc="A6A461E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440C3572"/>
    <w:multiLevelType w:val="hybridMultilevel"/>
    <w:tmpl w:val="1B1EA6F6"/>
    <w:lvl w:ilvl="0" w:tplc="B546B976">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477852"/>
    <w:multiLevelType w:val="hybridMultilevel"/>
    <w:tmpl w:val="6A26A14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5B9A606F"/>
    <w:multiLevelType w:val="hybridMultilevel"/>
    <w:tmpl w:val="1B1EA6F6"/>
    <w:lvl w:ilvl="0" w:tplc="B546B976">
      <w:start w:val="1"/>
      <w:numFmt w:val="bullet"/>
      <w:lvlText w:val=""/>
      <w:lvlJc w:val="left"/>
      <w:pPr>
        <w:tabs>
          <w:tab w:val="num" w:pos="1135"/>
        </w:tabs>
        <w:ind w:left="1135"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4F3120"/>
    <w:multiLevelType w:val="hybridMultilevel"/>
    <w:tmpl w:val="9D904BDE"/>
    <w:lvl w:ilvl="0" w:tplc="7A8E0FD4">
      <w:numFmt w:val="bullet"/>
      <w:lvlText w:val="•"/>
      <w:lvlJc w:val="left"/>
      <w:pPr>
        <w:ind w:left="927" w:hanging="360"/>
      </w:pPr>
      <w:rPr>
        <w:rFonts w:ascii="Arial" w:eastAsia="SimSun" w:hAnsi="Arial" w:cs="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1533A3"/>
    <w:multiLevelType w:val="hybridMultilevel"/>
    <w:tmpl w:val="1B1EA6F6"/>
    <w:lvl w:ilvl="0" w:tplc="B546B976">
      <w:start w:val="1"/>
      <w:numFmt w:val="bullet"/>
      <w:lvlText w:val=""/>
      <w:lvlJc w:val="left"/>
      <w:pPr>
        <w:tabs>
          <w:tab w:val="num" w:pos="1135"/>
        </w:tabs>
        <w:ind w:left="1135"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AF53B0"/>
    <w:multiLevelType w:val="hybridMultilevel"/>
    <w:tmpl w:val="BCD82AD2"/>
    <w:lvl w:ilvl="0" w:tplc="8E7CC936">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15:restartNumberingAfterBreak="0">
    <w:nsid w:val="73C51472"/>
    <w:multiLevelType w:val="hybridMultilevel"/>
    <w:tmpl w:val="91A299D8"/>
    <w:lvl w:ilvl="0" w:tplc="7A8E0FD4">
      <w:numFmt w:val="bullet"/>
      <w:lvlText w:val="•"/>
      <w:lvlJc w:val="left"/>
      <w:pPr>
        <w:ind w:left="927" w:hanging="360"/>
      </w:pPr>
      <w:rPr>
        <w:rFonts w:ascii="Arial" w:eastAsia="SimSun" w:hAnsi="Arial" w:cs="Arial" w:hint="default"/>
        <w:sz w:val="32"/>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3"/>
  </w:num>
  <w:num w:numId="6">
    <w:abstractNumId w:val="5"/>
  </w:num>
  <w:num w:numId="7">
    <w:abstractNumId w:val="10"/>
  </w:num>
  <w:num w:numId="8">
    <w:abstractNumId w:val="1"/>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D6"/>
    <w:rsid w:val="000A31B8"/>
    <w:rsid w:val="000D6E4D"/>
    <w:rsid w:val="000E1C67"/>
    <w:rsid w:val="00120367"/>
    <w:rsid w:val="00145FA8"/>
    <w:rsid w:val="00146DB0"/>
    <w:rsid w:val="001643D7"/>
    <w:rsid w:val="00191EE8"/>
    <w:rsid w:val="001C4370"/>
    <w:rsid w:val="00204E04"/>
    <w:rsid w:val="002072D1"/>
    <w:rsid w:val="003161E5"/>
    <w:rsid w:val="00331D5C"/>
    <w:rsid w:val="00336571"/>
    <w:rsid w:val="003B172C"/>
    <w:rsid w:val="003B3B13"/>
    <w:rsid w:val="003B7F16"/>
    <w:rsid w:val="003F611C"/>
    <w:rsid w:val="00412FB1"/>
    <w:rsid w:val="004806A1"/>
    <w:rsid w:val="004D7AC0"/>
    <w:rsid w:val="00504796"/>
    <w:rsid w:val="005139F9"/>
    <w:rsid w:val="005C65FC"/>
    <w:rsid w:val="00606C65"/>
    <w:rsid w:val="00654EDF"/>
    <w:rsid w:val="006A6BC3"/>
    <w:rsid w:val="006C345D"/>
    <w:rsid w:val="006C67F6"/>
    <w:rsid w:val="007136D6"/>
    <w:rsid w:val="00762682"/>
    <w:rsid w:val="00772BEF"/>
    <w:rsid w:val="007956FE"/>
    <w:rsid w:val="007C28A2"/>
    <w:rsid w:val="007F61CB"/>
    <w:rsid w:val="008817FD"/>
    <w:rsid w:val="008C77DC"/>
    <w:rsid w:val="00901A65"/>
    <w:rsid w:val="009045F8"/>
    <w:rsid w:val="009E6B35"/>
    <w:rsid w:val="00A03D6B"/>
    <w:rsid w:val="00A0482D"/>
    <w:rsid w:val="00A33193"/>
    <w:rsid w:val="00A73DB1"/>
    <w:rsid w:val="00A90420"/>
    <w:rsid w:val="00AE0A51"/>
    <w:rsid w:val="00B346E6"/>
    <w:rsid w:val="00BA1B02"/>
    <w:rsid w:val="00BC1975"/>
    <w:rsid w:val="00BE748F"/>
    <w:rsid w:val="00C17ABC"/>
    <w:rsid w:val="00C64D7D"/>
    <w:rsid w:val="00C67AE4"/>
    <w:rsid w:val="00CC343C"/>
    <w:rsid w:val="00CE620B"/>
    <w:rsid w:val="00D12630"/>
    <w:rsid w:val="00D95F9A"/>
    <w:rsid w:val="00DE7D26"/>
    <w:rsid w:val="00E3319D"/>
    <w:rsid w:val="00E50FF7"/>
    <w:rsid w:val="00E538A5"/>
    <w:rsid w:val="00E97195"/>
    <w:rsid w:val="00F42DFC"/>
    <w:rsid w:val="00FF22C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2C06A0"/>
  <w15:docId w15:val="{6B109524-D6AD-4D97-88E7-BF1FC157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FA8"/>
    <w:pPr>
      <w:jc w:val="both"/>
    </w:pPr>
    <w:rPr>
      <w:rFonts w:ascii="Arial" w:hAnsi="Arial"/>
      <w:sz w:val="24"/>
    </w:rPr>
  </w:style>
  <w:style w:type="paragraph" w:styleId="Heading4">
    <w:name w:val="heading 4"/>
    <w:basedOn w:val="Normal"/>
    <w:next w:val="Normal"/>
    <w:link w:val="Heading4Char"/>
    <w:unhideWhenUsed/>
    <w:qFormat/>
    <w:rsid w:val="007136D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7136D6"/>
    <w:pPr>
      <w:keepNext/>
      <w:keepLines/>
      <w:widowControl w:val="0"/>
      <w:tabs>
        <w:tab w:val="left" w:pos="567"/>
        <w:tab w:val="left" w:pos="1134"/>
      </w:tabs>
      <w:snapToGrid w:val="0"/>
      <w:spacing w:before="480" w:after="60" w:line="300" w:lineRule="exact"/>
      <w:outlineLvl w:val="5"/>
    </w:pPr>
    <w:rPr>
      <w:rFonts w:eastAsia="Times New Roman" w:cs="Arial"/>
      <w:b/>
      <w:bCs/>
      <w:caps/>
      <w:color w:val="008000"/>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136D6"/>
    <w:rPr>
      <w:rFonts w:ascii="Arial" w:eastAsia="Times New Roman" w:hAnsi="Arial" w:cs="Arial"/>
      <w:b/>
      <w:bCs/>
      <w:caps/>
      <w:color w:val="008000"/>
      <w:sz w:val="24"/>
      <w:szCs w:val="24"/>
      <w:lang w:val="en-US" w:eastAsia="zh-CN"/>
    </w:rPr>
  </w:style>
  <w:style w:type="character" w:styleId="FootnoteReference">
    <w:name w:val="footnote reference"/>
    <w:rsid w:val="007136D6"/>
    <w:rPr>
      <w:rFonts w:ascii="Arial" w:hAnsi="Arial"/>
      <w:sz w:val="14"/>
      <w:szCs w:val="14"/>
      <w:vertAlign w:val="superscript"/>
    </w:rPr>
  </w:style>
  <w:style w:type="paragraph" w:styleId="FootnoteText">
    <w:name w:val="footnote text"/>
    <w:basedOn w:val="Normal"/>
    <w:link w:val="FootnoteTextChar"/>
    <w:rsid w:val="007136D6"/>
    <w:pPr>
      <w:widowControl w:val="0"/>
      <w:snapToGrid w:val="0"/>
      <w:spacing w:after="60" w:line="180" w:lineRule="exact"/>
      <w:ind w:left="340" w:hanging="340"/>
      <w:contextualSpacing/>
    </w:pPr>
    <w:rPr>
      <w:rFonts w:eastAsia="SimSun" w:cs="Arial"/>
      <w:snapToGrid w:val="0"/>
      <w:sz w:val="16"/>
      <w:szCs w:val="16"/>
      <w:lang w:eastAsia="zh-CN"/>
    </w:rPr>
  </w:style>
  <w:style w:type="character" w:customStyle="1" w:styleId="FootnoteTextChar">
    <w:name w:val="Footnote Text Char"/>
    <w:basedOn w:val="DefaultParagraphFont"/>
    <w:link w:val="FootnoteText"/>
    <w:rsid w:val="007136D6"/>
    <w:rPr>
      <w:rFonts w:ascii="Arial" w:eastAsia="SimSun" w:hAnsi="Arial" w:cs="Arial"/>
      <w:snapToGrid w:val="0"/>
      <w:sz w:val="16"/>
      <w:szCs w:val="16"/>
      <w:lang w:eastAsia="zh-CN"/>
    </w:rPr>
  </w:style>
  <w:style w:type="paragraph" w:customStyle="1" w:styleId="nutiret">
    <w:name w:val="Énutiret"/>
    <w:basedOn w:val="Texte1"/>
    <w:link w:val="nutiretCar"/>
    <w:rsid w:val="007136D6"/>
    <w:pPr>
      <w:numPr>
        <w:numId w:val="2"/>
      </w:numPr>
      <w:tabs>
        <w:tab w:val="clear" w:pos="567"/>
        <w:tab w:val="clear" w:pos="1135"/>
        <w:tab w:val="num" w:pos="360"/>
      </w:tabs>
      <w:ind w:left="851" w:firstLine="0"/>
    </w:pPr>
  </w:style>
  <w:style w:type="character" w:customStyle="1" w:styleId="nutiretCar">
    <w:name w:val="Énutiret Car"/>
    <w:basedOn w:val="Texte1Car"/>
    <w:link w:val="nutiret"/>
    <w:rsid w:val="007136D6"/>
    <w:rPr>
      <w:rFonts w:ascii="Arial" w:eastAsia="SimSun" w:hAnsi="Arial" w:cs="Arial"/>
      <w:sz w:val="24"/>
      <w:szCs w:val="24"/>
      <w:lang w:eastAsia="zh-CN"/>
    </w:rPr>
  </w:style>
  <w:style w:type="paragraph" w:customStyle="1" w:styleId="Soustitre">
    <w:name w:val="Soustitre"/>
    <w:basedOn w:val="Normal"/>
    <w:link w:val="SoustitreCar"/>
    <w:qFormat/>
    <w:rsid w:val="007136D6"/>
    <w:pPr>
      <w:keepNext/>
      <w:widowControl w:val="0"/>
      <w:tabs>
        <w:tab w:val="left" w:pos="567"/>
      </w:tabs>
      <w:snapToGrid w:val="0"/>
      <w:spacing w:before="200" w:after="60" w:line="280" w:lineRule="exact"/>
    </w:pPr>
    <w:rPr>
      <w:rFonts w:eastAsia="SimSun" w:cs="Arial"/>
      <w:b/>
      <w:i/>
      <w:iCs/>
      <w:szCs w:val="24"/>
      <w:lang w:eastAsia="zh-CN"/>
    </w:rPr>
  </w:style>
  <w:style w:type="character" w:customStyle="1" w:styleId="SoustitreCar">
    <w:name w:val="Soustitre Car"/>
    <w:link w:val="Soustitre"/>
    <w:rsid w:val="007136D6"/>
    <w:rPr>
      <w:rFonts w:ascii="Arial" w:eastAsia="SimSun" w:hAnsi="Arial" w:cs="Arial"/>
      <w:b/>
      <w:i/>
      <w:iCs/>
      <w:sz w:val="24"/>
      <w:szCs w:val="24"/>
      <w:lang w:eastAsia="zh-CN"/>
    </w:rPr>
  </w:style>
  <w:style w:type="paragraph" w:customStyle="1" w:styleId="Texte1">
    <w:name w:val="Texte1"/>
    <w:basedOn w:val="Normal"/>
    <w:link w:val="Texte1Car"/>
    <w:rsid w:val="007136D6"/>
    <w:pPr>
      <w:tabs>
        <w:tab w:val="left" w:pos="567"/>
      </w:tabs>
      <w:snapToGrid w:val="0"/>
      <w:spacing w:after="60" w:line="280" w:lineRule="exact"/>
      <w:ind w:left="851"/>
    </w:pPr>
    <w:rPr>
      <w:rFonts w:eastAsia="SimSun" w:cs="Arial"/>
      <w:szCs w:val="24"/>
      <w:lang w:eastAsia="zh-CN"/>
    </w:rPr>
  </w:style>
  <w:style w:type="character" w:customStyle="1" w:styleId="Texte1Car">
    <w:name w:val="Texte1 Car"/>
    <w:link w:val="Texte1"/>
    <w:rsid w:val="007136D6"/>
    <w:rPr>
      <w:rFonts w:ascii="Arial" w:eastAsia="SimSun" w:hAnsi="Arial" w:cs="Arial"/>
      <w:sz w:val="24"/>
      <w:szCs w:val="24"/>
      <w:lang w:eastAsia="zh-CN"/>
    </w:rPr>
  </w:style>
  <w:style w:type="paragraph" w:customStyle="1" w:styleId="Txtpucegras">
    <w:name w:val="Txtpucegras"/>
    <w:basedOn w:val="Texte1"/>
    <w:rsid w:val="007136D6"/>
    <w:pPr>
      <w:tabs>
        <w:tab w:val="clear" w:pos="567"/>
        <w:tab w:val="left" w:pos="340"/>
      </w:tabs>
      <w:ind w:left="0"/>
    </w:pPr>
  </w:style>
  <w:style w:type="paragraph" w:customStyle="1" w:styleId="diapo2">
    <w:name w:val="diapo2"/>
    <w:basedOn w:val="Heading6"/>
    <w:link w:val="diapo2Car"/>
    <w:rsid w:val="007136D6"/>
    <w:pPr>
      <w:widowControl/>
      <w:spacing w:before="200" w:after="120" w:line="280" w:lineRule="exact"/>
    </w:pPr>
    <w:rPr>
      <w:caps w:val="0"/>
      <w:szCs w:val="20"/>
    </w:rPr>
  </w:style>
  <w:style w:type="character" w:customStyle="1" w:styleId="diapo2Car">
    <w:name w:val="diapo2 Car"/>
    <w:basedOn w:val="Heading6Char"/>
    <w:link w:val="diapo2"/>
    <w:rsid w:val="007136D6"/>
    <w:rPr>
      <w:rFonts w:ascii="Arial" w:eastAsia="Times New Roman" w:hAnsi="Arial" w:cs="Arial"/>
      <w:b/>
      <w:bCs/>
      <w:caps w:val="0"/>
      <w:color w:val="008000"/>
      <w:sz w:val="24"/>
      <w:szCs w:val="20"/>
      <w:lang w:val="en-US" w:eastAsia="zh-CN"/>
    </w:rPr>
  </w:style>
  <w:style w:type="character" w:customStyle="1" w:styleId="Heading4Char">
    <w:name w:val="Heading 4 Char"/>
    <w:basedOn w:val="DefaultParagraphFont"/>
    <w:link w:val="Heading4"/>
    <w:rsid w:val="007136D6"/>
    <w:rPr>
      <w:rFonts w:asciiTheme="majorHAnsi" w:eastAsiaTheme="majorEastAsia" w:hAnsiTheme="majorHAnsi" w:cstheme="majorBidi"/>
      <w:b/>
      <w:bCs/>
      <w:i/>
      <w:iCs/>
      <w:color w:val="4F81BD" w:themeColor="accent1"/>
    </w:rPr>
  </w:style>
  <w:style w:type="paragraph" w:customStyle="1" w:styleId="Caschap">
    <w:name w:val="Caschap"/>
    <w:basedOn w:val="Normal"/>
    <w:rsid w:val="007136D6"/>
    <w:pPr>
      <w:keepNext/>
      <w:widowControl w:val="0"/>
      <w:snapToGrid w:val="0"/>
      <w:spacing w:after="120" w:line="480" w:lineRule="exact"/>
      <w:outlineLvl w:val="3"/>
    </w:pPr>
    <w:rPr>
      <w:rFonts w:eastAsia="Times New Roman" w:cs="Arial"/>
      <w:b/>
      <w:bCs/>
      <w:w w:val="107"/>
      <w:sz w:val="36"/>
      <w:szCs w:val="48"/>
      <w:lang w:val="en-US"/>
    </w:rPr>
  </w:style>
  <w:style w:type="paragraph" w:customStyle="1" w:styleId="Cas">
    <w:name w:val="Cas"/>
    <w:basedOn w:val="Heading4"/>
    <w:rsid w:val="007136D6"/>
    <w:pPr>
      <w:keepLines w:val="0"/>
      <w:widowControl w:val="0"/>
      <w:snapToGrid w:val="0"/>
      <w:spacing w:before="0" w:after="240" w:line="360" w:lineRule="exact"/>
    </w:pPr>
    <w:rPr>
      <w:rFonts w:ascii="Arial" w:eastAsia="Times New Roman" w:hAnsi="Arial" w:cs="Arial"/>
      <w:i w:val="0"/>
      <w:iCs w:val="0"/>
      <w:color w:val="0000FF"/>
      <w:w w:val="107"/>
      <w:sz w:val="28"/>
      <w:szCs w:val="28"/>
      <w:lang w:val="en-GB"/>
    </w:rPr>
  </w:style>
  <w:style w:type="paragraph" w:styleId="ListParagraph">
    <w:name w:val="List Paragraph"/>
    <w:basedOn w:val="Normal"/>
    <w:uiPriority w:val="34"/>
    <w:qFormat/>
    <w:rsid w:val="003B172C"/>
    <w:pPr>
      <w:ind w:left="720"/>
      <w:contextualSpacing/>
    </w:pPr>
  </w:style>
  <w:style w:type="table" w:styleId="TableGrid">
    <w:name w:val="Table Grid"/>
    <w:basedOn w:val="TableNormal"/>
    <w:uiPriority w:val="39"/>
    <w:rsid w:val="00331D5C"/>
    <w:pPr>
      <w:spacing w:after="0" w:line="240" w:lineRule="auto"/>
    </w:pPr>
    <w:rPr>
      <w:rFonts w:eastAsiaTheme="minorEastAsia"/>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956FE"/>
    <w:pPr>
      <w:tabs>
        <w:tab w:val="center" w:pos="4536"/>
        <w:tab w:val="right" w:pos="9072"/>
      </w:tabs>
      <w:spacing w:after="0" w:line="240" w:lineRule="auto"/>
    </w:pPr>
  </w:style>
  <w:style w:type="character" w:customStyle="1" w:styleId="HeaderChar">
    <w:name w:val="Header Char"/>
    <w:basedOn w:val="DefaultParagraphFont"/>
    <w:link w:val="Header"/>
    <w:rsid w:val="007956FE"/>
    <w:rPr>
      <w:rFonts w:ascii="Arial" w:hAnsi="Arial"/>
      <w:sz w:val="24"/>
    </w:rPr>
  </w:style>
  <w:style w:type="paragraph" w:styleId="Footer">
    <w:name w:val="footer"/>
    <w:basedOn w:val="Normal"/>
    <w:link w:val="FooterChar"/>
    <w:uiPriority w:val="99"/>
    <w:unhideWhenUsed/>
    <w:rsid w:val="007956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6FE"/>
    <w:rPr>
      <w:rFonts w:ascii="Arial" w:hAnsi="Arial"/>
      <w:sz w:val="24"/>
    </w:rPr>
  </w:style>
  <w:style w:type="character" w:styleId="CommentReference">
    <w:name w:val="annotation reference"/>
    <w:basedOn w:val="DefaultParagraphFont"/>
    <w:uiPriority w:val="99"/>
    <w:semiHidden/>
    <w:unhideWhenUsed/>
    <w:rsid w:val="00BA1B02"/>
    <w:rPr>
      <w:sz w:val="16"/>
      <w:szCs w:val="16"/>
    </w:rPr>
  </w:style>
  <w:style w:type="paragraph" w:styleId="CommentText">
    <w:name w:val="annotation text"/>
    <w:basedOn w:val="Normal"/>
    <w:link w:val="CommentTextChar"/>
    <w:uiPriority w:val="99"/>
    <w:semiHidden/>
    <w:unhideWhenUsed/>
    <w:rsid w:val="00BA1B02"/>
    <w:pPr>
      <w:spacing w:line="240" w:lineRule="auto"/>
    </w:pPr>
    <w:rPr>
      <w:sz w:val="20"/>
      <w:szCs w:val="20"/>
    </w:rPr>
  </w:style>
  <w:style w:type="character" w:customStyle="1" w:styleId="CommentTextChar">
    <w:name w:val="Comment Text Char"/>
    <w:basedOn w:val="DefaultParagraphFont"/>
    <w:link w:val="CommentText"/>
    <w:uiPriority w:val="99"/>
    <w:semiHidden/>
    <w:rsid w:val="00BA1B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1B02"/>
    <w:rPr>
      <w:b/>
      <w:bCs/>
    </w:rPr>
  </w:style>
  <w:style w:type="character" w:customStyle="1" w:styleId="CommentSubjectChar">
    <w:name w:val="Comment Subject Char"/>
    <w:basedOn w:val="CommentTextChar"/>
    <w:link w:val="CommentSubject"/>
    <w:uiPriority w:val="99"/>
    <w:semiHidden/>
    <w:rsid w:val="00BA1B02"/>
    <w:rPr>
      <w:rFonts w:ascii="Arial" w:hAnsi="Arial"/>
      <w:b/>
      <w:bCs/>
      <w:sz w:val="20"/>
      <w:szCs w:val="20"/>
    </w:rPr>
  </w:style>
  <w:style w:type="paragraph" w:styleId="BalloonText">
    <w:name w:val="Balloon Text"/>
    <w:basedOn w:val="Normal"/>
    <w:link w:val="BalloonTextChar"/>
    <w:uiPriority w:val="99"/>
    <w:semiHidden/>
    <w:unhideWhenUsed/>
    <w:rsid w:val="00BA1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BC72-5D5A-4811-9627-FEB28F26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UNESCO</dc:creator>
  <cp:lastModifiedBy>Cunningham, Ashley Elizabeth</cp:lastModifiedBy>
  <cp:revision>4</cp:revision>
  <dcterms:created xsi:type="dcterms:W3CDTF">2019-05-02T14:27:00Z</dcterms:created>
  <dcterms:modified xsi:type="dcterms:W3CDTF">2019-05-09T07:55:00Z</dcterms:modified>
</cp:coreProperties>
</file>