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02BC7" w14:textId="1900B4D8" w:rsidR="00DB4819" w:rsidRPr="00741213" w:rsidRDefault="009B1AA6" w:rsidP="00CF727C">
      <w:pPr>
        <w:pStyle w:val="Caschap"/>
        <w:jc w:val="both"/>
        <w:rPr>
          <w:spacing w:val="5"/>
          <w:lang w:val="fr-FR"/>
        </w:rPr>
      </w:pPr>
      <w:r w:rsidRPr="00741213">
        <w:rPr>
          <w:spacing w:val="5"/>
          <w:lang w:val="fr-FR"/>
        </w:rPr>
        <w:t xml:space="preserve">ÉTUDE DE CAS </w:t>
      </w:r>
      <w:r w:rsidR="000B79C2" w:rsidRPr="00741213">
        <w:rPr>
          <w:spacing w:val="5"/>
          <w:lang w:val="fr-FR"/>
        </w:rPr>
        <w:t>59</w:t>
      </w:r>
      <w:r w:rsidR="00741213">
        <w:rPr>
          <w:rStyle w:val="FootnoteReference"/>
          <w:spacing w:val="5"/>
        </w:rPr>
        <w:footnoteReference w:id="1"/>
      </w:r>
    </w:p>
    <w:p w14:paraId="2A3C6DFA" w14:textId="3B22057F" w:rsidR="004141E0" w:rsidRPr="00741213" w:rsidRDefault="009B1AA6" w:rsidP="00CF727C">
      <w:pPr>
        <w:jc w:val="both"/>
        <w:rPr>
          <w:rFonts w:ascii="Arial" w:eastAsia="Times New Roman" w:hAnsi="Arial" w:cs="Arial"/>
          <w:b/>
          <w:bCs/>
          <w:color w:val="0000FF"/>
          <w:w w:val="107"/>
          <w:sz w:val="28"/>
          <w:szCs w:val="28"/>
          <w:lang w:val="fr-FR" w:eastAsia="en-US"/>
        </w:rPr>
      </w:pPr>
      <w:r w:rsidRPr="00741213">
        <w:rPr>
          <w:rFonts w:ascii="Arial" w:eastAsia="Times New Roman" w:hAnsi="Arial" w:cs="Arial"/>
          <w:b/>
          <w:bCs/>
          <w:color w:val="0000FF"/>
          <w:w w:val="107"/>
          <w:sz w:val="28"/>
          <w:szCs w:val="28"/>
          <w:lang w:val="fr-FR" w:eastAsia="en-US"/>
        </w:rPr>
        <w:t xml:space="preserve">Le projet de la </w:t>
      </w:r>
      <w:r w:rsidR="008F61CB" w:rsidRPr="00741213">
        <w:rPr>
          <w:rFonts w:ascii="Arial" w:eastAsia="Times New Roman" w:hAnsi="Arial" w:cs="Arial"/>
          <w:b/>
          <w:bCs/>
          <w:color w:val="0000FF"/>
          <w:w w:val="107"/>
          <w:sz w:val="28"/>
          <w:szCs w:val="28"/>
          <w:lang w:val="fr-FR" w:eastAsia="en-US"/>
        </w:rPr>
        <w:t>Canning stock route</w:t>
      </w:r>
    </w:p>
    <w:p w14:paraId="6B53CCE2" w14:textId="544E62C2" w:rsidR="005D48D8" w:rsidRPr="00EF68FE" w:rsidRDefault="00EF68FE" w:rsidP="00CF727C">
      <w:pPr>
        <w:jc w:val="both"/>
        <w:rPr>
          <w:rFonts w:ascii="Arial" w:eastAsia="Times New Roman" w:hAnsi="Arial" w:cs="Arial"/>
          <w:b/>
          <w:bCs/>
          <w:caps/>
          <w:sz w:val="20"/>
          <w:szCs w:val="24"/>
          <w:lang w:val="en-US" w:eastAsia="en-US"/>
        </w:rPr>
      </w:pPr>
      <w:r w:rsidRPr="00EF68FE">
        <w:rPr>
          <w:rFonts w:ascii="Arial" w:eastAsia="Times New Roman" w:hAnsi="Arial" w:cs="Arial"/>
          <w:b/>
          <w:bCs/>
          <w:caps/>
          <w:sz w:val="20"/>
          <w:szCs w:val="24"/>
          <w:lang w:val="en-US" w:eastAsia="en-US"/>
        </w:rPr>
        <w:t>Introduction</w:t>
      </w:r>
    </w:p>
    <w:p w14:paraId="08E7FBBB" w14:textId="49ADF512" w:rsidR="001D4717" w:rsidRPr="00EF68FE" w:rsidRDefault="009B1AA6" w:rsidP="00EF68FE">
      <w:pPr>
        <w:pStyle w:val="Texte1"/>
      </w:pPr>
      <w:r w:rsidRPr="00EF68FE">
        <w:t xml:space="preserve">Cette étude de cas </w:t>
      </w:r>
      <w:r w:rsidR="0041348E" w:rsidRPr="00EF68FE">
        <w:t>est le récit</w:t>
      </w:r>
      <w:r w:rsidR="004C72F1" w:rsidRPr="00EF68FE">
        <w:t xml:space="preserve"> d</w:t>
      </w:r>
      <w:r w:rsidR="0041348E" w:rsidRPr="00EF68FE">
        <w:t>’</w:t>
      </w:r>
      <w:r w:rsidRPr="00EF68FE">
        <w:t xml:space="preserve">un projet </w:t>
      </w:r>
      <w:r w:rsidR="0041348E" w:rsidRPr="00EF68FE">
        <w:t>d</w:t>
      </w:r>
      <w:r w:rsidRPr="00EF68FE">
        <w:t>’histoire orale</w:t>
      </w:r>
      <w:r w:rsidR="0041348E" w:rsidRPr="00EF68FE">
        <w:t xml:space="preserve"> conduit en </w:t>
      </w:r>
      <w:r w:rsidRPr="00EF68FE">
        <w:t xml:space="preserve">Australie </w:t>
      </w:r>
      <w:r w:rsidR="0041348E" w:rsidRPr="00EF68FE">
        <w:t xml:space="preserve">occidentale </w:t>
      </w:r>
      <w:r w:rsidRPr="00EF68FE">
        <w:t xml:space="preserve">et </w:t>
      </w:r>
      <w:r w:rsidR="0041348E" w:rsidRPr="00EF68FE">
        <w:t>du</w:t>
      </w:r>
      <w:r w:rsidRPr="00EF68FE">
        <w:t xml:space="preserve"> processus complet d’approbation</w:t>
      </w:r>
      <w:r w:rsidR="0041348E" w:rsidRPr="00EF68FE">
        <w:t>s</w:t>
      </w:r>
      <w:r w:rsidRPr="00EF68FE">
        <w:t xml:space="preserve"> et de consentement </w:t>
      </w:r>
      <w:r w:rsidR="0041348E" w:rsidRPr="00EF68FE">
        <w:t>mené</w:t>
      </w:r>
      <w:r w:rsidRPr="00EF68FE">
        <w:t xml:space="preserve"> en partenariat avec les </w:t>
      </w:r>
      <w:r w:rsidR="0041348E" w:rsidRPr="00EF68FE">
        <w:t>parties prenantes</w:t>
      </w:r>
      <w:r w:rsidRPr="00EF68FE">
        <w:t xml:space="preserve"> autochtones</w:t>
      </w:r>
      <w:r w:rsidR="0041348E" w:rsidRPr="00EF68FE">
        <w:t xml:space="preserve"> concernées</w:t>
      </w:r>
      <w:r w:rsidRPr="00EF68FE">
        <w:t xml:space="preserve">. L’étude de cas </w:t>
      </w:r>
      <w:r w:rsidR="0041348E" w:rsidRPr="00EF68FE">
        <w:t>est</w:t>
      </w:r>
      <w:r w:rsidRPr="00EF68FE">
        <w:t xml:space="preserve"> un bon exemple d’approche éthique </w:t>
      </w:r>
      <w:r w:rsidR="0041348E" w:rsidRPr="00EF68FE">
        <w:t>concernant</w:t>
      </w:r>
      <w:r w:rsidRPr="00EF68FE">
        <w:t xml:space="preserve"> l’</w:t>
      </w:r>
      <w:r w:rsidR="0041348E" w:rsidRPr="00EF68FE">
        <w:t>enregistrement et la diffusion d’éléments du</w:t>
      </w:r>
      <w:r w:rsidRPr="00EF68FE">
        <w:t xml:space="preserve"> patrimoine culturel immatériel. Elle engage aussi une réflexion autour de certains dilemmes éthiques qui peuvent se poser lorsque de multiples acteurs sont impliqués dans des partenariats de recherche</w:t>
      </w:r>
      <w:r w:rsidR="00EE6794" w:rsidRPr="00EF68FE">
        <w:t xml:space="preserve">. </w:t>
      </w:r>
    </w:p>
    <w:p w14:paraId="46B0F1B3" w14:textId="28B95E4A" w:rsidR="008F61CB" w:rsidRPr="00EF68FE" w:rsidRDefault="009B1AA6" w:rsidP="00EF68FE">
      <w:pPr>
        <w:pStyle w:val="Texte1"/>
        <w:rPr>
          <w:b/>
        </w:rPr>
      </w:pPr>
      <w:r w:rsidRPr="00EF68FE">
        <w:rPr>
          <w:b/>
        </w:rPr>
        <w:t xml:space="preserve">Mots clefs : </w:t>
      </w:r>
      <w:r w:rsidRPr="00EF68FE">
        <w:t xml:space="preserve">éthique ; propriété intellectuelle ; consentement éclairé ; peuples autochtones ; partage des bénéfices ; communautés ; documentation ; archivage </w:t>
      </w:r>
      <w:r w:rsidR="00C81FE9" w:rsidRPr="00EF68FE">
        <w:t>numérique</w:t>
      </w:r>
      <w:r w:rsidRPr="00EF68FE">
        <w:rPr>
          <w:b/>
        </w:rPr>
        <w:t xml:space="preserve"> </w:t>
      </w:r>
    </w:p>
    <w:p w14:paraId="0D3545C9" w14:textId="3459B226" w:rsidR="00DB4819" w:rsidRPr="00EF68FE" w:rsidRDefault="009B1AA6" w:rsidP="00EF68F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EF68FE">
        <w:rPr>
          <w:rFonts w:ascii="Arial" w:eastAsia="Times New Roman" w:hAnsi="Arial" w:cs="Arial"/>
          <w:b/>
          <w:bCs/>
          <w:snapToGrid/>
          <w:sz w:val="20"/>
          <w:lang w:eastAsia="en-US"/>
        </w:rPr>
        <w:t>CONTEXTE</w:t>
      </w:r>
    </w:p>
    <w:p w14:paraId="701423A9" w14:textId="64AD2519" w:rsidR="009B1AA6" w:rsidRPr="00EF68FE" w:rsidRDefault="009B1AA6" w:rsidP="00EF68FE">
      <w:pPr>
        <w:pStyle w:val="Texte1"/>
        <w:ind w:firstLine="0"/>
      </w:pPr>
      <w:r w:rsidRPr="00EF68FE">
        <w:t xml:space="preserve">En 2006, </w:t>
      </w:r>
      <w:r w:rsidR="00684F69" w:rsidRPr="00EF68FE">
        <w:t>un organisme culturel</w:t>
      </w:r>
      <w:r w:rsidRPr="00EF68FE">
        <w:t xml:space="preserve"> </w:t>
      </w:r>
      <w:r w:rsidR="00684F69" w:rsidRPr="00EF68FE">
        <w:t>australien</w:t>
      </w:r>
      <w:r w:rsidRPr="00EF68FE">
        <w:t xml:space="preserve"> </w:t>
      </w:r>
      <w:r w:rsidR="00684F69" w:rsidRPr="00EF68FE">
        <w:t>à but non lucratif appelé</w:t>
      </w:r>
      <w:r w:rsidRPr="00EF68FE">
        <w:t xml:space="preserve"> FORM a engagé le projet de la Canning Stock Route. La Canning Stock Route est une piste en terre longue de près de 2000</w:t>
      </w:r>
      <w:r w:rsidR="00684F69" w:rsidRPr="00EF68FE">
        <w:t xml:space="preserve"> </w:t>
      </w:r>
      <w:r w:rsidRPr="00EF68FE">
        <w:t>km</w:t>
      </w:r>
      <w:r w:rsidR="0094100E" w:rsidRPr="00EF68FE">
        <w:t xml:space="preserve"> tracée en territoire aborigène </w:t>
      </w:r>
      <w:r w:rsidR="00684F69" w:rsidRPr="00EF68FE">
        <w:t>au moment</w:t>
      </w:r>
      <w:r w:rsidR="0094100E" w:rsidRPr="00EF68FE">
        <w:t xml:space="preserve"> de l’expansion des industries minières et pastorales en Australie occidentale</w:t>
      </w:r>
      <w:r w:rsidR="00684F69" w:rsidRPr="00EF68FE">
        <w:t>,</w:t>
      </w:r>
      <w:r w:rsidR="0094100E" w:rsidRPr="00EF68FE">
        <w:t xml:space="preserve"> au tournant du </w:t>
      </w:r>
      <w:proofErr w:type="spellStart"/>
      <w:r w:rsidR="0094100E" w:rsidRPr="00EF68FE">
        <w:t>XXè</w:t>
      </w:r>
      <w:proofErr w:type="spellEnd"/>
      <w:r w:rsidR="0094100E" w:rsidRPr="00EF68FE">
        <w:t xml:space="preserve"> siècle. Le but de ce projet était de raconter l’histoire de </w:t>
      </w:r>
      <w:r w:rsidR="00684F69" w:rsidRPr="00EF68FE">
        <w:t xml:space="preserve">cette route à bétail </w:t>
      </w:r>
      <w:r w:rsidR="0094100E" w:rsidRPr="00EF68FE">
        <w:t xml:space="preserve">à travers l’art et les voix </w:t>
      </w:r>
      <w:r w:rsidR="00684F69" w:rsidRPr="00EF68FE">
        <w:t>autochtones</w:t>
      </w:r>
      <w:r w:rsidR="0094100E" w:rsidRPr="00EF68FE">
        <w:t xml:space="preserve">, notamment </w:t>
      </w:r>
      <w:r w:rsidR="00684F69" w:rsidRPr="00EF68FE">
        <w:t>par les récits de la création</w:t>
      </w:r>
      <w:r w:rsidR="0094100E" w:rsidRPr="00EF68FE">
        <w:t xml:space="preserve"> </w:t>
      </w:r>
      <w:r w:rsidR="00684F69" w:rsidRPr="00EF68FE">
        <w:t>sur</w:t>
      </w:r>
      <w:r w:rsidR="0094100E" w:rsidRPr="00EF68FE">
        <w:t xml:space="preserve"> la campagne environnante, les traditions </w:t>
      </w:r>
      <w:r w:rsidR="00684F69" w:rsidRPr="00EF68FE">
        <w:t xml:space="preserve">orales et les savoirs traditionnels </w:t>
      </w:r>
      <w:r w:rsidR="0094100E" w:rsidRPr="00EF68FE">
        <w:t xml:space="preserve">concernant l’environnement </w:t>
      </w:r>
      <w:r w:rsidR="00684F69" w:rsidRPr="00EF68FE">
        <w:t>désertique</w:t>
      </w:r>
      <w:r w:rsidR="0094100E" w:rsidRPr="00EF68FE">
        <w:t>.</w:t>
      </w:r>
    </w:p>
    <w:p w14:paraId="76DABFBC" w14:textId="00A5AAB5" w:rsidR="0094100E" w:rsidRPr="00EF68FE" w:rsidRDefault="0094100E" w:rsidP="00EF68FE">
      <w:pPr>
        <w:pStyle w:val="Texte1"/>
        <w:ind w:firstLine="0"/>
      </w:pPr>
      <w:r w:rsidRPr="00EF68FE">
        <w:t xml:space="preserve">Plus de 100 personnes issues de 12 groupes linguistiques et de 17 communautés reculées ont contribué au projet </w:t>
      </w:r>
      <w:r w:rsidR="002E540D" w:rsidRPr="00EF68FE">
        <w:t>à travers un récit</w:t>
      </w:r>
      <w:r w:rsidRPr="00EF68FE">
        <w:t>.</w:t>
      </w:r>
      <w:r w:rsidR="00F3365A" w:rsidRPr="00EF68FE">
        <w:t xml:space="preserve"> Leurs histoires orales mélangeaient des </w:t>
      </w:r>
      <w:r w:rsidR="002E540D" w:rsidRPr="00EF68FE">
        <w:t>histoires</w:t>
      </w:r>
      <w:r w:rsidR="00F3365A" w:rsidRPr="00EF68FE">
        <w:t xml:space="preserve"> de vie, des </w:t>
      </w:r>
      <w:r w:rsidR="004044EE" w:rsidRPr="00EF68FE">
        <w:t>récits culturel</w:t>
      </w:r>
      <w:r w:rsidR="00F3365A" w:rsidRPr="00EF68FE">
        <w:t xml:space="preserve">s, la création et </w:t>
      </w:r>
      <w:r w:rsidR="002E540D" w:rsidRPr="00EF68FE">
        <w:t>le</w:t>
      </w:r>
      <w:r w:rsidR="00F3365A" w:rsidRPr="00EF68FE">
        <w:t xml:space="preserve"> droit traditionnel. Les </w:t>
      </w:r>
      <w:r w:rsidR="002E540D" w:rsidRPr="00EF68FE">
        <w:t>savoirs</w:t>
      </w:r>
      <w:r w:rsidR="00F3365A" w:rsidRPr="00EF68FE">
        <w:t xml:space="preserve"> </w:t>
      </w:r>
      <w:r w:rsidR="002E540D" w:rsidRPr="00EF68FE">
        <w:t>rassemblé</w:t>
      </w:r>
      <w:r w:rsidR="00F3365A" w:rsidRPr="00EF68FE">
        <w:t xml:space="preserve">s sur les six années </w:t>
      </w:r>
      <w:r w:rsidR="002E540D" w:rsidRPr="00EF68FE">
        <w:t>qu’a duré le</w:t>
      </w:r>
      <w:r w:rsidR="00F3365A" w:rsidRPr="00EF68FE">
        <w:t xml:space="preserve"> projet </w:t>
      </w:r>
      <w:r w:rsidR="002E540D" w:rsidRPr="00EF68FE">
        <w:t>constituaient</w:t>
      </w:r>
      <w:r w:rsidR="00F3365A" w:rsidRPr="00EF68FE">
        <w:t xml:space="preserve"> </w:t>
      </w:r>
      <w:r w:rsidR="002E540D" w:rsidRPr="00EF68FE">
        <w:t>des archives</w:t>
      </w:r>
      <w:r w:rsidR="00F3365A" w:rsidRPr="00EF68FE">
        <w:t xml:space="preserve"> incroyable</w:t>
      </w:r>
      <w:r w:rsidR="002E540D" w:rsidRPr="00EF68FE">
        <w:t>s</w:t>
      </w:r>
      <w:r w:rsidR="00F3365A" w:rsidRPr="00EF68FE">
        <w:t xml:space="preserve"> du patrimoine culturel immatériel et envoyaient aux contributeurs autochtones le signal que leurs récits étaient </w:t>
      </w:r>
      <w:r w:rsidR="00F66332" w:rsidRPr="00EF68FE">
        <w:t>considérés comme</w:t>
      </w:r>
      <w:r w:rsidR="00F3365A" w:rsidRPr="00EF68FE">
        <w:t xml:space="preserve"> une part importante du patrimoine national australien. Les archives du projet contiennent plus de 250 histoires orales, dont des témoignages sonores et des entretiens filmés, environ 7000 clips de séquences </w:t>
      </w:r>
      <w:r w:rsidR="002E540D" w:rsidRPr="00EF68FE">
        <w:t>filmées</w:t>
      </w:r>
      <w:r w:rsidR="00F3365A" w:rsidRPr="00EF68FE">
        <w:t xml:space="preserve"> brutes </w:t>
      </w:r>
      <w:r w:rsidR="002E540D" w:rsidRPr="00EF68FE">
        <w:t>(</w:t>
      </w:r>
      <w:r w:rsidR="00F3365A" w:rsidRPr="00EF68FE">
        <w:t>non montées</w:t>
      </w:r>
      <w:r w:rsidR="002E540D" w:rsidRPr="00EF68FE">
        <w:t>)</w:t>
      </w:r>
      <w:r w:rsidR="00F3365A" w:rsidRPr="00EF68FE">
        <w:t>, aux alentours de 150 court</w:t>
      </w:r>
      <w:r w:rsidR="007A013F" w:rsidRPr="00EF68FE">
        <w:t>s</w:t>
      </w:r>
      <w:r w:rsidR="00F3365A" w:rsidRPr="00EF68FE">
        <w:t xml:space="preserve"> métrages, plus de 20 000 photos, des archives historiques et </w:t>
      </w:r>
      <w:r w:rsidR="002E540D" w:rsidRPr="00EF68FE">
        <w:t>toute une palette</w:t>
      </w:r>
      <w:r w:rsidR="00F3365A" w:rsidRPr="00EF68FE">
        <w:t xml:space="preserve"> d’autres matériels de recherche.</w:t>
      </w:r>
    </w:p>
    <w:p w14:paraId="546BC851" w14:textId="2E71C8E6" w:rsidR="00F3365A" w:rsidRPr="00EF68FE" w:rsidRDefault="00F3365A" w:rsidP="00EF68FE">
      <w:pPr>
        <w:pStyle w:val="Texte1"/>
        <w:ind w:firstLine="0"/>
      </w:pPr>
      <w:r w:rsidRPr="00EF68FE">
        <w:t>En 2009, FORM a</w:t>
      </w:r>
      <w:r w:rsidR="00B13E41" w:rsidRPr="00EF68FE">
        <w:t xml:space="preserve"> conclu un partenariat avec le m</w:t>
      </w:r>
      <w:r w:rsidRPr="00EF68FE">
        <w:t xml:space="preserve">usée national d’Australie pour coproduire l’exposition </w:t>
      </w:r>
      <w:proofErr w:type="spellStart"/>
      <w:r w:rsidRPr="00EF68FE">
        <w:t>Yiwarra</w:t>
      </w:r>
      <w:proofErr w:type="spellEnd"/>
      <w:r w:rsidRPr="00EF68FE">
        <w:t xml:space="preserve"> </w:t>
      </w:r>
      <w:proofErr w:type="spellStart"/>
      <w:r w:rsidRPr="00EF68FE">
        <w:t>Kuju</w:t>
      </w:r>
      <w:proofErr w:type="spellEnd"/>
      <w:r w:rsidR="002E540D" w:rsidRPr="00EF68FE">
        <w:t xml:space="preserve"> </w:t>
      </w:r>
      <w:r w:rsidRPr="00EF68FE">
        <w:t>: The Canning Stock Route</w:t>
      </w:r>
      <w:r w:rsidR="007A013F" w:rsidRPr="00EF68FE">
        <w:t>,</w:t>
      </w:r>
      <w:r w:rsidRPr="00EF68FE">
        <w:t xml:space="preserve"> qui </w:t>
      </w:r>
      <w:r w:rsidR="007A013F" w:rsidRPr="00EF68FE">
        <w:t>compilait</w:t>
      </w:r>
      <w:r w:rsidRPr="00EF68FE">
        <w:t xml:space="preserve"> les histoires orales enregistrées tout au long de la vie du projet. </w:t>
      </w:r>
    </w:p>
    <w:p w14:paraId="6BB6A29C" w14:textId="3BA4F784" w:rsidR="00B5428A" w:rsidRPr="00EF68FE" w:rsidRDefault="00B5428A" w:rsidP="00EF68F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EF68FE">
        <w:rPr>
          <w:rFonts w:ascii="Arial" w:eastAsia="Times New Roman" w:hAnsi="Arial" w:cs="Arial"/>
          <w:b/>
          <w:bCs/>
          <w:snapToGrid/>
          <w:sz w:val="20"/>
          <w:lang w:eastAsia="en-US"/>
        </w:rPr>
        <w:t>Consent</w:t>
      </w:r>
      <w:r w:rsidR="00F3365A" w:rsidRPr="00EF68FE">
        <w:rPr>
          <w:rFonts w:ascii="Arial" w:eastAsia="Times New Roman" w:hAnsi="Arial" w:cs="Arial"/>
          <w:b/>
          <w:bCs/>
          <w:snapToGrid/>
          <w:sz w:val="20"/>
          <w:lang w:eastAsia="en-US"/>
        </w:rPr>
        <w:t>EMENT</w:t>
      </w:r>
    </w:p>
    <w:p w14:paraId="278A3AD2" w14:textId="08FBFEE8" w:rsidR="00F3365A" w:rsidRDefault="002F661A" w:rsidP="00EF68FE">
      <w:pPr>
        <w:pStyle w:val="Texte1"/>
        <w:rPr>
          <w:szCs w:val="24"/>
          <w:lang w:val="fr-FR"/>
        </w:rPr>
      </w:pPr>
      <w:r>
        <w:rPr>
          <w:szCs w:val="24"/>
          <w:lang w:val="fr-FR"/>
        </w:rPr>
        <w:t>L</w:t>
      </w:r>
      <w:r w:rsidR="00F3365A">
        <w:rPr>
          <w:szCs w:val="24"/>
          <w:lang w:val="fr-FR"/>
        </w:rPr>
        <w:t xml:space="preserve">e projet </w:t>
      </w:r>
      <w:r>
        <w:rPr>
          <w:szCs w:val="24"/>
          <w:lang w:val="fr-FR"/>
        </w:rPr>
        <w:t xml:space="preserve">a intégré d’emblée </w:t>
      </w:r>
      <w:r w:rsidR="00F3365A">
        <w:rPr>
          <w:szCs w:val="24"/>
          <w:lang w:val="fr-FR"/>
        </w:rPr>
        <w:t xml:space="preserve">un processus complet de consultation et de consentement </w:t>
      </w:r>
      <w:r>
        <w:rPr>
          <w:szCs w:val="24"/>
          <w:lang w:val="fr-FR"/>
        </w:rPr>
        <w:t>communautaire</w:t>
      </w:r>
      <w:r w:rsidR="00F3365A">
        <w:rPr>
          <w:szCs w:val="24"/>
          <w:lang w:val="fr-FR"/>
        </w:rPr>
        <w:t>. Le processus d’approbation</w:t>
      </w:r>
      <w:r w:rsidR="003061D0">
        <w:rPr>
          <w:szCs w:val="24"/>
          <w:lang w:val="fr-FR"/>
        </w:rPr>
        <w:t>s</w:t>
      </w:r>
      <w:r w:rsidR="00F3365A">
        <w:rPr>
          <w:szCs w:val="24"/>
          <w:lang w:val="fr-FR"/>
        </w:rPr>
        <w:t xml:space="preserve"> ayant conduit à l’exposition a </w:t>
      </w:r>
      <w:r w:rsidR="004C62DA">
        <w:rPr>
          <w:szCs w:val="24"/>
          <w:lang w:val="fr-FR"/>
        </w:rPr>
        <w:t>nécessité</w:t>
      </w:r>
      <w:r w:rsidR="00F3365A">
        <w:rPr>
          <w:szCs w:val="24"/>
          <w:lang w:val="fr-FR"/>
        </w:rPr>
        <w:t xml:space="preserve"> trois ans et de nombreux voyages auprès des communautés pour être mené à bien</w:t>
      </w:r>
      <w:r w:rsidR="009148DB" w:rsidRPr="00EF68FE">
        <w:rPr>
          <w:szCs w:val="24"/>
          <w:lang w:val="fr-FR"/>
        </w:rPr>
        <w:t>.</w:t>
      </w:r>
    </w:p>
    <w:p w14:paraId="69D418A3" w14:textId="52CAD592" w:rsidR="00F3365A" w:rsidRDefault="00942EE1" w:rsidP="00EF68FE">
      <w:pPr>
        <w:pStyle w:val="Texte1"/>
        <w:rPr>
          <w:szCs w:val="24"/>
          <w:lang w:val="fr-FR"/>
        </w:rPr>
      </w:pPr>
      <w:r>
        <w:rPr>
          <w:szCs w:val="24"/>
          <w:lang w:val="fr-FR"/>
        </w:rPr>
        <w:t>En premier lieu, l</w:t>
      </w:r>
      <w:r w:rsidR="00F3365A">
        <w:rPr>
          <w:szCs w:val="24"/>
          <w:lang w:val="fr-FR"/>
        </w:rPr>
        <w:t xml:space="preserve">es chercheurs </w:t>
      </w:r>
      <w:r w:rsidR="00B15720">
        <w:rPr>
          <w:szCs w:val="24"/>
          <w:lang w:val="fr-FR"/>
        </w:rPr>
        <w:t>ont sollicité des permissions individuelles p</w:t>
      </w:r>
      <w:r>
        <w:rPr>
          <w:szCs w:val="24"/>
          <w:lang w:val="fr-FR"/>
        </w:rPr>
        <w:t>our enregistrer des matériels. Des traducteurs et d</w:t>
      </w:r>
      <w:r w:rsidR="00B15720">
        <w:rPr>
          <w:szCs w:val="24"/>
          <w:lang w:val="fr-FR"/>
        </w:rPr>
        <w:t xml:space="preserve">es conseillers culturels </w:t>
      </w:r>
      <w:r>
        <w:rPr>
          <w:szCs w:val="24"/>
          <w:lang w:val="fr-FR"/>
        </w:rPr>
        <w:t xml:space="preserve">autochtones </w:t>
      </w:r>
      <w:r w:rsidR="00B15720">
        <w:rPr>
          <w:szCs w:val="24"/>
          <w:lang w:val="fr-FR"/>
        </w:rPr>
        <w:t xml:space="preserve">ont travaillé en étroite collaboration avec </w:t>
      </w:r>
      <w:r>
        <w:rPr>
          <w:szCs w:val="24"/>
          <w:lang w:val="fr-FR"/>
        </w:rPr>
        <w:t xml:space="preserve">eux </w:t>
      </w:r>
      <w:r w:rsidR="00B15720">
        <w:rPr>
          <w:szCs w:val="24"/>
          <w:lang w:val="fr-FR"/>
        </w:rPr>
        <w:t xml:space="preserve">pour s’assurer que la propriété intellectuelle de la culture autochtone </w:t>
      </w:r>
      <w:r>
        <w:rPr>
          <w:szCs w:val="24"/>
          <w:lang w:val="fr-FR"/>
        </w:rPr>
        <w:t xml:space="preserve">était </w:t>
      </w:r>
      <w:r>
        <w:rPr>
          <w:szCs w:val="24"/>
          <w:lang w:val="fr-FR"/>
        </w:rPr>
        <w:lastRenderedPageBreak/>
        <w:t xml:space="preserve">gérée de manière adéquate </w:t>
      </w:r>
      <w:r w:rsidR="00B15720">
        <w:rPr>
          <w:szCs w:val="24"/>
          <w:lang w:val="fr-FR"/>
        </w:rPr>
        <w:t xml:space="preserve">et que les sensibilités culturelles et les besoins des communautés étaient </w:t>
      </w:r>
      <w:r>
        <w:rPr>
          <w:szCs w:val="24"/>
          <w:lang w:val="fr-FR"/>
        </w:rPr>
        <w:t>abordés</w:t>
      </w:r>
      <w:r w:rsidR="004C62DA">
        <w:rPr>
          <w:szCs w:val="24"/>
          <w:lang w:val="fr-FR"/>
        </w:rPr>
        <w:t xml:space="preserve"> avec soin</w:t>
      </w:r>
      <w:r w:rsidR="00B15720">
        <w:rPr>
          <w:szCs w:val="24"/>
          <w:lang w:val="fr-FR"/>
        </w:rPr>
        <w:t>. Les traducteurs autochtones ont d’abord traduit les histoires orales</w:t>
      </w:r>
      <w:r w:rsidR="00B15720" w:rsidRPr="00B15720">
        <w:rPr>
          <w:szCs w:val="24"/>
          <w:lang w:val="fr-FR"/>
        </w:rPr>
        <w:t xml:space="preserve"> </w:t>
      </w:r>
      <w:r w:rsidR="00B15720">
        <w:rPr>
          <w:szCs w:val="24"/>
          <w:lang w:val="fr-FR"/>
        </w:rPr>
        <w:t xml:space="preserve">des langues traditionnelles en Anglais et les ont </w:t>
      </w:r>
      <w:r>
        <w:rPr>
          <w:szCs w:val="24"/>
          <w:lang w:val="fr-FR"/>
        </w:rPr>
        <w:t>re</w:t>
      </w:r>
      <w:r w:rsidR="00B15720">
        <w:rPr>
          <w:szCs w:val="24"/>
          <w:lang w:val="fr-FR"/>
        </w:rPr>
        <w:t>transcrites sur papier.</w:t>
      </w:r>
    </w:p>
    <w:p w14:paraId="3FF98D7A" w14:textId="07989BC2" w:rsidR="00B15720" w:rsidRDefault="00B15720" w:rsidP="00EF68FE">
      <w:pPr>
        <w:pStyle w:val="Texte1"/>
        <w:rPr>
          <w:szCs w:val="24"/>
          <w:lang w:val="fr-FR"/>
        </w:rPr>
      </w:pPr>
      <w:r>
        <w:rPr>
          <w:szCs w:val="24"/>
          <w:lang w:val="fr-FR"/>
        </w:rPr>
        <w:t xml:space="preserve">En deuxième lieu, l’équipe de recherche a mené des consultations pour obtenir </w:t>
      </w:r>
      <w:r w:rsidR="0099141E">
        <w:rPr>
          <w:szCs w:val="24"/>
          <w:lang w:val="fr-FR"/>
        </w:rPr>
        <w:t>des</w:t>
      </w:r>
      <w:r>
        <w:rPr>
          <w:szCs w:val="24"/>
          <w:lang w:val="fr-FR"/>
        </w:rPr>
        <w:t xml:space="preserve"> autorisation</w:t>
      </w:r>
      <w:r w:rsidR="0099141E">
        <w:rPr>
          <w:szCs w:val="24"/>
          <w:lang w:val="fr-FR"/>
        </w:rPr>
        <w:t>s</w:t>
      </w:r>
      <w:r>
        <w:rPr>
          <w:szCs w:val="24"/>
          <w:lang w:val="fr-FR"/>
        </w:rPr>
        <w:t xml:space="preserve"> individuelle</w:t>
      </w:r>
      <w:r w:rsidR="0099141E">
        <w:rPr>
          <w:szCs w:val="24"/>
          <w:lang w:val="fr-FR"/>
        </w:rPr>
        <w:t>s</w:t>
      </w:r>
      <w:r>
        <w:rPr>
          <w:szCs w:val="24"/>
          <w:lang w:val="fr-FR"/>
        </w:rPr>
        <w:t xml:space="preserve"> d’utilisation de certains éléments des matériels enregistrés à des fins spécifiques, par exemple pour être utilisés dans le cadre de l’exposition, de publications, d’un accès en ligne, d’un stockage dans des collections publiques </w:t>
      </w:r>
      <w:r w:rsidR="00C70D2E">
        <w:rPr>
          <w:szCs w:val="24"/>
          <w:lang w:val="fr-FR"/>
        </w:rPr>
        <w:t>ou</w:t>
      </w:r>
      <w:r>
        <w:rPr>
          <w:szCs w:val="24"/>
          <w:lang w:val="fr-FR"/>
        </w:rPr>
        <w:t xml:space="preserve"> d’archives communautaires. </w:t>
      </w:r>
      <w:r w:rsidR="0099141E">
        <w:rPr>
          <w:szCs w:val="24"/>
          <w:lang w:val="fr-FR"/>
        </w:rPr>
        <w:t>Ces</w:t>
      </w:r>
      <w:r>
        <w:rPr>
          <w:szCs w:val="24"/>
          <w:lang w:val="fr-FR"/>
        </w:rPr>
        <w:t xml:space="preserve"> demande</w:t>
      </w:r>
      <w:r w:rsidR="0099141E">
        <w:rPr>
          <w:szCs w:val="24"/>
          <w:lang w:val="fr-FR"/>
        </w:rPr>
        <w:t>s</w:t>
      </w:r>
      <w:r>
        <w:rPr>
          <w:szCs w:val="24"/>
          <w:lang w:val="fr-FR"/>
        </w:rPr>
        <w:t xml:space="preserve"> d’autorisation impliquai</w:t>
      </w:r>
      <w:r w:rsidR="0099141E">
        <w:rPr>
          <w:szCs w:val="24"/>
          <w:lang w:val="fr-FR"/>
        </w:rPr>
        <w:t>en</w:t>
      </w:r>
      <w:r>
        <w:rPr>
          <w:szCs w:val="24"/>
          <w:lang w:val="fr-FR"/>
        </w:rPr>
        <w:t xml:space="preserve">t </w:t>
      </w:r>
      <w:r w:rsidR="0099141E">
        <w:rPr>
          <w:szCs w:val="24"/>
          <w:lang w:val="fr-FR"/>
        </w:rPr>
        <w:t>que</w:t>
      </w:r>
      <w:r>
        <w:rPr>
          <w:szCs w:val="24"/>
          <w:lang w:val="fr-FR"/>
        </w:rPr>
        <w:t xml:space="preserve"> l’équipe de recherche </w:t>
      </w:r>
      <w:r w:rsidR="0099141E">
        <w:rPr>
          <w:szCs w:val="24"/>
          <w:lang w:val="fr-FR"/>
        </w:rPr>
        <w:t xml:space="preserve">revienne </w:t>
      </w:r>
      <w:r>
        <w:rPr>
          <w:szCs w:val="24"/>
          <w:lang w:val="fr-FR"/>
        </w:rPr>
        <w:t xml:space="preserve">auprès </w:t>
      </w:r>
      <w:proofErr w:type="gramStart"/>
      <w:r>
        <w:rPr>
          <w:szCs w:val="24"/>
          <w:lang w:val="fr-FR"/>
        </w:rPr>
        <w:t>des communautés munie</w:t>
      </w:r>
      <w:proofErr w:type="gramEnd"/>
      <w:r>
        <w:rPr>
          <w:szCs w:val="24"/>
          <w:lang w:val="fr-FR"/>
        </w:rPr>
        <w:t xml:space="preserve"> de formulaires d’autorisation détaillés, accompagnée de</w:t>
      </w:r>
      <w:r w:rsidR="0099141E">
        <w:rPr>
          <w:szCs w:val="24"/>
          <w:lang w:val="fr-FR"/>
        </w:rPr>
        <w:t>s traducteurs du</w:t>
      </w:r>
      <w:r>
        <w:rPr>
          <w:szCs w:val="24"/>
          <w:lang w:val="fr-FR"/>
        </w:rPr>
        <w:t xml:space="preserve"> projet et de conseillers culturels expérimentés chargés </w:t>
      </w:r>
      <w:r w:rsidR="0099141E">
        <w:rPr>
          <w:szCs w:val="24"/>
          <w:lang w:val="fr-FR"/>
        </w:rPr>
        <w:t xml:space="preserve">d’interpréter, </w:t>
      </w:r>
      <w:r>
        <w:rPr>
          <w:szCs w:val="24"/>
          <w:lang w:val="fr-FR"/>
        </w:rPr>
        <w:t xml:space="preserve">de </w:t>
      </w:r>
      <w:r w:rsidR="0099141E">
        <w:rPr>
          <w:szCs w:val="24"/>
          <w:lang w:val="fr-FR"/>
        </w:rPr>
        <w:t>dispenser</w:t>
      </w:r>
      <w:r>
        <w:rPr>
          <w:szCs w:val="24"/>
          <w:lang w:val="fr-FR"/>
        </w:rPr>
        <w:t xml:space="preserve"> des conseils aux anciens et </w:t>
      </w:r>
      <w:r w:rsidR="00F45D19">
        <w:rPr>
          <w:szCs w:val="24"/>
          <w:lang w:val="fr-FR"/>
        </w:rPr>
        <w:t>de piloter</w:t>
      </w:r>
      <w:r>
        <w:rPr>
          <w:szCs w:val="24"/>
          <w:lang w:val="fr-FR"/>
        </w:rPr>
        <w:t xml:space="preserve"> les membres non autochtones </w:t>
      </w:r>
      <w:r w:rsidR="00F45D19">
        <w:rPr>
          <w:szCs w:val="24"/>
          <w:lang w:val="fr-FR"/>
        </w:rPr>
        <w:t>de l’équipe relativement</w:t>
      </w:r>
      <w:r>
        <w:rPr>
          <w:szCs w:val="24"/>
          <w:lang w:val="fr-FR"/>
        </w:rPr>
        <w:t xml:space="preserve"> aux </w:t>
      </w:r>
      <w:r w:rsidR="00F45D19">
        <w:rPr>
          <w:szCs w:val="24"/>
          <w:lang w:val="fr-FR"/>
        </w:rPr>
        <w:t>enjeux culturel</w:t>
      </w:r>
      <w:r>
        <w:rPr>
          <w:szCs w:val="24"/>
          <w:lang w:val="fr-FR"/>
        </w:rPr>
        <w:t xml:space="preserve">s sensibles </w:t>
      </w:r>
      <w:r w:rsidR="00C70D2E">
        <w:rPr>
          <w:szCs w:val="24"/>
          <w:lang w:val="fr-FR"/>
        </w:rPr>
        <w:t>tels que</w:t>
      </w:r>
      <w:r>
        <w:rPr>
          <w:szCs w:val="24"/>
          <w:lang w:val="fr-FR"/>
        </w:rPr>
        <w:t xml:space="preserve"> les images de personnes récemment décédées.</w:t>
      </w:r>
    </w:p>
    <w:p w14:paraId="40E81A39" w14:textId="54AB165D" w:rsidR="00B15720" w:rsidRPr="00EF68FE" w:rsidRDefault="00B15720" w:rsidP="00EF68FE">
      <w:pPr>
        <w:pStyle w:val="Texte1"/>
      </w:pPr>
      <w:r>
        <w:rPr>
          <w:szCs w:val="24"/>
          <w:lang w:val="fr-FR"/>
        </w:rPr>
        <w:t xml:space="preserve">En troisième lieu, l’équipe de recherche a cherché à obtenir l’approbation collective des communautés </w:t>
      </w:r>
      <w:r w:rsidR="00241D6D">
        <w:rPr>
          <w:szCs w:val="24"/>
          <w:lang w:val="fr-FR"/>
        </w:rPr>
        <w:t>sur</w:t>
      </w:r>
      <w:r>
        <w:rPr>
          <w:szCs w:val="24"/>
          <w:lang w:val="fr-FR"/>
        </w:rPr>
        <w:t xml:space="preserve"> </w:t>
      </w:r>
      <w:r w:rsidRPr="00EF68FE">
        <w:t xml:space="preserve">la </w:t>
      </w:r>
      <w:r w:rsidR="00227C7B" w:rsidRPr="00EF68FE">
        <w:t>configuration</w:t>
      </w:r>
      <w:r w:rsidRPr="00EF68FE">
        <w:t xml:space="preserve"> finale des matériels </w:t>
      </w:r>
      <w:r w:rsidR="00227C7B" w:rsidRPr="00EF68FE">
        <w:t xml:space="preserve">présentés dans l’exposition et dans les publications </w:t>
      </w:r>
      <w:r w:rsidR="00F45D19" w:rsidRPr="00EF68FE">
        <w:t>de livres</w:t>
      </w:r>
      <w:r w:rsidR="00227C7B" w:rsidRPr="00EF68FE">
        <w:t xml:space="preserve"> et </w:t>
      </w:r>
      <w:r w:rsidR="00F45D19" w:rsidRPr="00EF68FE">
        <w:t xml:space="preserve">de </w:t>
      </w:r>
      <w:r w:rsidR="00227C7B" w:rsidRPr="00EF68FE">
        <w:t>multimédias. Des ateliers d’approbation de contenu</w:t>
      </w:r>
      <w:r w:rsidR="00F45D19" w:rsidRPr="00EF68FE">
        <w:t>s</w:t>
      </w:r>
      <w:r w:rsidR="00227C7B" w:rsidRPr="00EF68FE">
        <w:t xml:space="preserve"> </w:t>
      </w:r>
      <w:r w:rsidR="00241D6D" w:rsidRPr="00EF68FE">
        <w:t>ont eu lieu</w:t>
      </w:r>
      <w:r w:rsidR="00227C7B" w:rsidRPr="00EF68FE">
        <w:t xml:space="preserve"> dans </w:t>
      </w:r>
      <w:r w:rsidR="00227C7B" w:rsidRPr="00EF68FE">
        <w:br/>
        <w:t xml:space="preserve">17 communautés dans lesquelles les matériels ont été présentés aux participants pour garantir qu’ils </w:t>
      </w:r>
      <w:r w:rsidR="00F45D19" w:rsidRPr="00EF68FE">
        <w:t>soient</w:t>
      </w:r>
      <w:r w:rsidR="00227C7B" w:rsidRPr="00EF68FE">
        <w:t xml:space="preserve"> satisfaits de l’exactitude et de la pertinence culturelle de </w:t>
      </w:r>
      <w:r w:rsidR="00F45D19" w:rsidRPr="00EF68FE">
        <w:t>ces</w:t>
      </w:r>
      <w:r w:rsidR="00227C7B" w:rsidRPr="00EF68FE">
        <w:t xml:space="preserve"> contenu</w:t>
      </w:r>
      <w:r w:rsidR="00F45D19" w:rsidRPr="00EF68FE">
        <w:t>s. Les traducteurs et l</w:t>
      </w:r>
      <w:r w:rsidR="00227C7B" w:rsidRPr="00EF68FE">
        <w:t xml:space="preserve">es conseillers culturels </w:t>
      </w:r>
      <w:r w:rsidR="00F45D19" w:rsidRPr="00EF68FE">
        <w:t>assistaient</w:t>
      </w:r>
      <w:r w:rsidR="00227C7B" w:rsidRPr="00EF68FE">
        <w:t xml:space="preserve"> à ces réunions. Les </w:t>
      </w:r>
      <w:r w:rsidR="00F45D19" w:rsidRPr="00EF68FE">
        <w:t>problématiques</w:t>
      </w:r>
      <w:r w:rsidR="00227C7B" w:rsidRPr="00EF68FE">
        <w:t xml:space="preserve"> relatives aux hommes et aux femmes ont été abordées séparément</w:t>
      </w:r>
      <w:r w:rsidR="00150850" w:rsidRPr="00EF68FE">
        <w:t>,</w:t>
      </w:r>
      <w:r w:rsidR="00227C7B" w:rsidRPr="00EF68FE">
        <w:t xml:space="preserve"> dans de plus </w:t>
      </w:r>
      <w:r w:rsidR="00F45D19" w:rsidRPr="00EF68FE">
        <w:t>petits formats de</w:t>
      </w:r>
      <w:r w:rsidR="00227C7B" w:rsidRPr="00EF68FE">
        <w:t xml:space="preserve"> réunions </w:t>
      </w:r>
      <w:r w:rsidR="00150850" w:rsidRPr="00EF68FE">
        <w:t>le cas échéant</w:t>
      </w:r>
      <w:r w:rsidR="00227C7B" w:rsidRPr="00EF68FE">
        <w:t>.</w:t>
      </w:r>
    </w:p>
    <w:p w14:paraId="4EBEBD87" w14:textId="3B02CC79" w:rsidR="0062491E" w:rsidRPr="00EF68FE" w:rsidRDefault="00227C7B" w:rsidP="00EF68FE">
      <w:pPr>
        <w:pStyle w:val="Texte1"/>
      </w:pPr>
      <w:r w:rsidRPr="00EF68FE">
        <w:t xml:space="preserve">Au cours de ces </w:t>
      </w:r>
      <w:r w:rsidR="00F83289" w:rsidRPr="00EF68FE">
        <w:t>allers et retours</w:t>
      </w:r>
      <w:r w:rsidRPr="00EF68FE">
        <w:t>, les contrib</w:t>
      </w:r>
      <w:r w:rsidR="008814D5" w:rsidRPr="00EF68FE">
        <w:t xml:space="preserve">uteurs autochtones ont souvent </w:t>
      </w:r>
      <w:r w:rsidRPr="00EF68FE">
        <w:t xml:space="preserve">ajouté des informations nouvelles, enrichissant davantage les matériels déjà </w:t>
      </w:r>
      <w:r w:rsidR="008814D5" w:rsidRPr="00EF68FE">
        <w:t>recueillis</w:t>
      </w:r>
      <w:r w:rsidRPr="00EF68FE">
        <w:t>. Les conseille</w:t>
      </w:r>
      <w:r w:rsidR="008814D5" w:rsidRPr="00EF68FE">
        <w:t>r</w:t>
      </w:r>
      <w:r w:rsidRPr="00EF68FE">
        <w:t>s culturels, les traducteurs et les membres des familles ont fourni des o</w:t>
      </w:r>
      <w:r w:rsidR="008814D5" w:rsidRPr="00EF68FE">
        <w:t>rientations précieuses à ce stad</w:t>
      </w:r>
      <w:r w:rsidRPr="00EF68FE">
        <w:t xml:space="preserve">e du projet en aidant à </w:t>
      </w:r>
      <w:r w:rsidR="008814D5" w:rsidRPr="00EF68FE">
        <w:t>décider</w:t>
      </w:r>
      <w:r w:rsidRPr="00EF68FE">
        <w:t xml:space="preserve"> quels récits </w:t>
      </w:r>
      <w:r w:rsidR="008814D5" w:rsidRPr="00EF68FE">
        <w:t>seraient</w:t>
      </w:r>
      <w:r w:rsidRPr="00EF68FE">
        <w:t xml:space="preserve"> « ouverts » et </w:t>
      </w:r>
      <w:r w:rsidR="008814D5" w:rsidRPr="00EF68FE">
        <w:t>lesquels</w:t>
      </w:r>
      <w:r w:rsidRPr="00EF68FE">
        <w:t xml:space="preserve"> </w:t>
      </w:r>
      <w:r w:rsidR="008814D5" w:rsidRPr="00EF68FE">
        <w:t>devaient être protégé</w:t>
      </w:r>
      <w:r w:rsidRPr="00EF68FE">
        <w:t xml:space="preserve">s pour le bien des communautés. Certains récits qui avaient été généreusement partagés dans l’intimité des foyers des contributeurs n’avaient pas vocation à être communiqués largement au-delà de cet environnement. Bien que n’étant pas de nature strictement sacrée ou secrète, ces </w:t>
      </w:r>
      <w:r w:rsidR="008814D5" w:rsidRPr="00EF68FE">
        <w:t>histoires</w:t>
      </w:r>
      <w:r w:rsidRPr="00EF68FE">
        <w:t xml:space="preserve"> étaient jugé</w:t>
      </w:r>
      <w:r w:rsidR="008814D5" w:rsidRPr="00EF68FE">
        <w:t>e</w:t>
      </w:r>
      <w:r w:rsidRPr="00EF68FE">
        <w:t xml:space="preserve">s culturellement sensibles pour un certain nombre de raisons et </w:t>
      </w:r>
      <w:r w:rsidR="00241D6D" w:rsidRPr="00EF68FE">
        <w:t>ne font</w:t>
      </w:r>
      <w:r w:rsidR="008814D5" w:rsidRPr="00EF68FE">
        <w:t xml:space="preserve"> </w:t>
      </w:r>
      <w:r w:rsidR="00241D6D" w:rsidRPr="00EF68FE">
        <w:t>donc pas partie de la collecte</w:t>
      </w:r>
      <w:r w:rsidR="0062491E" w:rsidRPr="00EF68FE">
        <w:t xml:space="preserve">. </w:t>
      </w:r>
    </w:p>
    <w:p w14:paraId="0679B44C" w14:textId="670D8E3D" w:rsidR="00B5428A" w:rsidRPr="00EF68FE" w:rsidRDefault="00227C7B" w:rsidP="00EF68F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EF68FE">
        <w:rPr>
          <w:rFonts w:ascii="Arial" w:eastAsia="Times New Roman" w:hAnsi="Arial" w:cs="Arial"/>
          <w:b/>
          <w:bCs/>
          <w:snapToGrid/>
          <w:sz w:val="20"/>
          <w:lang w:eastAsia="en-US"/>
        </w:rPr>
        <w:t>PARTAGE DES AVANTAGES</w:t>
      </w:r>
    </w:p>
    <w:p w14:paraId="06066955" w14:textId="2FD30D56" w:rsidR="007A2A87" w:rsidRPr="00EF68FE" w:rsidRDefault="00227C7B" w:rsidP="00EF68FE">
      <w:pPr>
        <w:pStyle w:val="Texte1"/>
      </w:pPr>
      <w:r w:rsidRPr="00EF68FE">
        <w:t xml:space="preserve">L’une des caractéristiques importantes du projet était le retour des contenus </w:t>
      </w:r>
      <w:r w:rsidR="008E7ABC" w:rsidRPr="00EF68FE">
        <w:t>récoltés</w:t>
      </w:r>
      <w:r w:rsidRPr="00EF68FE">
        <w:t xml:space="preserve"> </w:t>
      </w:r>
      <w:r w:rsidR="008E7ABC" w:rsidRPr="00EF68FE">
        <w:t>dans l</w:t>
      </w:r>
      <w:r w:rsidRPr="00EF68FE">
        <w:t xml:space="preserve">es communautés. Le projet </w:t>
      </w:r>
      <w:r w:rsidR="008E7ABC" w:rsidRPr="00EF68FE">
        <w:t>a</w:t>
      </w:r>
      <w:r w:rsidRPr="00EF68FE">
        <w:t xml:space="preserve"> </w:t>
      </w:r>
      <w:r w:rsidR="008E7ABC" w:rsidRPr="00EF68FE">
        <w:t>rassemblé</w:t>
      </w:r>
      <w:r w:rsidRPr="00EF68FE">
        <w:t xml:space="preserve"> environ 40 000 </w:t>
      </w:r>
      <w:r w:rsidR="00FB01FB" w:rsidRPr="00EF68FE">
        <w:t xml:space="preserve">éléments de contenu et une solution </w:t>
      </w:r>
      <w:r w:rsidR="008E7ABC" w:rsidRPr="00EF68FE">
        <w:t>numérique</w:t>
      </w:r>
      <w:r w:rsidR="00FB01FB" w:rsidRPr="00EF68FE">
        <w:t xml:space="preserve"> innovante et durable était nécessaire pour rapatrier les matériels auprès des 17 communautés autochtones </w:t>
      </w:r>
      <w:r w:rsidR="008E7ABC" w:rsidRPr="00EF68FE">
        <w:t>isolées</w:t>
      </w:r>
      <w:r w:rsidR="00FB01FB" w:rsidRPr="00EF68FE">
        <w:t xml:space="preserve"> </w:t>
      </w:r>
      <w:r w:rsidR="008E7ABC" w:rsidRPr="00EF68FE">
        <w:t>ayant</w:t>
      </w:r>
      <w:r w:rsidR="00FB01FB" w:rsidRPr="00EF68FE">
        <w:t xml:space="preserve"> participé</w:t>
      </w:r>
      <w:r w:rsidR="007A2A87" w:rsidRPr="00EF68FE">
        <w:t xml:space="preserve">. </w:t>
      </w:r>
    </w:p>
    <w:p w14:paraId="171F564A" w14:textId="2415A216" w:rsidR="00FB01FB" w:rsidRPr="00EF68FE" w:rsidRDefault="00FB01FB" w:rsidP="00EF68FE">
      <w:pPr>
        <w:pStyle w:val="Texte1"/>
      </w:pPr>
      <w:r w:rsidRPr="00EF68FE">
        <w:rPr>
          <w:i/>
        </w:rPr>
        <w:t>L’Archive du projet Mira Canning Stock Route</w:t>
      </w:r>
      <w:r w:rsidR="00140BFB" w:rsidRPr="00EF68FE">
        <w:rPr>
          <w:vertAlign w:val="superscript"/>
        </w:rPr>
        <w:footnoteReference w:id="2"/>
      </w:r>
      <w:r w:rsidRPr="00EF68FE">
        <w:t xml:space="preserve"> </w:t>
      </w:r>
      <w:proofErr w:type="gramStart"/>
      <w:r w:rsidR="00D32E9C" w:rsidRPr="00EF68FE">
        <w:t>a</w:t>
      </w:r>
      <w:proofErr w:type="gramEnd"/>
      <w:r w:rsidR="00D32E9C" w:rsidRPr="00EF68FE">
        <w:t xml:space="preserve"> été créée pour faciliter le rapatriement </w:t>
      </w:r>
      <w:r w:rsidR="0011443E" w:rsidRPr="00EF68FE">
        <w:t>numérique</w:t>
      </w:r>
      <w:r w:rsidR="00D32E9C" w:rsidRPr="00EF68FE">
        <w:t xml:space="preserve"> des matériels </w:t>
      </w:r>
      <w:r w:rsidR="0011443E" w:rsidRPr="00EF68FE">
        <w:t>dans les</w:t>
      </w:r>
      <w:r w:rsidR="00D32E9C" w:rsidRPr="00EF68FE">
        <w:t xml:space="preserve"> communautés. </w:t>
      </w:r>
      <w:r w:rsidRPr="00EF68FE">
        <w:t xml:space="preserve">En langue </w:t>
      </w:r>
      <w:proofErr w:type="spellStart"/>
      <w:r w:rsidRPr="00EF68FE">
        <w:t>martu</w:t>
      </w:r>
      <w:proofErr w:type="spellEnd"/>
      <w:r w:rsidRPr="00EF68FE">
        <w:t>, Mira signifie « </w:t>
      </w:r>
      <w:r w:rsidR="0011443E" w:rsidRPr="00EF68FE">
        <w:t>porter</w:t>
      </w:r>
      <w:r w:rsidRPr="00EF68FE">
        <w:t xml:space="preserve"> à la lumière quelque chose de caché » et </w:t>
      </w:r>
      <w:r w:rsidR="0011443E" w:rsidRPr="00EF68FE">
        <w:t>c’est un</w:t>
      </w:r>
      <w:r w:rsidRPr="00EF68FE">
        <w:t xml:space="preserve"> portail internet qui permet aux participants de télécharger, de consulter et de partager le contenu récolté tout au long du projet. Une sauvegarde sur disque dur a également été remise à </w:t>
      </w:r>
      <w:r w:rsidR="0011443E" w:rsidRPr="00EF68FE">
        <w:t>chaque</w:t>
      </w:r>
      <w:r w:rsidRPr="00EF68FE">
        <w:t xml:space="preserve"> communauté. Ces archives contiennent une multitude de matériels </w:t>
      </w:r>
      <w:r w:rsidR="00AB4B0A" w:rsidRPr="00EF68FE">
        <w:t>tels que</w:t>
      </w:r>
      <w:r w:rsidRPr="00EF68FE">
        <w:t xml:space="preserve"> des courts mé</w:t>
      </w:r>
      <w:r w:rsidR="00840ED6" w:rsidRPr="00EF68FE">
        <w:t xml:space="preserve">trages </w:t>
      </w:r>
      <w:r w:rsidR="00230CD9" w:rsidRPr="00EF68FE">
        <w:t>dévoilant</w:t>
      </w:r>
      <w:r w:rsidR="00840ED6" w:rsidRPr="00EF68FE">
        <w:t xml:space="preserve"> l</w:t>
      </w:r>
      <w:r w:rsidRPr="00EF68FE">
        <w:t xml:space="preserve">es méthodes traditionnelles de chasse des </w:t>
      </w:r>
      <w:proofErr w:type="spellStart"/>
      <w:r w:rsidRPr="00EF68FE">
        <w:t>goannas</w:t>
      </w:r>
      <w:proofErr w:type="spellEnd"/>
      <w:r w:rsidRPr="00EF68FE">
        <w:t xml:space="preserve"> (varans d’Australie), des enregistrements de chants et de danses traditionnels et </w:t>
      </w:r>
      <w:r w:rsidR="00CB4222" w:rsidRPr="00EF68FE">
        <w:t>des contes sur le Rê</w:t>
      </w:r>
      <w:r w:rsidR="00230CD9" w:rsidRPr="00EF68FE">
        <w:t>ve. L</w:t>
      </w:r>
      <w:r w:rsidR="00CB4222" w:rsidRPr="00EF68FE">
        <w:t xml:space="preserve">es archives </w:t>
      </w:r>
      <w:r w:rsidR="00AB4B0A" w:rsidRPr="00EF68FE">
        <w:t>permettent</w:t>
      </w:r>
      <w:r w:rsidR="00CB4222" w:rsidRPr="00EF68FE">
        <w:t xml:space="preserve"> </w:t>
      </w:r>
      <w:r w:rsidR="00AB4B0A" w:rsidRPr="00EF68FE">
        <w:t xml:space="preserve">aux communautés isolées d’accéder </w:t>
      </w:r>
      <w:r w:rsidR="00230CD9" w:rsidRPr="00EF68FE">
        <w:t>aux matériels</w:t>
      </w:r>
      <w:r w:rsidR="00CB4222" w:rsidRPr="00EF68FE">
        <w:t xml:space="preserve">, mais </w:t>
      </w:r>
      <w:r w:rsidR="00230CD9" w:rsidRPr="00EF68FE">
        <w:t xml:space="preserve">elles </w:t>
      </w:r>
      <w:r w:rsidR="00CB4222" w:rsidRPr="00EF68FE">
        <w:t xml:space="preserve">offrent aussi au grand public l’accès à une </w:t>
      </w:r>
      <w:r w:rsidR="00230CD9" w:rsidRPr="00EF68FE">
        <w:t>grande</w:t>
      </w:r>
      <w:r w:rsidR="00CB4222" w:rsidRPr="00EF68FE">
        <w:t xml:space="preserve"> quantité d’éléments de contenu du projet, en accord avec les protocoles culturels </w:t>
      </w:r>
      <w:r w:rsidR="00230CD9" w:rsidRPr="00EF68FE">
        <w:t>fixés</w:t>
      </w:r>
      <w:r w:rsidR="00CB4222" w:rsidRPr="00EF68FE">
        <w:t xml:space="preserve"> par les contributeurs et le</w:t>
      </w:r>
      <w:bookmarkStart w:id="0" w:name="_GoBack"/>
      <w:bookmarkEnd w:id="0"/>
      <w:r w:rsidR="00CB4222" w:rsidRPr="00EF68FE">
        <w:t>s communautés autochtones.</w:t>
      </w:r>
    </w:p>
    <w:p w14:paraId="06046710" w14:textId="5E0299AD" w:rsidR="000E4F4E" w:rsidRPr="00EF68FE" w:rsidRDefault="00CB4222" w:rsidP="00EF68FE">
      <w:pPr>
        <w:pStyle w:val="Texte1"/>
        <w:rPr>
          <w:lang w:val="fr-FR"/>
        </w:rPr>
      </w:pPr>
      <w:r w:rsidRPr="00EF68FE">
        <w:lastRenderedPageBreak/>
        <w:t xml:space="preserve">Le processus d’élaboration et de mise en œuvre de l’archivage </w:t>
      </w:r>
      <w:r w:rsidR="00230CD9" w:rsidRPr="00EF68FE">
        <w:t>numérique</w:t>
      </w:r>
      <w:r w:rsidRPr="00EF68FE">
        <w:t xml:space="preserve"> a aussi impliqué une vaste consultation de la communauté, </w:t>
      </w:r>
      <w:r w:rsidR="00230CD9" w:rsidRPr="00EF68FE">
        <w:t>y compris</w:t>
      </w:r>
      <w:r w:rsidRPr="00EF68FE">
        <w:t xml:space="preserve"> des voyages de rapatriement </w:t>
      </w:r>
      <w:r w:rsidR="00230CD9" w:rsidRPr="00EF68FE">
        <w:t>dans les</w:t>
      </w:r>
      <w:r w:rsidRPr="00EF68FE">
        <w:t xml:space="preserve"> communautés en 2012 et 2013 </w:t>
      </w:r>
      <w:r w:rsidR="00230CD9" w:rsidRPr="00EF68FE">
        <w:t>lorsque</w:t>
      </w:r>
      <w:r w:rsidRPr="00EF68FE">
        <w:t xml:space="preserve"> le projet est arrivé à son terme. </w:t>
      </w:r>
      <w:r w:rsidRPr="00EF68FE">
        <w:rPr>
          <w:lang w:val="fr-FR"/>
        </w:rPr>
        <w:t xml:space="preserve">Pour </w:t>
      </w:r>
      <w:r w:rsidR="00B832AB" w:rsidRPr="00EF68FE">
        <w:rPr>
          <w:lang w:val="fr-FR"/>
        </w:rPr>
        <w:t>élaborer</w:t>
      </w:r>
      <w:r w:rsidRPr="00EF68FE">
        <w:rPr>
          <w:lang w:val="fr-FR"/>
        </w:rPr>
        <w:t xml:space="preserve"> ce cadre,</w:t>
      </w:r>
      <w:r w:rsidR="007D519B" w:rsidRPr="00EF68FE">
        <w:rPr>
          <w:lang w:val="fr-FR"/>
        </w:rPr>
        <w:t xml:space="preserve"> le projet a collaboré avec le c</w:t>
      </w:r>
      <w:r w:rsidRPr="00EF68FE">
        <w:rPr>
          <w:lang w:val="fr-FR"/>
        </w:rPr>
        <w:t xml:space="preserve">entre du droit des arts d’Australie pour conseiller et mettre au point un cadre juridique autour de la propriété intellectuelle de la culture autochtone </w:t>
      </w:r>
      <w:r w:rsidR="00230CD9" w:rsidRPr="00EF68FE">
        <w:rPr>
          <w:lang w:val="fr-FR"/>
        </w:rPr>
        <w:t xml:space="preserve">octroyant </w:t>
      </w:r>
      <w:r w:rsidR="00B832AB" w:rsidRPr="00EF68FE">
        <w:rPr>
          <w:lang w:val="fr-FR"/>
        </w:rPr>
        <w:t xml:space="preserve">aux communautés concernées </w:t>
      </w:r>
      <w:r w:rsidR="00230CD9" w:rsidRPr="00EF68FE">
        <w:rPr>
          <w:lang w:val="fr-FR"/>
        </w:rPr>
        <w:t>le bénéfice</w:t>
      </w:r>
      <w:r w:rsidRPr="00EF68FE">
        <w:rPr>
          <w:lang w:val="fr-FR"/>
        </w:rPr>
        <w:t xml:space="preserve"> d</w:t>
      </w:r>
      <w:r w:rsidR="00230CD9" w:rsidRPr="00EF68FE">
        <w:rPr>
          <w:lang w:val="fr-FR"/>
        </w:rPr>
        <w:t>es retombées</w:t>
      </w:r>
      <w:r w:rsidRPr="00EF68FE">
        <w:rPr>
          <w:lang w:val="fr-FR"/>
        </w:rPr>
        <w:t xml:space="preserve"> </w:t>
      </w:r>
      <w:r w:rsidR="00230CD9" w:rsidRPr="00EF68FE">
        <w:rPr>
          <w:lang w:val="fr-FR"/>
        </w:rPr>
        <w:t>commerciales</w:t>
      </w:r>
      <w:r w:rsidR="00EF68FE" w:rsidRPr="00EF68FE">
        <w:rPr>
          <w:lang w:val="fr-FR"/>
        </w:rPr>
        <w:t>.</w:t>
      </w:r>
    </w:p>
    <w:p w14:paraId="2F15982B" w14:textId="0DD1ECFB" w:rsidR="00CB4222" w:rsidRPr="00EF68FE" w:rsidRDefault="00CB4222" w:rsidP="00EF68F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EF68FE">
        <w:rPr>
          <w:rFonts w:ascii="Arial" w:eastAsia="Times New Roman" w:hAnsi="Arial" w:cs="Arial"/>
          <w:b/>
          <w:bCs/>
          <w:snapToGrid/>
          <w:sz w:val="20"/>
          <w:lang w:eastAsia="en-US"/>
        </w:rPr>
        <w:t xml:space="preserve">QUESTIONS </w:t>
      </w:r>
      <w:proofErr w:type="gramStart"/>
      <w:r w:rsidRPr="00EF68FE">
        <w:rPr>
          <w:rFonts w:ascii="Arial" w:eastAsia="Times New Roman" w:hAnsi="Arial" w:cs="Arial"/>
          <w:b/>
          <w:bCs/>
          <w:snapToGrid/>
          <w:sz w:val="20"/>
          <w:lang w:eastAsia="en-US"/>
        </w:rPr>
        <w:t>A</w:t>
      </w:r>
      <w:proofErr w:type="gramEnd"/>
      <w:r w:rsidRPr="00EF68FE">
        <w:rPr>
          <w:rFonts w:ascii="Arial" w:eastAsia="Times New Roman" w:hAnsi="Arial" w:cs="Arial"/>
          <w:b/>
          <w:bCs/>
          <w:snapToGrid/>
          <w:sz w:val="20"/>
          <w:lang w:eastAsia="en-US"/>
        </w:rPr>
        <w:t xml:space="preserve"> DÉBATTRE</w:t>
      </w:r>
    </w:p>
    <w:p w14:paraId="5644F2AF" w14:textId="2E1F17A4" w:rsidR="00CB4222" w:rsidRPr="00CB4222" w:rsidRDefault="00CB4222" w:rsidP="00CB4222">
      <w:pPr>
        <w:jc w:val="both"/>
        <w:rPr>
          <w:rFonts w:ascii="Arial" w:eastAsia="Times New Roman" w:hAnsi="Arial" w:cs="Arial"/>
          <w:b/>
          <w:bCs/>
          <w:caps/>
          <w:sz w:val="20"/>
          <w:szCs w:val="24"/>
          <w:lang w:val="fr-FR" w:eastAsia="en-US"/>
        </w:rPr>
      </w:pPr>
      <w:r>
        <w:rPr>
          <w:rFonts w:ascii="Arial" w:eastAsia="Times New Roman" w:hAnsi="Arial" w:cs="Arial"/>
          <w:b/>
          <w:bCs/>
          <w:caps/>
          <w:sz w:val="20"/>
          <w:szCs w:val="24"/>
          <w:lang w:val="fr-FR" w:eastAsia="en-US"/>
        </w:rPr>
        <w:t>ÉTHIQUE :</w:t>
      </w:r>
    </w:p>
    <w:p w14:paraId="79DAAFEA" w14:textId="3E689BEA" w:rsidR="00CB4222" w:rsidRPr="00EF68FE" w:rsidRDefault="00CB4222" w:rsidP="00EF68FE">
      <w:pPr>
        <w:pStyle w:val="Texte1"/>
      </w:pPr>
      <w:r w:rsidRPr="00EF68FE">
        <w:t xml:space="preserve">Le processus complet du consentement communautaire était fondamental pour l’éthique du projet. </w:t>
      </w:r>
      <w:r w:rsidR="00DE5713" w:rsidRPr="00EF68FE">
        <w:t xml:space="preserve">Dans quelle mesure cette étude de cas concorde-t-elle avec les principes éthiques </w:t>
      </w:r>
      <w:r w:rsidR="00B37D8A" w:rsidRPr="00EF68FE">
        <w:t>de</w:t>
      </w:r>
      <w:r w:rsidR="00DE5713" w:rsidRPr="00EF68FE">
        <w:t xml:space="preserve"> sauvegarde du PCI ? L’étude de cas </w:t>
      </w:r>
      <w:r w:rsidR="00B37D8A" w:rsidRPr="00EF68FE">
        <w:t>constitue</w:t>
      </w:r>
      <w:r w:rsidR="00DE5713" w:rsidRPr="00EF68FE">
        <w:t>-t-elle un exemple de recherche « bien faite » impliquant les communautés ?</w:t>
      </w:r>
    </w:p>
    <w:p w14:paraId="1CA9CAD9" w14:textId="309FED9F" w:rsidR="00DE5713" w:rsidRPr="00EF68FE" w:rsidRDefault="00DE5713" w:rsidP="00EF68FE">
      <w:pPr>
        <w:pStyle w:val="Texte1"/>
      </w:pPr>
      <w:r w:rsidRPr="00EF68FE">
        <w:t xml:space="preserve">L’exposition finale a impliqué </w:t>
      </w:r>
      <w:r w:rsidR="009138A6" w:rsidRPr="00EF68FE">
        <w:t>l’</w:t>
      </w:r>
      <w:r w:rsidRPr="00EF68FE">
        <w:t xml:space="preserve">engagement </w:t>
      </w:r>
      <w:r w:rsidR="009138A6" w:rsidRPr="00EF68FE">
        <w:t>d’</w:t>
      </w:r>
      <w:r w:rsidRPr="00EF68FE">
        <w:t xml:space="preserve">au moins trois groupes d’acteurs majeurs : (1) les centres artistiques autochtones australiens et les participants représentant les intérêts de la communauté ; (2) FORM, </w:t>
      </w:r>
      <w:r w:rsidR="00684F69" w:rsidRPr="00EF68FE">
        <w:t>l’organisme culturel</w:t>
      </w:r>
      <w:r w:rsidRPr="00EF68FE">
        <w:t xml:space="preserve"> à but non lucratif à l’origine du projet et l’ayant mené à bien ; et (3) le musée national d’</w:t>
      </w:r>
      <w:r w:rsidR="00B37D8A" w:rsidRPr="00EF68FE">
        <w:t>Australie. Chaque partie prenante</w:t>
      </w:r>
      <w:r w:rsidRPr="00EF68FE">
        <w:t xml:space="preserve"> </w:t>
      </w:r>
      <w:r w:rsidR="009138A6" w:rsidRPr="00EF68FE">
        <w:t>est porteuse d’intentions et d’</w:t>
      </w:r>
      <w:r w:rsidRPr="00EF68FE">
        <w:t xml:space="preserve">intérêts </w:t>
      </w:r>
      <w:r w:rsidR="009138A6" w:rsidRPr="00EF68FE">
        <w:t>différent</w:t>
      </w:r>
      <w:r w:rsidRPr="00EF68FE">
        <w:t xml:space="preserve">s qui doivent être réconciliés, ce qui </w:t>
      </w:r>
      <w:r w:rsidR="00105718" w:rsidRPr="00EF68FE">
        <w:t>implique</w:t>
      </w:r>
      <w:r w:rsidRPr="00EF68FE">
        <w:t xml:space="preserve"> à la fois de négocier et </w:t>
      </w:r>
      <w:r w:rsidR="009138A6" w:rsidRPr="00EF68FE">
        <w:t xml:space="preserve">de </w:t>
      </w:r>
      <w:r w:rsidRPr="00EF68FE">
        <w:t xml:space="preserve">faire des compromis. Avez-vous une idée de </w:t>
      </w:r>
      <w:r w:rsidR="007412C3" w:rsidRPr="00EF68FE">
        <w:t>la manière dont</w:t>
      </w:r>
      <w:r w:rsidRPr="00EF68FE">
        <w:t xml:space="preserve"> les intérêts </w:t>
      </w:r>
      <w:r w:rsidR="009138A6" w:rsidRPr="00EF68FE">
        <w:t>divers</w:t>
      </w:r>
      <w:r w:rsidRPr="00EF68FE">
        <w:t xml:space="preserve"> de ces groupes de parties prenantes pourraient entrer en conflit ?</w:t>
      </w:r>
      <w:r w:rsidR="003D1DFB" w:rsidRPr="00EF68FE">
        <w:t xml:space="preserve"> Par exemple, pensez-vous que le temps et les contraintes budgétaires du projet </w:t>
      </w:r>
      <w:r w:rsidR="008A0E5D" w:rsidRPr="00EF68FE">
        <w:t>aient</w:t>
      </w:r>
      <w:r w:rsidR="003D1DFB" w:rsidRPr="00EF68FE">
        <w:t xml:space="preserve"> représenté un obstacle pour </w:t>
      </w:r>
      <w:r w:rsidR="00443C80" w:rsidRPr="00EF68FE">
        <w:t>garantir</w:t>
      </w:r>
      <w:r w:rsidR="003D1DFB" w:rsidRPr="00EF68FE">
        <w:t xml:space="preserve"> qu’un comportement éthique</w:t>
      </w:r>
      <w:r w:rsidR="00443C80" w:rsidRPr="00EF68FE">
        <w:t xml:space="preserve"> était assuré</w:t>
      </w:r>
      <w:r w:rsidR="003D1DFB" w:rsidRPr="00EF68FE">
        <w:t xml:space="preserve"> dans la recherche et </w:t>
      </w:r>
      <w:r w:rsidR="00443C80" w:rsidRPr="00EF68FE">
        <w:t>dans la tenue</w:t>
      </w:r>
      <w:r w:rsidR="003D1DFB" w:rsidRPr="00EF68FE">
        <w:t xml:space="preserve"> de l’exposition</w:t>
      </w:r>
      <w:r w:rsidR="00443C80" w:rsidRPr="00EF68FE">
        <w:t xml:space="preserve"> </w:t>
      </w:r>
      <w:r w:rsidR="003D1DFB" w:rsidRPr="00EF68FE">
        <w:t>?</w:t>
      </w:r>
    </w:p>
    <w:p w14:paraId="487DE44B" w14:textId="45426C44" w:rsidR="005B35F0" w:rsidRPr="00EF68FE" w:rsidRDefault="003D1DFB" w:rsidP="00EF68FE">
      <w:pPr>
        <w:pStyle w:val="Texte1"/>
      </w:pPr>
      <w:r w:rsidRPr="00EF68FE">
        <w:t xml:space="preserve">Situation hypothétique : cinq ans après la fin du projet, une entreprise cinématographique a </w:t>
      </w:r>
      <w:r w:rsidR="00443C80" w:rsidRPr="00EF68FE">
        <w:t>pris contact avec</w:t>
      </w:r>
      <w:r w:rsidRPr="00EF68FE">
        <w:t xml:space="preserve"> FORM pour </w:t>
      </w:r>
      <w:r w:rsidR="009138A6" w:rsidRPr="00EF68FE">
        <w:t xml:space="preserve">envisager </w:t>
      </w:r>
      <w:r w:rsidRPr="00EF68FE">
        <w:t>la production d’un documentaire sur le projet. L’équipe</w:t>
      </w:r>
      <w:r w:rsidR="00443C80" w:rsidRPr="00EF68FE">
        <w:t xml:space="preserve"> du film souhaiterait utiliser d</w:t>
      </w:r>
      <w:r w:rsidRPr="00EF68FE">
        <w:t>es séquences filmées</w:t>
      </w:r>
      <w:r w:rsidR="00443C80" w:rsidRPr="00EF68FE">
        <w:t xml:space="preserve"> qui avaient été</w:t>
      </w:r>
      <w:r w:rsidRPr="00EF68FE">
        <w:t xml:space="preserve"> enregistrées </w:t>
      </w:r>
      <w:r w:rsidR="00443C80" w:rsidRPr="00EF68FE">
        <w:t>durant le</w:t>
      </w:r>
      <w:r w:rsidRPr="00EF68FE">
        <w:t xml:space="preserve"> projet, lesquelles montrent des images de personnes décédées. Comment FORM doit-il traiter cette </w:t>
      </w:r>
      <w:proofErr w:type="gramStart"/>
      <w:r w:rsidRPr="00EF68FE">
        <w:t>demande </w:t>
      </w:r>
      <w:r w:rsidR="00EF68FE">
        <w:t>?</w:t>
      </w:r>
      <w:proofErr w:type="gramEnd"/>
    </w:p>
    <w:p w14:paraId="20ABF7C0" w14:textId="36234D55" w:rsidR="00D4119A" w:rsidRPr="00EF68FE" w:rsidRDefault="003D1DFB" w:rsidP="00EF68FE">
      <w:pPr>
        <w:pStyle w:val="Texte1"/>
        <w:rPr>
          <w:lang w:val="fr-FR"/>
        </w:rPr>
      </w:pPr>
      <w:r w:rsidRPr="00EF68FE">
        <w:t xml:space="preserve">L’Archive du projet de Mira Canning Stock Route </w:t>
      </w:r>
      <w:proofErr w:type="gramStart"/>
      <w:r w:rsidRPr="00EF68FE">
        <w:t>est</w:t>
      </w:r>
      <w:proofErr w:type="gramEnd"/>
      <w:r w:rsidRPr="00EF68FE">
        <w:t xml:space="preserve"> une archive </w:t>
      </w:r>
      <w:r w:rsidR="00312AA4" w:rsidRPr="00EF68FE">
        <w:t>numérique</w:t>
      </w:r>
      <w:r w:rsidRPr="00EF68FE">
        <w:t xml:space="preserve"> </w:t>
      </w:r>
      <w:r w:rsidR="00312AA4" w:rsidRPr="00EF68FE">
        <w:t>foisonnant</w:t>
      </w:r>
      <w:r w:rsidRPr="00EF68FE">
        <w:t xml:space="preserve"> d’éléments de contenu du patrimoine culturel immatériel. Chaque élément de l’archive est relié à une page internet qui contient des informations détaillées à son sujet. Ces informations portent sur les protocoles culturels, le partage de ces protocoles, les communautés, les droits, les contributeurs, les savoirs traditionnels, etc… Choisissez un exemple </w:t>
      </w:r>
      <w:r w:rsidR="00312AA4" w:rsidRPr="00EF68FE">
        <w:t>dans</w:t>
      </w:r>
      <w:r w:rsidRPr="00EF68FE">
        <w:t xml:space="preserve"> l’archive et analysez </w:t>
      </w:r>
      <w:r w:rsidR="005A150A" w:rsidRPr="00EF68FE">
        <w:t>l</w:t>
      </w:r>
      <w:r w:rsidR="00312AA4" w:rsidRPr="00EF68FE">
        <w:t>a</w:t>
      </w:r>
      <w:r w:rsidRPr="00EF68FE">
        <w:t xml:space="preserve"> rubrique en exercice de groupe. </w:t>
      </w:r>
      <w:r w:rsidRPr="00EF68FE">
        <w:rPr>
          <w:lang w:val="fr-FR"/>
        </w:rPr>
        <w:t>Cette rubrique est-elle complète ou les participants pensent-ils que des informations utiles pourraient être ajoutées </w:t>
      </w:r>
      <w:r w:rsidR="00990278" w:rsidRPr="00EF68FE">
        <w:rPr>
          <w:lang w:val="fr-FR"/>
        </w:rPr>
        <w:t>?</w:t>
      </w:r>
      <w:r w:rsidR="007B5133" w:rsidRPr="00EF68FE">
        <w:rPr>
          <w:lang w:val="fr-FR"/>
        </w:rPr>
        <w:t xml:space="preserve"> </w:t>
      </w:r>
    </w:p>
    <w:p w14:paraId="004C46D0" w14:textId="1C89E712" w:rsidR="00F10451" w:rsidRPr="00EF68FE" w:rsidRDefault="003D1DFB" w:rsidP="00EF68FE">
      <w:pPr>
        <w:pStyle w:val="Texte1"/>
      </w:pPr>
      <w:proofErr w:type="spellStart"/>
      <w:r w:rsidRPr="00EF68FE">
        <w:t>Cette</w:t>
      </w:r>
      <w:proofErr w:type="spellEnd"/>
      <w:r w:rsidRPr="00EF68FE">
        <w:t xml:space="preserve"> </w:t>
      </w:r>
      <w:proofErr w:type="spellStart"/>
      <w:r w:rsidRPr="00EF68FE">
        <w:t>étude</w:t>
      </w:r>
      <w:proofErr w:type="spellEnd"/>
      <w:r w:rsidRPr="00EF68FE">
        <w:t xml:space="preserve"> de </w:t>
      </w:r>
      <w:proofErr w:type="spellStart"/>
      <w:proofErr w:type="gramStart"/>
      <w:r w:rsidRPr="00EF68FE">
        <w:t>cas</w:t>
      </w:r>
      <w:proofErr w:type="spellEnd"/>
      <w:proofErr w:type="gramEnd"/>
      <w:r w:rsidRPr="00EF68FE">
        <w:t xml:space="preserve"> décrit un processus de retour aux participants du contenu </w:t>
      </w:r>
      <w:r w:rsidR="00312AA4" w:rsidRPr="00EF68FE">
        <w:t>récolté</w:t>
      </w:r>
      <w:r w:rsidRPr="00EF68FE">
        <w:t xml:space="preserve"> au cours d’un voyage. Pourquoi est-ce important ? Quelles opportunités et quels défis identifiez-vous à travers cet exemple </w:t>
      </w:r>
      <w:r w:rsidR="00903A28" w:rsidRPr="00EF68FE">
        <w:t>?</w:t>
      </w:r>
    </w:p>
    <w:p w14:paraId="094546AC" w14:textId="7B8EDF35" w:rsidR="000E4F4E" w:rsidRPr="00EF68FE" w:rsidRDefault="00CB528D" w:rsidP="00EF68F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val="fr-FR" w:eastAsia="en-US"/>
        </w:rPr>
      </w:pPr>
      <w:r w:rsidRPr="00EF68FE">
        <w:rPr>
          <w:rFonts w:ascii="Arial" w:eastAsia="Times New Roman" w:hAnsi="Arial" w:cs="Arial"/>
          <w:b/>
          <w:bCs/>
          <w:snapToGrid/>
          <w:sz w:val="20"/>
          <w:lang w:val="fr-FR" w:eastAsia="en-US"/>
        </w:rPr>
        <w:t>AUTRES RESSOURCES UTILES</w:t>
      </w:r>
    </w:p>
    <w:p w14:paraId="41B4F54D" w14:textId="0D76E25F" w:rsidR="00DA6D68" w:rsidRPr="00CB528D" w:rsidRDefault="00CB528D" w:rsidP="00EF68F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ind w:left="714" w:hanging="357"/>
        <w:jc w:val="both"/>
        <w:rPr>
          <w:rFonts w:ascii="Arial" w:eastAsiaTheme="minorEastAsia" w:hAnsi="Arial" w:cs="Arial"/>
          <w:sz w:val="20"/>
          <w:szCs w:val="20"/>
          <w:lang w:val="fr-FR"/>
        </w:rPr>
      </w:pPr>
      <w:r>
        <w:rPr>
          <w:rFonts w:ascii="Arial" w:eastAsiaTheme="minorEastAsia" w:hAnsi="Arial" w:cs="Arial"/>
          <w:sz w:val="20"/>
          <w:szCs w:val="20"/>
          <w:lang w:val="fr-FR"/>
        </w:rPr>
        <w:t xml:space="preserve">Une étude de cas produite par l’association de droit de l’art d’Australie débattant de la propriété intellectuelle culturelle autochtone est consultable ici : </w:t>
      </w:r>
      <w:hyperlink r:id="rId8" w:history="1">
        <w:r w:rsidR="00A911B2" w:rsidRPr="00EF68FE">
          <w:rPr>
            <w:rStyle w:val="Hyperlink"/>
            <w:rFonts w:ascii="Arial" w:hAnsi="Arial" w:cs="Arial"/>
            <w:sz w:val="20"/>
            <w:szCs w:val="20"/>
            <w:lang w:val="fr-FR"/>
          </w:rPr>
          <w:t>https://www.artslaw.com.au/case-studies/entry/yiwarra-kuju-the-canning-stock-route/</w:t>
        </w:r>
      </w:hyperlink>
    </w:p>
    <w:p w14:paraId="56335165" w14:textId="71726EAF" w:rsidR="00A911B2" w:rsidRPr="00CB528D" w:rsidRDefault="00CB528D" w:rsidP="00EF68F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ind w:left="714" w:hanging="357"/>
        <w:jc w:val="both"/>
        <w:rPr>
          <w:rFonts w:ascii="Arial" w:eastAsiaTheme="minorEastAsia" w:hAnsi="Arial" w:cs="Arial"/>
          <w:sz w:val="20"/>
          <w:szCs w:val="20"/>
          <w:lang w:val="fr-FR"/>
        </w:rPr>
      </w:pPr>
      <w:r>
        <w:rPr>
          <w:rFonts w:ascii="Arial" w:eastAsiaTheme="minorEastAsia" w:hAnsi="Arial" w:cs="Arial"/>
          <w:sz w:val="20"/>
          <w:szCs w:val="20"/>
          <w:lang w:val="fr-FR"/>
        </w:rPr>
        <w:t>Le site internet de l’exposition</w:t>
      </w:r>
      <w:r w:rsidR="00312AA4">
        <w:rPr>
          <w:rFonts w:ascii="Arial" w:eastAsiaTheme="minorEastAsia" w:hAnsi="Arial" w:cs="Arial"/>
          <w:sz w:val="20"/>
          <w:szCs w:val="20"/>
          <w:lang w:val="fr-FR"/>
        </w:rPr>
        <w:t>,</w:t>
      </w:r>
      <w:r>
        <w:rPr>
          <w:rFonts w:ascii="Arial" w:eastAsiaTheme="minorEastAsia" w:hAnsi="Arial" w:cs="Arial"/>
          <w:sz w:val="20"/>
          <w:szCs w:val="20"/>
          <w:lang w:val="fr-FR"/>
        </w:rPr>
        <w:t xml:space="preserve"> comprenant le contexte du projet et des essais pertinents sont disponibles ici : </w:t>
      </w:r>
      <w:r w:rsidR="00A911B2" w:rsidRPr="00EF68FE">
        <w:rPr>
          <w:rStyle w:val="Hyperlink"/>
          <w:rFonts w:ascii="Arial" w:hAnsi="Arial" w:cs="Arial"/>
          <w:sz w:val="20"/>
          <w:szCs w:val="20"/>
          <w:lang w:val="fr-FR"/>
        </w:rPr>
        <w:t>http://www.nma.gov.au/exhibitions/yiwarra_kuju/home</w:t>
      </w:r>
    </w:p>
    <w:p w14:paraId="09C676B9" w14:textId="50A8088C" w:rsidR="00A911B2" w:rsidRPr="00EF68FE" w:rsidRDefault="00CB528D" w:rsidP="00EF68FE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fr-FR"/>
        </w:rPr>
      </w:pPr>
      <w:r w:rsidRPr="00EF68FE">
        <w:rPr>
          <w:rFonts w:ascii="Arial" w:hAnsi="Arial" w:cs="Arial"/>
          <w:sz w:val="20"/>
          <w:szCs w:val="20"/>
          <w:lang w:val="fr-FR"/>
        </w:rPr>
        <w:t xml:space="preserve">Des ressources éducatives pour les élèves </w:t>
      </w:r>
      <w:r w:rsidR="00312AA4" w:rsidRPr="00EF68FE">
        <w:rPr>
          <w:rFonts w:ascii="Arial" w:hAnsi="Arial" w:cs="Arial"/>
          <w:sz w:val="20"/>
          <w:szCs w:val="20"/>
          <w:lang w:val="fr-FR"/>
        </w:rPr>
        <w:t>d’</w:t>
      </w:r>
      <w:r w:rsidRPr="00EF68FE">
        <w:rPr>
          <w:rFonts w:ascii="Arial" w:hAnsi="Arial" w:cs="Arial"/>
          <w:sz w:val="20"/>
          <w:szCs w:val="20"/>
          <w:lang w:val="fr-FR"/>
        </w:rPr>
        <w:t xml:space="preserve">écoles primaires </w:t>
      </w:r>
      <w:r w:rsidR="00312AA4" w:rsidRPr="00EF68FE">
        <w:rPr>
          <w:rFonts w:ascii="Arial" w:hAnsi="Arial" w:cs="Arial"/>
          <w:sz w:val="20"/>
          <w:szCs w:val="20"/>
          <w:lang w:val="fr-FR"/>
        </w:rPr>
        <w:t xml:space="preserve">et </w:t>
      </w:r>
      <w:r w:rsidRPr="00EF68FE">
        <w:rPr>
          <w:rFonts w:ascii="Arial" w:hAnsi="Arial" w:cs="Arial"/>
          <w:sz w:val="20"/>
          <w:szCs w:val="20"/>
          <w:lang w:val="fr-FR"/>
        </w:rPr>
        <w:t xml:space="preserve">élaborées à l’issue du projet sont consultables ici : </w:t>
      </w:r>
      <w:hyperlink r:id="rId9" w:history="1">
        <w:r w:rsidR="001F436C" w:rsidRPr="00EF68FE">
          <w:rPr>
            <w:rStyle w:val="Hyperlink"/>
            <w:rFonts w:ascii="Arial" w:hAnsi="Arial" w:cs="Arial"/>
            <w:sz w:val="20"/>
            <w:szCs w:val="20"/>
            <w:lang w:val="fr-FR"/>
          </w:rPr>
          <w:t>http://www.nma.gov.au/__data/assets/pdf_file/0018/19404/Yiwarra-Kuju-introduction.pdf</w:t>
        </w:r>
      </w:hyperlink>
    </w:p>
    <w:p w14:paraId="1DC54152" w14:textId="566C68F0" w:rsidR="001F436C" w:rsidRPr="00EF68FE" w:rsidRDefault="00CB528D" w:rsidP="00EF68FE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fr-FR"/>
        </w:rPr>
      </w:pPr>
      <w:r w:rsidRPr="00EF68FE">
        <w:rPr>
          <w:rFonts w:ascii="Arial" w:hAnsi="Arial" w:cs="Arial"/>
          <w:sz w:val="20"/>
          <w:szCs w:val="20"/>
          <w:lang w:val="fr-FR"/>
        </w:rPr>
        <w:lastRenderedPageBreak/>
        <w:t xml:space="preserve">Un catalogue rédigé </w:t>
      </w:r>
      <w:r w:rsidR="00312AA4" w:rsidRPr="00EF68FE">
        <w:rPr>
          <w:rFonts w:ascii="Arial" w:hAnsi="Arial" w:cs="Arial"/>
          <w:sz w:val="20"/>
          <w:szCs w:val="20"/>
          <w:lang w:val="fr-FR"/>
        </w:rPr>
        <w:t>à la suite</w:t>
      </w:r>
      <w:r w:rsidRPr="00EF68FE">
        <w:rPr>
          <w:rFonts w:ascii="Arial" w:hAnsi="Arial" w:cs="Arial"/>
          <w:sz w:val="20"/>
          <w:szCs w:val="20"/>
          <w:lang w:val="fr-FR"/>
        </w:rPr>
        <w:t xml:space="preserve"> du projet est disponible en ligne ici : </w:t>
      </w:r>
      <w:hyperlink r:id="rId10" w:history="1">
        <w:r w:rsidR="001F436C" w:rsidRPr="00EF68FE">
          <w:rPr>
            <w:rStyle w:val="Hyperlink"/>
            <w:rFonts w:ascii="Arial" w:hAnsi="Arial" w:cs="Arial"/>
            <w:sz w:val="20"/>
            <w:szCs w:val="20"/>
            <w:lang w:val="fr-FR"/>
          </w:rPr>
          <w:t>https://issuu.com/formwa/docs/form_csr_chogm_final</w:t>
        </w:r>
      </w:hyperlink>
    </w:p>
    <w:p w14:paraId="33679D6A" w14:textId="3797A955" w:rsidR="001D4717" w:rsidRPr="00EF68FE" w:rsidRDefault="00CB528D" w:rsidP="00EF68FE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snapToGrid/>
          <w:sz w:val="20"/>
          <w:lang w:eastAsia="en-US"/>
        </w:rPr>
      </w:pPr>
      <w:r w:rsidRPr="00EF68FE">
        <w:rPr>
          <w:rFonts w:ascii="Arial" w:eastAsia="Times New Roman" w:hAnsi="Arial" w:cs="Arial"/>
          <w:b/>
          <w:bCs/>
          <w:snapToGrid/>
          <w:sz w:val="20"/>
          <w:lang w:eastAsia="en-US"/>
        </w:rPr>
        <w:t>ressources Audiovisuelles</w:t>
      </w:r>
    </w:p>
    <w:p w14:paraId="28498772" w14:textId="5BE11110" w:rsidR="00DA6D68" w:rsidRPr="00EF68FE" w:rsidRDefault="00CB528D" w:rsidP="00EF68FE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val="fr-FR"/>
        </w:rPr>
      </w:pPr>
      <w:r w:rsidRPr="00EF68FE">
        <w:rPr>
          <w:rFonts w:ascii="Arial" w:hAnsi="Arial" w:cs="Arial"/>
          <w:sz w:val="20"/>
          <w:szCs w:val="20"/>
          <w:lang w:val="fr-FR"/>
        </w:rPr>
        <w:t>Vidéo YouTube présentant une discussion autour du projet et de la propriété intellectuelle</w:t>
      </w:r>
      <w:r w:rsidR="00312AA4" w:rsidRPr="00EF68FE">
        <w:rPr>
          <w:rFonts w:ascii="Arial" w:hAnsi="Arial" w:cs="Arial"/>
          <w:sz w:val="20"/>
          <w:szCs w:val="20"/>
          <w:lang w:val="fr-FR"/>
        </w:rPr>
        <w:t xml:space="preserve"> de la culture autochtone avec d</w:t>
      </w:r>
      <w:r w:rsidRPr="00EF68FE">
        <w:rPr>
          <w:rFonts w:ascii="Arial" w:hAnsi="Arial" w:cs="Arial"/>
          <w:sz w:val="20"/>
          <w:szCs w:val="20"/>
          <w:lang w:val="fr-FR"/>
        </w:rPr>
        <w:t xml:space="preserve">es participants au projet : </w:t>
      </w:r>
      <w:hyperlink r:id="rId11" w:history="1">
        <w:r w:rsidR="001F436C" w:rsidRPr="00EF68FE">
          <w:rPr>
            <w:rStyle w:val="Hyperlink"/>
            <w:rFonts w:ascii="Arial" w:hAnsi="Arial" w:cs="Arial"/>
            <w:sz w:val="20"/>
            <w:szCs w:val="20"/>
            <w:lang w:val="fr-FR"/>
          </w:rPr>
          <w:t>https://www.youtube.com/watch?v=7D7ydx1toTk</w:t>
        </w:r>
      </w:hyperlink>
      <w:r w:rsidR="001F436C" w:rsidRPr="00EF68FE">
        <w:rPr>
          <w:rFonts w:ascii="Arial" w:hAnsi="Arial" w:cs="Arial"/>
          <w:sz w:val="20"/>
          <w:szCs w:val="20"/>
          <w:lang w:val="fr-FR"/>
        </w:rPr>
        <w:t xml:space="preserve"> </w:t>
      </w:r>
    </w:p>
    <w:sectPr w:rsidR="00DA6D68" w:rsidRPr="00EF68F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2EAFC" w14:textId="77777777" w:rsidR="006959CE" w:rsidRDefault="006959CE" w:rsidP="00712F2E">
      <w:pPr>
        <w:spacing w:after="0" w:line="240" w:lineRule="auto"/>
      </w:pPr>
      <w:r>
        <w:separator/>
      </w:r>
    </w:p>
  </w:endnote>
  <w:endnote w:type="continuationSeparator" w:id="0">
    <w:p w14:paraId="6336C5BD" w14:textId="77777777" w:rsidR="006959CE" w:rsidRDefault="006959CE" w:rsidP="0071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03FD8" w14:textId="77777777" w:rsidR="006959CE" w:rsidRDefault="006959CE" w:rsidP="00712F2E">
      <w:pPr>
        <w:spacing w:after="0" w:line="240" w:lineRule="auto"/>
      </w:pPr>
      <w:r>
        <w:separator/>
      </w:r>
    </w:p>
  </w:footnote>
  <w:footnote w:type="continuationSeparator" w:id="0">
    <w:p w14:paraId="2D9369C1" w14:textId="77777777" w:rsidR="006959CE" w:rsidRDefault="006959CE" w:rsidP="00712F2E">
      <w:pPr>
        <w:spacing w:after="0" w:line="240" w:lineRule="auto"/>
      </w:pPr>
      <w:r>
        <w:continuationSeparator/>
      </w:r>
    </w:p>
  </w:footnote>
  <w:footnote w:id="1">
    <w:p w14:paraId="4B267498" w14:textId="361B7D9E" w:rsidR="00741213" w:rsidRPr="00741213" w:rsidRDefault="00741213" w:rsidP="00741213">
      <w:pPr>
        <w:tabs>
          <w:tab w:val="left" w:pos="426"/>
        </w:tabs>
        <w:ind w:left="420" w:hanging="420"/>
        <w:rPr>
          <w:rFonts w:ascii="Arial" w:hAnsi="Arial" w:cs="Arial"/>
          <w:sz w:val="16"/>
          <w:szCs w:val="16"/>
          <w:lang w:val="fr-FR"/>
        </w:rPr>
      </w:pPr>
      <w:r w:rsidRPr="00741213">
        <w:rPr>
          <w:rStyle w:val="FootnoteReference"/>
          <w:rFonts w:ascii="Arial" w:hAnsi="Arial" w:cs="Arial"/>
          <w:sz w:val="16"/>
          <w:szCs w:val="16"/>
          <w:vertAlign w:val="baseline"/>
        </w:rPr>
        <w:footnoteRef/>
      </w:r>
      <w:r w:rsidRPr="00741213">
        <w:rPr>
          <w:rFonts w:ascii="Arial" w:hAnsi="Arial" w:cs="Arial"/>
          <w:sz w:val="16"/>
          <w:szCs w:val="16"/>
          <w:lang w:val="fr-FR"/>
        </w:rPr>
        <w:t>.</w:t>
      </w:r>
      <w:r w:rsidRPr="00741213">
        <w:rPr>
          <w:rFonts w:ascii="Arial" w:hAnsi="Arial" w:cs="Arial"/>
          <w:sz w:val="16"/>
          <w:szCs w:val="16"/>
          <w:lang w:val="fr-FR"/>
        </w:rPr>
        <w:tab/>
      </w:r>
      <w:r w:rsidRPr="00741213">
        <w:rPr>
          <w:rStyle w:val="Strong"/>
          <w:rFonts w:ascii="Arial" w:hAnsi="Arial" w:cs="Arial"/>
          <w:caps/>
          <w:color w:val="000000"/>
          <w:sz w:val="16"/>
          <w:szCs w:val="16"/>
          <w:lang w:val="fr-FR"/>
        </w:rPr>
        <w:t xml:space="preserve">AVERTISSEMENT: </w:t>
      </w:r>
      <w:r w:rsidRPr="00741213">
        <w:rPr>
          <w:rStyle w:val="Strong"/>
          <w:rFonts w:ascii="Arial" w:hAnsi="Arial" w:cs="Arial"/>
          <w:b w:val="0"/>
          <w:caps/>
          <w:color w:val="000000"/>
          <w:sz w:val="16"/>
          <w:szCs w:val="16"/>
          <w:lang w:val="fr-FR"/>
        </w:rPr>
        <w:t>CETTE ÉTUDE DE CAS CONTIENT DES IMAGES, DES NOMS ET DES HISTOIRES DE PERSONNES AUTOCHTONES DÉCÉDÉS.</w:t>
      </w:r>
    </w:p>
  </w:footnote>
  <w:footnote w:id="2">
    <w:p w14:paraId="3538A682" w14:textId="73024F25" w:rsidR="00140BFB" w:rsidRPr="00741213" w:rsidRDefault="00140BFB" w:rsidP="00140BFB">
      <w:pPr>
        <w:pStyle w:val="FootnoteText"/>
        <w:rPr>
          <w:rFonts w:ascii="Arial" w:eastAsia="Malgun Gothic" w:hAnsi="Arial" w:cs="Arial"/>
          <w:sz w:val="16"/>
          <w:szCs w:val="16"/>
          <w:lang w:val="fr-FR" w:eastAsia="ko-KR"/>
        </w:rPr>
      </w:pPr>
      <w:r w:rsidRPr="00741213">
        <w:rPr>
          <w:rStyle w:val="FootnoteReference"/>
          <w:rFonts w:ascii="Arial" w:hAnsi="Arial" w:cs="Arial"/>
          <w:sz w:val="16"/>
          <w:szCs w:val="16"/>
          <w:vertAlign w:val="baseline"/>
        </w:rPr>
        <w:footnoteRef/>
      </w:r>
      <w:r w:rsidR="00EF68FE" w:rsidRPr="00741213">
        <w:rPr>
          <w:rFonts w:ascii="Arial" w:hAnsi="Arial" w:cs="Arial"/>
          <w:sz w:val="16"/>
          <w:szCs w:val="16"/>
          <w:lang w:val="fr-FR"/>
        </w:rPr>
        <w:t>.</w:t>
      </w:r>
      <w:r w:rsidR="00EF68FE" w:rsidRPr="00741213">
        <w:rPr>
          <w:rFonts w:ascii="Arial" w:hAnsi="Arial" w:cs="Arial"/>
          <w:sz w:val="16"/>
          <w:szCs w:val="16"/>
          <w:lang w:val="fr-FR"/>
        </w:rPr>
        <w:tab/>
      </w:r>
      <w:r w:rsidRPr="00741213">
        <w:rPr>
          <w:rFonts w:ascii="Arial" w:hAnsi="Arial" w:cs="Arial"/>
          <w:sz w:val="16"/>
          <w:szCs w:val="16"/>
          <w:lang w:val="fr-FR"/>
        </w:rPr>
        <w:t>http://mira.canningstockrouteproject.com/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6AA80" w14:textId="54ACC8C8" w:rsidR="00DB4819" w:rsidRPr="008D76C0" w:rsidRDefault="00DB4819" w:rsidP="00DB4819">
    <w:pPr>
      <w:pStyle w:val="Header"/>
      <w:ind w:right="360"/>
      <w:rPr>
        <w:sz w:val="16"/>
        <w:szCs w:val="16"/>
        <w:lang w:val="fr-FR"/>
      </w:rPr>
    </w:pPr>
    <w:r w:rsidRPr="00B13CD3">
      <w:rPr>
        <w:sz w:val="16"/>
        <w:szCs w:val="16"/>
      </w:rPr>
      <w:tab/>
    </w:r>
    <w:r w:rsidR="008D76C0">
      <w:rPr>
        <w:rFonts w:ascii="Calibri" w:hAnsi="Calibri"/>
        <w:sz w:val="16"/>
        <w:szCs w:val="16"/>
        <w:lang w:val="fr-FR"/>
      </w:rPr>
      <w:t>É</w:t>
    </w:r>
    <w:r w:rsidR="008D76C0" w:rsidRPr="008D76C0">
      <w:rPr>
        <w:sz w:val="16"/>
        <w:szCs w:val="16"/>
        <w:lang w:val="fr-FR"/>
      </w:rPr>
      <w:t>tudes de cas</w:t>
    </w:r>
    <w:r w:rsidRPr="008D76C0">
      <w:rPr>
        <w:sz w:val="16"/>
        <w:szCs w:val="16"/>
        <w:lang w:val="fr-FR"/>
      </w:rPr>
      <w:tab/>
    </w:r>
  </w:p>
  <w:p w14:paraId="64C7CFF5" w14:textId="77777777" w:rsidR="00DB4819" w:rsidRDefault="00DB4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25EB3"/>
    <w:multiLevelType w:val="hybridMultilevel"/>
    <w:tmpl w:val="9B884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4436E"/>
    <w:multiLevelType w:val="hybridMultilevel"/>
    <w:tmpl w:val="97B8E7A8"/>
    <w:lvl w:ilvl="0" w:tplc="9976CC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CB"/>
    <w:rsid w:val="000239E9"/>
    <w:rsid w:val="00027169"/>
    <w:rsid w:val="000342C7"/>
    <w:rsid w:val="00043E07"/>
    <w:rsid w:val="00044B6F"/>
    <w:rsid w:val="000469D1"/>
    <w:rsid w:val="00073283"/>
    <w:rsid w:val="000A1C01"/>
    <w:rsid w:val="000B79C2"/>
    <w:rsid w:val="000D1630"/>
    <w:rsid w:val="000D5BE9"/>
    <w:rsid w:val="000E0CE5"/>
    <w:rsid w:val="000E4F4E"/>
    <w:rsid w:val="000F493B"/>
    <w:rsid w:val="001009F2"/>
    <w:rsid w:val="00105718"/>
    <w:rsid w:val="0011443E"/>
    <w:rsid w:val="00127F02"/>
    <w:rsid w:val="00140BFB"/>
    <w:rsid w:val="0014101C"/>
    <w:rsid w:val="00146FA3"/>
    <w:rsid w:val="00150850"/>
    <w:rsid w:val="00161233"/>
    <w:rsid w:val="001A49BE"/>
    <w:rsid w:val="001C100F"/>
    <w:rsid w:val="001C3001"/>
    <w:rsid w:val="001D03EE"/>
    <w:rsid w:val="001D0CA3"/>
    <w:rsid w:val="001D2119"/>
    <w:rsid w:val="001D4717"/>
    <w:rsid w:val="001D540E"/>
    <w:rsid w:val="001D5F64"/>
    <w:rsid w:val="001E586B"/>
    <w:rsid w:val="001F436C"/>
    <w:rsid w:val="001F43D1"/>
    <w:rsid w:val="00211818"/>
    <w:rsid w:val="00227C7B"/>
    <w:rsid w:val="00230CD9"/>
    <w:rsid w:val="00241D6D"/>
    <w:rsid w:val="00245396"/>
    <w:rsid w:val="00277B4A"/>
    <w:rsid w:val="00285586"/>
    <w:rsid w:val="002856E1"/>
    <w:rsid w:val="002A2EDA"/>
    <w:rsid w:val="002B60F6"/>
    <w:rsid w:val="002C0DA2"/>
    <w:rsid w:val="002E540D"/>
    <w:rsid w:val="002F5271"/>
    <w:rsid w:val="002F661A"/>
    <w:rsid w:val="00300A67"/>
    <w:rsid w:val="003061D0"/>
    <w:rsid w:val="0031094C"/>
    <w:rsid w:val="00312AA4"/>
    <w:rsid w:val="003261FA"/>
    <w:rsid w:val="0034671C"/>
    <w:rsid w:val="0037588C"/>
    <w:rsid w:val="003765E0"/>
    <w:rsid w:val="00376804"/>
    <w:rsid w:val="00390DCA"/>
    <w:rsid w:val="003973A5"/>
    <w:rsid w:val="003D1DFB"/>
    <w:rsid w:val="003E1532"/>
    <w:rsid w:val="003E1B12"/>
    <w:rsid w:val="003F5F51"/>
    <w:rsid w:val="004044EE"/>
    <w:rsid w:val="0041348E"/>
    <w:rsid w:val="00414507"/>
    <w:rsid w:val="00427B5C"/>
    <w:rsid w:val="00436D25"/>
    <w:rsid w:val="00443C80"/>
    <w:rsid w:val="004618E3"/>
    <w:rsid w:val="0046721B"/>
    <w:rsid w:val="0047020E"/>
    <w:rsid w:val="00471D75"/>
    <w:rsid w:val="00495A54"/>
    <w:rsid w:val="004971AD"/>
    <w:rsid w:val="004A1926"/>
    <w:rsid w:val="004C41C6"/>
    <w:rsid w:val="004C62DA"/>
    <w:rsid w:val="004C72F1"/>
    <w:rsid w:val="004D4B11"/>
    <w:rsid w:val="004D778F"/>
    <w:rsid w:val="004E383E"/>
    <w:rsid w:val="0051426C"/>
    <w:rsid w:val="00552DB7"/>
    <w:rsid w:val="005A150A"/>
    <w:rsid w:val="005A3F8D"/>
    <w:rsid w:val="005B35F0"/>
    <w:rsid w:val="005C793D"/>
    <w:rsid w:val="005D48D8"/>
    <w:rsid w:val="005F4ABD"/>
    <w:rsid w:val="005F54E5"/>
    <w:rsid w:val="0062491E"/>
    <w:rsid w:val="006406F4"/>
    <w:rsid w:val="00677C72"/>
    <w:rsid w:val="0068049E"/>
    <w:rsid w:val="006808E6"/>
    <w:rsid w:val="00684F69"/>
    <w:rsid w:val="006959CE"/>
    <w:rsid w:val="006B0B30"/>
    <w:rsid w:val="006E272D"/>
    <w:rsid w:val="007127DA"/>
    <w:rsid w:val="00712F2E"/>
    <w:rsid w:val="00726828"/>
    <w:rsid w:val="00741213"/>
    <w:rsid w:val="007412C3"/>
    <w:rsid w:val="0075706B"/>
    <w:rsid w:val="0077183A"/>
    <w:rsid w:val="0077640A"/>
    <w:rsid w:val="007A013F"/>
    <w:rsid w:val="007A2A87"/>
    <w:rsid w:val="007B5133"/>
    <w:rsid w:val="007B68EA"/>
    <w:rsid w:val="007C7C41"/>
    <w:rsid w:val="007D038D"/>
    <w:rsid w:val="007D05A1"/>
    <w:rsid w:val="007D14E3"/>
    <w:rsid w:val="007D519B"/>
    <w:rsid w:val="007E340E"/>
    <w:rsid w:val="007E3498"/>
    <w:rsid w:val="00811B58"/>
    <w:rsid w:val="00820EB1"/>
    <w:rsid w:val="00821743"/>
    <w:rsid w:val="00840ED6"/>
    <w:rsid w:val="008767D2"/>
    <w:rsid w:val="008814D5"/>
    <w:rsid w:val="0088391A"/>
    <w:rsid w:val="00892C91"/>
    <w:rsid w:val="008A0E5D"/>
    <w:rsid w:val="008D76C0"/>
    <w:rsid w:val="008E0ED3"/>
    <w:rsid w:val="008E7ABC"/>
    <w:rsid w:val="008F61CB"/>
    <w:rsid w:val="00903A28"/>
    <w:rsid w:val="0090799D"/>
    <w:rsid w:val="009138A6"/>
    <w:rsid w:val="009148DB"/>
    <w:rsid w:val="00940ED3"/>
    <w:rsid w:val="0094100E"/>
    <w:rsid w:val="00942EE1"/>
    <w:rsid w:val="00955869"/>
    <w:rsid w:val="0096119F"/>
    <w:rsid w:val="009631E2"/>
    <w:rsid w:val="009829E3"/>
    <w:rsid w:val="00990278"/>
    <w:rsid w:val="0099034B"/>
    <w:rsid w:val="0099040E"/>
    <w:rsid w:val="0099141E"/>
    <w:rsid w:val="0099386B"/>
    <w:rsid w:val="009B1AA6"/>
    <w:rsid w:val="009C7B03"/>
    <w:rsid w:val="009C7D1F"/>
    <w:rsid w:val="00A017E8"/>
    <w:rsid w:val="00A17F37"/>
    <w:rsid w:val="00A251E3"/>
    <w:rsid w:val="00A545AF"/>
    <w:rsid w:val="00A911B2"/>
    <w:rsid w:val="00A97F5E"/>
    <w:rsid w:val="00AA13EB"/>
    <w:rsid w:val="00AA713A"/>
    <w:rsid w:val="00AB4B0A"/>
    <w:rsid w:val="00AC2167"/>
    <w:rsid w:val="00AC6B6D"/>
    <w:rsid w:val="00AD1348"/>
    <w:rsid w:val="00AE7D00"/>
    <w:rsid w:val="00AF3678"/>
    <w:rsid w:val="00B013C4"/>
    <w:rsid w:val="00B13E41"/>
    <w:rsid w:val="00B15720"/>
    <w:rsid w:val="00B216E5"/>
    <w:rsid w:val="00B23209"/>
    <w:rsid w:val="00B23482"/>
    <w:rsid w:val="00B3050C"/>
    <w:rsid w:val="00B34D51"/>
    <w:rsid w:val="00B353A3"/>
    <w:rsid w:val="00B37D8A"/>
    <w:rsid w:val="00B45275"/>
    <w:rsid w:val="00B46136"/>
    <w:rsid w:val="00B5216A"/>
    <w:rsid w:val="00B5428A"/>
    <w:rsid w:val="00B63F81"/>
    <w:rsid w:val="00B832AB"/>
    <w:rsid w:val="00BC127C"/>
    <w:rsid w:val="00BD64BD"/>
    <w:rsid w:val="00BE0ABF"/>
    <w:rsid w:val="00BE0D00"/>
    <w:rsid w:val="00C0195B"/>
    <w:rsid w:val="00C04C99"/>
    <w:rsid w:val="00C276FB"/>
    <w:rsid w:val="00C54AAB"/>
    <w:rsid w:val="00C60212"/>
    <w:rsid w:val="00C67655"/>
    <w:rsid w:val="00C70D2E"/>
    <w:rsid w:val="00C81FE9"/>
    <w:rsid w:val="00C94AC1"/>
    <w:rsid w:val="00C96AC5"/>
    <w:rsid w:val="00CA2577"/>
    <w:rsid w:val="00CB4222"/>
    <w:rsid w:val="00CB528D"/>
    <w:rsid w:val="00CB6A32"/>
    <w:rsid w:val="00CC51CC"/>
    <w:rsid w:val="00CC7072"/>
    <w:rsid w:val="00CE1EA6"/>
    <w:rsid w:val="00CE6238"/>
    <w:rsid w:val="00CE7489"/>
    <w:rsid w:val="00CF727C"/>
    <w:rsid w:val="00D05186"/>
    <w:rsid w:val="00D20D9E"/>
    <w:rsid w:val="00D32DCC"/>
    <w:rsid w:val="00D32E9C"/>
    <w:rsid w:val="00D4119A"/>
    <w:rsid w:val="00D87010"/>
    <w:rsid w:val="00DA6D68"/>
    <w:rsid w:val="00DB4819"/>
    <w:rsid w:val="00DC5F4B"/>
    <w:rsid w:val="00DE0B2A"/>
    <w:rsid w:val="00DE5713"/>
    <w:rsid w:val="00DF7048"/>
    <w:rsid w:val="00E106DF"/>
    <w:rsid w:val="00E22557"/>
    <w:rsid w:val="00E251A6"/>
    <w:rsid w:val="00E27CF1"/>
    <w:rsid w:val="00E35F4E"/>
    <w:rsid w:val="00E372F4"/>
    <w:rsid w:val="00E40FE5"/>
    <w:rsid w:val="00E76C65"/>
    <w:rsid w:val="00E95D58"/>
    <w:rsid w:val="00EB044C"/>
    <w:rsid w:val="00EC1559"/>
    <w:rsid w:val="00ED6A36"/>
    <w:rsid w:val="00ED7964"/>
    <w:rsid w:val="00EE3393"/>
    <w:rsid w:val="00EE6794"/>
    <w:rsid w:val="00EF68FE"/>
    <w:rsid w:val="00F0027A"/>
    <w:rsid w:val="00F10451"/>
    <w:rsid w:val="00F3365A"/>
    <w:rsid w:val="00F37166"/>
    <w:rsid w:val="00F45D19"/>
    <w:rsid w:val="00F66332"/>
    <w:rsid w:val="00F72004"/>
    <w:rsid w:val="00F83289"/>
    <w:rsid w:val="00F91B8A"/>
    <w:rsid w:val="00FB01FB"/>
    <w:rsid w:val="00FB0985"/>
    <w:rsid w:val="00FD1501"/>
    <w:rsid w:val="00F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3037"/>
  <w15:chartTrackingRefBased/>
  <w15:docId w15:val="{15A2E142-C7ED-48BB-B985-B78BD3CD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next w:val="Normal"/>
    <w:link w:val="Heading4Char"/>
    <w:unhideWhenUsed/>
    <w:rsid w:val="00EF68FE"/>
    <w:pPr>
      <w:keepNext/>
      <w:keepLines/>
      <w:tabs>
        <w:tab w:val="left" w:pos="567"/>
      </w:tabs>
      <w:snapToGrid w:val="0"/>
      <w:spacing w:before="120" w:after="0" w:line="240" w:lineRule="auto"/>
      <w:jc w:val="both"/>
      <w:outlineLvl w:val="3"/>
    </w:pPr>
    <w:rPr>
      <w:rFonts w:asciiTheme="majorHAnsi" w:eastAsiaTheme="majorEastAsia" w:hAnsiTheme="majorHAnsi" w:cstheme="majorBidi"/>
      <w:caps/>
      <w:snapToGrid w:val="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12F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F2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12F2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A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Emphasis">
    <w:name w:val="Emphasis"/>
    <w:basedOn w:val="DefaultParagraphFont"/>
    <w:uiPriority w:val="20"/>
    <w:qFormat/>
    <w:rsid w:val="00CC7072"/>
    <w:rPr>
      <w:i/>
      <w:iCs/>
    </w:rPr>
  </w:style>
  <w:style w:type="character" w:customStyle="1" w:styleId="apple-converted-space">
    <w:name w:val="apple-converted-space"/>
    <w:basedOn w:val="DefaultParagraphFont"/>
    <w:rsid w:val="0046721B"/>
  </w:style>
  <w:style w:type="paragraph" w:styleId="ListParagraph">
    <w:name w:val="List Paragraph"/>
    <w:basedOn w:val="Normal"/>
    <w:uiPriority w:val="34"/>
    <w:qFormat/>
    <w:rsid w:val="001A49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1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238"/>
    <w:rPr>
      <w:color w:val="954F72" w:themeColor="followedHyperlink"/>
      <w:u w:val="single"/>
    </w:rPr>
  </w:style>
  <w:style w:type="paragraph" w:customStyle="1" w:styleId="Caschap">
    <w:name w:val="Caschap"/>
    <w:basedOn w:val="Normal"/>
    <w:rsid w:val="00DB4819"/>
    <w:pPr>
      <w:keepNext/>
      <w:widowControl w:val="0"/>
      <w:snapToGrid w:val="0"/>
      <w:spacing w:after="120" w:line="480" w:lineRule="exact"/>
      <w:outlineLvl w:val="3"/>
    </w:pPr>
    <w:rPr>
      <w:rFonts w:ascii="Arial" w:eastAsia="Times New Roman" w:hAnsi="Arial" w:cs="Arial"/>
      <w:b/>
      <w:bCs/>
      <w:w w:val="107"/>
      <w:sz w:val="36"/>
      <w:szCs w:val="48"/>
      <w:lang w:val="en-US" w:eastAsia="en-US"/>
    </w:rPr>
  </w:style>
  <w:style w:type="paragraph" w:styleId="Header">
    <w:name w:val="header"/>
    <w:basedOn w:val="Normal"/>
    <w:link w:val="HeaderChar"/>
    <w:unhideWhenUsed/>
    <w:rsid w:val="00DB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48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1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C2"/>
    <w:rPr>
      <w:rFonts w:ascii="Segoe UI" w:hAnsi="Segoe UI" w:cs="Segoe UI"/>
      <w:sz w:val="18"/>
      <w:szCs w:val="18"/>
      <w:lang w:val="en-GB"/>
    </w:rPr>
  </w:style>
  <w:style w:type="paragraph" w:customStyle="1" w:styleId="Texte1">
    <w:name w:val="Texte1"/>
    <w:basedOn w:val="Normal"/>
    <w:link w:val="Texte1Car"/>
    <w:autoRedefine/>
    <w:rsid w:val="00EF68FE"/>
    <w:pPr>
      <w:tabs>
        <w:tab w:val="left" w:pos="567"/>
      </w:tabs>
      <w:snapToGrid w:val="0"/>
      <w:spacing w:after="60" w:line="280" w:lineRule="exact"/>
      <w:ind w:left="709" w:firstLine="142"/>
      <w:jc w:val="both"/>
    </w:pPr>
    <w:rPr>
      <w:rFonts w:ascii="Arial" w:eastAsia="SimSun" w:hAnsi="Arial" w:cs="Arial"/>
      <w:w w:val="95"/>
      <w:sz w:val="20"/>
      <w:szCs w:val="20"/>
    </w:rPr>
  </w:style>
  <w:style w:type="character" w:customStyle="1" w:styleId="Texte1Car">
    <w:name w:val="Texte1 Car"/>
    <w:link w:val="Texte1"/>
    <w:rsid w:val="00EF68FE"/>
    <w:rPr>
      <w:rFonts w:ascii="Arial" w:eastAsia="SimSun" w:hAnsi="Arial" w:cs="Arial"/>
      <w:w w:val="95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F68FE"/>
    <w:rPr>
      <w:rFonts w:asciiTheme="majorHAnsi" w:eastAsiaTheme="majorEastAsia" w:hAnsiTheme="majorHAnsi" w:cstheme="majorBidi"/>
      <w:caps/>
      <w:snapToGrid w:val="0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41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law.com.au/case-studies/entry/yiwarra-kuju-the-canning-stock-rout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7D7ydx1toT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suu.com/formwa/docs/form_csr_chogm_fi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ma.gov.au/__data/assets/pdf_file/0018/19404/Yiwarra-Kuju-introduc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1A4FD-D51B-48C7-9581-A536B93F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1658</Words>
  <Characters>9457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Hopkins</dc:creator>
  <cp:keywords/>
  <dc:description/>
  <cp:lastModifiedBy>Cunningham, Ashley Elizabeth</cp:lastModifiedBy>
  <cp:revision>44</cp:revision>
  <cp:lastPrinted>2019-01-21T09:55:00Z</cp:lastPrinted>
  <dcterms:created xsi:type="dcterms:W3CDTF">2019-03-22T15:24:00Z</dcterms:created>
  <dcterms:modified xsi:type="dcterms:W3CDTF">2019-04-04T17:58:00Z</dcterms:modified>
</cp:coreProperties>
</file>