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88" w:rsidRPr="00087F6F" w:rsidRDefault="00075E1E" w:rsidP="00087F6F">
      <w:pPr>
        <w:pStyle w:val="Chapitre"/>
        <w:rPr>
          <w:lang w:val="en-US"/>
        </w:rPr>
      </w:pPr>
      <w:bookmarkStart w:id="0" w:name="_GoBack"/>
      <w:bookmarkEnd w:id="0"/>
      <w:r>
        <w:rPr>
          <w:lang w:val="en-US"/>
        </w:rPr>
        <w:t>Unit 48</w:t>
      </w:r>
    </w:p>
    <w:p w:rsidR="00FF3708" w:rsidRPr="006021AD" w:rsidRDefault="00FF3708" w:rsidP="00FF3708">
      <w:pPr>
        <w:pStyle w:val="BodyText"/>
        <w:spacing w:before="480"/>
        <w:jc w:val="left"/>
        <w:rPr>
          <w:rFonts w:ascii="Arial" w:hAnsi="Arial" w:cs="Arial"/>
          <w:bCs/>
          <w:iCs/>
          <w:sz w:val="22"/>
          <w:szCs w:val="22"/>
          <w:lang w:val="en-GB"/>
        </w:rPr>
      </w:pPr>
      <w:r w:rsidRPr="006021AD">
        <w:rPr>
          <w:rFonts w:ascii="Arial" w:hAnsi="Arial" w:cs="Arial"/>
          <w:sz w:val="22"/>
          <w:szCs w:val="22"/>
          <w:lang w:val="en-GB"/>
        </w:rPr>
        <w:t xml:space="preserve">Published in </w:t>
      </w:r>
      <w:r w:rsidR="005155D9">
        <w:rPr>
          <w:rFonts w:ascii="Arial" w:hAnsi="Arial" w:cs="Arial"/>
          <w:sz w:val="22"/>
          <w:szCs w:val="22"/>
          <w:lang w:val="en-GB"/>
        </w:rPr>
        <w:t>2016</w:t>
      </w:r>
      <w:r w:rsidRPr="006021AD">
        <w:rPr>
          <w:rFonts w:ascii="Arial" w:hAnsi="Arial" w:cs="Arial"/>
          <w:sz w:val="22"/>
          <w:szCs w:val="22"/>
          <w:lang w:val="en-GB"/>
        </w:rPr>
        <w:t xml:space="preserve"> by the United Nations Educational, Scientific and Cultural Organization, </w:t>
      </w:r>
      <w:r w:rsidRPr="006021AD">
        <w:rPr>
          <w:rFonts w:ascii="Arial" w:hAnsi="Arial" w:cs="Arial"/>
          <w:bCs/>
          <w:iCs/>
          <w:sz w:val="22"/>
          <w:szCs w:val="22"/>
          <w:lang w:val="en-GB"/>
        </w:rPr>
        <w:t>7, place de Fontenoy, 75352 Paris 07 SP, France</w:t>
      </w:r>
    </w:p>
    <w:p w:rsidR="00FF3708" w:rsidRPr="006021AD" w:rsidRDefault="00FF3708" w:rsidP="00FF3708">
      <w:pPr>
        <w:pStyle w:val="BodyText"/>
        <w:jc w:val="left"/>
        <w:rPr>
          <w:rFonts w:ascii="Arial" w:hAnsi="Arial" w:cs="Arial"/>
          <w:bCs/>
          <w:iCs/>
          <w:sz w:val="22"/>
          <w:szCs w:val="22"/>
          <w:lang w:val="en-GB"/>
        </w:rPr>
      </w:pPr>
    </w:p>
    <w:p w:rsidR="00FF3708" w:rsidRPr="006021AD" w:rsidRDefault="00FF3708" w:rsidP="00FF3708">
      <w:pPr>
        <w:autoSpaceDE w:val="0"/>
        <w:autoSpaceDN w:val="0"/>
        <w:adjustRightInd w:val="0"/>
        <w:rPr>
          <w:szCs w:val="22"/>
        </w:rPr>
      </w:pPr>
      <w:r w:rsidRPr="006021AD">
        <w:rPr>
          <w:szCs w:val="22"/>
          <w:lang w:val="en-GB"/>
        </w:rPr>
        <w:t xml:space="preserve">© UNESCO </w:t>
      </w:r>
      <w:r w:rsidR="005155D9">
        <w:rPr>
          <w:szCs w:val="22"/>
          <w:lang w:val="en-GB"/>
        </w:rPr>
        <w:t>2016</w:t>
      </w:r>
    </w:p>
    <w:p w:rsidR="00FF3708" w:rsidRPr="006021AD" w:rsidRDefault="00FF3708" w:rsidP="00FF3708">
      <w:pPr>
        <w:autoSpaceDE w:val="0"/>
        <w:autoSpaceDN w:val="0"/>
        <w:adjustRightInd w:val="0"/>
        <w:rPr>
          <w:szCs w:val="22"/>
          <w:lang w:val="en-GB"/>
        </w:rPr>
      </w:pPr>
    </w:p>
    <w:p w:rsidR="00FF3708" w:rsidRPr="006021AD" w:rsidRDefault="00FF3708" w:rsidP="00FF3708">
      <w:pPr>
        <w:autoSpaceDE w:val="0"/>
        <w:autoSpaceDN w:val="0"/>
        <w:adjustRightInd w:val="0"/>
        <w:rPr>
          <w:szCs w:val="22"/>
          <w:lang w:val="en-GB"/>
        </w:rPr>
      </w:pPr>
      <w:r w:rsidRPr="006021AD">
        <w:rPr>
          <w:noProof/>
          <w:szCs w:val="22"/>
          <w:lang w:val="fr-FR" w:eastAsia="ja-JP"/>
        </w:rPr>
        <w:drawing>
          <wp:inline distT="0" distB="0" distL="0" distR="0" wp14:anchorId="28327F03" wp14:editId="343F66DD">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FF3708" w:rsidRPr="006021AD" w:rsidRDefault="00FF3708" w:rsidP="00FF3708">
      <w:pPr>
        <w:spacing w:before="240"/>
        <w:rPr>
          <w:szCs w:val="22"/>
        </w:rPr>
      </w:pPr>
      <w:r w:rsidRPr="006021AD">
        <w:rPr>
          <w:szCs w:val="22"/>
        </w:rPr>
        <w:t>This publication is available in Open Access under the Attribution-ShareAlike 3.0 IGO (CC-BY-SA 3.0 IGO) license (</w:t>
      </w:r>
      <w:hyperlink r:id="rId8" w:history="1">
        <w:r w:rsidRPr="006021AD">
          <w:rPr>
            <w:rFonts w:eastAsiaTheme="minorHAnsi"/>
            <w:color w:val="0000FF"/>
            <w:szCs w:val="22"/>
            <w:u w:val="single" w:color="0000FF"/>
            <w:lang w:val="en-GB" w:eastAsia="en-US"/>
          </w:rPr>
          <w:t>http://creativecommons.org/licenses/by-sa/3.0/igo/</w:t>
        </w:r>
      </w:hyperlink>
      <w:r w:rsidRPr="006021AD">
        <w:rPr>
          <w:szCs w:val="22"/>
        </w:rPr>
        <w:t>). By using the content of this publication, the users accept to be bound by the terms of use of the UNESCO Open Access Repository (</w:t>
      </w:r>
      <w:hyperlink r:id="rId9" w:history="1">
        <w:r w:rsidRPr="006021AD">
          <w:rPr>
            <w:rStyle w:val="Hyperlink"/>
            <w:szCs w:val="22"/>
          </w:rPr>
          <w:t>http://www.unesco.org/open-access/terms-use-ccbysa-en</w:t>
        </w:r>
      </w:hyperlink>
      <w:r w:rsidRPr="006021AD">
        <w:rPr>
          <w:szCs w:val="22"/>
        </w:rPr>
        <w:t>).</w:t>
      </w:r>
    </w:p>
    <w:p w:rsidR="00FF3708" w:rsidRPr="006021AD" w:rsidRDefault="00FF3708" w:rsidP="00FF3708">
      <w:pPr>
        <w:snapToGrid/>
        <w:spacing w:before="0"/>
        <w:jc w:val="left"/>
        <w:rPr>
          <w:bCs/>
          <w:iCs/>
          <w:szCs w:val="22"/>
          <w:lang w:val="en-GB" w:eastAsia="pt-BR"/>
        </w:rPr>
      </w:pPr>
      <w:r w:rsidRPr="006021AD">
        <w:rPr>
          <w:bCs/>
          <w:iCs/>
          <w:szCs w:val="22"/>
          <w:lang w:val="en-GB"/>
        </w:rPr>
        <w:t>The images of this publication do not fall under the CC-BY-SA licence and may not be used, reproduced, or commercialized without the prior permission of the copyright holders.</w:t>
      </w:r>
    </w:p>
    <w:p w:rsidR="00FF3708" w:rsidRPr="006021AD" w:rsidRDefault="00FF3708" w:rsidP="00FF3708">
      <w:pPr>
        <w:pStyle w:val="BodyText"/>
        <w:jc w:val="left"/>
        <w:rPr>
          <w:rFonts w:ascii="Arial" w:hAnsi="Arial" w:cs="Arial"/>
          <w:bCs/>
          <w:iCs/>
          <w:sz w:val="22"/>
          <w:szCs w:val="22"/>
          <w:lang w:val="en-GB"/>
        </w:rPr>
      </w:pPr>
    </w:p>
    <w:p w:rsidR="00FF3708" w:rsidRPr="006021AD" w:rsidRDefault="00FF3708" w:rsidP="00FF3708">
      <w:pPr>
        <w:rPr>
          <w:bCs/>
          <w:iCs/>
          <w:szCs w:val="22"/>
          <w:lang w:val="en-GB"/>
        </w:rPr>
      </w:pPr>
      <w:r w:rsidRPr="006021AD">
        <w:rPr>
          <w:bCs/>
          <w:iCs/>
          <w:szCs w:val="22"/>
          <w:lang w:val="en-GB"/>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rsidR="00FF3708" w:rsidRPr="006021AD" w:rsidRDefault="00FF3708" w:rsidP="00FF3708">
      <w:pPr>
        <w:pStyle w:val="BodyText"/>
        <w:jc w:val="left"/>
        <w:rPr>
          <w:rFonts w:ascii="Arial" w:hAnsi="Arial" w:cs="Arial"/>
          <w:bCs/>
          <w:iCs/>
          <w:sz w:val="22"/>
          <w:szCs w:val="22"/>
          <w:lang w:val="en-GB"/>
        </w:rPr>
      </w:pPr>
    </w:p>
    <w:p w:rsidR="00FF3708" w:rsidRPr="003D5760" w:rsidRDefault="00FF3708" w:rsidP="00FF3708">
      <w:pPr>
        <w:pStyle w:val="BodyText"/>
        <w:jc w:val="left"/>
        <w:rPr>
          <w:rFonts w:ascii="Arial" w:hAnsi="Arial" w:cs="Arial"/>
          <w:bCs/>
          <w:iCs/>
          <w:sz w:val="22"/>
          <w:szCs w:val="22"/>
          <w:lang w:val="en-GB"/>
        </w:rPr>
      </w:pPr>
      <w:r w:rsidRPr="006021AD">
        <w:rPr>
          <w:rFonts w:ascii="Arial" w:hAnsi="Arial" w:cs="Arial"/>
          <w:bCs/>
          <w:iCs/>
          <w:sz w:val="22"/>
          <w:szCs w:val="22"/>
          <w:lang w:val="en-GB"/>
        </w:rPr>
        <w:t>The ideas and opinions expressed in this publication are those of the authors; they are not necessarily those of UNESCO and do not commit the Organization.</w:t>
      </w:r>
    </w:p>
    <w:p w:rsidR="00FF3708" w:rsidRPr="00FF3708" w:rsidRDefault="00FF3708" w:rsidP="00FF3708">
      <w:pPr>
        <w:tabs>
          <w:tab w:val="clear" w:pos="567"/>
        </w:tabs>
        <w:snapToGrid/>
        <w:spacing w:before="0" w:after="160" w:line="259" w:lineRule="auto"/>
        <w:jc w:val="left"/>
        <w:rPr>
          <w:rFonts w:eastAsia="Times New Roman"/>
          <w:b/>
          <w:bCs/>
          <w:caps/>
          <w:noProof/>
          <w:color w:val="3366FF"/>
          <w:kern w:val="28"/>
          <w:sz w:val="48"/>
          <w:szCs w:val="48"/>
          <w:lang w:val="en-GB"/>
        </w:rPr>
      </w:pPr>
      <w:r>
        <w:br w:type="page"/>
      </w:r>
    </w:p>
    <w:p w:rsidR="00087F6F" w:rsidRPr="00087F6F" w:rsidRDefault="00087F6F" w:rsidP="00087F6F">
      <w:pPr>
        <w:pStyle w:val="Titcoul"/>
        <w:rPr>
          <w:kern w:val="0"/>
          <w:lang w:val="en-US"/>
        </w:rPr>
      </w:pPr>
      <w:r w:rsidRPr="00087F6F">
        <w:rPr>
          <w:kern w:val="0"/>
          <w:lang w:val="en-US"/>
        </w:rPr>
        <w:lastRenderedPageBreak/>
        <w:t>Facilitator’s n</w:t>
      </w:r>
      <w:r w:rsidR="00CF279D">
        <w:rPr>
          <w:kern w:val="0"/>
          <w:lang w:val="en-US"/>
        </w:rPr>
        <w:t>arrative</w:t>
      </w:r>
      <w:r w:rsidR="00075E1E">
        <w:rPr>
          <w:kern w:val="0"/>
          <w:lang w:val="en-US"/>
        </w:rPr>
        <w:t xml:space="preserve"> 2</w:t>
      </w:r>
      <w:r w:rsidR="003170CF">
        <w:rPr>
          <w:kern w:val="0"/>
          <w:lang w:val="en-US"/>
        </w:rPr>
        <w:t xml:space="preserve">: </w:t>
      </w:r>
      <w:r w:rsidR="00075E1E">
        <w:rPr>
          <w:kern w:val="0"/>
          <w:lang w:val="en-US"/>
        </w:rPr>
        <w:t>case study 57</w:t>
      </w:r>
    </w:p>
    <w:p w:rsidR="00C51D7F" w:rsidRPr="00224567" w:rsidRDefault="00C51D7F" w:rsidP="00C51D7F">
      <w:pPr>
        <w:pStyle w:val="Texte1"/>
        <w:ind w:left="810"/>
        <w:rPr>
          <w:lang w:val="en-US"/>
        </w:rPr>
      </w:pPr>
      <w:r w:rsidRPr="004E5747">
        <w:rPr>
          <w:color w:val="000000" w:themeColor="text1"/>
          <w:szCs w:val="20"/>
          <w:lang w:val="en-GB"/>
        </w:rPr>
        <w:t>This case study provides on</w:t>
      </w:r>
      <w:r>
        <w:rPr>
          <w:color w:val="000000" w:themeColor="text1"/>
          <w:szCs w:val="20"/>
          <w:lang w:val="en-GB"/>
        </w:rPr>
        <w:t>e</w:t>
      </w:r>
      <w:r w:rsidRPr="004E5747">
        <w:rPr>
          <w:color w:val="000000" w:themeColor="text1"/>
          <w:szCs w:val="20"/>
          <w:lang w:val="en-GB"/>
        </w:rPr>
        <w:t xml:space="preserve"> of many examples of communities around the </w:t>
      </w:r>
      <w:r w:rsidR="002D6C03" w:rsidRPr="004E5747">
        <w:rPr>
          <w:color w:val="000000" w:themeColor="text1"/>
          <w:szCs w:val="20"/>
          <w:lang w:val="en-GB"/>
        </w:rPr>
        <w:t>world, which</w:t>
      </w:r>
      <w:r w:rsidRPr="004E5747">
        <w:rPr>
          <w:color w:val="000000" w:themeColor="text1"/>
          <w:szCs w:val="20"/>
          <w:lang w:val="en-GB"/>
        </w:rPr>
        <w:t xml:space="preserve"> recognize, revere, and integrate more than two gender categories, without there necessarily being a hierarchy among them. Some cultural communities have three, four, five or even more genders. Rather than being marginalized or seen as alternative, certain genders are particularly celebrated for their intangible cultural heritage. In </w:t>
      </w:r>
      <w:r w:rsidR="002D6C03">
        <w:rPr>
          <w:color w:val="000000" w:themeColor="text1"/>
          <w:szCs w:val="20"/>
          <w:lang w:val="en-GB"/>
        </w:rPr>
        <w:t xml:space="preserve">some </w:t>
      </w:r>
      <w:r w:rsidRPr="004E5747">
        <w:rPr>
          <w:color w:val="000000" w:themeColor="text1"/>
          <w:szCs w:val="20"/>
          <w:lang w:val="en-GB"/>
        </w:rPr>
        <w:t xml:space="preserve">such cases, the practitioners do not identify as men or women, but an intermediate condition or a state of being both. </w:t>
      </w:r>
      <w:r>
        <w:rPr>
          <w:color w:val="000000" w:themeColor="text1"/>
          <w:szCs w:val="20"/>
          <w:lang w:val="en-GB"/>
        </w:rPr>
        <w:t xml:space="preserve">In this case study, the ICH practice is, in fact, only possible due to the existence of a gender category different than that of the commonly recognized female and male genders and, in contrast, to case study 42 (iii), the gender group is fully accepted and especially respected in the society. Moreover, practice of the ICH </w:t>
      </w:r>
      <w:r>
        <w:rPr>
          <w:lang w:val="en-US"/>
        </w:rPr>
        <w:t>reinforces the non-hierarchical presence of multiple and fluid gender categories. Like case study 42, the contextual appropriateness of the study in relation to the participants’ societal cultural beliefs should be considered when deciding whether to present this case study.</w:t>
      </w:r>
    </w:p>
    <w:p w:rsidR="00C51D7F" w:rsidRPr="00C51D7F" w:rsidRDefault="00C51D7F" w:rsidP="00AC37F0">
      <w:pPr>
        <w:pStyle w:val="Texte1"/>
        <w:ind w:left="810"/>
        <w:rPr>
          <w:lang w:eastAsia="en-US"/>
        </w:rPr>
      </w:pPr>
      <w:r w:rsidRPr="004E5747">
        <w:rPr>
          <w:color w:val="000000" w:themeColor="text1"/>
          <w:szCs w:val="20"/>
          <w:lang w:val="en-GB"/>
        </w:rPr>
        <w:t xml:space="preserve">It may </w:t>
      </w:r>
      <w:r>
        <w:rPr>
          <w:color w:val="000000" w:themeColor="text1"/>
          <w:szCs w:val="20"/>
          <w:lang w:val="en-GB"/>
        </w:rPr>
        <w:t xml:space="preserve">also </w:t>
      </w:r>
      <w:r w:rsidRPr="004E5747">
        <w:rPr>
          <w:color w:val="000000" w:themeColor="text1"/>
          <w:szCs w:val="20"/>
          <w:lang w:val="en-GB"/>
        </w:rPr>
        <w:t>be useful to know that cultures with more than two genders have a long history. For example, in pre-colonial Andean culture, the Incas worshipped chuqui cinchay, a dual-gendered god. Third-gender ritual attendants or shamans performed sacred rituals to honour this god. The shamans wore androgynous clothing as ‘a visible sign of a third space that negotiated between the masculine and the feminine, the present and the past, the living and the dead’. Similarly, in the centuries before European colonists arrived</w:t>
      </w:r>
      <w:r>
        <w:rPr>
          <w:color w:val="000000" w:themeColor="text1"/>
          <w:szCs w:val="20"/>
          <w:lang w:val="en-GB"/>
        </w:rPr>
        <w:t xml:space="preserve"> in Africa</w:t>
      </w:r>
      <w:r w:rsidRPr="004E5747">
        <w:rPr>
          <w:color w:val="000000" w:themeColor="text1"/>
          <w:szCs w:val="20"/>
          <w:lang w:val="en-GB"/>
        </w:rPr>
        <w:t xml:space="preserve">, the Bangala people’s animist beliefs were carried out by shamans who would dress in women’s clothing in order to gain the ability to solve crimes. </w:t>
      </w:r>
      <w:r w:rsidRPr="000F3390">
        <w:rPr>
          <w:color w:val="000000" w:themeColor="text1"/>
          <w:szCs w:val="20"/>
          <w:lang w:val="en-GB"/>
        </w:rPr>
        <w:t>In Europe as well, there is a history of communities which included a third gender, such as the male-bodied ‘femminielli’ of 18</w:t>
      </w:r>
      <w:r w:rsidRPr="000F3390">
        <w:rPr>
          <w:color w:val="000000" w:themeColor="text1"/>
          <w:szCs w:val="20"/>
          <w:vertAlign w:val="superscript"/>
          <w:lang w:val="en-GB"/>
        </w:rPr>
        <w:t>th</w:t>
      </w:r>
      <w:r w:rsidRPr="000F3390">
        <w:rPr>
          <w:color w:val="000000" w:themeColor="text1"/>
          <w:szCs w:val="20"/>
          <w:lang w:val="en-GB"/>
        </w:rPr>
        <w:t>-century Italian society. Living mostly in the Spanish Quarter of Naples, one of the city’s poorest neighbourhoods, the femminielli were</w:t>
      </w:r>
      <w:r w:rsidR="00DD1489">
        <w:rPr>
          <w:color w:val="000000" w:themeColor="text1"/>
          <w:szCs w:val="20"/>
          <w:lang w:val="en-GB"/>
        </w:rPr>
        <w:t xml:space="preserve"> </w:t>
      </w:r>
      <w:r w:rsidRPr="000F3390">
        <w:rPr>
          <w:color w:val="000000" w:themeColor="text1"/>
          <w:szCs w:val="20"/>
          <w:lang w:val="en-GB"/>
        </w:rPr>
        <w:t xml:space="preserve">thought to confer good luck onto the households in which they were raised. </w:t>
      </w:r>
      <w:r w:rsidRPr="004E5747">
        <w:rPr>
          <w:color w:val="000000" w:themeColor="text1"/>
          <w:szCs w:val="20"/>
          <w:lang w:val="en-GB"/>
        </w:rPr>
        <w:t>In Hawaii, long before Cook and other Europeans’ arrival, a multiple gender tradition existed among the island’s native community. Individuals could be biological males or females inhabiting a gender role somewhere between or encompassing both the masculine and feminine. Such individuals were and continue to be valued and respected. Their gender fluidity and ability to embrace both male and female qualities is seen as an asset and as empowering them as healers, teachers, and promulgators of ancient traditions and rituals. Today, however, this group faces discrimination in a culture increasingly domina</w:t>
      </w:r>
      <w:r>
        <w:rPr>
          <w:color w:val="000000" w:themeColor="text1"/>
          <w:szCs w:val="20"/>
          <w:lang w:val="en-GB"/>
        </w:rPr>
        <w:t>ted by a binary gender ideology.</w:t>
      </w:r>
    </w:p>
    <w:p w:rsidR="00C51D7F" w:rsidRDefault="00C51D7F" w:rsidP="00087F6F">
      <w:pPr>
        <w:pStyle w:val="Heading4"/>
        <w:tabs>
          <w:tab w:val="clear" w:pos="567"/>
        </w:tabs>
        <w:snapToGrid/>
        <w:spacing w:before="360" w:after="120" w:line="300" w:lineRule="exact"/>
        <w:jc w:val="left"/>
        <w:rPr>
          <w:rFonts w:ascii="Arial" w:eastAsia="SimSun" w:hAnsi="Arial" w:cs="Times New Roman"/>
          <w:b/>
          <w:bCs/>
          <w:snapToGrid/>
          <w:sz w:val="20"/>
          <w:lang w:val="it-IT" w:eastAsia="en-US"/>
        </w:rPr>
      </w:pPr>
      <w:r>
        <w:rPr>
          <w:rFonts w:ascii="Arial" w:eastAsia="SimSun" w:hAnsi="Arial" w:cs="Times New Roman"/>
          <w:b/>
          <w:bCs/>
          <w:snapToGrid/>
          <w:sz w:val="20"/>
          <w:lang w:val="it-IT" w:eastAsia="en-US"/>
        </w:rPr>
        <w:t>QUESTIONS FOR DISCUSSION:</w:t>
      </w:r>
    </w:p>
    <w:p w:rsidR="00DD1489" w:rsidRPr="00651C6E" w:rsidRDefault="00DD1489" w:rsidP="00DD1489">
      <w:pPr>
        <w:pStyle w:val="Txtpucegras"/>
        <w:numPr>
          <w:ilvl w:val="0"/>
          <w:numId w:val="2"/>
        </w:numPr>
        <w:tabs>
          <w:tab w:val="clear" w:pos="851"/>
          <w:tab w:val="num" w:pos="360"/>
        </w:tabs>
        <w:ind w:left="1021" w:hanging="170"/>
        <w:rPr>
          <w:lang w:val="en-US"/>
        </w:rPr>
      </w:pPr>
      <w:r>
        <w:rPr>
          <w:lang w:val="it-IT"/>
        </w:rPr>
        <w:t xml:space="preserve">How do you understand the term </w:t>
      </w:r>
      <w:r w:rsidRPr="00651C6E">
        <w:rPr>
          <w:color w:val="000000" w:themeColor="text1"/>
          <w:szCs w:val="20"/>
          <w:lang w:val="en-US"/>
        </w:rPr>
        <w:t>‘two-spirit’ people</w:t>
      </w:r>
      <w:r>
        <w:rPr>
          <w:color w:val="000000" w:themeColor="text1"/>
          <w:szCs w:val="20"/>
          <w:lang w:val="en-US"/>
        </w:rPr>
        <w:t xml:space="preserve"> in the context of the Nahili society and, in particular, the </w:t>
      </w:r>
      <w:r w:rsidRPr="00651C6E">
        <w:rPr>
          <w:color w:val="000000" w:themeColor="text1"/>
          <w:szCs w:val="20"/>
          <w:lang w:val="en-US"/>
        </w:rPr>
        <w:t>ritual ceremony – solang</w:t>
      </w:r>
      <w:r>
        <w:rPr>
          <w:lang w:val="it-IT"/>
        </w:rPr>
        <w:t xml:space="preserve">? </w:t>
      </w:r>
    </w:p>
    <w:p w:rsidR="00DD1489" w:rsidRPr="00651C6E" w:rsidRDefault="00DD1489" w:rsidP="00DD1489">
      <w:pPr>
        <w:pStyle w:val="Txtpucegras"/>
        <w:numPr>
          <w:ilvl w:val="0"/>
          <w:numId w:val="2"/>
        </w:numPr>
        <w:tabs>
          <w:tab w:val="clear" w:pos="851"/>
          <w:tab w:val="num" w:pos="360"/>
        </w:tabs>
        <w:ind w:left="1021" w:hanging="170"/>
        <w:rPr>
          <w:lang w:val="en-US"/>
        </w:rPr>
      </w:pPr>
      <w:r>
        <w:rPr>
          <w:lang w:val="it-IT"/>
        </w:rPr>
        <w:t xml:space="preserve">What is the role and status of the ‘two-spirit’ people in the </w:t>
      </w:r>
      <w:r w:rsidRPr="00651C6E">
        <w:rPr>
          <w:color w:val="000000" w:themeColor="text1"/>
          <w:szCs w:val="20"/>
          <w:lang w:val="en-US"/>
        </w:rPr>
        <w:t>Nahili society</w:t>
      </w:r>
      <w:r>
        <w:rPr>
          <w:color w:val="000000" w:themeColor="text1"/>
          <w:szCs w:val="20"/>
          <w:lang w:val="en-US"/>
        </w:rPr>
        <w:t>?</w:t>
      </w:r>
    </w:p>
    <w:p w:rsidR="00DD1489" w:rsidRDefault="00DD1489" w:rsidP="00C51D7F">
      <w:pPr>
        <w:pStyle w:val="Txtpucegras"/>
        <w:numPr>
          <w:ilvl w:val="0"/>
          <w:numId w:val="2"/>
        </w:numPr>
        <w:tabs>
          <w:tab w:val="clear" w:pos="851"/>
          <w:tab w:val="num" w:pos="360"/>
        </w:tabs>
        <w:ind w:left="1021" w:hanging="170"/>
        <w:rPr>
          <w:lang w:val="en-US"/>
        </w:rPr>
      </w:pPr>
      <w:r>
        <w:rPr>
          <w:lang w:val="en-US"/>
        </w:rPr>
        <w:t>Does the example remind you of other examples of ICH where gender roles play a role?</w:t>
      </w:r>
    </w:p>
    <w:p w:rsidR="00FF69DB" w:rsidRPr="00AC37F0" w:rsidRDefault="00BE76C3" w:rsidP="00AC37F0">
      <w:pPr>
        <w:pStyle w:val="Txtpucegras"/>
        <w:numPr>
          <w:ilvl w:val="0"/>
          <w:numId w:val="2"/>
        </w:numPr>
        <w:tabs>
          <w:tab w:val="clear" w:pos="851"/>
          <w:tab w:val="num" w:pos="360"/>
        </w:tabs>
        <w:ind w:left="1021" w:hanging="170"/>
        <w:rPr>
          <w:lang w:val="en-GB"/>
        </w:rPr>
      </w:pPr>
      <w:r>
        <w:rPr>
          <w:lang w:val="en-US"/>
        </w:rPr>
        <w:t xml:space="preserve">How do you think that gender impacts ICH? </w:t>
      </w:r>
    </w:p>
    <w:sectPr w:rsidR="00FF69DB" w:rsidRPr="00AC37F0" w:rsidSect="00C76928">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28" w:rsidRDefault="00C76928" w:rsidP="00C76928">
      <w:pPr>
        <w:spacing w:before="0" w:after="0"/>
      </w:pPr>
      <w:r>
        <w:separator/>
      </w:r>
    </w:p>
  </w:endnote>
  <w:endnote w:type="continuationSeparator" w:id="0">
    <w:p w:rsidR="00C76928" w:rsidRDefault="00C76928" w:rsidP="00C769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FF3708" w:rsidP="00C76928">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Pr>
        <w:rFonts w:eastAsia="Calibri" w:cs="Times New Roman"/>
        <w:noProof/>
        <w:snapToGrid/>
        <w:sz w:val="16"/>
        <w:szCs w:val="22"/>
        <w:lang w:val="fr-FR" w:eastAsia="ja-JP"/>
      </w:rPr>
      <w:drawing>
        <wp:anchor distT="0" distB="0" distL="114300" distR="114300" simplePos="0" relativeHeight="251673600" behindDoc="0" locked="0" layoutInCell="1" allowOverlap="1" wp14:anchorId="42A008D2" wp14:editId="107F2ED1">
          <wp:simplePos x="0" y="0"/>
          <wp:positionH relativeFrom="column">
            <wp:posOffset>2143125</wp:posOffset>
          </wp:positionH>
          <wp:positionV relativeFrom="paragraph">
            <wp:posOffset>4445</wp:posOffset>
          </wp:positionV>
          <wp:extent cx="542290" cy="189230"/>
          <wp:effectExtent l="0" t="0" r="0" b="1270"/>
          <wp:wrapThrough wrapText="bothSides">
            <wp:wrapPolygon edited="0">
              <wp:start x="0" y="0"/>
              <wp:lineTo x="0" y="19570"/>
              <wp:lineTo x="20487" y="19570"/>
              <wp:lineTo x="20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noProof/>
        <w:snapToGrid/>
        <w:sz w:val="16"/>
        <w:szCs w:val="22"/>
        <w:lang w:val="fr-FR" w:eastAsia="ja-JP"/>
      </w:rPr>
      <w:drawing>
        <wp:anchor distT="0" distB="0" distL="114300" distR="114300" simplePos="0" relativeHeight="251663360" behindDoc="0" locked="0" layoutInCell="1" allowOverlap="1" wp14:anchorId="41FBBC57" wp14:editId="71753357">
          <wp:simplePos x="0" y="0"/>
          <wp:positionH relativeFrom="column">
            <wp:posOffset>-279044</wp:posOffset>
          </wp:positionH>
          <wp:positionV relativeFrom="paragraph">
            <wp:posOffset>-269748</wp:posOffset>
          </wp:positionV>
          <wp:extent cx="986790" cy="6051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snapToGrid/>
        <w:sz w:val="16"/>
        <w:szCs w:val="22"/>
        <w:lang w:val="it-IT" w:eastAsia="en-US"/>
      </w:rPr>
      <w:tab/>
    </w:r>
    <w:r w:rsidR="00C51D7F">
      <w:rPr>
        <w:rFonts w:eastAsia="Calibri" w:cs="Times New Roman"/>
        <w:snapToGrid/>
        <w:sz w:val="16"/>
        <w:szCs w:val="22"/>
        <w:lang w:val="it-IT" w:eastAsia="en-US"/>
      </w:rPr>
      <w:tab/>
      <w:t>U048</w:t>
    </w:r>
    <w:r w:rsidR="00C76928" w:rsidRPr="00C76928">
      <w:rPr>
        <w:rFonts w:eastAsia="Calibri" w:cs="Times New Roman"/>
        <w:snapToGrid/>
        <w:sz w:val="16"/>
        <w:szCs w:val="22"/>
        <w:lang w:val="it-IT" w:eastAsia="en-US"/>
      </w:rPr>
      <w:t>-v1.0-FN</w:t>
    </w:r>
    <w:r w:rsidR="00C51D7F">
      <w:rPr>
        <w:rFonts w:eastAsia="Calibri" w:cs="Times New Roman"/>
        <w:snapToGrid/>
        <w:sz w:val="16"/>
        <w:szCs w:val="22"/>
        <w:lang w:val="it-IT" w:eastAsia="en-US"/>
      </w:rPr>
      <w:t>2</w:t>
    </w:r>
    <w:r w:rsidR="00C76928" w:rsidRPr="00C76928">
      <w:rPr>
        <w:rFonts w:eastAsia="Calibri" w:cs="Times New Roman"/>
        <w:snapToGrid/>
        <w:sz w:val="16"/>
        <w:szCs w:val="22"/>
        <w:lang w:val="it-IT" w:eastAsia="en-US"/>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FF3708" w:rsidP="00C76928">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Pr>
        <w:rFonts w:eastAsia="Calibri" w:cs="Times New Roman"/>
        <w:noProof/>
        <w:snapToGrid/>
        <w:sz w:val="16"/>
        <w:szCs w:val="22"/>
        <w:lang w:val="fr-FR" w:eastAsia="ja-JP"/>
      </w:rPr>
      <w:drawing>
        <wp:anchor distT="0" distB="0" distL="114300" distR="114300" simplePos="0" relativeHeight="251675648" behindDoc="0" locked="0" layoutInCell="1" allowOverlap="1" wp14:anchorId="42A008D2" wp14:editId="107F2ED1">
          <wp:simplePos x="0" y="0"/>
          <wp:positionH relativeFrom="column">
            <wp:posOffset>2628900</wp:posOffset>
          </wp:positionH>
          <wp:positionV relativeFrom="paragraph">
            <wp:posOffset>-33655</wp:posOffset>
          </wp:positionV>
          <wp:extent cx="542290" cy="189230"/>
          <wp:effectExtent l="0" t="0" r="0" b="1270"/>
          <wp:wrapThrough wrapText="bothSides">
            <wp:wrapPolygon edited="0">
              <wp:start x="0" y="0"/>
              <wp:lineTo x="0" y="19570"/>
              <wp:lineTo x="20487" y="19570"/>
              <wp:lineTo x="204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noProof/>
        <w:snapToGrid/>
        <w:sz w:val="16"/>
        <w:szCs w:val="22"/>
        <w:lang w:val="fr-FR" w:eastAsia="ja-JP"/>
      </w:rPr>
      <w:drawing>
        <wp:anchor distT="0" distB="0" distL="114300" distR="114300" simplePos="0" relativeHeight="251659264" behindDoc="0" locked="0" layoutInCell="1" allowOverlap="1" wp14:anchorId="5E092D2E" wp14:editId="21173659">
          <wp:simplePos x="0" y="0"/>
          <wp:positionH relativeFrom="column">
            <wp:posOffset>4889449</wp:posOffset>
          </wp:positionH>
          <wp:positionV relativeFrom="paragraph">
            <wp:posOffset>-272644</wp:posOffset>
          </wp:positionV>
          <wp:extent cx="986790" cy="60515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snapToGrid/>
        <w:sz w:val="16"/>
        <w:szCs w:val="22"/>
        <w:lang w:val="it-IT" w:eastAsia="en-US"/>
      </w:rPr>
      <w:t>U055-v1.0-FN</w:t>
    </w:r>
    <w:r w:rsidR="00C76928">
      <w:rPr>
        <w:rFonts w:eastAsia="Calibri" w:cs="Times New Roman"/>
        <w:snapToGrid/>
        <w:sz w:val="16"/>
        <w:szCs w:val="22"/>
        <w:lang w:val="it-IT" w:eastAsia="en-US"/>
      </w:rPr>
      <w:t>5</w:t>
    </w:r>
    <w:r w:rsidR="00C76928" w:rsidRPr="00C76928">
      <w:rPr>
        <w:rFonts w:eastAsia="Calibri" w:cs="Times New Roman"/>
        <w:snapToGrid/>
        <w:sz w:val="16"/>
        <w:szCs w:val="22"/>
        <w:lang w:val="it-IT" w:eastAsia="en-US"/>
      </w:rPr>
      <w:t>-EN</w:t>
    </w:r>
    <w:r w:rsidR="00C76928" w:rsidRPr="00C76928">
      <w:rPr>
        <w:rFonts w:eastAsia="Calibri" w:cs="Times New Roman"/>
        <w:snapToGrid/>
        <w:sz w:val="16"/>
        <w:szCs w:val="22"/>
        <w:lang w:val="it-IT" w:eastAsia="en-US"/>
      </w:rPr>
      <w:tab/>
    </w:r>
    <w:r w:rsidR="00C76928" w:rsidRPr="00C76928">
      <w:rPr>
        <w:rFonts w:eastAsia="Calibri" w:cs="Times New Roman"/>
        <w:snapToGrid/>
        <w:sz w:val="16"/>
        <w:szCs w:val="22"/>
        <w:lang w:val="it-IT"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FF3708" w:rsidP="00C76928">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Pr>
        <w:rFonts w:eastAsia="Calibri" w:cs="Times New Roman"/>
        <w:noProof/>
        <w:snapToGrid/>
        <w:sz w:val="16"/>
        <w:szCs w:val="22"/>
        <w:lang w:val="fr-FR" w:eastAsia="ja-JP"/>
      </w:rPr>
      <w:drawing>
        <wp:anchor distT="0" distB="0" distL="114300" distR="114300" simplePos="0" relativeHeight="251671552" behindDoc="0" locked="0" layoutInCell="1" allowOverlap="1" wp14:anchorId="42A008D2" wp14:editId="107F2ED1">
          <wp:simplePos x="0" y="0"/>
          <wp:positionH relativeFrom="column">
            <wp:posOffset>2533650</wp:posOffset>
          </wp:positionH>
          <wp:positionV relativeFrom="paragraph">
            <wp:posOffset>-5080</wp:posOffset>
          </wp:positionV>
          <wp:extent cx="542290" cy="189230"/>
          <wp:effectExtent l="0" t="0" r="0" b="1270"/>
          <wp:wrapThrough wrapText="bothSides">
            <wp:wrapPolygon edited="0">
              <wp:start x="0" y="0"/>
              <wp:lineTo x="0" y="19570"/>
              <wp:lineTo x="20487" y="19570"/>
              <wp:lineTo x="2048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noProof/>
        <w:snapToGrid/>
        <w:sz w:val="16"/>
        <w:szCs w:val="22"/>
        <w:lang w:val="fr-FR" w:eastAsia="ja-JP"/>
      </w:rPr>
      <w:drawing>
        <wp:anchor distT="0" distB="0" distL="114300" distR="114300" simplePos="0" relativeHeight="251661312" behindDoc="0" locked="0" layoutInCell="1" allowOverlap="1" wp14:anchorId="7E8B8EC5" wp14:editId="4AF106CA">
          <wp:simplePos x="0" y="0"/>
          <wp:positionH relativeFrom="column">
            <wp:posOffset>4889449</wp:posOffset>
          </wp:positionH>
          <wp:positionV relativeFrom="paragraph">
            <wp:posOffset>-272644</wp:posOffset>
          </wp:positionV>
          <wp:extent cx="986790" cy="60515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075E1E">
      <w:rPr>
        <w:rFonts w:eastAsia="Calibri" w:cs="Times New Roman"/>
        <w:snapToGrid/>
        <w:sz w:val="16"/>
        <w:szCs w:val="22"/>
        <w:lang w:val="it-IT" w:eastAsia="en-US"/>
      </w:rPr>
      <w:t>U048</w:t>
    </w:r>
    <w:r w:rsidR="00C76928" w:rsidRPr="00C76928">
      <w:rPr>
        <w:rFonts w:eastAsia="Calibri" w:cs="Times New Roman"/>
        <w:snapToGrid/>
        <w:sz w:val="16"/>
        <w:szCs w:val="22"/>
        <w:lang w:val="it-IT" w:eastAsia="en-US"/>
      </w:rPr>
      <w:t>-v1.0-FN</w:t>
    </w:r>
    <w:r w:rsidR="00075E1E">
      <w:rPr>
        <w:rFonts w:eastAsia="Calibri" w:cs="Times New Roman"/>
        <w:snapToGrid/>
        <w:sz w:val="16"/>
        <w:szCs w:val="22"/>
        <w:lang w:val="it-IT" w:eastAsia="en-US"/>
      </w:rPr>
      <w:t>2</w:t>
    </w:r>
    <w:r w:rsidR="00C76928" w:rsidRPr="00C76928">
      <w:rPr>
        <w:rFonts w:eastAsia="Calibri" w:cs="Times New Roman"/>
        <w:snapToGrid/>
        <w:sz w:val="16"/>
        <w:szCs w:val="22"/>
        <w:lang w:val="it-IT" w:eastAsia="en-US"/>
      </w:rPr>
      <w:t>-EN</w:t>
    </w:r>
    <w:r w:rsidR="00C76928" w:rsidRPr="00C76928">
      <w:rPr>
        <w:rFonts w:eastAsia="Calibri" w:cs="Times New Roman"/>
        <w:snapToGrid/>
        <w:sz w:val="16"/>
        <w:szCs w:val="22"/>
        <w:lang w:val="it-IT" w:eastAsia="en-US"/>
      </w:rPr>
      <w:tab/>
    </w:r>
    <w:r w:rsidR="00C76928" w:rsidRPr="00C76928">
      <w:rPr>
        <w:rFonts w:eastAsia="Calibri" w:cs="Times New Roman"/>
        <w:snapToGrid/>
        <w:sz w:val="16"/>
        <w:szCs w:val="22"/>
        <w:lang w:val="it-IT"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28" w:rsidRDefault="00C76928" w:rsidP="00C76928">
      <w:pPr>
        <w:spacing w:before="0" w:after="0"/>
      </w:pPr>
      <w:r>
        <w:separator/>
      </w:r>
    </w:p>
  </w:footnote>
  <w:footnote w:type="continuationSeparator" w:id="0">
    <w:p w:rsidR="00C76928" w:rsidRDefault="00C76928" w:rsidP="00C769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C76928" w:rsidP="00C76928">
    <w:pPr>
      <w:tabs>
        <w:tab w:val="clear" w:pos="567"/>
        <w:tab w:val="center" w:pos="4070"/>
        <w:tab w:val="right" w:pos="8845"/>
      </w:tabs>
      <w:snapToGrid/>
      <w:spacing w:before="0" w:after="200" w:line="276" w:lineRule="auto"/>
      <w:jc w:val="left"/>
      <w:rPr>
        <w:rFonts w:eastAsia="Calibri" w:cs="Times New Roman"/>
        <w:snapToGrid/>
        <w:sz w:val="16"/>
        <w:szCs w:val="22"/>
        <w:lang w:val="it-IT" w:eastAsia="en-US"/>
      </w:rPr>
    </w:pPr>
    <w:r w:rsidRPr="00C76928">
      <w:rPr>
        <w:rFonts w:eastAsia="Calibri" w:cs="Times New Roman"/>
        <w:snapToGrid/>
        <w:sz w:val="16"/>
        <w:szCs w:val="22"/>
        <w:lang w:val="it-IT" w:eastAsia="en-US"/>
      </w:rPr>
      <w:fldChar w:fldCharType="begin"/>
    </w:r>
    <w:r w:rsidRPr="00C76928">
      <w:rPr>
        <w:rFonts w:eastAsia="Calibri" w:cs="Times New Roman"/>
        <w:snapToGrid/>
        <w:sz w:val="16"/>
        <w:szCs w:val="22"/>
        <w:lang w:val="it-IT" w:eastAsia="en-US"/>
      </w:rPr>
      <w:instrText xml:space="preserve">PAGE  </w:instrText>
    </w:r>
    <w:r w:rsidRPr="00C76928">
      <w:rPr>
        <w:rFonts w:eastAsia="Calibri" w:cs="Times New Roman"/>
        <w:snapToGrid/>
        <w:sz w:val="16"/>
        <w:szCs w:val="22"/>
        <w:lang w:val="it-IT" w:eastAsia="en-US"/>
      </w:rPr>
      <w:fldChar w:fldCharType="separate"/>
    </w:r>
    <w:r w:rsidR="00AC37F0">
      <w:rPr>
        <w:rFonts w:eastAsia="Calibri" w:cs="Times New Roman"/>
        <w:noProof/>
        <w:snapToGrid/>
        <w:sz w:val="16"/>
        <w:szCs w:val="22"/>
        <w:lang w:val="it-IT" w:eastAsia="en-US"/>
      </w:rPr>
      <w:t>2</w:t>
    </w:r>
    <w:r w:rsidRPr="00C76928">
      <w:rPr>
        <w:rFonts w:eastAsia="Calibri" w:cs="Times New Roman"/>
        <w:snapToGrid/>
        <w:sz w:val="16"/>
        <w:szCs w:val="22"/>
        <w:lang w:val="it-IT" w:eastAsia="en-US"/>
      </w:rPr>
      <w:fldChar w:fldCharType="end"/>
    </w:r>
    <w:r w:rsidR="00C51D7F">
      <w:rPr>
        <w:rFonts w:eastAsia="Calibri" w:cs="Times New Roman"/>
        <w:snapToGrid/>
        <w:sz w:val="16"/>
        <w:szCs w:val="22"/>
        <w:lang w:val="it-IT" w:eastAsia="en-US"/>
      </w:rPr>
      <w:tab/>
      <w:t>Unit 48</w:t>
    </w:r>
    <w:r w:rsidRPr="00C76928">
      <w:rPr>
        <w:rFonts w:eastAsia="Calibri" w:cs="Times New Roman"/>
        <w:snapToGrid/>
        <w:sz w:val="16"/>
        <w:szCs w:val="22"/>
        <w:lang w:val="it-IT" w:eastAsia="en-US"/>
      </w:rPr>
      <w:t xml:space="preserve">: </w:t>
    </w:r>
    <w:r w:rsidR="00C51D7F">
      <w:rPr>
        <w:rFonts w:eastAsia="Calibri" w:cs="Times New Roman"/>
        <w:snapToGrid/>
        <w:sz w:val="16"/>
        <w:szCs w:val="22"/>
        <w:lang w:val="en-GB" w:eastAsia="en-US"/>
      </w:rPr>
      <w:t>Gender and intangible cultural heritage</w:t>
    </w:r>
    <w:r w:rsidRPr="00C76928">
      <w:rPr>
        <w:rFonts w:eastAsia="Calibri" w:cs="Times New Roman"/>
        <w:snapToGrid/>
        <w:sz w:val="16"/>
        <w:szCs w:val="22"/>
        <w:lang w:val="it-IT" w:eastAsia="en-US"/>
      </w:rPr>
      <w:tab/>
      <w:t>Facilitator’s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C76928" w:rsidP="00C76928">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C76928">
      <w:rPr>
        <w:rFonts w:eastAsia="Calibri" w:cs="Times New Roman"/>
        <w:snapToGrid/>
        <w:sz w:val="16"/>
        <w:szCs w:val="22"/>
        <w:lang w:val="it-IT" w:eastAsia="en-US"/>
      </w:rPr>
      <w:t>Facilitator’s notes</w:t>
    </w:r>
    <w:r w:rsidRPr="00C76928">
      <w:rPr>
        <w:rFonts w:eastAsia="Calibri" w:cs="Times New Roman"/>
        <w:snapToGrid/>
        <w:sz w:val="16"/>
        <w:szCs w:val="22"/>
        <w:lang w:val="it-IT" w:eastAsia="en-US"/>
      </w:rPr>
      <w:tab/>
    </w:r>
    <w:r w:rsidR="00154267">
      <w:rPr>
        <w:rFonts w:eastAsia="Calibri" w:cs="Times New Roman"/>
        <w:snapToGrid/>
        <w:sz w:val="16"/>
        <w:szCs w:val="22"/>
        <w:lang w:val="it-IT" w:eastAsia="en-US"/>
      </w:rPr>
      <w:t>Unit 48</w:t>
    </w:r>
    <w:r w:rsidR="00154267" w:rsidRPr="00C76928">
      <w:rPr>
        <w:rFonts w:eastAsia="Calibri" w:cs="Times New Roman"/>
        <w:snapToGrid/>
        <w:sz w:val="16"/>
        <w:szCs w:val="22"/>
        <w:lang w:val="it-IT" w:eastAsia="en-US"/>
      </w:rPr>
      <w:t xml:space="preserve">: </w:t>
    </w:r>
    <w:r w:rsidR="00154267">
      <w:rPr>
        <w:rFonts w:eastAsia="Calibri" w:cs="Times New Roman"/>
        <w:snapToGrid/>
        <w:sz w:val="16"/>
        <w:szCs w:val="22"/>
        <w:lang w:val="en-GB" w:eastAsia="en-US"/>
      </w:rPr>
      <w:t>Gender and intangible cultural heritage</w:t>
    </w:r>
    <w:r w:rsidRPr="00C76928">
      <w:rPr>
        <w:rFonts w:eastAsia="Calibri" w:cs="Times New Roman"/>
        <w:snapToGrid/>
        <w:sz w:val="16"/>
        <w:szCs w:val="22"/>
        <w:lang w:val="it-IT" w:eastAsia="en-US"/>
      </w:rPr>
      <w:tab/>
    </w:r>
    <w:r w:rsidRPr="00C76928">
      <w:rPr>
        <w:rFonts w:eastAsia="Calibri" w:cs="Times New Roman"/>
        <w:snapToGrid/>
        <w:sz w:val="16"/>
        <w:szCs w:val="22"/>
        <w:lang w:val="it-IT" w:eastAsia="en-US"/>
      </w:rPr>
      <w:fldChar w:fldCharType="begin"/>
    </w:r>
    <w:r w:rsidRPr="00C76928">
      <w:rPr>
        <w:rFonts w:eastAsia="Calibri" w:cs="Times New Roman"/>
        <w:snapToGrid/>
        <w:sz w:val="16"/>
        <w:szCs w:val="22"/>
        <w:lang w:val="it-IT" w:eastAsia="en-US"/>
      </w:rPr>
      <w:instrText xml:space="preserve"> PAGE </w:instrText>
    </w:r>
    <w:r w:rsidRPr="00C76928">
      <w:rPr>
        <w:rFonts w:eastAsia="Calibri" w:cs="Times New Roman"/>
        <w:snapToGrid/>
        <w:sz w:val="16"/>
        <w:szCs w:val="22"/>
        <w:lang w:val="it-IT" w:eastAsia="en-US"/>
      </w:rPr>
      <w:fldChar w:fldCharType="separate"/>
    </w:r>
    <w:r w:rsidR="00AC37F0">
      <w:rPr>
        <w:rFonts w:eastAsia="Calibri" w:cs="Times New Roman"/>
        <w:noProof/>
        <w:snapToGrid/>
        <w:sz w:val="16"/>
        <w:szCs w:val="22"/>
        <w:lang w:val="it-IT" w:eastAsia="en-US"/>
      </w:rPr>
      <w:t>3</w:t>
    </w:r>
    <w:r w:rsidRPr="00C76928">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C76928" w:rsidP="00C76928">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C76928">
      <w:rPr>
        <w:rFonts w:eastAsia="Calibri" w:cs="Times New Roman"/>
        <w:snapToGrid/>
        <w:sz w:val="16"/>
        <w:szCs w:val="22"/>
        <w:lang w:val="it-IT" w:eastAsia="en-US"/>
      </w:rPr>
      <w:tab/>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7AAE"/>
    <w:multiLevelType w:val="hybridMultilevel"/>
    <w:tmpl w:val="8CFC330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351A52DD"/>
    <w:multiLevelType w:val="hybridMultilevel"/>
    <w:tmpl w:val="770CAB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359A0B14"/>
    <w:multiLevelType w:val="hybridMultilevel"/>
    <w:tmpl w:val="4E14D1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 w15:restartNumberingAfterBreak="0">
    <w:nsid w:val="490A50BA"/>
    <w:multiLevelType w:val="hybridMultilevel"/>
    <w:tmpl w:val="5EBE289C"/>
    <w:lvl w:ilvl="0" w:tplc="040C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59FB4C33"/>
    <w:multiLevelType w:val="hybridMultilevel"/>
    <w:tmpl w:val="FC923B4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5B5A5E20"/>
    <w:multiLevelType w:val="hybridMultilevel"/>
    <w:tmpl w:val="76365E72"/>
    <w:lvl w:ilvl="0" w:tplc="ABD0D29E">
      <w:start w:val="1"/>
      <w:numFmt w:val="bullet"/>
      <w:lvlText w:val="-"/>
      <w:lvlJc w:val="left"/>
      <w:pPr>
        <w:ind w:left="720" w:hanging="360"/>
      </w:pPr>
      <w:rPr>
        <w:rFonts w:ascii="Calibri" w:eastAsia="DengXi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7"/>
  </w:num>
  <w:num w:numId="4">
    <w:abstractNumId w:val="3"/>
  </w:num>
  <w:num w:numId="5">
    <w:abstractNumId w:val="4"/>
  </w:num>
  <w:num w:numId="6">
    <w:abstractNumId w:val="6"/>
  </w:num>
  <w:num w:numId="7">
    <w:abstractNumId w:val="2"/>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A3"/>
    <w:rsid w:val="00075E1E"/>
    <w:rsid w:val="00087F6F"/>
    <w:rsid w:val="000E5AE7"/>
    <w:rsid w:val="00117C1B"/>
    <w:rsid w:val="00124C27"/>
    <w:rsid w:val="00154267"/>
    <w:rsid w:val="00177923"/>
    <w:rsid w:val="001E2EFF"/>
    <w:rsid w:val="001E3A2C"/>
    <w:rsid w:val="00266DBF"/>
    <w:rsid w:val="002D6C03"/>
    <w:rsid w:val="003170CF"/>
    <w:rsid w:val="00337105"/>
    <w:rsid w:val="00350E7F"/>
    <w:rsid w:val="003B2B49"/>
    <w:rsid w:val="003F7AD9"/>
    <w:rsid w:val="004A3B25"/>
    <w:rsid w:val="005155D9"/>
    <w:rsid w:val="00614EAC"/>
    <w:rsid w:val="00651C6E"/>
    <w:rsid w:val="00686471"/>
    <w:rsid w:val="006E3688"/>
    <w:rsid w:val="00732AD4"/>
    <w:rsid w:val="007620B5"/>
    <w:rsid w:val="0078673E"/>
    <w:rsid w:val="008B6E10"/>
    <w:rsid w:val="008B70D3"/>
    <w:rsid w:val="009E6282"/>
    <w:rsid w:val="00AC37F0"/>
    <w:rsid w:val="00B3084D"/>
    <w:rsid w:val="00BE76C3"/>
    <w:rsid w:val="00C2284B"/>
    <w:rsid w:val="00C51D7F"/>
    <w:rsid w:val="00C55EFA"/>
    <w:rsid w:val="00C76928"/>
    <w:rsid w:val="00CF279D"/>
    <w:rsid w:val="00DD1489"/>
    <w:rsid w:val="00DE79D0"/>
    <w:rsid w:val="00E619F5"/>
    <w:rsid w:val="00E97AA9"/>
    <w:rsid w:val="00EA5412"/>
    <w:rsid w:val="00EB44A3"/>
    <w:rsid w:val="00EC1AD4"/>
    <w:rsid w:val="00EC293C"/>
    <w:rsid w:val="00EF1FF6"/>
    <w:rsid w:val="00F5174A"/>
    <w:rsid w:val="00F922CB"/>
    <w:rsid w:val="00FF37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D6966C8-5710-46DC-92D5-F97B68D0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4A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EB44A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B44A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B44A3"/>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EB44A3"/>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A3"/>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B44A3"/>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B44A3"/>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B44A3"/>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B44A3"/>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EB44A3"/>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B44A3"/>
    <w:rPr>
      <w:b/>
      <w:bCs/>
    </w:rPr>
  </w:style>
  <w:style w:type="character" w:styleId="Emphasis">
    <w:name w:val="Emphasis"/>
    <w:basedOn w:val="DefaultParagraphFont"/>
    <w:uiPriority w:val="20"/>
    <w:qFormat/>
    <w:rsid w:val="00EB44A3"/>
    <w:rPr>
      <w:i/>
      <w:iCs/>
    </w:rPr>
  </w:style>
  <w:style w:type="paragraph" w:styleId="NoSpacing">
    <w:name w:val="No Spacing"/>
    <w:aliases w:val="Title Ed"/>
    <w:basedOn w:val="FootnoteText"/>
    <w:link w:val="NoSpacingChar"/>
    <w:uiPriority w:val="1"/>
    <w:qFormat/>
    <w:rsid w:val="00EB44A3"/>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B44A3"/>
    <w:rPr>
      <w:rFonts w:ascii="Calibri" w:hAnsi="Calibri" w:cs="Arial"/>
      <w:sz w:val="20"/>
      <w:szCs w:val="20"/>
    </w:rPr>
  </w:style>
  <w:style w:type="paragraph" w:styleId="ListParagraph">
    <w:name w:val="List Paragraph"/>
    <w:basedOn w:val="Normal"/>
    <w:uiPriority w:val="34"/>
    <w:qFormat/>
    <w:rsid w:val="00EB44A3"/>
    <w:pPr>
      <w:tabs>
        <w:tab w:val="clear" w:pos="567"/>
        <w:tab w:val="left" w:pos="360"/>
      </w:tabs>
      <w:ind w:left="720" w:hanging="360"/>
    </w:pPr>
  </w:style>
  <w:style w:type="paragraph" w:styleId="Quote">
    <w:name w:val="Quote"/>
    <w:basedOn w:val="Normal"/>
    <w:next w:val="Normal"/>
    <w:link w:val="QuoteChar"/>
    <w:uiPriority w:val="29"/>
    <w:qFormat/>
    <w:rsid w:val="00EB44A3"/>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EB44A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B44A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EB44A3"/>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B44A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styleId="Hyperlink">
    <w:name w:val="Hyperlink"/>
    <w:basedOn w:val="DefaultParagraphFont"/>
    <w:uiPriority w:val="99"/>
    <w:unhideWhenUsed/>
    <w:rsid w:val="00EB44A3"/>
    <w:rPr>
      <w:color w:val="0000FF" w:themeColor="hyperlink"/>
      <w:u w:val="single"/>
    </w:rPr>
  </w:style>
  <w:style w:type="paragraph" w:customStyle="1" w:styleId="1">
    <w:name w:val="1."/>
    <w:basedOn w:val="Normal"/>
    <w:link w:val="1Char"/>
    <w:qFormat/>
    <w:rsid w:val="00EB44A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EB44A3"/>
    <w:rPr>
      <w:rFonts w:ascii="Arial" w:eastAsia="SimSun" w:hAnsi="Arial" w:cs="Arial"/>
      <w:w w:val="96"/>
      <w:lang w:val="en-US" w:eastAsia="fr-FR"/>
    </w:rPr>
  </w:style>
  <w:style w:type="paragraph" w:customStyle="1" w:styleId="U1">
    <w:name w:val="U.1"/>
    <w:basedOn w:val="Normal"/>
    <w:qFormat/>
    <w:rsid w:val="00EB44A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EB44A3"/>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EB44A3"/>
    <w:rPr>
      <w:rFonts w:ascii="Arial" w:eastAsia="SimSun" w:hAnsi="Arial" w:cs="Arial"/>
      <w:lang w:val="en-US" w:eastAsia="fr-FR"/>
    </w:rPr>
  </w:style>
  <w:style w:type="paragraph" w:customStyle="1" w:styleId="Slideheading">
    <w:name w:val="Slide heading"/>
    <w:basedOn w:val="Heading2"/>
    <w:link w:val="SlideheadingChar"/>
    <w:qFormat/>
    <w:rsid w:val="00EB44A3"/>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B44A3"/>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EB44A3"/>
    <w:pPr>
      <w:numPr>
        <w:ilvl w:val="1"/>
        <w:numId w:val="4"/>
      </w:numPr>
      <w:spacing w:before="0" w:after="60" w:line="280" w:lineRule="exact"/>
    </w:pPr>
    <w:rPr>
      <w:snapToGrid/>
      <w:sz w:val="20"/>
      <w:lang w:val="fr-FR"/>
    </w:rPr>
  </w:style>
  <w:style w:type="paragraph" w:customStyle="1" w:styleId="citationunit">
    <w:name w:val="citation unit"/>
    <w:basedOn w:val="Normal"/>
    <w:qFormat/>
    <w:rsid w:val="00EB44A3"/>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EB44A3"/>
    <w:pPr>
      <w:spacing w:before="0" w:after="0"/>
    </w:pPr>
    <w:rPr>
      <w:sz w:val="20"/>
      <w:szCs w:val="20"/>
    </w:rPr>
  </w:style>
  <w:style w:type="character" w:customStyle="1" w:styleId="FootnoteTextChar">
    <w:name w:val="Footnote Text Char"/>
    <w:basedOn w:val="DefaultParagraphFont"/>
    <w:link w:val="FootnoteText"/>
    <w:uiPriority w:val="99"/>
    <w:semiHidden/>
    <w:rsid w:val="00EB44A3"/>
    <w:rPr>
      <w:rFonts w:ascii="Arial" w:eastAsia="SimSun" w:hAnsi="Arial" w:cs="Arial"/>
      <w:snapToGrid w:val="0"/>
      <w:sz w:val="20"/>
      <w:szCs w:val="20"/>
      <w:lang w:val="en-US" w:eastAsia="zh-CN"/>
    </w:rPr>
  </w:style>
  <w:style w:type="character" w:styleId="CommentReference">
    <w:name w:val="annotation reference"/>
    <w:basedOn w:val="DefaultParagraphFont"/>
    <w:uiPriority w:val="99"/>
    <w:semiHidden/>
    <w:unhideWhenUsed/>
    <w:rsid w:val="00E619F5"/>
    <w:rPr>
      <w:sz w:val="16"/>
      <w:szCs w:val="16"/>
    </w:rPr>
  </w:style>
  <w:style w:type="paragraph" w:styleId="CommentText">
    <w:name w:val="annotation text"/>
    <w:basedOn w:val="Normal"/>
    <w:link w:val="CommentTextChar"/>
    <w:uiPriority w:val="99"/>
    <w:semiHidden/>
    <w:unhideWhenUsed/>
    <w:rsid w:val="00E619F5"/>
    <w:rPr>
      <w:sz w:val="20"/>
      <w:szCs w:val="20"/>
    </w:rPr>
  </w:style>
  <w:style w:type="character" w:customStyle="1" w:styleId="CommentTextChar">
    <w:name w:val="Comment Text Char"/>
    <w:basedOn w:val="DefaultParagraphFont"/>
    <w:link w:val="CommentText"/>
    <w:uiPriority w:val="99"/>
    <w:semiHidden/>
    <w:rsid w:val="00E619F5"/>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E619F5"/>
    <w:rPr>
      <w:b/>
      <w:bCs/>
    </w:rPr>
  </w:style>
  <w:style w:type="character" w:customStyle="1" w:styleId="CommentSubjectChar">
    <w:name w:val="Comment Subject Char"/>
    <w:basedOn w:val="CommentTextChar"/>
    <w:link w:val="CommentSubject"/>
    <w:uiPriority w:val="99"/>
    <w:semiHidden/>
    <w:rsid w:val="00E619F5"/>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E619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9F5"/>
    <w:rPr>
      <w:rFonts w:ascii="Tahoma" w:eastAsia="SimSun" w:hAnsi="Tahoma" w:cs="Tahoma"/>
      <w:snapToGrid w:val="0"/>
      <w:sz w:val="16"/>
      <w:szCs w:val="16"/>
      <w:lang w:val="en-US" w:eastAsia="zh-CN"/>
    </w:rPr>
  </w:style>
  <w:style w:type="paragraph" w:customStyle="1" w:styleId="Chapitre">
    <w:name w:val="Chapitre"/>
    <w:basedOn w:val="Heading1"/>
    <w:link w:val="ChapitreCar"/>
    <w:rsid w:val="00087F6F"/>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087F6F"/>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087F6F"/>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087F6F"/>
    <w:rPr>
      <w:rFonts w:ascii="Arial" w:eastAsia="Times New Roman" w:hAnsi="Arial" w:cs="Arial"/>
      <w:b/>
      <w:bCs/>
      <w:caps/>
      <w:noProof/>
      <w:snapToGrid w:val="0"/>
      <w:color w:val="3366FF"/>
      <w:kern w:val="28"/>
      <w:sz w:val="48"/>
      <w:szCs w:val="48"/>
      <w:lang w:eastAsia="zh-CN"/>
    </w:rPr>
  </w:style>
  <w:style w:type="paragraph" w:customStyle="1" w:styleId="Texte1">
    <w:name w:val="Texte1"/>
    <w:basedOn w:val="Normal"/>
    <w:link w:val="Texte1Car"/>
    <w:rsid w:val="00087F6F"/>
    <w:pPr>
      <w:spacing w:before="0" w:after="60" w:line="280" w:lineRule="exact"/>
      <w:ind w:left="851"/>
    </w:pPr>
    <w:rPr>
      <w:snapToGrid/>
      <w:sz w:val="20"/>
      <w:lang w:val="fr-FR"/>
    </w:rPr>
  </w:style>
  <w:style w:type="character" w:customStyle="1" w:styleId="Texte1Car">
    <w:name w:val="Texte1 Car"/>
    <w:link w:val="Texte1"/>
    <w:rsid w:val="00087F6F"/>
    <w:rPr>
      <w:rFonts w:ascii="Arial" w:eastAsia="SimSun" w:hAnsi="Arial" w:cs="Arial"/>
      <w:sz w:val="20"/>
      <w:szCs w:val="24"/>
      <w:lang w:val="fr-FR" w:eastAsia="zh-CN"/>
    </w:rPr>
  </w:style>
  <w:style w:type="paragraph" w:customStyle="1" w:styleId="Titcoul">
    <w:name w:val="Titcoul"/>
    <w:basedOn w:val="Heading1"/>
    <w:link w:val="TitcoulCar"/>
    <w:rsid w:val="00087F6F"/>
    <w:rPr>
      <w:rFonts w:eastAsia="Times New Roman"/>
      <w:lang w:val="en-GB"/>
    </w:rPr>
  </w:style>
  <w:style w:type="character" w:customStyle="1" w:styleId="TitcoulCar">
    <w:name w:val="Titcoul Car"/>
    <w:link w:val="Titcoul"/>
    <w:rsid w:val="00087F6F"/>
    <w:rPr>
      <w:rFonts w:ascii="Arial" w:eastAsia="Times New Roman" w:hAnsi="Arial" w:cs="Arial"/>
      <w:b/>
      <w:bCs/>
      <w:caps/>
      <w:noProof/>
      <w:snapToGrid w:val="0"/>
      <w:color w:val="3366FF"/>
      <w:kern w:val="28"/>
      <w:sz w:val="32"/>
      <w:szCs w:val="32"/>
      <w:lang w:eastAsia="zh-CN"/>
    </w:rPr>
  </w:style>
  <w:style w:type="paragraph" w:styleId="Header">
    <w:name w:val="header"/>
    <w:basedOn w:val="Normal"/>
    <w:link w:val="HeaderChar"/>
    <w:uiPriority w:val="99"/>
    <w:unhideWhenUsed/>
    <w:rsid w:val="00C76928"/>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C76928"/>
    <w:rPr>
      <w:rFonts w:ascii="Arial" w:eastAsia="SimSun" w:hAnsi="Arial" w:cs="Arial"/>
      <w:snapToGrid w:val="0"/>
      <w:szCs w:val="24"/>
      <w:lang w:val="en-US" w:eastAsia="zh-CN"/>
    </w:rPr>
  </w:style>
  <w:style w:type="paragraph" w:styleId="Footer">
    <w:name w:val="footer"/>
    <w:basedOn w:val="Normal"/>
    <w:link w:val="FooterChar"/>
    <w:uiPriority w:val="99"/>
    <w:unhideWhenUsed/>
    <w:rsid w:val="00C76928"/>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C76928"/>
    <w:rPr>
      <w:rFonts w:ascii="Arial" w:eastAsia="SimSun" w:hAnsi="Arial" w:cs="Arial"/>
      <w:snapToGrid w:val="0"/>
      <w:szCs w:val="24"/>
      <w:lang w:val="en-US" w:eastAsia="zh-CN"/>
    </w:rPr>
  </w:style>
  <w:style w:type="paragraph" w:customStyle="1" w:styleId="Soustitre">
    <w:name w:val="Soustitre"/>
    <w:basedOn w:val="Normal"/>
    <w:link w:val="SoustitreCar"/>
    <w:qFormat/>
    <w:rsid w:val="008B6E10"/>
    <w:pPr>
      <w:keepNext/>
      <w:tabs>
        <w:tab w:val="clear" w:pos="567"/>
      </w:tabs>
      <w:snapToGrid/>
      <w:spacing w:before="200" w:after="60" w:line="280" w:lineRule="exact"/>
      <w:ind w:left="851"/>
      <w:jc w:val="left"/>
    </w:pPr>
    <w:rPr>
      <w:b/>
      <w:bCs/>
      <w:i/>
      <w:noProof/>
      <w:sz w:val="20"/>
      <w:szCs w:val="20"/>
      <w:lang w:val="fr-FR" w:eastAsia="en-US"/>
    </w:rPr>
  </w:style>
  <w:style w:type="character" w:customStyle="1" w:styleId="SoustitreCar">
    <w:name w:val="Soustitre Car"/>
    <w:link w:val="Soustitre"/>
    <w:rsid w:val="008B6E10"/>
    <w:rPr>
      <w:rFonts w:ascii="Arial" w:eastAsia="SimSun" w:hAnsi="Arial" w:cs="Arial"/>
      <w:b/>
      <w:bCs/>
      <w:i/>
      <w:noProof/>
      <w:snapToGrid w:val="0"/>
      <w:sz w:val="20"/>
      <w:szCs w:val="20"/>
      <w:lang w:val="fr-FR"/>
    </w:rPr>
  </w:style>
  <w:style w:type="paragraph" w:customStyle="1" w:styleId="Txtpucegras">
    <w:name w:val="Txtpucegras"/>
    <w:basedOn w:val="Texte1"/>
    <w:rsid w:val="00C51D7F"/>
    <w:pPr>
      <w:tabs>
        <w:tab w:val="num" w:pos="360"/>
      </w:tabs>
      <w:ind w:left="1021" w:hanging="170"/>
    </w:pPr>
  </w:style>
  <w:style w:type="paragraph" w:styleId="BodyText">
    <w:name w:val="Body Text"/>
    <w:basedOn w:val="Normal"/>
    <w:link w:val="BodyTextChar"/>
    <w:rsid w:val="00FF3708"/>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FF3708"/>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sco.org/open-access/terms-use-ccbysa-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697</Words>
  <Characters>3835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Juliette Hopkins</cp:lastModifiedBy>
  <cp:revision>67</cp:revision>
  <cp:lastPrinted>2018-02-09T15:47:00Z</cp:lastPrinted>
  <dcterms:created xsi:type="dcterms:W3CDTF">2015-08-21T09:22:00Z</dcterms:created>
  <dcterms:modified xsi:type="dcterms:W3CDTF">2018-09-14T14:22:00Z</dcterms:modified>
</cp:coreProperties>
</file>