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5" w:rsidRPr="006A0BB0" w:rsidRDefault="00F3749C" w:rsidP="0005458E">
      <w:pPr>
        <w:spacing w:before="1440"/>
        <w:jc w:val="center"/>
        <w:rPr>
          <w:rFonts w:ascii="Arial" w:hAnsi="Arial" w:cs="Arial"/>
          <w:b/>
          <w:sz w:val="22"/>
          <w:szCs w:val="22"/>
        </w:rPr>
      </w:pPr>
      <w:r w:rsidRPr="006A0BB0">
        <w:rPr>
          <w:rFonts w:ascii="Arial" w:hAnsi="Arial" w:cs="Arial"/>
          <w:b/>
          <w:sz w:val="22"/>
          <w:szCs w:val="22"/>
        </w:rPr>
        <w:t xml:space="preserve">CONVENTION FOR THE SAFEGUARDING OF THE </w:t>
      </w:r>
      <w:r w:rsidRPr="006A0BB0">
        <w:rPr>
          <w:rFonts w:ascii="Arial" w:hAnsi="Arial" w:cs="Arial"/>
          <w:b/>
          <w:sz w:val="22"/>
          <w:szCs w:val="22"/>
        </w:rPr>
        <w:br/>
        <w:t>INTANGIBLE CULTURAL HERITAGE</w:t>
      </w:r>
    </w:p>
    <w:p w:rsidR="008724E5" w:rsidRPr="006A0BB0" w:rsidRDefault="00CB149B" w:rsidP="0005458E">
      <w:pPr>
        <w:spacing w:before="1200"/>
        <w:jc w:val="center"/>
        <w:rPr>
          <w:rFonts w:ascii="Arial" w:hAnsi="Arial" w:cs="Arial"/>
          <w:b/>
          <w:sz w:val="22"/>
          <w:szCs w:val="22"/>
        </w:rPr>
      </w:pPr>
      <w:r w:rsidRPr="006A0BB0">
        <w:rPr>
          <w:rFonts w:ascii="Arial" w:hAnsi="Arial" w:cs="Arial"/>
          <w:b/>
          <w:sz w:val="22"/>
          <w:szCs w:val="22"/>
        </w:rPr>
        <w:t>INTERGOVERNMENTAL COMMITTEE FOR THE</w:t>
      </w:r>
      <w:r w:rsidRPr="006A0BB0">
        <w:rPr>
          <w:rFonts w:ascii="Arial" w:hAnsi="Arial" w:cs="Arial"/>
          <w:b/>
          <w:sz w:val="22"/>
          <w:szCs w:val="22"/>
        </w:rPr>
        <w:br/>
        <w:t xml:space="preserve"> SAFEGUARDING OF THE INTANGIBLE CULTURAL HERITAGE</w:t>
      </w:r>
    </w:p>
    <w:p w:rsidR="00DC2DAE" w:rsidRPr="006A0BB0" w:rsidRDefault="00DC2DAE" w:rsidP="00DC2DAE">
      <w:pPr>
        <w:spacing w:before="840"/>
        <w:jc w:val="center"/>
        <w:rPr>
          <w:rFonts w:ascii="Arial" w:hAnsi="Arial" w:cs="Arial"/>
          <w:b/>
          <w:sz w:val="22"/>
          <w:szCs w:val="22"/>
        </w:rPr>
      </w:pPr>
      <w:r w:rsidRPr="006A0BB0">
        <w:rPr>
          <w:rFonts w:ascii="Arial" w:hAnsi="Arial" w:cs="Arial"/>
          <w:b/>
          <w:sz w:val="22"/>
          <w:szCs w:val="22"/>
        </w:rPr>
        <w:t>Meeting of the Bureau</w:t>
      </w:r>
    </w:p>
    <w:p w:rsidR="00DC2DAE" w:rsidRPr="006A0BB0" w:rsidRDefault="00DC2DAE" w:rsidP="00DC2DAE">
      <w:pPr>
        <w:jc w:val="center"/>
        <w:rPr>
          <w:rFonts w:ascii="Arial" w:hAnsi="Arial" w:cs="Arial"/>
          <w:b/>
          <w:sz w:val="22"/>
          <w:szCs w:val="22"/>
        </w:rPr>
      </w:pPr>
      <w:r w:rsidRPr="006A0BB0">
        <w:rPr>
          <w:rFonts w:ascii="Arial" w:hAnsi="Arial" w:cs="Arial"/>
          <w:b/>
          <w:sz w:val="22"/>
          <w:szCs w:val="22"/>
        </w:rPr>
        <w:t>UNESCO Headquarters, Paris, Room II</w:t>
      </w:r>
    </w:p>
    <w:p w:rsidR="00DC2DAE" w:rsidRPr="006A0BB0" w:rsidRDefault="00DC2DAE" w:rsidP="006A0BB0">
      <w:pPr>
        <w:jc w:val="center"/>
        <w:rPr>
          <w:rFonts w:ascii="Arial" w:hAnsi="Arial" w:cs="Arial"/>
          <w:b/>
          <w:sz w:val="22"/>
          <w:szCs w:val="22"/>
        </w:rPr>
      </w:pPr>
      <w:r w:rsidRPr="006A0BB0">
        <w:rPr>
          <w:rFonts w:ascii="Arial" w:hAnsi="Arial" w:cs="Arial"/>
          <w:b/>
          <w:sz w:val="22"/>
          <w:szCs w:val="22"/>
        </w:rPr>
        <w:t>8 June 2012</w:t>
      </w:r>
    </w:p>
    <w:p w:rsidR="00987083" w:rsidRPr="006A0BB0" w:rsidRDefault="004364D7" w:rsidP="006A0BB0">
      <w:pPr>
        <w:pStyle w:val="NoSpacing"/>
        <w:spacing w:before="1000" w:after="800"/>
        <w:jc w:val="center"/>
        <w:rPr>
          <w:rFonts w:ascii="Arial" w:eastAsia="SimSun" w:hAnsi="Arial" w:cs="Arial"/>
          <w:b/>
          <w:bCs/>
          <w:sz w:val="22"/>
          <w:szCs w:val="22"/>
          <w:lang w:val="en-GB" w:eastAsia="zh-CN"/>
        </w:rPr>
      </w:pPr>
      <w:r w:rsidRPr="006A0BB0">
        <w:rPr>
          <w:rFonts w:ascii="Arial" w:eastAsia="SimSun" w:hAnsi="Arial" w:cs="Arial"/>
          <w:b/>
          <w:bCs/>
          <w:sz w:val="22"/>
          <w:szCs w:val="22"/>
          <w:u w:val="single"/>
          <w:lang w:val="en-GB" w:eastAsia="zh-CN"/>
        </w:rPr>
        <w:t xml:space="preserve">Item </w:t>
      </w:r>
      <w:r w:rsidR="000D18AC" w:rsidRPr="006A0BB0">
        <w:rPr>
          <w:rFonts w:ascii="Arial" w:eastAsia="SimSun" w:hAnsi="Arial" w:cs="Arial"/>
          <w:b/>
          <w:bCs/>
          <w:sz w:val="22"/>
          <w:szCs w:val="22"/>
          <w:u w:val="single"/>
          <w:lang w:val="en-GB" w:eastAsia="zh-CN"/>
        </w:rPr>
        <w:t>5</w:t>
      </w:r>
      <w:r w:rsidRPr="006A0BB0">
        <w:rPr>
          <w:rFonts w:ascii="Arial" w:eastAsia="SimSun" w:hAnsi="Arial" w:cs="Arial"/>
          <w:b/>
          <w:bCs/>
          <w:sz w:val="22"/>
          <w:szCs w:val="22"/>
          <w:u w:val="single"/>
          <w:lang w:val="en-GB" w:eastAsia="zh-CN"/>
        </w:rPr>
        <w:t xml:space="preserve"> of the Provisional Agenda</w:t>
      </w:r>
      <w:r w:rsidRPr="006A0BB0">
        <w:rPr>
          <w:rFonts w:ascii="Arial" w:eastAsia="SimSun" w:hAnsi="Arial" w:cs="Arial"/>
          <w:b/>
          <w:bCs/>
          <w:sz w:val="22"/>
          <w:szCs w:val="22"/>
          <w:lang w:val="en-GB" w:eastAsia="zh-CN"/>
        </w:rPr>
        <w:t>:</w:t>
      </w:r>
      <w:r w:rsidRPr="006A0BB0">
        <w:rPr>
          <w:rFonts w:ascii="Arial" w:eastAsia="SimSun" w:hAnsi="Arial" w:cs="Arial"/>
          <w:b/>
          <w:bCs/>
          <w:sz w:val="22"/>
          <w:szCs w:val="22"/>
          <w:lang w:val="en-GB" w:eastAsia="zh-CN"/>
        </w:rPr>
        <w:br/>
      </w:r>
      <w:r w:rsidR="005853AC" w:rsidRPr="006A0BB0">
        <w:rPr>
          <w:rFonts w:ascii="Arial" w:eastAsia="SimSun" w:hAnsi="Arial" w:cs="Arial"/>
          <w:b/>
          <w:bCs/>
          <w:sz w:val="22"/>
          <w:szCs w:val="22"/>
          <w:lang w:val="en-GB" w:eastAsia="zh-CN"/>
        </w:rPr>
        <w:t>Utilization of the funds allocated for ‘ot</w:t>
      </w:r>
      <w:r w:rsidR="0004359C" w:rsidRPr="006A0BB0">
        <w:rPr>
          <w:rFonts w:ascii="Arial" w:eastAsia="SimSun" w:hAnsi="Arial" w:cs="Arial"/>
          <w:b/>
          <w:bCs/>
          <w:sz w:val="22"/>
          <w:szCs w:val="22"/>
          <w:lang w:val="en-GB" w:eastAsia="zh-CN"/>
        </w:rPr>
        <w:t>her functions of the Committee’</w:t>
      </w:r>
      <w:r w:rsidR="0004359C" w:rsidRPr="006A0BB0">
        <w:rPr>
          <w:rFonts w:ascii="Arial" w:eastAsia="SimSun" w:hAnsi="Arial" w:cs="Arial"/>
          <w:b/>
          <w:bCs/>
          <w:sz w:val="22"/>
          <w:szCs w:val="22"/>
          <w:lang w:val="en-GB" w:eastAsia="zh-CN"/>
        </w:rPr>
        <w:br/>
      </w:r>
      <w:r w:rsidR="005853AC" w:rsidRPr="006A0BB0">
        <w:rPr>
          <w:rFonts w:ascii="Arial" w:eastAsia="SimSun" w:hAnsi="Arial" w:cs="Arial"/>
          <w:b/>
          <w:bCs/>
          <w:sz w:val="22"/>
          <w:szCs w:val="22"/>
          <w:lang w:val="en-GB" w:eastAsia="zh-CN"/>
        </w:rPr>
        <w:t>under the Plan for the use of the resources of the Intangible Cultural Heritage Fund</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tblGrid>
      <w:tr w:rsidR="006C3FFC" w:rsidRPr="006A0BB0">
        <w:trPr>
          <w:jc w:val="center"/>
        </w:trPr>
        <w:tc>
          <w:tcPr>
            <w:tcW w:w="6097" w:type="dxa"/>
            <w:vAlign w:val="center"/>
          </w:tcPr>
          <w:p w:rsidR="00174C8B" w:rsidRPr="006A0BB0" w:rsidRDefault="00174C8B" w:rsidP="00174C8B">
            <w:pPr>
              <w:pStyle w:val="NoSpacing"/>
              <w:spacing w:before="200" w:after="200"/>
              <w:jc w:val="center"/>
              <w:rPr>
                <w:rFonts w:ascii="Arial" w:hAnsi="Arial" w:cs="Arial"/>
                <w:b/>
                <w:sz w:val="22"/>
                <w:szCs w:val="22"/>
                <w:lang w:val="en-GB"/>
              </w:rPr>
            </w:pPr>
            <w:r w:rsidRPr="006A0BB0">
              <w:rPr>
                <w:rFonts w:ascii="Arial" w:hAnsi="Arial" w:cs="Arial"/>
                <w:b/>
                <w:sz w:val="22"/>
                <w:szCs w:val="22"/>
                <w:lang w:val="en-GB"/>
              </w:rPr>
              <w:t>Summary</w:t>
            </w:r>
          </w:p>
          <w:p w:rsidR="00FE6CAF" w:rsidRPr="006A0BB0" w:rsidRDefault="00FE6CAF" w:rsidP="00FE6CAF">
            <w:pPr>
              <w:pStyle w:val="NoSpacing"/>
              <w:spacing w:before="200" w:after="200"/>
              <w:jc w:val="both"/>
              <w:rPr>
                <w:rFonts w:ascii="Arial" w:hAnsi="Arial" w:cs="Arial"/>
                <w:sz w:val="22"/>
                <w:szCs w:val="22"/>
                <w:lang w:val="en-GB"/>
              </w:rPr>
            </w:pPr>
            <w:r w:rsidRPr="006A0BB0">
              <w:rPr>
                <w:rFonts w:ascii="Arial" w:hAnsi="Arial" w:cs="Arial"/>
                <w:sz w:val="22"/>
                <w:szCs w:val="22"/>
                <w:lang w:val="en-GB"/>
              </w:rPr>
              <w:t xml:space="preserve">The Plan for the use of the resources of the Intangible Cultural Heritage Fund approved by the General Assembly for the period of </w:t>
            </w:r>
            <w:r w:rsidR="00BE62F6" w:rsidRPr="006A0BB0">
              <w:rPr>
                <w:rFonts w:ascii="Arial" w:hAnsi="Arial" w:cs="Arial"/>
                <w:sz w:val="22"/>
                <w:szCs w:val="22"/>
                <w:lang w:val="en-GB"/>
              </w:rPr>
              <w:t xml:space="preserve">1 January </w:t>
            </w:r>
            <w:r w:rsidRPr="006A0BB0">
              <w:rPr>
                <w:rFonts w:ascii="Arial" w:hAnsi="Arial" w:cs="Arial"/>
                <w:sz w:val="22"/>
                <w:szCs w:val="22"/>
                <w:lang w:val="en-GB"/>
              </w:rPr>
              <w:t>2012 to 31</w:t>
            </w:r>
            <w:r w:rsidR="00BE62F6" w:rsidRPr="006A0BB0">
              <w:rPr>
                <w:rFonts w:ascii="Arial" w:hAnsi="Arial" w:cs="Arial"/>
                <w:sz w:val="22"/>
                <w:szCs w:val="22"/>
                <w:lang w:val="en-GB"/>
              </w:rPr>
              <w:t xml:space="preserve"> </w:t>
            </w:r>
            <w:r w:rsidRPr="006A0BB0">
              <w:rPr>
                <w:rFonts w:ascii="Arial" w:hAnsi="Arial" w:cs="Arial"/>
                <w:sz w:val="22"/>
                <w:szCs w:val="22"/>
                <w:lang w:val="en-GB"/>
              </w:rPr>
              <w:t> </w:t>
            </w:r>
            <w:r w:rsidR="00BE62F6" w:rsidRPr="006A0BB0">
              <w:rPr>
                <w:rFonts w:ascii="Arial" w:hAnsi="Arial" w:cs="Arial"/>
                <w:sz w:val="22"/>
                <w:szCs w:val="22"/>
                <w:lang w:val="en-GB"/>
              </w:rPr>
              <w:t xml:space="preserve">December </w:t>
            </w:r>
            <w:r w:rsidRPr="006A0BB0">
              <w:rPr>
                <w:rFonts w:ascii="Arial" w:hAnsi="Arial" w:cs="Arial"/>
                <w:sz w:val="22"/>
                <w:szCs w:val="22"/>
                <w:lang w:val="en-GB"/>
              </w:rPr>
              <w:t xml:space="preserve">2013 provides that </w:t>
            </w:r>
            <w:r w:rsidR="00F4611E" w:rsidRPr="006A0BB0">
              <w:rPr>
                <w:rFonts w:ascii="Arial" w:hAnsi="Arial" w:cs="Arial"/>
                <w:sz w:val="22"/>
                <w:szCs w:val="22"/>
                <w:lang w:val="en-GB"/>
              </w:rPr>
              <w:t>a share</w:t>
            </w:r>
            <w:r w:rsidRPr="006A0BB0">
              <w:rPr>
                <w:rFonts w:ascii="Arial" w:hAnsi="Arial" w:cs="Arial"/>
                <w:sz w:val="22"/>
                <w:szCs w:val="22"/>
                <w:lang w:val="en-GB"/>
              </w:rPr>
              <w:t xml:space="preserve"> of the resources are allocated to ‘other functions of the Committee’ as described in Article 7 of the Convention and the Operational Directives.</w:t>
            </w:r>
          </w:p>
          <w:p w:rsidR="00FE6CAF" w:rsidRPr="006A0BB0" w:rsidRDefault="00FE6CAF" w:rsidP="00FE6CAF">
            <w:pPr>
              <w:pStyle w:val="NoSpacing"/>
              <w:spacing w:before="200" w:after="200"/>
              <w:jc w:val="both"/>
              <w:rPr>
                <w:rFonts w:ascii="Arial" w:hAnsi="Arial" w:cs="Arial"/>
                <w:sz w:val="22"/>
                <w:szCs w:val="22"/>
                <w:lang w:val="en-GB"/>
              </w:rPr>
            </w:pPr>
            <w:r w:rsidRPr="006A0BB0">
              <w:rPr>
                <w:rFonts w:ascii="Arial" w:hAnsi="Arial" w:cs="Arial"/>
                <w:sz w:val="22"/>
                <w:szCs w:val="22"/>
                <w:lang w:val="en-GB"/>
              </w:rPr>
              <w:t xml:space="preserve">The present document presents </w:t>
            </w:r>
            <w:r w:rsidR="00BE62F6" w:rsidRPr="006A0BB0">
              <w:rPr>
                <w:rFonts w:ascii="Arial" w:hAnsi="Arial" w:cs="Arial"/>
                <w:sz w:val="22"/>
                <w:szCs w:val="22"/>
                <w:lang w:val="en-GB"/>
              </w:rPr>
              <w:t xml:space="preserve">a </w:t>
            </w:r>
            <w:r w:rsidRPr="006A0BB0">
              <w:rPr>
                <w:rFonts w:ascii="Arial" w:hAnsi="Arial" w:cs="Arial"/>
                <w:sz w:val="22"/>
                <w:szCs w:val="22"/>
                <w:lang w:val="en-GB"/>
              </w:rPr>
              <w:t xml:space="preserve">specific proposal prepared by the Secretariat for the utilization of these funds for the period </w:t>
            </w:r>
            <w:r w:rsidR="00374371" w:rsidRPr="006A0BB0">
              <w:rPr>
                <w:rFonts w:ascii="Arial" w:hAnsi="Arial" w:cs="Arial"/>
                <w:sz w:val="22"/>
                <w:szCs w:val="22"/>
                <w:lang w:val="en-GB"/>
              </w:rPr>
              <w:t xml:space="preserve">beginning </w:t>
            </w:r>
            <w:r w:rsidR="00F4611E" w:rsidRPr="006A0BB0">
              <w:rPr>
                <w:rFonts w:ascii="Arial" w:hAnsi="Arial" w:cs="Arial"/>
                <w:sz w:val="22"/>
                <w:szCs w:val="22"/>
                <w:lang w:val="en-GB"/>
              </w:rPr>
              <w:t>1</w:t>
            </w:r>
            <w:r w:rsidR="00BE62F6" w:rsidRPr="006A0BB0">
              <w:rPr>
                <w:rFonts w:ascii="Arial" w:hAnsi="Arial" w:cs="Arial"/>
                <w:sz w:val="22"/>
                <w:szCs w:val="22"/>
                <w:lang w:val="en-GB"/>
              </w:rPr>
              <w:t xml:space="preserve"> July </w:t>
            </w:r>
            <w:r w:rsidRPr="006A0BB0">
              <w:rPr>
                <w:rFonts w:ascii="Arial" w:hAnsi="Arial" w:cs="Arial"/>
                <w:sz w:val="22"/>
                <w:szCs w:val="22"/>
                <w:lang w:val="en-GB"/>
              </w:rPr>
              <w:t>2012. Exercising the authority delegated by the Committee</w:t>
            </w:r>
            <w:r w:rsidR="00F4611E" w:rsidRPr="006A0BB0">
              <w:rPr>
                <w:rFonts w:ascii="Arial" w:hAnsi="Arial" w:cs="Arial"/>
                <w:sz w:val="22"/>
                <w:szCs w:val="22"/>
                <w:lang w:val="en-GB"/>
              </w:rPr>
              <w:t>,</w:t>
            </w:r>
            <w:r w:rsidRPr="006A0BB0">
              <w:rPr>
                <w:rFonts w:ascii="Arial" w:hAnsi="Arial" w:cs="Arial"/>
                <w:sz w:val="22"/>
                <w:szCs w:val="22"/>
                <w:lang w:val="en-GB"/>
              </w:rPr>
              <w:t xml:space="preserve"> the Bureau </w:t>
            </w:r>
            <w:r w:rsidR="00F4611E" w:rsidRPr="006A0BB0">
              <w:rPr>
                <w:rFonts w:ascii="Arial" w:hAnsi="Arial" w:cs="Arial"/>
                <w:sz w:val="22"/>
                <w:szCs w:val="22"/>
                <w:lang w:val="en-GB"/>
              </w:rPr>
              <w:t xml:space="preserve">is invited </w:t>
            </w:r>
            <w:r w:rsidRPr="006A0BB0">
              <w:rPr>
                <w:rFonts w:ascii="Arial" w:hAnsi="Arial" w:cs="Arial"/>
                <w:sz w:val="22"/>
                <w:szCs w:val="22"/>
                <w:lang w:val="en-GB"/>
              </w:rPr>
              <w:t xml:space="preserve">to decide upon the utilization of the funds allocated under this category on the basis of </w:t>
            </w:r>
            <w:r w:rsidR="00BE62F6" w:rsidRPr="006A0BB0">
              <w:rPr>
                <w:rFonts w:ascii="Arial" w:hAnsi="Arial" w:cs="Arial"/>
                <w:sz w:val="22"/>
                <w:szCs w:val="22"/>
                <w:lang w:val="en-GB"/>
              </w:rPr>
              <w:t xml:space="preserve">this </w:t>
            </w:r>
            <w:r w:rsidRPr="006A0BB0">
              <w:rPr>
                <w:rFonts w:ascii="Arial" w:hAnsi="Arial" w:cs="Arial"/>
                <w:sz w:val="22"/>
                <w:szCs w:val="22"/>
                <w:lang w:val="en-GB"/>
              </w:rPr>
              <w:t>specific proposal.</w:t>
            </w:r>
            <w:r w:rsidR="00BE62F6" w:rsidRPr="006A0BB0">
              <w:rPr>
                <w:rFonts w:ascii="Arial" w:hAnsi="Arial" w:cs="Arial"/>
                <w:sz w:val="22"/>
                <w:szCs w:val="22"/>
                <w:lang w:val="en-GB"/>
              </w:rPr>
              <w:t xml:space="preserve"> The Bureau is asked to take its decision through electronic consultation.</w:t>
            </w:r>
          </w:p>
          <w:p w:rsidR="006C3FFC" w:rsidRPr="006A0BB0" w:rsidRDefault="00F3749C" w:rsidP="00151737">
            <w:pPr>
              <w:pStyle w:val="NoSpacing"/>
              <w:spacing w:before="200" w:after="200"/>
              <w:rPr>
                <w:rFonts w:ascii="Arial" w:hAnsi="Arial" w:cs="Arial"/>
                <w:b/>
                <w:sz w:val="22"/>
                <w:szCs w:val="22"/>
                <w:lang w:val="en-GB"/>
              </w:rPr>
            </w:pPr>
            <w:r w:rsidRPr="006A0BB0">
              <w:rPr>
                <w:rFonts w:ascii="Arial" w:hAnsi="Arial" w:cs="Arial"/>
                <w:b/>
                <w:sz w:val="22"/>
                <w:szCs w:val="22"/>
                <w:lang w:val="en-GB"/>
              </w:rPr>
              <w:t xml:space="preserve">Decision required: </w:t>
            </w:r>
            <w:r w:rsidR="006A0BB0" w:rsidRPr="006A0BB0">
              <w:rPr>
                <w:rFonts w:ascii="Arial" w:hAnsi="Arial" w:cs="Arial"/>
                <w:bCs/>
                <w:sz w:val="22"/>
                <w:szCs w:val="22"/>
                <w:lang w:val="en-GB"/>
              </w:rPr>
              <w:t>paragraph </w:t>
            </w:r>
            <w:r w:rsidR="005110B8">
              <w:rPr>
                <w:rFonts w:ascii="Arial" w:hAnsi="Arial" w:cs="Arial"/>
                <w:bCs/>
                <w:sz w:val="22"/>
                <w:szCs w:val="22"/>
                <w:lang w:val="en-GB"/>
              </w:rPr>
              <w:t>16</w:t>
            </w:r>
          </w:p>
        </w:tc>
      </w:tr>
    </w:tbl>
    <w:p w:rsidR="00ED6DA8" w:rsidRPr="006A0BB0" w:rsidRDefault="00EF563B" w:rsidP="006A0BB0">
      <w:pPr>
        <w:pStyle w:val="Paragraph"/>
        <w:numPr>
          <w:ilvl w:val="0"/>
          <w:numId w:val="0"/>
        </w:numPr>
        <w:ind w:left="567" w:hanging="567"/>
      </w:pPr>
      <w:r w:rsidRPr="006A0BB0">
        <w:br w:type="page"/>
      </w:r>
    </w:p>
    <w:p w:rsidR="00A86168" w:rsidRPr="006A0BB0" w:rsidRDefault="00FA7037" w:rsidP="00B94A9A">
      <w:pPr>
        <w:pStyle w:val="Marge"/>
        <w:keepNext/>
        <w:numPr>
          <w:ilvl w:val="0"/>
          <w:numId w:val="33"/>
        </w:numPr>
        <w:tabs>
          <w:tab w:val="clear" w:pos="567"/>
        </w:tabs>
        <w:spacing w:before="240"/>
        <w:ind w:left="567" w:hanging="567"/>
        <w:rPr>
          <w:b/>
        </w:rPr>
      </w:pPr>
      <w:r w:rsidRPr="006A0BB0">
        <w:rPr>
          <w:b/>
        </w:rPr>
        <w:lastRenderedPageBreak/>
        <w:t>INTRODUCTION</w:t>
      </w:r>
    </w:p>
    <w:p w:rsidR="004A657A" w:rsidRPr="006A0BB0" w:rsidRDefault="00ED6DA8" w:rsidP="00B94A9A">
      <w:pPr>
        <w:pStyle w:val="Marge"/>
        <w:numPr>
          <w:ilvl w:val="0"/>
          <w:numId w:val="31"/>
        </w:numPr>
        <w:tabs>
          <w:tab w:val="clear" w:pos="567"/>
        </w:tabs>
        <w:spacing w:before="240"/>
        <w:ind w:left="567" w:hanging="567"/>
      </w:pPr>
      <w:r w:rsidRPr="006A0BB0">
        <w:t xml:space="preserve">At its fourth session, the General Assembly </w:t>
      </w:r>
      <w:r w:rsidR="00F4611E" w:rsidRPr="006A0BB0">
        <w:t xml:space="preserve">is to </w:t>
      </w:r>
      <w:r w:rsidR="00CF15A0" w:rsidRPr="006A0BB0">
        <w:t xml:space="preserve">adopt a Plan for the use of the resources of the Fund and budget for the period </w:t>
      </w:r>
      <w:r w:rsidR="006A0BB0" w:rsidRPr="006A0BB0">
        <w:t>1 January 2012 to 31 December </w:t>
      </w:r>
      <w:r w:rsidR="00CF15A0" w:rsidRPr="006A0BB0">
        <w:t>201</w:t>
      </w:r>
      <w:r w:rsidR="00FE6CAF" w:rsidRPr="006A0BB0">
        <w:t>3</w:t>
      </w:r>
      <w:r w:rsidR="00CF15A0" w:rsidRPr="006A0BB0">
        <w:t xml:space="preserve"> (Resolution 4.GA 7) which </w:t>
      </w:r>
      <w:r w:rsidR="00F4611E" w:rsidRPr="006A0BB0">
        <w:t xml:space="preserve">allocates a portion </w:t>
      </w:r>
      <w:r w:rsidR="00655893" w:rsidRPr="006A0BB0">
        <w:t xml:space="preserve">of the </w:t>
      </w:r>
      <w:r w:rsidR="00F4611E" w:rsidRPr="006A0BB0">
        <w:t>budget</w:t>
      </w:r>
      <w:r w:rsidR="002A570B" w:rsidRPr="006A0BB0">
        <w:t xml:space="preserve"> </w:t>
      </w:r>
      <w:r w:rsidR="006A0BB0" w:rsidRPr="006A0BB0">
        <w:t>under line </w:t>
      </w:r>
      <w:r w:rsidR="00F4611E" w:rsidRPr="006A0BB0">
        <w:t xml:space="preserve">3 </w:t>
      </w:r>
      <w:r w:rsidR="00CF15A0" w:rsidRPr="006A0BB0">
        <w:t>for ‘Other function</w:t>
      </w:r>
      <w:r w:rsidR="00261D41" w:rsidRPr="006A0BB0">
        <w:t>s</w:t>
      </w:r>
      <w:r w:rsidR="00CF15A0" w:rsidRPr="006A0BB0">
        <w:t xml:space="preserve"> of the Committee’</w:t>
      </w:r>
      <w:r w:rsidR="00BE62F6" w:rsidRPr="006A0BB0">
        <w:t>,</w:t>
      </w:r>
      <w:r w:rsidR="00CF15A0" w:rsidRPr="006A0BB0">
        <w:t xml:space="preserve"> as described in Article 7 of the Convention and in the Operational Directives</w:t>
      </w:r>
      <w:r w:rsidR="00BE62F6" w:rsidRPr="006A0BB0">
        <w:t>. Such ‘other functions’ aim</w:t>
      </w:r>
      <w:r w:rsidR="00CF15A0" w:rsidRPr="006A0BB0">
        <w:t xml:space="preserve">, </w:t>
      </w:r>
      <w:r w:rsidR="00655893" w:rsidRPr="006A0BB0">
        <w:t>in particular</w:t>
      </w:r>
      <w:r w:rsidR="00BE62F6" w:rsidRPr="006A0BB0">
        <w:t>, at</w:t>
      </w:r>
      <w:r w:rsidR="00261D41" w:rsidRPr="006A0BB0">
        <w:t xml:space="preserve"> </w:t>
      </w:r>
      <w:r w:rsidR="00655893" w:rsidRPr="006A0BB0">
        <w:t>promoting the objectives of the Convention and encouraging and monitoring its implementation through strengthening institutional and community capacities for effectively safeguarding intangible cultural heritage, raising awareness of such heritage and its significance</w:t>
      </w:r>
      <w:r w:rsidR="00F4611E" w:rsidRPr="006A0BB0">
        <w:t>,</w:t>
      </w:r>
      <w:r w:rsidR="00655893" w:rsidRPr="006A0BB0">
        <w:t xml:space="preserve"> and disseminating information about best safeguarding practices. </w:t>
      </w:r>
      <w:r w:rsidR="00D726C7" w:rsidRPr="006A0BB0">
        <w:t xml:space="preserve">This </w:t>
      </w:r>
      <w:r w:rsidR="001F7A27" w:rsidRPr="006A0BB0">
        <w:t xml:space="preserve">support has been instrumental to supplement the Regular Programme and Budget of the Organization. It </w:t>
      </w:r>
      <w:r w:rsidR="00D726C7" w:rsidRPr="006A0BB0">
        <w:t xml:space="preserve">is of particular importance </w:t>
      </w:r>
      <w:r w:rsidR="00A86168" w:rsidRPr="006A0BB0">
        <w:t>under the present financial situation.</w:t>
      </w:r>
    </w:p>
    <w:p w:rsidR="002A570B" w:rsidRPr="006A0BB0" w:rsidRDefault="00655893" w:rsidP="00B94A9A">
      <w:pPr>
        <w:pStyle w:val="Marge"/>
        <w:numPr>
          <w:ilvl w:val="0"/>
          <w:numId w:val="31"/>
        </w:numPr>
        <w:tabs>
          <w:tab w:val="clear" w:pos="567"/>
        </w:tabs>
        <w:spacing w:before="240"/>
        <w:ind w:left="567" w:hanging="567"/>
      </w:pPr>
      <w:r w:rsidRPr="006A0BB0">
        <w:t xml:space="preserve">In its </w:t>
      </w:r>
      <w:r w:rsidR="002A570B" w:rsidRPr="006A0BB0">
        <w:t>D</w:t>
      </w:r>
      <w:r w:rsidRPr="006A0BB0">
        <w:t xml:space="preserve">ecision </w:t>
      </w:r>
      <w:r w:rsidR="002A570B" w:rsidRPr="006A0BB0">
        <w:t>6</w:t>
      </w:r>
      <w:r w:rsidRPr="006A0BB0">
        <w:t>.COM </w:t>
      </w:r>
      <w:r w:rsidR="002A570B" w:rsidRPr="006A0BB0">
        <w:t>20</w:t>
      </w:r>
      <w:r w:rsidRPr="006A0BB0">
        <w:t xml:space="preserve">, the Committee </w:t>
      </w:r>
      <w:r w:rsidR="002A570B" w:rsidRPr="006A0BB0">
        <w:t xml:space="preserve">decided to continue with the mechanism </w:t>
      </w:r>
      <w:r w:rsidRPr="006A0BB0">
        <w:t xml:space="preserve">set in place </w:t>
      </w:r>
      <w:r w:rsidR="002A570B" w:rsidRPr="006A0BB0">
        <w:t>in previous sessions</w:t>
      </w:r>
      <w:r w:rsidRPr="006A0BB0">
        <w:t xml:space="preserve"> for authorizing expenditures</w:t>
      </w:r>
      <w:r w:rsidR="00FE6CAF" w:rsidRPr="006A0BB0">
        <w:t xml:space="preserve"> in this category. In </w:t>
      </w:r>
      <w:r w:rsidRPr="006A0BB0">
        <w:t>that Decision, the Committee ‘delegates to its Bureau the authority to decide upon the utilization of</w:t>
      </w:r>
      <w:r w:rsidR="006A0BB0" w:rsidRPr="006A0BB0">
        <w:t xml:space="preserve"> the funds allocated under item </w:t>
      </w:r>
      <w:r w:rsidRPr="006A0BB0">
        <w:t>3 of the Plan, on the basis of specific proposals to be prepared by the Secretariat’.</w:t>
      </w:r>
    </w:p>
    <w:p w:rsidR="00D726C7" w:rsidRPr="006A0BB0" w:rsidRDefault="00D726C7" w:rsidP="00B94A9A">
      <w:pPr>
        <w:pStyle w:val="Marge"/>
        <w:numPr>
          <w:ilvl w:val="0"/>
          <w:numId w:val="31"/>
        </w:numPr>
        <w:tabs>
          <w:tab w:val="clear" w:pos="567"/>
        </w:tabs>
        <w:spacing w:before="240"/>
        <w:ind w:left="567" w:hanging="567"/>
      </w:pPr>
      <w:r w:rsidRPr="006A0BB0">
        <w:t>The total amount to be allocated for the biennium under this budget line will be decided by the General Assembly during its fourth session and is unknown at the time of writing. Two options are presented in the annexes to its Document 4.GA 7: the total available under budget line 3 for ‘other functions of the Committee’ is either US$1,107,811 (Annex I: Plan submitted by the Committee) or US$923,176 (</w:t>
      </w:r>
      <w:r w:rsidRPr="006A0BB0">
        <w:rPr>
          <w:bCs/>
        </w:rPr>
        <w:t>Annex II: Alternative plan proposed by the Secretariat).</w:t>
      </w:r>
    </w:p>
    <w:p w:rsidR="00F4611E" w:rsidRPr="006A0BB0" w:rsidRDefault="008E6921" w:rsidP="00B94A9A">
      <w:pPr>
        <w:pStyle w:val="Marge"/>
        <w:numPr>
          <w:ilvl w:val="0"/>
          <w:numId w:val="31"/>
        </w:numPr>
        <w:tabs>
          <w:tab w:val="clear" w:pos="567"/>
        </w:tabs>
        <w:spacing w:before="240"/>
        <w:ind w:left="567" w:hanging="567"/>
      </w:pPr>
      <w:r w:rsidRPr="006A0BB0">
        <w:t>The Secretariat would now like to request the Bureau’s approval for a specific proposal, as annexed to this document</w:t>
      </w:r>
      <w:r w:rsidR="00973155" w:rsidRPr="006A0BB0">
        <w:t xml:space="preserve"> and described in part III below</w:t>
      </w:r>
      <w:r w:rsidRPr="006A0BB0">
        <w:t xml:space="preserve">, </w:t>
      </w:r>
      <w:r w:rsidR="00374371" w:rsidRPr="006A0BB0">
        <w:t>to</w:t>
      </w:r>
      <w:r w:rsidRPr="006A0BB0">
        <w:t xml:space="preserve"> use the amount of US$594,000 for the period </w:t>
      </w:r>
      <w:r w:rsidR="00374371" w:rsidRPr="006A0BB0">
        <w:t xml:space="preserve">beginning </w:t>
      </w:r>
      <w:r w:rsidR="00BE62F6" w:rsidRPr="006A0BB0">
        <w:t>1</w:t>
      </w:r>
      <w:r w:rsidR="00BA3A03" w:rsidRPr="006A0BB0">
        <w:t> </w:t>
      </w:r>
      <w:r w:rsidR="00795BB6" w:rsidRPr="006A0BB0">
        <w:t>July</w:t>
      </w:r>
      <w:r w:rsidR="00BA3A03" w:rsidRPr="006A0BB0">
        <w:t> </w:t>
      </w:r>
      <w:r w:rsidRPr="006A0BB0">
        <w:t xml:space="preserve">2012. </w:t>
      </w:r>
      <w:r w:rsidR="00374371" w:rsidRPr="006A0BB0">
        <w:t xml:space="preserve">The Bureau previously approved the amount of </w:t>
      </w:r>
      <w:r w:rsidR="00374371" w:rsidRPr="006A0BB0">
        <w:rPr>
          <w:bCs/>
        </w:rPr>
        <w:t>US$210,663 for use during the period 1</w:t>
      </w:r>
      <w:r w:rsidR="00BA3A03" w:rsidRPr="006A0BB0">
        <w:rPr>
          <w:bCs/>
        </w:rPr>
        <w:t> </w:t>
      </w:r>
      <w:r w:rsidR="00374371" w:rsidRPr="006A0BB0">
        <w:rPr>
          <w:bCs/>
        </w:rPr>
        <w:t>January</w:t>
      </w:r>
      <w:r w:rsidR="00BA3A03" w:rsidRPr="006A0BB0">
        <w:rPr>
          <w:bCs/>
        </w:rPr>
        <w:t> </w:t>
      </w:r>
      <w:r w:rsidR="00374371" w:rsidRPr="006A0BB0">
        <w:rPr>
          <w:bCs/>
        </w:rPr>
        <w:t>2012 to 30</w:t>
      </w:r>
      <w:r w:rsidR="00BA3A03" w:rsidRPr="006A0BB0">
        <w:rPr>
          <w:bCs/>
        </w:rPr>
        <w:t> </w:t>
      </w:r>
      <w:r w:rsidR="00374371" w:rsidRPr="006A0BB0">
        <w:rPr>
          <w:bCs/>
        </w:rPr>
        <w:t>June</w:t>
      </w:r>
      <w:r w:rsidR="00BA3A03" w:rsidRPr="006A0BB0">
        <w:rPr>
          <w:bCs/>
        </w:rPr>
        <w:t> </w:t>
      </w:r>
      <w:r w:rsidR="00374371" w:rsidRPr="006A0BB0">
        <w:rPr>
          <w:bCs/>
        </w:rPr>
        <w:t>2012 (see its Decision 6.COM 2.BUR 4 of 24 November 2011)</w:t>
      </w:r>
      <w:r w:rsidR="00BA3857" w:rsidRPr="006A0BB0">
        <w:rPr>
          <w:bCs/>
        </w:rPr>
        <w:t xml:space="preserve">; these funds have almost </w:t>
      </w:r>
      <w:r w:rsidR="00A86168" w:rsidRPr="006A0BB0">
        <w:rPr>
          <w:bCs/>
        </w:rPr>
        <w:t>been exhausted</w:t>
      </w:r>
      <w:r w:rsidR="00374371" w:rsidRPr="006A0BB0">
        <w:rPr>
          <w:bCs/>
        </w:rPr>
        <w:t xml:space="preserve">. The Secretariat will return to the Bureau in mid-2013 with a proposed spending plan for the balance remaining </w:t>
      </w:r>
      <w:r w:rsidR="006A676F" w:rsidRPr="006A0BB0">
        <w:rPr>
          <w:bCs/>
        </w:rPr>
        <w:t>during</w:t>
      </w:r>
      <w:r w:rsidR="00374371" w:rsidRPr="006A0BB0">
        <w:rPr>
          <w:bCs/>
        </w:rPr>
        <w:t xml:space="preserve"> the biennium</w:t>
      </w:r>
      <w:r w:rsidR="001F7A27" w:rsidRPr="006A0BB0">
        <w:rPr>
          <w:bCs/>
        </w:rPr>
        <w:t xml:space="preserve"> under this line of Plan for the use of the resources of the Fund</w:t>
      </w:r>
      <w:r w:rsidR="00374371" w:rsidRPr="006A0BB0">
        <w:rPr>
          <w:bCs/>
        </w:rPr>
        <w:t>.</w:t>
      </w:r>
      <w:r w:rsidR="006A0BB0" w:rsidRPr="006A0BB0">
        <w:t xml:space="preserve"> </w:t>
      </w:r>
      <w:r w:rsidR="00374371" w:rsidRPr="006A0BB0">
        <w:rPr>
          <w:bCs/>
        </w:rPr>
        <w:t>The US$594,000 requested here thus represents 54% of the total allocation for the biennium under the Committee’s proposal or 64% of the total allocation for the biennium under the Secretariat’s</w:t>
      </w:r>
      <w:r w:rsidR="00795BB6" w:rsidRPr="006A0BB0">
        <w:rPr>
          <w:bCs/>
        </w:rPr>
        <w:t xml:space="preserve"> </w:t>
      </w:r>
      <w:r w:rsidR="00374371" w:rsidRPr="006A0BB0">
        <w:rPr>
          <w:bCs/>
        </w:rPr>
        <w:t xml:space="preserve">alternative. </w:t>
      </w:r>
    </w:p>
    <w:p w:rsidR="00FA7037" w:rsidRPr="006A0BB0" w:rsidRDefault="00FA7037" w:rsidP="00B94A9A">
      <w:pPr>
        <w:pStyle w:val="Marge"/>
        <w:keepNext/>
        <w:numPr>
          <w:ilvl w:val="0"/>
          <w:numId w:val="33"/>
        </w:numPr>
        <w:tabs>
          <w:tab w:val="clear" w:pos="567"/>
        </w:tabs>
        <w:spacing w:before="240"/>
        <w:ind w:left="567" w:hanging="567"/>
        <w:rPr>
          <w:b/>
        </w:rPr>
      </w:pPr>
      <w:r w:rsidRPr="006A0BB0">
        <w:rPr>
          <w:b/>
        </w:rPr>
        <w:t>RESULTS FROM PREVIOUS EXPENDITURES FOR ‘OTHER FUNCTIONS OF THE COMMITTEE’</w:t>
      </w:r>
    </w:p>
    <w:p w:rsidR="00106E25" w:rsidRPr="006A0BB0" w:rsidRDefault="00106E25" w:rsidP="00B94A9A">
      <w:pPr>
        <w:pStyle w:val="Marge"/>
        <w:numPr>
          <w:ilvl w:val="0"/>
          <w:numId w:val="31"/>
        </w:numPr>
        <w:tabs>
          <w:tab w:val="clear" w:pos="567"/>
        </w:tabs>
        <w:spacing w:before="240"/>
        <w:ind w:left="567" w:hanging="567"/>
      </w:pPr>
      <w:r w:rsidRPr="006A0BB0">
        <w:t xml:space="preserve">As shown in document ITH/12/4.GA/INF.7.1, almost 90% of the funds allocated by the General Assembly to ‘Other functions of the Committee’ </w:t>
      </w:r>
      <w:r w:rsidR="006A0BB0" w:rsidRPr="006A0BB0">
        <w:t>for the period of 1 January 2010 to 31 December </w:t>
      </w:r>
      <w:r w:rsidR="004E6E9C" w:rsidRPr="006A0BB0">
        <w:t xml:space="preserve">2011 </w:t>
      </w:r>
      <w:r w:rsidR="00FA7037" w:rsidRPr="006A0BB0">
        <w:t xml:space="preserve">were </w:t>
      </w:r>
      <w:r w:rsidRPr="006A0BB0">
        <w:t>spent</w:t>
      </w:r>
      <w:r w:rsidR="004E6E9C" w:rsidRPr="006A0BB0">
        <w:t xml:space="preserve">, showing the highest execution rate </w:t>
      </w:r>
      <w:r w:rsidR="00151737" w:rsidRPr="006A0BB0">
        <w:t xml:space="preserve">of any budget line </w:t>
      </w:r>
      <w:r w:rsidR="00FA7037" w:rsidRPr="006A0BB0">
        <w:t>within</w:t>
      </w:r>
      <w:r w:rsidR="004E6E9C" w:rsidRPr="006A0BB0">
        <w:t xml:space="preserve"> the </w:t>
      </w:r>
      <w:r w:rsidR="006A0BB0" w:rsidRPr="006A0BB0">
        <w:t>2010-2011 </w:t>
      </w:r>
      <w:r w:rsidR="004E6E9C" w:rsidRPr="006A0BB0">
        <w:t>Plan for the use of the resources of the Fund</w:t>
      </w:r>
      <w:r w:rsidRPr="006A0BB0">
        <w:t>. Three-fourths of the resources supported the development of capacity-building materials and the implementation of the first phase of the global capacity-building strategy</w:t>
      </w:r>
      <w:r w:rsidR="00FA7037" w:rsidRPr="006A0BB0">
        <w:t>, including</w:t>
      </w:r>
      <w:r w:rsidRPr="006A0BB0">
        <w:t xml:space="preserve"> the organization of a series of six regional training of </w:t>
      </w:r>
      <w:proofErr w:type="gramStart"/>
      <w:r w:rsidRPr="006A0BB0">
        <w:t>trainers</w:t>
      </w:r>
      <w:proofErr w:type="gramEnd"/>
      <w:r w:rsidRPr="006A0BB0">
        <w:t xml:space="preserve"> workshops to provide intensive training</w:t>
      </w:r>
      <w:r w:rsidR="006A676F" w:rsidRPr="006A0BB0">
        <w:t xml:space="preserve"> on these materials</w:t>
      </w:r>
      <w:r w:rsidRPr="006A0BB0">
        <w:t xml:space="preserve"> to a network of sixty-</w:t>
      </w:r>
      <w:r w:rsidR="006A676F" w:rsidRPr="006A0BB0">
        <w:t xml:space="preserve">five </w:t>
      </w:r>
      <w:r w:rsidRPr="006A0BB0">
        <w:t>experts from all regions</w:t>
      </w:r>
      <w:r w:rsidR="00FA7037" w:rsidRPr="006A0BB0">
        <w:t>. T</w:t>
      </w:r>
      <w:r w:rsidRPr="006A0BB0">
        <w:t xml:space="preserve">wo regional capacity-building workshops </w:t>
      </w:r>
      <w:r w:rsidR="00FA7037" w:rsidRPr="006A0BB0">
        <w:t xml:space="preserve">were </w:t>
      </w:r>
      <w:r w:rsidRPr="006A0BB0">
        <w:t>organized for African and Latin American NGOs active in the field of safeguarding intangible cultural heritage. The remaining one-fourth supported awareness</w:t>
      </w:r>
      <w:r w:rsidR="00151737" w:rsidRPr="006A0BB0">
        <w:t>-</w:t>
      </w:r>
      <w:r w:rsidRPr="006A0BB0">
        <w:t xml:space="preserve">raising activities, information sharing and knowledge management. Detailed reports on the progress of implementation and the </w:t>
      </w:r>
      <w:r w:rsidR="00FA7037" w:rsidRPr="006A0BB0">
        <w:t xml:space="preserve">use of </w:t>
      </w:r>
      <w:r w:rsidRPr="006A0BB0">
        <w:t>the funds can be found in</w:t>
      </w:r>
      <w:r w:rsidR="006A0BB0" w:rsidRPr="006A0BB0">
        <w:t xml:space="preserve"> documents ITH/10/5.COM 2.BUR/4 </w:t>
      </w:r>
      <w:r w:rsidRPr="006A0BB0">
        <w:t xml:space="preserve">Rev and ITH/11/6.COM 2.BUR/4. </w:t>
      </w:r>
    </w:p>
    <w:p w:rsidR="00D726C7" w:rsidRPr="006A0BB0" w:rsidRDefault="00106E25" w:rsidP="00B94A9A">
      <w:pPr>
        <w:pStyle w:val="Marge"/>
        <w:numPr>
          <w:ilvl w:val="0"/>
          <w:numId w:val="31"/>
        </w:numPr>
        <w:tabs>
          <w:tab w:val="clear" w:pos="567"/>
        </w:tabs>
        <w:spacing w:before="240"/>
        <w:ind w:left="567" w:hanging="567"/>
      </w:pPr>
      <w:r w:rsidRPr="006A0BB0">
        <w:lastRenderedPageBreak/>
        <w:t xml:space="preserve">To date, more than </w:t>
      </w:r>
      <w:r w:rsidR="004E6E9C" w:rsidRPr="006A0BB0">
        <w:t xml:space="preserve">90% of the funds allocated to ‘Other functions of the Committee’ for the period of </w:t>
      </w:r>
      <w:r w:rsidR="006A676F" w:rsidRPr="006A0BB0">
        <w:t xml:space="preserve">1 </w:t>
      </w:r>
      <w:r w:rsidR="004E6E9C" w:rsidRPr="006A0BB0">
        <w:t xml:space="preserve">January to </w:t>
      </w:r>
      <w:r w:rsidR="006A676F" w:rsidRPr="006A0BB0">
        <w:t xml:space="preserve">30 June </w:t>
      </w:r>
      <w:r w:rsidR="004E6E9C" w:rsidRPr="006A0BB0">
        <w:t>2012 have</w:t>
      </w:r>
      <w:r w:rsidR="00BB72E7" w:rsidRPr="006A0BB0">
        <w:t xml:space="preserve"> also</w:t>
      </w:r>
      <w:r w:rsidR="004E6E9C" w:rsidRPr="006A0BB0">
        <w:t xml:space="preserve"> been </w:t>
      </w:r>
      <w:r w:rsidR="00A42295" w:rsidRPr="006A0BB0">
        <w:t xml:space="preserve">committed or </w:t>
      </w:r>
      <w:r w:rsidR="004E6E9C" w:rsidRPr="006A0BB0">
        <w:t>spent</w:t>
      </w:r>
      <w:r w:rsidR="006A676F" w:rsidRPr="006A0BB0">
        <w:t xml:space="preserve"> in line with the plan approved in </w:t>
      </w:r>
      <w:r w:rsidR="006A0BB0" w:rsidRPr="006A0BB0">
        <w:rPr>
          <w:bCs/>
        </w:rPr>
        <w:t>Decision 6.COM 2.BUR </w:t>
      </w:r>
      <w:r w:rsidR="006A676F" w:rsidRPr="006A0BB0">
        <w:rPr>
          <w:bCs/>
        </w:rPr>
        <w:t>4</w:t>
      </w:r>
      <w:r w:rsidR="000D10F7" w:rsidRPr="006A0BB0">
        <w:t xml:space="preserve">. </w:t>
      </w:r>
    </w:p>
    <w:p w:rsidR="00FA7037" w:rsidRPr="006A0BB0" w:rsidRDefault="00FA7037" w:rsidP="00B94A9A">
      <w:pPr>
        <w:pStyle w:val="Marge"/>
        <w:numPr>
          <w:ilvl w:val="1"/>
          <w:numId w:val="31"/>
        </w:numPr>
        <w:tabs>
          <w:tab w:val="clear" w:pos="567"/>
        </w:tabs>
        <w:spacing w:before="240"/>
      </w:pPr>
      <w:r w:rsidRPr="006A0BB0">
        <w:t>For</w:t>
      </w:r>
      <w:r w:rsidR="000D10F7" w:rsidRPr="006A0BB0">
        <w:t xml:space="preserve"> the four </w:t>
      </w:r>
      <w:r w:rsidRPr="006A0BB0">
        <w:t>priority curricula for capacity building</w:t>
      </w:r>
      <w:r w:rsidR="000D10F7" w:rsidRPr="006A0BB0">
        <w:t xml:space="preserve"> (ratification, implementing the Convention at the national level, community-based inventorying and elaborating nominations to the Urgent Safeguarding List) </w:t>
      </w:r>
      <w:r w:rsidRPr="006A0BB0">
        <w:t xml:space="preserve">content development </w:t>
      </w:r>
      <w:r w:rsidR="000D10F7" w:rsidRPr="006A0BB0">
        <w:t xml:space="preserve">has been completed in English and </w:t>
      </w:r>
      <w:r w:rsidRPr="006A0BB0">
        <w:t xml:space="preserve">much </w:t>
      </w:r>
      <w:r w:rsidR="000D10F7" w:rsidRPr="006A0BB0">
        <w:t xml:space="preserve">of the </w:t>
      </w:r>
      <w:r w:rsidRPr="006A0BB0">
        <w:t xml:space="preserve">material </w:t>
      </w:r>
      <w:r w:rsidR="000D10F7" w:rsidRPr="006A0BB0">
        <w:t>has already been translated into French</w:t>
      </w:r>
      <w:r w:rsidRPr="006A0BB0">
        <w:t>. (Additional translation</w:t>
      </w:r>
      <w:r w:rsidR="000D10F7" w:rsidRPr="006A0BB0">
        <w:t xml:space="preserve"> into Arabic, Portuguese, Russian and Spanish</w:t>
      </w:r>
      <w:r w:rsidR="00045401" w:rsidRPr="006A0BB0">
        <w:t xml:space="preserve"> </w:t>
      </w:r>
      <w:r w:rsidRPr="006A0BB0">
        <w:t xml:space="preserve">is accomplished </w:t>
      </w:r>
      <w:r w:rsidR="000D10F7" w:rsidRPr="006A0BB0">
        <w:t>within the framework of capacity-building project</w:t>
      </w:r>
      <w:r w:rsidR="005D04D9" w:rsidRPr="006A0BB0">
        <w:t xml:space="preserve">s financed by extra-budgetary </w:t>
      </w:r>
      <w:r w:rsidR="000D10F7" w:rsidRPr="006A0BB0">
        <w:t>sources.</w:t>
      </w:r>
      <w:r w:rsidRPr="006A0BB0">
        <w:t>)</w:t>
      </w:r>
      <w:r w:rsidR="000D10F7" w:rsidRPr="006A0BB0">
        <w:t xml:space="preserve"> </w:t>
      </w:r>
      <w:r w:rsidRPr="006A0BB0">
        <w:t>Efforts continue to consolidate and expand the network of</w:t>
      </w:r>
      <w:r w:rsidR="006A676F" w:rsidRPr="006A0BB0">
        <w:t xml:space="preserve"> facilitators who</w:t>
      </w:r>
      <w:r w:rsidRPr="006A0BB0">
        <w:t xml:space="preserve"> were trained in 2011 and who are now </w:t>
      </w:r>
      <w:r w:rsidR="006A676F" w:rsidRPr="006A0BB0">
        <w:t>conduc</w:t>
      </w:r>
      <w:r w:rsidRPr="006A0BB0">
        <w:t xml:space="preserve">ting capacity-building workshops on priority themes all over the world. In April 2012, using these resources, staff from the School of African Heritage (EPA) in Benin were trained on the main concepts and mechanisms of the Convention as were several African university lecturers in the field of heritage in close cooperation with the Centre for Heritage Development in Africa (CHDA). </w:t>
      </w:r>
    </w:p>
    <w:p w:rsidR="00FA7037" w:rsidRPr="006A0BB0" w:rsidRDefault="006A0BB0" w:rsidP="00B94A9A">
      <w:pPr>
        <w:pStyle w:val="Marge"/>
        <w:numPr>
          <w:ilvl w:val="1"/>
          <w:numId w:val="31"/>
        </w:numPr>
        <w:tabs>
          <w:tab w:val="clear" w:pos="567"/>
        </w:tabs>
        <w:spacing w:before="240"/>
      </w:pPr>
      <w:r w:rsidRPr="006A0BB0">
        <w:t>Paragraph </w:t>
      </w:r>
      <w:r w:rsidR="00FA7037" w:rsidRPr="006A0BB0">
        <w:t xml:space="preserve">118 of the Operational Directives provides that ‘the Committee updates and publishes annually the List of Intangible Cultural Heritage in Need of Urgent Safeguarding, the Representative List of the Intangible Cultural Heritage of Humanity and register of programmes, projects and activities that best reflect the principles and objectives of the Convention’. The Committee published a </w:t>
      </w:r>
      <w:r w:rsidR="006A676F" w:rsidRPr="006A0BB0">
        <w:t xml:space="preserve">printed </w:t>
      </w:r>
      <w:r w:rsidR="00FA7037" w:rsidRPr="006A0BB0">
        <w:t xml:space="preserve">leaflet in English and French on the elements inscribed on the Representative List and the Urgent Safeguarding List and the Best Safeguarding Practices selected by the Committee in 2011. It also published brochures on the 2010 and 2011 Representative List, Urgent Safeguarding List and Register of Best Practices in electronic </w:t>
      </w:r>
      <w:r w:rsidR="006A676F" w:rsidRPr="006A0BB0">
        <w:t>format</w:t>
      </w:r>
      <w:r w:rsidR="00FA7037" w:rsidRPr="006A0BB0">
        <w:t>. The Secretariat is working closely with a Brazilian non-governmental organization to produce information materials on Fandango’s Living Museum which was selected by the Committee as a best safeguarding practice in November 2011.</w:t>
      </w:r>
    </w:p>
    <w:p w:rsidR="00430827" w:rsidRPr="006A0BB0" w:rsidRDefault="00BF30AB" w:rsidP="00B94A9A">
      <w:pPr>
        <w:pStyle w:val="Marge"/>
        <w:numPr>
          <w:ilvl w:val="1"/>
          <w:numId w:val="31"/>
        </w:numPr>
        <w:tabs>
          <w:tab w:val="clear" w:pos="567"/>
        </w:tabs>
        <w:spacing w:before="240"/>
      </w:pPr>
      <w:r w:rsidRPr="006A0BB0">
        <w:t xml:space="preserve">Using the funds allocated for knowledge management, the Secretariat has </w:t>
      </w:r>
      <w:r w:rsidR="00430827" w:rsidRPr="006A0BB0">
        <w:t xml:space="preserve">significantly enhanced </w:t>
      </w:r>
      <w:r w:rsidRPr="006A0BB0">
        <w:t xml:space="preserve">the system </w:t>
      </w:r>
      <w:r w:rsidR="00430827" w:rsidRPr="006A0BB0">
        <w:t>at different levels: core navigation functions of the internal interface have been updated for improved data management</w:t>
      </w:r>
      <w:r w:rsidR="00F905A8" w:rsidRPr="006A0BB0">
        <w:t xml:space="preserve"> by the Secretariat</w:t>
      </w:r>
      <w:r w:rsidR="00430827" w:rsidRPr="006A0BB0">
        <w:t xml:space="preserve">; an online tool for the registration of </w:t>
      </w:r>
      <w:r w:rsidRPr="006A0BB0">
        <w:t xml:space="preserve">participants for </w:t>
      </w:r>
      <w:r w:rsidR="00430827" w:rsidRPr="006A0BB0">
        <w:t>statutory meeting</w:t>
      </w:r>
      <w:r w:rsidR="00325CEB" w:rsidRPr="006A0BB0">
        <w:t xml:space="preserve">s </w:t>
      </w:r>
      <w:r w:rsidR="00430827" w:rsidRPr="006A0BB0">
        <w:t xml:space="preserve">has been </w:t>
      </w:r>
      <w:r w:rsidR="00F905A8" w:rsidRPr="006A0BB0">
        <w:t xml:space="preserve">successfully </w:t>
      </w:r>
      <w:r w:rsidR="006A0BB0">
        <w:t>launched in May </w:t>
      </w:r>
      <w:r w:rsidR="00325CEB" w:rsidRPr="006A0BB0">
        <w:t xml:space="preserve">2012, resulting in </w:t>
      </w:r>
      <w:r w:rsidR="00BA3857" w:rsidRPr="006A0BB0">
        <w:t xml:space="preserve">highly </w:t>
      </w:r>
      <w:r w:rsidRPr="006A0BB0">
        <w:t>improved</w:t>
      </w:r>
      <w:r w:rsidR="00325CEB" w:rsidRPr="006A0BB0">
        <w:t xml:space="preserve"> functionalities</w:t>
      </w:r>
      <w:r w:rsidR="00F905A8" w:rsidRPr="006A0BB0">
        <w:t xml:space="preserve"> for almost 500 participants</w:t>
      </w:r>
      <w:r w:rsidR="00325CEB" w:rsidRPr="006A0BB0">
        <w:t xml:space="preserve">; online interfaces have been developed for </w:t>
      </w:r>
      <w:r w:rsidRPr="006A0BB0">
        <w:t xml:space="preserve">an online calendar and directory of events </w:t>
      </w:r>
      <w:r w:rsidR="00325CEB" w:rsidRPr="006A0BB0">
        <w:t xml:space="preserve">undertaken within States </w:t>
      </w:r>
      <w:r w:rsidRPr="006A0BB0">
        <w:t xml:space="preserve">on </w:t>
      </w:r>
      <w:r w:rsidR="00430827" w:rsidRPr="006A0BB0">
        <w:t xml:space="preserve">the occasion of the </w:t>
      </w:r>
      <w:r w:rsidR="00325CEB" w:rsidRPr="006A0BB0">
        <w:t>10</w:t>
      </w:r>
      <w:r w:rsidR="00325CEB" w:rsidRPr="006A0BB0">
        <w:rPr>
          <w:vertAlign w:val="superscript"/>
        </w:rPr>
        <w:t>th</w:t>
      </w:r>
      <w:r w:rsidR="00325CEB" w:rsidRPr="006A0BB0">
        <w:t xml:space="preserve"> anniversary of the Convention</w:t>
      </w:r>
      <w:r w:rsidRPr="006A0BB0">
        <w:t>. T</w:t>
      </w:r>
      <w:r w:rsidR="00325CEB" w:rsidRPr="006A0BB0">
        <w:t xml:space="preserve">he management of requests to use the ICH emblem will be automated within </w:t>
      </w:r>
      <w:r w:rsidRPr="006A0BB0">
        <w:t xml:space="preserve">the </w:t>
      </w:r>
      <w:r w:rsidR="00325CEB" w:rsidRPr="006A0BB0">
        <w:t>coming weeks</w:t>
      </w:r>
      <w:r w:rsidRPr="006A0BB0">
        <w:t>, which</w:t>
      </w:r>
      <w:r w:rsidR="00325CEB" w:rsidRPr="006A0BB0">
        <w:t xml:space="preserve"> will </w:t>
      </w:r>
      <w:r w:rsidR="00F905A8" w:rsidRPr="006A0BB0">
        <w:t xml:space="preserve">greatly </w:t>
      </w:r>
      <w:r w:rsidR="00325CEB" w:rsidRPr="006A0BB0">
        <w:t xml:space="preserve">facilitate the </w:t>
      </w:r>
      <w:r w:rsidRPr="006A0BB0">
        <w:t xml:space="preserve">submission and processing </w:t>
      </w:r>
      <w:r w:rsidR="00F905A8" w:rsidRPr="006A0BB0">
        <w:t>of request</w:t>
      </w:r>
      <w:r w:rsidRPr="006A0BB0">
        <w:t>s</w:t>
      </w:r>
      <w:r w:rsidR="00F905A8" w:rsidRPr="006A0BB0">
        <w:t xml:space="preserve"> </w:t>
      </w:r>
      <w:r w:rsidRPr="006A0BB0">
        <w:t xml:space="preserve">by States Parties and </w:t>
      </w:r>
      <w:r w:rsidR="00F905A8" w:rsidRPr="006A0BB0">
        <w:t>the Secretariat.</w:t>
      </w:r>
    </w:p>
    <w:p w:rsidR="00FA7037" w:rsidRPr="006A0BB0" w:rsidRDefault="00FA7037" w:rsidP="00B94A9A">
      <w:pPr>
        <w:pStyle w:val="Marge"/>
        <w:keepNext/>
        <w:numPr>
          <w:ilvl w:val="0"/>
          <w:numId w:val="33"/>
        </w:numPr>
        <w:tabs>
          <w:tab w:val="clear" w:pos="567"/>
        </w:tabs>
        <w:spacing w:before="240"/>
        <w:ind w:left="567" w:hanging="567"/>
        <w:rPr>
          <w:b/>
        </w:rPr>
      </w:pPr>
      <w:r w:rsidRPr="006A0BB0">
        <w:rPr>
          <w:b/>
        </w:rPr>
        <w:t>PROPOSED EXPENDITURES FOR ‘OTHER FUNCTIONS OF THE COMMITTEE’ BEGINNING 1 JULY 2012</w:t>
      </w:r>
    </w:p>
    <w:p w:rsidR="00FA7037" w:rsidRPr="006A0BB0" w:rsidRDefault="00FA7037" w:rsidP="00B94A9A">
      <w:pPr>
        <w:pStyle w:val="Marge"/>
        <w:numPr>
          <w:ilvl w:val="0"/>
          <w:numId w:val="31"/>
        </w:numPr>
        <w:tabs>
          <w:tab w:val="clear" w:pos="567"/>
        </w:tabs>
        <w:spacing w:before="240"/>
        <w:ind w:left="567" w:hanging="567"/>
      </w:pPr>
      <w:r w:rsidRPr="006A0BB0">
        <w:t xml:space="preserve">The requested funds would be used for several statutory purposes (see Annex), consistent with the Operational Directives, the resolutions of the General Assembly and the decisions of the Committee. The primary use (43%) </w:t>
      </w:r>
      <w:r w:rsidR="008B1853">
        <w:t xml:space="preserve">will remain </w:t>
      </w:r>
      <w:r w:rsidRPr="006A0BB0">
        <w:t xml:space="preserve">for implementing the global capacity-building strategy that the Committee launched in 2010. The Secretariat also proposes that 28% of funds be used for publishing information materials on the Convention and its mechanisms, 21% for improving the performance of the knowledge management system and its public face, namely the Intangible Cultural Heritage </w:t>
      </w:r>
      <w:r w:rsidR="006A676F" w:rsidRPr="006A0BB0">
        <w:t>w</w:t>
      </w:r>
      <w:r w:rsidRPr="006A0BB0">
        <w:t xml:space="preserve">ebsite, and 8% for developing information material on Best Safeguarding Practices. </w:t>
      </w:r>
    </w:p>
    <w:p w:rsidR="00FA7037" w:rsidRPr="006A0BB0" w:rsidRDefault="00FA7037" w:rsidP="00B94A9A">
      <w:pPr>
        <w:pStyle w:val="Marge"/>
        <w:numPr>
          <w:ilvl w:val="0"/>
          <w:numId w:val="31"/>
        </w:numPr>
        <w:tabs>
          <w:tab w:val="clear" w:pos="567"/>
        </w:tabs>
        <w:spacing w:before="240"/>
        <w:ind w:left="567" w:hanging="567"/>
      </w:pPr>
      <w:r w:rsidRPr="006A0BB0">
        <w:t xml:space="preserve">Following the </w:t>
      </w:r>
      <w:r w:rsidRPr="006A0BB0">
        <w:rPr>
          <w:rStyle w:val="hps"/>
        </w:rPr>
        <w:t>first</w:t>
      </w:r>
      <w:r w:rsidRPr="006A0BB0">
        <w:t xml:space="preserve"> </w:t>
      </w:r>
      <w:r w:rsidRPr="006A0BB0">
        <w:rPr>
          <w:rStyle w:val="hps"/>
        </w:rPr>
        <w:t>phase of the capacity-building strategy</w:t>
      </w:r>
      <w:r w:rsidRPr="006A0BB0">
        <w:t xml:space="preserve"> </w:t>
      </w:r>
      <w:r w:rsidRPr="006A0BB0">
        <w:rPr>
          <w:rStyle w:val="hps"/>
        </w:rPr>
        <w:t>and the many</w:t>
      </w:r>
      <w:r w:rsidRPr="006A0BB0">
        <w:t xml:space="preserve"> </w:t>
      </w:r>
      <w:r w:rsidRPr="006A0BB0">
        <w:rPr>
          <w:rStyle w:val="hps"/>
        </w:rPr>
        <w:t>workshops</w:t>
      </w:r>
      <w:r w:rsidRPr="006A0BB0">
        <w:t xml:space="preserve"> </w:t>
      </w:r>
      <w:r w:rsidRPr="006A0BB0">
        <w:rPr>
          <w:rStyle w:val="hps"/>
        </w:rPr>
        <w:t>that have been</w:t>
      </w:r>
      <w:r w:rsidRPr="006A0BB0">
        <w:t xml:space="preserve"> </w:t>
      </w:r>
      <w:r w:rsidRPr="006A0BB0">
        <w:rPr>
          <w:rStyle w:val="hps"/>
        </w:rPr>
        <w:t xml:space="preserve">held as part of it, </w:t>
      </w:r>
      <w:r w:rsidRPr="006A0BB0">
        <w:t xml:space="preserve">the present spending plan </w:t>
      </w:r>
      <w:r w:rsidR="00D12A0D" w:rsidRPr="006A0BB0">
        <w:t xml:space="preserve">(see Annex, item A.1) </w:t>
      </w:r>
      <w:r w:rsidR="00973155" w:rsidRPr="006A0BB0">
        <w:t>requests</w:t>
      </w:r>
      <w:r w:rsidRPr="006A0BB0">
        <w:t xml:space="preserve"> US$65,000 for developing content on </w:t>
      </w:r>
      <w:r w:rsidR="00973155" w:rsidRPr="006A0BB0">
        <w:t xml:space="preserve">other </w:t>
      </w:r>
      <w:r w:rsidRPr="006A0BB0">
        <w:t xml:space="preserve">topics </w:t>
      </w:r>
      <w:r w:rsidR="00973155" w:rsidRPr="006A0BB0">
        <w:t>requested by</w:t>
      </w:r>
      <w:r w:rsidRPr="006A0BB0">
        <w:t xml:space="preserve"> beneficiaries, namely the elaboration and planning of safeguarding measures and the contribution</w:t>
      </w:r>
      <w:r w:rsidR="006A676F" w:rsidRPr="006A0BB0">
        <w:t>s</w:t>
      </w:r>
      <w:r w:rsidRPr="006A0BB0">
        <w:t xml:space="preserve"> of intangible cultural heritage to sustainable development. An additional amount of US$90,000 is </w:t>
      </w:r>
      <w:r w:rsidR="00973155" w:rsidRPr="006A0BB0">
        <w:t>requested</w:t>
      </w:r>
      <w:r w:rsidRPr="006A0BB0">
        <w:t xml:space="preserve"> </w:t>
      </w:r>
      <w:r w:rsidR="00973155" w:rsidRPr="006A0BB0">
        <w:t>for</w:t>
      </w:r>
      <w:r w:rsidRPr="006A0BB0">
        <w:t xml:space="preserve"> design and packaging of the existing training curricula so that they meet the specific needs of both </w:t>
      </w:r>
      <w:r w:rsidR="00973155" w:rsidRPr="006A0BB0">
        <w:t>facilitators</w:t>
      </w:r>
      <w:r w:rsidRPr="006A0BB0">
        <w:t xml:space="preserve"> and trainees regarding pedagogical effectiveness and ease of handling and reproduction</w:t>
      </w:r>
      <w:r w:rsidR="00D12A0D" w:rsidRPr="006A0BB0">
        <w:t xml:space="preserve"> (Annex, item A.2)</w:t>
      </w:r>
      <w:r w:rsidRPr="006A0BB0">
        <w:t xml:space="preserve">. </w:t>
      </w:r>
    </w:p>
    <w:p w:rsidR="00F86AD1" w:rsidRPr="006A0BB0" w:rsidRDefault="00F86AD1" w:rsidP="00B94A9A">
      <w:pPr>
        <w:pStyle w:val="Marge"/>
        <w:numPr>
          <w:ilvl w:val="0"/>
          <w:numId w:val="31"/>
        </w:numPr>
        <w:tabs>
          <w:tab w:val="clear" w:pos="567"/>
        </w:tabs>
        <w:spacing w:before="240"/>
        <w:ind w:left="567" w:hanging="567"/>
      </w:pPr>
      <w:r w:rsidRPr="006A0BB0">
        <w:t>N</w:t>
      </w:r>
      <w:r w:rsidRPr="006A0BB0">
        <w:rPr>
          <w:rStyle w:val="hps"/>
        </w:rPr>
        <w:t>ow</w:t>
      </w:r>
      <w:r w:rsidRPr="006A0BB0">
        <w:t xml:space="preserve"> that </w:t>
      </w:r>
      <w:r w:rsidRPr="006A0BB0">
        <w:rPr>
          <w:rStyle w:val="hps"/>
        </w:rPr>
        <w:t>a significant number of</w:t>
      </w:r>
      <w:r w:rsidRPr="006A0BB0">
        <w:t xml:space="preserve"> </w:t>
      </w:r>
      <w:r w:rsidR="00973155" w:rsidRPr="006A0BB0">
        <w:rPr>
          <w:rStyle w:val="hps"/>
        </w:rPr>
        <w:t>facilitators</w:t>
      </w:r>
      <w:r w:rsidR="00973155" w:rsidRPr="006A0BB0">
        <w:t xml:space="preserve"> </w:t>
      </w:r>
      <w:r w:rsidR="00973155" w:rsidRPr="006A0BB0">
        <w:rPr>
          <w:rStyle w:val="hps"/>
        </w:rPr>
        <w:t>have been actively engaged in conducting</w:t>
      </w:r>
      <w:r w:rsidRPr="006A0BB0">
        <w:t xml:space="preserve"> </w:t>
      </w:r>
      <w:r w:rsidRPr="006A0BB0">
        <w:rPr>
          <w:rStyle w:val="hps"/>
        </w:rPr>
        <w:t>capacity</w:t>
      </w:r>
      <w:r w:rsidRPr="006A0BB0">
        <w:t>-</w:t>
      </w:r>
      <w:r w:rsidRPr="006A0BB0">
        <w:rPr>
          <w:rStyle w:val="hps"/>
        </w:rPr>
        <w:t>building workshops</w:t>
      </w:r>
      <w:r w:rsidRPr="006A0BB0">
        <w:t xml:space="preserve">, the Secretariat is planning to organize stock-taking meetings to bring them together to </w:t>
      </w:r>
      <w:r w:rsidR="00A43017" w:rsidRPr="006A0BB0">
        <w:t>exchange experiences to date and offer suggestions both on curriculum revision and on training methods that have proven to be effective or not.</w:t>
      </w:r>
      <w:r w:rsidRPr="006A0BB0">
        <w:t xml:space="preserve"> </w:t>
      </w:r>
      <w:r w:rsidR="00973155" w:rsidRPr="006A0BB0">
        <w:t xml:space="preserve">The category 2 centre in China will host one such workshop in 2012; a second </w:t>
      </w:r>
      <w:r w:rsidRPr="006A0BB0">
        <w:t xml:space="preserve">workshop </w:t>
      </w:r>
      <w:r w:rsidR="00973155" w:rsidRPr="006A0BB0">
        <w:t xml:space="preserve">is proposed here for Latin America or Africa that would </w:t>
      </w:r>
      <w:r w:rsidRPr="006A0BB0">
        <w:t>provide a valuable opportunity to refresh knowledge and ensure that facilitators remain up to date on the latest developments within the Convention. The Secretariat proposes to allocate US$80,000 to this purpose</w:t>
      </w:r>
      <w:r w:rsidR="00D12A0D" w:rsidRPr="006A0BB0">
        <w:t xml:space="preserve"> (Annex, item A.3)</w:t>
      </w:r>
      <w:r w:rsidRPr="006A0BB0">
        <w:t>.</w:t>
      </w:r>
    </w:p>
    <w:p w:rsidR="00F86AD1" w:rsidRPr="006A0BB0" w:rsidRDefault="00F86AD1" w:rsidP="00B94A9A">
      <w:pPr>
        <w:pStyle w:val="Marge"/>
        <w:numPr>
          <w:ilvl w:val="0"/>
          <w:numId w:val="31"/>
        </w:numPr>
        <w:tabs>
          <w:tab w:val="clear" w:pos="567"/>
        </w:tabs>
        <w:spacing w:before="240"/>
        <w:ind w:left="567" w:hanging="567"/>
      </w:pPr>
      <w:r w:rsidRPr="006A0BB0">
        <w:t xml:space="preserve">Seizing the occasion of the </w:t>
      </w:r>
      <w:r w:rsidR="00973155" w:rsidRPr="006A0BB0">
        <w:t xml:space="preserve">seventh </w:t>
      </w:r>
      <w:r w:rsidRPr="006A0BB0">
        <w:t>session of the Committe</w:t>
      </w:r>
      <w:r w:rsidR="006A0BB0">
        <w:t>e to be held in Grenada from 25 to 30 November </w:t>
      </w:r>
      <w:r w:rsidRPr="006A0BB0">
        <w:t xml:space="preserve">2012, the Secretariat proposes to organize a youth forum that will bring together about 25 to 30 participants from youth organizations who are active in the field of culture, coming </w:t>
      </w:r>
      <w:r w:rsidR="006A0BB0">
        <w:t xml:space="preserve">from different Caribbean SIDS. </w:t>
      </w:r>
      <w:r w:rsidRPr="006A0BB0">
        <w:t xml:space="preserve">It will introduce them to the core concepts of the Convention and provide them with a substantial understanding of its mechanisms and their role in the safeguarding of the intangible cultural heritage, thereby reinforcing their capacities to play the </w:t>
      </w:r>
      <w:r w:rsidR="00735C75" w:rsidRPr="006A0BB0">
        <w:t xml:space="preserve">crucial role that the Convention </w:t>
      </w:r>
      <w:r w:rsidR="00F468D7" w:rsidRPr="006A0BB0">
        <w:t>anticipates for</w:t>
      </w:r>
      <w:r w:rsidR="00735C75" w:rsidRPr="006A0BB0">
        <w:t xml:space="preserve"> youth. </w:t>
      </w:r>
      <w:r w:rsidR="00B00FB2" w:rsidRPr="006A0BB0">
        <w:t xml:space="preserve">After the three-day forum, participants </w:t>
      </w:r>
      <w:r w:rsidRPr="006A0BB0">
        <w:t xml:space="preserve">will have the opportunity to </w:t>
      </w:r>
      <w:r w:rsidR="00F468D7" w:rsidRPr="006A0BB0">
        <w:t xml:space="preserve">take part </w:t>
      </w:r>
      <w:r w:rsidRPr="006A0BB0">
        <w:t>as assistants and observers in the Committee</w:t>
      </w:r>
      <w:r w:rsidR="00973155" w:rsidRPr="006A0BB0">
        <w:t xml:space="preserve"> session</w:t>
      </w:r>
      <w:r w:rsidRPr="006A0BB0">
        <w:t xml:space="preserve">. </w:t>
      </w:r>
      <w:r w:rsidR="00735C75" w:rsidRPr="006A0BB0">
        <w:t xml:space="preserve">The Secretariat </w:t>
      </w:r>
      <w:r w:rsidR="00973155" w:rsidRPr="006A0BB0">
        <w:t xml:space="preserve">requests US$20,000 from </w:t>
      </w:r>
      <w:r w:rsidR="00735C75" w:rsidRPr="006A0BB0">
        <w:t>the Intangible Cultural Heritage Fund</w:t>
      </w:r>
      <w:r w:rsidR="00D12A0D" w:rsidRPr="006A0BB0">
        <w:t xml:space="preserve"> (Annex, item A.4)</w:t>
      </w:r>
      <w:r w:rsidR="0007144C" w:rsidRPr="006A0BB0">
        <w:t xml:space="preserve">, to supplement the generous </w:t>
      </w:r>
      <w:r w:rsidR="00973155" w:rsidRPr="006A0BB0">
        <w:t xml:space="preserve">contribution </w:t>
      </w:r>
      <w:r w:rsidR="0007144C" w:rsidRPr="006A0BB0">
        <w:t>from Bulgaria</w:t>
      </w:r>
      <w:r w:rsidR="00735C75" w:rsidRPr="006A0BB0">
        <w:t xml:space="preserve">. </w:t>
      </w:r>
    </w:p>
    <w:p w:rsidR="00F86AD1" w:rsidRPr="006A0BB0" w:rsidRDefault="006A0BB0" w:rsidP="00B94A9A">
      <w:pPr>
        <w:pStyle w:val="Marge"/>
        <w:numPr>
          <w:ilvl w:val="0"/>
          <w:numId w:val="31"/>
        </w:numPr>
        <w:tabs>
          <w:tab w:val="clear" w:pos="567"/>
        </w:tabs>
        <w:spacing w:before="240"/>
        <w:ind w:left="567" w:hanging="567"/>
      </w:pPr>
      <w:r>
        <w:t>As specified in paragraph </w:t>
      </w:r>
      <w:r w:rsidR="00735C75" w:rsidRPr="006A0BB0">
        <w:t>42 of the Operational Directives, ‘the Committee shall encourage research, documentation, publication and dissemination’ of the national, sub</w:t>
      </w:r>
      <w:r w:rsidR="008B1853">
        <w:t>-</w:t>
      </w:r>
      <w:r w:rsidR="00735C75" w:rsidRPr="006A0BB0">
        <w:t xml:space="preserve">regional and regional programmes, projects and activities that it considers best reflect the principles and objectives of this Convention. </w:t>
      </w:r>
      <w:r w:rsidR="00973155" w:rsidRPr="006A0BB0">
        <w:t>The Secretariat</w:t>
      </w:r>
      <w:r w:rsidR="00735C75" w:rsidRPr="006A0BB0">
        <w:t xml:space="preserve"> proposes to allocate US$</w:t>
      </w:r>
      <w:r w:rsidR="00973155" w:rsidRPr="006A0BB0">
        <w:t>50</w:t>
      </w:r>
      <w:r w:rsidR="00735C75" w:rsidRPr="006A0BB0">
        <w:t xml:space="preserve">,000 to develop information materials about two or three best practices among those that </w:t>
      </w:r>
      <w:r w:rsidR="00E30FE4" w:rsidRPr="006A0BB0">
        <w:t>have</w:t>
      </w:r>
      <w:r w:rsidR="00735C75" w:rsidRPr="006A0BB0">
        <w:t xml:space="preserve"> already been selected by the Committee </w:t>
      </w:r>
      <w:r w:rsidR="00E30FE4" w:rsidRPr="006A0BB0">
        <w:t>or that will be selected at its seventh session in November 2012</w:t>
      </w:r>
      <w:r w:rsidR="00735C75" w:rsidRPr="006A0BB0">
        <w:t xml:space="preserve"> (Annex, item </w:t>
      </w:r>
      <w:r w:rsidR="00E30FE4" w:rsidRPr="006A0BB0">
        <w:t>B</w:t>
      </w:r>
      <w:r w:rsidR="00735C75" w:rsidRPr="006A0BB0">
        <w:t>). These activities aim at encouraging research on the safeguarding measures included in these programmes and making available information about them and experiences gained.</w:t>
      </w:r>
    </w:p>
    <w:p w:rsidR="00CA3286" w:rsidRPr="006A0BB0" w:rsidRDefault="00CA3286" w:rsidP="00B94A9A">
      <w:pPr>
        <w:pStyle w:val="Marge"/>
        <w:numPr>
          <w:ilvl w:val="0"/>
          <w:numId w:val="31"/>
        </w:numPr>
        <w:spacing w:before="240"/>
        <w:ind w:left="567" w:hanging="567"/>
      </w:pPr>
      <w:r w:rsidRPr="006A0BB0">
        <w:t xml:space="preserve">At its fourth session, the General Assembly </w:t>
      </w:r>
      <w:r w:rsidR="00D12A0D" w:rsidRPr="006A0BB0">
        <w:t xml:space="preserve">is expected to </w:t>
      </w:r>
      <w:r w:rsidRPr="006A0BB0">
        <w:t>amend the Operation</w:t>
      </w:r>
      <w:r w:rsidR="005D04D9" w:rsidRPr="006A0BB0">
        <w:t>al</w:t>
      </w:r>
      <w:r w:rsidRPr="006A0BB0">
        <w:t xml:space="preserve"> Directives</w:t>
      </w:r>
      <w:r w:rsidR="005D04D9" w:rsidRPr="006A0BB0">
        <w:t xml:space="preserve"> for the Implementation of the Convention</w:t>
      </w:r>
      <w:r w:rsidRPr="006A0BB0">
        <w:t xml:space="preserve"> (Resolution 3.GA 5)</w:t>
      </w:r>
      <w:r w:rsidR="00D12A0D" w:rsidRPr="006A0BB0">
        <w:t>, therefore necessitating</w:t>
      </w:r>
      <w:r w:rsidRPr="006A0BB0">
        <w:t xml:space="preserve"> publication of an updated version of the </w:t>
      </w:r>
      <w:r w:rsidR="006A0BB0">
        <w:t xml:space="preserve">Basic Texts of the Convention. </w:t>
      </w:r>
      <w:r w:rsidR="00D12A0D" w:rsidRPr="006A0BB0">
        <w:t>T</w:t>
      </w:r>
      <w:r w:rsidRPr="006A0BB0">
        <w:t xml:space="preserve">he Secretariat proposes to allocate US$90,000 (Annex, item C.1) to publishing </w:t>
      </w:r>
      <w:r w:rsidR="0004359C" w:rsidRPr="006A0BB0">
        <w:t>an updated version</w:t>
      </w:r>
      <w:r w:rsidRPr="006A0BB0">
        <w:t xml:space="preserve"> </w:t>
      </w:r>
      <w:r w:rsidR="00580185" w:rsidRPr="006A0BB0">
        <w:t xml:space="preserve">of the </w:t>
      </w:r>
      <w:r w:rsidRPr="006A0BB0">
        <w:t xml:space="preserve">Basic Texts in the six working languages of the </w:t>
      </w:r>
      <w:r w:rsidR="00D12A0D" w:rsidRPr="006A0BB0">
        <w:t>Convention</w:t>
      </w:r>
      <w:r w:rsidRPr="006A0BB0">
        <w:t xml:space="preserve"> (Arabic, Chinese, English, French, Russian and Spanish).</w:t>
      </w:r>
      <w:r w:rsidR="00B00FB2" w:rsidRPr="006A0BB0">
        <w:rPr>
          <w:rFonts w:cs="Arial"/>
          <w:snapToGrid/>
          <w:color w:val="000000"/>
          <w:szCs w:val="22"/>
          <w:lang w:eastAsia="fr-FR"/>
        </w:rPr>
        <w:t xml:space="preserve"> </w:t>
      </w:r>
      <w:r w:rsidR="008428CC" w:rsidRPr="006A0BB0">
        <w:rPr>
          <w:rFonts w:cs="Arial"/>
          <w:snapToGrid/>
          <w:color w:val="000000"/>
          <w:szCs w:val="22"/>
          <w:lang w:eastAsia="fr-FR"/>
        </w:rPr>
        <w:t>A</w:t>
      </w:r>
      <w:r w:rsidR="00B00FB2" w:rsidRPr="006A0BB0">
        <w:rPr>
          <w:rFonts w:cs="Arial"/>
          <w:snapToGrid/>
          <w:color w:val="000000"/>
          <w:szCs w:val="22"/>
          <w:lang w:eastAsia="fr-FR"/>
        </w:rPr>
        <w:t xml:space="preserve"> total of </w:t>
      </w:r>
      <w:r w:rsidR="00B00FB2" w:rsidRPr="006A0BB0">
        <w:t>16,700 copies</w:t>
      </w:r>
      <w:r w:rsidR="008428CC" w:rsidRPr="006A0BB0">
        <w:t xml:space="preserve"> will be printed</w:t>
      </w:r>
      <w:r w:rsidR="00B00FB2" w:rsidRPr="006A0BB0">
        <w:t xml:space="preserve"> (1,000 in Arabic, 700 in Chinese, 7,000 in English, 5,000 in French, 1,000 in Russian and 2,000 in Spanish).</w:t>
      </w:r>
    </w:p>
    <w:p w:rsidR="00E30FE4" w:rsidRPr="006A0BB0" w:rsidRDefault="00AE62B5" w:rsidP="00B94A9A">
      <w:pPr>
        <w:pStyle w:val="Marge"/>
        <w:numPr>
          <w:ilvl w:val="0"/>
          <w:numId w:val="31"/>
        </w:numPr>
        <w:spacing w:before="240"/>
        <w:ind w:left="567" w:hanging="567"/>
      </w:pPr>
      <w:r w:rsidRPr="006A0BB0">
        <w:t xml:space="preserve">As noted in paragraph 7 above, the Committee published a leaflet in English and French on the 2011 inscriptions. </w:t>
      </w:r>
      <w:r w:rsidR="00194084" w:rsidRPr="006A0BB0">
        <w:rPr>
          <w:rStyle w:val="hps"/>
        </w:rPr>
        <w:t>However</w:t>
      </w:r>
      <w:r w:rsidRPr="006A0BB0">
        <w:rPr>
          <w:rStyle w:val="hps"/>
        </w:rPr>
        <w:t>,</w:t>
      </w:r>
      <w:r w:rsidR="00194084" w:rsidRPr="006A0BB0">
        <w:t xml:space="preserve"> </w:t>
      </w:r>
      <w:r w:rsidR="00194084" w:rsidRPr="006A0BB0">
        <w:rPr>
          <w:rStyle w:val="hps"/>
        </w:rPr>
        <w:t>the funds</w:t>
      </w:r>
      <w:r w:rsidR="00194084" w:rsidRPr="006A0BB0">
        <w:t xml:space="preserve"> </w:t>
      </w:r>
      <w:r w:rsidR="00194084" w:rsidRPr="006A0BB0">
        <w:rPr>
          <w:rStyle w:val="hps"/>
        </w:rPr>
        <w:t xml:space="preserve">available </w:t>
      </w:r>
      <w:r w:rsidR="00CA3286" w:rsidRPr="006A0BB0">
        <w:rPr>
          <w:rStyle w:val="hps"/>
        </w:rPr>
        <w:t>only</w:t>
      </w:r>
      <w:r w:rsidR="00194084" w:rsidRPr="006A0BB0">
        <w:t xml:space="preserve"> </w:t>
      </w:r>
      <w:r w:rsidR="00194084" w:rsidRPr="006A0BB0">
        <w:rPr>
          <w:rStyle w:val="hps"/>
        </w:rPr>
        <w:t>allowed</w:t>
      </w:r>
      <w:r w:rsidR="00194084" w:rsidRPr="006A0BB0">
        <w:t xml:space="preserve"> </w:t>
      </w:r>
      <w:r w:rsidR="00194084" w:rsidRPr="006A0BB0">
        <w:rPr>
          <w:rStyle w:val="hps"/>
        </w:rPr>
        <w:t xml:space="preserve">a limited </w:t>
      </w:r>
      <w:r w:rsidRPr="006A0BB0">
        <w:rPr>
          <w:rStyle w:val="hps"/>
        </w:rPr>
        <w:t xml:space="preserve">print run, </w:t>
      </w:r>
      <w:r w:rsidR="00194084" w:rsidRPr="006A0BB0">
        <w:rPr>
          <w:rStyle w:val="hps"/>
        </w:rPr>
        <w:t>and</w:t>
      </w:r>
      <w:r w:rsidR="00CA3286" w:rsidRPr="006A0BB0">
        <w:rPr>
          <w:rStyle w:val="hps"/>
        </w:rPr>
        <w:t xml:space="preserve"> therefore the Secretariat proposes to reprint the 2011 leaflet</w:t>
      </w:r>
      <w:r w:rsidRPr="006A0BB0">
        <w:rPr>
          <w:rStyle w:val="hps"/>
        </w:rPr>
        <w:t xml:space="preserve">. Funds are requested in the amount of US$37,000 </w:t>
      </w:r>
      <w:r w:rsidR="00B00FB2" w:rsidRPr="006A0BB0">
        <w:rPr>
          <w:rStyle w:val="hps"/>
        </w:rPr>
        <w:t xml:space="preserve">(Annex, item C.2) </w:t>
      </w:r>
      <w:r w:rsidRPr="006A0BB0">
        <w:rPr>
          <w:rStyle w:val="hps"/>
        </w:rPr>
        <w:t xml:space="preserve">for reprinting </w:t>
      </w:r>
      <w:r w:rsidR="00B00FB2" w:rsidRPr="006A0BB0">
        <w:t xml:space="preserve">7,000 additional copies of </w:t>
      </w:r>
      <w:r w:rsidR="006A0BB0">
        <w:rPr>
          <w:rStyle w:val="hps"/>
        </w:rPr>
        <w:t>the 2011 </w:t>
      </w:r>
      <w:r w:rsidR="00B00FB2" w:rsidRPr="006A0BB0">
        <w:rPr>
          <w:rStyle w:val="hps"/>
        </w:rPr>
        <w:t xml:space="preserve">leaflet </w:t>
      </w:r>
      <w:r w:rsidR="00B00FB2" w:rsidRPr="006A0BB0">
        <w:t xml:space="preserve">(4,000 in English and 3,000 in French) </w:t>
      </w:r>
      <w:r w:rsidR="00CA3286" w:rsidRPr="006A0BB0">
        <w:rPr>
          <w:rStyle w:val="hps"/>
        </w:rPr>
        <w:t>and publish</w:t>
      </w:r>
      <w:r w:rsidRPr="006A0BB0">
        <w:rPr>
          <w:rStyle w:val="hps"/>
        </w:rPr>
        <w:t>ing</w:t>
      </w:r>
      <w:r w:rsidR="00CA3286" w:rsidRPr="006A0BB0">
        <w:rPr>
          <w:rStyle w:val="hps"/>
        </w:rPr>
        <w:t xml:space="preserve"> the 2012 leaflet</w:t>
      </w:r>
      <w:r w:rsidR="00B00FB2" w:rsidRPr="006A0BB0">
        <w:rPr>
          <w:rStyle w:val="hps"/>
        </w:rPr>
        <w:t xml:space="preserve"> in a</w:t>
      </w:r>
      <w:r w:rsidR="008428CC" w:rsidRPr="006A0BB0">
        <w:rPr>
          <w:rStyle w:val="hps"/>
        </w:rPr>
        <w:t xml:space="preserve"> print</w:t>
      </w:r>
      <w:r w:rsidR="00B00FB2" w:rsidRPr="006A0BB0">
        <w:rPr>
          <w:rStyle w:val="hps"/>
        </w:rPr>
        <w:t xml:space="preserve"> edition of </w:t>
      </w:r>
      <w:r w:rsidR="00B00FB2" w:rsidRPr="006A0BB0">
        <w:t xml:space="preserve">9,000 copies (5,000 in English and 4,000 in French). </w:t>
      </w:r>
      <w:r w:rsidRPr="006A0BB0">
        <w:rPr>
          <w:rStyle w:val="hps"/>
        </w:rPr>
        <w:t xml:space="preserve">The </w:t>
      </w:r>
      <w:r w:rsidR="00CA3286" w:rsidRPr="006A0BB0">
        <w:rPr>
          <w:rStyle w:val="hps"/>
        </w:rPr>
        <w:t xml:space="preserve">Secretariat proposes to allocate US$17,000 to the </w:t>
      </w:r>
      <w:r w:rsidR="00E43499" w:rsidRPr="006A0BB0">
        <w:rPr>
          <w:rStyle w:val="hps"/>
        </w:rPr>
        <w:t xml:space="preserve">initial </w:t>
      </w:r>
      <w:r w:rsidR="00CA3286" w:rsidRPr="006A0BB0">
        <w:rPr>
          <w:rStyle w:val="hps"/>
        </w:rPr>
        <w:t xml:space="preserve">pre-production </w:t>
      </w:r>
      <w:r w:rsidR="00E43499" w:rsidRPr="006A0BB0">
        <w:rPr>
          <w:rStyle w:val="hps"/>
        </w:rPr>
        <w:t xml:space="preserve">costs </w:t>
      </w:r>
      <w:r w:rsidR="00CA3286" w:rsidRPr="006A0BB0">
        <w:rPr>
          <w:rStyle w:val="hps"/>
        </w:rPr>
        <w:t>of the 2012 and 2013 cumulative brochure</w:t>
      </w:r>
      <w:r w:rsidR="00E43499" w:rsidRPr="006A0BB0">
        <w:rPr>
          <w:rStyle w:val="hps"/>
        </w:rPr>
        <w:t>s</w:t>
      </w:r>
      <w:r w:rsidR="00CA3286" w:rsidRPr="006A0BB0">
        <w:rPr>
          <w:rStyle w:val="hps"/>
        </w:rPr>
        <w:t xml:space="preserve"> </w:t>
      </w:r>
      <w:r w:rsidR="00E24C95" w:rsidRPr="006A0BB0">
        <w:rPr>
          <w:rStyle w:val="hps"/>
        </w:rPr>
        <w:t>(Annex, item C.3)</w:t>
      </w:r>
      <w:r w:rsidR="00E43499" w:rsidRPr="006A0BB0">
        <w:rPr>
          <w:rStyle w:val="hps"/>
        </w:rPr>
        <w:t xml:space="preserve">, which will be completed in late 2013 and early 2014 under future </w:t>
      </w:r>
      <w:r w:rsidR="00151737" w:rsidRPr="006A0BB0">
        <w:rPr>
          <w:rStyle w:val="hps"/>
        </w:rPr>
        <w:t xml:space="preserve">spending </w:t>
      </w:r>
      <w:r w:rsidR="00E43499" w:rsidRPr="006A0BB0">
        <w:rPr>
          <w:rStyle w:val="hps"/>
        </w:rPr>
        <w:t xml:space="preserve">plans. </w:t>
      </w:r>
      <w:r w:rsidR="0004359C" w:rsidRPr="006A0BB0">
        <w:rPr>
          <w:rStyle w:val="hps"/>
        </w:rPr>
        <w:t xml:space="preserve">The Secretariat </w:t>
      </w:r>
      <w:r w:rsidR="008428CC" w:rsidRPr="006A0BB0">
        <w:rPr>
          <w:rStyle w:val="hps"/>
        </w:rPr>
        <w:t xml:space="preserve">also </w:t>
      </w:r>
      <w:r w:rsidR="0004359C" w:rsidRPr="006A0BB0">
        <w:rPr>
          <w:rStyle w:val="hps"/>
        </w:rPr>
        <w:t>proposes to allocate US$20,000 to cover the costs</w:t>
      </w:r>
      <w:r w:rsidR="0004359C" w:rsidRPr="006A0BB0">
        <w:t xml:space="preserve"> </w:t>
      </w:r>
      <w:r w:rsidR="0004359C" w:rsidRPr="006A0BB0">
        <w:rPr>
          <w:rStyle w:val="hps"/>
        </w:rPr>
        <w:t>related to the distribution</w:t>
      </w:r>
      <w:r w:rsidR="0004359C" w:rsidRPr="006A0BB0">
        <w:t xml:space="preserve"> </w:t>
      </w:r>
      <w:r w:rsidR="0004359C" w:rsidRPr="006A0BB0">
        <w:rPr>
          <w:rStyle w:val="hps"/>
        </w:rPr>
        <w:t xml:space="preserve">of </w:t>
      </w:r>
      <w:r w:rsidR="008428CC" w:rsidRPr="006A0BB0">
        <w:rPr>
          <w:rStyle w:val="hps"/>
        </w:rPr>
        <w:t xml:space="preserve">the </w:t>
      </w:r>
      <w:r w:rsidR="00E43499" w:rsidRPr="006A0BB0">
        <w:rPr>
          <w:rStyle w:val="hps"/>
        </w:rPr>
        <w:t xml:space="preserve">Basic Texts and leaflets </w:t>
      </w:r>
      <w:r w:rsidR="0004359C" w:rsidRPr="006A0BB0">
        <w:rPr>
          <w:rStyle w:val="hps"/>
        </w:rPr>
        <w:t xml:space="preserve">among its main partners, and in particular stakeholders involved in the capacity-building strategy (Annex, item C.4). </w:t>
      </w:r>
    </w:p>
    <w:p w:rsidR="00992D71" w:rsidRPr="006A0BB0" w:rsidRDefault="00992D71" w:rsidP="00B94A9A">
      <w:pPr>
        <w:pStyle w:val="Marge"/>
        <w:numPr>
          <w:ilvl w:val="0"/>
          <w:numId w:val="31"/>
        </w:numPr>
        <w:spacing w:before="240"/>
        <w:ind w:left="567" w:hanging="567"/>
        <w:rPr>
          <w:rStyle w:val="hps"/>
        </w:rPr>
      </w:pPr>
      <w:r w:rsidRPr="006A0BB0">
        <w:t>Finally, a</w:t>
      </w:r>
      <w:r w:rsidR="00580185" w:rsidRPr="006A0BB0">
        <w:t>s explained in document ITH/12/4.GA/INF.4.3, managing the huge quantity of information associated with the work of the Committee and General Assembly is made possible only through the Intangible Cultural Heritage Section’s purpose-built knowledge management system, supported entirely through extra-budgetary funds, including the Intangible Cultural Heritage Fund. Considering the importance of this</w:t>
      </w:r>
      <w:r w:rsidRPr="006A0BB0">
        <w:rPr>
          <w:rFonts w:cs="Arial"/>
          <w:szCs w:val="22"/>
        </w:rPr>
        <w:t xml:space="preserve"> daily working</w:t>
      </w:r>
      <w:r w:rsidR="00580185" w:rsidRPr="006A0BB0">
        <w:t xml:space="preserve"> tool to facilitat</w:t>
      </w:r>
      <w:r w:rsidR="007E1D24" w:rsidRPr="006A0BB0">
        <w:t>ing</w:t>
      </w:r>
      <w:r w:rsidR="00580185" w:rsidRPr="006A0BB0">
        <w:t xml:space="preserve"> the work </w:t>
      </w:r>
      <w:r w:rsidR="007E1D24" w:rsidRPr="006A0BB0">
        <w:t xml:space="preserve">not only </w:t>
      </w:r>
      <w:r w:rsidR="00580185" w:rsidRPr="006A0BB0">
        <w:t xml:space="preserve">of </w:t>
      </w:r>
      <w:r w:rsidRPr="006A0BB0">
        <w:rPr>
          <w:rFonts w:cs="Arial"/>
          <w:szCs w:val="22"/>
        </w:rPr>
        <w:t>the statutory organs (the Secretariat, the States Parties, the Committee and its advisory bodies)</w:t>
      </w:r>
      <w:r w:rsidRPr="006A0BB0">
        <w:t xml:space="preserve"> </w:t>
      </w:r>
      <w:r w:rsidR="00580185" w:rsidRPr="006A0BB0">
        <w:t xml:space="preserve">but also of other actors such as the capacity-building facilitators who now have their dedicated web area, and the lack of prospects that the </w:t>
      </w:r>
      <w:r w:rsidR="008428CC" w:rsidRPr="006A0BB0">
        <w:t xml:space="preserve">Regular Programme </w:t>
      </w:r>
      <w:r w:rsidR="00580185" w:rsidRPr="006A0BB0">
        <w:t xml:space="preserve">can meet these needs, the Secretariat proposes that the spending plan allocate US$125,000 </w:t>
      </w:r>
      <w:r w:rsidRPr="006A0BB0">
        <w:t>to support the maintenance and development of the knowledge management system, in particular in order to provide enhanced on-line functionalities such as personalized access for States Parties to follow more closely the status of on-going files, better monitoring and visibility of international assistance granted, and the possibility of on-</w:t>
      </w:r>
      <w:r w:rsidRPr="006A0BB0">
        <w:rPr>
          <w:rStyle w:val="hps"/>
        </w:rPr>
        <w:t>line submission of reports, requests and nominations.</w:t>
      </w:r>
    </w:p>
    <w:p w:rsidR="00992D71" w:rsidRPr="006A0BB0" w:rsidRDefault="007E1D24" w:rsidP="00B94A9A">
      <w:pPr>
        <w:pStyle w:val="Marge"/>
        <w:numPr>
          <w:ilvl w:val="0"/>
          <w:numId w:val="31"/>
        </w:numPr>
        <w:spacing w:before="240"/>
        <w:ind w:left="567" w:hanging="567"/>
        <w:rPr>
          <w:rStyle w:val="hps"/>
        </w:rPr>
      </w:pPr>
      <w:r w:rsidRPr="006A0BB0">
        <w:rPr>
          <w:rStyle w:val="hps"/>
        </w:rPr>
        <w:t>The Bureau is reminded that, i</w:t>
      </w:r>
      <w:r w:rsidR="00992D71" w:rsidRPr="006A0BB0">
        <w:rPr>
          <w:rStyle w:val="hps"/>
        </w:rPr>
        <w:t>n order to avoid interruption</w:t>
      </w:r>
      <w:r w:rsidRPr="006A0BB0">
        <w:rPr>
          <w:rStyle w:val="hps"/>
        </w:rPr>
        <w:t>s</w:t>
      </w:r>
      <w:r w:rsidR="00992D71" w:rsidRPr="006A0BB0">
        <w:rPr>
          <w:rStyle w:val="hps"/>
        </w:rPr>
        <w:t xml:space="preserve"> or delay</w:t>
      </w:r>
      <w:r w:rsidRPr="006A0BB0">
        <w:rPr>
          <w:rStyle w:val="hps"/>
        </w:rPr>
        <w:t>s</w:t>
      </w:r>
      <w:r w:rsidR="00992D71" w:rsidRPr="006A0BB0">
        <w:rPr>
          <w:rStyle w:val="hps"/>
        </w:rPr>
        <w:t xml:space="preserve"> in execution</w:t>
      </w:r>
      <w:r w:rsidRPr="006A0BB0">
        <w:rPr>
          <w:rStyle w:val="hps"/>
        </w:rPr>
        <w:t xml:space="preserve">, </w:t>
      </w:r>
      <w:r w:rsidR="00992D71" w:rsidRPr="006A0BB0">
        <w:rPr>
          <w:rStyle w:val="hps"/>
        </w:rPr>
        <w:t>the Co</w:t>
      </w:r>
      <w:r w:rsidR="00B94A9A">
        <w:rPr>
          <w:rStyle w:val="hps"/>
        </w:rPr>
        <w:t>mmittee decided (Decision 6.COM </w:t>
      </w:r>
      <w:r w:rsidR="00992D71" w:rsidRPr="006A0BB0">
        <w:rPr>
          <w:rStyle w:val="hps"/>
        </w:rPr>
        <w:t xml:space="preserve">20) to authorize the Director-General to make transfers between approved activities under this line </w:t>
      </w:r>
      <w:r w:rsidR="001F7A27" w:rsidRPr="006A0BB0">
        <w:rPr>
          <w:rStyle w:val="hps"/>
        </w:rPr>
        <w:t xml:space="preserve">of the Plan for the resources of the Fund </w:t>
      </w:r>
      <w:r w:rsidR="00992D71" w:rsidRPr="006A0BB0">
        <w:rPr>
          <w:rStyle w:val="hps"/>
        </w:rPr>
        <w:t>up to a cumulative amount of US$25,000. The Secretariat would then inform the Bureau in writing, at the session following such action, of the details and reasons for these transfers</w:t>
      </w:r>
      <w:r w:rsidRPr="006A0BB0">
        <w:rPr>
          <w:rStyle w:val="hps"/>
        </w:rPr>
        <w:t>. As decided by the Committee,</w:t>
      </w:r>
      <w:r w:rsidR="00992D71" w:rsidRPr="006A0BB0">
        <w:rPr>
          <w:rStyle w:val="hps"/>
        </w:rPr>
        <w:t xml:space="preserve"> any transfers larger than that amount would require the Bureau’s prior approval of a revised plan of expenditure.</w:t>
      </w:r>
    </w:p>
    <w:p w:rsidR="00E30FE4" w:rsidRPr="006A0BB0" w:rsidRDefault="00BE62F6" w:rsidP="00B94A9A">
      <w:pPr>
        <w:pStyle w:val="Marge"/>
        <w:numPr>
          <w:ilvl w:val="0"/>
          <w:numId w:val="31"/>
        </w:numPr>
        <w:spacing w:before="240"/>
        <w:ind w:left="567" w:hanging="567"/>
      </w:pPr>
      <w:r w:rsidRPr="006A0BB0">
        <w:t xml:space="preserve">The Bureau is asked to evaluate and decide on this proposed spending plan through electronic consultation, as provided in Rule 12.3 of the Rules of Procedure of the Committee. </w:t>
      </w:r>
      <w:r w:rsidR="00E30FE4" w:rsidRPr="006A0BB0">
        <w:t>The Bureau of the Committee may wish to adopt the following decision:</w:t>
      </w:r>
    </w:p>
    <w:p w:rsidR="00992D71" w:rsidRPr="006A0BB0" w:rsidRDefault="00992D71" w:rsidP="00B94A9A">
      <w:pPr>
        <w:pStyle w:val="Marge"/>
        <w:keepNext/>
        <w:spacing w:before="240"/>
        <w:ind w:left="567"/>
        <w:rPr>
          <w:b/>
        </w:rPr>
      </w:pPr>
      <w:r w:rsidRPr="006A0BB0">
        <w:rPr>
          <w:b/>
        </w:rPr>
        <w:t>DRAFT DECISION 7.COM 3.BUR 5</w:t>
      </w:r>
    </w:p>
    <w:p w:rsidR="00992D71" w:rsidRPr="006A0BB0" w:rsidRDefault="00992D71" w:rsidP="00B94A9A">
      <w:pPr>
        <w:pStyle w:val="Marge"/>
        <w:keepNext/>
        <w:spacing w:before="240"/>
        <w:ind w:left="567"/>
      </w:pPr>
      <w:r w:rsidRPr="006A0BB0">
        <w:t>The Bureau,</w:t>
      </w:r>
    </w:p>
    <w:p w:rsidR="00992D71" w:rsidRPr="006A0BB0" w:rsidRDefault="00992D71" w:rsidP="00B94A9A">
      <w:pPr>
        <w:pStyle w:val="Marge"/>
        <w:numPr>
          <w:ilvl w:val="0"/>
          <w:numId w:val="32"/>
        </w:numPr>
        <w:spacing w:before="240"/>
        <w:ind w:left="1134" w:hanging="567"/>
      </w:pPr>
      <w:r w:rsidRPr="006A0BB0">
        <w:rPr>
          <w:u w:val="single"/>
        </w:rPr>
        <w:t>Having examined</w:t>
      </w:r>
      <w:r w:rsidRPr="006A0BB0">
        <w:t xml:space="preserve"> document ITH/12/7.COM 3.BUR/5 and its annex,</w:t>
      </w:r>
    </w:p>
    <w:p w:rsidR="00992D71" w:rsidRPr="006A0BB0" w:rsidRDefault="00992D71" w:rsidP="00B94A9A">
      <w:pPr>
        <w:pStyle w:val="Marge"/>
        <w:numPr>
          <w:ilvl w:val="0"/>
          <w:numId w:val="32"/>
        </w:numPr>
        <w:spacing w:before="240"/>
        <w:ind w:left="1134" w:hanging="567"/>
      </w:pPr>
      <w:r w:rsidRPr="006A0BB0">
        <w:rPr>
          <w:u w:val="single"/>
        </w:rPr>
        <w:t>Recalling</w:t>
      </w:r>
      <w:r w:rsidRPr="006A0BB0">
        <w:t xml:space="preserve"> Resolution 4.GA 7 and </w:t>
      </w:r>
      <w:r w:rsidR="00A646E2" w:rsidRPr="006A0BB0">
        <w:t>Decision 6.COM 20,</w:t>
      </w:r>
    </w:p>
    <w:p w:rsidR="00A646E2" w:rsidRPr="006A0BB0" w:rsidRDefault="00A646E2" w:rsidP="00B94A9A">
      <w:pPr>
        <w:pStyle w:val="Marge"/>
        <w:numPr>
          <w:ilvl w:val="0"/>
          <w:numId w:val="32"/>
        </w:numPr>
        <w:spacing w:before="240"/>
        <w:ind w:left="1134" w:hanging="567"/>
      </w:pPr>
      <w:r w:rsidRPr="006A0BB0">
        <w:rPr>
          <w:u w:val="single"/>
        </w:rPr>
        <w:t>Authorizes</w:t>
      </w:r>
      <w:r w:rsidRPr="006A0BB0">
        <w:t xml:space="preserve"> the expenditures specified in that document and its annex;</w:t>
      </w:r>
    </w:p>
    <w:p w:rsidR="00A646E2" w:rsidRPr="006A0BB0" w:rsidRDefault="00A646E2" w:rsidP="00B94A9A">
      <w:pPr>
        <w:pStyle w:val="Marge"/>
        <w:numPr>
          <w:ilvl w:val="0"/>
          <w:numId w:val="32"/>
        </w:numPr>
        <w:spacing w:before="240"/>
        <w:ind w:left="1134" w:hanging="567"/>
      </w:pPr>
      <w:r w:rsidRPr="006A0BB0">
        <w:rPr>
          <w:u w:val="single"/>
        </w:rPr>
        <w:t>Requests</w:t>
      </w:r>
      <w:r w:rsidRPr="006A0BB0">
        <w:t xml:space="preserve"> the Secretariat to report on the progress of implementation and the way the funds are spent;</w:t>
      </w:r>
    </w:p>
    <w:p w:rsidR="00A646E2" w:rsidRPr="006A0BB0" w:rsidRDefault="00A646E2" w:rsidP="00B94A9A">
      <w:pPr>
        <w:pStyle w:val="Marge"/>
        <w:numPr>
          <w:ilvl w:val="0"/>
          <w:numId w:val="32"/>
        </w:numPr>
        <w:spacing w:before="240"/>
        <w:ind w:left="1134" w:hanging="567"/>
      </w:pPr>
      <w:r w:rsidRPr="006A0BB0">
        <w:rPr>
          <w:u w:val="single"/>
        </w:rPr>
        <w:t>Invites</w:t>
      </w:r>
      <w:r w:rsidRPr="006A0BB0">
        <w:t xml:space="preserve"> the Chairperson of the Committee to bring this decision to the attention of the Committee</w:t>
      </w:r>
      <w:r w:rsidR="007E1D24" w:rsidRPr="006A0BB0">
        <w:t xml:space="preserve"> at its seventh session</w:t>
      </w:r>
      <w:r w:rsidRPr="006A0BB0">
        <w:t>.</w:t>
      </w:r>
    </w:p>
    <w:p w:rsidR="00A646E2" w:rsidRPr="006A0BB0" w:rsidRDefault="00A646E2" w:rsidP="00A646E2">
      <w:pPr>
        <w:pStyle w:val="Marge"/>
        <w:spacing w:before="240" w:line="360" w:lineRule="auto"/>
        <w:ind w:left="1134"/>
        <w:sectPr w:rsidR="00A646E2" w:rsidRPr="006A0BB0">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397" w:footer="284" w:gutter="0"/>
          <w:cols w:space="708"/>
          <w:titlePg/>
          <w:docGrid w:linePitch="360"/>
        </w:sectPr>
      </w:pPr>
    </w:p>
    <w:p w:rsidR="00A646E2" w:rsidRPr="006A0BB0" w:rsidRDefault="00A646E2" w:rsidP="00B94A9A">
      <w:pPr>
        <w:pStyle w:val="Marge"/>
        <w:tabs>
          <w:tab w:val="clear" w:pos="567"/>
        </w:tabs>
        <w:spacing w:before="240"/>
        <w:jc w:val="center"/>
        <w:rPr>
          <w:b/>
        </w:rPr>
      </w:pPr>
      <w:r w:rsidRPr="006A0BB0">
        <w:rPr>
          <w:b/>
        </w:rPr>
        <w:t>ANNEX</w:t>
      </w:r>
    </w:p>
    <w:p w:rsidR="00A646E2" w:rsidRPr="006A0BB0" w:rsidRDefault="00A646E2" w:rsidP="00B94A9A">
      <w:pPr>
        <w:pStyle w:val="Marge"/>
        <w:tabs>
          <w:tab w:val="clear" w:pos="567"/>
        </w:tabs>
        <w:spacing w:before="240"/>
        <w:jc w:val="center"/>
        <w:rPr>
          <w:b/>
        </w:rPr>
      </w:pPr>
      <w:r w:rsidRPr="006A0BB0">
        <w:rPr>
          <w:b/>
        </w:rPr>
        <w:t>Spending plan for the funds allocated for o</w:t>
      </w:r>
      <w:r w:rsidR="00B94A9A">
        <w:rPr>
          <w:b/>
        </w:rPr>
        <w:t>ther functions of the Committee</w:t>
      </w:r>
      <w:r w:rsidR="00B94A9A">
        <w:rPr>
          <w:b/>
        </w:rPr>
        <w:br/>
      </w:r>
      <w:r w:rsidRPr="006A0BB0">
        <w:rPr>
          <w:b/>
        </w:rPr>
        <w:t>under the Plan for the use of the resources of the Fund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386"/>
        <w:gridCol w:w="1203"/>
      </w:tblGrid>
      <w:tr w:rsidR="00A646E2" w:rsidRPr="006A0BB0">
        <w:trPr>
          <w:tblHeader/>
        </w:trPr>
        <w:tc>
          <w:tcPr>
            <w:tcW w:w="3119" w:type="dxa"/>
            <w:shd w:val="clear" w:color="auto" w:fill="A6A6A6" w:themeFill="background1" w:themeFillShade="A6"/>
            <w:vAlign w:val="center"/>
          </w:tcPr>
          <w:p w:rsidR="00A646E2" w:rsidRPr="006A0BB0" w:rsidRDefault="00A646E2" w:rsidP="00B94A9A">
            <w:pPr>
              <w:spacing w:before="60" w:after="60"/>
              <w:jc w:val="center"/>
              <w:rPr>
                <w:rFonts w:ascii="Arial" w:hAnsi="Arial" w:cs="Arial"/>
                <w:b/>
                <w:bCs/>
                <w:color w:val="FFFFFF" w:themeColor="background1"/>
                <w:sz w:val="22"/>
                <w:szCs w:val="22"/>
              </w:rPr>
            </w:pPr>
            <w:bookmarkStart w:id="1" w:name="RANGE!A1:E31"/>
            <w:r w:rsidRPr="006A0BB0">
              <w:rPr>
                <w:rFonts w:ascii="Arial" w:hAnsi="Arial" w:cs="Arial"/>
                <w:b/>
                <w:bCs/>
                <w:color w:val="FFFFFF" w:themeColor="background1"/>
                <w:sz w:val="22"/>
                <w:szCs w:val="22"/>
              </w:rPr>
              <w:t>Activity</w:t>
            </w:r>
            <w:bookmarkEnd w:id="1"/>
          </w:p>
        </w:tc>
        <w:tc>
          <w:tcPr>
            <w:tcW w:w="5386" w:type="dxa"/>
            <w:shd w:val="clear" w:color="auto" w:fill="A6A6A6" w:themeFill="background1" w:themeFillShade="A6"/>
            <w:vAlign w:val="center"/>
          </w:tcPr>
          <w:p w:rsidR="00A646E2" w:rsidRPr="006A0BB0" w:rsidRDefault="00A646E2" w:rsidP="00B94A9A">
            <w:pPr>
              <w:spacing w:before="60" w:after="60"/>
              <w:jc w:val="center"/>
              <w:rPr>
                <w:rFonts w:ascii="Arial" w:hAnsi="Arial" w:cs="Arial"/>
                <w:b/>
                <w:bCs/>
                <w:color w:val="FFFFFF" w:themeColor="background1"/>
                <w:sz w:val="22"/>
                <w:szCs w:val="22"/>
              </w:rPr>
            </w:pPr>
            <w:r w:rsidRPr="006A0BB0">
              <w:rPr>
                <w:rFonts w:ascii="Arial" w:hAnsi="Arial" w:cs="Arial"/>
                <w:b/>
                <w:bCs/>
                <w:color w:val="FFFFFF" w:themeColor="background1"/>
                <w:sz w:val="22"/>
                <w:szCs w:val="22"/>
              </w:rPr>
              <w:t>Description</w:t>
            </w:r>
          </w:p>
        </w:tc>
        <w:tc>
          <w:tcPr>
            <w:tcW w:w="1203" w:type="dxa"/>
            <w:shd w:val="clear" w:color="auto" w:fill="A6A6A6" w:themeFill="background1" w:themeFillShade="A6"/>
            <w:vAlign w:val="center"/>
          </w:tcPr>
          <w:p w:rsidR="00A646E2" w:rsidRPr="006A0BB0" w:rsidRDefault="00A646E2" w:rsidP="00B94A9A">
            <w:pPr>
              <w:spacing w:before="60" w:after="60"/>
              <w:jc w:val="center"/>
              <w:rPr>
                <w:rFonts w:ascii="Arial" w:hAnsi="Arial" w:cs="Arial"/>
                <w:b/>
                <w:bCs/>
                <w:color w:val="FFFFFF" w:themeColor="background1"/>
                <w:sz w:val="22"/>
                <w:szCs w:val="22"/>
              </w:rPr>
            </w:pPr>
            <w:r w:rsidRPr="006A0BB0">
              <w:rPr>
                <w:rFonts w:ascii="Arial" w:hAnsi="Arial" w:cs="Arial"/>
                <w:b/>
                <w:bCs/>
                <w:color w:val="FFFFFF" w:themeColor="background1"/>
                <w:sz w:val="22"/>
                <w:szCs w:val="22"/>
              </w:rPr>
              <w:t>Amount</w:t>
            </w:r>
          </w:p>
        </w:tc>
      </w:tr>
      <w:tr w:rsidR="00A646E2" w:rsidRPr="006A0BB0">
        <w:tc>
          <w:tcPr>
            <w:tcW w:w="8505" w:type="dxa"/>
            <w:gridSpan w:val="2"/>
            <w:shd w:val="clear" w:color="auto" w:fill="F2F2F2" w:themeFill="background1" w:themeFillShade="F2"/>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A. Capacity-building</w:t>
            </w:r>
          </w:p>
        </w:tc>
        <w:tc>
          <w:tcPr>
            <w:tcW w:w="1203" w:type="dxa"/>
            <w:shd w:val="clear" w:color="auto" w:fill="F2F2F2" w:themeFill="background1" w:themeFillShade="F2"/>
            <w:vAlign w:val="center"/>
          </w:tcPr>
          <w:p w:rsidR="00A646E2" w:rsidRPr="006A0BB0" w:rsidRDefault="00A646E2" w:rsidP="00B94A9A">
            <w:pPr>
              <w:spacing w:before="60" w:after="60"/>
              <w:jc w:val="right"/>
              <w:rPr>
                <w:rFonts w:ascii="Arial" w:hAnsi="Arial" w:cs="Arial"/>
                <w:b/>
                <w:bCs/>
                <w:color w:val="000000"/>
                <w:sz w:val="22"/>
                <w:szCs w:val="22"/>
              </w:rPr>
            </w:pPr>
            <w:r w:rsidRPr="006A0BB0">
              <w:rPr>
                <w:rFonts w:ascii="Arial" w:hAnsi="Arial" w:cs="Arial"/>
                <w:b/>
                <w:bCs/>
                <w:color w:val="000000"/>
                <w:sz w:val="22"/>
                <w:szCs w:val="22"/>
              </w:rPr>
              <w:t>$255,000</w:t>
            </w:r>
          </w:p>
        </w:tc>
      </w:tr>
      <w:tr w:rsidR="00A646E2" w:rsidRPr="006A0BB0">
        <w:tc>
          <w:tcPr>
            <w:tcW w:w="8505" w:type="dxa"/>
            <w:gridSpan w:val="2"/>
            <w:shd w:val="clear" w:color="auto" w:fill="auto"/>
            <w:vAlign w:val="center"/>
          </w:tcPr>
          <w:p w:rsidR="00A646E2" w:rsidRPr="006A0BB0" w:rsidRDefault="00A646E2" w:rsidP="00654840">
            <w:pPr>
              <w:spacing w:before="60" w:after="60"/>
              <w:rPr>
                <w:rFonts w:ascii="Arial" w:hAnsi="Arial" w:cs="Arial"/>
                <w:b/>
                <w:bCs/>
                <w:color w:val="000000"/>
                <w:sz w:val="22"/>
                <w:szCs w:val="22"/>
              </w:rPr>
            </w:pPr>
            <w:r w:rsidRPr="006A0BB0">
              <w:rPr>
                <w:rFonts w:ascii="Arial" w:hAnsi="Arial" w:cs="Arial"/>
                <w:b/>
                <w:bCs/>
                <w:color w:val="000000"/>
                <w:sz w:val="22"/>
                <w:szCs w:val="22"/>
              </w:rPr>
              <w:t>A.1 Content development of new capacity-building</w:t>
            </w:r>
            <w:r w:rsidR="00654840">
              <w:rPr>
                <w:rFonts w:ascii="Arial" w:hAnsi="Arial" w:cs="Arial"/>
                <w:b/>
                <w:bCs/>
                <w:color w:val="000000"/>
                <w:sz w:val="22"/>
                <w:szCs w:val="22"/>
              </w:rPr>
              <w:t xml:space="preserve"> materials</w:t>
            </w:r>
            <w:r w:rsidRPr="006A0BB0">
              <w:rPr>
                <w:rFonts w:ascii="Arial" w:hAnsi="Arial" w:cs="Arial"/>
                <w:b/>
                <w:bCs/>
                <w:color w:val="000000"/>
                <w:sz w:val="22"/>
                <w:szCs w:val="22"/>
              </w:rPr>
              <w:t>: development of safeguarding plans, intangible cultural heritage and sustainable development</w:t>
            </w:r>
          </w:p>
        </w:tc>
        <w:tc>
          <w:tcPr>
            <w:tcW w:w="1203" w:type="dxa"/>
            <w:shd w:val="clear" w:color="auto" w:fill="auto"/>
            <w:vAlign w:val="center"/>
          </w:tcPr>
          <w:p w:rsidR="00A646E2" w:rsidRPr="006A0BB0" w:rsidRDefault="00A646E2" w:rsidP="00B94A9A">
            <w:pPr>
              <w:spacing w:before="60" w:after="60"/>
              <w:rPr>
                <w:rFonts w:ascii="Arial" w:hAnsi="Arial" w:cs="Arial"/>
                <w:color w:val="000000"/>
                <w:sz w:val="22"/>
                <w:szCs w:val="22"/>
              </w:rPr>
            </w:pPr>
          </w:p>
        </w:tc>
      </w:tr>
      <w:tr w:rsidR="00A646E2" w:rsidRPr="006A0BB0">
        <w:tc>
          <w:tcPr>
            <w:tcW w:w="3119"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Content development for trainers and trainees manuals</w:t>
            </w:r>
          </w:p>
        </w:tc>
        <w:tc>
          <w:tcPr>
            <w:tcW w:w="5386"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Professional services for content development</w:t>
            </w:r>
          </w:p>
        </w:tc>
        <w:tc>
          <w:tcPr>
            <w:tcW w:w="1203" w:type="dxa"/>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$65,000</w:t>
            </w:r>
          </w:p>
        </w:tc>
      </w:tr>
      <w:tr w:rsidR="00A646E2" w:rsidRPr="006A0BB0">
        <w:tc>
          <w:tcPr>
            <w:tcW w:w="8505" w:type="dxa"/>
            <w:gridSpan w:val="2"/>
            <w:shd w:val="clear" w:color="auto" w:fill="auto"/>
            <w:vAlign w:val="center"/>
          </w:tcPr>
          <w:p w:rsidR="00A646E2" w:rsidRPr="006A0BB0" w:rsidRDefault="00A646E2" w:rsidP="00654840">
            <w:pPr>
              <w:spacing w:before="60" w:after="60"/>
              <w:rPr>
                <w:rFonts w:ascii="Arial" w:hAnsi="Arial" w:cs="Arial"/>
                <w:b/>
                <w:bCs/>
                <w:color w:val="000000"/>
                <w:sz w:val="22"/>
                <w:szCs w:val="22"/>
              </w:rPr>
            </w:pPr>
            <w:r w:rsidRPr="006A0BB0">
              <w:rPr>
                <w:rFonts w:ascii="Arial" w:hAnsi="Arial" w:cs="Arial"/>
                <w:b/>
                <w:bCs/>
                <w:color w:val="000000"/>
                <w:sz w:val="22"/>
                <w:szCs w:val="22"/>
              </w:rPr>
              <w:t>A.2 Production of existing capacity-building</w:t>
            </w:r>
            <w:r w:rsidR="00654840">
              <w:rPr>
                <w:rFonts w:ascii="Arial" w:hAnsi="Arial" w:cs="Arial"/>
                <w:b/>
                <w:bCs/>
                <w:color w:val="000000"/>
                <w:sz w:val="22"/>
                <w:szCs w:val="22"/>
              </w:rPr>
              <w:t xml:space="preserve"> materials</w:t>
            </w:r>
            <w:r w:rsidRPr="006A0BB0">
              <w:rPr>
                <w:rFonts w:ascii="Arial" w:hAnsi="Arial" w:cs="Arial"/>
                <w:b/>
                <w:bCs/>
                <w:color w:val="000000"/>
                <w:sz w:val="22"/>
                <w:szCs w:val="22"/>
              </w:rPr>
              <w:t xml:space="preserve">: national implementation, inventorying, </w:t>
            </w:r>
            <w:r w:rsidR="00654840">
              <w:rPr>
                <w:rFonts w:ascii="Arial" w:hAnsi="Arial" w:cs="Arial"/>
                <w:b/>
                <w:bCs/>
                <w:color w:val="000000"/>
                <w:sz w:val="22"/>
                <w:szCs w:val="22"/>
              </w:rPr>
              <w:t>elaboration of files</w:t>
            </w:r>
          </w:p>
        </w:tc>
        <w:tc>
          <w:tcPr>
            <w:tcW w:w="1203" w:type="dxa"/>
            <w:shd w:val="clear" w:color="auto" w:fill="auto"/>
            <w:vAlign w:val="center"/>
          </w:tcPr>
          <w:p w:rsidR="00A646E2" w:rsidRPr="006A0BB0" w:rsidRDefault="00A646E2" w:rsidP="00B94A9A">
            <w:pPr>
              <w:spacing w:before="60" w:after="60"/>
              <w:rPr>
                <w:rFonts w:ascii="Arial" w:hAnsi="Arial" w:cs="Arial"/>
                <w:color w:val="000000"/>
                <w:sz w:val="22"/>
                <w:szCs w:val="22"/>
              </w:rPr>
            </w:pPr>
          </w:p>
        </w:tc>
      </w:tr>
      <w:tr w:rsidR="00A646E2" w:rsidRPr="006A0BB0">
        <w:tc>
          <w:tcPr>
            <w:tcW w:w="3119"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Pre-production</w:t>
            </w:r>
          </w:p>
        </w:tc>
        <w:tc>
          <w:tcPr>
            <w:tcW w:w="5386"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Professional services for translation</w:t>
            </w:r>
            <w:r w:rsidR="00B00FB2" w:rsidRPr="006A0BB0">
              <w:rPr>
                <w:rFonts w:ascii="Arial" w:hAnsi="Arial" w:cs="Arial"/>
                <w:color w:val="000000"/>
                <w:sz w:val="22"/>
                <w:szCs w:val="22"/>
              </w:rPr>
              <w:t>,</w:t>
            </w:r>
            <w:r w:rsidRPr="006A0BB0">
              <w:rPr>
                <w:rFonts w:ascii="Arial" w:hAnsi="Arial" w:cs="Arial"/>
                <w:color w:val="000000"/>
                <w:sz w:val="22"/>
                <w:szCs w:val="22"/>
              </w:rPr>
              <w:t xml:space="preserve"> copy-editing, graphic design, layout, proofreading</w:t>
            </w:r>
          </w:p>
        </w:tc>
        <w:tc>
          <w:tcPr>
            <w:tcW w:w="1203" w:type="dxa"/>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$90,000</w:t>
            </w:r>
          </w:p>
        </w:tc>
      </w:tr>
      <w:tr w:rsidR="00A646E2" w:rsidRPr="006A0BB0">
        <w:tc>
          <w:tcPr>
            <w:tcW w:w="8505" w:type="dxa"/>
            <w:gridSpan w:val="2"/>
            <w:shd w:val="clear" w:color="auto" w:fill="auto"/>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A.3 Stock</w:t>
            </w:r>
            <w:r w:rsidR="00B00FB2" w:rsidRPr="006A0BB0">
              <w:rPr>
                <w:rFonts w:ascii="Arial" w:hAnsi="Arial" w:cs="Arial"/>
                <w:b/>
                <w:bCs/>
                <w:color w:val="000000"/>
                <w:sz w:val="22"/>
                <w:szCs w:val="22"/>
              </w:rPr>
              <w:t>-</w:t>
            </w:r>
            <w:r w:rsidRPr="006A0BB0">
              <w:rPr>
                <w:rFonts w:ascii="Arial" w:hAnsi="Arial" w:cs="Arial"/>
                <w:b/>
                <w:bCs/>
                <w:color w:val="000000"/>
                <w:sz w:val="22"/>
                <w:szCs w:val="22"/>
              </w:rPr>
              <w:t>taking workshop for trained facilitators</w:t>
            </w:r>
          </w:p>
        </w:tc>
        <w:tc>
          <w:tcPr>
            <w:tcW w:w="1203" w:type="dxa"/>
            <w:shd w:val="clear" w:color="auto" w:fill="auto"/>
            <w:vAlign w:val="center"/>
          </w:tcPr>
          <w:p w:rsidR="00A646E2" w:rsidRPr="006A0BB0" w:rsidRDefault="00A646E2" w:rsidP="00B94A9A">
            <w:pPr>
              <w:spacing w:before="60" w:after="60"/>
              <w:rPr>
                <w:rFonts w:ascii="Arial" w:hAnsi="Arial" w:cs="Arial"/>
                <w:color w:val="000000"/>
                <w:sz w:val="22"/>
                <w:szCs w:val="22"/>
              </w:rPr>
            </w:pPr>
          </w:p>
        </w:tc>
      </w:tr>
      <w:tr w:rsidR="00A646E2" w:rsidRPr="006A0BB0">
        <w:tc>
          <w:tcPr>
            <w:tcW w:w="3119"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 xml:space="preserve">Workshop for 10 to 15 </w:t>
            </w:r>
            <w:r w:rsidR="00B00FB2" w:rsidRPr="006A0BB0">
              <w:rPr>
                <w:rFonts w:ascii="Arial" w:hAnsi="Arial" w:cs="Arial"/>
                <w:color w:val="000000"/>
                <w:sz w:val="22"/>
                <w:szCs w:val="22"/>
              </w:rPr>
              <w:t>facilitators</w:t>
            </w:r>
          </w:p>
        </w:tc>
        <w:tc>
          <w:tcPr>
            <w:tcW w:w="5386"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 xml:space="preserve">Travel and subsistence of participants, meeting facilities and equipment, reproduction costs, local travel, hospitality, communications, shipment </w:t>
            </w:r>
          </w:p>
        </w:tc>
        <w:tc>
          <w:tcPr>
            <w:tcW w:w="1203" w:type="dxa"/>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$80,000</w:t>
            </w:r>
          </w:p>
        </w:tc>
      </w:tr>
      <w:tr w:rsidR="00A646E2" w:rsidRPr="006A0BB0">
        <w:tc>
          <w:tcPr>
            <w:tcW w:w="8505" w:type="dxa"/>
            <w:gridSpan w:val="2"/>
            <w:shd w:val="clear" w:color="auto" w:fill="auto"/>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 xml:space="preserve">A.4 First Caribbean Youth Forum on Safeguarding Intangible Cultural Heritage </w:t>
            </w:r>
          </w:p>
        </w:tc>
        <w:tc>
          <w:tcPr>
            <w:tcW w:w="1203" w:type="dxa"/>
            <w:shd w:val="clear" w:color="auto" w:fill="auto"/>
            <w:vAlign w:val="center"/>
          </w:tcPr>
          <w:p w:rsidR="00A646E2" w:rsidRPr="006A0BB0" w:rsidRDefault="00A646E2" w:rsidP="00B94A9A">
            <w:pPr>
              <w:spacing w:before="60" w:after="60"/>
              <w:rPr>
                <w:rFonts w:ascii="Arial" w:hAnsi="Arial" w:cs="Arial"/>
                <w:color w:val="000000"/>
                <w:sz w:val="22"/>
                <w:szCs w:val="22"/>
              </w:rPr>
            </w:pPr>
          </w:p>
        </w:tc>
      </w:tr>
      <w:tr w:rsidR="00A646E2" w:rsidRPr="006A0BB0">
        <w:tc>
          <w:tcPr>
            <w:tcW w:w="3119" w:type="dxa"/>
            <w:shd w:val="clear" w:color="auto" w:fill="auto"/>
            <w:vAlign w:val="center"/>
          </w:tcPr>
          <w:p w:rsidR="00A646E2" w:rsidRPr="006A0BB0" w:rsidRDefault="00B00FB2" w:rsidP="00B94A9A">
            <w:pPr>
              <w:spacing w:before="60" w:after="60"/>
              <w:rPr>
                <w:rFonts w:ascii="Arial" w:hAnsi="Arial" w:cs="Arial"/>
                <w:color w:val="000000"/>
                <w:sz w:val="22"/>
                <w:szCs w:val="22"/>
              </w:rPr>
            </w:pPr>
            <w:r w:rsidRPr="006A0BB0">
              <w:rPr>
                <w:rFonts w:ascii="Arial" w:hAnsi="Arial" w:cs="Arial"/>
                <w:color w:val="000000"/>
                <w:sz w:val="22"/>
                <w:szCs w:val="22"/>
              </w:rPr>
              <w:t>F</w:t>
            </w:r>
            <w:r w:rsidR="00A646E2" w:rsidRPr="006A0BB0">
              <w:rPr>
                <w:rFonts w:ascii="Arial" w:hAnsi="Arial" w:cs="Arial"/>
                <w:color w:val="000000"/>
                <w:sz w:val="22"/>
                <w:szCs w:val="22"/>
              </w:rPr>
              <w:t xml:space="preserve">orum on the implementation of the 2003 Convention </w:t>
            </w:r>
          </w:p>
        </w:tc>
        <w:tc>
          <w:tcPr>
            <w:tcW w:w="5386"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 xml:space="preserve">Travel and subsistence of participants, trainers' services and expenses, meeting facilities and equipment, reproduction costs, local travel, hospitality, communications, shipment </w:t>
            </w:r>
          </w:p>
        </w:tc>
        <w:tc>
          <w:tcPr>
            <w:tcW w:w="1203" w:type="dxa"/>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$20,000</w:t>
            </w:r>
          </w:p>
        </w:tc>
      </w:tr>
      <w:tr w:rsidR="00A646E2" w:rsidRPr="006A0BB0">
        <w:tc>
          <w:tcPr>
            <w:tcW w:w="8505" w:type="dxa"/>
            <w:gridSpan w:val="2"/>
            <w:shd w:val="clear" w:color="auto" w:fill="F2F2F2" w:themeFill="background1" w:themeFillShade="F2"/>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 xml:space="preserve">B. Promotion and dissemination of Best Safeguarding Practices </w:t>
            </w:r>
          </w:p>
        </w:tc>
        <w:tc>
          <w:tcPr>
            <w:tcW w:w="1203" w:type="dxa"/>
            <w:shd w:val="clear" w:color="auto" w:fill="F2F2F2" w:themeFill="background1" w:themeFillShade="F2"/>
            <w:vAlign w:val="center"/>
          </w:tcPr>
          <w:p w:rsidR="00A646E2" w:rsidRPr="006A0BB0" w:rsidRDefault="00A646E2" w:rsidP="00B94A9A">
            <w:pPr>
              <w:spacing w:before="60" w:after="60"/>
              <w:jc w:val="right"/>
              <w:rPr>
                <w:rFonts w:ascii="Arial" w:hAnsi="Arial" w:cs="Arial"/>
                <w:b/>
                <w:bCs/>
                <w:color w:val="000000"/>
                <w:sz w:val="22"/>
                <w:szCs w:val="22"/>
              </w:rPr>
            </w:pPr>
            <w:r w:rsidRPr="006A0BB0">
              <w:rPr>
                <w:rFonts w:ascii="Arial" w:hAnsi="Arial" w:cs="Arial"/>
                <w:b/>
                <w:bCs/>
                <w:color w:val="000000"/>
                <w:sz w:val="22"/>
                <w:szCs w:val="22"/>
              </w:rPr>
              <w:t>$50 000</w:t>
            </w:r>
          </w:p>
        </w:tc>
      </w:tr>
      <w:tr w:rsidR="00A646E2" w:rsidRPr="006A0BB0">
        <w:tc>
          <w:tcPr>
            <w:tcW w:w="3119"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 xml:space="preserve">Research, documentation, publication and dissemination of best practices </w:t>
            </w:r>
          </w:p>
        </w:tc>
        <w:tc>
          <w:tcPr>
            <w:tcW w:w="5386" w:type="dxa"/>
            <w:shd w:val="clear" w:color="auto" w:fill="auto"/>
            <w:vAlign w:val="center"/>
          </w:tcPr>
          <w:p w:rsidR="00A646E2" w:rsidRPr="006A0BB0" w:rsidRDefault="00654840" w:rsidP="00B94A9A">
            <w:pPr>
              <w:spacing w:before="60" w:after="60"/>
              <w:rPr>
                <w:rFonts w:ascii="Arial" w:hAnsi="Arial" w:cs="Arial"/>
                <w:color w:val="000000"/>
                <w:sz w:val="22"/>
                <w:szCs w:val="22"/>
              </w:rPr>
            </w:pPr>
            <w:r>
              <w:rPr>
                <w:rFonts w:ascii="Arial" w:hAnsi="Arial" w:cs="Arial"/>
                <w:color w:val="000000"/>
                <w:sz w:val="22"/>
                <w:szCs w:val="22"/>
              </w:rPr>
              <w:t>P</w:t>
            </w:r>
            <w:r w:rsidR="00A646E2" w:rsidRPr="006A0BB0">
              <w:rPr>
                <w:rFonts w:ascii="Arial" w:hAnsi="Arial" w:cs="Arial"/>
                <w:color w:val="000000"/>
                <w:sz w:val="22"/>
                <w:szCs w:val="22"/>
              </w:rPr>
              <w:t>rofessional services for content development, text preparation, translation, design and layout in English and French</w:t>
            </w:r>
          </w:p>
        </w:tc>
        <w:tc>
          <w:tcPr>
            <w:tcW w:w="1203" w:type="dxa"/>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$50,000</w:t>
            </w:r>
          </w:p>
        </w:tc>
      </w:tr>
      <w:tr w:rsidR="00A646E2" w:rsidRPr="006A0BB0">
        <w:tc>
          <w:tcPr>
            <w:tcW w:w="8505" w:type="dxa"/>
            <w:gridSpan w:val="2"/>
            <w:shd w:val="clear" w:color="auto" w:fill="F2F2F2" w:themeFill="background1" w:themeFillShade="F2"/>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C. Communication and Visibility</w:t>
            </w:r>
          </w:p>
        </w:tc>
        <w:tc>
          <w:tcPr>
            <w:tcW w:w="1203" w:type="dxa"/>
            <w:shd w:val="clear" w:color="auto" w:fill="F2F2F2" w:themeFill="background1" w:themeFillShade="F2"/>
            <w:vAlign w:val="center"/>
          </w:tcPr>
          <w:p w:rsidR="00A646E2" w:rsidRPr="006A0BB0" w:rsidRDefault="00A646E2" w:rsidP="00B94A9A">
            <w:pPr>
              <w:spacing w:before="60" w:after="60"/>
              <w:jc w:val="right"/>
              <w:rPr>
                <w:rFonts w:ascii="Arial" w:hAnsi="Arial" w:cs="Arial"/>
                <w:b/>
                <w:bCs/>
                <w:color w:val="000000"/>
                <w:sz w:val="22"/>
                <w:szCs w:val="22"/>
              </w:rPr>
            </w:pPr>
            <w:r w:rsidRPr="006A0BB0">
              <w:rPr>
                <w:rFonts w:ascii="Arial" w:hAnsi="Arial" w:cs="Arial"/>
                <w:b/>
                <w:bCs/>
                <w:color w:val="000000"/>
                <w:sz w:val="22"/>
                <w:szCs w:val="22"/>
              </w:rPr>
              <w:t>$164,000</w:t>
            </w:r>
          </w:p>
        </w:tc>
      </w:tr>
      <w:tr w:rsidR="00A646E2" w:rsidRPr="006A0BB0">
        <w:tc>
          <w:tcPr>
            <w:tcW w:w="8505" w:type="dxa"/>
            <w:gridSpan w:val="2"/>
            <w:shd w:val="clear" w:color="auto" w:fill="auto"/>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 xml:space="preserve">C.1 Publication of Basic Texts as amended by the </w:t>
            </w:r>
            <w:r w:rsidR="00B00FB2" w:rsidRPr="006A0BB0">
              <w:rPr>
                <w:rFonts w:ascii="Arial" w:hAnsi="Arial" w:cs="Arial"/>
                <w:b/>
                <w:bCs/>
                <w:color w:val="000000"/>
                <w:sz w:val="22"/>
                <w:szCs w:val="22"/>
              </w:rPr>
              <w:t xml:space="preserve">fourth </w:t>
            </w:r>
            <w:r w:rsidRPr="006A0BB0">
              <w:rPr>
                <w:rFonts w:ascii="Arial" w:hAnsi="Arial" w:cs="Arial"/>
                <w:b/>
                <w:bCs/>
                <w:color w:val="000000"/>
                <w:sz w:val="22"/>
                <w:szCs w:val="22"/>
              </w:rPr>
              <w:t>session of the General Assembly (Arabic, Chinese, English, French, Russian and Spanish)</w:t>
            </w:r>
          </w:p>
        </w:tc>
        <w:tc>
          <w:tcPr>
            <w:tcW w:w="1203" w:type="dxa"/>
            <w:shd w:val="clear" w:color="auto" w:fill="auto"/>
            <w:vAlign w:val="center"/>
          </w:tcPr>
          <w:p w:rsidR="00A646E2" w:rsidRPr="006A0BB0" w:rsidRDefault="00A646E2" w:rsidP="00B94A9A">
            <w:pPr>
              <w:spacing w:before="60" w:after="60"/>
              <w:rPr>
                <w:rFonts w:ascii="Arial" w:hAnsi="Arial" w:cs="Arial"/>
                <w:b/>
                <w:color w:val="000000"/>
                <w:sz w:val="22"/>
                <w:szCs w:val="22"/>
              </w:rPr>
            </w:pPr>
          </w:p>
        </w:tc>
      </w:tr>
      <w:tr w:rsidR="00A646E2" w:rsidRPr="006A0BB0">
        <w:tc>
          <w:tcPr>
            <w:tcW w:w="3119"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 xml:space="preserve">Pre-production </w:t>
            </w:r>
            <w:r w:rsidR="00456085" w:rsidRPr="006A0BB0">
              <w:rPr>
                <w:rFonts w:ascii="Arial" w:hAnsi="Arial" w:cs="Arial"/>
                <w:color w:val="000000"/>
                <w:sz w:val="22"/>
                <w:szCs w:val="22"/>
              </w:rPr>
              <w:t xml:space="preserve">and printing </w:t>
            </w:r>
            <w:r w:rsidRPr="006A0BB0">
              <w:rPr>
                <w:rFonts w:ascii="Arial" w:hAnsi="Arial" w:cs="Arial"/>
                <w:color w:val="000000"/>
                <w:sz w:val="22"/>
                <w:szCs w:val="22"/>
              </w:rPr>
              <w:t>of 2012 edition</w:t>
            </w:r>
          </w:p>
        </w:tc>
        <w:tc>
          <w:tcPr>
            <w:tcW w:w="5386" w:type="dxa"/>
            <w:shd w:val="clear" w:color="auto" w:fill="auto"/>
            <w:vAlign w:val="center"/>
          </w:tcPr>
          <w:p w:rsidR="00A646E2" w:rsidRPr="006A0BB0" w:rsidRDefault="00B00FB2" w:rsidP="00B94A9A">
            <w:pPr>
              <w:spacing w:before="60" w:after="60"/>
              <w:rPr>
                <w:rFonts w:ascii="Arial" w:hAnsi="Arial" w:cs="Arial"/>
                <w:color w:val="000000"/>
                <w:sz w:val="22"/>
                <w:szCs w:val="22"/>
              </w:rPr>
            </w:pPr>
            <w:r w:rsidRPr="006A0BB0">
              <w:rPr>
                <w:rFonts w:ascii="Arial" w:hAnsi="Arial" w:cs="Arial"/>
                <w:color w:val="000000"/>
                <w:sz w:val="22"/>
                <w:szCs w:val="22"/>
              </w:rPr>
              <w:t>Printing costs, p</w:t>
            </w:r>
            <w:r w:rsidR="00A646E2" w:rsidRPr="006A0BB0">
              <w:rPr>
                <w:rFonts w:ascii="Arial" w:hAnsi="Arial" w:cs="Arial"/>
                <w:color w:val="000000"/>
                <w:sz w:val="22"/>
                <w:szCs w:val="22"/>
              </w:rPr>
              <w:t>rofessional services for translation, copy-preparation, graphic design, layout</w:t>
            </w:r>
            <w:r w:rsidRPr="006A0BB0">
              <w:rPr>
                <w:rFonts w:ascii="Arial" w:hAnsi="Arial" w:cs="Arial"/>
                <w:color w:val="000000"/>
                <w:sz w:val="22"/>
                <w:szCs w:val="22"/>
              </w:rPr>
              <w:t xml:space="preserve"> and </w:t>
            </w:r>
            <w:r w:rsidR="00A646E2" w:rsidRPr="006A0BB0">
              <w:rPr>
                <w:rFonts w:ascii="Arial" w:hAnsi="Arial" w:cs="Arial"/>
                <w:color w:val="000000"/>
                <w:sz w:val="22"/>
                <w:szCs w:val="22"/>
              </w:rPr>
              <w:t>proofreading</w:t>
            </w:r>
          </w:p>
        </w:tc>
        <w:tc>
          <w:tcPr>
            <w:tcW w:w="1203" w:type="dxa"/>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w:t>
            </w:r>
            <w:r w:rsidR="00456085" w:rsidRPr="006A0BB0">
              <w:rPr>
                <w:rFonts w:ascii="Arial" w:hAnsi="Arial" w:cs="Arial"/>
                <w:color w:val="000000"/>
                <w:sz w:val="22"/>
                <w:szCs w:val="22"/>
              </w:rPr>
              <w:t>9</w:t>
            </w:r>
            <w:r w:rsidRPr="006A0BB0">
              <w:rPr>
                <w:rFonts w:ascii="Arial" w:hAnsi="Arial" w:cs="Arial"/>
                <w:color w:val="000000"/>
                <w:sz w:val="22"/>
                <w:szCs w:val="22"/>
              </w:rPr>
              <w:t>0,000</w:t>
            </w:r>
          </w:p>
        </w:tc>
      </w:tr>
      <w:tr w:rsidR="00A646E2" w:rsidRPr="006A0BB0">
        <w:tc>
          <w:tcPr>
            <w:tcW w:w="8505" w:type="dxa"/>
            <w:gridSpan w:val="2"/>
            <w:shd w:val="clear" w:color="auto" w:fill="auto"/>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C.2 Publication of leaflets of Urgent Safeguarding and Representative Lists and the Register of Best Safeguarding Practices (English and French)</w:t>
            </w:r>
          </w:p>
        </w:tc>
        <w:tc>
          <w:tcPr>
            <w:tcW w:w="1203" w:type="dxa"/>
            <w:shd w:val="clear" w:color="auto" w:fill="auto"/>
            <w:vAlign w:val="center"/>
          </w:tcPr>
          <w:p w:rsidR="00A646E2" w:rsidRPr="006A0BB0" w:rsidRDefault="00A646E2" w:rsidP="00B94A9A">
            <w:pPr>
              <w:spacing w:before="60" w:after="60"/>
              <w:rPr>
                <w:rFonts w:ascii="Arial" w:hAnsi="Arial" w:cs="Arial"/>
                <w:color w:val="000000"/>
                <w:sz w:val="22"/>
                <w:szCs w:val="22"/>
              </w:rPr>
            </w:pPr>
          </w:p>
        </w:tc>
      </w:tr>
      <w:tr w:rsidR="00A646E2" w:rsidRPr="006A0BB0">
        <w:tc>
          <w:tcPr>
            <w:tcW w:w="3119" w:type="dxa"/>
            <w:shd w:val="clear" w:color="auto" w:fill="auto"/>
            <w:vAlign w:val="center"/>
          </w:tcPr>
          <w:p w:rsidR="00A646E2" w:rsidRPr="006A0BB0" w:rsidRDefault="00456085" w:rsidP="00B94A9A">
            <w:pPr>
              <w:spacing w:before="60" w:after="60"/>
              <w:rPr>
                <w:rFonts w:ascii="Arial" w:hAnsi="Arial" w:cs="Arial"/>
                <w:color w:val="000000"/>
                <w:sz w:val="22"/>
                <w:szCs w:val="22"/>
              </w:rPr>
            </w:pPr>
            <w:r w:rsidRPr="006A0BB0">
              <w:rPr>
                <w:rFonts w:ascii="Arial" w:hAnsi="Arial" w:cs="Arial"/>
                <w:color w:val="000000"/>
                <w:sz w:val="22"/>
                <w:szCs w:val="22"/>
              </w:rPr>
              <w:t>Re-p</w:t>
            </w:r>
            <w:r w:rsidR="00A646E2" w:rsidRPr="006A0BB0">
              <w:rPr>
                <w:rFonts w:ascii="Arial" w:hAnsi="Arial" w:cs="Arial"/>
                <w:color w:val="000000"/>
                <w:sz w:val="22"/>
                <w:szCs w:val="22"/>
              </w:rPr>
              <w:t>rinting of 2011 leaflets</w:t>
            </w:r>
            <w:r w:rsidRPr="006A0BB0">
              <w:rPr>
                <w:rFonts w:ascii="Arial" w:hAnsi="Arial" w:cs="Arial"/>
                <w:color w:val="000000"/>
                <w:sz w:val="22"/>
                <w:szCs w:val="22"/>
              </w:rPr>
              <w:t>, pre-production and printing of 2012 leaflets</w:t>
            </w:r>
          </w:p>
        </w:tc>
        <w:tc>
          <w:tcPr>
            <w:tcW w:w="5386"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Printing costs</w:t>
            </w:r>
            <w:r w:rsidR="00B00FB2" w:rsidRPr="006A0BB0">
              <w:rPr>
                <w:rFonts w:ascii="Arial" w:hAnsi="Arial" w:cs="Arial"/>
                <w:color w:val="000000"/>
                <w:sz w:val="22"/>
                <w:szCs w:val="22"/>
              </w:rPr>
              <w:t>,</w:t>
            </w:r>
            <w:r w:rsidRPr="006A0BB0">
              <w:rPr>
                <w:rFonts w:ascii="Arial" w:hAnsi="Arial" w:cs="Arial"/>
                <w:color w:val="000000"/>
                <w:sz w:val="22"/>
                <w:szCs w:val="22"/>
              </w:rPr>
              <w:t xml:space="preserve"> </w:t>
            </w:r>
            <w:r w:rsidR="00456085" w:rsidRPr="006A0BB0">
              <w:rPr>
                <w:rFonts w:ascii="Arial" w:hAnsi="Arial" w:cs="Arial"/>
                <w:color w:val="000000"/>
                <w:sz w:val="22"/>
                <w:szCs w:val="22"/>
              </w:rPr>
              <w:t xml:space="preserve">professional services for drafting, editing, translation, copy-preparation, graphic design, layout </w:t>
            </w:r>
            <w:r w:rsidR="00B00FB2" w:rsidRPr="006A0BB0">
              <w:rPr>
                <w:rFonts w:ascii="Arial" w:hAnsi="Arial" w:cs="Arial"/>
                <w:color w:val="000000"/>
                <w:sz w:val="22"/>
                <w:szCs w:val="22"/>
              </w:rPr>
              <w:t xml:space="preserve">and </w:t>
            </w:r>
            <w:r w:rsidR="00456085" w:rsidRPr="006A0BB0">
              <w:rPr>
                <w:rFonts w:ascii="Arial" w:hAnsi="Arial" w:cs="Arial"/>
                <w:color w:val="000000"/>
                <w:sz w:val="22"/>
                <w:szCs w:val="22"/>
              </w:rPr>
              <w:t xml:space="preserve">proofreading </w:t>
            </w:r>
          </w:p>
        </w:tc>
        <w:tc>
          <w:tcPr>
            <w:tcW w:w="1203" w:type="dxa"/>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w:t>
            </w:r>
            <w:r w:rsidR="00456085" w:rsidRPr="006A0BB0">
              <w:rPr>
                <w:rFonts w:ascii="Arial" w:hAnsi="Arial" w:cs="Arial"/>
                <w:color w:val="000000"/>
                <w:sz w:val="22"/>
                <w:szCs w:val="22"/>
              </w:rPr>
              <w:t>37,</w:t>
            </w:r>
            <w:r w:rsidRPr="006A0BB0">
              <w:rPr>
                <w:rFonts w:ascii="Arial" w:hAnsi="Arial" w:cs="Arial"/>
                <w:color w:val="000000"/>
                <w:sz w:val="22"/>
                <w:szCs w:val="22"/>
              </w:rPr>
              <w:t>000</w:t>
            </w:r>
          </w:p>
        </w:tc>
      </w:tr>
      <w:tr w:rsidR="00A646E2" w:rsidRPr="006A0BB0">
        <w:tc>
          <w:tcPr>
            <w:tcW w:w="8505" w:type="dxa"/>
            <w:gridSpan w:val="2"/>
            <w:shd w:val="clear" w:color="auto" w:fill="auto"/>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C.3 Publication of brochures of the 2012 &amp; 2013 Urgent Safeguarding and Representative Lists and the Register of Best Safeguarding Practices (English and French)</w:t>
            </w:r>
          </w:p>
        </w:tc>
        <w:tc>
          <w:tcPr>
            <w:tcW w:w="1203" w:type="dxa"/>
            <w:shd w:val="clear" w:color="auto" w:fill="auto"/>
            <w:vAlign w:val="center"/>
          </w:tcPr>
          <w:p w:rsidR="00A646E2" w:rsidRPr="006A0BB0" w:rsidRDefault="00A646E2" w:rsidP="00B94A9A">
            <w:pPr>
              <w:spacing w:before="60" w:after="60"/>
              <w:rPr>
                <w:rFonts w:ascii="Arial" w:hAnsi="Arial" w:cs="Arial"/>
                <w:color w:val="000000"/>
                <w:sz w:val="22"/>
                <w:szCs w:val="22"/>
              </w:rPr>
            </w:pPr>
          </w:p>
        </w:tc>
      </w:tr>
      <w:tr w:rsidR="00A646E2" w:rsidRPr="006A0BB0">
        <w:tc>
          <w:tcPr>
            <w:tcW w:w="3119"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Pre-production</w:t>
            </w:r>
          </w:p>
        </w:tc>
        <w:tc>
          <w:tcPr>
            <w:tcW w:w="5386"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Professional services for drafting, editing, translation, copy-preparation, graphic design, layout, proofreading</w:t>
            </w:r>
          </w:p>
        </w:tc>
        <w:tc>
          <w:tcPr>
            <w:tcW w:w="1203" w:type="dxa"/>
            <w:shd w:val="clear" w:color="auto" w:fill="auto"/>
            <w:vAlign w:val="center"/>
          </w:tcPr>
          <w:p w:rsidR="00A646E2" w:rsidRPr="006A0BB0" w:rsidRDefault="00A646E2" w:rsidP="00B94A9A">
            <w:pPr>
              <w:spacing w:before="60" w:after="60"/>
              <w:jc w:val="right"/>
              <w:rPr>
                <w:rFonts w:ascii="Arial" w:hAnsi="Arial" w:cs="Arial"/>
                <w:bCs/>
                <w:color w:val="000000"/>
                <w:sz w:val="22"/>
                <w:szCs w:val="22"/>
              </w:rPr>
            </w:pPr>
            <w:r w:rsidRPr="006A0BB0">
              <w:rPr>
                <w:rFonts w:ascii="Arial" w:hAnsi="Arial" w:cs="Arial"/>
                <w:bCs/>
                <w:color w:val="000000"/>
                <w:sz w:val="22"/>
                <w:szCs w:val="22"/>
              </w:rPr>
              <w:t>$17 000</w:t>
            </w:r>
          </w:p>
        </w:tc>
      </w:tr>
    </w:tbl>
    <w:p w:rsidR="00B94A9A" w:rsidRDefault="00B94A9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386"/>
        <w:gridCol w:w="1203"/>
      </w:tblGrid>
      <w:tr w:rsidR="00B94A9A" w:rsidRPr="006A0BB0" w:rsidTr="00654840">
        <w:trPr>
          <w:tblHeader/>
        </w:trPr>
        <w:tc>
          <w:tcPr>
            <w:tcW w:w="3119" w:type="dxa"/>
            <w:shd w:val="clear" w:color="auto" w:fill="A6A6A6" w:themeFill="background1" w:themeFillShade="A6"/>
            <w:vAlign w:val="center"/>
          </w:tcPr>
          <w:p w:rsidR="00B94A9A" w:rsidRPr="006A0BB0" w:rsidRDefault="00B94A9A" w:rsidP="00654840">
            <w:pPr>
              <w:spacing w:before="60" w:after="60"/>
              <w:jc w:val="center"/>
              <w:rPr>
                <w:rFonts w:ascii="Arial" w:hAnsi="Arial" w:cs="Arial"/>
                <w:b/>
                <w:bCs/>
                <w:color w:val="FFFFFF" w:themeColor="background1"/>
                <w:sz w:val="22"/>
                <w:szCs w:val="22"/>
              </w:rPr>
            </w:pPr>
            <w:r w:rsidRPr="006A0BB0">
              <w:rPr>
                <w:rFonts w:ascii="Arial" w:hAnsi="Arial" w:cs="Arial"/>
                <w:b/>
                <w:bCs/>
                <w:color w:val="FFFFFF" w:themeColor="background1"/>
                <w:sz w:val="22"/>
                <w:szCs w:val="22"/>
              </w:rPr>
              <w:t>Activity</w:t>
            </w:r>
          </w:p>
        </w:tc>
        <w:tc>
          <w:tcPr>
            <w:tcW w:w="5386" w:type="dxa"/>
            <w:shd w:val="clear" w:color="auto" w:fill="A6A6A6" w:themeFill="background1" w:themeFillShade="A6"/>
            <w:vAlign w:val="center"/>
          </w:tcPr>
          <w:p w:rsidR="00B94A9A" w:rsidRPr="006A0BB0" w:rsidRDefault="00B94A9A" w:rsidP="00654840">
            <w:pPr>
              <w:spacing w:before="60" w:after="60"/>
              <w:jc w:val="center"/>
              <w:rPr>
                <w:rFonts w:ascii="Arial" w:hAnsi="Arial" w:cs="Arial"/>
                <w:b/>
                <w:bCs/>
                <w:color w:val="FFFFFF" w:themeColor="background1"/>
                <w:sz w:val="22"/>
                <w:szCs w:val="22"/>
              </w:rPr>
            </w:pPr>
            <w:r w:rsidRPr="006A0BB0">
              <w:rPr>
                <w:rFonts w:ascii="Arial" w:hAnsi="Arial" w:cs="Arial"/>
                <w:b/>
                <w:bCs/>
                <w:color w:val="FFFFFF" w:themeColor="background1"/>
                <w:sz w:val="22"/>
                <w:szCs w:val="22"/>
              </w:rPr>
              <w:t>Description</w:t>
            </w:r>
          </w:p>
        </w:tc>
        <w:tc>
          <w:tcPr>
            <w:tcW w:w="1203" w:type="dxa"/>
            <w:shd w:val="clear" w:color="auto" w:fill="A6A6A6" w:themeFill="background1" w:themeFillShade="A6"/>
            <w:vAlign w:val="center"/>
          </w:tcPr>
          <w:p w:rsidR="00B94A9A" w:rsidRPr="006A0BB0" w:rsidRDefault="00B94A9A" w:rsidP="00654840">
            <w:pPr>
              <w:spacing w:before="60" w:after="60"/>
              <w:jc w:val="center"/>
              <w:rPr>
                <w:rFonts w:ascii="Arial" w:hAnsi="Arial" w:cs="Arial"/>
                <w:b/>
                <w:bCs/>
                <w:color w:val="FFFFFF" w:themeColor="background1"/>
                <w:sz w:val="22"/>
                <w:szCs w:val="22"/>
              </w:rPr>
            </w:pPr>
            <w:r w:rsidRPr="006A0BB0">
              <w:rPr>
                <w:rFonts w:ascii="Arial" w:hAnsi="Arial" w:cs="Arial"/>
                <w:b/>
                <w:bCs/>
                <w:color w:val="FFFFFF" w:themeColor="background1"/>
                <w:sz w:val="22"/>
                <w:szCs w:val="22"/>
              </w:rPr>
              <w:t>Amount</w:t>
            </w:r>
          </w:p>
        </w:tc>
      </w:tr>
      <w:tr w:rsidR="00A646E2" w:rsidRPr="006A0BB0">
        <w:tc>
          <w:tcPr>
            <w:tcW w:w="8505" w:type="dxa"/>
            <w:gridSpan w:val="2"/>
            <w:shd w:val="clear" w:color="auto" w:fill="auto"/>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C.4 Distribution of printed materials</w:t>
            </w:r>
          </w:p>
        </w:tc>
        <w:tc>
          <w:tcPr>
            <w:tcW w:w="1203" w:type="dxa"/>
            <w:shd w:val="clear" w:color="auto" w:fill="auto"/>
            <w:vAlign w:val="center"/>
          </w:tcPr>
          <w:p w:rsidR="00A646E2" w:rsidRPr="006A0BB0" w:rsidRDefault="00A646E2" w:rsidP="00B94A9A">
            <w:pPr>
              <w:spacing w:before="60" w:after="60"/>
              <w:rPr>
                <w:rFonts w:ascii="Arial" w:hAnsi="Arial" w:cs="Arial"/>
                <w:color w:val="000000"/>
                <w:sz w:val="22"/>
                <w:szCs w:val="22"/>
              </w:rPr>
            </w:pPr>
          </w:p>
        </w:tc>
      </w:tr>
      <w:tr w:rsidR="00A646E2" w:rsidRPr="006A0BB0">
        <w:tc>
          <w:tcPr>
            <w:tcW w:w="3119"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Shipment</w:t>
            </w:r>
          </w:p>
        </w:tc>
        <w:tc>
          <w:tcPr>
            <w:tcW w:w="5386" w:type="dxa"/>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Shipping costs to Field Offices</w:t>
            </w:r>
            <w:r w:rsidR="00101683" w:rsidRPr="006A0BB0">
              <w:rPr>
                <w:rFonts w:ascii="Arial" w:hAnsi="Arial" w:cs="Arial"/>
                <w:color w:val="000000"/>
                <w:sz w:val="22"/>
                <w:szCs w:val="22"/>
              </w:rPr>
              <w:t>,</w:t>
            </w:r>
            <w:r w:rsidRPr="006A0BB0">
              <w:rPr>
                <w:rFonts w:ascii="Arial" w:hAnsi="Arial" w:cs="Arial"/>
                <w:color w:val="000000"/>
                <w:sz w:val="22"/>
                <w:szCs w:val="22"/>
              </w:rPr>
              <w:t xml:space="preserve"> National Commissions and other stakeholders</w:t>
            </w:r>
          </w:p>
        </w:tc>
        <w:tc>
          <w:tcPr>
            <w:tcW w:w="1203" w:type="dxa"/>
            <w:shd w:val="clear" w:color="auto" w:fill="auto"/>
            <w:vAlign w:val="center"/>
          </w:tcPr>
          <w:p w:rsidR="00A646E2" w:rsidRPr="006A0BB0" w:rsidRDefault="00A646E2" w:rsidP="00B94A9A">
            <w:pPr>
              <w:spacing w:before="60" w:after="60"/>
              <w:jc w:val="right"/>
              <w:rPr>
                <w:rFonts w:ascii="Arial" w:hAnsi="Arial" w:cs="Arial"/>
                <w:bCs/>
                <w:color w:val="000000"/>
                <w:sz w:val="22"/>
                <w:szCs w:val="22"/>
              </w:rPr>
            </w:pPr>
            <w:r w:rsidRPr="006A0BB0">
              <w:rPr>
                <w:rFonts w:ascii="Arial" w:hAnsi="Arial" w:cs="Arial"/>
                <w:bCs/>
                <w:color w:val="000000"/>
                <w:sz w:val="22"/>
                <w:szCs w:val="22"/>
              </w:rPr>
              <w:t>$20 000</w:t>
            </w:r>
          </w:p>
        </w:tc>
      </w:tr>
      <w:tr w:rsidR="00A646E2" w:rsidRPr="006A0BB0">
        <w:tc>
          <w:tcPr>
            <w:tcW w:w="8505" w:type="dxa"/>
            <w:gridSpan w:val="2"/>
            <w:shd w:val="clear" w:color="auto" w:fill="F2F2F2" w:themeFill="background1" w:themeFillShade="F2"/>
            <w:vAlign w:val="center"/>
          </w:tcPr>
          <w:p w:rsidR="00A646E2" w:rsidRPr="006A0BB0" w:rsidRDefault="00A646E2" w:rsidP="00B94A9A">
            <w:pPr>
              <w:spacing w:before="60" w:after="60"/>
              <w:rPr>
                <w:rFonts w:ascii="Arial" w:hAnsi="Arial" w:cs="Arial"/>
                <w:b/>
                <w:bCs/>
                <w:color w:val="000000"/>
                <w:sz w:val="22"/>
                <w:szCs w:val="22"/>
              </w:rPr>
            </w:pPr>
            <w:r w:rsidRPr="006A0BB0">
              <w:rPr>
                <w:rFonts w:ascii="Arial" w:hAnsi="Arial" w:cs="Arial"/>
                <w:b/>
                <w:bCs/>
                <w:color w:val="000000"/>
                <w:sz w:val="22"/>
                <w:szCs w:val="22"/>
              </w:rPr>
              <w:t>D. Knowledge management services</w:t>
            </w:r>
          </w:p>
        </w:tc>
        <w:tc>
          <w:tcPr>
            <w:tcW w:w="1203" w:type="dxa"/>
            <w:tcBorders>
              <w:bottom w:val="single" w:sz="4" w:space="0" w:color="auto"/>
            </w:tcBorders>
            <w:shd w:val="clear" w:color="auto" w:fill="F2F2F2" w:themeFill="background1" w:themeFillShade="F2"/>
            <w:vAlign w:val="center"/>
          </w:tcPr>
          <w:p w:rsidR="00A646E2" w:rsidRPr="006A0BB0" w:rsidRDefault="00A646E2" w:rsidP="00B94A9A">
            <w:pPr>
              <w:spacing w:before="60" w:after="60"/>
              <w:jc w:val="right"/>
              <w:rPr>
                <w:rFonts w:ascii="Arial" w:hAnsi="Arial" w:cs="Arial"/>
                <w:b/>
                <w:bCs/>
                <w:color w:val="000000"/>
                <w:sz w:val="22"/>
                <w:szCs w:val="22"/>
              </w:rPr>
            </w:pPr>
            <w:r w:rsidRPr="006A0BB0">
              <w:rPr>
                <w:rFonts w:ascii="Arial" w:hAnsi="Arial" w:cs="Arial"/>
                <w:b/>
                <w:bCs/>
                <w:color w:val="000000"/>
                <w:sz w:val="22"/>
                <w:szCs w:val="22"/>
              </w:rPr>
              <w:t>$125 000</w:t>
            </w:r>
          </w:p>
        </w:tc>
      </w:tr>
      <w:tr w:rsidR="00A646E2" w:rsidRPr="006A0BB0">
        <w:tc>
          <w:tcPr>
            <w:tcW w:w="3119" w:type="dxa"/>
            <w:tcBorders>
              <w:bottom w:val="nil"/>
            </w:tcBorders>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Development of on-line functionalities and dedicated webpages</w:t>
            </w:r>
          </w:p>
        </w:tc>
        <w:tc>
          <w:tcPr>
            <w:tcW w:w="5386" w:type="dxa"/>
            <w:tcBorders>
              <w:bottom w:val="nil"/>
            </w:tcBorders>
            <w:shd w:val="clear" w:color="auto" w:fill="auto"/>
            <w:vAlign w:val="center"/>
          </w:tcPr>
          <w:p w:rsidR="00A646E2" w:rsidRPr="006A0BB0" w:rsidRDefault="00A646E2" w:rsidP="00B94A9A">
            <w:pPr>
              <w:spacing w:before="60" w:after="60"/>
              <w:rPr>
                <w:rFonts w:ascii="Arial" w:hAnsi="Arial" w:cs="Arial"/>
                <w:color w:val="000000"/>
                <w:sz w:val="22"/>
                <w:szCs w:val="22"/>
              </w:rPr>
            </w:pPr>
            <w:r w:rsidRPr="006A0BB0">
              <w:rPr>
                <w:rFonts w:ascii="Arial" w:hAnsi="Arial" w:cs="Arial"/>
                <w:color w:val="000000"/>
                <w:sz w:val="22"/>
                <w:szCs w:val="22"/>
              </w:rPr>
              <w:t>Professional services for management of the knowledge system and software development</w:t>
            </w:r>
          </w:p>
        </w:tc>
        <w:tc>
          <w:tcPr>
            <w:tcW w:w="1203" w:type="dxa"/>
            <w:tcBorders>
              <w:bottom w:val="nil"/>
            </w:tcBorders>
            <w:shd w:val="clear" w:color="auto" w:fill="auto"/>
            <w:vAlign w:val="center"/>
          </w:tcPr>
          <w:p w:rsidR="00A646E2" w:rsidRPr="006A0BB0" w:rsidRDefault="00A646E2" w:rsidP="00B94A9A">
            <w:pPr>
              <w:spacing w:before="60" w:after="60"/>
              <w:jc w:val="right"/>
              <w:rPr>
                <w:rFonts w:ascii="Arial" w:hAnsi="Arial" w:cs="Arial"/>
                <w:color w:val="000000"/>
                <w:sz w:val="22"/>
                <w:szCs w:val="22"/>
              </w:rPr>
            </w:pPr>
            <w:r w:rsidRPr="006A0BB0">
              <w:rPr>
                <w:rFonts w:ascii="Arial" w:hAnsi="Arial" w:cs="Arial"/>
                <w:color w:val="000000"/>
                <w:sz w:val="22"/>
                <w:szCs w:val="22"/>
              </w:rPr>
              <w:t>$125 000</w:t>
            </w:r>
          </w:p>
        </w:tc>
      </w:tr>
      <w:tr w:rsidR="00456085" w:rsidRPr="006A0BB0">
        <w:tc>
          <w:tcPr>
            <w:tcW w:w="8505" w:type="dxa"/>
            <w:gridSpan w:val="2"/>
            <w:shd w:val="clear" w:color="auto" w:fill="A6A6A6" w:themeFill="background1" w:themeFillShade="A6"/>
            <w:vAlign w:val="center"/>
          </w:tcPr>
          <w:p w:rsidR="00A646E2" w:rsidRPr="006A0BB0" w:rsidRDefault="00A646E2" w:rsidP="00B94A9A">
            <w:pPr>
              <w:spacing w:before="60" w:after="60"/>
              <w:rPr>
                <w:rFonts w:ascii="Arial" w:hAnsi="Arial" w:cs="Arial"/>
                <w:b/>
                <w:bCs/>
                <w:sz w:val="22"/>
                <w:szCs w:val="22"/>
              </w:rPr>
            </w:pPr>
            <w:r w:rsidRPr="006A0BB0">
              <w:rPr>
                <w:rFonts w:ascii="Arial" w:hAnsi="Arial" w:cs="Arial"/>
                <w:b/>
                <w:bCs/>
                <w:sz w:val="22"/>
                <w:szCs w:val="22"/>
              </w:rPr>
              <w:t>TOTAL</w:t>
            </w:r>
          </w:p>
        </w:tc>
        <w:tc>
          <w:tcPr>
            <w:tcW w:w="1203" w:type="dxa"/>
            <w:shd w:val="clear" w:color="auto" w:fill="A6A6A6" w:themeFill="background1" w:themeFillShade="A6"/>
            <w:vAlign w:val="center"/>
          </w:tcPr>
          <w:p w:rsidR="00A646E2" w:rsidRPr="006A0BB0" w:rsidRDefault="00A646E2" w:rsidP="00B94A9A">
            <w:pPr>
              <w:spacing w:before="60" w:after="60"/>
              <w:jc w:val="right"/>
              <w:rPr>
                <w:rFonts w:ascii="Arial" w:hAnsi="Arial" w:cs="Arial"/>
                <w:b/>
                <w:bCs/>
                <w:sz w:val="22"/>
                <w:szCs w:val="22"/>
              </w:rPr>
            </w:pPr>
            <w:r w:rsidRPr="006A0BB0">
              <w:rPr>
                <w:rFonts w:ascii="Arial" w:hAnsi="Arial" w:cs="Arial"/>
                <w:b/>
                <w:bCs/>
                <w:sz w:val="22"/>
                <w:szCs w:val="22"/>
              </w:rPr>
              <w:t>$594 000</w:t>
            </w:r>
          </w:p>
        </w:tc>
      </w:tr>
    </w:tbl>
    <w:p w:rsidR="00A646E2" w:rsidRPr="006A0BB0" w:rsidRDefault="00A646E2" w:rsidP="00A646E2">
      <w:pPr>
        <w:pStyle w:val="Marge"/>
        <w:spacing w:before="240" w:line="360" w:lineRule="auto"/>
        <w:ind w:left="1134"/>
      </w:pPr>
    </w:p>
    <w:sectPr w:rsidR="00A646E2" w:rsidRPr="006A0BB0" w:rsidSect="00456085">
      <w:headerReference w:type="first" r:id="rId15"/>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40" w:rsidRDefault="00654840" w:rsidP="008724E5">
      <w:r>
        <w:separator/>
      </w:r>
    </w:p>
  </w:endnote>
  <w:endnote w:type="continuationSeparator" w:id="0">
    <w:p w:rsidR="00654840" w:rsidRDefault="00654840"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9A" w:rsidRDefault="005E6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9A" w:rsidRDefault="005E6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9A" w:rsidRDefault="005E6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40" w:rsidRDefault="00654840" w:rsidP="008724E5">
      <w:r>
        <w:separator/>
      </w:r>
    </w:p>
  </w:footnote>
  <w:footnote w:type="continuationSeparator" w:id="0">
    <w:p w:rsidR="00654840" w:rsidRDefault="00654840"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40" w:rsidRPr="00EF563B" w:rsidRDefault="00654840" w:rsidP="00A45E93">
    <w:pPr>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3</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5E6B9A">
      <w:rPr>
        <w:rStyle w:val="PageNumber"/>
        <w:rFonts w:ascii="Arial" w:hAnsi="Arial" w:cs="Arial"/>
        <w:noProof/>
        <w:sz w:val="20"/>
        <w:szCs w:val="20"/>
        <w:lang w:val="en-US"/>
      </w:rPr>
      <w:t>4</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40" w:rsidRPr="00787DA9" w:rsidRDefault="00654840" w:rsidP="00787DA9">
    <w:pPr>
      <w:pStyle w:val="Header"/>
      <w:jc w:val="right"/>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3</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5E6B9A">
      <w:rPr>
        <w:rStyle w:val="PageNumber"/>
        <w:rFonts w:ascii="Arial" w:hAnsi="Arial" w:cs="Arial"/>
        <w:noProof/>
        <w:sz w:val="20"/>
        <w:szCs w:val="20"/>
        <w:lang w:val="en-US"/>
      </w:rPr>
      <w:t>5</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40" w:rsidRPr="008724E5" w:rsidRDefault="00654840">
    <w:pPr>
      <w:pStyle w:val="Header"/>
    </w:pPr>
    <w:r>
      <w:rPr>
        <w:noProof/>
        <w:lang w:val="fr-FR"/>
      </w:rPr>
      <w:drawing>
        <wp:anchor distT="0" distB="0" distL="114300" distR="114300" simplePos="0" relativeHeight="251657728" behindDoc="0" locked="0" layoutInCell="1" allowOverlap="1" wp14:anchorId="3FD0029A" wp14:editId="2A009893">
          <wp:simplePos x="0" y="0"/>
          <wp:positionH relativeFrom="column">
            <wp:posOffset>-567690</wp:posOffset>
          </wp:positionH>
          <wp:positionV relativeFrom="paragraph">
            <wp:posOffset>3810</wp:posOffset>
          </wp:positionV>
          <wp:extent cx="2228215" cy="1367790"/>
          <wp:effectExtent l="19050" t="0" r="635" b="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rsidR="00654840" w:rsidRPr="00CE3FF1" w:rsidRDefault="00654840" w:rsidP="00EF563B">
    <w:pPr>
      <w:pStyle w:val="Header"/>
      <w:spacing w:after="520"/>
      <w:jc w:val="right"/>
      <w:rPr>
        <w:rFonts w:ascii="Arial" w:hAnsi="Arial" w:cs="Arial"/>
        <w:b/>
        <w:sz w:val="44"/>
        <w:szCs w:val="44"/>
        <w:lang w:val="en-US"/>
      </w:rPr>
    </w:pPr>
    <w:r>
      <w:rPr>
        <w:rFonts w:ascii="Arial" w:hAnsi="Arial" w:cs="Arial"/>
        <w:b/>
        <w:sz w:val="44"/>
        <w:szCs w:val="44"/>
        <w:lang w:val="en-US"/>
      </w:rPr>
      <w:t>7</w:t>
    </w:r>
    <w:r w:rsidRPr="00CE3FF1">
      <w:rPr>
        <w:rFonts w:ascii="Arial" w:hAnsi="Arial" w:cs="Arial"/>
        <w:b/>
        <w:sz w:val="44"/>
        <w:szCs w:val="44"/>
        <w:lang w:val="en-US"/>
      </w:rPr>
      <w:t xml:space="preserve"> </w:t>
    </w:r>
    <w:r>
      <w:rPr>
        <w:rFonts w:ascii="Arial" w:hAnsi="Arial" w:cs="Arial"/>
        <w:b/>
        <w:sz w:val="44"/>
        <w:szCs w:val="44"/>
        <w:lang w:val="en-US"/>
      </w:rPr>
      <w:t>COM 3 BUR</w:t>
    </w:r>
  </w:p>
  <w:p w:rsidR="00654840" w:rsidRPr="007815A5" w:rsidRDefault="00654840" w:rsidP="00A45E93">
    <w:pPr>
      <w:jc w:val="right"/>
      <w:rPr>
        <w:rFonts w:ascii="Arial" w:hAnsi="Arial" w:cs="Arial"/>
        <w:b/>
        <w:sz w:val="22"/>
        <w:szCs w:val="22"/>
        <w:lang w:val="en-US"/>
      </w:rPr>
    </w:pPr>
    <w:r w:rsidRPr="007815A5">
      <w:rPr>
        <w:rFonts w:ascii="Arial" w:hAnsi="Arial" w:cs="Arial"/>
        <w:b/>
        <w:sz w:val="22"/>
        <w:szCs w:val="22"/>
        <w:lang w:val="en-US"/>
      </w:rPr>
      <w:t>ITH/12/7.COM 3.BUR/</w:t>
    </w:r>
    <w:r>
      <w:rPr>
        <w:rFonts w:ascii="Arial" w:hAnsi="Arial" w:cs="Arial"/>
        <w:b/>
        <w:sz w:val="22"/>
        <w:szCs w:val="22"/>
        <w:lang w:val="en-US"/>
      </w:rPr>
      <w:t>5</w:t>
    </w:r>
  </w:p>
  <w:p w:rsidR="00654840" w:rsidRPr="007815A5" w:rsidRDefault="00654840" w:rsidP="004B3609">
    <w:pPr>
      <w:jc w:val="right"/>
      <w:rPr>
        <w:rFonts w:ascii="Arial" w:hAnsi="Arial" w:cs="Arial"/>
        <w:b/>
        <w:sz w:val="22"/>
        <w:szCs w:val="22"/>
        <w:lang w:val="en-US"/>
      </w:rPr>
    </w:pPr>
    <w:r w:rsidRPr="007815A5">
      <w:rPr>
        <w:rFonts w:ascii="Arial" w:hAnsi="Arial" w:cs="Arial"/>
        <w:b/>
        <w:sz w:val="22"/>
        <w:szCs w:val="22"/>
        <w:lang w:val="en-US"/>
      </w:rPr>
      <w:t>Paris</w:t>
    </w:r>
    <w:r w:rsidR="005E6B9A">
      <w:rPr>
        <w:rFonts w:ascii="Arial" w:hAnsi="Arial" w:cs="Arial"/>
        <w:b/>
        <w:sz w:val="22"/>
        <w:szCs w:val="22"/>
        <w:lang w:val="en-US"/>
      </w:rPr>
      <w:t>, 3 June </w:t>
    </w:r>
    <w:r w:rsidR="005E6B9A">
      <w:rPr>
        <w:rFonts w:ascii="Arial" w:hAnsi="Arial" w:cs="Arial"/>
        <w:b/>
        <w:sz w:val="22"/>
        <w:szCs w:val="22"/>
        <w:lang w:val="en-US"/>
      </w:rPr>
      <w:t>2012</w:t>
    </w:r>
    <w:bookmarkStart w:id="0" w:name="_GoBack"/>
    <w:bookmarkEnd w:id="0"/>
  </w:p>
  <w:p w:rsidR="00654840" w:rsidRPr="00CB149B" w:rsidRDefault="00654840" w:rsidP="004B3609">
    <w:pPr>
      <w:jc w:val="right"/>
      <w:rPr>
        <w:rFonts w:ascii="Arial" w:hAnsi="Arial" w:cs="Arial"/>
        <w:b/>
        <w:sz w:val="22"/>
        <w:szCs w:val="22"/>
        <w:lang w:val="en-US"/>
      </w:rPr>
    </w:pPr>
    <w:r w:rsidRPr="007815A5">
      <w:rPr>
        <w:rFonts w:ascii="Arial" w:hAnsi="Arial" w:cs="Arial"/>
        <w:b/>
        <w:sz w:val="22"/>
        <w:szCs w:val="22"/>
        <w:lang w:val="en-US"/>
      </w:rPr>
      <w:t>Original: English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40" w:rsidRPr="008724E5" w:rsidRDefault="00654840">
    <w:pPr>
      <w:pStyle w:val="Header"/>
    </w:pPr>
    <w:r>
      <w:rPr>
        <w:noProof/>
        <w:lang w:val="fr-FR"/>
      </w:rPr>
      <w:drawing>
        <wp:anchor distT="0" distB="0" distL="114300" distR="114300" simplePos="0" relativeHeight="251665920" behindDoc="0" locked="0" layoutInCell="1" allowOverlap="1" wp14:anchorId="266B1CDA" wp14:editId="763E972E">
          <wp:simplePos x="0" y="0"/>
          <wp:positionH relativeFrom="column">
            <wp:posOffset>-567690</wp:posOffset>
          </wp:positionH>
          <wp:positionV relativeFrom="paragraph">
            <wp:posOffset>3810</wp:posOffset>
          </wp:positionV>
          <wp:extent cx="2228215" cy="1367790"/>
          <wp:effectExtent l="19050" t="0" r="635" b="0"/>
          <wp:wrapNone/>
          <wp:docPr id="3" name="Picture 3"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rsidR="00654840" w:rsidRPr="00CE3FF1" w:rsidRDefault="00654840" w:rsidP="00EF563B">
    <w:pPr>
      <w:pStyle w:val="Header"/>
      <w:spacing w:after="520"/>
      <w:jc w:val="right"/>
      <w:rPr>
        <w:rFonts w:ascii="Arial" w:hAnsi="Arial" w:cs="Arial"/>
        <w:b/>
        <w:sz w:val="44"/>
        <w:szCs w:val="44"/>
        <w:lang w:val="en-US"/>
      </w:rPr>
    </w:pPr>
    <w:r>
      <w:rPr>
        <w:rFonts w:ascii="Arial" w:hAnsi="Arial" w:cs="Arial"/>
        <w:b/>
        <w:sz w:val="44"/>
        <w:szCs w:val="44"/>
        <w:lang w:val="en-US"/>
      </w:rPr>
      <w:t>7</w:t>
    </w:r>
    <w:r w:rsidRPr="00CE3FF1">
      <w:rPr>
        <w:rFonts w:ascii="Arial" w:hAnsi="Arial" w:cs="Arial"/>
        <w:b/>
        <w:sz w:val="44"/>
        <w:szCs w:val="44"/>
        <w:lang w:val="en-US"/>
      </w:rPr>
      <w:t xml:space="preserve"> </w:t>
    </w:r>
    <w:r>
      <w:rPr>
        <w:rFonts w:ascii="Arial" w:hAnsi="Arial" w:cs="Arial"/>
        <w:b/>
        <w:sz w:val="44"/>
        <w:szCs w:val="44"/>
        <w:lang w:val="en-US"/>
      </w:rPr>
      <w:t>COM 3 BUR</w:t>
    </w:r>
  </w:p>
  <w:p w:rsidR="00654840" w:rsidRPr="007815A5" w:rsidRDefault="00654840" w:rsidP="00A45E93">
    <w:pPr>
      <w:jc w:val="right"/>
      <w:rPr>
        <w:rFonts w:ascii="Arial" w:hAnsi="Arial" w:cs="Arial"/>
        <w:b/>
        <w:sz w:val="22"/>
        <w:szCs w:val="22"/>
        <w:lang w:val="en-US"/>
      </w:rPr>
    </w:pPr>
    <w:r w:rsidRPr="007815A5">
      <w:rPr>
        <w:rFonts w:ascii="Arial" w:hAnsi="Arial" w:cs="Arial"/>
        <w:b/>
        <w:sz w:val="22"/>
        <w:szCs w:val="22"/>
        <w:lang w:val="en-US"/>
      </w:rPr>
      <w:t>ITH/12/7.COM 3.BUR/</w:t>
    </w:r>
    <w:r>
      <w:rPr>
        <w:rFonts w:ascii="Arial" w:hAnsi="Arial" w:cs="Arial"/>
        <w:b/>
        <w:sz w:val="22"/>
        <w:szCs w:val="22"/>
        <w:lang w:val="en-US"/>
      </w:rPr>
      <w:t>5</w:t>
    </w:r>
  </w:p>
  <w:p w:rsidR="00654840" w:rsidRPr="007815A5" w:rsidRDefault="00654840" w:rsidP="004B3609">
    <w:pPr>
      <w:jc w:val="right"/>
      <w:rPr>
        <w:rFonts w:ascii="Arial" w:hAnsi="Arial" w:cs="Arial"/>
        <w:b/>
        <w:sz w:val="22"/>
        <w:szCs w:val="22"/>
        <w:lang w:val="en-US"/>
      </w:rPr>
    </w:pPr>
    <w:r w:rsidRPr="007815A5">
      <w:rPr>
        <w:rFonts w:ascii="Arial" w:hAnsi="Arial" w:cs="Arial"/>
        <w:b/>
        <w:sz w:val="22"/>
        <w:szCs w:val="22"/>
        <w:lang w:val="en-US"/>
      </w:rPr>
      <w:t xml:space="preserve">Paris, </w:t>
    </w:r>
    <w:r w:rsidRPr="007815A5">
      <w:rPr>
        <w:rFonts w:ascii="Arial" w:hAnsi="Arial" w:cs="Arial"/>
        <w:b/>
        <w:sz w:val="22"/>
        <w:szCs w:val="22"/>
        <w:lang w:val="en-US"/>
      </w:rPr>
      <w:fldChar w:fldCharType="begin"/>
    </w:r>
    <w:r w:rsidRPr="007815A5">
      <w:rPr>
        <w:rFonts w:ascii="Arial" w:hAnsi="Arial" w:cs="Arial"/>
        <w:b/>
        <w:sz w:val="22"/>
        <w:szCs w:val="22"/>
        <w:lang w:val="en-US"/>
      </w:rPr>
      <w:instrText xml:space="preserve"> DATE  \@ "d MMMM yyyy"  \* MERGEFORMAT </w:instrText>
    </w:r>
    <w:r w:rsidRPr="007815A5">
      <w:rPr>
        <w:rFonts w:ascii="Arial" w:hAnsi="Arial" w:cs="Arial"/>
        <w:b/>
        <w:sz w:val="22"/>
        <w:szCs w:val="22"/>
        <w:lang w:val="en-US"/>
      </w:rPr>
      <w:fldChar w:fldCharType="separate"/>
    </w:r>
    <w:r w:rsidR="005E6B9A">
      <w:rPr>
        <w:rFonts w:ascii="Arial" w:hAnsi="Arial" w:cs="Arial"/>
        <w:b/>
        <w:noProof/>
        <w:sz w:val="22"/>
        <w:szCs w:val="22"/>
        <w:lang w:val="en-US"/>
      </w:rPr>
      <w:t>18 November 2013</w:t>
    </w:r>
    <w:r w:rsidRPr="007815A5">
      <w:rPr>
        <w:rFonts w:ascii="Arial" w:hAnsi="Arial" w:cs="Arial"/>
        <w:b/>
        <w:sz w:val="22"/>
        <w:szCs w:val="22"/>
        <w:lang w:val="en-US"/>
      </w:rPr>
      <w:fldChar w:fldCharType="end"/>
    </w:r>
  </w:p>
  <w:p w:rsidR="00654840" w:rsidRPr="00CB149B" w:rsidRDefault="00654840" w:rsidP="004B3609">
    <w:pPr>
      <w:jc w:val="right"/>
      <w:rPr>
        <w:rFonts w:ascii="Arial" w:hAnsi="Arial" w:cs="Arial"/>
        <w:b/>
        <w:sz w:val="22"/>
        <w:szCs w:val="22"/>
        <w:lang w:val="en-US"/>
      </w:rPr>
    </w:pPr>
    <w:r w:rsidRPr="007815A5">
      <w:rPr>
        <w:rFonts w:ascii="Arial" w:hAnsi="Arial" w:cs="Arial"/>
        <w:b/>
        <w:sz w:val="22"/>
        <w:szCs w:val="22"/>
        <w:lang w:val="en-US"/>
      </w:rPr>
      <w:t>Original: English</w:t>
    </w:r>
  </w:p>
  <w:p w:rsidR="00654840" w:rsidRDefault="00654840" w:rsidP="00FE6CAF">
    <w:pPr>
      <w:pStyle w:val="Header"/>
      <w:spacing w:before="60"/>
      <w:rPr>
        <w:rFonts w:ascii="Arial" w:hAnsi="Arial" w:cs="Arial"/>
        <w:sz w:val="22"/>
        <w:szCs w:val="22"/>
        <w:lang w:val="en-US"/>
      </w:rPr>
    </w:pPr>
    <w:r>
      <w:rPr>
        <w:rFonts w:ascii="Arial" w:hAnsi="Arial" w:cs="Arial"/>
        <w:sz w:val="22"/>
        <w:szCs w:val="22"/>
        <w:lang w:val="en-US"/>
      </w:rPr>
      <w:t>Drafted by BdS</w:t>
    </w:r>
  </w:p>
  <w:p w:rsidR="00654840" w:rsidRDefault="00654840"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 xml:space="preserve">Visa by </w:t>
    </w:r>
    <w:r>
      <w:rPr>
        <w:rFonts w:ascii="Arial" w:hAnsi="Arial" w:cs="Arial"/>
        <w:sz w:val="22"/>
        <w:szCs w:val="22"/>
        <w:lang w:val="en-US"/>
      </w:rPr>
      <w:tab/>
      <w:t>CLT/CEH/ITH, Chief PEV Unit ______________</w:t>
    </w:r>
  </w:p>
  <w:p w:rsidR="00654840" w:rsidRDefault="00654840"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ab/>
      <w:t>Chief CLT/CEH/ITH _______________________</w:t>
    </w:r>
  </w:p>
  <w:p w:rsidR="00654840" w:rsidRDefault="00654840"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ab/>
      <w:t>AO/CLT ________________________________</w:t>
    </w:r>
  </w:p>
  <w:p w:rsidR="00654840" w:rsidRPr="00FE6CAF" w:rsidRDefault="00654840"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ab/>
      <w:t>DIR CLT/CEH a.i. &amp; ADG/CLT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nsid w:val="37E45C14"/>
    <w:multiLevelType w:val="hybridMultilevel"/>
    <w:tmpl w:val="005AD170"/>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1"/>
  </w:num>
  <w:num w:numId="2">
    <w:abstractNumId w:val="11"/>
  </w:num>
  <w:num w:numId="3">
    <w:abstractNumId w:val="9"/>
  </w:num>
  <w:num w:numId="4">
    <w:abstractNumId w:val="31"/>
  </w:num>
  <w:num w:numId="5">
    <w:abstractNumId w:val="23"/>
  </w:num>
  <w:num w:numId="6">
    <w:abstractNumId w:val="5"/>
  </w:num>
  <w:num w:numId="7">
    <w:abstractNumId w:val="10"/>
  </w:num>
  <w:num w:numId="8">
    <w:abstractNumId w:val="4"/>
  </w:num>
  <w:num w:numId="9">
    <w:abstractNumId w:val="32"/>
  </w:num>
  <w:num w:numId="10">
    <w:abstractNumId w:val="22"/>
  </w:num>
  <w:num w:numId="11">
    <w:abstractNumId w:val="8"/>
  </w:num>
  <w:num w:numId="12">
    <w:abstractNumId w:val="30"/>
  </w:num>
  <w:num w:numId="13">
    <w:abstractNumId w:val="7"/>
  </w:num>
  <w:num w:numId="14">
    <w:abstractNumId w:val="29"/>
  </w:num>
  <w:num w:numId="15">
    <w:abstractNumId w:val="3"/>
  </w:num>
  <w:num w:numId="16">
    <w:abstractNumId w:val="19"/>
  </w:num>
  <w:num w:numId="17">
    <w:abstractNumId w:val="18"/>
  </w:num>
  <w:num w:numId="18">
    <w:abstractNumId w:val="20"/>
  </w:num>
  <w:num w:numId="19">
    <w:abstractNumId w:val="0"/>
  </w:num>
  <w:num w:numId="20">
    <w:abstractNumId w:val="16"/>
  </w:num>
  <w:num w:numId="21">
    <w:abstractNumId w:val="25"/>
  </w:num>
  <w:num w:numId="22">
    <w:abstractNumId w:val="26"/>
  </w:num>
  <w:num w:numId="23">
    <w:abstractNumId w:val="1"/>
  </w:num>
  <w:num w:numId="24">
    <w:abstractNumId w:val="14"/>
  </w:num>
  <w:num w:numId="25">
    <w:abstractNumId w:val="27"/>
  </w:num>
  <w:num w:numId="26">
    <w:abstractNumId w:val="15"/>
  </w:num>
  <w:num w:numId="27">
    <w:abstractNumId w:val="28"/>
  </w:num>
  <w:num w:numId="28">
    <w:abstractNumId w:val="6"/>
  </w:num>
  <w:num w:numId="29">
    <w:abstractNumId w:val="17"/>
  </w:num>
  <w:num w:numId="30">
    <w:abstractNumId w:val="13"/>
  </w:num>
  <w:num w:numId="31">
    <w:abstractNumId w:val="12"/>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5"/>
    <w:rsid w:val="00003919"/>
    <w:rsid w:val="00005B51"/>
    <w:rsid w:val="00007446"/>
    <w:rsid w:val="00010B47"/>
    <w:rsid w:val="0001346C"/>
    <w:rsid w:val="00015A9E"/>
    <w:rsid w:val="00016521"/>
    <w:rsid w:val="00024556"/>
    <w:rsid w:val="00037338"/>
    <w:rsid w:val="0004359C"/>
    <w:rsid w:val="00043857"/>
    <w:rsid w:val="00045401"/>
    <w:rsid w:val="00046958"/>
    <w:rsid w:val="0005098F"/>
    <w:rsid w:val="0005458E"/>
    <w:rsid w:val="000624CF"/>
    <w:rsid w:val="00070F81"/>
    <w:rsid w:val="0007144C"/>
    <w:rsid w:val="00073A8E"/>
    <w:rsid w:val="00077333"/>
    <w:rsid w:val="00086641"/>
    <w:rsid w:val="00087FEF"/>
    <w:rsid w:val="0009370A"/>
    <w:rsid w:val="000A000D"/>
    <w:rsid w:val="000A215A"/>
    <w:rsid w:val="000A7E0E"/>
    <w:rsid w:val="000B07D9"/>
    <w:rsid w:val="000B262B"/>
    <w:rsid w:val="000B2A37"/>
    <w:rsid w:val="000B3098"/>
    <w:rsid w:val="000B5421"/>
    <w:rsid w:val="000C01C2"/>
    <w:rsid w:val="000C6284"/>
    <w:rsid w:val="000D0646"/>
    <w:rsid w:val="000D10F7"/>
    <w:rsid w:val="000D15DE"/>
    <w:rsid w:val="000D18AC"/>
    <w:rsid w:val="000D35B3"/>
    <w:rsid w:val="000D4F94"/>
    <w:rsid w:val="000D73F3"/>
    <w:rsid w:val="000F4874"/>
    <w:rsid w:val="00101683"/>
    <w:rsid w:val="00106E25"/>
    <w:rsid w:val="00107574"/>
    <w:rsid w:val="00111087"/>
    <w:rsid w:val="0012220E"/>
    <w:rsid w:val="00126136"/>
    <w:rsid w:val="001263D8"/>
    <w:rsid w:val="00131DB8"/>
    <w:rsid w:val="00137C10"/>
    <w:rsid w:val="0014015A"/>
    <w:rsid w:val="0015110A"/>
    <w:rsid w:val="0015136E"/>
    <w:rsid w:val="00151737"/>
    <w:rsid w:val="00153980"/>
    <w:rsid w:val="00153F82"/>
    <w:rsid w:val="00166332"/>
    <w:rsid w:val="001723BC"/>
    <w:rsid w:val="00174C8B"/>
    <w:rsid w:val="001769C1"/>
    <w:rsid w:val="001820DD"/>
    <w:rsid w:val="00184A99"/>
    <w:rsid w:val="00185A93"/>
    <w:rsid w:val="0018609E"/>
    <w:rsid w:val="00194084"/>
    <w:rsid w:val="001942B3"/>
    <w:rsid w:val="00196835"/>
    <w:rsid w:val="001A505B"/>
    <w:rsid w:val="001B2627"/>
    <w:rsid w:val="001B2CB8"/>
    <w:rsid w:val="001C0641"/>
    <w:rsid w:val="001C39BF"/>
    <w:rsid w:val="001D097D"/>
    <w:rsid w:val="001D3828"/>
    <w:rsid w:val="001D3E74"/>
    <w:rsid w:val="001D49B2"/>
    <w:rsid w:val="001D6DD9"/>
    <w:rsid w:val="001E28E7"/>
    <w:rsid w:val="001E56BE"/>
    <w:rsid w:val="001F02CE"/>
    <w:rsid w:val="001F5231"/>
    <w:rsid w:val="001F7A27"/>
    <w:rsid w:val="0020451A"/>
    <w:rsid w:val="00213159"/>
    <w:rsid w:val="0022117D"/>
    <w:rsid w:val="002214CE"/>
    <w:rsid w:val="002340CD"/>
    <w:rsid w:val="00235EA7"/>
    <w:rsid w:val="002456CE"/>
    <w:rsid w:val="0024796B"/>
    <w:rsid w:val="0025106D"/>
    <w:rsid w:val="00253238"/>
    <w:rsid w:val="002544FF"/>
    <w:rsid w:val="002574AE"/>
    <w:rsid w:val="00261D41"/>
    <w:rsid w:val="00265A67"/>
    <w:rsid w:val="002667B4"/>
    <w:rsid w:val="00270583"/>
    <w:rsid w:val="002811C2"/>
    <w:rsid w:val="00281B89"/>
    <w:rsid w:val="002912B5"/>
    <w:rsid w:val="002A53BB"/>
    <w:rsid w:val="002A570B"/>
    <w:rsid w:val="002A65A4"/>
    <w:rsid w:val="002A6744"/>
    <w:rsid w:val="002A73E4"/>
    <w:rsid w:val="002B17D9"/>
    <w:rsid w:val="002B2151"/>
    <w:rsid w:val="002C0B1E"/>
    <w:rsid w:val="002D3E22"/>
    <w:rsid w:val="002D753D"/>
    <w:rsid w:val="002E12C9"/>
    <w:rsid w:val="002E799E"/>
    <w:rsid w:val="002F0356"/>
    <w:rsid w:val="002F03E6"/>
    <w:rsid w:val="002F11FC"/>
    <w:rsid w:val="002F72C5"/>
    <w:rsid w:val="003129E6"/>
    <w:rsid w:val="003141A1"/>
    <w:rsid w:val="0031502C"/>
    <w:rsid w:val="00322A84"/>
    <w:rsid w:val="0032426A"/>
    <w:rsid w:val="00324554"/>
    <w:rsid w:val="00325327"/>
    <w:rsid w:val="00325CEB"/>
    <w:rsid w:val="00332A8D"/>
    <w:rsid w:val="003347A9"/>
    <w:rsid w:val="00335B24"/>
    <w:rsid w:val="003364A2"/>
    <w:rsid w:val="0034038A"/>
    <w:rsid w:val="003403D7"/>
    <w:rsid w:val="00343F8D"/>
    <w:rsid w:val="00356C0F"/>
    <w:rsid w:val="00361BED"/>
    <w:rsid w:val="00363F42"/>
    <w:rsid w:val="00367CC2"/>
    <w:rsid w:val="00374371"/>
    <w:rsid w:val="0037782C"/>
    <w:rsid w:val="003952FB"/>
    <w:rsid w:val="003A5B67"/>
    <w:rsid w:val="003B5022"/>
    <w:rsid w:val="003B657A"/>
    <w:rsid w:val="003C2004"/>
    <w:rsid w:val="003C59F2"/>
    <w:rsid w:val="003D1D8F"/>
    <w:rsid w:val="003D4A40"/>
    <w:rsid w:val="003D4B20"/>
    <w:rsid w:val="003E33DC"/>
    <w:rsid w:val="003F49EF"/>
    <w:rsid w:val="00401860"/>
    <w:rsid w:val="0040477A"/>
    <w:rsid w:val="00425C4A"/>
    <w:rsid w:val="00427A31"/>
    <w:rsid w:val="00427B06"/>
    <w:rsid w:val="00430827"/>
    <w:rsid w:val="004364D7"/>
    <w:rsid w:val="004437DA"/>
    <w:rsid w:val="00447546"/>
    <w:rsid w:val="00454565"/>
    <w:rsid w:val="00456085"/>
    <w:rsid w:val="004628C8"/>
    <w:rsid w:val="004632BA"/>
    <w:rsid w:val="004676E5"/>
    <w:rsid w:val="00475560"/>
    <w:rsid w:val="00480B30"/>
    <w:rsid w:val="00480E55"/>
    <w:rsid w:val="004926B4"/>
    <w:rsid w:val="004A2030"/>
    <w:rsid w:val="004A2286"/>
    <w:rsid w:val="004A3B71"/>
    <w:rsid w:val="004A4583"/>
    <w:rsid w:val="004A4785"/>
    <w:rsid w:val="004A657A"/>
    <w:rsid w:val="004B2778"/>
    <w:rsid w:val="004B3609"/>
    <w:rsid w:val="004C415E"/>
    <w:rsid w:val="004C4AFE"/>
    <w:rsid w:val="004E2511"/>
    <w:rsid w:val="004E25D7"/>
    <w:rsid w:val="004E43F1"/>
    <w:rsid w:val="004E5858"/>
    <w:rsid w:val="004E6E9C"/>
    <w:rsid w:val="004E71F9"/>
    <w:rsid w:val="004F0A17"/>
    <w:rsid w:val="004F4E26"/>
    <w:rsid w:val="004F4FAA"/>
    <w:rsid w:val="00501750"/>
    <w:rsid w:val="00501764"/>
    <w:rsid w:val="0050226D"/>
    <w:rsid w:val="0051018E"/>
    <w:rsid w:val="005110B8"/>
    <w:rsid w:val="00511CD8"/>
    <w:rsid w:val="00515E68"/>
    <w:rsid w:val="00524A34"/>
    <w:rsid w:val="00525910"/>
    <w:rsid w:val="005272AD"/>
    <w:rsid w:val="00541EF5"/>
    <w:rsid w:val="00542033"/>
    <w:rsid w:val="00547C90"/>
    <w:rsid w:val="00550216"/>
    <w:rsid w:val="005522B4"/>
    <w:rsid w:val="00552B41"/>
    <w:rsid w:val="00557E2F"/>
    <w:rsid w:val="00564DDB"/>
    <w:rsid w:val="00565BA9"/>
    <w:rsid w:val="00572187"/>
    <w:rsid w:val="0057403F"/>
    <w:rsid w:val="0057404F"/>
    <w:rsid w:val="00576583"/>
    <w:rsid w:val="00580185"/>
    <w:rsid w:val="005853AC"/>
    <w:rsid w:val="00596FA4"/>
    <w:rsid w:val="005A71AE"/>
    <w:rsid w:val="005A760A"/>
    <w:rsid w:val="005A7EEA"/>
    <w:rsid w:val="005B3705"/>
    <w:rsid w:val="005B6EC3"/>
    <w:rsid w:val="005C1996"/>
    <w:rsid w:val="005C5E61"/>
    <w:rsid w:val="005D04D9"/>
    <w:rsid w:val="005D4397"/>
    <w:rsid w:val="005E003A"/>
    <w:rsid w:val="005E5A93"/>
    <w:rsid w:val="005E60D2"/>
    <w:rsid w:val="005E6B9A"/>
    <w:rsid w:val="00600E27"/>
    <w:rsid w:val="0060533E"/>
    <w:rsid w:val="006165EE"/>
    <w:rsid w:val="00616A12"/>
    <w:rsid w:val="0062001C"/>
    <w:rsid w:val="006209A2"/>
    <w:rsid w:val="006316A7"/>
    <w:rsid w:val="00637CFF"/>
    <w:rsid w:val="00645B7A"/>
    <w:rsid w:val="006545A0"/>
    <w:rsid w:val="00654840"/>
    <w:rsid w:val="00655893"/>
    <w:rsid w:val="00665115"/>
    <w:rsid w:val="0067466A"/>
    <w:rsid w:val="00680610"/>
    <w:rsid w:val="00680847"/>
    <w:rsid w:val="00680C4B"/>
    <w:rsid w:val="00684BF3"/>
    <w:rsid w:val="00686CEA"/>
    <w:rsid w:val="0069620B"/>
    <w:rsid w:val="006A0BB0"/>
    <w:rsid w:val="006A1A12"/>
    <w:rsid w:val="006A5BFD"/>
    <w:rsid w:val="006A676F"/>
    <w:rsid w:val="006C03E6"/>
    <w:rsid w:val="006C3FFC"/>
    <w:rsid w:val="006C51FB"/>
    <w:rsid w:val="006D2C68"/>
    <w:rsid w:val="006D5CDB"/>
    <w:rsid w:val="006D6D68"/>
    <w:rsid w:val="006D6ECF"/>
    <w:rsid w:val="006E1BB8"/>
    <w:rsid w:val="006E221E"/>
    <w:rsid w:val="006E5137"/>
    <w:rsid w:val="006E6C0B"/>
    <w:rsid w:val="006F1767"/>
    <w:rsid w:val="006F2EAC"/>
    <w:rsid w:val="006F6E40"/>
    <w:rsid w:val="00706EAC"/>
    <w:rsid w:val="007228DD"/>
    <w:rsid w:val="0073001C"/>
    <w:rsid w:val="00730403"/>
    <w:rsid w:val="00735C75"/>
    <w:rsid w:val="00736D3C"/>
    <w:rsid w:val="007403CC"/>
    <w:rsid w:val="00745849"/>
    <w:rsid w:val="00757953"/>
    <w:rsid w:val="00762F35"/>
    <w:rsid w:val="00774B22"/>
    <w:rsid w:val="007815A5"/>
    <w:rsid w:val="00787DA9"/>
    <w:rsid w:val="0079520D"/>
    <w:rsid w:val="00795BB6"/>
    <w:rsid w:val="00796029"/>
    <w:rsid w:val="00796427"/>
    <w:rsid w:val="007A1674"/>
    <w:rsid w:val="007A64C3"/>
    <w:rsid w:val="007B0284"/>
    <w:rsid w:val="007B17FF"/>
    <w:rsid w:val="007B5363"/>
    <w:rsid w:val="007C458D"/>
    <w:rsid w:val="007D7316"/>
    <w:rsid w:val="007E10CC"/>
    <w:rsid w:val="007E1D24"/>
    <w:rsid w:val="007E7752"/>
    <w:rsid w:val="007F05F6"/>
    <w:rsid w:val="007F37B6"/>
    <w:rsid w:val="007F4665"/>
    <w:rsid w:val="00811E0D"/>
    <w:rsid w:val="008152B9"/>
    <w:rsid w:val="008421D9"/>
    <w:rsid w:val="008428CC"/>
    <w:rsid w:val="00843239"/>
    <w:rsid w:val="00865767"/>
    <w:rsid w:val="00866040"/>
    <w:rsid w:val="0086667B"/>
    <w:rsid w:val="008724E5"/>
    <w:rsid w:val="0088067D"/>
    <w:rsid w:val="00891295"/>
    <w:rsid w:val="008A012F"/>
    <w:rsid w:val="008A24F4"/>
    <w:rsid w:val="008A4558"/>
    <w:rsid w:val="008A5AFE"/>
    <w:rsid w:val="008B1853"/>
    <w:rsid w:val="008B65E1"/>
    <w:rsid w:val="008B7C4E"/>
    <w:rsid w:val="008C01FC"/>
    <w:rsid w:val="008C333C"/>
    <w:rsid w:val="008C67ED"/>
    <w:rsid w:val="008D488D"/>
    <w:rsid w:val="008D798B"/>
    <w:rsid w:val="008E1DA4"/>
    <w:rsid w:val="008E37EF"/>
    <w:rsid w:val="008E6921"/>
    <w:rsid w:val="008F244A"/>
    <w:rsid w:val="008F3C6F"/>
    <w:rsid w:val="008F42A5"/>
    <w:rsid w:val="009005EC"/>
    <w:rsid w:val="009006E7"/>
    <w:rsid w:val="00932660"/>
    <w:rsid w:val="00936487"/>
    <w:rsid w:val="00936EAE"/>
    <w:rsid w:val="009503DF"/>
    <w:rsid w:val="00954C39"/>
    <w:rsid w:val="00956BA0"/>
    <w:rsid w:val="00957740"/>
    <w:rsid w:val="00962F7C"/>
    <w:rsid w:val="009669B3"/>
    <w:rsid w:val="00973155"/>
    <w:rsid w:val="00985AE1"/>
    <w:rsid w:val="00987083"/>
    <w:rsid w:val="00990228"/>
    <w:rsid w:val="0099096C"/>
    <w:rsid w:val="00991BC3"/>
    <w:rsid w:val="00991FC7"/>
    <w:rsid w:val="00992D71"/>
    <w:rsid w:val="0099704E"/>
    <w:rsid w:val="009A43C8"/>
    <w:rsid w:val="009A752A"/>
    <w:rsid w:val="009D1107"/>
    <w:rsid w:val="009D270E"/>
    <w:rsid w:val="009D3A3A"/>
    <w:rsid w:val="009E012B"/>
    <w:rsid w:val="009E33C1"/>
    <w:rsid w:val="00A003EB"/>
    <w:rsid w:val="00A06B34"/>
    <w:rsid w:val="00A117AD"/>
    <w:rsid w:val="00A14311"/>
    <w:rsid w:val="00A156EC"/>
    <w:rsid w:val="00A165F9"/>
    <w:rsid w:val="00A16EA7"/>
    <w:rsid w:val="00A2501E"/>
    <w:rsid w:val="00A3316B"/>
    <w:rsid w:val="00A42295"/>
    <w:rsid w:val="00A43017"/>
    <w:rsid w:val="00A44987"/>
    <w:rsid w:val="00A45CC5"/>
    <w:rsid w:val="00A45E93"/>
    <w:rsid w:val="00A51F18"/>
    <w:rsid w:val="00A6457A"/>
    <w:rsid w:val="00A646E2"/>
    <w:rsid w:val="00A83385"/>
    <w:rsid w:val="00A86168"/>
    <w:rsid w:val="00A87F87"/>
    <w:rsid w:val="00A9140F"/>
    <w:rsid w:val="00AA2E70"/>
    <w:rsid w:val="00AA72F5"/>
    <w:rsid w:val="00AC6F8A"/>
    <w:rsid w:val="00AC7030"/>
    <w:rsid w:val="00AE62B5"/>
    <w:rsid w:val="00B00FB2"/>
    <w:rsid w:val="00B02B95"/>
    <w:rsid w:val="00B10399"/>
    <w:rsid w:val="00B15099"/>
    <w:rsid w:val="00B15190"/>
    <w:rsid w:val="00B21719"/>
    <w:rsid w:val="00B36174"/>
    <w:rsid w:val="00B44206"/>
    <w:rsid w:val="00B518A6"/>
    <w:rsid w:val="00B5331C"/>
    <w:rsid w:val="00B54F5E"/>
    <w:rsid w:val="00B6777D"/>
    <w:rsid w:val="00B80F99"/>
    <w:rsid w:val="00B94A9A"/>
    <w:rsid w:val="00BA1CE3"/>
    <w:rsid w:val="00BA3857"/>
    <w:rsid w:val="00BA3A03"/>
    <w:rsid w:val="00BA5433"/>
    <w:rsid w:val="00BB41D9"/>
    <w:rsid w:val="00BB72E7"/>
    <w:rsid w:val="00BC3872"/>
    <w:rsid w:val="00BC5FA6"/>
    <w:rsid w:val="00BD1C8D"/>
    <w:rsid w:val="00BD3CBF"/>
    <w:rsid w:val="00BE62F6"/>
    <w:rsid w:val="00BF30AB"/>
    <w:rsid w:val="00BF73A0"/>
    <w:rsid w:val="00C04564"/>
    <w:rsid w:val="00C06ED9"/>
    <w:rsid w:val="00C202EA"/>
    <w:rsid w:val="00C2777E"/>
    <w:rsid w:val="00C3075F"/>
    <w:rsid w:val="00C30D2C"/>
    <w:rsid w:val="00C371B3"/>
    <w:rsid w:val="00C4020A"/>
    <w:rsid w:val="00C41A13"/>
    <w:rsid w:val="00C54745"/>
    <w:rsid w:val="00C55B2E"/>
    <w:rsid w:val="00C62C12"/>
    <w:rsid w:val="00C6488D"/>
    <w:rsid w:val="00C8253B"/>
    <w:rsid w:val="00C850EF"/>
    <w:rsid w:val="00C86589"/>
    <w:rsid w:val="00CA23FD"/>
    <w:rsid w:val="00CA3286"/>
    <w:rsid w:val="00CB149B"/>
    <w:rsid w:val="00CD0BED"/>
    <w:rsid w:val="00CD455B"/>
    <w:rsid w:val="00CE3FF1"/>
    <w:rsid w:val="00CF1026"/>
    <w:rsid w:val="00CF15A0"/>
    <w:rsid w:val="00D00939"/>
    <w:rsid w:val="00D019E2"/>
    <w:rsid w:val="00D12A0D"/>
    <w:rsid w:val="00D22563"/>
    <w:rsid w:val="00D232A5"/>
    <w:rsid w:val="00D27370"/>
    <w:rsid w:val="00D31923"/>
    <w:rsid w:val="00D44D34"/>
    <w:rsid w:val="00D54FCD"/>
    <w:rsid w:val="00D55110"/>
    <w:rsid w:val="00D557FC"/>
    <w:rsid w:val="00D66A18"/>
    <w:rsid w:val="00D726C7"/>
    <w:rsid w:val="00D733B0"/>
    <w:rsid w:val="00D76733"/>
    <w:rsid w:val="00D76A8C"/>
    <w:rsid w:val="00D813A6"/>
    <w:rsid w:val="00D956E1"/>
    <w:rsid w:val="00D96A8D"/>
    <w:rsid w:val="00DB5131"/>
    <w:rsid w:val="00DB7324"/>
    <w:rsid w:val="00DC0641"/>
    <w:rsid w:val="00DC2DAE"/>
    <w:rsid w:val="00DD3581"/>
    <w:rsid w:val="00DD654D"/>
    <w:rsid w:val="00DD6722"/>
    <w:rsid w:val="00DE34FC"/>
    <w:rsid w:val="00DE4E0B"/>
    <w:rsid w:val="00DE614E"/>
    <w:rsid w:val="00DE7AA3"/>
    <w:rsid w:val="00DF28AF"/>
    <w:rsid w:val="00DF3CF0"/>
    <w:rsid w:val="00DF564F"/>
    <w:rsid w:val="00E05A2C"/>
    <w:rsid w:val="00E05DA8"/>
    <w:rsid w:val="00E131EE"/>
    <w:rsid w:val="00E20A40"/>
    <w:rsid w:val="00E24C95"/>
    <w:rsid w:val="00E2681C"/>
    <w:rsid w:val="00E2698B"/>
    <w:rsid w:val="00E26C8E"/>
    <w:rsid w:val="00E30FE4"/>
    <w:rsid w:val="00E33A55"/>
    <w:rsid w:val="00E41AF5"/>
    <w:rsid w:val="00E43499"/>
    <w:rsid w:val="00E44379"/>
    <w:rsid w:val="00E469F1"/>
    <w:rsid w:val="00E53241"/>
    <w:rsid w:val="00E636E5"/>
    <w:rsid w:val="00E72336"/>
    <w:rsid w:val="00E766D3"/>
    <w:rsid w:val="00E85C4F"/>
    <w:rsid w:val="00E862B0"/>
    <w:rsid w:val="00E87EDE"/>
    <w:rsid w:val="00E9261C"/>
    <w:rsid w:val="00E93311"/>
    <w:rsid w:val="00E93856"/>
    <w:rsid w:val="00EA04AB"/>
    <w:rsid w:val="00EA2DC3"/>
    <w:rsid w:val="00EB2613"/>
    <w:rsid w:val="00EB2DF2"/>
    <w:rsid w:val="00EC040E"/>
    <w:rsid w:val="00ED6DA8"/>
    <w:rsid w:val="00EE07A6"/>
    <w:rsid w:val="00EE5E18"/>
    <w:rsid w:val="00EF1F0A"/>
    <w:rsid w:val="00EF563B"/>
    <w:rsid w:val="00EF604D"/>
    <w:rsid w:val="00EF6064"/>
    <w:rsid w:val="00F0338A"/>
    <w:rsid w:val="00F11D75"/>
    <w:rsid w:val="00F12241"/>
    <w:rsid w:val="00F162C4"/>
    <w:rsid w:val="00F33C30"/>
    <w:rsid w:val="00F33E84"/>
    <w:rsid w:val="00F3749C"/>
    <w:rsid w:val="00F408F3"/>
    <w:rsid w:val="00F4250E"/>
    <w:rsid w:val="00F4611E"/>
    <w:rsid w:val="00F468D7"/>
    <w:rsid w:val="00F57C02"/>
    <w:rsid w:val="00F61DDB"/>
    <w:rsid w:val="00F66657"/>
    <w:rsid w:val="00F7577A"/>
    <w:rsid w:val="00F8529C"/>
    <w:rsid w:val="00F86AD1"/>
    <w:rsid w:val="00F86F3C"/>
    <w:rsid w:val="00F90454"/>
    <w:rsid w:val="00F905A8"/>
    <w:rsid w:val="00FA4548"/>
    <w:rsid w:val="00FA4EF7"/>
    <w:rsid w:val="00FA60D8"/>
    <w:rsid w:val="00FA7037"/>
    <w:rsid w:val="00FA7AF6"/>
    <w:rsid w:val="00FB0D2A"/>
    <w:rsid w:val="00FB74B1"/>
    <w:rsid w:val="00FC7BE3"/>
    <w:rsid w:val="00FD624F"/>
    <w:rsid w:val="00FE4CD4"/>
    <w:rsid w:val="00FE4F63"/>
    <w:rsid w:val="00FE6CAF"/>
    <w:rsid w:val="00FF1755"/>
    <w:rsid w:val="00FF3464"/>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623D-240F-49E2-82C5-1F3B178E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2894</Words>
  <Characters>15920</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18777</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7</cp:revision>
  <cp:lastPrinted>2012-06-04T08:36:00Z</cp:lastPrinted>
  <dcterms:created xsi:type="dcterms:W3CDTF">2012-06-06T11:03:00Z</dcterms:created>
  <dcterms:modified xsi:type="dcterms:W3CDTF">2013-11-18T18:30:00Z</dcterms:modified>
</cp:coreProperties>
</file>