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C4" w:rsidRPr="00B84D32" w:rsidRDefault="0010242E" w:rsidP="00B84D32">
      <w:pPr>
        <w:spacing w:before="1240"/>
        <w:jc w:val="center"/>
        <w:rPr>
          <w:rFonts w:ascii="Arial" w:hAnsi="Arial" w:cs="Arial"/>
          <w:b/>
          <w:sz w:val="22"/>
          <w:szCs w:val="22"/>
          <w:lang w:val="fr-FR"/>
        </w:rPr>
      </w:pPr>
      <w:r w:rsidRPr="00B84D32">
        <w:rPr>
          <w:rFonts w:ascii="Arial" w:hAnsi="Arial" w:cs="Arial"/>
          <w:b/>
          <w:sz w:val="22"/>
          <w:szCs w:val="22"/>
          <w:lang w:val="fr-FR"/>
        </w:rPr>
        <w:t>CONVENTION POUR LA SAUVEGARDE DU</w:t>
      </w:r>
      <w:r w:rsidRPr="00B84D32">
        <w:rPr>
          <w:rFonts w:ascii="Arial" w:hAnsi="Arial" w:cs="Arial"/>
          <w:b/>
          <w:sz w:val="22"/>
          <w:szCs w:val="22"/>
          <w:lang w:val="fr-FR"/>
        </w:rPr>
        <w:br/>
        <w:t>PATRIMOINE CULTUREL IMMATÉRIEL</w:t>
      </w:r>
    </w:p>
    <w:p w:rsidR="002D01C4" w:rsidRPr="00B84D32" w:rsidRDefault="0010242E" w:rsidP="00B84D32">
      <w:pPr>
        <w:spacing w:before="1200"/>
        <w:jc w:val="center"/>
        <w:rPr>
          <w:rFonts w:ascii="Arial" w:hAnsi="Arial" w:cs="Arial"/>
          <w:b/>
          <w:sz w:val="22"/>
          <w:szCs w:val="22"/>
          <w:lang w:val="fr-FR"/>
        </w:rPr>
      </w:pPr>
      <w:r w:rsidRPr="00B84D32">
        <w:rPr>
          <w:rFonts w:ascii="Arial" w:hAnsi="Arial" w:cs="Arial"/>
          <w:b/>
          <w:sz w:val="22"/>
          <w:szCs w:val="22"/>
          <w:lang w:val="fr-FR"/>
        </w:rPr>
        <w:t>COMITÉ INTERGOUVERNEMENTAL DE SAUVEGARDE</w:t>
      </w:r>
      <w:r w:rsidRPr="00B84D32">
        <w:rPr>
          <w:rFonts w:ascii="Arial" w:hAnsi="Arial" w:cs="Arial"/>
          <w:b/>
          <w:sz w:val="22"/>
          <w:szCs w:val="22"/>
          <w:lang w:val="fr-FR"/>
        </w:rPr>
        <w:br/>
        <w:t xml:space="preserve">DU PATRIMOINE CULTUREL IMMATÉRIEL </w:t>
      </w:r>
    </w:p>
    <w:p w:rsidR="002D01C4" w:rsidRPr="00B84D32" w:rsidRDefault="0010242E" w:rsidP="00B84D32">
      <w:pPr>
        <w:spacing w:before="840"/>
        <w:jc w:val="center"/>
        <w:rPr>
          <w:rFonts w:ascii="Arial" w:hAnsi="Arial" w:cs="Arial"/>
          <w:b/>
          <w:sz w:val="22"/>
          <w:szCs w:val="22"/>
          <w:lang w:val="fr-FR"/>
        </w:rPr>
      </w:pPr>
      <w:r w:rsidRPr="00B84D32">
        <w:rPr>
          <w:rFonts w:ascii="Arial" w:hAnsi="Arial" w:cs="Arial"/>
          <w:b/>
          <w:sz w:val="22"/>
          <w:szCs w:val="22"/>
          <w:lang w:val="fr-FR"/>
        </w:rPr>
        <w:t>Réunion du Bureau</w:t>
      </w:r>
    </w:p>
    <w:p w:rsidR="002D01C4" w:rsidRPr="00B84D32" w:rsidRDefault="0010242E" w:rsidP="00B84D32">
      <w:pPr>
        <w:jc w:val="center"/>
        <w:rPr>
          <w:rFonts w:ascii="Arial" w:hAnsi="Arial" w:cs="Arial"/>
          <w:b/>
          <w:sz w:val="22"/>
          <w:szCs w:val="22"/>
          <w:lang w:val="fr-FR"/>
        </w:rPr>
      </w:pPr>
      <w:r w:rsidRPr="00B84D32">
        <w:rPr>
          <w:rFonts w:ascii="Arial" w:hAnsi="Arial" w:cs="Arial"/>
          <w:b/>
          <w:sz w:val="22"/>
          <w:szCs w:val="22"/>
          <w:lang w:val="fr-FR"/>
        </w:rPr>
        <w:t>Siège de l</w:t>
      </w:r>
      <w:r w:rsidR="00B84D32">
        <w:rPr>
          <w:rFonts w:ascii="Arial" w:hAnsi="Arial" w:cs="Arial"/>
          <w:b/>
          <w:sz w:val="22"/>
          <w:szCs w:val="22"/>
          <w:lang w:val="fr-FR"/>
        </w:rPr>
        <w:t>’</w:t>
      </w:r>
      <w:r w:rsidRPr="00B84D32">
        <w:rPr>
          <w:rFonts w:ascii="Arial" w:hAnsi="Arial" w:cs="Arial"/>
          <w:b/>
          <w:sz w:val="22"/>
          <w:szCs w:val="22"/>
          <w:lang w:val="fr-FR"/>
        </w:rPr>
        <w:t>UNESCO, Paris, Salle II</w:t>
      </w:r>
    </w:p>
    <w:p w:rsidR="002D01C4" w:rsidRPr="00B84D32" w:rsidRDefault="0010242E" w:rsidP="00B84D32">
      <w:pPr>
        <w:jc w:val="center"/>
        <w:rPr>
          <w:rFonts w:ascii="Arial" w:hAnsi="Arial" w:cs="Arial"/>
          <w:b/>
          <w:sz w:val="22"/>
          <w:szCs w:val="22"/>
          <w:lang w:val="fr-FR"/>
        </w:rPr>
      </w:pPr>
      <w:r w:rsidRPr="00B84D32">
        <w:rPr>
          <w:rFonts w:ascii="Arial" w:hAnsi="Arial" w:cs="Arial"/>
          <w:b/>
          <w:sz w:val="22"/>
          <w:szCs w:val="22"/>
          <w:lang w:val="fr-FR"/>
        </w:rPr>
        <w:t>8 juin 2012</w:t>
      </w:r>
    </w:p>
    <w:p w:rsidR="002D01C4" w:rsidRPr="00B84D32" w:rsidRDefault="0010242E" w:rsidP="00B84D32">
      <w:pPr>
        <w:pStyle w:val="NoSpacing"/>
        <w:spacing w:before="1000" w:after="800"/>
        <w:jc w:val="center"/>
        <w:rPr>
          <w:rStyle w:val="no0020spacingchar"/>
        </w:rPr>
      </w:pPr>
      <w:r w:rsidRPr="00B84D32">
        <w:rPr>
          <w:rStyle w:val="no0020spacingchar"/>
          <w:rFonts w:ascii="Arial" w:hAnsi="Arial" w:cs="Arial"/>
          <w:b/>
          <w:bCs/>
          <w:sz w:val="22"/>
          <w:szCs w:val="22"/>
          <w:u w:val="single"/>
        </w:rPr>
        <w:t>Point 5 de l</w:t>
      </w:r>
      <w:r w:rsidR="00B84D32">
        <w:rPr>
          <w:rStyle w:val="no0020spacingchar"/>
          <w:rFonts w:ascii="Arial" w:hAnsi="Arial" w:cs="Arial"/>
          <w:b/>
          <w:bCs/>
          <w:sz w:val="22"/>
          <w:szCs w:val="22"/>
          <w:u w:val="single"/>
        </w:rPr>
        <w:t>’</w:t>
      </w:r>
      <w:r w:rsidRPr="00B84D32">
        <w:rPr>
          <w:rStyle w:val="no0020spacingchar"/>
          <w:rFonts w:ascii="Arial" w:hAnsi="Arial" w:cs="Arial"/>
          <w:b/>
          <w:bCs/>
          <w:sz w:val="22"/>
          <w:szCs w:val="22"/>
          <w:u w:val="single"/>
        </w:rPr>
        <w:t>ordre du jour provisoire:</w:t>
      </w:r>
      <w:r w:rsidRPr="00B84D32">
        <w:t xml:space="preserve"> </w:t>
      </w:r>
      <w:r w:rsidRPr="00B84D32">
        <w:rPr>
          <w:rFonts w:ascii="Arial" w:hAnsi="Arial" w:cs="Arial"/>
          <w:b/>
          <w:bCs/>
          <w:sz w:val="22"/>
          <w:szCs w:val="22"/>
        </w:rPr>
        <w:br/>
      </w:r>
      <w:r w:rsidRPr="00B84D32">
        <w:rPr>
          <w:rStyle w:val="no0020spacingchar"/>
          <w:rFonts w:ascii="Arial" w:hAnsi="Arial" w:cs="Arial"/>
          <w:b/>
          <w:bCs/>
          <w:sz w:val="22"/>
          <w:szCs w:val="22"/>
        </w:rPr>
        <w:t xml:space="preserve">Utilisation des fonds alloués pour financer </w:t>
      </w:r>
      <w:r w:rsidR="00925BC3" w:rsidRPr="00B84D32">
        <w:rPr>
          <w:rStyle w:val="no0020spacingchar"/>
          <w:rFonts w:ascii="Arial" w:hAnsi="Arial" w:cs="Arial"/>
          <w:b/>
          <w:bCs/>
          <w:sz w:val="22"/>
          <w:szCs w:val="22"/>
        </w:rPr>
        <w:t xml:space="preserve">les </w:t>
      </w:r>
      <w:r w:rsidRPr="00B84D32">
        <w:rPr>
          <w:rStyle w:val="no0020spacingchar"/>
          <w:rFonts w:ascii="Arial" w:hAnsi="Arial" w:cs="Arial"/>
          <w:b/>
          <w:bCs/>
          <w:sz w:val="22"/>
          <w:szCs w:val="22"/>
        </w:rPr>
        <w:t>« autres fonctions du Comité »</w:t>
      </w:r>
      <w:r w:rsidRPr="00B84D32">
        <w:t xml:space="preserve"> </w:t>
      </w:r>
      <w:r w:rsidRPr="00B84D32">
        <w:rPr>
          <w:rStyle w:val="no0020spacingchar"/>
          <w:rFonts w:ascii="Arial" w:hAnsi="Arial" w:cs="Arial"/>
          <w:b/>
          <w:bCs/>
          <w:sz w:val="22"/>
          <w:szCs w:val="22"/>
        </w:rPr>
        <w:t xml:space="preserve">dans le cadre du Plan </w:t>
      </w:r>
      <w:r w:rsidR="0013044A">
        <w:rPr>
          <w:rStyle w:val="no0020spacingchar"/>
          <w:rFonts w:ascii="Arial" w:hAnsi="Arial" w:cs="Arial"/>
          <w:b/>
          <w:bCs/>
          <w:sz w:val="22"/>
          <w:szCs w:val="22"/>
        </w:rPr>
        <w:t>d</w:t>
      </w:r>
      <w:r w:rsidR="00B84D32">
        <w:rPr>
          <w:rStyle w:val="no0020spacingchar"/>
          <w:rFonts w:ascii="Arial" w:hAnsi="Arial" w:cs="Arial"/>
          <w:b/>
          <w:bCs/>
          <w:sz w:val="22"/>
          <w:szCs w:val="22"/>
        </w:rPr>
        <w:t>’</w:t>
      </w:r>
      <w:r w:rsidRPr="00B84D32">
        <w:rPr>
          <w:rStyle w:val="no0020spacingchar"/>
          <w:rFonts w:ascii="Arial" w:hAnsi="Arial" w:cs="Arial"/>
          <w:b/>
          <w:bCs/>
          <w:sz w:val="22"/>
          <w:szCs w:val="22"/>
        </w:rPr>
        <w:t>utilisation des ressources du Fonds du patrimoine culturel immatériel</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7"/>
      </w:tblGrid>
      <w:tr w:rsidR="002D01C4" w:rsidRPr="00B84D32">
        <w:trPr>
          <w:jc w:val="center"/>
        </w:trPr>
        <w:tc>
          <w:tcPr>
            <w:tcW w:w="6097" w:type="dxa"/>
            <w:vAlign w:val="center"/>
          </w:tcPr>
          <w:p w:rsidR="002D01C4" w:rsidRPr="00B84D32" w:rsidRDefault="0010242E" w:rsidP="00B84D32">
            <w:pPr>
              <w:pStyle w:val="NoSpacing"/>
              <w:spacing w:before="200" w:after="200"/>
              <w:jc w:val="center"/>
              <w:rPr>
                <w:rFonts w:ascii="Arial" w:hAnsi="Arial" w:cs="Arial"/>
                <w:b/>
                <w:sz w:val="22"/>
                <w:szCs w:val="22"/>
              </w:rPr>
            </w:pPr>
            <w:r w:rsidRPr="00B84D32">
              <w:rPr>
                <w:rFonts w:ascii="Arial" w:hAnsi="Arial" w:cs="Arial"/>
                <w:b/>
                <w:sz w:val="22"/>
                <w:szCs w:val="22"/>
              </w:rPr>
              <w:t>Résumé</w:t>
            </w:r>
          </w:p>
          <w:p w:rsidR="002D01C4" w:rsidRPr="00B84D32" w:rsidRDefault="00712655" w:rsidP="00B84D32">
            <w:pPr>
              <w:pStyle w:val="no0020spacing"/>
              <w:spacing w:before="200" w:beforeAutospacing="0" w:after="200" w:afterAutospacing="0"/>
              <w:jc w:val="both"/>
            </w:pPr>
            <w:r>
              <w:rPr>
                <w:rStyle w:val="no0020spacingchar"/>
                <w:rFonts w:ascii="Arial" w:hAnsi="Arial" w:cs="Arial"/>
                <w:sz w:val="22"/>
                <w:szCs w:val="22"/>
              </w:rPr>
              <w:t>Le Plan d</w:t>
            </w:r>
            <w:r w:rsidR="00B84D32">
              <w:rPr>
                <w:rStyle w:val="no0020spacingchar"/>
                <w:rFonts w:ascii="Arial" w:hAnsi="Arial" w:cs="Arial"/>
                <w:sz w:val="22"/>
                <w:szCs w:val="22"/>
              </w:rPr>
              <w:t>’</w:t>
            </w:r>
            <w:r w:rsidR="0010242E" w:rsidRPr="00B84D32">
              <w:rPr>
                <w:rStyle w:val="no0020spacingchar"/>
                <w:rFonts w:ascii="Arial" w:hAnsi="Arial" w:cs="Arial"/>
                <w:sz w:val="22"/>
                <w:szCs w:val="22"/>
              </w:rPr>
              <w:t>utilisation des ressources du Fonds du patrimoine culturel immatériel adopté par l</w:t>
            </w:r>
            <w:r w:rsidR="00B84D32">
              <w:rPr>
                <w:rStyle w:val="no0020spacingchar"/>
                <w:rFonts w:ascii="Arial" w:hAnsi="Arial" w:cs="Arial"/>
                <w:sz w:val="22"/>
                <w:szCs w:val="22"/>
              </w:rPr>
              <w:t>’</w:t>
            </w:r>
            <w:r w:rsidR="0010242E" w:rsidRPr="00B84D32">
              <w:rPr>
                <w:rStyle w:val="no0020spacingchar"/>
                <w:rFonts w:ascii="Arial" w:hAnsi="Arial" w:cs="Arial"/>
                <w:sz w:val="22"/>
                <w:szCs w:val="22"/>
              </w:rPr>
              <w:t>Assemblée générale pour la période du 1</w:t>
            </w:r>
            <w:r w:rsidR="0010242E" w:rsidRPr="00B84D32">
              <w:rPr>
                <w:rStyle w:val="no0020spacingchar"/>
                <w:rFonts w:ascii="Arial" w:hAnsi="Arial" w:cs="Arial"/>
                <w:sz w:val="22"/>
                <w:szCs w:val="22"/>
                <w:vertAlign w:val="superscript"/>
              </w:rPr>
              <w:t>er </w:t>
            </w:r>
            <w:r w:rsidR="0010242E" w:rsidRPr="00B84D32">
              <w:rPr>
                <w:rStyle w:val="no0020spacingchar"/>
                <w:rFonts w:ascii="Arial" w:hAnsi="Arial" w:cs="Arial"/>
                <w:sz w:val="22"/>
                <w:szCs w:val="22"/>
              </w:rPr>
              <w:t>janvier 2012 au 31 décembre 2013 prévoit qu</w:t>
            </w:r>
            <w:r w:rsidR="00B84D32">
              <w:rPr>
                <w:rStyle w:val="no0020spacingchar"/>
                <w:rFonts w:ascii="Arial" w:hAnsi="Arial" w:cs="Arial"/>
                <w:sz w:val="22"/>
                <w:szCs w:val="22"/>
              </w:rPr>
              <w:t>’</w:t>
            </w:r>
            <w:r w:rsidR="0010242E" w:rsidRPr="00B84D32">
              <w:rPr>
                <w:rStyle w:val="no0020spacingchar"/>
                <w:rFonts w:ascii="Arial" w:hAnsi="Arial" w:cs="Arial"/>
                <w:sz w:val="22"/>
                <w:szCs w:val="22"/>
              </w:rPr>
              <w:t xml:space="preserve">une partie des ressources soient allouées aux « autres fonctions du Comité » telles que décrites </w:t>
            </w:r>
            <w:r>
              <w:rPr>
                <w:rStyle w:val="no0020spacingchar"/>
                <w:rFonts w:ascii="Arial" w:hAnsi="Arial" w:cs="Arial"/>
                <w:sz w:val="22"/>
                <w:szCs w:val="22"/>
              </w:rPr>
              <w:t xml:space="preserve">à </w:t>
            </w:r>
            <w:r w:rsidR="0010242E" w:rsidRPr="00B84D32">
              <w:rPr>
                <w:rStyle w:val="no0020spacingchar"/>
                <w:rFonts w:ascii="Arial" w:hAnsi="Arial" w:cs="Arial"/>
                <w:sz w:val="22"/>
                <w:szCs w:val="22"/>
              </w:rPr>
              <w:t>l</w:t>
            </w:r>
            <w:r w:rsidR="00B84D32">
              <w:rPr>
                <w:rStyle w:val="no0020spacingchar"/>
                <w:rFonts w:ascii="Arial" w:hAnsi="Arial" w:cs="Arial"/>
                <w:sz w:val="22"/>
                <w:szCs w:val="22"/>
              </w:rPr>
              <w:t>’</w:t>
            </w:r>
            <w:r w:rsidR="0010242E" w:rsidRPr="00B84D32">
              <w:rPr>
                <w:rStyle w:val="no0020spacingchar"/>
                <w:rFonts w:ascii="Arial" w:hAnsi="Arial" w:cs="Arial"/>
                <w:sz w:val="22"/>
                <w:szCs w:val="22"/>
              </w:rPr>
              <w:t>article 7 de la Convention et les Directives opérationnelles.</w:t>
            </w:r>
          </w:p>
          <w:p w:rsidR="002D01C4" w:rsidRPr="00B84D32" w:rsidRDefault="0010242E" w:rsidP="00B84D32">
            <w:pPr>
              <w:pStyle w:val="no0020spacing"/>
              <w:spacing w:before="200" w:beforeAutospacing="0" w:after="200" w:afterAutospacing="0"/>
              <w:jc w:val="both"/>
            </w:pPr>
            <w:r w:rsidRPr="00B84D32">
              <w:rPr>
                <w:rStyle w:val="no0020spacingchar"/>
                <w:rFonts w:ascii="Arial" w:hAnsi="Arial" w:cs="Arial"/>
                <w:sz w:val="22"/>
                <w:szCs w:val="22"/>
              </w:rPr>
              <w:t>Le présent document présente une proposition spécifique préparée par le Secrétariat pour l</w:t>
            </w:r>
            <w:r w:rsidR="00B84D32">
              <w:rPr>
                <w:rStyle w:val="no0020spacingchar"/>
                <w:rFonts w:ascii="Arial" w:hAnsi="Arial" w:cs="Arial"/>
                <w:sz w:val="22"/>
                <w:szCs w:val="22"/>
              </w:rPr>
              <w:t>’</w:t>
            </w:r>
            <w:r w:rsidRPr="00B84D32">
              <w:rPr>
                <w:rStyle w:val="no0020spacingchar"/>
                <w:rFonts w:ascii="Arial" w:hAnsi="Arial" w:cs="Arial"/>
                <w:sz w:val="22"/>
                <w:szCs w:val="22"/>
              </w:rPr>
              <w:t>utilisation de ces fonds à partir du 1</w:t>
            </w:r>
            <w:r w:rsidRPr="00B84D32">
              <w:rPr>
                <w:rStyle w:val="no0020spacingchar"/>
                <w:rFonts w:ascii="Arial" w:hAnsi="Arial" w:cs="Arial"/>
                <w:sz w:val="22"/>
                <w:szCs w:val="22"/>
                <w:vertAlign w:val="superscript"/>
              </w:rPr>
              <w:t>er</w:t>
            </w:r>
            <w:r w:rsidRPr="00B84D32">
              <w:rPr>
                <w:rStyle w:val="no0020spacingchar"/>
                <w:rFonts w:ascii="Arial" w:hAnsi="Arial" w:cs="Arial"/>
                <w:sz w:val="22"/>
                <w:szCs w:val="22"/>
              </w:rPr>
              <w:t> juillet 2012. Faisant usage de l</w:t>
            </w:r>
            <w:r w:rsidR="00B84D32">
              <w:rPr>
                <w:rStyle w:val="no0020spacingchar"/>
                <w:rFonts w:ascii="Arial" w:hAnsi="Arial" w:cs="Arial"/>
                <w:sz w:val="22"/>
                <w:szCs w:val="22"/>
              </w:rPr>
              <w:t>’</w:t>
            </w:r>
            <w:r w:rsidRPr="00B84D32">
              <w:rPr>
                <w:rStyle w:val="no0020spacingchar"/>
                <w:rFonts w:ascii="Arial" w:hAnsi="Arial" w:cs="Arial"/>
                <w:sz w:val="22"/>
                <w:szCs w:val="22"/>
              </w:rPr>
              <w:t>autorité déléguée par le Comité, le Bureau est invité à prendre une décision sur l</w:t>
            </w:r>
            <w:r w:rsidR="00B84D32">
              <w:rPr>
                <w:rStyle w:val="no0020spacingchar"/>
                <w:rFonts w:ascii="Arial" w:hAnsi="Arial" w:cs="Arial"/>
                <w:sz w:val="22"/>
                <w:szCs w:val="22"/>
              </w:rPr>
              <w:t>’</w:t>
            </w:r>
            <w:r w:rsidRPr="00B84D32">
              <w:rPr>
                <w:rStyle w:val="no0020spacingchar"/>
                <w:rFonts w:ascii="Arial" w:hAnsi="Arial" w:cs="Arial"/>
                <w:sz w:val="22"/>
                <w:szCs w:val="22"/>
              </w:rPr>
              <w:t>utilisation des fonds allo</w:t>
            </w:r>
            <w:r w:rsidR="00925BC3" w:rsidRPr="00B84D32">
              <w:rPr>
                <w:rStyle w:val="no0020spacingchar"/>
                <w:rFonts w:ascii="Arial" w:hAnsi="Arial" w:cs="Arial"/>
                <w:sz w:val="22"/>
                <w:szCs w:val="22"/>
              </w:rPr>
              <w:t xml:space="preserve">ués au titre de cette catégorie, </w:t>
            </w:r>
            <w:r w:rsidRPr="00B84D32">
              <w:rPr>
                <w:rStyle w:val="no0020spacingchar"/>
                <w:rFonts w:ascii="Arial" w:hAnsi="Arial" w:cs="Arial"/>
                <w:sz w:val="22"/>
                <w:szCs w:val="22"/>
              </w:rPr>
              <w:t>sur la base de cette proposition spécifique.</w:t>
            </w:r>
            <w:r w:rsidRPr="00B84D32">
              <w:t xml:space="preserve"> </w:t>
            </w:r>
            <w:r w:rsidRPr="00B84D32">
              <w:rPr>
                <w:rStyle w:val="no0020spacingchar"/>
                <w:rFonts w:ascii="Arial" w:hAnsi="Arial" w:cs="Arial"/>
                <w:sz w:val="22"/>
                <w:szCs w:val="22"/>
              </w:rPr>
              <w:t>Le Bureau est invité à prendre sa décision par voie de consultation électronique.</w:t>
            </w:r>
          </w:p>
          <w:p w:rsidR="002D01C4" w:rsidRPr="00B84D32" w:rsidRDefault="0010242E" w:rsidP="0013044A">
            <w:pPr>
              <w:pStyle w:val="no0020spacing"/>
              <w:spacing w:before="200" w:beforeAutospacing="0" w:after="200" w:afterAutospacing="0"/>
            </w:pPr>
            <w:r w:rsidRPr="00B84D32">
              <w:rPr>
                <w:rStyle w:val="no0020spacingchar"/>
                <w:rFonts w:ascii="Arial" w:hAnsi="Arial" w:cs="Arial"/>
                <w:b/>
                <w:bCs/>
                <w:sz w:val="22"/>
                <w:szCs w:val="22"/>
              </w:rPr>
              <w:t>Décision requise:</w:t>
            </w:r>
            <w:r w:rsidRPr="00B84D32">
              <w:t xml:space="preserve"> </w:t>
            </w:r>
            <w:r w:rsidRPr="00B84D32">
              <w:rPr>
                <w:rStyle w:val="no0020spacingchar"/>
                <w:rFonts w:ascii="Arial" w:hAnsi="Arial" w:cs="Arial"/>
                <w:sz w:val="22"/>
                <w:szCs w:val="22"/>
              </w:rPr>
              <w:t>paragraphe 1</w:t>
            </w:r>
            <w:r w:rsidR="0013044A">
              <w:rPr>
                <w:rStyle w:val="no0020spacingchar"/>
                <w:rFonts w:ascii="Arial" w:hAnsi="Arial" w:cs="Arial"/>
                <w:sz w:val="22"/>
                <w:szCs w:val="22"/>
              </w:rPr>
              <w:t>6</w:t>
            </w:r>
          </w:p>
        </w:tc>
      </w:tr>
    </w:tbl>
    <w:p w:rsidR="002D01C4" w:rsidRPr="00B84D32" w:rsidRDefault="0010242E" w:rsidP="00B84D32">
      <w:pPr>
        <w:pStyle w:val="Marge"/>
        <w:keepNext/>
        <w:numPr>
          <w:ilvl w:val="0"/>
          <w:numId w:val="33"/>
        </w:numPr>
        <w:tabs>
          <w:tab w:val="clear" w:pos="567"/>
        </w:tabs>
        <w:spacing w:before="240"/>
        <w:ind w:left="567" w:hanging="567"/>
        <w:rPr>
          <w:b/>
          <w:lang w:val="fr-FR"/>
        </w:rPr>
      </w:pPr>
      <w:r w:rsidRPr="00B84D32">
        <w:rPr>
          <w:b/>
          <w:lang w:val="fr-FR"/>
        </w:rPr>
        <w:lastRenderedPageBreak/>
        <w:t>INTRODUCTION</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rFonts w:cs="Arial"/>
          <w:lang w:val="fr-FR"/>
        </w:rPr>
        <w:t>À</w:t>
      </w:r>
      <w:r w:rsidRPr="00B84D32">
        <w:rPr>
          <w:lang w:val="fr-FR"/>
        </w:rPr>
        <w:t xml:space="preserve"> sa quatrième session, l</w:t>
      </w:r>
      <w:r w:rsidR="00B84D32">
        <w:rPr>
          <w:lang w:val="fr-FR"/>
        </w:rPr>
        <w:t>’</w:t>
      </w:r>
      <w:r w:rsidRPr="00B84D32">
        <w:rPr>
          <w:lang w:val="fr-FR"/>
        </w:rPr>
        <w:t>Assemblée génér</w:t>
      </w:r>
      <w:r w:rsidR="00712655">
        <w:rPr>
          <w:lang w:val="fr-FR"/>
        </w:rPr>
        <w:t>ale devra adopter un plan d</w:t>
      </w:r>
      <w:r w:rsidR="00B84D32">
        <w:rPr>
          <w:lang w:val="fr-FR"/>
        </w:rPr>
        <w:t>’</w:t>
      </w:r>
      <w:r w:rsidRPr="00B84D32">
        <w:rPr>
          <w:lang w:val="fr-FR"/>
        </w:rPr>
        <w:t>utilisation des ressources du Fonds et le budget pour la période du 1</w:t>
      </w:r>
      <w:r w:rsidRPr="00B84D32">
        <w:rPr>
          <w:vertAlign w:val="superscript"/>
          <w:lang w:val="fr-FR"/>
        </w:rPr>
        <w:t>er</w:t>
      </w:r>
      <w:r w:rsidRPr="00B84D32">
        <w:rPr>
          <w:lang w:val="fr-FR"/>
        </w:rPr>
        <w:t xml:space="preserve"> janvier 2012 au 31 décembre 2013 (Résolution 4.GA 7), qui alloue une partie du budget sur la ligne 3 </w:t>
      </w:r>
      <w:r w:rsidR="007456A1">
        <w:rPr>
          <w:lang w:val="fr-FR"/>
        </w:rPr>
        <w:t xml:space="preserve">aux </w:t>
      </w:r>
      <w:r w:rsidRPr="00B84D32">
        <w:rPr>
          <w:lang w:val="fr-FR"/>
        </w:rPr>
        <w:t>« autres fonctions du Comité</w:t>
      </w:r>
      <w:r w:rsidR="007456A1">
        <w:rPr>
          <w:lang w:val="fr-FR"/>
        </w:rPr>
        <w:t> »</w:t>
      </w:r>
      <w:r w:rsidRPr="00B84D32">
        <w:rPr>
          <w:lang w:val="fr-FR"/>
        </w:rPr>
        <w:t xml:space="preserve">, telles que décrites </w:t>
      </w:r>
      <w:r w:rsidR="007456A1">
        <w:rPr>
          <w:lang w:val="fr-FR"/>
        </w:rPr>
        <w:t xml:space="preserve">à </w:t>
      </w:r>
      <w:r w:rsidRPr="00B84D32">
        <w:rPr>
          <w:lang w:val="fr-FR"/>
        </w:rPr>
        <w:t>l</w:t>
      </w:r>
      <w:r w:rsidR="00B84D32">
        <w:rPr>
          <w:lang w:val="fr-FR"/>
        </w:rPr>
        <w:t>’</w:t>
      </w:r>
      <w:r w:rsidRPr="00B84D32">
        <w:rPr>
          <w:lang w:val="fr-FR"/>
        </w:rPr>
        <w:t>article 7 de la Convention et les Directives opérationnelles. Ces fonctions visent, en particulier, à promouvoir l</w:t>
      </w:r>
      <w:r w:rsidR="00925BC3" w:rsidRPr="00B84D32">
        <w:rPr>
          <w:lang w:val="fr-FR"/>
        </w:rPr>
        <w:t>es objectifs de la Convention ainsi qu</w:t>
      </w:r>
      <w:r w:rsidR="00B84D32">
        <w:rPr>
          <w:lang w:val="fr-FR"/>
        </w:rPr>
        <w:t>’</w:t>
      </w:r>
      <w:r w:rsidR="00925BC3" w:rsidRPr="00B84D32">
        <w:rPr>
          <w:lang w:val="fr-FR"/>
        </w:rPr>
        <w:t>à</w:t>
      </w:r>
      <w:r w:rsidRPr="00B84D32">
        <w:rPr>
          <w:lang w:val="fr-FR"/>
        </w:rPr>
        <w:t xml:space="preserve"> encourager et assurer le suivi de sa mise en œuvre à travers le renforcement des capacités institutionnelles et des communautés pour sauvegarder efficacement le patrimoine culturel immatériel, la sensibilisation à ce patrimoine et à sa signification, et la diffusion d</w:t>
      </w:r>
      <w:r w:rsidR="00B84D32">
        <w:rPr>
          <w:lang w:val="fr-FR"/>
        </w:rPr>
        <w:t>’</w:t>
      </w:r>
      <w:r w:rsidRPr="00B84D32">
        <w:rPr>
          <w:lang w:val="fr-FR"/>
        </w:rPr>
        <w:t>informations sur les meilleures pratiques de sauvegarde. Ce soutien a été déterminant pour compléter le programme et le budget ordinaires de l</w:t>
      </w:r>
      <w:r w:rsidR="00B84D32">
        <w:rPr>
          <w:lang w:val="fr-FR"/>
        </w:rPr>
        <w:t>’</w:t>
      </w:r>
      <w:r w:rsidRPr="00B84D32">
        <w:rPr>
          <w:lang w:val="fr-FR"/>
        </w:rPr>
        <w:t>Organisation. Il revêt une</w:t>
      </w:r>
      <w:r w:rsidR="00A75ADC" w:rsidRPr="00B84D32">
        <w:rPr>
          <w:lang w:val="fr-FR"/>
        </w:rPr>
        <w:t xml:space="preserve"> importance particulière dans</w:t>
      </w:r>
      <w:r w:rsidRPr="00B84D32">
        <w:rPr>
          <w:lang w:val="fr-FR"/>
        </w:rPr>
        <w:t xml:space="preserve"> la situation financière actuelle. </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 xml:space="preserve">Dans sa décision 6.COM 20, le Comité a décidé de continuer </w:t>
      </w:r>
      <w:r w:rsidR="00A75ADC" w:rsidRPr="00B84D32">
        <w:rPr>
          <w:lang w:val="fr-FR"/>
        </w:rPr>
        <w:t xml:space="preserve">à recourir au </w:t>
      </w:r>
      <w:r w:rsidRPr="00B84D32">
        <w:rPr>
          <w:lang w:val="fr-FR"/>
        </w:rPr>
        <w:t xml:space="preserve">mécanisme mis en place lors des sessions précédentes pour autoriser les dépenses dans cette catégorie. Dans cette décision, le Comité </w:t>
      </w:r>
      <w:r w:rsidRPr="00B84D32">
        <w:rPr>
          <w:rFonts w:cs="Arial"/>
          <w:szCs w:val="22"/>
          <w:lang w:val="fr-FR"/>
        </w:rPr>
        <w:t>« délègue à son Bureau l</w:t>
      </w:r>
      <w:r w:rsidR="00B84D32">
        <w:rPr>
          <w:rFonts w:cs="Arial"/>
          <w:szCs w:val="22"/>
          <w:lang w:val="fr-FR"/>
        </w:rPr>
        <w:t>’</w:t>
      </w:r>
      <w:r w:rsidRPr="00B84D32">
        <w:rPr>
          <w:rFonts w:cs="Arial"/>
          <w:szCs w:val="22"/>
          <w:lang w:val="fr-FR"/>
        </w:rPr>
        <w:t>autorité de décider de l</w:t>
      </w:r>
      <w:r w:rsidR="00B84D32">
        <w:rPr>
          <w:rFonts w:cs="Arial"/>
          <w:szCs w:val="22"/>
          <w:lang w:val="fr-FR"/>
        </w:rPr>
        <w:t>’</w:t>
      </w:r>
      <w:r w:rsidRPr="00B84D32">
        <w:rPr>
          <w:rFonts w:cs="Arial"/>
          <w:szCs w:val="22"/>
          <w:lang w:val="fr-FR"/>
        </w:rPr>
        <w:t>utilisation des fonds alloués au point 3 du plan, sur la base de propositions spécifiques préparées par le Secrétariat »</w:t>
      </w:r>
      <w:r w:rsidRPr="00B84D32">
        <w:rPr>
          <w:lang w:val="fr-FR"/>
        </w:rPr>
        <w:t>.</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Le montant total alloué pour l</w:t>
      </w:r>
      <w:r w:rsidR="00B84D32">
        <w:rPr>
          <w:lang w:val="fr-FR"/>
        </w:rPr>
        <w:t>’</w:t>
      </w:r>
      <w:r w:rsidRPr="00B84D32">
        <w:rPr>
          <w:lang w:val="fr-FR"/>
        </w:rPr>
        <w:t>exercice biennal au titre de cette ligne budgétaire sera décidé par l</w:t>
      </w:r>
      <w:r w:rsidR="00B84D32">
        <w:rPr>
          <w:lang w:val="fr-FR"/>
        </w:rPr>
        <w:t>’</w:t>
      </w:r>
      <w:r w:rsidRPr="00B84D32">
        <w:rPr>
          <w:lang w:val="fr-FR"/>
        </w:rPr>
        <w:t xml:space="preserve">Assemblée générale lors de sa quatrième </w:t>
      </w:r>
      <w:r w:rsidR="00A75ADC" w:rsidRPr="00B84D32">
        <w:rPr>
          <w:lang w:val="fr-FR"/>
        </w:rPr>
        <w:t>session. Il</w:t>
      </w:r>
      <w:r w:rsidRPr="00B84D32">
        <w:rPr>
          <w:lang w:val="fr-FR"/>
        </w:rPr>
        <w:t xml:space="preserve"> </w:t>
      </w:r>
      <w:r w:rsidR="00A75ADC" w:rsidRPr="00B84D32">
        <w:rPr>
          <w:lang w:val="fr-FR"/>
        </w:rPr>
        <w:t>n</w:t>
      </w:r>
      <w:r w:rsidR="00B84D32">
        <w:rPr>
          <w:lang w:val="fr-FR"/>
        </w:rPr>
        <w:t>’</w:t>
      </w:r>
      <w:r w:rsidR="00A75ADC" w:rsidRPr="00B84D32">
        <w:rPr>
          <w:lang w:val="fr-FR"/>
        </w:rPr>
        <w:t xml:space="preserve">est pas </w:t>
      </w:r>
      <w:r w:rsidRPr="00B84D32">
        <w:rPr>
          <w:lang w:val="fr-FR"/>
        </w:rPr>
        <w:t>connu au moment de la rédaction de ce document. Deux options son</w:t>
      </w:r>
      <w:r w:rsidR="00A75ADC" w:rsidRPr="00B84D32">
        <w:rPr>
          <w:lang w:val="fr-FR"/>
        </w:rPr>
        <w:t xml:space="preserve">t présentées dans les annexes du </w:t>
      </w:r>
      <w:r w:rsidRPr="00B84D32">
        <w:rPr>
          <w:lang w:val="fr-FR"/>
        </w:rPr>
        <w:t xml:space="preserve">document 4.GA 7: le montant total disponible sur la ligne 3 du budget dédiée aux « autres fonctions du Comité » est soit de 1 107 811 dollars des </w:t>
      </w:r>
      <w:r w:rsidRPr="00B84D32">
        <w:rPr>
          <w:rFonts w:cs="Arial"/>
          <w:lang w:val="fr-FR"/>
        </w:rPr>
        <w:t>É</w:t>
      </w:r>
      <w:r w:rsidRPr="00B84D32">
        <w:rPr>
          <w:lang w:val="fr-FR"/>
        </w:rPr>
        <w:t xml:space="preserve">tats-Unis (Annexe I: Plan présenté par le Comité) ou de 923 176 dollars des </w:t>
      </w:r>
      <w:r w:rsidRPr="00B84D32">
        <w:rPr>
          <w:rFonts w:cs="Arial"/>
          <w:lang w:val="fr-FR"/>
        </w:rPr>
        <w:t>É</w:t>
      </w:r>
      <w:r w:rsidRPr="00B84D32">
        <w:rPr>
          <w:lang w:val="fr-FR"/>
        </w:rPr>
        <w:t>tats-Unis (An</w:t>
      </w:r>
      <w:r w:rsidR="007456A1">
        <w:rPr>
          <w:lang w:val="fr-FR"/>
        </w:rPr>
        <w:t>nexe II: Plan alternatif propos</w:t>
      </w:r>
      <w:r w:rsidRPr="00B84D32">
        <w:rPr>
          <w:lang w:val="fr-FR"/>
        </w:rPr>
        <w:t>é par le Secrétariat).</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 xml:space="preserve">Le Secrétariat souhaite maintenant demander </w:t>
      </w:r>
      <w:r w:rsidR="00764690" w:rsidRPr="00B84D32">
        <w:rPr>
          <w:lang w:val="fr-FR"/>
        </w:rPr>
        <w:t>au Bureau d</w:t>
      </w:r>
      <w:r w:rsidR="00B84D32">
        <w:rPr>
          <w:lang w:val="fr-FR"/>
        </w:rPr>
        <w:t>’</w:t>
      </w:r>
      <w:r w:rsidR="00764690" w:rsidRPr="00B84D32">
        <w:rPr>
          <w:lang w:val="fr-FR"/>
        </w:rPr>
        <w:t>approuver une proposition spécifique, annexée au</w:t>
      </w:r>
      <w:r w:rsidRPr="00B84D32">
        <w:rPr>
          <w:lang w:val="fr-FR"/>
        </w:rPr>
        <w:t xml:space="preserve"> présent document et décrite dans la partie III ci-dessous, </w:t>
      </w:r>
      <w:r w:rsidR="00764690" w:rsidRPr="00B84D32">
        <w:rPr>
          <w:lang w:val="fr-FR"/>
        </w:rPr>
        <w:t>d</w:t>
      </w:r>
      <w:r w:rsidR="00B84D32">
        <w:rPr>
          <w:lang w:val="fr-FR"/>
        </w:rPr>
        <w:t>’</w:t>
      </w:r>
      <w:r w:rsidRPr="00B84D32">
        <w:rPr>
          <w:lang w:val="fr-FR"/>
        </w:rPr>
        <w:t>utiliser un montant de 594 000 dollars des États-Unis pour la période débutant au 1</w:t>
      </w:r>
      <w:r w:rsidRPr="00B84D32">
        <w:rPr>
          <w:vertAlign w:val="superscript"/>
          <w:lang w:val="fr-FR"/>
        </w:rPr>
        <w:t>er</w:t>
      </w:r>
      <w:r w:rsidRPr="00B84D32">
        <w:rPr>
          <w:lang w:val="fr-FR"/>
        </w:rPr>
        <w:t> juillet 2012. Le Bureau a préalablement approuvé l</w:t>
      </w:r>
      <w:r w:rsidR="00B84D32">
        <w:rPr>
          <w:lang w:val="fr-FR"/>
        </w:rPr>
        <w:t>’</w:t>
      </w:r>
      <w:r w:rsidRPr="00B84D32">
        <w:rPr>
          <w:lang w:val="fr-FR"/>
        </w:rPr>
        <w:t>utilisation d</w:t>
      </w:r>
      <w:r w:rsidR="00B84D32">
        <w:rPr>
          <w:lang w:val="fr-FR"/>
        </w:rPr>
        <w:t>’</w:t>
      </w:r>
      <w:r w:rsidRPr="00B84D32">
        <w:rPr>
          <w:lang w:val="fr-FR"/>
        </w:rPr>
        <w:t>un montant de 210 663 dollars des États-Unis pour la période du 1</w:t>
      </w:r>
      <w:r w:rsidRPr="00B84D32">
        <w:rPr>
          <w:vertAlign w:val="superscript"/>
          <w:lang w:val="fr-FR"/>
        </w:rPr>
        <w:t>er</w:t>
      </w:r>
      <w:r w:rsidRPr="00B84D32">
        <w:rPr>
          <w:lang w:val="fr-FR"/>
        </w:rPr>
        <w:t> janvier au 30 juin 2012 (voir sa décision 6.COM 2.BUR 4 du 24 novembre 2011); ces fonds ont presque été épuisés. Le Secrétariat reviendra vers le Bureau à la mi-2013 avec un</w:t>
      </w:r>
      <w:r w:rsidR="007456A1">
        <w:rPr>
          <w:lang w:val="fr-FR"/>
        </w:rPr>
        <w:t>e proposition de plan de dépenses</w:t>
      </w:r>
      <w:r w:rsidRPr="00B84D32">
        <w:rPr>
          <w:lang w:val="fr-FR"/>
        </w:rPr>
        <w:t xml:space="preserve"> pour le solde restant au cours de l</w:t>
      </w:r>
      <w:r w:rsidR="00B84D32">
        <w:rPr>
          <w:lang w:val="fr-FR"/>
        </w:rPr>
        <w:t>’</w:t>
      </w:r>
      <w:r w:rsidRPr="00B84D32">
        <w:rPr>
          <w:lang w:val="fr-FR"/>
        </w:rPr>
        <w:t>exercice biennal au titre de cette ligne du Plan d</w:t>
      </w:r>
      <w:r w:rsidR="00B84D32">
        <w:rPr>
          <w:lang w:val="fr-FR"/>
        </w:rPr>
        <w:t>’</w:t>
      </w:r>
      <w:r w:rsidRPr="00B84D32">
        <w:rPr>
          <w:lang w:val="fr-FR"/>
        </w:rPr>
        <w:t>utilisation des ressources du Fonds. Les 594 000 dollars des États-Unis représentent donc 54% de l</w:t>
      </w:r>
      <w:r w:rsidR="00B84D32">
        <w:rPr>
          <w:lang w:val="fr-FR"/>
        </w:rPr>
        <w:t>’</w:t>
      </w:r>
      <w:r w:rsidRPr="00B84D32">
        <w:rPr>
          <w:lang w:val="fr-FR"/>
        </w:rPr>
        <w:t>allocation totale pour l</w:t>
      </w:r>
      <w:r w:rsidR="00B84D32">
        <w:rPr>
          <w:lang w:val="fr-FR"/>
        </w:rPr>
        <w:t>’</w:t>
      </w:r>
      <w:r w:rsidRPr="00B84D32">
        <w:rPr>
          <w:lang w:val="fr-FR"/>
        </w:rPr>
        <w:t>exercice biennal, selon la proposition du Comité, ou bien 64% de l</w:t>
      </w:r>
      <w:r w:rsidR="00B84D32">
        <w:rPr>
          <w:lang w:val="fr-FR"/>
        </w:rPr>
        <w:t>’</w:t>
      </w:r>
      <w:r w:rsidRPr="00B84D32">
        <w:rPr>
          <w:lang w:val="fr-FR"/>
        </w:rPr>
        <w:t>allocation totale pour l</w:t>
      </w:r>
      <w:r w:rsidR="00B84D32">
        <w:rPr>
          <w:lang w:val="fr-FR"/>
        </w:rPr>
        <w:t>’</w:t>
      </w:r>
      <w:r w:rsidRPr="00B84D32">
        <w:rPr>
          <w:lang w:val="fr-FR"/>
        </w:rPr>
        <w:t>exercice biennal selon la proposition alternative du Secrétariat.</w:t>
      </w:r>
    </w:p>
    <w:p w:rsidR="002D01C4" w:rsidRPr="00B84D32" w:rsidRDefault="0010242E" w:rsidP="00B84D32">
      <w:pPr>
        <w:pStyle w:val="Paragraph"/>
        <w:numPr>
          <w:ilvl w:val="0"/>
          <w:numId w:val="33"/>
        </w:numPr>
        <w:ind w:left="567"/>
        <w:rPr>
          <w:b/>
          <w:lang w:val="fr-FR"/>
        </w:rPr>
      </w:pPr>
      <w:r w:rsidRPr="00B84D32">
        <w:rPr>
          <w:b/>
          <w:lang w:val="fr-FR"/>
        </w:rPr>
        <w:t>RÉSULTATS DES DÉPENSES ANTÉRIEURES POUR LES « AUTRES FONCTIONS DU COMITÉ »</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Comme indiqué dans le document ITH/12/4.GA/INF.7.1, près de 90% des fonds alloués par l</w:t>
      </w:r>
      <w:r w:rsidR="00B84D32">
        <w:rPr>
          <w:lang w:val="fr-FR"/>
        </w:rPr>
        <w:t>’</w:t>
      </w:r>
      <w:r w:rsidRPr="00B84D32">
        <w:rPr>
          <w:lang w:val="fr-FR"/>
        </w:rPr>
        <w:t>Assemblée générale aux « autres fonctions du Comité » pour la période du 1</w:t>
      </w:r>
      <w:r w:rsidRPr="00B84D32">
        <w:rPr>
          <w:vertAlign w:val="superscript"/>
          <w:lang w:val="fr-FR"/>
        </w:rPr>
        <w:t>er</w:t>
      </w:r>
      <w:r w:rsidRPr="00B84D32">
        <w:rPr>
          <w:lang w:val="fr-FR"/>
        </w:rPr>
        <w:t> janvier 2010 au 31 décembre 2011 ont été dépensés, reflétant le taux d</w:t>
      </w:r>
      <w:r w:rsidR="00B84D32">
        <w:rPr>
          <w:lang w:val="fr-FR"/>
        </w:rPr>
        <w:t>’</w:t>
      </w:r>
      <w:r w:rsidRPr="00B84D32">
        <w:rPr>
          <w:lang w:val="fr-FR"/>
        </w:rPr>
        <w:t>exécution le plus élevé de toutes les lignes budgétaires du Plan d</w:t>
      </w:r>
      <w:r w:rsidR="00B84D32">
        <w:rPr>
          <w:lang w:val="fr-FR"/>
        </w:rPr>
        <w:t>’</w:t>
      </w:r>
      <w:r w:rsidRPr="00B84D32">
        <w:rPr>
          <w:lang w:val="fr-FR"/>
        </w:rPr>
        <w:t xml:space="preserve">utilisation des ressources du Fonds pour 2010-2011. Les trois quarts des ressources ont servi au développement des </w:t>
      </w:r>
      <w:r w:rsidR="00764690" w:rsidRPr="00B84D32">
        <w:rPr>
          <w:lang w:val="fr-FR"/>
        </w:rPr>
        <w:t xml:space="preserve">supports </w:t>
      </w:r>
      <w:r w:rsidRPr="00B84D32">
        <w:rPr>
          <w:lang w:val="fr-FR"/>
        </w:rPr>
        <w:t>de renforcement de capacités et à la mise en œuvre de la première phase de la stratégie globale de renforcement des capacités, y compris l</w:t>
      </w:r>
      <w:r w:rsidR="00B84D32">
        <w:rPr>
          <w:lang w:val="fr-FR"/>
        </w:rPr>
        <w:t>’</w:t>
      </w:r>
      <w:r w:rsidRPr="00B84D32">
        <w:rPr>
          <w:lang w:val="fr-FR"/>
        </w:rPr>
        <w:t>organisation d</w:t>
      </w:r>
      <w:r w:rsidR="00B84D32">
        <w:rPr>
          <w:lang w:val="fr-FR"/>
        </w:rPr>
        <w:t>’</w:t>
      </w:r>
      <w:r w:rsidRPr="00B84D32">
        <w:rPr>
          <w:lang w:val="fr-FR"/>
        </w:rPr>
        <w:t>une série de six ateliers régionaux de formation des formateurs, afin de dispenser à un réseau de soixante-cinq experts de toutes les régions une formation intensive sur ces</w:t>
      </w:r>
      <w:r w:rsidR="00764690" w:rsidRPr="00B84D32">
        <w:rPr>
          <w:lang w:val="fr-FR"/>
        </w:rPr>
        <w:t xml:space="preserve"> supports</w:t>
      </w:r>
      <w:r w:rsidRPr="00B84D32">
        <w:rPr>
          <w:lang w:val="fr-FR"/>
        </w:rPr>
        <w:t>. Deux ateliers de renforcement des capacités régionaux ont été organisés pour les ONG africaines et latino-américaines actives dans le domaine de la sauvegarde du patrimoine culturel immatériel. Le quart restant des ressources a soutenu des activités de sensibilisation, de partage de l</w:t>
      </w:r>
      <w:r w:rsidR="00B84D32">
        <w:rPr>
          <w:lang w:val="fr-FR"/>
        </w:rPr>
        <w:t>’</w:t>
      </w:r>
      <w:r w:rsidRPr="00B84D32">
        <w:rPr>
          <w:lang w:val="fr-FR"/>
        </w:rPr>
        <w:t xml:space="preserve">information et de gestion des connaissances. Les documents ITH/10/5.COM 2.BUR/4 Rev et </w:t>
      </w:r>
      <w:r w:rsidRPr="00B84D32">
        <w:rPr>
          <w:lang w:val="fr-FR"/>
        </w:rPr>
        <w:lastRenderedPageBreak/>
        <w:t>ITH/11/6.COM 2.BUR/4 contiennent des rapports détaillés sur l</w:t>
      </w:r>
      <w:r w:rsidR="00B84D32">
        <w:rPr>
          <w:lang w:val="fr-FR"/>
        </w:rPr>
        <w:t>’</w:t>
      </w:r>
      <w:r w:rsidRPr="00B84D32">
        <w:rPr>
          <w:lang w:val="fr-FR"/>
        </w:rPr>
        <w:t>état d</w:t>
      </w:r>
      <w:r w:rsidR="00B84D32">
        <w:rPr>
          <w:lang w:val="fr-FR"/>
        </w:rPr>
        <w:t>’</w:t>
      </w:r>
      <w:r w:rsidRPr="00B84D32">
        <w:rPr>
          <w:lang w:val="fr-FR"/>
        </w:rPr>
        <w:t>avancement de la mise en œuvre et l</w:t>
      </w:r>
      <w:r w:rsidR="00B84D32">
        <w:rPr>
          <w:lang w:val="fr-FR"/>
        </w:rPr>
        <w:t>’</w:t>
      </w:r>
      <w:r w:rsidRPr="00B84D32">
        <w:rPr>
          <w:lang w:val="fr-FR"/>
        </w:rPr>
        <w:t>utilisation des fonds.</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À ce jour, plus de 90% des fonds alloués aux « autres fonctions du Comité » pour la période du 1</w:t>
      </w:r>
      <w:r w:rsidRPr="00B84D32">
        <w:rPr>
          <w:vertAlign w:val="superscript"/>
          <w:lang w:val="fr-FR"/>
        </w:rPr>
        <w:t>er </w:t>
      </w:r>
      <w:r w:rsidRPr="00B84D32">
        <w:rPr>
          <w:lang w:val="fr-FR"/>
        </w:rPr>
        <w:t xml:space="preserve">janvier au 30 juin 2012 ont également été engagés ou dépensés selon le plan approuvé dans la décision 6.COM 2.BUR 4. </w:t>
      </w:r>
    </w:p>
    <w:p w:rsidR="002D01C4" w:rsidRPr="00B84D32" w:rsidRDefault="0010242E" w:rsidP="00B84D32">
      <w:pPr>
        <w:pStyle w:val="Marge"/>
        <w:numPr>
          <w:ilvl w:val="1"/>
          <w:numId w:val="31"/>
        </w:numPr>
        <w:tabs>
          <w:tab w:val="clear" w:pos="567"/>
        </w:tabs>
        <w:spacing w:before="240"/>
        <w:rPr>
          <w:lang w:val="fr-FR"/>
        </w:rPr>
      </w:pPr>
      <w:r w:rsidRPr="00B84D32">
        <w:rPr>
          <w:lang w:val="fr-FR"/>
        </w:rPr>
        <w:t>S</w:t>
      </w:r>
      <w:r w:rsidR="00B84D32">
        <w:rPr>
          <w:lang w:val="fr-FR"/>
        </w:rPr>
        <w:t>’</w:t>
      </w:r>
      <w:r w:rsidRPr="00B84D32">
        <w:rPr>
          <w:lang w:val="fr-FR"/>
        </w:rPr>
        <w:t>agissant des quatre domaines prioritaires pour le renforcement des capacités (ratification, mise en œuvre de la Convention au niveau national, élaboration d</w:t>
      </w:r>
      <w:r w:rsidR="00B84D32">
        <w:rPr>
          <w:lang w:val="fr-FR"/>
        </w:rPr>
        <w:t>’</w:t>
      </w:r>
      <w:r w:rsidRPr="00B84D32">
        <w:rPr>
          <w:lang w:val="fr-FR"/>
        </w:rPr>
        <w:t xml:space="preserve">inventaires avec la participation des communautés, candidatures à la Liste de sauvegarde urgente), le développement de contenus est terminé en anglais et une grande partie des </w:t>
      </w:r>
      <w:r w:rsidR="00764690" w:rsidRPr="00B84D32">
        <w:rPr>
          <w:lang w:val="fr-FR"/>
        </w:rPr>
        <w:t>supports a déjà été traduite</w:t>
      </w:r>
      <w:r w:rsidRPr="00B84D32">
        <w:rPr>
          <w:lang w:val="fr-FR"/>
        </w:rPr>
        <w:t xml:space="preserve"> en français. (Des traductions supplémentaires en arabe, portugais, russe et espagnol sont réalisées dans le cadre de projets renforcement des capacités financés p</w:t>
      </w:r>
      <w:r w:rsidR="007456A1">
        <w:rPr>
          <w:lang w:val="fr-FR"/>
        </w:rPr>
        <w:t>ar des sources extrabudgétaires</w:t>
      </w:r>
      <w:r w:rsidRPr="00B84D32">
        <w:rPr>
          <w:lang w:val="fr-FR"/>
        </w:rPr>
        <w:t>). Les efforts se poursuivent pour consolider et élargir le réseau de facilitateurs formés en 2011, qui mènent actuellement des ateliers de renforcement des capacités sur les thèmes prioritaires dans le monde entier. En avril 2012, l</w:t>
      </w:r>
      <w:r w:rsidR="00B84D32">
        <w:rPr>
          <w:lang w:val="fr-FR"/>
        </w:rPr>
        <w:t>’</w:t>
      </w:r>
      <w:r w:rsidRPr="00B84D32">
        <w:rPr>
          <w:lang w:val="fr-FR"/>
        </w:rPr>
        <w:t>utilisation de ces ressources a permis de former le personnel de l</w:t>
      </w:r>
      <w:r w:rsidR="00B84D32">
        <w:rPr>
          <w:lang w:val="fr-FR"/>
        </w:rPr>
        <w:t>’</w:t>
      </w:r>
      <w:r w:rsidRPr="00B84D32">
        <w:rPr>
          <w:lang w:val="fr-FR"/>
        </w:rPr>
        <w:t>École du patrimoine africain (EPA) au Bénin aux principaux concepts et mécanismes de la Convention, ainsi que plusieurs professeurs d</w:t>
      </w:r>
      <w:r w:rsidR="00B84D32">
        <w:rPr>
          <w:lang w:val="fr-FR"/>
        </w:rPr>
        <w:t>’</w:t>
      </w:r>
      <w:r w:rsidRPr="00B84D32">
        <w:rPr>
          <w:lang w:val="fr-FR"/>
        </w:rPr>
        <w:t xml:space="preserve">universités africaines dans le domaine du patrimoine, en étroite coopération avec le Centre pour le développement du patrimoine en Afrique (CHDA). </w:t>
      </w:r>
    </w:p>
    <w:p w:rsidR="002D01C4" w:rsidRPr="00B84D32" w:rsidRDefault="0010242E" w:rsidP="00B84D32">
      <w:pPr>
        <w:pStyle w:val="Marge"/>
        <w:numPr>
          <w:ilvl w:val="1"/>
          <w:numId w:val="31"/>
        </w:numPr>
        <w:tabs>
          <w:tab w:val="clear" w:pos="567"/>
        </w:tabs>
        <w:spacing w:before="240"/>
        <w:rPr>
          <w:lang w:val="fr-FR"/>
        </w:rPr>
      </w:pPr>
      <w:r w:rsidRPr="00B84D32">
        <w:rPr>
          <w:lang w:val="fr-FR"/>
        </w:rPr>
        <w:t>Le paragraphe 118 des Directives opérationnelles dispose que « </w:t>
      </w:r>
      <w:r w:rsidRPr="00B84D32">
        <w:rPr>
          <w:rFonts w:cs="Arial"/>
          <w:szCs w:val="22"/>
          <w:lang w:val="fr-FR"/>
        </w:rPr>
        <w:t>Le Comité tient à jour et publie chaque année la Liste du patrimoine culturel immatériel nécessitant une sauvegarde urgente, la Liste représentative du patrimoine culturel immatériel de l</w:t>
      </w:r>
      <w:r w:rsidR="00B84D32">
        <w:rPr>
          <w:rFonts w:cs="Arial"/>
          <w:szCs w:val="22"/>
          <w:lang w:val="fr-FR"/>
        </w:rPr>
        <w:t>’</w:t>
      </w:r>
      <w:r w:rsidRPr="00B84D32">
        <w:rPr>
          <w:rFonts w:cs="Arial"/>
          <w:szCs w:val="22"/>
          <w:lang w:val="fr-FR"/>
        </w:rPr>
        <w:t xml:space="preserve">humanité et un Registre de programmes, projets et activités reflétant le mieux les principes et objectifs de la Convention ». </w:t>
      </w:r>
      <w:r w:rsidRPr="00B84D32">
        <w:rPr>
          <w:lang w:val="fr-FR"/>
        </w:rPr>
        <w:t xml:space="preserve">Le Comité a publié un dépliant en anglais et en français sur les éléments inscrits sur la Liste représentative et la Liste de sauvegarde urgente et les meilleures pratiques de sauvegarde sélectionnées par le Comité en 2011. Il a également publié en format électronique des brochures sur la Liste représentative, la Liste de sauvegarde urgente ainsi que sur le Registre des meilleures pratiques des années 2010 et 2011. Le Secrétariat travaille en étroite collaboration avec une organisation non gouvernementale du Brésil pour produire des </w:t>
      </w:r>
      <w:r w:rsidR="00764690" w:rsidRPr="00B84D32">
        <w:rPr>
          <w:lang w:val="fr-FR"/>
        </w:rPr>
        <w:t xml:space="preserve">supports </w:t>
      </w:r>
      <w:r w:rsidRPr="00B84D32">
        <w:rPr>
          <w:lang w:val="fr-FR"/>
        </w:rPr>
        <w:t>d</w:t>
      </w:r>
      <w:r w:rsidR="00B84D32">
        <w:rPr>
          <w:lang w:val="fr-FR"/>
        </w:rPr>
        <w:t>’</w:t>
      </w:r>
      <w:r w:rsidRPr="00B84D32">
        <w:rPr>
          <w:lang w:val="fr-FR"/>
        </w:rPr>
        <w:t xml:space="preserve">information sur le Musée Vivant du Fandango qui a été sélectionné par le Comité comme meilleure pratique de sauvegarde en novembre 2011. </w:t>
      </w:r>
    </w:p>
    <w:p w:rsidR="002D01C4" w:rsidRPr="00B84D32" w:rsidRDefault="0010242E" w:rsidP="00B84D32">
      <w:pPr>
        <w:pStyle w:val="Marge"/>
        <w:numPr>
          <w:ilvl w:val="1"/>
          <w:numId w:val="31"/>
        </w:numPr>
        <w:tabs>
          <w:tab w:val="clear" w:pos="567"/>
        </w:tabs>
        <w:spacing w:before="240"/>
        <w:rPr>
          <w:lang w:val="fr-FR"/>
        </w:rPr>
      </w:pPr>
      <w:r w:rsidRPr="00B84D32">
        <w:rPr>
          <w:lang w:val="fr-FR"/>
        </w:rPr>
        <w:t xml:space="preserve"> En utilisant les fonds alloués à la gestion des connaissances, le Secrétariat a considérablement amélioré le système à différents niveaux : les fonctions de navigation de base de l</w:t>
      </w:r>
      <w:r w:rsidR="00B84D32">
        <w:rPr>
          <w:lang w:val="fr-FR"/>
        </w:rPr>
        <w:t>’</w:t>
      </w:r>
      <w:r w:rsidRPr="00B84D32">
        <w:rPr>
          <w:lang w:val="fr-FR"/>
        </w:rPr>
        <w:t>interface interne ont été mises à jour pour une gestion améliorée des données par le Secrétariat, un outil en ligne pour l</w:t>
      </w:r>
      <w:r w:rsidR="00B84D32">
        <w:rPr>
          <w:lang w:val="fr-FR"/>
        </w:rPr>
        <w:t>’</w:t>
      </w:r>
      <w:r w:rsidRPr="00B84D32">
        <w:rPr>
          <w:lang w:val="fr-FR"/>
        </w:rPr>
        <w:t>inscription des participants aux réunions statutaires a été lancé avec succès en mai 2012, améliorant ainsi les fonctionnalités pour près de 500 participants; une interface web comprenant un calendrier en ligne et un répertoire des manifestations organisées au sein des États à l</w:t>
      </w:r>
      <w:r w:rsidR="00B84D32">
        <w:rPr>
          <w:lang w:val="fr-FR"/>
        </w:rPr>
        <w:t>’</w:t>
      </w:r>
      <w:r w:rsidRPr="00B84D32">
        <w:rPr>
          <w:lang w:val="fr-FR"/>
        </w:rPr>
        <w:t>occasion du 10</w:t>
      </w:r>
      <w:r w:rsidRPr="00B84D32">
        <w:rPr>
          <w:vertAlign w:val="superscript"/>
          <w:lang w:val="fr-FR"/>
        </w:rPr>
        <w:t>ème</w:t>
      </w:r>
      <w:r w:rsidRPr="00B84D32">
        <w:rPr>
          <w:lang w:val="fr-FR"/>
        </w:rPr>
        <w:t xml:space="preserve"> anniversaire de la Convention a été développée. La gestion des demandes d</w:t>
      </w:r>
      <w:r w:rsidR="00B84D32">
        <w:rPr>
          <w:lang w:val="fr-FR"/>
        </w:rPr>
        <w:t>’</w:t>
      </w:r>
      <w:r w:rsidRPr="00B84D32">
        <w:rPr>
          <w:lang w:val="fr-FR"/>
        </w:rPr>
        <w:t>utilisation de l</w:t>
      </w:r>
      <w:r w:rsidR="00B84D32">
        <w:rPr>
          <w:lang w:val="fr-FR"/>
        </w:rPr>
        <w:t>’</w:t>
      </w:r>
      <w:r w:rsidRPr="00B84D32">
        <w:rPr>
          <w:lang w:val="fr-FR"/>
        </w:rPr>
        <w:t xml:space="preserve">emblème du PCI sera automatisée dans les prochaines semaines, ce qui facilitera grandement la </w:t>
      </w:r>
      <w:r w:rsidR="00CB2AE5" w:rsidRPr="00B84D32">
        <w:rPr>
          <w:lang w:val="fr-FR"/>
        </w:rPr>
        <w:t xml:space="preserve">soumission </w:t>
      </w:r>
      <w:r w:rsidRPr="00B84D32">
        <w:rPr>
          <w:lang w:val="fr-FR"/>
        </w:rPr>
        <w:t xml:space="preserve">et le traitement des demandes </w:t>
      </w:r>
      <w:r w:rsidR="00CB2AE5" w:rsidRPr="00B84D32">
        <w:rPr>
          <w:lang w:val="fr-FR"/>
        </w:rPr>
        <w:t>pa</w:t>
      </w:r>
      <w:r w:rsidR="007456A1">
        <w:rPr>
          <w:lang w:val="fr-FR"/>
        </w:rPr>
        <w:t>r les États p</w:t>
      </w:r>
      <w:r w:rsidRPr="00B84D32">
        <w:rPr>
          <w:lang w:val="fr-FR"/>
        </w:rPr>
        <w:t>arties et le Secrétariat.</w:t>
      </w:r>
    </w:p>
    <w:p w:rsidR="002D01C4" w:rsidRPr="00B84D32" w:rsidRDefault="0010242E" w:rsidP="00B84D32">
      <w:pPr>
        <w:pStyle w:val="Paragraph"/>
        <w:numPr>
          <w:ilvl w:val="0"/>
          <w:numId w:val="33"/>
        </w:numPr>
        <w:ind w:left="567"/>
        <w:rPr>
          <w:b/>
          <w:lang w:val="fr-FR"/>
        </w:rPr>
      </w:pPr>
      <w:r w:rsidRPr="00B84D32">
        <w:rPr>
          <w:b/>
          <w:lang w:val="fr-FR"/>
        </w:rPr>
        <w:t>DÉPENSES PROPOSÉES POUR LES « AUTRES FONCTIONS DU COMITÉ » À PARTIR DU 1</w:t>
      </w:r>
      <w:r w:rsidRPr="00B84D32">
        <w:rPr>
          <w:b/>
          <w:vertAlign w:val="superscript"/>
          <w:lang w:val="fr-FR"/>
        </w:rPr>
        <w:t>ER</w:t>
      </w:r>
      <w:r w:rsidRPr="00B84D32">
        <w:rPr>
          <w:b/>
          <w:lang w:val="fr-FR"/>
        </w:rPr>
        <w:t> JUILLET 2012</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Les fonds demandés seraient utilisés à plusieurs fins statutaires (voir annexe), conformes aux Directives opérationnelles, aux résolutions de l</w:t>
      </w:r>
      <w:r w:rsidR="00B84D32">
        <w:rPr>
          <w:lang w:val="fr-FR"/>
        </w:rPr>
        <w:t>’</w:t>
      </w:r>
      <w:r w:rsidRPr="00B84D32">
        <w:rPr>
          <w:lang w:val="fr-FR"/>
        </w:rPr>
        <w:t xml:space="preserve">Assemblée générale et aux décisions du Comité. </w:t>
      </w:r>
      <w:r w:rsidR="00CB2AE5" w:rsidRPr="00B84D32">
        <w:rPr>
          <w:lang w:val="fr-FR"/>
        </w:rPr>
        <w:t xml:space="preserve">La mise en œuvre de la stratégie globale de renforcement des capacités que le Comité a lancée en 2010 restera le principal poste </w:t>
      </w:r>
      <w:r w:rsidR="00B84D32" w:rsidRPr="00B84D32">
        <w:rPr>
          <w:lang w:val="fr-FR"/>
        </w:rPr>
        <w:t>de dépenses</w:t>
      </w:r>
      <w:r w:rsidR="00CB2AE5" w:rsidRPr="00B84D32">
        <w:rPr>
          <w:lang w:val="fr-FR"/>
        </w:rPr>
        <w:t xml:space="preserve"> (43%)</w:t>
      </w:r>
      <w:r w:rsidRPr="00B84D32">
        <w:rPr>
          <w:lang w:val="fr-FR"/>
        </w:rPr>
        <w:t xml:space="preserve">. Le Secrétariat propose également que 28% des fonds soient utilisés pour la publication de </w:t>
      </w:r>
      <w:r w:rsidR="00CB2AE5" w:rsidRPr="00B84D32">
        <w:rPr>
          <w:lang w:val="fr-FR"/>
        </w:rPr>
        <w:t xml:space="preserve">supports </w:t>
      </w:r>
      <w:r w:rsidRPr="00B84D32">
        <w:rPr>
          <w:lang w:val="fr-FR"/>
        </w:rPr>
        <w:t>d</w:t>
      </w:r>
      <w:r w:rsidR="00B84D32">
        <w:rPr>
          <w:lang w:val="fr-FR"/>
        </w:rPr>
        <w:t>’</w:t>
      </w:r>
      <w:r w:rsidRPr="00B84D32">
        <w:rPr>
          <w:lang w:val="fr-FR"/>
        </w:rPr>
        <w:t>information sur la Convention et ses mécanismes, 21% pour l</w:t>
      </w:r>
      <w:r w:rsidR="00B84D32">
        <w:rPr>
          <w:lang w:val="fr-FR"/>
        </w:rPr>
        <w:t>’</w:t>
      </w:r>
      <w:r w:rsidRPr="00B84D32">
        <w:rPr>
          <w:lang w:val="fr-FR"/>
        </w:rPr>
        <w:t>amélioration de la performance du système de gest</w:t>
      </w:r>
      <w:r w:rsidR="007C22F4">
        <w:rPr>
          <w:lang w:val="fr-FR"/>
        </w:rPr>
        <w:t>ion des connaissances et de sa face</w:t>
      </w:r>
      <w:r w:rsidR="00CB2AE5" w:rsidRPr="00B84D32">
        <w:rPr>
          <w:lang w:val="fr-FR"/>
        </w:rPr>
        <w:t xml:space="preserve"> </w:t>
      </w:r>
      <w:r w:rsidR="007C22F4">
        <w:rPr>
          <w:lang w:val="fr-FR"/>
        </w:rPr>
        <w:t>publique</w:t>
      </w:r>
      <w:r w:rsidRPr="00B84D32">
        <w:rPr>
          <w:lang w:val="fr-FR"/>
        </w:rPr>
        <w:t xml:space="preserve">, le site Web du Patrimoine culturel immatériel, et 8% pour le développement de </w:t>
      </w:r>
      <w:r w:rsidR="00CB2AE5" w:rsidRPr="00B84D32">
        <w:rPr>
          <w:lang w:val="fr-FR"/>
        </w:rPr>
        <w:t xml:space="preserve">supports </w:t>
      </w:r>
      <w:r w:rsidRPr="00B84D32">
        <w:rPr>
          <w:lang w:val="fr-FR"/>
        </w:rPr>
        <w:t>d</w:t>
      </w:r>
      <w:r w:rsidR="00B84D32">
        <w:rPr>
          <w:lang w:val="fr-FR"/>
        </w:rPr>
        <w:t>’</w:t>
      </w:r>
      <w:r w:rsidRPr="00B84D32">
        <w:rPr>
          <w:lang w:val="fr-FR"/>
        </w:rPr>
        <w:t xml:space="preserve">information sur les meilleures pratiques de sauvegarde. </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 xml:space="preserve">Suite à la première phase de la stratégie de renforcement des capacités et aux nombreux ateliers qui ont eu lieu dans ce cadre, le plan de dépenses </w:t>
      </w:r>
      <w:r w:rsidR="007456A1">
        <w:rPr>
          <w:lang w:val="fr-FR"/>
        </w:rPr>
        <w:t xml:space="preserve">ici présenté </w:t>
      </w:r>
      <w:r w:rsidRPr="00B84D32">
        <w:rPr>
          <w:lang w:val="fr-FR"/>
        </w:rPr>
        <w:t>(voir l</w:t>
      </w:r>
      <w:r w:rsidR="00B84D32">
        <w:rPr>
          <w:lang w:val="fr-FR"/>
        </w:rPr>
        <w:t>’</w:t>
      </w:r>
      <w:r w:rsidRPr="00B84D32">
        <w:rPr>
          <w:lang w:val="fr-FR"/>
        </w:rPr>
        <w:t xml:space="preserve">annexe, point A.1) demande 65 000 dollars des </w:t>
      </w:r>
      <w:r w:rsidR="00CB2AE5" w:rsidRPr="00B84D32">
        <w:rPr>
          <w:lang w:val="fr-FR"/>
        </w:rPr>
        <w:t>États</w:t>
      </w:r>
      <w:r w:rsidRPr="00B84D32">
        <w:rPr>
          <w:lang w:val="fr-FR"/>
        </w:rPr>
        <w:t>-Unis pour l</w:t>
      </w:r>
      <w:r w:rsidR="00B84D32">
        <w:rPr>
          <w:lang w:val="fr-FR"/>
        </w:rPr>
        <w:t>’</w:t>
      </w:r>
      <w:r w:rsidRPr="00B84D32">
        <w:rPr>
          <w:lang w:val="fr-FR"/>
        </w:rPr>
        <w:t>élaboration de contenus sur d</w:t>
      </w:r>
      <w:r w:rsidR="00B84D32">
        <w:rPr>
          <w:lang w:val="fr-FR"/>
        </w:rPr>
        <w:t>’</w:t>
      </w:r>
      <w:r w:rsidRPr="00B84D32">
        <w:rPr>
          <w:lang w:val="fr-FR"/>
        </w:rPr>
        <w:t>autres sujets dont les bénéficiaires ont fait la demande, à savoir l</w:t>
      </w:r>
      <w:r w:rsidR="00B84D32">
        <w:rPr>
          <w:lang w:val="fr-FR"/>
        </w:rPr>
        <w:t>’</w:t>
      </w:r>
      <w:r w:rsidRPr="00B84D32">
        <w:rPr>
          <w:lang w:val="fr-FR"/>
        </w:rPr>
        <w:t xml:space="preserve">élaboration et la planification de mesures de sauvegarde et les contributions du patrimoine culturel immatériel au développement durable. Un montant supplémentaire de 90 000 dollars des </w:t>
      </w:r>
      <w:r w:rsidR="00CB2AE5" w:rsidRPr="00B84D32">
        <w:rPr>
          <w:lang w:val="fr-FR"/>
        </w:rPr>
        <w:t>États</w:t>
      </w:r>
      <w:r w:rsidRPr="00B84D32">
        <w:rPr>
          <w:lang w:val="fr-FR"/>
        </w:rPr>
        <w:t xml:space="preserve">-Unis est demandé pour la conception graphique et </w:t>
      </w:r>
      <w:r w:rsidR="00CB2AE5" w:rsidRPr="00B84D32">
        <w:rPr>
          <w:lang w:val="fr-FR"/>
        </w:rPr>
        <w:t xml:space="preserve">la </w:t>
      </w:r>
      <w:r w:rsidRPr="00B84D32">
        <w:rPr>
          <w:lang w:val="fr-FR"/>
        </w:rPr>
        <w:t>présentation des programmes de formation existants afin qu</w:t>
      </w:r>
      <w:r w:rsidR="00B84D32">
        <w:rPr>
          <w:lang w:val="fr-FR"/>
        </w:rPr>
        <w:t>’</w:t>
      </w:r>
      <w:r w:rsidRPr="00B84D32">
        <w:rPr>
          <w:lang w:val="fr-FR"/>
        </w:rPr>
        <w:t>ils répondent aux besoins particuliers des facilitateurs autant qu</w:t>
      </w:r>
      <w:r w:rsidR="00B84D32">
        <w:rPr>
          <w:lang w:val="fr-FR"/>
        </w:rPr>
        <w:t>’</w:t>
      </w:r>
      <w:r w:rsidRPr="00B84D32">
        <w:rPr>
          <w:lang w:val="fr-FR"/>
        </w:rPr>
        <w:t>à ceux des participants en termes d</w:t>
      </w:r>
      <w:r w:rsidR="00B84D32">
        <w:rPr>
          <w:lang w:val="fr-FR"/>
        </w:rPr>
        <w:t>’</w:t>
      </w:r>
      <w:r w:rsidRPr="00B84D32">
        <w:rPr>
          <w:lang w:val="fr-FR"/>
        </w:rPr>
        <w:t>efficacité pédagogi</w:t>
      </w:r>
      <w:r w:rsidR="00CB2AE5" w:rsidRPr="00B84D32">
        <w:rPr>
          <w:lang w:val="fr-FR"/>
        </w:rPr>
        <w:t>que, de facilité d</w:t>
      </w:r>
      <w:r w:rsidR="00B84D32">
        <w:rPr>
          <w:lang w:val="fr-FR"/>
        </w:rPr>
        <w:t>’</w:t>
      </w:r>
      <w:r w:rsidR="00CB2AE5" w:rsidRPr="00B84D32">
        <w:rPr>
          <w:lang w:val="fr-FR"/>
        </w:rPr>
        <w:t>emploi</w:t>
      </w:r>
      <w:r w:rsidRPr="00B84D32">
        <w:rPr>
          <w:lang w:val="fr-FR"/>
        </w:rPr>
        <w:t xml:space="preserve"> et de reproduction (annexe, point A.2). </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Maintenant qu</w:t>
      </w:r>
      <w:r w:rsidR="00B84D32">
        <w:rPr>
          <w:lang w:val="fr-FR"/>
        </w:rPr>
        <w:t>’</w:t>
      </w:r>
      <w:r w:rsidRPr="00B84D32">
        <w:rPr>
          <w:lang w:val="fr-FR"/>
        </w:rPr>
        <w:t>un nombre significatif de facilitateurs est activement engagé dans la conduite d</w:t>
      </w:r>
      <w:r w:rsidR="00B84D32">
        <w:rPr>
          <w:lang w:val="fr-FR"/>
        </w:rPr>
        <w:t>’</w:t>
      </w:r>
      <w:r w:rsidRPr="00B84D32">
        <w:rPr>
          <w:lang w:val="fr-FR"/>
        </w:rPr>
        <w:t xml:space="preserve">ateliers de renforcement des capacités, le Secrétariat envisage de les </w:t>
      </w:r>
      <w:r w:rsidR="002D01C4" w:rsidRPr="00B84D32">
        <w:rPr>
          <w:lang w:val="fr-FR"/>
        </w:rPr>
        <w:t xml:space="preserve">rassembler lors </w:t>
      </w:r>
      <w:r w:rsidR="007456A1">
        <w:rPr>
          <w:lang w:val="fr-FR"/>
        </w:rPr>
        <w:t>d’</w:t>
      </w:r>
      <w:r w:rsidRPr="00B84D32">
        <w:rPr>
          <w:lang w:val="fr-FR"/>
        </w:rPr>
        <w:t>une réunion de bilan afin d</w:t>
      </w:r>
      <w:r w:rsidR="00B84D32">
        <w:rPr>
          <w:lang w:val="fr-FR"/>
        </w:rPr>
        <w:t>’</w:t>
      </w:r>
      <w:r w:rsidRPr="00B84D32">
        <w:rPr>
          <w:lang w:val="fr-FR"/>
        </w:rPr>
        <w:t>échanger autour des expériences à ce jour et de formuler des suggestions sur la révision des programmes et sur l</w:t>
      </w:r>
      <w:r w:rsidR="00B84D32">
        <w:rPr>
          <w:lang w:val="fr-FR"/>
        </w:rPr>
        <w:t>’</w:t>
      </w:r>
      <w:r w:rsidRPr="00B84D32">
        <w:rPr>
          <w:lang w:val="fr-FR"/>
        </w:rPr>
        <w:t>efficacité des méthodes de formation. Le centre de catégorie 2 en Chine accueillera un atelier de ce type en 2012. Il est proposé de tenir un deuxième atelier pour l</w:t>
      </w:r>
      <w:r w:rsidR="00B84D32">
        <w:rPr>
          <w:lang w:val="fr-FR"/>
        </w:rPr>
        <w:t>’</w:t>
      </w:r>
      <w:r w:rsidRPr="00B84D32">
        <w:rPr>
          <w:lang w:val="fr-FR"/>
        </w:rPr>
        <w:t>Amérique latine ou l</w:t>
      </w:r>
      <w:r w:rsidR="00B84D32">
        <w:rPr>
          <w:lang w:val="fr-FR"/>
        </w:rPr>
        <w:t>’</w:t>
      </w:r>
      <w:r w:rsidRPr="00B84D32">
        <w:rPr>
          <w:lang w:val="fr-FR"/>
        </w:rPr>
        <w:t xml:space="preserve">Afrique, </w:t>
      </w:r>
      <w:r w:rsidR="00CB2AE5" w:rsidRPr="00B84D32">
        <w:rPr>
          <w:lang w:val="fr-FR"/>
        </w:rPr>
        <w:t>ce qui fournirai</w:t>
      </w:r>
      <w:r w:rsidRPr="00B84D32">
        <w:rPr>
          <w:lang w:val="fr-FR"/>
        </w:rPr>
        <w:t>t une excellente occasion de rafraîchir les connaissances et de s</w:t>
      </w:r>
      <w:r w:rsidR="00B84D32">
        <w:rPr>
          <w:lang w:val="fr-FR"/>
        </w:rPr>
        <w:t>’</w:t>
      </w:r>
      <w:r w:rsidRPr="00B84D32">
        <w:rPr>
          <w:lang w:val="fr-FR"/>
        </w:rPr>
        <w:t>assurer que les facilitateurs restent à jour sur les derniers développements au sein de la Convention. Le Secrétariat propose d</w:t>
      </w:r>
      <w:r w:rsidR="00B84D32">
        <w:rPr>
          <w:lang w:val="fr-FR"/>
        </w:rPr>
        <w:t>’</w:t>
      </w:r>
      <w:r w:rsidRPr="00B84D32">
        <w:rPr>
          <w:lang w:val="fr-FR"/>
        </w:rPr>
        <w:t>allouer 80</w:t>
      </w:r>
      <w:r w:rsidR="0032293E" w:rsidRPr="00B84D32">
        <w:rPr>
          <w:lang w:val="fr-FR"/>
        </w:rPr>
        <w:t> </w:t>
      </w:r>
      <w:r w:rsidRPr="00B84D32">
        <w:rPr>
          <w:lang w:val="fr-FR"/>
        </w:rPr>
        <w:t>000</w:t>
      </w:r>
      <w:r w:rsidR="0032293E" w:rsidRPr="00B84D32">
        <w:rPr>
          <w:lang w:val="fr-FR"/>
        </w:rPr>
        <w:t xml:space="preserve"> dollars</w:t>
      </w:r>
      <w:r w:rsidRPr="00B84D32">
        <w:rPr>
          <w:lang w:val="fr-FR"/>
        </w:rPr>
        <w:t xml:space="preserve"> des </w:t>
      </w:r>
      <w:r w:rsidR="00CB2AE5" w:rsidRPr="00B84D32">
        <w:rPr>
          <w:lang w:val="fr-FR"/>
        </w:rPr>
        <w:t>États</w:t>
      </w:r>
      <w:r w:rsidRPr="00B84D32">
        <w:rPr>
          <w:lang w:val="fr-FR"/>
        </w:rPr>
        <w:t xml:space="preserve">-Unis à cette fin (annexe, point A.3). </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Profitant de l</w:t>
      </w:r>
      <w:r w:rsidR="00B84D32">
        <w:rPr>
          <w:lang w:val="fr-FR"/>
        </w:rPr>
        <w:t>’</w:t>
      </w:r>
      <w:r w:rsidRPr="00B84D32">
        <w:rPr>
          <w:lang w:val="fr-FR"/>
        </w:rPr>
        <w:t>occasion de la septième session du Comité qui se tiendra à Grenade du 25 au 30 novembre 2012, le Secrétariat propose d</w:t>
      </w:r>
      <w:r w:rsidR="00B84D32">
        <w:rPr>
          <w:lang w:val="fr-FR"/>
        </w:rPr>
        <w:t>’</w:t>
      </w:r>
      <w:r w:rsidRPr="00B84D32">
        <w:rPr>
          <w:lang w:val="fr-FR"/>
        </w:rPr>
        <w:t>organiser un forum des jeunes qui rassemblera de 25 à 30 participants d</w:t>
      </w:r>
      <w:r w:rsidR="00B84D32">
        <w:rPr>
          <w:lang w:val="fr-FR"/>
        </w:rPr>
        <w:t>’</w:t>
      </w:r>
      <w:r w:rsidRPr="00B84D32">
        <w:rPr>
          <w:lang w:val="fr-FR"/>
        </w:rPr>
        <w:t>organisations de jeunesse actives dans le domaine de la culture, venant de différents PEID des Caraïbes. Le forum introduira les jeunes aux concepts fondamentaux de la Convention et leur permettra d</w:t>
      </w:r>
      <w:r w:rsidR="00B84D32">
        <w:rPr>
          <w:lang w:val="fr-FR"/>
        </w:rPr>
        <w:t>’</w:t>
      </w:r>
      <w:r w:rsidRPr="00B84D32">
        <w:rPr>
          <w:lang w:val="fr-FR"/>
        </w:rPr>
        <w:t>acquérir une compréhension substantielle de ses mécanismes et de leur rôle dans la sauvegarde du patrimoine culturel immatériel, renforçant ainsi leurs capacités à jouer le rôle crucial que la Convention réserve à la jeunesse. Après le forum de trois jours, les participants auront l</w:t>
      </w:r>
      <w:r w:rsidR="00B84D32">
        <w:rPr>
          <w:lang w:val="fr-FR"/>
        </w:rPr>
        <w:t>’</w:t>
      </w:r>
      <w:r w:rsidRPr="00B84D32">
        <w:rPr>
          <w:lang w:val="fr-FR"/>
        </w:rPr>
        <w:t>occasion de participer à la session du Comité en tant qu</w:t>
      </w:r>
      <w:r w:rsidR="00B84D32">
        <w:rPr>
          <w:lang w:val="fr-FR"/>
        </w:rPr>
        <w:t>’</w:t>
      </w:r>
      <w:r w:rsidRPr="00B84D32">
        <w:rPr>
          <w:lang w:val="fr-FR"/>
        </w:rPr>
        <w:t xml:space="preserve">assistants et observateurs. Le Secrétariat demande 20 000 dollars des </w:t>
      </w:r>
      <w:r w:rsidR="00CB2AE5" w:rsidRPr="00B84D32">
        <w:rPr>
          <w:lang w:val="fr-FR"/>
        </w:rPr>
        <w:t>États</w:t>
      </w:r>
      <w:r w:rsidRPr="00B84D32">
        <w:rPr>
          <w:lang w:val="fr-FR"/>
        </w:rPr>
        <w:t>-Unis du Fonds du patrimoine culturel immatériel (annexe, point A.4) afin de compléter la généreuse contribution de la Bulgarie.</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Comme le précise le paragraphe 42 des Directives opérationnelles, « </w:t>
      </w:r>
      <w:r w:rsidRPr="00B84D32">
        <w:rPr>
          <w:rFonts w:cs="Arial"/>
          <w:szCs w:val="22"/>
          <w:lang w:val="fr-FR"/>
        </w:rPr>
        <w:t>le Comité encourage la recherche, la documentation, la publication et la diffusion » de programmes, projets et activités nationaux, sous-régionaux et régionaux qu</w:t>
      </w:r>
      <w:r w:rsidR="00B84D32">
        <w:rPr>
          <w:rFonts w:cs="Arial"/>
          <w:szCs w:val="22"/>
          <w:lang w:val="fr-FR"/>
        </w:rPr>
        <w:t>’</w:t>
      </w:r>
      <w:r w:rsidRPr="00B84D32">
        <w:rPr>
          <w:rFonts w:cs="Arial"/>
          <w:szCs w:val="22"/>
          <w:lang w:val="fr-FR"/>
        </w:rPr>
        <w:t xml:space="preserve">il considère </w:t>
      </w:r>
      <w:r w:rsidRPr="00B84D32">
        <w:rPr>
          <w:lang w:val="fr-FR"/>
        </w:rPr>
        <w:t>comme reflétant le mieux les principes et les objectifs de la présente Convention. Le Secrétariat propose d</w:t>
      </w:r>
      <w:r w:rsidR="00B84D32">
        <w:rPr>
          <w:lang w:val="fr-FR"/>
        </w:rPr>
        <w:t>’</w:t>
      </w:r>
      <w:r w:rsidRPr="00B84D32">
        <w:rPr>
          <w:lang w:val="fr-FR"/>
        </w:rPr>
        <w:t xml:space="preserve">allouer 50 000 dollars des États-Unis pour développer des </w:t>
      </w:r>
      <w:r w:rsidR="00CB2AE5" w:rsidRPr="00B84D32">
        <w:rPr>
          <w:lang w:val="fr-FR"/>
        </w:rPr>
        <w:t>support</w:t>
      </w:r>
      <w:r w:rsidRPr="00B84D32">
        <w:rPr>
          <w:lang w:val="fr-FR"/>
        </w:rPr>
        <w:t>s d</w:t>
      </w:r>
      <w:r w:rsidR="00B84D32">
        <w:rPr>
          <w:lang w:val="fr-FR"/>
        </w:rPr>
        <w:t>’</w:t>
      </w:r>
      <w:r w:rsidRPr="00B84D32">
        <w:rPr>
          <w:lang w:val="fr-FR"/>
        </w:rPr>
        <w:t>information sur deux ou trois meilleures pratiques parmi celles qui ont déjà été sélectionnées par le Comité ou qui seront sélectionnées lors de sa septième session, en novembre 2012 (annexe, point B). Ces activités visent à encourager la recherche sur les mesures de sauvegarde incluses</w:t>
      </w:r>
      <w:r w:rsidR="00CB2AE5" w:rsidRPr="00B84D32">
        <w:rPr>
          <w:lang w:val="fr-FR"/>
        </w:rPr>
        <w:t xml:space="preserve"> dans ces programmes ainsi qu</w:t>
      </w:r>
      <w:r w:rsidR="00B84D32">
        <w:rPr>
          <w:lang w:val="fr-FR"/>
        </w:rPr>
        <w:t>’</w:t>
      </w:r>
      <w:r w:rsidRPr="00B84D32">
        <w:rPr>
          <w:lang w:val="fr-FR"/>
        </w:rPr>
        <w:t>à rendre disponible de l</w:t>
      </w:r>
      <w:r w:rsidR="00B84D32">
        <w:rPr>
          <w:lang w:val="fr-FR"/>
        </w:rPr>
        <w:t>’</w:t>
      </w:r>
      <w:r w:rsidRPr="00B84D32">
        <w:rPr>
          <w:lang w:val="fr-FR"/>
        </w:rPr>
        <w:t>information à leur sujet et sur les expériences acquises.</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À sa quatrième session, l</w:t>
      </w:r>
      <w:r w:rsidR="00B84D32">
        <w:rPr>
          <w:lang w:val="fr-FR"/>
        </w:rPr>
        <w:t>’</w:t>
      </w:r>
      <w:r w:rsidRPr="00B84D32">
        <w:rPr>
          <w:lang w:val="fr-FR"/>
        </w:rPr>
        <w:t>Assemblée générale devrait amender les Directives opérationnelles pour la mise en œuvre de la Convention (Résolution 3.GA 5), nécessitant donc la publication d</w:t>
      </w:r>
      <w:r w:rsidR="00B84D32">
        <w:rPr>
          <w:lang w:val="fr-FR"/>
        </w:rPr>
        <w:t>’</w:t>
      </w:r>
      <w:r w:rsidRPr="00B84D32">
        <w:rPr>
          <w:lang w:val="fr-FR"/>
        </w:rPr>
        <w:t>une version à jour des Textes fondamentaux de la Convention. Le Secrétariat propose d</w:t>
      </w:r>
      <w:r w:rsidR="00B84D32">
        <w:rPr>
          <w:lang w:val="fr-FR"/>
        </w:rPr>
        <w:t>’</w:t>
      </w:r>
      <w:r w:rsidRPr="00B84D32">
        <w:rPr>
          <w:lang w:val="fr-FR"/>
        </w:rPr>
        <w:t xml:space="preserve">allouer 90 000 </w:t>
      </w:r>
      <w:r w:rsidR="00D305D0" w:rsidRPr="00B84D32">
        <w:rPr>
          <w:lang w:val="fr-FR"/>
        </w:rPr>
        <w:t xml:space="preserve">dollars des États-Unis </w:t>
      </w:r>
      <w:r w:rsidRPr="00B84D32">
        <w:rPr>
          <w:lang w:val="fr-FR"/>
        </w:rPr>
        <w:t xml:space="preserve">(annexe, point C.1) pour publier une version </w:t>
      </w:r>
      <w:r w:rsidR="00D305D0" w:rsidRPr="00B84D32">
        <w:rPr>
          <w:lang w:val="fr-FR"/>
        </w:rPr>
        <w:t xml:space="preserve">à </w:t>
      </w:r>
      <w:r w:rsidRPr="00B84D32">
        <w:rPr>
          <w:lang w:val="fr-FR"/>
        </w:rPr>
        <w:t>jour des Textes fondamentaux dans les six langues de travail de la Convention (anglais, arabe, chinois, espagnol, français et russe). Un total de 16 700 exemplaires seront imprimés (7 000 en anglais, 1 000 en arabe, 700 en chinois, 2 000 en espagnol, 5 000 en français et 1 000 en russe).</w:t>
      </w:r>
    </w:p>
    <w:p w:rsidR="002D01C4" w:rsidRPr="00B84D32" w:rsidRDefault="0010242E" w:rsidP="00B84D32">
      <w:pPr>
        <w:pStyle w:val="Marge"/>
        <w:numPr>
          <w:ilvl w:val="0"/>
          <w:numId w:val="31"/>
        </w:numPr>
        <w:tabs>
          <w:tab w:val="clear" w:pos="567"/>
        </w:tabs>
        <w:spacing w:before="240"/>
        <w:ind w:left="567" w:hanging="567"/>
        <w:rPr>
          <w:lang w:val="fr-FR"/>
        </w:rPr>
      </w:pPr>
      <w:r w:rsidRPr="00B84D32">
        <w:rPr>
          <w:lang w:val="fr-FR"/>
        </w:rPr>
        <w:t>Comme indiqué au paragraphe 7 ci-dessus, le Comité a publié un dépliant en anglais et en français sur les inscriptions de 2011. Toutefois, les fonds disponibles n</w:t>
      </w:r>
      <w:r w:rsidR="00B84D32">
        <w:rPr>
          <w:lang w:val="fr-FR"/>
        </w:rPr>
        <w:t>’</w:t>
      </w:r>
      <w:r w:rsidRPr="00B84D32">
        <w:rPr>
          <w:lang w:val="fr-FR"/>
        </w:rPr>
        <w:t>ont permis qu</w:t>
      </w:r>
      <w:r w:rsidR="00B84D32">
        <w:rPr>
          <w:lang w:val="fr-FR"/>
        </w:rPr>
        <w:t>’</w:t>
      </w:r>
      <w:r w:rsidRPr="00B84D32">
        <w:rPr>
          <w:lang w:val="fr-FR"/>
        </w:rPr>
        <w:t xml:space="preserve">un tirage limité et, par conséquent, le Secrétariat propose de réimprimer le dépliant 2011. Un montant de 37 000 dollars des </w:t>
      </w:r>
      <w:r w:rsidR="00CB2AE5" w:rsidRPr="00B84D32">
        <w:rPr>
          <w:lang w:val="fr-FR"/>
        </w:rPr>
        <w:t>États</w:t>
      </w:r>
      <w:r w:rsidRPr="00B84D32">
        <w:rPr>
          <w:lang w:val="fr-FR"/>
        </w:rPr>
        <w:t>-Unis (annexe, point C.2) est requis pour réimprimer 7 000 exemplaires supplémentaires de la brochure 2011 (4 000 en anglais et 3 000 en français) ainsi que pour publier une édition imprimée du dépliant 2012 avec un tirage de 9 000 exemplaires (5 000 en anglais et 4 000 en français). Le Secrétariat propose d</w:t>
      </w:r>
      <w:r w:rsidR="00B84D32">
        <w:rPr>
          <w:lang w:val="fr-FR"/>
        </w:rPr>
        <w:t>’</w:t>
      </w:r>
      <w:r w:rsidRPr="00B84D32">
        <w:rPr>
          <w:lang w:val="fr-FR"/>
        </w:rPr>
        <w:t xml:space="preserve">allouer 17 000 </w:t>
      </w:r>
      <w:r w:rsidR="00D305D0" w:rsidRPr="00B84D32">
        <w:rPr>
          <w:lang w:val="fr-FR"/>
        </w:rPr>
        <w:t xml:space="preserve">dollars des États-Unis </w:t>
      </w:r>
      <w:r w:rsidRPr="00B84D32">
        <w:rPr>
          <w:lang w:val="fr-FR"/>
        </w:rPr>
        <w:t xml:space="preserve">pour </w:t>
      </w:r>
      <w:r w:rsidR="00D305D0" w:rsidRPr="00B84D32">
        <w:rPr>
          <w:lang w:val="fr-FR"/>
        </w:rPr>
        <w:t>les coûts initiaux</w:t>
      </w:r>
      <w:r w:rsidRPr="00B84D32">
        <w:rPr>
          <w:lang w:val="fr-FR"/>
        </w:rPr>
        <w:t xml:space="preserve"> de pré-production </w:t>
      </w:r>
      <w:r w:rsidR="00D305D0" w:rsidRPr="00B84D32">
        <w:rPr>
          <w:lang w:val="fr-FR"/>
        </w:rPr>
        <w:t>d</w:t>
      </w:r>
      <w:r w:rsidRPr="00B84D32">
        <w:rPr>
          <w:lang w:val="fr-FR"/>
        </w:rPr>
        <w:t>es brochures cumulatives de 2012 et 2013 (annexe, point C.3)</w:t>
      </w:r>
      <w:r w:rsidR="00D305D0" w:rsidRPr="00B84D32">
        <w:rPr>
          <w:lang w:val="fr-FR"/>
        </w:rPr>
        <w:t xml:space="preserve">, </w:t>
      </w:r>
      <w:r w:rsidRPr="00B84D32">
        <w:rPr>
          <w:lang w:val="fr-FR"/>
        </w:rPr>
        <w:t>qui seront terminées fin 2013 et début 2014 dans le cadre de plans de dépenses futurs. Le Secrétariat propose également d</w:t>
      </w:r>
      <w:r w:rsidR="00B84D32">
        <w:rPr>
          <w:lang w:val="fr-FR"/>
        </w:rPr>
        <w:t>’</w:t>
      </w:r>
      <w:r w:rsidRPr="00B84D32">
        <w:rPr>
          <w:lang w:val="fr-FR"/>
        </w:rPr>
        <w:t xml:space="preserve">allouer 20 000 </w:t>
      </w:r>
      <w:r w:rsidR="00D305D0" w:rsidRPr="00B84D32">
        <w:rPr>
          <w:lang w:val="fr-FR"/>
        </w:rPr>
        <w:t xml:space="preserve">dollars des États-Unis </w:t>
      </w:r>
      <w:r w:rsidRPr="00B84D32">
        <w:rPr>
          <w:lang w:val="fr-FR"/>
        </w:rPr>
        <w:t xml:space="preserve">pour couvrir les coûts liés à la distribution des Textes fondamentaux et des dépliants </w:t>
      </w:r>
      <w:r w:rsidR="00D305D0" w:rsidRPr="00B84D32">
        <w:rPr>
          <w:lang w:val="fr-FR"/>
        </w:rPr>
        <w:t xml:space="preserve">auprès de </w:t>
      </w:r>
      <w:r w:rsidRPr="00B84D32">
        <w:rPr>
          <w:lang w:val="fr-FR"/>
        </w:rPr>
        <w:t>ses principaux partenaires, en particulier les acteurs de la stratégie de renforcement des capacités (annexe, point C.4).</w:t>
      </w:r>
    </w:p>
    <w:p w:rsidR="002D01C4" w:rsidRPr="00B84D32" w:rsidRDefault="002D01C4" w:rsidP="00B84D32">
      <w:pPr>
        <w:pStyle w:val="Marge"/>
        <w:numPr>
          <w:ilvl w:val="0"/>
          <w:numId w:val="31"/>
        </w:numPr>
        <w:tabs>
          <w:tab w:val="clear" w:pos="567"/>
        </w:tabs>
        <w:spacing w:before="240"/>
        <w:ind w:left="567" w:hanging="567"/>
        <w:rPr>
          <w:rStyle w:val="hpschar"/>
          <w:lang w:val="fr-FR"/>
        </w:rPr>
      </w:pPr>
      <w:r w:rsidRPr="00B84D32">
        <w:rPr>
          <w:lang w:val="fr-FR"/>
        </w:rPr>
        <w:t>Enfin, comme expliqué dans le document ITH/12/4.GA/INF.4.3, la gestion de l</w:t>
      </w:r>
      <w:r w:rsidR="00B84D32">
        <w:rPr>
          <w:lang w:val="fr-FR"/>
        </w:rPr>
        <w:t>’</w:t>
      </w:r>
      <w:r w:rsidRPr="00B84D32">
        <w:rPr>
          <w:lang w:val="fr-FR"/>
        </w:rPr>
        <w:t>énorme quantité d</w:t>
      </w:r>
      <w:r w:rsidR="00B84D32">
        <w:rPr>
          <w:lang w:val="fr-FR"/>
        </w:rPr>
        <w:t>’</w:t>
      </w:r>
      <w:r w:rsidRPr="00B84D32">
        <w:rPr>
          <w:lang w:val="fr-FR"/>
        </w:rPr>
        <w:t>informations associée aux travaux du Comité et de l</w:t>
      </w:r>
      <w:r w:rsidR="00B84D32">
        <w:rPr>
          <w:lang w:val="fr-FR"/>
        </w:rPr>
        <w:t>’</w:t>
      </w:r>
      <w:r w:rsidRPr="00B84D32">
        <w:rPr>
          <w:lang w:val="fr-FR"/>
        </w:rPr>
        <w:t>Assemblée générale n</w:t>
      </w:r>
      <w:r w:rsidR="00B84D32">
        <w:rPr>
          <w:lang w:val="fr-FR"/>
        </w:rPr>
        <w:t>’</w:t>
      </w:r>
      <w:r w:rsidRPr="00B84D32">
        <w:rPr>
          <w:lang w:val="fr-FR"/>
        </w:rPr>
        <w:t>est rendue possible que grâce au système de gestion des connaissances de la Section du patrimoine culturel immatériel développé à cet effet, entièrement financé par des fonds extrabudgétaires, y compris le Fonds du patrimoine culturel immatériel. Considérant d</w:t>
      </w:r>
      <w:r w:rsidR="00B84D32">
        <w:rPr>
          <w:lang w:val="fr-FR"/>
        </w:rPr>
        <w:t>’</w:t>
      </w:r>
      <w:r w:rsidRPr="00B84D32">
        <w:rPr>
          <w:lang w:val="fr-FR"/>
        </w:rPr>
        <w:t>une part l</w:t>
      </w:r>
      <w:r w:rsidR="00B84D32">
        <w:rPr>
          <w:lang w:val="fr-FR"/>
        </w:rPr>
        <w:t>’</w:t>
      </w:r>
      <w:r w:rsidRPr="00B84D32">
        <w:rPr>
          <w:lang w:val="fr-FR"/>
        </w:rPr>
        <w:t>importance de cet outil de travail quotidien pour faciliter le travail, non seulement des organes statutaires (</w:t>
      </w:r>
      <w:r w:rsidR="007456A1">
        <w:rPr>
          <w:lang w:val="fr-FR"/>
        </w:rPr>
        <w:t xml:space="preserve">le </w:t>
      </w:r>
      <w:r w:rsidRPr="00B84D32">
        <w:rPr>
          <w:lang w:val="fr-FR"/>
        </w:rPr>
        <w:t xml:space="preserve">Secrétariat, </w:t>
      </w:r>
      <w:r w:rsidR="007456A1">
        <w:rPr>
          <w:lang w:val="fr-FR"/>
        </w:rPr>
        <w:t xml:space="preserve">les </w:t>
      </w:r>
      <w:r w:rsidRPr="00B84D32">
        <w:rPr>
          <w:lang w:val="fr-FR"/>
        </w:rPr>
        <w:t xml:space="preserve">États parties, </w:t>
      </w:r>
      <w:r w:rsidR="007456A1">
        <w:rPr>
          <w:lang w:val="fr-FR"/>
        </w:rPr>
        <w:t xml:space="preserve">le </w:t>
      </w:r>
      <w:r w:rsidRPr="00B84D32">
        <w:rPr>
          <w:lang w:val="fr-FR"/>
        </w:rPr>
        <w:t>Comité et ses organes consultatifs), mais aussi d</w:t>
      </w:r>
      <w:r w:rsidR="00B84D32">
        <w:rPr>
          <w:lang w:val="fr-FR"/>
        </w:rPr>
        <w:t>’</w:t>
      </w:r>
      <w:r w:rsidRPr="00B84D32">
        <w:rPr>
          <w:lang w:val="fr-FR"/>
        </w:rPr>
        <w:t>autres acteurs tels que les facilitateurs du renforcement des capacités qui disposent désormais de leur espace web dédié, et d</w:t>
      </w:r>
      <w:r w:rsidR="00B84D32">
        <w:rPr>
          <w:lang w:val="fr-FR"/>
        </w:rPr>
        <w:t>’</w:t>
      </w:r>
      <w:r w:rsidRPr="00B84D32">
        <w:rPr>
          <w:lang w:val="fr-FR"/>
        </w:rPr>
        <w:t>autre part le manque de perspectives que le Programme ordinaire puisse répondre à ces besoins, le Secrétariat propose que</w:t>
      </w:r>
      <w:r w:rsidR="007C22F4">
        <w:rPr>
          <w:lang w:val="fr-FR"/>
        </w:rPr>
        <w:t xml:space="preserve"> le plan de dépenses alloue 125 000 </w:t>
      </w:r>
      <w:r w:rsidRPr="00B84D32">
        <w:rPr>
          <w:lang w:val="fr-FR"/>
        </w:rPr>
        <w:t xml:space="preserve">dollars des </w:t>
      </w:r>
      <w:r w:rsidR="00CB2AE5" w:rsidRPr="00B84D32">
        <w:rPr>
          <w:lang w:val="fr-FR"/>
        </w:rPr>
        <w:t>États</w:t>
      </w:r>
      <w:r w:rsidRPr="00B84D32">
        <w:rPr>
          <w:lang w:val="fr-FR"/>
        </w:rPr>
        <w:t>-Unis pour soutenir le maintien et le développement du système de gestion des connaissances, dans le but</w:t>
      </w:r>
      <w:r w:rsidR="0032293E" w:rsidRPr="00B84D32">
        <w:rPr>
          <w:lang w:val="fr-FR"/>
        </w:rPr>
        <w:t xml:space="preserve"> notamment</w:t>
      </w:r>
      <w:r w:rsidRPr="00B84D32">
        <w:rPr>
          <w:lang w:val="fr-FR"/>
        </w:rPr>
        <w:t xml:space="preserve"> d</w:t>
      </w:r>
      <w:r w:rsidR="00B84D32">
        <w:rPr>
          <w:lang w:val="fr-FR"/>
        </w:rPr>
        <w:t>’</w:t>
      </w:r>
      <w:r w:rsidRPr="00B84D32">
        <w:rPr>
          <w:lang w:val="fr-FR"/>
        </w:rPr>
        <w:t xml:space="preserve">offrir de meilleures fonctionnalités </w:t>
      </w:r>
      <w:r w:rsidR="00D305D0" w:rsidRPr="00B84D32">
        <w:rPr>
          <w:lang w:val="fr-FR"/>
        </w:rPr>
        <w:t xml:space="preserve">en ligne, </w:t>
      </w:r>
      <w:r w:rsidR="0032293E" w:rsidRPr="00B84D32">
        <w:rPr>
          <w:lang w:val="fr-FR"/>
        </w:rPr>
        <w:t>tels qu</w:t>
      </w:r>
      <w:r w:rsidR="00B84D32">
        <w:rPr>
          <w:lang w:val="fr-FR"/>
        </w:rPr>
        <w:t>’</w:t>
      </w:r>
      <w:r w:rsidR="0032293E" w:rsidRPr="00B84D32">
        <w:rPr>
          <w:lang w:val="fr-FR"/>
        </w:rPr>
        <w:t xml:space="preserve">un </w:t>
      </w:r>
      <w:r w:rsidRPr="00B84D32">
        <w:rPr>
          <w:lang w:val="fr-FR"/>
        </w:rPr>
        <w:t>accès personnalisé pour les États p</w:t>
      </w:r>
      <w:r w:rsidR="0032293E" w:rsidRPr="00B84D32">
        <w:rPr>
          <w:lang w:val="fr-FR"/>
        </w:rPr>
        <w:t xml:space="preserve">arties à un </w:t>
      </w:r>
      <w:r w:rsidRPr="00B84D32">
        <w:rPr>
          <w:lang w:val="fr-FR"/>
        </w:rPr>
        <w:t>suiv</w:t>
      </w:r>
      <w:r w:rsidR="0032293E" w:rsidRPr="00B84D32">
        <w:rPr>
          <w:lang w:val="fr-FR"/>
        </w:rPr>
        <w:t xml:space="preserve">i </w:t>
      </w:r>
      <w:r w:rsidR="007C22F4">
        <w:rPr>
          <w:lang w:val="fr-FR"/>
        </w:rPr>
        <w:t>plus étroit</w:t>
      </w:r>
      <w:r w:rsidR="0032293E" w:rsidRPr="00B84D32">
        <w:rPr>
          <w:lang w:val="fr-FR"/>
        </w:rPr>
        <w:t xml:space="preserve"> du </w:t>
      </w:r>
      <w:r w:rsidRPr="00B84D32">
        <w:rPr>
          <w:lang w:val="fr-FR"/>
        </w:rPr>
        <w:t xml:space="preserve">statut </w:t>
      </w:r>
      <w:r w:rsidR="007C22F4">
        <w:rPr>
          <w:lang w:val="fr-FR"/>
        </w:rPr>
        <w:t>de leurs</w:t>
      </w:r>
      <w:r w:rsidRPr="00B84D32">
        <w:rPr>
          <w:lang w:val="fr-FR"/>
        </w:rPr>
        <w:t xml:space="preserve"> </w:t>
      </w:r>
      <w:r w:rsidR="0032293E" w:rsidRPr="00B84D32">
        <w:rPr>
          <w:lang w:val="fr-FR"/>
        </w:rPr>
        <w:t xml:space="preserve">dossiers </w:t>
      </w:r>
      <w:r w:rsidRPr="00B84D32">
        <w:rPr>
          <w:lang w:val="fr-FR"/>
        </w:rPr>
        <w:t>en cours, un</w:t>
      </w:r>
      <w:r w:rsidR="007C22F4">
        <w:rPr>
          <w:lang w:val="fr-FR"/>
        </w:rPr>
        <w:t>e</w:t>
      </w:r>
      <w:r w:rsidRPr="00B84D32">
        <w:rPr>
          <w:lang w:val="fr-FR"/>
        </w:rPr>
        <w:t xml:space="preserve"> meilleur</w:t>
      </w:r>
      <w:r w:rsidR="007C22F4">
        <w:rPr>
          <w:lang w:val="fr-FR"/>
        </w:rPr>
        <w:t>e</w:t>
      </w:r>
      <w:r w:rsidRPr="00B84D32">
        <w:rPr>
          <w:lang w:val="fr-FR"/>
        </w:rPr>
        <w:t xml:space="preserve"> </w:t>
      </w:r>
      <w:r w:rsidR="007C22F4">
        <w:rPr>
          <w:lang w:val="fr-FR"/>
        </w:rPr>
        <w:t>gestion</w:t>
      </w:r>
      <w:r w:rsidR="00D34DCB" w:rsidRPr="00B84D32">
        <w:rPr>
          <w:lang w:val="fr-FR"/>
        </w:rPr>
        <w:t xml:space="preserve"> et visibilité </w:t>
      </w:r>
      <w:r w:rsidRPr="00B84D32">
        <w:rPr>
          <w:lang w:val="fr-FR"/>
        </w:rPr>
        <w:t>de l</w:t>
      </w:r>
      <w:r w:rsidR="00B84D32">
        <w:rPr>
          <w:lang w:val="fr-FR"/>
        </w:rPr>
        <w:t>’</w:t>
      </w:r>
      <w:r w:rsidRPr="00B84D32">
        <w:rPr>
          <w:lang w:val="fr-FR"/>
        </w:rPr>
        <w:t xml:space="preserve">aide internationale accordée, et la possibilité de </w:t>
      </w:r>
      <w:r w:rsidR="00D34DCB" w:rsidRPr="00B84D32">
        <w:rPr>
          <w:lang w:val="fr-FR"/>
        </w:rPr>
        <w:t xml:space="preserve">soumettre </w:t>
      </w:r>
      <w:r w:rsidRPr="00B84D32">
        <w:rPr>
          <w:lang w:val="fr-FR"/>
        </w:rPr>
        <w:t xml:space="preserve">en </w:t>
      </w:r>
      <w:r w:rsidRPr="00B84D32">
        <w:rPr>
          <w:rStyle w:val="hpschar"/>
          <w:lang w:val="fr-FR"/>
        </w:rPr>
        <w:t>ligne des rapports,</w:t>
      </w:r>
      <w:r w:rsidR="007C22F4">
        <w:rPr>
          <w:rStyle w:val="hpschar"/>
          <w:lang w:val="fr-FR"/>
        </w:rPr>
        <w:t xml:space="preserve"> des</w:t>
      </w:r>
      <w:r w:rsidRPr="00B84D32">
        <w:rPr>
          <w:rStyle w:val="hpschar"/>
          <w:lang w:val="fr-FR"/>
        </w:rPr>
        <w:t xml:space="preserve"> </w:t>
      </w:r>
      <w:r w:rsidR="00D34DCB" w:rsidRPr="00B84D32">
        <w:rPr>
          <w:rStyle w:val="hpschar"/>
          <w:lang w:val="fr-FR"/>
        </w:rPr>
        <w:t xml:space="preserve">demandes et </w:t>
      </w:r>
      <w:r w:rsidR="007C22F4">
        <w:rPr>
          <w:rStyle w:val="hpschar"/>
          <w:lang w:val="fr-FR"/>
        </w:rPr>
        <w:t xml:space="preserve">des </w:t>
      </w:r>
      <w:r w:rsidR="00D34DCB" w:rsidRPr="00B84D32">
        <w:rPr>
          <w:rStyle w:val="hpschar"/>
          <w:lang w:val="fr-FR"/>
        </w:rPr>
        <w:t>dossiers de candidature</w:t>
      </w:r>
      <w:r w:rsidRPr="00B84D32">
        <w:rPr>
          <w:rStyle w:val="hpschar"/>
          <w:lang w:val="fr-FR"/>
        </w:rPr>
        <w:t>.</w:t>
      </w:r>
    </w:p>
    <w:p w:rsidR="009C4C69" w:rsidRPr="00B84D32" w:rsidRDefault="009C4C69" w:rsidP="00B84D32">
      <w:pPr>
        <w:pStyle w:val="Marge"/>
        <w:numPr>
          <w:ilvl w:val="0"/>
          <w:numId w:val="31"/>
        </w:numPr>
        <w:tabs>
          <w:tab w:val="clear" w:pos="567"/>
        </w:tabs>
        <w:spacing w:before="240"/>
        <w:ind w:left="567" w:hanging="567"/>
        <w:rPr>
          <w:rStyle w:val="hpschar"/>
          <w:lang w:val="fr-FR"/>
        </w:rPr>
      </w:pPr>
      <w:r w:rsidRPr="00B84D32">
        <w:rPr>
          <w:rStyle w:val="hpschar"/>
          <w:lang w:val="fr-FR"/>
        </w:rPr>
        <w:t>Il est rappelé au Bureau que, dans le but d</w:t>
      </w:r>
      <w:r w:rsidR="00B84D32">
        <w:rPr>
          <w:rStyle w:val="hpschar"/>
          <w:lang w:val="fr-FR"/>
        </w:rPr>
        <w:t>’</w:t>
      </w:r>
      <w:r w:rsidRPr="00B84D32">
        <w:rPr>
          <w:rStyle w:val="hpschar"/>
          <w:lang w:val="fr-FR"/>
        </w:rPr>
        <w:t>éviter des interruptions ou retards d</w:t>
      </w:r>
      <w:r w:rsidR="00B84D32">
        <w:rPr>
          <w:rStyle w:val="hpschar"/>
          <w:lang w:val="fr-FR"/>
        </w:rPr>
        <w:t>’</w:t>
      </w:r>
      <w:r w:rsidRPr="00B84D32">
        <w:rPr>
          <w:rStyle w:val="hpschar"/>
          <w:lang w:val="fr-FR"/>
        </w:rPr>
        <w:t>exécution, le Comité a décidé (décision 6.COM 20) d</w:t>
      </w:r>
      <w:r w:rsidR="00B84D32">
        <w:rPr>
          <w:rStyle w:val="hpschar"/>
          <w:lang w:val="fr-FR"/>
        </w:rPr>
        <w:t>’</w:t>
      </w:r>
      <w:r w:rsidRPr="00B84D32">
        <w:rPr>
          <w:rStyle w:val="hpschar"/>
          <w:lang w:val="fr-FR"/>
        </w:rPr>
        <w:t xml:space="preserve">autoriser le Directeur général à effectuer des transferts entre les activités approuvées au titre de cette ligne du plan </w:t>
      </w:r>
      <w:r w:rsidR="00712655">
        <w:rPr>
          <w:rStyle w:val="hpschar"/>
          <w:lang w:val="fr-FR"/>
        </w:rPr>
        <w:t>d’utilisation d</w:t>
      </w:r>
      <w:r w:rsidRPr="00B84D32">
        <w:rPr>
          <w:rStyle w:val="hpschar"/>
          <w:lang w:val="fr-FR"/>
        </w:rPr>
        <w:t>es ressources du Fonds jusqu</w:t>
      </w:r>
      <w:r w:rsidR="00B84D32">
        <w:rPr>
          <w:rStyle w:val="hpschar"/>
          <w:lang w:val="fr-FR"/>
        </w:rPr>
        <w:t>’</w:t>
      </w:r>
      <w:r w:rsidRPr="00B84D32">
        <w:rPr>
          <w:rStyle w:val="hpschar"/>
          <w:lang w:val="fr-FR"/>
        </w:rPr>
        <w:t xml:space="preserve">à un montant cumulé de 25 000 dollars des </w:t>
      </w:r>
      <w:r w:rsidR="00CB2AE5" w:rsidRPr="00B84D32">
        <w:rPr>
          <w:rStyle w:val="hpschar"/>
          <w:lang w:val="fr-FR"/>
        </w:rPr>
        <w:t>États</w:t>
      </w:r>
      <w:r w:rsidRPr="00B84D32">
        <w:rPr>
          <w:rStyle w:val="hpschar"/>
          <w:lang w:val="fr-FR"/>
        </w:rPr>
        <w:t>-Unis.</w:t>
      </w:r>
      <w:r w:rsidRPr="00B84D32">
        <w:rPr>
          <w:lang w:val="fr-FR"/>
        </w:rPr>
        <w:t xml:space="preserve"> </w:t>
      </w:r>
      <w:r w:rsidRPr="00B84D32">
        <w:rPr>
          <w:rStyle w:val="hpschar"/>
          <w:lang w:val="fr-FR"/>
        </w:rPr>
        <w:t>Le Secrétariat informerait alors le Bureau par écrit, lors de la session qui suit cette opération, des détails et des raisons de ces transferts.</w:t>
      </w:r>
      <w:r w:rsidRPr="00B84D32">
        <w:rPr>
          <w:lang w:val="fr-FR"/>
        </w:rPr>
        <w:t xml:space="preserve"> </w:t>
      </w:r>
      <w:r w:rsidRPr="00B84D32">
        <w:rPr>
          <w:rStyle w:val="hpschar"/>
          <w:lang w:val="fr-FR"/>
        </w:rPr>
        <w:t xml:space="preserve">Comme décidé par le Comité, </w:t>
      </w:r>
      <w:r w:rsidR="003162DE" w:rsidRPr="00B84D32">
        <w:rPr>
          <w:rStyle w:val="hpschar"/>
          <w:lang w:val="fr-FR"/>
        </w:rPr>
        <w:t xml:space="preserve">tout transfert excédant ce </w:t>
      </w:r>
      <w:r w:rsidRPr="00B84D32">
        <w:rPr>
          <w:rStyle w:val="hpschar"/>
          <w:lang w:val="fr-FR"/>
        </w:rPr>
        <w:t>montant</w:t>
      </w:r>
      <w:r w:rsidR="003162DE" w:rsidRPr="00B84D32">
        <w:rPr>
          <w:rStyle w:val="hpschar"/>
          <w:lang w:val="fr-FR"/>
        </w:rPr>
        <w:t xml:space="preserve"> nécessiterait</w:t>
      </w:r>
      <w:r w:rsidR="00D305D0" w:rsidRPr="00B84D32">
        <w:rPr>
          <w:rStyle w:val="hpschar"/>
          <w:lang w:val="fr-FR"/>
        </w:rPr>
        <w:t xml:space="preserve"> l</w:t>
      </w:r>
      <w:r w:rsidR="00B84D32">
        <w:rPr>
          <w:rStyle w:val="hpschar"/>
          <w:lang w:val="fr-FR"/>
        </w:rPr>
        <w:t>’</w:t>
      </w:r>
      <w:r w:rsidR="00D305D0" w:rsidRPr="00B84D32">
        <w:rPr>
          <w:rStyle w:val="hpschar"/>
          <w:lang w:val="fr-FR"/>
        </w:rPr>
        <w:t xml:space="preserve">approbation préalable par le </w:t>
      </w:r>
      <w:r w:rsidRPr="00B84D32">
        <w:rPr>
          <w:rStyle w:val="hpschar"/>
          <w:lang w:val="fr-FR"/>
        </w:rPr>
        <w:t>Bureau d</w:t>
      </w:r>
      <w:r w:rsidR="00B84D32">
        <w:rPr>
          <w:rStyle w:val="hpschar"/>
          <w:lang w:val="fr-FR"/>
        </w:rPr>
        <w:t>’</w:t>
      </w:r>
      <w:r w:rsidRPr="00B84D32">
        <w:rPr>
          <w:rStyle w:val="hpschar"/>
          <w:lang w:val="fr-FR"/>
        </w:rPr>
        <w:t>un plan révisé des dépenses.</w:t>
      </w:r>
    </w:p>
    <w:p w:rsidR="003162DE" w:rsidRPr="00B84D32" w:rsidRDefault="003162DE" w:rsidP="00B84D32">
      <w:pPr>
        <w:pStyle w:val="Marge"/>
        <w:numPr>
          <w:ilvl w:val="0"/>
          <w:numId w:val="31"/>
        </w:numPr>
        <w:tabs>
          <w:tab w:val="clear" w:pos="567"/>
        </w:tabs>
        <w:spacing w:before="240"/>
        <w:ind w:left="567" w:hanging="567"/>
        <w:rPr>
          <w:lang w:val="fr-FR"/>
        </w:rPr>
      </w:pPr>
      <w:r w:rsidRPr="00B84D32">
        <w:rPr>
          <w:rStyle w:val="google-src-text"/>
          <w:lang w:val="fr-FR"/>
        </w:rPr>
        <w:t>Le Bureau est invité à</w:t>
      </w:r>
      <w:r w:rsidR="00D305D0" w:rsidRPr="00B84D32">
        <w:rPr>
          <w:rStyle w:val="google-src-text"/>
          <w:lang w:val="fr-FR"/>
        </w:rPr>
        <w:t xml:space="preserve"> évaluer et à se prononcer sur l</w:t>
      </w:r>
      <w:r w:rsidRPr="00B84D32">
        <w:rPr>
          <w:rStyle w:val="google-src-text"/>
          <w:lang w:val="fr-FR"/>
        </w:rPr>
        <w:t>e plan des dépenses proposé par voie de consultation électronique, comme prévu à l</w:t>
      </w:r>
      <w:r w:rsidR="00B84D32">
        <w:rPr>
          <w:rStyle w:val="google-src-text"/>
          <w:lang w:val="fr-FR"/>
        </w:rPr>
        <w:t>’</w:t>
      </w:r>
      <w:r w:rsidRPr="00B84D32">
        <w:rPr>
          <w:rStyle w:val="google-src-text"/>
          <w:lang w:val="fr-FR"/>
        </w:rPr>
        <w:t xml:space="preserve">article 12.3 des Règles de procédure du Comité. </w:t>
      </w:r>
      <w:r w:rsidRPr="00B84D32">
        <w:rPr>
          <w:lang w:val="fr-FR"/>
        </w:rPr>
        <w:t>Le Bureau du Comité souhaitera peut-être adopter la décision suivante:</w:t>
      </w:r>
    </w:p>
    <w:p w:rsidR="003162DE" w:rsidRPr="00B84D32" w:rsidRDefault="003162DE" w:rsidP="00CE5569">
      <w:pPr>
        <w:pStyle w:val="Marge"/>
        <w:keepNext/>
        <w:tabs>
          <w:tab w:val="clear" w:pos="567"/>
        </w:tabs>
        <w:spacing w:before="240"/>
        <w:ind w:left="567"/>
        <w:rPr>
          <w:rFonts w:cs="Arial"/>
          <w:szCs w:val="22"/>
          <w:lang w:val="fr-FR"/>
        </w:rPr>
      </w:pPr>
      <w:r w:rsidRPr="00B84D32">
        <w:rPr>
          <w:rStyle w:val="margechar0"/>
          <w:rFonts w:cs="Arial"/>
          <w:b/>
          <w:bCs/>
          <w:szCs w:val="22"/>
          <w:lang w:val="fr-FR"/>
        </w:rPr>
        <w:t>PROJET DE DECISION 7.COM 3.BUR 5</w:t>
      </w:r>
    </w:p>
    <w:p w:rsidR="003162DE" w:rsidRPr="00B84D32" w:rsidRDefault="003162DE" w:rsidP="00CE5569">
      <w:pPr>
        <w:pStyle w:val="marge0"/>
        <w:keepNext/>
        <w:spacing w:before="240" w:beforeAutospacing="0"/>
        <w:ind w:left="561"/>
        <w:rPr>
          <w:rFonts w:ascii="Arial" w:hAnsi="Arial" w:cs="Arial"/>
          <w:sz w:val="22"/>
          <w:szCs w:val="22"/>
        </w:rPr>
      </w:pPr>
      <w:r w:rsidRPr="00B84D32">
        <w:rPr>
          <w:rFonts w:ascii="Arial" w:hAnsi="Arial" w:cs="Arial"/>
          <w:sz w:val="22"/>
          <w:szCs w:val="22"/>
        </w:rPr>
        <w:t xml:space="preserve">Le Bureau, </w:t>
      </w:r>
    </w:p>
    <w:p w:rsidR="003162DE" w:rsidRPr="00B84D32" w:rsidRDefault="003162DE" w:rsidP="007C22F4">
      <w:pPr>
        <w:numPr>
          <w:ilvl w:val="1"/>
          <w:numId w:val="41"/>
        </w:numPr>
        <w:spacing w:before="240" w:after="100" w:afterAutospacing="1"/>
        <w:ind w:left="1134" w:hanging="567"/>
        <w:rPr>
          <w:rFonts w:ascii="Arial" w:hAnsi="Arial" w:cs="Arial"/>
          <w:sz w:val="22"/>
          <w:szCs w:val="22"/>
          <w:lang w:val="fr-FR"/>
        </w:rPr>
      </w:pPr>
      <w:r w:rsidRPr="00B84D32">
        <w:rPr>
          <w:rStyle w:val="margechar0"/>
          <w:rFonts w:ascii="Arial" w:hAnsi="Arial" w:cs="Arial"/>
          <w:sz w:val="22"/>
          <w:szCs w:val="22"/>
          <w:u w:val="single"/>
          <w:lang w:val="fr-FR"/>
        </w:rPr>
        <w:t xml:space="preserve">Ayant examiné </w:t>
      </w:r>
      <w:r w:rsidRPr="00B84D32">
        <w:rPr>
          <w:rStyle w:val="margechar0"/>
          <w:rFonts w:ascii="Arial" w:hAnsi="Arial" w:cs="Arial"/>
          <w:sz w:val="22"/>
          <w:szCs w:val="22"/>
          <w:lang w:val="fr-FR"/>
        </w:rPr>
        <w:t>le</w:t>
      </w:r>
      <w:r w:rsidRPr="00B84D32">
        <w:rPr>
          <w:rFonts w:ascii="Arial" w:hAnsi="Arial" w:cs="Arial"/>
          <w:sz w:val="22"/>
          <w:szCs w:val="22"/>
          <w:lang w:val="fr-FR"/>
        </w:rPr>
        <w:t xml:space="preserve"> document ITH/12/7.COM 3.BUR / 5 et son annexe, </w:t>
      </w:r>
    </w:p>
    <w:p w:rsidR="003162DE" w:rsidRPr="00B84D32" w:rsidRDefault="003162DE" w:rsidP="007C22F4">
      <w:pPr>
        <w:numPr>
          <w:ilvl w:val="1"/>
          <w:numId w:val="41"/>
        </w:numPr>
        <w:spacing w:before="240" w:after="100" w:afterAutospacing="1"/>
        <w:ind w:left="1134" w:hanging="567"/>
        <w:rPr>
          <w:rFonts w:ascii="Arial" w:hAnsi="Arial" w:cs="Arial"/>
          <w:sz w:val="22"/>
          <w:szCs w:val="22"/>
          <w:lang w:val="fr-FR"/>
        </w:rPr>
      </w:pPr>
      <w:r w:rsidRPr="00B84D32">
        <w:rPr>
          <w:rStyle w:val="margechar0"/>
          <w:rFonts w:ascii="Arial" w:hAnsi="Arial" w:cs="Arial"/>
          <w:sz w:val="22"/>
          <w:szCs w:val="22"/>
          <w:u w:val="single"/>
          <w:lang w:val="fr-FR"/>
        </w:rPr>
        <w:t>Rappelant la</w:t>
      </w:r>
      <w:r w:rsidRPr="00B84D32">
        <w:rPr>
          <w:rFonts w:ascii="Arial" w:hAnsi="Arial" w:cs="Arial"/>
          <w:sz w:val="22"/>
          <w:szCs w:val="22"/>
          <w:lang w:val="fr-FR"/>
        </w:rPr>
        <w:t xml:space="preserve"> Résolution 4.GA 7 et la décision 6.COM 20, </w:t>
      </w:r>
    </w:p>
    <w:p w:rsidR="003162DE" w:rsidRPr="00B84D32" w:rsidRDefault="003162DE" w:rsidP="007C22F4">
      <w:pPr>
        <w:numPr>
          <w:ilvl w:val="1"/>
          <w:numId w:val="41"/>
        </w:numPr>
        <w:spacing w:before="240" w:after="100" w:afterAutospacing="1"/>
        <w:ind w:left="1134" w:hanging="567"/>
        <w:rPr>
          <w:rFonts w:ascii="Arial" w:hAnsi="Arial" w:cs="Arial"/>
          <w:sz w:val="22"/>
          <w:szCs w:val="22"/>
          <w:lang w:val="fr-FR"/>
        </w:rPr>
      </w:pPr>
      <w:r w:rsidRPr="00B84D32">
        <w:rPr>
          <w:rStyle w:val="margechar0"/>
          <w:rFonts w:ascii="Arial" w:hAnsi="Arial" w:cs="Arial"/>
          <w:sz w:val="22"/>
          <w:szCs w:val="22"/>
          <w:u w:val="single"/>
          <w:lang w:val="fr-FR"/>
        </w:rPr>
        <w:t>Autorise</w:t>
      </w:r>
      <w:r w:rsidRPr="00B84D32">
        <w:rPr>
          <w:rFonts w:ascii="Arial" w:hAnsi="Arial" w:cs="Arial"/>
          <w:sz w:val="22"/>
          <w:szCs w:val="22"/>
          <w:lang w:val="fr-FR"/>
        </w:rPr>
        <w:t xml:space="preserve"> les dépenses spécifiées dans ce document et son annexe; </w:t>
      </w:r>
    </w:p>
    <w:p w:rsidR="003162DE" w:rsidRPr="00B84D32" w:rsidRDefault="00A05AB7" w:rsidP="007C22F4">
      <w:pPr>
        <w:numPr>
          <w:ilvl w:val="1"/>
          <w:numId w:val="41"/>
        </w:numPr>
        <w:spacing w:before="240" w:after="100" w:afterAutospacing="1"/>
        <w:ind w:left="1134" w:hanging="567"/>
        <w:rPr>
          <w:rFonts w:ascii="Arial" w:hAnsi="Arial" w:cs="Arial"/>
          <w:sz w:val="22"/>
          <w:szCs w:val="22"/>
          <w:lang w:val="fr-FR"/>
        </w:rPr>
      </w:pPr>
      <w:r>
        <w:rPr>
          <w:rStyle w:val="margechar0"/>
          <w:rFonts w:ascii="Arial" w:hAnsi="Arial" w:cs="Arial"/>
          <w:sz w:val="22"/>
          <w:szCs w:val="22"/>
          <w:u w:val="single"/>
          <w:lang w:val="fr-FR"/>
        </w:rPr>
        <w:t>Demande</w:t>
      </w:r>
      <w:r w:rsidR="003162DE" w:rsidRPr="00B84D32">
        <w:rPr>
          <w:rFonts w:ascii="Arial" w:hAnsi="Arial" w:cs="Arial"/>
          <w:sz w:val="22"/>
          <w:szCs w:val="22"/>
          <w:lang w:val="fr-FR"/>
        </w:rPr>
        <w:t xml:space="preserve"> </w:t>
      </w:r>
      <w:r>
        <w:rPr>
          <w:rFonts w:ascii="Arial" w:hAnsi="Arial" w:cs="Arial"/>
          <w:sz w:val="22"/>
          <w:szCs w:val="22"/>
          <w:lang w:val="fr-FR"/>
        </w:rPr>
        <w:t>au</w:t>
      </w:r>
      <w:r w:rsidR="003162DE" w:rsidRPr="00B84D32">
        <w:rPr>
          <w:rFonts w:ascii="Arial" w:hAnsi="Arial" w:cs="Arial"/>
          <w:sz w:val="22"/>
          <w:szCs w:val="22"/>
          <w:lang w:val="fr-FR"/>
        </w:rPr>
        <w:t xml:space="preserve"> Secrétariat de </w:t>
      </w:r>
      <w:r>
        <w:rPr>
          <w:rFonts w:ascii="Arial" w:hAnsi="Arial" w:cs="Arial"/>
          <w:sz w:val="22"/>
          <w:szCs w:val="22"/>
          <w:lang w:val="fr-FR"/>
        </w:rPr>
        <w:t>rendre compte de l’avancement</w:t>
      </w:r>
      <w:r w:rsidR="003162DE" w:rsidRPr="00B84D32">
        <w:rPr>
          <w:rFonts w:ascii="Arial" w:hAnsi="Arial" w:cs="Arial"/>
          <w:sz w:val="22"/>
          <w:szCs w:val="22"/>
          <w:lang w:val="fr-FR"/>
        </w:rPr>
        <w:t xml:space="preserve"> de la mise en œuvre et </w:t>
      </w:r>
      <w:r>
        <w:rPr>
          <w:rFonts w:ascii="Arial" w:hAnsi="Arial" w:cs="Arial"/>
          <w:sz w:val="22"/>
          <w:szCs w:val="22"/>
          <w:lang w:val="fr-FR"/>
        </w:rPr>
        <w:t xml:space="preserve">de </w:t>
      </w:r>
      <w:r w:rsidR="003162DE" w:rsidRPr="00B84D32">
        <w:rPr>
          <w:rFonts w:ascii="Arial" w:hAnsi="Arial" w:cs="Arial"/>
          <w:sz w:val="22"/>
          <w:szCs w:val="22"/>
          <w:lang w:val="fr-FR"/>
        </w:rPr>
        <w:t xml:space="preserve">la façon dont les fonds sont dépensés; </w:t>
      </w:r>
    </w:p>
    <w:p w:rsidR="003162DE" w:rsidRPr="00B84D32" w:rsidRDefault="003162DE" w:rsidP="007C22F4">
      <w:pPr>
        <w:numPr>
          <w:ilvl w:val="1"/>
          <w:numId w:val="41"/>
        </w:numPr>
        <w:spacing w:before="240" w:after="100" w:afterAutospacing="1"/>
        <w:ind w:left="1134" w:hanging="567"/>
        <w:rPr>
          <w:rFonts w:ascii="Arial" w:hAnsi="Arial" w:cs="Arial"/>
          <w:sz w:val="22"/>
          <w:szCs w:val="22"/>
          <w:lang w:val="fr-FR"/>
        </w:rPr>
      </w:pPr>
      <w:r w:rsidRPr="00B84D32">
        <w:rPr>
          <w:rStyle w:val="margechar0"/>
          <w:rFonts w:ascii="Arial" w:hAnsi="Arial" w:cs="Arial"/>
          <w:sz w:val="22"/>
          <w:szCs w:val="22"/>
          <w:u w:val="single"/>
          <w:lang w:val="fr-FR"/>
        </w:rPr>
        <w:t>Invite</w:t>
      </w:r>
      <w:r w:rsidRPr="00B84D32">
        <w:rPr>
          <w:rFonts w:ascii="Arial" w:hAnsi="Arial" w:cs="Arial"/>
          <w:sz w:val="22"/>
          <w:szCs w:val="22"/>
          <w:lang w:val="fr-FR"/>
        </w:rPr>
        <w:t xml:space="preserve"> le Président du Comité </w:t>
      </w:r>
      <w:r w:rsidR="000465C7" w:rsidRPr="00B84D32">
        <w:rPr>
          <w:rFonts w:ascii="Arial" w:hAnsi="Arial" w:cs="Arial"/>
          <w:sz w:val="22"/>
          <w:szCs w:val="22"/>
          <w:lang w:val="fr-FR"/>
        </w:rPr>
        <w:t>à</w:t>
      </w:r>
      <w:r w:rsidRPr="00B84D32">
        <w:rPr>
          <w:rFonts w:ascii="Arial" w:hAnsi="Arial" w:cs="Arial"/>
          <w:sz w:val="22"/>
          <w:szCs w:val="22"/>
          <w:lang w:val="fr-FR"/>
        </w:rPr>
        <w:t xml:space="preserve"> porter cette dé</w:t>
      </w:r>
      <w:r w:rsidR="000465C7" w:rsidRPr="00B84D32">
        <w:rPr>
          <w:rFonts w:ascii="Arial" w:hAnsi="Arial" w:cs="Arial"/>
          <w:sz w:val="22"/>
          <w:szCs w:val="22"/>
          <w:lang w:val="fr-FR"/>
        </w:rPr>
        <w:t>cision à l</w:t>
      </w:r>
      <w:r w:rsidR="00B84D32">
        <w:rPr>
          <w:rFonts w:ascii="Arial" w:hAnsi="Arial" w:cs="Arial"/>
          <w:sz w:val="22"/>
          <w:szCs w:val="22"/>
          <w:lang w:val="fr-FR"/>
        </w:rPr>
        <w:t>’</w:t>
      </w:r>
      <w:r w:rsidR="000465C7" w:rsidRPr="00B84D32">
        <w:rPr>
          <w:rFonts w:ascii="Arial" w:hAnsi="Arial" w:cs="Arial"/>
          <w:sz w:val="22"/>
          <w:szCs w:val="22"/>
          <w:lang w:val="fr-FR"/>
        </w:rPr>
        <w:t>attention du Comité lors de</w:t>
      </w:r>
      <w:r w:rsidRPr="00B84D32">
        <w:rPr>
          <w:rFonts w:ascii="Arial" w:hAnsi="Arial" w:cs="Arial"/>
          <w:sz w:val="22"/>
          <w:szCs w:val="22"/>
          <w:lang w:val="fr-FR"/>
        </w:rPr>
        <w:t xml:space="preserve"> sa septième session. </w:t>
      </w:r>
    </w:p>
    <w:p w:rsidR="00A05AB7" w:rsidRPr="00B84D32" w:rsidRDefault="00A05AB7" w:rsidP="00B84D32">
      <w:pPr>
        <w:pStyle w:val="Marge"/>
        <w:tabs>
          <w:tab w:val="clear" w:pos="567"/>
        </w:tabs>
        <w:spacing w:before="240"/>
        <w:rPr>
          <w:lang w:val="fr-FR"/>
        </w:rPr>
        <w:sectPr w:rsidR="00A05AB7" w:rsidRPr="00B84D32" w:rsidSect="00B84D32">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397" w:footer="0" w:gutter="0"/>
          <w:cols w:space="708"/>
          <w:titlePg/>
          <w:docGrid w:linePitch="360"/>
        </w:sectPr>
      </w:pPr>
    </w:p>
    <w:p w:rsidR="000465C7" w:rsidRPr="00B84D32" w:rsidRDefault="000465C7" w:rsidP="0013044A">
      <w:pPr>
        <w:spacing w:before="240" w:after="100" w:afterAutospacing="1"/>
        <w:jc w:val="center"/>
        <w:rPr>
          <w:rFonts w:ascii="Arial" w:hAnsi="Arial" w:cs="Arial"/>
          <w:lang w:val="fr-FR"/>
        </w:rPr>
      </w:pPr>
      <w:r w:rsidRPr="00B84D32">
        <w:rPr>
          <w:rFonts w:ascii="Arial" w:hAnsi="Arial" w:cs="Arial"/>
          <w:b/>
          <w:bCs/>
          <w:lang w:val="fr-FR"/>
        </w:rPr>
        <w:t>ANNEXE</w:t>
      </w:r>
      <w:r w:rsidRPr="00B84D32">
        <w:rPr>
          <w:rFonts w:ascii="Arial" w:hAnsi="Arial" w:cs="Arial"/>
          <w:lang w:val="fr-FR"/>
        </w:rPr>
        <w:t xml:space="preserve"> </w:t>
      </w:r>
    </w:p>
    <w:p w:rsidR="000465C7" w:rsidRPr="00B84D32" w:rsidRDefault="000465C7" w:rsidP="0013044A">
      <w:pPr>
        <w:spacing w:before="240" w:after="100" w:afterAutospacing="1"/>
        <w:jc w:val="center"/>
        <w:rPr>
          <w:rFonts w:ascii="Arial" w:hAnsi="Arial" w:cs="Arial"/>
          <w:lang w:val="fr-FR"/>
        </w:rPr>
      </w:pPr>
      <w:r w:rsidRPr="00B84D32">
        <w:rPr>
          <w:rFonts w:ascii="Arial" w:hAnsi="Arial" w:cs="Arial"/>
          <w:b/>
          <w:bCs/>
          <w:lang w:val="fr-FR"/>
        </w:rPr>
        <w:t>Plan de dép</w:t>
      </w:r>
      <w:r w:rsidR="0013044A">
        <w:rPr>
          <w:rFonts w:ascii="Arial" w:hAnsi="Arial" w:cs="Arial"/>
          <w:b/>
          <w:bCs/>
          <w:lang w:val="fr-FR"/>
        </w:rPr>
        <w:t xml:space="preserve">enses pour les fonds alloués aux </w:t>
      </w:r>
      <w:r w:rsidRPr="00B84D32">
        <w:rPr>
          <w:rFonts w:ascii="Arial" w:hAnsi="Arial" w:cs="Arial"/>
          <w:b/>
          <w:bCs/>
          <w:lang w:val="fr-FR"/>
        </w:rPr>
        <w:t>autres fonctions du Comité</w:t>
      </w:r>
      <w:r w:rsidRPr="00B84D32">
        <w:rPr>
          <w:rFonts w:ascii="Arial" w:hAnsi="Arial" w:cs="Arial"/>
          <w:lang w:val="fr-FR"/>
        </w:rPr>
        <w:t xml:space="preserve"> </w:t>
      </w:r>
      <w:r w:rsidRPr="00B84D32">
        <w:rPr>
          <w:rFonts w:ascii="Arial" w:hAnsi="Arial" w:cs="Arial"/>
          <w:b/>
          <w:bCs/>
          <w:lang w:val="fr-FR"/>
        </w:rPr>
        <w:br/>
      </w:r>
      <w:r w:rsidR="0013044A">
        <w:rPr>
          <w:rFonts w:ascii="Arial" w:hAnsi="Arial" w:cs="Arial"/>
          <w:b/>
          <w:bCs/>
          <w:lang w:val="fr-FR"/>
        </w:rPr>
        <w:t>dans</w:t>
      </w:r>
      <w:r w:rsidRPr="00B84D32">
        <w:rPr>
          <w:rFonts w:ascii="Arial" w:hAnsi="Arial" w:cs="Arial"/>
          <w:b/>
          <w:bCs/>
          <w:lang w:val="fr-FR"/>
        </w:rPr>
        <w:t xml:space="preserve"> </w:t>
      </w:r>
      <w:r w:rsidR="0013044A">
        <w:rPr>
          <w:rFonts w:ascii="Arial" w:hAnsi="Arial" w:cs="Arial"/>
          <w:b/>
          <w:bCs/>
          <w:lang w:val="fr-FR"/>
        </w:rPr>
        <w:t xml:space="preserve">le </w:t>
      </w:r>
      <w:r w:rsidRPr="00B84D32">
        <w:rPr>
          <w:rFonts w:ascii="Arial" w:hAnsi="Arial" w:cs="Arial"/>
          <w:b/>
          <w:bCs/>
          <w:lang w:val="fr-FR"/>
        </w:rPr>
        <w:t xml:space="preserve">Plan </w:t>
      </w:r>
      <w:r w:rsidR="0013044A">
        <w:rPr>
          <w:rFonts w:ascii="Arial" w:hAnsi="Arial" w:cs="Arial"/>
          <w:b/>
          <w:bCs/>
          <w:lang w:val="fr-FR"/>
        </w:rPr>
        <w:t>d</w:t>
      </w:r>
      <w:r w:rsidR="00B84D32">
        <w:rPr>
          <w:rFonts w:ascii="Arial" w:hAnsi="Arial" w:cs="Arial"/>
          <w:b/>
          <w:bCs/>
          <w:lang w:val="fr-FR"/>
        </w:rPr>
        <w:t>’</w:t>
      </w:r>
      <w:r w:rsidRPr="00B84D32">
        <w:rPr>
          <w:rFonts w:ascii="Arial" w:hAnsi="Arial" w:cs="Arial"/>
          <w:b/>
          <w:bCs/>
          <w:lang w:val="fr-FR"/>
        </w:rPr>
        <w:t>utilisation des ressources du Fonds</w:t>
      </w:r>
      <w:r w:rsidRPr="00B84D32">
        <w:rPr>
          <w:rFonts w:ascii="Arial" w:hAnsi="Arial" w:cs="Arial"/>
          <w:lang w:val="fr-FR"/>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5386"/>
        <w:gridCol w:w="1203"/>
      </w:tblGrid>
      <w:tr w:rsidR="002D01C4" w:rsidRPr="00B84D32">
        <w:trPr>
          <w:tblHeader/>
        </w:trPr>
        <w:tc>
          <w:tcPr>
            <w:tcW w:w="3119" w:type="dxa"/>
            <w:shd w:val="clear" w:color="auto" w:fill="A6A6A6" w:themeFill="background1" w:themeFillShade="A6"/>
            <w:vAlign w:val="center"/>
          </w:tcPr>
          <w:p w:rsidR="002D01C4" w:rsidRPr="00B84D32" w:rsidRDefault="0010242E" w:rsidP="0013044A">
            <w:pPr>
              <w:spacing w:before="60" w:after="60"/>
              <w:jc w:val="center"/>
              <w:rPr>
                <w:rFonts w:ascii="Arial" w:hAnsi="Arial" w:cs="Arial"/>
                <w:b/>
                <w:bCs/>
                <w:color w:val="FFFFFF" w:themeColor="background1"/>
                <w:sz w:val="22"/>
                <w:szCs w:val="22"/>
                <w:lang w:val="fr-FR"/>
              </w:rPr>
            </w:pPr>
            <w:bookmarkStart w:id="1" w:name="RANGE!A1:E31"/>
            <w:r w:rsidRPr="00B84D32">
              <w:rPr>
                <w:rFonts w:ascii="Arial" w:hAnsi="Arial" w:cs="Arial"/>
                <w:b/>
                <w:bCs/>
                <w:color w:val="FFFFFF" w:themeColor="background1"/>
                <w:sz w:val="22"/>
                <w:szCs w:val="22"/>
                <w:lang w:val="fr-FR"/>
              </w:rPr>
              <w:t>Activit</w:t>
            </w:r>
            <w:bookmarkEnd w:id="1"/>
            <w:r w:rsidR="000465C7" w:rsidRPr="00B84D32">
              <w:rPr>
                <w:rFonts w:ascii="Arial" w:hAnsi="Arial" w:cs="Arial"/>
                <w:b/>
                <w:bCs/>
                <w:color w:val="FFFFFF" w:themeColor="background1"/>
                <w:sz w:val="22"/>
                <w:szCs w:val="22"/>
                <w:lang w:val="fr-FR"/>
              </w:rPr>
              <w:t>é</w:t>
            </w:r>
          </w:p>
        </w:tc>
        <w:tc>
          <w:tcPr>
            <w:tcW w:w="5386" w:type="dxa"/>
            <w:shd w:val="clear" w:color="auto" w:fill="A6A6A6" w:themeFill="background1" w:themeFillShade="A6"/>
            <w:vAlign w:val="center"/>
          </w:tcPr>
          <w:p w:rsidR="002D01C4" w:rsidRPr="00B84D32" w:rsidRDefault="000465C7" w:rsidP="0013044A">
            <w:pPr>
              <w:spacing w:before="60" w:after="60"/>
              <w:jc w:val="center"/>
              <w:rPr>
                <w:rFonts w:ascii="Arial" w:hAnsi="Arial" w:cs="Arial"/>
                <w:b/>
                <w:bCs/>
                <w:color w:val="FFFFFF" w:themeColor="background1"/>
                <w:sz w:val="22"/>
                <w:szCs w:val="22"/>
                <w:lang w:val="fr-FR"/>
              </w:rPr>
            </w:pPr>
            <w:r w:rsidRPr="00B84D32">
              <w:rPr>
                <w:rFonts w:ascii="Arial" w:hAnsi="Arial" w:cs="Arial"/>
                <w:b/>
                <w:bCs/>
                <w:color w:val="FFFFFF" w:themeColor="background1"/>
                <w:sz w:val="22"/>
                <w:szCs w:val="22"/>
                <w:lang w:val="fr-FR"/>
              </w:rPr>
              <w:t>De</w:t>
            </w:r>
            <w:r w:rsidR="0010242E" w:rsidRPr="00B84D32">
              <w:rPr>
                <w:rFonts w:ascii="Arial" w:hAnsi="Arial" w:cs="Arial"/>
                <w:b/>
                <w:bCs/>
                <w:color w:val="FFFFFF" w:themeColor="background1"/>
                <w:sz w:val="22"/>
                <w:szCs w:val="22"/>
                <w:lang w:val="fr-FR"/>
              </w:rPr>
              <w:t>scription</w:t>
            </w:r>
          </w:p>
        </w:tc>
        <w:tc>
          <w:tcPr>
            <w:tcW w:w="1203" w:type="dxa"/>
            <w:shd w:val="clear" w:color="auto" w:fill="A6A6A6" w:themeFill="background1" w:themeFillShade="A6"/>
            <w:vAlign w:val="center"/>
          </w:tcPr>
          <w:p w:rsidR="002D01C4" w:rsidRPr="00B84D32" w:rsidRDefault="000465C7" w:rsidP="0013044A">
            <w:pPr>
              <w:spacing w:before="60" w:after="60"/>
              <w:jc w:val="center"/>
              <w:rPr>
                <w:rFonts w:ascii="Arial" w:hAnsi="Arial" w:cs="Arial"/>
                <w:b/>
                <w:bCs/>
                <w:color w:val="FFFFFF" w:themeColor="background1"/>
                <w:sz w:val="22"/>
                <w:szCs w:val="22"/>
                <w:lang w:val="fr-FR"/>
              </w:rPr>
            </w:pPr>
            <w:r w:rsidRPr="00B84D32">
              <w:rPr>
                <w:rFonts w:ascii="Arial" w:hAnsi="Arial" w:cs="Arial"/>
                <w:b/>
                <w:bCs/>
                <w:color w:val="FFFFFF" w:themeColor="background1"/>
                <w:sz w:val="22"/>
                <w:szCs w:val="22"/>
                <w:lang w:val="fr-FR"/>
              </w:rPr>
              <w:t>Montant</w:t>
            </w:r>
          </w:p>
        </w:tc>
      </w:tr>
      <w:tr w:rsidR="002D01C4" w:rsidRPr="00B84D32">
        <w:tc>
          <w:tcPr>
            <w:tcW w:w="8505" w:type="dxa"/>
            <w:gridSpan w:val="2"/>
            <w:shd w:val="clear" w:color="auto" w:fill="F2F2F2" w:themeFill="background1" w:themeFillShade="F2"/>
            <w:vAlign w:val="center"/>
          </w:tcPr>
          <w:p w:rsidR="002D01C4" w:rsidRPr="00B84D32" w:rsidRDefault="0010242E" w:rsidP="0013044A">
            <w:pPr>
              <w:spacing w:before="60" w:after="60"/>
              <w:rPr>
                <w:rFonts w:ascii="Arial" w:hAnsi="Arial" w:cs="Arial"/>
                <w:b/>
                <w:bCs/>
                <w:color w:val="000000"/>
                <w:sz w:val="22"/>
                <w:szCs w:val="22"/>
                <w:lang w:val="fr-FR"/>
              </w:rPr>
            </w:pPr>
            <w:r w:rsidRPr="00B84D32">
              <w:rPr>
                <w:rFonts w:ascii="Arial" w:hAnsi="Arial" w:cs="Arial"/>
                <w:b/>
                <w:bCs/>
                <w:color w:val="000000"/>
                <w:sz w:val="22"/>
                <w:szCs w:val="22"/>
                <w:lang w:val="fr-FR"/>
              </w:rPr>
              <w:t xml:space="preserve">A. </w:t>
            </w:r>
            <w:r w:rsidR="000465C7" w:rsidRPr="00B84D32">
              <w:rPr>
                <w:rFonts w:ascii="Arial" w:hAnsi="Arial" w:cs="Arial"/>
                <w:b/>
                <w:bCs/>
                <w:color w:val="000000"/>
                <w:sz w:val="22"/>
                <w:szCs w:val="22"/>
                <w:lang w:val="fr-FR"/>
              </w:rPr>
              <w:t xml:space="preserve">Renforcement des capacités </w:t>
            </w:r>
          </w:p>
        </w:tc>
        <w:tc>
          <w:tcPr>
            <w:tcW w:w="1203" w:type="dxa"/>
            <w:shd w:val="clear" w:color="auto" w:fill="F2F2F2" w:themeFill="background1" w:themeFillShade="F2"/>
            <w:vAlign w:val="center"/>
          </w:tcPr>
          <w:p w:rsidR="002D01C4" w:rsidRPr="00B84D32" w:rsidRDefault="000465C7" w:rsidP="0013044A">
            <w:pPr>
              <w:spacing w:before="60" w:after="60"/>
              <w:jc w:val="right"/>
              <w:rPr>
                <w:rFonts w:ascii="Arial" w:hAnsi="Arial" w:cs="Arial"/>
                <w:b/>
                <w:bCs/>
                <w:color w:val="000000"/>
                <w:sz w:val="22"/>
                <w:szCs w:val="22"/>
                <w:lang w:val="fr-FR"/>
              </w:rPr>
            </w:pPr>
            <w:r w:rsidRPr="00B84D32">
              <w:rPr>
                <w:rFonts w:ascii="Arial" w:hAnsi="Arial" w:cs="Arial"/>
                <w:b/>
                <w:bCs/>
                <w:color w:val="000000"/>
                <w:sz w:val="22"/>
                <w:szCs w:val="22"/>
                <w:lang w:val="fr-FR"/>
              </w:rPr>
              <w:t>255 </w:t>
            </w:r>
            <w:r w:rsidR="0010242E" w:rsidRPr="00B84D32">
              <w:rPr>
                <w:rFonts w:ascii="Arial" w:hAnsi="Arial" w:cs="Arial"/>
                <w:b/>
                <w:bCs/>
                <w:color w:val="000000"/>
                <w:sz w:val="22"/>
                <w:szCs w:val="22"/>
                <w:lang w:val="fr-FR"/>
              </w:rPr>
              <w:t>000</w:t>
            </w:r>
            <w:r w:rsidRPr="00B84D32">
              <w:rPr>
                <w:rFonts w:ascii="Arial" w:hAnsi="Arial" w:cs="Arial"/>
                <w:b/>
                <w:bCs/>
                <w:color w:val="000000"/>
                <w:sz w:val="22"/>
                <w:szCs w:val="22"/>
                <w:lang w:val="fr-FR"/>
              </w:rPr>
              <w:t xml:space="preserve"> $</w:t>
            </w:r>
          </w:p>
        </w:tc>
      </w:tr>
      <w:tr w:rsidR="002D01C4" w:rsidRPr="007456A1">
        <w:tc>
          <w:tcPr>
            <w:tcW w:w="8505" w:type="dxa"/>
            <w:gridSpan w:val="2"/>
            <w:shd w:val="clear" w:color="auto" w:fill="auto"/>
            <w:vAlign w:val="center"/>
          </w:tcPr>
          <w:p w:rsidR="002D01C4" w:rsidRPr="00B84D32" w:rsidRDefault="0010242E" w:rsidP="0013044A">
            <w:pPr>
              <w:spacing w:before="60" w:after="60"/>
              <w:rPr>
                <w:rFonts w:ascii="Arial" w:hAnsi="Arial" w:cs="Arial"/>
                <w:b/>
                <w:bCs/>
                <w:color w:val="000000"/>
                <w:sz w:val="22"/>
                <w:szCs w:val="22"/>
                <w:lang w:val="fr-FR"/>
              </w:rPr>
            </w:pPr>
            <w:r w:rsidRPr="00B84D32">
              <w:rPr>
                <w:rFonts w:ascii="Arial" w:hAnsi="Arial" w:cs="Arial"/>
                <w:b/>
                <w:bCs/>
                <w:color w:val="000000"/>
                <w:sz w:val="22"/>
                <w:szCs w:val="22"/>
                <w:lang w:val="fr-FR"/>
              </w:rPr>
              <w:t xml:space="preserve">A.1 </w:t>
            </w:r>
            <w:r w:rsidR="000465C7" w:rsidRPr="00B84D32">
              <w:rPr>
                <w:rFonts w:ascii="Arial" w:hAnsi="Arial" w:cs="Arial"/>
                <w:b/>
                <w:bCs/>
                <w:color w:val="000000"/>
                <w:sz w:val="22"/>
                <w:szCs w:val="22"/>
                <w:lang w:val="fr-FR"/>
              </w:rPr>
              <w:t>Développement de contenus pour le</w:t>
            </w:r>
            <w:r w:rsidR="0013044A">
              <w:rPr>
                <w:rFonts w:ascii="Arial" w:hAnsi="Arial" w:cs="Arial"/>
                <w:b/>
                <w:bCs/>
                <w:color w:val="000000"/>
                <w:sz w:val="22"/>
                <w:szCs w:val="22"/>
                <w:lang w:val="fr-FR"/>
              </w:rPr>
              <w:t>s</w:t>
            </w:r>
            <w:r w:rsidR="000465C7" w:rsidRPr="00B84D32">
              <w:rPr>
                <w:rFonts w:ascii="Arial" w:hAnsi="Arial" w:cs="Arial"/>
                <w:b/>
                <w:bCs/>
                <w:color w:val="000000"/>
                <w:sz w:val="22"/>
                <w:szCs w:val="22"/>
                <w:lang w:val="fr-FR"/>
              </w:rPr>
              <w:t xml:space="preserve"> nouveau</w:t>
            </w:r>
            <w:r w:rsidR="0013044A">
              <w:rPr>
                <w:rFonts w:ascii="Arial" w:hAnsi="Arial" w:cs="Arial"/>
                <w:b/>
                <w:bCs/>
                <w:color w:val="000000"/>
                <w:sz w:val="22"/>
                <w:szCs w:val="22"/>
                <w:lang w:val="fr-FR"/>
              </w:rPr>
              <w:t>x</w:t>
            </w:r>
            <w:r w:rsidR="000465C7" w:rsidRPr="00B84D32">
              <w:rPr>
                <w:rFonts w:ascii="Arial" w:hAnsi="Arial" w:cs="Arial"/>
                <w:b/>
                <w:bCs/>
                <w:color w:val="000000"/>
                <w:sz w:val="22"/>
                <w:szCs w:val="22"/>
                <w:lang w:val="fr-FR"/>
              </w:rPr>
              <w:t xml:space="preserve"> </w:t>
            </w:r>
            <w:r w:rsidR="0013044A">
              <w:rPr>
                <w:rFonts w:ascii="Arial" w:hAnsi="Arial" w:cs="Arial"/>
                <w:b/>
                <w:bCs/>
                <w:color w:val="000000"/>
                <w:sz w:val="22"/>
                <w:szCs w:val="22"/>
                <w:lang w:val="fr-FR"/>
              </w:rPr>
              <w:t>supports</w:t>
            </w:r>
            <w:r w:rsidR="000465C7" w:rsidRPr="00B84D32">
              <w:rPr>
                <w:rFonts w:ascii="Arial" w:hAnsi="Arial" w:cs="Arial"/>
                <w:b/>
                <w:bCs/>
                <w:color w:val="000000"/>
                <w:sz w:val="22"/>
                <w:szCs w:val="22"/>
                <w:lang w:val="fr-FR"/>
              </w:rPr>
              <w:t xml:space="preserve"> de renforcement des capacités</w:t>
            </w:r>
            <w:r w:rsidR="007C22F4">
              <w:rPr>
                <w:rFonts w:ascii="Arial" w:hAnsi="Arial" w:cs="Arial"/>
                <w:b/>
                <w:bCs/>
                <w:color w:val="000000"/>
                <w:sz w:val="22"/>
                <w:szCs w:val="22"/>
                <w:lang w:val="fr-FR"/>
              </w:rPr>
              <w:t> :</w:t>
            </w:r>
            <w:r w:rsidRPr="00B84D32">
              <w:rPr>
                <w:rFonts w:ascii="Arial" w:hAnsi="Arial" w:cs="Arial"/>
                <w:b/>
                <w:bCs/>
                <w:color w:val="000000"/>
                <w:sz w:val="22"/>
                <w:szCs w:val="22"/>
                <w:lang w:val="fr-FR"/>
              </w:rPr>
              <w:t xml:space="preserve"> </w:t>
            </w:r>
            <w:r w:rsidR="000465C7" w:rsidRPr="00B84D32">
              <w:rPr>
                <w:rFonts w:ascii="Arial" w:hAnsi="Arial" w:cs="Arial"/>
                <w:b/>
                <w:color w:val="000000"/>
                <w:sz w:val="22"/>
                <w:szCs w:val="22"/>
                <w:lang w:val="fr-FR"/>
              </w:rPr>
              <w:t>élaboration de plans de sauvegarde, patrimoine culturel immatériel et développement durable</w:t>
            </w:r>
          </w:p>
        </w:tc>
        <w:tc>
          <w:tcPr>
            <w:tcW w:w="1203" w:type="dxa"/>
            <w:shd w:val="clear" w:color="auto" w:fill="auto"/>
            <w:vAlign w:val="center"/>
          </w:tcPr>
          <w:p w:rsidR="002D01C4" w:rsidRPr="00B84D32" w:rsidRDefault="002D01C4" w:rsidP="0013044A">
            <w:pPr>
              <w:spacing w:before="60" w:after="60"/>
              <w:rPr>
                <w:rFonts w:ascii="Arial" w:hAnsi="Arial" w:cs="Arial"/>
                <w:color w:val="000000"/>
                <w:sz w:val="22"/>
                <w:szCs w:val="22"/>
                <w:lang w:val="fr-FR"/>
              </w:rPr>
            </w:pPr>
          </w:p>
        </w:tc>
      </w:tr>
      <w:tr w:rsidR="002D01C4" w:rsidRPr="00B84D32">
        <w:tc>
          <w:tcPr>
            <w:tcW w:w="3119" w:type="dxa"/>
            <w:shd w:val="clear" w:color="auto" w:fill="auto"/>
            <w:vAlign w:val="center"/>
          </w:tcPr>
          <w:p w:rsidR="002D01C4" w:rsidRPr="00B84D32" w:rsidRDefault="000465C7" w:rsidP="0013044A">
            <w:pPr>
              <w:spacing w:before="60" w:after="60"/>
              <w:rPr>
                <w:rFonts w:ascii="Arial" w:hAnsi="Arial" w:cs="Arial"/>
                <w:color w:val="000000"/>
                <w:sz w:val="22"/>
                <w:szCs w:val="22"/>
                <w:lang w:val="fr-FR"/>
              </w:rPr>
            </w:pPr>
            <w:r w:rsidRPr="00B84D32">
              <w:rPr>
                <w:rFonts w:ascii="Arial" w:hAnsi="Arial" w:cs="Arial"/>
                <w:bCs/>
                <w:color w:val="000000"/>
                <w:sz w:val="22"/>
                <w:szCs w:val="22"/>
                <w:lang w:val="fr-FR"/>
              </w:rPr>
              <w:t xml:space="preserve">Développement de contenus pour les manuels des facilitateurs et des participants </w:t>
            </w:r>
          </w:p>
        </w:tc>
        <w:tc>
          <w:tcPr>
            <w:tcW w:w="5386" w:type="dxa"/>
            <w:shd w:val="clear" w:color="auto" w:fill="auto"/>
            <w:vAlign w:val="center"/>
          </w:tcPr>
          <w:p w:rsidR="002D01C4" w:rsidRPr="00B84D32" w:rsidRDefault="000465C7" w:rsidP="0013044A">
            <w:pPr>
              <w:spacing w:before="60" w:after="60"/>
              <w:rPr>
                <w:rFonts w:ascii="Arial" w:hAnsi="Arial" w:cs="Arial"/>
                <w:color w:val="000000"/>
                <w:sz w:val="22"/>
                <w:szCs w:val="22"/>
                <w:lang w:val="fr-FR"/>
              </w:rPr>
            </w:pPr>
            <w:r w:rsidRPr="00B84D32">
              <w:rPr>
                <w:rFonts w:ascii="Arial" w:hAnsi="Arial" w:cs="Arial"/>
                <w:color w:val="000000"/>
                <w:sz w:val="22"/>
                <w:szCs w:val="22"/>
                <w:lang w:val="fr-FR"/>
              </w:rPr>
              <w:t xml:space="preserve">Services professionnels pour le développement de contenus </w:t>
            </w:r>
          </w:p>
        </w:tc>
        <w:tc>
          <w:tcPr>
            <w:tcW w:w="1203" w:type="dxa"/>
            <w:shd w:val="clear" w:color="auto" w:fill="auto"/>
            <w:vAlign w:val="center"/>
          </w:tcPr>
          <w:p w:rsidR="002D01C4" w:rsidRPr="00B84D32" w:rsidRDefault="000465C7" w:rsidP="0013044A">
            <w:pPr>
              <w:spacing w:before="60" w:after="60"/>
              <w:jc w:val="right"/>
              <w:rPr>
                <w:rFonts w:ascii="Arial" w:hAnsi="Arial" w:cs="Arial"/>
                <w:color w:val="000000"/>
                <w:sz w:val="22"/>
                <w:szCs w:val="22"/>
                <w:lang w:val="fr-FR"/>
              </w:rPr>
            </w:pPr>
            <w:r w:rsidRPr="00B84D32">
              <w:rPr>
                <w:rFonts w:ascii="Arial" w:hAnsi="Arial" w:cs="Arial"/>
                <w:color w:val="000000"/>
                <w:sz w:val="22"/>
                <w:szCs w:val="22"/>
                <w:lang w:val="fr-FR"/>
              </w:rPr>
              <w:t>65 </w:t>
            </w:r>
            <w:r w:rsidR="0010242E" w:rsidRPr="00B84D32">
              <w:rPr>
                <w:rFonts w:ascii="Arial" w:hAnsi="Arial" w:cs="Arial"/>
                <w:color w:val="000000"/>
                <w:sz w:val="22"/>
                <w:szCs w:val="22"/>
                <w:lang w:val="fr-FR"/>
              </w:rPr>
              <w:t>000</w:t>
            </w:r>
            <w:r w:rsidRPr="00B84D32">
              <w:rPr>
                <w:rFonts w:ascii="Arial" w:hAnsi="Arial" w:cs="Arial"/>
                <w:color w:val="000000"/>
                <w:sz w:val="22"/>
                <w:szCs w:val="22"/>
                <w:lang w:val="fr-FR"/>
              </w:rPr>
              <w:t xml:space="preserve"> $</w:t>
            </w:r>
          </w:p>
        </w:tc>
      </w:tr>
      <w:tr w:rsidR="002D01C4" w:rsidRPr="007456A1">
        <w:tc>
          <w:tcPr>
            <w:tcW w:w="8505" w:type="dxa"/>
            <w:gridSpan w:val="2"/>
            <w:shd w:val="clear" w:color="auto" w:fill="auto"/>
            <w:vAlign w:val="center"/>
          </w:tcPr>
          <w:p w:rsidR="00D305D0" w:rsidRPr="00B84D32" w:rsidRDefault="00E747EB" w:rsidP="0013044A">
            <w:pPr>
              <w:spacing w:before="60" w:after="60"/>
              <w:rPr>
                <w:rFonts w:ascii="Arial" w:hAnsi="Arial" w:cs="Arial"/>
                <w:b/>
                <w:color w:val="000000"/>
                <w:sz w:val="22"/>
                <w:szCs w:val="22"/>
                <w:lang w:val="fr-FR"/>
              </w:rPr>
            </w:pPr>
            <w:r w:rsidRPr="00B84D32">
              <w:rPr>
                <w:rFonts w:ascii="Arial" w:hAnsi="Arial" w:cs="Arial"/>
                <w:b/>
                <w:color w:val="000000"/>
                <w:sz w:val="22"/>
                <w:szCs w:val="22"/>
                <w:lang w:val="fr-FR"/>
              </w:rPr>
              <w:t>A</w:t>
            </w:r>
            <w:r w:rsidRPr="00B84D32">
              <w:rPr>
                <w:rFonts w:ascii="Arial" w:hAnsi="Arial" w:cs="Arial"/>
                <w:b/>
                <w:bCs/>
                <w:color w:val="000000"/>
                <w:sz w:val="22"/>
                <w:szCs w:val="22"/>
                <w:lang w:val="fr-FR"/>
              </w:rPr>
              <w:t>.</w:t>
            </w:r>
            <w:r w:rsidRPr="00B84D32">
              <w:rPr>
                <w:rFonts w:ascii="Arial" w:hAnsi="Arial" w:cs="Arial"/>
                <w:b/>
                <w:color w:val="000000"/>
                <w:sz w:val="22"/>
                <w:szCs w:val="22"/>
                <w:lang w:val="fr-FR"/>
              </w:rPr>
              <w:t>2 Production de</w:t>
            </w:r>
            <w:r w:rsidR="00CF5FD2">
              <w:rPr>
                <w:rFonts w:ascii="Arial" w:hAnsi="Arial" w:cs="Arial"/>
                <w:b/>
                <w:color w:val="000000"/>
                <w:sz w:val="22"/>
                <w:szCs w:val="22"/>
                <w:lang w:val="fr-FR"/>
              </w:rPr>
              <w:t>s</w:t>
            </w:r>
            <w:r w:rsidR="0013044A">
              <w:rPr>
                <w:rFonts w:ascii="Arial" w:hAnsi="Arial" w:cs="Arial"/>
                <w:b/>
                <w:color w:val="000000"/>
                <w:sz w:val="22"/>
                <w:szCs w:val="22"/>
                <w:lang w:val="fr-FR"/>
              </w:rPr>
              <w:t xml:space="preserve"> supports</w:t>
            </w:r>
            <w:r w:rsidRPr="00B84D32">
              <w:rPr>
                <w:rFonts w:ascii="Arial" w:hAnsi="Arial" w:cs="Arial"/>
                <w:b/>
                <w:color w:val="000000"/>
                <w:sz w:val="22"/>
                <w:szCs w:val="22"/>
                <w:lang w:val="fr-FR"/>
              </w:rPr>
              <w:t xml:space="preserve"> </w:t>
            </w:r>
            <w:r w:rsidR="0013044A" w:rsidRPr="00B84D32">
              <w:rPr>
                <w:rFonts w:ascii="Arial" w:hAnsi="Arial" w:cs="Arial"/>
                <w:b/>
                <w:color w:val="000000"/>
                <w:sz w:val="22"/>
                <w:szCs w:val="22"/>
                <w:lang w:val="fr-FR"/>
              </w:rPr>
              <w:t>de renforcement des capacités</w:t>
            </w:r>
            <w:r w:rsidR="0013044A">
              <w:rPr>
                <w:rFonts w:ascii="Arial" w:hAnsi="Arial" w:cs="Arial"/>
                <w:b/>
                <w:color w:val="000000"/>
                <w:sz w:val="22"/>
                <w:szCs w:val="22"/>
                <w:lang w:val="fr-FR"/>
              </w:rPr>
              <w:t xml:space="preserve"> existants</w:t>
            </w:r>
            <w:r w:rsidR="007C22F4">
              <w:rPr>
                <w:rFonts w:ascii="Arial" w:hAnsi="Arial" w:cs="Arial"/>
                <w:b/>
                <w:color w:val="000000"/>
                <w:sz w:val="22"/>
                <w:szCs w:val="22"/>
                <w:lang w:val="fr-FR"/>
              </w:rPr>
              <w:t>:</w:t>
            </w:r>
            <w:r w:rsidRPr="00B84D32">
              <w:rPr>
                <w:rFonts w:ascii="Arial" w:hAnsi="Arial" w:cs="Arial"/>
                <w:b/>
                <w:color w:val="000000"/>
                <w:sz w:val="22"/>
                <w:szCs w:val="22"/>
                <w:lang w:val="fr-FR"/>
              </w:rPr>
              <w:t xml:space="preserve"> mise en œuvre nationale, inventaire, </w:t>
            </w:r>
            <w:r w:rsidR="0013044A">
              <w:rPr>
                <w:rFonts w:ascii="Arial" w:hAnsi="Arial" w:cs="Arial"/>
                <w:b/>
                <w:color w:val="000000"/>
                <w:sz w:val="22"/>
                <w:szCs w:val="22"/>
                <w:lang w:val="fr-FR"/>
              </w:rPr>
              <w:t>élaboration de dossiers</w:t>
            </w:r>
          </w:p>
        </w:tc>
        <w:tc>
          <w:tcPr>
            <w:tcW w:w="1203" w:type="dxa"/>
            <w:shd w:val="clear" w:color="auto" w:fill="auto"/>
            <w:vAlign w:val="center"/>
          </w:tcPr>
          <w:p w:rsidR="002D01C4" w:rsidRPr="00B84D32" w:rsidRDefault="002D01C4" w:rsidP="0013044A">
            <w:pPr>
              <w:spacing w:before="60" w:after="60"/>
              <w:rPr>
                <w:rFonts w:ascii="Arial" w:hAnsi="Arial" w:cs="Arial"/>
                <w:color w:val="000000"/>
                <w:sz w:val="22"/>
                <w:szCs w:val="22"/>
                <w:lang w:val="fr-FR"/>
              </w:rPr>
            </w:pPr>
          </w:p>
        </w:tc>
      </w:tr>
      <w:tr w:rsidR="002D01C4" w:rsidRPr="00B84D32">
        <w:tc>
          <w:tcPr>
            <w:tcW w:w="3119" w:type="dxa"/>
            <w:shd w:val="clear" w:color="auto" w:fill="auto"/>
            <w:vAlign w:val="center"/>
          </w:tcPr>
          <w:p w:rsidR="002D01C4" w:rsidRPr="00B84D32" w:rsidRDefault="00E747EB" w:rsidP="0013044A">
            <w:pPr>
              <w:spacing w:before="60" w:after="60"/>
              <w:rPr>
                <w:rFonts w:ascii="Arial" w:hAnsi="Arial" w:cs="Arial"/>
                <w:color w:val="000000"/>
                <w:sz w:val="22"/>
                <w:szCs w:val="22"/>
                <w:lang w:val="fr-FR"/>
              </w:rPr>
            </w:pPr>
            <w:r w:rsidRPr="00B84D32">
              <w:rPr>
                <w:rFonts w:ascii="Arial" w:hAnsi="Arial" w:cs="Arial"/>
                <w:color w:val="000000"/>
                <w:sz w:val="22"/>
                <w:szCs w:val="22"/>
                <w:lang w:val="fr-FR"/>
              </w:rPr>
              <w:t>Pré</w:t>
            </w:r>
            <w:r w:rsidR="0010242E" w:rsidRPr="00B84D32">
              <w:rPr>
                <w:rFonts w:ascii="Arial" w:hAnsi="Arial" w:cs="Arial"/>
                <w:color w:val="000000"/>
                <w:sz w:val="22"/>
                <w:szCs w:val="22"/>
                <w:lang w:val="fr-FR"/>
              </w:rPr>
              <w:t>-production</w:t>
            </w:r>
          </w:p>
        </w:tc>
        <w:tc>
          <w:tcPr>
            <w:tcW w:w="5386" w:type="dxa"/>
            <w:shd w:val="clear" w:color="auto" w:fill="auto"/>
            <w:vAlign w:val="center"/>
          </w:tcPr>
          <w:p w:rsidR="002D01C4" w:rsidRPr="00B84D32" w:rsidRDefault="00E747EB" w:rsidP="007456A1">
            <w:pPr>
              <w:spacing w:before="60" w:after="60"/>
              <w:rPr>
                <w:rFonts w:ascii="Arial" w:hAnsi="Arial" w:cs="Arial"/>
                <w:color w:val="000000"/>
                <w:sz w:val="22"/>
                <w:szCs w:val="22"/>
                <w:lang w:val="fr-FR"/>
              </w:rPr>
            </w:pPr>
            <w:r w:rsidRPr="00B84D32">
              <w:rPr>
                <w:rStyle w:val="normal0020tablechar"/>
                <w:rFonts w:ascii="Arial" w:hAnsi="Arial" w:cs="Arial"/>
                <w:sz w:val="22"/>
                <w:szCs w:val="22"/>
                <w:lang w:val="fr-FR"/>
              </w:rPr>
              <w:t>Services professionnels pour</w:t>
            </w:r>
            <w:r w:rsidR="007456A1">
              <w:rPr>
                <w:rStyle w:val="normal0020tablechar"/>
                <w:rFonts w:ascii="Arial" w:hAnsi="Arial" w:cs="Arial"/>
                <w:sz w:val="22"/>
                <w:szCs w:val="22"/>
                <w:lang w:val="fr-FR"/>
              </w:rPr>
              <w:t xml:space="preserve"> la traduction</w:t>
            </w:r>
            <w:r w:rsidR="00D305D0" w:rsidRPr="00B84D32">
              <w:rPr>
                <w:rStyle w:val="normal0020tablechar"/>
                <w:rFonts w:ascii="Arial" w:hAnsi="Arial" w:cs="Arial"/>
                <w:sz w:val="22"/>
                <w:szCs w:val="22"/>
                <w:lang w:val="fr-FR"/>
              </w:rPr>
              <w:t>, la</w:t>
            </w:r>
            <w:r w:rsidRPr="00B84D32">
              <w:rPr>
                <w:rStyle w:val="normal0020tablechar"/>
                <w:rFonts w:ascii="Arial" w:hAnsi="Arial" w:cs="Arial"/>
                <w:sz w:val="22"/>
                <w:szCs w:val="22"/>
                <w:lang w:val="fr-FR"/>
              </w:rPr>
              <w:t xml:space="preserve"> </w:t>
            </w:r>
            <w:r w:rsidR="00D305D0" w:rsidRPr="00B84D32">
              <w:rPr>
                <w:rStyle w:val="normal0020tablechar"/>
                <w:rFonts w:ascii="Arial" w:hAnsi="Arial" w:cs="Arial"/>
                <w:sz w:val="22"/>
                <w:szCs w:val="22"/>
                <w:lang w:val="fr-FR"/>
              </w:rPr>
              <w:t>préparation de</w:t>
            </w:r>
            <w:r w:rsidR="007456A1">
              <w:rPr>
                <w:rStyle w:val="normal0020tablechar"/>
                <w:rFonts w:ascii="Arial" w:hAnsi="Arial" w:cs="Arial"/>
                <w:sz w:val="22"/>
                <w:szCs w:val="22"/>
                <w:lang w:val="fr-FR"/>
              </w:rPr>
              <w:t xml:space="preserve"> copies,</w:t>
            </w:r>
            <w:r w:rsidR="00DF22A7">
              <w:rPr>
                <w:rStyle w:val="normal0020tablechar"/>
                <w:rFonts w:ascii="Arial" w:hAnsi="Arial" w:cs="Arial"/>
                <w:sz w:val="22"/>
                <w:szCs w:val="22"/>
                <w:lang w:val="fr-FR"/>
              </w:rPr>
              <w:t xml:space="preserve"> </w:t>
            </w:r>
            <w:r w:rsidR="00D305D0" w:rsidRPr="00B84D32">
              <w:rPr>
                <w:rStyle w:val="normal0020tablechar"/>
                <w:rFonts w:ascii="Arial" w:hAnsi="Arial" w:cs="Arial"/>
                <w:sz w:val="22"/>
                <w:szCs w:val="22"/>
                <w:lang w:val="fr-FR"/>
              </w:rPr>
              <w:t xml:space="preserve">la </w:t>
            </w:r>
            <w:r w:rsidR="009622EE" w:rsidRPr="00B84D32">
              <w:rPr>
                <w:rStyle w:val="normal0020tablechar"/>
                <w:rFonts w:ascii="Arial" w:hAnsi="Arial" w:cs="Arial"/>
                <w:sz w:val="22"/>
                <w:szCs w:val="22"/>
                <w:lang w:val="fr-FR"/>
              </w:rPr>
              <w:t xml:space="preserve">conception graphique </w:t>
            </w:r>
            <w:r w:rsidRPr="00B84D32">
              <w:rPr>
                <w:rStyle w:val="normal0020tablechar"/>
                <w:rFonts w:ascii="Arial" w:hAnsi="Arial" w:cs="Arial"/>
                <w:sz w:val="22"/>
                <w:szCs w:val="22"/>
                <w:lang w:val="fr-FR"/>
              </w:rPr>
              <w:t xml:space="preserve">et </w:t>
            </w:r>
            <w:r w:rsidR="00D305D0" w:rsidRPr="00B84D32">
              <w:rPr>
                <w:rStyle w:val="normal0020tablechar"/>
                <w:rFonts w:ascii="Arial" w:hAnsi="Arial" w:cs="Arial"/>
                <w:sz w:val="22"/>
                <w:szCs w:val="22"/>
                <w:lang w:val="fr-FR"/>
              </w:rPr>
              <w:t xml:space="preserve">la </w:t>
            </w:r>
            <w:r w:rsidRPr="00B84D32">
              <w:rPr>
                <w:rStyle w:val="normal0020tablechar"/>
                <w:rFonts w:ascii="Arial" w:hAnsi="Arial" w:cs="Arial"/>
                <w:sz w:val="22"/>
                <w:szCs w:val="22"/>
                <w:lang w:val="fr-FR"/>
              </w:rPr>
              <w:t>mise en page en anglais et en français</w:t>
            </w:r>
          </w:p>
        </w:tc>
        <w:tc>
          <w:tcPr>
            <w:tcW w:w="1203" w:type="dxa"/>
            <w:shd w:val="clear" w:color="auto" w:fill="auto"/>
            <w:vAlign w:val="center"/>
          </w:tcPr>
          <w:p w:rsidR="002D01C4" w:rsidRPr="00B84D32" w:rsidRDefault="00E747EB" w:rsidP="0013044A">
            <w:pPr>
              <w:spacing w:before="60" w:after="60"/>
              <w:jc w:val="right"/>
              <w:rPr>
                <w:rFonts w:ascii="Arial" w:hAnsi="Arial" w:cs="Arial"/>
                <w:color w:val="000000"/>
                <w:sz w:val="22"/>
                <w:szCs w:val="22"/>
                <w:lang w:val="fr-FR"/>
              </w:rPr>
            </w:pPr>
            <w:r w:rsidRPr="00B84D32">
              <w:rPr>
                <w:rFonts w:ascii="Arial" w:hAnsi="Arial" w:cs="Arial"/>
                <w:color w:val="000000"/>
                <w:sz w:val="22"/>
                <w:szCs w:val="22"/>
                <w:lang w:val="fr-FR"/>
              </w:rPr>
              <w:t>90 </w:t>
            </w:r>
            <w:r w:rsidR="0010242E" w:rsidRPr="00B84D32">
              <w:rPr>
                <w:rFonts w:ascii="Arial" w:hAnsi="Arial" w:cs="Arial"/>
                <w:color w:val="000000"/>
                <w:sz w:val="22"/>
                <w:szCs w:val="22"/>
                <w:lang w:val="fr-FR"/>
              </w:rPr>
              <w:t>000</w:t>
            </w:r>
            <w:r w:rsidRPr="00B84D32">
              <w:rPr>
                <w:rFonts w:ascii="Arial" w:hAnsi="Arial" w:cs="Arial"/>
                <w:color w:val="000000"/>
                <w:sz w:val="22"/>
                <w:szCs w:val="22"/>
                <w:lang w:val="fr-FR"/>
              </w:rPr>
              <w:t xml:space="preserve"> $</w:t>
            </w:r>
          </w:p>
        </w:tc>
      </w:tr>
      <w:tr w:rsidR="002D01C4" w:rsidRPr="007456A1">
        <w:tc>
          <w:tcPr>
            <w:tcW w:w="8505" w:type="dxa"/>
            <w:gridSpan w:val="2"/>
            <w:shd w:val="clear" w:color="auto" w:fill="auto"/>
            <w:vAlign w:val="center"/>
          </w:tcPr>
          <w:p w:rsidR="002D01C4" w:rsidRPr="00B84D32" w:rsidRDefault="0010242E" w:rsidP="0013044A">
            <w:pPr>
              <w:spacing w:before="60" w:after="60"/>
              <w:rPr>
                <w:rFonts w:ascii="Arial" w:hAnsi="Arial" w:cs="Arial"/>
                <w:b/>
                <w:bCs/>
                <w:color w:val="000000"/>
                <w:sz w:val="22"/>
                <w:szCs w:val="22"/>
                <w:lang w:val="fr-FR"/>
              </w:rPr>
            </w:pPr>
            <w:r w:rsidRPr="00B84D32">
              <w:rPr>
                <w:rFonts w:ascii="Arial" w:hAnsi="Arial" w:cs="Arial"/>
                <w:b/>
                <w:bCs/>
                <w:color w:val="000000"/>
                <w:sz w:val="22"/>
                <w:szCs w:val="22"/>
                <w:lang w:val="fr-FR"/>
              </w:rPr>
              <w:t xml:space="preserve">A.3 </w:t>
            </w:r>
            <w:r w:rsidR="00E747EB" w:rsidRPr="00B84D32">
              <w:rPr>
                <w:rFonts w:ascii="Arial" w:hAnsi="Arial" w:cs="Arial"/>
                <w:b/>
                <w:bCs/>
                <w:color w:val="000000"/>
                <w:sz w:val="22"/>
                <w:szCs w:val="22"/>
                <w:lang w:val="fr-FR"/>
              </w:rPr>
              <w:t xml:space="preserve">Atelier de bilan pour les facilitateurs formés </w:t>
            </w:r>
          </w:p>
        </w:tc>
        <w:tc>
          <w:tcPr>
            <w:tcW w:w="1203" w:type="dxa"/>
            <w:shd w:val="clear" w:color="auto" w:fill="auto"/>
            <w:vAlign w:val="center"/>
          </w:tcPr>
          <w:p w:rsidR="002D01C4" w:rsidRPr="00B84D32" w:rsidRDefault="002D01C4" w:rsidP="0013044A">
            <w:pPr>
              <w:spacing w:before="60" w:after="60"/>
              <w:rPr>
                <w:rFonts w:ascii="Arial" w:hAnsi="Arial" w:cs="Arial"/>
                <w:color w:val="000000"/>
                <w:sz w:val="22"/>
                <w:szCs w:val="22"/>
                <w:lang w:val="fr-FR"/>
              </w:rPr>
            </w:pPr>
          </w:p>
        </w:tc>
      </w:tr>
      <w:tr w:rsidR="002D01C4" w:rsidRPr="00B84D32">
        <w:tc>
          <w:tcPr>
            <w:tcW w:w="3119" w:type="dxa"/>
            <w:shd w:val="clear" w:color="auto" w:fill="auto"/>
            <w:vAlign w:val="center"/>
          </w:tcPr>
          <w:p w:rsidR="002D01C4" w:rsidRPr="00B84D32" w:rsidRDefault="00E747EB" w:rsidP="0013044A">
            <w:pPr>
              <w:spacing w:before="60" w:after="60"/>
              <w:rPr>
                <w:rFonts w:ascii="Arial" w:hAnsi="Arial" w:cs="Arial"/>
                <w:color w:val="000000"/>
                <w:sz w:val="22"/>
                <w:szCs w:val="22"/>
                <w:lang w:val="fr-FR"/>
              </w:rPr>
            </w:pPr>
            <w:r w:rsidRPr="00B84D32">
              <w:rPr>
                <w:rFonts w:ascii="Arial" w:hAnsi="Arial" w:cs="Arial"/>
                <w:color w:val="000000"/>
                <w:sz w:val="22"/>
                <w:szCs w:val="22"/>
                <w:lang w:val="fr-FR"/>
              </w:rPr>
              <w:t>Atelier pour 10 à 15 facilitateurs</w:t>
            </w:r>
          </w:p>
        </w:tc>
        <w:tc>
          <w:tcPr>
            <w:tcW w:w="5386" w:type="dxa"/>
            <w:shd w:val="clear" w:color="auto" w:fill="auto"/>
            <w:vAlign w:val="center"/>
          </w:tcPr>
          <w:p w:rsidR="002D01C4" w:rsidRPr="00B84D32" w:rsidRDefault="00E747EB" w:rsidP="0013044A">
            <w:pPr>
              <w:spacing w:before="60" w:after="60"/>
              <w:rPr>
                <w:rFonts w:ascii="Arial" w:hAnsi="Arial" w:cs="Arial"/>
                <w:color w:val="000000"/>
                <w:sz w:val="22"/>
                <w:szCs w:val="22"/>
                <w:lang w:val="fr-FR"/>
              </w:rPr>
            </w:pPr>
            <w:r w:rsidRPr="00B84D32">
              <w:rPr>
                <w:rStyle w:val="normal0020tablechar"/>
                <w:rFonts w:ascii="Arial" w:hAnsi="Arial" w:cs="Arial"/>
                <w:sz w:val="22"/>
                <w:szCs w:val="22"/>
                <w:lang w:val="fr-FR"/>
              </w:rPr>
              <w:t xml:space="preserve">Voyage et séjour des participants, salles de réunion et équipement, frais de reproduction, déplacements locaux, hospitalité, </w:t>
            </w:r>
            <w:r w:rsidR="004024D1" w:rsidRPr="00B84D32">
              <w:rPr>
                <w:rStyle w:val="normal0020tablechar"/>
                <w:rFonts w:ascii="Arial" w:hAnsi="Arial" w:cs="Arial"/>
                <w:sz w:val="22"/>
                <w:szCs w:val="22"/>
                <w:lang w:val="fr-FR"/>
              </w:rPr>
              <w:t>communication</w:t>
            </w:r>
            <w:r w:rsidRPr="00B84D32">
              <w:rPr>
                <w:rStyle w:val="normal0020tablechar"/>
                <w:rFonts w:ascii="Arial" w:hAnsi="Arial" w:cs="Arial"/>
                <w:sz w:val="22"/>
                <w:szCs w:val="22"/>
                <w:lang w:val="fr-FR"/>
              </w:rPr>
              <w:t>, expédition</w:t>
            </w:r>
          </w:p>
        </w:tc>
        <w:tc>
          <w:tcPr>
            <w:tcW w:w="1203" w:type="dxa"/>
            <w:shd w:val="clear" w:color="auto" w:fill="auto"/>
            <w:vAlign w:val="center"/>
          </w:tcPr>
          <w:p w:rsidR="002D01C4" w:rsidRPr="00B84D32" w:rsidRDefault="00E747EB" w:rsidP="0013044A">
            <w:pPr>
              <w:spacing w:before="60" w:after="60"/>
              <w:jc w:val="right"/>
              <w:rPr>
                <w:rFonts w:ascii="Arial" w:hAnsi="Arial" w:cs="Arial"/>
                <w:color w:val="000000"/>
                <w:sz w:val="22"/>
                <w:szCs w:val="22"/>
                <w:lang w:val="fr-FR"/>
              </w:rPr>
            </w:pPr>
            <w:r w:rsidRPr="00B84D32">
              <w:rPr>
                <w:rFonts w:ascii="Arial" w:hAnsi="Arial" w:cs="Arial"/>
                <w:color w:val="000000"/>
                <w:sz w:val="22"/>
                <w:szCs w:val="22"/>
                <w:lang w:val="fr-FR"/>
              </w:rPr>
              <w:t>80 </w:t>
            </w:r>
            <w:r w:rsidR="0010242E" w:rsidRPr="00B84D32">
              <w:rPr>
                <w:rFonts w:ascii="Arial" w:hAnsi="Arial" w:cs="Arial"/>
                <w:color w:val="000000"/>
                <w:sz w:val="22"/>
                <w:szCs w:val="22"/>
                <w:lang w:val="fr-FR"/>
              </w:rPr>
              <w:t>000</w:t>
            </w:r>
            <w:r w:rsidRPr="00B84D32">
              <w:rPr>
                <w:rFonts w:ascii="Arial" w:hAnsi="Arial" w:cs="Arial"/>
                <w:color w:val="000000"/>
                <w:sz w:val="22"/>
                <w:szCs w:val="22"/>
                <w:lang w:val="fr-FR"/>
              </w:rPr>
              <w:t xml:space="preserve"> $</w:t>
            </w:r>
          </w:p>
        </w:tc>
      </w:tr>
      <w:tr w:rsidR="002D01C4" w:rsidRPr="007456A1">
        <w:tc>
          <w:tcPr>
            <w:tcW w:w="8505" w:type="dxa"/>
            <w:gridSpan w:val="2"/>
            <w:shd w:val="clear" w:color="auto" w:fill="auto"/>
            <w:vAlign w:val="center"/>
          </w:tcPr>
          <w:p w:rsidR="002D01C4" w:rsidRPr="00B84D32" w:rsidRDefault="009622EE" w:rsidP="0013044A">
            <w:pPr>
              <w:spacing w:before="60" w:after="60"/>
              <w:rPr>
                <w:rFonts w:ascii="Arial" w:hAnsi="Arial" w:cs="Arial"/>
                <w:b/>
                <w:bCs/>
                <w:color w:val="000000"/>
                <w:sz w:val="22"/>
                <w:szCs w:val="22"/>
                <w:lang w:val="fr-FR"/>
              </w:rPr>
            </w:pPr>
            <w:r w:rsidRPr="00B84D32">
              <w:rPr>
                <w:rFonts w:ascii="Arial" w:hAnsi="Arial" w:cs="Arial"/>
                <w:b/>
                <w:color w:val="000000"/>
                <w:sz w:val="22"/>
                <w:szCs w:val="22"/>
                <w:lang w:val="fr-FR"/>
              </w:rPr>
              <w:t>A.4 Premier Forum des jeunes des Caraïbes sur la sauvegarde du patrimoine culturel immatériel</w:t>
            </w:r>
          </w:p>
        </w:tc>
        <w:tc>
          <w:tcPr>
            <w:tcW w:w="1203" w:type="dxa"/>
            <w:shd w:val="clear" w:color="auto" w:fill="auto"/>
            <w:vAlign w:val="center"/>
          </w:tcPr>
          <w:p w:rsidR="002D01C4" w:rsidRPr="00B84D32" w:rsidRDefault="002D01C4" w:rsidP="0013044A">
            <w:pPr>
              <w:spacing w:before="60" w:after="60"/>
              <w:rPr>
                <w:rFonts w:ascii="Arial" w:hAnsi="Arial" w:cs="Arial"/>
                <w:color w:val="000000"/>
                <w:sz w:val="22"/>
                <w:szCs w:val="22"/>
                <w:lang w:val="fr-FR"/>
              </w:rPr>
            </w:pPr>
          </w:p>
        </w:tc>
      </w:tr>
      <w:tr w:rsidR="002D01C4" w:rsidRPr="00B84D32">
        <w:tc>
          <w:tcPr>
            <w:tcW w:w="3119" w:type="dxa"/>
            <w:shd w:val="clear" w:color="auto" w:fill="auto"/>
            <w:vAlign w:val="center"/>
          </w:tcPr>
          <w:p w:rsidR="002D01C4" w:rsidRPr="00B84D32" w:rsidRDefault="0010242E" w:rsidP="0013044A">
            <w:pPr>
              <w:spacing w:before="60" w:after="60"/>
              <w:rPr>
                <w:rFonts w:ascii="Arial" w:hAnsi="Arial" w:cs="Arial"/>
                <w:color w:val="000000"/>
                <w:sz w:val="22"/>
                <w:szCs w:val="22"/>
                <w:lang w:val="fr-FR"/>
              </w:rPr>
            </w:pPr>
            <w:r w:rsidRPr="00B84D32">
              <w:rPr>
                <w:rFonts w:ascii="Arial" w:hAnsi="Arial" w:cs="Arial"/>
                <w:color w:val="000000"/>
                <w:sz w:val="22"/>
                <w:szCs w:val="22"/>
                <w:lang w:val="fr-FR"/>
              </w:rPr>
              <w:t xml:space="preserve">Forum </w:t>
            </w:r>
            <w:r w:rsidR="009622EE" w:rsidRPr="00B84D32">
              <w:rPr>
                <w:rFonts w:ascii="Arial" w:hAnsi="Arial" w:cs="Arial"/>
                <w:color w:val="000000"/>
                <w:sz w:val="22"/>
                <w:szCs w:val="22"/>
                <w:lang w:val="fr-FR"/>
              </w:rPr>
              <w:t>sur la mise en œuvre de la Convention de 2003</w:t>
            </w:r>
          </w:p>
        </w:tc>
        <w:tc>
          <w:tcPr>
            <w:tcW w:w="5386" w:type="dxa"/>
            <w:shd w:val="clear" w:color="auto" w:fill="auto"/>
            <w:vAlign w:val="center"/>
          </w:tcPr>
          <w:p w:rsidR="002D01C4" w:rsidRPr="00B84D32" w:rsidRDefault="009622EE" w:rsidP="0013044A">
            <w:pPr>
              <w:spacing w:before="60" w:after="60"/>
              <w:rPr>
                <w:rFonts w:ascii="Arial" w:hAnsi="Arial" w:cs="Arial"/>
                <w:color w:val="000000"/>
                <w:sz w:val="22"/>
                <w:szCs w:val="22"/>
                <w:lang w:val="fr-FR"/>
              </w:rPr>
            </w:pPr>
            <w:r w:rsidRPr="00B84D32">
              <w:rPr>
                <w:rStyle w:val="normal0020tablechar"/>
                <w:rFonts w:ascii="Arial" w:hAnsi="Arial" w:cs="Arial"/>
                <w:sz w:val="22"/>
                <w:szCs w:val="22"/>
                <w:lang w:val="fr-FR"/>
              </w:rPr>
              <w:t>Voyage et séjour des participants, services de facilitation et dépenses associées, salles de réunion et équipement, frais de reproduction, déplacements locaux, hospitalité, communication, expédition</w:t>
            </w:r>
          </w:p>
        </w:tc>
        <w:tc>
          <w:tcPr>
            <w:tcW w:w="1203" w:type="dxa"/>
            <w:shd w:val="clear" w:color="auto" w:fill="auto"/>
            <w:vAlign w:val="center"/>
          </w:tcPr>
          <w:p w:rsidR="002D01C4" w:rsidRPr="00B84D32" w:rsidRDefault="009622EE" w:rsidP="0013044A">
            <w:pPr>
              <w:spacing w:before="60" w:after="60"/>
              <w:jc w:val="right"/>
              <w:rPr>
                <w:rFonts w:ascii="Arial" w:hAnsi="Arial" w:cs="Arial"/>
                <w:color w:val="000000"/>
                <w:sz w:val="22"/>
                <w:szCs w:val="22"/>
                <w:lang w:val="fr-FR"/>
              </w:rPr>
            </w:pPr>
            <w:r w:rsidRPr="00B84D32">
              <w:rPr>
                <w:rFonts w:ascii="Arial" w:hAnsi="Arial" w:cs="Arial"/>
                <w:color w:val="000000"/>
                <w:sz w:val="22"/>
                <w:szCs w:val="22"/>
                <w:lang w:val="fr-FR"/>
              </w:rPr>
              <w:t>20 </w:t>
            </w:r>
            <w:r w:rsidR="0010242E" w:rsidRPr="00B84D32">
              <w:rPr>
                <w:rFonts w:ascii="Arial" w:hAnsi="Arial" w:cs="Arial"/>
                <w:color w:val="000000"/>
                <w:sz w:val="22"/>
                <w:szCs w:val="22"/>
                <w:lang w:val="fr-FR"/>
              </w:rPr>
              <w:t>000</w:t>
            </w:r>
            <w:r w:rsidRPr="00B84D32">
              <w:rPr>
                <w:rFonts w:ascii="Arial" w:hAnsi="Arial" w:cs="Arial"/>
                <w:color w:val="000000"/>
                <w:sz w:val="22"/>
                <w:szCs w:val="22"/>
                <w:lang w:val="fr-FR"/>
              </w:rPr>
              <w:t xml:space="preserve"> $</w:t>
            </w:r>
          </w:p>
        </w:tc>
      </w:tr>
      <w:tr w:rsidR="002D01C4" w:rsidRPr="00B84D32">
        <w:tc>
          <w:tcPr>
            <w:tcW w:w="8505" w:type="dxa"/>
            <w:gridSpan w:val="2"/>
            <w:shd w:val="clear" w:color="auto" w:fill="F2F2F2" w:themeFill="background1" w:themeFillShade="F2"/>
            <w:vAlign w:val="center"/>
          </w:tcPr>
          <w:p w:rsidR="002D01C4" w:rsidRPr="00B84D32" w:rsidRDefault="009622EE" w:rsidP="0013044A">
            <w:pPr>
              <w:spacing w:before="60" w:after="60"/>
              <w:rPr>
                <w:rFonts w:ascii="Arial" w:hAnsi="Arial" w:cs="Arial"/>
                <w:b/>
                <w:bCs/>
                <w:color w:val="000000"/>
                <w:sz w:val="22"/>
                <w:szCs w:val="22"/>
                <w:lang w:val="fr-FR"/>
              </w:rPr>
            </w:pPr>
            <w:r w:rsidRPr="00B84D32">
              <w:rPr>
                <w:rFonts w:ascii="Arial" w:hAnsi="Arial" w:cs="Arial"/>
                <w:b/>
                <w:color w:val="000000"/>
                <w:sz w:val="22"/>
                <w:szCs w:val="22"/>
                <w:lang w:val="fr-FR"/>
              </w:rPr>
              <w:t>B. Promotion et diffusion des meilleures pratiques de sauvegarde</w:t>
            </w:r>
          </w:p>
        </w:tc>
        <w:tc>
          <w:tcPr>
            <w:tcW w:w="1203" w:type="dxa"/>
            <w:shd w:val="clear" w:color="auto" w:fill="F2F2F2" w:themeFill="background1" w:themeFillShade="F2"/>
            <w:vAlign w:val="center"/>
          </w:tcPr>
          <w:p w:rsidR="002D01C4" w:rsidRPr="00B84D32" w:rsidRDefault="0010242E" w:rsidP="0013044A">
            <w:pPr>
              <w:spacing w:before="60" w:after="60"/>
              <w:jc w:val="right"/>
              <w:rPr>
                <w:rFonts w:ascii="Arial" w:hAnsi="Arial" w:cs="Arial"/>
                <w:b/>
                <w:bCs/>
                <w:color w:val="000000"/>
                <w:sz w:val="22"/>
                <w:szCs w:val="22"/>
                <w:lang w:val="fr-FR"/>
              </w:rPr>
            </w:pPr>
            <w:r w:rsidRPr="00B84D32">
              <w:rPr>
                <w:rFonts w:ascii="Arial" w:hAnsi="Arial" w:cs="Arial"/>
                <w:b/>
                <w:bCs/>
                <w:color w:val="000000"/>
                <w:sz w:val="22"/>
                <w:szCs w:val="22"/>
                <w:lang w:val="fr-FR"/>
              </w:rPr>
              <w:t>50</w:t>
            </w:r>
            <w:r w:rsidR="009622EE" w:rsidRPr="00B84D32">
              <w:rPr>
                <w:rFonts w:ascii="Arial" w:hAnsi="Arial" w:cs="Arial"/>
                <w:b/>
                <w:bCs/>
                <w:color w:val="000000"/>
                <w:sz w:val="22"/>
                <w:szCs w:val="22"/>
                <w:lang w:val="fr-FR"/>
              </w:rPr>
              <w:t> </w:t>
            </w:r>
            <w:r w:rsidRPr="00B84D32">
              <w:rPr>
                <w:rFonts w:ascii="Arial" w:hAnsi="Arial" w:cs="Arial"/>
                <w:b/>
                <w:bCs/>
                <w:color w:val="000000"/>
                <w:sz w:val="22"/>
                <w:szCs w:val="22"/>
                <w:lang w:val="fr-FR"/>
              </w:rPr>
              <w:t>000</w:t>
            </w:r>
            <w:r w:rsidR="009622EE" w:rsidRPr="00B84D32">
              <w:rPr>
                <w:rFonts w:ascii="Arial" w:hAnsi="Arial" w:cs="Arial"/>
                <w:b/>
                <w:bCs/>
                <w:color w:val="000000"/>
                <w:sz w:val="22"/>
                <w:szCs w:val="22"/>
                <w:lang w:val="fr-FR"/>
              </w:rPr>
              <w:t xml:space="preserve"> $</w:t>
            </w:r>
          </w:p>
        </w:tc>
      </w:tr>
      <w:tr w:rsidR="002D01C4" w:rsidRPr="00B84D32">
        <w:tc>
          <w:tcPr>
            <w:tcW w:w="3119" w:type="dxa"/>
            <w:shd w:val="clear" w:color="auto" w:fill="auto"/>
            <w:vAlign w:val="center"/>
          </w:tcPr>
          <w:p w:rsidR="002D01C4" w:rsidRPr="00B84D32" w:rsidRDefault="009622EE" w:rsidP="0013044A">
            <w:pPr>
              <w:spacing w:before="60" w:after="60"/>
              <w:rPr>
                <w:rFonts w:ascii="Arial" w:hAnsi="Arial" w:cs="Arial"/>
                <w:color w:val="000000"/>
                <w:sz w:val="22"/>
                <w:szCs w:val="22"/>
                <w:lang w:val="fr-FR"/>
              </w:rPr>
            </w:pPr>
            <w:r w:rsidRPr="00B84D32">
              <w:rPr>
                <w:rFonts w:ascii="Arial" w:hAnsi="Arial" w:cs="Arial"/>
                <w:color w:val="000000"/>
                <w:sz w:val="22"/>
                <w:szCs w:val="22"/>
                <w:lang w:val="fr-FR"/>
              </w:rPr>
              <w:t>Recherche, documentation, publication et diffusion des meilleures pratiques</w:t>
            </w:r>
          </w:p>
        </w:tc>
        <w:tc>
          <w:tcPr>
            <w:tcW w:w="5386" w:type="dxa"/>
            <w:shd w:val="clear" w:color="auto" w:fill="auto"/>
            <w:vAlign w:val="center"/>
          </w:tcPr>
          <w:p w:rsidR="002D01C4" w:rsidRPr="00B84D32" w:rsidRDefault="009622EE" w:rsidP="0013044A">
            <w:pPr>
              <w:spacing w:before="60" w:after="60"/>
              <w:rPr>
                <w:rFonts w:ascii="Arial" w:hAnsi="Arial" w:cs="Arial"/>
                <w:color w:val="000000"/>
                <w:sz w:val="22"/>
                <w:szCs w:val="22"/>
                <w:lang w:val="fr-FR"/>
              </w:rPr>
            </w:pPr>
            <w:r w:rsidRPr="00B84D32">
              <w:rPr>
                <w:rStyle w:val="normal0020tablechar"/>
                <w:rFonts w:ascii="Arial" w:hAnsi="Arial" w:cs="Arial"/>
                <w:sz w:val="22"/>
                <w:szCs w:val="22"/>
                <w:lang w:val="fr-FR"/>
              </w:rPr>
              <w:t>Services professionnels pour l</w:t>
            </w:r>
            <w:r w:rsidR="00B84D32">
              <w:rPr>
                <w:rStyle w:val="normal0020tablechar"/>
                <w:rFonts w:ascii="Arial" w:hAnsi="Arial" w:cs="Arial"/>
                <w:sz w:val="22"/>
                <w:szCs w:val="22"/>
                <w:lang w:val="fr-FR"/>
              </w:rPr>
              <w:t>’</w:t>
            </w:r>
            <w:r w:rsidRPr="00B84D32">
              <w:rPr>
                <w:rStyle w:val="normal0020tablechar"/>
                <w:rFonts w:ascii="Arial" w:hAnsi="Arial" w:cs="Arial"/>
                <w:sz w:val="22"/>
                <w:szCs w:val="22"/>
                <w:lang w:val="fr-FR"/>
              </w:rPr>
              <w:t>élaboration de contenus,</w:t>
            </w:r>
            <w:r w:rsidR="00CF5FD2">
              <w:rPr>
                <w:rStyle w:val="normal0020tablechar"/>
                <w:rFonts w:ascii="Arial" w:hAnsi="Arial" w:cs="Arial"/>
                <w:sz w:val="22"/>
                <w:szCs w:val="22"/>
                <w:lang w:val="fr-FR"/>
              </w:rPr>
              <w:t xml:space="preserve"> la</w:t>
            </w:r>
            <w:r w:rsidRPr="00B84D32">
              <w:rPr>
                <w:rStyle w:val="normal0020tablechar"/>
                <w:rFonts w:ascii="Arial" w:hAnsi="Arial" w:cs="Arial"/>
                <w:sz w:val="22"/>
                <w:szCs w:val="22"/>
                <w:lang w:val="fr-FR"/>
              </w:rPr>
              <w:t xml:space="preserve"> préparation de textes, </w:t>
            </w:r>
            <w:r w:rsidR="00CF5FD2">
              <w:rPr>
                <w:rStyle w:val="normal0020tablechar"/>
                <w:rFonts w:ascii="Arial" w:hAnsi="Arial" w:cs="Arial"/>
                <w:sz w:val="22"/>
                <w:szCs w:val="22"/>
                <w:lang w:val="fr-FR"/>
              </w:rPr>
              <w:t xml:space="preserve">la </w:t>
            </w:r>
            <w:r w:rsidRPr="00B84D32">
              <w:rPr>
                <w:rStyle w:val="normal0020tablechar"/>
                <w:rFonts w:ascii="Arial" w:hAnsi="Arial" w:cs="Arial"/>
                <w:sz w:val="22"/>
                <w:szCs w:val="22"/>
                <w:lang w:val="fr-FR"/>
              </w:rPr>
              <w:t xml:space="preserve">traduction, </w:t>
            </w:r>
            <w:r w:rsidR="00CF5FD2">
              <w:rPr>
                <w:rStyle w:val="normal0020tablechar"/>
                <w:rFonts w:ascii="Arial" w:hAnsi="Arial" w:cs="Arial"/>
                <w:sz w:val="22"/>
                <w:szCs w:val="22"/>
                <w:lang w:val="fr-FR"/>
              </w:rPr>
              <w:t xml:space="preserve">la </w:t>
            </w:r>
            <w:r w:rsidRPr="00B84D32">
              <w:rPr>
                <w:rStyle w:val="normal0020tablechar"/>
                <w:rFonts w:ascii="Arial" w:hAnsi="Arial" w:cs="Arial"/>
                <w:sz w:val="22"/>
                <w:szCs w:val="22"/>
                <w:lang w:val="fr-FR"/>
              </w:rPr>
              <w:t xml:space="preserve">conception graphique et </w:t>
            </w:r>
            <w:r w:rsidR="00CF5FD2">
              <w:rPr>
                <w:rStyle w:val="normal0020tablechar"/>
                <w:rFonts w:ascii="Arial" w:hAnsi="Arial" w:cs="Arial"/>
                <w:sz w:val="22"/>
                <w:szCs w:val="22"/>
                <w:lang w:val="fr-FR"/>
              </w:rPr>
              <w:t xml:space="preserve">la </w:t>
            </w:r>
            <w:r w:rsidRPr="00B84D32">
              <w:rPr>
                <w:rStyle w:val="normal0020tablechar"/>
                <w:rFonts w:ascii="Arial" w:hAnsi="Arial" w:cs="Arial"/>
                <w:sz w:val="22"/>
                <w:szCs w:val="22"/>
                <w:lang w:val="fr-FR"/>
              </w:rPr>
              <w:t>mise en page en anglais et en français</w:t>
            </w:r>
          </w:p>
        </w:tc>
        <w:tc>
          <w:tcPr>
            <w:tcW w:w="1203" w:type="dxa"/>
            <w:shd w:val="clear" w:color="auto" w:fill="auto"/>
            <w:vAlign w:val="center"/>
          </w:tcPr>
          <w:p w:rsidR="002D01C4" w:rsidRPr="00B84D32" w:rsidRDefault="009622EE" w:rsidP="0013044A">
            <w:pPr>
              <w:spacing w:before="60" w:after="60"/>
              <w:jc w:val="right"/>
              <w:rPr>
                <w:rFonts w:ascii="Arial" w:hAnsi="Arial" w:cs="Arial"/>
                <w:color w:val="000000"/>
                <w:sz w:val="22"/>
                <w:szCs w:val="22"/>
                <w:lang w:val="fr-FR"/>
              </w:rPr>
            </w:pPr>
            <w:r w:rsidRPr="00B84D32">
              <w:rPr>
                <w:rFonts w:ascii="Arial" w:hAnsi="Arial" w:cs="Arial"/>
                <w:color w:val="000000"/>
                <w:sz w:val="22"/>
                <w:szCs w:val="22"/>
                <w:lang w:val="fr-FR"/>
              </w:rPr>
              <w:t>50 </w:t>
            </w:r>
            <w:r w:rsidR="0010242E" w:rsidRPr="00B84D32">
              <w:rPr>
                <w:rFonts w:ascii="Arial" w:hAnsi="Arial" w:cs="Arial"/>
                <w:color w:val="000000"/>
                <w:sz w:val="22"/>
                <w:szCs w:val="22"/>
                <w:lang w:val="fr-FR"/>
              </w:rPr>
              <w:t>000</w:t>
            </w:r>
            <w:r w:rsidRPr="00B84D32">
              <w:rPr>
                <w:rFonts w:ascii="Arial" w:hAnsi="Arial" w:cs="Arial"/>
                <w:color w:val="000000"/>
                <w:sz w:val="22"/>
                <w:szCs w:val="22"/>
                <w:lang w:val="fr-FR"/>
              </w:rPr>
              <w:t xml:space="preserve"> $</w:t>
            </w:r>
          </w:p>
        </w:tc>
      </w:tr>
      <w:tr w:rsidR="002D01C4" w:rsidRPr="00B84D32">
        <w:tc>
          <w:tcPr>
            <w:tcW w:w="8505" w:type="dxa"/>
            <w:gridSpan w:val="2"/>
            <w:shd w:val="clear" w:color="auto" w:fill="F2F2F2" w:themeFill="background1" w:themeFillShade="F2"/>
            <w:vAlign w:val="center"/>
          </w:tcPr>
          <w:p w:rsidR="002D01C4" w:rsidRPr="00B84D32" w:rsidRDefault="0010242E" w:rsidP="0013044A">
            <w:pPr>
              <w:spacing w:before="60" w:after="60"/>
              <w:rPr>
                <w:rFonts w:ascii="Arial" w:hAnsi="Arial" w:cs="Arial"/>
                <w:b/>
                <w:bCs/>
                <w:color w:val="000000"/>
                <w:sz w:val="22"/>
                <w:szCs w:val="22"/>
                <w:lang w:val="fr-FR"/>
              </w:rPr>
            </w:pPr>
            <w:r w:rsidRPr="00B84D32">
              <w:rPr>
                <w:rFonts w:ascii="Arial" w:hAnsi="Arial" w:cs="Arial"/>
                <w:b/>
                <w:bCs/>
                <w:color w:val="000000"/>
                <w:sz w:val="22"/>
                <w:szCs w:val="22"/>
                <w:lang w:val="fr-FR"/>
              </w:rPr>
              <w:t xml:space="preserve">C. Communication </w:t>
            </w:r>
            <w:r w:rsidR="009622EE" w:rsidRPr="00B84D32">
              <w:rPr>
                <w:rFonts w:ascii="Arial" w:hAnsi="Arial" w:cs="Arial"/>
                <w:b/>
                <w:bCs/>
                <w:color w:val="000000"/>
                <w:sz w:val="22"/>
                <w:szCs w:val="22"/>
                <w:lang w:val="fr-FR"/>
              </w:rPr>
              <w:t>et visibilité</w:t>
            </w:r>
          </w:p>
        </w:tc>
        <w:tc>
          <w:tcPr>
            <w:tcW w:w="1203" w:type="dxa"/>
            <w:shd w:val="clear" w:color="auto" w:fill="F2F2F2" w:themeFill="background1" w:themeFillShade="F2"/>
            <w:vAlign w:val="center"/>
          </w:tcPr>
          <w:p w:rsidR="002D01C4" w:rsidRPr="00B84D32" w:rsidRDefault="009622EE" w:rsidP="0013044A">
            <w:pPr>
              <w:spacing w:before="60" w:after="60"/>
              <w:jc w:val="right"/>
              <w:rPr>
                <w:rFonts w:ascii="Arial" w:hAnsi="Arial" w:cs="Arial"/>
                <w:b/>
                <w:bCs/>
                <w:color w:val="000000"/>
                <w:sz w:val="22"/>
                <w:szCs w:val="22"/>
                <w:lang w:val="fr-FR"/>
              </w:rPr>
            </w:pPr>
            <w:r w:rsidRPr="00B84D32">
              <w:rPr>
                <w:rFonts w:ascii="Arial" w:hAnsi="Arial" w:cs="Arial"/>
                <w:b/>
                <w:bCs/>
                <w:color w:val="000000"/>
                <w:sz w:val="22"/>
                <w:szCs w:val="22"/>
                <w:lang w:val="fr-FR"/>
              </w:rPr>
              <w:t xml:space="preserve">164 </w:t>
            </w:r>
            <w:r w:rsidR="0010242E" w:rsidRPr="00B84D32">
              <w:rPr>
                <w:rFonts w:ascii="Arial" w:hAnsi="Arial" w:cs="Arial"/>
                <w:b/>
                <w:bCs/>
                <w:color w:val="000000"/>
                <w:sz w:val="22"/>
                <w:szCs w:val="22"/>
                <w:lang w:val="fr-FR"/>
              </w:rPr>
              <w:t>000</w:t>
            </w:r>
            <w:r w:rsidRPr="00B84D32">
              <w:rPr>
                <w:rFonts w:ascii="Arial" w:hAnsi="Arial" w:cs="Arial"/>
                <w:b/>
                <w:bCs/>
                <w:color w:val="000000"/>
                <w:sz w:val="22"/>
                <w:szCs w:val="22"/>
                <w:lang w:val="fr-FR"/>
              </w:rPr>
              <w:t xml:space="preserve"> $</w:t>
            </w:r>
          </w:p>
        </w:tc>
      </w:tr>
      <w:tr w:rsidR="002D01C4" w:rsidRPr="007456A1">
        <w:tc>
          <w:tcPr>
            <w:tcW w:w="8505" w:type="dxa"/>
            <w:gridSpan w:val="2"/>
            <w:shd w:val="clear" w:color="auto" w:fill="auto"/>
            <w:vAlign w:val="center"/>
          </w:tcPr>
          <w:p w:rsidR="002D01C4" w:rsidRPr="0013044A" w:rsidRDefault="0013044A" w:rsidP="0013044A">
            <w:pPr>
              <w:pStyle w:val="normal0020table"/>
              <w:spacing w:before="60" w:beforeAutospacing="0" w:after="60" w:afterAutospacing="0"/>
            </w:pPr>
            <w:r>
              <w:rPr>
                <w:rStyle w:val="normal0020tablechar"/>
                <w:rFonts w:ascii="Arial" w:hAnsi="Arial" w:cs="Arial"/>
                <w:b/>
                <w:bCs/>
                <w:sz w:val="22"/>
                <w:szCs w:val="22"/>
              </w:rPr>
              <w:t>C.1 Publication des T</w:t>
            </w:r>
            <w:r w:rsidR="009622EE" w:rsidRPr="00B84D32">
              <w:rPr>
                <w:rStyle w:val="normal0020tablechar"/>
                <w:rFonts w:ascii="Arial" w:hAnsi="Arial" w:cs="Arial"/>
                <w:b/>
                <w:bCs/>
                <w:sz w:val="22"/>
                <w:szCs w:val="22"/>
              </w:rPr>
              <w:t>extes fondamentaux, tels qu</w:t>
            </w:r>
            <w:r w:rsidR="00B84D32">
              <w:rPr>
                <w:rStyle w:val="normal0020tablechar"/>
                <w:rFonts w:ascii="Arial" w:hAnsi="Arial" w:cs="Arial"/>
                <w:b/>
                <w:bCs/>
                <w:sz w:val="22"/>
                <w:szCs w:val="22"/>
              </w:rPr>
              <w:t>’</w:t>
            </w:r>
            <w:r w:rsidR="009622EE" w:rsidRPr="00B84D32">
              <w:rPr>
                <w:rStyle w:val="normal0020tablechar"/>
                <w:rFonts w:ascii="Arial" w:hAnsi="Arial" w:cs="Arial"/>
                <w:b/>
                <w:bCs/>
                <w:sz w:val="22"/>
                <w:szCs w:val="22"/>
              </w:rPr>
              <w:t>amendés par la quatrième session de l</w:t>
            </w:r>
            <w:r w:rsidR="00B84D32">
              <w:rPr>
                <w:rStyle w:val="normal0020tablechar"/>
                <w:rFonts w:ascii="Arial" w:hAnsi="Arial" w:cs="Arial"/>
                <w:b/>
                <w:bCs/>
                <w:sz w:val="22"/>
                <w:szCs w:val="22"/>
              </w:rPr>
              <w:t>’</w:t>
            </w:r>
            <w:r w:rsidR="009622EE" w:rsidRPr="00B84D32">
              <w:rPr>
                <w:rStyle w:val="normal0020tablechar"/>
                <w:rFonts w:ascii="Arial" w:hAnsi="Arial" w:cs="Arial"/>
                <w:b/>
                <w:bCs/>
                <w:sz w:val="22"/>
                <w:szCs w:val="22"/>
              </w:rPr>
              <w:t>Assemblée générale (</w:t>
            </w:r>
            <w:r w:rsidRPr="00B84D32">
              <w:rPr>
                <w:rStyle w:val="normal0020tablechar"/>
                <w:rFonts w:ascii="Arial" w:hAnsi="Arial" w:cs="Arial"/>
                <w:b/>
                <w:bCs/>
                <w:sz w:val="22"/>
                <w:szCs w:val="22"/>
              </w:rPr>
              <w:t>anglais</w:t>
            </w:r>
            <w:r>
              <w:rPr>
                <w:rStyle w:val="normal0020tablechar"/>
                <w:rFonts w:ascii="Arial" w:hAnsi="Arial" w:cs="Arial"/>
                <w:b/>
                <w:bCs/>
                <w:sz w:val="22"/>
                <w:szCs w:val="22"/>
              </w:rPr>
              <w:t>,</w:t>
            </w:r>
            <w:r w:rsidRPr="00B84D32">
              <w:rPr>
                <w:rStyle w:val="normal0020tablechar"/>
                <w:rFonts w:ascii="Arial" w:hAnsi="Arial" w:cs="Arial"/>
                <w:b/>
                <w:bCs/>
                <w:sz w:val="22"/>
                <w:szCs w:val="22"/>
              </w:rPr>
              <w:t xml:space="preserve"> </w:t>
            </w:r>
            <w:r w:rsidR="009622EE" w:rsidRPr="00B84D32">
              <w:rPr>
                <w:rStyle w:val="normal0020tablechar"/>
                <w:rFonts w:ascii="Arial" w:hAnsi="Arial" w:cs="Arial"/>
                <w:b/>
                <w:bCs/>
                <w:sz w:val="22"/>
                <w:szCs w:val="22"/>
              </w:rPr>
              <w:t xml:space="preserve">arabe, chinois, </w:t>
            </w:r>
            <w:r w:rsidRPr="00B84D32">
              <w:rPr>
                <w:rStyle w:val="normal0020tablechar"/>
                <w:rFonts w:ascii="Arial" w:hAnsi="Arial" w:cs="Arial"/>
                <w:b/>
                <w:bCs/>
                <w:sz w:val="22"/>
                <w:szCs w:val="22"/>
              </w:rPr>
              <w:t>espagnol</w:t>
            </w:r>
            <w:r>
              <w:rPr>
                <w:rStyle w:val="normal0020tablechar"/>
                <w:rFonts w:ascii="Arial" w:hAnsi="Arial" w:cs="Arial"/>
                <w:b/>
                <w:bCs/>
                <w:sz w:val="22"/>
                <w:szCs w:val="22"/>
              </w:rPr>
              <w:t>, français, russe</w:t>
            </w:r>
            <w:r w:rsidR="009622EE" w:rsidRPr="00B84D32">
              <w:rPr>
                <w:rStyle w:val="normal0020tablechar"/>
                <w:rFonts w:ascii="Arial" w:hAnsi="Arial" w:cs="Arial"/>
                <w:b/>
                <w:bCs/>
                <w:sz w:val="22"/>
                <w:szCs w:val="22"/>
              </w:rPr>
              <w:t>)</w:t>
            </w:r>
            <w:r>
              <w:t xml:space="preserve"> </w:t>
            </w:r>
          </w:p>
        </w:tc>
        <w:tc>
          <w:tcPr>
            <w:tcW w:w="1203" w:type="dxa"/>
            <w:shd w:val="clear" w:color="auto" w:fill="auto"/>
            <w:vAlign w:val="center"/>
          </w:tcPr>
          <w:p w:rsidR="002D01C4" w:rsidRPr="00B84D32" w:rsidRDefault="002D01C4" w:rsidP="0013044A">
            <w:pPr>
              <w:spacing w:before="60" w:after="60"/>
              <w:rPr>
                <w:rFonts w:ascii="Arial" w:hAnsi="Arial" w:cs="Arial"/>
                <w:b/>
                <w:color w:val="000000"/>
                <w:sz w:val="22"/>
                <w:szCs w:val="22"/>
                <w:lang w:val="fr-FR"/>
              </w:rPr>
            </w:pPr>
          </w:p>
        </w:tc>
      </w:tr>
      <w:tr w:rsidR="002D01C4" w:rsidRPr="00B84D32">
        <w:tc>
          <w:tcPr>
            <w:tcW w:w="3119" w:type="dxa"/>
            <w:shd w:val="clear" w:color="auto" w:fill="auto"/>
            <w:vAlign w:val="center"/>
          </w:tcPr>
          <w:p w:rsidR="002D01C4" w:rsidRPr="00B84D32" w:rsidRDefault="009622EE" w:rsidP="0013044A">
            <w:pPr>
              <w:spacing w:before="60" w:after="60"/>
              <w:rPr>
                <w:rFonts w:ascii="Arial" w:hAnsi="Arial" w:cs="Arial"/>
                <w:color w:val="000000"/>
                <w:sz w:val="22"/>
                <w:szCs w:val="22"/>
                <w:lang w:val="fr-FR"/>
              </w:rPr>
            </w:pPr>
            <w:r w:rsidRPr="00B84D32">
              <w:rPr>
                <w:rStyle w:val="normal0020tablechar"/>
                <w:rFonts w:ascii="Arial" w:hAnsi="Arial" w:cs="Arial"/>
                <w:sz w:val="22"/>
                <w:szCs w:val="22"/>
                <w:lang w:val="fr-FR"/>
              </w:rPr>
              <w:t>Pré-production et impression de l</w:t>
            </w:r>
            <w:r w:rsidR="00B84D32">
              <w:rPr>
                <w:rStyle w:val="normal0020tablechar"/>
                <w:rFonts w:ascii="Arial" w:hAnsi="Arial" w:cs="Arial"/>
                <w:sz w:val="22"/>
                <w:szCs w:val="22"/>
                <w:lang w:val="fr-FR"/>
              </w:rPr>
              <w:t>’</w:t>
            </w:r>
            <w:r w:rsidRPr="00B84D32">
              <w:rPr>
                <w:rStyle w:val="normal0020tablechar"/>
                <w:rFonts w:ascii="Arial" w:hAnsi="Arial" w:cs="Arial"/>
                <w:sz w:val="22"/>
                <w:szCs w:val="22"/>
                <w:lang w:val="fr-FR"/>
              </w:rPr>
              <w:t>édition 2012</w:t>
            </w:r>
          </w:p>
        </w:tc>
        <w:tc>
          <w:tcPr>
            <w:tcW w:w="5386" w:type="dxa"/>
            <w:shd w:val="clear" w:color="auto" w:fill="auto"/>
            <w:vAlign w:val="center"/>
          </w:tcPr>
          <w:p w:rsidR="002D01C4" w:rsidRPr="00B84D32" w:rsidRDefault="009622EE" w:rsidP="00DF22A7">
            <w:pPr>
              <w:spacing w:before="60" w:after="60"/>
              <w:rPr>
                <w:rFonts w:ascii="Arial" w:hAnsi="Arial" w:cs="Arial"/>
                <w:color w:val="000000"/>
                <w:sz w:val="22"/>
                <w:szCs w:val="22"/>
                <w:lang w:val="fr-FR"/>
              </w:rPr>
            </w:pPr>
            <w:r w:rsidRPr="00B84D32">
              <w:rPr>
                <w:rStyle w:val="normal0020tablechar"/>
                <w:rFonts w:ascii="Arial" w:hAnsi="Arial" w:cs="Arial"/>
                <w:sz w:val="22"/>
                <w:szCs w:val="22"/>
                <w:lang w:val="fr-FR"/>
              </w:rPr>
              <w:t>Coûts d</w:t>
            </w:r>
            <w:r w:rsidR="00B84D32">
              <w:rPr>
                <w:rStyle w:val="normal0020tablechar"/>
                <w:rFonts w:ascii="Arial" w:hAnsi="Arial" w:cs="Arial"/>
                <w:sz w:val="22"/>
                <w:szCs w:val="22"/>
                <w:lang w:val="fr-FR"/>
              </w:rPr>
              <w:t>’</w:t>
            </w:r>
            <w:r w:rsidRPr="00B84D32">
              <w:rPr>
                <w:rStyle w:val="normal0020tablechar"/>
                <w:rFonts w:ascii="Arial" w:hAnsi="Arial" w:cs="Arial"/>
                <w:sz w:val="22"/>
                <w:szCs w:val="22"/>
                <w:lang w:val="fr-FR"/>
              </w:rPr>
              <w:t>impression, services professionnels pour la traduction, la préparation de copies, la conception gra</w:t>
            </w:r>
            <w:r w:rsidR="00DF22A7">
              <w:rPr>
                <w:rStyle w:val="normal0020tablechar"/>
                <w:rFonts w:ascii="Arial" w:hAnsi="Arial" w:cs="Arial"/>
                <w:sz w:val="22"/>
                <w:szCs w:val="22"/>
                <w:lang w:val="fr-FR"/>
              </w:rPr>
              <w:t>phique, la mise en page et la correction d’épreuves</w:t>
            </w:r>
          </w:p>
        </w:tc>
        <w:tc>
          <w:tcPr>
            <w:tcW w:w="1203" w:type="dxa"/>
            <w:shd w:val="clear" w:color="auto" w:fill="auto"/>
            <w:vAlign w:val="center"/>
          </w:tcPr>
          <w:p w:rsidR="002D01C4" w:rsidRPr="00B84D32" w:rsidRDefault="0078251B" w:rsidP="0013044A">
            <w:pPr>
              <w:spacing w:before="60" w:after="60"/>
              <w:jc w:val="right"/>
              <w:rPr>
                <w:rFonts w:ascii="Arial" w:hAnsi="Arial" w:cs="Arial"/>
                <w:color w:val="000000"/>
                <w:sz w:val="22"/>
                <w:szCs w:val="22"/>
                <w:lang w:val="fr-FR"/>
              </w:rPr>
            </w:pPr>
            <w:r w:rsidRPr="00B84D32">
              <w:rPr>
                <w:rFonts w:ascii="Arial" w:hAnsi="Arial" w:cs="Arial"/>
                <w:color w:val="000000"/>
                <w:sz w:val="22"/>
                <w:szCs w:val="22"/>
                <w:lang w:val="fr-FR"/>
              </w:rPr>
              <w:t xml:space="preserve">90 </w:t>
            </w:r>
            <w:r w:rsidR="0010242E" w:rsidRPr="00B84D32">
              <w:rPr>
                <w:rFonts w:ascii="Arial" w:hAnsi="Arial" w:cs="Arial"/>
                <w:color w:val="000000"/>
                <w:sz w:val="22"/>
                <w:szCs w:val="22"/>
                <w:lang w:val="fr-FR"/>
              </w:rPr>
              <w:t>000</w:t>
            </w:r>
            <w:r w:rsidRPr="00B84D32">
              <w:rPr>
                <w:rFonts w:ascii="Arial" w:hAnsi="Arial" w:cs="Arial"/>
                <w:color w:val="000000"/>
                <w:sz w:val="22"/>
                <w:szCs w:val="22"/>
                <w:lang w:val="fr-FR"/>
              </w:rPr>
              <w:t>$</w:t>
            </w:r>
          </w:p>
        </w:tc>
      </w:tr>
      <w:tr w:rsidR="002D01C4" w:rsidRPr="007456A1">
        <w:tc>
          <w:tcPr>
            <w:tcW w:w="8505" w:type="dxa"/>
            <w:gridSpan w:val="2"/>
            <w:shd w:val="clear" w:color="auto" w:fill="auto"/>
            <w:vAlign w:val="center"/>
          </w:tcPr>
          <w:p w:rsidR="002D01C4" w:rsidRPr="00B84D32" w:rsidRDefault="009622EE" w:rsidP="0013044A">
            <w:pPr>
              <w:spacing w:before="60" w:after="60"/>
              <w:rPr>
                <w:rFonts w:ascii="Arial" w:hAnsi="Arial" w:cs="Arial"/>
                <w:b/>
                <w:bCs/>
                <w:color w:val="000000"/>
                <w:sz w:val="22"/>
                <w:szCs w:val="22"/>
                <w:lang w:val="fr-FR"/>
              </w:rPr>
            </w:pPr>
            <w:r w:rsidRPr="00B84D32">
              <w:rPr>
                <w:rFonts w:ascii="Arial" w:hAnsi="Arial" w:cs="Arial"/>
                <w:b/>
                <w:bCs/>
                <w:color w:val="000000"/>
                <w:sz w:val="22"/>
                <w:szCs w:val="22"/>
                <w:lang w:val="fr-FR"/>
              </w:rPr>
              <w:t xml:space="preserve">C.2 </w:t>
            </w:r>
            <w:r w:rsidR="00554829" w:rsidRPr="00B84D32">
              <w:rPr>
                <w:rStyle w:val="normal0020tablechar"/>
                <w:rFonts w:ascii="Arial" w:hAnsi="Arial" w:cs="Arial"/>
                <w:b/>
                <w:bCs/>
                <w:sz w:val="22"/>
                <w:szCs w:val="22"/>
                <w:lang w:val="fr-FR"/>
              </w:rPr>
              <w:t xml:space="preserve">Publication de dépliants sur les </w:t>
            </w:r>
            <w:r w:rsidR="00CF5FD2">
              <w:rPr>
                <w:rStyle w:val="normal0020tablechar"/>
                <w:rFonts w:ascii="Arial" w:hAnsi="Arial" w:cs="Arial"/>
                <w:b/>
                <w:bCs/>
                <w:sz w:val="22"/>
                <w:szCs w:val="22"/>
                <w:lang w:val="fr-FR"/>
              </w:rPr>
              <w:t>l</w:t>
            </w:r>
            <w:r w:rsidRPr="00B84D32">
              <w:rPr>
                <w:rStyle w:val="normal0020tablechar"/>
                <w:rFonts w:ascii="Arial" w:hAnsi="Arial" w:cs="Arial"/>
                <w:b/>
                <w:bCs/>
                <w:sz w:val="22"/>
                <w:szCs w:val="22"/>
                <w:lang w:val="fr-FR"/>
              </w:rPr>
              <w:t>istes de sauvegarde urgente et représentative et le Registre des meilleures pratiques de sauvegarde (anglais et français)</w:t>
            </w:r>
          </w:p>
        </w:tc>
        <w:tc>
          <w:tcPr>
            <w:tcW w:w="1203" w:type="dxa"/>
            <w:shd w:val="clear" w:color="auto" w:fill="auto"/>
            <w:vAlign w:val="center"/>
          </w:tcPr>
          <w:p w:rsidR="002D01C4" w:rsidRPr="00B84D32" w:rsidRDefault="002D01C4" w:rsidP="0013044A">
            <w:pPr>
              <w:spacing w:before="60" w:after="60"/>
              <w:rPr>
                <w:rFonts w:ascii="Arial" w:hAnsi="Arial" w:cs="Arial"/>
                <w:color w:val="000000"/>
                <w:sz w:val="22"/>
                <w:szCs w:val="22"/>
                <w:lang w:val="fr-FR"/>
              </w:rPr>
            </w:pPr>
          </w:p>
        </w:tc>
      </w:tr>
      <w:tr w:rsidR="002D01C4" w:rsidRPr="00B84D32">
        <w:tc>
          <w:tcPr>
            <w:tcW w:w="3119" w:type="dxa"/>
            <w:shd w:val="clear" w:color="auto" w:fill="auto"/>
            <w:vAlign w:val="center"/>
          </w:tcPr>
          <w:p w:rsidR="002D01C4" w:rsidRPr="00B84D32" w:rsidRDefault="0078251B" w:rsidP="0013044A">
            <w:pPr>
              <w:spacing w:before="60" w:after="60"/>
              <w:rPr>
                <w:rFonts w:ascii="Arial" w:hAnsi="Arial" w:cs="Arial"/>
                <w:color w:val="000000"/>
                <w:sz w:val="22"/>
                <w:szCs w:val="22"/>
                <w:lang w:val="fr-FR"/>
              </w:rPr>
            </w:pPr>
            <w:r w:rsidRPr="00B84D32">
              <w:rPr>
                <w:rStyle w:val="normal0020tablechar"/>
                <w:rFonts w:ascii="Arial" w:hAnsi="Arial" w:cs="Arial"/>
                <w:sz w:val="22"/>
                <w:szCs w:val="22"/>
                <w:lang w:val="fr-FR"/>
              </w:rPr>
              <w:t>Ré</w:t>
            </w:r>
            <w:r w:rsidR="00554829" w:rsidRPr="00B84D32">
              <w:rPr>
                <w:rStyle w:val="normal0020tablechar"/>
                <w:rFonts w:ascii="Arial" w:hAnsi="Arial" w:cs="Arial"/>
                <w:sz w:val="22"/>
                <w:szCs w:val="22"/>
                <w:lang w:val="fr-FR"/>
              </w:rPr>
              <w:t xml:space="preserve">impression des dépliants 2011, </w:t>
            </w:r>
            <w:r w:rsidRPr="00B84D32">
              <w:rPr>
                <w:rStyle w:val="normal0020tablechar"/>
                <w:rFonts w:ascii="Arial" w:hAnsi="Arial" w:cs="Arial"/>
                <w:sz w:val="22"/>
                <w:szCs w:val="22"/>
                <w:lang w:val="fr-FR"/>
              </w:rPr>
              <w:t xml:space="preserve">pré-production et </w:t>
            </w:r>
            <w:r w:rsidR="00554829" w:rsidRPr="00B84D32">
              <w:rPr>
                <w:rStyle w:val="normal0020tablechar"/>
                <w:rFonts w:ascii="Arial" w:hAnsi="Arial" w:cs="Arial"/>
                <w:sz w:val="22"/>
                <w:szCs w:val="22"/>
                <w:lang w:val="fr-FR"/>
              </w:rPr>
              <w:t xml:space="preserve">impression des dépliants 2012 </w:t>
            </w:r>
          </w:p>
        </w:tc>
        <w:tc>
          <w:tcPr>
            <w:tcW w:w="5386" w:type="dxa"/>
            <w:shd w:val="clear" w:color="auto" w:fill="auto"/>
            <w:vAlign w:val="center"/>
          </w:tcPr>
          <w:p w:rsidR="002D01C4" w:rsidRPr="00B84D32" w:rsidRDefault="0078251B" w:rsidP="0013044A">
            <w:pPr>
              <w:spacing w:before="60" w:after="60"/>
              <w:rPr>
                <w:rFonts w:ascii="Arial" w:hAnsi="Arial" w:cs="Arial"/>
                <w:color w:val="000000"/>
                <w:sz w:val="22"/>
                <w:szCs w:val="22"/>
                <w:lang w:val="fr-FR"/>
              </w:rPr>
            </w:pPr>
            <w:r w:rsidRPr="00B84D32">
              <w:rPr>
                <w:rStyle w:val="normal0020tablechar"/>
                <w:rFonts w:ascii="Arial" w:hAnsi="Arial" w:cs="Arial"/>
                <w:sz w:val="22"/>
                <w:szCs w:val="22"/>
                <w:lang w:val="fr-FR"/>
              </w:rPr>
              <w:t>Coûts d</w:t>
            </w:r>
            <w:r w:rsidR="00B84D32">
              <w:rPr>
                <w:rStyle w:val="normal0020tablechar"/>
                <w:rFonts w:ascii="Arial" w:hAnsi="Arial" w:cs="Arial"/>
                <w:sz w:val="22"/>
                <w:szCs w:val="22"/>
                <w:lang w:val="fr-FR"/>
              </w:rPr>
              <w:t>’</w:t>
            </w:r>
            <w:r w:rsidRPr="00B84D32">
              <w:rPr>
                <w:rStyle w:val="normal0020tablechar"/>
                <w:rFonts w:ascii="Arial" w:hAnsi="Arial" w:cs="Arial"/>
                <w:sz w:val="22"/>
                <w:szCs w:val="22"/>
                <w:lang w:val="fr-FR"/>
              </w:rPr>
              <w:t>impression, services professionnels pour la rédaction, l</w:t>
            </w:r>
            <w:r w:rsidR="00B84D32">
              <w:rPr>
                <w:rStyle w:val="normal0020tablechar"/>
                <w:rFonts w:ascii="Arial" w:hAnsi="Arial" w:cs="Arial"/>
                <w:sz w:val="22"/>
                <w:szCs w:val="22"/>
                <w:lang w:val="fr-FR"/>
              </w:rPr>
              <w:t>’</w:t>
            </w:r>
            <w:r w:rsidRPr="00B84D32">
              <w:rPr>
                <w:rStyle w:val="normal0020tablechar"/>
                <w:rFonts w:ascii="Arial" w:hAnsi="Arial" w:cs="Arial"/>
                <w:sz w:val="22"/>
                <w:szCs w:val="22"/>
                <w:lang w:val="fr-FR"/>
              </w:rPr>
              <w:t>édition, la traduction, la préparation de copies, la conception graphique, la mise en page et la correction d</w:t>
            </w:r>
            <w:r w:rsidR="00B84D32">
              <w:rPr>
                <w:rStyle w:val="normal0020tablechar"/>
                <w:rFonts w:ascii="Arial" w:hAnsi="Arial" w:cs="Arial"/>
                <w:sz w:val="22"/>
                <w:szCs w:val="22"/>
                <w:lang w:val="fr-FR"/>
              </w:rPr>
              <w:t>’</w:t>
            </w:r>
            <w:r w:rsidRPr="00B84D32">
              <w:rPr>
                <w:rStyle w:val="normal0020tablechar"/>
                <w:rFonts w:ascii="Arial" w:hAnsi="Arial" w:cs="Arial"/>
                <w:sz w:val="22"/>
                <w:szCs w:val="22"/>
                <w:lang w:val="fr-FR"/>
              </w:rPr>
              <w:t>épreuves</w:t>
            </w:r>
          </w:p>
        </w:tc>
        <w:tc>
          <w:tcPr>
            <w:tcW w:w="1203" w:type="dxa"/>
            <w:shd w:val="clear" w:color="auto" w:fill="auto"/>
            <w:vAlign w:val="center"/>
          </w:tcPr>
          <w:p w:rsidR="002D01C4" w:rsidRPr="00B84D32" w:rsidRDefault="0078251B" w:rsidP="0013044A">
            <w:pPr>
              <w:spacing w:before="60" w:after="60"/>
              <w:jc w:val="right"/>
              <w:rPr>
                <w:rFonts w:ascii="Arial" w:hAnsi="Arial" w:cs="Arial"/>
                <w:color w:val="000000"/>
                <w:sz w:val="22"/>
                <w:szCs w:val="22"/>
                <w:lang w:val="fr-FR"/>
              </w:rPr>
            </w:pPr>
            <w:r w:rsidRPr="00B84D32">
              <w:rPr>
                <w:rFonts w:ascii="Arial" w:hAnsi="Arial" w:cs="Arial"/>
                <w:color w:val="000000"/>
                <w:sz w:val="22"/>
                <w:szCs w:val="22"/>
                <w:lang w:val="fr-FR"/>
              </w:rPr>
              <w:t>37 </w:t>
            </w:r>
            <w:r w:rsidR="0010242E" w:rsidRPr="00B84D32">
              <w:rPr>
                <w:rFonts w:ascii="Arial" w:hAnsi="Arial" w:cs="Arial"/>
                <w:color w:val="000000"/>
                <w:sz w:val="22"/>
                <w:szCs w:val="22"/>
                <w:lang w:val="fr-FR"/>
              </w:rPr>
              <w:t>000</w:t>
            </w:r>
            <w:r w:rsidRPr="00B84D32">
              <w:rPr>
                <w:rFonts w:ascii="Arial" w:hAnsi="Arial" w:cs="Arial"/>
                <w:color w:val="000000"/>
                <w:sz w:val="22"/>
                <w:szCs w:val="22"/>
                <w:lang w:val="fr-FR"/>
              </w:rPr>
              <w:t xml:space="preserve"> $</w:t>
            </w:r>
          </w:p>
        </w:tc>
      </w:tr>
      <w:tr w:rsidR="002D01C4" w:rsidRPr="007456A1">
        <w:tc>
          <w:tcPr>
            <w:tcW w:w="8505" w:type="dxa"/>
            <w:gridSpan w:val="2"/>
            <w:shd w:val="clear" w:color="auto" w:fill="auto"/>
            <w:vAlign w:val="center"/>
          </w:tcPr>
          <w:p w:rsidR="002D01C4" w:rsidRPr="00B84D32" w:rsidRDefault="0078251B" w:rsidP="0013044A">
            <w:pPr>
              <w:pStyle w:val="normal0020table"/>
              <w:spacing w:before="60" w:beforeAutospacing="0" w:after="60" w:afterAutospacing="0"/>
            </w:pPr>
            <w:r w:rsidRPr="00B84D32">
              <w:rPr>
                <w:rStyle w:val="normal0020tablechar"/>
                <w:rFonts w:ascii="Arial" w:hAnsi="Arial" w:cs="Arial"/>
                <w:b/>
                <w:bCs/>
                <w:sz w:val="22"/>
                <w:szCs w:val="22"/>
              </w:rPr>
              <w:t>C.3 Publication de dépliants sur les listes de sauvegarde urgente et représentative ainsi que le Registre des meilleures pratiques de sauvegarde 2012 &amp; 2013 (anglais et français)</w:t>
            </w:r>
            <w:r w:rsidRPr="00B84D32">
              <w:t xml:space="preserve"> </w:t>
            </w:r>
          </w:p>
        </w:tc>
        <w:tc>
          <w:tcPr>
            <w:tcW w:w="1203" w:type="dxa"/>
            <w:shd w:val="clear" w:color="auto" w:fill="auto"/>
            <w:vAlign w:val="center"/>
          </w:tcPr>
          <w:p w:rsidR="002D01C4" w:rsidRPr="00B84D32" w:rsidRDefault="002D01C4" w:rsidP="0013044A">
            <w:pPr>
              <w:spacing w:before="60" w:after="60"/>
              <w:rPr>
                <w:rFonts w:ascii="Arial" w:hAnsi="Arial" w:cs="Arial"/>
                <w:color w:val="000000"/>
                <w:sz w:val="22"/>
                <w:szCs w:val="22"/>
                <w:lang w:val="fr-FR"/>
              </w:rPr>
            </w:pPr>
          </w:p>
        </w:tc>
      </w:tr>
      <w:tr w:rsidR="002D01C4" w:rsidRPr="00B84D32">
        <w:tc>
          <w:tcPr>
            <w:tcW w:w="3119" w:type="dxa"/>
            <w:shd w:val="clear" w:color="auto" w:fill="auto"/>
            <w:vAlign w:val="center"/>
          </w:tcPr>
          <w:p w:rsidR="002D01C4" w:rsidRPr="00B84D32" w:rsidRDefault="0078251B" w:rsidP="0013044A">
            <w:pPr>
              <w:spacing w:before="60" w:after="60"/>
              <w:rPr>
                <w:rFonts w:ascii="Arial" w:hAnsi="Arial" w:cs="Arial"/>
                <w:color w:val="000000"/>
                <w:sz w:val="22"/>
                <w:szCs w:val="22"/>
                <w:lang w:val="fr-FR"/>
              </w:rPr>
            </w:pPr>
            <w:r w:rsidRPr="00B84D32">
              <w:rPr>
                <w:rFonts w:ascii="Arial" w:hAnsi="Arial" w:cs="Arial"/>
                <w:color w:val="000000"/>
                <w:sz w:val="22"/>
                <w:szCs w:val="22"/>
                <w:lang w:val="fr-FR"/>
              </w:rPr>
              <w:t>Pré</w:t>
            </w:r>
            <w:r w:rsidR="0010242E" w:rsidRPr="00B84D32">
              <w:rPr>
                <w:rFonts w:ascii="Arial" w:hAnsi="Arial" w:cs="Arial"/>
                <w:color w:val="000000"/>
                <w:sz w:val="22"/>
                <w:szCs w:val="22"/>
                <w:lang w:val="fr-FR"/>
              </w:rPr>
              <w:t>-production</w:t>
            </w:r>
          </w:p>
        </w:tc>
        <w:tc>
          <w:tcPr>
            <w:tcW w:w="5386" w:type="dxa"/>
            <w:shd w:val="clear" w:color="auto" w:fill="auto"/>
            <w:vAlign w:val="center"/>
          </w:tcPr>
          <w:p w:rsidR="002D01C4" w:rsidRPr="00B84D32" w:rsidRDefault="0078251B" w:rsidP="0013044A">
            <w:pPr>
              <w:spacing w:before="60" w:after="60"/>
              <w:rPr>
                <w:rFonts w:ascii="Arial" w:hAnsi="Arial" w:cs="Arial"/>
                <w:color w:val="000000"/>
                <w:sz w:val="22"/>
                <w:szCs w:val="22"/>
                <w:lang w:val="fr-FR"/>
              </w:rPr>
            </w:pPr>
            <w:r w:rsidRPr="00B84D32">
              <w:rPr>
                <w:rFonts w:ascii="Arial" w:hAnsi="Arial" w:cs="Arial"/>
                <w:color w:val="000000"/>
                <w:sz w:val="22"/>
                <w:szCs w:val="22"/>
                <w:lang w:val="fr-FR"/>
              </w:rPr>
              <w:t>Services professionnels pour la rédaction, l</w:t>
            </w:r>
            <w:r w:rsidR="00B84D32">
              <w:rPr>
                <w:rFonts w:ascii="Arial" w:hAnsi="Arial" w:cs="Arial"/>
                <w:color w:val="000000"/>
                <w:sz w:val="22"/>
                <w:szCs w:val="22"/>
                <w:lang w:val="fr-FR"/>
              </w:rPr>
              <w:t>’</w:t>
            </w:r>
            <w:r w:rsidRPr="00B84D32">
              <w:rPr>
                <w:rFonts w:ascii="Arial" w:hAnsi="Arial" w:cs="Arial"/>
                <w:color w:val="000000"/>
                <w:sz w:val="22"/>
                <w:szCs w:val="22"/>
                <w:lang w:val="fr-FR"/>
              </w:rPr>
              <w:t xml:space="preserve">édition, la traduction, la préparation de copies, la conception graphique, la mise en page et la </w:t>
            </w:r>
            <w:r w:rsidRPr="00B84D32">
              <w:rPr>
                <w:rStyle w:val="normal0020tablechar"/>
                <w:rFonts w:ascii="Arial" w:hAnsi="Arial" w:cs="Arial"/>
                <w:sz w:val="22"/>
                <w:szCs w:val="22"/>
                <w:lang w:val="fr-FR"/>
              </w:rPr>
              <w:t>correction d</w:t>
            </w:r>
            <w:r w:rsidR="00B84D32">
              <w:rPr>
                <w:rStyle w:val="normal0020tablechar"/>
                <w:rFonts w:ascii="Arial" w:hAnsi="Arial" w:cs="Arial"/>
                <w:sz w:val="22"/>
                <w:szCs w:val="22"/>
                <w:lang w:val="fr-FR"/>
              </w:rPr>
              <w:t>’</w:t>
            </w:r>
            <w:r w:rsidRPr="00B84D32">
              <w:rPr>
                <w:rStyle w:val="normal0020tablechar"/>
                <w:rFonts w:ascii="Arial" w:hAnsi="Arial" w:cs="Arial"/>
                <w:sz w:val="22"/>
                <w:szCs w:val="22"/>
                <w:lang w:val="fr-FR"/>
              </w:rPr>
              <w:t>épreuves</w:t>
            </w:r>
          </w:p>
        </w:tc>
        <w:tc>
          <w:tcPr>
            <w:tcW w:w="1203" w:type="dxa"/>
            <w:shd w:val="clear" w:color="auto" w:fill="auto"/>
            <w:vAlign w:val="center"/>
          </w:tcPr>
          <w:p w:rsidR="002D01C4" w:rsidRPr="00B84D32" w:rsidRDefault="0010242E" w:rsidP="0013044A">
            <w:pPr>
              <w:spacing w:before="60" w:after="60"/>
              <w:jc w:val="right"/>
              <w:rPr>
                <w:rFonts w:ascii="Arial" w:hAnsi="Arial" w:cs="Arial"/>
                <w:bCs/>
                <w:color w:val="000000"/>
                <w:sz w:val="22"/>
                <w:szCs w:val="22"/>
                <w:lang w:val="fr-FR"/>
              </w:rPr>
            </w:pPr>
            <w:r w:rsidRPr="00B84D32">
              <w:rPr>
                <w:rFonts w:ascii="Arial" w:hAnsi="Arial" w:cs="Arial"/>
                <w:bCs/>
                <w:color w:val="000000"/>
                <w:sz w:val="22"/>
                <w:szCs w:val="22"/>
                <w:lang w:val="fr-FR"/>
              </w:rPr>
              <w:t>17</w:t>
            </w:r>
            <w:r w:rsidR="0078251B" w:rsidRPr="00B84D32">
              <w:rPr>
                <w:rFonts w:ascii="Arial" w:hAnsi="Arial" w:cs="Arial"/>
                <w:bCs/>
                <w:color w:val="000000"/>
                <w:sz w:val="22"/>
                <w:szCs w:val="22"/>
                <w:lang w:val="fr-FR"/>
              </w:rPr>
              <w:t> </w:t>
            </w:r>
            <w:r w:rsidRPr="00B84D32">
              <w:rPr>
                <w:rFonts w:ascii="Arial" w:hAnsi="Arial" w:cs="Arial"/>
                <w:bCs/>
                <w:color w:val="000000"/>
                <w:sz w:val="22"/>
                <w:szCs w:val="22"/>
                <w:lang w:val="fr-FR"/>
              </w:rPr>
              <w:t>000</w:t>
            </w:r>
            <w:r w:rsidR="0078251B" w:rsidRPr="00B84D32">
              <w:rPr>
                <w:rFonts w:ascii="Arial" w:hAnsi="Arial" w:cs="Arial"/>
                <w:bCs/>
                <w:color w:val="000000"/>
                <w:sz w:val="22"/>
                <w:szCs w:val="22"/>
                <w:lang w:val="fr-FR"/>
              </w:rPr>
              <w:t xml:space="preserve"> $</w:t>
            </w:r>
          </w:p>
        </w:tc>
      </w:tr>
      <w:tr w:rsidR="002D01C4" w:rsidRPr="007456A1">
        <w:tc>
          <w:tcPr>
            <w:tcW w:w="8505" w:type="dxa"/>
            <w:gridSpan w:val="2"/>
            <w:shd w:val="clear" w:color="auto" w:fill="auto"/>
            <w:vAlign w:val="center"/>
          </w:tcPr>
          <w:p w:rsidR="002D01C4" w:rsidRPr="00B84D32" w:rsidRDefault="0078251B" w:rsidP="0013044A">
            <w:pPr>
              <w:pStyle w:val="normal0020table"/>
              <w:spacing w:before="60" w:beforeAutospacing="0" w:after="60" w:afterAutospacing="0"/>
            </w:pPr>
            <w:r w:rsidRPr="00B84D32">
              <w:rPr>
                <w:rStyle w:val="normal0020tablechar"/>
                <w:rFonts w:ascii="Arial" w:hAnsi="Arial" w:cs="Arial"/>
                <w:b/>
                <w:bCs/>
                <w:sz w:val="22"/>
                <w:szCs w:val="22"/>
              </w:rPr>
              <w:t>C.4 Distribution de documents imprimés</w:t>
            </w:r>
            <w:r w:rsidRPr="00B84D32">
              <w:t xml:space="preserve"> </w:t>
            </w:r>
          </w:p>
        </w:tc>
        <w:tc>
          <w:tcPr>
            <w:tcW w:w="1203" w:type="dxa"/>
            <w:shd w:val="clear" w:color="auto" w:fill="auto"/>
            <w:vAlign w:val="center"/>
          </w:tcPr>
          <w:p w:rsidR="002D01C4" w:rsidRPr="00B84D32" w:rsidRDefault="002D01C4" w:rsidP="0013044A">
            <w:pPr>
              <w:spacing w:before="60" w:after="60"/>
              <w:rPr>
                <w:rFonts w:ascii="Arial" w:hAnsi="Arial" w:cs="Arial"/>
                <w:color w:val="000000"/>
                <w:sz w:val="22"/>
                <w:szCs w:val="22"/>
                <w:lang w:val="fr-FR"/>
              </w:rPr>
            </w:pPr>
          </w:p>
        </w:tc>
      </w:tr>
      <w:tr w:rsidR="002D01C4" w:rsidRPr="00B84D32">
        <w:tc>
          <w:tcPr>
            <w:tcW w:w="3119" w:type="dxa"/>
            <w:shd w:val="clear" w:color="auto" w:fill="auto"/>
            <w:vAlign w:val="center"/>
          </w:tcPr>
          <w:p w:rsidR="002D01C4" w:rsidRPr="00B84D32" w:rsidRDefault="0078251B" w:rsidP="0013044A">
            <w:pPr>
              <w:spacing w:before="60" w:after="60"/>
              <w:rPr>
                <w:rFonts w:ascii="Arial" w:hAnsi="Arial" w:cs="Arial"/>
                <w:color w:val="000000"/>
                <w:sz w:val="22"/>
                <w:szCs w:val="22"/>
                <w:lang w:val="fr-FR"/>
              </w:rPr>
            </w:pPr>
            <w:r w:rsidRPr="00B84D32">
              <w:rPr>
                <w:rFonts w:ascii="Arial" w:hAnsi="Arial" w:cs="Arial"/>
                <w:color w:val="000000"/>
                <w:sz w:val="22"/>
                <w:szCs w:val="22"/>
                <w:lang w:val="fr-FR"/>
              </w:rPr>
              <w:t>Expédition</w:t>
            </w:r>
          </w:p>
        </w:tc>
        <w:tc>
          <w:tcPr>
            <w:tcW w:w="5386" w:type="dxa"/>
            <w:shd w:val="clear" w:color="auto" w:fill="auto"/>
            <w:vAlign w:val="center"/>
          </w:tcPr>
          <w:p w:rsidR="002D01C4" w:rsidRPr="00B84D32" w:rsidRDefault="00763EEE" w:rsidP="0013044A">
            <w:pPr>
              <w:spacing w:before="60" w:after="60"/>
              <w:rPr>
                <w:rFonts w:ascii="Arial" w:hAnsi="Arial" w:cs="Arial"/>
                <w:color w:val="000000"/>
                <w:sz w:val="22"/>
                <w:szCs w:val="22"/>
                <w:lang w:val="fr-FR"/>
              </w:rPr>
            </w:pPr>
            <w:r w:rsidRPr="00B84D32">
              <w:rPr>
                <w:rStyle w:val="normal0020tablechar"/>
                <w:rFonts w:ascii="Arial" w:hAnsi="Arial" w:cs="Arial"/>
                <w:sz w:val="22"/>
                <w:szCs w:val="22"/>
                <w:lang w:val="fr-FR"/>
              </w:rPr>
              <w:t>Frais d</w:t>
            </w:r>
            <w:r w:rsidR="00B84D32">
              <w:rPr>
                <w:rStyle w:val="normal0020tablechar"/>
                <w:rFonts w:ascii="Arial" w:hAnsi="Arial" w:cs="Arial"/>
                <w:sz w:val="22"/>
                <w:szCs w:val="22"/>
                <w:lang w:val="fr-FR"/>
              </w:rPr>
              <w:t>’</w:t>
            </w:r>
            <w:r w:rsidRPr="00B84D32">
              <w:rPr>
                <w:rStyle w:val="normal0020tablechar"/>
                <w:rFonts w:ascii="Arial" w:hAnsi="Arial" w:cs="Arial"/>
                <w:sz w:val="22"/>
                <w:szCs w:val="22"/>
                <w:lang w:val="fr-FR"/>
              </w:rPr>
              <w:t>expédition vers les bureaux hors-s</w:t>
            </w:r>
            <w:r w:rsidR="0078251B" w:rsidRPr="00B84D32">
              <w:rPr>
                <w:rStyle w:val="normal0020tablechar"/>
                <w:rFonts w:ascii="Arial" w:hAnsi="Arial" w:cs="Arial"/>
                <w:sz w:val="22"/>
                <w:szCs w:val="22"/>
                <w:lang w:val="fr-FR"/>
              </w:rPr>
              <w:t>iège, les commissions nationales et autres parties prenantes</w:t>
            </w:r>
          </w:p>
        </w:tc>
        <w:tc>
          <w:tcPr>
            <w:tcW w:w="1203" w:type="dxa"/>
            <w:shd w:val="clear" w:color="auto" w:fill="auto"/>
            <w:vAlign w:val="center"/>
          </w:tcPr>
          <w:p w:rsidR="002D01C4" w:rsidRPr="00B84D32" w:rsidRDefault="0010242E" w:rsidP="0013044A">
            <w:pPr>
              <w:spacing w:before="60" w:after="60"/>
              <w:jc w:val="right"/>
              <w:rPr>
                <w:rFonts w:ascii="Arial" w:hAnsi="Arial" w:cs="Arial"/>
                <w:bCs/>
                <w:color w:val="000000"/>
                <w:sz w:val="22"/>
                <w:szCs w:val="22"/>
                <w:lang w:val="fr-FR"/>
              </w:rPr>
            </w:pPr>
            <w:r w:rsidRPr="00B84D32">
              <w:rPr>
                <w:rFonts w:ascii="Arial" w:hAnsi="Arial" w:cs="Arial"/>
                <w:bCs/>
                <w:color w:val="000000"/>
                <w:sz w:val="22"/>
                <w:szCs w:val="22"/>
                <w:lang w:val="fr-FR"/>
              </w:rPr>
              <w:t>20</w:t>
            </w:r>
            <w:r w:rsidR="00763EEE" w:rsidRPr="00B84D32">
              <w:rPr>
                <w:rFonts w:ascii="Arial" w:hAnsi="Arial" w:cs="Arial"/>
                <w:bCs/>
                <w:color w:val="000000"/>
                <w:sz w:val="22"/>
                <w:szCs w:val="22"/>
                <w:lang w:val="fr-FR"/>
              </w:rPr>
              <w:t> </w:t>
            </w:r>
            <w:r w:rsidRPr="00B84D32">
              <w:rPr>
                <w:rFonts w:ascii="Arial" w:hAnsi="Arial" w:cs="Arial"/>
                <w:bCs/>
                <w:color w:val="000000"/>
                <w:sz w:val="22"/>
                <w:szCs w:val="22"/>
                <w:lang w:val="fr-FR"/>
              </w:rPr>
              <w:t>000</w:t>
            </w:r>
            <w:r w:rsidR="00763EEE" w:rsidRPr="00B84D32">
              <w:rPr>
                <w:rFonts w:ascii="Arial" w:hAnsi="Arial" w:cs="Arial"/>
                <w:bCs/>
                <w:color w:val="000000"/>
                <w:sz w:val="22"/>
                <w:szCs w:val="22"/>
                <w:lang w:val="fr-FR"/>
              </w:rPr>
              <w:t xml:space="preserve"> $</w:t>
            </w:r>
          </w:p>
        </w:tc>
      </w:tr>
      <w:tr w:rsidR="002D01C4" w:rsidRPr="00B84D32">
        <w:tc>
          <w:tcPr>
            <w:tcW w:w="8505" w:type="dxa"/>
            <w:gridSpan w:val="2"/>
            <w:shd w:val="clear" w:color="auto" w:fill="F2F2F2" w:themeFill="background1" w:themeFillShade="F2"/>
            <w:vAlign w:val="center"/>
          </w:tcPr>
          <w:p w:rsidR="002D01C4" w:rsidRPr="00B84D32" w:rsidRDefault="0010242E" w:rsidP="0013044A">
            <w:pPr>
              <w:spacing w:before="60" w:after="60"/>
              <w:rPr>
                <w:rFonts w:ascii="Arial" w:hAnsi="Arial" w:cs="Arial"/>
                <w:b/>
                <w:bCs/>
                <w:color w:val="000000"/>
                <w:sz w:val="22"/>
                <w:szCs w:val="22"/>
                <w:lang w:val="fr-FR"/>
              </w:rPr>
            </w:pPr>
            <w:r w:rsidRPr="00B84D32">
              <w:rPr>
                <w:rFonts w:ascii="Arial" w:hAnsi="Arial" w:cs="Arial"/>
                <w:b/>
                <w:bCs/>
                <w:color w:val="000000"/>
                <w:sz w:val="22"/>
                <w:szCs w:val="22"/>
                <w:lang w:val="fr-FR"/>
              </w:rPr>
              <w:t xml:space="preserve">D. </w:t>
            </w:r>
            <w:r w:rsidR="00763EEE" w:rsidRPr="00B84D32">
              <w:rPr>
                <w:rFonts w:ascii="Arial" w:hAnsi="Arial" w:cs="Arial"/>
                <w:b/>
                <w:bCs/>
                <w:color w:val="000000"/>
                <w:sz w:val="22"/>
                <w:szCs w:val="22"/>
                <w:lang w:val="fr-FR"/>
              </w:rPr>
              <w:t>Services de gestion des connaissances</w:t>
            </w:r>
          </w:p>
        </w:tc>
        <w:tc>
          <w:tcPr>
            <w:tcW w:w="1203" w:type="dxa"/>
            <w:tcBorders>
              <w:bottom w:val="single" w:sz="4" w:space="0" w:color="auto"/>
            </w:tcBorders>
            <w:shd w:val="clear" w:color="auto" w:fill="F2F2F2" w:themeFill="background1" w:themeFillShade="F2"/>
            <w:vAlign w:val="center"/>
          </w:tcPr>
          <w:p w:rsidR="002D01C4" w:rsidRPr="00B84D32" w:rsidRDefault="0010242E" w:rsidP="0013044A">
            <w:pPr>
              <w:spacing w:before="60" w:after="60"/>
              <w:jc w:val="right"/>
              <w:rPr>
                <w:rFonts w:ascii="Arial" w:hAnsi="Arial" w:cs="Arial"/>
                <w:b/>
                <w:bCs/>
                <w:color w:val="000000"/>
                <w:sz w:val="22"/>
                <w:szCs w:val="22"/>
                <w:lang w:val="fr-FR"/>
              </w:rPr>
            </w:pPr>
            <w:r w:rsidRPr="00B84D32">
              <w:rPr>
                <w:rFonts w:ascii="Arial" w:hAnsi="Arial" w:cs="Arial"/>
                <w:b/>
                <w:bCs/>
                <w:color w:val="000000"/>
                <w:sz w:val="22"/>
                <w:szCs w:val="22"/>
                <w:lang w:val="fr-FR"/>
              </w:rPr>
              <w:t>125</w:t>
            </w:r>
            <w:r w:rsidR="00763EEE" w:rsidRPr="00B84D32">
              <w:rPr>
                <w:rFonts w:ascii="Arial" w:hAnsi="Arial" w:cs="Arial"/>
                <w:b/>
                <w:bCs/>
                <w:color w:val="000000"/>
                <w:sz w:val="22"/>
                <w:szCs w:val="22"/>
                <w:lang w:val="fr-FR"/>
              </w:rPr>
              <w:t> </w:t>
            </w:r>
            <w:r w:rsidRPr="00B84D32">
              <w:rPr>
                <w:rFonts w:ascii="Arial" w:hAnsi="Arial" w:cs="Arial"/>
                <w:b/>
                <w:bCs/>
                <w:color w:val="000000"/>
                <w:sz w:val="22"/>
                <w:szCs w:val="22"/>
                <w:lang w:val="fr-FR"/>
              </w:rPr>
              <w:t>000</w:t>
            </w:r>
            <w:r w:rsidR="00763EEE" w:rsidRPr="00B84D32">
              <w:rPr>
                <w:rFonts w:ascii="Arial" w:hAnsi="Arial" w:cs="Arial"/>
                <w:b/>
                <w:bCs/>
                <w:color w:val="000000"/>
                <w:sz w:val="22"/>
                <w:szCs w:val="22"/>
                <w:lang w:val="fr-FR"/>
              </w:rPr>
              <w:t xml:space="preserve"> $</w:t>
            </w:r>
          </w:p>
        </w:tc>
      </w:tr>
      <w:tr w:rsidR="002D01C4" w:rsidRPr="00B84D32">
        <w:tc>
          <w:tcPr>
            <w:tcW w:w="3119" w:type="dxa"/>
            <w:tcBorders>
              <w:bottom w:val="nil"/>
            </w:tcBorders>
            <w:shd w:val="clear" w:color="auto" w:fill="auto"/>
            <w:vAlign w:val="center"/>
          </w:tcPr>
          <w:p w:rsidR="002D01C4" w:rsidRPr="00B84D32" w:rsidRDefault="00763EEE" w:rsidP="0013044A">
            <w:pPr>
              <w:spacing w:before="60" w:after="60"/>
              <w:rPr>
                <w:rFonts w:ascii="Arial" w:hAnsi="Arial" w:cs="Arial"/>
                <w:color w:val="000000"/>
                <w:sz w:val="22"/>
                <w:szCs w:val="22"/>
                <w:lang w:val="fr-FR"/>
              </w:rPr>
            </w:pPr>
            <w:r w:rsidRPr="00B84D32">
              <w:rPr>
                <w:rFonts w:ascii="Arial" w:hAnsi="Arial" w:cs="Arial"/>
                <w:color w:val="000000"/>
                <w:sz w:val="22"/>
                <w:szCs w:val="22"/>
                <w:lang w:val="fr-FR"/>
              </w:rPr>
              <w:t>Développement de fonctionnalités en ligne et de pages Web dédiées</w:t>
            </w:r>
          </w:p>
        </w:tc>
        <w:tc>
          <w:tcPr>
            <w:tcW w:w="5386" w:type="dxa"/>
            <w:tcBorders>
              <w:bottom w:val="nil"/>
            </w:tcBorders>
            <w:shd w:val="clear" w:color="auto" w:fill="auto"/>
            <w:vAlign w:val="center"/>
          </w:tcPr>
          <w:p w:rsidR="002D01C4" w:rsidRPr="00B84D32" w:rsidRDefault="00763EEE" w:rsidP="0013044A">
            <w:pPr>
              <w:spacing w:before="60" w:after="60"/>
              <w:rPr>
                <w:rFonts w:ascii="Arial" w:hAnsi="Arial" w:cs="Arial"/>
                <w:color w:val="000000"/>
                <w:sz w:val="22"/>
                <w:szCs w:val="22"/>
                <w:lang w:val="fr-FR"/>
              </w:rPr>
            </w:pPr>
            <w:r w:rsidRPr="00B84D32">
              <w:rPr>
                <w:rStyle w:val="normal0020tablechar"/>
                <w:rFonts w:ascii="Arial" w:hAnsi="Arial" w:cs="Arial"/>
                <w:sz w:val="22"/>
                <w:szCs w:val="22"/>
                <w:lang w:val="fr-FR"/>
              </w:rPr>
              <w:t>Services professionnels pour la gestion du système de connaissances et le développement de logiciels</w:t>
            </w:r>
          </w:p>
        </w:tc>
        <w:tc>
          <w:tcPr>
            <w:tcW w:w="1203" w:type="dxa"/>
            <w:tcBorders>
              <w:bottom w:val="nil"/>
            </w:tcBorders>
            <w:shd w:val="clear" w:color="auto" w:fill="auto"/>
            <w:vAlign w:val="center"/>
          </w:tcPr>
          <w:p w:rsidR="002D01C4" w:rsidRPr="00B84D32" w:rsidRDefault="0010242E" w:rsidP="0013044A">
            <w:pPr>
              <w:spacing w:before="60" w:after="60"/>
              <w:jc w:val="right"/>
              <w:rPr>
                <w:rFonts w:ascii="Arial" w:hAnsi="Arial" w:cs="Arial"/>
                <w:color w:val="000000"/>
                <w:sz w:val="22"/>
                <w:szCs w:val="22"/>
                <w:lang w:val="fr-FR"/>
              </w:rPr>
            </w:pPr>
            <w:r w:rsidRPr="00B84D32">
              <w:rPr>
                <w:rFonts w:ascii="Arial" w:hAnsi="Arial" w:cs="Arial"/>
                <w:color w:val="000000"/>
                <w:sz w:val="22"/>
                <w:szCs w:val="22"/>
                <w:lang w:val="fr-FR"/>
              </w:rPr>
              <w:t>125</w:t>
            </w:r>
            <w:r w:rsidR="00763EEE" w:rsidRPr="00B84D32">
              <w:rPr>
                <w:rFonts w:ascii="Arial" w:hAnsi="Arial" w:cs="Arial"/>
                <w:color w:val="000000"/>
                <w:sz w:val="22"/>
                <w:szCs w:val="22"/>
                <w:lang w:val="fr-FR"/>
              </w:rPr>
              <w:t> </w:t>
            </w:r>
            <w:r w:rsidRPr="00B84D32">
              <w:rPr>
                <w:rFonts w:ascii="Arial" w:hAnsi="Arial" w:cs="Arial"/>
                <w:color w:val="000000"/>
                <w:sz w:val="22"/>
                <w:szCs w:val="22"/>
                <w:lang w:val="fr-FR"/>
              </w:rPr>
              <w:t>000</w:t>
            </w:r>
            <w:r w:rsidR="00763EEE" w:rsidRPr="00B84D32">
              <w:rPr>
                <w:rFonts w:ascii="Arial" w:hAnsi="Arial" w:cs="Arial"/>
                <w:color w:val="000000"/>
                <w:sz w:val="22"/>
                <w:szCs w:val="22"/>
                <w:lang w:val="fr-FR"/>
              </w:rPr>
              <w:t xml:space="preserve"> $</w:t>
            </w:r>
          </w:p>
        </w:tc>
      </w:tr>
      <w:tr w:rsidR="002D01C4" w:rsidRPr="00B84D32">
        <w:tc>
          <w:tcPr>
            <w:tcW w:w="8505" w:type="dxa"/>
            <w:gridSpan w:val="2"/>
            <w:shd w:val="clear" w:color="auto" w:fill="A6A6A6" w:themeFill="background1" w:themeFillShade="A6"/>
            <w:vAlign w:val="center"/>
          </w:tcPr>
          <w:p w:rsidR="002D01C4" w:rsidRPr="00B84D32" w:rsidRDefault="0010242E" w:rsidP="0013044A">
            <w:pPr>
              <w:spacing w:before="60" w:after="60"/>
              <w:rPr>
                <w:rFonts w:ascii="Arial" w:hAnsi="Arial" w:cs="Arial"/>
                <w:b/>
                <w:bCs/>
                <w:sz w:val="22"/>
                <w:szCs w:val="22"/>
                <w:lang w:val="fr-FR"/>
              </w:rPr>
            </w:pPr>
            <w:r w:rsidRPr="00B84D32">
              <w:rPr>
                <w:rFonts w:ascii="Arial" w:hAnsi="Arial" w:cs="Arial"/>
                <w:b/>
                <w:bCs/>
                <w:sz w:val="22"/>
                <w:szCs w:val="22"/>
                <w:lang w:val="fr-FR"/>
              </w:rPr>
              <w:t>TOTAL</w:t>
            </w:r>
          </w:p>
        </w:tc>
        <w:tc>
          <w:tcPr>
            <w:tcW w:w="1203" w:type="dxa"/>
            <w:shd w:val="clear" w:color="auto" w:fill="A6A6A6" w:themeFill="background1" w:themeFillShade="A6"/>
            <w:vAlign w:val="center"/>
          </w:tcPr>
          <w:p w:rsidR="002D01C4" w:rsidRPr="00B84D32" w:rsidRDefault="0010242E" w:rsidP="0013044A">
            <w:pPr>
              <w:spacing w:before="60" w:after="60"/>
              <w:jc w:val="right"/>
              <w:rPr>
                <w:rFonts w:ascii="Arial" w:hAnsi="Arial" w:cs="Arial"/>
                <w:b/>
                <w:bCs/>
                <w:sz w:val="22"/>
                <w:szCs w:val="22"/>
                <w:lang w:val="fr-FR"/>
              </w:rPr>
            </w:pPr>
            <w:r w:rsidRPr="00B84D32">
              <w:rPr>
                <w:rFonts w:ascii="Arial" w:hAnsi="Arial" w:cs="Arial"/>
                <w:b/>
                <w:bCs/>
                <w:sz w:val="22"/>
                <w:szCs w:val="22"/>
                <w:lang w:val="fr-FR"/>
              </w:rPr>
              <w:t>594</w:t>
            </w:r>
            <w:r w:rsidR="00763EEE" w:rsidRPr="00B84D32">
              <w:rPr>
                <w:rFonts w:ascii="Arial" w:hAnsi="Arial" w:cs="Arial"/>
                <w:b/>
                <w:bCs/>
                <w:sz w:val="22"/>
                <w:szCs w:val="22"/>
                <w:lang w:val="fr-FR"/>
              </w:rPr>
              <w:t> </w:t>
            </w:r>
            <w:r w:rsidRPr="00B84D32">
              <w:rPr>
                <w:rFonts w:ascii="Arial" w:hAnsi="Arial" w:cs="Arial"/>
                <w:b/>
                <w:bCs/>
                <w:sz w:val="22"/>
                <w:szCs w:val="22"/>
                <w:lang w:val="fr-FR"/>
              </w:rPr>
              <w:t>000</w:t>
            </w:r>
            <w:r w:rsidR="00763EEE" w:rsidRPr="00B84D32">
              <w:rPr>
                <w:rFonts w:ascii="Arial" w:hAnsi="Arial" w:cs="Arial"/>
                <w:b/>
                <w:bCs/>
                <w:sz w:val="22"/>
                <w:szCs w:val="22"/>
                <w:lang w:val="fr-FR"/>
              </w:rPr>
              <w:t xml:space="preserve"> $</w:t>
            </w:r>
          </w:p>
        </w:tc>
      </w:tr>
    </w:tbl>
    <w:p w:rsidR="002D01C4" w:rsidRPr="00B84D32" w:rsidRDefault="002D01C4" w:rsidP="0013044A">
      <w:pPr>
        <w:pStyle w:val="Marge"/>
        <w:spacing w:before="240"/>
        <w:ind w:left="1134"/>
        <w:rPr>
          <w:lang w:val="fr-FR"/>
        </w:rPr>
      </w:pPr>
    </w:p>
    <w:sectPr w:rsidR="002D01C4" w:rsidRPr="00B84D32" w:rsidSect="0013044A">
      <w:headerReference w:type="even" r:id="rId15"/>
      <w:headerReference w:type="default" r:id="rId16"/>
      <w:headerReference w:type="first" r:id="rId17"/>
      <w:pgSz w:w="11906" w:h="16838" w:code="9"/>
      <w:pgMar w:top="1238" w:right="1134" w:bottom="993" w:left="1134"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A1" w:rsidRDefault="007456A1" w:rsidP="008724E5">
      <w:r>
        <w:separator/>
      </w:r>
    </w:p>
  </w:endnote>
  <w:endnote w:type="continuationSeparator" w:id="0">
    <w:p w:rsidR="007456A1" w:rsidRDefault="007456A1"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D9" w:rsidRDefault="00C20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D9" w:rsidRDefault="00C202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D9" w:rsidRDefault="00C20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A1" w:rsidRDefault="007456A1" w:rsidP="008724E5">
      <w:r>
        <w:separator/>
      </w:r>
    </w:p>
  </w:footnote>
  <w:footnote w:type="continuationSeparator" w:id="0">
    <w:p w:rsidR="007456A1" w:rsidRDefault="007456A1" w:rsidP="0087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A1" w:rsidRPr="00EF563B" w:rsidRDefault="007456A1" w:rsidP="002D01C4">
    <w:pPr>
      <w:rPr>
        <w:rFonts w:ascii="Arial" w:hAnsi="Arial" w:cs="Arial"/>
      </w:rPr>
    </w:pPr>
    <w:r w:rsidRPr="00A45E93">
      <w:rPr>
        <w:rFonts w:ascii="Arial" w:hAnsi="Arial" w:cs="Arial"/>
        <w:sz w:val="20"/>
        <w:szCs w:val="20"/>
        <w:lang w:val="en-US"/>
      </w:rPr>
      <w:t>ITH/1</w:t>
    </w:r>
    <w:r>
      <w:rPr>
        <w:rFonts w:ascii="Arial" w:hAnsi="Arial" w:cs="Arial"/>
        <w:sz w:val="20"/>
        <w:szCs w:val="20"/>
        <w:lang w:val="en-US"/>
      </w:rPr>
      <w:t>2</w:t>
    </w:r>
    <w:r w:rsidRPr="00A45E93">
      <w:rPr>
        <w:rFonts w:ascii="Arial" w:hAnsi="Arial" w:cs="Arial"/>
        <w:sz w:val="20"/>
        <w:szCs w:val="20"/>
        <w:lang w:val="en-US"/>
      </w:rPr>
      <w:t>/</w:t>
    </w:r>
    <w:r>
      <w:rPr>
        <w:rFonts w:ascii="Arial" w:hAnsi="Arial" w:cs="Arial"/>
        <w:sz w:val="20"/>
        <w:szCs w:val="20"/>
        <w:lang w:val="en-US"/>
      </w:rPr>
      <w:t>7</w:t>
    </w:r>
    <w:r w:rsidRPr="00A45E93">
      <w:rPr>
        <w:rFonts w:ascii="Arial" w:hAnsi="Arial" w:cs="Arial"/>
        <w:sz w:val="20"/>
        <w:szCs w:val="20"/>
        <w:lang w:val="en-US"/>
      </w:rPr>
      <w:t xml:space="preserve">.COM </w:t>
    </w:r>
    <w:r>
      <w:rPr>
        <w:rFonts w:ascii="Arial" w:hAnsi="Arial" w:cs="Arial"/>
        <w:sz w:val="20"/>
        <w:szCs w:val="20"/>
        <w:lang w:val="en-US"/>
      </w:rPr>
      <w:t>3</w:t>
    </w:r>
    <w:r w:rsidRPr="00A45E93">
      <w:rPr>
        <w:rFonts w:ascii="Arial" w:hAnsi="Arial" w:cs="Arial"/>
        <w:sz w:val="20"/>
        <w:szCs w:val="20"/>
        <w:lang w:val="en-US"/>
      </w:rPr>
      <w:t>.BUR/</w:t>
    </w:r>
    <w:r>
      <w:rPr>
        <w:rFonts w:ascii="Arial" w:hAnsi="Arial" w:cs="Arial"/>
        <w:sz w:val="20"/>
        <w:szCs w:val="20"/>
        <w:lang w:val="en-US"/>
      </w:rPr>
      <w:t xml:space="preserve">5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Pr="00EF563B">
      <w:rPr>
        <w:rStyle w:val="PageNumber"/>
        <w:rFonts w:ascii="Arial" w:hAnsi="Arial" w:cs="Arial"/>
        <w:sz w:val="20"/>
        <w:szCs w:val="20"/>
      </w:rPr>
      <w:fldChar w:fldCharType="separate"/>
    </w:r>
    <w:r w:rsidR="00C202D9">
      <w:rPr>
        <w:rStyle w:val="PageNumber"/>
        <w:rFonts w:ascii="Arial" w:hAnsi="Arial" w:cs="Arial"/>
        <w:noProof/>
        <w:sz w:val="20"/>
        <w:szCs w:val="20"/>
        <w:lang w:val="en-US"/>
      </w:rPr>
      <w:t>6</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A1" w:rsidRPr="00787DA9" w:rsidRDefault="007456A1" w:rsidP="002D01C4">
    <w:pPr>
      <w:pStyle w:val="Header"/>
      <w:jc w:val="right"/>
      <w:rPr>
        <w:rFonts w:ascii="Arial" w:hAnsi="Arial" w:cs="Arial"/>
      </w:rPr>
    </w:pPr>
    <w:r w:rsidRPr="00A45E93">
      <w:rPr>
        <w:rFonts w:ascii="Arial" w:hAnsi="Arial" w:cs="Arial"/>
        <w:sz w:val="20"/>
        <w:szCs w:val="20"/>
        <w:lang w:val="en-US"/>
      </w:rPr>
      <w:t>ITH/1</w:t>
    </w:r>
    <w:r>
      <w:rPr>
        <w:rFonts w:ascii="Arial" w:hAnsi="Arial" w:cs="Arial"/>
        <w:sz w:val="20"/>
        <w:szCs w:val="20"/>
        <w:lang w:val="en-US"/>
      </w:rPr>
      <w:t>2</w:t>
    </w:r>
    <w:r w:rsidRPr="00A45E93">
      <w:rPr>
        <w:rFonts w:ascii="Arial" w:hAnsi="Arial" w:cs="Arial"/>
        <w:sz w:val="20"/>
        <w:szCs w:val="20"/>
        <w:lang w:val="en-US"/>
      </w:rPr>
      <w:t>/</w:t>
    </w:r>
    <w:r>
      <w:rPr>
        <w:rFonts w:ascii="Arial" w:hAnsi="Arial" w:cs="Arial"/>
        <w:sz w:val="20"/>
        <w:szCs w:val="20"/>
        <w:lang w:val="en-US"/>
      </w:rPr>
      <w:t>7</w:t>
    </w:r>
    <w:r w:rsidRPr="00A45E93">
      <w:rPr>
        <w:rFonts w:ascii="Arial" w:hAnsi="Arial" w:cs="Arial"/>
        <w:sz w:val="20"/>
        <w:szCs w:val="20"/>
        <w:lang w:val="en-US"/>
      </w:rPr>
      <w:t xml:space="preserve">.COM </w:t>
    </w:r>
    <w:r>
      <w:rPr>
        <w:rFonts w:ascii="Arial" w:hAnsi="Arial" w:cs="Arial"/>
        <w:sz w:val="20"/>
        <w:szCs w:val="20"/>
        <w:lang w:val="en-US"/>
      </w:rPr>
      <w:t>3</w:t>
    </w:r>
    <w:r w:rsidRPr="00A45E93">
      <w:rPr>
        <w:rFonts w:ascii="Arial" w:hAnsi="Arial" w:cs="Arial"/>
        <w:sz w:val="20"/>
        <w:szCs w:val="20"/>
        <w:lang w:val="en-US"/>
      </w:rPr>
      <w:t>.BUR/</w:t>
    </w:r>
    <w:r>
      <w:rPr>
        <w:rFonts w:ascii="Arial" w:hAnsi="Arial" w:cs="Arial"/>
        <w:sz w:val="20"/>
        <w:szCs w:val="20"/>
        <w:lang w:val="en-US"/>
      </w:rPr>
      <w:t xml:space="preserve">5 </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Pr="00EF563B">
      <w:rPr>
        <w:rStyle w:val="PageNumber"/>
        <w:rFonts w:ascii="Arial" w:hAnsi="Arial" w:cs="Arial"/>
        <w:sz w:val="20"/>
        <w:szCs w:val="20"/>
      </w:rPr>
      <w:fldChar w:fldCharType="separate"/>
    </w:r>
    <w:r w:rsidR="00C202D9">
      <w:rPr>
        <w:rStyle w:val="PageNumber"/>
        <w:rFonts w:ascii="Arial" w:hAnsi="Arial" w:cs="Arial"/>
        <w:noProof/>
        <w:sz w:val="20"/>
        <w:szCs w:val="20"/>
        <w:lang w:val="en-US"/>
      </w:rPr>
      <w:t>5</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A1" w:rsidRPr="009D62A9" w:rsidRDefault="007456A1">
    <w:pPr>
      <w:pStyle w:val="Header"/>
      <w:rPr>
        <w:lang w:val="fr-FR"/>
      </w:rPr>
    </w:pPr>
  </w:p>
  <w:p w:rsidR="007456A1" w:rsidRPr="00341563" w:rsidRDefault="007456A1" w:rsidP="002D01C4">
    <w:pPr>
      <w:pStyle w:val="Header"/>
      <w:spacing w:after="520"/>
      <w:jc w:val="right"/>
      <w:rPr>
        <w:rFonts w:ascii="Arial" w:hAnsi="Arial" w:cs="Arial"/>
        <w:b/>
        <w:sz w:val="44"/>
        <w:szCs w:val="44"/>
        <w:lang w:val="en-US"/>
      </w:rPr>
    </w:pPr>
    <w:r w:rsidRPr="009D62A9">
      <w:rPr>
        <w:rFonts w:ascii="Arial" w:hAnsi="Arial" w:cs="Arial"/>
        <w:b/>
        <w:noProof/>
        <w:sz w:val="44"/>
        <w:szCs w:val="44"/>
        <w:lang w:val="fr-FR"/>
      </w:rPr>
      <w:drawing>
        <wp:anchor distT="0" distB="0" distL="114300" distR="114300" simplePos="0" relativeHeight="251666944" behindDoc="0" locked="1" layoutInCell="1" allowOverlap="0" wp14:anchorId="04CFA285" wp14:editId="2C9A6EFB">
          <wp:simplePos x="0" y="0"/>
          <wp:positionH relativeFrom="page">
            <wp:posOffset>47625</wp:posOffset>
          </wp:positionH>
          <wp:positionV relativeFrom="page">
            <wp:posOffset>252095</wp:posOffset>
          </wp:positionV>
          <wp:extent cx="2971800" cy="1400175"/>
          <wp:effectExtent l="0" t="0" r="0" b="9525"/>
          <wp:wrapSquare wrapText="bothSides"/>
          <wp:docPr id="4" name="Picture 4" descr="unesco+ich_black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ich_black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400175"/>
                  </a:xfrm>
                  <a:prstGeom prst="rect">
                    <a:avLst/>
                  </a:prstGeom>
                  <a:noFill/>
                  <a:ln>
                    <a:noFill/>
                  </a:ln>
                </pic:spPr>
              </pic:pic>
            </a:graphicData>
          </a:graphic>
        </wp:anchor>
      </w:drawing>
    </w:r>
    <w:r w:rsidRPr="00341563">
      <w:rPr>
        <w:rFonts w:ascii="Arial" w:hAnsi="Arial" w:cs="Arial"/>
        <w:b/>
        <w:sz w:val="44"/>
        <w:szCs w:val="44"/>
        <w:lang w:val="en-US"/>
      </w:rPr>
      <w:t>7 COM 3 BUR</w:t>
    </w:r>
  </w:p>
  <w:p w:rsidR="007456A1" w:rsidRPr="00341563" w:rsidRDefault="007456A1" w:rsidP="002D01C4">
    <w:pPr>
      <w:jc w:val="right"/>
      <w:rPr>
        <w:rFonts w:ascii="Arial" w:hAnsi="Arial" w:cs="Arial"/>
        <w:b/>
        <w:sz w:val="22"/>
        <w:szCs w:val="22"/>
        <w:lang w:val="en-US"/>
      </w:rPr>
    </w:pPr>
    <w:r w:rsidRPr="00341563">
      <w:rPr>
        <w:rFonts w:ascii="Arial" w:hAnsi="Arial" w:cs="Arial"/>
        <w:b/>
        <w:sz w:val="22"/>
        <w:szCs w:val="22"/>
        <w:lang w:val="en-US"/>
      </w:rPr>
      <w:t>ITH/12/7.COM 3.BUR/5</w:t>
    </w:r>
  </w:p>
  <w:p w:rsidR="007456A1" w:rsidRPr="009D62A9" w:rsidRDefault="007456A1" w:rsidP="002D01C4">
    <w:pPr>
      <w:jc w:val="right"/>
      <w:rPr>
        <w:rFonts w:ascii="Arial" w:hAnsi="Arial" w:cs="Arial"/>
        <w:b/>
        <w:sz w:val="22"/>
        <w:szCs w:val="22"/>
        <w:lang w:val="fr-FR"/>
      </w:rPr>
    </w:pPr>
    <w:r w:rsidRPr="009D62A9">
      <w:rPr>
        <w:rFonts w:ascii="Arial" w:hAnsi="Arial" w:cs="Arial"/>
        <w:b/>
        <w:sz w:val="22"/>
        <w:szCs w:val="22"/>
        <w:lang w:val="fr-FR"/>
      </w:rPr>
      <w:t xml:space="preserve">Paris, </w:t>
    </w:r>
    <w:r w:rsidR="00C202D9">
      <w:rPr>
        <w:rFonts w:ascii="Arial" w:hAnsi="Arial" w:cs="Arial"/>
        <w:b/>
        <w:sz w:val="22"/>
        <w:szCs w:val="22"/>
        <w:lang w:val="fr-FR"/>
      </w:rPr>
      <w:t>3 juin </w:t>
    </w:r>
    <w:r w:rsidR="00C202D9">
      <w:rPr>
        <w:rFonts w:ascii="Arial" w:hAnsi="Arial" w:cs="Arial"/>
        <w:b/>
        <w:sz w:val="22"/>
        <w:szCs w:val="22"/>
        <w:lang w:val="fr-FR"/>
      </w:rPr>
      <w:t>2012</w:t>
    </w:r>
    <w:bookmarkStart w:id="0" w:name="_GoBack"/>
    <w:bookmarkEnd w:id="0"/>
  </w:p>
  <w:p w:rsidR="007456A1" w:rsidRPr="009D62A9" w:rsidRDefault="007456A1" w:rsidP="002D01C4">
    <w:pPr>
      <w:jc w:val="right"/>
      <w:rPr>
        <w:rFonts w:ascii="Arial" w:hAnsi="Arial" w:cs="Arial"/>
        <w:b/>
        <w:sz w:val="22"/>
        <w:szCs w:val="22"/>
        <w:lang w:val="fr-FR"/>
      </w:rPr>
    </w:pPr>
    <w:r w:rsidRPr="009D62A9">
      <w:rPr>
        <w:rFonts w:ascii="Arial" w:hAnsi="Arial" w:cs="Arial"/>
        <w:b/>
        <w:sz w:val="22"/>
        <w:szCs w:val="22"/>
        <w:lang w:val="fr-FR"/>
      </w:rPr>
      <w:t xml:space="preserve">Original: </w:t>
    </w:r>
    <w:r>
      <w:rPr>
        <w:rFonts w:ascii="Arial" w:hAnsi="Arial" w:cs="Arial"/>
        <w:b/>
        <w:sz w:val="22"/>
        <w:szCs w:val="22"/>
        <w:lang w:val="fr-FR"/>
      </w:rPr>
      <w:t>anglais</w:t>
    </w:r>
  </w:p>
  <w:p w:rsidR="007456A1" w:rsidRPr="009D62A9" w:rsidRDefault="007456A1" w:rsidP="00B84D32">
    <w:pPr>
      <w:pStyle w:val="Header"/>
      <w:tabs>
        <w:tab w:val="left" w:pos="851"/>
      </w:tabs>
      <w:rPr>
        <w:rFonts w:ascii="Arial" w:hAnsi="Arial" w:cs="Arial"/>
        <w:sz w:val="22"/>
        <w:szCs w:val="22"/>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A1" w:rsidRPr="0013044A" w:rsidRDefault="007456A1" w:rsidP="001304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A1" w:rsidRDefault="007456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A1" w:rsidRPr="008724E5" w:rsidRDefault="007456A1">
    <w:pPr>
      <w:pStyle w:val="Header"/>
    </w:pPr>
    <w:r>
      <w:rPr>
        <w:noProof/>
        <w:lang w:val="fr-FR"/>
      </w:rPr>
      <w:drawing>
        <wp:anchor distT="0" distB="0" distL="114300" distR="114300" simplePos="0" relativeHeight="251665920" behindDoc="0" locked="0" layoutInCell="1" allowOverlap="1" wp14:anchorId="69D7CD51" wp14:editId="16EC8627">
          <wp:simplePos x="0" y="0"/>
          <wp:positionH relativeFrom="column">
            <wp:posOffset>-567690</wp:posOffset>
          </wp:positionH>
          <wp:positionV relativeFrom="paragraph">
            <wp:posOffset>3810</wp:posOffset>
          </wp:positionV>
          <wp:extent cx="2228215" cy="1367790"/>
          <wp:effectExtent l="19050" t="0" r="635" b="0"/>
          <wp:wrapNone/>
          <wp:docPr id="2" name="Picture 2"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srcRect/>
                  <a:stretch>
                    <a:fillRect/>
                  </a:stretch>
                </pic:blipFill>
                <pic:spPr bwMode="auto">
                  <a:xfrm>
                    <a:off x="0" y="0"/>
                    <a:ext cx="2228215" cy="1367790"/>
                  </a:xfrm>
                  <a:prstGeom prst="rect">
                    <a:avLst/>
                  </a:prstGeom>
                  <a:noFill/>
                  <a:ln w="9525">
                    <a:noFill/>
                    <a:miter lim="800000"/>
                    <a:headEnd/>
                    <a:tailEnd/>
                  </a:ln>
                </pic:spPr>
              </pic:pic>
            </a:graphicData>
          </a:graphic>
        </wp:anchor>
      </w:drawing>
    </w:r>
  </w:p>
  <w:p w:rsidR="007456A1" w:rsidRPr="00CE3FF1" w:rsidRDefault="007456A1" w:rsidP="002D01C4">
    <w:pPr>
      <w:pStyle w:val="Header"/>
      <w:spacing w:after="520"/>
      <w:jc w:val="right"/>
      <w:rPr>
        <w:rFonts w:ascii="Arial" w:hAnsi="Arial" w:cs="Arial"/>
        <w:b/>
        <w:sz w:val="44"/>
        <w:szCs w:val="44"/>
        <w:lang w:val="en-US"/>
      </w:rPr>
    </w:pPr>
    <w:r>
      <w:rPr>
        <w:rFonts w:ascii="Arial" w:hAnsi="Arial" w:cs="Arial"/>
        <w:b/>
        <w:sz w:val="44"/>
        <w:szCs w:val="44"/>
        <w:lang w:val="en-US"/>
      </w:rPr>
      <w:t>7</w:t>
    </w:r>
    <w:r w:rsidRPr="00CE3FF1">
      <w:rPr>
        <w:rFonts w:ascii="Arial" w:hAnsi="Arial" w:cs="Arial"/>
        <w:b/>
        <w:sz w:val="44"/>
        <w:szCs w:val="44"/>
        <w:lang w:val="en-US"/>
      </w:rPr>
      <w:t xml:space="preserve"> </w:t>
    </w:r>
    <w:r>
      <w:rPr>
        <w:rFonts w:ascii="Arial" w:hAnsi="Arial" w:cs="Arial"/>
        <w:b/>
        <w:sz w:val="44"/>
        <w:szCs w:val="44"/>
        <w:lang w:val="en-US"/>
      </w:rPr>
      <w:t>COM 3 BUR</w:t>
    </w:r>
  </w:p>
  <w:p w:rsidR="007456A1" w:rsidRPr="007815A5" w:rsidRDefault="007456A1" w:rsidP="002D01C4">
    <w:pPr>
      <w:jc w:val="right"/>
      <w:rPr>
        <w:rFonts w:ascii="Arial" w:hAnsi="Arial" w:cs="Arial"/>
        <w:b/>
        <w:sz w:val="22"/>
        <w:szCs w:val="22"/>
        <w:lang w:val="en-US"/>
      </w:rPr>
    </w:pPr>
    <w:r w:rsidRPr="007815A5">
      <w:rPr>
        <w:rFonts w:ascii="Arial" w:hAnsi="Arial" w:cs="Arial"/>
        <w:b/>
        <w:sz w:val="22"/>
        <w:szCs w:val="22"/>
        <w:lang w:val="en-US"/>
      </w:rPr>
      <w:t>ITH/12/7.COM 3.BUR/</w:t>
    </w:r>
    <w:r>
      <w:rPr>
        <w:rFonts w:ascii="Arial" w:hAnsi="Arial" w:cs="Arial"/>
        <w:b/>
        <w:sz w:val="22"/>
        <w:szCs w:val="22"/>
        <w:lang w:val="en-US"/>
      </w:rPr>
      <w:t>5</w:t>
    </w:r>
  </w:p>
  <w:p w:rsidR="007456A1" w:rsidRPr="007815A5" w:rsidRDefault="007456A1" w:rsidP="002D01C4">
    <w:pPr>
      <w:jc w:val="right"/>
      <w:rPr>
        <w:rFonts w:ascii="Arial" w:hAnsi="Arial" w:cs="Arial"/>
        <w:b/>
        <w:sz w:val="22"/>
        <w:szCs w:val="22"/>
        <w:lang w:val="en-US"/>
      </w:rPr>
    </w:pPr>
    <w:r w:rsidRPr="007815A5">
      <w:rPr>
        <w:rFonts w:ascii="Arial" w:hAnsi="Arial" w:cs="Arial"/>
        <w:b/>
        <w:sz w:val="22"/>
        <w:szCs w:val="22"/>
        <w:lang w:val="en-US"/>
      </w:rPr>
      <w:t xml:space="preserve">Paris, </w:t>
    </w:r>
    <w:r w:rsidRPr="007815A5">
      <w:rPr>
        <w:rFonts w:ascii="Arial" w:hAnsi="Arial" w:cs="Arial"/>
        <w:b/>
        <w:sz w:val="22"/>
        <w:szCs w:val="22"/>
        <w:lang w:val="en-US"/>
      </w:rPr>
      <w:fldChar w:fldCharType="begin"/>
    </w:r>
    <w:r w:rsidRPr="007815A5">
      <w:rPr>
        <w:rFonts w:ascii="Arial" w:hAnsi="Arial" w:cs="Arial"/>
        <w:b/>
        <w:sz w:val="22"/>
        <w:szCs w:val="22"/>
        <w:lang w:val="en-US"/>
      </w:rPr>
      <w:instrText xml:space="preserve"> DATE  \@ "d MMMM yyyy"  \* MERGEFORMAT </w:instrText>
    </w:r>
    <w:r w:rsidRPr="007815A5">
      <w:rPr>
        <w:rFonts w:ascii="Arial" w:hAnsi="Arial" w:cs="Arial"/>
        <w:b/>
        <w:sz w:val="22"/>
        <w:szCs w:val="22"/>
        <w:lang w:val="en-US"/>
      </w:rPr>
      <w:fldChar w:fldCharType="separate"/>
    </w:r>
    <w:r w:rsidR="00C202D9">
      <w:rPr>
        <w:rFonts w:ascii="Arial" w:hAnsi="Arial" w:cs="Arial"/>
        <w:b/>
        <w:noProof/>
        <w:sz w:val="22"/>
        <w:szCs w:val="22"/>
        <w:lang w:val="en-US"/>
      </w:rPr>
      <w:t>18 November 2013</w:t>
    </w:r>
    <w:r w:rsidRPr="007815A5">
      <w:rPr>
        <w:rFonts w:ascii="Arial" w:hAnsi="Arial" w:cs="Arial"/>
        <w:b/>
        <w:sz w:val="22"/>
        <w:szCs w:val="22"/>
        <w:lang w:val="en-US"/>
      </w:rPr>
      <w:fldChar w:fldCharType="end"/>
    </w:r>
  </w:p>
  <w:p w:rsidR="007456A1" w:rsidRPr="00CB149B" w:rsidRDefault="007456A1" w:rsidP="002D01C4">
    <w:pPr>
      <w:jc w:val="right"/>
      <w:rPr>
        <w:rFonts w:ascii="Arial" w:hAnsi="Arial" w:cs="Arial"/>
        <w:b/>
        <w:sz w:val="22"/>
        <w:szCs w:val="22"/>
        <w:lang w:val="en-US"/>
      </w:rPr>
    </w:pPr>
    <w:r w:rsidRPr="007815A5">
      <w:rPr>
        <w:rFonts w:ascii="Arial" w:hAnsi="Arial" w:cs="Arial"/>
        <w:b/>
        <w:sz w:val="22"/>
        <w:szCs w:val="22"/>
        <w:lang w:val="en-US"/>
      </w:rPr>
      <w:t>Original: English</w:t>
    </w:r>
  </w:p>
  <w:p w:rsidR="007456A1" w:rsidRDefault="007456A1" w:rsidP="002D01C4">
    <w:pPr>
      <w:pStyle w:val="Header"/>
      <w:spacing w:before="60"/>
      <w:rPr>
        <w:rFonts w:ascii="Arial" w:hAnsi="Arial" w:cs="Arial"/>
        <w:sz w:val="22"/>
        <w:szCs w:val="22"/>
        <w:lang w:val="en-US"/>
      </w:rPr>
    </w:pPr>
    <w:r>
      <w:rPr>
        <w:rFonts w:ascii="Arial" w:hAnsi="Arial" w:cs="Arial"/>
        <w:sz w:val="22"/>
        <w:szCs w:val="22"/>
        <w:lang w:val="en-US"/>
      </w:rPr>
      <w:t>Drafted by BdS</w:t>
    </w:r>
  </w:p>
  <w:p w:rsidR="007456A1" w:rsidRDefault="007456A1" w:rsidP="002D01C4">
    <w:pPr>
      <w:pStyle w:val="Header"/>
      <w:tabs>
        <w:tab w:val="left" w:pos="851"/>
      </w:tabs>
      <w:spacing w:before="60"/>
      <w:rPr>
        <w:rFonts w:ascii="Arial" w:hAnsi="Arial" w:cs="Arial"/>
        <w:sz w:val="22"/>
        <w:szCs w:val="22"/>
        <w:lang w:val="en-US"/>
      </w:rPr>
    </w:pPr>
    <w:r>
      <w:rPr>
        <w:rFonts w:ascii="Arial" w:hAnsi="Arial" w:cs="Arial"/>
        <w:sz w:val="22"/>
        <w:szCs w:val="22"/>
        <w:lang w:val="en-US"/>
      </w:rPr>
      <w:t xml:space="preserve">Visa by </w:t>
    </w:r>
    <w:r>
      <w:rPr>
        <w:rFonts w:ascii="Arial" w:hAnsi="Arial" w:cs="Arial"/>
        <w:sz w:val="22"/>
        <w:szCs w:val="22"/>
        <w:lang w:val="en-US"/>
      </w:rPr>
      <w:tab/>
      <w:t>CLT/CEH/ITH, Chief PEV Unit ______________</w:t>
    </w:r>
  </w:p>
  <w:p w:rsidR="007456A1" w:rsidRDefault="007456A1" w:rsidP="002D01C4">
    <w:pPr>
      <w:pStyle w:val="Header"/>
      <w:tabs>
        <w:tab w:val="left" w:pos="851"/>
      </w:tabs>
      <w:spacing w:before="60"/>
      <w:rPr>
        <w:rFonts w:ascii="Arial" w:hAnsi="Arial" w:cs="Arial"/>
        <w:sz w:val="22"/>
        <w:szCs w:val="22"/>
        <w:lang w:val="en-US"/>
      </w:rPr>
    </w:pPr>
    <w:r>
      <w:rPr>
        <w:rFonts w:ascii="Arial" w:hAnsi="Arial" w:cs="Arial"/>
        <w:sz w:val="22"/>
        <w:szCs w:val="22"/>
        <w:lang w:val="en-US"/>
      </w:rPr>
      <w:tab/>
      <w:t>Chief CLT/CEH/ITH _______________________</w:t>
    </w:r>
  </w:p>
  <w:p w:rsidR="007456A1" w:rsidRDefault="007456A1" w:rsidP="002D01C4">
    <w:pPr>
      <w:pStyle w:val="Header"/>
      <w:tabs>
        <w:tab w:val="left" w:pos="851"/>
      </w:tabs>
      <w:spacing w:before="60"/>
      <w:rPr>
        <w:rFonts w:ascii="Arial" w:hAnsi="Arial" w:cs="Arial"/>
        <w:sz w:val="22"/>
        <w:szCs w:val="22"/>
        <w:lang w:val="en-US"/>
      </w:rPr>
    </w:pPr>
    <w:r>
      <w:rPr>
        <w:rFonts w:ascii="Arial" w:hAnsi="Arial" w:cs="Arial"/>
        <w:sz w:val="22"/>
        <w:szCs w:val="22"/>
        <w:lang w:val="en-US"/>
      </w:rPr>
      <w:tab/>
      <w:t>AO/CLT ________________________________</w:t>
    </w:r>
  </w:p>
  <w:p w:rsidR="007456A1" w:rsidRPr="00FE6CAF" w:rsidRDefault="007456A1" w:rsidP="002D01C4">
    <w:pPr>
      <w:pStyle w:val="Header"/>
      <w:tabs>
        <w:tab w:val="left" w:pos="851"/>
      </w:tabs>
      <w:spacing w:before="60"/>
      <w:rPr>
        <w:rFonts w:ascii="Arial" w:hAnsi="Arial" w:cs="Arial"/>
        <w:sz w:val="22"/>
        <w:szCs w:val="22"/>
        <w:lang w:val="en-US"/>
      </w:rPr>
    </w:pPr>
    <w:r>
      <w:rPr>
        <w:rFonts w:ascii="Arial" w:hAnsi="Arial" w:cs="Arial"/>
        <w:sz w:val="22"/>
        <w:szCs w:val="22"/>
        <w:lang w:val="en-US"/>
      </w:rPr>
      <w:tab/>
      <w:t>DIR CLT/CEH a.i. &amp; ADG/CLT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309"/>
    <w:multiLevelType w:val="hybridMultilevel"/>
    <w:tmpl w:val="1646FCC0"/>
    <w:lvl w:ilvl="0" w:tplc="F7FE58DA">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3CB227B"/>
    <w:multiLevelType w:val="hybridMultilevel"/>
    <w:tmpl w:val="3640B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AC58E3"/>
    <w:multiLevelType w:val="multilevel"/>
    <w:tmpl w:val="AAA2B2D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09DA270D"/>
    <w:multiLevelType w:val="hybridMultilevel"/>
    <w:tmpl w:val="C56C5D3C"/>
    <w:lvl w:ilvl="0" w:tplc="040C0001">
      <w:start w:val="1"/>
      <w:numFmt w:val="bullet"/>
      <w:lvlText w:val=""/>
      <w:lvlJc w:val="left"/>
      <w:pPr>
        <w:ind w:left="5463" w:hanging="360"/>
      </w:pPr>
      <w:rPr>
        <w:rFonts w:ascii="Symbol" w:hAnsi="Symbol" w:hint="default"/>
      </w:rPr>
    </w:lvl>
    <w:lvl w:ilvl="1" w:tplc="040C0003" w:tentative="1">
      <w:start w:val="1"/>
      <w:numFmt w:val="bullet"/>
      <w:lvlText w:val="o"/>
      <w:lvlJc w:val="left"/>
      <w:pPr>
        <w:ind w:left="6183" w:hanging="360"/>
      </w:pPr>
      <w:rPr>
        <w:rFonts w:ascii="Courier New" w:hAnsi="Courier New" w:cs="Symbol" w:hint="default"/>
      </w:rPr>
    </w:lvl>
    <w:lvl w:ilvl="2" w:tplc="040C0005" w:tentative="1">
      <w:start w:val="1"/>
      <w:numFmt w:val="bullet"/>
      <w:lvlText w:val=""/>
      <w:lvlJc w:val="left"/>
      <w:pPr>
        <w:ind w:left="6903" w:hanging="360"/>
      </w:pPr>
      <w:rPr>
        <w:rFonts w:ascii="Wingdings" w:hAnsi="Wingdings" w:hint="default"/>
      </w:rPr>
    </w:lvl>
    <w:lvl w:ilvl="3" w:tplc="040C0001" w:tentative="1">
      <w:start w:val="1"/>
      <w:numFmt w:val="bullet"/>
      <w:lvlText w:val=""/>
      <w:lvlJc w:val="left"/>
      <w:pPr>
        <w:ind w:left="7623" w:hanging="360"/>
      </w:pPr>
      <w:rPr>
        <w:rFonts w:ascii="Symbol" w:hAnsi="Symbol" w:hint="default"/>
      </w:rPr>
    </w:lvl>
    <w:lvl w:ilvl="4" w:tplc="040C0003" w:tentative="1">
      <w:start w:val="1"/>
      <w:numFmt w:val="bullet"/>
      <w:lvlText w:val="o"/>
      <w:lvlJc w:val="left"/>
      <w:pPr>
        <w:ind w:left="8343" w:hanging="360"/>
      </w:pPr>
      <w:rPr>
        <w:rFonts w:ascii="Courier New" w:hAnsi="Courier New" w:cs="Symbol" w:hint="default"/>
      </w:rPr>
    </w:lvl>
    <w:lvl w:ilvl="5" w:tplc="040C0005" w:tentative="1">
      <w:start w:val="1"/>
      <w:numFmt w:val="bullet"/>
      <w:lvlText w:val=""/>
      <w:lvlJc w:val="left"/>
      <w:pPr>
        <w:ind w:left="9063" w:hanging="360"/>
      </w:pPr>
      <w:rPr>
        <w:rFonts w:ascii="Wingdings" w:hAnsi="Wingdings" w:hint="default"/>
      </w:rPr>
    </w:lvl>
    <w:lvl w:ilvl="6" w:tplc="040C0001" w:tentative="1">
      <w:start w:val="1"/>
      <w:numFmt w:val="bullet"/>
      <w:lvlText w:val=""/>
      <w:lvlJc w:val="left"/>
      <w:pPr>
        <w:ind w:left="9783" w:hanging="360"/>
      </w:pPr>
      <w:rPr>
        <w:rFonts w:ascii="Symbol" w:hAnsi="Symbol" w:hint="default"/>
      </w:rPr>
    </w:lvl>
    <w:lvl w:ilvl="7" w:tplc="040C0003" w:tentative="1">
      <w:start w:val="1"/>
      <w:numFmt w:val="bullet"/>
      <w:lvlText w:val="o"/>
      <w:lvlJc w:val="left"/>
      <w:pPr>
        <w:ind w:left="10503" w:hanging="360"/>
      </w:pPr>
      <w:rPr>
        <w:rFonts w:ascii="Courier New" w:hAnsi="Courier New" w:cs="Symbol" w:hint="default"/>
      </w:rPr>
    </w:lvl>
    <w:lvl w:ilvl="8" w:tplc="040C0005" w:tentative="1">
      <w:start w:val="1"/>
      <w:numFmt w:val="bullet"/>
      <w:lvlText w:val=""/>
      <w:lvlJc w:val="left"/>
      <w:pPr>
        <w:ind w:left="11223" w:hanging="360"/>
      </w:pPr>
      <w:rPr>
        <w:rFonts w:ascii="Wingdings" w:hAnsi="Wingdings" w:hint="default"/>
      </w:rPr>
    </w:lvl>
  </w:abstractNum>
  <w:abstractNum w:abstractNumId="6">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nsid w:val="113C6577"/>
    <w:multiLevelType w:val="multilevel"/>
    <w:tmpl w:val="95D0D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11CD5"/>
    <w:multiLevelType w:val="hybridMultilevel"/>
    <w:tmpl w:val="74CAE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3AD0A3C"/>
    <w:multiLevelType w:val="multilevel"/>
    <w:tmpl w:val="A06E3C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9A7AE4"/>
    <w:multiLevelType w:val="hybridMultilevel"/>
    <w:tmpl w:val="9AAC5F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Symbo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Symbol"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Symbol"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168225A5"/>
    <w:multiLevelType w:val="hybridMultilevel"/>
    <w:tmpl w:val="BAEC7E92"/>
    <w:lvl w:ilvl="0" w:tplc="040C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24F4F94"/>
    <w:multiLevelType w:val="multilevel"/>
    <w:tmpl w:val="424E01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nsid w:val="37E45C14"/>
    <w:multiLevelType w:val="hybridMultilevel"/>
    <w:tmpl w:val="005AD170"/>
    <w:lvl w:ilvl="0" w:tplc="719AC072">
      <w:start w:val="1"/>
      <w:numFmt w:val="decimal"/>
      <w:lvlText w:val="%1."/>
      <w:lvlJc w:val="left"/>
      <w:pPr>
        <w:ind w:left="4755" w:hanging="360"/>
      </w:pPr>
      <w:rPr>
        <w:rFonts w:hint="default"/>
        <w:b w:val="0"/>
        <w:lang w:val="en-G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9B6139"/>
    <w:multiLevelType w:val="hybridMultilevel"/>
    <w:tmpl w:val="4C9C7830"/>
    <w:lvl w:ilvl="0" w:tplc="606A5098">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3B393AB5"/>
    <w:multiLevelType w:val="hybridMultilevel"/>
    <w:tmpl w:val="C600A61C"/>
    <w:lvl w:ilvl="0" w:tplc="E18EB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0AF4112"/>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EE63FF"/>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F659F1"/>
    <w:multiLevelType w:val="hybridMultilevel"/>
    <w:tmpl w:val="D29AF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F680E81"/>
    <w:multiLevelType w:val="hybridMultilevel"/>
    <w:tmpl w:val="3DB6D2B2"/>
    <w:lvl w:ilvl="0" w:tplc="69929C82">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31100A4"/>
    <w:multiLevelType w:val="hybridMultilevel"/>
    <w:tmpl w:val="8A0A43E4"/>
    <w:lvl w:ilvl="0" w:tplc="78FAB2BE">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68A2851"/>
    <w:multiLevelType w:val="hybridMultilevel"/>
    <w:tmpl w:val="A672E7EC"/>
    <w:lvl w:ilvl="0" w:tplc="D774262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C4E7077"/>
    <w:multiLevelType w:val="multilevel"/>
    <w:tmpl w:val="CFBA973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6906153"/>
    <w:multiLevelType w:val="hybridMultilevel"/>
    <w:tmpl w:val="49E0A178"/>
    <w:lvl w:ilvl="0" w:tplc="D2D2712C">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7435399"/>
    <w:multiLevelType w:val="hybridMultilevel"/>
    <w:tmpl w:val="632ACF7E"/>
    <w:lvl w:ilvl="0" w:tplc="C3A6322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nsid w:val="68AD050E"/>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F9C09A2"/>
    <w:multiLevelType w:val="hybridMultilevel"/>
    <w:tmpl w:val="C366A708"/>
    <w:lvl w:ilvl="0" w:tplc="7E72485C">
      <w:start w:val="1"/>
      <w:numFmt w:val="decimal"/>
      <w:lvlText w:val="%1."/>
      <w:lvlJc w:val="left"/>
      <w:pPr>
        <w:ind w:left="720" w:hanging="360"/>
      </w:pPr>
      <w:rPr>
        <w:rFonts w:ascii="Arial" w:eastAsia="SimSun" w:hAnsi="Arial" w:cs="Courier New"/>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14F33A6"/>
    <w:multiLevelType w:val="multilevel"/>
    <w:tmpl w:val="494EAFD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3B472D"/>
    <w:multiLevelType w:val="hybridMultilevel"/>
    <w:tmpl w:val="B38EE8D0"/>
    <w:lvl w:ilvl="0" w:tplc="6224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499661C"/>
    <w:multiLevelType w:val="hybridMultilevel"/>
    <w:tmpl w:val="4B60F06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nsid w:val="75F74A2C"/>
    <w:multiLevelType w:val="hybridMultilevel"/>
    <w:tmpl w:val="86FCE2DA"/>
    <w:lvl w:ilvl="0" w:tplc="2B328E06">
      <w:start w:val="9"/>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6235E6F"/>
    <w:multiLevelType w:val="hybridMultilevel"/>
    <w:tmpl w:val="A81010B8"/>
    <w:lvl w:ilvl="0" w:tplc="D778B7AC">
      <w:start w:val="1"/>
      <w:numFmt w:val="decimal"/>
      <w:lvlText w:val="%1."/>
      <w:lvlJc w:val="left"/>
      <w:pPr>
        <w:tabs>
          <w:tab w:val="num" w:pos="927"/>
        </w:tabs>
        <w:ind w:left="927" w:hanging="360"/>
      </w:pPr>
      <w:rPr>
        <w:rFonts w:hint="default"/>
        <w:b w:val="0"/>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BE30CD0"/>
    <w:multiLevelType w:val="hybridMultilevel"/>
    <w:tmpl w:val="8E70D1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Symbo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Symbol"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Symbol" w:hint="default"/>
      </w:rPr>
    </w:lvl>
    <w:lvl w:ilvl="8" w:tplc="040C0005" w:tentative="1">
      <w:start w:val="1"/>
      <w:numFmt w:val="bullet"/>
      <w:lvlText w:val=""/>
      <w:lvlJc w:val="left"/>
      <w:pPr>
        <w:ind w:left="7047" w:hanging="360"/>
      </w:pPr>
      <w:rPr>
        <w:rFonts w:ascii="Wingdings" w:hAnsi="Wingdings" w:hint="default"/>
      </w:rPr>
    </w:lvl>
  </w:abstractNum>
  <w:num w:numId="1">
    <w:abstractNumId w:val="26"/>
  </w:num>
  <w:num w:numId="2">
    <w:abstractNumId w:val="15"/>
  </w:num>
  <w:num w:numId="3">
    <w:abstractNumId w:val="12"/>
  </w:num>
  <w:num w:numId="4">
    <w:abstractNumId w:val="37"/>
  </w:num>
  <w:num w:numId="5">
    <w:abstractNumId w:val="28"/>
  </w:num>
  <w:num w:numId="6">
    <w:abstractNumId w:val="6"/>
  </w:num>
  <w:num w:numId="7">
    <w:abstractNumId w:val="13"/>
  </w:num>
  <w:num w:numId="8">
    <w:abstractNumId w:val="5"/>
  </w:num>
  <w:num w:numId="9">
    <w:abstractNumId w:val="38"/>
  </w:num>
  <w:num w:numId="10">
    <w:abstractNumId w:val="27"/>
  </w:num>
  <w:num w:numId="11">
    <w:abstractNumId w:val="11"/>
  </w:num>
  <w:num w:numId="12">
    <w:abstractNumId w:val="36"/>
  </w:num>
  <w:num w:numId="13">
    <w:abstractNumId w:val="10"/>
  </w:num>
  <w:num w:numId="14">
    <w:abstractNumId w:val="35"/>
  </w:num>
  <w:num w:numId="15">
    <w:abstractNumId w:val="3"/>
  </w:num>
  <w:num w:numId="16">
    <w:abstractNumId w:val="23"/>
  </w:num>
  <w:num w:numId="17">
    <w:abstractNumId w:val="22"/>
  </w:num>
  <w:num w:numId="18">
    <w:abstractNumId w:val="24"/>
  </w:num>
  <w:num w:numId="19">
    <w:abstractNumId w:val="0"/>
  </w:num>
  <w:num w:numId="20">
    <w:abstractNumId w:val="20"/>
  </w:num>
  <w:num w:numId="21">
    <w:abstractNumId w:val="30"/>
  </w:num>
  <w:num w:numId="22">
    <w:abstractNumId w:val="31"/>
  </w:num>
  <w:num w:numId="23">
    <w:abstractNumId w:val="1"/>
  </w:num>
  <w:num w:numId="24">
    <w:abstractNumId w:val="18"/>
  </w:num>
  <w:num w:numId="25">
    <w:abstractNumId w:val="33"/>
  </w:num>
  <w:num w:numId="26">
    <w:abstractNumId w:val="19"/>
  </w:num>
  <w:num w:numId="27">
    <w:abstractNumId w:val="34"/>
  </w:num>
  <w:num w:numId="28">
    <w:abstractNumId w:val="8"/>
  </w:num>
  <w:num w:numId="29">
    <w:abstractNumId w:val="21"/>
  </w:num>
  <w:num w:numId="30">
    <w:abstractNumId w:val="17"/>
  </w:num>
  <w:num w:numId="31">
    <w:abstractNumId w:val="16"/>
  </w:num>
  <w:num w:numId="32">
    <w:abstractNumId w:val="2"/>
  </w:num>
  <w:num w:numId="33">
    <w:abstractNumId w:val="29"/>
  </w:num>
  <w:num w:numId="34">
    <w:abstractNumId w:val="25"/>
  </w:num>
  <w:num w:numId="35">
    <w:abstractNumId w:val="9"/>
  </w:num>
  <w:num w:numId="36">
    <w:abstractNumId w:val="13"/>
  </w:num>
  <w:num w:numId="37">
    <w:abstractNumId w:val="32"/>
  </w:num>
  <w:num w:numId="38">
    <w:abstractNumId w:val="4"/>
  </w:num>
  <w:num w:numId="39">
    <w:abstractNumId w:val="14"/>
  </w:num>
  <w:num w:numId="40">
    <w:abstractNumId w:val="1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E5"/>
    <w:rsid w:val="000465C7"/>
    <w:rsid w:val="0010242E"/>
    <w:rsid w:val="0013044A"/>
    <w:rsid w:val="002D01C4"/>
    <w:rsid w:val="003162DE"/>
    <w:rsid w:val="0032293E"/>
    <w:rsid w:val="00396C50"/>
    <w:rsid w:val="004024D1"/>
    <w:rsid w:val="00554829"/>
    <w:rsid w:val="00712655"/>
    <w:rsid w:val="007456A1"/>
    <w:rsid w:val="00763EEE"/>
    <w:rsid w:val="00764690"/>
    <w:rsid w:val="0078251B"/>
    <w:rsid w:val="007C22F4"/>
    <w:rsid w:val="008724E5"/>
    <w:rsid w:val="00925BC3"/>
    <w:rsid w:val="009622EE"/>
    <w:rsid w:val="009C4C69"/>
    <w:rsid w:val="00A05AB7"/>
    <w:rsid w:val="00A75ADC"/>
    <w:rsid w:val="00B84D32"/>
    <w:rsid w:val="00C202D9"/>
    <w:rsid w:val="00CB2AE5"/>
    <w:rsid w:val="00CE5569"/>
    <w:rsid w:val="00CF5FD2"/>
    <w:rsid w:val="00D305D0"/>
    <w:rsid w:val="00D34DCB"/>
    <w:rsid w:val="00DF22A7"/>
    <w:rsid w:val="00E747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fr-FR" w:eastAsia="fr-FR" w:bidi="ar-SA"/>
      </w:rPr>
    </w:rPrDefault>
    <w:pPrDefault/>
  </w:docDefaults>
  <w:latentStyles w:defLockedState="0" w:defUIPriority="0" w:defSemiHidden="0" w:defUnhideWhenUsed="0" w:defQFormat="0" w:count="267"/>
  <w:style w:type="paragraph" w:default="1" w:styleId="Normal">
    <w:name w:val="Normal"/>
    <w:qFormat/>
    <w:rsid w:val="008724E5"/>
    <w:rPr>
      <w:rFonts w:ascii="Times New Roman" w:eastAsia="Times New Roman" w:hAnsi="Times New Roman"/>
      <w:lang w:val="en-GB"/>
    </w:rPr>
  </w:style>
  <w:style w:type="paragraph" w:styleId="Heading1">
    <w:name w:val="heading 1"/>
    <w:basedOn w:val="Normal"/>
    <w:next w:val="Normal"/>
    <w:link w:val="Heading1Char"/>
    <w:uiPriority w:val="9"/>
    <w:qFormat/>
    <w:rsid w:val="002C28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 w:type="character" w:customStyle="1" w:styleId="no0020spacingchar">
    <w:name w:val="no_0020spacing__char"/>
    <w:basedOn w:val="DefaultParagraphFont"/>
    <w:rsid w:val="009D62A9"/>
  </w:style>
  <w:style w:type="paragraph" w:customStyle="1" w:styleId="no0020spacing">
    <w:name w:val="no_0020spacing"/>
    <w:basedOn w:val="Normal"/>
    <w:rsid w:val="002B0005"/>
    <w:pPr>
      <w:spacing w:before="100" w:beforeAutospacing="1" w:after="100" w:afterAutospacing="1"/>
    </w:pPr>
    <w:rPr>
      <w:lang w:val="fr-FR"/>
    </w:rPr>
  </w:style>
  <w:style w:type="character" w:customStyle="1" w:styleId="google-src-text">
    <w:name w:val="google-src-text"/>
    <w:basedOn w:val="DefaultParagraphFont"/>
    <w:rsid w:val="002B0005"/>
  </w:style>
  <w:style w:type="character" w:customStyle="1" w:styleId="annotation0020referencechar">
    <w:name w:val="annotation_0020reference__char"/>
    <w:basedOn w:val="DefaultParagraphFont"/>
    <w:rsid w:val="0033443C"/>
  </w:style>
  <w:style w:type="character" w:customStyle="1" w:styleId="margechar0">
    <w:name w:val="marge__char"/>
    <w:basedOn w:val="DefaultParagraphFont"/>
    <w:rsid w:val="002C28AF"/>
  </w:style>
  <w:style w:type="character" w:customStyle="1" w:styleId="Heading1Char">
    <w:name w:val="Heading 1 Char"/>
    <w:basedOn w:val="DefaultParagraphFont"/>
    <w:link w:val="Heading1"/>
    <w:uiPriority w:val="9"/>
    <w:rsid w:val="002C28AF"/>
    <w:rPr>
      <w:rFonts w:asciiTheme="majorHAnsi" w:eastAsiaTheme="majorEastAsia" w:hAnsiTheme="majorHAnsi" w:cstheme="majorBidi"/>
      <w:b/>
      <w:bCs/>
      <w:color w:val="365F91" w:themeColor="accent1" w:themeShade="BF"/>
      <w:sz w:val="28"/>
      <w:szCs w:val="28"/>
      <w:lang w:val="en-GB"/>
    </w:rPr>
  </w:style>
  <w:style w:type="character" w:customStyle="1" w:styleId="hpschar">
    <w:name w:val="hps__char"/>
    <w:basedOn w:val="DefaultParagraphFont"/>
    <w:rsid w:val="00243551"/>
  </w:style>
  <w:style w:type="paragraph" w:customStyle="1" w:styleId="marge0">
    <w:name w:val="marge"/>
    <w:basedOn w:val="Normal"/>
    <w:rsid w:val="003162DE"/>
    <w:pPr>
      <w:spacing w:before="100" w:beforeAutospacing="1" w:after="100" w:afterAutospacing="1"/>
    </w:pPr>
    <w:rPr>
      <w:lang w:val="fr-FR"/>
    </w:rPr>
  </w:style>
  <w:style w:type="character" w:customStyle="1" w:styleId="normal0020tablechar">
    <w:name w:val="normal_0020table__char"/>
    <w:basedOn w:val="DefaultParagraphFont"/>
    <w:rsid w:val="000465C7"/>
  </w:style>
  <w:style w:type="paragraph" w:customStyle="1" w:styleId="normal0020table">
    <w:name w:val="normal_0020table"/>
    <w:basedOn w:val="Normal"/>
    <w:rsid w:val="009622EE"/>
    <w:pPr>
      <w:spacing w:before="100" w:beforeAutospacing="1" w:after="100" w:afterAutospacing="1"/>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fr-FR" w:eastAsia="fr-FR" w:bidi="ar-SA"/>
      </w:rPr>
    </w:rPrDefault>
    <w:pPrDefault/>
  </w:docDefaults>
  <w:latentStyles w:defLockedState="0" w:defUIPriority="0" w:defSemiHidden="0" w:defUnhideWhenUsed="0" w:defQFormat="0" w:count="267"/>
  <w:style w:type="paragraph" w:default="1" w:styleId="Normal">
    <w:name w:val="Normal"/>
    <w:qFormat/>
    <w:rsid w:val="008724E5"/>
    <w:rPr>
      <w:rFonts w:ascii="Times New Roman" w:eastAsia="Times New Roman" w:hAnsi="Times New Roman"/>
      <w:lang w:val="en-GB"/>
    </w:rPr>
  </w:style>
  <w:style w:type="paragraph" w:styleId="Heading1">
    <w:name w:val="heading 1"/>
    <w:basedOn w:val="Normal"/>
    <w:next w:val="Normal"/>
    <w:link w:val="Heading1Char"/>
    <w:uiPriority w:val="9"/>
    <w:qFormat/>
    <w:rsid w:val="002C28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 w:type="character" w:customStyle="1" w:styleId="no0020spacingchar">
    <w:name w:val="no_0020spacing__char"/>
    <w:basedOn w:val="DefaultParagraphFont"/>
    <w:rsid w:val="009D62A9"/>
  </w:style>
  <w:style w:type="paragraph" w:customStyle="1" w:styleId="no0020spacing">
    <w:name w:val="no_0020spacing"/>
    <w:basedOn w:val="Normal"/>
    <w:rsid w:val="002B0005"/>
    <w:pPr>
      <w:spacing w:before="100" w:beforeAutospacing="1" w:after="100" w:afterAutospacing="1"/>
    </w:pPr>
    <w:rPr>
      <w:lang w:val="fr-FR"/>
    </w:rPr>
  </w:style>
  <w:style w:type="character" w:customStyle="1" w:styleId="google-src-text">
    <w:name w:val="google-src-text"/>
    <w:basedOn w:val="DefaultParagraphFont"/>
    <w:rsid w:val="002B0005"/>
  </w:style>
  <w:style w:type="character" w:customStyle="1" w:styleId="annotation0020referencechar">
    <w:name w:val="annotation_0020reference__char"/>
    <w:basedOn w:val="DefaultParagraphFont"/>
    <w:rsid w:val="0033443C"/>
  </w:style>
  <w:style w:type="character" w:customStyle="1" w:styleId="margechar0">
    <w:name w:val="marge__char"/>
    <w:basedOn w:val="DefaultParagraphFont"/>
    <w:rsid w:val="002C28AF"/>
  </w:style>
  <w:style w:type="character" w:customStyle="1" w:styleId="Heading1Char">
    <w:name w:val="Heading 1 Char"/>
    <w:basedOn w:val="DefaultParagraphFont"/>
    <w:link w:val="Heading1"/>
    <w:uiPriority w:val="9"/>
    <w:rsid w:val="002C28AF"/>
    <w:rPr>
      <w:rFonts w:asciiTheme="majorHAnsi" w:eastAsiaTheme="majorEastAsia" w:hAnsiTheme="majorHAnsi" w:cstheme="majorBidi"/>
      <w:b/>
      <w:bCs/>
      <w:color w:val="365F91" w:themeColor="accent1" w:themeShade="BF"/>
      <w:sz w:val="28"/>
      <w:szCs w:val="28"/>
      <w:lang w:val="en-GB"/>
    </w:rPr>
  </w:style>
  <w:style w:type="character" w:customStyle="1" w:styleId="hpschar">
    <w:name w:val="hps__char"/>
    <w:basedOn w:val="DefaultParagraphFont"/>
    <w:rsid w:val="00243551"/>
  </w:style>
  <w:style w:type="paragraph" w:customStyle="1" w:styleId="marge0">
    <w:name w:val="marge"/>
    <w:basedOn w:val="Normal"/>
    <w:rsid w:val="003162DE"/>
    <w:pPr>
      <w:spacing w:before="100" w:beforeAutospacing="1" w:after="100" w:afterAutospacing="1"/>
    </w:pPr>
    <w:rPr>
      <w:lang w:val="fr-FR"/>
    </w:rPr>
  </w:style>
  <w:style w:type="character" w:customStyle="1" w:styleId="normal0020tablechar">
    <w:name w:val="normal_0020table__char"/>
    <w:basedOn w:val="DefaultParagraphFont"/>
    <w:rsid w:val="000465C7"/>
  </w:style>
  <w:style w:type="paragraph" w:customStyle="1" w:styleId="normal0020table">
    <w:name w:val="normal_0020table"/>
    <w:basedOn w:val="Normal"/>
    <w:rsid w:val="009622EE"/>
    <w:pPr>
      <w:spacing w:before="100" w:beforeAutospacing="1" w:after="100" w:afterAutospacing="1"/>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8203">
      <w:bodyDiv w:val="1"/>
      <w:marLeft w:val="0"/>
      <w:marRight w:val="0"/>
      <w:marTop w:val="0"/>
      <w:marBottom w:val="0"/>
      <w:divBdr>
        <w:top w:val="none" w:sz="0" w:space="0" w:color="auto"/>
        <w:left w:val="none" w:sz="0" w:space="0" w:color="auto"/>
        <w:bottom w:val="none" w:sz="0" w:space="0" w:color="auto"/>
        <w:right w:val="none" w:sz="0" w:space="0" w:color="auto"/>
      </w:divBdr>
      <w:divsChild>
        <w:div w:id="1568883603">
          <w:marLeft w:val="0"/>
          <w:marRight w:val="0"/>
          <w:marTop w:val="0"/>
          <w:marBottom w:val="0"/>
          <w:divBdr>
            <w:top w:val="none" w:sz="0" w:space="0" w:color="auto"/>
            <w:left w:val="none" w:sz="0" w:space="0" w:color="auto"/>
            <w:bottom w:val="none" w:sz="0" w:space="0" w:color="auto"/>
            <w:right w:val="none" w:sz="0" w:space="0" w:color="auto"/>
          </w:divBdr>
        </w:div>
      </w:divsChild>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1035234905">
      <w:bodyDiv w:val="1"/>
      <w:marLeft w:val="0"/>
      <w:marRight w:val="0"/>
      <w:marTop w:val="0"/>
      <w:marBottom w:val="0"/>
      <w:divBdr>
        <w:top w:val="none" w:sz="0" w:space="0" w:color="auto"/>
        <w:left w:val="none" w:sz="0" w:space="0" w:color="auto"/>
        <w:bottom w:val="none" w:sz="0" w:space="0" w:color="auto"/>
        <w:right w:val="none" w:sz="0" w:space="0" w:color="auto"/>
      </w:divBdr>
      <w:divsChild>
        <w:div w:id="1853958996">
          <w:marLeft w:val="0"/>
          <w:marRight w:val="0"/>
          <w:marTop w:val="0"/>
          <w:marBottom w:val="0"/>
          <w:divBdr>
            <w:top w:val="none" w:sz="0" w:space="0" w:color="auto"/>
            <w:left w:val="none" w:sz="0" w:space="0" w:color="auto"/>
            <w:bottom w:val="none" w:sz="0" w:space="0" w:color="auto"/>
            <w:right w:val="none" w:sz="0" w:space="0" w:color="auto"/>
          </w:divBdr>
        </w:div>
      </w:divsChild>
    </w:div>
    <w:div w:id="1264530341">
      <w:bodyDiv w:val="1"/>
      <w:marLeft w:val="0"/>
      <w:marRight w:val="0"/>
      <w:marTop w:val="0"/>
      <w:marBottom w:val="0"/>
      <w:divBdr>
        <w:top w:val="none" w:sz="0" w:space="0" w:color="auto"/>
        <w:left w:val="none" w:sz="0" w:space="0" w:color="auto"/>
        <w:bottom w:val="none" w:sz="0" w:space="0" w:color="auto"/>
        <w:right w:val="none" w:sz="0" w:space="0" w:color="auto"/>
      </w:divBdr>
      <w:divsChild>
        <w:div w:id="1895505377">
          <w:marLeft w:val="0"/>
          <w:marRight w:val="0"/>
          <w:marTop w:val="0"/>
          <w:marBottom w:val="0"/>
          <w:divBdr>
            <w:top w:val="none" w:sz="0" w:space="0" w:color="auto"/>
            <w:left w:val="none" w:sz="0" w:space="0" w:color="auto"/>
            <w:bottom w:val="none" w:sz="0" w:space="0" w:color="auto"/>
            <w:right w:val="none" w:sz="0" w:space="0" w:color="auto"/>
          </w:divBdr>
          <w:divsChild>
            <w:div w:id="936062905">
              <w:marLeft w:val="0"/>
              <w:marRight w:val="0"/>
              <w:marTop w:val="0"/>
              <w:marBottom w:val="0"/>
              <w:divBdr>
                <w:top w:val="none" w:sz="0" w:space="0" w:color="auto"/>
                <w:left w:val="none" w:sz="0" w:space="0" w:color="auto"/>
                <w:bottom w:val="none" w:sz="0" w:space="0" w:color="auto"/>
                <w:right w:val="none" w:sz="0" w:space="0" w:color="auto"/>
              </w:divBdr>
              <w:divsChild>
                <w:div w:id="474763568">
                  <w:marLeft w:val="0"/>
                  <w:marRight w:val="0"/>
                  <w:marTop w:val="0"/>
                  <w:marBottom w:val="0"/>
                  <w:divBdr>
                    <w:top w:val="none" w:sz="0" w:space="0" w:color="auto"/>
                    <w:left w:val="none" w:sz="0" w:space="0" w:color="auto"/>
                    <w:bottom w:val="none" w:sz="0" w:space="0" w:color="auto"/>
                    <w:right w:val="none" w:sz="0" w:space="0" w:color="auto"/>
                  </w:divBdr>
                  <w:divsChild>
                    <w:div w:id="887767432">
                      <w:marLeft w:val="0"/>
                      <w:marRight w:val="0"/>
                      <w:marTop w:val="0"/>
                      <w:marBottom w:val="0"/>
                      <w:divBdr>
                        <w:top w:val="none" w:sz="0" w:space="0" w:color="auto"/>
                        <w:left w:val="none" w:sz="0" w:space="0" w:color="auto"/>
                        <w:bottom w:val="none" w:sz="0" w:space="0" w:color="auto"/>
                        <w:right w:val="none" w:sz="0" w:space="0" w:color="auto"/>
                      </w:divBdr>
                      <w:divsChild>
                        <w:div w:id="152264675">
                          <w:marLeft w:val="0"/>
                          <w:marRight w:val="0"/>
                          <w:marTop w:val="0"/>
                          <w:marBottom w:val="0"/>
                          <w:divBdr>
                            <w:top w:val="none" w:sz="0" w:space="0" w:color="auto"/>
                            <w:left w:val="none" w:sz="0" w:space="0" w:color="auto"/>
                            <w:bottom w:val="none" w:sz="0" w:space="0" w:color="auto"/>
                            <w:right w:val="none" w:sz="0" w:space="0" w:color="auto"/>
                          </w:divBdr>
                          <w:divsChild>
                            <w:div w:id="23363326">
                              <w:marLeft w:val="0"/>
                              <w:marRight w:val="0"/>
                              <w:marTop w:val="0"/>
                              <w:marBottom w:val="0"/>
                              <w:divBdr>
                                <w:top w:val="none" w:sz="0" w:space="0" w:color="auto"/>
                                <w:left w:val="none" w:sz="0" w:space="0" w:color="auto"/>
                                <w:bottom w:val="none" w:sz="0" w:space="0" w:color="auto"/>
                                <w:right w:val="none" w:sz="0" w:space="0" w:color="auto"/>
                              </w:divBdr>
                              <w:divsChild>
                                <w:div w:id="493108088">
                                  <w:marLeft w:val="0"/>
                                  <w:marRight w:val="0"/>
                                  <w:marTop w:val="0"/>
                                  <w:marBottom w:val="0"/>
                                  <w:divBdr>
                                    <w:top w:val="none" w:sz="0" w:space="0" w:color="auto"/>
                                    <w:left w:val="none" w:sz="0" w:space="0" w:color="auto"/>
                                    <w:bottom w:val="none" w:sz="0" w:space="0" w:color="auto"/>
                                    <w:right w:val="none" w:sz="0" w:space="0" w:color="auto"/>
                                  </w:divBdr>
                                  <w:divsChild>
                                    <w:div w:id="61486224">
                                      <w:marLeft w:val="0"/>
                                      <w:marRight w:val="0"/>
                                      <w:marTop w:val="0"/>
                                      <w:marBottom w:val="0"/>
                                      <w:divBdr>
                                        <w:top w:val="single" w:sz="6" w:space="0" w:color="F5F5F5"/>
                                        <w:left w:val="single" w:sz="6" w:space="0" w:color="F5F5F5"/>
                                        <w:bottom w:val="single" w:sz="6" w:space="0" w:color="F5F5F5"/>
                                        <w:right w:val="single" w:sz="6" w:space="0" w:color="F5F5F5"/>
                                      </w:divBdr>
                                      <w:divsChild>
                                        <w:div w:id="224147703">
                                          <w:marLeft w:val="0"/>
                                          <w:marRight w:val="0"/>
                                          <w:marTop w:val="0"/>
                                          <w:marBottom w:val="0"/>
                                          <w:divBdr>
                                            <w:top w:val="none" w:sz="0" w:space="0" w:color="auto"/>
                                            <w:left w:val="none" w:sz="0" w:space="0" w:color="auto"/>
                                            <w:bottom w:val="none" w:sz="0" w:space="0" w:color="auto"/>
                                            <w:right w:val="none" w:sz="0" w:space="0" w:color="auto"/>
                                          </w:divBdr>
                                          <w:divsChild>
                                            <w:div w:id="3206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265036">
      <w:bodyDiv w:val="1"/>
      <w:marLeft w:val="0"/>
      <w:marRight w:val="0"/>
      <w:marTop w:val="0"/>
      <w:marBottom w:val="0"/>
      <w:divBdr>
        <w:top w:val="none" w:sz="0" w:space="0" w:color="auto"/>
        <w:left w:val="none" w:sz="0" w:space="0" w:color="auto"/>
        <w:bottom w:val="none" w:sz="0" w:space="0" w:color="auto"/>
        <w:right w:val="none" w:sz="0" w:space="0" w:color="auto"/>
      </w:divBdr>
      <w:divsChild>
        <w:div w:id="523373274">
          <w:marLeft w:val="0"/>
          <w:marRight w:val="0"/>
          <w:marTop w:val="0"/>
          <w:marBottom w:val="0"/>
          <w:divBdr>
            <w:top w:val="none" w:sz="0" w:space="0" w:color="auto"/>
            <w:left w:val="none" w:sz="0" w:space="0" w:color="auto"/>
            <w:bottom w:val="none" w:sz="0" w:space="0" w:color="auto"/>
            <w:right w:val="none" w:sz="0" w:space="0" w:color="auto"/>
          </w:divBdr>
        </w:div>
      </w:divsChild>
    </w:div>
    <w:div w:id="1395811691">
      <w:bodyDiv w:val="1"/>
      <w:marLeft w:val="0"/>
      <w:marRight w:val="0"/>
      <w:marTop w:val="0"/>
      <w:marBottom w:val="0"/>
      <w:divBdr>
        <w:top w:val="none" w:sz="0" w:space="0" w:color="auto"/>
        <w:left w:val="none" w:sz="0" w:space="0" w:color="auto"/>
        <w:bottom w:val="none" w:sz="0" w:space="0" w:color="auto"/>
        <w:right w:val="none" w:sz="0" w:space="0" w:color="auto"/>
      </w:divBdr>
      <w:divsChild>
        <w:div w:id="1713531386">
          <w:marLeft w:val="0"/>
          <w:marRight w:val="0"/>
          <w:marTop w:val="0"/>
          <w:marBottom w:val="0"/>
          <w:divBdr>
            <w:top w:val="none" w:sz="0" w:space="0" w:color="auto"/>
            <w:left w:val="none" w:sz="0" w:space="0" w:color="auto"/>
            <w:bottom w:val="none" w:sz="0" w:space="0" w:color="auto"/>
            <w:right w:val="none" w:sz="0" w:space="0" w:color="auto"/>
          </w:divBdr>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3983040">
      <w:bodyDiv w:val="1"/>
      <w:marLeft w:val="0"/>
      <w:marRight w:val="0"/>
      <w:marTop w:val="0"/>
      <w:marBottom w:val="0"/>
      <w:divBdr>
        <w:top w:val="none" w:sz="0" w:space="0" w:color="auto"/>
        <w:left w:val="none" w:sz="0" w:space="0" w:color="auto"/>
        <w:bottom w:val="none" w:sz="0" w:space="0" w:color="auto"/>
        <w:right w:val="none" w:sz="0" w:space="0" w:color="auto"/>
      </w:divBdr>
      <w:divsChild>
        <w:div w:id="46148140">
          <w:marLeft w:val="0"/>
          <w:marRight w:val="0"/>
          <w:marTop w:val="0"/>
          <w:marBottom w:val="0"/>
          <w:divBdr>
            <w:top w:val="none" w:sz="0" w:space="0" w:color="auto"/>
            <w:left w:val="none" w:sz="0" w:space="0" w:color="auto"/>
            <w:bottom w:val="none" w:sz="0" w:space="0" w:color="auto"/>
            <w:right w:val="none" w:sz="0" w:space="0" w:color="auto"/>
          </w:divBdr>
          <w:divsChild>
            <w:div w:id="13526085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27036421">
      <w:bodyDiv w:val="1"/>
      <w:marLeft w:val="0"/>
      <w:marRight w:val="0"/>
      <w:marTop w:val="0"/>
      <w:marBottom w:val="0"/>
      <w:divBdr>
        <w:top w:val="none" w:sz="0" w:space="0" w:color="auto"/>
        <w:left w:val="none" w:sz="0" w:space="0" w:color="auto"/>
        <w:bottom w:val="none" w:sz="0" w:space="0" w:color="auto"/>
        <w:right w:val="none" w:sz="0" w:space="0" w:color="auto"/>
      </w:divBdr>
      <w:divsChild>
        <w:div w:id="268317476">
          <w:marLeft w:val="0"/>
          <w:marRight w:val="0"/>
          <w:marTop w:val="0"/>
          <w:marBottom w:val="0"/>
          <w:divBdr>
            <w:top w:val="none" w:sz="0" w:space="0" w:color="auto"/>
            <w:left w:val="none" w:sz="0" w:space="0" w:color="auto"/>
            <w:bottom w:val="none" w:sz="0" w:space="0" w:color="auto"/>
            <w:right w:val="none" w:sz="0" w:space="0" w:color="auto"/>
          </w:divBdr>
        </w:div>
      </w:divsChild>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A2DE-726E-48E6-A334-177F5AFD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3216</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20863</CharactersWithSpaces>
  <SharedDoc>false</SharedDoc>
  <HLinks>
    <vt:vector size="6" baseType="variant">
      <vt:variant>
        <vt:i4>327725</vt:i4>
      </vt:variant>
      <vt:variant>
        <vt:i4>66</vt:i4>
      </vt:variant>
      <vt:variant>
        <vt:i4>0</vt:i4>
      </vt:variant>
      <vt:variant>
        <vt:i4>5</vt:i4>
      </vt:variant>
      <vt:variant>
        <vt:lpwstr>mailto:imurambiwa@yahoo.com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Oda</dc:creator>
  <cp:lastModifiedBy>CLT/CEH/ITH-b_de-sancristobal</cp:lastModifiedBy>
  <cp:revision>10</cp:revision>
  <cp:lastPrinted>2011-10-19T10:49:00Z</cp:lastPrinted>
  <dcterms:created xsi:type="dcterms:W3CDTF">2012-06-06T11:14:00Z</dcterms:created>
  <dcterms:modified xsi:type="dcterms:W3CDTF">2013-11-18T18:30:00Z</dcterms:modified>
</cp:coreProperties>
</file>