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E5" w:rsidRPr="00BC2EBC" w:rsidRDefault="00F3749C" w:rsidP="0005458E">
      <w:pPr>
        <w:spacing w:before="1440"/>
        <w:jc w:val="center"/>
        <w:rPr>
          <w:rFonts w:ascii="Arial" w:hAnsi="Arial" w:cs="Arial"/>
          <w:b/>
          <w:sz w:val="22"/>
          <w:szCs w:val="22"/>
          <w:lang w:val="fr-FR"/>
        </w:rPr>
      </w:pPr>
      <w:bookmarkStart w:id="0" w:name="_GoBack"/>
      <w:bookmarkEnd w:id="0"/>
      <w:r w:rsidRPr="00BC2EBC">
        <w:rPr>
          <w:rFonts w:ascii="Arial" w:hAnsi="Arial" w:cs="Arial"/>
          <w:b/>
          <w:sz w:val="22"/>
          <w:szCs w:val="22"/>
          <w:lang w:val="fr-FR"/>
        </w:rPr>
        <w:t xml:space="preserve">CONVENTION </w:t>
      </w:r>
      <w:r w:rsidR="008E6F76" w:rsidRPr="00BC2EBC">
        <w:rPr>
          <w:rFonts w:ascii="Arial" w:hAnsi="Arial" w:cs="Arial"/>
          <w:b/>
          <w:sz w:val="22"/>
          <w:szCs w:val="22"/>
          <w:lang w:val="fr-FR"/>
        </w:rPr>
        <w:t xml:space="preserve">POUR LA SAUVEGARDE DU </w:t>
      </w:r>
      <w:r w:rsidRPr="00BC2EBC">
        <w:rPr>
          <w:rFonts w:ascii="Arial" w:hAnsi="Arial" w:cs="Arial"/>
          <w:b/>
          <w:sz w:val="22"/>
          <w:szCs w:val="22"/>
          <w:lang w:val="fr-FR"/>
        </w:rPr>
        <w:br/>
      </w:r>
      <w:r w:rsidR="00FE3DC2" w:rsidRPr="00BC2EBC">
        <w:rPr>
          <w:rFonts w:ascii="Arial" w:hAnsi="Arial" w:cs="Arial"/>
          <w:b/>
          <w:sz w:val="22"/>
          <w:szCs w:val="22"/>
          <w:lang w:val="fr-FR"/>
        </w:rPr>
        <w:t>PATRIMOINE CULTUREL IMMAT</w:t>
      </w:r>
      <w:r w:rsidR="0019236F" w:rsidRPr="00BC2EBC">
        <w:rPr>
          <w:rFonts w:ascii="Arial" w:hAnsi="Arial" w:cs="Arial"/>
          <w:b/>
          <w:sz w:val="22"/>
          <w:szCs w:val="22"/>
          <w:lang w:val="fr-FR"/>
        </w:rPr>
        <w:t>É</w:t>
      </w:r>
      <w:r w:rsidR="00FE3DC2" w:rsidRPr="00BC2EBC">
        <w:rPr>
          <w:rFonts w:ascii="Arial" w:hAnsi="Arial" w:cs="Arial"/>
          <w:b/>
          <w:sz w:val="22"/>
          <w:szCs w:val="22"/>
          <w:lang w:val="fr-FR"/>
        </w:rPr>
        <w:t>RIEL</w:t>
      </w:r>
    </w:p>
    <w:p w:rsidR="008724E5" w:rsidRPr="00BC2EBC" w:rsidRDefault="00FE3DC2" w:rsidP="0005458E">
      <w:pPr>
        <w:spacing w:before="1200"/>
        <w:jc w:val="center"/>
        <w:rPr>
          <w:rFonts w:ascii="Arial" w:hAnsi="Arial" w:cs="Arial"/>
          <w:b/>
          <w:sz w:val="22"/>
          <w:szCs w:val="22"/>
          <w:lang w:val="fr-FR"/>
        </w:rPr>
      </w:pPr>
      <w:r w:rsidRPr="00BC2EBC">
        <w:rPr>
          <w:rFonts w:ascii="Arial" w:hAnsi="Arial" w:cs="Arial"/>
          <w:b/>
          <w:sz w:val="22"/>
          <w:szCs w:val="22"/>
          <w:lang w:val="fr-FR"/>
        </w:rPr>
        <w:t>COMITÉ INTERGOUVERNEMENTAL DE SAUVEGARDE</w:t>
      </w:r>
      <w:r w:rsidRPr="00BC2EBC">
        <w:rPr>
          <w:rFonts w:ascii="Arial" w:hAnsi="Arial" w:cs="Arial"/>
          <w:b/>
          <w:sz w:val="22"/>
          <w:szCs w:val="22"/>
          <w:lang w:val="fr-FR"/>
        </w:rPr>
        <w:br/>
        <w:t>DU PATRIMOINE CULTUREL IMMATÉRIEL</w:t>
      </w:r>
    </w:p>
    <w:p w:rsidR="00DC2DAE" w:rsidRPr="00BC2EBC" w:rsidRDefault="0033482D" w:rsidP="00DC2DAE">
      <w:pPr>
        <w:spacing w:before="840"/>
        <w:jc w:val="center"/>
        <w:rPr>
          <w:rFonts w:ascii="Arial" w:hAnsi="Arial" w:cs="Arial"/>
          <w:b/>
          <w:sz w:val="22"/>
          <w:szCs w:val="22"/>
          <w:lang w:val="fr-FR"/>
        </w:rPr>
      </w:pPr>
      <w:r w:rsidRPr="00BC2EBC">
        <w:rPr>
          <w:rFonts w:ascii="Arial" w:hAnsi="Arial" w:cs="Arial"/>
          <w:b/>
          <w:sz w:val="22"/>
          <w:szCs w:val="22"/>
          <w:lang w:val="fr-FR"/>
        </w:rPr>
        <w:t>Réunion du</w:t>
      </w:r>
      <w:r w:rsidR="00DC2DAE" w:rsidRPr="00BC2EBC">
        <w:rPr>
          <w:rFonts w:ascii="Arial" w:hAnsi="Arial" w:cs="Arial"/>
          <w:b/>
          <w:sz w:val="22"/>
          <w:szCs w:val="22"/>
          <w:lang w:val="fr-FR"/>
        </w:rPr>
        <w:t xml:space="preserve"> Bureau</w:t>
      </w:r>
    </w:p>
    <w:p w:rsidR="00DC2DAE" w:rsidRPr="00BC2EBC" w:rsidRDefault="0033482D" w:rsidP="0033482D">
      <w:pPr>
        <w:jc w:val="center"/>
        <w:rPr>
          <w:rFonts w:ascii="Arial" w:hAnsi="Arial" w:cs="Arial"/>
          <w:b/>
          <w:sz w:val="22"/>
          <w:szCs w:val="22"/>
          <w:lang w:val="fr-FR"/>
        </w:rPr>
      </w:pPr>
      <w:r w:rsidRPr="00BC2EBC">
        <w:rPr>
          <w:rFonts w:ascii="Arial" w:hAnsi="Arial" w:cs="Arial"/>
          <w:b/>
          <w:sz w:val="22"/>
          <w:szCs w:val="22"/>
          <w:lang w:val="fr-FR"/>
        </w:rPr>
        <w:t>Siège de l</w:t>
      </w:r>
      <w:r w:rsidR="00AF2934">
        <w:rPr>
          <w:rFonts w:ascii="Arial" w:hAnsi="Arial" w:cs="Arial"/>
          <w:b/>
          <w:sz w:val="22"/>
          <w:szCs w:val="22"/>
          <w:lang w:val="fr-FR"/>
        </w:rPr>
        <w:t>’</w:t>
      </w:r>
      <w:r w:rsidRPr="00BC2EBC">
        <w:rPr>
          <w:rFonts w:ascii="Arial" w:hAnsi="Arial" w:cs="Arial"/>
          <w:b/>
          <w:sz w:val="22"/>
          <w:szCs w:val="22"/>
          <w:lang w:val="fr-FR"/>
        </w:rPr>
        <w:t>UNESCO, Paris, Salle </w:t>
      </w:r>
      <w:r w:rsidR="00DF4886" w:rsidRPr="00BC2EBC">
        <w:rPr>
          <w:rFonts w:ascii="Arial" w:hAnsi="Arial" w:cs="Arial"/>
          <w:b/>
          <w:sz w:val="22"/>
          <w:szCs w:val="22"/>
          <w:lang w:val="fr-FR"/>
        </w:rPr>
        <w:t>XIV</w:t>
      </w:r>
    </w:p>
    <w:p w:rsidR="00DC2DAE" w:rsidRPr="00BC2EBC" w:rsidRDefault="004C182B" w:rsidP="006A0BB0">
      <w:pPr>
        <w:jc w:val="center"/>
        <w:rPr>
          <w:rFonts w:ascii="Arial" w:hAnsi="Arial" w:cs="Arial"/>
          <w:b/>
          <w:sz w:val="22"/>
          <w:szCs w:val="22"/>
          <w:lang w:val="fr-FR"/>
        </w:rPr>
      </w:pPr>
      <w:r w:rsidRPr="00BC2EBC">
        <w:rPr>
          <w:rFonts w:ascii="Arial" w:hAnsi="Arial" w:cs="Arial"/>
          <w:b/>
          <w:sz w:val="22"/>
          <w:szCs w:val="22"/>
          <w:lang w:val="fr-FR"/>
        </w:rPr>
        <w:t>24</w:t>
      </w:r>
      <w:r w:rsidR="0036787A" w:rsidRPr="00BC2EBC">
        <w:rPr>
          <w:rFonts w:ascii="Arial" w:hAnsi="Arial" w:cs="Arial"/>
          <w:b/>
          <w:sz w:val="22"/>
          <w:szCs w:val="22"/>
          <w:lang w:val="fr-FR"/>
        </w:rPr>
        <w:t> </w:t>
      </w:r>
      <w:r w:rsidR="0033482D" w:rsidRPr="00BC2EBC">
        <w:rPr>
          <w:rFonts w:ascii="Arial" w:hAnsi="Arial" w:cs="Arial"/>
          <w:b/>
          <w:sz w:val="22"/>
          <w:szCs w:val="22"/>
          <w:lang w:val="fr-FR"/>
        </w:rPr>
        <w:t>octobre</w:t>
      </w:r>
      <w:r w:rsidR="0036787A" w:rsidRPr="00BC2EBC">
        <w:rPr>
          <w:rFonts w:ascii="Arial" w:hAnsi="Arial" w:cs="Arial"/>
          <w:b/>
          <w:sz w:val="22"/>
          <w:szCs w:val="22"/>
          <w:lang w:val="fr-FR"/>
        </w:rPr>
        <w:t> </w:t>
      </w:r>
      <w:r w:rsidR="00DC2DAE" w:rsidRPr="00BC2EBC">
        <w:rPr>
          <w:rFonts w:ascii="Arial" w:hAnsi="Arial" w:cs="Arial"/>
          <w:b/>
          <w:sz w:val="22"/>
          <w:szCs w:val="22"/>
          <w:lang w:val="fr-FR"/>
        </w:rPr>
        <w:t>2012</w:t>
      </w:r>
    </w:p>
    <w:p w:rsidR="00987083" w:rsidRPr="00BC2EBC" w:rsidRDefault="0033482D" w:rsidP="006A0BB0">
      <w:pPr>
        <w:pStyle w:val="NoSpacing"/>
        <w:spacing w:before="1000" w:after="800"/>
        <w:jc w:val="center"/>
        <w:rPr>
          <w:rFonts w:ascii="Arial" w:eastAsia="SimSun" w:hAnsi="Arial" w:cs="Arial"/>
          <w:b/>
          <w:bCs/>
          <w:i/>
          <w:color w:val="808080" w:themeColor="background1" w:themeShade="80"/>
          <w:sz w:val="22"/>
          <w:szCs w:val="22"/>
          <w:lang w:eastAsia="zh-CN"/>
        </w:rPr>
      </w:pPr>
      <w:r w:rsidRPr="00BC2EBC">
        <w:rPr>
          <w:rFonts w:ascii="Arial" w:hAnsi="Arial" w:cs="Arial"/>
          <w:b/>
          <w:sz w:val="22"/>
          <w:szCs w:val="22"/>
          <w:u w:val="single"/>
        </w:rPr>
        <w:t xml:space="preserve">Point </w:t>
      </w:r>
      <w:r w:rsidR="003708C5" w:rsidRPr="00BC2EBC">
        <w:rPr>
          <w:rFonts w:ascii="Arial" w:hAnsi="Arial" w:cs="Arial"/>
          <w:b/>
          <w:sz w:val="22"/>
          <w:szCs w:val="22"/>
          <w:u w:val="single"/>
        </w:rPr>
        <w:t>5</w:t>
      </w:r>
      <w:r w:rsidRPr="00BC2EBC">
        <w:rPr>
          <w:rFonts w:ascii="Arial" w:hAnsi="Arial" w:cs="Arial"/>
          <w:b/>
          <w:sz w:val="22"/>
          <w:szCs w:val="22"/>
          <w:u w:val="single"/>
        </w:rPr>
        <w:t xml:space="preserve"> de l</w:t>
      </w:r>
      <w:r w:rsidR="00AF2934">
        <w:rPr>
          <w:rFonts w:ascii="Arial" w:hAnsi="Arial" w:cs="Arial"/>
          <w:b/>
          <w:sz w:val="22"/>
          <w:szCs w:val="22"/>
          <w:u w:val="single"/>
        </w:rPr>
        <w:t>’</w:t>
      </w:r>
      <w:r w:rsidRPr="00BC2EBC">
        <w:rPr>
          <w:rFonts w:ascii="Arial" w:hAnsi="Arial" w:cs="Arial"/>
          <w:b/>
          <w:sz w:val="22"/>
          <w:szCs w:val="22"/>
          <w:u w:val="single"/>
        </w:rPr>
        <w:t>ordre du jour provisoire</w:t>
      </w:r>
      <w:r w:rsidR="0019236F">
        <w:rPr>
          <w:rFonts w:ascii="Arial" w:hAnsi="Arial" w:cs="Arial"/>
          <w:b/>
          <w:sz w:val="22"/>
          <w:szCs w:val="22"/>
          <w:u w:val="single"/>
        </w:rPr>
        <w:t> </w:t>
      </w:r>
      <w:proofErr w:type="gramStart"/>
      <w:r w:rsidR="004364D7" w:rsidRPr="00BC2EBC">
        <w:rPr>
          <w:rFonts w:ascii="Arial" w:eastAsia="SimSun" w:hAnsi="Arial" w:cs="Arial"/>
          <w:b/>
          <w:bCs/>
          <w:sz w:val="22"/>
          <w:szCs w:val="22"/>
          <w:lang w:eastAsia="zh-CN"/>
        </w:rPr>
        <w:t>:</w:t>
      </w:r>
      <w:proofErr w:type="gramEnd"/>
      <w:r w:rsidR="004364D7" w:rsidRPr="00BC2EBC">
        <w:rPr>
          <w:rFonts w:ascii="Arial" w:eastAsia="SimSun" w:hAnsi="Arial" w:cs="Arial"/>
          <w:b/>
          <w:bCs/>
          <w:sz w:val="22"/>
          <w:szCs w:val="22"/>
          <w:lang w:eastAsia="zh-CN"/>
        </w:rPr>
        <w:br/>
      </w:r>
      <w:r w:rsidR="000A27EE" w:rsidRPr="00BC2EBC">
        <w:rPr>
          <w:rFonts w:ascii="Arial" w:eastAsia="SimSun" w:hAnsi="Arial" w:cs="Arial"/>
          <w:b/>
          <w:bCs/>
          <w:sz w:val="22"/>
          <w:szCs w:val="22"/>
          <w:lang w:eastAsia="zh-CN"/>
        </w:rPr>
        <w:t>Utilisation des fonds alloués aux « autres fonctions du Comité » dans le cadre du</w:t>
      </w:r>
      <w:r w:rsidR="000A27EE" w:rsidRPr="00BC2EBC">
        <w:rPr>
          <w:rFonts w:ascii="Arial" w:eastAsia="SimSun" w:hAnsi="Arial" w:cs="Arial"/>
          <w:b/>
          <w:bCs/>
          <w:sz w:val="22"/>
          <w:szCs w:val="22"/>
          <w:lang w:eastAsia="zh-CN"/>
        </w:rPr>
        <w:br/>
        <w:t>Plan pour l</w:t>
      </w:r>
      <w:r w:rsidR="00AF2934">
        <w:rPr>
          <w:rFonts w:ascii="Arial" w:eastAsia="SimSun" w:hAnsi="Arial" w:cs="Arial"/>
          <w:b/>
          <w:bCs/>
          <w:sz w:val="22"/>
          <w:szCs w:val="22"/>
          <w:lang w:eastAsia="zh-CN"/>
        </w:rPr>
        <w:t>’</w:t>
      </w:r>
      <w:r w:rsidR="000A27EE" w:rsidRPr="00BC2EBC">
        <w:rPr>
          <w:rFonts w:ascii="Arial" w:eastAsia="SimSun" w:hAnsi="Arial" w:cs="Arial"/>
          <w:b/>
          <w:bCs/>
          <w:sz w:val="22"/>
          <w:szCs w:val="22"/>
          <w:lang w:eastAsia="zh-CN"/>
        </w:rPr>
        <w:t>utilisation des ressources du Fonds du patrimoine culturel immatériel</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7"/>
      </w:tblGrid>
      <w:tr w:rsidR="006C3FFC" w:rsidRPr="00BC2EBC">
        <w:trPr>
          <w:jc w:val="center"/>
        </w:trPr>
        <w:tc>
          <w:tcPr>
            <w:tcW w:w="6097" w:type="dxa"/>
            <w:vAlign w:val="center"/>
          </w:tcPr>
          <w:p w:rsidR="000A27EE" w:rsidRPr="00BC2EBC" w:rsidRDefault="000A27EE" w:rsidP="00671FEA">
            <w:pPr>
              <w:pStyle w:val="NoSpacing"/>
              <w:spacing w:before="120" w:after="120"/>
              <w:jc w:val="center"/>
              <w:rPr>
                <w:rFonts w:ascii="Arial" w:hAnsi="Arial" w:cs="Arial"/>
                <w:b/>
                <w:sz w:val="22"/>
                <w:szCs w:val="22"/>
              </w:rPr>
            </w:pPr>
            <w:r w:rsidRPr="00BC2EBC">
              <w:rPr>
                <w:rFonts w:ascii="Arial" w:hAnsi="Arial" w:cs="Arial"/>
                <w:b/>
                <w:sz w:val="22"/>
                <w:szCs w:val="22"/>
              </w:rPr>
              <w:t>Résumé</w:t>
            </w:r>
          </w:p>
          <w:p w:rsidR="000A27EE" w:rsidRPr="00BC2EBC" w:rsidRDefault="000A27EE" w:rsidP="00671FEA">
            <w:pPr>
              <w:pStyle w:val="NoSpacing"/>
              <w:spacing w:before="120" w:after="120"/>
              <w:jc w:val="both"/>
              <w:rPr>
                <w:rFonts w:ascii="Arial" w:hAnsi="Arial" w:cs="Arial"/>
                <w:sz w:val="22"/>
                <w:szCs w:val="22"/>
              </w:rPr>
            </w:pPr>
            <w:r w:rsidRPr="00BC2EBC">
              <w:rPr>
                <w:rFonts w:ascii="Arial" w:hAnsi="Arial" w:cs="Arial"/>
                <w:sz w:val="22"/>
                <w:szCs w:val="22"/>
              </w:rPr>
              <w:t>Le Plan pour l</w:t>
            </w:r>
            <w:r w:rsidR="00AF2934">
              <w:rPr>
                <w:rFonts w:ascii="Arial" w:hAnsi="Arial" w:cs="Arial"/>
                <w:sz w:val="22"/>
                <w:szCs w:val="22"/>
              </w:rPr>
              <w:t>’</w:t>
            </w:r>
            <w:r w:rsidRPr="00BC2EBC">
              <w:rPr>
                <w:rFonts w:ascii="Arial" w:hAnsi="Arial" w:cs="Arial"/>
                <w:sz w:val="22"/>
                <w:szCs w:val="22"/>
              </w:rPr>
              <w:t xml:space="preserve">utilisation des ressources du </w:t>
            </w:r>
            <w:r w:rsidR="0097448F">
              <w:rPr>
                <w:rFonts w:ascii="Arial" w:hAnsi="Arial" w:cs="Arial"/>
                <w:sz w:val="22"/>
                <w:szCs w:val="22"/>
              </w:rPr>
              <w:t>F</w:t>
            </w:r>
            <w:r w:rsidRPr="00BC2EBC">
              <w:rPr>
                <w:rFonts w:ascii="Arial" w:hAnsi="Arial" w:cs="Arial"/>
                <w:sz w:val="22"/>
                <w:szCs w:val="22"/>
              </w:rPr>
              <w:t>onds du patrimoine culturel immatériel, approuvé par l</w:t>
            </w:r>
            <w:r w:rsidR="00AF2934">
              <w:rPr>
                <w:rFonts w:ascii="Arial" w:hAnsi="Arial" w:cs="Arial"/>
                <w:sz w:val="22"/>
                <w:szCs w:val="22"/>
              </w:rPr>
              <w:t>’</w:t>
            </w:r>
            <w:r w:rsidRPr="00BC2EBC">
              <w:rPr>
                <w:rFonts w:ascii="Arial" w:hAnsi="Arial" w:cs="Arial"/>
                <w:sz w:val="22"/>
                <w:szCs w:val="22"/>
              </w:rPr>
              <w:t>Assemblée générale pour la période du 1</w:t>
            </w:r>
            <w:r w:rsidRPr="00BC2EBC">
              <w:rPr>
                <w:rFonts w:ascii="Arial" w:hAnsi="Arial" w:cs="Arial"/>
                <w:sz w:val="22"/>
                <w:szCs w:val="22"/>
                <w:vertAlign w:val="superscript"/>
              </w:rPr>
              <w:t>er</w:t>
            </w:r>
            <w:r w:rsidRPr="00BC2EBC">
              <w:rPr>
                <w:rFonts w:ascii="Arial" w:hAnsi="Arial" w:cs="Arial"/>
                <w:sz w:val="22"/>
                <w:szCs w:val="22"/>
              </w:rPr>
              <w:t> janvier 2012 au 31 décembre 2013 prévoit que 18</w:t>
            </w:r>
            <w:r w:rsidR="0019236F">
              <w:rPr>
                <w:rFonts w:ascii="Arial" w:hAnsi="Arial" w:cs="Arial"/>
                <w:sz w:val="22"/>
                <w:szCs w:val="22"/>
              </w:rPr>
              <w:t> </w:t>
            </w:r>
            <w:r w:rsidRPr="00BC2EBC">
              <w:rPr>
                <w:rFonts w:ascii="Arial" w:hAnsi="Arial" w:cs="Arial"/>
                <w:sz w:val="22"/>
                <w:szCs w:val="22"/>
              </w:rPr>
              <w:t>% des ressources soit allouées aux « autres fonctions du Comité » telle</w:t>
            </w:r>
            <w:r w:rsidR="0097448F">
              <w:rPr>
                <w:rFonts w:ascii="Arial" w:hAnsi="Arial" w:cs="Arial"/>
                <w:sz w:val="22"/>
                <w:szCs w:val="22"/>
              </w:rPr>
              <w:t>s</w:t>
            </w:r>
            <w:r w:rsidRPr="00BC2EBC">
              <w:rPr>
                <w:rFonts w:ascii="Arial" w:hAnsi="Arial" w:cs="Arial"/>
                <w:sz w:val="22"/>
                <w:szCs w:val="22"/>
              </w:rPr>
              <w:t xml:space="preserve"> que décrites à l</w:t>
            </w:r>
            <w:r w:rsidR="00AF2934">
              <w:rPr>
                <w:rFonts w:ascii="Arial" w:hAnsi="Arial" w:cs="Arial"/>
                <w:sz w:val="22"/>
                <w:szCs w:val="22"/>
              </w:rPr>
              <w:t>’</w:t>
            </w:r>
            <w:r w:rsidR="0097448F">
              <w:rPr>
                <w:rFonts w:ascii="Arial" w:hAnsi="Arial" w:cs="Arial"/>
                <w:sz w:val="22"/>
                <w:szCs w:val="22"/>
              </w:rPr>
              <w:t>a</w:t>
            </w:r>
            <w:r w:rsidRPr="00BC2EBC">
              <w:rPr>
                <w:rFonts w:ascii="Arial" w:hAnsi="Arial" w:cs="Arial"/>
                <w:sz w:val="22"/>
                <w:szCs w:val="22"/>
              </w:rPr>
              <w:t xml:space="preserve">rticle 7 de la Convention et dans les Directives opérationnelles. </w:t>
            </w:r>
          </w:p>
          <w:p w:rsidR="000A27EE" w:rsidRPr="00BC2EBC" w:rsidRDefault="000A27EE" w:rsidP="00671FEA">
            <w:pPr>
              <w:pStyle w:val="NoSpacing"/>
              <w:spacing w:before="120" w:after="120"/>
              <w:jc w:val="both"/>
              <w:rPr>
                <w:rFonts w:ascii="Arial" w:hAnsi="Arial" w:cs="Arial"/>
                <w:sz w:val="22"/>
                <w:szCs w:val="22"/>
              </w:rPr>
            </w:pPr>
            <w:r w:rsidRPr="00BC2EBC">
              <w:rPr>
                <w:rFonts w:ascii="Arial" w:hAnsi="Arial" w:cs="Arial"/>
                <w:sz w:val="22"/>
                <w:szCs w:val="22"/>
              </w:rPr>
              <w:t>Le présent document présente une proposition révisée</w:t>
            </w:r>
            <w:r w:rsidR="0097448F" w:rsidRPr="00BC2EBC">
              <w:rPr>
                <w:rFonts w:ascii="Arial" w:hAnsi="Arial" w:cs="Arial"/>
                <w:sz w:val="22"/>
                <w:szCs w:val="22"/>
              </w:rPr>
              <w:t xml:space="preserve"> pour l</w:t>
            </w:r>
            <w:r w:rsidR="0097448F">
              <w:rPr>
                <w:rFonts w:ascii="Arial" w:hAnsi="Arial" w:cs="Arial"/>
                <w:sz w:val="22"/>
                <w:szCs w:val="22"/>
              </w:rPr>
              <w:t>’</w:t>
            </w:r>
            <w:r w:rsidR="0097448F" w:rsidRPr="00BC2EBC">
              <w:rPr>
                <w:rFonts w:ascii="Arial" w:hAnsi="Arial" w:cs="Arial"/>
                <w:sz w:val="22"/>
                <w:szCs w:val="22"/>
              </w:rPr>
              <w:t>utilisation de ces fonds</w:t>
            </w:r>
            <w:r w:rsidR="0097448F">
              <w:rPr>
                <w:rFonts w:ascii="Arial" w:hAnsi="Arial" w:cs="Arial"/>
                <w:sz w:val="22"/>
                <w:szCs w:val="22"/>
              </w:rPr>
              <w:t>, préparée par le Secrétariat</w:t>
            </w:r>
            <w:r w:rsidRPr="00BC2EBC">
              <w:rPr>
                <w:rFonts w:ascii="Arial" w:hAnsi="Arial" w:cs="Arial"/>
                <w:sz w:val="22"/>
                <w:szCs w:val="22"/>
              </w:rPr>
              <w:t xml:space="preserve"> pour la période qui a débuté le 1</w:t>
            </w:r>
            <w:r w:rsidRPr="00BC2EBC">
              <w:rPr>
                <w:rFonts w:ascii="Arial" w:hAnsi="Arial" w:cs="Arial"/>
                <w:sz w:val="22"/>
                <w:szCs w:val="22"/>
                <w:vertAlign w:val="superscript"/>
              </w:rPr>
              <w:t>er</w:t>
            </w:r>
            <w:r w:rsidRPr="00BC2EBC">
              <w:rPr>
                <w:rFonts w:ascii="Arial" w:hAnsi="Arial" w:cs="Arial"/>
                <w:sz w:val="22"/>
                <w:szCs w:val="22"/>
              </w:rPr>
              <w:t> juillet 2012. Exerçant les pouvoirs qui lui sont délégués par le Comité, le Bureau est invité à décider de l</w:t>
            </w:r>
            <w:r w:rsidR="00AF2934">
              <w:rPr>
                <w:rFonts w:ascii="Arial" w:hAnsi="Arial" w:cs="Arial"/>
                <w:sz w:val="22"/>
                <w:szCs w:val="22"/>
              </w:rPr>
              <w:t>’</w:t>
            </w:r>
            <w:r w:rsidRPr="00BC2EBC">
              <w:rPr>
                <w:rFonts w:ascii="Arial" w:hAnsi="Arial" w:cs="Arial"/>
                <w:sz w:val="22"/>
                <w:szCs w:val="22"/>
              </w:rPr>
              <w:t>utilisation des fonds alloués au titre de de cette catégorie sur la base de cette proposition spécifique. Le Bureau est invité à prendre sa décision par le biais d</w:t>
            </w:r>
            <w:r w:rsidR="0019236F">
              <w:rPr>
                <w:rFonts w:ascii="Arial" w:hAnsi="Arial" w:cs="Arial"/>
                <w:sz w:val="22"/>
                <w:szCs w:val="22"/>
              </w:rPr>
              <w:t>’une</w:t>
            </w:r>
            <w:r w:rsidRPr="00BC2EBC">
              <w:rPr>
                <w:rFonts w:ascii="Arial" w:hAnsi="Arial" w:cs="Arial"/>
                <w:sz w:val="22"/>
                <w:szCs w:val="22"/>
              </w:rPr>
              <w:t xml:space="preserve"> consulta</w:t>
            </w:r>
            <w:r w:rsidR="0019236F">
              <w:rPr>
                <w:rFonts w:ascii="Arial" w:hAnsi="Arial" w:cs="Arial"/>
                <w:sz w:val="22"/>
                <w:szCs w:val="22"/>
              </w:rPr>
              <w:t>tion par voie électronique.</w:t>
            </w:r>
          </w:p>
          <w:p w:rsidR="006C3FFC" w:rsidRPr="00BC2EBC" w:rsidRDefault="000A27EE" w:rsidP="0097448F">
            <w:pPr>
              <w:pStyle w:val="NoSpacing"/>
              <w:spacing w:before="120" w:after="120"/>
              <w:jc w:val="both"/>
              <w:rPr>
                <w:rFonts w:ascii="Arial" w:hAnsi="Arial" w:cs="Arial"/>
                <w:sz w:val="22"/>
                <w:szCs w:val="22"/>
              </w:rPr>
            </w:pPr>
            <w:r w:rsidRPr="00BC2EBC">
              <w:rPr>
                <w:rFonts w:ascii="Arial" w:hAnsi="Arial" w:cs="Arial"/>
                <w:b/>
                <w:sz w:val="22"/>
                <w:szCs w:val="22"/>
              </w:rPr>
              <w:t>Décision requise</w:t>
            </w:r>
            <w:r w:rsidRPr="00BC2EBC">
              <w:rPr>
                <w:rFonts w:ascii="Arial" w:hAnsi="Arial" w:cs="Arial"/>
                <w:sz w:val="22"/>
                <w:szCs w:val="22"/>
              </w:rPr>
              <w:t> : paragraphe</w:t>
            </w:r>
            <w:r w:rsidR="0097448F">
              <w:rPr>
                <w:rFonts w:ascii="Arial" w:hAnsi="Arial" w:cs="Arial"/>
                <w:sz w:val="22"/>
                <w:szCs w:val="22"/>
              </w:rPr>
              <w:t> </w:t>
            </w:r>
            <w:r w:rsidRPr="00BC2EBC">
              <w:rPr>
                <w:rFonts w:ascii="Arial" w:hAnsi="Arial" w:cs="Arial"/>
                <w:sz w:val="22"/>
                <w:szCs w:val="22"/>
              </w:rPr>
              <w:t>13</w:t>
            </w:r>
          </w:p>
        </w:tc>
      </w:tr>
    </w:tbl>
    <w:p w:rsidR="000A27EE" w:rsidRPr="00F13DD6" w:rsidRDefault="000A27EE" w:rsidP="00B458E2">
      <w:pPr>
        <w:pStyle w:val="Marge"/>
        <w:pageBreakBefore/>
        <w:numPr>
          <w:ilvl w:val="0"/>
          <w:numId w:val="31"/>
        </w:numPr>
        <w:tabs>
          <w:tab w:val="clear" w:pos="567"/>
        </w:tabs>
        <w:spacing w:after="120"/>
        <w:ind w:left="567" w:hanging="567"/>
        <w:rPr>
          <w:rFonts w:cs="Arial"/>
          <w:szCs w:val="22"/>
          <w:lang w:val="fr-FR"/>
        </w:rPr>
      </w:pPr>
      <w:r w:rsidRPr="00F13DD6">
        <w:rPr>
          <w:rFonts w:cs="Arial"/>
          <w:szCs w:val="22"/>
          <w:lang w:val="fr-FR"/>
        </w:rPr>
        <w:lastRenderedPageBreak/>
        <w:t>Le Plan d</w:t>
      </w:r>
      <w:r w:rsidR="00AF2934" w:rsidRPr="00F13DD6">
        <w:rPr>
          <w:rFonts w:cs="Arial"/>
          <w:szCs w:val="22"/>
          <w:lang w:val="fr-FR"/>
        </w:rPr>
        <w:t>’</w:t>
      </w:r>
      <w:r w:rsidRPr="00F13DD6">
        <w:rPr>
          <w:rFonts w:cs="Arial"/>
          <w:szCs w:val="22"/>
          <w:lang w:val="fr-FR"/>
        </w:rPr>
        <w:t>utilisation des ressources du Fonds d</w:t>
      </w:r>
      <w:r w:rsidR="00B458E2" w:rsidRPr="00F13DD6">
        <w:rPr>
          <w:rFonts w:cs="Arial"/>
          <w:szCs w:val="22"/>
          <w:lang w:val="fr-FR"/>
        </w:rPr>
        <w:t>u</w:t>
      </w:r>
      <w:r w:rsidRPr="00F13DD6">
        <w:rPr>
          <w:rFonts w:cs="Arial"/>
          <w:szCs w:val="22"/>
          <w:lang w:val="fr-FR"/>
        </w:rPr>
        <w:t xml:space="preserve"> patrimoine culturel immatériel et le plan budgétaire pour la période allant du 1</w:t>
      </w:r>
      <w:r w:rsidRPr="00F13DD6">
        <w:rPr>
          <w:rFonts w:cs="Arial"/>
          <w:szCs w:val="22"/>
          <w:vertAlign w:val="superscript"/>
          <w:lang w:val="fr-FR"/>
        </w:rPr>
        <w:t>er</w:t>
      </w:r>
      <w:r w:rsidRPr="00F13DD6">
        <w:rPr>
          <w:rFonts w:cs="Arial"/>
          <w:szCs w:val="22"/>
          <w:lang w:val="fr-FR"/>
        </w:rPr>
        <w:t> janvier 2012 au 31 décembre 2013 et du 1</w:t>
      </w:r>
      <w:r w:rsidRPr="00F13DD6">
        <w:rPr>
          <w:rFonts w:cs="Arial"/>
          <w:szCs w:val="22"/>
          <w:vertAlign w:val="superscript"/>
          <w:lang w:val="fr-FR"/>
        </w:rPr>
        <w:t>er</w:t>
      </w:r>
      <w:r w:rsidRPr="00F13DD6">
        <w:rPr>
          <w:rFonts w:cs="Arial"/>
          <w:szCs w:val="22"/>
          <w:lang w:val="fr-FR"/>
        </w:rPr>
        <w:t> janvier au 30 juin 2014, adopté</w:t>
      </w:r>
      <w:r w:rsidR="0097448F" w:rsidRPr="00F13DD6">
        <w:rPr>
          <w:rFonts w:cs="Arial"/>
          <w:szCs w:val="22"/>
          <w:lang w:val="fr-FR"/>
        </w:rPr>
        <w:t>s</w:t>
      </w:r>
      <w:r w:rsidRPr="00F13DD6">
        <w:rPr>
          <w:rFonts w:cs="Arial"/>
          <w:szCs w:val="22"/>
          <w:lang w:val="fr-FR"/>
        </w:rPr>
        <w:t xml:space="preserve"> par l</w:t>
      </w:r>
      <w:r w:rsidR="00AF2934" w:rsidRPr="00F13DD6">
        <w:rPr>
          <w:rFonts w:cs="Arial"/>
          <w:szCs w:val="22"/>
          <w:lang w:val="fr-FR"/>
        </w:rPr>
        <w:t>’</w:t>
      </w:r>
      <w:r w:rsidRPr="00F13DD6">
        <w:rPr>
          <w:rFonts w:cs="Arial"/>
          <w:szCs w:val="22"/>
          <w:lang w:val="fr-FR"/>
        </w:rPr>
        <w:t>Assemblée générale à sa quatrième session (résolution 4.GA 7)</w:t>
      </w:r>
      <w:r w:rsidR="00B458E2" w:rsidRPr="00F13DD6">
        <w:rPr>
          <w:rFonts w:cs="Arial"/>
          <w:szCs w:val="22"/>
          <w:lang w:val="fr-FR"/>
        </w:rPr>
        <w:t>,</w:t>
      </w:r>
      <w:r w:rsidRPr="00F13DD6">
        <w:rPr>
          <w:rFonts w:cs="Arial"/>
          <w:szCs w:val="22"/>
          <w:lang w:val="fr-FR"/>
        </w:rPr>
        <w:t xml:space="preserve"> alloue</w:t>
      </w:r>
      <w:r w:rsidR="0097448F" w:rsidRPr="00F13DD6">
        <w:rPr>
          <w:rFonts w:cs="Arial"/>
          <w:szCs w:val="22"/>
          <w:lang w:val="fr-FR"/>
        </w:rPr>
        <w:t>nt</w:t>
      </w:r>
      <w:r w:rsidRPr="00F13DD6">
        <w:rPr>
          <w:rFonts w:cs="Arial"/>
          <w:szCs w:val="22"/>
          <w:lang w:val="fr-FR"/>
        </w:rPr>
        <w:t xml:space="preserve"> 18</w:t>
      </w:r>
      <w:r w:rsidR="00B458E2" w:rsidRPr="00F13DD6">
        <w:rPr>
          <w:rFonts w:cs="Arial"/>
          <w:szCs w:val="22"/>
          <w:lang w:val="fr-FR"/>
        </w:rPr>
        <w:t> </w:t>
      </w:r>
      <w:r w:rsidRPr="00F13DD6">
        <w:rPr>
          <w:rFonts w:cs="Arial"/>
          <w:szCs w:val="22"/>
          <w:lang w:val="fr-FR"/>
        </w:rPr>
        <w:t>% du montant total aux « </w:t>
      </w:r>
      <w:r w:rsidR="0097448F" w:rsidRPr="00F13DD6">
        <w:rPr>
          <w:rFonts w:cs="Arial"/>
          <w:szCs w:val="22"/>
          <w:lang w:val="fr-FR"/>
        </w:rPr>
        <w:t>a</w:t>
      </w:r>
      <w:r w:rsidRPr="00F13DD6">
        <w:rPr>
          <w:rFonts w:cs="Arial"/>
          <w:szCs w:val="22"/>
          <w:lang w:val="fr-FR"/>
        </w:rPr>
        <w:t>utres fonctions du Comité » tel</w:t>
      </w:r>
      <w:r w:rsidR="0097448F" w:rsidRPr="00F13DD6">
        <w:rPr>
          <w:rFonts w:cs="Arial"/>
          <w:szCs w:val="22"/>
          <w:lang w:val="fr-FR"/>
        </w:rPr>
        <w:t>les</w:t>
      </w:r>
      <w:r w:rsidRPr="00F13DD6">
        <w:rPr>
          <w:rFonts w:cs="Arial"/>
          <w:szCs w:val="22"/>
          <w:lang w:val="fr-FR"/>
        </w:rPr>
        <w:t xml:space="preserve"> que décrites à l</w:t>
      </w:r>
      <w:r w:rsidR="00AF2934" w:rsidRPr="00F13DD6">
        <w:rPr>
          <w:rFonts w:cs="Arial"/>
          <w:szCs w:val="22"/>
          <w:lang w:val="fr-FR"/>
        </w:rPr>
        <w:t>’</w:t>
      </w:r>
      <w:r w:rsidR="0097448F" w:rsidRPr="00F13DD6">
        <w:rPr>
          <w:rFonts w:cs="Arial"/>
          <w:szCs w:val="22"/>
          <w:lang w:val="fr-FR"/>
        </w:rPr>
        <w:t>a</w:t>
      </w:r>
      <w:r w:rsidRPr="00F13DD6">
        <w:rPr>
          <w:rFonts w:cs="Arial"/>
          <w:szCs w:val="22"/>
          <w:lang w:val="fr-FR"/>
        </w:rPr>
        <w:t xml:space="preserve">rticle 7 de la Convention et dans les Directives opérationnelles. </w:t>
      </w:r>
      <w:r w:rsidR="00F13DD6" w:rsidRPr="00F13DD6">
        <w:rPr>
          <w:rFonts w:cs="Arial"/>
          <w:szCs w:val="22"/>
          <w:lang w:val="fr-FR"/>
        </w:rPr>
        <w:t>Outre l’examen des rapports périodiques, des demandes d’assistance internationale, des candidatures aux Listes et des propositions des meilleures pratiques de sauvegarde, le Comité assume d’</w:t>
      </w:r>
      <w:r w:rsidRPr="00F13DD6">
        <w:rPr>
          <w:rFonts w:cs="Arial"/>
          <w:szCs w:val="22"/>
          <w:lang w:val="fr-FR"/>
        </w:rPr>
        <w:t xml:space="preserve">« autres fonctions » </w:t>
      </w:r>
      <w:r w:rsidR="00F13DD6" w:rsidRPr="00F13DD6">
        <w:rPr>
          <w:rFonts w:cs="Arial"/>
          <w:szCs w:val="22"/>
          <w:lang w:val="fr-FR"/>
        </w:rPr>
        <w:t xml:space="preserve">qui </w:t>
      </w:r>
      <w:r w:rsidRPr="00F13DD6">
        <w:rPr>
          <w:rFonts w:cs="Arial"/>
          <w:szCs w:val="22"/>
          <w:lang w:val="fr-FR"/>
        </w:rPr>
        <w:t xml:space="preserve">visent à promouvoir les objectifs de la Convention, encourager et assurer le suivi de sa mise en œuvre grâce au renforcement des capacités des institutions et des communautés pour la sauvegarde efficace du patrimoine culturel immatériel, </w:t>
      </w:r>
      <w:r w:rsidR="0097448F" w:rsidRPr="00F13DD6">
        <w:rPr>
          <w:rFonts w:cs="Arial"/>
          <w:szCs w:val="22"/>
          <w:lang w:val="fr-FR"/>
        </w:rPr>
        <w:t xml:space="preserve">à </w:t>
      </w:r>
      <w:r w:rsidRPr="00F13DD6">
        <w:rPr>
          <w:rFonts w:cs="Arial"/>
          <w:szCs w:val="22"/>
          <w:lang w:val="fr-FR"/>
        </w:rPr>
        <w:t xml:space="preserve">la sensibilisation à ce patrimoine et à son importance et </w:t>
      </w:r>
      <w:r w:rsidR="0097448F" w:rsidRPr="00F13DD6">
        <w:rPr>
          <w:rFonts w:cs="Arial"/>
          <w:szCs w:val="22"/>
          <w:lang w:val="fr-FR"/>
        </w:rPr>
        <w:t xml:space="preserve">à </w:t>
      </w:r>
      <w:r w:rsidRPr="00F13DD6">
        <w:rPr>
          <w:rFonts w:cs="Arial"/>
          <w:szCs w:val="22"/>
          <w:lang w:val="fr-FR"/>
        </w:rPr>
        <w:t>la diffusion d</w:t>
      </w:r>
      <w:r w:rsidR="00AF2934" w:rsidRPr="00F13DD6">
        <w:rPr>
          <w:rFonts w:cs="Arial"/>
          <w:szCs w:val="22"/>
          <w:lang w:val="fr-FR"/>
        </w:rPr>
        <w:t>’</w:t>
      </w:r>
      <w:r w:rsidRPr="00F13DD6">
        <w:rPr>
          <w:rFonts w:cs="Arial"/>
          <w:szCs w:val="22"/>
          <w:lang w:val="fr-FR"/>
        </w:rPr>
        <w:t xml:space="preserve">information sur les meilleures pratiques de sauvegarde. </w:t>
      </w:r>
    </w:p>
    <w:p w:rsidR="0049430E" w:rsidRPr="00BC2EBC" w:rsidRDefault="000A27EE" w:rsidP="00B458E2">
      <w:pPr>
        <w:pStyle w:val="Marge"/>
        <w:numPr>
          <w:ilvl w:val="0"/>
          <w:numId w:val="31"/>
        </w:numPr>
        <w:tabs>
          <w:tab w:val="clear" w:pos="567"/>
        </w:tabs>
        <w:spacing w:after="120"/>
        <w:ind w:left="567" w:hanging="567"/>
        <w:rPr>
          <w:rFonts w:cs="Arial"/>
          <w:szCs w:val="22"/>
          <w:lang w:val="fr-FR"/>
        </w:rPr>
      </w:pPr>
      <w:r w:rsidRPr="00BC2EBC">
        <w:rPr>
          <w:rFonts w:cs="Arial"/>
          <w:szCs w:val="22"/>
          <w:lang w:val="fr-FR"/>
        </w:rPr>
        <w:t>Le montant total alloué pour cet exercice biennal (du 1</w:t>
      </w:r>
      <w:r w:rsidRPr="00BC2EBC">
        <w:rPr>
          <w:rFonts w:cs="Arial"/>
          <w:szCs w:val="22"/>
          <w:vertAlign w:val="superscript"/>
          <w:lang w:val="fr-FR"/>
        </w:rPr>
        <w:t>er</w:t>
      </w:r>
      <w:r w:rsidRPr="00BC2EBC">
        <w:rPr>
          <w:rFonts w:cs="Arial"/>
          <w:szCs w:val="22"/>
          <w:lang w:val="fr-FR"/>
        </w:rPr>
        <w:t> janvier 2012 au 31 décembre 2013) aux « autres fonctions du Comité » est de 1 10</w:t>
      </w:r>
      <w:r w:rsidR="0097448F">
        <w:rPr>
          <w:rFonts w:cs="Arial"/>
          <w:szCs w:val="22"/>
          <w:lang w:val="fr-FR"/>
        </w:rPr>
        <w:t>7</w:t>
      </w:r>
      <w:r w:rsidRPr="00BC2EBC">
        <w:rPr>
          <w:rFonts w:cs="Arial"/>
          <w:szCs w:val="22"/>
          <w:lang w:val="fr-FR"/>
        </w:rPr>
        <w:t xml:space="preserve"> 811 dollars des États-Unis. Dans sa décision 6.COM 20, le Comité </w:t>
      </w:r>
      <w:r w:rsidR="0096506B">
        <w:rPr>
          <w:rFonts w:cs="Arial"/>
          <w:szCs w:val="22"/>
          <w:lang w:val="fr-FR"/>
        </w:rPr>
        <w:t xml:space="preserve">a </w:t>
      </w:r>
      <w:r w:rsidRPr="00BC2EBC">
        <w:rPr>
          <w:rFonts w:cs="Arial"/>
          <w:szCs w:val="22"/>
          <w:lang w:val="fr-FR"/>
        </w:rPr>
        <w:t>décid</w:t>
      </w:r>
      <w:r w:rsidR="0096506B">
        <w:rPr>
          <w:rFonts w:cs="Arial"/>
          <w:szCs w:val="22"/>
          <w:lang w:val="fr-FR"/>
        </w:rPr>
        <w:t>é</w:t>
      </w:r>
      <w:r w:rsidRPr="00BC2EBC">
        <w:rPr>
          <w:rFonts w:cs="Arial"/>
          <w:szCs w:val="22"/>
          <w:lang w:val="fr-FR"/>
        </w:rPr>
        <w:t xml:space="preserve"> de continuer avec le mécanisme mis en place lors des sessions précédentes pour l</w:t>
      </w:r>
      <w:r w:rsidR="00AF2934">
        <w:rPr>
          <w:rFonts w:cs="Arial"/>
          <w:szCs w:val="22"/>
          <w:lang w:val="fr-FR"/>
        </w:rPr>
        <w:t>’</w:t>
      </w:r>
      <w:r w:rsidRPr="00BC2EBC">
        <w:rPr>
          <w:rFonts w:cs="Arial"/>
          <w:szCs w:val="22"/>
          <w:lang w:val="fr-FR"/>
        </w:rPr>
        <w:t xml:space="preserve">autorisation des dépenses dans cette catégorie. </w:t>
      </w:r>
      <w:r w:rsidR="0049430E" w:rsidRPr="00BC2EBC">
        <w:rPr>
          <w:rFonts w:cs="Arial"/>
          <w:szCs w:val="22"/>
          <w:lang w:val="fr-FR"/>
        </w:rPr>
        <w:t xml:space="preserve">Dans cette décision, le Comité « délègue </w:t>
      </w:r>
      <w:r w:rsidR="0049430E" w:rsidRPr="00BC2EBC">
        <w:rPr>
          <w:lang w:val="fr-FR"/>
        </w:rPr>
        <w:t>à son Bureau l</w:t>
      </w:r>
      <w:r w:rsidR="00AF2934">
        <w:rPr>
          <w:lang w:val="fr-FR"/>
        </w:rPr>
        <w:t>’</w:t>
      </w:r>
      <w:r w:rsidR="0049430E" w:rsidRPr="00BC2EBC">
        <w:rPr>
          <w:lang w:val="fr-FR"/>
        </w:rPr>
        <w:t>autorité de décider de l</w:t>
      </w:r>
      <w:r w:rsidR="00AF2934">
        <w:rPr>
          <w:lang w:val="fr-FR"/>
        </w:rPr>
        <w:t>’</w:t>
      </w:r>
      <w:r w:rsidR="0049430E" w:rsidRPr="00BC2EBC">
        <w:rPr>
          <w:lang w:val="fr-FR"/>
        </w:rPr>
        <w:t>utilisation des fonds alloués au titre du point 3 du Plan, « </w:t>
      </w:r>
      <w:r w:rsidR="0097448F">
        <w:rPr>
          <w:lang w:val="fr-FR"/>
        </w:rPr>
        <w:t>a</w:t>
      </w:r>
      <w:r w:rsidR="0049430E" w:rsidRPr="00BC2EBC">
        <w:rPr>
          <w:lang w:val="fr-FR"/>
        </w:rPr>
        <w:t>utres fonctions du Comité », sur la base de propositions spécifiques préparées par le Secrétariat ».</w:t>
      </w:r>
    </w:p>
    <w:p w:rsidR="0049430E" w:rsidRPr="00BC2EBC" w:rsidRDefault="0049430E" w:rsidP="00B458E2">
      <w:pPr>
        <w:pStyle w:val="Marge"/>
        <w:numPr>
          <w:ilvl w:val="0"/>
          <w:numId w:val="31"/>
        </w:numPr>
        <w:tabs>
          <w:tab w:val="clear" w:pos="567"/>
        </w:tabs>
        <w:spacing w:after="120"/>
        <w:ind w:left="567" w:hanging="567"/>
        <w:rPr>
          <w:rFonts w:cs="Arial"/>
          <w:szCs w:val="22"/>
          <w:lang w:val="fr-FR"/>
        </w:rPr>
      </w:pPr>
      <w:r w:rsidRPr="00BC2EBC">
        <w:rPr>
          <w:rFonts w:cs="Arial"/>
          <w:szCs w:val="22"/>
          <w:lang w:val="fr-FR"/>
        </w:rPr>
        <w:t xml:space="preserve">Le Bureau a précédemment approuvé deux plans de dépenses pour ces fonds. Dans sa décision 6.COM 2.BUR 4, le Bureau a approuvé </w:t>
      </w:r>
      <w:r w:rsidR="003708C5" w:rsidRPr="00BC2EBC">
        <w:rPr>
          <w:rFonts w:cs="Arial"/>
          <w:szCs w:val="22"/>
          <w:lang w:val="fr-FR"/>
        </w:rPr>
        <w:t>un montant de 210 </w:t>
      </w:r>
      <w:r w:rsidRPr="00BC2EBC">
        <w:rPr>
          <w:rFonts w:cs="Arial"/>
          <w:szCs w:val="22"/>
          <w:lang w:val="fr-FR"/>
        </w:rPr>
        <w:t>663</w:t>
      </w:r>
      <w:r w:rsidR="003708C5" w:rsidRPr="00BC2EBC">
        <w:rPr>
          <w:rFonts w:cs="Arial"/>
          <w:szCs w:val="22"/>
          <w:lang w:val="fr-FR"/>
        </w:rPr>
        <w:t> dollars des États-Unis</w:t>
      </w:r>
      <w:r w:rsidRPr="00BC2EBC">
        <w:rPr>
          <w:rFonts w:cs="Arial"/>
          <w:szCs w:val="22"/>
          <w:lang w:val="fr-FR"/>
        </w:rPr>
        <w:t xml:space="preserve"> pour utilisation au cours de la période du 1</w:t>
      </w:r>
      <w:r w:rsidR="003708C5" w:rsidRPr="00BC2EBC">
        <w:rPr>
          <w:rFonts w:cs="Arial"/>
          <w:szCs w:val="22"/>
          <w:vertAlign w:val="superscript"/>
          <w:lang w:val="fr-FR"/>
        </w:rPr>
        <w:t>er</w:t>
      </w:r>
      <w:r w:rsidR="0097448F">
        <w:rPr>
          <w:rFonts w:cs="Arial"/>
          <w:szCs w:val="22"/>
          <w:lang w:val="fr-FR"/>
        </w:rPr>
        <w:t> janvier</w:t>
      </w:r>
      <w:r w:rsidR="003708C5" w:rsidRPr="00BC2EBC">
        <w:rPr>
          <w:rFonts w:cs="Arial"/>
          <w:szCs w:val="22"/>
          <w:lang w:val="fr-FR"/>
        </w:rPr>
        <w:t xml:space="preserve"> au 30 juin </w:t>
      </w:r>
      <w:r w:rsidRPr="00BC2EBC">
        <w:rPr>
          <w:rFonts w:cs="Arial"/>
          <w:szCs w:val="22"/>
          <w:lang w:val="fr-FR"/>
        </w:rPr>
        <w:t>2012</w:t>
      </w:r>
      <w:r w:rsidR="003708C5" w:rsidRPr="00BC2EBC">
        <w:rPr>
          <w:rFonts w:cs="Arial"/>
          <w:szCs w:val="22"/>
          <w:lang w:val="fr-FR"/>
        </w:rPr>
        <w:t>.</w:t>
      </w:r>
      <w:r w:rsidRPr="00BC2EBC">
        <w:rPr>
          <w:rFonts w:cs="Arial"/>
          <w:szCs w:val="22"/>
          <w:lang w:val="fr-FR"/>
        </w:rPr>
        <w:t xml:space="preserve"> Ces fonds sont </w:t>
      </w:r>
      <w:r w:rsidR="007E7E45">
        <w:rPr>
          <w:rFonts w:cs="Arial"/>
          <w:szCs w:val="22"/>
          <w:lang w:val="fr-FR"/>
        </w:rPr>
        <w:t xml:space="preserve">aujourd’hui presque </w:t>
      </w:r>
      <w:r w:rsidRPr="00BC2EBC">
        <w:rPr>
          <w:rFonts w:cs="Arial"/>
          <w:szCs w:val="22"/>
          <w:lang w:val="fr-FR"/>
        </w:rPr>
        <w:t xml:space="preserve">épuisés. </w:t>
      </w:r>
      <w:r w:rsidR="003708C5" w:rsidRPr="00BC2EBC">
        <w:rPr>
          <w:rFonts w:cs="Arial"/>
          <w:szCs w:val="22"/>
          <w:lang w:val="fr-FR"/>
        </w:rPr>
        <w:t>En juillet </w:t>
      </w:r>
      <w:r w:rsidRPr="00BC2EBC">
        <w:rPr>
          <w:rFonts w:cs="Arial"/>
          <w:szCs w:val="22"/>
          <w:lang w:val="fr-FR"/>
        </w:rPr>
        <w:t>2012, à la suite de la quatrième session de l</w:t>
      </w:r>
      <w:r w:rsidR="00AF2934">
        <w:rPr>
          <w:rFonts w:cs="Arial"/>
          <w:szCs w:val="22"/>
          <w:lang w:val="fr-FR"/>
        </w:rPr>
        <w:t>’</w:t>
      </w:r>
      <w:r w:rsidRPr="00BC2EBC">
        <w:rPr>
          <w:rFonts w:cs="Arial"/>
          <w:szCs w:val="22"/>
          <w:lang w:val="fr-FR"/>
        </w:rPr>
        <w:t xml:space="preserve">Assemblée générale au cours de laquelle a été approuvé le budget pour 2012-2013, </w:t>
      </w:r>
      <w:r w:rsidR="003708C5" w:rsidRPr="00BC2EBC">
        <w:rPr>
          <w:rFonts w:cs="Arial"/>
          <w:szCs w:val="22"/>
          <w:lang w:val="fr-FR"/>
        </w:rPr>
        <w:t xml:space="preserve">le Bureau a approuvé </w:t>
      </w:r>
      <w:r w:rsidRPr="00BC2EBC">
        <w:rPr>
          <w:rFonts w:cs="Arial"/>
          <w:szCs w:val="22"/>
          <w:lang w:val="fr-FR"/>
        </w:rPr>
        <w:t xml:space="preserve">un deuxième plan de dépenses pour </w:t>
      </w:r>
      <w:r w:rsidR="009F50AD">
        <w:rPr>
          <w:rFonts w:cs="Arial"/>
          <w:szCs w:val="22"/>
          <w:lang w:val="fr-FR"/>
        </w:rPr>
        <w:t xml:space="preserve">un montant de </w:t>
      </w:r>
      <w:r w:rsidR="003708C5" w:rsidRPr="00BC2EBC">
        <w:rPr>
          <w:rFonts w:cs="Arial"/>
          <w:szCs w:val="22"/>
          <w:lang w:val="fr-FR"/>
        </w:rPr>
        <w:t xml:space="preserve">594 000 dollars des États-Unis </w:t>
      </w:r>
      <w:r w:rsidRPr="009F50AD">
        <w:rPr>
          <w:rFonts w:cs="Arial"/>
          <w:szCs w:val="22"/>
          <w:lang w:val="fr-FR"/>
        </w:rPr>
        <w:t>supplémentaire</w:t>
      </w:r>
      <w:r w:rsidR="003708C5" w:rsidRPr="009F50AD">
        <w:rPr>
          <w:rFonts w:cs="Arial"/>
          <w:szCs w:val="22"/>
          <w:lang w:val="fr-FR"/>
        </w:rPr>
        <w:t>s</w:t>
      </w:r>
      <w:r w:rsidRPr="009F50AD">
        <w:rPr>
          <w:rFonts w:cs="Arial"/>
          <w:szCs w:val="22"/>
          <w:lang w:val="fr-FR"/>
        </w:rPr>
        <w:t xml:space="preserve"> (décision </w:t>
      </w:r>
      <w:r w:rsidR="003708C5" w:rsidRPr="009F50AD">
        <w:rPr>
          <w:rFonts w:cs="Arial"/>
          <w:szCs w:val="22"/>
          <w:lang w:val="fr-FR"/>
        </w:rPr>
        <w:t>7.COM </w:t>
      </w:r>
      <w:r w:rsidR="009F50AD" w:rsidRPr="009F50AD">
        <w:rPr>
          <w:rFonts w:cs="Arial"/>
          <w:szCs w:val="22"/>
          <w:lang w:val="fr-FR"/>
        </w:rPr>
        <w:t>3</w:t>
      </w:r>
      <w:r w:rsidR="003708C5" w:rsidRPr="009F50AD">
        <w:rPr>
          <w:rFonts w:cs="Arial"/>
          <w:szCs w:val="22"/>
          <w:lang w:val="fr-FR"/>
        </w:rPr>
        <w:t>.</w:t>
      </w:r>
      <w:r w:rsidRPr="009F50AD">
        <w:rPr>
          <w:rFonts w:cs="Arial"/>
          <w:szCs w:val="22"/>
          <w:lang w:val="fr-FR"/>
        </w:rPr>
        <w:t>BUR</w:t>
      </w:r>
      <w:r w:rsidR="003708C5" w:rsidRPr="009F50AD">
        <w:rPr>
          <w:rFonts w:cs="Arial"/>
          <w:szCs w:val="22"/>
          <w:lang w:val="fr-FR"/>
        </w:rPr>
        <w:t> </w:t>
      </w:r>
      <w:r w:rsidR="009F50AD" w:rsidRPr="009F50AD">
        <w:rPr>
          <w:rFonts w:cs="Arial"/>
          <w:szCs w:val="22"/>
          <w:lang w:val="fr-FR"/>
        </w:rPr>
        <w:t>5</w:t>
      </w:r>
      <w:r w:rsidRPr="009F50AD">
        <w:rPr>
          <w:rFonts w:cs="Arial"/>
          <w:szCs w:val="22"/>
          <w:lang w:val="fr-FR"/>
        </w:rPr>
        <w:t>).</w:t>
      </w:r>
      <w:r w:rsidRPr="00BC2EBC">
        <w:rPr>
          <w:rFonts w:cs="Arial"/>
          <w:szCs w:val="22"/>
          <w:lang w:val="fr-FR"/>
        </w:rPr>
        <w:t xml:space="preserve"> </w:t>
      </w:r>
      <w:r w:rsidR="00426CA9" w:rsidRPr="00BC2EBC">
        <w:rPr>
          <w:rFonts w:cs="Arial"/>
          <w:szCs w:val="22"/>
          <w:lang w:val="fr-FR"/>
        </w:rPr>
        <w:t xml:space="preserve">À </w:t>
      </w:r>
      <w:r w:rsidRPr="00BC2EBC">
        <w:rPr>
          <w:rFonts w:cs="Arial"/>
          <w:szCs w:val="22"/>
          <w:lang w:val="fr-FR"/>
        </w:rPr>
        <w:t xml:space="preserve">cette </w:t>
      </w:r>
      <w:r w:rsidR="00426CA9" w:rsidRPr="00BC2EBC">
        <w:rPr>
          <w:rFonts w:cs="Arial"/>
          <w:szCs w:val="22"/>
          <w:lang w:val="fr-FR"/>
        </w:rPr>
        <w:t>occasion</w:t>
      </w:r>
      <w:r w:rsidRPr="00BC2EBC">
        <w:rPr>
          <w:rFonts w:cs="Arial"/>
          <w:szCs w:val="22"/>
          <w:lang w:val="fr-FR"/>
        </w:rPr>
        <w:t xml:space="preserve">, les membres du Bureau ont été informés que le Secrétariat reviendrait </w:t>
      </w:r>
      <w:r w:rsidR="00426CA9" w:rsidRPr="00BC2EBC">
        <w:rPr>
          <w:rFonts w:cs="Arial"/>
          <w:szCs w:val="22"/>
          <w:lang w:val="fr-FR"/>
        </w:rPr>
        <w:t xml:space="preserve">vers eux à la mi-2013, avec une proposition de </w:t>
      </w:r>
      <w:r w:rsidRPr="00BC2EBC">
        <w:rPr>
          <w:rFonts w:cs="Arial"/>
          <w:szCs w:val="22"/>
          <w:lang w:val="fr-FR"/>
        </w:rPr>
        <w:t xml:space="preserve">plan de dépenses pour le solde restant </w:t>
      </w:r>
      <w:r w:rsidR="0097448F">
        <w:rPr>
          <w:rFonts w:cs="Arial"/>
          <w:szCs w:val="22"/>
          <w:lang w:val="fr-FR"/>
        </w:rPr>
        <w:t xml:space="preserve">pour cet </w:t>
      </w:r>
      <w:r w:rsidR="00426CA9" w:rsidRPr="00BC2EBC">
        <w:rPr>
          <w:rFonts w:cs="Arial"/>
          <w:szCs w:val="22"/>
          <w:lang w:val="fr-FR"/>
        </w:rPr>
        <w:t>exercice biennal (document </w:t>
      </w:r>
      <w:r w:rsidRPr="00BC2EBC">
        <w:rPr>
          <w:rFonts w:cs="Arial"/>
          <w:szCs w:val="22"/>
          <w:lang w:val="fr-FR"/>
        </w:rPr>
        <w:t>ITH/12/7.COM</w:t>
      </w:r>
      <w:r w:rsidR="003708C5" w:rsidRPr="00BC2EBC">
        <w:rPr>
          <w:rFonts w:cs="Arial"/>
          <w:szCs w:val="22"/>
          <w:lang w:val="fr-FR"/>
        </w:rPr>
        <w:t> </w:t>
      </w:r>
      <w:r w:rsidRPr="00BC2EBC">
        <w:rPr>
          <w:rFonts w:cs="Arial"/>
          <w:szCs w:val="22"/>
          <w:lang w:val="fr-FR"/>
        </w:rPr>
        <w:t>3.BUR/5).</w:t>
      </w:r>
    </w:p>
    <w:p w:rsidR="00426CA9" w:rsidRPr="00BC2EBC" w:rsidRDefault="00426CA9" w:rsidP="00B458E2">
      <w:pPr>
        <w:pStyle w:val="Marge"/>
        <w:numPr>
          <w:ilvl w:val="0"/>
          <w:numId w:val="31"/>
        </w:numPr>
        <w:tabs>
          <w:tab w:val="clear" w:pos="567"/>
        </w:tabs>
        <w:spacing w:after="120"/>
        <w:ind w:left="567" w:hanging="567"/>
        <w:rPr>
          <w:rFonts w:cs="Arial"/>
          <w:szCs w:val="22"/>
          <w:lang w:val="fr-FR"/>
        </w:rPr>
      </w:pPr>
      <w:r w:rsidRPr="00BC2EBC">
        <w:rPr>
          <w:rFonts w:cs="Arial"/>
          <w:szCs w:val="22"/>
          <w:lang w:val="fr-FR"/>
        </w:rPr>
        <w:t>Le Secrétariat revient maintenant vers le Bureau un peu plus tôt que prévu avec une proposition révisée, telle qu</w:t>
      </w:r>
      <w:r w:rsidR="00AF2934">
        <w:rPr>
          <w:rFonts w:cs="Arial"/>
          <w:szCs w:val="22"/>
          <w:lang w:val="fr-FR"/>
        </w:rPr>
        <w:t>’</w:t>
      </w:r>
      <w:r w:rsidRPr="00BC2EBC">
        <w:rPr>
          <w:rFonts w:cs="Arial"/>
          <w:szCs w:val="22"/>
          <w:lang w:val="fr-FR"/>
        </w:rPr>
        <w:t>annexée au présent document, qui remplacera le plan précédemment approuvé (594 000 dollars des États-Unis) et l</w:t>
      </w:r>
      <w:r w:rsidR="00AF2934">
        <w:rPr>
          <w:rFonts w:cs="Arial"/>
          <w:szCs w:val="22"/>
          <w:lang w:val="fr-FR"/>
        </w:rPr>
        <w:t>’</w:t>
      </w:r>
      <w:r w:rsidRPr="00BC2EBC">
        <w:rPr>
          <w:rFonts w:cs="Arial"/>
          <w:szCs w:val="22"/>
          <w:lang w:val="fr-FR"/>
        </w:rPr>
        <w:t>augmentera jusqu</w:t>
      </w:r>
      <w:r w:rsidR="00AF2934">
        <w:rPr>
          <w:rFonts w:cs="Arial"/>
          <w:szCs w:val="22"/>
          <w:lang w:val="fr-FR"/>
        </w:rPr>
        <w:t>’</w:t>
      </w:r>
      <w:r w:rsidRPr="00BC2EBC">
        <w:rPr>
          <w:rFonts w:cs="Arial"/>
          <w:szCs w:val="22"/>
          <w:lang w:val="fr-FR"/>
        </w:rPr>
        <w:t>à 767 250 dollars des États-Unis. Le montant total de ce plan révisé représente un peu moins de 70</w:t>
      </w:r>
      <w:r w:rsidR="009F50AD">
        <w:rPr>
          <w:rFonts w:cs="Arial"/>
          <w:szCs w:val="22"/>
          <w:lang w:val="fr-FR"/>
        </w:rPr>
        <w:t> </w:t>
      </w:r>
      <w:r w:rsidRPr="00BC2EBC">
        <w:rPr>
          <w:rFonts w:cs="Arial"/>
          <w:szCs w:val="22"/>
          <w:lang w:val="fr-FR"/>
        </w:rPr>
        <w:t>% de l</w:t>
      </w:r>
      <w:r w:rsidR="00AF2934">
        <w:rPr>
          <w:rFonts w:cs="Arial"/>
          <w:szCs w:val="22"/>
          <w:lang w:val="fr-FR"/>
        </w:rPr>
        <w:t>’</w:t>
      </w:r>
      <w:r w:rsidRPr="00BC2EBC">
        <w:rPr>
          <w:rFonts w:cs="Arial"/>
          <w:szCs w:val="22"/>
          <w:lang w:val="fr-FR"/>
        </w:rPr>
        <w:t>allocation totale pour les « autres fonctions du Comité » pour l</w:t>
      </w:r>
      <w:r w:rsidR="00AF2934">
        <w:rPr>
          <w:rFonts w:cs="Arial"/>
          <w:szCs w:val="22"/>
          <w:lang w:val="fr-FR"/>
        </w:rPr>
        <w:t>’</w:t>
      </w:r>
      <w:r w:rsidRPr="00BC2EBC">
        <w:rPr>
          <w:rFonts w:cs="Arial"/>
          <w:szCs w:val="22"/>
          <w:lang w:val="fr-FR"/>
        </w:rPr>
        <w:t>exercice biennal. Avec les fonds déjà utilisés au cours du premier semestre de 2012 (</w:t>
      </w:r>
      <w:r w:rsidR="007E7E45">
        <w:rPr>
          <w:rFonts w:cs="Arial"/>
          <w:szCs w:val="22"/>
          <w:lang w:val="fr-FR"/>
        </w:rPr>
        <w:t>208 450</w:t>
      </w:r>
      <w:r w:rsidRPr="00BC2EBC">
        <w:rPr>
          <w:rFonts w:cs="Arial"/>
          <w:szCs w:val="22"/>
          <w:lang w:val="fr-FR"/>
        </w:rPr>
        <w:t> dollars des États-Unis, soit 19</w:t>
      </w:r>
      <w:r w:rsidR="009F50AD">
        <w:rPr>
          <w:rFonts w:cs="Arial"/>
          <w:szCs w:val="22"/>
          <w:lang w:val="fr-FR"/>
        </w:rPr>
        <w:t> </w:t>
      </w:r>
      <w:r w:rsidRPr="00BC2EBC">
        <w:rPr>
          <w:rFonts w:cs="Arial"/>
          <w:szCs w:val="22"/>
          <w:lang w:val="fr-FR"/>
        </w:rPr>
        <w:t xml:space="preserve">%), il restera un solde non affecté de </w:t>
      </w:r>
      <w:r w:rsidR="007E7E45">
        <w:rPr>
          <w:rFonts w:cs="Arial"/>
          <w:szCs w:val="22"/>
          <w:lang w:val="fr-FR"/>
        </w:rPr>
        <w:t>132 111</w:t>
      </w:r>
      <w:r w:rsidRPr="00BC2EBC">
        <w:rPr>
          <w:rFonts w:cs="Arial"/>
          <w:szCs w:val="22"/>
          <w:lang w:val="fr-FR"/>
        </w:rPr>
        <w:t xml:space="preserve"> dollars des États-Unis, environ 12</w:t>
      </w:r>
      <w:r w:rsidR="009F50AD">
        <w:rPr>
          <w:rFonts w:cs="Arial"/>
          <w:szCs w:val="22"/>
          <w:lang w:val="fr-FR"/>
        </w:rPr>
        <w:t> </w:t>
      </w:r>
      <w:r w:rsidRPr="00BC2EBC">
        <w:rPr>
          <w:rFonts w:cs="Arial"/>
          <w:szCs w:val="22"/>
          <w:lang w:val="fr-FR"/>
        </w:rPr>
        <w:t xml:space="preserve">% des fonds </w:t>
      </w:r>
      <w:r w:rsidR="0097448F">
        <w:rPr>
          <w:rFonts w:cs="Arial"/>
          <w:szCs w:val="22"/>
          <w:lang w:val="fr-FR"/>
        </w:rPr>
        <w:t>du</w:t>
      </w:r>
      <w:r w:rsidR="0097448F" w:rsidRPr="00BC2EBC">
        <w:rPr>
          <w:rFonts w:cs="Arial"/>
          <w:szCs w:val="22"/>
          <w:lang w:val="fr-FR"/>
        </w:rPr>
        <w:t xml:space="preserve"> biennium en cours</w:t>
      </w:r>
      <w:r w:rsidR="0097448F">
        <w:rPr>
          <w:rFonts w:cs="Arial"/>
          <w:szCs w:val="22"/>
          <w:lang w:val="fr-FR"/>
        </w:rPr>
        <w:t>,</w:t>
      </w:r>
      <w:r w:rsidR="0097448F" w:rsidRPr="00BC2EBC">
        <w:rPr>
          <w:rFonts w:cs="Arial"/>
          <w:szCs w:val="22"/>
          <w:lang w:val="fr-FR"/>
        </w:rPr>
        <w:t xml:space="preserve"> </w:t>
      </w:r>
      <w:r w:rsidRPr="00BC2EBC">
        <w:rPr>
          <w:rFonts w:cs="Arial"/>
          <w:szCs w:val="22"/>
          <w:lang w:val="fr-FR"/>
        </w:rPr>
        <w:t xml:space="preserve">réservés aux besoins futurs. Le Secrétariat prévoit de </w:t>
      </w:r>
      <w:r w:rsidR="0097448F">
        <w:rPr>
          <w:rFonts w:cs="Arial"/>
          <w:szCs w:val="22"/>
          <w:lang w:val="fr-FR"/>
        </w:rPr>
        <w:t>revenir</w:t>
      </w:r>
      <w:r w:rsidRPr="00BC2EBC">
        <w:rPr>
          <w:rFonts w:cs="Arial"/>
          <w:szCs w:val="22"/>
          <w:lang w:val="fr-FR"/>
        </w:rPr>
        <w:t xml:space="preserve"> vers Bureau </w:t>
      </w:r>
      <w:r w:rsidR="0097448F">
        <w:rPr>
          <w:rFonts w:cs="Arial"/>
          <w:szCs w:val="22"/>
          <w:lang w:val="fr-FR"/>
        </w:rPr>
        <w:t xml:space="preserve">à la </w:t>
      </w:r>
      <w:r w:rsidRPr="00BC2EBC">
        <w:rPr>
          <w:rFonts w:cs="Arial"/>
          <w:szCs w:val="22"/>
          <w:lang w:val="fr-FR"/>
        </w:rPr>
        <w:t>mi-2013 avec une proposition de plan de dépenses pour le nouveau solde.</w:t>
      </w:r>
    </w:p>
    <w:p w:rsidR="00426CA9" w:rsidRPr="00BC2EBC" w:rsidRDefault="009F50AD" w:rsidP="00B458E2">
      <w:pPr>
        <w:pStyle w:val="Marge"/>
        <w:keepNext/>
        <w:tabs>
          <w:tab w:val="clear" w:pos="567"/>
        </w:tabs>
        <w:spacing w:before="360"/>
        <w:ind w:left="567"/>
        <w:rPr>
          <w:rFonts w:cs="Arial"/>
          <w:b/>
          <w:szCs w:val="22"/>
          <w:lang w:val="fr-FR"/>
        </w:rPr>
      </w:pPr>
      <w:r>
        <w:rPr>
          <w:rFonts w:cs="Arial"/>
          <w:b/>
          <w:szCs w:val="22"/>
          <w:lang w:val="fr-FR"/>
        </w:rPr>
        <w:t>B</w:t>
      </w:r>
      <w:r w:rsidR="00426CA9" w:rsidRPr="00BC2EBC">
        <w:rPr>
          <w:rFonts w:cs="Arial"/>
          <w:b/>
          <w:szCs w:val="22"/>
          <w:lang w:val="fr-FR"/>
        </w:rPr>
        <w:t>esoins révisés : le système de gestion de l</w:t>
      </w:r>
      <w:r w:rsidR="00AF2934">
        <w:rPr>
          <w:rFonts w:cs="Arial"/>
          <w:b/>
          <w:szCs w:val="22"/>
          <w:lang w:val="fr-FR"/>
        </w:rPr>
        <w:t>’</w:t>
      </w:r>
      <w:r w:rsidR="00426CA9" w:rsidRPr="00BC2EBC">
        <w:rPr>
          <w:rFonts w:cs="Arial"/>
          <w:b/>
          <w:szCs w:val="22"/>
          <w:lang w:val="fr-FR"/>
        </w:rPr>
        <w:t>information</w:t>
      </w:r>
    </w:p>
    <w:p w:rsidR="00426CA9" w:rsidRPr="00BC2EBC" w:rsidRDefault="00426CA9" w:rsidP="00B458E2">
      <w:pPr>
        <w:pStyle w:val="Marge"/>
        <w:numPr>
          <w:ilvl w:val="0"/>
          <w:numId w:val="31"/>
        </w:numPr>
        <w:tabs>
          <w:tab w:val="clear" w:pos="567"/>
        </w:tabs>
        <w:spacing w:after="120"/>
        <w:ind w:left="567" w:hanging="567"/>
        <w:rPr>
          <w:rFonts w:cs="Arial"/>
          <w:szCs w:val="22"/>
          <w:lang w:val="fr-FR"/>
        </w:rPr>
      </w:pPr>
      <w:r w:rsidRPr="00BC2EBC">
        <w:rPr>
          <w:rFonts w:cs="Arial"/>
          <w:szCs w:val="22"/>
          <w:lang w:val="fr-FR"/>
        </w:rPr>
        <w:t>Le plan de dépenses en vigueur pour les « autres fonctions du Comité » tel qu</w:t>
      </w:r>
      <w:r w:rsidR="00AF2934">
        <w:rPr>
          <w:rFonts w:cs="Arial"/>
          <w:szCs w:val="22"/>
          <w:lang w:val="fr-FR"/>
        </w:rPr>
        <w:t>’</w:t>
      </w:r>
      <w:r w:rsidRPr="00BC2EBC">
        <w:rPr>
          <w:rFonts w:cs="Arial"/>
          <w:szCs w:val="22"/>
          <w:lang w:val="fr-FR"/>
        </w:rPr>
        <w:t xml:space="preserve">approuvé par le Bureau (Décision 7.COM 3.BUR 5) alloue 125 000 dollars des États-Unis à la maintenance et </w:t>
      </w:r>
      <w:r w:rsidR="009F50AD">
        <w:rPr>
          <w:rFonts w:cs="Arial"/>
          <w:szCs w:val="22"/>
          <w:lang w:val="fr-FR"/>
        </w:rPr>
        <w:t>au</w:t>
      </w:r>
      <w:r w:rsidRPr="00BC2EBC">
        <w:rPr>
          <w:rFonts w:cs="Arial"/>
          <w:szCs w:val="22"/>
          <w:lang w:val="fr-FR"/>
        </w:rPr>
        <w:t xml:space="preserve"> développement du système de gestion de l</w:t>
      </w:r>
      <w:r w:rsidR="00AF2934">
        <w:rPr>
          <w:rFonts w:cs="Arial"/>
          <w:szCs w:val="22"/>
          <w:lang w:val="fr-FR"/>
        </w:rPr>
        <w:t>’</w:t>
      </w:r>
      <w:r w:rsidRPr="00BC2EBC">
        <w:rPr>
          <w:rFonts w:cs="Arial"/>
          <w:szCs w:val="22"/>
          <w:lang w:val="fr-FR"/>
        </w:rPr>
        <w:t xml:space="preserve">information de la Convention, en particulier </w:t>
      </w:r>
      <w:r w:rsidR="0097448F">
        <w:rPr>
          <w:rFonts w:cs="Arial"/>
          <w:szCs w:val="22"/>
          <w:lang w:val="fr-FR"/>
        </w:rPr>
        <w:t>pour</w:t>
      </w:r>
      <w:r w:rsidRPr="00BC2EBC">
        <w:rPr>
          <w:rFonts w:cs="Arial"/>
          <w:szCs w:val="22"/>
          <w:lang w:val="fr-FR"/>
        </w:rPr>
        <w:t xml:space="preserve"> fournir des fonctionnalités en ligne améliorées </w:t>
      </w:r>
      <w:r w:rsidR="0097448F">
        <w:rPr>
          <w:rFonts w:cs="Arial"/>
          <w:szCs w:val="22"/>
          <w:lang w:val="fr-FR"/>
        </w:rPr>
        <w:t>telles qu’</w:t>
      </w:r>
      <w:r w:rsidRPr="00BC2EBC">
        <w:rPr>
          <w:rFonts w:cs="Arial"/>
          <w:szCs w:val="22"/>
          <w:lang w:val="fr-FR"/>
        </w:rPr>
        <w:t>un accès personnalisé pour les États parties afin de suivre de plus près l</w:t>
      </w:r>
      <w:r w:rsidR="00AF2934">
        <w:rPr>
          <w:rFonts w:cs="Arial"/>
          <w:szCs w:val="22"/>
          <w:lang w:val="fr-FR"/>
        </w:rPr>
        <w:t>’</w:t>
      </w:r>
      <w:r w:rsidRPr="00BC2EBC">
        <w:rPr>
          <w:rFonts w:cs="Arial"/>
          <w:szCs w:val="22"/>
          <w:lang w:val="fr-FR"/>
        </w:rPr>
        <w:t>état des dossiers en cours, une meilleure gestion et visibilité de l</w:t>
      </w:r>
      <w:r w:rsidR="00AF2934">
        <w:rPr>
          <w:rFonts w:cs="Arial"/>
          <w:szCs w:val="22"/>
          <w:lang w:val="fr-FR"/>
        </w:rPr>
        <w:t>’</w:t>
      </w:r>
      <w:r w:rsidRPr="00BC2EBC">
        <w:rPr>
          <w:rFonts w:cs="Arial"/>
          <w:szCs w:val="22"/>
          <w:lang w:val="fr-FR"/>
        </w:rPr>
        <w:t xml:space="preserve">assistance internationale octroyée et la possibilité de soumettre </w:t>
      </w:r>
      <w:r w:rsidR="0097448F" w:rsidRPr="00BC2EBC">
        <w:rPr>
          <w:rFonts w:cs="Arial"/>
          <w:szCs w:val="22"/>
          <w:lang w:val="fr-FR"/>
        </w:rPr>
        <w:t xml:space="preserve">des rapports, des demandes et des candidatures </w:t>
      </w:r>
      <w:r w:rsidRPr="00BC2EBC">
        <w:rPr>
          <w:rFonts w:cs="Arial"/>
          <w:szCs w:val="22"/>
          <w:lang w:val="fr-FR"/>
        </w:rPr>
        <w:t>en ligne.</w:t>
      </w:r>
    </w:p>
    <w:p w:rsidR="00426CA9" w:rsidRPr="00BC2EBC" w:rsidRDefault="00426CA9" w:rsidP="00B458E2">
      <w:pPr>
        <w:pStyle w:val="Marge"/>
        <w:numPr>
          <w:ilvl w:val="0"/>
          <w:numId w:val="31"/>
        </w:numPr>
        <w:tabs>
          <w:tab w:val="clear" w:pos="567"/>
        </w:tabs>
        <w:spacing w:after="120"/>
        <w:ind w:left="567" w:hanging="567"/>
        <w:rPr>
          <w:rFonts w:cs="Arial"/>
          <w:szCs w:val="22"/>
          <w:lang w:val="fr-FR"/>
        </w:rPr>
      </w:pPr>
      <w:r w:rsidRPr="00BC2EBC">
        <w:rPr>
          <w:rFonts w:cs="Arial"/>
          <w:szCs w:val="22"/>
          <w:lang w:val="fr-FR"/>
        </w:rPr>
        <w:t>Dans les précédents rapports du Comité à l</w:t>
      </w:r>
      <w:r w:rsidR="00AF2934">
        <w:rPr>
          <w:rFonts w:cs="Arial"/>
          <w:szCs w:val="22"/>
          <w:lang w:val="fr-FR"/>
        </w:rPr>
        <w:t>’</w:t>
      </w:r>
      <w:r w:rsidRPr="00BC2EBC">
        <w:rPr>
          <w:rFonts w:cs="Arial"/>
          <w:szCs w:val="22"/>
          <w:lang w:val="fr-FR"/>
        </w:rPr>
        <w:t>Assemblée générale sur ses activités et dans les décisions ultérieures des organes directeurs de la Convention de 2003 concernant l</w:t>
      </w:r>
      <w:r w:rsidR="00AF2934">
        <w:rPr>
          <w:rFonts w:cs="Arial"/>
          <w:szCs w:val="22"/>
          <w:lang w:val="fr-FR"/>
        </w:rPr>
        <w:t>’</w:t>
      </w:r>
      <w:r w:rsidRPr="00BC2EBC">
        <w:rPr>
          <w:rFonts w:cs="Arial"/>
          <w:szCs w:val="22"/>
          <w:lang w:val="fr-FR"/>
        </w:rPr>
        <w:t>utilisation des ressources du Fonds du patrimoine culturel immatériel (décision 5.COM 2.BUR 4, décision 6.COM 1.BUR 1, décision 6.COM 2.BUR 4, décision 6.COM 20, résolution 4.GA 7, décision 7.COM 3.BUR 5), l</w:t>
      </w:r>
      <w:r w:rsidR="00AF2934">
        <w:rPr>
          <w:rFonts w:cs="Arial"/>
          <w:szCs w:val="22"/>
          <w:lang w:val="fr-FR"/>
        </w:rPr>
        <w:t>’</w:t>
      </w:r>
      <w:r w:rsidRPr="00BC2EBC">
        <w:rPr>
          <w:rFonts w:cs="Arial"/>
          <w:szCs w:val="22"/>
          <w:lang w:val="fr-FR"/>
        </w:rPr>
        <w:t xml:space="preserve">importance du système de gestion de </w:t>
      </w:r>
      <w:r w:rsidRPr="00BC2EBC">
        <w:rPr>
          <w:rFonts w:cs="Arial"/>
          <w:szCs w:val="22"/>
          <w:lang w:val="fr-FR"/>
        </w:rPr>
        <w:lastRenderedPageBreak/>
        <w:t>l</w:t>
      </w:r>
      <w:r w:rsidR="00AF2934">
        <w:rPr>
          <w:rFonts w:cs="Arial"/>
          <w:szCs w:val="22"/>
          <w:lang w:val="fr-FR"/>
        </w:rPr>
        <w:t>’</w:t>
      </w:r>
      <w:r w:rsidRPr="00BC2EBC">
        <w:rPr>
          <w:rFonts w:cs="Arial"/>
          <w:szCs w:val="22"/>
          <w:lang w:val="fr-FR"/>
        </w:rPr>
        <w:t xml:space="preserve">information a été reconnue à plusieurs reprises ainsi que la nécessité de le maintenir régulièrement et de le développer. Le système de gestion </w:t>
      </w:r>
      <w:r w:rsidR="00302D0F" w:rsidRPr="00BC2EBC">
        <w:rPr>
          <w:rFonts w:cs="Arial"/>
          <w:szCs w:val="22"/>
          <w:lang w:val="fr-FR"/>
        </w:rPr>
        <w:t>de l</w:t>
      </w:r>
      <w:r w:rsidR="00AF2934">
        <w:rPr>
          <w:rFonts w:cs="Arial"/>
          <w:szCs w:val="22"/>
          <w:lang w:val="fr-FR"/>
        </w:rPr>
        <w:t>’</w:t>
      </w:r>
      <w:r w:rsidR="00302D0F" w:rsidRPr="00BC2EBC">
        <w:rPr>
          <w:rFonts w:cs="Arial"/>
          <w:szCs w:val="22"/>
          <w:lang w:val="fr-FR"/>
        </w:rPr>
        <w:t xml:space="preserve">information conçu spécialement pour la Section du </w:t>
      </w:r>
      <w:r w:rsidRPr="00BC2EBC">
        <w:rPr>
          <w:rFonts w:cs="Arial"/>
          <w:szCs w:val="22"/>
          <w:lang w:val="fr-FR"/>
        </w:rPr>
        <w:t xml:space="preserve">patrimoine </w:t>
      </w:r>
      <w:r w:rsidR="00302D0F" w:rsidRPr="00BC2EBC">
        <w:rPr>
          <w:rFonts w:cs="Arial"/>
          <w:szCs w:val="22"/>
          <w:lang w:val="fr-FR"/>
        </w:rPr>
        <w:t xml:space="preserve">culturel </w:t>
      </w:r>
      <w:r w:rsidRPr="00BC2EBC">
        <w:rPr>
          <w:rFonts w:cs="Arial"/>
          <w:szCs w:val="22"/>
          <w:lang w:val="fr-FR"/>
        </w:rPr>
        <w:t xml:space="preserve">immatériel </w:t>
      </w:r>
      <w:r w:rsidR="00302D0F" w:rsidRPr="00BC2EBC">
        <w:rPr>
          <w:rFonts w:cs="Arial"/>
          <w:szCs w:val="22"/>
          <w:lang w:val="fr-FR"/>
        </w:rPr>
        <w:t>constitue</w:t>
      </w:r>
      <w:r w:rsidRPr="00BC2EBC">
        <w:rPr>
          <w:rFonts w:cs="Arial"/>
          <w:szCs w:val="22"/>
          <w:lang w:val="fr-FR"/>
        </w:rPr>
        <w:t xml:space="preserve"> un outil de travail qu</w:t>
      </w:r>
      <w:r w:rsidR="009F50AD">
        <w:rPr>
          <w:rFonts w:cs="Arial"/>
          <w:szCs w:val="22"/>
          <w:lang w:val="fr-FR"/>
        </w:rPr>
        <w:t>otidien qui facilite le travail</w:t>
      </w:r>
      <w:r w:rsidRPr="00BC2EBC">
        <w:rPr>
          <w:rFonts w:cs="Arial"/>
          <w:szCs w:val="22"/>
          <w:lang w:val="fr-FR"/>
        </w:rPr>
        <w:t xml:space="preserve"> non seulement des organes statutaires (le Secrétariat, les États Parties, le Comité et ses organes consultatifs), mais aussi d</w:t>
      </w:r>
      <w:r w:rsidR="00AF2934">
        <w:rPr>
          <w:rFonts w:cs="Arial"/>
          <w:szCs w:val="22"/>
          <w:lang w:val="fr-FR"/>
        </w:rPr>
        <w:t>’</w:t>
      </w:r>
      <w:r w:rsidRPr="00BC2EBC">
        <w:rPr>
          <w:rFonts w:cs="Arial"/>
          <w:szCs w:val="22"/>
          <w:lang w:val="fr-FR"/>
        </w:rPr>
        <w:t xml:space="preserve">autres acteurs comme les facilitateurs </w:t>
      </w:r>
      <w:r w:rsidR="0097448F">
        <w:rPr>
          <w:rFonts w:cs="Arial"/>
          <w:szCs w:val="22"/>
          <w:lang w:val="fr-FR"/>
        </w:rPr>
        <w:t>impliqués dans la stratégie de</w:t>
      </w:r>
      <w:r w:rsidRPr="00BC2EBC">
        <w:rPr>
          <w:rFonts w:cs="Arial"/>
          <w:szCs w:val="22"/>
          <w:lang w:val="fr-FR"/>
        </w:rPr>
        <w:t xml:space="preserve"> renforcement des capacités qui </w:t>
      </w:r>
      <w:r w:rsidR="00302D0F" w:rsidRPr="00BC2EBC">
        <w:rPr>
          <w:rFonts w:cs="Arial"/>
          <w:szCs w:val="22"/>
          <w:lang w:val="fr-FR"/>
        </w:rPr>
        <w:t>disposent</w:t>
      </w:r>
      <w:r w:rsidRPr="00BC2EBC">
        <w:rPr>
          <w:rFonts w:cs="Arial"/>
          <w:szCs w:val="22"/>
          <w:lang w:val="fr-FR"/>
        </w:rPr>
        <w:t xml:space="preserve"> désormais </w:t>
      </w:r>
      <w:r w:rsidR="0097448F">
        <w:rPr>
          <w:rFonts w:cs="Arial"/>
          <w:szCs w:val="22"/>
          <w:lang w:val="fr-FR"/>
        </w:rPr>
        <w:t xml:space="preserve">de </w:t>
      </w:r>
      <w:r w:rsidRPr="00BC2EBC">
        <w:rPr>
          <w:rFonts w:cs="Arial"/>
          <w:szCs w:val="22"/>
          <w:lang w:val="fr-FR"/>
        </w:rPr>
        <w:t xml:space="preserve">leur site dédié. </w:t>
      </w:r>
      <w:r w:rsidR="00302D0F" w:rsidRPr="00BC2EBC">
        <w:rPr>
          <w:rStyle w:val="hps"/>
          <w:lang w:val="fr-FR"/>
        </w:rPr>
        <w:t>Grâce à son interface</w:t>
      </w:r>
      <w:r w:rsidR="00302D0F" w:rsidRPr="00BC2EBC">
        <w:rPr>
          <w:lang w:val="fr-FR"/>
        </w:rPr>
        <w:t xml:space="preserve"> </w:t>
      </w:r>
      <w:r w:rsidR="00302D0F" w:rsidRPr="00BC2EBC">
        <w:rPr>
          <w:rStyle w:val="hps"/>
          <w:lang w:val="fr-FR"/>
        </w:rPr>
        <w:t>web publique</w:t>
      </w:r>
      <w:r w:rsidR="00302D0F" w:rsidRPr="00BC2EBC">
        <w:rPr>
          <w:lang w:val="fr-FR"/>
        </w:rPr>
        <w:t xml:space="preserve">, il </w:t>
      </w:r>
      <w:r w:rsidR="00302D0F" w:rsidRPr="00BC2EBC">
        <w:rPr>
          <w:rStyle w:val="hps"/>
          <w:lang w:val="fr-FR"/>
        </w:rPr>
        <w:t>est aussi le visage</w:t>
      </w:r>
      <w:r w:rsidR="00302D0F" w:rsidRPr="00BC2EBC">
        <w:rPr>
          <w:lang w:val="fr-FR"/>
        </w:rPr>
        <w:t xml:space="preserve"> </w:t>
      </w:r>
      <w:r w:rsidR="00302D0F" w:rsidRPr="00BC2EBC">
        <w:rPr>
          <w:rStyle w:val="hps"/>
          <w:lang w:val="fr-FR"/>
        </w:rPr>
        <w:t>de la Convention et</w:t>
      </w:r>
      <w:r w:rsidR="00302D0F" w:rsidRPr="00BC2EBC">
        <w:rPr>
          <w:lang w:val="fr-FR"/>
        </w:rPr>
        <w:t xml:space="preserve"> </w:t>
      </w:r>
      <w:r w:rsidR="00302D0F" w:rsidRPr="00BC2EBC">
        <w:rPr>
          <w:rStyle w:val="hps"/>
          <w:lang w:val="fr-FR"/>
        </w:rPr>
        <w:t>le principal moyen de</w:t>
      </w:r>
      <w:r w:rsidR="00302D0F" w:rsidRPr="00BC2EBC">
        <w:rPr>
          <w:lang w:val="fr-FR"/>
        </w:rPr>
        <w:t xml:space="preserve"> </w:t>
      </w:r>
      <w:r w:rsidR="00302D0F" w:rsidRPr="00BC2EBC">
        <w:rPr>
          <w:rStyle w:val="hps"/>
          <w:lang w:val="fr-FR"/>
        </w:rPr>
        <w:t xml:space="preserve">diffusion </w:t>
      </w:r>
      <w:r w:rsidR="0097448F">
        <w:rPr>
          <w:rStyle w:val="hps"/>
          <w:lang w:val="fr-FR"/>
        </w:rPr>
        <w:t>d</w:t>
      </w:r>
      <w:r w:rsidR="00AF2934">
        <w:rPr>
          <w:rStyle w:val="hps"/>
          <w:lang w:val="fr-FR"/>
        </w:rPr>
        <w:t>’</w:t>
      </w:r>
      <w:r w:rsidR="00302D0F" w:rsidRPr="00BC2EBC">
        <w:rPr>
          <w:rStyle w:val="hps"/>
          <w:lang w:val="fr-FR"/>
        </w:rPr>
        <w:t>information</w:t>
      </w:r>
      <w:r w:rsidR="00302D0F" w:rsidRPr="00BC2EBC">
        <w:rPr>
          <w:lang w:val="fr-FR"/>
        </w:rPr>
        <w:t xml:space="preserve"> </w:t>
      </w:r>
      <w:r w:rsidR="00302D0F" w:rsidRPr="00BC2EBC">
        <w:rPr>
          <w:rStyle w:val="hps"/>
          <w:lang w:val="fr-FR"/>
        </w:rPr>
        <w:t>sur les</w:t>
      </w:r>
      <w:r w:rsidR="00302D0F" w:rsidRPr="00BC2EBC">
        <w:rPr>
          <w:lang w:val="fr-FR"/>
        </w:rPr>
        <w:t xml:space="preserve"> </w:t>
      </w:r>
      <w:r w:rsidR="00302D0F" w:rsidRPr="00BC2EBC">
        <w:rPr>
          <w:rStyle w:val="hps"/>
          <w:lang w:val="fr-FR"/>
        </w:rPr>
        <w:t>décisions de l</w:t>
      </w:r>
      <w:r w:rsidR="00AF2934">
        <w:rPr>
          <w:rStyle w:val="hps"/>
          <w:lang w:val="fr-FR"/>
        </w:rPr>
        <w:t>’</w:t>
      </w:r>
      <w:r w:rsidR="00302D0F" w:rsidRPr="00BC2EBC">
        <w:rPr>
          <w:rStyle w:val="hps"/>
          <w:lang w:val="fr-FR"/>
        </w:rPr>
        <w:t>Assemblée</w:t>
      </w:r>
      <w:r w:rsidR="00302D0F" w:rsidRPr="00BC2EBC">
        <w:rPr>
          <w:lang w:val="fr-FR"/>
        </w:rPr>
        <w:t xml:space="preserve"> </w:t>
      </w:r>
      <w:r w:rsidR="00302D0F" w:rsidRPr="00BC2EBC">
        <w:rPr>
          <w:rStyle w:val="hps"/>
          <w:lang w:val="fr-FR"/>
        </w:rPr>
        <w:t>générale et du Comité</w:t>
      </w:r>
      <w:r w:rsidR="00302D0F" w:rsidRPr="00BC2EBC">
        <w:rPr>
          <w:lang w:val="fr-FR"/>
        </w:rPr>
        <w:t xml:space="preserve">. </w:t>
      </w:r>
      <w:r w:rsidR="00302D0F" w:rsidRPr="00BC2EBC">
        <w:rPr>
          <w:rStyle w:val="hps"/>
          <w:lang w:val="fr-FR"/>
        </w:rPr>
        <w:t>En utilisant efficacement</w:t>
      </w:r>
      <w:r w:rsidR="00302D0F" w:rsidRPr="00BC2EBC">
        <w:rPr>
          <w:lang w:val="fr-FR"/>
        </w:rPr>
        <w:t xml:space="preserve"> </w:t>
      </w:r>
      <w:r w:rsidR="00302D0F" w:rsidRPr="00BC2EBC">
        <w:rPr>
          <w:rStyle w:val="hps"/>
          <w:lang w:val="fr-FR"/>
        </w:rPr>
        <w:t>ce système</w:t>
      </w:r>
      <w:r w:rsidR="00302D0F" w:rsidRPr="00BC2EBC">
        <w:rPr>
          <w:lang w:val="fr-FR"/>
        </w:rPr>
        <w:t xml:space="preserve">, le Secrétariat </w:t>
      </w:r>
      <w:r w:rsidR="00302D0F" w:rsidRPr="00BC2EBC">
        <w:rPr>
          <w:rStyle w:val="hps"/>
          <w:lang w:val="fr-FR"/>
        </w:rPr>
        <w:t>a réduit</w:t>
      </w:r>
      <w:r w:rsidR="00302D0F" w:rsidRPr="00BC2EBC">
        <w:rPr>
          <w:lang w:val="fr-FR"/>
        </w:rPr>
        <w:t xml:space="preserve"> </w:t>
      </w:r>
      <w:r w:rsidR="00302D0F" w:rsidRPr="00BC2EBC">
        <w:rPr>
          <w:rStyle w:val="hps"/>
          <w:lang w:val="fr-FR"/>
        </w:rPr>
        <w:t>considérablement le nombre de</w:t>
      </w:r>
      <w:r w:rsidR="00302D0F" w:rsidRPr="00BC2EBC">
        <w:rPr>
          <w:lang w:val="fr-FR"/>
        </w:rPr>
        <w:t xml:space="preserve"> </w:t>
      </w:r>
      <w:r w:rsidR="00302D0F" w:rsidRPr="00BC2EBC">
        <w:rPr>
          <w:rStyle w:val="hps"/>
          <w:lang w:val="fr-FR"/>
        </w:rPr>
        <w:t>documents imprimés sur papier</w:t>
      </w:r>
      <w:r w:rsidR="00302D0F" w:rsidRPr="00BC2EBC">
        <w:rPr>
          <w:lang w:val="fr-FR"/>
        </w:rPr>
        <w:t xml:space="preserve"> </w:t>
      </w:r>
      <w:r w:rsidR="00302D0F" w:rsidRPr="00BC2EBC">
        <w:rPr>
          <w:rStyle w:val="hps"/>
          <w:lang w:val="fr-FR"/>
        </w:rPr>
        <w:t>pour les réunions statutaires</w:t>
      </w:r>
      <w:r w:rsidR="00302D0F" w:rsidRPr="00BC2EBC">
        <w:rPr>
          <w:lang w:val="fr-FR"/>
        </w:rPr>
        <w:t xml:space="preserve">, </w:t>
      </w:r>
      <w:r w:rsidR="00302D0F" w:rsidRPr="00BC2EBC">
        <w:rPr>
          <w:rStyle w:val="hps"/>
          <w:lang w:val="fr-FR"/>
        </w:rPr>
        <w:t>préservant ainsi</w:t>
      </w:r>
      <w:r w:rsidR="00302D0F" w:rsidRPr="00BC2EBC">
        <w:rPr>
          <w:lang w:val="fr-FR"/>
        </w:rPr>
        <w:t xml:space="preserve"> </w:t>
      </w:r>
      <w:r w:rsidR="00302D0F" w:rsidRPr="00BC2EBC">
        <w:rPr>
          <w:rStyle w:val="hps"/>
          <w:lang w:val="fr-FR"/>
        </w:rPr>
        <w:t>ressources naturelles</w:t>
      </w:r>
      <w:r w:rsidR="00302D0F" w:rsidRPr="00BC2EBC">
        <w:rPr>
          <w:lang w:val="fr-FR"/>
        </w:rPr>
        <w:t xml:space="preserve"> </w:t>
      </w:r>
      <w:r w:rsidR="00302D0F" w:rsidRPr="00BC2EBC">
        <w:rPr>
          <w:rStyle w:val="hps"/>
          <w:lang w:val="fr-FR"/>
        </w:rPr>
        <w:t>et financières</w:t>
      </w:r>
      <w:r w:rsidR="00302D0F" w:rsidRPr="00BC2EBC">
        <w:rPr>
          <w:lang w:val="fr-FR"/>
        </w:rPr>
        <w:t xml:space="preserve"> </w:t>
      </w:r>
      <w:r w:rsidR="00302D0F" w:rsidRPr="00BC2EBC">
        <w:rPr>
          <w:rStyle w:val="hps"/>
          <w:lang w:val="fr-FR"/>
        </w:rPr>
        <w:t>et maximisant</w:t>
      </w:r>
      <w:r w:rsidR="00302D0F" w:rsidRPr="00BC2EBC">
        <w:rPr>
          <w:lang w:val="fr-FR"/>
        </w:rPr>
        <w:t xml:space="preserve"> </w:t>
      </w:r>
      <w:r w:rsidR="00302D0F" w:rsidRPr="00BC2EBC">
        <w:rPr>
          <w:rStyle w:val="hps"/>
          <w:lang w:val="fr-FR"/>
        </w:rPr>
        <w:t>l</w:t>
      </w:r>
      <w:r w:rsidR="00AF2934">
        <w:rPr>
          <w:rStyle w:val="hps"/>
          <w:lang w:val="fr-FR"/>
        </w:rPr>
        <w:t>’</w:t>
      </w:r>
      <w:r w:rsidR="00302D0F" w:rsidRPr="00BC2EBC">
        <w:rPr>
          <w:rStyle w:val="hps"/>
          <w:lang w:val="fr-FR"/>
        </w:rPr>
        <w:t>efficacité</w:t>
      </w:r>
      <w:r w:rsidR="00302D0F" w:rsidRPr="00BC2EBC">
        <w:rPr>
          <w:lang w:val="fr-FR"/>
        </w:rPr>
        <w:t xml:space="preserve"> </w:t>
      </w:r>
      <w:r w:rsidR="00302D0F" w:rsidRPr="00BC2EBC">
        <w:rPr>
          <w:rStyle w:val="hps"/>
          <w:lang w:val="fr-FR"/>
        </w:rPr>
        <w:t>de ses ressources humaines.</w:t>
      </w:r>
    </w:p>
    <w:p w:rsidR="00D65931" w:rsidRPr="00BC2EBC" w:rsidRDefault="00302D0F" w:rsidP="00B458E2">
      <w:pPr>
        <w:pStyle w:val="Marge"/>
        <w:numPr>
          <w:ilvl w:val="0"/>
          <w:numId w:val="31"/>
        </w:numPr>
        <w:tabs>
          <w:tab w:val="clear" w:pos="567"/>
        </w:tabs>
        <w:spacing w:after="120"/>
        <w:ind w:left="567" w:hanging="567"/>
        <w:rPr>
          <w:lang w:val="fr-FR"/>
        </w:rPr>
      </w:pPr>
      <w:r w:rsidRPr="00BC2EBC">
        <w:rPr>
          <w:rFonts w:cs="Arial"/>
          <w:szCs w:val="22"/>
          <w:lang w:val="fr-FR"/>
        </w:rPr>
        <w:t>À ce jour, cet outil a été soutenu presque entièrement par des fonds extrabudgétaires de l</w:t>
      </w:r>
      <w:r w:rsidR="00AF2934">
        <w:rPr>
          <w:rFonts w:cs="Arial"/>
          <w:szCs w:val="22"/>
          <w:lang w:val="fr-FR"/>
        </w:rPr>
        <w:t>’</w:t>
      </w:r>
      <w:r w:rsidRPr="00BC2EBC">
        <w:rPr>
          <w:rFonts w:cs="Arial"/>
          <w:szCs w:val="22"/>
          <w:lang w:val="fr-FR"/>
        </w:rPr>
        <w:t>Espagne ou du Fonds du patrimoine culturel immatériel, y compris le sous-fonds pour renforcer les capacités humaines du Secrétariat. Grâce à cet appui extrabudgétaire, le Secrétariat a été en mesure de déployer des efforts substantiels afin d</w:t>
      </w:r>
      <w:r w:rsidR="00AF2934">
        <w:rPr>
          <w:rFonts w:cs="Arial"/>
          <w:szCs w:val="22"/>
          <w:lang w:val="fr-FR"/>
        </w:rPr>
        <w:t>’</w:t>
      </w:r>
      <w:r w:rsidRPr="00BC2EBC">
        <w:rPr>
          <w:rFonts w:cs="Arial"/>
          <w:szCs w:val="22"/>
          <w:lang w:val="fr-FR"/>
        </w:rPr>
        <w:t>automatiser davantage ses tâches grâce à l</w:t>
      </w:r>
      <w:r w:rsidR="00AF2934">
        <w:rPr>
          <w:rFonts w:cs="Arial"/>
          <w:szCs w:val="22"/>
          <w:lang w:val="fr-FR"/>
        </w:rPr>
        <w:t>’</w:t>
      </w:r>
      <w:r w:rsidRPr="00BC2EBC">
        <w:rPr>
          <w:rFonts w:cs="Arial"/>
          <w:szCs w:val="22"/>
          <w:lang w:val="fr-FR"/>
        </w:rPr>
        <w:t>optimisation de la gestion et le traitement des données sur les réunions statutaires et les dossiers aussi bien que de la présentation de profils pays et du système de suivi des demandes d</w:t>
      </w:r>
      <w:r w:rsidR="00AF2934">
        <w:rPr>
          <w:rFonts w:cs="Arial"/>
          <w:szCs w:val="22"/>
          <w:lang w:val="fr-FR"/>
        </w:rPr>
        <w:t>’</w:t>
      </w:r>
      <w:r w:rsidRPr="00BC2EBC">
        <w:rPr>
          <w:rFonts w:cs="Arial"/>
          <w:szCs w:val="22"/>
          <w:lang w:val="fr-FR"/>
        </w:rPr>
        <w:t>utilisation de l</w:t>
      </w:r>
      <w:r w:rsidR="00AF2934">
        <w:rPr>
          <w:rFonts w:cs="Arial"/>
          <w:szCs w:val="22"/>
          <w:lang w:val="fr-FR"/>
        </w:rPr>
        <w:t>’</w:t>
      </w:r>
      <w:r w:rsidRPr="00BC2EBC">
        <w:rPr>
          <w:rFonts w:cs="Arial"/>
          <w:szCs w:val="22"/>
          <w:lang w:val="fr-FR"/>
        </w:rPr>
        <w:t>emblème. Ces efforts ont été fournis par du personnel temporaire (sous la dénomination obsolète de « Engagement de durée limitée »), des consultants et des entreprises. L</w:t>
      </w:r>
      <w:r w:rsidR="00AF2934">
        <w:rPr>
          <w:rFonts w:cs="Arial"/>
          <w:szCs w:val="22"/>
          <w:lang w:val="fr-FR"/>
        </w:rPr>
        <w:t>’</w:t>
      </w:r>
      <w:r w:rsidRPr="00BC2EBC">
        <w:rPr>
          <w:rFonts w:cs="Arial"/>
          <w:szCs w:val="22"/>
          <w:lang w:val="fr-FR"/>
        </w:rPr>
        <w:t xml:space="preserve">Organisation a récemment introduit une nouvelle modalité contractuelle, </w:t>
      </w:r>
      <w:r w:rsidR="00D65931" w:rsidRPr="00BC2EBC">
        <w:rPr>
          <w:rFonts w:cs="Arial"/>
          <w:szCs w:val="22"/>
          <w:lang w:val="fr-FR"/>
        </w:rPr>
        <w:t>l</w:t>
      </w:r>
      <w:r w:rsidR="00AF2934">
        <w:rPr>
          <w:rFonts w:cs="Arial"/>
          <w:szCs w:val="22"/>
          <w:lang w:val="fr-FR"/>
        </w:rPr>
        <w:t>’</w:t>
      </w:r>
      <w:r w:rsidR="00D65931" w:rsidRPr="00BC2EBC">
        <w:rPr>
          <w:rFonts w:cs="Arial"/>
          <w:szCs w:val="22"/>
          <w:lang w:val="fr-FR"/>
        </w:rPr>
        <w:t>« Engagement au titre d</w:t>
      </w:r>
      <w:r w:rsidR="00AF2934">
        <w:rPr>
          <w:rFonts w:cs="Arial"/>
          <w:szCs w:val="22"/>
          <w:lang w:val="fr-FR"/>
        </w:rPr>
        <w:t>’</w:t>
      </w:r>
      <w:r w:rsidR="00D65931" w:rsidRPr="00BC2EBC">
        <w:rPr>
          <w:rFonts w:cs="Arial"/>
          <w:szCs w:val="22"/>
          <w:lang w:val="fr-FR"/>
        </w:rPr>
        <w:t>un projet »</w:t>
      </w:r>
      <w:r w:rsidRPr="00BC2EBC">
        <w:rPr>
          <w:rFonts w:cs="Arial"/>
          <w:szCs w:val="22"/>
          <w:lang w:val="fr-FR"/>
        </w:rPr>
        <w:t xml:space="preserve">, qui nécessite </w:t>
      </w:r>
      <w:r w:rsidR="00D65931" w:rsidRPr="00BC2EBC">
        <w:rPr>
          <w:rFonts w:cs="Arial"/>
          <w:szCs w:val="22"/>
          <w:lang w:val="fr-FR"/>
        </w:rPr>
        <w:t>que le financement soit</w:t>
      </w:r>
      <w:r w:rsidRPr="00BC2EBC">
        <w:rPr>
          <w:rFonts w:cs="Arial"/>
          <w:szCs w:val="22"/>
          <w:lang w:val="fr-FR"/>
        </w:rPr>
        <w:t xml:space="preserve"> assuré </w:t>
      </w:r>
      <w:r w:rsidR="00D65931" w:rsidRPr="00BC2EBC">
        <w:rPr>
          <w:rFonts w:cs="Arial"/>
          <w:szCs w:val="22"/>
          <w:lang w:val="fr-FR"/>
        </w:rPr>
        <w:t>au préalable pour une période minimale de 12 mois</w:t>
      </w:r>
      <w:r w:rsidRPr="00BC2EBC">
        <w:rPr>
          <w:rFonts w:cs="Arial"/>
          <w:szCs w:val="22"/>
          <w:lang w:val="fr-FR"/>
        </w:rPr>
        <w:t xml:space="preserve"> et le Secrétariat demande </w:t>
      </w:r>
      <w:r w:rsidR="00D65931" w:rsidRPr="00BC2EBC">
        <w:rPr>
          <w:rFonts w:cs="Arial"/>
          <w:szCs w:val="22"/>
          <w:lang w:val="fr-FR"/>
        </w:rPr>
        <w:t>en conséquence</w:t>
      </w:r>
      <w:r w:rsidRPr="00BC2EBC">
        <w:rPr>
          <w:rFonts w:cs="Arial"/>
          <w:szCs w:val="22"/>
          <w:lang w:val="fr-FR"/>
        </w:rPr>
        <w:t xml:space="preserve"> que le</w:t>
      </w:r>
      <w:r w:rsidR="00D65931" w:rsidRPr="00BC2EBC">
        <w:rPr>
          <w:rFonts w:cs="Arial"/>
          <w:szCs w:val="22"/>
          <w:lang w:val="fr-FR"/>
        </w:rPr>
        <w:t xml:space="preserve"> montant soit augmenté afin que</w:t>
      </w:r>
      <w:r w:rsidR="00D65931" w:rsidRPr="00BC2EBC">
        <w:rPr>
          <w:rStyle w:val="hps"/>
          <w:lang w:val="fr-FR"/>
        </w:rPr>
        <w:t xml:space="preserve"> les</w:t>
      </w:r>
      <w:r w:rsidR="00D65931" w:rsidRPr="00BC2EBC">
        <w:rPr>
          <w:lang w:val="fr-FR"/>
        </w:rPr>
        <w:t xml:space="preserve"> </w:t>
      </w:r>
      <w:r w:rsidR="00D65931" w:rsidRPr="00BC2EBC">
        <w:rPr>
          <w:rStyle w:val="hps"/>
          <w:lang w:val="fr-FR"/>
        </w:rPr>
        <w:t>services requis puissent</w:t>
      </w:r>
      <w:r w:rsidR="00D65931" w:rsidRPr="00BC2EBC">
        <w:rPr>
          <w:lang w:val="fr-FR"/>
        </w:rPr>
        <w:t xml:space="preserve"> </w:t>
      </w:r>
      <w:r w:rsidR="00D65931" w:rsidRPr="00BC2EBC">
        <w:rPr>
          <w:rStyle w:val="hps"/>
          <w:lang w:val="fr-FR"/>
        </w:rPr>
        <w:t>être engagés</w:t>
      </w:r>
      <w:r w:rsidR="00D65931" w:rsidRPr="00BC2EBC">
        <w:rPr>
          <w:lang w:val="fr-FR"/>
        </w:rPr>
        <w:t xml:space="preserve"> </w:t>
      </w:r>
      <w:r w:rsidR="00D65931" w:rsidRPr="00BC2EBC">
        <w:rPr>
          <w:rStyle w:val="hps"/>
          <w:lang w:val="fr-FR"/>
        </w:rPr>
        <w:t>de manière efficace</w:t>
      </w:r>
      <w:r w:rsidR="00D65931" w:rsidRPr="00BC2EBC">
        <w:rPr>
          <w:lang w:val="fr-FR"/>
        </w:rPr>
        <w:t xml:space="preserve"> </w:t>
      </w:r>
      <w:r w:rsidR="00D65931" w:rsidRPr="00BC2EBC">
        <w:rPr>
          <w:rStyle w:val="hps"/>
          <w:lang w:val="fr-FR"/>
        </w:rPr>
        <w:t>jusqu</w:t>
      </w:r>
      <w:r w:rsidR="00AF2934">
        <w:rPr>
          <w:rStyle w:val="hps"/>
          <w:lang w:val="fr-FR"/>
        </w:rPr>
        <w:t>’</w:t>
      </w:r>
      <w:r w:rsidR="00D65931" w:rsidRPr="00BC2EBC">
        <w:rPr>
          <w:rStyle w:val="hps"/>
          <w:lang w:val="fr-FR"/>
        </w:rPr>
        <w:t>à la fin de</w:t>
      </w:r>
      <w:r w:rsidR="00D65931" w:rsidRPr="00BC2EBC">
        <w:rPr>
          <w:lang w:val="fr-FR"/>
        </w:rPr>
        <w:t xml:space="preserve"> </w:t>
      </w:r>
      <w:r w:rsidR="00D65931" w:rsidRPr="00BC2EBC">
        <w:rPr>
          <w:rStyle w:val="hps"/>
          <w:lang w:val="fr-FR"/>
        </w:rPr>
        <w:t>l</w:t>
      </w:r>
      <w:r w:rsidR="00AF2934">
        <w:rPr>
          <w:rStyle w:val="hps"/>
          <w:lang w:val="fr-FR"/>
        </w:rPr>
        <w:t>’</w:t>
      </w:r>
      <w:r w:rsidR="00D65931" w:rsidRPr="00BC2EBC">
        <w:rPr>
          <w:rStyle w:val="hps"/>
          <w:lang w:val="fr-FR"/>
        </w:rPr>
        <w:t>exercice biennal</w:t>
      </w:r>
      <w:r w:rsidR="00D65931" w:rsidRPr="00BC2EBC">
        <w:rPr>
          <w:lang w:val="fr-FR"/>
        </w:rPr>
        <w:t>.</w:t>
      </w:r>
    </w:p>
    <w:p w:rsidR="00D65931" w:rsidRPr="00BC2EBC" w:rsidRDefault="00D65931" w:rsidP="00B458E2">
      <w:pPr>
        <w:pStyle w:val="Marge"/>
        <w:numPr>
          <w:ilvl w:val="0"/>
          <w:numId w:val="31"/>
        </w:numPr>
        <w:tabs>
          <w:tab w:val="clear" w:pos="567"/>
        </w:tabs>
        <w:spacing w:after="120"/>
        <w:ind w:left="567" w:hanging="567"/>
        <w:rPr>
          <w:rFonts w:cs="Arial"/>
          <w:szCs w:val="22"/>
          <w:lang w:val="fr-FR"/>
        </w:rPr>
      </w:pPr>
      <w:r w:rsidRPr="00BC2EBC">
        <w:rPr>
          <w:rFonts w:cs="Arial"/>
          <w:szCs w:val="22"/>
          <w:lang w:val="fr-FR"/>
        </w:rPr>
        <w:t>Afin de pouvoir bénéficier de ce nouvel arrangement contractuel, le Secrétariat ne peut pas attendre jusqu</w:t>
      </w:r>
      <w:r w:rsidR="00AF2934">
        <w:rPr>
          <w:rFonts w:cs="Arial"/>
          <w:szCs w:val="22"/>
          <w:lang w:val="fr-FR"/>
        </w:rPr>
        <w:t>’</w:t>
      </w:r>
      <w:r w:rsidRPr="00BC2EBC">
        <w:rPr>
          <w:rFonts w:cs="Arial"/>
          <w:szCs w:val="22"/>
          <w:lang w:val="fr-FR"/>
        </w:rPr>
        <w:t>à la mi-2013, tel qu</w:t>
      </w:r>
      <w:r w:rsidR="00AF2934">
        <w:rPr>
          <w:rFonts w:cs="Arial"/>
          <w:szCs w:val="22"/>
          <w:lang w:val="fr-FR"/>
        </w:rPr>
        <w:t>’</w:t>
      </w:r>
      <w:r w:rsidRPr="00BC2EBC">
        <w:rPr>
          <w:rFonts w:cs="Arial"/>
          <w:szCs w:val="22"/>
          <w:lang w:val="fr-FR"/>
        </w:rPr>
        <w:t>il l</w:t>
      </w:r>
      <w:r w:rsidR="00AF2934">
        <w:rPr>
          <w:rFonts w:cs="Arial"/>
          <w:szCs w:val="22"/>
          <w:lang w:val="fr-FR"/>
        </w:rPr>
        <w:t>’</w:t>
      </w:r>
      <w:r w:rsidRPr="00BC2EBC">
        <w:rPr>
          <w:rFonts w:cs="Arial"/>
          <w:szCs w:val="22"/>
          <w:lang w:val="fr-FR"/>
        </w:rPr>
        <w:t>avait initialement prévu, pour proposer un autre plan de dépenses pour les fonds restants au titre de la catégorie des « autres fonctions du Comité ». Afin non seulement de poursuivre l</w:t>
      </w:r>
      <w:r w:rsidR="00AF2934">
        <w:rPr>
          <w:rFonts w:cs="Arial"/>
          <w:szCs w:val="22"/>
          <w:lang w:val="fr-FR"/>
        </w:rPr>
        <w:t>’</w:t>
      </w:r>
      <w:r w:rsidRPr="00BC2EBC">
        <w:rPr>
          <w:rFonts w:cs="Arial"/>
          <w:szCs w:val="22"/>
          <w:lang w:val="fr-FR"/>
        </w:rPr>
        <w:t>externalisation des services de programmation pour améliorer les fonctionnalités du système de gestion de l</w:t>
      </w:r>
      <w:r w:rsidR="00AF2934">
        <w:rPr>
          <w:rFonts w:cs="Arial"/>
          <w:szCs w:val="22"/>
          <w:lang w:val="fr-FR"/>
        </w:rPr>
        <w:t>’</w:t>
      </w:r>
      <w:r w:rsidRPr="00BC2EBC">
        <w:rPr>
          <w:rFonts w:cs="Arial"/>
          <w:szCs w:val="22"/>
          <w:lang w:val="fr-FR"/>
        </w:rPr>
        <w:t>information mais aussi de le maintenir ainsi que son interface publique (le site du Patrimoine culturel immatériel) sur une base quotidienne, le Secrétariat sollicite ici que le montant approuvé précédemment pour cette ligne de dépense (125 000 dollars des États-Unis) soit augmenté de 173 250 dollars des États-Unis pour un nouveau total de 298 250 dollars des États-Unis.</w:t>
      </w:r>
    </w:p>
    <w:p w:rsidR="00D65931" w:rsidRPr="00BC2EBC" w:rsidRDefault="00D65931" w:rsidP="00B458E2">
      <w:pPr>
        <w:pStyle w:val="Marge"/>
        <w:numPr>
          <w:ilvl w:val="0"/>
          <w:numId w:val="31"/>
        </w:numPr>
        <w:tabs>
          <w:tab w:val="clear" w:pos="567"/>
        </w:tabs>
        <w:spacing w:after="120"/>
        <w:ind w:left="567" w:hanging="567"/>
        <w:rPr>
          <w:rFonts w:cs="Arial"/>
          <w:szCs w:val="22"/>
          <w:lang w:val="fr-FR"/>
        </w:rPr>
      </w:pPr>
      <w:r w:rsidRPr="00BC2EBC">
        <w:rPr>
          <w:rFonts w:cs="Arial"/>
          <w:szCs w:val="22"/>
          <w:lang w:val="fr-FR"/>
        </w:rPr>
        <w:t>Avec les 40 000 dollars des États-Unis qui ont été utilisés pendant le premier semestre de 2012, un total de 338 250 dollars des États-Unis aura été alloué à ces services pour l</w:t>
      </w:r>
      <w:r w:rsidR="00AF2934">
        <w:rPr>
          <w:rFonts w:cs="Arial"/>
          <w:szCs w:val="22"/>
          <w:lang w:val="fr-FR"/>
        </w:rPr>
        <w:t>’</w:t>
      </w:r>
      <w:r w:rsidRPr="00BC2EBC">
        <w:rPr>
          <w:rFonts w:cs="Arial"/>
          <w:szCs w:val="22"/>
          <w:lang w:val="fr-FR"/>
        </w:rPr>
        <w:t>exercice entier (du 1</w:t>
      </w:r>
      <w:r w:rsidRPr="00BC2EBC">
        <w:rPr>
          <w:rFonts w:cs="Arial"/>
          <w:szCs w:val="22"/>
          <w:vertAlign w:val="superscript"/>
          <w:lang w:val="fr-FR"/>
        </w:rPr>
        <w:t>er</w:t>
      </w:r>
      <w:r w:rsidRPr="00BC2EBC">
        <w:rPr>
          <w:rFonts w:cs="Arial"/>
          <w:szCs w:val="22"/>
          <w:lang w:val="fr-FR"/>
        </w:rPr>
        <w:t> janvier 2012 au 31 décembre 2013), équivalant à moins d</w:t>
      </w:r>
      <w:r w:rsidR="00AF2934">
        <w:rPr>
          <w:rFonts w:cs="Arial"/>
          <w:szCs w:val="22"/>
          <w:lang w:val="fr-FR"/>
        </w:rPr>
        <w:t>’</w:t>
      </w:r>
      <w:r w:rsidRPr="00BC2EBC">
        <w:rPr>
          <w:rFonts w:cs="Arial"/>
          <w:szCs w:val="22"/>
          <w:lang w:val="fr-FR"/>
        </w:rPr>
        <w:t>un tiers de l</w:t>
      </w:r>
      <w:r w:rsidR="00AF2934">
        <w:rPr>
          <w:rFonts w:cs="Arial"/>
          <w:szCs w:val="22"/>
          <w:lang w:val="fr-FR"/>
        </w:rPr>
        <w:t>’</w:t>
      </w:r>
      <w:r w:rsidRPr="00BC2EBC">
        <w:rPr>
          <w:rFonts w:cs="Arial"/>
          <w:szCs w:val="22"/>
          <w:lang w:val="fr-FR"/>
        </w:rPr>
        <w:t>enveloppe totale pour les « autres fonctions du Comité » dans le cadre du Plan actuel pour l</w:t>
      </w:r>
      <w:r w:rsidR="00AF2934">
        <w:rPr>
          <w:rFonts w:cs="Arial"/>
          <w:szCs w:val="22"/>
          <w:lang w:val="fr-FR"/>
        </w:rPr>
        <w:t>’</w:t>
      </w:r>
      <w:r w:rsidRPr="00BC2EBC">
        <w:rPr>
          <w:rFonts w:cs="Arial"/>
          <w:szCs w:val="22"/>
          <w:lang w:val="fr-FR"/>
        </w:rPr>
        <w:t>utilisation des ressources du Fonds.</w:t>
      </w:r>
    </w:p>
    <w:p w:rsidR="00D65931" w:rsidRPr="00BC2EBC" w:rsidRDefault="00D65931" w:rsidP="00B458E2">
      <w:pPr>
        <w:pStyle w:val="Marge"/>
        <w:tabs>
          <w:tab w:val="clear" w:pos="567"/>
        </w:tabs>
        <w:spacing w:before="360"/>
        <w:ind w:left="567"/>
        <w:rPr>
          <w:rFonts w:cs="Arial"/>
          <w:b/>
          <w:szCs w:val="22"/>
          <w:lang w:val="fr-FR"/>
        </w:rPr>
      </w:pPr>
      <w:r w:rsidRPr="00BC2EBC">
        <w:rPr>
          <w:rFonts w:cs="Arial"/>
          <w:b/>
          <w:szCs w:val="22"/>
          <w:lang w:val="fr-FR"/>
        </w:rPr>
        <w:t>Résultats depuis juillet 2012</w:t>
      </w:r>
    </w:p>
    <w:p w:rsidR="00D65931" w:rsidRPr="00BC2EBC" w:rsidRDefault="00D65931" w:rsidP="00B458E2">
      <w:pPr>
        <w:pStyle w:val="Marge"/>
        <w:numPr>
          <w:ilvl w:val="0"/>
          <w:numId w:val="31"/>
        </w:numPr>
        <w:tabs>
          <w:tab w:val="clear" w:pos="567"/>
        </w:tabs>
        <w:spacing w:after="120"/>
        <w:ind w:left="567" w:hanging="567"/>
        <w:rPr>
          <w:rFonts w:cs="Arial"/>
          <w:szCs w:val="22"/>
          <w:lang w:val="fr-FR"/>
        </w:rPr>
      </w:pPr>
      <w:r w:rsidRPr="00BC2EBC">
        <w:rPr>
          <w:rFonts w:cs="Arial"/>
          <w:szCs w:val="22"/>
          <w:lang w:val="fr-FR"/>
        </w:rPr>
        <w:t>Étant donné q</w:t>
      </w:r>
      <w:r w:rsidR="00BC2EBC" w:rsidRPr="00BC2EBC">
        <w:rPr>
          <w:rFonts w:cs="Arial"/>
          <w:szCs w:val="22"/>
          <w:lang w:val="fr-FR"/>
        </w:rPr>
        <w:t xml:space="preserve">ue le plan actuel de dépenses </w:t>
      </w:r>
      <w:r w:rsidRPr="00BC2EBC">
        <w:rPr>
          <w:rFonts w:cs="Arial"/>
          <w:szCs w:val="22"/>
          <w:lang w:val="fr-FR"/>
        </w:rPr>
        <w:t xml:space="preserve">a été approuvé par le Bureau il y a </w:t>
      </w:r>
      <w:r w:rsidR="00BC2EBC" w:rsidRPr="00BC2EBC">
        <w:rPr>
          <w:rFonts w:cs="Arial"/>
          <w:szCs w:val="22"/>
          <w:lang w:val="fr-FR"/>
        </w:rPr>
        <w:t xml:space="preserve">seulement </w:t>
      </w:r>
      <w:r w:rsidRPr="00BC2EBC">
        <w:rPr>
          <w:rFonts w:cs="Arial"/>
          <w:szCs w:val="22"/>
          <w:lang w:val="fr-FR"/>
        </w:rPr>
        <w:t>trois mois, le taux d</w:t>
      </w:r>
      <w:r w:rsidR="00AF2934">
        <w:rPr>
          <w:rFonts w:cs="Arial"/>
          <w:szCs w:val="22"/>
          <w:lang w:val="fr-FR"/>
        </w:rPr>
        <w:t>’</w:t>
      </w:r>
      <w:r w:rsidRPr="00BC2EBC">
        <w:rPr>
          <w:rFonts w:cs="Arial"/>
          <w:szCs w:val="22"/>
          <w:lang w:val="fr-FR"/>
        </w:rPr>
        <w:t>exécuti</w:t>
      </w:r>
      <w:r w:rsidR="00BC2EBC" w:rsidRPr="00BC2EBC">
        <w:rPr>
          <w:rFonts w:cs="Arial"/>
          <w:szCs w:val="22"/>
          <w:lang w:val="fr-FR"/>
        </w:rPr>
        <w:t>on est relativement modeste (15</w:t>
      </w:r>
      <w:r w:rsidR="009F50AD">
        <w:rPr>
          <w:rFonts w:cs="Arial"/>
          <w:szCs w:val="22"/>
          <w:lang w:val="fr-FR"/>
        </w:rPr>
        <w:t> </w:t>
      </w:r>
      <w:r w:rsidRPr="00BC2EBC">
        <w:rPr>
          <w:rFonts w:cs="Arial"/>
          <w:szCs w:val="22"/>
          <w:lang w:val="fr-FR"/>
        </w:rPr>
        <w:t>%). Toutefois, un certain nombre d</w:t>
      </w:r>
      <w:r w:rsidR="00AF2934">
        <w:rPr>
          <w:rFonts w:cs="Arial"/>
          <w:szCs w:val="22"/>
          <w:lang w:val="fr-FR"/>
        </w:rPr>
        <w:t>’</w:t>
      </w:r>
      <w:r w:rsidRPr="00BC2EBC">
        <w:rPr>
          <w:rFonts w:cs="Arial"/>
          <w:szCs w:val="22"/>
          <w:lang w:val="fr-FR"/>
        </w:rPr>
        <w:t xml:space="preserve">activités pour lesquelles les fonds </w:t>
      </w:r>
      <w:r w:rsidR="00BC2EBC" w:rsidRPr="00BC2EBC">
        <w:rPr>
          <w:rFonts w:cs="Arial"/>
          <w:szCs w:val="22"/>
          <w:lang w:val="fr-FR"/>
        </w:rPr>
        <w:t>avaient</w:t>
      </w:r>
      <w:r w:rsidRPr="00BC2EBC">
        <w:rPr>
          <w:rFonts w:cs="Arial"/>
          <w:szCs w:val="22"/>
          <w:lang w:val="fr-FR"/>
        </w:rPr>
        <w:t xml:space="preserve"> été </w:t>
      </w:r>
      <w:r w:rsidR="00BC2EBC" w:rsidRPr="00BC2EBC">
        <w:rPr>
          <w:rFonts w:cs="Arial"/>
          <w:szCs w:val="22"/>
          <w:lang w:val="fr-FR"/>
        </w:rPr>
        <w:t>provisionnés</w:t>
      </w:r>
      <w:r w:rsidRPr="00BC2EBC">
        <w:rPr>
          <w:rFonts w:cs="Arial"/>
          <w:szCs w:val="22"/>
          <w:lang w:val="fr-FR"/>
        </w:rPr>
        <w:t xml:space="preserve"> ont été mis</w:t>
      </w:r>
      <w:r w:rsidR="00BC2EBC" w:rsidRPr="00BC2EBC">
        <w:rPr>
          <w:rFonts w:cs="Arial"/>
          <w:szCs w:val="22"/>
          <w:lang w:val="fr-FR"/>
        </w:rPr>
        <w:t>es</w:t>
      </w:r>
      <w:r w:rsidRPr="00BC2EBC">
        <w:rPr>
          <w:rFonts w:cs="Arial"/>
          <w:szCs w:val="22"/>
          <w:lang w:val="fr-FR"/>
        </w:rPr>
        <w:t xml:space="preserve"> en place au cours des derniers mois. </w:t>
      </w:r>
      <w:r w:rsidR="00BC2EBC" w:rsidRPr="00BC2EBC">
        <w:rPr>
          <w:rFonts w:cs="Arial"/>
          <w:szCs w:val="22"/>
          <w:lang w:val="fr-FR"/>
        </w:rPr>
        <w:t>Le contenu des matériels</w:t>
      </w:r>
      <w:r w:rsidRPr="00BC2EBC">
        <w:rPr>
          <w:rFonts w:cs="Arial"/>
          <w:szCs w:val="22"/>
          <w:lang w:val="fr-FR"/>
        </w:rPr>
        <w:t xml:space="preserve"> de renforcement des capacités </w:t>
      </w:r>
      <w:r w:rsidR="00BC2EBC" w:rsidRPr="00BC2EBC">
        <w:rPr>
          <w:rFonts w:cs="Arial"/>
          <w:szCs w:val="22"/>
          <w:lang w:val="fr-FR"/>
        </w:rPr>
        <w:t>pour l</w:t>
      </w:r>
      <w:r w:rsidR="00AF2934">
        <w:rPr>
          <w:rFonts w:cs="Arial"/>
          <w:szCs w:val="22"/>
          <w:lang w:val="fr-FR"/>
        </w:rPr>
        <w:t>’</w:t>
      </w:r>
      <w:r w:rsidR="00BC2EBC" w:rsidRPr="00BC2EBC">
        <w:rPr>
          <w:rFonts w:cs="Arial"/>
          <w:szCs w:val="22"/>
          <w:lang w:val="fr-FR"/>
        </w:rPr>
        <w:t>élaboration d</w:t>
      </w:r>
      <w:r w:rsidR="00AF2934">
        <w:rPr>
          <w:rFonts w:cs="Arial"/>
          <w:szCs w:val="22"/>
          <w:lang w:val="fr-FR"/>
        </w:rPr>
        <w:t>’</w:t>
      </w:r>
      <w:r w:rsidR="00BC2EBC" w:rsidRPr="00BC2EBC">
        <w:rPr>
          <w:rFonts w:cs="Arial"/>
          <w:szCs w:val="22"/>
          <w:lang w:val="fr-FR"/>
        </w:rPr>
        <w:t xml:space="preserve">inventaires avec la participation des communautés et </w:t>
      </w:r>
      <w:r w:rsidRPr="00BC2EBC">
        <w:rPr>
          <w:rFonts w:cs="Arial"/>
          <w:szCs w:val="22"/>
          <w:lang w:val="fr-FR"/>
        </w:rPr>
        <w:t>la prépar</w:t>
      </w:r>
      <w:r w:rsidR="00BC2EBC" w:rsidRPr="00BC2EBC">
        <w:rPr>
          <w:rFonts w:cs="Arial"/>
          <w:szCs w:val="22"/>
          <w:lang w:val="fr-FR"/>
        </w:rPr>
        <w:t>ation des candidatures pour la L</w:t>
      </w:r>
      <w:r w:rsidRPr="00BC2EBC">
        <w:rPr>
          <w:rFonts w:cs="Arial"/>
          <w:szCs w:val="22"/>
          <w:lang w:val="fr-FR"/>
        </w:rPr>
        <w:t>is</w:t>
      </w:r>
      <w:r w:rsidR="00BC2EBC" w:rsidRPr="00BC2EBC">
        <w:rPr>
          <w:rFonts w:cs="Arial"/>
          <w:szCs w:val="22"/>
          <w:lang w:val="fr-FR"/>
        </w:rPr>
        <w:t>te de sauvegarde urgente et la L</w:t>
      </w:r>
      <w:r w:rsidRPr="00BC2EBC">
        <w:rPr>
          <w:rFonts w:cs="Arial"/>
          <w:szCs w:val="22"/>
          <w:lang w:val="fr-FR"/>
        </w:rPr>
        <w:t>iste représentative ont été édités et sont actuellement en cours de traduction vers le français. L</w:t>
      </w:r>
      <w:r w:rsidR="00AF2934">
        <w:rPr>
          <w:rFonts w:cs="Arial"/>
          <w:szCs w:val="22"/>
          <w:lang w:val="fr-FR"/>
        </w:rPr>
        <w:t>’</w:t>
      </w:r>
      <w:r w:rsidRPr="00BC2EBC">
        <w:rPr>
          <w:rFonts w:cs="Arial"/>
          <w:szCs w:val="22"/>
          <w:lang w:val="fr-FR"/>
        </w:rPr>
        <w:t xml:space="preserve">élaboration de nouveaux contenus pour </w:t>
      </w:r>
      <w:r w:rsidR="00BC2EBC" w:rsidRPr="00BC2EBC">
        <w:rPr>
          <w:rFonts w:cs="Arial"/>
          <w:szCs w:val="22"/>
          <w:lang w:val="fr-FR"/>
        </w:rPr>
        <w:t>des matériels</w:t>
      </w:r>
      <w:r w:rsidRPr="00BC2EBC">
        <w:rPr>
          <w:rFonts w:cs="Arial"/>
          <w:szCs w:val="22"/>
          <w:lang w:val="fr-FR"/>
        </w:rPr>
        <w:t xml:space="preserve"> de renforcement des capacités est également en cours. Le Secrétariat a lancé un appel à propositions </w:t>
      </w:r>
      <w:r w:rsidR="00BC2EBC" w:rsidRPr="00BC2EBC">
        <w:rPr>
          <w:rFonts w:cs="Arial"/>
          <w:szCs w:val="22"/>
          <w:lang w:val="fr-FR"/>
        </w:rPr>
        <w:t>pour l</w:t>
      </w:r>
      <w:r w:rsidR="00AF2934">
        <w:rPr>
          <w:rFonts w:cs="Arial"/>
          <w:szCs w:val="22"/>
          <w:lang w:val="fr-FR"/>
        </w:rPr>
        <w:t>’</w:t>
      </w:r>
      <w:r w:rsidR="00BC2EBC" w:rsidRPr="00BC2EBC">
        <w:rPr>
          <w:rFonts w:cs="Arial"/>
          <w:szCs w:val="22"/>
          <w:lang w:val="fr-FR"/>
        </w:rPr>
        <w:t>élaboration</w:t>
      </w:r>
      <w:r w:rsidRPr="00BC2EBC">
        <w:rPr>
          <w:rFonts w:cs="Arial"/>
          <w:szCs w:val="22"/>
          <w:lang w:val="fr-FR"/>
        </w:rPr>
        <w:t xml:space="preserve"> </w:t>
      </w:r>
      <w:r w:rsidR="00D84893">
        <w:rPr>
          <w:rFonts w:cs="Arial"/>
          <w:szCs w:val="22"/>
          <w:lang w:val="fr-FR"/>
        </w:rPr>
        <w:t>d’</w:t>
      </w:r>
      <w:r w:rsidRPr="00BC2EBC">
        <w:rPr>
          <w:rFonts w:cs="Arial"/>
          <w:szCs w:val="22"/>
          <w:lang w:val="fr-FR"/>
        </w:rPr>
        <w:t>un</w:t>
      </w:r>
      <w:r w:rsidR="00BC2EBC" w:rsidRPr="00BC2EBC">
        <w:rPr>
          <w:rFonts w:cs="Arial"/>
          <w:szCs w:val="22"/>
          <w:lang w:val="fr-FR"/>
        </w:rPr>
        <w:t>e</w:t>
      </w:r>
      <w:r w:rsidRPr="00BC2EBC">
        <w:rPr>
          <w:rFonts w:cs="Arial"/>
          <w:szCs w:val="22"/>
          <w:lang w:val="fr-FR"/>
        </w:rPr>
        <w:t xml:space="preserve"> </w:t>
      </w:r>
      <w:r w:rsidR="00D84893">
        <w:rPr>
          <w:rFonts w:cs="Arial"/>
          <w:szCs w:val="22"/>
          <w:lang w:val="fr-FR"/>
        </w:rPr>
        <w:t>série</w:t>
      </w:r>
      <w:r w:rsidRPr="00BC2EBC">
        <w:rPr>
          <w:rFonts w:cs="Arial"/>
          <w:szCs w:val="22"/>
          <w:lang w:val="fr-FR"/>
        </w:rPr>
        <w:t xml:space="preserve"> de matériel</w:t>
      </w:r>
      <w:r w:rsidR="00BC2EBC" w:rsidRPr="00BC2EBC">
        <w:rPr>
          <w:rFonts w:cs="Arial"/>
          <w:szCs w:val="22"/>
          <w:lang w:val="fr-FR"/>
        </w:rPr>
        <w:t>s</w:t>
      </w:r>
      <w:r w:rsidRPr="00BC2EBC">
        <w:rPr>
          <w:rFonts w:cs="Arial"/>
          <w:szCs w:val="22"/>
          <w:lang w:val="fr-FR"/>
        </w:rPr>
        <w:t xml:space="preserve"> d</w:t>
      </w:r>
      <w:r w:rsidR="00AF2934">
        <w:rPr>
          <w:rFonts w:cs="Arial"/>
          <w:szCs w:val="22"/>
          <w:lang w:val="fr-FR"/>
        </w:rPr>
        <w:t>’</w:t>
      </w:r>
      <w:r w:rsidRPr="00BC2EBC">
        <w:rPr>
          <w:rFonts w:cs="Arial"/>
          <w:szCs w:val="22"/>
          <w:lang w:val="fr-FR"/>
        </w:rPr>
        <w:t>apprentissage interactif</w:t>
      </w:r>
      <w:r w:rsidR="00BC2EBC" w:rsidRPr="00BC2EBC">
        <w:rPr>
          <w:rFonts w:cs="Arial"/>
          <w:szCs w:val="22"/>
          <w:lang w:val="fr-FR"/>
        </w:rPr>
        <w:t>s</w:t>
      </w:r>
      <w:r w:rsidRPr="00BC2EBC">
        <w:rPr>
          <w:rFonts w:cs="Arial"/>
          <w:szCs w:val="22"/>
          <w:lang w:val="fr-FR"/>
        </w:rPr>
        <w:t xml:space="preserve"> </w:t>
      </w:r>
      <w:r w:rsidR="00BC2EBC" w:rsidRPr="00BC2EBC">
        <w:rPr>
          <w:rFonts w:cs="Arial"/>
          <w:szCs w:val="22"/>
          <w:lang w:val="fr-FR"/>
        </w:rPr>
        <w:t>sur</w:t>
      </w:r>
      <w:r w:rsidRPr="00BC2EBC">
        <w:rPr>
          <w:rFonts w:cs="Arial"/>
          <w:szCs w:val="22"/>
          <w:lang w:val="fr-FR"/>
        </w:rPr>
        <w:t xml:space="preserve"> </w:t>
      </w:r>
      <w:r w:rsidR="00BC2EBC" w:rsidRPr="00BC2EBC">
        <w:rPr>
          <w:rFonts w:cs="Arial"/>
          <w:szCs w:val="22"/>
          <w:lang w:val="fr-FR"/>
        </w:rPr>
        <w:t>le</w:t>
      </w:r>
      <w:r w:rsidRPr="00BC2EBC">
        <w:rPr>
          <w:rFonts w:cs="Arial"/>
          <w:szCs w:val="22"/>
          <w:lang w:val="fr-FR"/>
        </w:rPr>
        <w:t xml:space="preserve"> développement d</w:t>
      </w:r>
      <w:r w:rsidR="00BC2EBC" w:rsidRPr="00BC2EBC">
        <w:rPr>
          <w:rFonts w:cs="Arial"/>
          <w:szCs w:val="22"/>
          <w:lang w:val="fr-FR"/>
        </w:rPr>
        <w:t>e</w:t>
      </w:r>
      <w:r w:rsidRPr="00BC2EBC">
        <w:rPr>
          <w:rFonts w:cs="Arial"/>
          <w:szCs w:val="22"/>
          <w:lang w:val="fr-FR"/>
        </w:rPr>
        <w:t xml:space="preserve"> </w:t>
      </w:r>
      <w:r w:rsidR="00BC2EBC" w:rsidRPr="00BC2EBC">
        <w:rPr>
          <w:rFonts w:cs="Arial"/>
          <w:szCs w:val="22"/>
          <w:lang w:val="fr-FR"/>
        </w:rPr>
        <w:t xml:space="preserve">plans de sauvegarde du </w:t>
      </w:r>
      <w:r w:rsidRPr="00BC2EBC">
        <w:rPr>
          <w:rFonts w:cs="Arial"/>
          <w:szCs w:val="22"/>
          <w:lang w:val="fr-FR"/>
        </w:rPr>
        <w:t xml:space="preserve">patrimoine culturel immatériel, </w:t>
      </w:r>
      <w:r w:rsidR="00BC2EBC" w:rsidRPr="00BC2EBC">
        <w:rPr>
          <w:rFonts w:cs="Arial"/>
          <w:szCs w:val="22"/>
          <w:lang w:val="fr-FR"/>
        </w:rPr>
        <w:t xml:space="preserve">à la suite duquel il a </w:t>
      </w:r>
      <w:r w:rsidR="009F50AD">
        <w:rPr>
          <w:rFonts w:cs="Arial"/>
          <w:szCs w:val="22"/>
          <w:lang w:val="fr-FR"/>
        </w:rPr>
        <w:t xml:space="preserve">établi un contrat avec </w:t>
      </w:r>
      <w:r w:rsidRPr="00BC2EBC">
        <w:rPr>
          <w:rFonts w:cs="Arial"/>
          <w:szCs w:val="22"/>
          <w:lang w:val="fr-FR"/>
        </w:rPr>
        <w:t xml:space="preserve">un expert </w:t>
      </w:r>
      <w:r w:rsidR="00BC2EBC" w:rsidRPr="00BC2EBC">
        <w:rPr>
          <w:rFonts w:cs="Arial"/>
          <w:szCs w:val="22"/>
          <w:lang w:val="fr-FR"/>
        </w:rPr>
        <w:t>au profil adéquat</w:t>
      </w:r>
      <w:r w:rsidRPr="00BC2EBC">
        <w:rPr>
          <w:rFonts w:cs="Arial"/>
          <w:szCs w:val="22"/>
          <w:lang w:val="fr-FR"/>
        </w:rPr>
        <w:t xml:space="preserve"> pour entreprendre cette tâche. </w:t>
      </w:r>
      <w:r w:rsidR="00BC2EBC" w:rsidRPr="00BC2EBC">
        <w:rPr>
          <w:rFonts w:cs="Arial"/>
          <w:szCs w:val="22"/>
          <w:lang w:val="fr-FR"/>
        </w:rPr>
        <w:t>L</w:t>
      </w:r>
      <w:r w:rsidR="00AF2934">
        <w:rPr>
          <w:rFonts w:cs="Arial"/>
          <w:szCs w:val="22"/>
          <w:lang w:val="fr-FR"/>
        </w:rPr>
        <w:t>’</w:t>
      </w:r>
      <w:r w:rsidR="00BC2EBC" w:rsidRPr="00BC2EBC">
        <w:rPr>
          <w:rFonts w:cs="Arial"/>
          <w:szCs w:val="22"/>
          <w:lang w:val="fr-FR"/>
        </w:rPr>
        <w:t xml:space="preserve">essentiel des matériels, conçus pour un </w:t>
      </w:r>
      <w:r w:rsidRPr="00BC2EBC">
        <w:rPr>
          <w:rFonts w:cs="Arial"/>
          <w:szCs w:val="22"/>
          <w:lang w:val="fr-FR"/>
        </w:rPr>
        <w:t>atelier de deux jours, sera un jeu de simulation pour guide</w:t>
      </w:r>
      <w:r w:rsidR="00BC2EBC" w:rsidRPr="00BC2EBC">
        <w:rPr>
          <w:rFonts w:cs="Arial"/>
          <w:szCs w:val="22"/>
          <w:lang w:val="fr-FR"/>
        </w:rPr>
        <w:t>r</w:t>
      </w:r>
      <w:r w:rsidRPr="00BC2EBC">
        <w:rPr>
          <w:rFonts w:cs="Arial"/>
          <w:szCs w:val="22"/>
          <w:lang w:val="fr-FR"/>
        </w:rPr>
        <w:t xml:space="preserve"> les participants dans le processus d</w:t>
      </w:r>
      <w:r w:rsidR="00AF2934">
        <w:rPr>
          <w:rFonts w:cs="Arial"/>
          <w:szCs w:val="22"/>
          <w:lang w:val="fr-FR"/>
        </w:rPr>
        <w:t>’</w:t>
      </w:r>
      <w:r w:rsidRPr="00BC2EBC">
        <w:rPr>
          <w:rFonts w:cs="Arial"/>
          <w:szCs w:val="22"/>
          <w:lang w:val="fr-FR"/>
        </w:rPr>
        <w:t>élaboration d</w:t>
      </w:r>
      <w:r w:rsidR="00AF2934">
        <w:rPr>
          <w:rFonts w:cs="Arial"/>
          <w:szCs w:val="22"/>
          <w:lang w:val="fr-FR"/>
        </w:rPr>
        <w:t>’</w:t>
      </w:r>
      <w:r w:rsidRPr="00BC2EBC">
        <w:rPr>
          <w:rFonts w:cs="Arial"/>
          <w:szCs w:val="22"/>
          <w:lang w:val="fr-FR"/>
        </w:rPr>
        <w:t xml:space="preserve">un plan de sauvegarde. </w:t>
      </w:r>
      <w:r w:rsidR="00BC2EBC">
        <w:rPr>
          <w:rStyle w:val="hps"/>
          <w:lang w:val="fr-FR"/>
        </w:rPr>
        <w:t>E</w:t>
      </w:r>
      <w:r w:rsidR="00BC2EBC" w:rsidRPr="00BC2EBC">
        <w:rPr>
          <w:rStyle w:val="hps"/>
          <w:lang w:val="fr-FR"/>
        </w:rPr>
        <w:t>n outre</w:t>
      </w:r>
      <w:r w:rsidR="00BC2EBC">
        <w:rPr>
          <w:rStyle w:val="hps"/>
          <w:lang w:val="fr-FR"/>
        </w:rPr>
        <w:t>,</w:t>
      </w:r>
      <w:r w:rsidR="00BC2EBC" w:rsidRPr="00BC2EBC">
        <w:rPr>
          <w:lang w:val="fr-FR"/>
        </w:rPr>
        <w:t xml:space="preserve"> </w:t>
      </w:r>
      <w:r w:rsidR="00BC2EBC">
        <w:rPr>
          <w:rStyle w:val="hps"/>
          <w:lang w:val="fr-FR"/>
        </w:rPr>
        <w:t>l</w:t>
      </w:r>
      <w:r w:rsidR="00BC2EBC" w:rsidRPr="00BC2EBC">
        <w:rPr>
          <w:rStyle w:val="hps"/>
          <w:lang w:val="fr-FR"/>
        </w:rPr>
        <w:t>e Secrétariat</w:t>
      </w:r>
      <w:r w:rsidR="00BC2EBC" w:rsidRPr="00BC2EBC">
        <w:rPr>
          <w:lang w:val="fr-FR"/>
        </w:rPr>
        <w:t xml:space="preserve"> </w:t>
      </w:r>
      <w:r w:rsidR="00BC2EBC">
        <w:rPr>
          <w:lang w:val="fr-FR"/>
        </w:rPr>
        <w:t xml:space="preserve">a </w:t>
      </w:r>
      <w:r w:rsidR="00BC2EBC" w:rsidRPr="00BC2EBC">
        <w:rPr>
          <w:rStyle w:val="hps"/>
          <w:lang w:val="fr-FR"/>
        </w:rPr>
        <w:t>lancé</w:t>
      </w:r>
      <w:r w:rsidR="00BC2EBC" w:rsidRPr="00BC2EBC">
        <w:rPr>
          <w:lang w:val="fr-FR"/>
        </w:rPr>
        <w:t xml:space="preserve"> </w:t>
      </w:r>
      <w:r w:rsidR="00BC2EBC" w:rsidRPr="00BC2EBC">
        <w:rPr>
          <w:rStyle w:val="hps"/>
          <w:lang w:val="fr-FR"/>
        </w:rPr>
        <w:t>un appel à propositions</w:t>
      </w:r>
      <w:r w:rsidR="00BC2EBC" w:rsidRPr="00BC2EBC">
        <w:rPr>
          <w:lang w:val="fr-FR"/>
        </w:rPr>
        <w:t xml:space="preserve"> </w:t>
      </w:r>
      <w:r w:rsidR="00BC2EBC" w:rsidRPr="00BC2EBC">
        <w:rPr>
          <w:rStyle w:val="hps"/>
          <w:lang w:val="fr-FR"/>
        </w:rPr>
        <w:t>pour développer des matéri</w:t>
      </w:r>
      <w:r w:rsidR="00BC2EBC">
        <w:rPr>
          <w:rStyle w:val="hps"/>
          <w:lang w:val="fr-FR"/>
        </w:rPr>
        <w:t>els</w:t>
      </w:r>
      <w:r w:rsidR="00BC2EBC" w:rsidRPr="00BC2EBC">
        <w:rPr>
          <w:lang w:val="fr-FR"/>
        </w:rPr>
        <w:t xml:space="preserve"> </w:t>
      </w:r>
      <w:r w:rsidR="00BC2EBC">
        <w:rPr>
          <w:rStyle w:val="hps"/>
          <w:lang w:val="fr-FR"/>
        </w:rPr>
        <w:t>sur le</w:t>
      </w:r>
      <w:r w:rsidR="00BC2EBC" w:rsidRPr="00BC2EBC">
        <w:rPr>
          <w:rStyle w:val="hps"/>
          <w:lang w:val="fr-FR"/>
        </w:rPr>
        <w:t xml:space="preserve"> patrimoine culturel immatériel</w:t>
      </w:r>
      <w:r w:rsidR="00BC2EBC" w:rsidRPr="00BC2EBC">
        <w:rPr>
          <w:lang w:val="fr-FR"/>
        </w:rPr>
        <w:t xml:space="preserve"> </w:t>
      </w:r>
      <w:r w:rsidR="00BC2EBC" w:rsidRPr="00BC2EBC">
        <w:rPr>
          <w:rStyle w:val="hps"/>
          <w:lang w:val="fr-FR"/>
        </w:rPr>
        <w:t>et le développement durable</w:t>
      </w:r>
      <w:r w:rsidR="00BC2EBC" w:rsidRPr="00BC2EBC">
        <w:rPr>
          <w:lang w:val="fr-FR"/>
        </w:rPr>
        <w:t xml:space="preserve">. </w:t>
      </w:r>
      <w:r w:rsidR="00BC2EBC" w:rsidRPr="00BC2EBC">
        <w:rPr>
          <w:rStyle w:val="hps"/>
          <w:lang w:val="fr-FR"/>
        </w:rPr>
        <w:t>Dans une première étape</w:t>
      </w:r>
      <w:r w:rsidR="00BC2EBC" w:rsidRPr="00BC2EBC">
        <w:rPr>
          <w:lang w:val="fr-FR"/>
        </w:rPr>
        <w:t xml:space="preserve">, </w:t>
      </w:r>
      <w:r w:rsidR="00BC2EBC" w:rsidRPr="00BC2EBC">
        <w:rPr>
          <w:rStyle w:val="hps"/>
          <w:lang w:val="fr-FR"/>
        </w:rPr>
        <w:t>une fiche</w:t>
      </w:r>
      <w:r w:rsidR="00BC2EBC" w:rsidRPr="00BC2EBC">
        <w:rPr>
          <w:lang w:val="fr-FR"/>
        </w:rPr>
        <w:t xml:space="preserve"> </w:t>
      </w:r>
      <w:r w:rsidR="00BC2EBC" w:rsidRPr="00BC2EBC">
        <w:rPr>
          <w:rStyle w:val="hps"/>
          <w:lang w:val="fr-FR"/>
        </w:rPr>
        <w:t>thématique</w:t>
      </w:r>
      <w:r w:rsidR="00BC2EBC" w:rsidRPr="00BC2EBC">
        <w:rPr>
          <w:lang w:val="fr-FR"/>
        </w:rPr>
        <w:t xml:space="preserve"> </w:t>
      </w:r>
      <w:r w:rsidR="00BC2EBC" w:rsidRPr="00BC2EBC">
        <w:rPr>
          <w:rStyle w:val="hps"/>
          <w:lang w:val="fr-FR"/>
        </w:rPr>
        <w:t>sera élaborée pour</w:t>
      </w:r>
      <w:r w:rsidR="00BC2EBC" w:rsidRPr="00BC2EBC">
        <w:rPr>
          <w:lang w:val="fr-FR"/>
        </w:rPr>
        <w:t xml:space="preserve"> </w:t>
      </w:r>
      <w:r w:rsidR="00BC2EBC" w:rsidRPr="00BC2EBC">
        <w:rPr>
          <w:rStyle w:val="hps"/>
          <w:lang w:val="fr-FR"/>
        </w:rPr>
        <w:t>expliquer et démontrer pourquoi</w:t>
      </w:r>
      <w:r w:rsidR="00BC2EBC" w:rsidRPr="00BC2EBC">
        <w:rPr>
          <w:lang w:val="fr-FR"/>
        </w:rPr>
        <w:t xml:space="preserve"> </w:t>
      </w:r>
      <w:r w:rsidR="00BC2EBC" w:rsidRPr="00BC2EBC">
        <w:rPr>
          <w:rStyle w:val="hps"/>
          <w:lang w:val="fr-FR"/>
        </w:rPr>
        <w:t>la sauvegarde du patrimoine</w:t>
      </w:r>
      <w:r w:rsidR="00BC2EBC" w:rsidRPr="00BC2EBC">
        <w:rPr>
          <w:lang w:val="fr-FR"/>
        </w:rPr>
        <w:t xml:space="preserve"> </w:t>
      </w:r>
      <w:r w:rsidR="00BC2EBC" w:rsidRPr="00BC2EBC">
        <w:rPr>
          <w:rStyle w:val="hps"/>
          <w:lang w:val="fr-FR"/>
        </w:rPr>
        <w:t>culturel immatériel</w:t>
      </w:r>
      <w:r w:rsidR="00BC2EBC" w:rsidRPr="00BC2EBC">
        <w:rPr>
          <w:lang w:val="fr-FR"/>
        </w:rPr>
        <w:t xml:space="preserve"> </w:t>
      </w:r>
      <w:r w:rsidR="00BC2EBC" w:rsidRPr="00BC2EBC">
        <w:rPr>
          <w:rStyle w:val="hps"/>
          <w:lang w:val="fr-FR"/>
        </w:rPr>
        <w:t>est essentielle</w:t>
      </w:r>
      <w:r w:rsidR="00BC2EBC" w:rsidRPr="00BC2EBC">
        <w:rPr>
          <w:lang w:val="fr-FR"/>
        </w:rPr>
        <w:t xml:space="preserve"> </w:t>
      </w:r>
      <w:r w:rsidR="00BC2EBC" w:rsidRPr="00BC2EBC">
        <w:rPr>
          <w:rStyle w:val="hps"/>
          <w:lang w:val="fr-FR"/>
        </w:rPr>
        <w:t>pour le développement durable</w:t>
      </w:r>
      <w:r w:rsidR="00BC2EBC" w:rsidRPr="00BC2EBC">
        <w:rPr>
          <w:lang w:val="fr-FR"/>
        </w:rPr>
        <w:t xml:space="preserve">, en présentant </w:t>
      </w:r>
      <w:r w:rsidR="00BC2EBC" w:rsidRPr="00BC2EBC">
        <w:rPr>
          <w:rStyle w:val="hps"/>
          <w:lang w:val="fr-FR"/>
        </w:rPr>
        <w:t>les principaux arguments</w:t>
      </w:r>
      <w:r w:rsidR="00BC2EBC" w:rsidRPr="00BC2EBC">
        <w:rPr>
          <w:lang w:val="fr-FR"/>
        </w:rPr>
        <w:t xml:space="preserve"> </w:t>
      </w:r>
      <w:r w:rsidR="00BC2EBC" w:rsidRPr="00BC2EBC">
        <w:rPr>
          <w:rStyle w:val="hps"/>
          <w:lang w:val="fr-FR"/>
        </w:rPr>
        <w:t xml:space="preserve">illustrés </w:t>
      </w:r>
      <w:r w:rsidR="00BC2EBC">
        <w:rPr>
          <w:rStyle w:val="hps"/>
          <w:lang w:val="fr-FR"/>
        </w:rPr>
        <w:t>avec</w:t>
      </w:r>
      <w:r w:rsidR="00BC2EBC" w:rsidRPr="00BC2EBC">
        <w:rPr>
          <w:rStyle w:val="hps"/>
          <w:lang w:val="fr-FR"/>
        </w:rPr>
        <w:t xml:space="preserve"> des exemples</w:t>
      </w:r>
      <w:r w:rsidR="00BC2EBC" w:rsidRPr="00BC2EBC">
        <w:rPr>
          <w:lang w:val="fr-FR"/>
        </w:rPr>
        <w:t xml:space="preserve"> </w:t>
      </w:r>
      <w:r w:rsidR="00BC2EBC" w:rsidRPr="00BC2EBC">
        <w:rPr>
          <w:rStyle w:val="hps"/>
          <w:lang w:val="fr-FR"/>
        </w:rPr>
        <w:t>et des chiffres.</w:t>
      </w:r>
    </w:p>
    <w:p w:rsidR="00BC2EBC" w:rsidRDefault="00BC2EBC" w:rsidP="00B458E2">
      <w:pPr>
        <w:pStyle w:val="Marge"/>
        <w:numPr>
          <w:ilvl w:val="0"/>
          <w:numId w:val="31"/>
        </w:numPr>
        <w:tabs>
          <w:tab w:val="clear" w:pos="567"/>
        </w:tabs>
        <w:spacing w:after="120"/>
        <w:ind w:left="567" w:hanging="567"/>
        <w:rPr>
          <w:rFonts w:cs="Arial"/>
          <w:szCs w:val="22"/>
          <w:lang w:val="fr-FR"/>
        </w:rPr>
      </w:pPr>
      <w:r>
        <w:rPr>
          <w:rFonts w:cs="Arial"/>
          <w:szCs w:val="22"/>
          <w:lang w:val="fr-FR"/>
        </w:rPr>
        <w:t>L</w:t>
      </w:r>
      <w:r w:rsidR="00AF2934">
        <w:rPr>
          <w:rFonts w:cs="Arial"/>
          <w:szCs w:val="22"/>
          <w:lang w:val="fr-FR"/>
        </w:rPr>
        <w:t>’</w:t>
      </w:r>
      <w:r>
        <w:rPr>
          <w:rFonts w:cs="Arial"/>
          <w:szCs w:val="22"/>
          <w:lang w:val="fr-FR"/>
        </w:rPr>
        <w:t xml:space="preserve">organisation du Forum des jeunes des Caraïbes sur le patrimoine culturel immatériel a fait des progrès considérables. Le Forum, qui se tiendra à Grenade du 20 au 24 novembre, </w:t>
      </w:r>
      <w:r w:rsidR="00D84893">
        <w:rPr>
          <w:rFonts w:cs="Arial"/>
          <w:szCs w:val="22"/>
          <w:lang w:val="fr-FR"/>
        </w:rPr>
        <w:t>inclura</w:t>
      </w:r>
      <w:r>
        <w:rPr>
          <w:rFonts w:cs="Arial"/>
          <w:szCs w:val="22"/>
          <w:lang w:val="fr-FR"/>
        </w:rPr>
        <w:t xml:space="preserve"> une visite de terrain pour offrir aux jeunes l</w:t>
      </w:r>
      <w:r w:rsidR="00AF2934">
        <w:rPr>
          <w:rFonts w:cs="Arial"/>
          <w:szCs w:val="22"/>
          <w:lang w:val="fr-FR"/>
        </w:rPr>
        <w:t>’</w:t>
      </w:r>
      <w:r>
        <w:rPr>
          <w:rFonts w:cs="Arial"/>
          <w:szCs w:val="22"/>
          <w:lang w:val="fr-FR"/>
        </w:rPr>
        <w:t>occasion d</w:t>
      </w:r>
      <w:r w:rsidR="00AF2934">
        <w:rPr>
          <w:rFonts w:cs="Arial"/>
          <w:szCs w:val="22"/>
          <w:lang w:val="fr-FR"/>
        </w:rPr>
        <w:t>’</w:t>
      </w:r>
      <w:r>
        <w:rPr>
          <w:rFonts w:cs="Arial"/>
          <w:szCs w:val="22"/>
          <w:lang w:val="fr-FR"/>
        </w:rPr>
        <w:t>en savoir plus sur le patrimoine culturel immatériel des communautés, d</w:t>
      </w:r>
      <w:r w:rsidR="00AF2934">
        <w:rPr>
          <w:rFonts w:cs="Arial"/>
          <w:szCs w:val="22"/>
          <w:lang w:val="fr-FR"/>
        </w:rPr>
        <w:t>’</w:t>
      </w:r>
      <w:r>
        <w:rPr>
          <w:rFonts w:cs="Arial"/>
          <w:szCs w:val="22"/>
          <w:lang w:val="fr-FR"/>
        </w:rPr>
        <w:t xml:space="preserve">interagir avec les membres de celles-ci et de mettre en pratique les concepts et mécanismes appris lors des séances de formation. Vingt-cinq jeunes ont été </w:t>
      </w:r>
      <w:r w:rsidR="009F50AD">
        <w:rPr>
          <w:rFonts w:cs="Arial"/>
          <w:szCs w:val="22"/>
          <w:lang w:val="fr-FR"/>
        </w:rPr>
        <w:t>sélectionnés</w:t>
      </w:r>
      <w:r>
        <w:rPr>
          <w:rFonts w:cs="Arial"/>
          <w:szCs w:val="22"/>
          <w:lang w:val="fr-FR"/>
        </w:rPr>
        <w:t xml:space="preserve"> provenant de </w:t>
      </w:r>
      <w:r w:rsidR="00D84893">
        <w:rPr>
          <w:rFonts w:cs="Arial"/>
          <w:szCs w:val="22"/>
          <w:lang w:val="fr-FR"/>
        </w:rPr>
        <w:t>dix-sept</w:t>
      </w:r>
      <w:r>
        <w:rPr>
          <w:rFonts w:cs="Arial"/>
          <w:szCs w:val="22"/>
          <w:lang w:val="fr-FR"/>
        </w:rPr>
        <w:t xml:space="preserve"> pays </w:t>
      </w:r>
      <w:r w:rsidR="00D84893">
        <w:rPr>
          <w:rFonts w:cs="Arial"/>
          <w:szCs w:val="22"/>
          <w:lang w:val="fr-FR"/>
        </w:rPr>
        <w:t>grâce à</w:t>
      </w:r>
      <w:r>
        <w:rPr>
          <w:rFonts w:cs="Arial"/>
          <w:szCs w:val="22"/>
          <w:lang w:val="fr-FR"/>
        </w:rPr>
        <w:t xml:space="preserve"> un processus</w:t>
      </w:r>
      <w:r w:rsidR="00D84893">
        <w:rPr>
          <w:rFonts w:cs="Arial"/>
          <w:szCs w:val="22"/>
          <w:lang w:val="fr-FR"/>
        </w:rPr>
        <w:t xml:space="preserve"> de sélection</w:t>
      </w:r>
      <w:r>
        <w:rPr>
          <w:rFonts w:cs="Arial"/>
          <w:szCs w:val="22"/>
          <w:lang w:val="fr-FR"/>
        </w:rPr>
        <w:t xml:space="preserve"> impliquant les Commissions nationales pour l</w:t>
      </w:r>
      <w:r w:rsidR="00AF2934">
        <w:rPr>
          <w:rFonts w:cs="Arial"/>
          <w:szCs w:val="22"/>
          <w:lang w:val="fr-FR"/>
        </w:rPr>
        <w:t>’</w:t>
      </w:r>
      <w:r>
        <w:rPr>
          <w:rFonts w:cs="Arial"/>
          <w:szCs w:val="22"/>
          <w:lang w:val="fr-FR"/>
        </w:rPr>
        <w:t>UNESCO. Un facilitateur formé par l</w:t>
      </w:r>
      <w:r w:rsidR="00AF2934">
        <w:rPr>
          <w:rFonts w:cs="Arial"/>
          <w:szCs w:val="22"/>
          <w:lang w:val="fr-FR"/>
        </w:rPr>
        <w:t>’</w:t>
      </w:r>
      <w:r>
        <w:rPr>
          <w:rFonts w:cs="Arial"/>
          <w:szCs w:val="22"/>
          <w:lang w:val="fr-FR"/>
        </w:rPr>
        <w:t>UNESCO travaille en étroite collaboration avec la Section du patrimoine culturel immatériel et le Bureau de l</w:t>
      </w:r>
      <w:r w:rsidR="00AF2934">
        <w:rPr>
          <w:rFonts w:cs="Arial"/>
          <w:szCs w:val="22"/>
          <w:lang w:val="fr-FR"/>
        </w:rPr>
        <w:t>’</w:t>
      </w:r>
      <w:r>
        <w:rPr>
          <w:rFonts w:cs="Arial"/>
          <w:szCs w:val="22"/>
          <w:lang w:val="fr-FR"/>
        </w:rPr>
        <w:t>UNESCO de Kingston sur le contenu et les méthodes de travail</w:t>
      </w:r>
      <w:r w:rsidR="009F50AD">
        <w:rPr>
          <w:rFonts w:cs="Arial"/>
          <w:szCs w:val="22"/>
          <w:lang w:val="fr-FR"/>
        </w:rPr>
        <w:t xml:space="preserve"> ; </w:t>
      </w:r>
      <w:r>
        <w:rPr>
          <w:rFonts w:cs="Arial"/>
          <w:szCs w:val="22"/>
          <w:lang w:val="fr-FR"/>
        </w:rPr>
        <w:t>des arrangements contractuels avec les partenaires nationaux sont en cours.</w:t>
      </w:r>
    </w:p>
    <w:p w:rsidR="00422A3C" w:rsidRDefault="00BC2EBC" w:rsidP="00B458E2">
      <w:pPr>
        <w:pStyle w:val="Marge"/>
        <w:numPr>
          <w:ilvl w:val="0"/>
          <w:numId w:val="31"/>
        </w:numPr>
        <w:tabs>
          <w:tab w:val="clear" w:pos="567"/>
        </w:tabs>
        <w:spacing w:after="120"/>
        <w:ind w:left="567" w:hanging="567"/>
        <w:rPr>
          <w:rFonts w:cs="Arial"/>
          <w:szCs w:val="22"/>
          <w:lang w:val="fr-FR"/>
        </w:rPr>
      </w:pPr>
      <w:r>
        <w:rPr>
          <w:rFonts w:cs="Arial"/>
          <w:szCs w:val="22"/>
          <w:lang w:val="fr-FR"/>
        </w:rPr>
        <w:t>Concernant les activités de vis</w:t>
      </w:r>
      <w:r w:rsidR="00D90BFB">
        <w:rPr>
          <w:rFonts w:cs="Arial"/>
          <w:szCs w:val="22"/>
          <w:lang w:val="fr-FR"/>
        </w:rPr>
        <w:t xml:space="preserve">ibilité et de communication, le dépliant </w:t>
      </w:r>
      <w:r>
        <w:rPr>
          <w:rFonts w:cs="Arial"/>
          <w:szCs w:val="22"/>
          <w:lang w:val="fr-FR"/>
        </w:rPr>
        <w:t>en français et en anglais sur les éléments inscrits sur la Liste représentative et la Liste de sauvegarde urgente et les meilleures pratiques de sauvegarde sélectionnées par le</w:t>
      </w:r>
      <w:r w:rsidR="00D90BFB">
        <w:rPr>
          <w:rFonts w:cs="Arial"/>
          <w:szCs w:val="22"/>
          <w:lang w:val="fr-FR"/>
        </w:rPr>
        <w:t xml:space="preserve"> Comité en 2011 a été réimprimé</w:t>
      </w:r>
      <w:r>
        <w:rPr>
          <w:rFonts w:cs="Arial"/>
          <w:szCs w:val="22"/>
          <w:lang w:val="fr-FR"/>
        </w:rPr>
        <w:t xml:space="preserve"> étant donné que les fonds disponibles jusqu</w:t>
      </w:r>
      <w:r w:rsidR="00AF2934">
        <w:rPr>
          <w:rFonts w:cs="Arial"/>
          <w:szCs w:val="22"/>
          <w:lang w:val="fr-FR"/>
        </w:rPr>
        <w:t>’</w:t>
      </w:r>
      <w:r>
        <w:rPr>
          <w:rFonts w:cs="Arial"/>
          <w:szCs w:val="22"/>
          <w:lang w:val="fr-FR"/>
        </w:rPr>
        <w:t>au 30 juin 2012 n</w:t>
      </w:r>
      <w:r w:rsidR="00AF2934">
        <w:rPr>
          <w:rFonts w:cs="Arial"/>
          <w:szCs w:val="22"/>
          <w:lang w:val="fr-FR"/>
        </w:rPr>
        <w:t>’</w:t>
      </w:r>
      <w:r>
        <w:rPr>
          <w:rFonts w:cs="Arial"/>
          <w:szCs w:val="22"/>
          <w:lang w:val="fr-FR"/>
        </w:rPr>
        <w:t>avaient permis qu</w:t>
      </w:r>
      <w:r w:rsidR="00AF2934">
        <w:rPr>
          <w:rFonts w:cs="Arial"/>
          <w:szCs w:val="22"/>
          <w:lang w:val="fr-FR"/>
        </w:rPr>
        <w:t>’</w:t>
      </w:r>
      <w:r>
        <w:rPr>
          <w:rFonts w:cs="Arial"/>
          <w:szCs w:val="22"/>
          <w:lang w:val="fr-FR"/>
        </w:rPr>
        <w:t>un tirage limité. Les Directives opérationnelles amendées et adoptées par l</w:t>
      </w:r>
      <w:r w:rsidR="00AF2934">
        <w:rPr>
          <w:rFonts w:cs="Arial"/>
          <w:szCs w:val="22"/>
          <w:lang w:val="fr-FR"/>
        </w:rPr>
        <w:t>’</w:t>
      </w:r>
      <w:r>
        <w:rPr>
          <w:rFonts w:cs="Arial"/>
          <w:szCs w:val="22"/>
          <w:lang w:val="fr-FR"/>
        </w:rPr>
        <w:t xml:space="preserve">Assemblée générale en juin 2012 (résolution 4.GA 5) sont également prêtes à être imprimées dans les six langues après </w:t>
      </w:r>
      <w:r w:rsidR="00422A3C" w:rsidRPr="00422A3C">
        <w:rPr>
          <w:rFonts w:cs="Arial"/>
          <w:szCs w:val="22"/>
          <w:lang w:val="fr-FR"/>
        </w:rPr>
        <w:t>avoir édité l</w:t>
      </w:r>
      <w:r w:rsidR="00422A3C">
        <w:rPr>
          <w:rFonts w:cs="Arial"/>
          <w:szCs w:val="22"/>
          <w:lang w:val="fr-FR"/>
        </w:rPr>
        <w:t>es</w:t>
      </w:r>
      <w:r w:rsidR="00422A3C" w:rsidRPr="00422A3C">
        <w:rPr>
          <w:rFonts w:cs="Arial"/>
          <w:szCs w:val="22"/>
          <w:lang w:val="fr-FR"/>
        </w:rPr>
        <w:t xml:space="preserve"> copie</w:t>
      </w:r>
      <w:r w:rsidR="00422A3C">
        <w:rPr>
          <w:rFonts w:cs="Arial"/>
          <w:szCs w:val="22"/>
          <w:lang w:val="fr-FR"/>
        </w:rPr>
        <w:t>s de</w:t>
      </w:r>
      <w:r w:rsidR="00422A3C" w:rsidRPr="00422A3C">
        <w:rPr>
          <w:rFonts w:cs="Arial"/>
          <w:szCs w:val="22"/>
          <w:lang w:val="fr-FR"/>
        </w:rPr>
        <w:t xml:space="preserve"> toutes les versions linguistiques et préparé leurs </w:t>
      </w:r>
      <w:r w:rsidR="00422A3C">
        <w:rPr>
          <w:rFonts w:cs="Arial"/>
          <w:szCs w:val="22"/>
          <w:lang w:val="fr-FR"/>
        </w:rPr>
        <w:t>mises en page</w:t>
      </w:r>
      <w:r w:rsidR="00422A3C" w:rsidRPr="00422A3C">
        <w:rPr>
          <w:rFonts w:cs="Arial"/>
          <w:szCs w:val="22"/>
          <w:lang w:val="fr-FR"/>
        </w:rPr>
        <w:t xml:space="preserve"> respectives.</w:t>
      </w:r>
      <w:r w:rsidR="00422A3C">
        <w:rPr>
          <w:rFonts w:cs="Arial"/>
          <w:szCs w:val="22"/>
          <w:lang w:val="fr-FR"/>
        </w:rPr>
        <w:t xml:space="preserve"> La mise en page de la brochure </w:t>
      </w:r>
      <w:r w:rsidR="00422A3C" w:rsidRPr="00422A3C">
        <w:rPr>
          <w:rFonts w:cs="Arial"/>
          <w:szCs w:val="22"/>
          <w:lang w:val="fr-FR"/>
        </w:rPr>
        <w:t xml:space="preserve">2012 ainsi que </w:t>
      </w:r>
      <w:r w:rsidR="00422A3C">
        <w:rPr>
          <w:rFonts w:cs="Arial"/>
          <w:szCs w:val="22"/>
          <w:lang w:val="fr-FR"/>
        </w:rPr>
        <w:t xml:space="preserve">celle de </w:t>
      </w:r>
      <w:r w:rsidR="00422A3C" w:rsidRPr="00422A3C">
        <w:rPr>
          <w:rFonts w:cs="Arial"/>
          <w:szCs w:val="22"/>
          <w:lang w:val="fr-FR"/>
        </w:rPr>
        <w:t xml:space="preserve">la brochure </w:t>
      </w:r>
      <w:r w:rsidR="00422A3C">
        <w:rPr>
          <w:rFonts w:cs="Arial"/>
          <w:szCs w:val="22"/>
          <w:lang w:val="fr-FR"/>
        </w:rPr>
        <w:t>cumulative</w:t>
      </w:r>
      <w:r w:rsidR="00422A3C" w:rsidRPr="00422A3C">
        <w:rPr>
          <w:rFonts w:cs="Arial"/>
          <w:szCs w:val="22"/>
          <w:lang w:val="fr-FR"/>
        </w:rPr>
        <w:t xml:space="preserve"> 2012-2013 ont également </w:t>
      </w:r>
      <w:r w:rsidR="00422A3C">
        <w:rPr>
          <w:rFonts w:cs="Arial"/>
          <w:szCs w:val="22"/>
          <w:lang w:val="fr-FR"/>
        </w:rPr>
        <w:t xml:space="preserve">été </w:t>
      </w:r>
      <w:r w:rsidR="00422A3C" w:rsidRPr="00422A3C">
        <w:rPr>
          <w:rFonts w:cs="Arial"/>
          <w:szCs w:val="22"/>
          <w:lang w:val="fr-FR"/>
        </w:rPr>
        <w:t>conçu</w:t>
      </w:r>
      <w:r w:rsidR="00422A3C">
        <w:rPr>
          <w:rFonts w:cs="Arial"/>
          <w:szCs w:val="22"/>
          <w:lang w:val="fr-FR"/>
        </w:rPr>
        <w:t>e</w:t>
      </w:r>
      <w:r w:rsidR="00422A3C" w:rsidRPr="00422A3C">
        <w:rPr>
          <w:rFonts w:cs="Arial"/>
          <w:szCs w:val="22"/>
          <w:lang w:val="fr-FR"/>
        </w:rPr>
        <w:t>s en attendant les inscriptions et la sélection par le Comité lors de sa 7</w:t>
      </w:r>
      <w:r w:rsidR="00422A3C" w:rsidRPr="00422A3C">
        <w:rPr>
          <w:rFonts w:cs="Arial"/>
          <w:szCs w:val="22"/>
          <w:vertAlign w:val="superscript"/>
          <w:lang w:val="fr-FR"/>
        </w:rPr>
        <w:t>e</w:t>
      </w:r>
      <w:r w:rsidR="00422A3C">
        <w:rPr>
          <w:rFonts w:cs="Arial"/>
          <w:szCs w:val="22"/>
          <w:lang w:val="fr-FR"/>
        </w:rPr>
        <w:t> </w:t>
      </w:r>
      <w:r w:rsidR="00422A3C" w:rsidRPr="00422A3C">
        <w:rPr>
          <w:rFonts w:cs="Arial"/>
          <w:szCs w:val="22"/>
          <w:lang w:val="fr-FR"/>
        </w:rPr>
        <w:t xml:space="preserve">session en </w:t>
      </w:r>
      <w:r w:rsidR="00422A3C">
        <w:rPr>
          <w:rFonts w:cs="Arial"/>
          <w:szCs w:val="22"/>
          <w:lang w:val="fr-FR"/>
        </w:rPr>
        <w:t>décembre </w:t>
      </w:r>
      <w:r w:rsidR="00422A3C" w:rsidRPr="00422A3C">
        <w:rPr>
          <w:rFonts w:cs="Arial"/>
          <w:szCs w:val="22"/>
          <w:lang w:val="fr-FR"/>
        </w:rPr>
        <w:t>2012.</w:t>
      </w:r>
    </w:p>
    <w:p w:rsidR="00422A3C" w:rsidRDefault="00422A3C" w:rsidP="00B458E2">
      <w:pPr>
        <w:pStyle w:val="Marge"/>
        <w:numPr>
          <w:ilvl w:val="0"/>
          <w:numId w:val="31"/>
        </w:numPr>
        <w:tabs>
          <w:tab w:val="clear" w:pos="567"/>
        </w:tabs>
        <w:spacing w:after="120"/>
        <w:ind w:left="567" w:hanging="567"/>
        <w:rPr>
          <w:rFonts w:cs="Arial"/>
          <w:szCs w:val="22"/>
          <w:lang w:val="fr-FR"/>
        </w:rPr>
      </w:pPr>
      <w:r w:rsidRPr="00422A3C">
        <w:rPr>
          <w:rFonts w:cs="Arial"/>
          <w:szCs w:val="22"/>
          <w:lang w:val="fr-FR"/>
        </w:rPr>
        <w:t xml:space="preserve">Le Bureau est invité à évaluer et </w:t>
      </w:r>
      <w:r w:rsidR="00D90BFB">
        <w:rPr>
          <w:rFonts w:cs="Arial"/>
          <w:szCs w:val="22"/>
          <w:lang w:val="fr-FR"/>
        </w:rPr>
        <w:t>à prendre une décision</w:t>
      </w:r>
      <w:r w:rsidRPr="00422A3C">
        <w:rPr>
          <w:rFonts w:cs="Arial"/>
          <w:szCs w:val="22"/>
          <w:lang w:val="fr-FR"/>
        </w:rPr>
        <w:t xml:space="preserve"> sur ce projet de plan </w:t>
      </w:r>
      <w:r>
        <w:rPr>
          <w:rFonts w:cs="Arial"/>
          <w:szCs w:val="22"/>
          <w:lang w:val="fr-FR"/>
        </w:rPr>
        <w:t xml:space="preserve">de dépenses </w:t>
      </w:r>
      <w:r w:rsidRPr="00422A3C">
        <w:rPr>
          <w:rFonts w:cs="Arial"/>
          <w:szCs w:val="22"/>
          <w:lang w:val="fr-FR"/>
        </w:rPr>
        <w:t xml:space="preserve">par le biais de la consultation </w:t>
      </w:r>
      <w:r w:rsidR="00D90BFB">
        <w:rPr>
          <w:rFonts w:cs="Arial"/>
          <w:szCs w:val="22"/>
          <w:lang w:val="fr-FR"/>
        </w:rPr>
        <w:t xml:space="preserve">par voie </w:t>
      </w:r>
      <w:r w:rsidRPr="00422A3C">
        <w:rPr>
          <w:rFonts w:cs="Arial"/>
          <w:szCs w:val="22"/>
          <w:lang w:val="fr-FR"/>
        </w:rPr>
        <w:t xml:space="preserve">électronique, conformément </w:t>
      </w:r>
      <w:r w:rsidR="00D90BFB">
        <w:rPr>
          <w:rFonts w:cs="Arial"/>
          <w:szCs w:val="22"/>
          <w:lang w:val="fr-FR"/>
        </w:rPr>
        <w:t>à l’article </w:t>
      </w:r>
      <w:r w:rsidRPr="00422A3C">
        <w:rPr>
          <w:rFonts w:cs="Arial"/>
          <w:szCs w:val="22"/>
          <w:lang w:val="fr-FR"/>
        </w:rPr>
        <w:t xml:space="preserve">12.3 du </w:t>
      </w:r>
      <w:r>
        <w:rPr>
          <w:rFonts w:cs="Arial"/>
          <w:szCs w:val="22"/>
          <w:lang w:val="fr-FR"/>
        </w:rPr>
        <w:t>R</w:t>
      </w:r>
      <w:r w:rsidRPr="00422A3C">
        <w:rPr>
          <w:rFonts w:cs="Arial"/>
          <w:szCs w:val="22"/>
          <w:lang w:val="fr-FR"/>
        </w:rPr>
        <w:t xml:space="preserve">èglement </w:t>
      </w:r>
      <w:r>
        <w:rPr>
          <w:rFonts w:cs="Arial"/>
          <w:szCs w:val="22"/>
          <w:lang w:val="fr-FR"/>
        </w:rPr>
        <w:t>intérieur</w:t>
      </w:r>
      <w:r w:rsidRPr="00422A3C">
        <w:rPr>
          <w:rFonts w:cs="Arial"/>
          <w:szCs w:val="22"/>
          <w:lang w:val="fr-FR"/>
        </w:rPr>
        <w:t xml:space="preserve"> du Comité. Le Bureau du Comité souhaitera peut-êtr</w:t>
      </w:r>
      <w:r>
        <w:rPr>
          <w:rFonts w:cs="Arial"/>
          <w:szCs w:val="22"/>
          <w:lang w:val="fr-FR"/>
        </w:rPr>
        <w:t>e adopter la décision suivante :</w:t>
      </w:r>
    </w:p>
    <w:p w:rsidR="000A27EE" w:rsidRPr="00BC2EBC" w:rsidRDefault="00422A3C" w:rsidP="00B458E2">
      <w:pPr>
        <w:pStyle w:val="Marge"/>
        <w:keepNext/>
        <w:spacing w:before="360"/>
        <w:ind w:left="567"/>
        <w:rPr>
          <w:b/>
          <w:lang w:val="fr-FR"/>
        </w:rPr>
      </w:pPr>
      <w:r>
        <w:rPr>
          <w:b/>
          <w:lang w:val="fr-FR"/>
        </w:rPr>
        <w:t>PROJET DE D</w:t>
      </w:r>
      <w:r>
        <w:rPr>
          <w:rFonts w:cs="Arial"/>
          <w:b/>
          <w:lang w:val="fr-FR"/>
        </w:rPr>
        <w:t>É</w:t>
      </w:r>
      <w:r>
        <w:rPr>
          <w:b/>
          <w:lang w:val="fr-FR"/>
        </w:rPr>
        <w:t>CISION</w:t>
      </w:r>
      <w:r w:rsidR="000A27EE" w:rsidRPr="00BC2EBC">
        <w:rPr>
          <w:b/>
          <w:lang w:val="fr-FR"/>
        </w:rPr>
        <w:t xml:space="preserve"> 7.COM 5.BUR </w:t>
      </w:r>
      <w:r w:rsidR="003708C5" w:rsidRPr="00BC2EBC">
        <w:rPr>
          <w:b/>
          <w:lang w:val="fr-FR"/>
        </w:rPr>
        <w:t>5</w:t>
      </w:r>
    </w:p>
    <w:p w:rsidR="000A27EE" w:rsidRPr="00BC2EBC" w:rsidRDefault="00422A3C" w:rsidP="00422A3C">
      <w:pPr>
        <w:pStyle w:val="Marge"/>
        <w:keepNext/>
        <w:spacing w:before="240" w:after="120"/>
        <w:ind w:left="567"/>
        <w:rPr>
          <w:lang w:val="fr-FR"/>
        </w:rPr>
      </w:pPr>
      <w:r>
        <w:rPr>
          <w:lang w:val="fr-FR"/>
        </w:rPr>
        <w:t>Le</w:t>
      </w:r>
      <w:r w:rsidR="000A27EE" w:rsidRPr="00BC2EBC">
        <w:rPr>
          <w:lang w:val="fr-FR"/>
        </w:rPr>
        <w:t xml:space="preserve"> Bureau,</w:t>
      </w:r>
    </w:p>
    <w:p w:rsidR="000A27EE" w:rsidRPr="00BC2EBC" w:rsidRDefault="00422A3C" w:rsidP="00422A3C">
      <w:pPr>
        <w:pStyle w:val="Marge"/>
        <w:numPr>
          <w:ilvl w:val="0"/>
          <w:numId w:val="32"/>
        </w:numPr>
        <w:spacing w:before="120" w:after="120"/>
        <w:ind w:left="1134" w:hanging="567"/>
        <w:rPr>
          <w:lang w:val="fr-FR"/>
        </w:rPr>
      </w:pPr>
      <w:r>
        <w:rPr>
          <w:u w:val="single"/>
          <w:lang w:val="fr-FR"/>
        </w:rPr>
        <w:t>Ayant examiné</w:t>
      </w:r>
      <w:r w:rsidR="000A27EE" w:rsidRPr="00BC2EBC">
        <w:rPr>
          <w:lang w:val="fr-FR"/>
        </w:rPr>
        <w:t xml:space="preserve"> </w:t>
      </w:r>
      <w:r>
        <w:rPr>
          <w:lang w:val="fr-FR"/>
        </w:rPr>
        <w:t xml:space="preserve">le </w:t>
      </w:r>
      <w:r w:rsidR="000A27EE" w:rsidRPr="00BC2EBC">
        <w:rPr>
          <w:lang w:val="fr-FR"/>
        </w:rPr>
        <w:t>document ITH/12/7.COM 5.BUR/</w:t>
      </w:r>
      <w:r w:rsidR="003708C5" w:rsidRPr="00BC2EBC">
        <w:rPr>
          <w:lang w:val="fr-FR"/>
        </w:rPr>
        <w:t>5</w:t>
      </w:r>
      <w:r w:rsidR="000A27EE" w:rsidRPr="00BC2EBC">
        <w:rPr>
          <w:lang w:val="fr-FR"/>
        </w:rPr>
        <w:t xml:space="preserve"> </w:t>
      </w:r>
      <w:r>
        <w:rPr>
          <w:lang w:val="fr-FR"/>
        </w:rPr>
        <w:t>et son annexe</w:t>
      </w:r>
      <w:r w:rsidR="000A27EE" w:rsidRPr="00BC2EBC">
        <w:rPr>
          <w:lang w:val="fr-FR"/>
        </w:rPr>
        <w:t>,</w:t>
      </w:r>
    </w:p>
    <w:p w:rsidR="000A27EE" w:rsidRPr="00BC2EBC" w:rsidRDefault="00422A3C" w:rsidP="00422A3C">
      <w:pPr>
        <w:pStyle w:val="Marge"/>
        <w:numPr>
          <w:ilvl w:val="0"/>
          <w:numId w:val="32"/>
        </w:numPr>
        <w:spacing w:before="120" w:after="120"/>
        <w:ind w:left="1134" w:hanging="567"/>
        <w:rPr>
          <w:lang w:val="fr-FR"/>
        </w:rPr>
      </w:pPr>
      <w:r>
        <w:rPr>
          <w:u w:val="single"/>
          <w:lang w:val="fr-FR"/>
        </w:rPr>
        <w:t>Rappelant</w:t>
      </w:r>
      <w:r w:rsidRPr="00422A3C">
        <w:rPr>
          <w:lang w:val="fr-FR"/>
        </w:rPr>
        <w:t xml:space="preserve"> la</w:t>
      </w:r>
      <w:r w:rsidR="000A27EE" w:rsidRPr="00BC2EBC">
        <w:rPr>
          <w:lang w:val="fr-FR"/>
        </w:rPr>
        <w:t xml:space="preserve"> </w:t>
      </w:r>
      <w:r>
        <w:rPr>
          <w:lang w:val="fr-FR"/>
        </w:rPr>
        <w:t>r</w:t>
      </w:r>
      <w:r w:rsidRPr="00BC2EBC">
        <w:rPr>
          <w:lang w:val="fr-FR"/>
        </w:rPr>
        <w:t>ésolution</w:t>
      </w:r>
      <w:r w:rsidR="000A27EE" w:rsidRPr="00BC2EBC">
        <w:rPr>
          <w:lang w:val="fr-FR"/>
        </w:rPr>
        <w:t xml:space="preserve"> 4.GA 7, </w:t>
      </w:r>
      <w:r>
        <w:rPr>
          <w:lang w:val="fr-FR"/>
        </w:rPr>
        <w:t>la d</w:t>
      </w:r>
      <w:r w:rsidRPr="00BC2EBC">
        <w:rPr>
          <w:lang w:val="fr-FR"/>
        </w:rPr>
        <w:t>écision</w:t>
      </w:r>
      <w:r w:rsidR="000A27EE" w:rsidRPr="00BC2EBC">
        <w:rPr>
          <w:lang w:val="fr-FR"/>
        </w:rPr>
        <w:t xml:space="preserve"> 6.COM 20 </w:t>
      </w:r>
      <w:r>
        <w:rPr>
          <w:lang w:val="fr-FR"/>
        </w:rPr>
        <w:t>et la</w:t>
      </w:r>
      <w:r w:rsidR="000A27EE" w:rsidRPr="00BC2EBC">
        <w:rPr>
          <w:lang w:val="fr-FR"/>
        </w:rPr>
        <w:t xml:space="preserve"> </w:t>
      </w:r>
      <w:r>
        <w:rPr>
          <w:lang w:val="fr-FR"/>
        </w:rPr>
        <w:t>d</w:t>
      </w:r>
      <w:r w:rsidRPr="00BC2EBC">
        <w:rPr>
          <w:lang w:val="fr-FR"/>
        </w:rPr>
        <w:t>écision</w:t>
      </w:r>
      <w:r w:rsidR="000A27EE" w:rsidRPr="00BC2EBC">
        <w:rPr>
          <w:lang w:val="fr-FR"/>
        </w:rPr>
        <w:t xml:space="preserve"> 7.COM 3.BUR 5,</w:t>
      </w:r>
    </w:p>
    <w:p w:rsidR="00422A3C" w:rsidRDefault="00422A3C" w:rsidP="00422A3C">
      <w:pPr>
        <w:pStyle w:val="Marge"/>
        <w:numPr>
          <w:ilvl w:val="0"/>
          <w:numId w:val="32"/>
        </w:numPr>
        <w:spacing w:before="120" w:after="120"/>
        <w:ind w:left="1134" w:hanging="567"/>
        <w:rPr>
          <w:lang w:val="fr-FR"/>
        </w:rPr>
      </w:pPr>
      <w:r w:rsidRPr="00422A3C">
        <w:rPr>
          <w:u w:val="single"/>
          <w:lang w:val="fr-FR"/>
        </w:rPr>
        <w:t>Autorise</w:t>
      </w:r>
      <w:r w:rsidR="000A27EE" w:rsidRPr="00422A3C">
        <w:rPr>
          <w:lang w:val="fr-FR"/>
        </w:rPr>
        <w:t xml:space="preserve"> </w:t>
      </w:r>
      <w:r w:rsidRPr="00422A3C">
        <w:rPr>
          <w:lang w:val="fr-FR"/>
        </w:rPr>
        <w:t xml:space="preserve">les dépenses spécifiées dans ce document et son annexe ; </w:t>
      </w:r>
    </w:p>
    <w:p w:rsidR="00422A3C" w:rsidRPr="00422A3C" w:rsidRDefault="00422A3C" w:rsidP="00422A3C">
      <w:pPr>
        <w:pStyle w:val="Marge"/>
        <w:numPr>
          <w:ilvl w:val="0"/>
          <w:numId w:val="32"/>
        </w:numPr>
        <w:spacing w:before="120" w:after="120"/>
        <w:ind w:left="1134" w:hanging="567"/>
        <w:rPr>
          <w:lang w:val="fr-FR"/>
        </w:rPr>
      </w:pPr>
      <w:r w:rsidRPr="00422A3C">
        <w:rPr>
          <w:u w:val="single"/>
          <w:lang w:val="fr-FR"/>
        </w:rPr>
        <w:t>Demande</w:t>
      </w:r>
      <w:r w:rsidRPr="00422A3C">
        <w:rPr>
          <w:lang w:val="fr-FR"/>
        </w:rPr>
        <w:t xml:space="preserve"> au Secrétariat de rendre compte de l</w:t>
      </w:r>
      <w:r w:rsidR="00AF2934">
        <w:rPr>
          <w:lang w:val="fr-FR"/>
        </w:rPr>
        <w:t>’</w:t>
      </w:r>
      <w:r w:rsidRPr="00422A3C">
        <w:rPr>
          <w:lang w:val="fr-FR"/>
        </w:rPr>
        <w:t>avancement de la mise en œuvre et de la façon dont les fonds sont dépensés</w:t>
      </w:r>
      <w:r w:rsidR="00D84893">
        <w:rPr>
          <w:lang w:val="fr-FR"/>
        </w:rPr>
        <w:t> </w:t>
      </w:r>
      <w:r w:rsidRPr="00422A3C">
        <w:rPr>
          <w:lang w:val="fr-FR"/>
        </w:rPr>
        <w:t xml:space="preserve">; </w:t>
      </w:r>
    </w:p>
    <w:p w:rsidR="00422A3C" w:rsidRPr="00422A3C" w:rsidRDefault="00422A3C" w:rsidP="00422A3C">
      <w:pPr>
        <w:pStyle w:val="Marge"/>
        <w:numPr>
          <w:ilvl w:val="0"/>
          <w:numId w:val="32"/>
        </w:numPr>
        <w:spacing w:before="120" w:after="120"/>
        <w:ind w:left="1134" w:hanging="567"/>
        <w:rPr>
          <w:lang w:val="fr-FR"/>
        </w:rPr>
      </w:pPr>
      <w:r w:rsidRPr="00422A3C">
        <w:rPr>
          <w:u w:val="single"/>
          <w:lang w:val="fr-FR"/>
        </w:rPr>
        <w:t>Invite</w:t>
      </w:r>
      <w:r w:rsidRPr="00422A3C">
        <w:rPr>
          <w:lang w:val="fr-FR"/>
        </w:rPr>
        <w:t xml:space="preserve"> le Président du Comité à porter cette décision à l</w:t>
      </w:r>
      <w:r w:rsidR="00AF2934">
        <w:rPr>
          <w:lang w:val="fr-FR"/>
        </w:rPr>
        <w:t>’</w:t>
      </w:r>
      <w:r w:rsidRPr="00422A3C">
        <w:rPr>
          <w:lang w:val="fr-FR"/>
        </w:rPr>
        <w:t>attention du Comité lors de sa septième session.</w:t>
      </w:r>
    </w:p>
    <w:p w:rsidR="00422A3C" w:rsidRDefault="00422A3C">
      <w:pPr>
        <w:rPr>
          <w:rFonts w:ascii="Arial" w:hAnsi="Arial"/>
          <w:snapToGrid w:val="0"/>
          <w:sz w:val="22"/>
          <w:lang w:val="fr-FR" w:eastAsia="en-US"/>
        </w:rPr>
      </w:pPr>
      <w:r>
        <w:rPr>
          <w:lang w:val="fr-FR"/>
        </w:rPr>
        <w:br w:type="page"/>
      </w:r>
    </w:p>
    <w:p w:rsidR="00422A3C" w:rsidRPr="00422A3C" w:rsidRDefault="00422A3C" w:rsidP="00422A3C">
      <w:pPr>
        <w:spacing w:before="240" w:after="100" w:afterAutospacing="1"/>
        <w:jc w:val="center"/>
        <w:rPr>
          <w:rFonts w:ascii="Arial" w:hAnsi="Arial" w:cs="Arial"/>
          <w:sz w:val="22"/>
          <w:szCs w:val="22"/>
          <w:lang w:val="fr-FR"/>
        </w:rPr>
      </w:pPr>
      <w:r w:rsidRPr="00422A3C">
        <w:rPr>
          <w:rFonts w:ascii="Arial" w:hAnsi="Arial" w:cs="Arial"/>
          <w:b/>
          <w:bCs/>
          <w:sz w:val="22"/>
          <w:szCs w:val="22"/>
          <w:lang w:val="fr-FR"/>
        </w:rPr>
        <w:t>ANNEXE</w:t>
      </w:r>
    </w:p>
    <w:p w:rsidR="008902DF" w:rsidRPr="0019236F" w:rsidRDefault="00422A3C" w:rsidP="008902DF">
      <w:pPr>
        <w:spacing w:before="240" w:after="100" w:afterAutospacing="1"/>
        <w:jc w:val="center"/>
        <w:rPr>
          <w:b/>
          <w:lang w:val="fr-FR"/>
        </w:rPr>
      </w:pPr>
      <w:r w:rsidRPr="008902DF">
        <w:rPr>
          <w:rFonts w:ascii="Arial" w:hAnsi="Arial" w:cs="Arial"/>
          <w:b/>
          <w:bCs/>
          <w:sz w:val="22"/>
          <w:szCs w:val="22"/>
          <w:lang w:val="fr-FR"/>
        </w:rPr>
        <w:t>Plan de dépenses pour les fonds alloués aux autres fonctions du Comité</w:t>
      </w:r>
      <w:r w:rsidRPr="008902DF">
        <w:rPr>
          <w:rFonts w:ascii="Arial" w:hAnsi="Arial" w:cs="Arial"/>
          <w:b/>
          <w:sz w:val="22"/>
          <w:szCs w:val="22"/>
          <w:lang w:val="fr-FR"/>
        </w:rPr>
        <w:t xml:space="preserve"> </w:t>
      </w:r>
      <w:r w:rsidRPr="008902DF">
        <w:rPr>
          <w:rFonts w:ascii="Arial" w:hAnsi="Arial" w:cs="Arial"/>
          <w:b/>
          <w:bCs/>
          <w:sz w:val="22"/>
          <w:szCs w:val="22"/>
          <w:lang w:val="fr-FR"/>
        </w:rPr>
        <w:br/>
        <w:t>dans le Plan d</w:t>
      </w:r>
      <w:r w:rsidR="00AF2934">
        <w:rPr>
          <w:rFonts w:ascii="Arial" w:hAnsi="Arial" w:cs="Arial"/>
          <w:b/>
          <w:bCs/>
          <w:sz w:val="22"/>
          <w:szCs w:val="22"/>
          <w:lang w:val="fr-FR"/>
        </w:rPr>
        <w:t>’</w:t>
      </w:r>
      <w:r w:rsidRPr="008902DF">
        <w:rPr>
          <w:rFonts w:ascii="Arial" w:hAnsi="Arial" w:cs="Arial"/>
          <w:b/>
          <w:bCs/>
          <w:sz w:val="22"/>
          <w:szCs w:val="22"/>
          <w:lang w:val="fr-FR"/>
        </w:rPr>
        <w:t>utilisation des ressources du Fonds</w:t>
      </w:r>
      <w:r w:rsidR="008902DF" w:rsidRPr="008902DF">
        <w:rPr>
          <w:rFonts w:ascii="Arial" w:hAnsi="Arial" w:cs="Arial"/>
          <w:b/>
          <w:sz w:val="22"/>
          <w:szCs w:val="22"/>
          <w:lang w:val="fr-FR"/>
        </w:rPr>
        <w:br/>
      </w:r>
      <w:r w:rsidR="008902DF">
        <w:rPr>
          <w:rFonts w:ascii="Arial" w:hAnsi="Arial" w:cs="Arial"/>
          <w:b/>
          <w:sz w:val="22"/>
          <w:szCs w:val="22"/>
          <w:lang w:val="fr-FR"/>
        </w:rPr>
        <w:t>À</w:t>
      </w:r>
      <w:r w:rsidR="008902DF" w:rsidRPr="008902DF">
        <w:rPr>
          <w:rFonts w:ascii="Arial" w:hAnsi="Arial" w:cs="Arial"/>
          <w:b/>
          <w:sz w:val="22"/>
          <w:szCs w:val="22"/>
          <w:lang w:val="fr-FR"/>
        </w:rPr>
        <w:t xml:space="preserve"> compter du 1</w:t>
      </w:r>
      <w:r w:rsidR="008902DF" w:rsidRPr="008902DF">
        <w:rPr>
          <w:rFonts w:ascii="Arial" w:hAnsi="Arial" w:cs="Arial"/>
          <w:b/>
          <w:sz w:val="22"/>
          <w:szCs w:val="22"/>
          <w:vertAlign w:val="superscript"/>
          <w:lang w:val="fr-FR"/>
        </w:rPr>
        <w:t>er</w:t>
      </w:r>
      <w:r w:rsidR="008902DF" w:rsidRPr="008902DF">
        <w:rPr>
          <w:rFonts w:ascii="Arial" w:hAnsi="Arial" w:cs="Arial"/>
          <w:b/>
          <w:sz w:val="22"/>
          <w:szCs w:val="22"/>
          <w:lang w:val="fr-FR"/>
        </w:rPr>
        <w:t> juillet 2012</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5386"/>
        <w:gridCol w:w="1203"/>
      </w:tblGrid>
      <w:tr w:rsidR="00422A3C" w:rsidRPr="00422A3C" w:rsidTr="00422A3C">
        <w:trPr>
          <w:tblHeader/>
        </w:trPr>
        <w:tc>
          <w:tcPr>
            <w:tcW w:w="3119" w:type="dxa"/>
            <w:shd w:val="clear" w:color="auto" w:fill="A6A6A6"/>
            <w:vAlign w:val="center"/>
          </w:tcPr>
          <w:p w:rsidR="00422A3C" w:rsidRPr="00422A3C" w:rsidRDefault="00422A3C" w:rsidP="00422A3C">
            <w:pPr>
              <w:spacing w:before="60" w:after="60"/>
              <w:jc w:val="center"/>
              <w:rPr>
                <w:rFonts w:ascii="Arial" w:hAnsi="Arial" w:cs="Arial"/>
                <w:b/>
                <w:bCs/>
                <w:color w:val="FFFFFF"/>
                <w:sz w:val="22"/>
                <w:szCs w:val="22"/>
                <w:lang w:val="fr-FR"/>
              </w:rPr>
            </w:pPr>
            <w:bookmarkStart w:id="1" w:name="RANGE!A1:E31"/>
            <w:r w:rsidRPr="00422A3C">
              <w:rPr>
                <w:rFonts w:ascii="Arial" w:hAnsi="Arial" w:cs="Arial"/>
                <w:b/>
                <w:bCs/>
                <w:color w:val="FFFFFF"/>
                <w:sz w:val="22"/>
                <w:szCs w:val="22"/>
                <w:lang w:val="fr-FR"/>
              </w:rPr>
              <w:t>Activit</w:t>
            </w:r>
            <w:bookmarkEnd w:id="1"/>
            <w:r w:rsidRPr="00422A3C">
              <w:rPr>
                <w:rFonts w:ascii="Arial" w:hAnsi="Arial" w:cs="Arial"/>
                <w:b/>
                <w:bCs/>
                <w:color w:val="FFFFFF"/>
                <w:sz w:val="22"/>
                <w:szCs w:val="22"/>
                <w:lang w:val="fr-FR"/>
              </w:rPr>
              <w:t>é</w:t>
            </w:r>
          </w:p>
        </w:tc>
        <w:tc>
          <w:tcPr>
            <w:tcW w:w="5386" w:type="dxa"/>
            <w:shd w:val="clear" w:color="auto" w:fill="A6A6A6"/>
            <w:vAlign w:val="center"/>
          </w:tcPr>
          <w:p w:rsidR="00422A3C" w:rsidRPr="00422A3C" w:rsidRDefault="00422A3C" w:rsidP="00422A3C">
            <w:pPr>
              <w:spacing w:before="60" w:after="60"/>
              <w:jc w:val="center"/>
              <w:rPr>
                <w:rFonts w:ascii="Arial" w:hAnsi="Arial" w:cs="Arial"/>
                <w:b/>
                <w:bCs/>
                <w:color w:val="FFFFFF"/>
                <w:sz w:val="22"/>
                <w:szCs w:val="22"/>
                <w:lang w:val="fr-FR"/>
              </w:rPr>
            </w:pPr>
            <w:r w:rsidRPr="00422A3C">
              <w:rPr>
                <w:rFonts w:ascii="Arial" w:hAnsi="Arial" w:cs="Arial"/>
                <w:b/>
                <w:bCs/>
                <w:color w:val="FFFFFF"/>
                <w:sz w:val="22"/>
                <w:szCs w:val="22"/>
                <w:lang w:val="fr-FR"/>
              </w:rPr>
              <w:t>Description</w:t>
            </w:r>
          </w:p>
        </w:tc>
        <w:tc>
          <w:tcPr>
            <w:tcW w:w="1203" w:type="dxa"/>
            <w:shd w:val="clear" w:color="auto" w:fill="A6A6A6"/>
            <w:vAlign w:val="center"/>
          </w:tcPr>
          <w:p w:rsidR="00422A3C" w:rsidRPr="00422A3C" w:rsidRDefault="00422A3C" w:rsidP="00422A3C">
            <w:pPr>
              <w:spacing w:before="60" w:after="60"/>
              <w:jc w:val="center"/>
              <w:rPr>
                <w:rFonts w:ascii="Arial" w:hAnsi="Arial" w:cs="Arial"/>
                <w:b/>
                <w:bCs/>
                <w:color w:val="FFFFFF"/>
                <w:sz w:val="22"/>
                <w:szCs w:val="22"/>
                <w:lang w:val="fr-FR"/>
              </w:rPr>
            </w:pPr>
            <w:r w:rsidRPr="00422A3C">
              <w:rPr>
                <w:rFonts w:ascii="Arial" w:hAnsi="Arial" w:cs="Arial"/>
                <w:b/>
                <w:bCs/>
                <w:color w:val="FFFFFF"/>
                <w:sz w:val="22"/>
                <w:szCs w:val="22"/>
                <w:lang w:val="fr-FR"/>
              </w:rPr>
              <w:t>Montant</w:t>
            </w:r>
          </w:p>
        </w:tc>
      </w:tr>
      <w:tr w:rsidR="00422A3C" w:rsidRPr="00422A3C" w:rsidTr="00422A3C">
        <w:tc>
          <w:tcPr>
            <w:tcW w:w="8505" w:type="dxa"/>
            <w:gridSpan w:val="2"/>
            <w:shd w:val="clear" w:color="auto" w:fill="F2F2F2"/>
            <w:vAlign w:val="center"/>
          </w:tcPr>
          <w:p w:rsidR="00422A3C" w:rsidRPr="00422A3C" w:rsidRDefault="00422A3C" w:rsidP="00422A3C">
            <w:pPr>
              <w:spacing w:before="60" w:after="60"/>
              <w:rPr>
                <w:rFonts w:ascii="Arial" w:hAnsi="Arial" w:cs="Arial"/>
                <w:b/>
                <w:bCs/>
                <w:color w:val="000000"/>
                <w:sz w:val="22"/>
                <w:szCs w:val="22"/>
                <w:lang w:val="fr-FR"/>
              </w:rPr>
            </w:pPr>
            <w:r w:rsidRPr="00422A3C">
              <w:rPr>
                <w:rFonts w:ascii="Arial" w:hAnsi="Arial" w:cs="Arial"/>
                <w:b/>
                <w:bCs/>
                <w:color w:val="000000"/>
                <w:sz w:val="22"/>
                <w:szCs w:val="22"/>
                <w:lang w:val="fr-FR"/>
              </w:rPr>
              <w:t xml:space="preserve">A. Renforcement des capacités </w:t>
            </w:r>
          </w:p>
        </w:tc>
        <w:tc>
          <w:tcPr>
            <w:tcW w:w="1203" w:type="dxa"/>
            <w:shd w:val="clear" w:color="auto" w:fill="F2F2F2"/>
            <w:vAlign w:val="center"/>
          </w:tcPr>
          <w:p w:rsidR="00422A3C" w:rsidRPr="00422A3C" w:rsidRDefault="008902DF" w:rsidP="00422A3C">
            <w:pPr>
              <w:spacing w:before="60" w:after="60"/>
              <w:jc w:val="right"/>
              <w:rPr>
                <w:rFonts w:ascii="Arial" w:hAnsi="Arial" w:cs="Arial"/>
                <w:b/>
                <w:bCs/>
                <w:color w:val="000000"/>
                <w:sz w:val="22"/>
                <w:szCs w:val="22"/>
                <w:lang w:val="fr-FR"/>
              </w:rPr>
            </w:pPr>
            <w:r>
              <w:rPr>
                <w:rFonts w:ascii="Arial" w:hAnsi="Arial" w:cs="Arial"/>
                <w:b/>
                <w:bCs/>
                <w:color w:val="000000"/>
                <w:sz w:val="22"/>
                <w:szCs w:val="22"/>
                <w:lang w:val="fr-FR"/>
              </w:rPr>
              <w:t>255 000 </w:t>
            </w:r>
            <w:r w:rsidR="00422A3C" w:rsidRPr="00422A3C">
              <w:rPr>
                <w:rFonts w:ascii="Arial" w:hAnsi="Arial" w:cs="Arial"/>
                <w:b/>
                <w:bCs/>
                <w:color w:val="000000"/>
                <w:sz w:val="22"/>
                <w:szCs w:val="22"/>
                <w:lang w:val="fr-FR"/>
              </w:rPr>
              <w:t>$</w:t>
            </w:r>
          </w:p>
        </w:tc>
      </w:tr>
      <w:tr w:rsidR="00422A3C" w:rsidRPr="0019236F" w:rsidTr="00422A3C">
        <w:tc>
          <w:tcPr>
            <w:tcW w:w="8505" w:type="dxa"/>
            <w:gridSpan w:val="2"/>
            <w:shd w:val="clear" w:color="auto" w:fill="auto"/>
            <w:vAlign w:val="center"/>
          </w:tcPr>
          <w:p w:rsidR="00422A3C" w:rsidRPr="00422A3C" w:rsidRDefault="00422A3C" w:rsidP="00422A3C">
            <w:pPr>
              <w:spacing w:before="60" w:after="60"/>
              <w:rPr>
                <w:rFonts w:ascii="Arial" w:hAnsi="Arial" w:cs="Arial"/>
                <w:b/>
                <w:bCs/>
                <w:color w:val="000000"/>
                <w:sz w:val="22"/>
                <w:szCs w:val="22"/>
                <w:lang w:val="fr-FR"/>
              </w:rPr>
            </w:pPr>
            <w:r w:rsidRPr="00422A3C">
              <w:rPr>
                <w:rFonts w:ascii="Arial" w:hAnsi="Arial" w:cs="Arial"/>
                <w:b/>
                <w:bCs/>
                <w:color w:val="000000"/>
                <w:sz w:val="22"/>
                <w:szCs w:val="22"/>
                <w:lang w:val="fr-FR"/>
              </w:rPr>
              <w:t xml:space="preserve">A.1 Développement de contenus pour les nouveaux supports de renforcement des capacités : </w:t>
            </w:r>
            <w:r w:rsidRPr="00422A3C">
              <w:rPr>
                <w:rFonts w:ascii="Arial" w:hAnsi="Arial" w:cs="Arial"/>
                <w:b/>
                <w:color w:val="000000"/>
                <w:sz w:val="22"/>
                <w:szCs w:val="22"/>
                <w:lang w:val="fr-FR"/>
              </w:rPr>
              <w:t>élaboration de plans de sauvegarde, patrimoine culturel immatériel et développement durable</w:t>
            </w:r>
          </w:p>
        </w:tc>
        <w:tc>
          <w:tcPr>
            <w:tcW w:w="1203"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p>
        </w:tc>
      </w:tr>
      <w:tr w:rsidR="00422A3C" w:rsidRPr="00422A3C" w:rsidTr="00422A3C">
        <w:tc>
          <w:tcPr>
            <w:tcW w:w="3119"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bCs/>
                <w:color w:val="000000"/>
                <w:sz w:val="22"/>
                <w:szCs w:val="22"/>
                <w:lang w:val="fr-FR"/>
              </w:rPr>
              <w:t xml:space="preserve">Développement de contenus pour les manuels des facilitateurs et des participants </w:t>
            </w:r>
          </w:p>
        </w:tc>
        <w:tc>
          <w:tcPr>
            <w:tcW w:w="5386"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color w:val="000000"/>
                <w:sz w:val="22"/>
                <w:szCs w:val="22"/>
                <w:lang w:val="fr-FR"/>
              </w:rPr>
              <w:t xml:space="preserve">Services professionnels pour le développement de contenus </w:t>
            </w:r>
          </w:p>
        </w:tc>
        <w:tc>
          <w:tcPr>
            <w:tcW w:w="1203" w:type="dxa"/>
            <w:shd w:val="clear" w:color="auto" w:fill="auto"/>
            <w:vAlign w:val="center"/>
          </w:tcPr>
          <w:p w:rsidR="00422A3C" w:rsidRPr="00422A3C" w:rsidRDefault="008902DF" w:rsidP="00422A3C">
            <w:pPr>
              <w:spacing w:before="60" w:after="60"/>
              <w:jc w:val="right"/>
              <w:rPr>
                <w:rFonts w:ascii="Arial" w:hAnsi="Arial" w:cs="Arial"/>
                <w:color w:val="000000"/>
                <w:sz w:val="22"/>
                <w:szCs w:val="22"/>
                <w:lang w:val="fr-FR"/>
              </w:rPr>
            </w:pPr>
            <w:r>
              <w:rPr>
                <w:rFonts w:ascii="Arial" w:hAnsi="Arial" w:cs="Arial"/>
                <w:color w:val="000000"/>
                <w:sz w:val="22"/>
                <w:szCs w:val="22"/>
                <w:lang w:val="fr-FR"/>
              </w:rPr>
              <w:t>65 000 </w:t>
            </w:r>
            <w:r w:rsidR="00422A3C" w:rsidRPr="00422A3C">
              <w:rPr>
                <w:rFonts w:ascii="Arial" w:hAnsi="Arial" w:cs="Arial"/>
                <w:color w:val="000000"/>
                <w:sz w:val="22"/>
                <w:szCs w:val="22"/>
                <w:lang w:val="fr-FR"/>
              </w:rPr>
              <w:t>$</w:t>
            </w:r>
          </w:p>
        </w:tc>
      </w:tr>
      <w:tr w:rsidR="00422A3C" w:rsidRPr="0019236F" w:rsidTr="00422A3C">
        <w:tc>
          <w:tcPr>
            <w:tcW w:w="8505" w:type="dxa"/>
            <w:gridSpan w:val="2"/>
            <w:shd w:val="clear" w:color="auto" w:fill="auto"/>
            <w:vAlign w:val="center"/>
          </w:tcPr>
          <w:p w:rsidR="00422A3C" w:rsidRPr="00422A3C" w:rsidRDefault="00422A3C" w:rsidP="00422A3C">
            <w:pPr>
              <w:spacing w:before="60" w:after="60"/>
              <w:rPr>
                <w:rFonts w:ascii="Arial" w:hAnsi="Arial" w:cs="Arial"/>
                <w:b/>
                <w:color w:val="000000"/>
                <w:sz w:val="22"/>
                <w:szCs w:val="22"/>
                <w:lang w:val="fr-FR"/>
              </w:rPr>
            </w:pPr>
            <w:r w:rsidRPr="00422A3C">
              <w:rPr>
                <w:rFonts w:ascii="Arial" w:hAnsi="Arial" w:cs="Arial"/>
                <w:b/>
                <w:color w:val="000000"/>
                <w:sz w:val="22"/>
                <w:szCs w:val="22"/>
                <w:lang w:val="fr-FR"/>
              </w:rPr>
              <w:t>A</w:t>
            </w:r>
            <w:r w:rsidRPr="00422A3C">
              <w:rPr>
                <w:rFonts w:ascii="Arial" w:hAnsi="Arial" w:cs="Arial"/>
                <w:b/>
                <w:bCs/>
                <w:color w:val="000000"/>
                <w:sz w:val="22"/>
                <w:szCs w:val="22"/>
                <w:lang w:val="fr-FR"/>
              </w:rPr>
              <w:t>.</w:t>
            </w:r>
            <w:r w:rsidRPr="00422A3C">
              <w:rPr>
                <w:rFonts w:ascii="Arial" w:hAnsi="Arial" w:cs="Arial"/>
                <w:b/>
                <w:color w:val="000000"/>
                <w:sz w:val="22"/>
                <w:szCs w:val="22"/>
                <w:lang w:val="fr-FR"/>
              </w:rPr>
              <w:t>2 Production des supports de renforcement des capacités existants: mise en œuvre nationale, inventaire, élaboration de dossiers</w:t>
            </w:r>
          </w:p>
        </w:tc>
        <w:tc>
          <w:tcPr>
            <w:tcW w:w="1203"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p>
        </w:tc>
      </w:tr>
      <w:tr w:rsidR="00422A3C" w:rsidRPr="00422A3C" w:rsidTr="00422A3C">
        <w:tc>
          <w:tcPr>
            <w:tcW w:w="3119"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color w:val="000000"/>
                <w:sz w:val="22"/>
                <w:szCs w:val="22"/>
                <w:lang w:val="fr-FR"/>
              </w:rPr>
              <w:t>Pré-production</w:t>
            </w:r>
          </w:p>
        </w:tc>
        <w:tc>
          <w:tcPr>
            <w:tcW w:w="5386"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Services professionnels pour la traduction, la préparation de copies, la conception graphique et la mise en page en anglais et en français</w:t>
            </w:r>
          </w:p>
        </w:tc>
        <w:tc>
          <w:tcPr>
            <w:tcW w:w="1203" w:type="dxa"/>
            <w:shd w:val="clear" w:color="auto" w:fill="auto"/>
            <w:vAlign w:val="center"/>
          </w:tcPr>
          <w:p w:rsidR="00422A3C" w:rsidRPr="00422A3C" w:rsidRDefault="008902DF" w:rsidP="00422A3C">
            <w:pPr>
              <w:spacing w:before="60" w:after="60"/>
              <w:jc w:val="right"/>
              <w:rPr>
                <w:rFonts w:ascii="Arial" w:hAnsi="Arial" w:cs="Arial"/>
                <w:color w:val="000000"/>
                <w:sz w:val="22"/>
                <w:szCs w:val="22"/>
                <w:lang w:val="fr-FR"/>
              </w:rPr>
            </w:pPr>
            <w:r>
              <w:rPr>
                <w:rFonts w:ascii="Arial" w:hAnsi="Arial" w:cs="Arial"/>
                <w:color w:val="000000"/>
                <w:sz w:val="22"/>
                <w:szCs w:val="22"/>
                <w:lang w:val="fr-FR"/>
              </w:rPr>
              <w:t>90 000 </w:t>
            </w:r>
            <w:r w:rsidR="00422A3C" w:rsidRPr="00422A3C">
              <w:rPr>
                <w:rFonts w:ascii="Arial" w:hAnsi="Arial" w:cs="Arial"/>
                <w:color w:val="000000"/>
                <w:sz w:val="22"/>
                <w:szCs w:val="22"/>
                <w:lang w:val="fr-FR"/>
              </w:rPr>
              <w:t>$</w:t>
            </w:r>
          </w:p>
        </w:tc>
      </w:tr>
      <w:tr w:rsidR="00422A3C" w:rsidRPr="0019236F" w:rsidTr="00422A3C">
        <w:tc>
          <w:tcPr>
            <w:tcW w:w="8505" w:type="dxa"/>
            <w:gridSpan w:val="2"/>
            <w:shd w:val="clear" w:color="auto" w:fill="auto"/>
            <w:vAlign w:val="center"/>
          </w:tcPr>
          <w:p w:rsidR="00422A3C" w:rsidRPr="00422A3C" w:rsidRDefault="00422A3C" w:rsidP="00422A3C">
            <w:pPr>
              <w:spacing w:before="60" w:after="60"/>
              <w:rPr>
                <w:rFonts w:ascii="Arial" w:hAnsi="Arial" w:cs="Arial"/>
                <w:b/>
                <w:bCs/>
                <w:color w:val="000000"/>
                <w:sz w:val="22"/>
                <w:szCs w:val="22"/>
                <w:lang w:val="fr-FR"/>
              </w:rPr>
            </w:pPr>
            <w:r w:rsidRPr="00422A3C">
              <w:rPr>
                <w:rFonts w:ascii="Arial" w:hAnsi="Arial" w:cs="Arial"/>
                <w:b/>
                <w:bCs/>
                <w:color w:val="000000"/>
                <w:sz w:val="22"/>
                <w:szCs w:val="22"/>
                <w:lang w:val="fr-FR"/>
              </w:rPr>
              <w:t xml:space="preserve">A.3 Atelier de bilan pour les facilitateurs formés </w:t>
            </w:r>
          </w:p>
        </w:tc>
        <w:tc>
          <w:tcPr>
            <w:tcW w:w="1203"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p>
        </w:tc>
      </w:tr>
      <w:tr w:rsidR="00422A3C" w:rsidRPr="00422A3C" w:rsidTr="00422A3C">
        <w:tc>
          <w:tcPr>
            <w:tcW w:w="3119"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color w:val="000000"/>
                <w:sz w:val="22"/>
                <w:szCs w:val="22"/>
                <w:lang w:val="fr-FR"/>
              </w:rPr>
              <w:t>Atelier pour 10 à 15 facilitateurs</w:t>
            </w:r>
          </w:p>
        </w:tc>
        <w:tc>
          <w:tcPr>
            <w:tcW w:w="5386"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Voyage et séjour des participants, salles de réunion et équipement, frais de reproduction, déplacements locaux, hospitalité, communication, expédition</w:t>
            </w:r>
          </w:p>
        </w:tc>
        <w:tc>
          <w:tcPr>
            <w:tcW w:w="1203" w:type="dxa"/>
            <w:shd w:val="clear" w:color="auto" w:fill="auto"/>
            <w:vAlign w:val="center"/>
          </w:tcPr>
          <w:p w:rsidR="00422A3C" w:rsidRPr="00422A3C" w:rsidRDefault="008902DF" w:rsidP="00422A3C">
            <w:pPr>
              <w:spacing w:before="60" w:after="60"/>
              <w:jc w:val="right"/>
              <w:rPr>
                <w:rFonts w:ascii="Arial" w:hAnsi="Arial" w:cs="Arial"/>
                <w:color w:val="000000"/>
                <w:sz w:val="22"/>
                <w:szCs w:val="22"/>
                <w:lang w:val="fr-FR"/>
              </w:rPr>
            </w:pPr>
            <w:r>
              <w:rPr>
                <w:rFonts w:ascii="Arial" w:hAnsi="Arial" w:cs="Arial"/>
                <w:color w:val="000000"/>
                <w:sz w:val="22"/>
                <w:szCs w:val="22"/>
                <w:lang w:val="fr-FR"/>
              </w:rPr>
              <w:t>80 000 </w:t>
            </w:r>
            <w:r w:rsidR="00422A3C" w:rsidRPr="00422A3C">
              <w:rPr>
                <w:rFonts w:ascii="Arial" w:hAnsi="Arial" w:cs="Arial"/>
                <w:color w:val="000000"/>
                <w:sz w:val="22"/>
                <w:szCs w:val="22"/>
                <w:lang w:val="fr-FR"/>
              </w:rPr>
              <w:t>$</w:t>
            </w:r>
          </w:p>
        </w:tc>
      </w:tr>
      <w:tr w:rsidR="00422A3C" w:rsidRPr="0019236F" w:rsidTr="00422A3C">
        <w:tc>
          <w:tcPr>
            <w:tcW w:w="8505" w:type="dxa"/>
            <w:gridSpan w:val="2"/>
            <w:shd w:val="clear" w:color="auto" w:fill="auto"/>
            <w:vAlign w:val="center"/>
          </w:tcPr>
          <w:p w:rsidR="00422A3C" w:rsidRPr="00422A3C" w:rsidRDefault="00422A3C" w:rsidP="00422A3C">
            <w:pPr>
              <w:spacing w:before="60" w:after="60"/>
              <w:rPr>
                <w:rFonts w:ascii="Arial" w:hAnsi="Arial" w:cs="Arial"/>
                <w:b/>
                <w:bCs/>
                <w:color w:val="000000"/>
                <w:sz w:val="22"/>
                <w:szCs w:val="22"/>
                <w:lang w:val="fr-FR"/>
              </w:rPr>
            </w:pPr>
            <w:r w:rsidRPr="00422A3C">
              <w:rPr>
                <w:rFonts w:ascii="Arial" w:hAnsi="Arial" w:cs="Arial"/>
                <w:b/>
                <w:color w:val="000000"/>
                <w:sz w:val="22"/>
                <w:szCs w:val="22"/>
                <w:lang w:val="fr-FR"/>
              </w:rPr>
              <w:t>A.4 Premier Forum des jeunes des Caraïbes sur la sauvegarde du patrimoine culturel immatériel</w:t>
            </w:r>
          </w:p>
        </w:tc>
        <w:tc>
          <w:tcPr>
            <w:tcW w:w="1203"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p>
        </w:tc>
      </w:tr>
      <w:tr w:rsidR="00422A3C" w:rsidRPr="00422A3C" w:rsidTr="00422A3C">
        <w:tc>
          <w:tcPr>
            <w:tcW w:w="3119"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color w:val="000000"/>
                <w:sz w:val="22"/>
                <w:szCs w:val="22"/>
                <w:lang w:val="fr-FR"/>
              </w:rPr>
              <w:t>Forum sur la mise en œuvre de la Convention de 2003</w:t>
            </w:r>
          </w:p>
        </w:tc>
        <w:tc>
          <w:tcPr>
            <w:tcW w:w="5386"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Voyage et séjour des participants, services de facilitation et dépenses associées, salles de réunion et équipement, frais de reproduction, déplacements locaux, hospitalité, communication, expédition</w:t>
            </w:r>
          </w:p>
        </w:tc>
        <w:tc>
          <w:tcPr>
            <w:tcW w:w="1203" w:type="dxa"/>
            <w:shd w:val="clear" w:color="auto" w:fill="auto"/>
            <w:vAlign w:val="center"/>
          </w:tcPr>
          <w:p w:rsidR="00422A3C" w:rsidRPr="00422A3C" w:rsidRDefault="008902DF" w:rsidP="00422A3C">
            <w:pPr>
              <w:spacing w:before="60" w:after="60"/>
              <w:jc w:val="right"/>
              <w:rPr>
                <w:rFonts w:ascii="Arial" w:hAnsi="Arial" w:cs="Arial"/>
                <w:color w:val="000000"/>
                <w:sz w:val="22"/>
                <w:szCs w:val="22"/>
                <w:lang w:val="fr-FR"/>
              </w:rPr>
            </w:pPr>
            <w:r>
              <w:rPr>
                <w:rFonts w:ascii="Arial" w:hAnsi="Arial" w:cs="Arial"/>
                <w:color w:val="000000"/>
                <w:sz w:val="22"/>
                <w:szCs w:val="22"/>
                <w:lang w:val="fr-FR"/>
              </w:rPr>
              <w:t>20 000 </w:t>
            </w:r>
            <w:r w:rsidR="00422A3C" w:rsidRPr="00422A3C">
              <w:rPr>
                <w:rFonts w:ascii="Arial" w:hAnsi="Arial" w:cs="Arial"/>
                <w:color w:val="000000"/>
                <w:sz w:val="22"/>
                <w:szCs w:val="22"/>
                <w:lang w:val="fr-FR"/>
              </w:rPr>
              <w:t>$</w:t>
            </w:r>
          </w:p>
        </w:tc>
      </w:tr>
      <w:tr w:rsidR="00422A3C" w:rsidRPr="00422A3C" w:rsidTr="00422A3C">
        <w:tc>
          <w:tcPr>
            <w:tcW w:w="8505" w:type="dxa"/>
            <w:gridSpan w:val="2"/>
            <w:shd w:val="clear" w:color="auto" w:fill="F2F2F2"/>
            <w:vAlign w:val="center"/>
          </w:tcPr>
          <w:p w:rsidR="00422A3C" w:rsidRPr="00422A3C" w:rsidRDefault="00422A3C" w:rsidP="00422A3C">
            <w:pPr>
              <w:spacing w:before="60" w:after="60"/>
              <w:rPr>
                <w:rFonts w:ascii="Arial" w:hAnsi="Arial" w:cs="Arial"/>
                <w:b/>
                <w:bCs/>
                <w:color w:val="000000"/>
                <w:sz w:val="22"/>
                <w:szCs w:val="22"/>
                <w:lang w:val="fr-FR"/>
              </w:rPr>
            </w:pPr>
            <w:r w:rsidRPr="00422A3C">
              <w:rPr>
                <w:rFonts w:ascii="Arial" w:hAnsi="Arial" w:cs="Arial"/>
                <w:b/>
                <w:color w:val="000000"/>
                <w:sz w:val="22"/>
                <w:szCs w:val="22"/>
                <w:lang w:val="fr-FR"/>
              </w:rPr>
              <w:t>B. Promotion et diffusion des meilleures pratiques de sauvegarde</w:t>
            </w:r>
          </w:p>
        </w:tc>
        <w:tc>
          <w:tcPr>
            <w:tcW w:w="1203" w:type="dxa"/>
            <w:shd w:val="clear" w:color="auto" w:fill="F2F2F2"/>
            <w:vAlign w:val="center"/>
          </w:tcPr>
          <w:p w:rsidR="00422A3C" w:rsidRPr="00422A3C" w:rsidRDefault="008902DF" w:rsidP="00422A3C">
            <w:pPr>
              <w:spacing w:before="60" w:after="60"/>
              <w:jc w:val="right"/>
              <w:rPr>
                <w:rFonts w:ascii="Arial" w:hAnsi="Arial" w:cs="Arial"/>
                <w:b/>
                <w:bCs/>
                <w:color w:val="000000"/>
                <w:sz w:val="22"/>
                <w:szCs w:val="22"/>
                <w:lang w:val="fr-FR"/>
              </w:rPr>
            </w:pPr>
            <w:r>
              <w:rPr>
                <w:rFonts w:ascii="Arial" w:hAnsi="Arial" w:cs="Arial"/>
                <w:b/>
                <w:bCs/>
                <w:color w:val="000000"/>
                <w:sz w:val="22"/>
                <w:szCs w:val="22"/>
                <w:lang w:val="fr-FR"/>
              </w:rPr>
              <w:t>50 000 </w:t>
            </w:r>
            <w:r w:rsidR="00422A3C" w:rsidRPr="00422A3C">
              <w:rPr>
                <w:rFonts w:ascii="Arial" w:hAnsi="Arial" w:cs="Arial"/>
                <w:b/>
                <w:bCs/>
                <w:color w:val="000000"/>
                <w:sz w:val="22"/>
                <w:szCs w:val="22"/>
                <w:lang w:val="fr-FR"/>
              </w:rPr>
              <w:t>$</w:t>
            </w:r>
          </w:p>
        </w:tc>
      </w:tr>
      <w:tr w:rsidR="00422A3C" w:rsidRPr="00422A3C" w:rsidTr="00422A3C">
        <w:tc>
          <w:tcPr>
            <w:tcW w:w="3119"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color w:val="000000"/>
                <w:sz w:val="22"/>
                <w:szCs w:val="22"/>
                <w:lang w:val="fr-FR"/>
              </w:rPr>
              <w:t>Recherche, documentation, publication et diffusion des meilleures pratiques</w:t>
            </w:r>
          </w:p>
        </w:tc>
        <w:tc>
          <w:tcPr>
            <w:tcW w:w="5386"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Services professionnels pour l</w:t>
            </w:r>
            <w:r w:rsidR="00AF2934">
              <w:rPr>
                <w:rStyle w:val="normal0020tablechar"/>
                <w:rFonts w:ascii="Arial" w:hAnsi="Arial" w:cs="Arial"/>
                <w:sz w:val="22"/>
                <w:szCs w:val="22"/>
                <w:lang w:val="fr-FR"/>
              </w:rPr>
              <w:t>’</w:t>
            </w:r>
            <w:r w:rsidRPr="00422A3C">
              <w:rPr>
                <w:rStyle w:val="normal0020tablechar"/>
                <w:rFonts w:ascii="Arial" w:hAnsi="Arial" w:cs="Arial"/>
                <w:sz w:val="22"/>
                <w:szCs w:val="22"/>
                <w:lang w:val="fr-FR"/>
              </w:rPr>
              <w:t>élaboration de contenus, la préparation de textes, la traduction, la conception graphique et la mise en page en anglais et en français</w:t>
            </w:r>
          </w:p>
        </w:tc>
        <w:tc>
          <w:tcPr>
            <w:tcW w:w="1203" w:type="dxa"/>
            <w:shd w:val="clear" w:color="auto" w:fill="auto"/>
            <w:vAlign w:val="center"/>
          </w:tcPr>
          <w:p w:rsidR="00422A3C" w:rsidRPr="00422A3C" w:rsidRDefault="008902DF" w:rsidP="00422A3C">
            <w:pPr>
              <w:spacing w:before="60" w:after="60"/>
              <w:jc w:val="right"/>
              <w:rPr>
                <w:rFonts w:ascii="Arial" w:hAnsi="Arial" w:cs="Arial"/>
                <w:color w:val="000000"/>
                <w:sz w:val="22"/>
                <w:szCs w:val="22"/>
                <w:lang w:val="fr-FR"/>
              </w:rPr>
            </w:pPr>
            <w:r>
              <w:rPr>
                <w:rFonts w:ascii="Arial" w:hAnsi="Arial" w:cs="Arial"/>
                <w:color w:val="000000"/>
                <w:sz w:val="22"/>
                <w:szCs w:val="22"/>
                <w:lang w:val="fr-FR"/>
              </w:rPr>
              <w:t>50 000 </w:t>
            </w:r>
            <w:r w:rsidR="00422A3C" w:rsidRPr="00422A3C">
              <w:rPr>
                <w:rFonts w:ascii="Arial" w:hAnsi="Arial" w:cs="Arial"/>
                <w:color w:val="000000"/>
                <w:sz w:val="22"/>
                <w:szCs w:val="22"/>
                <w:lang w:val="fr-FR"/>
              </w:rPr>
              <w:t>$</w:t>
            </w:r>
          </w:p>
        </w:tc>
      </w:tr>
      <w:tr w:rsidR="00422A3C" w:rsidRPr="00422A3C" w:rsidTr="00422A3C">
        <w:tc>
          <w:tcPr>
            <w:tcW w:w="8505" w:type="dxa"/>
            <w:gridSpan w:val="2"/>
            <w:shd w:val="clear" w:color="auto" w:fill="F2F2F2"/>
            <w:vAlign w:val="center"/>
          </w:tcPr>
          <w:p w:rsidR="00422A3C" w:rsidRPr="00422A3C" w:rsidRDefault="00422A3C" w:rsidP="00422A3C">
            <w:pPr>
              <w:spacing w:before="60" w:after="60"/>
              <w:rPr>
                <w:rFonts w:ascii="Arial" w:hAnsi="Arial" w:cs="Arial"/>
                <w:b/>
                <w:bCs/>
                <w:color w:val="000000"/>
                <w:sz w:val="22"/>
                <w:szCs w:val="22"/>
                <w:lang w:val="fr-FR"/>
              </w:rPr>
            </w:pPr>
            <w:r w:rsidRPr="00422A3C">
              <w:rPr>
                <w:rFonts w:ascii="Arial" w:hAnsi="Arial" w:cs="Arial"/>
                <w:b/>
                <w:bCs/>
                <w:color w:val="000000"/>
                <w:sz w:val="22"/>
                <w:szCs w:val="22"/>
                <w:lang w:val="fr-FR"/>
              </w:rPr>
              <w:t>C. Communication et visibilité</w:t>
            </w:r>
          </w:p>
        </w:tc>
        <w:tc>
          <w:tcPr>
            <w:tcW w:w="1203" w:type="dxa"/>
            <w:shd w:val="clear" w:color="auto" w:fill="F2F2F2"/>
            <w:vAlign w:val="center"/>
          </w:tcPr>
          <w:p w:rsidR="00422A3C" w:rsidRPr="00422A3C" w:rsidRDefault="008902DF" w:rsidP="00422A3C">
            <w:pPr>
              <w:spacing w:before="60" w:after="60"/>
              <w:jc w:val="right"/>
              <w:rPr>
                <w:rFonts w:ascii="Arial" w:hAnsi="Arial" w:cs="Arial"/>
                <w:b/>
                <w:bCs/>
                <w:color w:val="000000"/>
                <w:sz w:val="22"/>
                <w:szCs w:val="22"/>
                <w:lang w:val="fr-FR"/>
              </w:rPr>
            </w:pPr>
            <w:r>
              <w:rPr>
                <w:rFonts w:ascii="Arial" w:hAnsi="Arial" w:cs="Arial"/>
                <w:b/>
                <w:bCs/>
                <w:color w:val="000000"/>
                <w:sz w:val="22"/>
                <w:szCs w:val="22"/>
                <w:lang w:val="fr-FR"/>
              </w:rPr>
              <w:t>164 000 </w:t>
            </w:r>
            <w:r w:rsidR="00422A3C" w:rsidRPr="00422A3C">
              <w:rPr>
                <w:rFonts w:ascii="Arial" w:hAnsi="Arial" w:cs="Arial"/>
                <w:b/>
                <w:bCs/>
                <w:color w:val="000000"/>
                <w:sz w:val="22"/>
                <w:szCs w:val="22"/>
                <w:lang w:val="fr-FR"/>
              </w:rPr>
              <w:t>$</w:t>
            </w:r>
          </w:p>
        </w:tc>
      </w:tr>
      <w:tr w:rsidR="00422A3C" w:rsidRPr="0019236F" w:rsidTr="00422A3C">
        <w:tc>
          <w:tcPr>
            <w:tcW w:w="8505" w:type="dxa"/>
            <w:gridSpan w:val="2"/>
            <w:shd w:val="clear" w:color="auto" w:fill="auto"/>
            <w:vAlign w:val="center"/>
          </w:tcPr>
          <w:p w:rsidR="00422A3C" w:rsidRPr="00422A3C" w:rsidRDefault="00422A3C" w:rsidP="00422A3C">
            <w:pPr>
              <w:pStyle w:val="normal0020table"/>
              <w:spacing w:before="60" w:beforeAutospacing="0" w:after="60" w:afterAutospacing="0"/>
            </w:pPr>
            <w:r w:rsidRPr="00422A3C">
              <w:rPr>
                <w:rStyle w:val="normal0020tablechar"/>
                <w:rFonts w:ascii="Arial" w:hAnsi="Arial" w:cs="Arial"/>
                <w:b/>
                <w:bCs/>
                <w:sz w:val="22"/>
                <w:szCs w:val="22"/>
              </w:rPr>
              <w:t>C.1 Publication des Textes fondamentaux, tels qu</w:t>
            </w:r>
            <w:r w:rsidR="00AF2934">
              <w:rPr>
                <w:rStyle w:val="normal0020tablechar"/>
                <w:rFonts w:ascii="Arial" w:hAnsi="Arial" w:cs="Arial"/>
                <w:b/>
                <w:bCs/>
                <w:sz w:val="22"/>
                <w:szCs w:val="22"/>
              </w:rPr>
              <w:t>’</w:t>
            </w:r>
            <w:r w:rsidRPr="00422A3C">
              <w:rPr>
                <w:rStyle w:val="normal0020tablechar"/>
                <w:rFonts w:ascii="Arial" w:hAnsi="Arial" w:cs="Arial"/>
                <w:b/>
                <w:bCs/>
                <w:sz w:val="22"/>
                <w:szCs w:val="22"/>
              </w:rPr>
              <w:t>amendés par la quatrième session de l</w:t>
            </w:r>
            <w:r w:rsidR="00AF2934">
              <w:rPr>
                <w:rStyle w:val="normal0020tablechar"/>
                <w:rFonts w:ascii="Arial" w:hAnsi="Arial" w:cs="Arial"/>
                <w:b/>
                <w:bCs/>
                <w:sz w:val="22"/>
                <w:szCs w:val="22"/>
              </w:rPr>
              <w:t>’</w:t>
            </w:r>
            <w:r w:rsidRPr="00422A3C">
              <w:rPr>
                <w:rStyle w:val="normal0020tablechar"/>
                <w:rFonts w:ascii="Arial" w:hAnsi="Arial" w:cs="Arial"/>
                <w:b/>
                <w:bCs/>
                <w:sz w:val="22"/>
                <w:szCs w:val="22"/>
              </w:rPr>
              <w:t>Assemblée générale (anglais, arabe, chinois, espagnol, français, russe)</w:t>
            </w:r>
            <w:r w:rsidRPr="00422A3C">
              <w:t xml:space="preserve"> </w:t>
            </w:r>
          </w:p>
        </w:tc>
        <w:tc>
          <w:tcPr>
            <w:tcW w:w="1203" w:type="dxa"/>
            <w:shd w:val="clear" w:color="auto" w:fill="auto"/>
            <w:vAlign w:val="center"/>
          </w:tcPr>
          <w:p w:rsidR="00422A3C" w:rsidRPr="00422A3C" w:rsidRDefault="00422A3C" w:rsidP="00422A3C">
            <w:pPr>
              <w:spacing w:before="60" w:after="60"/>
              <w:rPr>
                <w:rFonts w:ascii="Arial" w:hAnsi="Arial" w:cs="Arial"/>
                <w:b/>
                <w:color w:val="000000"/>
                <w:sz w:val="22"/>
                <w:szCs w:val="22"/>
                <w:lang w:val="fr-FR"/>
              </w:rPr>
            </w:pPr>
          </w:p>
        </w:tc>
      </w:tr>
      <w:tr w:rsidR="00422A3C" w:rsidRPr="00422A3C" w:rsidTr="00422A3C">
        <w:tc>
          <w:tcPr>
            <w:tcW w:w="3119"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Pré-production et impression de l</w:t>
            </w:r>
            <w:r w:rsidR="00AF2934">
              <w:rPr>
                <w:rStyle w:val="normal0020tablechar"/>
                <w:rFonts w:ascii="Arial" w:hAnsi="Arial" w:cs="Arial"/>
                <w:sz w:val="22"/>
                <w:szCs w:val="22"/>
                <w:lang w:val="fr-FR"/>
              </w:rPr>
              <w:t>’</w:t>
            </w:r>
            <w:r w:rsidRPr="00422A3C">
              <w:rPr>
                <w:rStyle w:val="normal0020tablechar"/>
                <w:rFonts w:ascii="Arial" w:hAnsi="Arial" w:cs="Arial"/>
                <w:sz w:val="22"/>
                <w:szCs w:val="22"/>
                <w:lang w:val="fr-FR"/>
              </w:rPr>
              <w:t>édition 2012</w:t>
            </w:r>
          </w:p>
        </w:tc>
        <w:tc>
          <w:tcPr>
            <w:tcW w:w="5386"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Coûts d</w:t>
            </w:r>
            <w:r w:rsidR="00AF2934">
              <w:rPr>
                <w:rStyle w:val="normal0020tablechar"/>
                <w:rFonts w:ascii="Arial" w:hAnsi="Arial" w:cs="Arial"/>
                <w:sz w:val="22"/>
                <w:szCs w:val="22"/>
                <w:lang w:val="fr-FR"/>
              </w:rPr>
              <w:t>’</w:t>
            </w:r>
            <w:r w:rsidRPr="00422A3C">
              <w:rPr>
                <w:rStyle w:val="normal0020tablechar"/>
                <w:rFonts w:ascii="Arial" w:hAnsi="Arial" w:cs="Arial"/>
                <w:sz w:val="22"/>
                <w:szCs w:val="22"/>
                <w:lang w:val="fr-FR"/>
              </w:rPr>
              <w:t>impression, services professionnels pour la traduction, la préparation de copies, la conception graphique, la mise en page et la correction d</w:t>
            </w:r>
            <w:r w:rsidR="00AF2934">
              <w:rPr>
                <w:rStyle w:val="normal0020tablechar"/>
                <w:rFonts w:ascii="Arial" w:hAnsi="Arial" w:cs="Arial"/>
                <w:sz w:val="22"/>
                <w:szCs w:val="22"/>
                <w:lang w:val="fr-FR"/>
              </w:rPr>
              <w:t>’</w:t>
            </w:r>
            <w:r w:rsidRPr="00422A3C">
              <w:rPr>
                <w:rStyle w:val="normal0020tablechar"/>
                <w:rFonts w:ascii="Arial" w:hAnsi="Arial" w:cs="Arial"/>
                <w:sz w:val="22"/>
                <w:szCs w:val="22"/>
                <w:lang w:val="fr-FR"/>
              </w:rPr>
              <w:t>épreuves</w:t>
            </w:r>
          </w:p>
        </w:tc>
        <w:tc>
          <w:tcPr>
            <w:tcW w:w="1203" w:type="dxa"/>
            <w:shd w:val="clear" w:color="auto" w:fill="auto"/>
            <w:vAlign w:val="center"/>
          </w:tcPr>
          <w:p w:rsidR="00422A3C" w:rsidRPr="00422A3C" w:rsidRDefault="008902DF" w:rsidP="00422A3C">
            <w:pPr>
              <w:spacing w:before="60" w:after="60"/>
              <w:jc w:val="right"/>
              <w:rPr>
                <w:rFonts w:ascii="Arial" w:hAnsi="Arial" w:cs="Arial"/>
                <w:color w:val="000000"/>
                <w:sz w:val="22"/>
                <w:szCs w:val="22"/>
                <w:lang w:val="fr-FR"/>
              </w:rPr>
            </w:pPr>
            <w:r>
              <w:rPr>
                <w:rFonts w:ascii="Arial" w:hAnsi="Arial" w:cs="Arial"/>
                <w:color w:val="000000"/>
                <w:sz w:val="22"/>
                <w:szCs w:val="22"/>
                <w:lang w:val="fr-FR"/>
              </w:rPr>
              <w:t>90 </w:t>
            </w:r>
            <w:r w:rsidR="00422A3C" w:rsidRPr="00422A3C">
              <w:rPr>
                <w:rFonts w:ascii="Arial" w:hAnsi="Arial" w:cs="Arial"/>
                <w:color w:val="000000"/>
                <w:sz w:val="22"/>
                <w:szCs w:val="22"/>
                <w:lang w:val="fr-FR"/>
              </w:rPr>
              <w:t>000</w:t>
            </w:r>
            <w:r>
              <w:rPr>
                <w:rFonts w:ascii="Arial" w:hAnsi="Arial" w:cs="Arial"/>
                <w:color w:val="000000"/>
                <w:sz w:val="22"/>
                <w:szCs w:val="22"/>
                <w:lang w:val="fr-FR"/>
              </w:rPr>
              <w:t> </w:t>
            </w:r>
            <w:r w:rsidR="00422A3C" w:rsidRPr="00422A3C">
              <w:rPr>
                <w:rFonts w:ascii="Arial" w:hAnsi="Arial" w:cs="Arial"/>
                <w:color w:val="000000"/>
                <w:sz w:val="22"/>
                <w:szCs w:val="22"/>
                <w:lang w:val="fr-FR"/>
              </w:rPr>
              <w:t>$</w:t>
            </w:r>
          </w:p>
        </w:tc>
      </w:tr>
      <w:tr w:rsidR="00422A3C" w:rsidRPr="0019236F" w:rsidTr="00422A3C">
        <w:tc>
          <w:tcPr>
            <w:tcW w:w="8505" w:type="dxa"/>
            <w:gridSpan w:val="2"/>
            <w:shd w:val="clear" w:color="auto" w:fill="auto"/>
            <w:vAlign w:val="center"/>
          </w:tcPr>
          <w:p w:rsidR="00422A3C" w:rsidRPr="00422A3C" w:rsidRDefault="00422A3C" w:rsidP="00422A3C">
            <w:pPr>
              <w:spacing w:before="60" w:after="60"/>
              <w:rPr>
                <w:rFonts w:ascii="Arial" w:hAnsi="Arial" w:cs="Arial"/>
                <w:b/>
                <w:bCs/>
                <w:color w:val="000000"/>
                <w:sz w:val="22"/>
                <w:szCs w:val="22"/>
                <w:lang w:val="fr-FR"/>
              </w:rPr>
            </w:pPr>
            <w:r w:rsidRPr="00422A3C">
              <w:rPr>
                <w:rFonts w:ascii="Arial" w:hAnsi="Arial" w:cs="Arial"/>
                <w:b/>
                <w:bCs/>
                <w:color w:val="000000"/>
                <w:sz w:val="22"/>
                <w:szCs w:val="22"/>
                <w:lang w:val="fr-FR"/>
              </w:rPr>
              <w:t xml:space="preserve">C.2 </w:t>
            </w:r>
            <w:r w:rsidRPr="00422A3C">
              <w:rPr>
                <w:rStyle w:val="normal0020tablechar"/>
                <w:rFonts w:ascii="Arial" w:hAnsi="Arial" w:cs="Arial"/>
                <w:b/>
                <w:bCs/>
                <w:sz w:val="22"/>
                <w:szCs w:val="22"/>
                <w:lang w:val="fr-FR"/>
              </w:rPr>
              <w:t>Publication de dépliants sur les listes de sauvegarde urgente et représentative et le Registre des meilleures pratiques de sauvegarde (anglais et français)</w:t>
            </w:r>
          </w:p>
        </w:tc>
        <w:tc>
          <w:tcPr>
            <w:tcW w:w="1203"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p>
        </w:tc>
      </w:tr>
      <w:tr w:rsidR="00422A3C" w:rsidRPr="00422A3C" w:rsidTr="00422A3C">
        <w:tc>
          <w:tcPr>
            <w:tcW w:w="3119"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 xml:space="preserve">Réimpression des dépliants 2011, pré-production et impression des dépliants 2012 </w:t>
            </w:r>
          </w:p>
        </w:tc>
        <w:tc>
          <w:tcPr>
            <w:tcW w:w="5386"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Coûts d</w:t>
            </w:r>
            <w:r w:rsidR="00AF2934">
              <w:rPr>
                <w:rStyle w:val="normal0020tablechar"/>
                <w:rFonts w:ascii="Arial" w:hAnsi="Arial" w:cs="Arial"/>
                <w:sz w:val="22"/>
                <w:szCs w:val="22"/>
                <w:lang w:val="fr-FR"/>
              </w:rPr>
              <w:t>’</w:t>
            </w:r>
            <w:r w:rsidRPr="00422A3C">
              <w:rPr>
                <w:rStyle w:val="normal0020tablechar"/>
                <w:rFonts w:ascii="Arial" w:hAnsi="Arial" w:cs="Arial"/>
                <w:sz w:val="22"/>
                <w:szCs w:val="22"/>
                <w:lang w:val="fr-FR"/>
              </w:rPr>
              <w:t>impression, services professionnels pour la rédaction, l</w:t>
            </w:r>
            <w:r w:rsidR="00AF2934">
              <w:rPr>
                <w:rStyle w:val="normal0020tablechar"/>
                <w:rFonts w:ascii="Arial" w:hAnsi="Arial" w:cs="Arial"/>
                <w:sz w:val="22"/>
                <w:szCs w:val="22"/>
                <w:lang w:val="fr-FR"/>
              </w:rPr>
              <w:t>’</w:t>
            </w:r>
            <w:r w:rsidRPr="00422A3C">
              <w:rPr>
                <w:rStyle w:val="normal0020tablechar"/>
                <w:rFonts w:ascii="Arial" w:hAnsi="Arial" w:cs="Arial"/>
                <w:sz w:val="22"/>
                <w:szCs w:val="22"/>
                <w:lang w:val="fr-FR"/>
              </w:rPr>
              <w:t>édition, la traduction, la préparation de copies, la conception graphique, la mise en page et la correction d</w:t>
            </w:r>
            <w:r w:rsidR="00AF2934">
              <w:rPr>
                <w:rStyle w:val="normal0020tablechar"/>
                <w:rFonts w:ascii="Arial" w:hAnsi="Arial" w:cs="Arial"/>
                <w:sz w:val="22"/>
                <w:szCs w:val="22"/>
                <w:lang w:val="fr-FR"/>
              </w:rPr>
              <w:t>’</w:t>
            </w:r>
            <w:r w:rsidRPr="00422A3C">
              <w:rPr>
                <w:rStyle w:val="normal0020tablechar"/>
                <w:rFonts w:ascii="Arial" w:hAnsi="Arial" w:cs="Arial"/>
                <w:sz w:val="22"/>
                <w:szCs w:val="22"/>
                <w:lang w:val="fr-FR"/>
              </w:rPr>
              <w:t>épreuves</w:t>
            </w:r>
          </w:p>
        </w:tc>
        <w:tc>
          <w:tcPr>
            <w:tcW w:w="1203" w:type="dxa"/>
            <w:shd w:val="clear" w:color="auto" w:fill="auto"/>
            <w:vAlign w:val="center"/>
          </w:tcPr>
          <w:p w:rsidR="00422A3C" w:rsidRPr="00422A3C" w:rsidRDefault="008902DF" w:rsidP="00422A3C">
            <w:pPr>
              <w:spacing w:before="60" w:after="60"/>
              <w:jc w:val="right"/>
              <w:rPr>
                <w:rFonts w:ascii="Arial" w:hAnsi="Arial" w:cs="Arial"/>
                <w:color w:val="000000"/>
                <w:sz w:val="22"/>
                <w:szCs w:val="22"/>
                <w:lang w:val="fr-FR"/>
              </w:rPr>
            </w:pPr>
            <w:r>
              <w:rPr>
                <w:rFonts w:ascii="Arial" w:hAnsi="Arial" w:cs="Arial"/>
                <w:color w:val="000000"/>
                <w:sz w:val="22"/>
                <w:szCs w:val="22"/>
                <w:lang w:val="fr-FR"/>
              </w:rPr>
              <w:t>37 000 </w:t>
            </w:r>
            <w:r w:rsidR="00422A3C" w:rsidRPr="00422A3C">
              <w:rPr>
                <w:rFonts w:ascii="Arial" w:hAnsi="Arial" w:cs="Arial"/>
                <w:color w:val="000000"/>
                <w:sz w:val="22"/>
                <w:szCs w:val="22"/>
                <w:lang w:val="fr-FR"/>
              </w:rPr>
              <w:t>$</w:t>
            </w:r>
          </w:p>
        </w:tc>
      </w:tr>
      <w:tr w:rsidR="00422A3C" w:rsidRPr="0019236F" w:rsidTr="00422A3C">
        <w:tc>
          <w:tcPr>
            <w:tcW w:w="8505" w:type="dxa"/>
            <w:gridSpan w:val="2"/>
            <w:shd w:val="clear" w:color="auto" w:fill="auto"/>
            <w:vAlign w:val="center"/>
          </w:tcPr>
          <w:p w:rsidR="00422A3C" w:rsidRPr="00422A3C" w:rsidRDefault="00422A3C" w:rsidP="00422A3C">
            <w:pPr>
              <w:pStyle w:val="normal0020table"/>
              <w:spacing w:before="60" w:beforeAutospacing="0" w:after="60" w:afterAutospacing="0"/>
            </w:pPr>
            <w:r w:rsidRPr="00422A3C">
              <w:rPr>
                <w:rStyle w:val="normal0020tablechar"/>
                <w:rFonts w:ascii="Arial" w:hAnsi="Arial" w:cs="Arial"/>
                <w:b/>
                <w:bCs/>
                <w:sz w:val="22"/>
                <w:szCs w:val="22"/>
              </w:rPr>
              <w:t>C.3 Publication de dépliants sur les listes de sauvegarde urgente et représentative ainsi que le Registre des meilleures pratiques de sauvegarde 2012 &amp; 2013 (anglais et français)</w:t>
            </w:r>
            <w:r w:rsidRPr="00422A3C">
              <w:t xml:space="preserve"> </w:t>
            </w:r>
          </w:p>
        </w:tc>
        <w:tc>
          <w:tcPr>
            <w:tcW w:w="1203"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p>
        </w:tc>
      </w:tr>
      <w:tr w:rsidR="00422A3C" w:rsidRPr="00422A3C" w:rsidTr="00422A3C">
        <w:tc>
          <w:tcPr>
            <w:tcW w:w="3119"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color w:val="000000"/>
                <w:sz w:val="22"/>
                <w:szCs w:val="22"/>
                <w:lang w:val="fr-FR"/>
              </w:rPr>
              <w:t>Pré-production</w:t>
            </w:r>
          </w:p>
        </w:tc>
        <w:tc>
          <w:tcPr>
            <w:tcW w:w="5386"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color w:val="000000"/>
                <w:sz w:val="22"/>
                <w:szCs w:val="22"/>
                <w:lang w:val="fr-FR"/>
              </w:rPr>
              <w:t>Services professionnels pour la rédaction, l</w:t>
            </w:r>
            <w:r w:rsidR="00AF2934">
              <w:rPr>
                <w:rFonts w:ascii="Arial" w:hAnsi="Arial" w:cs="Arial"/>
                <w:color w:val="000000"/>
                <w:sz w:val="22"/>
                <w:szCs w:val="22"/>
                <w:lang w:val="fr-FR"/>
              </w:rPr>
              <w:t>’</w:t>
            </w:r>
            <w:r w:rsidRPr="00422A3C">
              <w:rPr>
                <w:rFonts w:ascii="Arial" w:hAnsi="Arial" w:cs="Arial"/>
                <w:color w:val="000000"/>
                <w:sz w:val="22"/>
                <w:szCs w:val="22"/>
                <w:lang w:val="fr-FR"/>
              </w:rPr>
              <w:t xml:space="preserve">édition, la traduction, la préparation de copies, la conception graphique, la mise en page et la </w:t>
            </w:r>
            <w:r w:rsidRPr="00422A3C">
              <w:rPr>
                <w:rStyle w:val="normal0020tablechar"/>
                <w:rFonts w:ascii="Arial" w:hAnsi="Arial" w:cs="Arial"/>
                <w:sz w:val="22"/>
                <w:szCs w:val="22"/>
                <w:lang w:val="fr-FR"/>
              </w:rPr>
              <w:t>correction d</w:t>
            </w:r>
            <w:r w:rsidR="00AF2934">
              <w:rPr>
                <w:rStyle w:val="normal0020tablechar"/>
                <w:rFonts w:ascii="Arial" w:hAnsi="Arial" w:cs="Arial"/>
                <w:sz w:val="22"/>
                <w:szCs w:val="22"/>
                <w:lang w:val="fr-FR"/>
              </w:rPr>
              <w:t>’</w:t>
            </w:r>
            <w:r w:rsidRPr="00422A3C">
              <w:rPr>
                <w:rStyle w:val="normal0020tablechar"/>
                <w:rFonts w:ascii="Arial" w:hAnsi="Arial" w:cs="Arial"/>
                <w:sz w:val="22"/>
                <w:szCs w:val="22"/>
                <w:lang w:val="fr-FR"/>
              </w:rPr>
              <w:t>épreuves</w:t>
            </w:r>
          </w:p>
        </w:tc>
        <w:tc>
          <w:tcPr>
            <w:tcW w:w="1203" w:type="dxa"/>
            <w:shd w:val="clear" w:color="auto" w:fill="auto"/>
            <w:vAlign w:val="center"/>
          </w:tcPr>
          <w:p w:rsidR="00422A3C" w:rsidRPr="00422A3C" w:rsidRDefault="00422A3C" w:rsidP="008902DF">
            <w:pPr>
              <w:spacing w:before="60" w:after="60"/>
              <w:jc w:val="right"/>
              <w:rPr>
                <w:rFonts w:ascii="Arial" w:hAnsi="Arial" w:cs="Arial"/>
                <w:bCs/>
                <w:color w:val="000000"/>
                <w:sz w:val="22"/>
                <w:szCs w:val="22"/>
                <w:lang w:val="fr-FR"/>
              </w:rPr>
            </w:pPr>
            <w:r w:rsidRPr="00422A3C">
              <w:rPr>
                <w:rFonts w:ascii="Arial" w:hAnsi="Arial" w:cs="Arial"/>
                <w:bCs/>
                <w:color w:val="000000"/>
                <w:sz w:val="22"/>
                <w:szCs w:val="22"/>
                <w:lang w:val="fr-FR"/>
              </w:rPr>
              <w:t>17</w:t>
            </w:r>
            <w:r w:rsidR="008902DF">
              <w:rPr>
                <w:rFonts w:ascii="Arial" w:hAnsi="Arial" w:cs="Arial"/>
                <w:bCs/>
                <w:color w:val="000000"/>
                <w:sz w:val="22"/>
                <w:szCs w:val="22"/>
                <w:lang w:val="fr-FR"/>
              </w:rPr>
              <w:t> 000 </w:t>
            </w:r>
            <w:r w:rsidRPr="00422A3C">
              <w:rPr>
                <w:rFonts w:ascii="Arial" w:hAnsi="Arial" w:cs="Arial"/>
                <w:bCs/>
                <w:color w:val="000000"/>
                <w:sz w:val="22"/>
                <w:szCs w:val="22"/>
                <w:lang w:val="fr-FR"/>
              </w:rPr>
              <w:t>$</w:t>
            </w:r>
          </w:p>
        </w:tc>
      </w:tr>
      <w:tr w:rsidR="00422A3C" w:rsidRPr="0019236F" w:rsidTr="00422A3C">
        <w:tc>
          <w:tcPr>
            <w:tcW w:w="8505" w:type="dxa"/>
            <w:gridSpan w:val="2"/>
            <w:shd w:val="clear" w:color="auto" w:fill="auto"/>
            <w:vAlign w:val="center"/>
          </w:tcPr>
          <w:p w:rsidR="00422A3C" w:rsidRPr="00422A3C" w:rsidRDefault="00422A3C" w:rsidP="00422A3C">
            <w:pPr>
              <w:pStyle w:val="normal0020table"/>
              <w:spacing w:before="60" w:beforeAutospacing="0" w:after="60" w:afterAutospacing="0"/>
            </w:pPr>
            <w:r w:rsidRPr="00422A3C">
              <w:rPr>
                <w:rStyle w:val="normal0020tablechar"/>
                <w:rFonts w:ascii="Arial" w:hAnsi="Arial" w:cs="Arial"/>
                <w:b/>
                <w:bCs/>
                <w:sz w:val="22"/>
                <w:szCs w:val="22"/>
              </w:rPr>
              <w:t>C.4 Distribution de documents imprimés</w:t>
            </w:r>
            <w:r w:rsidRPr="00422A3C">
              <w:t xml:space="preserve"> </w:t>
            </w:r>
          </w:p>
        </w:tc>
        <w:tc>
          <w:tcPr>
            <w:tcW w:w="1203"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p>
        </w:tc>
      </w:tr>
      <w:tr w:rsidR="00422A3C" w:rsidRPr="00422A3C" w:rsidTr="00422A3C">
        <w:tc>
          <w:tcPr>
            <w:tcW w:w="3119"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color w:val="000000"/>
                <w:sz w:val="22"/>
                <w:szCs w:val="22"/>
                <w:lang w:val="fr-FR"/>
              </w:rPr>
              <w:t>Expédition</w:t>
            </w:r>
          </w:p>
        </w:tc>
        <w:tc>
          <w:tcPr>
            <w:tcW w:w="5386" w:type="dxa"/>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Frais d</w:t>
            </w:r>
            <w:r w:rsidR="00AF2934">
              <w:rPr>
                <w:rStyle w:val="normal0020tablechar"/>
                <w:rFonts w:ascii="Arial" w:hAnsi="Arial" w:cs="Arial"/>
                <w:sz w:val="22"/>
                <w:szCs w:val="22"/>
                <w:lang w:val="fr-FR"/>
              </w:rPr>
              <w:t>’</w:t>
            </w:r>
            <w:r w:rsidRPr="00422A3C">
              <w:rPr>
                <w:rStyle w:val="normal0020tablechar"/>
                <w:rFonts w:ascii="Arial" w:hAnsi="Arial" w:cs="Arial"/>
                <w:sz w:val="22"/>
                <w:szCs w:val="22"/>
                <w:lang w:val="fr-FR"/>
              </w:rPr>
              <w:t>expédition vers les bureaux hors-siège, les commissions nationales et autres parties prenantes</w:t>
            </w:r>
          </w:p>
        </w:tc>
        <w:tc>
          <w:tcPr>
            <w:tcW w:w="1203" w:type="dxa"/>
            <w:shd w:val="clear" w:color="auto" w:fill="auto"/>
            <w:vAlign w:val="center"/>
          </w:tcPr>
          <w:p w:rsidR="00422A3C" w:rsidRPr="00422A3C" w:rsidRDefault="008902DF" w:rsidP="00422A3C">
            <w:pPr>
              <w:spacing w:before="60" w:after="60"/>
              <w:jc w:val="right"/>
              <w:rPr>
                <w:rFonts w:ascii="Arial" w:hAnsi="Arial" w:cs="Arial"/>
                <w:bCs/>
                <w:color w:val="000000"/>
                <w:sz w:val="22"/>
                <w:szCs w:val="22"/>
                <w:lang w:val="fr-FR"/>
              </w:rPr>
            </w:pPr>
            <w:r>
              <w:rPr>
                <w:rFonts w:ascii="Arial" w:hAnsi="Arial" w:cs="Arial"/>
                <w:bCs/>
                <w:color w:val="000000"/>
                <w:sz w:val="22"/>
                <w:szCs w:val="22"/>
                <w:lang w:val="fr-FR"/>
              </w:rPr>
              <w:t>20 000 </w:t>
            </w:r>
            <w:r w:rsidR="00422A3C" w:rsidRPr="00422A3C">
              <w:rPr>
                <w:rFonts w:ascii="Arial" w:hAnsi="Arial" w:cs="Arial"/>
                <w:bCs/>
                <w:color w:val="000000"/>
                <w:sz w:val="22"/>
                <w:szCs w:val="22"/>
                <w:lang w:val="fr-FR"/>
              </w:rPr>
              <w:t>$</w:t>
            </w:r>
          </w:p>
        </w:tc>
      </w:tr>
      <w:tr w:rsidR="00422A3C" w:rsidRPr="00422A3C" w:rsidTr="00422A3C">
        <w:tc>
          <w:tcPr>
            <w:tcW w:w="8505" w:type="dxa"/>
            <w:gridSpan w:val="2"/>
            <w:shd w:val="clear" w:color="auto" w:fill="F2F2F2"/>
            <w:vAlign w:val="center"/>
          </w:tcPr>
          <w:p w:rsidR="00422A3C" w:rsidRPr="00422A3C" w:rsidRDefault="00422A3C" w:rsidP="00422A3C">
            <w:pPr>
              <w:spacing w:before="60" w:after="60"/>
              <w:rPr>
                <w:rFonts w:ascii="Arial" w:hAnsi="Arial" w:cs="Arial"/>
                <w:b/>
                <w:bCs/>
                <w:color w:val="000000"/>
                <w:sz w:val="22"/>
                <w:szCs w:val="22"/>
                <w:lang w:val="fr-FR"/>
              </w:rPr>
            </w:pPr>
            <w:r w:rsidRPr="00422A3C">
              <w:rPr>
                <w:rFonts w:ascii="Arial" w:hAnsi="Arial" w:cs="Arial"/>
                <w:b/>
                <w:bCs/>
                <w:color w:val="000000"/>
                <w:sz w:val="22"/>
                <w:szCs w:val="22"/>
                <w:lang w:val="fr-FR"/>
              </w:rPr>
              <w:t>D. Services de gestion des connaissances</w:t>
            </w:r>
          </w:p>
        </w:tc>
        <w:tc>
          <w:tcPr>
            <w:tcW w:w="1203" w:type="dxa"/>
            <w:tcBorders>
              <w:bottom w:val="single" w:sz="4" w:space="0" w:color="auto"/>
            </w:tcBorders>
            <w:shd w:val="clear" w:color="auto" w:fill="F2F2F2"/>
            <w:vAlign w:val="center"/>
          </w:tcPr>
          <w:p w:rsidR="00422A3C" w:rsidRPr="00422A3C" w:rsidRDefault="008902DF" w:rsidP="00422A3C">
            <w:pPr>
              <w:spacing w:before="60" w:after="60"/>
              <w:jc w:val="right"/>
              <w:rPr>
                <w:rFonts w:ascii="Arial" w:hAnsi="Arial" w:cs="Arial"/>
                <w:b/>
                <w:bCs/>
                <w:color w:val="000000"/>
                <w:sz w:val="22"/>
                <w:szCs w:val="22"/>
                <w:lang w:val="fr-FR"/>
              </w:rPr>
            </w:pPr>
            <w:r>
              <w:rPr>
                <w:rFonts w:ascii="Arial" w:hAnsi="Arial" w:cs="Arial"/>
                <w:b/>
                <w:bCs/>
                <w:sz w:val="22"/>
                <w:szCs w:val="22"/>
              </w:rPr>
              <w:t>29</w:t>
            </w:r>
            <w:r w:rsidRPr="00BC7273">
              <w:rPr>
                <w:rFonts w:ascii="Arial" w:hAnsi="Arial" w:cs="Arial"/>
                <w:b/>
                <w:bCs/>
                <w:sz w:val="22"/>
                <w:szCs w:val="22"/>
              </w:rPr>
              <w:t>8</w:t>
            </w:r>
            <w:r>
              <w:rPr>
                <w:rFonts w:ascii="Arial" w:hAnsi="Arial" w:cs="Arial"/>
                <w:b/>
                <w:bCs/>
                <w:sz w:val="22"/>
                <w:szCs w:val="22"/>
              </w:rPr>
              <w:t> </w:t>
            </w:r>
            <w:r w:rsidRPr="00BC7273">
              <w:rPr>
                <w:rFonts w:ascii="Arial" w:hAnsi="Arial" w:cs="Arial"/>
                <w:b/>
                <w:bCs/>
                <w:sz w:val="22"/>
                <w:szCs w:val="22"/>
              </w:rPr>
              <w:t>250</w:t>
            </w:r>
            <w:r>
              <w:rPr>
                <w:rFonts w:ascii="Arial" w:hAnsi="Arial" w:cs="Arial"/>
                <w:b/>
                <w:bCs/>
                <w:sz w:val="22"/>
                <w:szCs w:val="22"/>
              </w:rPr>
              <w:t> $</w:t>
            </w:r>
          </w:p>
        </w:tc>
      </w:tr>
      <w:tr w:rsidR="00422A3C" w:rsidRPr="00422A3C" w:rsidTr="00422A3C">
        <w:tc>
          <w:tcPr>
            <w:tcW w:w="3119" w:type="dxa"/>
            <w:tcBorders>
              <w:bottom w:val="nil"/>
            </w:tcBorders>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Fonts w:ascii="Arial" w:hAnsi="Arial" w:cs="Arial"/>
                <w:color w:val="000000"/>
                <w:sz w:val="22"/>
                <w:szCs w:val="22"/>
                <w:lang w:val="fr-FR"/>
              </w:rPr>
              <w:t>Développement de fonctionnalités en ligne et de pages Web dédiées</w:t>
            </w:r>
          </w:p>
        </w:tc>
        <w:tc>
          <w:tcPr>
            <w:tcW w:w="5386" w:type="dxa"/>
            <w:tcBorders>
              <w:bottom w:val="nil"/>
            </w:tcBorders>
            <w:shd w:val="clear" w:color="auto" w:fill="auto"/>
            <w:vAlign w:val="center"/>
          </w:tcPr>
          <w:p w:rsidR="00422A3C" w:rsidRPr="00422A3C" w:rsidRDefault="00422A3C" w:rsidP="00422A3C">
            <w:pPr>
              <w:spacing w:before="60" w:after="60"/>
              <w:rPr>
                <w:rFonts w:ascii="Arial" w:hAnsi="Arial" w:cs="Arial"/>
                <w:color w:val="000000"/>
                <w:sz w:val="22"/>
                <w:szCs w:val="22"/>
                <w:lang w:val="fr-FR"/>
              </w:rPr>
            </w:pPr>
            <w:r w:rsidRPr="00422A3C">
              <w:rPr>
                <w:rStyle w:val="normal0020tablechar"/>
                <w:rFonts w:ascii="Arial" w:hAnsi="Arial" w:cs="Arial"/>
                <w:sz w:val="22"/>
                <w:szCs w:val="22"/>
                <w:lang w:val="fr-FR"/>
              </w:rPr>
              <w:t>Services professionnels pour la gestion du système de connaissances et le développement de logiciels</w:t>
            </w:r>
          </w:p>
        </w:tc>
        <w:tc>
          <w:tcPr>
            <w:tcW w:w="1203" w:type="dxa"/>
            <w:tcBorders>
              <w:bottom w:val="nil"/>
            </w:tcBorders>
            <w:shd w:val="clear" w:color="auto" w:fill="auto"/>
            <w:vAlign w:val="center"/>
          </w:tcPr>
          <w:p w:rsidR="00422A3C" w:rsidRPr="008902DF" w:rsidRDefault="008902DF" w:rsidP="00422A3C">
            <w:pPr>
              <w:spacing w:before="60" w:after="60"/>
              <w:jc w:val="right"/>
              <w:rPr>
                <w:rFonts w:ascii="Arial" w:hAnsi="Arial" w:cs="Arial"/>
                <w:color w:val="000000"/>
                <w:sz w:val="22"/>
                <w:szCs w:val="22"/>
                <w:lang w:val="fr-FR"/>
              </w:rPr>
            </w:pPr>
            <w:r w:rsidRPr="008902DF">
              <w:rPr>
                <w:rFonts w:ascii="Arial" w:hAnsi="Arial" w:cs="Arial"/>
                <w:bCs/>
                <w:sz w:val="22"/>
                <w:szCs w:val="22"/>
              </w:rPr>
              <w:t>298 250 $</w:t>
            </w:r>
          </w:p>
        </w:tc>
      </w:tr>
      <w:tr w:rsidR="00422A3C" w:rsidRPr="00422A3C" w:rsidTr="00422A3C">
        <w:tc>
          <w:tcPr>
            <w:tcW w:w="8505" w:type="dxa"/>
            <w:gridSpan w:val="2"/>
            <w:shd w:val="clear" w:color="auto" w:fill="A6A6A6"/>
            <w:vAlign w:val="center"/>
          </w:tcPr>
          <w:p w:rsidR="00422A3C" w:rsidRPr="00422A3C" w:rsidRDefault="00422A3C" w:rsidP="00422A3C">
            <w:pPr>
              <w:spacing w:before="60" w:after="60"/>
              <w:rPr>
                <w:rFonts w:ascii="Arial" w:hAnsi="Arial" w:cs="Arial"/>
                <w:b/>
                <w:bCs/>
                <w:sz w:val="22"/>
                <w:szCs w:val="22"/>
                <w:lang w:val="fr-FR"/>
              </w:rPr>
            </w:pPr>
            <w:r w:rsidRPr="00422A3C">
              <w:rPr>
                <w:rFonts w:ascii="Arial" w:hAnsi="Arial" w:cs="Arial"/>
                <w:b/>
                <w:bCs/>
                <w:sz w:val="22"/>
                <w:szCs w:val="22"/>
                <w:lang w:val="fr-FR"/>
              </w:rPr>
              <w:t>TOTAL</w:t>
            </w:r>
          </w:p>
        </w:tc>
        <w:tc>
          <w:tcPr>
            <w:tcW w:w="1203" w:type="dxa"/>
            <w:shd w:val="clear" w:color="auto" w:fill="A6A6A6"/>
            <w:vAlign w:val="center"/>
          </w:tcPr>
          <w:p w:rsidR="00422A3C" w:rsidRPr="00422A3C" w:rsidRDefault="008902DF" w:rsidP="008902DF">
            <w:pPr>
              <w:spacing w:before="60" w:after="60"/>
              <w:jc w:val="right"/>
              <w:rPr>
                <w:rFonts w:ascii="Arial" w:hAnsi="Arial" w:cs="Arial"/>
                <w:b/>
                <w:bCs/>
                <w:sz w:val="22"/>
                <w:szCs w:val="22"/>
                <w:lang w:val="fr-FR"/>
              </w:rPr>
            </w:pPr>
            <w:r w:rsidRPr="00BC7273">
              <w:rPr>
                <w:rFonts w:ascii="Arial" w:hAnsi="Arial" w:cs="Arial"/>
                <w:b/>
                <w:bCs/>
                <w:sz w:val="22"/>
                <w:szCs w:val="22"/>
              </w:rPr>
              <w:t>767</w:t>
            </w:r>
            <w:r>
              <w:rPr>
                <w:rFonts w:ascii="Arial" w:hAnsi="Arial" w:cs="Arial"/>
                <w:b/>
                <w:bCs/>
                <w:sz w:val="22"/>
                <w:szCs w:val="22"/>
              </w:rPr>
              <w:t> </w:t>
            </w:r>
            <w:r w:rsidRPr="00BC7273">
              <w:rPr>
                <w:rFonts w:ascii="Arial" w:hAnsi="Arial" w:cs="Arial"/>
                <w:b/>
                <w:bCs/>
                <w:sz w:val="22"/>
                <w:szCs w:val="22"/>
              </w:rPr>
              <w:t>250</w:t>
            </w:r>
            <w:r>
              <w:rPr>
                <w:rFonts w:ascii="Arial" w:hAnsi="Arial" w:cs="Arial"/>
                <w:b/>
                <w:bCs/>
                <w:sz w:val="22"/>
                <w:szCs w:val="22"/>
              </w:rPr>
              <w:t> </w:t>
            </w:r>
            <w:r w:rsidR="00422A3C" w:rsidRPr="00422A3C">
              <w:rPr>
                <w:rFonts w:ascii="Arial" w:hAnsi="Arial" w:cs="Arial"/>
                <w:b/>
                <w:bCs/>
                <w:sz w:val="22"/>
                <w:szCs w:val="22"/>
                <w:lang w:val="fr-FR"/>
              </w:rPr>
              <w:t>$</w:t>
            </w:r>
          </w:p>
        </w:tc>
      </w:tr>
    </w:tbl>
    <w:p w:rsidR="001573F9" w:rsidRPr="00422A3C" w:rsidRDefault="001573F9" w:rsidP="00422A3C">
      <w:pPr>
        <w:pStyle w:val="Marge"/>
        <w:spacing w:before="120" w:after="120"/>
        <w:rPr>
          <w:lang w:val="fr-FR"/>
        </w:rPr>
      </w:pPr>
    </w:p>
    <w:sectPr w:rsidR="001573F9" w:rsidRPr="00422A3C" w:rsidSect="004E0F0D">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0AD" w:rsidRDefault="009F50AD" w:rsidP="008724E5">
      <w:r>
        <w:separator/>
      </w:r>
    </w:p>
  </w:endnote>
  <w:endnote w:type="continuationSeparator" w:id="0">
    <w:p w:rsidR="009F50AD" w:rsidRDefault="009F50AD"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0AD" w:rsidRDefault="009F50AD" w:rsidP="008724E5">
      <w:r>
        <w:separator/>
      </w:r>
    </w:p>
  </w:footnote>
  <w:footnote w:type="continuationSeparator" w:id="0">
    <w:p w:rsidR="009F50AD" w:rsidRDefault="009F50AD" w:rsidP="0087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D" w:rsidRPr="0036787A" w:rsidRDefault="009F50AD">
    <w:pPr>
      <w:pStyle w:val="Header"/>
      <w:rPr>
        <w:rFonts w:ascii="Arial" w:hAnsi="Arial" w:cs="Arial"/>
        <w:sz w:val="20"/>
        <w:szCs w:val="20"/>
      </w:rPr>
    </w:pPr>
    <w:r w:rsidRPr="0036787A">
      <w:rPr>
        <w:rFonts w:ascii="Arial" w:hAnsi="Arial" w:cs="Arial"/>
        <w:sz w:val="20"/>
        <w:szCs w:val="20"/>
      </w:rPr>
      <w:t>ITH/12/7.COM 5.BUR/</w:t>
    </w:r>
    <w:r>
      <w:rPr>
        <w:rFonts w:ascii="Arial" w:hAnsi="Arial" w:cs="Arial"/>
        <w:sz w:val="20"/>
        <w:szCs w:val="20"/>
      </w:rPr>
      <w:t>5</w:t>
    </w:r>
    <w:r w:rsidRPr="0036787A">
      <w:rPr>
        <w:rFonts w:ascii="Arial" w:hAnsi="Arial" w:cs="Arial"/>
        <w:sz w:val="20"/>
        <w:szCs w:val="20"/>
      </w:rPr>
      <w:t xml:space="preserve"> – page </w:t>
    </w:r>
    <w:r w:rsidRPr="0036787A">
      <w:rPr>
        <w:rFonts w:ascii="Arial" w:hAnsi="Arial" w:cs="Arial"/>
        <w:sz w:val="20"/>
        <w:szCs w:val="20"/>
      </w:rPr>
      <w:fldChar w:fldCharType="begin"/>
    </w:r>
    <w:r w:rsidRPr="0036787A">
      <w:rPr>
        <w:rFonts w:ascii="Arial" w:hAnsi="Arial" w:cs="Arial"/>
        <w:sz w:val="20"/>
        <w:szCs w:val="20"/>
      </w:rPr>
      <w:instrText xml:space="preserve"> PAGE   \* MERGEFORMAT </w:instrText>
    </w:r>
    <w:r w:rsidRPr="0036787A">
      <w:rPr>
        <w:rFonts w:ascii="Arial" w:hAnsi="Arial" w:cs="Arial"/>
        <w:sz w:val="20"/>
        <w:szCs w:val="20"/>
      </w:rPr>
      <w:fldChar w:fldCharType="separate"/>
    </w:r>
    <w:r w:rsidR="00FF2BAE">
      <w:rPr>
        <w:rFonts w:ascii="Arial" w:hAnsi="Arial" w:cs="Arial"/>
        <w:noProof/>
        <w:sz w:val="20"/>
        <w:szCs w:val="20"/>
      </w:rPr>
      <w:t>2</w:t>
    </w:r>
    <w:r w:rsidRPr="0036787A">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D" w:rsidRPr="0036787A" w:rsidRDefault="009F50AD" w:rsidP="005A4537">
    <w:pPr>
      <w:pStyle w:val="Header"/>
      <w:jc w:val="right"/>
      <w:rPr>
        <w:rFonts w:ascii="Arial" w:hAnsi="Arial" w:cs="Arial"/>
        <w:sz w:val="20"/>
        <w:szCs w:val="20"/>
      </w:rPr>
    </w:pPr>
    <w:r w:rsidRPr="0036787A">
      <w:rPr>
        <w:rFonts w:ascii="Arial" w:hAnsi="Arial" w:cs="Arial"/>
        <w:sz w:val="20"/>
        <w:szCs w:val="20"/>
      </w:rPr>
      <w:t>ITH/12/7.COM 5.BUR/</w:t>
    </w:r>
    <w:r>
      <w:rPr>
        <w:rFonts w:ascii="Arial" w:hAnsi="Arial" w:cs="Arial"/>
        <w:sz w:val="20"/>
        <w:szCs w:val="20"/>
      </w:rPr>
      <w:t>5</w:t>
    </w:r>
    <w:r w:rsidRPr="0036787A">
      <w:rPr>
        <w:rFonts w:ascii="Arial" w:hAnsi="Arial" w:cs="Arial"/>
        <w:sz w:val="20"/>
        <w:szCs w:val="20"/>
      </w:rPr>
      <w:t xml:space="preserve"> – page </w:t>
    </w:r>
    <w:r w:rsidRPr="0036787A">
      <w:rPr>
        <w:rFonts w:ascii="Arial" w:hAnsi="Arial" w:cs="Arial"/>
        <w:sz w:val="20"/>
        <w:szCs w:val="20"/>
      </w:rPr>
      <w:fldChar w:fldCharType="begin"/>
    </w:r>
    <w:r w:rsidRPr="0036787A">
      <w:rPr>
        <w:rFonts w:ascii="Arial" w:hAnsi="Arial" w:cs="Arial"/>
        <w:sz w:val="20"/>
        <w:szCs w:val="20"/>
      </w:rPr>
      <w:instrText xml:space="preserve"> PAGE   \* MERGEFORMAT </w:instrText>
    </w:r>
    <w:r w:rsidRPr="0036787A">
      <w:rPr>
        <w:rFonts w:ascii="Arial" w:hAnsi="Arial" w:cs="Arial"/>
        <w:sz w:val="20"/>
        <w:szCs w:val="20"/>
      </w:rPr>
      <w:fldChar w:fldCharType="separate"/>
    </w:r>
    <w:r w:rsidR="00FF2BAE">
      <w:rPr>
        <w:rFonts w:ascii="Arial" w:hAnsi="Arial" w:cs="Arial"/>
        <w:noProof/>
        <w:sz w:val="20"/>
        <w:szCs w:val="20"/>
      </w:rPr>
      <w:t>3</w:t>
    </w:r>
    <w:r w:rsidRPr="0036787A">
      <w:rP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AD" w:rsidRPr="009751B6" w:rsidRDefault="009F50AD" w:rsidP="004E0F0D">
    <w:pPr>
      <w:pStyle w:val="Header"/>
      <w:rPr>
        <w:lang w:val="fr-FR"/>
      </w:rPr>
    </w:pPr>
    <w:r>
      <w:rPr>
        <w:noProof/>
        <w:lang w:val="fr-FR"/>
      </w:rPr>
      <w:drawing>
        <wp:anchor distT="0" distB="0" distL="114300" distR="114300" simplePos="0" relativeHeight="251657216" behindDoc="0" locked="0" layoutInCell="1" allowOverlap="1">
          <wp:simplePos x="0" y="0"/>
          <wp:positionH relativeFrom="column">
            <wp:posOffset>-358435</wp:posOffset>
          </wp:positionH>
          <wp:positionV relativeFrom="paragraph">
            <wp:posOffset>-19050</wp:posOffset>
          </wp:positionV>
          <wp:extent cx="2038350" cy="1529080"/>
          <wp:effectExtent l="0" t="0" r="0" b="0"/>
          <wp:wrapNone/>
          <wp:docPr id="4" name="Picture 4"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anchor>
      </w:drawing>
    </w:r>
  </w:p>
  <w:p w:rsidR="009F50AD" w:rsidRPr="0019236F" w:rsidRDefault="009F50AD" w:rsidP="004E0F0D">
    <w:pPr>
      <w:pStyle w:val="Header"/>
      <w:spacing w:after="520"/>
      <w:jc w:val="right"/>
      <w:rPr>
        <w:rFonts w:ascii="Arial" w:hAnsi="Arial" w:cs="Arial"/>
        <w:b/>
        <w:sz w:val="44"/>
        <w:szCs w:val="44"/>
        <w:lang w:val="en-US"/>
      </w:rPr>
    </w:pPr>
    <w:r w:rsidRPr="0019236F">
      <w:rPr>
        <w:rFonts w:ascii="Arial" w:hAnsi="Arial" w:cs="Arial"/>
        <w:b/>
        <w:sz w:val="44"/>
        <w:szCs w:val="44"/>
        <w:lang w:val="en-US"/>
      </w:rPr>
      <w:t>7 COM 5 BUR</w:t>
    </w:r>
  </w:p>
  <w:p w:rsidR="009F50AD" w:rsidRPr="0019236F" w:rsidRDefault="009F50AD" w:rsidP="004E0F0D">
    <w:pPr>
      <w:jc w:val="right"/>
      <w:rPr>
        <w:rFonts w:ascii="Arial" w:hAnsi="Arial" w:cs="Arial"/>
        <w:b/>
        <w:sz w:val="22"/>
        <w:szCs w:val="22"/>
        <w:lang w:val="en-US"/>
      </w:rPr>
    </w:pPr>
    <w:r w:rsidRPr="0019236F">
      <w:rPr>
        <w:rFonts w:ascii="Arial" w:hAnsi="Arial" w:cs="Arial"/>
        <w:b/>
        <w:sz w:val="22"/>
        <w:szCs w:val="22"/>
        <w:lang w:val="en-US"/>
      </w:rPr>
      <w:t>ITH/12/7.COM 5.BUR/5</w:t>
    </w:r>
  </w:p>
  <w:p w:rsidR="009F50AD" w:rsidRPr="009751B6" w:rsidRDefault="009F50AD" w:rsidP="004E0F0D">
    <w:pPr>
      <w:jc w:val="right"/>
      <w:rPr>
        <w:rFonts w:ascii="Arial" w:hAnsi="Arial" w:cs="Arial"/>
        <w:b/>
        <w:sz w:val="22"/>
        <w:szCs w:val="22"/>
        <w:lang w:val="fr-FR"/>
      </w:rPr>
    </w:pPr>
    <w:r w:rsidRPr="009751B6">
      <w:rPr>
        <w:rFonts w:ascii="Arial" w:hAnsi="Arial" w:cs="Arial"/>
        <w:b/>
        <w:sz w:val="22"/>
        <w:szCs w:val="22"/>
        <w:lang w:val="fr-FR"/>
      </w:rPr>
      <w:t>Paris,</w:t>
    </w:r>
    <w:r w:rsidR="007E7E45">
      <w:rPr>
        <w:rFonts w:ascii="Arial" w:hAnsi="Arial" w:cs="Arial"/>
        <w:b/>
        <w:sz w:val="22"/>
        <w:szCs w:val="22"/>
        <w:lang w:val="fr-FR"/>
      </w:rPr>
      <w:t xml:space="preserve"> 19 octobre 2012</w:t>
    </w:r>
  </w:p>
  <w:p w:rsidR="009F50AD" w:rsidRPr="009751B6" w:rsidRDefault="009F50AD" w:rsidP="009751B6">
    <w:pPr>
      <w:jc w:val="right"/>
      <w:rPr>
        <w:rFonts w:ascii="Arial" w:hAnsi="Arial" w:cs="Arial"/>
        <w:b/>
        <w:sz w:val="22"/>
        <w:szCs w:val="22"/>
        <w:lang w:val="fr-FR"/>
      </w:rPr>
    </w:pPr>
    <w:r w:rsidRPr="009751B6">
      <w:rPr>
        <w:rFonts w:ascii="Arial" w:hAnsi="Arial" w:cs="Arial"/>
        <w:b/>
        <w:sz w:val="22"/>
        <w:szCs w:val="22"/>
        <w:lang w:val="fr-FR"/>
      </w:rPr>
      <w:t>Original</w:t>
    </w:r>
    <w:r>
      <w:rPr>
        <w:rFonts w:ascii="Arial" w:hAnsi="Arial" w:cs="Arial"/>
        <w:b/>
        <w:sz w:val="22"/>
        <w:szCs w:val="22"/>
        <w:lang w:val="fr-FR"/>
      </w:rPr>
      <w:t> </w:t>
    </w:r>
    <w:r w:rsidRPr="009751B6">
      <w:rPr>
        <w:rFonts w:ascii="Arial" w:hAnsi="Arial" w:cs="Arial"/>
        <w:b/>
        <w:sz w:val="22"/>
        <w:szCs w:val="22"/>
        <w:lang w:val="fr-FR"/>
      </w:rPr>
      <w:t xml:space="preserve">: </w:t>
    </w:r>
    <w:r>
      <w:rPr>
        <w:rFonts w:ascii="Arial" w:hAnsi="Arial" w:cs="Arial"/>
        <w:b/>
        <w:sz w:val="22"/>
        <w:szCs w:val="22"/>
        <w:lang w:val="fr-FR"/>
      </w:rPr>
      <w:t>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1522C1"/>
    <w:multiLevelType w:val="hybridMultilevel"/>
    <w:tmpl w:val="586C9F70"/>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5">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nsid w:val="113C6577"/>
    <w:multiLevelType w:val="multilevel"/>
    <w:tmpl w:val="95D0D1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1">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8DF1C0E"/>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F07BFE"/>
    <w:multiLevelType w:val="hybridMultilevel"/>
    <w:tmpl w:val="A3E07B8E"/>
    <w:lvl w:ilvl="0" w:tplc="832257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nsid w:val="37E45C14"/>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EB1FFC"/>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AE42258"/>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D9C3596"/>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6"/>
  </w:num>
  <w:num w:numId="2">
    <w:abstractNumId w:val="14"/>
  </w:num>
  <w:num w:numId="3">
    <w:abstractNumId w:val="10"/>
  </w:num>
  <w:num w:numId="4">
    <w:abstractNumId w:val="37"/>
  </w:num>
  <w:num w:numId="5">
    <w:abstractNumId w:val="28"/>
  </w:num>
  <w:num w:numId="6">
    <w:abstractNumId w:val="5"/>
  </w:num>
  <w:num w:numId="7">
    <w:abstractNumId w:val="11"/>
  </w:num>
  <w:num w:numId="8">
    <w:abstractNumId w:val="4"/>
  </w:num>
  <w:num w:numId="9">
    <w:abstractNumId w:val="38"/>
  </w:num>
  <w:num w:numId="10">
    <w:abstractNumId w:val="27"/>
  </w:num>
  <w:num w:numId="11">
    <w:abstractNumId w:val="9"/>
  </w:num>
  <w:num w:numId="12">
    <w:abstractNumId w:val="36"/>
  </w:num>
  <w:num w:numId="13">
    <w:abstractNumId w:val="8"/>
  </w:num>
  <w:num w:numId="14">
    <w:abstractNumId w:val="35"/>
  </w:num>
  <w:num w:numId="15">
    <w:abstractNumId w:val="3"/>
  </w:num>
  <w:num w:numId="16">
    <w:abstractNumId w:val="23"/>
  </w:num>
  <w:num w:numId="17">
    <w:abstractNumId w:val="22"/>
  </w:num>
  <w:num w:numId="18">
    <w:abstractNumId w:val="24"/>
  </w:num>
  <w:num w:numId="19">
    <w:abstractNumId w:val="0"/>
  </w:num>
  <w:num w:numId="20">
    <w:abstractNumId w:val="19"/>
  </w:num>
  <w:num w:numId="21">
    <w:abstractNumId w:val="30"/>
  </w:num>
  <w:num w:numId="22">
    <w:abstractNumId w:val="32"/>
  </w:num>
  <w:num w:numId="23">
    <w:abstractNumId w:val="1"/>
  </w:num>
  <w:num w:numId="24">
    <w:abstractNumId w:val="17"/>
  </w:num>
  <w:num w:numId="25">
    <w:abstractNumId w:val="33"/>
  </w:num>
  <w:num w:numId="26">
    <w:abstractNumId w:val="18"/>
  </w:num>
  <w:num w:numId="27">
    <w:abstractNumId w:val="34"/>
  </w:num>
  <w:num w:numId="28">
    <w:abstractNumId w:val="7"/>
  </w:num>
  <w:num w:numId="29">
    <w:abstractNumId w:val="20"/>
  </w:num>
  <w:num w:numId="30">
    <w:abstractNumId w:val="16"/>
  </w:num>
  <w:num w:numId="31">
    <w:abstractNumId w:val="15"/>
  </w:num>
  <w:num w:numId="32">
    <w:abstractNumId w:val="2"/>
  </w:num>
  <w:num w:numId="33">
    <w:abstractNumId w:val="29"/>
  </w:num>
  <w:num w:numId="34">
    <w:abstractNumId w:val="13"/>
  </w:num>
  <w:num w:numId="35">
    <w:abstractNumId w:val="21"/>
  </w:num>
  <w:num w:numId="36">
    <w:abstractNumId w:val="12"/>
  </w:num>
  <w:num w:numId="37">
    <w:abstractNumId w:val="31"/>
  </w:num>
  <w:num w:numId="38">
    <w:abstractNumId w:val="2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18441"/>
  </w:hdrShapeDefaults>
  <w:footnotePr>
    <w:footnote w:id="-1"/>
    <w:footnote w:id="0"/>
  </w:footnotePr>
  <w:endnotePr>
    <w:endnote w:id="-1"/>
    <w:endnote w:id="0"/>
  </w:endnotePr>
  <w:compat>
    <w:useFELayout/>
    <w:compatSetting w:name="compatibilityMode" w:uri="http://schemas.microsoft.com/office/word" w:val="12"/>
  </w:compat>
  <w:rsids>
    <w:rsidRoot w:val="008724E5"/>
    <w:rsid w:val="000025D4"/>
    <w:rsid w:val="00003919"/>
    <w:rsid w:val="00005B51"/>
    <w:rsid w:val="00007446"/>
    <w:rsid w:val="00010B47"/>
    <w:rsid w:val="0001346C"/>
    <w:rsid w:val="00015A9E"/>
    <w:rsid w:val="00016521"/>
    <w:rsid w:val="00021429"/>
    <w:rsid w:val="00024556"/>
    <w:rsid w:val="00031081"/>
    <w:rsid w:val="00035A30"/>
    <w:rsid w:val="00037338"/>
    <w:rsid w:val="0004359C"/>
    <w:rsid w:val="00043857"/>
    <w:rsid w:val="00045401"/>
    <w:rsid w:val="00045E29"/>
    <w:rsid w:val="00046958"/>
    <w:rsid w:val="0005098F"/>
    <w:rsid w:val="0005458E"/>
    <w:rsid w:val="000624CF"/>
    <w:rsid w:val="00070F81"/>
    <w:rsid w:val="0007144C"/>
    <w:rsid w:val="00073A8E"/>
    <w:rsid w:val="00077333"/>
    <w:rsid w:val="00086641"/>
    <w:rsid w:val="00087FEF"/>
    <w:rsid w:val="0009370A"/>
    <w:rsid w:val="000A000D"/>
    <w:rsid w:val="000A215A"/>
    <w:rsid w:val="000A27EE"/>
    <w:rsid w:val="000A7E0E"/>
    <w:rsid w:val="000B07D9"/>
    <w:rsid w:val="000B262B"/>
    <w:rsid w:val="000B2A37"/>
    <w:rsid w:val="000B3098"/>
    <w:rsid w:val="000B5421"/>
    <w:rsid w:val="000C01C2"/>
    <w:rsid w:val="000C6284"/>
    <w:rsid w:val="000D0646"/>
    <w:rsid w:val="000D10F7"/>
    <w:rsid w:val="000D15DE"/>
    <w:rsid w:val="000D18AC"/>
    <w:rsid w:val="000D35B3"/>
    <w:rsid w:val="000D4F94"/>
    <w:rsid w:val="000D73F3"/>
    <w:rsid w:val="000E629F"/>
    <w:rsid w:val="000F4874"/>
    <w:rsid w:val="00101683"/>
    <w:rsid w:val="00103E38"/>
    <w:rsid w:val="00106E25"/>
    <w:rsid w:val="00107574"/>
    <w:rsid w:val="00111087"/>
    <w:rsid w:val="0012220E"/>
    <w:rsid w:val="00126136"/>
    <w:rsid w:val="001263D8"/>
    <w:rsid w:val="00131DB8"/>
    <w:rsid w:val="00137C10"/>
    <w:rsid w:val="0014015A"/>
    <w:rsid w:val="00141C00"/>
    <w:rsid w:val="0015110A"/>
    <w:rsid w:val="0015136E"/>
    <w:rsid w:val="00151737"/>
    <w:rsid w:val="00153980"/>
    <w:rsid w:val="00153F82"/>
    <w:rsid w:val="001573F9"/>
    <w:rsid w:val="00166332"/>
    <w:rsid w:val="001723BC"/>
    <w:rsid w:val="001730D0"/>
    <w:rsid w:val="00174C8B"/>
    <w:rsid w:val="00175620"/>
    <w:rsid w:val="001769C1"/>
    <w:rsid w:val="001774D7"/>
    <w:rsid w:val="001820DD"/>
    <w:rsid w:val="00184A99"/>
    <w:rsid w:val="001856F3"/>
    <w:rsid w:val="00185A93"/>
    <w:rsid w:val="0018609E"/>
    <w:rsid w:val="0019067E"/>
    <w:rsid w:val="0019236F"/>
    <w:rsid w:val="00194084"/>
    <w:rsid w:val="001942B3"/>
    <w:rsid w:val="00196835"/>
    <w:rsid w:val="001A505B"/>
    <w:rsid w:val="001B2627"/>
    <w:rsid w:val="001B2CB8"/>
    <w:rsid w:val="001C0641"/>
    <w:rsid w:val="001C39BF"/>
    <w:rsid w:val="001D097D"/>
    <w:rsid w:val="001D3828"/>
    <w:rsid w:val="001D3CD3"/>
    <w:rsid w:val="001D3E74"/>
    <w:rsid w:val="001D49B2"/>
    <w:rsid w:val="001D6DD9"/>
    <w:rsid w:val="001E28E7"/>
    <w:rsid w:val="001E56BE"/>
    <w:rsid w:val="001F02CE"/>
    <w:rsid w:val="001F17D6"/>
    <w:rsid w:val="001F5231"/>
    <w:rsid w:val="001F7A27"/>
    <w:rsid w:val="0020451A"/>
    <w:rsid w:val="00213159"/>
    <w:rsid w:val="0022117D"/>
    <w:rsid w:val="002214CE"/>
    <w:rsid w:val="002340CD"/>
    <w:rsid w:val="00235EA7"/>
    <w:rsid w:val="00235EEF"/>
    <w:rsid w:val="002456CE"/>
    <w:rsid w:val="0024621B"/>
    <w:rsid w:val="0024796B"/>
    <w:rsid w:val="0025106D"/>
    <w:rsid w:val="00253238"/>
    <w:rsid w:val="002544FF"/>
    <w:rsid w:val="002574AE"/>
    <w:rsid w:val="00261D41"/>
    <w:rsid w:val="00265A67"/>
    <w:rsid w:val="002667B4"/>
    <w:rsid w:val="00270583"/>
    <w:rsid w:val="002811C2"/>
    <w:rsid w:val="00281B89"/>
    <w:rsid w:val="0028584B"/>
    <w:rsid w:val="002912B5"/>
    <w:rsid w:val="002A53BB"/>
    <w:rsid w:val="002A570B"/>
    <w:rsid w:val="002A65A4"/>
    <w:rsid w:val="002A6744"/>
    <w:rsid w:val="002A73E4"/>
    <w:rsid w:val="002B17D9"/>
    <w:rsid w:val="002B2151"/>
    <w:rsid w:val="002C0B1E"/>
    <w:rsid w:val="002D3E22"/>
    <w:rsid w:val="002D753D"/>
    <w:rsid w:val="002E12C9"/>
    <w:rsid w:val="002E799E"/>
    <w:rsid w:val="002F0356"/>
    <w:rsid w:val="002F03E6"/>
    <w:rsid w:val="002F11FC"/>
    <w:rsid w:val="002F48FB"/>
    <w:rsid w:val="002F7029"/>
    <w:rsid w:val="002F72C5"/>
    <w:rsid w:val="00302D0F"/>
    <w:rsid w:val="003129E6"/>
    <w:rsid w:val="003141A1"/>
    <w:rsid w:val="0031502C"/>
    <w:rsid w:val="00322A84"/>
    <w:rsid w:val="0032426A"/>
    <w:rsid w:val="00324554"/>
    <w:rsid w:val="00325327"/>
    <w:rsid w:val="00325CEB"/>
    <w:rsid w:val="00332A8D"/>
    <w:rsid w:val="003347A9"/>
    <w:rsid w:val="0033482D"/>
    <w:rsid w:val="00335B24"/>
    <w:rsid w:val="003364A2"/>
    <w:rsid w:val="0034038A"/>
    <w:rsid w:val="003403D7"/>
    <w:rsid w:val="00343F8D"/>
    <w:rsid w:val="003527A5"/>
    <w:rsid w:val="003530C9"/>
    <w:rsid w:val="00356C0F"/>
    <w:rsid w:val="00361BED"/>
    <w:rsid w:val="00363F42"/>
    <w:rsid w:val="0036787A"/>
    <w:rsid w:val="00367CC2"/>
    <w:rsid w:val="003708C5"/>
    <w:rsid w:val="00371E99"/>
    <w:rsid w:val="00374371"/>
    <w:rsid w:val="0037782C"/>
    <w:rsid w:val="003952FB"/>
    <w:rsid w:val="003A5B67"/>
    <w:rsid w:val="003B5022"/>
    <w:rsid w:val="003B657A"/>
    <w:rsid w:val="003C2004"/>
    <w:rsid w:val="003C59F2"/>
    <w:rsid w:val="003D1D8F"/>
    <w:rsid w:val="003D4A40"/>
    <w:rsid w:val="003D4B20"/>
    <w:rsid w:val="003E2D1B"/>
    <w:rsid w:val="003E33DC"/>
    <w:rsid w:val="003F49EF"/>
    <w:rsid w:val="00401860"/>
    <w:rsid w:val="00403173"/>
    <w:rsid w:val="0040477A"/>
    <w:rsid w:val="00422A3C"/>
    <w:rsid w:val="00425C4A"/>
    <w:rsid w:val="00426CA9"/>
    <w:rsid w:val="00427A31"/>
    <w:rsid w:val="00427B06"/>
    <w:rsid w:val="00430222"/>
    <w:rsid w:val="00430827"/>
    <w:rsid w:val="004364D7"/>
    <w:rsid w:val="004437DA"/>
    <w:rsid w:val="00447546"/>
    <w:rsid w:val="00454565"/>
    <w:rsid w:val="00456085"/>
    <w:rsid w:val="004628C8"/>
    <w:rsid w:val="004632BA"/>
    <w:rsid w:val="004676E5"/>
    <w:rsid w:val="00475560"/>
    <w:rsid w:val="00480B30"/>
    <w:rsid w:val="00480E55"/>
    <w:rsid w:val="004926B4"/>
    <w:rsid w:val="0049430E"/>
    <w:rsid w:val="0049717E"/>
    <w:rsid w:val="004A2030"/>
    <w:rsid w:val="004A2286"/>
    <w:rsid w:val="004A3B71"/>
    <w:rsid w:val="004A4583"/>
    <w:rsid w:val="004A4785"/>
    <w:rsid w:val="004A657A"/>
    <w:rsid w:val="004B2778"/>
    <w:rsid w:val="004B3609"/>
    <w:rsid w:val="004C182B"/>
    <w:rsid w:val="004C2CA2"/>
    <w:rsid w:val="004C415E"/>
    <w:rsid w:val="004C4AFE"/>
    <w:rsid w:val="004E0F0D"/>
    <w:rsid w:val="004E2511"/>
    <w:rsid w:val="004E25D7"/>
    <w:rsid w:val="004E43F1"/>
    <w:rsid w:val="004E5858"/>
    <w:rsid w:val="004E6E9C"/>
    <w:rsid w:val="004E71F9"/>
    <w:rsid w:val="004F0A17"/>
    <w:rsid w:val="004F4E26"/>
    <w:rsid w:val="004F4FAA"/>
    <w:rsid w:val="00501750"/>
    <w:rsid w:val="00501764"/>
    <w:rsid w:val="0050226D"/>
    <w:rsid w:val="0051018E"/>
    <w:rsid w:val="005110B8"/>
    <w:rsid w:val="00511CD8"/>
    <w:rsid w:val="00515E68"/>
    <w:rsid w:val="005246A8"/>
    <w:rsid w:val="00524A34"/>
    <w:rsid w:val="00525910"/>
    <w:rsid w:val="005272AD"/>
    <w:rsid w:val="00541EF5"/>
    <w:rsid w:val="00542033"/>
    <w:rsid w:val="00547C90"/>
    <w:rsid w:val="00550216"/>
    <w:rsid w:val="00550F22"/>
    <w:rsid w:val="005522B4"/>
    <w:rsid w:val="00552B41"/>
    <w:rsid w:val="00557E2F"/>
    <w:rsid w:val="00564DDB"/>
    <w:rsid w:val="00565BA9"/>
    <w:rsid w:val="00565EE8"/>
    <w:rsid w:val="00572187"/>
    <w:rsid w:val="0057403F"/>
    <w:rsid w:val="0057404F"/>
    <w:rsid w:val="00576583"/>
    <w:rsid w:val="00580185"/>
    <w:rsid w:val="005853AC"/>
    <w:rsid w:val="00596FA4"/>
    <w:rsid w:val="005A4537"/>
    <w:rsid w:val="005A71AE"/>
    <w:rsid w:val="005A760A"/>
    <w:rsid w:val="005A7EEA"/>
    <w:rsid w:val="005B3705"/>
    <w:rsid w:val="005B6EC3"/>
    <w:rsid w:val="005C1996"/>
    <w:rsid w:val="005C5E61"/>
    <w:rsid w:val="005D04D9"/>
    <w:rsid w:val="005D4397"/>
    <w:rsid w:val="005E003A"/>
    <w:rsid w:val="005E06A2"/>
    <w:rsid w:val="005E5A93"/>
    <w:rsid w:val="005E60D2"/>
    <w:rsid w:val="005F54A1"/>
    <w:rsid w:val="00600E27"/>
    <w:rsid w:val="0060533E"/>
    <w:rsid w:val="006165EE"/>
    <w:rsid w:val="00616A12"/>
    <w:rsid w:val="00616F5D"/>
    <w:rsid w:val="0062001C"/>
    <w:rsid w:val="006209A2"/>
    <w:rsid w:val="006316A7"/>
    <w:rsid w:val="0063666C"/>
    <w:rsid w:val="00637CFF"/>
    <w:rsid w:val="00645B7A"/>
    <w:rsid w:val="006545A0"/>
    <w:rsid w:val="00654840"/>
    <w:rsid w:val="00655893"/>
    <w:rsid w:val="00665115"/>
    <w:rsid w:val="00671FEA"/>
    <w:rsid w:val="0067466A"/>
    <w:rsid w:val="00676B77"/>
    <w:rsid w:val="00680610"/>
    <w:rsid w:val="00680847"/>
    <w:rsid w:val="00680C4B"/>
    <w:rsid w:val="00684BF3"/>
    <w:rsid w:val="00685F29"/>
    <w:rsid w:val="00686CEA"/>
    <w:rsid w:val="0069620B"/>
    <w:rsid w:val="006A0BB0"/>
    <w:rsid w:val="006A1A12"/>
    <w:rsid w:val="006A5BFD"/>
    <w:rsid w:val="006A676F"/>
    <w:rsid w:val="006B0F42"/>
    <w:rsid w:val="006B23A9"/>
    <w:rsid w:val="006C03E6"/>
    <w:rsid w:val="006C1957"/>
    <w:rsid w:val="006C3FFC"/>
    <w:rsid w:val="006C51FB"/>
    <w:rsid w:val="006D2C68"/>
    <w:rsid w:val="006D5CDB"/>
    <w:rsid w:val="006D6D68"/>
    <w:rsid w:val="006D6ECF"/>
    <w:rsid w:val="006E1BB8"/>
    <w:rsid w:val="006E221E"/>
    <w:rsid w:val="006E5137"/>
    <w:rsid w:val="006E6C0B"/>
    <w:rsid w:val="006F1767"/>
    <w:rsid w:val="006F2EAC"/>
    <w:rsid w:val="006F4D12"/>
    <w:rsid w:val="006F6E40"/>
    <w:rsid w:val="00706EAC"/>
    <w:rsid w:val="007228DD"/>
    <w:rsid w:val="0073001C"/>
    <w:rsid w:val="00730403"/>
    <w:rsid w:val="00735C75"/>
    <w:rsid w:val="00736D3C"/>
    <w:rsid w:val="007403CC"/>
    <w:rsid w:val="00745849"/>
    <w:rsid w:val="007514D6"/>
    <w:rsid w:val="00752157"/>
    <w:rsid w:val="00755133"/>
    <w:rsid w:val="00757953"/>
    <w:rsid w:val="00762F35"/>
    <w:rsid w:val="007736A2"/>
    <w:rsid w:val="00774B22"/>
    <w:rsid w:val="00781218"/>
    <w:rsid w:val="007815A5"/>
    <w:rsid w:val="00784247"/>
    <w:rsid w:val="00787DA9"/>
    <w:rsid w:val="0079520D"/>
    <w:rsid w:val="00795BB6"/>
    <w:rsid w:val="00795C96"/>
    <w:rsid w:val="00796029"/>
    <w:rsid w:val="00796427"/>
    <w:rsid w:val="007A1674"/>
    <w:rsid w:val="007A377C"/>
    <w:rsid w:val="007A64C3"/>
    <w:rsid w:val="007B0284"/>
    <w:rsid w:val="007B17FF"/>
    <w:rsid w:val="007B5363"/>
    <w:rsid w:val="007C458D"/>
    <w:rsid w:val="007D7316"/>
    <w:rsid w:val="007E10CC"/>
    <w:rsid w:val="007E1D24"/>
    <w:rsid w:val="007E7752"/>
    <w:rsid w:val="007E7E45"/>
    <w:rsid w:val="007F05F6"/>
    <w:rsid w:val="007F37B6"/>
    <w:rsid w:val="007F4665"/>
    <w:rsid w:val="0080497A"/>
    <w:rsid w:val="00811E0D"/>
    <w:rsid w:val="008152B9"/>
    <w:rsid w:val="008421D9"/>
    <w:rsid w:val="00842849"/>
    <w:rsid w:val="008428CC"/>
    <w:rsid w:val="00843239"/>
    <w:rsid w:val="00844E25"/>
    <w:rsid w:val="0085717C"/>
    <w:rsid w:val="00865767"/>
    <w:rsid w:val="00866040"/>
    <w:rsid w:val="0086667B"/>
    <w:rsid w:val="008724E5"/>
    <w:rsid w:val="0088067D"/>
    <w:rsid w:val="008839A6"/>
    <w:rsid w:val="00883C58"/>
    <w:rsid w:val="008902DF"/>
    <w:rsid w:val="00891295"/>
    <w:rsid w:val="00896134"/>
    <w:rsid w:val="008A012F"/>
    <w:rsid w:val="008A24F4"/>
    <w:rsid w:val="008A4558"/>
    <w:rsid w:val="008A5AFE"/>
    <w:rsid w:val="008B1853"/>
    <w:rsid w:val="008B659F"/>
    <w:rsid w:val="008B65E1"/>
    <w:rsid w:val="008B7C4E"/>
    <w:rsid w:val="008C01FC"/>
    <w:rsid w:val="008C333C"/>
    <w:rsid w:val="008C67ED"/>
    <w:rsid w:val="008D488D"/>
    <w:rsid w:val="008D798B"/>
    <w:rsid w:val="008E1DA4"/>
    <w:rsid w:val="008E37EF"/>
    <w:rsid w:val="008E6921"/>
    <w:rsid w:val="008E6F76"/>
    <w:rsid w:val="008E7F28"/>
    <w:rsid w:val="008F244A"/>
    <w:rsid w:val="008F3C6F"/>
    <w:rsid w:val="008F42A5"/>
    <w:rsid w:val="009005EC"/>
    <w:rsid w:val="009006E7"/>
    <w:rsid w:val="009266E2"/>
    <w:rsid w:val="00927DE9"/>
    <w:rsid w:val="00932660"/>
    <w:rsid w:val="00936487"/>
    <w:rsid w:val="00936EAE"/>
    <w:rsid w:val="009454D4"/>
    <w:rsid w:val="009503DF"/>
    <w:rsid w:val="00954C39"/>
    <w:rsid w:val="00954EEC"/>
    <w:rsid w:val="009556BA"/>
    <w:rsid w:val="00956BA0"/>
    <w:rsid w:val="00957740"/>
    <w:rsid w:val="00962349"/>
    <w:rsid w:val="00962F7C"/>
    <w:rsid w:val="00964C61"/>
    <w:rsid w:val="0096506B"/>
    <w:rsid w:val="009669B3"/>
    <w:rsid w:val="00973155"/>
    <w:rsid w:val="0097448F"/>
    <w:rsid w:val="009751B6"/>
    <w:rsid w:val="00985AE1"/>
    <w:rsid w:val="00987083"/>
    <w:rsid w:val="00990228"/>
    <w:rsid w:val="0099096C"/>
    <w:rsid w:val="00991BC3"/>
    <w:rsid w:val="00991FC7"/>
    <w:rsid w:val="00992D71"/>
    <w:rsid w:val="00996657"/>
    <w:rsid w:val="0099704E"/>
    <w:rsid w:val="009A43C8"/>
    <w:rsid w:val="009A752A"/>
    <w:rsid w:val="009D1107"/>
    <w:rsid w:val="009D270E"/>
    <w:rsid w:val="009D3A3A"/>
    <w:rsid w:val="009E012B"/>
    <w:rsid w:val="009E0A13"/>
    <w:rsid w:val="009E33C1"/>
    <w:rsid w:val="009F50AD"/>
    <w:rsid w:val="00A003EB"/>
    <w:rsid w:val="00A00B15"/>
    <w:rsid w:val="00A06881"/>
    <w:rsid w:val="00A06B34"/>
    <w:rsid w:val="00A06DB4"/>
    <w:rsid w:val="00A117AD"/>
    <w:rsid w:val="00A14311"/>
    <w:rsid w:val="00A156EC"/>
    <w:rsid w:val="00A165F9"/>
    <w:rsid w:val="00A16EA7"/>
    <w:rsid w:val="00A2501E"/>
    <w:rsid w:val="00A3316B"/>
    <w:rsid w:val="00A42295"/>
    <w:rsid w:val="00A43017"/>
    <w:rsid w:val="00A44987"/>
    <w:rsid w:val="00A45CC5"/>
    <w:rsid w:val="00A45E93"/>
    <w:rsid w:val="00A51F18"/>
    <w:rsid w:val="00A6457A"/>
    <w:rsid w:val="00A646E2"/>
    <w:rsid w:val="00A71878"/>
    <w:rsid w:val="00A83385"/>
    <w:rsid w:val="00A86168"/>
    <w:rsid w:val="00A87A5F"/>
    <w:rsid w:val="00A87F87"/>
    <w:rsid w:val="00A9140F"/>
    <w:rsid w:val="00AA2E70"/>
    <w:rsid w:val="00AA72F5"/>
    <w:rsid w:val="00AC201F"/>
    <w:rsid w:val="00AC6F8A"/>
    <w:rsid w:val="00AC7030"/>
    <w:rsid w:val="00AE62B5"/>
    <w:rsid w:val="00AF2934"/>
    <w:rsid w:val="00AF6858"/>
    <w:rsid w:val="00B00FB2"/>
    <w:rsid w:val="00B02B95"/>
    <w:rsid w:val="00B10399"/>
    <w:rsid w:val="00B15099"/>
    <w:rsid w:val="00B15190"/>
    <w:rsid w:val="00B178B6"/>
    <w:rsid w:val="00B21719"/>
    <w:rsid w:val="00B36174"/>
    <w:rsid w:val="00B44206"/>
    <w:rsid w:val="00B458E2"/>
    <w:rsid w:val="00B518A6"/>
    <w:rsid w:val="00B5331C"/>
    <w:rsid w:val="00B54F5E"/>
    <w:rsid w:val="00B6777D"/>
    <w:rsid w:val="00B80F99"/>
    <w:rsid w:val="00B94A9A"/>
    <w:rsid w:val="00B9533B"/>
    <w:rsid w:val="00BA1CE3"/>
    <w:rsid w:val="00BA3857"/>
    <w:rsid w:val="00BA3A03"/>
    <w:rsid w:val="00BA3AFC"/>
    <w:rsid w:val="00BA5433"/>
    <w:rsid w:val="00BB41D9"/>
    <w:rsid w:val="00BB72E7"/>
    <w:rsid w:val="00BC2EBC"/>
    <w:rsid w:val="00BC3872"/>
    <w:rsid w:val="00BC5FA6"/>
    <w:rsid w:val="00BC7273"/>
    <w:rsid w:val="00BD1C8D"/>
    <w:rsid w:val="00BD3CBF"/>
    <w:rsid w:val="00BE62F6"/>
    <w:rsid w:val="00BF30AB"/>
    <w:rsid w:val="00BF73A0"/>
    <w:rsid w:val="00C04564"/>
    <w:rsid w:val="00C06ED9"/>
    <w:rsid w:val="00C10A47"/>
    <w:rsid w:val="00C15FDD"/>
    <w:rsid w:val="00C202EA"/>
    <w:rsid w:val="00C2777E"/>
    <w:rsid w:val="00C3075F"/>
    <w:rsid w:val="00C30D2C"/>
    <w:rsid w:val="00C336DA"/>
    <w:rsid w:val="00C371B3"/>
    <w:rsid w:val="00C4020A"/>
    <w:rsid w:val="00C41A13"/>
    <w:rsid w:val="00C52DC1"/>
    <w:rsid w:val="00C54745"/>
    <w:rsid w:val="00C55B2E"/>
    <w:rsid w:val="00C62C12"/>
    <w:rsid w:val="00C6488D"/>
    <w:rsid w:val="00C8253B"/>
    <w:rsid w:val="00C850EF"/>
    <w:rsid w:val="00C86589"/>
    <w:rsid w:val="00CA23FD"/>
    <w:rsid w:val="00CA3286"/>
    <w:rsid w:val="00CB149B"/>
    <w:rsid w:val="00CD0BED"/>
    <w:rsid w:val="00CD455B"/>
    <w:rsid w:val="00CE3FF1"/>
    <w:rsid w:val="00CF1026"/>
    <w:rsid w:val="00CF15A0"/>
    <w:rsid w:val="00CF601C"/>
    <w:rsid w:val="00D00939"/>
    <w:rsid w:val="00D01982"/>
    <w:rsid w:val="00D019E2"/>
    <w:rsid w:val="00D12A0D"/>
    <w:rsid w:val="00D20CB5"/>
    <w:rsid w:val="00D22563"/>
    <w:rsid w:val="00D232A5"/>
    <w:rsid w:val="00D27370"/>
    <w:rsid w:val="00D31923"/>
    <w:rsid w:val="00D44D34"/>
    <w:rsid w:val="00D467D5"/>
    <w:rsid w:val="00D54FCD"/>
    <w:rsid w:val="00D55110"/>
    <w:rsid w:val="00D557FC"/>
    <w:rsid w:val="00D60D83"/>
    <w:rsid w:val="00D65931"/>
    <w:rsid w:val="00D66A18"/>
    <w:rsid w:val="00D72222"/>
    <w:rsid w:val="00D726C7"/>
    <w:rsid w:val="00D733B0"/>
    <w:rsid w:val="00D74A76"/>
    <w:rsid w:val="00D76733"/>
    <w:rsid w:val="00D76A8C"/>
    <w:rsid w:val="00D813A6"/>
    <w:rsid w:val="00D84893"/>
    <w:rsid w:val="00D8687A"/>
    <w:rsid w:val="00D90BFB"/>
    <w:rsid w:val="00D90F30"/>
    <w:rsid w:val="00D956E1"/>
    <w:rsid w:val="00D96A8D"/>
    <w:rsid w:val="00DB138C"/>
    <w:rsid w:val="00DB5131"/>
    <w:rsid w:val="00DB5B33"/>
    <w:rsid w:val="00DB7324"/>
    <w:rsid w:val="00DC0641"/>
    <w:rsid w:val="00DC2DAE"/>
    <w:rsid w:val="00DC7BA8"/>
    <w:rsid w:val="00DD3581"/>
    <w:rsid w:val="00DD654D"/>
    <w:rsid w:val="00DD6722"/>
    <w:rsid w:val="00DE34FC"/>
    <w:rsid w:val="00DE4E0B"/>
    <w:rsid w:val="00DE614E"/>
    <w:rsid w:val="00DE7AA3"/>
    <w:rsid w:val="00DF28AF"/>
    <w:rsid w:val="00DF3CF0"/>
    <w:rsid w:val="00DF4886"/>
    <w:rsid w:val="00DF564F"/>
    <w:rsid w:val="00E05A2C"/>
    <w:rsid w:val="00E05DA8"/>
    <w:rsid w:val="00E131EE"/>
    <w:rsid w:val="00E20A40"/>
    <w:rsid w:val="00E24C95"/>
    <w:rsid w:val="00E2681C"/>
    <w:rsid w:val="00E2698B"/>
    <w:rsid w:val="00E26C8E"/>
    <w:rsid w:val="00E30FE4"/>
    <w:rsid w:val="00E33A55"/>
    <w:rsid w:val="00E41AF5"/>
    <w:rsid w:val="00E43499"/>
    <w:rsid w:val="00E44379"/>
    <w:rsid w:val="00E469F1"/>
    <w:rsid w:val="00E53241"/>
    <w:rsid w:val="00E636E5"/>
    <w:rsid w:val="00E72336"/>
    <w:rsid w:val="00E73779"/>
    <w:rsid w:val="00E75F59"/>
    <w:rsid w:val="00E766D3"/>
    <w:rsid w:val="00E85C4F"/>
    <w:rsid w:val="00E862B0"/>
    <w:rsid w:val="00E87EDE"/>
    <w:rsid w:val="00E9261C"/>
    <w:rsid w:val="00E93311"/>
    <w:rsid w:val="00E93856"/>
    <w:rsid w:val="00EA04AB"/>
    <w:rsid w:val="00EA2DC3"/>
    <w:rsid w:val="00EA3FA4"/>
    <w:rsid w:val="00EB2613"/>
    <w:rsid w:val="00EB2DF2"/>
    <w:rsid w:val="00EB679D"/>
    <w:rsid w:val="00EC0264"/>
    <w:rsid w:val="00EC040E"/>
    <w:rsid w:val="00EC268A"/>
    <w:rsid w:val="00ED6DA8"/>
    <w:rsid w:val="00EE07A6"/>
    <w:rsid w:val="00EE3326"/>
    <w:rsid w:val="00EE4CD6"/>
    <w:rsid w:val="00EE5E18"/>
    <w:rsid w:val="00EF1F0A"/>
    <w:rsid w:val="00EF563B"/>
    <w:rsid w:val="00EF604D"/>
    <w:rsid w:val="00EF6064"/>
    <w:rsid w:val="00F0338A"/>
    <w:rsid w:val="00F11D75"/>
    <w:rsid w:val="00F12241"/>
    <w:rsid w:val="00F13DD6"/>
    <w:rsid w:val="00F162C4"/>
    <w:rsid w:val="00F33C30"/>
    <w:rsid w:val="00F33E84"/>
    <w:rsid w:val="00F341E9"/>
    <w:rsid w:val="00F3749C"/>
    <w:rsid w:val="00F408F3"/>
    <w:rsid w:val="00F4250E"/>
    <w:rsid w:val="00F4611E"/>
    <w:rsid w:val="00F468D7"/>
    <w:rsid w:val="00F57C02"/>
    <w:rsid w:val="00F61DDB"/>
    <w:rsid w:val="00F66657"/>
    <w:rsid w:val="00F73805"/>
    <w:rsid w:val="00F7577A"/>
    <w:rsid w:val="00F8529C"/>
    <w:rsid w:val="00F86AD1"/>
    <w:rsid w:val="00F86F3C"/>
    <w:rsid w:val="00F90454"/>
    <w:rsid w:val="00F905A8"/>
    <w:rsid w:val="00FA0228"/>
    <w:rsid w:val="00FA4548"/>
    <w:rsid w:val="00FA4EF7"/>
    <w:rsid w:val="00FA60D8"/>
    <w:rsid w:val="00FA7037"/>
    <w:rsid w:val="00FA7AF6"/>
    <w:rsid w:val="00FB0D2A"/>
    <w:rsid w:val="00FB5907"/>
    <w:rsid w:val="00FB74B1"/>
    <w:rsid w:val="00FC3D75"/>
    <w:rsid w:val="00FC7BE3"/>
    <w:rsid w:val="00FD624F"/>
    <w:rsid w:val="00FE3DC2"/>
    <w:rsid w:val="00FE4CD4"/>
    <w:rsid w:val="00FE4F63"/>
    <w:rsid w:val="00FE6CAF"/>
    <w:rsid w:val="00FF1755"/>
    <w:rsid w:val="00FF1C3A"/>
    <w:rsid w:val="00FF2BAE"/>
    <w:rsid w:val="00FF3464"/>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8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basedOn w:val="DefaultParagraphFont"/>
    <w:uiPriority w:val="99"/>
    <w:semiHidden/>
    <w:unhideWhenUsed/>
    <w:rsid w:val="005F54A1"/>
    <w:rPr>
      <w:color w:val="800080" w:themeColor="followedHyperlink"/>
      <w:u w:val="single"/>
    </w:rPr>
  </w:style>
  <w:style w:type="paragraph" w:styleId="Revision">
    <w:name w:val="Revision"/>
    <w:hidden/>
    <w:uiPriority w:val="99"/>
    <w:semiHidden/>
    <w:rsid w:val="00685F29"/>
    <w:rPr>
      <w:rFonts w:ascii="Times New Roman" w:eastAsia="Times New Roman" w:hAnsi="Times New Roman"/>
      <w:sz w:val="24"/>
      <w:szCs w:val="24"/>
      <w:lang w:val="en-GB"/>
    </w:rPr>
  </w:style>
  <w:style w:type="character" w:customStyle="1" w:styleId="normal0020tablechar">
    <w:name w:val="normal_0020table__char"/>
    <w:rsid w:val="00422A3C"/>
  </w:style>
  <w:style w:type="paragraph" w:customStyle="1" w:styleId="normal0020table">
    <w:name w:val="normal_0020table"/>
    <w:basedOn w:val="Normal"/>
    <w:rsid w:val="00422A3C"/>
    <w:pPr>
      <w:spacing w:before="100" w:beforeAutospacing="1" w:after="100" w:afterAutospacing="1"/>
    </w:pPr>
    <w:rPr>
      <w:lang w:val="fr-FR"/>
    </w:rPr>
  </w:style>
  <w:style w:type="character" w:customStyle="1" w:styleId="margechar0">
    <w:name w:val="marge__char"/>
    <w:basedOn w:val="DefaultParagraphFont"/>
    <w:rsid w:val="00422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basedOn w:val="DefaultParagraphFont"/>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basedOn w:val="DefaultParagraphFont"/>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basedOn w:val="DefaultParagraphFont"/>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semiHidden/>
    <w:rsid w:val="00EF563B"/>
  </w:style>
  <w:style w:type="character" w:customStyle="1" w:styleId="Heading4Char">
    <w:name w:val="Heading 4 Char"/>
    <w:basedOn w:val="DefaultParagraphFont"/>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basedOn w:val="DefaultParagraphFont"/>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basedOn w:val="DefaultParagraphFont"/>
    <w:rsid w:val="00891295"/>
    <w:rPr>
      <w:sz w:val="20"/>
      <w:szCs w:val="20"/>
    </w:rPr>
  </w:style>
  <w:style w:type="paragraph" w:styleId="NormalWeb">
    <w:name w:val="Normal (Web)"/>
    <w:basedOn w:val="Normal"/>
    <w:rsid w:val="00811E0D"/>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basedOn w:val="DefaultParagraphFont"/>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basedOn w:val="CommentText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basedOn w:val="DefaultParagraphFont"/>
    <w:link w:val="BodyText3"/>
    <w:rsid w:val="002340CD"/>
    <w:rPr>
      <w:rFonts w:ascii="Times New Roman" w:eastAsia="Times New Roman" w:hAnsi="Times New Roman"/>
      <w:sz w:val="22"/>
      <w:szCs w:val="22"/>
      <w:lang w:val="en-GB" w:eastAsia="fr-FR"/>
    </w:rPr>
  </w:style>
  <w:style w:type="character" w:styleId="Hyperlink">
    <w:name w:val="Hyperlink"/>
    <w:basedOn w:val="DefaultParagraphFont"/>
    <w:uiPriority w:val="99"/>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basedOn w:val="DefaultParagraphFont"/>
    <w:link w:val="Par"/>
    <w:rsid w:val="0057403F"/>
    <w:rPr>
      <w:rFonts w:ascii="Arial" w:eastAsia="Times New Roman" w:hAnsi="Arial"/>
      <w:snapToGrid w:val="0"/>
      <w:sz w:val="22"/>
      <w:szCs w:val="24"/>
      <w:lang w:val="en-GB" w:eastAsia="en-US"/>
    </w:rPr>
  </w:style>
  <w:style w:type="character" w:customStyle="1" w:styleId="MargeChar">
    <w:name w:val="Marge Char"/>
    <w:basedOn w:val="ParChar"/>
    <w:link w:val="Marge"/>
    <w:rsid w:val="0057403F"/>
    <w:rPr>
      <w:rFonts w:ascii="Arial" w:eastAsia="Times New Roman" w:hAnsi="Arial"/>
      <w:snapToGrid w:val="0"/>
      <w:sz w:val="22"/>
      <w:szCs w:val="24"/>
      <w:lang w:val="en-GB" w:eastAsia="en-US"/>
    </w:rPr>
  </w:style>
  <w:style w:type="character" w:customStyle="1" w:styleId="ParagraphChar">
    <w:name w:val="Paragraph Char"/>
    <w:basedOn w:val="MargeChar"/>
    <w:link w:val="Paragraph"/>
    <w:rsid w:val="0057403F"/>
    <w:rPr>
      <w:rFonts w:ascii="Arial" w:eastAsia="Times New Roman" w:hAnsi="Arial" w:cs="Arial"/>
      <w:snapToGrid w:val="0"/>
      <w:sz w:val="22"/>
      <w:szCs w:val="22"/>
      <w:lang w:val="en-GB" w:eastAsia="en-US"/>
    </w:rPr>
  </w:style>
  <w:style w:type="character" w:customStyle="1" w:styleId="hps">
    <w:name w:val="hps"/>
    <w:basedOn w:val="DefaultParagraphFont"/>
    <w:rsid w:val="00BA1CE3"/>
  </w:style>
  <w:style w:type="paragraph" w:styleId="FootnoteText">
    <w:name w:val="footnote text"/>
    <w:basedOn w:val="Normal"/>
    <w:link w:val="FootnoteTextChar"/>
    <w:uiPriority w:val="99"/>
    <w:semiHidden/>
    <w:unhideWhenUsed/>
    <w:rsid w:val="00BA1CE3"/>
    <w:rPr>
      <w:sz w:val="20"/>
      <w:szCs w:val="20"/>
    </w:rPr>
  </w:style>
  <w:style w:type="character" w:customStyle="1" w:styleId="FootnoteTextChar">
    <w:name w:val="Footnote Text Char"/>
    <w:basedOn w:val="DefaultParagraphFont"/>
    <w:link w:val="FootnoteText"/>
    <w:uiPriority w:val="99"/>
    <w:semiHidden/>
    <w:rsid w:val="00BA1CE3"/>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BA1CE3"/>
    <w:rPr>
      <w:vertAlign w:val="superscript"/>
    </w:rPr>
  </w:style>
  <w:style w:type="character" w:customStyle="1" w:styleId="shorttext">
    <w:name w:val="short_text"/>
    <w:basedOn w:val="DefaultParagraphFont"/>
    <w:rsid w:val="00EA3FA4"/>
  </w:style>
  <w:style w:type="character" w:styleId="FollowedHyperlink">
    <w:name w:val="FollowedHyperlink"/>
    <w:basedOn w:val="DefaultParagraphFont"/>
    <w:uiPriority w:val="99"/>
    <w:semiHidden/>
    <w:unhideWhenUsed/>
    <w:rsid w:val="005F54A1"/>
    <w:rPr>
      <w:color w:val="800080" w:themeColor="followedHyperlink"/>
      <w:u w:val="single"/>
    </w:rPr>
  </w:style>
  <w:style w:type="paragraph" w:styleId="Revision">
    <w:name w:val="Revision"/>
    <w:hidden/>
    <w:uiPriority w:val="99"/>
    <w:semiHidden/>
    <w:rsid w:val="00685F29"/>
    <w:rPr>
      <w:rFonts w:ascii="Times New Roman" w:eastAsia="Times New Roman" w:hAnsi="Times New Roman"/>
      <w:sz w:val="24"/>
      <w:szCs w:val="24"/>
      <w:lang w:val="en-GB"/>
    </w:rPr>
  </w:style>
  <w:style w:type="character" w:customStyle="1" w:styleId="normal0020tablechar">
    <w:name w:val="normal_0020table__char"/>
    <w:rsid w:val="00422A3C"/>
  </w:style>
  <w:style w:type="paragraph" w:customStyle="1" w:styleId="normal0020table">
    <w:name w:val="normal_0020table"/>
    <w:basedOn w:val="Normal"/>
    <w:rsid w:val="00422A3C"/>
    <w:pPr>
      <w:spacing w:before="100" w:beforeAutospacing="1" w:after="100" w:afterAutospacing="1"/>
    </w:pPr>
    <w:rPr>
      <w:lang w:val="fr-FR"/>
    </w:rPr>
  </w:style>
  <w:style w:type="character" w:customStyle="1" w:styleId="margechar0">
    <w:name w:val="marge__char"/>
    <w:basedOn w:val="DefaultParagraphFont"/>
    <w:rsid w:val="0042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777866741">
      <w:bodyDiv w:val="1"/>
      <w:marLeft w:val="0"/>
      <w:marRight w:val="0"/>
      <w:marTop w:val="0"/>
      <w:marBottom w:val="0"/>
      <w:divBdr>
        <w:top w:val="none" w:sz="0" w:space="0" w:color="auto"/>
        <w:left w:val="none" w:sz="0" w:space="0" w:color="auto"/>
        <w:bottom w:val="none" w:sz="0" w:space="0" w:color="auto"/>
        <w:right w:val="none" w:sz="0" w:space="0" w:color="auto"/>
      </w:divBdr>
      <w:divsChild>
        <w:div w:id="1494222998">
          <w:marLeft w:val="0"/>
          <w:marRight w:val="0"/>
          <w:marTop w:val="0"/>
          <w:marBottom w:val="0"/>
          <w:divBdr>
            <w:top w:val="none" w:sz="0" w:space="0" w:color="auto"/>
            <w:left w:val="none" w:sz="0" w:space="0" w:color="auto"/>
            <w:bottom w:val="none" w:sz="0" w:space="0" w:color="auto"/>
            <w:right w:val="none" w:sz="0" w:space="0" w:color="auto"/>
          </w:divBdr>
          <w:divsChild>
            <w:div w:id="63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6489-08B2-439F-9DE0-A59ADBDB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2414</Words>
  <Characters>14098</Characters>
  <Application>Microsoft Office Word</Application>
  <DocSecurity>0</DocSecurity>
  <Lines>343</Lines>
  <Paragraphs>232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16280</CharactersWithSpaces>
  <SharedDoc>false</SharedDoc>
  <HLinks>
    <vt:vector size="6" baseType="variant">
      <vt:variant>
        <vt:i4>327725</vt:i4>
      </vt:variant>
      <vt:variant>
        <vt:i4>66</vt:i4>
      </vt:variant>
      <vt:variant>
        <vt:i4>0</vt:i4>
      </vt:variant>
      <vt:variant>
        <vt:i4>5</vt:i4>
      </vt:variant>
      <vt:variant>
        <vt:lpwstr>mailto:imurambiwa@yahoo.com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CLT/CEH/ITH-b_de-sancristobal</cp:lastModifiedBy>
  <cp:revision>14</cp:revision>
  <cp:lastPrinted>2012-10-15T11:03:00Z</cp:lastPrinted>
  <dcterms:created xsi:type="dcterms:W3CDTF">2012-10-15T15:51:00Z</dcterms:created>
  <dcterms:modified xsi:type="dcterms:W3CDTF">2012-10-23T16:11:00Z</dcterms:modified>
</cp:coreProperties>
</file>