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E5" w:rsidRPr="00F24706" w:rsidRDefault="00F3749C" w:rsidP="0005458E">
      <w:pPr>
        <w:spacing w:before="1440"/>
        <w:jc w:val="center"/>
        <w:rPr>
          <w:rFonts w:ascii="Arial" w:hAnsi="Arial" w:cs="Arial"/>
          <w:b/>
          <w:sz w:val="22"/>
          <w:szCs w:val="22"/>
        </w:rPr>
      </w:pPr>
      <w:r w:rsidRPr="00F24706">
        <w:rPr>
          <w:rFonts w:ascii="Arial" w:hAnsi="Arial" w:cs="Arial"/>
          <w:b/>
          <w:sz w:val="22"/>
          <w:szCs w:val="22"/>
        </w:rPr>
        <w:t xml:space="preserve">CONVENTION FOR THE SAFEGUARDING OF THE </w:t>
      </w:r>
      <w:r w:rsidRPr="00F24706">
        <w:rPr>
          <w:rFonts w:ascii="Arial" w:hAnsi="Arial" w:cs="Arial"/>
          <w:b/>
          <w:sz w:val="22"/>
          <w:szCs w:val="22"/>
        </w:rPr>
        <w:br/>
        <w:t>INTANGIBLE CULTURAL HERITAGE</w:t>
      </w:r>
    </w:p>
    <w:p w:rsidR="008724E5" w:rsidRPr="00F24706" w:rsidRDefault="00CB149B" w:rsidP="0005458E">
      <w:pPr>
        <w:spacing w:before="1200"/>
        <w:jc w:val="center"/>
        <w:rPr>
          <w:rFonts w:ascii="Arial" w:hAnsi="Arial" w:cs="Arial"/>
          <w:b/>
          <w:sz w:val="22"/>
          <w:szCs w:val="22"/>
        </w:rPr>
      </w:pPr>
      <w:r w:rsidRPr="00F24706">
        <w:rPr>
          <w:rFonts w:ascii="Arial" w:hAnsi="Arial" w:cs="Arial"/>
          <w:b/>
          <w:sz w:val="22"/>
          <w:szCs w:val="22"/>
        </w:rPr>
        <w:t>INTERGOVERNMENTAL COMMITTEE FOR THE</w:t>
      </w:r>
      <w:r w:rsidRPr="00F24706">
        <w:rPr>
          <w:rFonts w:ascii="Arial" w:hAnsi="Arial" w:cs="Arial"/>
          <w:b/>
          <w:sz w:val="22"/>
          <w:szCs w:val="22"/>
        </w:rPr>
        <w:br/>
        <w:t xml:space="preserve"> SAFEGUARDING OF THE INTANGIBLE CULTURAL HERITAGE</w:t>
      </w:r>
    </w:p>
    <w:p w:rsidR="00DC2DAE" w:rsidRPr="00F24706" w:rsidRDefault="00DC2DAE" w:rsidP="00DC2DAE">
      <w:pPr>
        <w:spacing w:before="840"/>
        <w:jc w:val="center"/>
        <w:rPr>
          <w:rFonts w:ascii="Arial" w:hAnsi="Arial" w:cs="Arial"/>
          <w:b/>
          <w:sz w:val="22"/>
          <w:szCs w:val="22"/>
        </w:rPr>
      </w:pPr>
      <w:r w:rsidRPr="00F24706">
        <w:rPr>
          <w:rFonts w:ascii="Arial" w:hAnsi="Arial" w:cs="Arial"/>
          <w:b/>
          <w:sz w:val="22"/>
          <w:szCs w:val="22"/>
        </w:rPr>
        <w:t>Meeting of the Bureau</w:t>
      </w:r>
    </w:p>
    <w:p w:rsidR="00DC2DAE" w:rsidRPr="00F24706" w:rsidRDefault="00DC2DAE" w:rsidP="00DC2DAE">
      <w:pPr>
        <w:jc w:val="center"/>
        <w:rPr>
          <w:rFonts w:ascii="Arial" w:hAnsi="Arial" w:cs="Arial"/>
          <w:b/>
          <w:sz w:val="22"/>
          <w:szCs w:val="22"/>
        </w:rPr>
      </w:pPr>
      <w:r w:rsidRPr="00F24706">
        <w:rPr>
          <w:rFonts w:ascii="Arial" w:hAnsi="Arial" w:cs="Arial"/>
          <w:b/>
          <w:sz w:val="22"/>
          <w:szCs w:val="22"/>
        </w:rPr>
        <w:t xml:space="preserve">UNESCO </w:t>
      </w:r>
      <w:r w:rsidR="004C182B" w:rsidRPr="00F24706">
        <w:rPr>
          <w:rFonts w:ascii="Arial" w:hAnsi="Arial" w:cs="Arial"/>
          <w:b/>
          <w:sz w:val="22"/>
          <w:szCs w:val="22"/>
        </w:rPr>
        <w:t xml:space="preserve">Headquarters, Paris, Room </w:t>
      </w:r>
      <w:r w:rsidR="00DF4886" w:rsidRPr="00F24706">
        <w:rPr>
          <w:rFonts w:ascii="Arial" w:hAnsi="Arial" w:cs="Arial"/>
          <w:b/>
          <w:sz w:val="22"/>
          <w:szCs w:val="22"/>
        </w:rPr>
        <w:t>XIV</w:t>
      </w:r>
    </w:p>
    <w:p w:rsidR="00DC2DAE" w:rsidRPr="00F24706" w:rsidRDefault="004C182B" w:rsidP="006A0BB0">
      <w:pPr>
        <w:jc w:val="center"/>
        <w:rPr>
          <w:rFonts w:ascii="Arial" w:hAnsi="Arial" w:cs="Arial"/>
          <w:b/>
          <w:sz w:val="22"/>
          <w:szCs w:val="22"/>
        </w:rPr>
      </w:pPr>
      <w:r w:rsidRPr="00F24706">
        <w:rPr>
          <w:rFonts w:ascii="Arial" w:hAnsi="Arial" w:cs="Arial"/>
          <w:b/>
          <w:sz w:val="22"/>
          <w:szCs w:val="22"/>
        </w:rPr>
        <w:t>24</w:t>
      </w:r>
      <w:r w:rsidR="00DC2DAE" w:rsidRPr="00F24706">
        <w:rPr>
          <w:rFonts w:ascii="Arial" w:hAnsi="Arial" w:cs="Arial"/>
          <w:b/>
          <w:sz w:val="22"/>
          <w:szCs w:val="22"/>
        </w:rPr>
        <w:t xml:space="preserve"> </w:t>
      </w:r>
      <w:r w:rsidRPr="00F24706">
        <w:rPr>
          <w:rFonts w:ascii="Arial" w:hAnsi="Arial" w:cs="Arial"/>
          <w:b/>
          <w:sz w:val="22"/>
          <w:szCs w:val="22"/>
        </w:rPr>
        <w:t>October</w:t>
      </w:r>
      <w:r w:rsidR="00DC2DAE" w:rsidRPr="00F24706">
        <w:rPr>
          <w:rFonts w:ascii="Arial" w:hAnsi="Arial" w:cs="Arial"/>
          <w:b/>
          <w:sz w:val="22"/>
          <w:szCs w:val="22"/>
        </w:rPr>
        <w:t xml:space="preserve"> 2012</w:t>
      </w:r>
    </w:p>
    <w:p w:rsidR="00987083" w:rsidRPr="00F24706" w:rsidRDefault="004364D7" w:rsidP="006A0BB0">
      <w:pPr>
        <w:pStyle w:val="NoSpacing"/>
        <w:spacing w:before="1000" w:after="800"/>
        <w:jc w:val="center"/>
        <w:rPr>
          <w:rFonts w:ascii="Arial" w:eastAsia="SimSun" w:hAnsi="Arial" w:cs="Arial"/>
          <w:b/>
          <w:bCs/>
          <w:i/>
          <w:color w:val="808080" w:themeColor="background1" w:themeShade="80"/>
          <w:sz w:val="22"/>
          <w:szCs w:val="22"/>
          <w:lang w:val="en-GB" w:eastAsia="zh-CN"/>
        </w:rPr>
      </w:pPr>
      <w:r w:rsidRPr="00F24706">
        <w:rPr>
          <w:rFonts w:ascii="Arial" w:eastAsia="SimSun" w:hAnsi="Arial" w:cs="Arial"/>
          <w:b/>
          <w:bCs/>
          <w:sz w:val="22"/>
          <w:szCs w:val="22"/>
          <w:u w:val="single"/>
          <w:lang w:val="en-GB" w:eastAsia="zh-CN"/>
        </w:rPr>
        <w:t xml:space="preserve">Item </w:t>
      </w:r>
      <w:r w:rsidR="00286B74" w:rsidRPr="00F24706">
        <w:rPr>
          <w:rFonts w:ascii="Arial" w:eastAsia="SimSun" w:hAnsi="Arial" w:cs="Arial"/>
          <w:b/>
          <w:bCs/>
          <w:sz w:val="22"/>
          <w:szCs w:val="22"/>
          <w:u w:val="single"/>
          <w:lang w:val="en-GB" w:eastAsia="zh-CN"/>
        </w:rPr>
        <w:t>5</w:t>
      </w:r>
      <w:r w:rsidRPr="00F24706">
        <w:rPr>
          <w:rFonts w:ascii="Arial" w:eastAsia="SimSun" w:hAnsi="Arial" w:cs="Arial"/>
          <w:b/>
          <w:bCs/>
          <w:sz w:val="22"/>
          <w:szCs w:val="22"/>
          <w:u w:val="single"/>
          <w:lang w:val="en-GB" w:eastAsia="zh-CN"/>
        </w:rPr>
        <w:t xml:space="preserve"> of the Provisional Agenda</w:t>
      </w:r>
      <w:r w:rsidRPr="00F24706">
        <w:rPr>
          <w:rFonts w:ascii="Arial" w:eastAsia="SimSun" w:hAnsi="Arial" w:cs="Arial"/>
          <w:b/>
          <w:bCs/>
          <w:sz w:val="22"/>
          <w:szCs w:val="22"/>
          <w:lang w:val="en-GB" w:eastAsia="zh-CN"/>
        </w:rPr>
        <w:t>:</w:t>
      </w:r>
      <w:r w:rsidRPr="00F24706">
        <w:rPr>
          <w:rFonts w:ascii="Arial" w:eastAsia="SimSun" w:hAnsi="Arial" w:cs="Arial"/>
          <w:b/>
          <w:bCs/>
          <w:sz w:val="22"/>
          <w:szCs w:val="22"/>
          <w:lang w:val="en-GB" w:eastAsia="zh-CN"/>
        </w:rPr>
        <w:br/>
      </w:r>
      <w:r w:rsidR="005853AC" w:rsidRPr="00F24706">
        <w:rPr>
          <w:rFonts w:ascii="Arial" w:eastAsia="SimSun" w:hAnsi="Arial" w:cs="Arial"/>
          <w:b/>
          <w:bCs/>
          <w:sz w:val="22"/>
          <w:szCs w:val="22"/>
          <w:lang w:val="en-GB" w:eastAsia="zh-CN"/>
        </w:rPr>
        <w:t>Utilization of the funds allocated for ‘ot</w:t>
      </w:r>
      <w:r w:rsidR="0004359C" w:rsidRPr="00F24706">
        <w:rPr>
          <w:rFonts w:ascii="Arial" w:eastAsia="SimSun" w:hAnsi="Arial" w:cs="Arial"/>
          <w:b/>
          <w:bCs/>
          <w:sz w:val="22"/>
          <w:szCs w:val="22"/>
          <w:lang w:val="en-GB" w:eastAsia="zh-CN"/>
        </w:rPr>
        <w:t>her functions of the Committee’</w:t>
      </w:r>
      <w:r w:rsidR="0004359C" w:rsidRPr="00F24706">
        <w:rPr>
          <w:rFonts w:ascii="Arial" w:eastAsia="SimSun" w:hAnsi="Arial" w:cs="Arial"/>
          <w:b/>
          <w:bCs/>
          <w:sz w:val="22"/>
          <w:szCs w:val="22"/>
          <w:lang w:val="en-GB" w:eastAsia="zh-CN"/>
        </w:rPr>
        <w:br/>
      </w:r>
      <w:r w:rsidR="005853AC" w:rsidRPr="00F24706">
        <w:rPr>
          <w:rFonts w:ascii="Arial" w:eastAsia="SimSun" w:hAnsi="Arial" w:cs="Arial"/>
          <w:b/>
          <w:bCs/>
          <w:sz w:val="22"/>
          <w:szCs w:val="22"/>
          <w:lang w:val="en-GB" w:eastAsia="zh-CN"/>
        </w:rPr>
        <w:t>under the Plan for the use of the resources of the Intangible Cultural Heritage Fund</w:t>
      </w:r>
    </w:p>
    <w:tbl>
      <w:tblPr>
        <w:tblW w:w="6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4"/>
      </w:tblGrid>
      <w:tr w:rsidR="006C3FFC" w:rsidRPr="00F24706" w:rsidTr="00F24706">
        <w:trPr>
          <w:trHeight w:val="5029"/>
          <w:jc w:val="center"/>
        </w:trPr>
        <w:tc>
          <w:tcPr>
            <w:tcW w:w="6094" w:type="dxa"/>
            <w:vAlign w:val="center"/>
          </w:tcPr>
          <w:p w:rsidR="00174C8B" w:rsidRPr="00F24706" w:rsidRDefault="00174C8B" w:rsidP="00174C8B">
            <w:pPr>
              <w:pStyle w:val="NoSpacing"/>
              <w:spacing w:before="200" w:after="200"/>
              <w:jc w:val="center"/>
              <w:rPr>
                <w:rFonts w:ascii="Arial" w:hAnsi="Arial" w:cs="Arial"/>
                <w:b/>
                <w:sz w:val="22"/>
                <w:szCs w:val="22"/>
                <w:lang w:val="en-GB"/>
              </w:rPr>
            </w:pPr>
            <w:r w:rsidRPr="00F24706">
              <w:rPr>
                <w:rFonts w:ascii="Arial" w:hAnsi="Arial" w:cs="Arial"/>
                <w:b/>
                <w:sz w:val="22"/>
                <w:szCs w:val="22"/>
                <w:lang w:val="en-GB"/>
              </w:rPr>
              <w:lastRenderedPageBreak/>
              <w:t>Summary</w:t>
            </w:r>
          </w:p>
          <w:p w:rsidR="00FE6CAF" w:rsidRPr="00F24706" w:rsidRDefault="00FE6CAF" w:rsidP="00FE6CAF">
            <w:pPr>
              <w:pStyle w:val="NoSpacing"/>
              <w:spacing w:before="200" w:after="200"/>
              <w:jc w:val="both"/>
              <w:rPr>
                <w:rFonts w:ascii="Arial" w:hAnsi="Arial" w:cs="Arial"/>
                <w:sz w:val="22"/>
                <w:szCs w:val="22"/>
                <w:lang w:val="en-GB"/>
              </w:rPr>
            </w:pPr>
            <w:r w:rsidRPr="00F24706">
              <w:rPr>
                <w:rFonts w:ascii="Arial" w:hAnsi="Arial" w:cs="Arial"/>
                <w:sz w:val="22"/>
                <w:szCs w:val="22"/>
                <w:lang w:val="en-GB"/>
              </w:rPr>
              <w:t xml:space="preserve">The Plan for the use of the resources of the Intangible Cultural Heritage Fund approved by the General Assembly for the period of </w:t>
            </w:r>
            <w:r w:rsidR="00EB514F" w:rsidRPr="00F24706">
              <w:rPr>
                <w:rFonts w:ascii="Arial" w:hAnsi="Arial" w:cs="Arial"/>
                <w:sz w:val="22"/>
                <w:szCs w:val="22"/>
                <w:lang w:val="en-GB"/>
              </w:rPr>
              <w:t>1 </w:t>
            </w:r>
            <w:r w:rsidR="00BE62F6" w:rsidRPr="00F24706">
              <w:rPr>
                <w:rFonts w:ascii="Arial" w:hAnsi="Arial" w:cs="Arial"/>
                <w:sz w:val="22"/>
                <w:szCs w:val="22"/>
                <w:lang w:val="en-GB"/>
              </w:rPr>
              <w:t xml:space="preserve">January </w:t>
            </w:r>
            <w:r w:rsidRPr="00F24706">
              <w:rPr>
                <w:rFonts w:ascii="Arial" w:hAnsi="Arial" w:cs="Arial"/>
                <w:sz w:val="22"/>
                <w:szCs w:val="22"/>
                <w:lang w:val="en-GB"/>
              </w:rPr>
              <w:t xml:space="preserve">2012 to </w:t>
            </w:r>
            <w:r w:rsidR="00EB514F" w:rsidRPr="00F24706">
              <w:rPr>
                <w:rFonts w:ascii="Arial" w:hAnsi="Arial" w:cs="Arial"/>
                <w:sz w:val="22"/>
                <w:szCs w:val="22"/>
                <w:lang w:val="en-GB"/>
              </w:rPr>
              <w:t>31 </w:t>
            </w:r>
            <w:r w:rsidR="00BE62F6" w:rsidRPr="00F24706">
              <w:rPr>
                <w:rFonts w:ascii="Arial" w:hAnsi="Arial" w:cs="Arial"/>
                <w:sz w:val="22"/>
                <w:szCs w:val="22"/>
                <w:lang w:val="en-GB"/>
              </w:rPr>
              <w:t xml:space="preserve">December </w:t>
            </w:r>
            <w:r w:rsidRPr="00F24706">
              <w:rPr>
                <w:rFonts w:ascii="Arial" w:hAnsi="Arial" w:cs="Arial"/>
                <w:sz w:val="22"/>
                <w:szCs w:val="22"/>
                <w:lang w:val="en-GB"/>
              </w:rPr>
              <w:t xml:space="preserve">2013 provides that </w:t>
            </w:r>
            <w:r w:rsidR="00EB514F" w:rsidRPr="00F24706">
              <w:rPr>
                <w:rFonts w:ascii="Arial" w:hAnsi="Arial" w:cs="Arial"/>
                <w:sz w:val="22"/>
                <w:szCs w:val="22"/>
                <w:lang w:val="en-GB"/>
              </w:rPr>
              <w:t>18%</w:t>
            </w:r>
            <w:r w:rsidRPr="00F24706">
              <w:rPr>
                <w:rFonts w:ascii="Arial" w:hAnsi="Arial" w:cs="Arial"/>
                <w:sz w:val="22"/>
                <w:szCs w:val="22"/>
                <w:lang w:val="en-GB"/>
              </w:rPr>
              <w:t xml:space="preserve"> of the resources </w:t>
            </w:r>
            <w:r w:rsidR="00EB514F" w:rsidRPr="00F24706">
              <w:rPr>
                <w:rFonts w:ascii="Arial" w:hAnsi="Arial" w:cs="Arial"/>
                <w:sz w:val="22"/>
                <w:szCs w:val="22"/>
                <w:lang w:val="en-GB"/>
              </w:rPr>
              <w:t xml:space="preserve">be </w:t>
            </w:r>
            <w:r w:rsidRPr="00F24706">
              <w:rPr>
                <w:rFonts w:ascii="Arial" w:hAnsi="Arial" w:cs="Arial"/>
                <w:sz w:val="22"/>
                <w:szCs w:val="22"/>
                <w:lang w:val="en-GB"/>
              </w:rPr>
              <w:t>allocated to ‘other functions of the Committee’ as described in Article 7 of the Convention and the Operational Directives.</w:t>
            </w:r>
          </w:p>
          <w:p w:rsidR="00FE6CAF" w:rsidRPr="00F24706" w:rsidRDefault="00FE6CAF" w:rsidP="00FE6CAF">
            <w:pPr>
              <w:pStyle w:val="NoSpacing"/>
              <w:spacing w:before="200" w:after="200"/>
              <w:jc w:val="both"/>
              <w:rPr>
                <w:rFonts w:ascii="Arial" w:hAnsi="Arial" w:cs="Arial"/>
                <w:sz w:val="22"/>
                <w:szCs w:val="22"/>
                <w:lang w:val="en-GB"/>
              </w:rPr>
            </w:pPr>
            <w:r w:rsidRPr="00F24706">
              <w:rPr>
                <w:rFonts w:ascii="Arial" w:hAnsi="Arial" w:cs="Arial"/>
                <w:sz w:val="22"/>
                <w:szCs w:val="22"/>
                <w:lang w:val="en-GB"/>
              </w:rPr>
              <w:t xml:space="preserve">The present document presents </w:t>
            </w:r>
            <w:r w:rsidR="00BE62F6" w:rsidRPr="00F24706">
              <w:rPr>
                <w:rFonts w:ascii="Arial" w:hAnsi="Arial" w:cs="Arial"/>
                <w:sz w:val="22"/>
                <w:szCs w:val="22"/>
                <w:lang w:val="en-GB"/>
              </w:rPr>
              <w:t xml:space="preserve">a </w:t>
            </w:r>
            <w:r w:rsidR="003527A5" w:rsidRPr="00F24706">
              <w:rPr>
                <w:rFonts w:ascii="Arial" w:hAnsi="Arial" w:cs="Arial"/>
                <w:sz w:val="22"/>
                <w:szCs w:val="22"/>
                <w:lang w:val="en-GB"/>
              </w:rPr>
              <w:t>revised</w:t>
            </w:r>
            <w:r w:rsidRPr="00F24706">
              <w:rPr>
                <w:rFonts w:ascii="Arial" w:hAnsi="Arial" w:cs="Arial"/>
                <w:sz w:val="22"/>
                <w:szCs w:val="22"/>
                <w:lang w:val="en-GB"/>
              </w:rPr>
              <w:t xml:space="preserve"> proposal prepared by the Secretariat for the utilization of these funds for the period </w:t>
            </w:r>
            <w:r w:rsidR="002C34D5" w:rsidRPr="00F24706">
              <w:rPr>
                <w:rFonts w:ascii="Arial" w:hAnsi="Arial" w:cs="Arial"/>
                <w:sz w:val="22"/>
                <w:szCs w:val="22"/>
                <w:lang w:val="en-GB"/>
              </w:rPr>
              <w:t xml:space="preserve">that </w:t>
            </w:r>
            <w:r w:rsidR="003527A5" w:rsidRPr="00F24706">
              <w:rPr>
                <w:rFonts w:ascii="Arial" w:hAnsi="Arial" w:cs="Arial"/>
                <w:sz w:val="22"/>
                <w:szCs w:val="22"/>
                <w:lang w:val="en-GB"/>
              </w:rPr>
              <w:t>began on</w:t>
            </w:r>
            <w:r w:rsidR="00374371" w:rsidRPr="00F24706">
              <w:rPr>
                <w:rFonts w:ascii="Arial" w:hAnsi="Arial" w:cs="Arial"/>
                <w:sz w:val="22"/>
                <w:szCs w:val="22"/>
                <w:lang w:val="en-GB"/>
              </w:rPr>
              <w:t xml:space="preserve"> </w:t>
            </w:r>
            <w:r w:rsidR="00F4611E" w:rsidRPr="00F24706">
              <w:rPr>
                <w:rFonts w:ascii="Arial" w:hAnsi="Arial" w:cs="Arial"/>
                <w:sz w:val="22"/>
                <w:szCs w:val="22"/>
                <w:lang w:val="en-GB"/>
              </w:rPr>
              <w:t>1</w:t>
            </w:r>
            <w:r w:rsidR="003527A5" w:rsidRPr="00F24706">
              <w:rPr>
                <w:rFonts w:ascii="Arial" w:hAnsi="Arial" w:cs="Arial"/>
                <w:sz w:val="22"/>
                <w:szCs w:val="22"/>
                <w:lang w:val="en-GB"/>
              </w:rPr>
              <w:t> July </w:t>
            </w:r>
            <w:r w:rsidRPr="00F24706">
              <w:rPr>
                <w:rFonts w:ascii="Arial" w:hAnsi="Arial" w:cs="Arial"/>
                <w:sz w:val="22"/>
                <w:szCs w:val="22"/>
                <w:lang w:val="en-GB"/>
              </w:rPr>
              <w:t xml:space="preserve">2012. Exercising the authority delegated </w:t>
            </w:r>
            <w:r w:rsidR="002C34D5" w:rsidRPr="00F24706">
              <w:rPr>
                <w:rFonts w:ascii="Arial" w:hAnsi="Arial" w:cs="Arial"/>
                <w:sz w:val="22"/>
                <w:szCs w:val="22"/>
                <w:lang w:val="en-GB"/>
              </w:rPr>
              <w:t xml:space="preserve">to it </w:t>
            </w:r>
            <w:r w:rsidRPr="00F24706">
              <w:rPr>
                <w:rFonts w:ascii="Arial" w:hAnsi="Arial" w:cs="Arial"/>
                <w:sz w:val="22"/>
                <w:szCs w:val="22"/>
                <w:lang w:val="en-GB"/>
              </w:rPr>
              <w:t>by the Committee</w:t>
            </w:r>
            <w:r w:rsidR="00F4611E" w:rsidRPr="00F24706">
              <w:rPr>
                <w:rFonts w:ascii="Arial" w:hAnsi="Arial" w:cs="Arial"/>
                <w:sz w:val="22"/>
                <w:szCs w:val="22"/>
                <w:lang w:val="en-GB"/>
              </w:rPr>
              <w:t>,</w:t>
            </w:r>
            <w:r w:rsidRPr="00F24706">
              <w:rPr>
                <w:rFonts w:ascii="Arial" w:hAnsi="Arial" w:cs="Arial"/>
                <w:sz w:val="22"/>
                <w:szCs w:val="22"/>
                <w:lang w:val="en-GB"/>
              </w:rPr>
              <w:t xml:space="preserve"> the Bureau </w:t>
            </w:r>
            <w:r w:rsidR="00F4611E" w:rsidRPr="00F24706">
              <w:rPr>
                <w:rFonts w:ascii="Arial" w:hAnsi="Arial" w:cs="Arial"/>
                <w:sz w:val="22"/>
                <w:szCs w:val="22"/>
                <w:lang w:val="en-GB"/>
              </w:rPr>
              <w:t xml:space="preserve">is invited </w:t>
            </w:r>
            <w:r w:rsidRPr="00F24706">
              <w:rPr>
                <w:rFonts w:ascii="Arial" w:hAnsi="Arial" w:cs="Arial"/>
                <w:sz w:val="22"/>
                <w:szCs w:val="22"/>
                <w:lang w:val="en-GB"/>
              </w:rPr>
              <w:t xml:space="preserve">to decide upon the utilization of the funds allocated under this category on the basis of </w:t>
            </w:r>
            <w:r w:rsidR="00BE62F6" w:rsidRPr="00F24706">
              <w:rPr>
                <w:rFonts w:ascii="Arial" w:hAnsi="Arial" w:cs="Arial"/>
                <w:sz w:val="22"/>
                <w:szCs w:val="22"/>
                <w:lang w:val="en-GB"/>
              </w:rPr>
              <w:t xml:space="preserve">this </w:t>
            </w:r>
            <w:r w:rsidRPr="00F24706">
              <w:rPr>
                <w:rFonts w:ascii="Arial" w:hAnsi="Arial" w:cs="Arial"/>
                <w:sz w:val="22"/>
                <w:szCs w:val="22"/>
                <w:lang w:val="en-GB"/>
              </w:rPr>
              <w:t>specific proposal.</w:t>
            </w:r>
            <w:r w:rsidR="00BE62F6" w:rsidRPr="00F24706">
              <w:rPr>
                <w:rFonts w:ascii="Arial" w:hAnsi="Arial" w:cs="Arial"/>
                <w:sz w:val="22"/>
                <w:szCs w:val="22"/>
                <w:lang w:val="en-GB"/>
              </w:rPr>
              <w:t xml:space="preserve"> The Bureau is asked to take its decision through electronic consultation.</w:t>
            </w:r>
          </w:p>
          <w:p w:rsidR="006C3FFC" w:rsidRPr="00F24706" w:rsidRDefault="00F3749C" w:rsidP="003527A5">
            <w:pPr>
              <w:pStyle w:val="NoSpacing"/>
              <w:spacing w:before="200" w:after="200"/>
              <w:jc w:val="both"/>
              <w:rPr>
                <w:rFonts w:ascii="Arial" w:hAnsi="Arial" w:cs="Arial"/>
                <w:b/>
                <w:i/>
                <w:sz w:val="22"/>
                <w:szCs w:val="22"/>
                <w:lang w:val="en-GB"/>
              </w:rPr>
            </w:pPr>
            <w:r w:rsidRPr="00F24706">
              <w:rPr>
                <w:rFonts w:ascii="Arial" w:hAnsi="Arial" w:cs="Arial"/>
                <w:b/>
                <w:sz w:val="22"/>
                <w:szCs w:val="22"/>
                <w:lang w:val="en-GB"/>
              </w:rPr>
              <w:t>Decision required</w:t>
            </w:r>
            <w:r w:rsidRPr="00F24706">
              <w:rPr>
                <w:rFonts w:ascii="Arial" w:hAnsi="Arial" w:cs="Arial"/>
                <w:sz w:val="22"/>
                <w:szCs w:val="22"/>
                <w:lang w:val="en-GB"/>
              </w:rPr>
              <w:t xml:space="preserve">: </w:t>
            </w:r>
            <w:r w:rsidR="006A0BB0" w:rsidRPr="00F24706">
              <w:rPr>
                <w:rFonts w:ascii="Arial" w:hAnsi="Arial" w:cs="Arial"/>
                <w:sz w:val="22"/>
                <w:szCs w:val="22"/>
                <w:lang w:val="en-GB"/>
              </w:rPr>
              <w:t>paragraph</w:t>
            </w:r>
            <w:r w:rsidR="006A0BB0" w:rsidRPr="00F24706">
              <w:rPr>
                <w:rFonts w:ascii="Arial" w:hAnsi="Arial" w:cs="Arial"/>
                <w:bCs/>
                <w:i/>
                <w:color w:val="808080" w:themeColor="background1" w:themeShade="80"/>
                <w:sz w:val="22"/>
                <w:szCs w:val="22"/>
                <w:lang w:val="en-GB"/>
              </w:rPr>
              <w:t> </w:t>
            </w:r>
            <w:r w:rsidR="003527A5" w:rsidRPr="00F24706">
              <w:rPr>
                <w:rFonts w:ascii="Arial" w:hAnsi="Arial" w:cs="Arial"/>
                <w:sz w:val="22"/>
                <w:szCs w:val="22"/>
                <w:lang w:val="en-GB"/>
              </w:rPr>
              <w:t>13</w:t>
            </w:r>
          </w:p>
        </w:tc>
      </w:tr>
    </w:tbl>
    <w:p w:rsidR="00ED6DA8" w:rsidRPr="00F24706" w:rsidRDefault="00EF563B" w:rsidP="006A0BB0">
      <w:pPr>
        <w:pStyle w:val="Paragraph"/>
        <w:numPr>
          <w:ilvl w:val="0"/>
          <w:numId w:val="0"/>
        </w:numPr>
        <w:ind w:left="567" w:hanging="567"/>
      </w:pPr>
      <w:r w:rsidRPr="00F24706">
        <w:br w:type="page"/>
      </w:r>
    </w:p>
    <w:p w:rsidR="003E7C51" w:rsidRPr="00F24706" w:rsidRDefault="004C182B" w:rsidP="008305C0">
      <w:pPr>
        <w:pStyle w:val="Marge"/>
        <w:numPr>
          <w:ilvl w:val="0"/>
          <w:numId w:val="31"/>
        </w:numPr>
        <w:tabs>
          <w:tab w:val="clear" w:pos="567"/>
        </w:tabs>
        <w:spacing w:after="120"/>
        <w:ind w:left="567" w:hanging="567"/>
        <w:rPr>
          <w:rFonts w:cs="Arial"/>
          <w:szCs w:val="22"/>
        </w:rPr>
      </w:pPr>
      <w:r w:rsidRPr="00F24706">
        <w:rPr>
          <w:rFonts w:cs="Arial"/>
          <w:szCs w:val="22"/>
        </w:rPr>
        <w:lastRenderedPageBreak/>
        <w:t xml:space="preserve">The Plan for the use of the resources of the </w:t>
      </w:r>
      <w:r w:rsidR="00EB514F" w:rsidRPr="00F24706">
        <w:rPr>
          <w:rFonts w:cs="Arial"/>
          <w:szCs w:val="22"/>
        </w:rPr>
        <w:t xml:space="preserve">Intangible Cultural Heritage </w:t>
      </w:r>
      <w:r w:rsidRPr="00F24706">
        <w:rPr>
          <w:rFonts w:cs="Arial"/>
          <w:szCs w:val="22"/>
        </w:rPr>
        <w:t>Fund and budget plan for the period 1 January 2012 to 31 December 2013 and from 1 January to 30 June 2014 adopted by the General Assembly at its fourth session (Resolution 4.GA</w:t>
      </w:r>
      <w:r w:rsidR="00962349" w:rsidRPr="00F24706">
        <w:rPr>
          <w:rFonts w:cs="Arial"/>
          <w:szCs w:val="22"/>
        </w:rPr>
        <w:t> </w:t>
      </w:r>
      <w:r w:rsidRPr="00F24706">
        <w:rPr>
          <w:rFonts w:cs="Arial"/>
          <w:szCs w:val="22"/>
        </w:rPr>
        <w:t xml:space="preserve">7) </w:t>
      </w:r>
      <w:r w:rsidR="002C34D5" w:rsidRPr="00F24706">
        <w:rPr>
          <w:rFonts w:cs="Arial"/>
          <w:szCs w:val="22"/>
        </w:rPr>
        <w:t xml:space="preserve">allocates </w:t>
      </w:r>
      <w:r w:rsidRPr="00F24706">
        <w:rPr>
          <w:rFonts w:cs="Arial"/>
          <w:szCs w:val="22"/>
        </w:rPr>
        <w:t>18% of the total amount for ‘Other functions of the Committee’ as described in Article</w:t>
      </w:r>
      <w:r w:rsidR="00EB679D" w:rsidRPr="00F24706">
        <w:rPr>
          <w:rFonts w:cs="Arial"/>
          <w:szCs w:val="22"/>
        </w:rPr>
        <w:t> </w:t>
      </w:r>
      <w:r w:rsidRPr="00F24706">
        <w:rPr>
          <w:rFonts w:cs="Arial"/>
          <w:szCs w:val="22"/>
        </w:rPr>
        <w:t xml:space="preserve">7 of the Convention and in the Operational Directives. </w:t>
      </w:r>
      <w:r w:rsidR="003E7C51" w:rsidRPr="00F24706">
        <w:rPr>
          <w:rFonts w:cs="Arial"/>
          <w:szCs w:val="22"/>
        </w:rPr>
        <w:t xml:space="preserve">In addition to the </w:t>
      </w:r>
      <w:r w:rsidR="003E7C51" w:rsidRPr="00F24706">
        <w:t xml:space="preserve">examination of periodic reports, international assistance requests, nominations to the Lists and proposals of best safeguarding practices, the Committee performs </w:t>
      </w:r>
      <w:r w:rsidR="00BE62F6" w:rsidRPr="00F24706">
        <w:t>‘other functions’ aim</w:t>
      </w:r>
      <w:r w:rsidR="003E7C51" w:rsidRPr="00F24706">
        <w:t>ed</w:t>
      </w:r>
      <w:r w:rsidR="00CF15A0" w:rsidRPr="00F24706">
        <w:t xml:space="preserve">, </w:t>
      </w:r>
      <w:r w:rsidR="00655893" w:rsidRPr="00F24706">
        <w:t>in particular</w:t>
      </w:r>
      <w:r w:rsidR="00BE62F6" w:rsidRPr="00F24706">
        <w:t>, at</w:t>
      </w:r>
      <w:r w:rsidR="00261D41" w:rsidRPr="00F24706">
        <w:t xml:space="preserve"> </w:t>
      </w:r>
      <w:r w:rsidR="00655893" w:rsidRPr="00F24706">
        <w:t>promoting the objectives of the Convention and encouraging and monitoring its implementation through strengthening institutional and community capacities for effectively safeguarding intangible cultural heritage, raising awareness of such heritage and its significance</w:t>
      </w:r>
      <w:r w:rsidR="00F4611E" w:rsidRPr="00F24706">
        <w:t>,</w:t>
      </w:r>
      <w:r w:rsidR="00655893" w:rsidRPr="00F24706">
        <w:t xml:space="preserve"> and disseminating information about best safeguarding practices. </w:t>
      </w:r>
    </w:p>
    <w:p w:rsidR="000025D4" w:rsidRPr="00F24706" w:rsidRDefault="00D726C7" w:rsidP="008305C0">
      <w:pPr>
        <w:pStyle w:val="Marge"/>
        <w:numPr>
          <w:ilvl w:val="0"/>
          <w:numId w:val="31"/>
        </w:numPr>
        <w:tabs>
          <w:tab w:val="clear" w:pos="567"/>
        </w:tabs>
        <w:spacing w:after="120"/>
        <w:ind w:left="567" w:hanging="567"/>
        <w:rPr>
          <w:rFonts w:cs="Arial"/>
          <w:szCs w:val="22"/>
        </w:rPr>
      </w:pPr>
      <w:r w:rsidRPr="00F24706">
        <w:rPr>
          <w:rFonts w:cs="Arial"/>
          <w:szCs w:val="22"/>
        </w:rPr>
        <w:t xml:space="preserve">The total amount allocated for the biennium </w:t>
      </w:r>
      <w:r w:rsidR="004C182B" w:rsidRPr="00F24706">
        <w:rPr>
          <w:rFonts w:cs="Arial"/>
          <w:szCs w:val="22"/>
        </w:rPr>
        <w:t xml:space="preserve">(from 1 January 2012 to 31 December 2013) for </w:t>
      </w:r>
      <w:r w:rsidRPr="00F24706">
        <w:rPr>
          <w:rFonts w:cs="Arial"/>
          <w:szCs w:val="22"/>
        </w:rPr>
        <w:t xml:space="preserve">‘other functions of the Committee’ is </w:t>
      </w:r>
      <w:r w:rsidR="004C182B" w:rsidRPr="00F24706">
        <w:rPr>
          <w:rFonts w:cs="Arial"/>
          <w:szCs w:val="22"/>
        </w:rPr>
        <w:t xml:space="preserve">US$1,107,811. </w:t>
      </w:r>
      <w:r w:rsidR="000025D4" w:rsidRPr="00F24706">
        <w:rPr>
          <w:rFonts w:cs="Arial"/>
          <w:szCs w:val="22"/>
        </w:rPr>
        <w:t>In its Decision 6.COM 20, the Committee decided to continue with the mechanism set in place in previous sessions for authorizing expenditures in this category. In that Decision, the Committee ‘delegates to its Bureau the authority to decide upon the utilization of the funds allocated under item 3 of the Plan, on the basis of specific proposals to be prepared by the Secretariat’.</w:t>
      </w:r>
    </w:p>
    <w:p w:rsidR="00EA3FA4" w:rsidRPr="00F24706" w:rsidRDefault="004C182B" w:rsidP="008305C0">
      <w:pPr>
        <w:pStyle w:val="Marge"/>
        <w:numPr>
          <w:ilvl w:val="0"/>
          <w:numId w:val="31"/>
        </w:numPr>
        <w:tabs>
          <w:tab w:val="clear" w:pos="567"/>
        </w:tabs>
        <w:spacing w:after="120"/>
        <w:ind w:left="567" w:hanging="567"/>
        <w:rPr>
          <w:rFonts w:cs="Arial"/>
          <w:szCs w:val="22"/>
        </w:rPr>
      </w:pPr>
      <w:r w:rsidRPr="00F24706">
        <w:rPr>
          <w:rFonts w:cs="Arial"/>
          <w:szCs w:val="22"/>
        </w:rPr>
        <w:t xml:space="preserve">The </w:t>
      </w:r>
      <w:r w:rsidR="00EA3FA4" w:rsidRPr="00F24706">
        <w:rPr>
          <w:rFonts w:cs="Arial"/>
          <w:szCs w:val="22"/>
        </w:rPr>
        <w:t>Bureau</w:t>
      </w:r>
      <w:r w:rsidRPr="00F24706">
        <w:rPr>
          <w:rFonts w:cs="Arial"/>
          <w:szCs w:val="22"/>
        </w:rPr>
        <w:t xml:space="preserve"> previously approved </w:t>
      </w:r>
      <w:r w:rsidR="002C34D5" w:rsidRPr="00F24706">
        <w:rPr>
          <w:rFonts w:cs="Arial"/>
          <w:szCs w:val="22"/>
        </w:rPr>
        <w:t>two spending plans for these funds</w:t>
      </w:r>
      <w:r w:rsidRPr="00F24706">
        <w:rPr>
          <w:rFonts w:cs="Arial"/>
          <w:szCs w:val="22"/>
        </w:rPr>
        <w:t>.</w:t>
      </w:r>
      <w:r w:rsidR="000025D4" w:rsidRPr="00F24706">
        <w:rPr>
          <w:rFonts w:cs="Arial"/>
          <w:szCs w:val="22"/>
        </w:rPr>
        <w:t xml:space="preserve"> In its Decision </w:t>
      </w:r>
      <w:r w:rsidR="00EA3FA4" w:rsidRPr="00F24706">
        <w:rPr>
          <w:rFonts w:cs="Arial"/>
          <w:szCs w:val="22"/>
        </w:rPr>
        <w:t>6.COM</w:t>
      </w:r>
      <w:r w:rsidR="00896134" w:rsidRPr="00F24706">
        <w:rPr>
          <w:rFonts w:cs="Arial"/>
          <w:szCs w:val="22"/>
        </w:rPr>
        <w:t> </w:t>
      </w:r>
      <w:r w:rsidR="00EA3FA4" w:rsidRPr="00F24706">
        <w:rPr>
          <w:rFonts w:cs="Arial"/>
          <w:szCs w:val="22"/>
        </w:rPr>
        <w:t>2.BUR</w:t>
      </w:r>
      <w:r w:rsidR="00896134" w:rsidRPr="00F24706">
        <w:rPr>
          <w:rFonts w:cs="Arial"/>
          <w:szCs w:val="22"/>
        </w:rPr>
        <w:t> </w:t>
      </w:r>
      <w:r w:rsidR="00EA3FA4" w:rsidRPr="00F24706">
        <w:rPr>
          <w:rFonts w:cs="Arial"/>
          <w:szCs w:val="22"/>
        </w:rPr>
        <w:t xml:space="preserve">4, the </w:t>
      </w:r>
      <w:r w:rsidRPr="00F24706">
        <w:rPr>
          <w:rFonts w:cs="Arial"/>
          <w:szCs w:val="22"/>
        </w:rPr>
        <w:t>Bureau approved the amount of US$210,663 for use during the period 1</w:t>
      </w:r>
      <w:r w:rsidR="00896134" w:rsidRPr="00F24706">
        <w:rPr>
          <w:rFonts w:cs="Arial"/>
          <w:szCs w:val="22"/>
        </w:rPr>
        <w:t> January 2012 to 30 June </w:t>
      </w:r>
      <w:r w:rsidRPr="00F24706">
        <w:rPr>
          <w:rFonts w:cs="Arial"/>
          <w:szCs w:val="22"/>
        </w:rPr>
        <w:t xml:space="preserve">2012; these funds </w:t>
      </w:r>
      <w:r w:rsidR="00896134" w:rsidRPr="00F24706">
        <w:rPr>
          <w:rFonts w:cs="Arial"/>
          <w:szCs w:val="22"/>
        </w:rPr>
        <w:t>are now</w:t>
      </w:r>
      <w:r w:rsidRPr="00F24706">
        <w:rPr>
          <w:rFonts w:cs="Arial"/>
          <w:szCs w:val="22"/>
        </w:rPr>
        <w:t xml:space="preserve"> </w:t>
      </w:r>
      <w:r w:rsidR="00133C6E" w:rsidRPr="00F24706">
        <w:rPr>
          <w:rFonts w:cs="Arial"/>
          <w:szCs w:val="22"/>
        </w:rPr>
        <w:t xml:space="preserve">nearly </w:t>
      </w:r>
      <w:r w:rsidRPr="00F24706">
        <w:rPr>
          <w:rFonts w:cs="Arial"/>
          <w:szCs w:val="22"/>
        </w:rPr>
        <w:t xml:space="preserve">exhausted. </w:t>
      </w:r>
      <w:r w:rsidR="00896134" w:rsidRPr="00F24706">
        <w:rPr>
          <w:rFonts w:cs="Arial"/>
          <w:szCs w:val="22"/>
        </w:rPr>
        <w:t>In July </w:t>
      </w:r>
      <w:r w:rsidR="00EA3FA4" w:rsidRPr="00F24706">
        <w:rPr>
          <w:rFonts w:cs="Arial"/>
          <w:szCs w:val="22"/>
        </w:rPr>
        <w:t>2012,</w:t>
      </w:r>
      <w:r w:rsidR="002C34D5" w:rsidRPr="00F24706">
        <w:rPr>
          <w:rFonts w:cs="Arial"/>
          <w:szCs w:val="22"/>
        </w:rPr>
        <w:t xml:space="preserve"> subsequent to the fourth session of the General Assembly during which the budget for 2012-2013 was approved,</w:t>
      </w:r>
      <w:r w:rsidR="00EA3FA4" w:rsidRPr="00F24706">
        <w:rPr>
          <w:rFonts w:cs="Arial"/>
          <w:szCs w:val="22"/>
        </w:rPr>
        <w:t xml:space="preserve"> the Bureau approved a </w:t>
      </w:r>
      <w:r w:rsidR="002C34D5" w:rsidRPr="00F24706">
        <w:rPr>
          <w:rFonts w:cs="Arial"/>
          <w:szCs w:val="22"/>
        </w:rPr>
        <w:t xml:space="preserve">second </w:t>
      </w:r>
      <w:r w:rsidR="00EA3FA4" w:rsidRPr="00F24706">
        <w:rPr>
          <w:rFonts w:cs="Arial"/>
          <w:szCs w:val="22"/>
        </w:rPr>
        <w:t xml:space="preserve">spending plan for </w:t>
      </w:r>
      <w:r w:rsidR="002C34D5" w:rsidRPr="00F24706">
        <w:rPr>
          <w:rFonts w:cs="Arial"/>
          <w:szCs w:val="22"/>
        </w:rPr>
        <w:t xml:space="preserve">an additional </w:t>
      </w:r>
      <w:r w:rsidR="00EA3FA4" w:rsidRPr="00F24706">
        <w:rPr>
          <w:rFonts w:cs="Arial"/>
          <w:szCs w:val="22"/>
        </w:rPr>
        <w:t xml:space="preserve">US$594,000 </w:t>
      </w:r>
      <w:r w:rsidR="000025D4" w:rsidRPr="00F24706">
        <w:rPr>
          <w:rFonts w:cs="Arial"/>
          <w:szCs w:val="22"/>
        </w:rPr>
        <w:t>(Decision </w:t>
      </w:r>
      <w:r w:rsidR="00EA3FA4" w:rsidRPr="00F24706">
        <w:rPr>
          <w:rFonts w:cs="Arial"/>
          <w:szCs w:val="22"/>
        </w:rPr>
        <w:t>7.COM</w:t>
      </w:r>
      <w:r w:rsidR="00896134" w:rsidRPr="00F24706">
        <w:rPr>
          <w:rFonts w:cs="Arial"/>
          <w:szCs w:val="22"/>
        </w:rPr>
        <w:t> </w:t>
      </w:r>
      <w:r w:rsidR="00EA3FA4" w:rsidRPr="00F24706">
        <w:rPr>
          <w:rFonts w:cs="Arial"/>
          <w:szCs w:val="22"/>
        </w:rPr>
        <w:t>3.BUR</w:t>
      </w:r>
      <w:r w:rsidR="00896134" w:rsidRPr="00F24706">
        <w:rPr>
          <w:rFonts w:cs="Arial"/>
          <w:szCs w:val="22"/>
        </w:rPr>
        <w:t> </w:t>
      </w:r>
      <w:r w:rsidR="00EA3FA4" w:rsidRPr="00F24706">
        <w:rPr>
          <w:rFonts w:cs="Arial"/>
          <w:szCs w:val="22"/>
        </w:rPr>
        <w:t xml:space="preserve">5). At </w:t>
      </w:r>
      <w:r w:rsidR="002C34D5" w:rsidRPr="00F24706">
        <w:rPr>
          <w:rFonts w:cs="Arial"/>
          <w:szCs w:val="22"/>
        </w:rPr>
        <w:t xml:space="preserve">that </w:t>
      </w:r>
      <w:r w:rsidR="00EA3FA4" w:rsidRPr="00F24706">
        <w:rPr>
          <w:rFonts w:cs="Arial"/>
          <w:szCs w:val="22"/>
        </w:rPr>
        <w:t xml:space="preserve">time, the members of the Bureau were informed that the </w:t>
      </w:r>
      <w:r w:rsidRPr="00F24706">
        <w:rPr>
          <w:rFonts w:cs="Arial"/>
          <w:szCs w:val="22"/>
        </w:rPr>
        <w:t xml:space="preserve">Secretariat </w:t>
      </w:r>
      <w:r w:rsidR="00EA3FA4" w:rsidRPr="00F24706">
        <w:rPr>
          <w:rFonts w:cs="Arial"/>
          <w:szCs w:val="22"/>
        </w:rPr>
        <w:t>would</w:t>
      </w:r>
      <w:r w:rsidRPr="00F24706">
        <w:rPr>
          <w:rFonts w:cs="Arial"/>
          <w:szCs w:val="22"/>
        </w:rPr>
        <w:t xml:space="preserve"> return to </w:t>
      </w:r>
      <w:r w:rsidR="00EA3FA4" w:rsidRPr="00F24706">
        <w:rPr>
          <w:rFonts w:cs="Arial"/>
          <w:szCs w:val="22"/>
        </w:rPr>
        <w:t>them</w:t>
      </w:r>
      <w:r w:rsidRPr="00F24706">
        <w:rPr>
          <w:rFonts w:cs="Arial"/>
          <w:szCs w:val="22"/>
        </w:rPr>
        <w:t xml:space="preserve"> in mid-2013 with a proposed spending plan for the balance remaining during the biennium </w:t>
      </w:r>
      <w:r w:rsidR="00EA3FA4" w:rsidRPr="00F24706">
        <w:rPr>
          <w:rFonts w:cs="Arial"/>
          <w:szCs w:val="22"/>
        </w:rPr>
        <w:t>(document</w:t>
      </w:r>
      <w:r w:rsidR="00896134" w:rsidRPr="00F24706">
        <w:rPr>
          <w:rFonts w:cs="Arial"/>
          <w:szCs w:val="22"/>
        </w:rPr>
        <w:t> </w:t>
      </w:r>
      <w:r w:rsidR="00EA3FA4" w:rsidRPr="00F24706">
        <w:rPr>
          <w:rFonts w:cs="Arial"/>
          <w:szCs w:val="22"/>
        </w:rPr>
        <w:t>ITH/12/7.COM</w:t>
      </w:r>
      <w:r w:rsidR="00896134" w:rsidRPr="00F24706">
        <w:rPr>
          <w:rFonts w:cs="Arial"/>
          <w:szCs w:val="22"/>
        </w:rPr>
        <w:t> </w:t>
      </w:r>
      <w:r w:rsidR="00EA3FA4" w:rsidRPr="00F24706">
        <w:rPr>
          <w:rFonts w:cs="Arial"/>
          <w:szCs w:val="22"/>
        </w:rPr>
        <w:t>3.BUR/5)</w:t>
      </w:r>
      <w:r w:rsidRPr="00F24706">
        <w:rPr>
          <w:rFonts w:cs="Arial"/>
          <w:szCs w:val="22"/>
        </w:rPr>
        <w:t>.</w:t>
      </w:r>
    </w:p>
    <w:p w:rsidR="001C729B" w:rsidRPr="00F24706" w:rsidRDefault="00EA3FA4" w:rsidP="00133C6E">
      <w:pPr>
        <w:pStyle w:val="Marge"/>
        <w:numPr>
          <w:ilvl w:val="0"/>
          <w:numId w:val="31"/>
        </w:numPr>
        <w:tabs>
          <w:tab w:val="clear" w:pos="567"/>
        </w:tabs>
        <w:ind w:left="567" w:hanging="567"/>
        <w:rPr>
          <w:rFonts w:cs="Arial"/>
          <w:szCs w:val="22"/>
        </w:rPr>
      </w:pPr>
      <w:r w:rsidRPr="00F24706">
        <w:rPr>
          <w:rFonts w:cs="Arial"/>
          <w:szCs w:val="22"/>
        </w:rPr>
        <w:t xml:space="preserve">The Secretariat is </w:t>
      </w:r>
      <w:r w:rsidR="001C729B" w:rsidRPr="00F24706">
        <w:rPr>
          <w:rFonts w:cs="Arial"/>
          <w:szCs w:val="22"/>
        </w:rPr>
        <w:t xml:space="preserve">now </w:t>
      </w:r>
      <w:r w:rsidR="002C34D5" w:rsidRPr="00F24706">
        <w:rPr>
          <w:rFonts w:cs="Arial"/>
          <w:szCs w:val="22"/>
        </w:rPr>
        <w:t>returning to the Bureau</w:t>
      </w:r>
      <w:r w:rsidRPr="00F24706">
        <w:rPr>
          <w:rFonts w:cs="Arial"/>
          <w:szCs w:val="22"/>
        </w:rPr>
        <w:t xml:space="preserve"> </w:t>
      </w:r>
      <w:r w:rsidR="001C729B" w:rsidRPr="00F24706">
        <w:rPr>
          <w:rFonts w:cs="Arial"/>
          <w:szCs w:val="22"/>
        </w:rPr>
        <w:t xml:space="preserve">somewhat </w:t>
      </w:r>
      <w:r w:rsidRPr="00F24706">
        <w:rPr>
          <w:rFonts w:cs="Arial"/>
          <w:szCs w:val="22"/>
        </w:rPr>
        <w:t xml:space="preserve">earlier than expected </w:t>
      </w:r>
      <w:r w:rsidR="002C34D5" w:rsidRPr="00F24706">
        <w:rPr>
          <w:rFonts w:cs="Arial"/>
          <w:szCs w:val="22"/>
        </w:rPr>
        <w:t>with</w:t>
      </w:r>
      <w:r w:rsidR="008E6921" w:rsidRPr="00F24706">
        <w:rPr>
          <w:rFonts w:cs="Arial"/>
          <w:szCs w:val="22"/>
        </w:rPr>
        <w:t xml:space="preserve"> a </w:t>
      </w:r>
      <w:r w:rsidRPr="00F24706">
        <w:rPr>
          <w:rFonts w:cs="Arial"/>
          <w:szCs w:val="22"/>
        </w:rPr>
        <w:t xml:space="preserve">revised </w:t>
      </w:r>
      <w:r w:rsidR="008E6921" w:rsidRPr="00F24706">
        <w:rPr>
          <w:rFonts w:cs="Arial"/>
          <w:szCs w:val="22"/>
        </w:rPr>
        <w:t>proposal, as annexed to this document</w:t>
      </w:r>
      <w:r w:rsidR="00896134" w:rsidRPr="00F24706">
        <w:rPr>
          <w:rFonts w:cs="Arial"/>
          <w:szCs w:val="22"/>
        </w:rPr>
        <w:t>,</w:t>
      </w:r>
      <w:r w:rsidR="00973155" w:rsidRPr="00F24706">
        <w:rPr>
          <w:rFonts w:cs="Arial"/>
          <w:szCs w:val="22"/>
        </w:rPr>
        <w:t xml:space="preserve"> </w:t>
      </w:r>
      <w:r w:rsidR="002C34D5" w:rsidRPr="00F24706">
        <w:rPr>
          <w:rFonts w:cs="Arial"/>
          <w:szCs w:val="22"/>
        </w:rPr>
        <w:t xml:space="preserve">that will </w:t>
      </w:r>
      <w:r w:rsidR="001C729B" w:rsidRPr="00F24706">
        <w:rPr>
          <w:rFonts w:cs="Arial"/>
          <w:szCs w:val="22"/>
        </w:rPr>
        <w:t>replace the plan previously approved</w:t>
      </w:r>
      <w:r w:rsidR="002C34D5" w:rsidRPr="00F24706">
        <w:rPr>
          <w:rFonts w:cs="Arial"/>
          <w:szCs w:val="22"/>
        </w:rPr>
        <w:t xml:space="preserve"> (US$594,000) and increase it to </w:t>
      </w:r>
      <w:r w:rsidRPr="00F24706">
        <w:rPr>
          <w:rFonts w:cs="Arial"/>
          <w:szCs w:val="22"/>
        </w:rPr>
        <w:t>US$</w:t>
      </w:r>
      <w:r w:rsidR="003D4DCD" w:rsidRPr="00F24706">
        <w:rPr>
          <w:rFonts w:cs="Arial"/>
          <w:szCs w:val="22"/>
        </w:rPr>
        <w:t>767,</w:t>
      </w:r>
      <w:r w:rsidRPr="00F24706">
        <w:rPr>
          <w:rFonts w:cs="Arial"/>
          <w:szCs w:val="22"/>
        </w:rPr>
        <w:t>250</w:t>
      </w:r>
      <w:r w:rsidR="008E6921" w:rsidRPr="00F24706">
        <w:rPr>
          <w:rFonts w:cs="Arial"/>
          <w:szCs w:val="22"/>
        </w:rPr>
        <w:t xml:space="preserve">. </w:t>
      </w:r>
      <w:r w:rsidR="001C729B" w:rsidRPr="00F24706">
        <w:rPr>
          <w:rFonts w:cs="Arial"/>
          <w:szCs w:val="22"/>
        </w:rPr>
        <w:t>The total</w:t>
      </w:r>
      <w:r w:rsidRPr="00F24706">
        <w:rPr>
          <w:rFonts w:cs="Arial"/>
          <w:szCs w:val="22"/>
        </w:rPr>
        <w:t xml:space="preserve"> amount</w:t>
      </w:r>
      <w:r w:rsidR="001C729B" w:rsidRPr="00F24706">
        <w:rPr>
          <w:rFonts w:cs="Arial"/>
          <w:szCs w:val="22"/>
        </w:rPr>
        <w:t xml:space="preserve"> of the revised plan</w:t>
      </w:r>
      <w:r w:rsidRPr="00F24706">
        <w:rPr>
          <w:rFonts w:cs="Arial"/>
          <w:szCs w:val="22"/>
        </w:rPr>
        <w:t xml:space="preserve"> represents </w:t>
      </w:r>
      <w:r w:rsidR="0085717C" w:rsidRPr="00F24706">
        <w:rPr>
          <w:rFonts w:cs="Arial"/>
          <w:szCs w:val="22"/>
        </w:rPr>
        <w:t>slightly</w:t>
      </w:r>
      <w:r w:rsidRPr="00F24706">
        <w:rPr>
          <w:rFonts w:cs="Arial"/>
          <w:szCs w:val="22"/>
        </w:rPr>
        <w:t xml:space="preserve"> less than 70% of the total allocation </w:t>
      </w:r>
      <w:r w:rsidR="0085717C" w:rsidRPr="00F24706">
        <w:rPr>
          <w:rFonts w:cs="Arial"/>
          <w:szCs w:val="22"/>
        </w:rPr>
        <w:t xml:space="preserve">for ‘other functions of the Committee’ </w:t>
      </w:r>
      <w:r w:rsidRPr="00F24706">
        <w:rPr>
          <w:rFonts w:cs="Arial"/>
          <w:szCs w:val="22"/>
        </w:rPr>
        <w:t>for the biennium</w:t>
      </w:r>
      <w:r w:rsidR="0085717C" w:rsidRPr="00F24706">
        <w:rPr>
          <w:rFonts w:cs="Arial"/>
          <w:szCs w:val="22"/>
        </w:rPr>
        <w:t xml:space="preserve">. </w:t>
      </w:r>
      <w:r w:rsidR="001C729B" w:rsidRPr="00F24706">
        <w:rPr>
          <w:rFonts w:cs="Arial"/>
          <w:szCs w:val="22"/>
        </w:rPr>
        <w:t>Together with the funds already used in the first semester of 2012 (US$</w:t>
      </w:r>
      <w:r w:rsidR="00133C6E" w:rsidRPr="00F24706">
        <w:rPr>
          <w:rFonts w:cs="Arial"/>
          <w:szCs w:val="22"/>
        </w:rPr>
        <w:t>208,450</w:t>
      </w:r>
      <w:r w:rsidR="001C729B" w:rsidRPr="00F24706">
        <w:rPr>
          <w:rFonts w:cs="Arial"/>
          <w:szCs w:val="22"/>
        </w:rPr>
        <w:t xml:space="preserve">, or 19%), there will remain an unallocated balance of </w:t>
      </w:r>
      <w:r w:rsidR="00133C6E" w:rsidRPr="00F24706">
        <w:rPr>
          <w:rFonts w:cs="Arial"/>
          <w:szCs w:val="22"/>
        </w:rPr>
        <w:t>US</w:t>
      </w:r>
      <w:r w:rsidR="001C729B" w:rsidRPr="00F24706">
        <w:rPr>
          <w:rFonts w:cs="Arial"/>
          <w:szCs w:val="22"/>
        </w:rPr>
        <w:t>$</w:t>
      </w:r>
      <w:r w:rsidR="00133C6E" w:rsidRPr="00F24706">
        <w:rPr>
          <w:rFonts w:cs="Arial"/>
          <w:szCs w:val="22"/>
        </w:rPr>
        <w:t>132,111</w:t>
      </w:r>
      <w:r w:rsidR="001C729B" w:rsidRPr="00F24706">
        <w:rPr>
          <w:rFonts w:cs="Arial"/>
          <w:szCs w:val="22"/>
        </w:rPr>
        <w:t xml:space="preserve"> or approximately 12% of the biennial funds</w:t>
      </w:r>
      <w:r w:rsidR="00884873" w:rsidRPr="00F24706">
        <w:rPr>
          <w:rFonts w:cs="Arial"/>
          <w:szCs w:val="22"/>
        </w:rPr>
        <w:t xml:space="preserve"> reserved for future needs</w:t>
      </w:r>
      <w:r w:rsidR="001C729B" w:rsidRPr="00F24706">
        <w:rPr>
          <w:rFonts w:cs="Arial"/>
          <w:szCs w:val="22"/>
        </w:rPr>
        <w:t>.</w:t>
      </w:r>
      <w:r w:rsidR="00EB514F" w:rsidRPr="00F24706">
        <w:rPr>
          <w:rFonts w:cs="Arial"/>
          <w:szCs w:val="22"/>
        </w:rPr>
        <w:t xml:space="preserve"> The Secretariat plans to return to the Bureau in mid-2013 with a proposed spending plan for the new remaining balance.</w:t>
      </w:r>
    </w:p>
    <w:p w:rsidR="00884873" w:rsidRPr="00F24706" w:rsidRDefault="00884873" w:rsidP="008305C0">
      <w:pPr>
        <w:pStyle w:val="Marge"/>
        <w:keepNext/>
        <w:tabs>
          <w:tab w:val="clear" w:pos="567"/>
        </w:tabs>
        <w:spacing w:before="360"/>
        <w:ind w:left="567"/>
        <w:rPr>
          <w:rFonts w:cs="Arial"/>
          <w:b/>
          <w:szCs w:val="22"/>
        </w:rPr>
      </w:pPr>
      <w:r w:rsidRPr="00F24706">
        <w:rPr>
          <w:rFonts w:cs="Arial"/>
          <w:b/>
          <w:szCs w:val="22"/>
        </w:rPr>
        <w:t>Revised needs</w:t>
      </w:r>
      <w:r w:rsidR="004403A0" w:rsidRPr="00F24706">
        <w:rPr>
          <w:rFonts w:cs="Arial"/>
          <w:b/>
          <w:szCs w:val="22"/>
        </w:rPr>
        <w:t>: knowledge management system</w:t>
      </w:r>
    </w:p>
    <w:p w:rsidR="00DC7BA8" w:rsidRPr="00F24706" w:rsidRDefault="006F4D12" w:rsidP="008305C0">
      <w:pPr>
        <w:pStyle w:val="Marge"/>
        <w:numPr>
          <w:ilvl w:val="0"/>
          <w:numId w:val="31"/>
        </w:numPr>
        <w:tabs>
          <w:tab w:val="clear" w:pos="567"/>
        </w:tabs>
        <w:spacing w:after="120"/>
        <w:ind w:left="567" w:hanging="567"/>
        <w:rPr>
          <w:rFonts w:cs="Arial"/>
          <w:szCs w:val="22"/>
        </w:rPr>
      </w:pPr>
      <w:r w:rsidRPr="00F24706">
        <w:rPr>
          <w:rFonts w:cs="Arial"/>
          <w:szCs w:val="22"/>
        </w:rPr>
        <w:t xml:space="preserve">The current spending plan for ‘other functions of the Committee’ as approved by the Bureau </w:t>
      </w:r>
      <w:r w:rsidR="00884873" w:rsidRPr="00F24706">
        <w:rPr>
          <w:rFonts w:cs="Arial"/>
          <w:szCs w:val="22"/>
        </w:rPr>
        <w:t xml:space="preserve">(Decision 7.COM 3.BUR 5) allocates </w:t>
      </w:r>
      <w:r w:rsidRPr="00F24706">
        <w:rPr>
          <w:rFonts w:cs="Arial"/>
          <w:szCs w:val="22"/>
        </w:rPr>
        <w:t xml:space="preserve">US$125,000 to support the maintenance and development of the </w:t>
      </w:r>
      <w:r w:rsidR="00884873" w:rsidRPr="00F24706">
        <w:rPr>
          <w:rFonts w:cs="Arial"/>
          <w:szCs w:val="22"/>
        </w:rPr>
        <w:t xml:space="preserve">Convention’s </w:t>
      </w:r>
      <w:r w:rsidRPr="00F24706">
        <w:rPr>
          <w:rFonts w:cs="Arial"/>
          <w:szCs w:val="22"/>
        </w:rPr>
        <w:t xml:space="preserve">knowledge management system, in particular in order to provide enhanced on-line functionalities such as personalized access for States Parties to follow more closely the status of on-going files, better monitoring and visibility of international assistance granted, and the possibility of on-line submission of reports, requests and nominations. </w:t>
      </w:r>
    </w:p>
    <w:p w:rsidR="00EE4CD6" w:rsidRPr="00F24706" w:rsidRDefault="007A377C" w:rsidP="008305C0">
      <w:pPr>
        <w:pStyle w:val="Marge"/>
        <w:numPr>
          <w:ilvl w:val="0"/>
          <w:numId w:val="31"/>
        </w:numPr>
        <w:tabs>
          <w:tab w:val="clear" w:pos="567"/>
        </w:tabs>
        <w:spacing w:after="120"/>
        <w:ind w:left="567" w:hanging="567"/>
        <w:rPr>
          <w:rFonts w:cs="Arial"/>
          <w:szCs w:val="22"/>
        </w:rPr>
      </w:pPr>
      <w:r w:rsidRPr="00F24706">
        <w:rPr>
          <w:rFonts w:cs="Arial"/>
          <w:szCs w:val="22"/>
        </w:rPr>
        <w:t xml:space="preserve">In previous </w:t>
      </w:r>
      <w:r w:rsidRPr="00F24706">
        <w:t>reports by the Committee to the General Assembly on its activities</w:t>
      </w:r>
      <w:r w:rsidRPr="00F24706">
        <w:rPr>
          <w:rFonts w:cs="Arial"/>
          <w:szCs w:val="22"/>
        </w:rPr>
        <w:t xml:space="preserve"> and </w:t>
      </w:r>
      <w:r w:rsidRPr="00F24706">
        <w:rPr>
          <w:rStyle w:val="hps"/>
        </w:rPr>
        <w:t>in the</w:t>
      </w:r>
      <w:r w:rsidRPr="00F24706">
        <w:t xml:space="preserve"> </w:t>
      </w:r>
      <w:r w:rsidRPr="00F24706">
        <w:rPr>
          <w:rStyle w:val="hps"/>
        </w:rPr>
        <w:t>subsequent decisions of</w:t>
      </w:r>
      <w:r w:rsidRPr="00F24706">
        <w:t xml:space="preserve"> </w:t>
      </w:r>
      <w:r w:rsidRPr="00F24706">
        <w:rPr>
          <w:rStyle w:val="hps"/>
        </w:rPr>
        <w:t>the</w:t>
      </w:r>
      <w:r w:rsidRPr="00F24706">
        <w:t xml:space="preserve"> </w:t>
      </w:r>
      <w:r w:rsidRPr="00F24706">
        <w:rPr>
          <w:rStyle w:val="hps"/>
        </w:rPr>
        <w:t>Governing Bodies of</w:t>
      </w:r>
      <w:r w:rsidRPr="00F24706">
        <w:t xml:space="preserve"> the 2003 </w:t>
      </w:r>
      <w:r w:rsidRPr="00F24706">
        <w:rPr>
          <w:rStyle w:val="hps"/>
        </w:rPr>
        <w:t>Convention</w:t>
      </w:r>
      <w:r w:rsidRPr="00F24706">
        <w:t xml:space="preserve"> </w:t>
      </w:r>
      <w:r w:rsidRPr="00F24706">
        <w:rPr>
          <w:rStyle w:val="hps"/>
        </w:rPr>
        <w:t>regarding the use of</w:t>
      </w:r>
      <w:r w:rsidRPr="00F24706">
        <w:t xml:space="preserve"> the </w:t>
      </w:r>
      <w:r w:rsidRPr="00F24706">
        <w:rPr>
          <w:rStyle w:val="hps"/>
        </w:rPr>
        <w:t>resources of the Intangible Cultural Heritage Fund (</w:t>
      </w:r>
      <w:r w:rsidR="004403A0" w:rsidRPr="00F24706">
        <w:rPr>
          <w:rStyle w:val="hps"/>
        </w:rPr>
        <w:t xml:space="preserve">Decision </w:t>
      </w:r>
      <w:r w:rsidRPr="00F24706">
        <w:rPr>
          <w:rStyle w:val="hps"/>
        </w:rPr>
        <w:t xml:space="preserve">5.COM 2.BUR 4, </w:t>
      </w:r>
      <w:r w:rsidR="0077433A" w:rsidRPr="00F24706">
        <w:t xml:space="preserve">Decision </w:t>
      </w:r>
      <w:r w:rsidRPr="00F24706">
        <w:rPr>
          <w:rStyle w:val="hps"/>
        </w:rPr>
        <w:t xml:space="preserve">6.COM 1.BUR 1, </w:t>
      </w:r>
      <w:r w:rsidR="0077433A" w:rsidRPr="00F24706">
        <w:t xml:space="preserve">Decision </w:t>
      </w:r>
      <w:r w:rsidRPr="00F24706">
        <w:rPr>
          <w:rStyle w:val="hps"/>
        </w:rPr>
        <w:t xml:space="preserve">6.COM 2.BUR 4, </w:t>
      </w:r>
      <w:r w:rsidR="0077433A" w:rsidRPr="00F24706">
        <w:t xml:space="preserve">Decision </w:t>
      </w:r>
      <w:r w:rsidRPr="00F24706">
        <w:rPr>
          <w:rStyle w:val="hps"/>
        </w:rPr>
        <w:t xml:space="preserve">6.COM 20, </w:t>
      </w:r>
      <w:r w:rsidR="0077433A" w:rsidRPr="00F24706">
        <w:rPr>
          <w:rStyle w:val="hps"/>
        </w:rPr>
        <w:t xml:space="preserve">Resolution </w:t>
      </w:r>
      <w:r w:rsidRPr="00F24706">
        <w:rPr>
          <w:rStyle w:val="hps"/>
        </w:rPr>
        <w:t xml:space="preserve">4.GA 7, </w:t>
      </w:r>
      <w:r w:rsidR="0077433A" w:rsidRPr="00F24706">
        <w:t xml:space="preserve">Decision </w:t>
      </w:r>
      <w:r w:rsidRPr="00F24706">
        <w:rPr>
          <w:rStyle w:val="hps"/>
        </w:rPr>
        <w:t>7.COM 3.BUR 5),</w:t>
      </w:r>
      <w:r w:rsidRPr="00F24706">
        <w:t xml:space="preserve"> </w:t>
      </w:r>
      <w:r w:rsidRPr="00F24706">
        <w:rPr>
          <w:rStyle w:val="hps"/>
        </w:rPr>
        <w:t>the importance</w:t>
      </w:r>
      <w:r w:rsidRPr="00F24706">
        <w:t xml:space="preserve"> </w:t>
      </w:r>
      <w:r w:rsidRPr="00F24706">
        <w:rPr>
          <w:rStyle w:val="hps"/>
        </w:rPr>
        <w:t xml:space="preserve">of the </w:t>
      </w:r>
      <w:r w:rsidRPr="00F24706">
        <w:rPr>
          <w:rFonts w:cs="Arial"/>
          <w:szCs w:val="22"/>
        </w:rPr>
        <w:t xml:space="preserve">knowledge management system has been repeatedly recognized as well as the need for its regular maintenance and development. </w:t>
      </w:r>
      <w:r w:rsidR="00A06881" w:rsidRPr="00F24706">
        <w:rPr>
          <w:rFonts w:cs="Arial"/>
          <w:szCs w:val="22"/>
        </w:rPr>
        <w:t xml:space="preserve">The Intangible Cultural Heritage Section’s purpose-built knowledge management system is a daily working tool </w:t>
      </w:r>
      <w:r w:rsidR="004403A0" w:rsidRPr="00F24706">
        <w:rPr>
          <w:rFonts w:cs="Arial"/>
          <w:szCs w:val="22"/>
        </w:rPr>
        <w:t xml:space="preserve">that </w:t>
      </w:r>
      <w:r w:rsidR="00A06881" w:rsidRPr="00F24706">
        <w:rPr>
          <w:rFonts w:cs="Arial"/>
          <w:szCs w:val="22"/>
        </w:rPr>
        <w:t>facilitates the work not only of the statutory organs (the Secretariat, the States Parties, the Committee and its advisory bodies) but also of other actors such as the capacity-building facilitators who now have their dedicated web</w:t>
      </w:r>
      <w:r w:rsidR="004403A0" w:rsidRPr="00F24706">
        <w:rPr>
          <w:rFonts w:cs="Arial"/>
          <w:szCs w:val="22"/>
        </w:rPr>
        <w:t>site</w:t>
      </w:r>
      <w:r w:rsidR="00A06881" w:rsidRPr="00F24706">
        <w:rPr>
          <w:rFonts w:cs="Arial"/>
          <w:szCs w:val="22"/>
        </w:rPr>
        <w:t>.</w:t>
      </w:r>
      <w:r w:rsidR="006B0F42" w:rsidRPr="00F24706">
        <w:rPr>
          <w:rFonts w:cs="Arial"/>
          <w:szCs w:val="22"/>
        </w:rPr>
        <w:t xml:space="preserve"> Through its public web interface, it is also the face of the Convention and the primary means of disseminating information about the decisions of the General Assembly and Committee. </w:t>
      </w:r>
      <w:r w:rsidR="004403A0" w:rsidRPr="00F24706">
        <w:rPr>
          <w:rFonts w:cs="Arial"/>
          <w:szCs w:val="22"/>
        </w:rPr>
        <w:t xml:space="preserve">By </w:t>
      </w:r>
      <w:r w:rsidR="006B0F42" w:rsidRPr="00F24706">
        <w:rPr>
          <w:rFonts w:cs="Arial"/>
          <w:szCs w:val="22"/>
        </w:rPr>
        <w:t>effective</w:t>
      </w:r>
      <w:r w:rsidR="004403A0" w:rsidRPr="00F24706">
        <w:rPr>
          <w:rFonts w:cs="Arial"/>
          <w:szCs w:val="22"/>
        </w:rPr>
        <w:t>ly</w:t>
      </w:r>
      <w:r w:rsidR="006B0F42" w:rsidRPr="00F24706">
        <w:rPr>
          <w:rFonts w:cs="Arial"/>
          <w:szCs w:val="22"/>
        </w:rPr>
        <w:t xml:space="preserve"> us</w:t>
      </w:r>
      <w:r w:rsidR="004403A0" w:rsidRPr="00F24706">
        <w:rPr>
          <w:rFonts w:cs="Arial"/>
          <w:szCs w:val="22"/>
        </w:rPr>
        <w:t>ing</w:t>
      </w:r>
      <w:r w:rsidR="006B0F42" w:rsidRPr="00F24706">
        <w:rPr>
          <w:rFonts w:cs="Arial"/>
          <w:szCs w:val="22"/>
        </w:rPr>
        <w:t xml:space="preserve"> the system, the Secretariat has reduced substantially the number of documents printed on paper for the statutory meetings, thereby conserving both natural resources and financial resources and maximizing the efficiency of human resources. </w:t>
      </w:r>
    </w:p>
    <w:p w:rsidR="00752157" w:rsidRPr="00F24706" w:rsidRDefault="00DC7BA8" w:rsidP="008305C0">
      <w:pPr>
        <w:pStyle w:val="Marge"/>
        <w:numPr>
          <w:ilvl w:val="0"/>
          <w:numId w:val="31"/>
        </w:numPr>
        <w:tabs>
          <w:tab w:val="clear" w:pos="567"/>
        </w:tabs>
        <w:spacing w:after="120"/>
        <w:ind w:left="567" w:hanging="567"/>
        <w:rPr>
          <w:rFonts w:cs="Arial"/>
          <w:szCs w:val="22"/>
        </w:rPr>
      </w:pPr>
      <w:r w:rsidRPr="00F24706">
        <w:rPr>
          <w:rFonts w:cs="Arial"/>
          <w:szCs w:val="22"/>
        </w:rPr>
        <w:t xml:space="preserve">To date, this tool has been supported </w:t>
      </w:r>
      <w:r w:rsidR="004403A0" w:rsidRPr="00F24706">
        <w:rPr>
          <w:rFonts w:cs="Arial"/>
          <w:szCs w:val="22"/>
        </w:rPr>
        <w:t xml:space="preserve">almost </w:t>
      </w:r>
      <w:r w:rsidRPr="00F24706">
        <w:rPr>
          <w:rFonts w:cs="Arial"/>
          <w:szCs w:val="22"/>
        </w:rPr>
        <w:t>entirely through extra-budgetary funds from Spain or the Intangible Cultural Heritage Fund, including the sub-fund</w:t>
      </w:r>
      <w:r w:rsidR="00DF4886" w:rsidRPr="00F24706">
        <w:rPr>
          <w:rFonts w:cs="Arial"/>
          <w:szCs w:val="22"/>
        </w:rPr>
        <w:t xml:space="preserve"> for enhancing the human capacities of the Secretariat</w:t>
      </w:r>
      <w:r w:rsidRPr="00F24706">
        <w:rPr>
          <w:rFonts w:cs="Arial"/>
          <w:szCs w:val="22"/>
        </w:rPr>
        <w:t xml:space="preserve">. </w:t>
      </w:r>
      <w:r w:rsidR="00752157" w:rsidRPr="00F24706">
        <w:rPr>
          <w:rFonts w:cs="Arial"/>
          <w:szCs w:val="22"/>
        </w:rPr>
        <w:t>Thanks to this extra-budgetary support, the Secretariat has been in a position to make substantial efforts in order to further automatize its tasks through the optimization of data management and processing concerning statutory meetings</w:t>
      </w:r>
      <w:r w:rsidR="00883C58" w:rsidRPr="00F24706">
        <w:rPr>
          <w:rFonts w:cs="Arial"/>
          <w:szCs w:val="22"/>
        </w:rPr>
        <w:t xml:space="preserve"> and files</w:t>
      </w:r>
      <w:r w:rsidR="00752157" w:rsidRPr="00F24706">
        <w:rPr>
          <w:rFonts w:cs="Arial"/>
          <w:szCs w:val="22"/>
        </w:rPr>
        <w:t xml:space="preserve"> as well as of the presentation of country profiles and the monitoring system for the requests for the use of the emblem. </w:t>
      </w:r>
      <w:r w:rsidR="004403A0" w:rsidRPr="00F24706">
        <w:rPr>
          <w:rStyle w:val="hps"/>
        </w:rPr>
        <w:t xml:space="preserve">These efforts have been provided by temporary staff (under the now-obsolete ‘Appointment of Limited Duration’), individual consultants and enterprises. </w:t>
      </w:r>
      <w:r w:rsidR="004403A0" w:rsidRPr="00F24706">
        <w:rPr>
          <w:rFonts w:cs="Arial"/>
          <w:szCs w:val="22"/>
        </w:rPr>
        <w:t>The Organization has recently introduced a new contractual modality, the Project Appointment, that requires advance funding be assured for a minimum 12-month period, and the Secretariat is therefore requesting that the amount be increased so that the required services can be engaged efficiently</w:t>
      </w:r>
      <w:r w:rsidR="00EB514F" w:rsidRPr="00F24706">
        <w:rPr>
          <w:rFonts w:cs="Arial"/>
          <w:szCs w:val="22"/>
        </w:rPr>
        <w:t xml:space="preserve"> through the end of the biennium</w:t>
      </w:r>
      <w:r w:rsidR="004403A0" w:rsidRPr="00F24706">
        <w:rPr>
          <w:rFonts w:cs="Arial"/>
          <w:szCs w:val="22"/>
        </w:rPr>
        <w:t>.</w:t>
      </w:r>
    </w:p>
    <w:p w:rsidR="00DF4886" w:rsidRPr="00F24706" w:rsidRDefault="004403A0" w:rsidP="008305C0">
      <w:pPr>
        <w:pStyle w:val="Marge"/>
        <w:numPr>
          <w:ilvl w:val="0"/>
          <w:numId w:val="31"/>
        </w:numPr>
        <w:tabs>
          <w:tab w:val="clear" w:pos="567"/>
        </w:tabs>
        <w:spacing w:after="120"/>
        <w:ind w:left="567" w:hanging="567"/>
        <w:rPr>
          <w:rFonts w:cs="Arial"/>
          <w:szCs w:val="22"/>
        </w:rPr>
      </w:pPr>
      <w:r w:rsidRPr="00F24706">
        <w:rPr>
          <w:rFonts w:cs="Arial"/>
          <w:szCs w:val="22"/>
        </w:rPr>
        <w:t>I</w:t>
      </w:r>
      <w:r w:rsidR="00DF4886" w:rsidRPr="00F24706">
        <w:rPr>
          <w:rFonts w:cs="Arial"/>
          <w:szCs w:val="22"/>
        </w:rPr>
        <w:t xml:space="preserve">n order to benefit from this new contractual arrangement, the Secretariat cannot wait until </w:t>
      </w:r>
      <w:r w:rsidR="00EB514F" w:rsidRPr="00F24706">
        <w:rPr>
          <w:rFonts w:cs="Arial"/>
          <w:szCs w:val="22"/>
        </w:rPr>
        <w:t>mid-2013</w:t>
      </w:r>
      <w:r w:rsidR="00DF4886" w:rsidRPr="00F24706">
        <w:rPr>
          <w:rFonts w:cs="Arial"/>
          <w:szCs w:val="22"/>
        </w:rPr>
        <w:t>, as it had initially planned, to propose a</w:t>
      </w:r>
      <w:r w:rsidR="00EB514F" w:rsidRPr="00F24706">
        <w:rPr>
          <w:rFonts w:cs="Arial"/>
          <w:szCs w:val="22"/>
        </w:rPr>
        <w:t>nother</w:t>
      </w:r>
      <w:r w:rsidR="00DF4886" w:rsidRPr="00F24706">
        <w:rPr>
          <w:rFonts w:cs="Arial"/>
          <w:szCs w:val="22"/>
        </w:rPr>
        <w:t xml:space="preserve"> spending plan for the remaining funds under the category of ‘other functions of the Committee’. </w:t>
      </w:r>
      <w:r w:rsidR="003D4DCD" w:rsidRPr="00F24706">
        <w:rPr>
          <w:rFonts w:cs="Arial"/>
          <w:szCs w:val="22"/>
        </w:rPr>
        <w:t>I</w:t>
      </w:r>
      <w:r w:rsidR="000E629F" w:rsidRPr="00F24706">
        <w:rPr>
          <w:rFonts w:cs="Arial"/>
          <w:szCs w:val="22"/>
        </w:rPr>
        <w:t xml:space="preserve">n order not only to continue outsourcing programming services to improve the functionalities of the knowledge management system but </w:t>
      </w:r>
      <w:r w:rsidR="00DF4886" w:rsidRPr="00F24706">
        <w:rPr>
          <w:rFonts w:cs="Arial"/>
          <w:szCs w:val="22"/>
        </w:rPr>
        <w:t xml:space="preserve">also </w:t>
      </w:r>
      <w:r w:rsidR="001774D7" w:rsidRPr="00F24706">
        <w:rPr>
          <w:rFonts w:cs="Arial"/>
          <w:szCs w:val="22"/>
        </w:rPr>
        <w:t xml:space="preserve">to </w:t>
      </w:r>
      <w:r w:rsidR="000E629F" w:rsidRPr="00F24706">
        <w:rPr>
          <w:rFonts w:cs="Arial"/>
          <w:szCs w:val="22"/>
        </w:rPr>
        <w:t>maintain it a</w:t>
      </w:r>
      <w:r w:rsidR="00DF4886" w:rsidRPr="00F24706">
        <w:rPr>
          <w:rFonts w:cs="Arial"/>
          <w:szCs w:val="22"/>
        </w:rPr>
        <w:t>s well as its public interface (</w:t>
      </w:r>
      <w:r w:rsidR="000E629F" w:rsidRPr="00F24706">
        <w:rPr>
          <w:rFonts w:cs="Arial"/>
          <w:szCs w:val="22"/>
        </w:rPr>
        <w:t>the Intangible Cultural Heritage website</w:t>
      </w:r>
      <w:r w:rsidR="00DF4886" w:rsidRPr="00F24706">
        <w:rPr>
          <w:rFonts w:cs="Arial"/>
          <w:szCs w:val="22"/>
        </w:rPr>
        <w:t>)</w:t>
      </w:r>
      <w:r w:rsidR="000E629F" w:rsidRPr="00F24706">
        <w:rPr>
          <w:rFonts w:cs="Arial"/>
          <w:szCs w:val="22"/>
        </w:rPr>
        <w:t xml:space="preserve"> on </w:t>
      </w:r>
      <w:r w:rsidR="001774D7" w:rsidRPr="00F24706">
        <w:rPr>
          <w:rFonts w:cs="Arial"/>
          <w:szCs w:val="22"/>
        </w:rPr>
        <w:t xml:space="preserve">a </w:t>
      </w:r>
      <w:r w:rsidR="000E629F" w:rsidRPr="00F24706">
        <w:rPr>
          <w:rFonts w:cs="Arial"/>
          <w:szCs w:val="22"/>
        </w:rPr>
        <w:t xml:space="preserve">daily basis, the Secretariat is </w:t>
      </w:r>
      <w:r w:rsidR="00EB514F" w:rsidRPr="00F24706">
        <w:rPr>
          <w:rFonts w:cs="Arial"/>
          <w:szCs w:val="22"/>
        </w:rPr>
        <w:t xml:space="preserve">hereby </w:t>
      </w:r>
      <w:r w:rsidR="000E629F" w:rsidRPr="00F24706">
        <w:rPr>
          <w:rFonts w:cs="Arial"/>
          <w:szCs w:val="22"/>
        </w:rPr>
        <w:t>requesting</w:t>
      </w:r>
      <w:r w:rsidR="0077433A" w:rsidRPr="00F24706">
        <w:rPr>
          <w:rFonts w:cs="Arial"/>
          <w:szCs w:val="22"/>
        </w:rPr>
        <w:t xml:space="preserve"> that the amount previously approved for this expenditure line (US$125,000) be increased by US$173,250 to a new total of US$298,250</w:t>
      </w:r>
      <w:r w:rsidR="000E629F" w:rsidRPr="00F24706">
        <w:rPr>
          <w:rFonts w:cs="Arial"/>
          <w:szCs w:val="22"/>
        </w:rPr>
        <w:t xml:space="preserve">. </w:t>
      </w:r>
    </w:p>
    <w:p w:rsidR="00B178B6" w:rsidRPr="00F24706" w:rsidRDefault="0077433A" w:rsidP="008305C0">
      <w:pPr>
        <w:pStyle w:val="Marge"/>
        <w:numPr>
          <w:ilvl w:val="0"/>
          <w:numId w:val="31"/>
        </w:numPr>
        <w:tabs>
          <w:tab w:val="clear" w:pos="567"/>
        </w:tabs>
        <w:spacing w:after="0"/>
        <w:ind w:left="567" w:hanging="567"/>
        <w:rPr>
          <w:rFonts w:cs="Arial"/>
          <w:szCs w:val="22"/>
        </w:rPr>
      </w:pPr>
      <w:r w:rsidRPr="00F24706">
        <w:rPr>
          <w:rFonts w:cs="Arial"/>
          <w:szCs w:val="22"/>
        </w:rPr>
        <w:t>Together with US$40,000 that was used in the first semester of 2012</w:t>
      </w:r>
      <w:r w:rsidR="00DF4886" w:rsidRPr="00F24706">
        <w:rPr>
          <w:rFonts w:cs="Arial"/>
          <w:szCs w:val="22"/>
        </w:rPr>
        <w:t>,</w:t>
      </w:r>
      <w:r w:rsidRPr="00F24706">
        <w:rPr>
          <w:rFonts w:cs="Arial"/>
          <w:szCs w:val="22"/>
        </w:rPr>
        <w:t xml:space="preserve"> a total of</w:t>
      </w:r>
      <w:r w:rsidR="00DF4886" w:rsidRPr="00F24706">
        <w:rPr>
          <w:rFonts w:cs="Arial"/>
          <w:szCs w:val="22"/>
        </w:rPr>
        <w:t xml:space="preserve"> $</w:t>
      </w:r>
      <w:r w:rsidR="004403A0" w:rsidRPr="00F24706">
        <w:rPr>
          <w:rFonts w:cs="Arial"/>
          <w:szCs w:val="22"/>
        </w:rPr>
        <w:t>338,</w:t>
      </w:r>
      <w:r w:rsidR="00DF4886" w:rsidRPr="00F24706">
        <w:rPr>
          <w:rFonts w:cs="Arial"/>
          <w:szCs w:val="22"/>
        </w:rPr>
        <w:t xml:space="preserve">250 would have been allocated to such services for the entire biennium (from 1 January 2012 to 31 December 2013), equivalent to less than one third of the total allocation for ‘other functions of the Committee’ under the current Plan for the use of the resources of the Fund. </w:t>
      </w:r>
    </w:p>
    <w:p w:rsidR="001C729B" w:rsidRPr="00F24706" w:rsidRDefault="00884873" w:rsidP="008305C0">
      <w:pPr>
        <w:pStyle w:val="Marge"/>
        <w:keepNext/>
        <w:tabs>
          <w:tab w:val="clear" w:pos="567"/>
        </w:tabs>
        <w:spacing w:before="360"/>
        <w:ind w:left="567"/>
        <w:rPr>
          <w:rFonts w:cs="Arial"/>
          <w:b/>
          <w:szCs w:val="22"/>
        </w:rPr>
      </w:pPr>
      <w:r w:rsidRPr="00F24706">
        <w:rPr>
          <w:rFonts w:cs="Arial"/>
          <w:b/>
          <w:szCs w:val="22"/>
        </w:rPr>
        <w:t>Results since July 2012</w:t>
      </w:r>
    </w:p>
    <w:p w:rsidR="001C729B" w:rsidRPr="00F24706" w:rsidRDefault="001C729B" w:rsidP="008305C0">
      <w:pPr>
        <w:pStyle w:val="Marge"/>
        <w:numPr>
          <w:ilvl w:val="0"/>
          <w:numId w:val="31"/>
        </w:numPr>
        <w:tabs>
          <w:tab w:val="clear" w:pos="567"/>
        </w:tabs>
        <w:spacing w:after="120"/>
        <w:ind w:left="567" w:hanging="567"/>
        <w:rPr>
          <w:rFonts w:cs="Arial"/>
          <w:szCs w:val="22"/>
        </w:rPr>
      </w:pPr>
      <w:r w:rsidRPr="00F24706">
        <w:rPr>
          <w:rFonts w:cs="Arial"/>
          <w:szCs w:val="22"/>
        </w:rPr>
        <w:t xml:space="preserve">Considering that the current spending plan was only approved by the Bureau three months ago, the implementation rate is relatively modest (15%). However, a number of activities for which funds were provided were set up in the past few months. Capacity-building materials on community-based inventories and preparing nominations for the Urgent Safeguarding List and the Representative List have been content-edited and are currently being translated into French. The elaboration of new content for capacity-building materials is also underway. The Secretariat launched a call for proposals to develop a set of interactive learning materials for developing intangible cultural heritage safeguarding plans and has subsequently contracted a suitable expert to undertake this task. The core of the materials, which will be designed for a two-day workshop, </w:t>
      </w:r>
      <w:r w:rsidR="0077433A" w:rsidRPr="00F24706">
        <w:rPr>
          <w:rFonts w:cs="Arial"/>
          <w:szCs w:val="22"/>
        </w:rPr>
        <w:t xml:space="preserve">will </w:t>
      </w:r>
      <w:r w:rsidRPr="00F24706">
        <w:rPr>
          <w:rFonts w:cs="Arial"/>
          <w:szCs w:val="22"/>
        </w:rPr>
        <w:t xml:space="preserve">be a simulation game to guide participants through the process of developing a safeguarding plan. The Secretariat furthermore launched a call for proposals to develop materials on intangible cultural heritage and sustainable development. As a first step, a thematic fact sheet will be elaborated to explain and demonstrate why the safeguarding of intangible cultural heritage is critical for sustainable development, presenting the key arguments illustrated with examples and figures. </w:t>
      </w:r>
    </w:p>
    <w:p w:rsidR="001C729B" w:rsidRPr="00F24706" w:rsidRDefault="001C729B" w:rsidP="008305C0">
      <w:pPr>
        <w:pStyle w:val="Marge"/>
        <w:numPr>
          <w:ilvl w:val="0"/>
          <w:numId w:val="31"/>
        </w:numPr>
        <w:tabs>
          <w:tab w:val="clear" w:pos="567"/>
        </w:tabs>
        <w:spacing w:after="120"/>
        <w:ind w:left="567" w:hanging="567"/>
        <w:rPr>
          <w:rFonts w:cs="Arial"/>
          <w:szCs w:val="22"/>
        </w:rPr>
      </w:pPr>
      <w:r w:rsidRPr="00F24706">
        <w:rPr>
          <w:rFonts w:cs="Arial"/>
          <w:szCs w:val="22"/>
        </w:rPr>
        <w:t>The organization of the Caribbean Youth Forum on Intangible Cultural Heritage has made considerable progress. The Forum</w:t>
      </w:r>
      <w:r w:rsidR="0077433A" w:rsidRPr="00F24706">
        <w:rPr>
          <w:rFonts w:cs="Arial"/>
          <w:szCs w:val="22"/>
        </w:rPr>
        <w:t>,</w:t>
      </w:r>
      <w:r w:rsidRPr="00F24706">
        <w:rPr>
          <w:rFonts w:cs="Arial"/>
          <w:szCs w:val="22"/>
        </w:rPr>
        <w:t xml:space="preserve"> to be held in Grenada from 20 to 24 November, will </w:t>
      </w:r>
      <w:r w:rsidR="0077433A" w:rsidRPr="00F24706">
        <w:rPr>
          <w:rFonts w:cs="Arial"/>
          <w:szCs w:val="22"/>
        </w:rPr>
        <w:t xml:space="preserve">include a field visit </w:t>
      </w:r>
      <w:r w:rsidRPr="00F24706">
        <w:rPr>
          <w:rFonts w:cs="Arial"/>
          <w:szCs w:val="22"/>
        </w:rPr>
        <w:t xml:space="preserve">providing youth with an opportunity to learn about the intangible cultural heritage of the communities, to interact with community members and to put into practice the concepts and mechanisms learnt in the training session. Twenty-five youth have been selected from seventeen countries through a </w:t>
      </w:r>
      <w:r w:rsidR="0077433A" w:rsidRPr="00F24706">
        <w:rPr>
          <w:rFonts w:cs="Arial"/>
          <w:szCs w:val="22"/>
        </w:rPr>
        <w:t xml:space="preserve">careful </w:t>
      </w:r>
      <w:r w:rsidRPr="00F24706">
        <w:rPr>
          <w:rFonts w:cs="Arial"/>
          <w:szCs w:val="22"/>
        </w:rPr>
        <w:t>process involving the respective National Commissions for UNESCO. A facilitator trained by UNESCO is working closely with the Intangible Cultural Heritage Section and the UNESCO Kingston Field Office on the content and methods of work</w:t>
      </w:r>
      <w:r w:rsidR="0077433A" w:rsidRPr="00F24706">
        <w:rPr>
          <w:rFonts w:cs="Arial"/>
          <w:szCs w:val="22"/>
        </w:rPr>
        <w:t>,</w:t>
      </w:r>
      <w:r w:rsidRPr="00F24706">
        <w:rPr>
          <w:rFonts w:cs="Arial"/>
          <w:szCs w:val="22"/>
        </w:rPr>
        <w:t xml:space="preserve"> and contractual arrangements with the national counterpart are underway.</w:t>
      </w:r>
    </w:p>
    <w:p w:rsidR="001C729B" w:rsidRPr="00F24706" w:rsidRDefault="001C729B" w:rsidP="008305C0">
      <w:pPr>
        <w:pStyle w:val="Marge"/>
        <w:numPr>
          <w:ilvl w:val="0"/>
          <w:numId w:val="31"/>
        </w:numPr>
        <w:tabs>
          <w:tab w:val="clear" w:pos="567"/>
        </w:tabs>
        <w:spacing w:after="120"/>
        <w:ind w:left="567" w:hanging="567"/>
        <w:rPr>
          <w:rFonts w:cs="Arial"/>
          <w:szCs w:val="22"/>
        </w:rPr>
      </w:pPr>
      <w:r w:rsidRPr="00F24706">
        <w:rPr>
          <w:rFonts w:cs="Arial"/>
          <w:szCs w:val="22"/>
        </w:rPr>
        <w:t>Regarding communication and visibility activities, the leaflet in English and French on the elements inscribed on the Representative List and the Urgent Safeguarding List and the Best Safeguarding Practices selected by the Committee in 2011 was reprinted since the funds available before 30 June 2012 only allowed a limited print run. The amended Operational Directives adopted by the General Assembly in June 2012 (Resolution 4.GA 5) are also ready to be printed in six languages after having copy-edited all linguistic versions and prepared their respective layouts. The layout for the 2012 leaflet as well as for the 2012-2013 cumulative brochure are also being designed while waiting for the inscriptions and selection by the Committee at its 7th session in December 2012.</w:t>
      </w:r>
    </w:p>
    <w:p w:rsidR="00E30FE4" w:rsidRPr="00F24706" w:rsidRDefault="00BE62F6" w:rsidP="008305C0">
      <w:pPr>
        <w:pStyle w:val="Marge"/>
        <w:numPr>
          <w:ilvl w:val="0"/>
          <w:numId w:val="31"/>
        </w:numPr>
        <w:tabs>
          <w:tab w:val="clear" w:pos="567"/>
        </w:tabs>
        <w:spacing w:after="120"/>
        <w:ind w:left="567" w:hanging="567"/>
        <w:rPr>
          <w:rFonts w:cs="Arial"/>
          <w:szCs w:val="22"/>
        </w:rPr>
      </w:pPr>
      <w:r w:rsidRPr="00F24706">
        <w:rPr>
          <w:rFonts w:cs="Arial"/>
          <w:szCs w:val="22"/>
        </w:rPr>
        <w:t xml:space="preserve">The Bureau is asked to evaluate and decide on this proposed spending plan through electronic consultation, as provided in Rule 12.3 of the Rules of Procedure of the Committee. </w:t>
      </w:r>
      <w:r w:rsidR="00E30FE4" w:rsidRPr="00F24706">
        <w:rPr>
          <w:rFonts w:cs="Arial"/>
          <w:szCs w:val="22"/>
        </w:rPr>
        <w:t>The Bureau of the Committee may wish to adopt the following decision:</w:t>
      </w:r>
    </w:p>
    <w:p w:rsidR="00992D71" w:rsidRPr="00F24706" w:rsidRDefault="00992D71" w:rsidP="008305C0">
      <w:pPr>
        <w:pStyle w:val="Marge"/>
        <w:keepNext/>
        <w:spacing w:before="360"/>
        <w:ind w:left="567"/>
        <w:rPr>
          <w:b/>
        </w:rPr>
      </w:pPr>
      <w:r w:rsidRPr="00F24706">
        <w:rPr>
          <w:b/>
        </w:rPr>
        <w:t>DRAFT DECISION 7.COM </w:t>
      </w:r>
      <w:r w:rsidR="00B178B6" w:rsidRPr="00F24706">
        <w:rPr>
          <w:b/>
        </w:rPr>
        <w:t>5</w:t>
      </w:r>
      <w:r w:rsidR="00C15FDD" w:rsidRPr="00F24706">
        <w:rPr>
          <w:b/>
        </w:rPr>
        <w:t>.BUR </w:t>
      </w:r>
      <w:r w:rsidR="00286B74" w:rsidRPr="00F24706">
        <w:rPr>
          <w:b/>
        </w:rPr>
        <w:t>5</w:t>
      </w:r>
    </w:p>
    <w:p w:rsidR="00992D71" w:rsidRPr="00F24706" w:rsidRDefault="00992D71" w:rsidP="008305C0">
      <w:pPr>
        <w:pStyle w:val="Marge"/>
        <w:keepNext/>
        <w:spacing w:after="120"/>
        <w:ind w:left="567"/>
      </w:pPr>
      <w:r w:rsidRPr="00F24706">
        <w:t>The Bureau,</w:t>
      </w:r>
    </w:p>
    <w:p w:rsidR="00992D71" w:rsidRPr="00F24706" w:rsidRDefault="00992D71" w:rsidP="008305C0">
      <w:pPr>
        <w:pStyle w:val="Marge"/>
        <w:numPr>
          <w:ilvl w:val="0"/>
          <w:numId w:val="32"/>
        </w:numPr>
        <w:spacing w:after="120"/>
        <w:ind w:left="1134" w:hanging="567"/>
      </w:pPr>
      <w:r w:rsidRPr="00F24706">
        <w:rPr>
          <w:u w:val="single"/>
        </w:rPr>
        <w:t>Having examined</w:t>
      </w:r>
      <w:r w:rsidRPr="00F24706">
        <w:t xml:space="preserve"> document ITH/12/7.COM </w:t>
      </w:r>
      <w:r w:rsidR="00B178B6" w:rsidRPr="00F24706">
        <w:t>5</w:t>
      </w:r>
      <w:r w:rsidRPr="00F24706">
        <w:t>.BUR/</w:t>
      </w:r>
      <w:r w:rsidR="00286B74" w:rsidRPr="00F24706">
        <w:t>5</w:t>
      </w:r>
      <w:r w:rsidRPr="00F24706">
        <w:t xml:space="preserve"> and its annex,</w:t>
      </w:r>
    </w:p>
    <w:p w:rsidR="00992D71" w:rsidRPr="00F24706" w:rsidRDefault="00992D71" w:rsidP="008305C0">
      <w:pPr>
        <w:pStyle w:val="Marge"/>
        <w:numPr>
          <w:ilvl w:val="0"/>
          <w:numId w:val="32"/>
        </w:numPr>
        <w:spacing w:after="120"/>
        <w:ind w:left="1134" w:hanging="567"/>
      </w:pPr>
      <w:r w:rsidRPr="00F24706">
        <w:rPr>
          <w:u w:val="single"/>
        </w:rPr>
        <w:t>Recalling</w:t>
      </w:r>
      <w:r w:rsidR="00C15FDD" w:rsidRPr="00F24706">
        <w:t xml:space="preserve"> Resolution 4.GA 7, </w:t>
      </w:r>
      <w:r w:rsidR="00A646E2" w:rsidRPr="00F24706">
        <w:t>Decision 6.COM 20</w:t>
      </w:r>
      <w:r w:rsidR="00C15FDD" w:rsidRPr="00F24706">
        <w:t xml:space="preserve"> and Decision 7.COM 3.BUR 5</w:t>
      </w:r>
      <w:r w:rsidR="00A646E2" w:rsidRPr="00F24706">
        <w:t>,</w:t>
      </w:r>
    </w:p>
    <w:p w:rsidR="00A646E2" w:rsidRPr="00F24706" w:rsidRDefault="00A646E2" w:rsidP="008305C0">
      <w:pPr>
        <w:pStyle w:val="Marge"/>
        <w:numPr>
          <w:ilvl w:val="0"/>
          <w:numId w:val="32"/>
        </w:numPr>
        <w:spacing w:after="120"/>
        <w:ind w:left="1134" w:hanging="567"/>
      </w:pPr>
      <w:r w:rsidRPr="00F24706">
        <w:rPr>
          <w:u w:val="single"/>
        </w:rPr>
        <w:t>Authorizes</w:t>
      </w:r>
      <w:r w:rsidRPr="00F24706">
        <w:t xml:space="preserve"> the expenditures specified in that document and its annex;</w:t>
      </w:r>
    </w:p>
    <w:p w:rsidR="00A646E2" w:rsidRPr="00F24706" w:rsidRDefault="00A646E2" w:rsidP="008305C0">
      <w:pPr>
        <w:pStyle w:val="Marge"/>
        <w:numPr>
          <w:ilvl w:val="0"/>
          <w:numId w:val="32"/>
        </w:numPr>
        <w:spacing w:after="120"/>
        <w:ind w:left="1134" w:hanging="567"/>
      </w:pPr>
      <w:r w:rsidRPr="00F24706">
        <w:rPr>
          <w:u w:val="single"/>
        </w:rPr>
        <w:t>Requests</w:t>
      </w:r>
      <w:r w:rsidRPr="00F24706">
        <w:t xml:space="preserve"> the Secretariat to report on the progress of implementation and the way the funds are spent;</w:t>
      </w:r>
    </w:p>
    <w:p w:rsidR="00A646E2" w:rsidRPr="00F24706" w:rsidRDefault="00A646E2" w:rsidP="008305C0">
      <w:pPr>
        <w:pStyle w:val="Marge"/>
        <w:numPr>
          <w:ilvl w:val="0"/>
          <w:numId w:val="32"/>
        </w:numPr>
        <w:spacing w:after="120"/>
        <w:ind w:left="1134" w:hanging="567"/>
      </w:pPr>
      <w:r w:rsidRPr="00F24706">
        <w:rPr>
          <w:u w:val="single"/>
        </w:rPr>
        <w:t>Invites</w:t>
      </w:r>
      <w:r w:rsidRPr="00F24706">
        <w:t xml:space="preserve"> the Chairperson of the Committee to bring this decision to the attention of the Committee</w:t>
      </w:r>
      <w:r w:rsidR="007E1D24" w:rsidRPr="00F24706">
        <w:t xml:space="preserve"> at its seventh session</w:t>
      </w:r>
      <w:r w:rsidRPr="00F24706">
        <w:t>.</w:t>
      </w:r>
    </w:p>
    <w:p w:rsidR="00A646E2" w:rsidRPr="00F24706" w:rsidRDefault="00A646E2" w:rsidP="00A646E2">
      <w:pPr>
        <w:pStyle w:val="Marge"/>
        <w:spacing w:before="240" w:line="360" w:lineRule="auto"/>
        <w:ind w:left="1134"/>
        <w:rPr>
          <w:i/>
          <w:color w:val="808080" w:themeColor="background1" w:themeShade="80"/>
        </w:rPr>
        <w:sectPr w:rsidR="00A646E2" w:rsidRPr="00F24706">
          <w:headerReference w:type="even" r:id="rId9"/>
          <w:headerReference w:type="default" r:id="rId10"/>
          <w:headerReference w:type="first" r:id="rId11"/>
          <w:pgSz w:w="11906" w:h="16838" w:code="9"/>
          <w:pgMar w:top="1418" w:right="1134" w:bottom="1134" w:left="1134" w:header="397" w:footer="284" w:gutter="0"/>
          <w:cols w:space="708"/>
          <w:titlePg/>
          <w:docGrid w:linePitch="360"/>
        </w:sectPr>
      </w:pPr>
    </w:p>
    <w:p w:rsidR="00A646E2" w:rsidRPr="00F24706" w:rsidRDefault="00A646E2" w:rsidP="00B94A9A">
      <w:pPr>
        <w:pStyle w:val="Marge"/>
        <w:tabs>
          <w:tab w:val="clear" w:pos="567"/>
        </w:tabs>
        <w:spacing w:before="240"/>
        <w:jc w:val="center"/>
        <w:rPr>
          <w:b/>
        </w:rPr>
      </w:pPr>
      <w:r w:rsidRPr="00F24706">
        <w:rPr>
          <w:b/>
        </w:rPr>
        <w:t>ANNEX</w:t>
      </w:r>
    </w:p>
    <w:p w:rsidR="00A646E2" w:rsidRPr="00F24706" w:rsidRDefault="00A646E2" w:rsidP="00B94A9A">
      <w:pPr>
        <w:pStyle w:val="Marge"/>
        <w:tabs>
          <w:tab w:val="clear" w:pos="567"/>
        </w:tabs>
        <w:spacing w:before="240"/>
        <w:jc w:val="center"/>
        <w:rPr>
          <w:b/>
        </w:rPr>
      </w:pPr>
      <w:r w:rsidRPr="00F24706">
        <w:rPr>
          <w:b/>
        </w:rPr>
        <w:t>Spending plan for the funds allocated for o</w:t>
      </w:r>
      <w:r w:rsidR="00B94A9A" w:rsidRPr="00F24706">
        <w:rPr>
          <w:b/>
        </w:rPr>
        <w:t>ther functions of the Committee</w:t>
      </w:r>
      <w:r w:rsidR="00B94A9A" w:rsidRPr="00F24706">
        <w:rPr>
          <w:b/>
        </w:rPr>
        <w:br/>
      </w:r>
      <w:r w:rsidRPr="00F24706">
        <w:rPr>
          <w:b/>
        </w:rPr>
        <w:t>under the Plan for the use of the resources of the Fund</w:t>
      </w:r>
      <w:r w:rsidR="003D4DCD" w:rsidRPr="00F24706">
        <w:rPr>
          <w:b/>
        </w:rPr>
        <w:br/>
        <w:t>beginning 1 July 2012</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386"/>
        <w:gridCol w:w="1203"/>
      </w:tblGrid>
      <w:tr w:rsidR="004C182B" w:rsidRPr="00F24706">
        <w:trPr>
          <w:tblHeader/>
        </w:trPr>
        <w:tc>
          <w:tcPr>
            <w:tcW w:w="3119" w:type="dxa"/>
            <w:shd w:val="clear" w:color="auto" w:fill="A6A6A6" w:themeFill="background1" w:themeFillShade="A6"/>
            <w:vAlign w:val="center"/>
          </w:tcPr>
          <w:p w:rsidR="00A646E2" w:rsidRPr="00F24706" w:rsidRDefault="00A646E2" w:rsidP="00B94A9A">
            <w:pPr>
              <w:spacing w:before="60" w:after="60"/>
              <w:jc w:val="center"/>
              <w:rPr>
                <w:rFonts w:ascii="Arial" w:hAnsi="Arial" w:cs="Arial"/>
                <w:b/>
                <w:bCs/>
                <w:sz w:val="22"/>
                <w:szCs w:val="22"/>
              </w:rPr>
            </w:pPr>
            <w:bookmarkStart w:id="0" w:name="RANGE!A1:E31"/>
            <w:r w:rsidRPr="00F24706">
              <w:rPr>
                <w:rFonts w:ascii="Arial" w:hAnsi="Arial" w:cs="Arial"/>
                <w:b/>
                <w:bCs/>
                <w:sz w:val="22"/>
                <w:szCs w:val="22"/>
              </w:rPr>
              <w:t>Activity</w:t>
            </w:r>
            <w:bookmarkEnd w:id="0"/>
          </w:p>
        </w:tc>
        <w:tc>
          <w:tcPr>
            <w:tcW w:w="5386" w:type="dxa"/>
            <w:shd w:val="clear" w:color="auto" w:fill="A6A6A6" w:themeFill="background1" w:themeFillShade="A6"/>
            <w:vAlign w:val="center"/>
          </w:tcPr>
          <w:p w:rsidR="00A646E2" w:rsidRPr="00F24706" w:rsidRDefault="00A646E2" w:rsidP="00B94A9A">
            <w:pPr>
              <w:spacing w:before="60" w:after="60"/>
              <w:jc w:val="center"/>
              <w:rPr>
                <w:rFonts w:ascii="Arial" w:hAnsi="Arial" w:cs="Arial"/>
                <w:b/>
                <w:bCs/>
                <w:sz w:val="22"/>
                <w:szCs w:val="22"/>
              </w:rPr>
            </w:pPr>
            <w:r w:rsidRPr="00F24706">
              <w:rPr>
                <w:rFonts w:ascii="Arial" w:hAnsi="Arial" w:cs="Arial"/>
                <w:b/>
                <w:bCs/>
                <w:sz w:val="22"/>
                <w:szCs w:val="22"/>
              </w:rPr>
              <w:t>Description</w:t>
            </w:r>
          </w:p>
        </w:tc>
        <w:tc>
          <w:tcPr>
            <w:tcW w:w="1203" w:type="dxa"/>
            <w:shd w:val="clear" w:color="auto" w:fill="A6A6A6" w:themeFill="background1" w:themeFillShade="A6"/>
            <w:vAlign w:val="center"/>
          </w:tcPr>
          <w:p w:rsidR="00A646E2" w:rsidRPr="00F24706" w:rsidRDefault="00A646E2" w:rsidP="00B94A9A">
            <w:pPr>
              <w:spacing w:before="60" w:after="60"/>
              <w:jc w:val="center"/>
              <w:rPr>
                <w:rFonts w:ascii="Arial" w:hAnsi="Arial" w:cs="Arial"/>
                <w:b/>
                <w:bCs/>
                <w:sz w:val="22"/>
                <w:szCs w:val="22"/>
              </w:rPr>
            </w:pPr>
            <w:r w:rsidRPr="00F24706">
              <w:rPr>
                <w:rFonts w:ascii="Arial" w:hAnsi="Arial" w:cs="Arial"/>
                <w:b/>
                <w:bCs/>
                <w:sz w:val="22"/>
                <w:szCs w:val="22"/>
              </w:rPr>
              <w:t>Amount</w:t>
            </w:r>
          </w:p>
        </w:tc>
      </w:tr>
      <w:tr w:rsidR="004C182B" w:rsidRPr="00F24706">
        <w:tc>
          <w:tcPr>
            <w:tcW w:w="8505" w:type="dxa"/>
            <w:gridSpan w:val="2"/>
            <w:shd w:val="clear" w:color="auto" w:fill="F2F2F2" w:themeFill="background1" w:themeFillShade="F2"/>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A. Capacity-building</w:t>
            </w:r>
          </w:p>
        </w:tc>
        <w:tc>
          <w:tcPr>
            <w:tcW w:w="1203" w:type="dxa"/>
            <w:shd w:val="clear" w:color="auto" w:fill="F2F2F2" w:themeFill="background1" w:themeFillShade="F2"/>
            <w:vAlign w:val="center"/>
          </w:tcPr>
          <w:p w:rsidR="00A646E2" w:rsidRPr="00F24706" w:rsidRDefault="00A646E2" w:rsidP="00B94A9A">
            <w:pPr>
              <w:spacing w:before="60" w:after="60"/>
              <w:jc w:val="right"/>
              <w:rPr>
                <w:rFonts w:ascii="Arial" w:hAnsi="Arial" w:cs="Arial"/>
                <w:b/>
                <w:bCs/>
                <w:sz w:val="22"/>
                <w:szCs w:val="22"/>
              </w:rPr>
            </w:pPr>
            <w:r w:rsidRPr="00F24706">
              <w:rPr>
                <w:rFonts w:ascii="Arial" w:hAnsi="Arial" w:cs="Arial"/>
                <w:b/>
                <w:bCs/>
                <w:sz w:val="22"/>
                <w:szCs w:val="22"/>
              </w:rPr>
              <w:t>$255,000</w:t>
            </w:r>
          </w:p>
        </w:tc>
      </w:tr>
      <w:tr w:rsidR="004C182B" w:rsidRPr="00F24706">
        <w:tc>
          <w:tcPr>
            <w:tcW w:w="8505" w:type="dxa"/>
            <w:gridSpan w:val="2"/>
            <w:shd w:val="clear" w:color="auto" w:fill="auto"/>
            <w:vAlign w:val="center"/>
          </w:tcPr>
          <w:p w:rsidR="00A646E2" w:rsidRPr="00F24706" w:rsidRDefault="00A646E2" w:rsidP="00654840">
            <w:pPr>
              <w:spacing w:before="60" w:after="60"/>
              <w:rPr>
                <w:rFonts w:ascii="Arial" w:hAnsi="Arial" w:cs="Arial"/>
                <w:b/>
                <w:bCs/>
                <w:sz w:val="22"/>
                <w:szCs w:val="22"/>
              </w:rPr>
            </w:pPr>
            <w:r w:rsidRPr="00F24706">
              <w:rPr>
                <w:rFonts w:ascii="Arial" w:hAnsi="Arial" w:cs="Arial"/>
                <w:b/>
                <w:bCs/>
                <w:sz w:val="22"/>
                <w:szCs w:val="22"/>
              </w:rPr>
              <w:t>A.1 Content development of new capacity-building</w:t>
            </w:r>
            <w:r w:rsidR="00654840" w:rsidRPr="00F24706">
              <w:rPr>
                <w:rFonts w:ascii="Arial" w:hAnsi="Arial" w:cs="Arial"/>
                <w:b/>
                <w:bCs/>
                <w:sz w:val="22"/>
                <w:szCs w:val="22"/>
              </w:rPr>
              <w:t xml:space="preserve"> materials</w:t>
            </w:r>
            <w:r w:rsidRPr="00F24706">
              <w:rPr>
                <w:rFonts w:ascii="Arial" w:hAnsi="Arial" w:cs="Arial"/>
                <w:b/>
                <w:bCs/>
                <w:sz w:val="22"/>
                <w:szCs w:val="22"/>
              </w:rPr>
              <w:t>: development of safeguarding plans, intangible cultural heritage and sustainable development</w:t>
            </w:r>
          </w:p>
        </w:tc>
        <w:tc>
          <w:tcPr>
            <w:tcW w:w="1203" w:type="dxa"/>
            <w:shd w:val="clear" w:color="auto" w:fill="auto"/>
            <w:vAlign w:val="center"/>
          </w:tcPr>
          <w:p w:rsidR="00A646E2" w:rsidRPr="00F24706" w:rsidRDefault="00A646E2" w:rsidP="00B94A9A">
            <w:pPr>
              <w:spacing w:before="60" w:after="60"/>
              <w:rPr>
                <w:rFonts w:ascii="Arial" w:hAnsi="Arial" w:cs="Arial"/>
                <w:sz w:val="22"/>
                <w:szCs w:val="22"/>
              </w:rPr>
            </w:pPr>
          </w:p>
        </w:tc>
      </w:tr>
      <w:tr w:rsidR="004C182B" w:rsidRPr="00F24706">
        <w:tc>
          <w:tcPr>
            <w:tcW w:w="3119"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Content development for trainers and trainees manuals</w:t>
            </w:r>
          </w:p>
        </w:tc>
        <w:tc>
          <w:tcPr>
            <w:tcW w:w="5386"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Professional services for content development</w:t>
            </w:r>
          </w:p>
        </w:tc>
        <w:tc>
          <w:tcPr>
            <w:tcW w:w="1203" w:type="dxa"/>
            <w:shd w:val="clear" w:color="auto" w:fill="auto"/>
            <w:vAlign w:val="center"/>
          </w:tcPr>
          <w:p w:rsidR="00A646E2" w:rsidRPr="00F24706" w:rsidRDefault="00A646E2" w:rsidP="00B94A9A">
            <w:pPr>
              <w:spacing w:before="60" w:after="60"/>
              <w:jc w:val="right"/>
              <w:rPr>
                <w:rFonts w:ascii="Arial" w:hAnsi="Arial" w:cs="Arial"/>
                <w:sz w:val="22"/>
                <w:szCs w:val="22"/>
              </w:rPr>
            </w:pPr>
            <w:r w:rsidRPr="00F24706">
              <w:rPr>
                <w:rFonts w:ascii="Arial" w:hAnsi="Arial" w:cs="Arial"/>
                <w:sz w:val="22"/>
                <w:szCs w:val="22"/>
              </w:rPr>
              <w:t>$65,000</w:t>
            </w:r>
          </w:p>
        </w:tc>
      </w:tr>
      <w:tr w:rsidR="004C182B" w:rsidRPr="00F24706">
        <w:tc>
          <w:tcPr>
            <w:tcW w:w="8505" w:type="dxa"/>
            <w:gridSpan w:val="2"/>
            <w:shd w:val="clear" w:color="auto" w:fill="auto"/>
            <w:vAlign w:val="center"/>
          </w:tcPr>
          <w:p w:rsidR="00A646E2" w:rsidRPr="00F24706" w:rsidRDefault="00A646E2" w:rsidP="00654840">
            <w:pPr>
              <w:spacing w:before="60" w:after="60"/>
              <w:rPr>
                <w:rFonts w:ascii="Arial" w:hAnsi="Arial" w:cs="Arial"/>
                <w:b/>
                <w:bCs/>
                <w:sz w:val="22"/>
                <w:szCs w:val="22"/>
              </w:rPr>
            </w:pPr>
            <w:r w:rsidRPr="00F24706">
              <w:rPr>
                <w:rFonts w:ascii="Arial" w:hAnsi="Arial" w:cs="Arial"/>
                <w:b/>
                <w:bCs/>
                <w:sz w:val="22"/>
                <w:szCs w:val="22"/>
              </w:rPr>
              <w:t>A.2 Production of existing capacity-building</w:t>
            </w:r>
            <w:r w:rsidR="00654840" w:rsidRPr="00F24706">
              <w:rPr>
                <w:rFonts w:ascii="Arial" w:hAnsi="Arial" w:cs="Arial"/>
                <w:b/>
                <w:bCs/>
                <w:sz w:val="22"/>
                <w:szCs w:val="22"/>
              </w:rPr>
              <w:t xml:space="preserve"> materials</w:t>
            </w:r>
            <w:r w:rsidRPr="00F24706">
              <w:rPr>
                <w:rFonts w:ascii="Arial" w:hAnsi="Arial" w:cs="Arial"/>
                <w:b/>
                <w:bCs/>
                <w:sz w:val="22"/>
                <w:szCs w:val="22"/>
              </w:rPr>
              <w:t xml:space="preserve">: national implementation, inventorying, </w:t>
            </w:r>
            <w:r w:rsidR="00654840" w:rsidRPr="00F24706">
              <w:rPr>
                <w:rFonts w:ascii="Arial" w:hAnsi="Arial" w:cs="Arial"/>
                <w:b/>
                <w:bCs/>
                <w:sz w:val="22"/>
                <w:szCs w:val="22"/>
              </w:rPr>
              <w:t>elaboration of files</w:t>
            </w:r>
          </w:p>
        </w:tc>
        <w:tc>
          <w:tcPr>
            <w:tcW w:w="1203" w:type="dxa"/>
            <w:shd w:val="clear" w:color="auto" w:fill="auto"/>
            <w:vAlign w:val="center"/>
          </w:tcPr>
          <w:p w:rsidR="00A646E2" w:rsidRPr="00F24706" w:rsidRDefault="00A646E2" w:rsidP="00B94A9A">
            <w:pPr>
              <w:spacing w:before="60" w:after="60"/>
              <w:rPr>
                <w:rFonts w:ascii="Arial" w:hAnsi="Arial" w:cs="Arial"/>
                <w:sz w:val="22"/>
                <w:szCs w:val="22"/>
              </w:rPr>
            </w:pPr>
          </w:p>
        </w:tc>
      </w:tr>
      <w:tr w:rsidR="004C182B" w:rsidRPr="00F24706">
        <w:tc>
          <w:tcPr>
            <w:tcW w:w="3119"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Pre-production</w:t>
            </w:r>
          </w:p>
        </w:tc>
        <w:tc>
          <w:tcPr>
            <w:tcW w:w="5386"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Professional services for translation</w:t>
            </w:r>
            <w:r w:rsidR="00B00FB2" w:rsidRPr="00F24706">
              <w:rPr>
                <w:rFonts w:ascii="Arial" w:hAnsi="Arial" w:cs="Arial"/>
                <w:sz w:val="22"/>
                <w:szCs w:val="22"/>
              </w:rPr>
              <w:t>,</w:t>
            </w:r>
            <w:r w:rsidRPr="00F24706">
              <w:rPr>
                <w:rFonts w:ascii="Arial" w:hAnsi="Arial" w:cs="Arial"/>
                <w:sz w:val="22"/>
                <w:szCs w:val="22"/>
              </w:rPr>
              <w:t xml:space="preserve"> copy-editing, graphic design, layout, proofreading</w:t>
            </w:r>
          </w:p>
        </w:tc>
        <w:tc>
          <w:tcPr>
            <w:tcW w:w="1203" w:type="dxa"/>
            <w:shd w:val="clear" w:color="auto" w:fill="auto"/>
            <w:vAlign w:val="center"/>
          </w:tcPr>
          <w:p w:rsidR="00A646E2" w:rsidRPr="00F24706" w:rsidRDefault="00A646E2" w:rsidP="00B94A9A">
            <w:pPr>
              <w:spacing w:before="60" w:after="60"/>
              <w:jc w:val="right"/>
              <w:rPr>
                <w:rFonts w:ascii="Arial" w:hAnsi="Arial" w:cs="Arial"/>
                <w:sz w:val="22"/>
                <w:szCs w:val="22"/>
              </w:rPr>
            </w:pPr>
            <w:r w:rsidRPr="00F24706">
              <w:rPr>
                <w:rFonts w:ascii="Arial" w:hAnsi="Arial" w:cs="Arial"/>
                <w:sz w:val="22"/>
                <w:szCs w:val="22"/>
              </w:rPr>
              <w:t>$90,000</w:t>
            </w:r>
          </w:p>
        </w:tc>
      </w:tr>
      <w:tr w:rsidR="004C182B" w:rsidRPr="00F24706">
        <w:tc>
          <w:tcPr>
            <w:tcW w:w="8505" w:type="dxa"/>
            <w:gridSpan w:val="2"/>
            <w:shd w:val="clear" w:color="auto" w:fill="auto"/>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A.3 Stock</w:t>
            </w:r>
            <w:r w:rsidR="00B00FB2" w:rsidRPr="00F24706">
              <w:rPr>
                <w:rFonts w:ascii="Arial" w:hAnsi="Arial" w:cs="Arial"/>
                <w:b/>
                <w:bCs/>
                <w:sz w:val="22"/>
                <w:szCs w:val="22"/>
              </w:rPr>
              <w:t>-</w:t>
            </w:r>
            <w:r w:rsidRPr="00F24706">
              <w:rPr>
                <w:rFonts w:ascii="Arial" w:hAnsi="Arial" w:cs="Arial"/>
                <w:b/>
                <w:bCs/>
                <w:sz w:val="22"/>
                <w:szCs w:val="22"/>
              </w:rPr>
              <w:t>taking workshop for trained facilitators</w:t>
            </w:r>
          </w:p>
        </w:tc>
        <w:tc>
          <w:tcPr>
            <w:tcW w:w="1203" w:type="dxa"/>
            <w:shd w:val="clear" w:color="auto" w:fill="auto"/>
            <w:vAlign w:val="center"/>
          </w:tcPr>
          <w:p w:rsidR="00A646E2" w:rsidRPr="00F24706" w:rsidRDefault="00A646E2" w:rsidP="00B94A9A">
            <w:pPr>
              <w:spacing w:before="60" w:after="60"/>
              <w:rPr>
                <w:rFonts w:ascii="Arial" w:hAnsi="Arial" w:cs="Arial"/>
                <w:sz w:val="22"/>
                <w:szCs w:val="22"/>
              </w:rPr>
            </w:pPr>
          </w:p>
        </w:tc>
      </w:tr>
      <w:tr w:rsidR="004C182B" w:rsidRPr="00F24706">
        <w:tc>
          <w:tcPr>
            <w:tcW w:w="3119"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 xml:space="preserve">Workshop for 10 to 15 </w:t>
            </w:r>
            <w:r w:rsidR="00B00FB2" w:rsidRPr="00F24706">
              <w:rPr>
                <w:rFonts w:ascii="Arial" w:hAnsi="Arial" w:cs="Arial"/>
                <w:sz w:val="22"/>
                <w:szCs w:val="22"/>
              </w:rPr>
              <w:t>facilitators</w:t>
            </w:r>
          </w:p>
        </w:tc>
        <w:tc>
          <w:tcPr>
            <w:tcW w:w="5386"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 xml:space="preserve">Travel and subsistence of participants, meeting facilities and equipment, reproduction costs, local travel, hospitality, communications, shipment </w:t>
            </w:r>
          </w:p>
        </w:tc>
        <w:tc>
          <w:tcPr>
            <w:tcW w:w="1203" w:type="dxa"/>
            <w:shd w:val="clear" w:color="auto" w:fill="auto"/>
            <w:vAlign w:val="center"/>
          </w:tcPr>
          <w:p w:rsidR="00A646E2" w:rsidRPr="00F24706" w:rsidRDefault="00A646E2" w:rsidP="00B94A9A">
            <w:pPr>
              <w:spacing w:before="60" w:after="60"/>
              <w:jc w:val="right"/>
              <w:rPr>
                <w:rFonts w:ascii="Arial" w:hAnsi="Arial" w:cs="Arial"/>
                <w:sz w:val="22"/>
                <w:szCs w:val="22"/>
              </w:rPr>
            </w:pPr>
            <w:r w:rsidRPr="00F24706">
              <w:rPr>
                <w:rFonts w:ascii="Arial" w:hAnsi="Arial" w:cs="Arial"/>
                <w:sz w:val="22"/>
                <w:szCs w:val="22"/>
              </w:rPr>
              <w:t>$80,000</w:t>
            </w:r>
          </w:p>
        </w:tc>
      </w:tr>
      <w:tr w:rsidR="004C182B" w:rsidRPr="00F24706">
        <w:tc>
          <w:tcPr>
            <w:tcW w:w="8505" w:type="dxa"/>
            <w:gridSpan w:val="2"/>
            <w:shd w:val="clear" w:color="auto" w:fill="auto"/>
            <w:vAlign w:val="center"/>
          </w:tcPr>
          <w:p w:rsidR="00A646E2" w:rsidRPr="00F24706" w:rsidRDefault="00A646E2" w:rsidP="00EE4CD6">
            <w:pPr>
              <w:spacing w:before="60" w:after="60"/>
              <w:rPr>
                <w:rFonts w:ascii="Arial" w:hAnsi="Arial" w:cs="Arial"/>
                <w:b/>
                <w:bCs/>
                <w:sz w:val="22"/>
                <w:szCs w:val="22"/>
              </w:rPr>
            </w:pPr>
            <w:r w:rsidRPr="00F24706">
              <w:rPr>
                <w:rFonts w:ascii="Arial" w:hAnsi="Arial" w:cs="Arial"/>
                <w:b/>
                <w:bCs/>
                <w:sz w:val="22"/>
                <w:szCs w:val="22"/>
              </w:rPr>
              <w:t xml:space="preserve">A.4 </w:t>
            </w:r>
            <w:r w:rsidR="00EE4CD6" w:rsidRPr="00F24706">
              <w:rPr>
                <w:rFonts w:ascii="Arial" w:hAnsi="Arial" w:cs="Arial"/>
                <w:b/>
                <w:bCs/>
                <w:sz w:val="22"/>
                <w:szCs w:val="22"/>
              </w:rPr>
              <w:t>Caribbean Youth Forum on Intangible Cultural Heritage</w:t>
            </w:r>
          </w:p>
        </w:tc>
        <w:tc>
          <w:tcPr>
            <w:tcW w:w="1203" w:type="dxa"/>
            <w:shd w:val="clear" w:color="auto" w:fill="auto"/>
            <w:vAlign w:val="center"/>
          </w:tcPr>
          <w:p w:rsidR="00A646E2" w:rsidRPr="00F24706" w:rsidRDefault="00A646E2" w:rsidP="00B94A9A">
            <w:pPr>
              <w:spacing w:before="60" w:after="60"/>
              <w:rPr>
                <w:rFonts w:ascii="Arial" w:hAnsi="Arial" w:cs="Arial"/>
                <w:sz w:val="22"/>
                <w:szCs w:val="22"/>
              </w:rPr>
            </w:pPr>
          </w:p>
        </w:tc>
      </w:tr>
      <w:tr w:rsidR="004C182B" w:rsidRPr="00F24706">
        <w:tc>
          <w:tcPr>
            <w:tcW w:w="3119" w:type="dxa"/>
            <w:shd w:val="clear" w:color="auto" w:fill="auto"/>
            <w:vAlign w:val="center"/>
          </w:tcPr>
          <w:p w:rsidR="00A646E2" w:rsidRPr="00F24706" w:rsidRDefault="00B00FB2" w:rsidP="00B94A9A">
            <w:pPr>
              <w:spacing w:before="60" w:after="60"/>
              <w:rPr>
                <w:rFonts w:ascii="Arial" w:hAnsi="Arial" w:cs="Arial"/>
                <w:sz w:val="22"/>
                <w:szCs w:val="22"/>
              </w:rPr>
            </w:pPr>
            <w:r w:rsidRPr="00F24706">
              <w:rPr>
                <w:rFonts w:ascii="Arial" w:hAnsi="Arial" w:cs="Arial"/>
                <w:sz w:val="22"/>
                <w:szCs w:val="22"/>
              </w:rPr>
              <w:t>F</w:t>
            </w:r>
            <w:r w:rsidR="00A646E2" w:rsidRPr="00F24706">
              <w:rPr>
                <w:rFonts w:ascii="Arial" w:hAnsi="Arial" w:cs="Arial"/>
                <w:sz w:val="22"/>
                <w:szCs w:val="22"/>
              </w:rPr>
              <w:t xml:space="preserve">orum on the implementation of the 2003 Convention </w:t>
            </w:r>
          </w:p>
        </w:tc>
        <w:tc>
          <w:tcPr>
            <w:tcW w:w="5386"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 xml:space="preserve">Travel and subsistence of participants, trainers' services and expenses, meeting facilities and equipment, reproduction costs, local travel, hospitality, communications, shipment </w:t>
            </w:r>
          </w:p>
        </w:tc>
        <w:tc>
          <w:tcPr>
            <w:tcW w:w="1203" w:type="dxa"/>
            <w:shd w:val="clear" w:color="auto" w:fill="auto"/>
            <w:vAlign w:val="center"/>
          </w:tcPr>
          <w:p w:rsidR="00A646E2" w:rsidRPr="00F24706" w:rsidRDefault="00A646E2" w:rsidP="00B94A9A">
            <w:pPr>
              <w:spacing w:before="60" w:after="60"/>
              <w:jc w:val="right"/>
              <w:rPr>
                <w:rFonts w:ascii="Arial" w:hAnsi="Arial" w:cs="Arial"/>
                <w:sz w:val="22"/>
                <w:szCs w:val="22"/>
              </w:rPr>
            </w:pPr>
            <w:r w:rsidRPr="00F24706">
              <w:rPr>
                <w:rFonts w:ascii="Arial" w:hAnsi="Arial" w:cs="Arial"/>
                <w:sz w:val="22"/>
                <w:szCs w:val="22"/>
              </w:rPr>
              <w:t>$20,000</w:t>
            </w:r>
          </w:p>
        </w:tc>
      </w:tr>
      <w:tr w:rsidR="004C182B" w:rsidRPr="00F24706">
        <w:tc>
          <w:tcPr>
            <w:tcW w:w="8505" w:type="dxa"/>
            <w:gridSpan w:val="2"/>
            <w:shd w:val="clear" w:color="auto" w:fill="F2F2F2" w:themeFill="background1" w:themeFillShade="F2"/>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 xml:space="preserve">B. Promotion and dissemination of Best Safeguarding Practices </w:t>
            </w:r>
          </w:p>
        </w:tc>
        <w:tc>
          <w:tcPr>
            <w:tcW w:w="1203" w:type="dxa"/>
            <w:shd w:val="clear" w:color="auto" w:fill="F2F2F2" w:themeFill="background1" w:themeFillShade="F2"/>
            <w:vAlign w:val="center"/>
          </w:tcPr>
          <w:p w:rsidR="00A646E2" w:rsidRPr="00F24706" w:rsidRDefault="00A646E2" w:rsidP="00B94A9A">
            <w:pPr>
              <w:spacing w:before="60" w:after="60"/>
              <w:jc w:val="right"/>
              <w:rPr>
                <w:rFonts w:ascii="Arial" w:hAnsi="Arial" w:cs="Arial"/>
                <w:b/>
                <w:bCs/>
                <w:sz w:val="22"/>
                <w:szCs w:val="22"/>
              </w:rPr>
            </w:pPr>
            <w:r w:rsidRPr="00F24706">
              <w:rPr>
                <w:rFonts w:ascii="Arial" w:hAnsi="Arial" w:cs="Arial"/>
                <w:b/>
                <w:bCs/>
                <w:sz w:val="22"/>
                <w:szCs w:val="22"/>
              </w:rPr>
              <w:t>$50 000</w:t>
            </w:r>
          </w:p>
        </w:tc>
      </w:tr>
      <w:tr w:rsidR="004C182B" w:rsidRPr="00F24706">
        <w:tc>
          <w:tcPr>
            <w:tcW w:w="3119"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 xml:space="preserve">Research, documentation, publication and dissemination of best practices </w:t>
            </w:r>
          </w:p>
        </w:tc>
        <w:tc>
          <w:tcPr>
            <w:tcW w:w="5386" w:type="dxa"/>
            <w:shd w:val="clear" w:color="auto" w:fill="auto"/>
            <w:vAlign w:val="center"/>
          </w:tcPr>
          <w:p w:rsidR="00A646E2" w:rsidRPr="00F24706" w:rsidRDefault="00654840" w:rsidP="00B94A9A">
            <w:pPr>
              <w:spacing w:before="60" w:after="60"/>
              <w:rPr>
                <w:rFonts w:ascii="Arial" w:hAnsi="Arial" w:cs="Arial"/>
                <w:sz w:val="22"/>
                <w:szCs w:val="22"/>
              </w:rPr>
            </w:pPr>
            <w:r w:rsidRPr="00F24706">
              <w:rPr>
                <w:rFonts w:ascii="Arial" w:hAnsi="Arial" w:cs="Arial"/>
                <w:sz w:val="22"/>
                <w:szCs w:val="22"/>
              </w:rPr>
              <w:t>P</w:t>
            </w:r>
            <w:r w:rsidR="00A646E2" w:rsidRPr="00F24706">
              <w:rPr>
                <w:rFonts w:ascii="Arial" w:hAnsi="Arial" w:cs="Arial"/>
                <w:sz w:val="22"/>
                <w:szCs w:val="22"/>
              </w:rPr>
              <w:t>rofessional services for content development, text preparation, translation, design and layout in English and French</w:t>
            </w:r>
          </w:p>
        </w:tc>
        <w:tc>
          <w:tcPr>
            <w:tcW w:w="1203" w:type="dxa"/>
            <w:shd w:val="clear" w:color="auto" w:fill="auto"/>
            <w:vAlign w:val="center"/>
          </w:tcPr>
          <w:p w:rsidR="00A646E2" w:rsidRPr="00F24706" w:rsidRDefault="00A646E2" w:rsidP="00B94A9A">
            <w:pPr>
              <w:spacing w:before="60" w:after="60"/>
              <w:jc w:val="right"/>
              <w:rPr>
                <w:rFonts w:ascii="Arial" w:hAnsi="Arial" w:cs="Arial"/>
                <w:sz w:val="22"/>
                <w:szCs w:val="22"/>
              </w:rPr>
            </w:pPr>
            <w:r w:rsidRPr="00F24706">
              <w:rPr>
                <w:rFonts w:ascii="Arial" w:hAnsi="Arial" w:cs="Arial"/>
                <w:sz w:val="22"/>
                <w:szCs w:val="22"/>
              </w:rPr>
              <w:t>$50,000</w:t>
            </w:r>
          </w:p>
        </w:tc>
      </w:tr>
      <w:tr w:rsidR="004C182B" w:rsidRPr="00F24706">
        <w:tc>
          <w:tcPr>
            <w:tcW w:w="8505" w:type="dxa"/>
            <w:gridSpan w:val="2"/>
            <w:shd w:val="clear" w:color="auto" w:fill="F2F2F2" w:themeFill="background1" w:themeFillShade="F2"/>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C. Communication and Visibility</w:t>
            </w:r>
          </w:p>
        </w:tc>
        <w:tc>
          <w:tcPr>
            <w:tcW w:w="1203" w:type="dxa"/>
            <w:shd w:val="clear" w:color="auto" w:fill="F2F2F2" w:themeFill="background1" w:themeFillShade="F2"/>
            <w:vAlign w:val="center"/>
          </w:tcPr>
          <w:p w:rsidR="00A646E2" w:rsidRPr="00F24706" w:rsidRDefault="00A646E2" w:rsidP="00B94A9A">
            <w:pPr>
              <w:spacing w:before="60" w:after="60"/>
              <w:jc w:val="right"/>
              <w:rPr>
                <w:rFonts w:ascii="Arial" w:hAnsi="Arial" w:cs="Arial"/>
                <w:b/>
                <w:bCs/>
                <w:sz w:val="22"/>
                <w:szCs w:val="22"/>
              </w:rPr>
            </w:pPr>
            <w:r w:rsidRPr="00F24706">
              <w:rPr>
                <w:rFonts w:ascii="Arial" w:hAnsi="Arial" w:cs="Arial"/>
                <w:b/>
                <w:bCs/>
                <w:sz w:val="22"/>
                <w:szCs w:val="22"/>
              </w:rPr>
              <w:t>$164,000</w:t>
            </w:r>
          </w:p>
        </w:tc>
      </w:tr>
      <w:tr w:rsidR="004C182B" w:rsidRPr="00F24706">
        <w:tc>
          <w:tcPr>
            <w:tcW w:w="8505" w:type="dxa"/>
            <w:gridSpan w:val="2"/>
            <w:shd w:val="clear" w:color="auto" w:fill="auto"/>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 xml:space="preserve">C.1 Publication of Basic Texts as amended by the </w:t>
            </w:r>
            <w:r w:rsidR="00B00FB2" w:rsidRPr="00F24706">
              <w:rPr>
                <w:rFonts w:ascii="Arial" w:hAnsi="Arial" w:cs="Arial"/>
                <w:b/>
                <w:bCs/>
                <w:sz w:val="22"/>
                <w:szCs w:val="22"/>
              </w:rPr>
              <w:t xml:space="preserve">fourth </w:t>
            </w:r>
            <w:r w:rsidRPr="00F24706">
              <w:rPr>
                <w:rFonts w:ascii="Arial" w:hAnsi="Arial" w:cs="Arial"/>
                <w:b/>
                <w:bCs/>
                <w:sz w:val="22"/>
                <w:szCs w:val="22"/>
              </w:rPr>
              <w:t>session of the General Assembly (Arabic, Chinese, English, French, Russian and Spanish)</w:t>
            </w:r>
          </w:p>
        </w:tc>
        <w:tc>
          <w:tcPr>
            <w:tcW w:w="1203" w:type="dxa"/>
            <w:shd w:val="clear" w:color="auto" w:fill="auto"/>
            <w:vAlign w:val="center"/>
          </w:tcPr>
          <w:p w:rsidR="00A646E2" w:rsidRPr="00F24706" w:rsidRDefault="00A646E2" w:rsidP="00B94A9A">
            <w:pPr>
              <w:spacing w:before="60" w:after="60"/>
              <w:rPr>
                <w:rFonts w:ascii="Arial" w:hAnsi="Arial" w:cs="Arial"/>
                <w:b/>
                <w:sz w:val="22"/>
                <w:szCs w:val="22"/>
              </w:rPr>
            </w:pPr>
          </w:p>
        </w:tc>
      </w:tr>
      <w:tr w:rsidR="004C182B" w:rsidRPr="00F24706">
        <w:tc>
          <w:tcPr>
            <w:tcW w:w="3119"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 xml:space="preserve">Pre-production </w:t>
            </w:r>
            <w:r w:rsidR="00456085" w:rsidRPr="00F24706">
              <w:rPr>
                <w:rFonts w:ascii="Arial" w:hAnsi="Arial" w:cs="Arial"/>
                <w:sz w:val="22"/>
                <w:szCs w:val="22"/>
              </w:rPr>
              <w:t xml:space="preserve">and printing </w:t>
            </w:r>
            <w:r w:rsidRPr="00F24706">
              <w:rPr>
                <w:rFonts w:ascii="Arial" w:hAnsi="Arial" w:cs="Arial"/>
                <w:sz w:val="22"/>
                <w:szCs w:val="22"/>
              </w:rPr>
              <w:t>of 2012 edition</w:t>
            </w:r>
          </w:p>
        </w:tc>
        <w:tc>
          <w:tcPr>
            <w:tcW w:w="5386" w:type="dxa"/>
            <w:shd w:val="clear" w:color="auto" w:fill="auto"/>
            <w:vAlign w:val="center"/>
          </w:tcPr>
          <w:p w:rsidR="00A646E2" w:rsidRPr="00F24706" w:rsidRDefault="00B00FB2" w:rsidP="00B94A9A">
            <w:pPr>
              <w:spacing w:before="60" w:after="60"/>
              <w:rPr>
                <w:rFonts w:ascii="Arial" w:hAnsi="Arial" w:cs="Arial"/>
                <w:sz w:val="22"/>
                <w:szCs w:val="22"/>
              </w:rPr>
            </w:pPr>
            <w:r w:rsidRPr="00F24706">
              <w:rPr>
                <w:rFonts w:ascii="Arial" w:hAnsi="Arial" w:cs="Arial"/>
                <w:sz w:val="22"/>
                <w:szCs w:val="22"/>
              </w:rPr>
              <w:t>Printing costs, p</w:t>
            </w:r>
            <w:r w:rsidR="00A646E2" w:rsidRPr="00F24706">
              <w:rPr>
                <w:rFonts w:ascii="Arial" w:hAnsi="Arial" w:cs="Arial"/>
                <w:sz w:val="22"/>
                <w:szCs w:val="22"/>
              </w:rPr>
              <w:t>rofessional services for translation, copy-preparation, graphic design, layout</w:t>
            </w:r>
            <w:r w:rsidRPr="00F24706">
              <w:rPr>
                <w:rFonts w:ascii="Arial" w:hAnsi="Arial" w:cs="Arial"/>
                <w:sz w:val="22"/>
                <w:szCs w:val="22"/>
              </w:rPr>
              <w:t xml:space="preserve"> and </w:t>
            </w:r>
            <w:r w:rsidR="00A646E2" w:rsidRPr="00F24706">
              <w:rPr>
                <w:rFonts w:ascii="Arial" w:hAnsi="Arial" w:cs="Arial"/>
                <w:sz w:val="22"/>
                <w:szCs w:val="22"/>
              </w:rPr>
              <w:t>proofreading</w:t>
            </w:r>
          </w:p>
        </w:tc>
        <w:tc>
          <w:tcPr>
            <w:tcW w:w="1203" w:type="dxa"/>
            <w:shd w:val="clear" w:color="auto" w:fill="auto"/>
            <w:vAlign w:val="center"/>
          </w:tcPr>
          <w:p w:rsidR="00A646E2" w:rsidRPr="00F24706" w:rsidRDefault="00A646E2" w:rsidP="00B94A9A">
            <w:pPr>
              <w:spacing w:before="60" w:after="60"/>
              <w:jc w:val="right"/>
              <w:rPr>
                <w:rFonts w:ascii="Arial" w:hAnsi="Arial" w:cs="Arial"/>
                <w:sz w:val="22"/>
                <w:szCs w:val="22"/>
              </w:rPr>
            </w:pPr>
            <w:r w:rsidRPr="00F24706">
              <w:rPr>
                <w:rFonts w:ascii="Arial" w:hAnsi="Arial" w:cs="Arial"/>
                <w:sz w:val="22"/>
                <w:szCs w:val="22"/>
              </w:rPr>
              <w:t>$</w:t>
            </w:r>
            <w:r w:rsidR="00456085" w:rsidRPr="00F24706">
              <w:rPr>
                <w:rFonts w:ascii="Arial" w:hAnsi="Arial" w:cs="Arial"/>
                <w:sz w:val="22"/>
                <w:szCs w:val="22"/>
              </w:rPr>
              <w:t>9</w:t>
            </w:r>
            <w:r w:rsidRPr="00F24706">
              <w:rPr>
                <w:rFonts w:ascii="Arial" w:hAnsi="Arial" w:cs="Arial"/>
                <w:sz w:val="22"/>
                <w:szCs w:val="22"/>
              </w:rPr>
              <w:t>0,000</w:t>
            </w:r>
          </w:p>
        </w:tc>
      </w:tr>
      <w:tr w:rsidR="004C182B" w:rsidRPr="00F24706">
        <w:tc>
          <w:tcPr>
            <w:tcW w:w="8505" w:type="dxa"/>
            <w:gridSpan w:val="2"/>
            <w:shd w:val="clear" w:color="auto" w:fill="auto"/>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C.2 Publication of leaflets of Urgent Safeguarding and Representative Lists and the Register of Best Safeguarding Practices (English and French)</w:t>
            </w:r>
          </w:p>
        </w:tc>
        <w:tc>
          <w:tcPr>
            <w:tcW w:w="1203" w:type="dxa"/>
            <w:shd w:val="clear" w:color="auto" w:fill="auto"/>
            <w:vAlign w:val="center"/>
          </w:tcPr>
          <w:p w:rsidR="00A646E2" w:rsidRPr="00F24706" w:rsidRDefault="00A646E2" w:rsidP="00B94A9A">
            <w:pPr>
              <w:spacing w:before="60" w:after="60"/>
              <w:rPr>
                <w:rFonts w:ascii="Arial" w:hAnsi="Arial" w:cs="Arial"/>
                <w:sz w:val="22"/>
                <w:szCs w:val="22"/>
              </w:rPr>
            </w:pPr>
          </w:p>
        </w:tc>
      </w:tr>
      <w:tr w:rsidR="004C182B" w:rsidRPr="00F24706">
        <w:tc>
          <w:tcPr>
            <w:tcW w:w="3119" w:type="dxa"/>
            <w:shd w:val="clear" w:color="auto" w:fill="auto"/>
            <w:vAlign w:val="center"/>
          </w:tcPr>
          <w:p w:rsidR="00A646E2" w:rsidRPr="00F24706" w:rsidRDefault="00456085" w:rsidP="00B94A9A">
            <w:pPr>
              <w:spacing w:before="60" w:after="60"/>
              <w:rPr>
                <w:rFonts w:ascii="Arial" w:hAnsi="Arial" w:cs="Arial"/>
                <w:sz w:val="22"/>
                <w:szCs w:val="22"/>
              </w:rPr>
            </w:pPr>
            <w:r w:rsidRPr="00F24706">
              <w:rPr>
                <w:rFonts w:ascii="Arial" w:hAnsi="Arial" w:cs="Arial"/>
                <w:sz w:val="22"/>
                <w:szCs w:val="22"/>
              </w:rPr>
              <w:t>Re-p</w:t>
            </w:r>
            <w:r w:rsidR="00A646E2" w:rsidRPr="00F24706">
              <w:rPr>
                <w:rFonts w:ascii="Arial" w:hAnsi="Arial" w:cs="Arial"/>
                <w:sz w:val="22"/>
                <w:szCs w:val="22"/>
              </w:rPr>
              <w:t>rinting of 2011 leaflets</w:t>
            </w:r>
            <w:r w:rsidRPr="00F24706">
              <w:rPr>
                <w:rFonts w:ascii="Arial" w:hAnsi="Arial" w:cs="Arial"/>
                <w:sz w:val="22"/>
                <w:szCs w:val="22"/>
              </w:rPr>
              <w:t>, pre-production and printing of 2012 leaflets</w:t>
            </w:r>
          </w:p>
        </w:tc>
        <w:tc>
          <w:tcPr>
            <w:tcW w:w="5386"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Printing costs</w:t>
            </w:r>
            <w:r w:rsidR="00B00FB2" w:rsidRPr="00F24706">
              <w:rPr>
                <w:rFonts w:ascii="Arial" w:hAnsi="Arial" w:cs="Arial"/>
                <w:sz w:val="22"/>
                <w:szCs w:val="22"/>
              </w:rPr>
              <w:t>,</w:t>
            </w:r>
            <w:r w:rsidRPr="00F24706">
              <w:rPr>
                <w:rFonts w:ascii="Arial" w:hAnsi="Arial" w:cs="Arial"/>
                <w:sz w:val="22"/>
                <w:szCs w:val="22"/>
              </w:rPr>
              <w:t xml:space="preserve"> </w:t>
            </w:r>
            <w:r w:rsidR="00456085" w:rsidRPr="00F24706">
              <w:rPr>
                <w:rFonts w:ascii="Arial" w:hAnsi="Arial" w:cs="Arial"/>
                <w:sz w:val="22"/>
                <w:szCs w:val="22"/>
              </w:rPr>
              <w:t xml:space="preserve">professional services for drafting, editing, translation, copy-preparation, graphic design, layout </w:t>
            </w:r>
            <w:r w:rsidR="00B00FB2" w:rsidRPr="00F24706">
              <w:rPr>
                <w:rFonts w:ascii="Arial" w:hAnsi="Arial" w:cs="Arial"/>
                <w:sz w:val="22"/>
                <w:szCs w:val="22"/>
              </w:rPr>
              <w:t xml:space="preserve">and </w:t>
            </w:r>
            <w:r w:rsidR="00456085" w:rsidRPr="00F24706">
              <w:rPr>
                <w:rFonts w:ascii="Arial" w:hAnsi="Arial" w:cs="Arial"/>
                <w:sz w:val="22"/>
                <w:szCs w:val="22"/>
              </w:rPr>
              <w:t xml:space="preserve">proofreading </w:t>
            </w:r>
          </w:p>
        </w:tc>
        <w:tc>
          <w:tcPr>
            <w:tcW w:w="1203" w:type="dxa"/>
            <w:shd w:val="clear" w:color="auto" w:fill="auto"/>
            <w:vAlign w:val="center"/>
          </w:tcPr>
          <w:p w:rsidR="00A646E2" w:rsidRPr="00F24706" w:rsidRDefault="00A646E2" w:rsidP="00B94A9A">
            <w:pPr>
              <w:spacing w:before="60" w:after="60"/>
              <w:jc w:val="right"/>
              <w:rPr>
                <w:rFonts w:ascii="Arial" w:hAnsi="Arial" w:cs="Arial"/>
                <w:sz w:val="22"/>
                <w:szCs w:val="22"/>
              </w:rPr>
            </w:pPr>
            <w:r w:rsidRPr="00F24706">
              <w:rPr>
                <w:rFonts w:ascii="Arial" w:hAnsi="Arial" w:cs="Arial"/>
                <w:sz w:val="22"/>
                <w:szCs w:val="22"/>
              </w:rPr>
              <w:t>$</w:t>
            </w:r>
            <w:r w:rsidR="00456085" w:rsidRPr="00F24706">
              <w:rPr>
                <w:rFonts w:ascii="Arial" w:hAnsi="Arial" w:cs="Arial"/>
                <w:sz w:val="22"/>
                <w:szCs w:val="22"/>
              </w:rPr>
              <w:t>37,</w:t>
            </w:r>
            <w:r w:rsidRPr="00F24706">
              <w:rPr>
                <w:rFonts w:ascii="Arial" w:hAnsi="Arial" w:cs="Arial"/>
                <w:sz w:val="22"/>
                <w:szCs w:val="22"/>
              </w:rPr>
              <w:t>000</w:t>
            </w:r>
          </w:p>
        </w:tc>
      </w:tr>
      <w:tr w:rsidR="004C182B" w:rsidRPr="00F24706">
        <w:tc>
          <w:tcPr>
            <w:tcW w:w="8505" w:type="dxa"/>
            <w:gridSpan w:val="2"/>
            <w:shd w:val="clear" w:color="auto" w:fill="auto"/>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C.3 Publication of brochures of the 2012 &amp; 2013 Urgent Safeguarding and Representative Lists and the Register of Best Safeguarding Practices (English and French)</w:t>
            </w:r>
          </w:p>
        </w:tc>
        <w:tc>
          <w:tcPr>
            <w:tcW w:w="1203" w:type="dxa"/>
            <w:shd w:val="clear" w:color="auto" w:fill="auto"/>
            <w:vAlign w:val="center"/>
          </w:tcPr>
          <w:p w:rsidR="00A646E2" w:rsidRPr="00F24706" w:rsidRDefault="00A646E2" w:rsidP="00B94A9A">
            <w:pPr>
              <w:spacing w:before="60" w:after="60"/>
              <w:rPr>
                <w:rFonts w:ascii="Arial" w:hAnsi="Arial" w:cs="Arial"/>
                <w:sz w:val="22"/>
                <w:szCs w:val="22"/>
              </w:rPr>
            </w:pPr>
          </w:p>
        </w:tc>
      </w:tr>
      <w:tr w:rsidR="004C182B" w:rsidRPr="00F24706">
        <w:tc>
          <w:tcPr>
            <w:tcW w:w="3119"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Pre-production</w:t>
            </w:r>
          </w:p>
        </w:tc>
        <w:tc>
          <w:tcPr>
            <w:tcW w:w="5386"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Professional services for drafting, editing, translation, copy-preparation, graphic design, layout, proofreading</w:t>
            </w:r>
          </w:p>
        </w:tc>
        <w:tc>
          <w:tcPr>
            <w:tcW w:w="1203" w:type="dxa"/>
            <w:shd w:val="clear" w:color="auto" w:fill="auto"/>
            <w:vAlign w:val="center"/>
          </w:tcPr>
          <w:p w:rsidR="00A646E2" w:rsidRPr="00F24706" w:rsidRDefault="00A646E2" w:rsidP="00B178B6">
            <w:pPr>
              <w:spacing w:before="60" w:after="60"/>
              <w:jc w:val="right"/>
              <w:rPr>
                <w:rFonts w:ascii="Arial" w:hAnsi="Arial" w:cs="Arial"/>
                <w:bCs/>
                <w:sz w:val="22"/>
                <w:szCs w:val="22"/>
              </w:rPr>
            </w:pPr>
            <w:r w:rsidRPr="00F24706">
              <w:rPr>
                <w:rFonts w:ascii="Arial" w:hAnsi="Arial" w:cs="Arial"/>
                <w:bCs/>
                <w:sz w:val="22"/>
                <w:szCs w:val="22"/>
              </w:rPr>
              <w:t>$17</w:t>
            </w:r>
            <w:r w:rsidR="00B178B6" w:rsidRPr="00F24706">
              <w:rPr>
                <w:rFonts w:ascii="Arial" w:hAnsi="Arial" w:cs="Arial"/>
                <w:bCs/>
                <w:sz w:val="22"/>
                <w:szCs w:val="22"/>
              </w:rPr>
              <w:t>,</w:t>
            </w:r>
            <w:r w:rsidRPr="00F24706">
              <w:rPr>
                <w:rFonts w:ascii="Arial" w:hAnsi="Arial" w:cs="Arial"/>
                <w:bCs/>
                <w:sz w:val="22"/>
                <w:szCs w:val="22"/>
              </w:rPr>
              <w:t>000</w:t>
            </w:r>
          </w:p>
        </w:tc>
      </w:tr>
    </w:tbl>
    <w:p w:rsidR="00B94A9A" w:rsidRPr="00F24706" w:rsidRDefault="00B94A9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386"/>
        <w:gridCol w:w="1203"/>
      </w:tblGrid>
      <w:tr w:rsidR="004C182B" w:rsidRPr="00F24706" w:rsidTr="00654840">
        <w:trPr>
          <w:tblHeader/>
        </w:trPr>
        <w:tc>
          <w:tcPr>
            <w:tcW w:w="3119" w:type="dxa"/>
            <w:shd w:val="clear" w:color="auto" w:fill="A6A6A6" w:themeFill="background1" w:themeFillShade="A6"/>
            <w:vAlign w:val="center"/>
          </w:tcPr>
          <w:p w:rsidR="00B94A9A" w:rsidRPr="00F24706" w:rsidRDefault="00B94A9A" w:rsidP="00654840">
            <w:pPr>
              <w:spacing w:before="60" w:after="60"/>
              <w:jc w:val="center"/>
              <w:rPr>
                <w:rFonts w:ascii="Arial" w:hAnsi="Arial" w:cs="Arial"/>
                <w:b/>
                <w:bCs/>
                <w:sz w:val="22"/>
                <w:szCs w:val="22"/>
              </w:rPr>
            </w:pPr>
            <w:r w:rsidRPr="00F24706">
              <w:rPr>
                <w:rFonts w:ascii="Arial" w:hAnsi="Arial" w:cs="Arial"/>
                <w:b/>
                <w:bCs/>
                <w:sz w:val="22"/>
                <w:szCs w:val="22"/>
              </w:rPr>
              <w:t>Activity</w:t>
            </w:r>
          </w:p>
        </w:tc>
        <w:tc>
          <w:tcPr>
            <w:tcW w:w="5386" w:type="dxa"/>
            <w:shd w:val="clear" w:color="auto" w:fill="A6A6A6" w:themeFill="background1" w:themeFillShade="A6"/>
            <w:vAlign w:val="center"/>
          </w:tcPr>
          <w:p w:rsidR="00B94A9A" w:rsidRPr="00F24706" w:rsidRDefault="00B94A9A" w:rsidP="00654840">
            <w:pPr>
              <w:spacing w:before="60" w:after="60"/>
              <w:jc w:val="center"/>
              <w:rPr>
                <w:rFonts w:ascii="Arial" w:hAnsi="Arial" w:cs="Arial"/>
                <w:b/>
                <w:bCs/>
                <w:sz w:val="22"/>
                <w:szCs w:val="22"/>
              </w:rPr>
            </w:pPr>
            <w:r w:rsidRPr="00F24706">
              <w:rPr>
                <w:rFonts w:ascii="Arial" w:hAnsi="Arial" w:cs="Arial"/>
                <w:b/>
                <w:bCs/>
                <w:sz w:val="22"/>
                <w:szCs w:val="22"/>
              </w:rPr>
              <w:t>Description</w:t>
            </w:r>
          </w:p>
        </w:tc>
        <w:tc>
          <w:tcPr>
            <w:tcW w:w="1203" w:type="dxa"/>
            <w:shd w:val="clear" w:color="auto" w:fill="A6A6A6" w:themeFill="background1" w:themeFillShade="A6"/>
            <w:vAlign w:val="center"/>
          </w:tcPr>
          <w:p w:rsidR="00B94A9A" w:rsidRPr="00F24706" w:rsidRDefault="00B94A9A" w:rsidP="00654840">
            <w:pPr>
              <w:spacing w:before="60" w:after="60"/>
              <w:jc w:val="center"/>
              <w:rPr>
                <w:rFonts w:ascii="Arial" w:hAnsi="Arial" w:cs="Arial"/>
                <w:b/>
                <w:bCs/>
                <w:sz w:val="22"/>
                <w:szCs w:val="22"/>
              </w:rPr>
            </w:pPr>
            <w:r w:rsidRPr="00F24706">
              <w:rPr>
                <w:rFonts w:ascii="Arial" w:hAnsi="Arial" w:cs="Arial"/>
                <w:b/>
                <w:bCs/>
                <w:sz w:val="22"/>
                <w:szCs w:val="22"/>
              </w:rPr>
              <w:t>Amount</w:t>
            </w:r>
          </w:p>
        </w:tc>
      </w:tr>
      <w:tr w:rsidR="004C182B" w:rsidRPr="00F24706">
        <w:tc>
          <w:tcPr>
            <w:tcW w:w="8505" w:type="dxa"/>
            <w:gridSpan w:val="2"/>
            <w:shd w:val="clear" w:color="auto" w:fill="auto"/>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C.4 Distribution of printed materials</w:t>
            </w:r>
          </w:p>
        </w:tc>
        <w:tc>
          <w:tcPr>
            <w:tcW w:w="1203" w:type="dxa"/>
            <w:shd w:val="clear" w:color="auto" w:fill="auto"/>
            <w:vAlign w:val="center"/>
          </w:tcPr>
          <w:p w:rsidR="00A646E2" w:rsidRPr="00F24706" w:rsidRDefault="00A646E2" w:rsidP="00B94A9A">
            <w:pPr>
              <w:spacing w:before="60" w:after="60"/>
              <w:rPr>
                <w:rFonts w:ascii="Arial" w:hAnsi="Arial" w:cs="Arial"/>
                <w:sz w:val="22"/>
                <w:szCs w:val="22"/>
              </w:rPr>
            </w:pPr>
          </w:p>
        </w:tc>
      </w:tr>
      <w:tr w:rsidR="004C182B" w:rsidRPr="00F24706">
        <w:tc>
          <w:tcPr>
            <w:tcW w:w="3119"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Shipment</w:t>
            </w:r>
          </w:p>
        </w:tc>
        <w:tc>
          <w:tcPr>
            <w:tcW w:w="5386" w:type="dxa"/>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Shipping costs to Field Offices</w:t>
            </w:r>
            <w:r w:rsidR="00101683" w:rsidRPr="00F24706">
              <w:rPr>
                <w:rFonts w:ascii="Arial" w:hAnsi="Arial" w:cs="Arial"/>
                <w:sz w:val="22"/>
                <w:szCs w:val="22"/>
              </w:rPr>
              <w:t>,</w:t>
            </w:r>
            <w:r w:rsidRPr="00F24706">
              <w:rPr>
                <w:rFonts w:ascii="Arial" w:hAnsi="Arial" w:cs="Arial"/>
                <w:sz w:val="22"/>
                <w:szCs w:val="22"/>
              </w:rPr>
              <w:t xml:space="preserve"> National Commissions and other stakeholders</w:t>
            </w:r>
          </w:p>
        </w:tc>
        <w:tc>
          <w:tcPr>
            <w:tcW w:w="1203" w:type="dxa"/>
            <w:shd w:val="clear" w:color="auto" w:fill="auto"/>
            <w:vAlign w:val="center"/>
          </w:tcPr>
          <w:p w:rsidR="00A646E2" w:rsidRPr="00F24706" w:rsidRDefault="00A646E2" w:rsidP="00B94A9A">
            <w:pPr>
              <w:spacing w:before="60" w:after="60"/>
              <w:jc w:val="right"/>
              <w:rPr>
                <w:rFonts w:ascii="Arial" w:hAnsi="Arial" w:cs="Arial"/>
                <w:bCs/>
                <w:sz w:val="22"/>
                <w:szCs w:val="22"/>
              </w:rPr>
            </w:pPr>
            <w:r w:rsidRPr="00F24706">
              <w:rPr>
                <w:rFonts w:ascii="Arial" w:hAnsi="Arial" w:cs="Arial"/>
                <w:bCs/>
                <w:sz w:val="22"/>
                <w:szCs w:val="22"/>
              </w:rPr>
              <w:t>$20 000</w:t>
            </w:r>
          </w:p>
        </w:tc>
      </w:tr>
      <w:tr w:rsidR="004C182B" w:rsidRPr="00F24706">
        <w:tc>
          <w:tcPr>
            <w:tcW w:w="8505" w:type="dxa"/>
            <w:gridSpan w:val="2"/>
            <w:shd w:val="clear" w:color="auto" w:fill="F2F2F2" w:themeFill="background1" w:themeFillShade="F2"/>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D. Knowledge management services</w:t>
            </w:r>
          </w:p>
        </w:tc>
        <w:tc>
          <w:tcPr>
            <w:tcW w:w="1203" w:type="dxa"/>
            <w:tcBorders>
              <w:bottom w:val="single" w:sz="4" w:space="0" w:color="auto"/>
            </w:tcBorders>
            <w:shd w:val="clear" w:color="auto" w:fill="F2F2F2" w:themeFill="background1" w:themeFillShade="F2"/>
            <w:vAlign w:val="center"/>
          </w:tcPr>
          <w:p w:rsidR="00A646E2" w:rsidRPr="00F24706" w:rsidRDefault="00A646E2" w:rsidP="003D4DCD">
            <w:pPr>
              <w:spacing w:before="60" w:after="60"/>
              <w:jc w:val="right"/>
              <w:rPr>
                <w:rFonts w:ascii="Arial" w:hAnsi="Arial" w:cs="Arial"/>
                <w:b/>
                <w:bCs/>
                <w:sz w:val="22"/>
                <w:szCs w:val="22"/>
              </w:rPr>
            </w:pPr>
            <w:r w:rsidRPr="00F24706">
              <w:rPr>
                <w:rFonts w:ascii="Arial" w:hAnsi="Arial" w:cs="Arial"/>
                <w:b/>
                <w:bCs/>
                <w:sz w:val="22"/>
                <w:szCs w:val="22"/>
              </w:rPr>
              <w:t>$</w:t>
            </w:r>
            <w:r w:rsidR="003D4DCD" w:rsidRPr="00F24706">
              <w:rPr>
                <w:rFonts w:ascii="Arial" w:hAnsi="Arial" w:cs="Arial"/>
                <w:b/>
                <w:bCs/>
                <w:sz w:val="22"/>
                <w:szCs w:val="22"/>
              </w:rPr>
              <w:t>298</w:t>
            </w:r>
            <w:r w:rsidR="00B178B6" w:rsidRPr="00F24706">
              <w:rPr>
                <w:rFonts w:ascii="Arial" w:hAnsi="Arial" w:cs="Arial"/>
                <w:b/>
                <w:bCs/>
                <w:sz w:val="22"/>
                <w:szCs w:val="22"/>
              </w:rPr>
              <w:t>,250</w:t>
            </w:r>
          </w:p>
        </w:tc>
      </w:tr>
      <w:tr w:rsidR="00B178B6" w:rsidRPr="00F24706">
        <w:tc>
          <w:tcPr>
            <w:tcW w:w="3119" w:type="dxa"/>
            <w:tcBorders>
              <w:bottom w:val="nil"/>
            </w:tcBorders>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Development of on-line functionalities and dedicated webpages</w:t>
            </w:r>
          </w:p>
        </w:tc>
        <w:tc>
          <w:tcPr>
            <w:tcW w:w="5386" w:type="dxa"/>
            <w:tcBorders>
              <w:bottom w:val="nil"/>
            </w:tcBorders>
            <w:shd w:val="clear" w:color="auto" w:fill="auto"/>
            <w:vAlign w:val="center"/>
          </w:tcPr>
          <w:p w:rsidR="00A646E2" w:rsidRPr="00F24706" w:rsidRDefault="00A646E2" w:rsidP="00B94A9A">
            <w:pPr>
              <w:spacing w:before="60" w:after="60"/>
              <w:rPr>
                <w:rFonts w:ascii="Arial" w:hAnsi="Arial" w:cs="Arial"/>
                <w:sz w:val="22"/>
                <w:szCs w:val="22"/>
              </w:rPr>
            </w:pPr>
            <w:r w:rsidRPr="00F24706">
              <w:rPr>
                <w:rFonts w:ascii="Arial" w:hAnsi="Arial" w:cs="Arial"/>
                <w:sz w:val="22"/>
                <w:szCs w:val="22"/>
              </w:rPr>
              <w:t>Professional services for management of the knowledge system and software development</w:t>
            </w:r>
          </w:p>
        </w:tc>
        <w:tc>
          <w:tcPr>
            <w:tcW w:w="1203" w:type="dxa"/>
            <w:tcBorders>
              <w:bottom w:val="nil"/>
            </w:tcBorders>
            <w:shd w:val="clear" w:color="auto" w:fill="auto"/>
            <w:vAlign w:val="center"/>
          </w:tcPr>
          <w:p w:rsidR="00A646E2" w:rsidRPr="00F24706" w:rsidRDefault="00A646E2" w:rsidP="003D4DCD">
            <w:pPr>
              <w:spacing w:before="60" w:after="60"/>
              <w:jc w:val="right"/>
              <w:rPr>
                <w:rFonts w:ascii="Arial" w:hAnsi="Arial" w:cs="Arial"/>
                <w:sz w:val="22"/>
                <w:szCs w:val="22"/>
              </w:rPr>
            </w:pPr>
            <w:r w:rsidRPr="00F24706">
              <w:rPr>
                <w:rFonts w:ascii="Arial" w:hAnsi="Arial" w:cs="Arial"/>
                <w:sz w:val="22"/>
                <w:szCs w:val="22"/>
              </w:rPr>
              <w:t>$</w:t>
            </w:r>
            <w:r w:rsidR="003D4DCD" w:rsidRPr="00F24706">
              <w:rPr>
                <w:rFonts w:ascii="Arial" w:hAnsi="Arial" w:cs="Arial"/>
                <w:sz w:val="22"/>
                <w:szCs w:val="22"/>
              </w:rPr>
              <w:t>298</w:t>
            </w:r>
            <w:r w:rsidR="00B178B6" w:rsidRPr="00F24706">
              <w:rPr>
                <w:rFonts w:ascii="Arial" w:hAnsi="Arial" w:cs="Arial"/>
                <w:sz w:val="22"/>
                <w:szCs w:val="22"/>
              </w:rPr>
              <w:t>,250</w:t>
            </w:r>
          </w:p>
        </w:tc>
      </w:tr>
      <w:tr w:rsidR="00B178B6" w:rsidRPr="00BC7273">
        <w:tc>
          <w:tcPr>
            <w:tcW w:w="8505" w:type="dxa"/>
            <w:gridSpan w:val="2"/>
            <w:shd w:val="clear" w:color="auto" w:fill="A6A6A6" w:themeFill="background1" w:themeFillShade="A6"/>
            <w:vAlign w:val="center"/>
          </w:tcPr>
          <w:p w:rsidR="00A646E2" w:rsidRPr="00F24706" w:rsidRDefault="00A646E2" w:rsidP="00B94A9A">
            <w:pPr>
              <w:spacing w:before="60" w:after="60"/>
              <w:rPr>
                <w:rFonts w:ascii="Arial" w:hAnsi="Arial" w:cs="Arial"/>
                <w:b/>
                <w:bCs/>
                <w:sz w:val="22"/>
                <w:szCs w:val="22"/>
              </w:rPr>
            </w:pPr>
            <w:r w:rsidRPr="00F24706">
              <w:rPr>
                <w:rFonts w:ascii="Arial" w:hAnsi="Arial" w:cs="Arial"/>
                <w:b/>
                <w:bCs/>
                <w:sz w:val="22"/>
                <w:szCs w:val="22"/>
              </w:rPr>
              <w:t>TOTAL</w:t>
            </w:r>
          </w:p>
        </w:tc>
        <w:tc>
          <w:tcPr>
            <w:tcW w:w="1203" w:type="dxa"/>
            <w:shd w:val="clear" w:color="auto" w:fill="A6A6A6" w:themeFill="background1" w:themeFillShade="A6"/>
            <w:vAlign w:val="center"/>
          </w:tcPr>
          <w:p w:rsidR="00A646E2" w:rsidRPr="00BC7273" w:rsidRDefault="00A646E2" w:rsidP="00B178B6">
            <w:pPr>
              <w:spacing w:before="60" w:after="60"/>
              <w:jc w:val="right"/>
              <w:rPr>
                <w:rFonts w:ascii="Arial" w:hAnsi="Arial" w:cs="Arial"/>
                <w:b/>
                <w:bCs/>
                <w:sz w:val="22"/>
                <w:szCs w:val="22"/>
              </w:rPr>
            </w:pPr>
            <w:r w:rsidRPr="00F24706">
              <w:rPr>
                <w:rFonts w:ascii="Arial" w:hAnsi="Arial" w:cs="Arial"/>
                <w:b/>
                <w:bCs/>
                <w:sz w:val="22"/>
                <w:szCs w:val="22"/>
              </w:rPr>
              <w:t>$</w:t>
            </w:r>
            <w:r w:rsidR="00B178B6" w:rsidRPr="00F24706">
              <w:rPr>
                <w:rFonts w:ascii="Arial" w:hAnsi="Arial" w:cs="Arial"/>
                <w:b/>
                <w:bCs/>
                <w:sz w:val="22"/>
                <w:szCs w:val="22"/>
              </w:rPr>
              <w:t>767,250</w:t>
            </w:r>
          </w:p>
        </w:tc>
      </w:tr>
    </w:tbl>
    <w:p w:rsidR="00A646E2" w:rsidRPr="00BC7273" w:rsidRDefault="00A646E2" w:rsidP="00A646E2">
      <w:pPr>
        <w:pStyle w:val="Marge"/>
        <w:spacing w:before="240" w:line="360" w:lineRule="auto"/>
        <w:ind w:left="1134"/>
        <w:rPr>
          <w:i/>
          <w:color w:val="808080" w:themeColor="background1" w:themeShade="80"/>
        </w:rPr>
      </w:pPr>
      <w:bookmarkStart w:id="1" w:name="_GoBack"/>
      <w:bookmarkEnd w:id="1"/>
    </w:p>
    <w:sectPr w:rsidR="00A646E2" w:rsidRPr="00BC7273" w:rsidSect="00456085">
      <w:headerReference w:type="even" r:id="rId12"/>
      <w:headerReference w:type="default" r:id="rId13"/>
      <w:headerReference w:type="first" r:id="rId14"/>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97" w:rsidRDefault="00F63997" w:rsidP="008724E5">
      <w:r>
        <w:separator/>
      </w:r>
    </w:p>
  </w:endnote>
  <w:endnote w:type="continuationSeparator" w:id="0">
    <w:p w:rsidR="00F63997" w:rsidRDefault="00F63997"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97" w:rsidRDefault="00F63997" w:rsidP="008724E5">
      <w:r>
        <w:separator/>
      </w:r>
    </w:p>
  </w:footnote>
  <w:footnote w:type="continuationSeparator" w:id="0">
    <w:p w:rsidR="00F63997" w:rsidRDefault="00F63997" w:rsidP="0087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97" w:rsidRPr="00EF563B" w:rsidRDefault="00F63997" w:rsidP="00A45E93">
    <w:pPr>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Pr>
        <w:rFonts w:ascii="Arial" w:hAnsi="Arial" w:cs="Arial"/>
        <w:sz w:val="20"/>
        <w:szCs w:val="20"/>
        <w:lang w:val="en-US"/>
      </w:rPr>
      <w:t>5</w:t>
    </w:r>
    <w:r w:rsidRPr="00A45E93">
      <w:rPr>
        <w:rFonts w:ascii="Arial" w:hAnsi="Arial" w:cs="Arial"/>
        <w:sz w:val="20"/>
        <w:szCs w:val="20"/>
        <w:lang w:val="en-US"/>
      </w:rPr>
      <w:t>.BUR/</w:t>
    </w:r>
    <w:r>
      <w:rPr>
        <w:rFonts w:ascii="Arial" w:hAnsi="Arial" w:cs="Arial"/>
        <w:sz w:val="20"/>
        <w:szCs w:val="20"/>
        <w:lang w:val="en-US"/>
      </w:rPr>
      <w:t xml:space="preserve">5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sidR="00F24706">
      <w:rPr>
        <w:rStyle w:val="PageNumber"/>
        <w:rFonts w:ascii="Arial" w:hAnsi="Arial" w:cs="Arial"/>
        <w:noProof/>
        <w:sz w:val="20"/>
        <w:szCs w:val="20"/>
        <w:lang w:val="en-US"/>
      </w:rPr>
      <w:t>4</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97" w:rsidRPr="00787DA9" w:rsidRDefault="00F63997" w:rsidP="00787DA9">
    <w:pPr>
      <w:pStyle w:val="Header"/>
      <w:jc w:val="right"/>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Pr>
        <w:rFonts w:ascii="Arial" w:hAnsi="Arial" w:cs="Arial"/>
        <w:sz w:val="20"/>
        <w:szCs w:val="20"/>
        <w:lang w:val="en-US"/>
      </w:rPr>
      <w:t>5</w:t>
    </w:r>
    <w:r w:rsidRPr="00A45E93">
      <w:rPr>
        <w:rFonts w:ascii="Arial" w:hAnsi="Arial" w:cs="Arial"/>
        <w:sz w:val="20"/>
        <w:szCs w:val="20"/>
        <w:lang w:val="en-US"/>
      </w:rPr>
      <w:t>.BUR/</w:t>
    </w:r>
    <w:r>
      <w:rPr>
        <w:rFonts w:ascii="Arial" w:hAnsi="Arial" w:cs="Arial"/>
        <w:sz w:val="20"/>
        <w:szCs w:val="20"/>
        <w:lang w:val="en-US"/>
      </w:rPr>
      <w:t xml:space="preserve">5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sidR="00F24706">
      <w:rPr>
        <w:rStyle w:val="PageNumber"/>
        <w:rFonts w:ascii="Arial" w:hAnsi="Arial" w:cs="Arial"/>
        <w:noProof/>
        <w:sz w:val="20"/>
        <w:szCs w:val="20"/>
        <w:lang w:val="en-US"/>
      </w:rPr>
      <w:t>3</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97" w:rsidRPr="008724E5" w:rsidRDefault="00F63997">
    <w:pPr>
      <w:pStyle w:val="Header"/>
    </w:pPr>
    <w:r>
      <w:rPr>
        <w:noProof/>
        <w:lang w:val="fr-FR"/>
      </w:rPr>
      <w:drawing>
        <wp:anchor distT="0" distB="0" distL="114300" distR="114300" simplePos="0" relativeHeight="251657728" behindDoc="0" locked="0" layoutInCell="1" allowOverlap="1" wp14:anchorId="6C1096FD" wp14:editId="537D69E9">
          <wp:simplePos x="0" y="0"/>
          <wp:positionH relativeFrom="column">
            <wp:posOffset>-567690</wp:posOffset>
          </wp:positionH>
          <wp:positionV relativeFrom="paragraph">
            <wp:posOffset>3810</wp:posOffset>
          </wp:positionV>
          <wp:extent cx="2228215" cy="1367790"/>
          <wp:effectExtent l="19050" t="0" r="635" b="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srcRect/>
                  <a:stretch>
                    <a:fillRect/>
                  </a:stretch>
                </pic:blipFill>
                <pic:spPr bwMode="auto">
                  <a:xfrm>
                    <a:off x="0" y="0"/>
                    <a:ext cx="2228215" cy="1367790"/>
                  </a:xfrm>
                  <a:prstGeom prst="rect">
                    <a:avLst/>
                  </a:prstGeom>
                  <a:noFill/>
                  <a:ln w="9525">
                    <a:noFill/>
                    <a:miter lim="800000"/>
                    <a:headEnd/>
                    <a:tailEnd/>
                  </a:ln>
                </pic:spPr>
              </pic:pic>
            </a:graphicData>
          </a:graphic>
        </wp:anchor>
      </w:drawing>
    </w:r>
  </w:p>
  <w:p w:rsidR="00F63997" w:rsidRPr="00550F22" w:rsidRDefault="00F63997" w:rsidP="00EF563B">
    <w:pPr>
      <w:pStyle w:val="Header"/>
      <w:spacing w:after="520"/>
      <w:jc w:val="right"/>
      <w:rPr>
        <w:rFonts w:ascii="Arial" w:hAnsi="Arial" w:cs="Arial"/>
        <w:b/>
        <w:sz w:val="44"/>
        <w:szCs w:val="44"/>
        <w:lang w:val="en-US"/>
      </w:rPr>
    </w:pPr>
    <w:r w:rsidRPr="00550F22">
      <w:rPr>
        <w:rFonts w:ascii="Arial" w:hAnsi="Arial" w:cs="Arial"/>
        <w:b/>
        <w:sz w:val="44"/>
        <w:szCs w:val="44"/>
        <w:lang w:val="en-US"/>
      </w:rPr>
      <w:t>7</w:t>
    </w:r>
    <w:r>
      <w:rPr>
        <w:rFonts w:ascii="Arial" w:hAnsi="Arial" w:cs="Arial"/>
        <w:b/>
        <w:sz w:val="44"/>
        <w:szCs w:val="44"/>
        <w:lang w:val="en-US"/>
      </w:rPr>
      <w:t> COM 5 </w:t>
    </w:r>
    <w:r w:rsidRPr="00550F22">
      <w:rPr>
        <w:rFonts w:ascii="Arial" w:hAnsi="Arial" w:cs="Arial"/>
        <w:b/>
        <w:sz w:val="44"/>
        <w:szCs w:val="44"/>
        <w:lang w:val="en-US"/>
      </w:rPr>
      <w:t>BUR</w:t>
    </w:r>
  </w:p>
  <w:p w:rsidR="00F63997" w:rsidRPr="00550F22" w:rsidRDefault="00F63997" w:rsidP="00A45E93">
    <w:pPr>
      <w:jc w:val="right"/>
      <w:rPr>
        <w:rFonts w:ascii="Arial" w:hAnsi="Arial" w:cs="Arial"/>
        <w:b/>
        <w:sz w:val="22"/>
        <w:szCs w:val="22"/>
        <w:lang w:val="en-US"/>
      </w:rPr>
    </w:pPr>
    <w:r w:rsidRPr="00550F22">
      <w:rPr>
        <w:rFonts w:ascii="Arial" w:hAnsi="Arial" w:cs="Arial"/>
        <w:b/>
        <w:sz w:val="22"/>
        <w:szCs w:val="22"/>
        <w:lang w:val="en-US"/>
      </w:rPr>
      <w:t xml:space="preserve">ITH/12/7.COM </w:t>
    </w:r>
    <w:r>
      <w:rPr>
        <w:rFonts w:ascii="Arial" w:hAnsi="Arial" w:cs="Arial"/>
        <w:b/>
        <w:sz w:val="22"/>
        <w:szCs w:val="22"/>
        <w:lang w:val="en-US"/>
      </w:rPr>
      <w:t>5</w:t>
    </w:r>
    <w:r w:rsidRPr="00550F22">
      <w:rPr>
        <w:rFonts w:ascii="Arial" w:hAnsi="Arial" w:cs="Arial"/>
        <w:b/>
        <w:sz w:val="22"/>
        <w:szCs w:val="22"/>
        <w:lang w:val="en-US"/>
      </w:rPr>
      <w:t>.BUR/</w:t>
    </w:r>
    <w:r>
      <w:rPr>
        <w:rFonts w:ascii="Arial" w:hAnsi="Arial" w:cs="Arial"/>
        <w:b/>
        <w:sz w:val="22"/>
        <w:szCs w:val="22"/>
        <w:lang w:val="en-US"/>
      </w:rPr>
      <w:t>5</w:t>
    </w:r>
  </w:p>
  <w:p w:rsidR="00F63997" w:rsidRPr="007815A5" w:rsidRDefault="00F63997" w:rsidP="004B3609">
    <w:pPr>
      <w:jc w:val="right"/>
      <w:rPr>
        <w:rFonts w:ascii="Arial" w:hAnsi="Arial" w:cs="Arial"/>
        <w:b/>
        <w:sz w:val="22"/>
        <w:szCs w:val="22"/>
        <w:lang w:val="en-US"/>
      </w:rPr>
    </w:pPr>
    <w:r w:rsidRPr="007815A5">
      <w:rPr>
        <w:rFonts w:ascii="Arial" w:hAnsi="Arial" w:cs="Arial"/>
        <w:b/>
        <w:sz w:val="22"/>
        <w:szCs w:val="22"/>
        <w:lang w:val="en-US"/>
      </w:rPr>
      <w:t>Paris,</w:t>
    </w:r>
    <w:r w:rsidR="00F24706">
      <w:rPr>
        <w:rFonts w:ascii="Arial" w:hAnsi="Arial" w:cs="Arial"/>
        <w:b/>
        <w:sz w:val="22"/>
        <w:szCs w:val="22"/>
        <w:lang w:val="en-US"/>
      </w:rPr>
      <w:t xml:space="preserve"> 19 October 2012</w:t>
    </w:r>
  </w:p>
  <w:p w:rsidR="00F63997" w:rsidRPr="00F24706" w:rsidRDefault="00F63997" w:rsidP="00F24706">
    <w:pPr>
      <w:jc w:val="right"/>
      <w:rPr>
        <w:rFonts w:ascii="Arial" w:hAnsi="Arial" w:cs="Arial"/>
        <w:b/>
        <w:sz w:val="22"/>
        <w:szCs w:val="22"/>
        <w:lang w:val="en-US"/>
      </w:rPr>
    </w:pPr>
    <w:r w:rsidRPr="007815A5">
      <w:rPr>
        <w:rFonts w:ascii="Arial" w:hAnsi="Arial" w:cs="Arial"/>
        <w:b/>
        <w:sz w:val="22"/>
        <w:szCs w:val="22"/>
        <w:lang w:val="en-US"/>
      </w:rPr>
      <w:t>Original: English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97" w:rsidRPr="00E10D33" w:rsidRDefault="00F63997" w:rsidP="00E10D33">
    <w:pPr>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sidR="00F24706">
      <w:rPr>
        <w:rFonts w:ascii="Arial" w:hAnsi="Arial" w:cs="Arial"/>
        <w:sz w:val="20"/>
        <w:szCs w:val="20"/>
        <w:lang w:val="en-US"/>
      </w:rPr>
      <w:t>5</w:t>
    </w:r>
    <w:r w:rsidRPr="00A45E93">
      <w:rPr>
        <w:rFonts w:ascii="Arial" w:hAnsi="Arial" w:cs="Arial"/>
        <w:sz w:val="20"/>
        <w:szCs w:val="20"/>
        <w:lang w:val="en-US"/>
      </w:rPr>
      <w:t>.BUR/</w:t>
    </w:r>
    <w:r>
      <w:rPr>
        <w:rFonts w:ascii="Arial" w:hAnsi="Arial" w:cs="Arial"/>
        <w:sz w:val="20"/>
        <w:szCs w:val="20"/>
        <w:lang w:val="en-US"/>
      </w:rPr>
      <w:t xml:space="preserve">5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sidR="00F24706">
      <w:rPr>
        <w:rStyle w:val="PageNumber"/>
        <w:rFonts w:ascii="Arial" w:hAnsi="Arial" w:cs="Arial"/>
        <w:noProof/>
        <w:sz w:val="20"/>
        <w:szCs w:val="20"/>
        <w:lang w:val="en-US"/>
      </w:rPr>
      <w:t>6</w:t>
    </w:r>
    <w:r w:rsidRPr="00EF563B">
      <w:rPr>
        <w:rStyle w:val="PageNumber"/>
        <w:rFonts w:ascii="Arial" w:hAnsi="Arial" w:cs="Arial"/>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97" w:rsidRPr="00F24706" w:rsidRDefault="00F24706" w:rsidP="00F24706">
    <w:pPr>
      <w:jc w:val="right"/>
      <w:rPr>
        <w:rFonts w:ascii="Arial" w:hAnsi="Arial" w:cs="Arial"/>
      </w:rPr>
    </w:pPr>
    <w:r w:rsidRPr="00A45E93">
      <w:rPr>
        <w:rFonts w:ascii="Arial" w:hAnsi="Arial" w:cs="Arial"/>
        <w:sz w:val="20"/>
        <w:szCs w:val="20"/>
        <w:lang w:val="en-US"/>
      </w:rPr>
      <w:t>ITH/1</w:t>
    </w:r>
    <w:r>
      <w:rPr>
        <w:rFonts w:ascii="Arial" w:hAnsi="Arial" w:cs="Arial"/>
        <w:sz w:val="20"/>
        <w:szCs w:val="20"/>
        <w:lang w:val="en-US"/>
      </w:rPr>
      <w:t>2</w:t>
    </w:r>
    <w:r w:rsidRPr="00A45E93">
      <w:rPr>
        <w:rFonts w:ascii="Arial" w:hAnsi="Arial" w:cs="Arial"/>
        <w:sz w:val="20"/>
        <w:szCs w:val="20"/>
        <w:lang w:val="en-US"/>
      </w:rPr>
      <w:t>/</w:t>
    </w:r>
    <w:r>
      <w:rPr>
        <w:rFonts w:ascii="Arial" w:hAnsi="Arial" w:cs="Arial"/>
        <w:sz w:val="20"/>
        <w:szCs w:val="20"/>
        <w:lang w:val="en-US"/>
      </w:rPr>
      <w:t>7</w:t>
    </w:r>
    <w:r w:rsidRPr="00A45E93">
      <w:rPr>
        <w:rFonts w:ascii="Arial" w:hAnsi="Arial" w:cs="Arial"/>
        <w:sz w:val="20"/>
        <w:szCs w:val="20"/>
        <w:lang w:val="en-US"/>
      </w:rPr>
      <w:t xml:space="preserve">.COM </w:t>
    </w:r>
    <w:r>
      <w:rPr>
        <w:rFonts w:ascii="Arial" w:hAnsi="Arial" w:cs="Arial"/>
        <w:sz w:val="20"/>
        <w:szCs w:val="20"/>
        <w:lang w:val="en-US"/>
      </w:rPr>
      <w:t>5</w:t>
    </w:r>
    <w:r w:rsidRPr="00A45E93">
      <w:rPr>
        <w:rFonts w:ascii="Arial" w:hAnsi="Arial" w:cs="Arial"/>
        <w:sz w:val="20"/>
        <w:szCs w:val="20"/>
        <w:lang w:val="en-US"/>
      </w:rPr>
      <w:t>.BUR/</w:t>
    </w:r>
    <w:r>
      <w:rPr>
        <w:rFonts w:ascii="Arial" w:hAnsi="Arial" w:cs="Arial"/>
        <w:sz w:val="20"/>
        <w:szCs w:val="20"/>
        <w:lang w:val="en-US"/>
      </w:rPr>
      <w:t xml:space="preserve">5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Pr="00EF563B">
      <w:rPr>
        <w:rStyle w:val="PageNumber"/>
        <w:rFonts w:ascii="Arial" w:hAnsi="Arial" w:cs="Arial"/>
        <w:sz w:val="20"/>
        <w:szCs w:val="20"/>
      </w:rPr>
      <w:fldChar w:fldCharType="separate"/>
    </w:r>
    <w:r>
      <w:rPr>
        <w:rStyle w:val="PageNumber"/>
        <w:rFonts w:ascii="Arial" w:hAnsi="Arial" w:cs="Arial"/>
        <w:noProof/>
        <w:sz w:val="20"/>
        <w:szCs w:val="20"/>
        <w:lang w:val="en-US"/>
      </w:rPr>
      <w:t>5</w:t>
    </w:r>
    <w:r w:rsidRPr="00EF563B">
      <w:rPr>
        <w:rStyle w:val="PageNumber"/>
        <w:rFonts w:ascii="Arial" w:hAnsi="Arial"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97" w:rsidRPr="008724E5" w:rsidRDefault="00F63997">
    <w:pPr>
      <w:pStyle w:val="Header"/>
    </w:pPr>
    <w:r>
      <w:rPr>
        <w:noProof/>
        <w:lang w:val="fr-FR"/>
      </w:rPr>
      <w:drawing>
        <wp:anchor distT="0" distB="0" distL="114300" distR="114300" simplePos="0" relativeHeight="251665920" behindDoc="0" locked="0" layoutInCell="1" allowOverlap="1" wp14:anchorId="73204C9D" wp14:editId="39282509">
          <wp:simplePos x="0" y="0"/>
          <wp:positionH relativeFrom="column">
            <wp:posOffset>-567690</wp:posOffset>
          </wp:positionH>
          <wp:positionV relativeFrom="paragraph">
            <wp:posOffset>3810</wp:posOffset>
          </wp:positionV>
          <wp:extent cx="2228215" cy="1367790"/>
          <wp:effectExtent l="19050" t="0" r="635" b="0"/>
          <wp:wrapNone/>
          <wp:docPr id="3" name="Picture 3"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srcRect/>
                  <a:stretch>
                    <a:fillRect/>
                  </a:stretch>
                </pic:blipFill>
                <pic:spPr bwMode="auto">
                  <a:xfrm>
                    <a:off x="0" y="0"/>
                    <a:ext cx="2228215" cy="1367790"/>
                  </a:xfrm>
                  <a:prstGeom prst="rect">
                    <a:avLst/>
                  </a:prstGeom>
                  <a:noFill/>
                  <a:ln w="9525">
                    <a:noFill/>
                    <a:miter lim="800000"/>
                    <a:headEnd/>
                    <a:tailEnd/>
                  </a:ln>
                </pic:spPr>
              </pic:pic>
            </a:graphicData>
          </a:graphic>
        </wp:anchor>
      </w:drawing>
    </w:r>
  </w:p>
  <w:p w:rsidR="00F63997" w:rsidRPr="00CE3FF1" w:rsidRDefault="00F63997" w:rsidP="00EF563B">
    <w:pPr>
      <w:pStyle w:val="Header"/>
      <w:spacing w:after="520"/>
      <w:jc w:val="right"/>
      <w:rPr>
        <w:rFonts w:ascii="Arial" w:hAnsi="Arial" w:cs="Arial"/>
        <w:b/>
        <w:sz w:val="44"/>
        <w:szCs w:val="44"/>
        <w:lang w:val="en-US"/>
      </w:rPr>
    </w:pPr>
    <w:r>
      <w:rPr>
        <w:rFonts w:ascii="Arial" w:hAnsi="Arial" w:cs="Arial"/>
        <w:b/>
        <w:sz w:val="44"/>
        <w:szCs w:val="44"/>
        <w:lang w:val="en-US"/>
      </w:rPr>
      <w:t>7</w:t>
    </w:r>
    <w:r w:rsidRPr="00CE3FF1">
      <w:rPr>
        <w:rFonts w:ascii="Arial" w:hAnsi="Arial" w:cs="Arial"/>
        <w:b/>
        <w:sz w:val="44"/>
        <w:szCs w:val="44"/>
        <w:lang w:val="en-US"/>
      </w:rPr>
      <w:t xml:space="preserve"> </w:t>
    </w:r>
    <w:r>
      <w:rPr>
        <w:rFonts w:ascii="Arial" w:hAnsi="Arial" w:cs="Arial"/>
        <w:b/>
        <w:sz w:val="44"/>
        <w:szCs w:val="44"/>
        <w:lang w:val="en-US"/>
      </w:rPr>
      <w:t>COM 3 BUR</w:t>
    </w:r>
  </w:p>
  <w:p w:rsidR="00F63997" w:rsidRPr="007815A5" w:rsidRDefault="00F63997" w:rsidP="00A45E93">
    <w:pPr>
      <w:jc w:val="right"/>
      <w:rPr>
        <w:rFonts w:ascii="Arial" w:hAnsi="Arial" w:cs="Arial"/>
        <w:b/>
        <w:sz w:val="22"/>
        <w:szCs w:val="22"/>
        <w:lang w:val="en-US"/>
      </w:rPr>
    </w:pPr>
    <w:r w:rsidRPr="007815A5">
      <w:rPr>
        <w:rFonts w:ascii="Arial" w:hAnsi="Arial" w:cs="Arial"/>
        <w:b/>
        <w:sz w:val="22"/>
        <w:szCs w:val="22"/>
        <w:lang w:val="en-US"/>
      </w:rPr>
      <w:t>ITH/12/7.COM 3.BUR/</w:t>
    </w:r>
    <w:r>
      <w:rPr>
        <w:rFonts w:ascii="Arial" w:hAnsi="Arial" w:cs="Arial"/>
        <w:b/>
        <w:sz w:val="22"/>
        <w:szCs w:val="22"/>
        <w:lang w:val="en-US"/>
      </w:rPr>
      <w:t>5</w:t>
    </w:r>
  </w:p>
  <w:p w:rsidR="00F63997" w:rsidRPr="007815A5" w:rsidRDefault="00F63997" w:rsidP="004B3609">
    <w:pPr>
      <w:jc w:val="right"/>
      <w:rPr>
        <w:rFonts w:ascii="Arial" w:hAnsi="Arial" w:cs="Arial"/>
        <w:b/>
        <w:sz w:val="22"/>
        <w:szCs w:val="22"/>
        <w:lang w:val="en-US"/>
      </w:rPr>
    </w:pPr>
    <w:r w:rsidRPr="007815A5">
      <w:rPr>
        <w:rFonts w:ascii="Arial" w:hAnsi="Arial" w:cs="Arial"/>
        <w:b/>
        <w:sz w:val="22"/>
        <w:szCs w:val="22"/>
        <w:lang w:val="en-US"/>
      </w:rPr>
      <w:t xml:space="preserve">Paris, </w:t>
    </w:r>
    <w:r w:rsidRPr="007815A5">
      <w:rPr>
        <w:rFonts w:ascii="Arial" w:hAnsi="Arial" w:cs="Arial"/>
        <w:b/>
        <w:sz w:val="22"/>
        <w:szCs w:val="22"/>
        <w:lang w:val="en-US"/>
      </w:rPr>
      <w:fldChar w:fldCharType="begin"/>
    </w:r>
    <w:r w:rsidRPr="007815A5">
      <w:rPr>
        <w:rFonts w:ascii="Arial" w:hAnsi="Arial" w:cs="Arial"/>
        <w:b/>
        <w:sz w:val="22"/>
        <w:szCs w:val="22"/>
        <w:lang w:val="en-US"/>
      </w:rPr>
      <w:instrText xml:space="preserve"> DATE  \@ "d MMMM yyyy"  \* MERGEFORMAT </w:instrText>
    </w:r>
    <w:r w:rsidRPr="007815A5">
      <w:rPr>
        <w:rFonts w:ascii="Arial" w:hAnsi="Arial" w:cs="Arial"/>
        <w:b/>
        <w:sz w:val="22"/>
        <w:szCs w:val="22"/>
        <w:lang w:val="en-US"/>
      </w:rPr>
      <w:fldChar w:fldCharType="separate"/>
    </w:r>
    <w:r w:rsidR="00F24706">
      <w:rPr>
        <w:rFonts w:ascii="Arial" w:hAnsi="Arial" w:cs="Arial"/>
        <w:b/>
        <w:noProof/>
        <w:sz w:val="22"/>
        <w:szCs w:val="22"/>
        <w:lang w:val="en-US"/>
      </w:rPr>
      <w:t>19 October 2012</w:t>
    </w:r>
    <w:r w:rsidRPr="007815A5">
      <w:rPr>
        <w:rFonts w:ascii="Arial" w:hAnsi="Arial" w:cs="Arial"/>
        <w:b/>
        <w:sz w:val="22"/>
        <w:szCs w:val="22"/>
        <w:lang w:val="en-US"/>
      </w:rPr>
      <w:fldChar w:fldCharType="end"/>
    </w:r>
  </w:p>
  <w:p w:rsidR="00F63997" w:rsidRPr="00CB149B" w:rsidRDefault="00F63997" w:rsidP="004B3609">
    <w:pPr>
      <w:jc w:val="right"/>
      <w:rPr>
        <w:rFonts w:ascii="Arial" w:hAnsi="Arial" w:cs="Arial"/>
        <w:b/>
        <w:sz w:val="22"/>
        <w:szCs w:val="22"/>
        <w:lang w:val="en-US"/>
      </w:rPr>
    </w:pPr>
    <w:r w:rsidRPr="007815A5">
      <w:rPr>
        <w:rFonts w:ascii="Arial" w:hAnsi="Arial" w:cs="Arial"/>
        <w:b/>
        <w:sz w:val="22"/>
        <w:szCs w:val="22"/>
        <w:lang w:val="en-US"/>
      </w:rPr>
      <w:t>Original: English</w:t>
    </w:r>
  </w:p>
  <w:p w:rsidR="00F63997" w:rsidRDefault="00F63997" w:rsidP="00FE6CAF">
    <w:pPr>
      <w:pStyle w:val="Header"/>
      <w:spacing w:before="60"/>
      <w:rPr>
        <w:rFonts w:ascii="Arial" w:hAnsi="Arial" w:cs="Arial"/>
        <w:sz w:val="22"/>
        <w:szCs w:val="22"/>
        <w:lang w:val="en-US"/>
      </w:rPr>
    </w:pPr>
    <w:r>
      <w:rPr>
        <w:rFonts w:ascii="Arial" w:hAnsi="Arial" w:cs="Arial"/>
        <w:sz w:val="22"/>
        <w:szCs w:val="22"/>
        <w:lang w:val="en-US"/>
      </w:rPr>
      <w:t>Drafted by BdS</w:t>
    </w:r>
  </w:p>
  <w:p w:rsidR="00F63997" w:rsidRDefault="00F63997" w:rsidP="00FE6CAF">
    <w:pPr>
      <w:pStyle w:val="Header"/>
      <w:tabs>
        <w:tab w:val="left" w:pos="851"/>
      </w:tabs>
      <w:spacing w:before="60"/>
      <w:rPr>
        <w:rFonts w:ascii="Arial" w:hAnsi="Arial" w:cs="Arial"/>
        <w:sz w:val="22"/>
        <w:szCs w:val="22"/>
        <w:lang w:val="en-US"/>
      </w:rPr>
    </w:pPr>
    <w:r>
      <w:rPr>
        <w:rFonts w:ascii="Arial" w:hAnsi="Arial" w:cs="Arial"/>
        <w:sz w:val="22"/>
        <w:szCs w:val="22"/>
        <w:lang w:val="en-US"/>
      </w:rPr>
      <w:t xml:space="preserve">Visa by </w:t>
    </w:r>
    <w:r>
      <w:rPr>
        <w:rFonts w:ascii="Arial" w:hAnsi="Arial" w:cs="Arial"/>
        <w:sz w:val="22"/>
        <w:szCs w:val="22"/>
        <w:lang w:val="en-US"/>
      </w:rPr>
      <w:tab/>
      <w:t>CLT/CEH/ITH, Chief PEV Unit ______________</w:t>
    </w:r>
  </w:p>
  <w:p w:rsidR="00F63997" w:rsidRDefault="00F63997" w:rsidP="00FE6CAF">
    <w:pPr>
      <w:pStyle w:val="Header"/>
      <w:tabs>
        <w:tab w:val="left" w:pos="851"/>
      </w:tabs>
      <w:spacing w:before="60"/>
      <w:rPr>
        <w:rFonts w:ascii="Arial" w:hAnsi="Arial" w:cs="Arial"/>
        <w:sz w:val="22"/>
        <w:szCs w:val="22"/>
        <w:lang w:val="en-US"/>
      </w:rPr>
    </w:pPr>
    <w:r>
      <w:rPr>
        <w:rFonts w:ascii="Arial" w:hAnsi="Arial" w:cs="Arial"/>
        <w:sz w:val="22"/>
        <w:szCs w:val="22"/>
        <w:lang w:val="en-US"/>
      </w:rPr>
      <w:tab/>
      <w:t>Chief CLT/CEH/ITH _______________________</w:t>
    </w:r>
  </w:p>
  <w:p w:rsidR="00F63997" w:rsidRDefault="00F63997" w:rsidP="00FE6CAF">
    <w:pPr>
      <w:pStyle w:val="Header"/>
      <w:tabs>
        <w:tab w:val="left" w:pos="851"/>
      </w:tabs>
      <w:spacing w:before="60"/>
      <w:rPr>
        <w:rFonts w:ascii="Arial" w:hAnsi="Arial" w:cs="Arial"/>
        <w:sz w:val="22"/>
        <w:szCs w:val="22"/>
        <w:lang w:val="en-US"/>
      </w:rPr>
    </w:pPr>
    <w:r>
      <w:rPr>
        <w:rFonts w:ascii="Arial" w:hAnsi="Arial" w:cs="Arial"/>
        <w:sz w:val="22"/>
        <w:szCs w:val="22"/>
        <w:lang w:val="en-US"/>
      </w:rPr>
      <w:tab/>
      <w:t>AO/CLT ________________________________</w:t>
    </w:r>
  </w:p>
  <w:p w:rsidR="00F63997" w:rsidRPr="00FE6CAF" w:rsidRDefault="00F63997" w:rsidP="00FE6CAF">
    <w:pPr>
      <w:pStyle w:val="Header"/>
      <w:tabs>
        <w:tab w:val="left" w:pos="851"/>
      </w:tabs>
      <w:spacing w:before="60"/>
      <w:rPr>
        <w:rFonts w:ascii="Arial" w:hAnsi="Arial" w:cs="Arial"/>
        <w:sz w:val="22"/>
        <w:szCs w:val="22"/>
        <w:lang w:val="en-US"/>
      </w:rPr>
    </w:pPr>
    <w:r>
      <w:rPr>
        <w:rFonts w:ascii="Arial" w:hAnsi="Arial" w:cs="Arial"/>
        <w:sz w:val="22"/>
        <w:szCs w:val="22"/>
        <w:lang w:val="en-US"/>
      </w:rPr>
      <w:tab/>
      <w:t>DIR CLT/CEH a.i. &amp; ADG/CLT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5">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5F07BFE"/>
    <w:multiLevelType w:val="hybridMultilevel"/>
    <w:tmpl w:val="A3E07B8E"/>
    <w:lvl w:ilvl="0" w:tplc="832257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37E45C14"/>
    <w:multiLevelType w:val="hybridMultilevel"/>
    <w:tmpl w:val="005AD170"/>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2">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2"/>
  </w:num>
  <w:num w:numId="2">
    <w:abstractNumId w:val="12"/>
  </w:num>
  <w:num w:numId="3">
    <w:abstractNumId w:val="9"/>
  </w:num>
  <w:num w:numId="4">
    <w:abstractNumId w:val="32"/>
  </w:num>
  <w:num w:numId="5">
    <w:abstractNumId w:val="24"/>
  </w:num>
  <w:num w:numId="6">
    <w:abstractNumId w:val="5"/>
  </w:num>
  <w:num w:numId="7">
    <w:abstractNumId w:val="10"/>
  </w:num>
  <w:num w:numId="8">
    <w:abstractNumId w:val="4"/>
  </w:num>
  <w:num w:numId="9">
    <w:abstractNumId w:val="33"/>
  </w:num>
  <w:num w:numId="10">
    <w:abstractNumId w:val="23"/>
  </w:num>
  <w:num w:numId="11">
    <w:abstractNumId w:val="8"/>
  </w:num>
  <w:num w:numId="12">
    <w:abstractNumId w:val="31"/>
  </w:num>
  <w:num w:numId="13">
    <w:abstractNumId w:val="7"/>
  </w:num>
  <w:num w:numId="14">
    <w:abstractNumId w:val="30"/>
  </w:num>
  <w:num w:numId="15">
    <w:abstractNumId w:val="3"/>
  </w:num>
  <w:num w:numId="16">
    <w:abstractNumId w:val="20"/>
  </w:num>
  <w:num w:numId="17">
    <w:abstractNumId w:val="19"/>
  </w:num>
  <w:num w:numId="18">
    <w:abstractNumId w:val="21"/>
  </w:num>
  <w:num w:numId="19">
    <w:abstractNumId w:val="0"/>
  </w:num>
  <w:num w:numId="20">
    <w:abstractNumId w:val="17"/>
  </w:num>
  <w:num w:numId="21">
    <w:abstractNumId w:val="26"/>
  </w:num>
  <w:num w:numId="22">
    <w:abstractNumId w:val="27"/>
  </w:num>
  <w:num w:numId="23">
    <w:abstractNumId w:val="1"/>
  </w:num>
  <w:num w:numId="24">
    <w:abstractNumId w:val="15"/>
  </w:num>
  <w:num w:numId="25">
    <w:abstractNumId w:val="28"/>
  </w:num>
  <w:num w:numId="26">
    <w:abstractNumId w:val="16"/>
  </w:num>
  <w:num w:numId="27">
    <w:abstractNumId w:val="29"/>
  </w:num>
  <w:num w:numId="28">
    <w:abstractNumId w:val="6"/>
  </w:num>
  <w:num w:numId="29">
    <w:abstractNumId w:val="18"/>
  </w:num>
  <w:num w:numId="30">
    <w:abstractNumId w:val="14"/>
  </w:num>
  <w:num w:numId="31">
    <w:abstractNumId w:val="13"/>
  </w:num>
  <w:num w:numId="32">
    <w:abstractNumId w:val="2"/>
  </w:num>
  <w:num w:numId="33">
    <w:abstractNumId w:val="2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18441"/>
  </w:hdrShapeDefaults>
  <w:footnotePr>
    <w:footnote w:id="-1"/>
    <w:footnote w:id="0"/>
  </w:footnotePr>
  <w:endnotePr>
    <w:endnote w:id="-1"/>
    <w:endnote w:id="0"/>
  </w:endnotePr>
  <w:compat>
    <w:useFELayout/>
    <w:compatSetting w:name="compatibilityMode" w:uri="http://schemas.microsoft.com/office/word" w:val="12"/>
  </w:compat>
  <w:rsids>
    <w:rsidRoot w:val="008724E5"/>
    <w:rsid w:val="000025D4"/>
    <w:rsid w:val="00003919"/>
    <w:rsid w:val="00005B51"/>
    <w:rsid w:val="00007446"/>
    <w:rsid w:val="00010B47"/>
    <w:rsid w:val="0001346C"/>
    <w:rsid w:val="00015A9E"/>
    <w:rsid w:val="00016521"/>
    <w:rsid w:val="00021429"/>
    <w:rsid w:val="00024556"/>
    <w:rsid w:val="00035A30"/>
    <w:rsid w:val="00037338"/>
    <w:rsid w:val="0004359C"/>
    <w:rsid w:val="00043857"/>
    <w:rsid w:val="00045401"/>
    <w:rsid w:val="00046958"/>
    <w:rsid w:val="0005098F"/>
    <w:rsid w:val="0005458E"/>
    <w:rsid w:val="000624CF"/>
    <w:rsid w:val="00070F81"/>
    <w:rsid w:val="0007144C"/>
    <w:rsid w:val="00073A8E"/>
    <w:rsid w:val="00077333"/>
    <w:rsid w:val="00086641"/>
    <w:rsid w:val="00087FEF"/>
    <w:rsid w:val="0009370A"/>
    <w:rsid w:val="000A000D"/>
    <w:rsid w:val="000A215A"/>
    <w:rsid w:val="000A7E0E"/>
    <w:rsid w:val="000B07D9"/>
    <w:rsid w:val="000B262B"/>
    <w:rsid w:val="000B2A37"/>
    <w:rsid w:val="000B3098"/>
    <w:rsid w:val="000B5421"/>
    <w:rsid w:val="000C01C2"/>
    <w:rsid w:val="000C6284"/>
    <w:rsid w:val="000D0646"/>
    <w:rsid w:val="000D10F7"/>
    <w:rsid w:val="000D15DE"/>
    <w:rsid w:val="000D18AC"/>
    <w:rsid w:val="000D1900"/>
    <w:rsid w:val="000D35B3"/>
    <w:rsid w:val="000D4F94"/>
    <w:rsid w:val="000D73F3"/>
    <w:rsid w:val="000E629F"/>
    <w:rsid w:val="000F4874"/>
    <w:rsid w:val="00101683"/>
    <w:rsid w:val="00106E25"/>
    <w:rsid w:val="00107574"/>
    <w:rsid w:val="00111087"/>
    <w:rsid w:val="0012220E"/>
    <w:rsid w:val="00126136"/>
    <w:rsid w:val="001263D8"/>
    <w:rsid w:val="00131DB8"/>
    <w:rsid w:val="00133C6E"/>
    <w:rsid w:val="00137C10"/>
    <w:rsid w:val="0014015A"/>
    <w:rsid w:val="0015110A"/>
    <w:rsid w:val="0015136E"/>
    <w:rsid w:val="00151737"/>
    <w:rsid w:val="00153980"/>
    <w:rsid w:val="00153F82"/>
    <w:rsid w:val="00166332"/>
    <w:rsid w:val="001723BC"/>
    <w:rsid w:val="00174C8B"/>
    <w:rsid w:val="001769C1"/>
    <w:rsid w:val="001774D7"/>
    <w:rsid w:val="001820DD"/>
    <w:rsid w:val="00184A99"/>
    <w:rsid w:val="001856F3"/>
    <w:rsid w:val="00185A93"/>
    <w:rsid w:val="0018609E"/>
    <w:rsid w:val="00194084"/>
    <w:rsid w:val="001942B3"/>
    <w:rsid w:val="00196835"/>
    <w:rsid w:val="001A505B"/>
    <w:rsid w:val="001B2627"/>
    <w:rsid w:val="001B2CB8"/>
    <w:rsid w:val="001C0641"/>
    <w:rsid w:val="001C39BF"/>
    <w:rsid w:val="001C729B"/>
    <w:rsid w:val="001D097D"/>
    <w:rsid w:val="001D3828"/>
    <w:rsid w:val="001D3E74"/>
    <w:rsid w:val="001D49B2"/>
    <w:rsid w:val="001D6DD9"/>
    <w:rsid w:val="001E28E7"/>
    <w:rsid w:val="001E56BE"/>
    <w:rsid w:val="001F02CE"/>
    <w:rsid w:val="001F5231"/>
    <w:rsid w:val="001F7A27"/>
    <w:rsid w:val="0020451A"/>
    <w:rsid w:val="00213159"/>
    <w:rsid w:val="0022117D"/>
    <w:rsid w:val="002214CE"/>
    <w:rsid w:val="002340CD"/>
    <w:rsid w:val="00235EA7"/>
    <w:rsid w:val="002456CE"/>
    <w:rsid w:val="0024796B"/>
    <w:rsid w:val="0025106D"/>
    <w:rsid w:val="00253238"/>
    <w:rsid w:val="002544FF"/>
    <w:rsid w:val="002574AE"/>
    <w:rsid w:val="00261D41"/>
    <w:rsid w:val="00265A67"/>
    <w:rsid w:val="002667B4"/>
    <w:rsid w:val="00270583"/>
    <w:rsid w:val="002811C2"/>
    <w:rsid w:val="00281B89"/>
    <w:rsid w:val="0028584B"/>
    <w:rsid w:val="00286B74"/>
    <w:rsid w:val="002912B5"/>
    <w:rsid w:val="002A53BB"/>
    <w:rsid w:val="002A570B"/>
    <w:rsid w:val="002A65A4"/>
    <w:rsid w:val="002A6744"/>
    <w:rsid w:val="002A73E4"/>
    <w:rsid w:val="002B17D9"/>
    <w:rsid w:val="002B2151"/>
    <w:rsid w:val="002C0B1E"/>
    <w:rsid w:val="002C34D5"/>
    <w:rsid w:val="002D3E22"/>
    <w:rsid w:val="002D753D"/>
    <w:rsid w:val="002E12C9"/>
    <w:rsid w:val="002E799E"/>
    <w:rsid w:val="002F0356"/>
    <w:rsid w:val="002F03E6"/>
    <w:rsid w:val="002F11FC"/>
    <w:rsid w:val="002F72C5"/>
    <w:rsid w:val="003129E6"/>
    <w:rsid w:val="003141A1"/>
    <w:rsid w:val="0031502C"/>
    <w:rsid w:val="00322A84"/>
    <w:rsid w:val="0032426A"/>
    <w:rsid w:val="00324554"/>
    <w:rsid w:val="00325327"/>
    <w:rsid w:val="00325CEB"/>
    <w:rsid w:val="00332A8D"/>
    <w:rsid w:val="003347A9"/>
    <w:rsid w:val="00335B24"/>
    <w:rsid w:val="003364A2"/>
    <w:rsid w:val="0034038A"/>
    <w:rsid w:val="003403D7"/>
    <w:rsid w:val="00343F8D"/>
    <w:rsid w:val="003527A5"/>
    <w:rsid w:val="00356C0F"/>
    <w:rsid w:val="00361BED"/>
    <w:rsid w:val="00363F42"/>
    <w:rsid w:val="00367CC2"/>
    <w:rsid w:val="00374371"/>
    <w:rsid w:val="00374D4F"/>
    <w:rsid w:val="0037782C"/>
    <w:rsid w:val="003952FB"/>
    <w:rsid w:val="003A5B67"/>
    <w:rsid w:val="003B5022"/>
    <w:rsid w:val="003B657A"/>
    <w:rsid w:val="003C2004"/>
    <w:rsid w:val="003C59F2"/>
    <w:rsid w:val="003D1D8F"/>
    <w:rsid w:val="003D4A40"/>
    <w:rsid w:val="003D4B20"/>
    <w:rsid w:val="003D4DCD"/>
    <w:rsid w:val="003E33DC"/>
    <w:rsid w:val="003E7C51"/>
    <w:rsid w:val="003F49EF"/>
    <w:rsid w:val="00401860"/>
    <w:rsid w:val="0040477A"/>
    <w:rsid w:val="00425C4A"/>
    <w:rsid w:val="00427A31"/>
    <w:rsid w:val="00427B06"/>
    <w:rsid w:val="00430827"/>
    <w:rsid w:val="004364D7"/>
    <w:rsid w:val="004403A0"/>
    <w:rsid w:val="004437DA"/>
    <w:rsid w:val="00447546"/>
    <w:rsid w:val="00454565"/>
    <w:rsid w:val="00456085"/>
    <w:rsid w:val="004628C8"/>
    <w:rsid w:val="004632BA"/>
    <w:rsid w:val="004676E5"/>
    <w:rsid w:val="00475560"/>
    <w:rsid w:val="00480B30"/>
    <w:rsid w:val="00480E55"/>
    <w:rsid w:val="004926B4"/>
    <w:rsid w:val="004A2030"/>
    <w:rsid w:val="004A2286"/>
    <w:rsid w:val="004A3B71"/>
    <w:rsid w:val="004A4583"/>
    <w:rsid w:val="004A4785"/>
    <w:rsid w:val="004A657A"/>
    <w:rsid w:val="004B2778"/>
    <w:rsid w:val="004B3609"/>
    <w:rsid w:val="004C182B"/>
    <w:rsid w:val="004C415E"/>
    <w:rsid w:val="004C4AFE"/>
    <w:rsid w:val="004E2511"/>
    <w:rsid w:val="004E25D7"/>
    <w:rsid w:val="004E43F1"/>
    <w:rsid w:val="004E5858"/>
    <w:rsid w:val="004E6E9C"/>
    <w:rsid w:val="004E71F9"/>
    <w:rsid w:val="004F0A17"/>
    <w:rsid w:val="004F4E26"/>
    <w:rsid w:val="004F4FAA"/>
    <w:rsid w:val="00501750"/>
    <w:rsid w:val="00501764"/>
    <w:rsid w:val="0050226D"/>
    <w:rsid w:val="0051018E"/>
    <w:rsid w:val="005110B8"/>
    <w:rsid w:val="00511CD8"/>
    <w:rsid w:val="00515E68"/>
    <w:rsid w:val="00524A34"/>
    <w:rsid w:val="00525910"/>
    <w:rsid w:val="005272AD"/>
    <w:rsid w:val="00531318"/>
    <w:rsid w:val="00541EF5"/>
    <w:rsid w:val="00542033"/>
    <w:rsid w:val="00547C90"/>
    <w:rsid w:val="00550216"/>
    <w:rsid w:val="00550F22"/>
    <w:rsid w:val="005522B4"/>
    <w:rsid w:val="00552B41"/>
    <w:rsid w:val="00557E2F"/>
    <w:rsid w:val="00564DDB"/>
    <w:rsid w:val="00565BA9"/>
    <w:rsid w:val="00565EE8"/>
    <w:rsid w:val="00572187"/>
    <w:rsid w:val="0057403F"/>
    <w:rsid w:val="0057404F"/>
    <w:rsid w:val="00576583"/>
    <w:rsid w:val="00580185"/>
    <w:rsid w:val="005853AC"/>
    <w:rsid w:val="00596FA4"/>
    <w:rsid w:val="005A71AE"/>
    <w:rsid w:val="005A760A"/>
    <w:rsid w:val="005A7EEA"/>
    <w:rsid w:val="005B3705"/>
    <w:rsid w:val="005B6EC3"/>
    <w:rsid w:val="005C1996"/>
    <w:rsid w:val="005C5E61"/>
    <w:rsid w:val="005D04D9"/>
    <w:rsid w:val="005D4397"/>
    <w:rsid w:val="005E003A"/>
    <w:rsid w:val="005E06A2"/>
    <w:rsid w:val="005E5A93"/>
    <w:rsid w:val="005E60D2"/>
    <w:rsid w:val="00600E27"/>
    <w:rsid w:val="0060533E"/>
    <w:rsid w:val="006165EE"/>
    <w:rsid w:val="00616A12"/>
    <w:rsid w:val="00616F5D"/>
    <w:rsid w:val="0062001C"/>
    <w:rsid w:val="006209A2"/>
    <w:rsid w:val="006316A7"/>
    <w:rsid w:val="00637CFF"/>
    <w:rsid w:val="00645B7A"/>
    <w:rsid w:val="006545A0"/>
    <w:rsid w:val="00654840"/>
    <w:rsid w:val="00655893"/>
    <w:rsid w:val="00665115"/>
    <w:rsid w:val="0067466A"/>
    <w:rsid w:val="00680610"/>
    <w:rsid w:val="00680847"/>
    <w:rsid w:val="00680C4B"/>
    <w:rsid w:val="00684BF3"/>
    <w:rsid w:val="00686CEA"/>
    <w:rsid w:val="0069620B"/>
    <w:rsid w:val="006A0BB0"/>
    <w:rsid w:val="006A1A12"/>
    <w:rsid w:val="006A5BFD"/>
    <w:rsid w:val="006A676F"/>
    <w:rsid w:val="006B0F42"/>
    <w:rsid w:val="006C03E6"/>
    <w:rsid w:val="006C3FFC"/>
    <w:rsid w:val="006C51FB"/>
    <w:rsid w:val="006D2C68"/>
    <w:rsid w:val="006D4715"/>
    <w:rsid w:val="006D5CDB"/>
    <w:rsid w:val="006D6D68"/>
    <w:rsid w:val="006D6ECF"/>
    <w:rsid w:val="006D7236"/>
    <w:rsid w:val="006E1BB8"/>
    <w:rsid w:val="006E221E"/>
    <w:rsid w:val="006E2359"/>
    <w:rsid w:val="006E5137"/>
    <w:rsid w:val="006E6C0B"/>
    <w:rsid w:val="006F1767"/>
    <w:rsid w:val="006F2EAC"/>
    <w:rsid w:val="006F4D12"/>
    <w:rsid w:val="006F6E40"/>
    <w:rsid w:val="00706EAC"/>
    <w:rsid w:val="007228DD"/>
    <w:rsid w:val="0073001C"/>
    <w:rsid w:val="00730403"/>
    <w:rsid w:val="00735C75"/>
    <w:rsid w:val="00736D3C"/>
    <w:rsid w:val="007403CC"/>
    <w:rsid w:val="00745849"/>
    <w:rsid w:val="00752157"/>
    <w:rsid w:val="00757953"/>
    <w:rsid w:val="00762F35"/>
    <w:rsid w:val="0077433A"/>
    <w:rsid w:val="00774B22"/>
    <w:rsid w:val="007815A5"/>
    <w:rsid w:val="00787DA9"/>
    <w:rsid w:val="0079520D"/>
    <w:rsid w:val="00795BB6"/>
    <w:rsid w:val="00796029"/>
    <w:rsid w:val="00796427"/>
    <w:rsid w:val="007A1674"/>
    <w:rsid w:val="007A377C"/>
    <w:rsid w:val="007A64C3"/>
    <w:rsid w:val="007B0284"/>
    <w:rsid w:val="007B17FF"/>
    <w:rsid w:val="007B5363"/>
    <w:rsid w:val="007C458D"/>
    <w:rsid w:val="007D7316"/>
    <w:rsid w:val="007E10CC"/>
    <w:rsid w:val="007E1D24"/>
    <w:rsid w:val="007E7752"/>
    <w:rsid w:val="007F05F6"/>
    <w:rsid w:val="007F37B6"/>
    <w:rsid w:val="007F4665"/>
    <w:rsid w:val="00811E0D"/>
    <w:rsid w:val="008152B9"/>
    <w:rsid w:val="008305C0"/>
    <w:rsid w:val="008421D9"/>
    <w:rsid w:val="008428CC"/>
    <w:rsid w:val="00843239"/>
    <w:rsid w:val="0085717C"/>
    <w:rsid w:val="00865767"/>
    <w:rsid w:val="00866040"/>
    <w:rsid w:val="0086667B"/>
    <w:rsid w:val="008724E5"/>
    <w:rsid w:val="0088067D"/>
    <w:rsid w:val="00883C58"/>
    <w:rsid w:val="00884873"/>
    <w:rsid w:val="00891295"/>
    <w:rsid w:val="00896134"/>
    <w:rsid w:val="008A012F"/>
    <w:rsid w:val="008A24F4"/>
    <w:rsid w:val="008A4558"/>
    <w:rsid w:val="008A5AFE"/>
    <w:rsid w:val="008B1853"/>
    <w:rsid w:val="008B65E1"/>
    <w:rsid w:val="008B7C4E"/>
    <w:rsid w:val="008C01FC"/>
    <w:rsid w:val="008C333C"/>
    <w:rsid w:val="008C67ED"/>
    <w:rsid w:val="008D488D"/>
    <w:rsid w:val="008D798B"/>
    <w:rsid w:val="008E1DA4"/>
    <w:rsid w:val="008E37EF"/>
    <w:rsid w:val="008E6921"/>
    <w:rsid w:val="008E7F28"/>
    <w:rsid w:val="008F244A"/>
    <w:rsid w:val="008F3C6F"/>
    <w:rsid w:val="008F42A5"/>
    <w:rsid w:val="009005EC"/>
    <w:rsid w:val="009006E7"/>
    <w:rsid w:val="00932660"/>
    <w:rsid w:val="00936487"/>
    <w:rsid w:val="00936EAE"/>
    <w:rsid w:val="00944DDD"/>
    <w:rsid w:val="009503DF"/>
    <w:rsid w:val="00954C39"/>
    <w:rsid w:val="00956BA0"/>
    <w:rsid w:val="00957740"/>
    <w:rsid w:val="00962349"/>
    <w:rsid w:val="00962F7C"/>
    <w:rsid w:val="009669B3"/>
    <w:rsid w:val="00973155"/>
    <w:rsid w:val="00985AE1"/>
    <w:rsid w:val="00987083"/>
    <w:rsid w:val="00990228"/>
    <w:rsid w:val="0099096C"/>
    <w:rsid w:val="00991BC3"/>
    <w:rsid w:val="00991FC7"/>
    <w:rsid w:val="00992D71"/>
    <w:rsid w:val="00996657"/>
    <w:rsid w:val="0099704E"/>
    <w:rsid w:val="009A43C8"/>
    <w:rsid w:val="009A752A"/>
    <w:rsid w:val="009D1107"/>
    <w:rsid w:val="009D270E"/>
    <w:rsid w:val="009D3A3A"/>
    <w:rsid w:val="009E012B"/>
    <w:rsid w:val="009E33C1"/>
    <w:rsid w:val="00A003EB"/>
    <w:rsid w:val="00A06881"/>
    <w:rsid w:val="00A06B34"/>
    <w:rsid w:val="00A117AD"/>
    <w:rsid w:val="00A14311"/>
    <w:rsid w:val="00A156EC"/>
    <w:rsid w:val="00A165F9"/>
    <w:rsid w:val="00A16EA7"/>
    <w:rsid w:val="00A2501E"/>
    <w:rsid w:val="00A3316B"/>
    <w:rsid w:val="00A42295"/>
    <w:rsid w:val="00A43017"/>
    <w:rsid w:val="00A44987"/>
    <w:rsid w:val="00A45CC5"/>
    <w:rsid w:val="00A45E93"/>
    <w:rsid w:val="00A51F18"/>
    <w:rsid w:val="00A6457A"/>
    <w:rsid w:val="00A646E2"/>
    <w:rsid w:val="00A71878"/>
    <w:rsid w:val="00A83385"/>
    <w:rsid w:val="00A86168"/>
    <w:rsid w:val="00A87F87"/>
    <w:rsid w:val="00A9140F"/>
    <w:rsid w:val="00AA2E70"/>
    <w:rsid w:val="00AA72F5"/>
    <w:rsid w:val="00AC6F8A"/>
    <w:rsid w:val="00AC7030"/>
    <w:rsid w:val="00AD5447"/>
    <w:rsid w:val="00AE62B5"/>
    <w:rsid w:val="00B00FB2"/>
    <w:rsid w:val="00B02B95"/>
    <w:rsid w:val="00B10399"/>
    <w:rsid w:val="00B1384F"/>
    <w:rsid w:val="00B15099"/>
    <w:rsid w:val="00B15190"/>
    <w:rsid w:val="00B178B6"/>
    <w:rsid w:val="00B21719"/>
    <w:rsid w:val="00B36174"/>
    <w:rsid w:val="00B44206"/>
    <w:rsid w:val="00B518A6"/>
    <w:rsid w:val="00B5331C"/>
    <w:rsid w:val="00B54F5E"/>
    <w:rsid w:val="00B6777D"/>
    <w:rsid w:val="00B80F99"/>
    <w:rsid w:val="00B94A9A"/>
    <w:rsid w:val="00BA1CE3"/>
    <w:rsid w:val="00BA3857"/>
    <w:rsid w:val="00BA3A03"/>
    <w:rsid w:val="00BA5433"/>
    <w:rsid w:val="00BB41D9"/>
    <w:rsid w:val="00BB72E7"/>
    <w:rsid w:val="00BC3872"/>
    <w:rsid w:val="00BC5FA6"/>
    <w:rsid w:val="00BC7273"/>
    <w:rsid w:val="00BD1C8D"/>
    <w:rsid w:val="00BD3CBF"/>
    <w:rsid w:val="00BE62F6"/>
    <w:rsid w:val="00BF30AB"/>
    <w:rsid w:val="00BF73A0"/>
    <w:rsid w:val="00C04564"/>
    <w:rsid w:val="00C06ED9"/>
    <w:rsid w:val="00C15FDD"/>
    <w:rsid w:val="00C202EA"/>
    <w:rsid w:val="00C2777E"/>
    <w:rsid w:val="00C3075F"/>
    <w:rsid w:val="00C30D2C"/>
    <w:rsid w:val="00C371B3"/>
    <w:rsid w:val="00C4020A"/>
    <w:rsid w:val="00C41A13"/>
    <w:rsid w:val="00C54745"/>
    <w:rsid w:val="00C55B2E"/>
    <w:rsid w:val="00C62C12"/>
    <w:rsid w:val="00C6488D"/>
    <w:rsid w:val="00C8253B"/>
    <w:rsid w:val="00C850EF"/>
    <w:rsid w:val="00C86589"/>
    <w:rsid w:val="00CA23FD"/>
    <w:rsid w:val="00CA3286"/>
    <w:rsid w:val="00CB149B"/>
    <w:rsid w:val="00CD0BED"/>
    <w:rsid w:val="00CD455B"/>
    <w:rsid w:val="00CE3FF1"/>
    <w:rsid w:val="00CF1026"/>
    <w:rsid w:val="00CF15A0"/>
    <w:rsid w:val="00D00939"/>
    <w:rsid w:val="00D019E2"/>
    <w:rsid w:val="00D12A0D"/>
    <w:rsid w:val="00D22563"/>
    <w:rsid w:val="00D232A5"/>
    <w:rsid w:val="00D27370"/>
    <w:rsid w:val="00D31923"/>
    <w:rsid w:val="00D44D34"/>
    <w:rsid w:val="00D54FCD"/>
    <w:rsid w:val="00D55110"/>
    <w:rsid w:val="00D557FC"/>
    <w:rsid w:val="00D66A18"/>
    <w:rsid w:val="00D726C7"/>
    <w:rsid w:val="00D733B0"/>
    <w:rsid w:val="00D74A76"/>
    <w:rsid w:val="00D76733"/>
    <w:rsid w:val="00D76A8C"/>
    <w:rsid w:val="00D813A6"/>
    <w:rsid w:val="00D956E1"/>
    <w:rsid w:val="00D96A8D"/>
    <w:rsid w:val="00DB5131"/>
    <w:rsid w:val="00DB7324"/>
    <w:rsid w:val="00DC0641"/>
    <w:rsid w:val="00DC2DAE"/>
    <w:rsid w:val="00DC7BA8"/>
    <w:rsid w:val="00DD3581"/>
    <w:rsid w:val="00DD654D"/>
    <w:rsid w:val="00DD6722"/>
    <w:rsid w:val="00DE34FC"/>
    <w:rsid w:val="00DE4E0B"/>
    <w:rsid w:val="00DE614E"/>
    <w:rsid w:val="00DE7AA3"/>
    <w:rsid w:val="00DF28AF"/>
    <w:rsid w:val="00DF3CF0"/>
    <w:rsid w:val="00DF4886"/>
    <w:rsid w:val="00DF564F"/>
    <w:rsid w:val="00E05A2C"/>
    <w:rsid w:val="00E05DA8"/>
    <w:rsid w:val="00E10D33"/>
    <w:rsid w:val="00E131EE"/>
    <w:rsid w:val="00E20A40"/>
    <w:rsid w:val="00E24C95"/>
    <w:rsid w:val="00E2681C"/>
    <w:rsid w:val="00E2698B"/>
    <w:rsid w:val="00E26C8E"/>
    <w:rsid w:val="00E30FE4"/>
    <w:rsid w:val="00E33A55"/>
    <w:rsid w:val="00E41AF5"/>
    <w:rsid w:val="00E43499"/>
    <w:rsid w:val="00E44379"/>
    <w:rsid w:val="00E469F1"/>
    <w:rsid w:val="00E53241"/>
    <w:rsid w:val="00E636E5"/>
    <w:rsid w:val="00E72336"/>
    <w:rsid w:val="00E766D3"/>
    <w:rsid w:val="00E85C4F"/>
    <w:rsid w:val="00E862B0"/>
    <w:rsid w:val="00E87EDE"/>
    <w:rsid w:val="00E9261C"/>
    <w:rsid w:val="00E93311"/>
    <w:rsid w:val="00E93856"/>
    <w:rsid w:val="00EA04AB"/>
    <w:rsid w:val="00EA2DC3"/>
    <w:rsid w:val="00EA3FA4"/>
    <w:rsid w:val="00EB2613"/>
    <w:rsid w:val="00EB2DF2"/>
    <w:rsid w:val="00EB514F"/>
    <w:rsid w:val="00EB679D"/>
    <w:rsid w:val="00EC040E"/>
    <w:rsid w:val="00ED6DA8"/>
    <w:rsid w:val="00EE07A6"/>
    <w:rsid w:val="00EE4CD6"/>
    <w:rsid w:val="00EE5E18"/>
    <w:rsid w:val="00EF1F0A"/>
    <w:rsid w:val="00EF563B"/>
    <w:rsid w:val="00EF604D"/>
    <w:rsid w:val="00EF6064"/>
    <w:rsid w:val="00F0338A"/>
    <w:rsid w:val="00F11D75"/>
    <w:rsid w:val="00F12241"/>
    <w:rsid w:val="00F162C4"/>
    <w:rsid w:val="00F24706"/>
    <w:rsid w:val="00F33C30"/>
    <w:rsid w:val="00F33E84"/>
    <w:rsid w:val="00F3749C"/>
    <w:rsid w:val="00F408F3"/>
    <w:rsid w:val="00F4250E"/>
    <w:rsid w:val="00F4611E"/>
    <w:rsid w:val="00F468D7"/>
    <w:rsid w:val="00F57C02"/>
    <w:rsid w:val="00F61DDB"/>
    <w:rsid w:val="00F63997"/>
    <w:rsid w:val="00F66657"/>
    <w:rsid w:val="00F7577A"/>
    <w:rsid w:val="00F8529C"/>
    <w:rsid w:val="00F86AD1"/>
    <w:rsid w:val="00F86F3C"/>
    <w:rsid w:val="00F90454"/>
    <w:rsid w:val="00F905A8"/>
    <w:rsid w:val="00FA4548"/>
    <w:rsid w:val="00FA4EF7"/>
    <w:rsid w:val="00FA60D8"/>
    <w:rsid w:val="00FA7037"/>
    <w:rsid w:val="00FA7AF6"/>
    <w:rsid w:val="00FB0D2A"/>
    <w:rsid w:val="00FB74B1"/>
    <w:rsid w:val="00FC7BE3"/>
    <w:rsid w:val="00FD624F"/>
    <w:rsid w:val="00FE4CD4"/>
    <w:rsid w:val="00FE4F63"/>
    <w:rsid w:val="00FE6CAF"/>
    <w:rsid w:val="00FF1755"/>
    <w:rsid w:val="00FF1C3A"/>
    <w:rsid w:val="00FF3464"/>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8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shorttext">
    <w:name w:val="short_text"/>
    <w:basedOn w:val="DefaultParagraphFont"/>
    <w:rsid w:val="00EA3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shorttext">
    <w:name w:val="short_text"/>
    <w:basedOn w:val="DefaultParagraphFont"/>
    <w:rsid w:val="00EA3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248540438">
      <w:bodyDiv w:val="1"/>
      <w:marLeft w:val="0"/>
      <w:marRight w:val="0"/>
      <w:marTop w:val="0"/>
      <w:marBottom w:val="0"/>
      <w:divBdr>
        <w:top w:val="none" w:sz="0" w:space="0" w:color="auto"/>
        <w:left w:val="none" w:sz="0" w:space="0" w:color="auto"/>
        <w:bottom w:val="none" w:sz="0" w:space="0" w:color="auto"/>
        <w:right w:val="none" w:sz="0" w:space="0" w:color="auto"/>
      </w:divBdr>
    </w:div>
    <w:div w:id="1783769653">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10324334">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3D6D7-769E-49A4-A35D-7FE1C3CC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2258</Words>
  <Characters>12424</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14653</CharactersWithSpaces>
  <SharedDoc>false</SharedDoc>
  <HLinks>
    <vt:vector size="6" baseType="variant">
      <vt:variant>
        <vt:i4>327725</vt:i4>
      </vt:variant>
      <vt:variant>
        <vt:i4>66</vt:i4>
      </vt:variant>
      <vt:variant>
        <vt:i4>0</vt:i4>
      </vt:variant>
      <vt:variant>
        <vt:i4>5</vt:i4>
      </vt:variant>
      <vt:variant>
        <vt:lpwstr>mailto:imurambiwa@yahoo.com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CLT/CEH/ITH-b_de-sancristobal</cp:lastModifiedBy>
  <cp:revision>21</cp:revision>
  <cp:lastPrinted>2012-06-04T08:36:00Z</cp:lastPrinted>
  <dcterms:created xsi:type="dcterms:W3CDTF">2012-10-02T15:52:00Z</dcterms:created>
  <dcterms:modified xsi:type="dcterms:W3CDTF">2012-10-19T15:39:00Z</dcterms:modified>
</cp:coreProperties>
</file>