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36" w:rsidRPr="009739DF" w:rsidRDefault="00655736" w:rsidP="00655736">
      <w:pPr>
        <w:spacing w:before="1440"/>
        <w:jc w:val="center"/>
        <w:rPr>
          <w:rFonts w:ascii="Arial" w:hAnsi="Arial" w:cs="Arial"/>
          <w:b/>
          <w:sz w:val="22"/>
          <w:szCs w:val="22"/>
          <w:lang w:val="en-GB"/>
        </w:rPr>
      </w:pPr>
      <w:r w:rsidRPr="009739DF">
        <w:rPr>
          <w:rFonts w:ascii="Arial" w:hAnsi="Arial" w:cs="Arial"/>
          <w:b/>
          <w:sz w:val="22"/>
          <w:szCs w:val="22"/>
          <w:lang w:val="en-GB"/>
        </w:rPr>
        <w:t xml:space="preserve">CONVENTION FOR THE SAFEGUARDING OF THE </w:t>
      </w:r>
      <w:r w:rsidRPr="009739DF">
        <w:rPr>
          <w:rFonts w:ascii="Arial" w:hAnsi="Arial" w:cs="Arial"/>
          <w:b/>
          <w:sz w:val="22"/>
          <w:szCs w:val="22"/>
          <w:lang w:val="en-GB"/>
        </w:rPr>
        <w:br/>
        <w:t>INTANGIBLE CULTURAL HERITAGE</w:t>
      </w:r>
    </w:p>
    <w:p w:rsidR="00655736" w:rsidRPr="009739DF" w:rsidRDefault="00655736" w:rsidP="00655736">
      <w:pPr>
        <w:spacing w:before="1200"/>
        <w:jc w:val="center"/>
        <w:rPr>
          <w:rFonts w:ascii="Arial" w:hAnsi="Arial" w:cs="Arial"/>
          <w:b/>
          <w:sz w:val="22"/>
          <w:szCs w:val="22"/>
          <w:lang w:val="en-GB"/>
        </w:rPr>
      </w:pPr>
      <w:r w:rsidRPr="009739DF">
        <w:rPr>
          <w:rFonts w:ascii="Arial" w:hAnsi="Arial" w:cs="Arial"/>
          <w:b/>
          <w:sz w:val="22"/>
          <w:szCs w:val="22"/>
          <w:lang w:val="en-GB"/>
        </w:rPr>
        <w:t>INTERGOVERNMENTAL COMMITTEE FOR THE</w:t>
      </w:r>
      <w:r w:rsidRPr="009739DF">
        <w:rPr>
          <w:rFonts w:ascii="Arial" w:hAnsi="Arial" w:cs="Arial"/>
          <w:b/>
          <w:sz w:val="22"/>
          <w:szCs w:val="22"/>
          <w:lang w:val="en-GB"/>
        </w:rPr>
        <w:br/>
        <w:t xml:space="preserve">SAFEGUARDING OF THE INTANGIBLE CULTURAL HERITAGE </w:t>
      </w:r>
    </w:p>
    <w:p w:rsidR="00655736" w:rsidRPr="009739DF" w:rsidRDefault="00E97E5B" w:rsidP="002676F5">
      <w:pPr>
        <w:spacing w:before="840"/>
        <w:jc w:val="center"/>
        <w:rPr>
          <w:rFonts w:ascii="Arial" w:hAnsi="Arial" w:cs="Arial"/>
          <w:b/>
          <w:sz w:val="22"/>
          <w:szCs w:val="22"/>
          <w:lang w:val="en-GB"/>
        </w:rPr>
      </w:pPr>
      <w:r w:rsidRPr="009739DF">
        <w:rPr>
          <w:rFonts w:ascii="Arial" w:hAnsi="Arial" w:cs="Arial"/>
          <w:b/>
          <w:sz w:val="22"/>
          <w:szCs w:val="22"/>
          <w:lang w:val="en-GB"/>
        </w:rPr>
        <w:t xml:space="preserve">Electronic Bureau </w:t>
      </w:r>
      <w:r w:rsidR="00525A51" w:rsidRPr="009739DF">
        <w:rPr>
          <w:rFonts w:ascii="Arial" w:hAnsi="Arial" w:cs="Arial"/>
          <w:b/>
          <w:sz w:val="22"/>
          <w:szCs w:val="22"/>
          <w:lang w:val="en-GB"/>
        </w:rPr>
        <w:t>consultation</w:t>
      </w:r>
      <w:r w:rsidRPr="009739DF">
        <w:rPr>
          <w:rFonts w:ascii="Arial" w:hAnsi="Arial" w:cs="Arial"/>
          <w:b/>
          <w:sz w:val="22"/>
          <w:szCs w:val="22"/>
          <w:lang w:val="en-GB"/>
        </w:rPr>
        <w:br/>
      </w:r>
      <w:r w:rsidR="002676F5" w:rsidRPr="009739DF">
        <w:rPr>
          <w:rFonts w:ascii="Arial" w:hAnsi="Arial" w:cs="Arial"/>
          <w:b/>
          <w:sz w:val="22"/>
          <w:szCs w:val="22"/>
          <w:lang w:val="en-GB"/>
        </w:rPr>
        <w:t xml:space="preserve">June </w:t>
      </w:r>
      <w:r w:rsidR="00F444FE" w:rsidRPr="009739DF">
        <w:rPr>
          <w:rFonts w:ascii="Arial" w:hAnsi="Arial" w:cs="Arial"/>
          <w:b/>
          <w:sz w:val="22"/>
          <w:szCs w:val="22"/>
          <w:lang w:val="en-GB"/>
        </w:rPr>
        <w:t>2014</w:t>
      </w:r>
    </w:p>
    <w:p w:rsidR="009D1AF3" w:rsidRPr="009739DF" w:rsidRDefault="009D1AF3" w:rsidP="009D1AF3">
      <w:pPr>
        <w:pStyle w:val="Sansinterligne2"/>
        <w:spacing w:before="1200"/>
        <w:jc w:val="center"/>
        <w:rPr>
          <w:rFonts w:ascii="Arial" w:hAnsi="Arial" w:cs="Arial"/>
          <w:b/>
          <w:sz w:val="22"/>
          <w:szCs w:val="22"/>
          <w:lang w:val="en-GB"/>
        </w:rPr>
      </w:pPr>
      <w:r w:rsidRPr="009739DF">
        <w:rPr>
          <w:rFonts w:ascii="Arial" w:hAnsi="Arial" w:cs="Arial"/>
          <w:b/>
          <w:sz w:val="22"/>
          <w:szCs w:val="22"/>
          <w:u w:val="single"/>
          <w:lang w:val="en-GB"/>
        </w:rPr>
        <w:t>Item 1</w:t>
      </w:r>
      <w:r w:rsidRPr="009739DF">
        <w:rPr>
          <w:rFonts w:ascii="Arial" w:hAnsi="Arial" w:cs="Arial"/>
          <w:b/>
          <w:sz w:val="22"/>
          <w:szCs w:val="22"/>
          <w:lang w:val="en-GB"/>
        </w:rPr>
        <w:t>:</w:t>
      </w:r>
    </w:p>
    <w:p w:rsidR="009D1AF3" w:rsidRPr="009739DF" w:rsidRDefault="002676F5" w:rsidP="002676F5">
      <w:pPr>
        <w:pStyle w:val="Sansinterligne2"/>
        <w:spacing w:after="1200"/>
        <w:jc w:val="center"/>
        <w:rPr>
          <w:rFonts w:ascii="Arial" w:hAnsi="Arial" w:cs="Arial"/>
          <w:b/>
          <w:sz w:val="22"/>
          <w:szCs w:val="22"/>
          <w:lang w:val="en-GB"/>
        </w:rPr>
      </w:pPr>
      <w:r w:rsidRPr="009739DF">
        <w:rPr>
          <w:rFonts w:ascii="Arial" w:hAnsi="Arial" w:cs="Arial"/>
          <w:b/>
          <w:sz w:val="22"/>
          <w:szCs w:val="22"/>
          <w:lang w:val="en-GB"/>
        </w:rPr>
        <w:t xml:space="preserve">Utilization of the funds allocated for ‘other functions of the Committee’ </w:t>
      </w:r>
      <w:r w:rsidRPr="009739DF">
        <w:rPr>
          <w:rFonts w:ascii="Arial" w:hAnsi="Arial" w:cs="Arial"/>
          <w:b/>
          <w:sz w:val="22"/>
          <w:szCs w:val="22"/>
          <w:lang w:val="en-GB"/>
        </w:rPr>
        <w:br/>
        <w:t>under the Plan for the use of the resources of the Intangible Cultural Heritage Fund</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7"/>
      </w:tblGrid>
      <w:tr w:rsidR="002676F5" w:rsidRPr="009739DF" w:rsidTr="00C80C64">
        <w:trPr>
          <w:jc w:val="center"/>
        </w:trPr>
        <w:tc>
          <w:tcPr>
            <w:tcW w:w="6097" w:type="dxa"/>
            <w:vAlign w:val="center"/>
          </w:tcPr>
          <w:p w:rsidR="002676F5" w:rsidRPr="009739DF" w:rsidRDefault="002676F5" w:rsidP="00C80C64">
            <w:pPr>
              <w:pStyle w:val="NoSpacing"/>
              <w:spacing w:before="120" w:after="120"/>
              <w:jc w:val="center"/>
              <w:rPr>
                <w:rFonts w:ascii="Arial" w:hAnsi="Arial" w:cs="Arial"/>
                <w:b/>
                <w:sz w:val="22"/>
                <w:szCs w:val="22"/>
                <w:lang w:val="en-GB"/>
              </w:rPr>
            </w:pPr>
            <w:r w:rsidRPr="009739DF">
              <w:rPr>
                <w:rFonts w:ascii="Arial" w:hAnsi="Arial" w:cs="Arial"/>
                <w:b/>
                <w:sz w:val="22"/>
                <w:szCs w:val="22"/>
                <w:lang w:val="en-GB"/>
              </w:rPr>
              <w:t>Summary</w:t>
            </w:r>
          </w:p>
          <w:p w:rsidR="002676F5" w:rsidRPr="009739DF" w:rsidRDefault="002676F5" w:rsidP="002676F5">
            <w:pPr>
              <w:pStyle w:val="NoSpacing"/>
              <w:spacing w:before="120" w:after="120"/>
              <w:jc w:val="both"/>
              <w:rPr>
                <w:rFonts w:ascii="Arial" w:hAnsi="Arial" w:cs="Arial"/>
                <w:sz w:val="22"/>
                <w:szCs w:val="22"/>
                <w:lang w:val="en-GB"/>
              </w:rPr>
            </w:pPr>
            <w:r w:rsidRPr="009739DF">
              <w:rPr>
                <w:rFonts w:ascii="Arial" w:hAnsi="Arial" w:cs="Arial"/>
                <w:sz w:val="22"/>
                <w:szCs w:val="22"/>
                <w:lang w:val="en-GB"/>
              </w:rPr>
              <w:t>The Plan for the use of the resources of the Intangible Cultural Heritage Fund approved by the General Assembly for the period of 1 January 2014 to 31 December 2015 and 1 January 2016 to 30 June 2016 provides that 20% of the resources be allocated to ‘other functions of the Committee’ as described in Article 7 of the Convention and the Operational Directives.</w:t>
            </w:r>
          </w:p>
          <w:p w:rsidR="002676F5" w:rsidRPr="009739DF" w:rsidRDefault="002676F5" w:rsidP="00372D2E">
            <w:pPr>
              <w:pStyle w:val="NoSpacing"/>
              <w:spacing w:before="120" w:after="120"/>
              <w:jc w:val="both"/>
              <w:rPr>
                <w:rFonts w:ascii="Arial" w:hAnsi="Arial" w:cs="Arial"/>
                <w:sz w:val="22"/>
                <w:szCs w:val="22"/>
                <w:lang w:val="en-GB"/>
              </w:rPr>
            </w:pPr>
            <w:r w:rsidRPr="009739DF">
              <w:rPr>
                <w:rFonts w:ascii="Arial" w:hAnsi="Arial" w:cs="Arial"/>
                <w:sz w:val="22"/>
                <w:szCs w:val="22"/>
                <w:lang w:val="en-GB"/>
              </w:rPr>
              <w:t xml:space="preserve">The present document </w:t>
            </w:r>
            <w:r w:rsidR="00372D2E" w:rsidRPr="009739DF">
              <w:rPr>
                <w:rFonts w:ascii="Arial" w:hAnsi="Arial" w:cs="Arial"/>
                <w:sz w:val="22"/>
                <w:szCs w:val="22"/>
                <w:lang w:val="en-GB"/>
              </w:rPr>
              <w:t>provides</w:t>
            </w:r>
            <w:r w:rsidRPr="009739DF">
              <w:rPr>
                <w:rFonts w:ascii="Arial" w:hAnsi="Arial" w:cs="Arial"/>
                <w:sz w:val="22"/>
                <w:szCs w:val="22"/>
                <w:lang w:val="en-GB"/>
              </w:rPr>
              <w:t xml:space="preserve"> a specific proposal prepared by the Secretariat for the utilization of these funds for th</w:t>
            </w:r>
            <w:r w:rsidR="000A6BCD" w:rsidRPr="009739DF">
              <w:rPr>
                <w:rFonts w:ascii="Arial" w:hAnsi="Arial" w:cs="Arial"/>
                <w:sz w:val="22"/>
                <w:szCs w:val="22"/>
                <w:lang w:val="en-GB"/>
              </w:rPr>
              <w:t>o</w:t>
            </w:r>
            <w:r w:rsidRPr="009739DF">
              <w:rPr>
                <w:rFonts w:ascii="Arial" w:hAnsi="Arial" w:cs="Arial"/>
                <w:sz w:val="22"/>
                <w:szCs w:val="22"/>
                <w:lang w:val="en-GB"/>
              </w:rPr>
              <w:t xml:space="preserve">se periods. </w:t>
            </w:r>
          </w:p>
          <w:p w:rsidR="002676F5" w:rsidRPr="009739DF" w:rsidRDefault="002676F5" w:rsidP="002676F5">
            <w:pPr>
              <w:pStyle w:val="NoSpacing"/>
              <w:spacing w:before="120" w:after="120"/>
              <w:jc w:val="both"/>
              <w:rPr>
                <w:rFonts w:ascii="Arial" w:hAnsi="Arial" w:cs="Arial"/>
                <w:sz w:val="22"/>
                <w:szCs w:val="22"/>
                <w:lang w:val="en-GB"/>
              </w:rPr>
            </w:pPr>
            <w:r w:rsidRPr="009739DF">
              <w:rPr>
                <w:rFonts w:ascii="Arial" w:hAnsi="Arial" w:cs="Arial"/>
                <w:sz w:val="22"/>
                <w:szCs w:val="22"/>
                <w:lang w:val="en-GB"/>
              </w:rPr>
              <w:t>Exercising the authority delegated to it by the Committee, the Bureau is invited to decide upon the utilization of these funds. The Bureau is asked to take its decision through electronic consultation.</w:t>
            </w:r>
          </w:p>
          <w:p w:rsidR="002676F5" w:rsidRPr="009739DF" w:rsidRDefault="002676F5" w:rsidP="00F179AF">
            <w:pPr>
              <w:pStyle w:val="NoSpacing"/>
              <w:spacing w:before="120" w:after="120"/>
              <w:jc w:val="both"/>
              <w:rPr>
                <w:rFonts w:ascii="Arial" w:hAnsi="Arial" w:cs="Arial"/>
                <w:b/>
                <w:i/>
                <w:sz w:val="22"/>
                <w:szCs w:val="22"/>
                <w:lang w:val="en-GB"/>
              </w:rPr>
            </w:pPr>
            <w:r w:rsidRPr="009739DF">
              <w:rPr>
                <w:rFonts w:ascii="Arial" w:hAnsi="Arial" w:cs="Arial"/>
                <w:b/>
                <w:sz w:val="22"/>
                <w:szCs w:val="22"/>
                <w:lang w:val="en-GB"/>
              </w:rPr>
              <w:t>Decision required</w:t>
            </w:r>
            <w:r w:rsidRPr="009739DF">
              <w:rPr>
                <w:rFonts w:ascii="Arial" w:hAnsi="Arial" w:cs="Arial"/>
                <w:sz w:val="22"/>
                <w:szCs w:val="22"/>
                <w:lang w:val="en-GB"/>
              </w:rPr>
              <w:t>: paragraph</w:t>
            </w:r>
            <w:r w:rsidR="00F179AF" w:rsidRPr="009739DF">
              <w:rPr>
                <w:rFonts w:ascii="Arial" w:hAnsi="Arial" w:cs="Arial"/>
                <w:sz w:val="22"/>
                <w:szCs w:val="22"/>
                <w:lang w:val="en-GB"/>
              </w:rPr>
              <w:t xml:space="preserve"> 39</w:t>
            </w:r>
          </w:p>
        </w:tc>
      </w:tr>
    </w:tbl>
    <w:p w:rsidR="002676F5" w:rsidRPr="009739DF" w:rsidRDefault="00655736" w:rsidP="003443AD">
      <w:pPr>
        <w:pStyle w:val="Heading1"/>
        <w:numPr>
          <w:ilvl w:val="0"/>
          <w:numId w:val="19"/>
        </w:numPr>
        <w:tabs>
          <w:tab w:val="left" w:pos="567"/>
        </w:tabs>
        <w:snapToGrid w:val="0"/>
        <w:spacing w:before="360" w:after="240"/>
        <w:ind w:left="567" w:hanging="567"/>
        <w:rPr>
          <w:rFonts w:ascii="Arial" w:hAnsi="Arial" w:cs="Arial"/>
          <w:bCs w:val="0"/>
          <w:smallCaps/>
          <w:snapToGrid w:val="0"/>
          <w:kern w:val="0"/>
          <w:sz w:val="22"/>
          <w:szCs w:val="22"/>
          <w:lang w:val="en-GB" w:eastAsia="en-US"/>
        </w:rPr>
      </w:pPr>
      <w:r w:rsidRPr="009739DF">
        <w:rPr>
          <w:rFonts w:ascii="Arial" w:hAnsi="Arial" w:cs="Arial"/>
          <w:sz w:val="22"/>
          <w:szCs w:val="22"/>
          <w:lang w:val="en-GB"/>
        </w:rPr>
        <w:br w:type="page"/>
      </w:r>
      <w:r w:rsidR="002676F5" w:rsidRPr="009739DF">
        <w:rPr>
          <w:rFonts w:ascii="Arial" w:hAnsi="Arial" w:cs="Arial"/>
          <w:bCs w:val="0"/>
          <w:smallCaps/>
          <w:snapToGrid w:val="0"/>
          <w:kern w:val="0"/>
          <w:sz w:val="22"/>
          <w:szCs w:val="22"/>
          <w:lang w:val="en-GB" w:eastAsia="en-US"/>
        </w:rPr>
        <w:lastRenderedPageBreak/>
        <w:t>Introduction</w:t>
      </w:r>
    </w:p>
    <w:p w:rsidR="002676F5" w:rsidRPr="009739DF" w:rsidRDefault="002676F5" w:rsidP="00131607">
      <w:pPr>
        <w:pStyle w:val="Paragraph"/>
        <w:spacing w:before="0" w:after="120"/>
      </w:pPr>
      <w:r w:rsidRPr="009739DF">
        <w:t xml:space="preserve">The Plan for the use of the resources of the Intangible Cultural Heritage Fund and budget plan adopted by the General Assembly at its </w:t>
      </w:r>
      <w:r w:rsidR="00D537ED" w:rsidRPr="009739DF">
        <w:t>fifth</w:t>
      </w:r>
      <w:r w:rsidRPr="009739DF">
        <w:t xml:space="preserve"> session (Resolution </w:t>
      </w:r>
      <w:r w:rsidR="00D537ED" w:rsidRPr="009739DF">
        <w:t>5</w:t>
      </w:r>
      <w:r w:rsidRPr="009739DF">
        <w:t xml:space="preserve">.GA 7) allocates </w:t>
      </w:r>
      <w:r w:rsidR="00D537ED" w:rsidRPr="00980F31">
        <w:t>20</w:t>
      </w:r>
      <w:r w:rsidRPr="009739DF">
        <w:t>% of the total for ‘Other functions of the Committee’ as described in Article 7 of the Convention and in the Operational Directives. Such ‘other functions’ aim, in particular, at promoting the objectives of the Convention and encouraging and monitoring its implementation through strengthening institutional and community capacities for effectively safeguarding intangible cultural heritage, raising awareness of such heritage and its significance, and disseminating information about best safeguarding practices.</w:t>
      </w:r>
    </w:p>
    <w:p w:rsidR="00372D2E" w:rsidRPr="009739DF" w:rsidRDefault="00372D2E" w:rsidP="00131607">
      <w:pPr>
        <w:pStyle w:val="Paragraph"/>
        <w:spacing w:before="0" w:after="120"/>
      </w:pPr>
      <w:r w:rsidRPr="009739DF">
        <w:t xml:space="preserve">The amount </w:t>
      </w:r>
      <w:r w:rsidR="001D4793" w:rsidRPr="009739DF">
        <w:t xml:space="preserve">of US$1,351,087 is </w:t>
      </w:r>
      <w:r w:rsidRPr="009739DF">
        <w:t>available for this purpose for the period of 1 January 2014 to 31 December 2015, with an additional provisional amount of US$337,772 available for the period 1 January 2016 to 30 June 2016.</w:t>
      </w:r>
    </w:p>
    <w:p w:rsidR="00372D2E" w:rsidRPr="009739DF" w:rsidRDefault="00372D2E" w:rsidP="00131607">
      <w:pPr>
        <w:pStyle w:val="Paragraph"/>
        <w:spacing w:before="0" w:after="120"/>
      </w:pPr>
      <w:r w:rsidRPr="009739DF">
        <w:t xml:space="preserve">In its Decision 8.COM 4.BUR 1, the Bureau of the Committee approved the Secretariat’s proposal to spend US$276,953 during the first semester of the biennium, i.e. 1 January </w:t>
      </w:r>
      <w:r w:rsidR="003320F7">
        <w:t>to 30 </w:t>
      </w:r>
      <w:r w:rsidRPr="009739DF">
        <w:t xml:space="preserve">June 2014. It also requested the Secretariat to ‘report on the progress of implementation and the way the funds are spent.’ Part II </w:t>
      </w:r>
      <w:r w:rsidR="00F01235" w:rsidRPr="009739DF">
        <w:t xml:space="preserve">of the present document therefore </w:t>
      </w:r>
      <w:r w:rsidR="006A57BE" w:rsidRPr="009739DF">
        <w:t>provides</w:t>
      </w:r>
      <w:r w:rsidR="00F01235" w:rsidRPr="009739DF">
        <w:t xml:space="preserve"> a brief report on the use of the funds to date</w:t>
      </w:r>
      <w:r w:rsidR="006A57BE" w:rsidRPr="009739DF">
        <w:t xml:space="preserve"> during the current biennium</w:t>
      </w:r>
      <w:r w:rsidR="00F01235" w:rsidRPr="009739DF">
        <w:t>.</w:t>
      </w:r>
      <w:r w:rsidR="00F01235" w:rsidRPr="009739DF">
        <w:rPr>
          <w:rStyle w:val="FootnoteReference"/>
        </w:rPr>
        <w:footnoteReference w:id="1"/>
      </w:r>
    </w:p>
    <w:p w:rsidR="006837B1" w:rsidRPr="009739DF" w:rsidRDefault="002676F5" w:rsidP="00131607">
      <w:pPr>
        <w:pStyle w:val="Paragraph"/>
        <w:spacing w:before="0" w:after="120"/>
      </w:pPr>
      <w:r w:rsidRPr="009739DF">
        <w:t xml:space="preserve">In its Decision </w:t>
      </w:r>
      <w:r w:rsidR="00D537ED" w:rsidRPr="009739DF">
        <w:t>8</w:t>
      </w:r>
      <w:r w:rsidRPr="009739DF">
        <w:t>.COM </w:t>
      </w:r>
      <w:r w:rsidR="00D537ED" w:rsidRPr="009739DF">
        <w:t>11</w:t>
      </w:r>
      <w:r w:rsidRPr="009739DF">
        <w:t>, the Committee decided to continue with the mechanism set in place in previous sessions for authorizing expenditures in this category. In that Decision, the Committee ‘delegates to its Bureau the authority to decide upon the utilization of the funds allocated under item 3 of the Plan, on the basis of specific proposals to be prepared by the Secretariat’.</w:t>
      </w:r>
      <w:r w:rsidR="00372D2E" w:rsidRPr="009739DF">
        <w:t xml:space="preserve"> Part III</w:t>
      </w:r>
      <w:r w:rsidR="001D4793" w:rsidRPr="009739DF">
        <w:t xml:space="preserve"> of</w:t>
      </w:r>
      <w:r w:rsidR="00372D2E" w:rsidRPr="009739DF">
        <w:t xml:space="preserve"> the present document </w:t>
      </w:r>
      <w:r w:rsidR="00572F9B" w:rsidRPr="009739DF">
        <w:t xml:space="preserve">therefore </w:t>
      </w:r>
      <w:r w:rsidR="001D4793" w:rsidRPr="009739DF">
        <w:t xml:space="preserve">introduces </w:t>
      </w:r>
      <w:r w:rsidR="00372D2E" w:rsidRPr="009739DF">
        <w:t xml:space="preserve">a specific proposal prepared by the Secretariat for the utilization of these funds for the periods of 1 January 2014 to </w:t>
      </w:r>
      <w:r w:rsidR="00287D39" w:rsidRPr="009739DF">
        <w:t>31 </w:t>
      </w:r>
      <w:r w:rsidR="003320F7">
        <w:t>December 2015 and 1 January</w:t>
      </w:r>
      <w:r w:rsidR="00372D2E" w:rsidRPr="009739DF">
        <w:t xml:space="preserve"> to 30 June 2016</w:t>
      </w:r>
      <w:r w:rsidR="000A6BCD" w:rsidRPr="009739DF">
        <w:t>; the proposal constitutes the annex to the draft decision proposed below</w:t>
      </w:r>
      <w:r w:rsidR="00372D2E" w:rsidRPr="009739DF">
        <w:t>.</w:t>
      </w:r>
    </w:p>
    <w:p w:rsidR="002676F5" w:rsidRPr="009739DF" w:rsidRDefault="006837B1" w:rsidP="00131607">
      <w:pPr>
        <w:pStyle w:val="Paragraph"/>
        <w:spacing w:before="0" w:after="120"/>
      </w:pPr>
      <w:r w:rsidRPr="009739DF">
        <w:t>If adopted, the present proposal will supersede the plan previously approved by the Bureau in its Decision 8.COM 4.BUR 1</w:t>
      </w:r>
      <w:r w:rsidR="00D8300A" w:rsidRPr="009739DF">
        <w:t>; the allocations proposed in the plan therefore include those expenses already incurred to date during the biennium</w:t>
      </w:r>
      <w:r w:rsidRPr="009739DF">
        <w:t xml:space="preserve">. Similarly, the plan </w:t>
      </w:r>
      <w:r w:rsidR="00572F9B" w:rsidRPr="009739DF">
        <w:t xml:space="preserve">adopted now </w:t>
      </w:r>
      <w:r w:rsidRPr="009739DF">
        <w:t>for the first semester of 2016 will be subject to revision after the General Assembly will have met for its sixth session in June 2016.</w:t>
      </w:r>
      <w:r w:rsidR="00131607" w:rsidRPr="009739DF">
        <w:t xml:space="preserve"> Since all of the activities undertaken in the first semester of 2014 also figure into the overall plan for the biennium and the largest part are ongoing, the progress reporting in Part II is brief and the activities are described more fully in Part III.</w:t>
      </w:r>
    </w:p>
    <w:p w:rsidR="002676F5" w:rsidRPr="009739DF" w:rsidRDefault="00560AD6" w:rsidP="00560AD6">
      <w:pPr>
        <w:pStyle w:val="Heading1"/>
        <w:numPr>
          <w:ilvl w:val="0"/>
          <w:numId w:val="19"/>
        </w:numPr>
        <w:tabs>
          <w:tab w:val="left" w:pos="567"/>
        </w:tabs>
        <w:snapToGrid w:val="0"/>
        <w:spacing w:before="360" w:after="240"/>
        <w:ind w:left="567" w:hanging="567"/>
        <w:rPr>
          <w:rFonts w:ascii="Arial" w:hAnsi="Arial" w:cs="Arial"/>
          <w:bCs w:val="0"/>
          <w:smallCaps/>
          <w:snapToGrid w:val="0"/>
          <w:kern w:val="0"/>
          <w:sz w:val="22"/>
          <w:szCs w:val="22"/>
          <w:lang w:val="en-GB" w:eastAsia="en-US"/>
        </w:rPr>
      </w:pPr>
      <w:r w:rsidRPr="009739DF">
        <w:rPr>
          <w:rFonts w:ascii="Arial" w:hAnsi="Arial" w:cs="Arial"/>
          <w:bCs w:val="0"/>
          <w:smallCaps/>
          <w:snapToGrid w:val="0"/>
          <w:kern w:val="0"/>
          <w:sz w:val="22"/>
          <w:szCs w:val="22"/>
          <w:lang w:val="en-GB" w:eastAsia="en-US"/>
        </w:rPr>
        <w:t xml:space="preserve">Activities already accomplished </w:t>
      </w:r>
      <w:r w:rsidR="002676F5" w:rsidRPr="009739DF">
        <w:rPr>
          <w:rFonts w:ascii="Arial" w:hAnsi="Arial" w:cs="Arial"/>
          <w:bCs w:val="0"/>
          <w:smallCaps/>
          <w:snapToGrid w:val="0"/>
          <w:kern w:val="0"/>
          <w:sz w:val="22"/>
          <w:szCs w:val="22"/>
          <w:lang w:val="en-GB" w:eastAsia="en-US"/>
        </w:rPr>
        <w:t>in the present biennium</w:t>
      </w:r>
    </w:p>
    <w:p w:rsidR="002676F5" w:rsidRPr="009739DF" w:rsidRDefault="006C6728" w:rsidP="00560AD6">
      <w:pPr>
        <w:pStyle w:val="Heading2"/>
        <w:tabs>
          <w:tab w:val="left" w:pos="567"/>
        </w:tabs>
        <w:snapToGrid w:val="0"/>
        <w:spacing w:before="360" w:after="240"/>
        <w:ind w:left="1134"/>
        <w:jc w:val="both"/>
        <w:rPr>
          <w:rFonts w:ascii="Arial" w:hAnsi="Arial" w:cs="Arial"/>
          <w:bCs w:val="0"/>
          <w:i w:val="0"/>
          <w:iCs w:val="0"/>
          <w:snapToGrid w:val="0"/>
          <w:sz w:val="22"/>
          <w:szCs w:val="22"/>
          <w:lang w:val="en-GB" w:eastAsia="en-US"/>
        </w:rPr>
      </w:pPr>
      <w:r w:rsidRPr="009739DF">
        <w:rPr>
          <w:rFonts w:ascii="Arial" w:hAnsi="Arial" w:cs="Arial"/>
          <w:bCs w:val="0"/>
          <w:i w:val="0"/>
          <w:iCs w:val="0"/>
          <w:snapToGrid w:val="0"/>
          <w:sz w:val="22"/>
          <w:szCs w:val="22"/>
          <w:lang w:val="en-GB" w:eastAsia="en-US"/>
        </w:rPr>
        <w:t xml:space="preserve">Budget line A: </w:t>
      </w:r>
      <w:r w:rsidR="002676F5" w:rsidRPr="009739DF">
        <w:rPr>
          <w:rFonts w:ascii="Arial" w:hAnsi="Arial" w:cs="Arial"/>
          <w:bCs w:val="0"/>
          <w:i w:val="0"/>
          <w:iCs w:val="0"/>
          <w:snapToGrid w:val="0"/>
          <w:sz w:val="22"/>
          <w:szCs w:val="22"/>
          <w:lang w:val="en-GB" w:eastAsia="en-US"/>
        </w:rPr>
        <w:t>Capacity-building</w:t>
      </w:r>
      <w:r w:rsidR="00131607" w:rsidRPr="009739DF">
        <w:rPr>
          <w:rFonts w:ascii="Arial" w:hAnsi="Arial" w:cs="Arial"/>
          <w:bCs w:val="0"/>
          <w:i w:val="0"/>
          <w:iCs w:val="0"/>
          <w:snapToGrid w:val="0"/>
          <w:sz w:val="22"/>
          <w:szCs w:val="22"/>
          <w:lang w:val="en-GB" w:eastAsia="en-US"/>
        </w:rPr>
        <w:t xml:space="preserve"> (US$151,067 allocated)</w:t>
      </w:r>
    </w:p>
    <w:p w:rsidR="00C3376D" w:rsidRPr="009739DF" w:rsidRDefault="002676F5" w:rsidP="002020C9">
      <w:pPr>
        <w:pStyle w:val="Paragraph"/>
        <w:spacing w:before="0" w:after="120"/>
      </w:pPr>
      <w:r w:rsidRPr="009739DF">
        <w:t xml:space="preserve">In the present biennium, </w:t>
      </w:r>
      <w:r w:rsidR="00342B5F" w:rsidRPr="009739DF">
        <w:t xml:space="preserve">the Secretariat </w:t>
      </w:r>
      <w:r w:rsidR="005B1DCD" w:rsidRPr="009739DF">
        <w:t xml:space="preserve">continued to </w:t>
      </w:r>
      <w:r w:rsidR="00342B5F" w:rsidRPr="009739DF">
        <w:t xml:space="preserve">pursue the task of development, production and revision of the training curricula </w:t>
      </w:r>
      <w:r w:rsidR="0075794A" w:rsidRPr="009739DF">
        <w:t>while</w:t>
      </w:r>
      <w:r w:rsidR="00342B5F" w:rsidRPr="009739DF">
        <w:t xml:space="preserve"> improving both their content and structure to increase their effectiveness. </w:t>
      </w:r>
      <w:r w:rsidR="0075794A" w:rsidRPr="009739DF">
        <w:t xml:space="preserve">It also </w:t>
      </w:r>
      <w:r w:rsidR="00733256" w:rsidRPr="009739DF">
        <w:t xml:space="preserve">launched </w:t>
      </w:r>
      <w:r w:rsidR="00661A2C" w:rsidRPr="009739DF">
        <w:t>its</w:t>
      </w:r>
      <w:r w:rsidR="00C3376D" w:rsidRPr="009739DF">
        <w:t xml:space="preserve"> effort</w:t>
      </w:r>
      <w:r w:rsidR="00733256" w:rsidRPr="009739DF">
        <w:t xml:space="preserve"> </w:t>
      </w:r>
      <w:r w:rsidR="00C3376D" w:rsidRPr="009739DF">
        <w:t>to respond to the recommendation of the recent IOS Evaluation that capacity-building efforts should give greater attention to integrating intangible cultural heritage in legislation or other policies (Document ITH/13/8.COM/INF.5.c).</w:t>
      </w:r>
      <w:r w:rsidR="00D109BC" w:rsidRPr="009739DF">
        <w:t xml:space="preserve"> Funds </w:t>
      </w:r>
      <w:r w:rsidR="00B768C6" w:rsidRPr="009739DF">
        <w:t>were</w:t>
      </w:r>
      <w:r w:rsidR="00E00ABC" w:rsidRPr="009739DF">
        <w:t xml:space="preserve"> </w:t>
      </w:r>
      <w:r w:rsidR="002020C9" w:rsidRPr="009739DF">
        <w:t xml:space="preserve">also </w:t>
      </w:r>
      <w:r w:rsidR="00D109BC" w:rsidRPr="009739DF">
        <w:t xml:space="preserve">used to </w:t>
      </w:r>
      <w:r w:rsidR="00B768C6" w:rsidRPr="009739DF">
        <w:t xml:space="preserve">initiate </w:t>
      </w:r>
      <w:r w:rsidR="00D109BC" w:rsidRPr="009739DF">
        <w:t>needs assessment</w:t>
      </w:r>
      <w:r w:rsidR="002020C9" w:rsidRPr="009739DF">
        <w:t>s</w:t>
      </w:r>
      <w:r w:rsidR="00D109BC" w:rsidRPr="009739DF">
        <w:t xml:space="preserve"> in Ethiopia</w:t>
      </w:r>
      <w:r w:rsidR="002020C9" w:rsidRPr="009739DF">
        <w:t xml:space="preserve"> and Fiji</w:t>
      </w:r>
      <w:r w:rsidR="00D109BC" w:rsidRPr="009739DF">
        <w:t xml:space="preserve"> to determine capacity-building priorities and opportunities to be supported, in the future, from extrabudgetary sources (to be identified)</w:t>
      </w:r>
      <w:r w:rsidR="00E00ABC" w:rsidRPr="009739DF">
        <w:t>.</w:t>
      </w:r>
    </w:p>
    <w:p w:rsidR="008D7444" w:rsidRPr="009739DF" w:rsidRDefault="00C3376D" w:rsidP="002020C9">
      <w:pPr>
        <w:pStyle w:val="Paragraph"/>
        <w:spacing w:before="0" w:after="120"/>
      </w:pPr>
      <w:r w:rsidRPr="009739DF">
        <w:lastRenderedPageBreak/>
        <w:t xml:space="preserve">To establish a solid foundation for </w:t>
      </w:r>
      <w:r w:rsidR="00733256" w:rsidRPr="009739DF">
        <w:t>support</w:t>
      </w:r>
      <w:r w:rsidR="00661A2C" w:rsidRPr="009739DF">
        <w:t>ing</w:t>
      </w:r>
      <w:r w:rsidR="00733256" w:rsidRPr="009739DF">
        <w:t xml:space="preserve"> countries in </w:t>
      </w:r>
      <w:r w:rsidRPr="009739DF">
        <w:t xml:space="preserve">the policy area, work during the semester </w:t>
      </w:r>
      <w:r w:rsidR="00C015EE" w:rsidRPr="009739DF">
        <w:t xml:space="preserve">focused on </w:t>
      </w:r>
      <w:r w:rsidR="002020C9" w:rsidRPr="009739DF">
        <w:t>analysing</w:t>
      </w:r>
      <w:r w:rsidR="008D7444" w:rsidRPr="009739DF">
        <w:t xml:space="preserve"> the approaches </w:t>
      </w:r>
      <w:r w:rsidR="00661A2C" w:rsidRPr="009739DF">
        <w:t xml:space="preserve">to policy advice </w:t>
      </w:r>
      <w:r w:rsidR="008D7444" w:rsidRPr="009739DF">
        <w:t>used so far in the Culture Sector</w:t>
      </w:r>
      <w:r w:rsidRPr="009739DF">
        <w:t>, elsewhere in UNESCO</w:t>
      </w:r>
      <w:r w:rsidR="008D7444" w:rsidRPr="009739DF">
        <w:t xml:space="preserve"> and </w:t>
      </w:r>
      <w:r w:rsidRPr="009739DF">
        <w:t xml:space="preserve">in </w:t>
      </w:r>
      <w:r w:rsidR="008D7444" w:rsidRPr="009739DF">
        <w:t xml:space="preserve">other agencies </w:t>
      </w:r>
      <w:r w:rsidRPr="009739DF">
        <w:t>and</w:t>
      </w:r>
      <w:r w:rsidR="002020C9" w:rsidRPr="009739DF">
        <w:t xml:space="preserve"> on</w:t>
      </w:r>
      <w:r w:rsidR="00332374" w:rsidRPr="009739DF">
        <w:t xml:space="preserve"> </w:t>
      </w:r>
      <w:r w:rsidRPr="009739DF">
        <w:t xml:space="preserve">identifying </w:t>
      </w:r>
      <w:r w:rsidR="00C015EE" w:rsidRPr="009739DF">
        <w:t xml:space="preserve">key issues </w:t>
      </w:r>
      <w:r w:rsidR="008D7444" w:rsidRPr="009739DF">
        <w:t xml:space="preserve">and questions that require special attention </w:t>
      </w:r>
      <w:r w:rsidR="00661A2C" w:rsidRPr="009739DF">
        <w:t>when</w:t>
      </w:r>
      <w:r w:rsidR="008D7444" w:rsidRPr="009739DF">
        <w:t xml:space="preserve"> develop</w:t>
      </w:r>
      <w:r w:rsidR="00661A2C" w:rsidRPr="009739DF">
        <w:t>ing</w:t>
      </w:r>
      <w:r w:rsidR="008D7444" w:rsidRPr="009739DF">
        <w:t xml:space="preserve"> </w:t>
      </w:r>
      <w:r w:rsidR="00C015EE" w:rsidRPr="009739DF">
        <w:t>approach</w:t>
      </w:r>
      <w:r w:rsidR="00661A2C" w:rsidRPr="009739DF">
        <w:t>es</w:t>
      </w:r>
      <w:r w:rsidR="00C015EE" w:rsidRPr="009739DF">
        <w:t xml:space="preserve"> and materials</w:t>
      </w:r>
      <w:r w:rsidR="00661A2C" w:rsidRPr="009739DF">
        <w:t xml:space="preserve"> in this area</w:t>
      </w:r>
      <w:r w:rsidR="00C015EE" w:rsidRPr="009739DF">
        <w:t xml:space="preserve">. </w:t>
      </w:r>
      <w:r w:rsidR="005B1DCD" w:rsidRPr="009739DF">
        <w:t>Funds were used to prepare a</w:t>
      </w:r>
      <w:r w:rsidR="00332374" w:rsidRPr="009739DF">
        <w:t xml:space="preserve"> workshop at the end of June </w:t>
      </w:r>
      <w:r w:rsidR="005B1DCD" w:rsidRPr="009739DF">
        <w:t xml:space="preserve">that </w:t>
      </w:r>
      <w:r w:rsidR="00332374" w:rsidRPr="009739DF">
        <w:t>will bring together colleagues from UNESCO’s culture conventions and sister agencies</w:t>
      </w:r>
      <w:r w:rsidR="002020C9" w:rsidRPr="009739DF">
        <w:t xml:space="preserve"> to identify fruitful approaches to be taken when</w:t>
      </w:r>
      <w:r w:rsidR="00332374" w:rsidRPr="009739DF">
        <w:t xml:space="preserve"> </w:t>
      </w:r>
      <w:r w:rsidR="001329D6" w:rsidRPr="009739DF">
        <w:t>providing</w:t>
      </w:r>
      <w:r w:rsidR="00EB59BF" w:rsidRPr="009739DF">
        <w:t xml:space="preserve"> </w:t>
      </w:r>
      <w:r w:rsidR="005B1DCD" w:rsidRPr="009739DF">
        <w:t xml:space="preserve">effective policy </w:t>
      </w:r>
      <w:r w:rsidR="00EB485B" w:rsidRPr="009739DF">
        <w:t>advice.</w:t>
      </w:r>
    </w:p>
    <w:p w:rsidR="00BA464A" w:rsidRPr="00DE782E" w:rsidRDefault="00661A2C" w:rsidP="004529A1">
      <w:pPr>
        <w:pStyle w:val="Paragraph"/>
        <w:spacing w:before="0" w:after="120"/>
      </w:pPr>
      <w:r w:rsidRPr="00DE782E">
        <w:t>With regard to the training curricula and materials, t</w:t>
      </w:r>
      <w:r w:rsidR="001329D6" w:rsidRPr="00DE782E">
        <w:t xml:space="preserve">he Secretariat continued </w:t>
      </w:r>
      <w:r w:rsidRPr="00DE782E">
        <w:t xml:space="preserve">to make the materials </w:t>
      </w:r>
      <w:r w:rsidR="001329D6" w:rsidRPr="00DE782E">
        <w:t xml:space="preserve">more </w:t>
      </w:r>
      <w:proofErr w:type="gramStart"/>
      <w:r w:rsidR="001329D6" w:rsidRPr="00DE782E">
        <w:t>user</w:t>
      </w:r>
      <w:proofErr w:type="gramEnd"/>
      <w:r w:rsidR="001329D6" w:rsidRPr="00DE782E">
        <w:t xml:space="preserve"> friendly</w:t>
      </w:r>
      <w:r w:rsidR="00BA464A" w:rsidRPr="00DE782E">
        <w:t xml:space="preserve"> and </w:t>
      </w:r>
      <w:r w:rsidRPr="00317549">
        <w:t xml:space="preserve">better </w:t>
      </w:r>
      <w:r w:rsidR="0002431E" w:rsidRPr="00317549">
        <w:t>enable</w:t>
      </w:r>
      <w:r w:rsidRPr="00317549">
        <w:t xml:space="preserve"> </w:t>
      </w:r>
      <w:r w:rsidR="00BA464A" w:rsidRPr="00317549">
        <w:t xml:space="preserve">trainers to tailor the content of capacity-building workshops to the needs of </w:t>
      </w:r>
      <w:r w:rsidRPr="00317549">
        <w:t xml:space="preserve">specific </w:t>
      </w:r>
      <w:r w:rsidR="00BA464A" w:rsidRPr="00317549">
        <w:t>audiences</w:t>
      </w:r>
      <w:r w:rsidR="00BA464A" w:rsidRPr="00DE782E">
        <w:t xml:space="preserve">. </w:t>
      </w:r>
      <w:r w:rsidR="0002431E" w:rsidRPr="00DE782E">
        <w:t>Writing and editing of a</w:t>
      </w:r>
      <w:r w:rsidR="00BA464A" w:rsidRPr="00DE782E">
        <w:t xml:space="preserve">dditional </w:t>
      </w:r>
      <w:r w:rsidR="0002431E" w:rsidRPr="00DE782E">
        <w:t>materials</w:t>
      </w:r>
      <w:r w:rsidR="00BA464A" w:rsidRPr="00DE782E">
        <w:t xml:space="preserve"> on sustainable development, gender and safeguarding </w:t>
      </w:r>
      <w:r w:rsidR="0002431E" w:rsidRPr="00DE782E">
        <w:t>continued</w:t>
      </w:r>
      <w:r w:rsidR="00BA464A" w:rsidRPr="00DE782E">
        <w:t xml:space="preserve">. </w:t>
      </w:r>
      <w:r w:rsidR="00D109BC" w:rsidRPr="00DE782E">
        <w:t>T</w:t>
      </w:r>
      <w:r w:rsidR="00BA464A" w:rsidRPr="00DE782E">
        <w:t>he</w:t>
      </w:r>
      <w:r w:rsidR="005B1DCD" w:rsidRPr="00DE782E">
        <w:t>ir scope has been enlarged following the</w:t>
      </w:r>
      <w:r w:rsidR="00BA464A" w:rsidRPr="00DE782E">
        <w:t xml:space="preserve"> </w:t>
      </w:r>
      <w:r w:rsidR="00B60C7F" w:rsidRPr="00DE782E">
        <w:t xml:space="preserve">IOS evaluation and </w:t>
      </w:r>
      <w:r w:rsidR="004529A1" w:rsidRPr="00DE782E">
        <w:t>feedback from</w:t>
      </w:r>
      <w:r w:rsidR="00B60C7F" w:rsidRPr="00DE782E">
        <w:t xml:space="preserve"> UNESCO facilitators in the Arab </w:t>
      </w:r>
      <w:r w:rsidR="00D109BC" w:rsidRPr="00DE782E">
        <w:t xml:space="preserve">States </w:t>
      </w:r>
      <w:r w:rsidR="00B60C7F" w:rsidRPr="00DE782E">
        <w:t>region</w:t>
      </w:r>
      <w:r w:rsidR="005B1DCD" w:rsidRPr="00DE782E">
        <w:t xml:space="preserve"> (May 2014)</w:t>
      </w:r>
      <w:r w:rsidR="00B60C7F" w:rsidRPr="00DE782E">
        <w:t xml:space="preserve"> </w:t>
      </w:r>
      <w:r w:rsidR="005B1DCD" w:rsidRPr="00DE782E">
        <w:t xml:space="preserve">that </w:t>
      </w:r>
      <w:r w:rsidR="00B60C7F" w:rsidRPr="00DE782E">
        <w:t>confirmed</w:t>
      </w:r>
      <w:r w:rsidR="00D109BC" w:rsidRPr="00DE782E">
        <w:t xml:space="preserve"> the </w:t>
      </w:r>
      <w:r w:rsidR="004529A1" w:rsidRPr="00DE782E">
        <w:t>earlier feedback from</w:t>
      </w:r>
      <w:r w:rsidR="00D109BC" w:rsidRPr="00DE782E">
        <w:t xml:space="preserve"> </w:t>
      </w:r>
      <w:r w:rsidR="004529A1" w:rsidRPr="00DE782E">
        <w:t xml:space="preserve">facilitators in </w:t>
      </w:r>
      <w:r w:rsidR="00D109BC" w:rsidRPr="00DE782E">
        <w:t>Asia</w:t>
      </w:r>
      <w:r w:rsidR="004529A1" w:rsidRPr="00DE782E">
        <w:t xml:space="preserve"> (2012)</w:t>
      </w:r>
      <w:r w:rsidR="00D109BC" w:rsidRPr="00DE782E">
        <w:t xml:space="preserve"> and Latin America and the Caribbean</w:t>
      </w:r>
      <w:r w:rsidR="004529A1" w:rsidRPr="00DE782E">
        <w:t xml:space="preserve"> (2013)</w:t>
      </w:r>
      <w:r w:rsidR="00BA464A" w:rsidRPr="00DE782E">
        <w:t>.</w:t>
      </w:r>
      <w:r w:rsidR="004529A1" w:rsidRPr="00DE782E">
        <w:t xml:space="preserve"> The requirement </w:t>
      </w:r>
      <w:r w:rsidR="004529A1" w:rsidRPr="00DE782E">
        <w:rPr>
          <w:rStyle w:val="hps"/>
        </w:rPr>
        <w:t>to support online access by facilitators to capacity-building curricula</w:t>
      </w:r>
      <w:r w:rsidR="004529A1" w:rsidRPr="00DE782E">
        <w:t xml:space="preserve"> demanded more resources than foreseen and, given its priority, an additional US$25,000 was reprogrammed for this task (see paragraphs 10 and 12 below).</w:t>
      </w:r>
    </w:p>
    <w:p w:rsidR="001B41F2" w:rsidRPr="009739DF" w:rsidRDefault="006C6728" w:rsidP="00560AD6">
      <w:pPr>
        <w:pStyle w:val="Heading2"/>
        <w:tabs>
          <w:tab w:val="left" w:pos="567"/>
        </w:tabs>
        <w:snapToGrid w:val="0"/>
        <w:spacing w:before="360" w:after="240"/>
        <w:ind w:left="1134"/>
        <w:jc w:val="both"/>
        <w:rPr>
          <w:rFonts w:ascii="Arial" w:hAnsi="Arial" w:cs="Arial"/>
          <w:bCs w:val="0"/>
          <w:i w:val="0"/>
          <w:iCs w:val="0"/>
          <w:snapToGrid w:val="0"/>
          <w:sz w:val="22"/>
          <w:szCs w:val="22"/>
          <w:lang w:val="en-GB" w:eastAsia="en-US"/>
        </w:rPr>
      </w:pPr>
      <w:r w:rsidRPr="009739DF">
        <w:rPr>
          <w:rFonts w:ascii="Arial" w:hAnsi="Arial" w:cs="Arial"/>
          <w:bCs w:val="0"/>
          <w:i w:val="0"/>
          <w:iCs w:val="0"/>
          <w:snapToGrid w:val="0"/>
          <w:sz w:val="22"/>
          <w:szCs w:val="22"/>
          <w:lang w:val="en-GB" w:eastAsia="en-US"/>
        </w:rPr>
        <w:t xml:space="preserve">Budget line B: </w:t>
      </w:r>
      <w:r w:rsidR="001B41F2" w:rsidRPr="009739DF">
        <w:rPr>
          <w:rFonts w:ascii="Arial" w:hAnsi="Arial" w:cs="Arial"/>
          <w:bCs w:val="0"/>
          <w:i w:val="0"/>
          <w:iCs w:val="0"/>
          <w:snapToGrid w:val="0"/>
          <w:sz w:val="22"/>
          <w:szCs w:val="22"/>
          <w:lang w:val="en-GB" w:eastAsia="en-US"/>
        </w:rPr>
        <w:t>Knowledge Management Services</w:t>
      </w:r>
      <w:r w:rsidR="00131607" w:rsidRPr="009739DF">
        <w:rPr>
          <w:rFonts w:ascii="Arial" w:hAnsi="Arial" w:cs="Arial"/>
          <w:bCs w:val="0"/>
          <w:i w:val="0"/>
          <w:iCs w:val="0"/>
          <w:snapToGrid w:val="0"/>
          <w:sz w:val="22"/>
          <w:szCs w:val="22"/>
          <w:lang w:val="en-GB" w:eastAsia="en-US"/>
        </w:rPr>
        <w:t xml:space="preserve"> (US$83,086 allocated)</w:t>
      </w:r>
    </w:p>
    <w:p w:rsidR="001B41F2" w:rsidRPr="009739DF" w:rsidRDefault="001B41F2" w:rsidP="004529A1">
      <w:pPr>
        <w:pStyle w:val="Paragraph"/>
        <w:spacing w:before="0" w:after="120"/>
      </w:pPr>
      <w:r w:rsidRPr="009739DF">
        <w:rPr>
          <w:rStyle w:val="hps"/>
        </w:rPr>
        <w:t>The second</w:t>
      </w:r>
      <w:r w:rsidRPr="009739DF">
        <w:t xml:space="preserve"> </w:t>
      </w:r>
      <w:r w:rsidRPr="009739DF">
        <w:rPr>
          <w:rStyle w:val="hps"/>
        </w:rPr>
        <w:t>category of the approved plan was</w:t>
      </w:r>
      <w:r w:rsidRPr="009739DF">
        <w:t xml:space="preserve"> </w:t>
      </w:r>
      <w:r w:rsidRPr="009739DF">
        <w:rPr>
          <w:rStyle w:val="hps"/>
        </w:rPr>
        <w:t>dedicated to maintaining</w:t>
      </w:r>
      <w:r w:rsidRPr="009739DF">
        <w:t xml:space="preserve"> </w:t>
      </w:r>
      <w:r w:rsidRPr="009739DF">
        <w:rPr>
          <w:rStyle w:val="hps"/>
        </w:rPr>
        <w:t>and</w:t>
      </w:r>
      <w:r w:rsidRPr="009739DF">
        <w:t xml:space="preserve"> </w:t>
      </w:r>
      <w:r w:rsidRPr="009739DF">
        <w:rPr>
          <w:rStyle w:val="hps"/>
        </w:rPr>
        <w:t>improving the</w:t>
      </w:r>
      <w:r w:rsidRPr="009739DF">
        <w:t xml:space="preserve"> knowledge</w:t>
      </w:r>
      <w:r w:rsidRPr="009739DF">
        <w:rPr>
          <w:rStyle w:val="hps"/>
        </w:rPr>
        <w:t xml:space="preserve"> management</w:t>
      </w:r>
      <w:r w:rsidRPr="009739DF">
        <w:t xml:space="preserve"> </w:t>
      </w:r>
      <w:r w:rsidRPr="009739DF">
        <w:rPr>
          <w:rStyle w:val="hps"/>
        </w:rPr>
        <w:t>system</w:t>
      </w:r>
      <w:r w:rsidRPr="009739DF">
        <w:t xml:space="preserve"> </w:t>
      </w:r>
      <w:r w:rsidRPr="009739DF">
        <w:rPr>
          <w:rStyle w:val="hps"/>
        </w:rPr>
        <w:t>of the Convention</w:t>
      </w:r>
      <w:r w:rsidRPr="009739DF">
        <w:t xml:space="preserve">. </w:t>
      </w:r>
      <w:r w:rsidR="002C7113" w:rsidRPr="009739DF">
        <w:t xml:space="preserve">In </w:t>
      </w:r>
      <w:r w:rsidR="00382526" w:rsidRPr="009739DF">
        <w:t xml:space="preserve">the first semester of 2014, besides the on-going management of documentation related to statutory meetings and nomination processes, funds </w:t>
      </w:r>
      <w:r w:rsidR="002C7113" w:rsidRPr="009739DF">
        <w:t>were</w:t>
      </w:r>
      <w:r w:rsidR="00382526" w:rsidRPr="009739DF">
        <w:t xml:space="preserve"> used to optimize the system to respond to the needs of increasingly diverse users</w:t>
      </w:r>
      <w:r w:rsidR="002C7113" w:rsidRPr="009739DF">
        <w:t xml:space="preserve"> through a redesigned website (to be launched </w:t>
      </w:r>
      <w:r w:rsidR="00F71334" w:rsidRPr="009739DF">
        <w:t>during June</w:t>
      </w:r>
      <w:r w:rsidR="002C7113" w:rsidRPr="009739DF">
        <w:t>)</w:t>
      </w:r>
      <w:r w:rsidR="00382526" w:rsidRPr="009739DF">
        <w:t>.</w:t>
      </w:r>
    </w:p>
    <w:p w:rsidR="002676F5" w:rsidRPr="009739DF" w:rsidRDefault="006C6728" w:rsidP="00560AD6">
      <w:pPr>
        <w:pStyle w:val="Heading2"/>
        <w:tabs>
          <w:tab w:val="left" w:pos="567"/>
        </w:tabs>
        <w:snapToGrid w:val="0"/>
        <w:spacing w:before="360" w:after="240"/>
        <w:ind w:left="1134"/>
        <w:jc w:val="both"/>
        <w:rPr>
          <w:rFonts w:ascii="Arial" w:hAnsi="Arial" w:cs="Arial"/>
          <w:bCs w:val="0"/>
          <w:i w:val="0"/>
          <w:iCs w:val="0"/>
          <w:snapToGrid w:val="0"/>
          <w:sz w:val="22"/>
          <w:szCs w:val="22"/>
          <w:lang w:val="en-GB" w:eastAsia="en-US"/>
        </w:rPr>
      </w:pPr>
      <w:r w:rsidRPr="009739DF">
        <w:rPr>
          <w:rFonts w:ascii="Arial" w:hAnsi="Arial" w:cs="Arial"/>
          <w:bCs w:val="0"/>
          <w:i w:val="0"/>
          <w:iCs w:val="0"/>
          <w:snapToGrid w:val="0"/>
          <w:sz w:val="22"/>
          <w:szCs w:val="22"/>
          <w:lang w:val="en-GB" w:eastAsia="en-US"/>
        </w:rPr>
        <w:t xml:space="preserve">Budget line C: </w:t>
      </w:r>
      <w:r w:rsidR="00C04CC6" w:rsidRPr="009739DF">
        <w:rPr>
          <w:rFonts w:ascii="Arial" w:hAnsi="Arial" w:cs="Arial"/>
          <w:bCs w:val="0"/>
          <w:i w:val="0"/>
          <w:iCs w:val="0"/>
          <w:snapToGrid w:val="0"/>
          <w:sz w:val="22"/>
          <w:szCs w:val="22"/>
          <w:lang w:val="en-GB" w:eastAsia="en-US"/>
        </w:rPr>
        <w:t>Guidance on</w:t>
      </w:r>
      <w:r w:rsidR="002676F5" w:rsidRPr="009739DF">
        <w:rPr>
          <w:rFonts w:ascii="Arial" w:hAnsi="Arial" w:cs="Arial"/>
          <w:bCs w:val="0"/>
          <w:i w:val="0"/>
          <w:iCs w:val="0"/>
          <w:snapToGrid w:val="0"/>
          <w:sz w:val="22"/>
          <w:szCs w:val="22"/>
          <w:lang w:val="en-GB" w:eastAsia="en-US"/>
        </w:rPr>
        <w:t xml:space="preserve"> and dissemination of Best Safeguarding Practices</w:t>
      </w:r>
      <w:r w:rsidR="00131607" w:rsidRPr="009739DF">
        <w:rPr>
          <w:rFonts w:ascii="Arial" w:hAnsi="Arial" w:cs="Arial"/>
          <w:bCs w:val="0"/>
          <w:i w:val="0"/>
          <w:iCs w:val="0"/>
          <w:snapToGrid w:val="0"/>
          <w:sz w:val="22"/>
          <w:szCs w:val="22"/>
          <w:lang w:val="en-GB" w:eastAsia="en-US"/>
        </w:rPr>
        <w:t xml:space="preserve"> (US$25,000 allocated)</w:t>
      </w:r>
    </w:p>
    <w:p w:rsidR="001B41F2" w:rsidRPr="009739DF" w:rsidRDefault="009A7166" w:rsidP="004529A1">
      <w:pPr>
        <w:pStyle w:val="Paragraph"/>
        <w:spacing w:before="0" w:after="120"/>
      </w:pPr>
      <w:r w:rsidRPr="009739DF">
        <w:rPr>
          <w:rStyle w:val="hps"/>
        </w:rPr>
        <w:t xml:space="preserve">In the spending plan approved for the first semester of 2014, the Secretariat </w:t>
      </w:r>
      <w:r w:rsidR="00451551" w:rsidRPr="009739DF">
        <w:rPr>
          <w:rStyle w:val="hps"/>
        </w:rPr>
        <w:t>intended</w:t>
      </w:r>
      <w:r w:rsidRPr="009739DF">
        <w:rPr>
          <w:rStyle w:val="hps"/>
        </w:rPr>
        <w:t xml:space="preserve"> to initiate research on one or more of the projects previously selected by the Committee for the Register of Best Safeguarding </w:t>
      </w:r>
      <w:r w:rsidRPr="009739DF">
        <w:t>Practices</w:t>
      </w:r>
      <w:r w:rsidRPr="009739DF">
        <w:rPr>
          <w:rStyle w:val="hps"/>
        </w:rPr>
        <w:t xml:space="preserve"> and to explore complementary ways of sharing best safeguarding experiences, in line with Recommendation</w:t>
      </w:r>
      <w:r w:rsidR="00385509" w:rsidRPr="009739DF">
        <w:rPr>
          <w:rStyle w:val="hps"/>
        </w:rPr>
        <w:t>s</w:t>
      </w:r>
      <w:r w:rsidRPr="009739DF">
        <w:rPr>
          <w:rStyle w:val="hps"/>
        </w:rPr>
        <w:t xml:space="preserve"> 12 </w:t>
      </w:r>
      <w:r w:rsidR="00385509" w:rsidRPr="009739DF">
        <w:rPr>
          <w:rStyle w:val="hps"/>
        </w:rPr>
        <w:t xml:space="preserve">and 20 </w:t>
      </w:r>
      <w:r w:rsidRPr="009739DF">
        <w:rPr>
          <w:rStyle w:val="hps"/>
        </w:rPr>
        <w:t xml:space="preserve">of the </w:t>
      </w:r>
      <w:r w:rsidR="00115B6A" w:rsidRPr="009739DF">
        <w:rPr>
          <w:rStyle w:val="hps"/>
        </w:rPr>
        <w:t xml:space="preserve">2013 </w:t>
      </w:r>
      <w:r w:rsidRPr="009739DF">
        <w:rPr>
          <w:rStyle w:val="hps"/>
        </w:rPr>
        <w:t>Evaluation</w:t>
      </w:r>
      <w:r w:rsidR="00115B6A" w:rsidRPr="009739DF">
        <w:rPr>
          <w:rStyle w:val="hps"/>
        </w:rPr>
        <w:t xml:space="preserve"> by the Internal Oversight Service</w:t>
      </w:r>
      <w:r w:rsidRPr="009739DF">
        <w:rPr>
          <w:rStyle w:val="hps"/>
        </w:rPr>
        <w:t xml:space="preserve"> (Document ITH/13/8.COM/INF.5.c). </w:t>
      </w:r>
      <w:r w:rsidR="00451551" w:rsidRPr="009739DF">
        <w:rPr>
          <w:rStyle w:val="hps"/>
        </w:rPr>
        <w:t>However, g</w:t>
      </w:r>
      <w:r w:rsidRPr="009739DF">
        <w:rPr>
          <w:rStyle w:val="hps"/>
        </w:rPr>
        <w:t xml:space="preserve">iven the </w:t>
      </w:r>
      <w:r w:rsidR="004529A1" w:rsidRPr="009739DF">
        <w:rPr>
          <w:rStyle w:val="hps"/>
        </w:rPr>
        <w:t xml:space="preserve">greater </w:t>
      </w:r>
      <w:r w:rsidRPr="009739DF">
        <w:rPr>
          <w:rStyle w:val="hps"/>
        </w:rPr>
        <w:t xml:space="preserve">need </w:t>
      </w:r>
      <w:r w:rsidR="004529A1" w:rsidRPr="009739DF">
        <w:rPr>
          <w:rStyle w:val="hps"/>
        </w:rPr>
        <w:t>to strengthen information systems for</w:t>
      </w:r>
      <w:r w:rsidRPr="009739DF">
        <w:rPr>
          <w:rStyle w:val="hps"/>
        </w:rPr>
        <w:t xml:space="preserve"> capacity</w:t>
      </w:r>
      <w:r w:rsidR="009727B1" w:rsidRPr="009739DF">
        <w:rPr>
          <w:rStyle w:val="hps"/>
        </w:rPr>
        <w:t xml:space="preserve"> </w:t>
      </w:r>
      <w:r w:rsidRPr="009739DF">
        <w:rPr>
          <w:rStyle w:val="hps"/>
        </w:rPr>
        <w:t>building, the US$25,000 allocated to this purpose was reprogrammed</w:t>
      </w:r>
      <w:r w:rsidR="00170BCE" w:rsidRPr="009739DF">
        <w:rPr>
          <w:rStyle w:val="hps"/>
        </w:rPr>
        <w:t>,</w:t>
      </w:r>
      <w:r w:rsidRPr="009739DF">
        <w:rPr>
          <w:rStyle w:val="hps"/>
        </w:rPr>
        <w:t xml:space="preserve"> and the work regarding sharing best safeguarding experiences </w:t>
      </w:r>
      <w:r w:rsidR="00170BCE" w:rsidRPr="009739DF">
        <w:rPr>
          <w:rStyle w:val="hps"/>
        </w:rPr>
        <w:t>wa</w:t>
      </w:r>
      <w:r w:rsidRPr="009739DF">
        <w:rPr>
          <w:rStyle w:val="hps"/>
        </w:rPr>
        <w:t>s deferred to the second semester of 2014.</w:t>
      </w:r>
    </w:p>
    <w:p w:rsidR="002676F5" w:rsidRPr="009739DF" w:rsidRDefault="006C6728" w:rsidP="00560AD6">
      <w:pPr>
        <w:pStyle w:val="Heading2"/>
        <w:tabs>
          <w:tab w:val="left" w:pos="567"/>
        </w:tabs>
        <w:snapToGrid w:val="0"/>
        <w:spacing w:before="360" w:after="240"/>
        <w:ind w:left="1134"/>
        <w:jc w:val="both"/>
        <w:rPr>
          <w:rFonts w:ascii="Arial" w:hAnsi="Arial" w:cs="Arial"/>
          <w:bCs w:val="0"/>
          <w:i w:val="0"/>
          <w:iCs w:val="0"/>
          <w:snapToGrid w:val="0"/>
          <w:sz w:val="22"/>
          <w:szCs w:val="22"/>
          <w:lang w:val="en-GB" w:eastAsia="en-US"/>
        </w:rPr>
      </w:pPr>
      <w:r w:rsidRPr="009739DF">
        <w:rPr>
          <w:rFonts w:ascii="Arial" w:hAnsi="Arial" w:cs="Arial"/>
          <w:bCs w:val="0"/>
          <w:i w:val="0"/>
          <w:iCs w:val="0"/>
          <w:snapToGrid w:val="0"/>
          <w:sz w:val="22"/>
          <w:szCs w:val="22"/>
          <w:lang w:val="en-GB" w:eastAsia="en-US"/>
        </w:rPr>
        <w:t xml:space="preserve">Budget line D: </w:t>
      </w:r>
      <w:r w:rsidR="00C04CC6" w:rsidRPr="009739DF">
        <w:rPr>
          <w:rFonts w:ascii="Arial" w:hAnsi="Arial" w:cs="Arial"/>
          <w:bCs w:val="0"/>
          <w:i w:val="0"/>
          <w:iCs w:val="0"/>
          <w:snapToGrid w:val="0"/>
          <w:sz w:val="22"/>
          <w:szCs w:val="22"/>
          <w:lang w:val="en-GB" w:eastAsia="en-US"/>
        </w:rPr>
        <w:t>Visibility and awareness-raising</w:t>
      </w:r>
      <w:r w:rsidR="00131607" w:rsidRPr="009739DF">
        <w:rPr>
          <w:rFonts w:ascii="Arial" w:hAnsi="Arial" w:cs="Arial"/>
          <w:bCs w:val="0"/>
          <w:i w:val="0"/>
          <w:iCs w:val="0"/>
          <w:snapToGrid w:val="0"/>
          <w:sz w:val="22"/>
          <w:szCs w:val="22"/>
          <w:lang w:val="en-GB" w:eastAsia="en-US"/>
        </w:rPr>
        <w:t xml:space="preserve"> (US$17,800 allocated)</w:t>
      </w:r>
    </w:p>
    <w:p w:rsidR="002676F5" w:rsidRPr="009739DF" w:rsidRDefault="002676F5" w:rsidP="007C1495">
      <w:pPr>
        <w:pStyle w:val="Paragraph"/>
        <w:spacing w:before="0" w:after="120"/>
        <w:rPr>
          <w:rStyle w:val="hps"/>
        </w:rPr>
      </w:pPr>
      <w:r w:rsidRPr="009739DF">
        <w:t>One of the Convention’s purposes</w:t>
      </w:r>
      <w:r w:rsidR="00C04CC6" w:rsidRPr="009739DF">
        <w:t xml:space="preserve"> is to raise awareness of the importance of intangible cultural heritage. During the first semester of 2014, efforts </w:t>
      </w:r>
      <w:r w:rsidR="00C04CC6" w:rsidRPr="009739DF">
        <w:rPr>
          <w:rStyle w:val="hps"/>
        </w:rPr>
        <w:t xml:space="preserve">focused </w:t>
      </w:r>
      <w:r w:rsidR="00382526" w:rsidRPr="009739DF">
        <w:rPr>
          <w:rStyle w:val="hps"/>
        </w:rPr>
        <w:t>on editing</w:t>
      </w:r>
      <w:r w:rsidR="00C04CC6" w:rsidRPr="009739DF">
        <w:rPr>
          <w:rStyle w:val="hps"/>
        </w:rPr>
        <w:t>,</w:t>
      </w:r>
      <w:r w:rsidR="00382526" w:rsidRPr="009739DF">
        <w:rPr>
          <w:rStyle w:val="hps"/>
        </w:rPr>
        <w:t xml:space="preserve"> designing</w:t>
      </w:r>
      <w:r w:rsidR="00C04CC6" w:rsidRPr="009739DF">
        <w:rPr>
          <w:rStyle w:val="hps"/>
        </w:rPr>
        <w:t xml:space="preserve"> and publishing</w:t>
      </w:r>
      <w:r w:rsidR="00382526" w:rsidRPr="009739DF">
        <w:rPr>
          <w:rStyle w:val="hps"/>
        </w:rPr>
        <w:t xml:space="preserve"> electronic brochures in English and French </w:t>
      </w:r>
      <w:r w:rsidR="00EF28D5" w:rsidRPr="009739DF">
        <w:rPr>
          <w:rStyle w:val="hps"/>
        </w:rPr>
        <w:t>for</w:t>
      </w:r>
      <w:r w:rsidR="00382526" w:rsidRPr="009739DF">
        <w:rPr>
          <w:rStyle w:val="hps"/>
        </w:rPr>
        <w:t xml:space="preserve"> the 2012 and 2013 Urgent Safeguarding List and the Register of Best Safeguarding Practices, with the Representative List published exclusively through the interactive website in English, French and Spanish.</w:t>
      </w:r>
    </w:p>
    <w:p w:rsidR="006E7EAB" w:rsidRPr="009739DF" w:rsidRDefault="006E7EAB" w:rsidP="00560AD6">
      <w:pPr>
        <w:pStyle w:val="Heading2"/>
        <w:tabs>
          <w:tab w:val="left" w:pos="567"/>
        </w:tabs>
        <w:snapToGrid w:val="0"/>
        <w:spacing w:before="360" w:after="240"/>
        <w:ind w:left="1134"/>
        <w:jc w:val="both"/>
        <w:rPr>
          <w:rFonts w:ascii="Arial" w:hAnsi="Arial" w:cs="Arial"/>
          <w:bCs w:val="0"/>
          <w:i w:val="0"/>
          <w:iCs w:val="0"/>
          <w:snapToGrid w:val="0"/>
          <w:sz w:val="22"/>
          <w:szCs w:val="22"/>
          <w:lang w:val="en-GB" w:eastAsia="en-US"/>
        </w:rPr>
      </w:pPr>
      <w:r w:rsidRPr="009739DF">
        <w:rPr>
          <w:rFonts w:ascii="Arial" w:hAnsi="Arial" w:cs="Arial"/>
          <w:bCs w:val="0"/>
          <w:i w:val="0"/>
          <w:iCs w:val="0"/>
          <w:snapToGrid w:val="0"/>
          <w:sz w:val="22"/>
          <w:szCs w:val="22"/>
          <w:lang w:val="en-GB" w:eastAsia="en-US"/>
        </w:rPr>
        <w:t>Adjustments to the approved spending plan</w:t>
      </w:r>
    </w:p>
    <w:p w:rsidR="002676F5" w:rsidRPr="009739DF" w:rsidRDefault="006E7EAB" w:rsidP="007C1495">
      <w:pPr>
        <w:pStyle w:val="Paragraph"/>
        <w:spacing w:before="0" w:after="120"/>
      </w:pPr>
      <w:r w:rsidRPr="009739DF">
        <w:t>In order to maximize the effective utilization of the funds allocated to ‘other functions of the Committee’ during the first semester of 2014, the Secretariat has made adjustments</w:t>
      </w:r>
      <w:r w:rsidR="000A6BCD" w:rsidRPr="009739DF">
        <w:t>, as mentioned above,</w:t>
      </w:r>
      <w:r w:rsidR="00157129" w:rsidRPr="009739DF">
        <w:t xml:space="preserve"> </w:t>
      </w:r>
      <w:r w:rsidR="00157129" w:rsidRPr="009739DF">
        <w:rPr>
          <w:rStyle w:val="hps"/>
        </w:rPr>
        <w:t>decreas</w:t>
      </w:r>
      <w:r w:rsidR="000A6BCD" w:rsidRPr="009739DF">
        <w:rPr>
          <w:rStyle w:val="hps"/>
        </w:rPr>
        <w:t>ing</w:t>
      </w:r>
      <w:r w:rsidR="00157129" w:rsidRPr="009739DF">
        <w:t xml:space="preserve"> budget line C (Guidance on and dissemination of Best Safeguarding Practices) </w:t>
      </w:r>
      <w:r w:rsidR="000A6BCD" w:rsidRPr="009739DF">
        <w:t xml:space="preserve">by US$25,000 </w:t>
      </w:r>
      <w:r w:rsidR="00157129" w:rsidRPr="009739DF">
        <w:t>and increas</w:t>
      </w:r>
      <w:r w:rsidR="000A6BCD" w:rsidRPr="009739DF">
        <w:t>ing</w:t>
      </w:r>
      <w:r w:rsidR="00157129" w:rsidRPr="009739DF">
        <w:t xml:space="preserve"> budget line </w:t>
      </w:r>
      <w:r w:rsidR="007C1495" w:rsidRPr="009739DF">
        <w:t xml:space="preserve">A </w:t>
      </w:r>
      <w:r w:rsidR="00157129" w:rsidRPr="009739DF">
        <w:t>(</w:t>
      </w:r>
      <w:r w:rsidR="007C1495" w:rsidRPr="009739DF">
        <w:rPr>
          <w:snapToGrid w:val="0"/>
          <w:lang w:eastAsia="en-US"/>
        </w:rPr>
        <w:t>Capacity-building</w:t>
      </w:r>
      <w:r w:rsidR="00157129" w:rsidRPr="009739DF">
        <w:t>)</w:t>
      </w:r>
      <w:r w:rsidR="000A6BCD" w:rsidRPr="009739DF">
        <w:t xml:space="preserve"> by the same amount</w:t>
      </w:r>
      <w:r w:rsidRPr="009739DF">
        <w:t xml:space="preserve">. In conformity with Decision 8.COM 11, the Bureau </w:t>
      </w:r>
      <w:r w:rsidR="00157129" w:rsidRPr="009739DF">
        <w:t>is hereby informed of</w:t>
      </w:r>
      <w:r w:rsidRPr="009739DF">
        <w:t xml:space="preserve"> those adjustments.</w:t>
      </w:r>
    </w:p>
    <w:p w:rsidR="002676F5" w:rsidRPr="009739DF" w:rsidRDefault="002676F5" w:rsidP="009010F4">
      <w:pPr>
        <w:pStyle w:val="Heading1"/>
        <w:numPr>
          <w:ilvl w:val="0"/>
          <w:numId w:val="19"/>
        </w:numPr>
        <w:tabs>
          <w:tab w:val="left" w:pos="567"/>
        </w:tabs>
        <w:snapToGrid w:val="0"/>
        <w:spacing w:before="360" w:after="240"/>
        <w:ind w:left="567" w:hanging="567"/>
        <w:rPr>
          <w:rFonts w:ascii="Arial" w:hAnsi="Arial" w:cs="Arial"/>
          <w:bCs w:val="0"/>
          <w:smallCaps/>
          <w:snapToGrid w:val="0"/>
          <w:kern w:val="0"/>
          <w:sz w:val="22"/>
          <w:szCs w:val="22"/>
          <w:lang w:val="en-GB" w:eastAsia="en-US"/>
        </w:rPr>
      </w:pPr>
      <w:r w:rsidRPr="009739DF">
        <w:rPr>
          <w:rFonts w:ascii="Arial" w:hAnsi="Arial" w:cs="Arial"/>
          <w:bCs w:val="0"/>
          <w:smallCaps/>
          <w:snapToGrid w:val="0"/>
          <w:kern w:val="0"/>
          <w:sz w:val="22"/>
          <w:szCs w:val="22"/>
          <w:lang w:val="en-GB" w:eastAsia="en-US"/>
        </w:rPr>
        <w:lastRenderedPageBreak/>
        <w:t>Propos</w:t>
      </w:r>
      <w:r w:rsidR="009010F4" w:rsidRPr="009739DF">
        <w:rPr>
          <w:rFonts w:ascii="Arial" w:hAnsi="Arial" w:cs="Arial"/>
          <w:bCs w:val="0"/>
          <w:smallCaps/>
          <w:snapToGrid w:val="0"/>
          <w:kern w:val="0"/>
          <w:sz w:val="22"/>
          <w:szCs w:val="22"/>
          <w:lang w:val="en-GB" w:eastAsia="en-US"/>
        </w:rPr>
        <w:t>al for the utilization of funds for ‘other functions of the Committee’</w:t>
      </w:r>
    </w:p>
    <w:p w:rsidR="009010F4" w:rsidRPr="009739DF" w:rsidRDefault="009010F4" w:rsidP="00F16BD9">
      <w:pPr>
        <w:pStyle w:val="Paragraph"/>
        <w:tabs>
          <w:tab w:val="left" w:pos="3544"/>
        </w:tabs>
        <w:spacing w:before="0" w:after="120"/>
      </w:pPr>
      <w:r w:rsidRPr="009739DF">
        <w:rPr>
          <w:rStyle w:val="hps"/>
        </w:rPr>
        <w:t xml:space="preserve">Where previous proposals approved by the Bureau for the utilization of these funds have been structured in terms of activities and categories of activity, the present proposal seeks to </w:t>
      </w:r>
      <w:r w:rsidR="00BA1597" w:rsidRPr="009739DF">
        <w:rPr>
          <w:rStyle w:val="hps"/>
        </w:rPr>
        <w:t xml:space="preserve">fully integrate </w:t>
      </w:r>
      <w:r w:rsidR="001503B7" w:rsidRPr="009739DF">
        <w:rPr>
          <w:rStyle w:val="hps"/>
        </w:rPr>
        <w:t xml:space="preserve">the principles of </w:t>
      </w:r>
      <w:r w:rsidRPr="009739DF">
        <w:rPr>
          <w:rStyle w:val="hps"/>
        </w:rPr>
        <w:t xml:space="preserve">Results-Based Management </w:t>
      </w:r>
      <w:r w:rsidR="00BA1597" w:rsidRPr="009739DF">
        <w:rPr>
          <w:rStyle w:val="hps"/>
        </w:rPr>
        <w:t xml:space="preserve">and move towards </w:t>
      </w:r>
      <w:r w:rsidRPr="009739DF">
        <w:rPr>
          <w:rStyle w:val="hps"/>
        </w:rPr>
        <w:t xml:space="preserve">Results-Based Budgeting </w:t>
      </w:r>
      <w:r w:rsidRPr="009739DF">
        <w:t xml:space="preserve">(see 36 C/Resolution 110 and 37 C/5 Approved). The nature </w:t>
      </w:r>
      <w:r w:rsidR="001E5C0B" w:rsidRPr="009739DF">
        <w:t xml:space="preserve">and scope </w:t>
      </w:r>
      <w:r w:rsidRPr="009739DF">
        <w:t xml:space="preserve">of the </w:t>
      </w:r>
      <w:r w:rsidR="001E5C0B" w:rsidRPr="009739DF">
        <w:t>work</w:t>
      </w:r>
      <w:r w:rsidR="009E2C90" w:rsidRPr="009739DF">
        <w:t xml:space="preserve"> to be undertaken</w:t>
      </w:r>
      <w:r w:rsidRPr="009739DF">
        <w:t xml:space="preserve"> </w:t>
      </w:r>
      <w:r w:rsidR="00960E61" w:rsidRPr="009739DF">
        <w:t>is consistent with previous biennia</w:t>
      </w:r>
      <w:r w:rsidRPr="009739DF">
        <w:t xml:space="preserve">, but for the purposes of planning, decision-making and reporting, they are </w:t>
      </w:r>
      <w:r w:rsidR="00960E61" w:rsidRPr="009739DF">
        <w:t xml:space="preserve">now </w:t>
      </w:r>
      <w:r w:rsidRPr="009739DF">
        <w:t>expressed in terms of results, outputs and indicators rather than in terms of specific activities</w:t>
      </w:r>
      <w:r w:rsidR="00E96F8C" w:rsidRPr="009739DF">
        <w:t xml:space="preserve"> or categories of expense</w:t>
      </w:r>
      <w:r w:rsidRPr="009739DF">
        <w:t>. The</w:t>
      </w:r>
      <w:r w:rsidR="009E2C90" w:rsidRPr="009739DF">
        <w:t xml:space="preserve"> Bureau will consequently be asked to approve the </w:t>
      </w:r>
      <w:r w:rsidR="00E3690A" w:rsidRPr="009739DF">
        <w:t>proposal</w:t>
      </w:r>
      <w:r w:rsidR="00572F9B" w:rsidRPr="009739DF">
        <w:t>, in annex,</w:t>
      </w:r>
      <w:r w:rsidRPr="009739DF">
        <w:t xml:space="preserve"> </w:t>
      </w:r>
      <w:r w:rsidR="009E2C90" w:rsidRPr="00317549">
        <w:t>integrating the</w:t>
      </w:r>
      <w:r w:rsidRPr="00317549">
        <w:t xml:space="preserve"> results framework </w:t>
      </w:r>
      <w:r w:rsidR="009E2C90" w:rsidRPr="00317549">
        <w:t>with financial allocations for each result</w:t>
      </w:r>
      <w:r w:rsidRPr="00DE782E">
        <w:t>.</w:t>
      </w:r>
      <w:r w:rsidR="00E3484C" w:rsidRPr="00DE782E">
        <w:t xml:space="preserve"> Since the annexed </w:t>
      </w:r>
      <w:r w:rsidR="00E3690A" w:rsidRPr="00DE782E">
        <w:t>proposal</w:t>
      </w:r>
      <w:r w:rsidR="00E3484C" w:rsidRPr="00DE782E">
        <w:t xml:space="preserve"> covers the full biennium of 2014-2015</w:t>
      </w:r>
      <w:r w:rsidR="00A3649A" w:rsidRPr="00DE782E">
        <w:t xml:space="preserve"> and supersedes the provisional spending plan previously approved</w:t>
      </w:r>
      <w:r w:rsidR="00E3484C" w:rsidRPr="00DE782E">
        <w:t>, the expected results, outputs and indicators shown for that</w:t>
      </w:r>
      <w:r w:rsidR="00E3484C" w:rsidRPr="009739DF">
        <w:t xml:space="preserve"> period also include work accomplished in the first semester of 2014, as described above.</w:t>
      </w:r>
    </w:p>
    <w:p w:rsidR="00382526" w:rsidRPr="009739DF" w:rsidRDefault="00E96F8C" w:rsidP="00131607">
      <w:pPr>
        <w:pStyle w:val="Paragraph"/>
        <w:spacing w:before="0" w:after="120"/>
      </w:pPr>
      <w:r w:rsidRPr="009739DF">
        <w:t xml:space="preserve">The proposed allocations </w:t>
      </w:r>
      <w:r w:rsidR="001B60A0" w:rsidRPr="009739DF">
        <w:t>can be</w:t>
      </w:r>
      <w:r w:rsidRPr="009739DF">
        <w:t xml:space="preserve"> compared with those for the previous biennium.</w:t>
      </w:r>
      <w:r w:rsidR="000C411B" w:rsidRPr="009739DF">
        <w:t xml:space="preserve"> The</w:t>
      </w:r>
      <w:r w:rsidR="001B60A0" w:rsidRPr="009739DF">
        <w:t xml:space="preserve">ir evolution </w:t>
      </w:r>
      <w:r w:rsidR="000C411B" w:rsidRPr="009739DF">
        <w:t>reflect</w:t>
      </w:r>
      <w:r w:rsidR="001B60A0" w:rsidRPr="009739DF">
        <w:t>s</w:t>
      </w:r>
      <w:r w:rsidR="000C411B" w:rsidRPr="009739DF">
        <w:t xml:space="preserve"> the continuing emphasis given to capacity-building programme – the largest area of activity – and the essential role that knowledge management plays in the effective implementation of the Convention at the international level</w:t>
      </w:r>
      <w:r w:rsidR="004A44A6" w:rsidRPr="009739DF">
        <w:t>, as well as the Organization-wide effort to reduce publication costs</w:t>
      </w:r>
      <w:r w:rsidR="000C411B" w:rsidRPr="009739DF">
        <w:t xml:space="preserve">. </w:t>
      </w:r>
      <w:r w:rsidR="00A93DA1" w:rsidRPr="009739DF">
        <w:t xml:space="preserve">The distribution for the first semester of 2016 will be revised when the sixth session of the General Assembly in 2016 approves the Plan for the use of the resources of the Intangible Cultural Heritage Fund for the 2016-2017 </w:t>
      </w:r>
      <w:proofErr w:type="gramStart"/>
      <w:r w:rsidR="00A93DA1" w:rsidRPr="009739DF">
        <w:t>biennium</w:t>
      </w:r>
      <w:proofErr w:type="gramEnd"/>
      <w:r w:rsidR="00A93DA1" w:rsidRPr="009739DF">
        <w:t>.</w:t>
      </w:r>
    </w:p>
    <w:tbl>
      <w:tblPr>
        <w:tblW w:w="7656" w:type="dxa"/>
        <w:tblInd w:w="1310" w:type="dxa"/>
        <w:tblLayout w:type="fixed"/>
        <w:tblLook w:val="04A0" w:firstRow="1" w:lastRow="0" w:firstColumn="1" w:lastColumn="0" w:noHBand="0" w:noVBand="1"/>
      </w:tblPr>
      <w:tblGrid>
        <w:gridCol w:w="3510"/>
        <w:gridCol w:w="1382"/>
        <w:gridCol w:w="1382"/>
        <w:gridCol w:w="1382"/>
      </w:tblGrid>
      <w:tr w:rsidR="00F86461" w:rsidRPr="009739DF" w:rsidTr="009739DF">
        <w:tc>
          <w:tcPr>
            <w:tcW w:w="3510" w:type="dxa"/>
            <w:shd w:val="clear" w:color="auto" w:fill="BFBFBF"/>
            <w:vAlign w:val="center"/>
          </w:tcPr>
          <w:p w:rsidR="00F86461" w:rsidRPr="009739DF" w:rsidRDefault="00F86461" w:rsidP="00C04CC6">
            <w:pPr>
              <w:spacing w:before="120" w:after="120"/>
              <w:rPr>
                <w:rFonts w:ascii="Arial" w:hAnsi="Arial" w:cs="Arial"/>
                <w:b/>
                <w:sz w:val="22"/>
                <w:szCs w:val="22"/>
                <w:lang w:val="en-GB"/>
              </w:rPr>
            </w:pPr>
            <w:r w:rsidRPr="009739DF">
              <w:rPr>
                <w:rFonts w:ascii="Arial" w:hAnsi="Arial" w:cs="Arial"/>
                <w:b/>
                <w:sz w:val="22"/>
                <w:szCs w:val="22"/>
                <w:lang w:val="en-GB"/>
              </w:rPr>
              <w:t>Result</w:t>
            </w:r>
          </w:p>
        </w:tc>
        <w:tc>
          <w:tcPr>
            <w:tcW w:w="1382" w:type="dxa"/>
            <w:shd w:val="clear" w:color="auto" w:fill="BFBFBF"/>
            <w:vAlign w:val="center"/>
          </w:tcPr>
          <w:p w:rsidR="00F86461" w:rsidRPr="009739DF" w:rsidRDefault="00F86461" w:rsidP="00046503">
            <w:pPr>
              <w:spacing w:before="120" w:after="120"/>
              <w:jc w:val="center"/>
              <w:rPr>
                <w:rFonts w:ascii="Arial" w:hAnsi="Arial" w:cs="Arial"/>
                <w:b/>
                <w:sz w:val="22"/>
                <w:szCs w:val="22"/>
                <w:lang w:val="en-GB"/>
              </w:rPr>
            </w:pPr>
            <w:r w:rsidRPr="009739DF">
              <w:rPr>
                <w:rFonts w:ascii="Arial" w:hAnsi="Arial" w:cs="Arial"/>
                <w:b/>
                <w:sz w:val="22"/>
                <w:szCs w:val="22"/>
                <w:lang w:val="en-GB"/>
              </w:rPr>
              <w:t>2012-2013</w:t>
            </w:r>
          </w:p>
        </w:tc>
        <w:tc>
          <w:tcPr>
            <w:tcW w:w="1382" w:type="dxa"/>
            <w:shd w:val="clear" w:color="auto" w:fill="BFBFBF"/>
            <w:vAlign w:val="center"/>
          </w:tcPr>
          <w:p w:rsidR="00F86461" w:rsidRPr="009739DF" w:rsidRDefault="00F86461" w:rsidP="00F435F9">
            <w:pPr>
              <w:spacing w:before="120" w:after="120"/>
              <w:jc w:val="center"/>
              <w:rPr>
                <w:rFonts w:ascii="Arial" w:hAnsi="Arial" w:cs="Arial"/>
                <w:b/>
                <w:sz w:val="22"/>
                <w:szCs w:val="22"/>
                <w:lang w:val="en-GB"/>
              </w:rPr>
            </w:pPr>
            <w:r w:rsidRPr="009739DF">
              <w:rPr>
                <w:rFonts w:ascii="Arial" w:hAnsi="Arial" w:cs="Arial"/>
                <w:b/>
                <w:sz w:val="22"/>
                <w:szCs w:val="22"/>
                <w:lang w:val="en-GB"/>
              </w:rPr>
              <w:t>2014-2015</w:t>
            </w:r>
          </w:p>
        </w:tc>
        <w:tc>
          <w:tcPr>
            <w:tcW w:w="1382" w:type="dxa"/>
            <w:shd w:val="clear" w:color="auto" w:fill="BFBFBF"/>
          </w:tcPr>
          <w:p w:rsidR="00F86461" w:rsidRPr="009739DF" w:rsidRDefault="00F86461" w:rsidP="00382526">
            <w:pPr>
              <w:spacing w:before="120" w:after="120"/>
              <w:jc w:val="center"/>
              <w:rPr>
                <w:rFonts w:ascii="Arial" w:hAnsi="Arial" w:cs="Arial"/>
                <w:b/>
                <w:sz w:val="22"/>
                <w:szCs w:val="22"/>
                <w:lang w:val="en-GB"/>
              </w:rPr>
            </w:pPr>
            <w:r w:rsidRPr="009739DF">
              <w:rPr>
                <w:rFonts w:ascii="Arial" w:hAnsi="Arial" w:cs="Arial"/>
                <w:b/>
                <w:sz w:val="22"/>
                <w:szCs w:val="22"/>
                <w:lang w:val="en-GB"/>
              </w:rPr>
              <w:t>2016 (first semester)</w:t>
            </w:r>
          </w:p>
        </w:tc>
      </w:tr>
      <w:tr w:rsidR="00F86461" w:rsidRPr="009739DF" w:rsidTr="009739DF">
        <w:tc>
          <w:tcPr>
            <w:tcW w:w="3510" w:type="dxa"/>
            <w:shd w:val="clear" w:color="auto" w:fill="auto"/>
          </w:tcPr>
          <w:p w:rsidR="00F86461" w:rsidRPr="009739DF" w:rsidRDefault="00F86461" w:rsidP="00513013">
            <w:pPr>
              <w:spacing w:before="120" w:after="120"/>
              <w:rPr>
                <w:rFonts w:ascii="Arial" w:hAnsi="Arial" w:cs="Arial"/>
                <w:sz w:val="22"/>
                <w:szCs w:val="22"/>
                <w:lang w:val="en-GB"/>
              </w:rPr>
            </w:pPr>
            <w:r w:rsidRPr="009739DF">
              <w:rPr>
                <w:rFonts w:ascii="Arial" w:hAnsi="Arial" w:cs="Arial"/>
                <w:sz w:val="22"/>
                <w:szCs w:val="22"/>
                <w:lang w:val="en-GB"/>
              </w:rPr>
              <w:t>Capacity building</w:t>
            </w:r>
          </w:p>
        </w:tc>
        <w:tc>
          <w:tcPr>
            <w:tcW w:w="1382" w:type="dxa"/>
            <w:shd w:val="clear" w:color="auto" w:fill="auto"/>
          </w:tcPr>
          <w:p w:rsidR="00F86461" w:rsidRPr="009739DF" w:rsidRDefault="00F86461" w:rsidP="00046503">
            <w:pPr>
              <w:spacing w:before="120" w:after="120"/>
              <w:jc w:val="right"/>
              <w:rPr>
                <w:rFonts w:ascii="Arial" w:hAnsi="Arial" w:cs="Arial"/>
                <w:sz w:val="22"/>
                <w:szCs w:val="22"/>
                <w:lang w:val="en-GB"/>
              </w:rPr>
            </w:pPr>
            <w:r w:rsidRPr="009739DF">
              <w:rPr>
                <w:rFonts w:ascii="Arial" w:hAnsi="Arial" w:cs="Arial"/>
                <w:sz w:val="22"/>
                <w:szCs w:val="22"/>
                <w:lang w:val="en-GB"/>
              </w:rPr>
              <w:t>48%</w:t>
            </w:r>
          </w:p>
        </w:tc>
        <w:tc>
          <w:tcPr>
            <w:tcW w:w="1382" w:type="dxa"/>
            <w:shd w:val="clear" w:color="auto" w:fill="auto"/>
          </w:tcPr>
          <w:p w:rsidR="00F86461" w:rsidRPr="00980F31" w:rsidRDefault="00F86461" w:rsidP="008A770C">
            <w:pPr>
              <w:spacing w:before="120" w:after="120"/>
              <w:jc w:val="right"/>
              <w:rPr>
                <w:rFonts w:ascii="Arial" w:hAnsi="Arial" w:cs="Arial"/>
                <w:sz w:val="22"/>
                <w:szCs w:val="22"/>
                <w:lang w:val="en-GB"/>
              </w:rPr>
            </w:pPr>
            <w:r w:rsidRPr="00980F31">
              <w:rPr>
                <w:rFonts w:ascii="Arial" w:hAnsi="Arial" w:cs="Arial"/>
                <w:sz w:val="22"/>
                <w:szCs w:val="22"/>
                <w:lang w:val="en-GB"/>
              </w:rPr>
              <w:t>58%</w:t>
            </w:r>
          </w:p>
        </w:tc>
        <w:tc>
          <w:tcPr>
            <w:tcW w:w="1382" w:type="dxa"/>
          </w:tcPr>
          <w:p w:rsidR="00F86461" w:rsidRPr="00980F31" w:rsidRDefault="00F86461" w:rsidP="00046503">
            <w:pPr>
              <w:spacing w:before="120" w:after="120"/>
              <w:jc w:val="right"/>
              <w:rPr>
                <w:rFonts w:ascii="Arial" w:hAnsi="Arial" w:cs="Arial"/>
                <w:sz w:val="22"/>
                <w:szCs w:val="22"/>
                <w:lang w:val="en-GB"/>
              </w:rPr>
            </w:pPr>
            <w:r w:rsidRPr="00980F31">
              <w:rPr>
                <w:rFonts w:ascii="Arial" w:hAnsi="Arial" w:cs="Arial"/>
                <w:sz w:val="22"/>
                <w:szCs w:val="22"/>
                <w:lang w:val="en-GB"/>
              </w:rPr>
              <w:t>58%</w:t>
            </w:r>
          </w:p>
        </w:tc>
      </w:tr>
      <w:tr w:rsidR="00F86461" w:rsidRPr="009739DF" w:rsidTr="009739DF">
        <w:tc>
          <w:tcPr>
            <w:tcW w:w="3510" w:type="dxa"/>
            <w:shd w:val="clear" w:color="auto" w:fill="auto"/>
          </w:tcPr>
          <w:p w:rsidR="00F86461" w:rsidRPr="009739DF" w:rsidRDefault="00F86461" w:rsidP="00513013">
            <w:pPr>
              <w:spacing w:before="120" w:after="120"/>
              <w:rPr>
                <w:rFonts w:ascii="Arial" w:hAnsi="Arial" w:cs="Arial"/>
                <w:sz w:val="22"/>
                <w:szCs w:val="22"/>
                <w:lang w:val="en-GB"/>
              </w:rPr>
            </w:pPr>
            <w:r w:rsidRPr="009739DF">
              <w:rPr>
                <w:rFonts w:ascii="Arial" w:hAnsi="Arial" w:cs="Arial"/>
                <w:sz w:val="22"/>
                <w:szCs w:val="22"/>
                <w:lang w:val="en-GB"/>
              </w:rPr>
              <w:t>Knowledge management</w:t>
            </w:r>
          </w:p>
        </w:tc>
        <w:tc>
          <w:tcPr>
            <w:tcW w:w="1382" w:type="dxa"/>
            <w:shd w:val="clear" w:color="auto" w:fill="auto"/>
          </w:tcPr>
          <w:p w:rsidR="00F86461" w:rsidRPr="009739DF" w:rsidRDefault="00F86461" w:rsidP="00046503">
            <w:pPr>
              <w:spacing w:before="120" w:after="120"/>
              <w:jc w:val="right"/>
              <w:rPr>
                <w:rFonts w:ascii="Arial" w:hAnsi="Arial" w:cs="Arial"/>
                <w:sz w:val="22"/>
                <w:szCs w:val="22"/>
                <w:lang w:val="en-GB"/>
              </w:rPr>
            </w:pPr>
            <w:r w:rsidRPr="009739DF">
              <w:rPr>
                <w:rFonts w:ascii="Arial" w:hAnsi="Arial" w:cs="Arial"/>
                <w:sz w:val="22"/>
                <w:szCs w:val="22"/>
                <w:lang w:val="en-GB"/>
              </w:rPr>
              <w:t>27%</w:t>
            </w:r>
          </w:p>
        </w:tc>
        <w:tc>
          <w:tcPr>
            <w:tcW w:w="1382" w:type="dxa"/>
            <w:shd w:val="clear" w:color="auto" w:fill="auto"/>
          </w:tcPr>
          <w:p w:rsidR="00F86461" w:rsidRPr="00980F31" w:rsidRDefault="00F86461" w:rsidP="008A770C">
            <w:pPr>
              <w:spacing w:before="120" w:after="120"/>
              <w:jc w:val="right"/>
              <w:rPr>
                <w:rFonts w:ascii="Arial" w:hAnsi="Arial" w:cs="Arial"/>
                <w:sz w:val="22"/>
                <w:szCs w:val="22"/>
                <w:lang w:val="en-GB"/>
              </w:rPr>
            </w:pPr>
            <w:r w:rsidRPr="00980F31">
              <w:rPr>
                <w:rFonts w:ascii="Arial" w:hAnsi="Arial" w:cs="Arial"/>
                <w:sz w:val="22"/>
                <w:szCs w:val="22"/>
                <w:lang w:val="en-GB"/>
              </w:rPr>
              <w:t>23%</w:t>
            </w:r>
          </w:p>
        </w:tc>
        <w:tc>
          <w:tcPr>
            <w:tcW w:w="1382" w:type="dxa"/>
          </w:tcPr>
          <w:p w:rsidR="00F86461" w:rsidRPr="00980F31" w:rsidRDefault="00F86461" w:rsidP="00046503">
            <w:pPr>
              <w:spacing w:before="120" w:after="120"/>
              <w:jc w:val="right"/>
              <w:rPr>
                <w:rFonts w:ascii="Arial" w:hAnsi="Arial" w:cs="Arial"/>
                <w:sz w:val="22"/>
                <w:szCs w:val="22"/>
                <w:lang w:val="en-GB"/>
              </w:rPr>
            </w:pPr>
            <w:r w:rsidRPr="00980F31">
              <w:rPr>
                <w:rFonts w:ascii="Arial" w:hAnsi="Arial" w:cs="Arial"/>
                <w:sz w:val="22"/>
                <w:szCs w:val="22"/>
                <w:lang w:val="en-GB"/>
              </w:rPr>
              <w:t>24%</w:t>
            </w:r>
          </w:p>
        </w:tc>
      </w:tr>
      <w:tr w:rsidR="00F86461" w:rsidRPr="009739DF" w:rsidTr="009739DF">
        <w:tc>
          <w:tcPr>
            <w:tcW w:w="3510" w:type="dxa"/>
            <w:shd w:val="clear" w:color="auto" w:fill="auto"/>
          </w:tcPr>
          <w:p w:rsidR="00F86461" w:rsidRPr="009739DF" w:rsidRDefault="00F86461" w:rsidP="00513013">
            <w:pPr>
              <w:spacing w:before="120" w:after="120"/>
              <w:rPr>
                <w:rFonts w:ascii="Arial" w:hAnsi="Arial" w:cs="Arial"/>
                <w:sz w:val="22"/>
                <w:szCs w:val="22"/>
                <w:lang w:val="en-GB"/>
              </w:rPr>
            </w:pPr>
            <w:r w:rsidRPr="009739DF">
              <w:rPr>
                <w:rFonts w:ascii="Arial" w:hAnsi="Arial" w:cs="Arial"/>
                <w:sz w:val="22"/>
                <w:szCs w:val="22"/>
                <w:lang w:val="en-GB"/>
              </w:rPr>
              <w:t>Sharing safeguarding practices</w:t>
            </w:r>
          </w:p>
        </w:tc>
        <w:tc>
          <w:tcPr>
            <w:tcW w:w="1382" w:type="dxa"/>
            <w:shd w:val="clear" w:color="auto" w:fill="auto"/>
          </w:tcPr>
          <w:p w:rsidR="00F86461" w:rsidRPr="009739DF" w:rsidRDefault="00F86461" w:rsidP="00046503">
            <w:pPr>
              <w:spacing w:before="120" w:after="120"/>
              <w:jc w:val="right"/>
              <w:rPr>
                <w:rFonts w:ascii="Arial" w:hAnsi="Arial" w:cs="Arial"/>
                <w:sz w:val="22"/>
                <w:szCs w:val="22"/>
                <w:lang w:val="en-GB"/>
              </w:rPr>
            </w:pPr>
            <w:r w:rsidRPr="009739DF">
              <w:rPr>
                <w:rFonts w:ascii="Arial" w:hAnsi="Arial" w:cs="Arial"/>
                <w:sz w:val="22"/>
                <w:szCs w:val="22"/>
                <w:lang w:val="en-GB"/>
              </w:rPr>
              <w:t>7%</w:t>
            </w:r>
          </w:p>
        </w:tc>
        <w:tc>
          <w:tcPr>
            <w:tcW w:w="1382" w:type="dxa"/>
            <w:shd w:val="clear" w:color="auto" w:fill="auto"/>
          </w:tcPr>
          <w:p w:rsidR="00F86461" w:rsidRPr="00980F31" w:rsidRDefault="00F86461" w:rsidP="00046503">
            <w:pPr>
              <w:spacing w:before="120" w:after="120"/>
              <w:jc w:val="right"/>
              <w:rPr>
                <w:rFonts w:ascii="Arial" w:hAnsi="Arial" w:cs="Arial"/>
                <w:sz w:val="22"/>
                <w:szCs w:val="22"/>
                <w:lang w:val="en-GB"/>
              </w:rPr>
            </w:pPr>
            <w:r w:rsidRPr="00980F31">
              <w:rPr>
                <w:rFonts w:ascii="Arial" w:hAnsi="Arial" w:cs="Arial"/>
                <w:sz w:val="22"/>
                <w:szCs w:val="22"/>
                <w:lang w:val="en-GB"/>
              </w:rPr>
              <w:t>10%</w:t>
            </w:r>
          </w:p>
        </w:tc>
        <w:tc>
          <w:tcPr>
            <w:tcW w:w="1382" w:type="dxa"/>
          </w:tcPr>
          <w:p w:rsidR="00F86461" w:rsidRPr="00980F31" w:rsidRDefault="00F86461" w:rsidP="008A770C">
            <w:pPr>
              <w:spacing w:before="120" w:after="120"/>
              <w:jc w:val="right"/>
              <w:rPr>
                <w:rFonts w:ascii="Arial" w:hAnsi="Arial" w:cs="Arial"/>
                <w:sz w:val="22"/>
                <w:szCs w:val="22"/>
                <w:lang w:val="en-GB"/>
              </w:rPr>
            </w:pPr>
            <w:r w:rsidRPr="00980F31">
              <w:rPr>
                <w:rFonts w:ascii="Arial" w:hAnsi="Arial" w:cs="Arial"/>
                <w:sz w:val="22"/>
                <w:szCs w:val="22"/>
                <w:lang w:val="en-GB"/>
              </w:rPr>
              <w:t>13%</w:t>
            </w:r>
          </w:p>
        </w:tc>
      </w:tr>
      <w:tr w:rsidR="00F86461" w:rsidRPr="009739DF" w:rsidTr="009739DF">
        <w:tc>
          <w:tcPr>
            <w:tcW w:w="3510" w:type="dxa"/>
            <w:shd w:val="clear" w:color="auto" w:fill="auto"/>
          </w:tcPr>
          <w:p w:rsidR="00F86461" w:rsidRPr="009739DF" w:rsidRDefault="00F86461" w:rsidP="00513013">
            <w:pPr>
              <w:spacing w:before="120" w:after="120"/>
              <w:rPr>
                <w:rFonts w:ascii="Arial" w:hAnsi="Arial" w:cs="Arial"/>
                <w:sz w:val="22"/>
                <w:szCs w:val="22"/>
                <w:lang w:val="en-GB"/>
              </w:rPr>
            </w:pPr>
            <w:r w:rsidRPr="009739DF">
              <w:rPr>
                <w:rFonts w:ascii="Arial" w:hAnsi="Arial" w:cs="Arial"/>
                <w:sz w:val="22"/>
                <w:szCs w:val="22"/>
                <w:lang w:val="en-GB"/>
              </w:rPr>
              <w:t>Visibility and awareness-raising</w:t>
            </w:r>
          </w:p>
        </w:tc>
        <w:tc>
          <w:tcPr>
            <w:tcW w:w="1382" w:type="dxa"/>
            <w:shd w:val="clear" w:color="auto" w:fill="auto"/>
          </w:tcPr>
          <w:p w:rsidR="00F86461" w:rsidRPr="009739DF" w:rsidRDefault="00F86461" w:rsidP="00046503">
            <w:pPr>
              <w:spacing w:before="120" w:after="120"/>
              <w:jc w:val="right"/>
              <w:rPr>
                <w:rFonts w:ascii="Arial" w:hAnsi="Arial" w:cs="Arial"/>
                <w:sz w:val="22"/>
                <w:szCs w:val="22"/>
                <w:lang w:val="en-GB"/>
              </w:rPr>
            </w:pPr>
            <w:r w:rsidRPr="009739DF">
              <w:rPr>
                <w:rFonts w:ascii="Arial" w:hAnsi="Arial" w:cs="Arial"/>
                <w:sz w:val="22"/>
                <w:szCs w:val="22"/>
                <w:lang w:val="en-GB"/>
              </w:rPr>
              <w:t>18%</w:t>
            </w:r>
          </w:p>
        </w:tc>
        <w:tc>
          <w:tcPr>
            <w:tcW w:w="1382" w:type="dxa"/>
            <w:shd w:val="clear" w:color="auto" w:fill="auto"/>
          </w:tcPr>
          <w:p w:rsidR="00F86461" w:rsidRPr="00980F31" w:rsidRDefault="00F86461" w:rsidP="00046503">
            <w:pPr>
              <w:spacing w:before="120" w:after="120"/>
              <w:jc w:val="right"/>
              <w:rPr>
                <w:rFonts w:ascii="Arial" w:hAnsi="Arial" w:cs="Arial"/>
                <w:sz w:val="22"/>
                <w:szCs w:val="22"/>
                <w:lang w:val="en-GB"/>
              </w:rPr>
            </w:pPr>
            <w:r w:rsidRPr="00980F31">
              <w:rPr>
                <w:rFonts w:ascii="Arial" w:hAnsi="Arial" w:cs="Arial"/>
                <w:sz w:val="22"/>
                <w:szCs w:val="22"/>
                <w:lang w:val="en-GB"/>
              </w:rPr>
              <w:t>9%</w:t>
            </w:r>
          </w:p>
        </w:tc>
        <w:tc>
          <w:tcPr>
            <w:tcW w:w="1382" w:type="dxa"/>
          </w:tcPr>
          <w:p w:rsidR="00F86461" w:rsidRPr="00980F31" w:rsidRDefault="00F86461" w:rsidP="00046503">
            <w:pPr>
              <w:spacing w:before="120" w:after="120"/>
              <w:jc w:val="right"/>
              <w:rPr>
                <w:rFonts w:ascii="Arial" w:hAnsi="Arial" w:cs="Arial"/>
                <w:sz w:val="22"/>
                <w:szCs w:val="22"/>
                <w:lang w:val="en-GB"/>
              </w:rPr>
            </w:pPr>
            <w:r w:rsidRPr="00980F31">
              <w:rPr>
                <w:rFonts w:ascii="Arial" w:hAnsi="Arial" w:cs="Arial"/>
                <w:sz w:val="22"/>
                <w:szCs w:val="22"/>
                <w:lang w:val="en-GB"/>
              </w:rPr>
              <w:t>5%</w:t>
            </w:r>
          </w:p>
        </w:tc>
      </w:tr>
      <w:tr w:rsidR="00F86461" w:rsidRPr="009739DF" w:rsidTr="009739DF">
        <w:tc>
          <w:tcPr>
            <w:tcW w:w="3510" w:type="dxa"/>
            <w:shd w:val="clear" w:color="auto" w:fill="auto"/>
          </w:tcPr>
          <w:p w:rsidR="00F86461" w:rsidRPr="009739DF" w:rsidRDefault="00F86461" w:rsidP="00046503">
            <w:pPr>
              <w:spacing w:before="120" w:after="120"/>
              <w:ind w:left="709"/>
              <w:jc w:val="both"/>
              <w:rPr>
                <w:rFonts w:ascii="Arial" w:hAnsi="Arial" w:cs="Arial"/>
                <w:sz w:val="22"/>
                <w:szCs w:val="22"/>
                <w:lang w:val="en-GB"/>
              </w:rPr>
            </w:pPr>
            <w:r w:rsidRPr="009739DF">
              <w:rPr>
                <w:rFonts w:ascii="Arial" w:hAnsi="Arial" w:cs="Arial"/>
                <w:sz w:val="22"/>
                <w:szCs w:val="22"/>
                <w:lang w:val="en-GB"/>
              </w:rPr>
              <w:t>Total budget</w:t>
            </w:r>
          </w:p>
        </w:tc>
        <w:tc>
          <w:tcPr>
            <w:tcW w:w="1382" w:type="dxa"/>
            <w:shd w:val="clear" w:color="auto" w:fill="auto"/>
          </w:tcPr>
          <w:p w:rsidR="00F86461" w:rsidRPr="009739DF" w:rsidRDefault="00F86461" w:rsidP="00046503">
            <w:pPr>
              <w:spacing w:before="120" w:after="120"/>
              <w:jc w:val="right"/>
              <w:rPr>
                <w:rFonts w:ascii="Arial" w:hAnsi="Arial" w:cs="Arial"/>
                <w:sz w:val="22"/>
                <w:szCs w:val="22"/>
                <w:lang w:val="en-GB"/>
              </w:rPr>
            </w:pPr>
            <w:r w:rsidRPr="009739DF">
              <w:rPr>
                <w:rFonts w:ascii="Arial" w:hAnsi="Arial" w:cs="Arial"/>
                <w:sz w:val="22"/>
                <w:szCs w:val="22"/>
                <w:lang w:val="en-GB"/>
              </w:rPr>
              <w:t>100%</w:t>
            </w:r>
          </w:p>
        </w:tc>
        <w:tc>
          <w:tcPr>
            <w:tcW w:w="1382" w:type="dxa"/>
            <w:shd w:val="clear" w:color="auto" w:fill="auto"/>
          </w:tcPr>
          <w:p w:rsidR="00F86461" w:rsidRPr="00980F31" w:rsidRDefault="00F86461" w:rsidP="00046503">
            <w:pPr>
              <w:keepNext/>
              <w:spacing w:before="120" w:after="120"/>
              <w:jc w:val="right"/>
              <w:rPr>
                <w:rFonts w:ascii="Arial" w:hAnsi="Arial" w:cs="Arial"/>
                <w:sz w:val="22"/>
                <w:szCs w:val="22"/>
                <w:lang w:val="en-GB"/>
              </w:rPr>
            </w:pPr>
            <w:r w:rsidRPr="00980F31">
              <w:rPr>
                <w:rFonts w:ascii="Arial" w:hAnsi="Arial" w:cs="Arial"/>
                <w:sz w:val="22"/>
                <w:szCs w:val="22"/>
                <w:lang w:val="en-GB"/>
              </w:rPr>
              <w:t>100%</w:t>
            </w:r>
          </w:p>
        </w:tc>
        <w:tc>
          <w:tcPr>
            <w:tcW w:w="1382" w:type="dxa"/>
          </w:tcPr>
          <w:p w:rsidR="00F86461" w:rsidRPr="00980F31" w:rsidRDefault="00F86461" w:rsidP="00046503">
            <w:pPr>
              <w:keepNext/>
              <w:spacing w:before="120" w:after="120"/>
              <w:jc w:val="right"/>
              <w:rPr>
                <w:rFonts w:ascii="Arial" w:hAnsi="Arial" w:cs="Arial"/>
                <w:sz w:val="22"/>
                <w:szCs w:val="22"/>
                <w:lang w:val="en-GB"/>
              </w:rPr>
            </w:pPr>
            <w:r w:rsidRPr="00980F31">
              <w:rPr>
                <w:rFonts w:ascii="Arial" w:hAnsi="Arial" w:cs="Arial"/>
                <w:sz w:val="22"/>
                <w:szCs w:val="22"/>
                <w:lang w:val="en-GB"/>
              </w:rPr>
              <w:t>100%</w:t>
            </w:r>
            <w:bookmarkStart w:id="0" w:name="_GoBack"/>
            <w:bookmarkEnd w:id="0"/>
          </w:p>
        </w:tc>
      </w:tr>
    </w:tbl>
    <w:p w:rsidR="00382526" w:rsidRPr="009739DF" w:rsidRDefault="004961E6" w:rsidP="00131607">
      <w:pPr>
        <w:pStyle w:val="Paragraph"/>
        <w:spacing w:before="120" w:after="120"/>
      </w:pPr>
      <w:r w:rsidRPr="009739DF">
        <w:t xml:space="preserve">In order to increase the </w:t>
      </w:r>
      <w:r w:rsidR="00382E94" w:rsidRPr="009739DF">
        <w:t xml:space="preserve">reach, </w:t>
      </w:r>
      <w:r w:rsidRPr="009739DF">
        <w:t>impact and effectiveness of the</w:t>
      </w:r>
      <w:r w:rsidR="007B43A7" w:rsidRPr="009739DF">
        <w:t xml:space="preserve"> proposed</w:t>
      </w:r>
      <w:r w:rsidRPr="009739DF">
        <w:t xml:space="preserve"> activities, a number depend on co-funding from State Parties or other partners such as category 2 centres, particularly the workshops and expert meetings. Typically, funds from the Intangible Cultural Heritage Fund will be dedicated to programming and organizing such meetings, while the host country or partner will cover participant costs and assume responsibility for the logistical arrangements. </w:t>
      </w:r>
      <w:r w:rsidR="007B43A7" w:rsidRPr="009739DF">
        <w:t>Such funding has been confirmed for several meetings in 2014 (mentioned below) and will be negotiated for 2015 and 2016 activities.</w:t>
      </w:r>
    </w:p>
    <w:p w:rsidR="00560AD6" w:rsidRPr="009739DF" w:rsidRDefault="00560AD6" w:rsidP="009739DF">
      <w:pPr>
        <w:pStyle w:val="Heading2"/>
        <w:tabs>
          <w:tab w:val="left" w:pos="567"/>
        </w:tabs>
        <w:snapToGrid w:val="0"/>
        <w:spacing w:before="360" w:after="240"/>
        <w:ind w:left="1134"/>
        <w:rPr>
          <w:rFonts w:ascii="Arial" w:hAnsi="Arial" w:cs="Arial"/>
          <w:bCs w:val="0"/>
          <w:i w:val="0"/>
          <w:iCs w:val="0"/>
          <w:snapToGrid w:val="0"/>
          <w:sz w:val="22"/>
          <w:szCs w:val="22"/>
          <w:lang w:val="en-GB" w:eastAsia="en-US"/>
        </w:rPr>
      </w:pPr>
      <w:r w:rsidRPr="009739DF">
        <w:rPr>
          <w:rFonts w:ascii="Arial" w:hAnsi="Arial" w:cs="Arial"/>
          <w:bCs w:val="0"/>
          <w:i w:val="0"/>
          <w:iCs w:val="0"/>
          <w:snapToGrid w:val="0"/>
          <w:sz w:val="22"/>
          <w:szCs w:val="22"/>
          <w:lang w:val="en-GB" w:eastAsia="en-US"/>
        </w:rPr>
        <w:t>Expected Result 1: Capacity-building programme strengthened to effectively support countries in developing their national policies and human and institutional resources for intangible cultural heritage</w:t>
      </w:r>
    </w:p>
    <w:p w:rsidR="00F3731C" w:rsidRPr="009739DF" w:rsidRDefault="004961E6" w:rsidP="007F530C">
      <w:pPr>
        <w:pStyle w:val="Paragraph"/>
        <w:spacing w:before="0" w:after="120"/>
      </w:pPr>
      <w:r w:rsidRPr="009739DF">
        <w:rPr>
          <w:rStyle w:val="hps"/>
        </w:rPr>
        <w:t>T</w:t>
      </w:r>
      <w:r w:rsidR="00681C98" w:rsidRPr="009739DF">
        <w:rPr>
          <w:rStyle w:val="hps"/>
        </w:rPr>
        <w:t xml:space="preserve">his </w:t>
      </w:r>
      <w:r w:rsidR="000A78FF" w:rsidRPr="009739DF">
        <w:rPr>
          <w:rStyle w:val="hps"/>
        </w:rPr>
        <w:t xml:space="preserve">expected </w:t>
      </w:r>
      <w:r w:rsidR="00681C98" w:rsidRPr="009739DF">
        <w:rPr>
          <w:rStyle w:val="hps"/>
        </w:rPr>
        <w:t>result</w:t>
      </w:r>
      <w:r w:rsidR="001E5C0B" w:rsidRPr="009739DF">
        <w:rPr>
          <w:rStyle w:val="hps"/>
        </w:rPr>
        <w:t xml:space="preserve"> </w:t>
      </w:r>
      <w:r w:rsidR="00532625" w:rsidRPr="009739DF">
        <w:rPr>
          <w:rStyle w:val="hps"/>
        </w:rPr>
        <w:t>represent</w:t>
      </w:r>
      <w:r w:rsidRPr="009739DF">
        <w:rPr>
          <w:rStyle w:val="hps"/>
        </w:rPr>
        <w:t>s</w:t>
      </w:r>
      <w:r w:rsidR="00532625" w:rsidRPr="009739DF">
        <w:rPr>
          <w:rStyle w:val="hps"/>
        </w:rPr>
        <w:t xml:space="preserve"> the largest share of the proposed </w:t>
      </w:r>
      <w:r w:rsidR="00681C98" w:rsidRPr="009739DF">
        <w:rPr>
          <w:rStyle w:val="hps"/>
        </w:rPr>
        <w:t>allocation</w:t>
      </w:r>
      <w:r w:rsidR="00532625" w:rsidRPr="009739DF">
        <w:rPr>
          <w:rStyle w:val="hps"/>
        </w:rPr>
        <w:t>s (US$</w:t>
      </w:r>
      <w:r w:rsidR="001B60A0" w:rsidRPr="009739DF">
        <w:rPr>
          <w:rStyle w:val="hps"/>
        </w:rPr>
        <w:t>785,087</w:t>
      </w:r>
      <w:r w:rsidR="00532625" w:rsidRPr="009739DF">
        <w:rPr>
          <w:rStyle w:val="hps"/>
        </w:rPr>
        <w:t xml:space="preserve"> in 2014-2015 and US$</w:t>
      </w:r>
      <w:r w:rsidR="001B60A0" w:rsidRPr="009739DF">
        <w:rPr>
          <w:rStyle w:val="hps"/>
        </w:rPr>
        <w:t>195,772</w:t>
      </w:r>
      <w:r w:rsidR="00532625" w:rsidRPr="009739DF">
        <w:rPr>
          <w:rStyle w:val="hps"/>
        </w:rPr>
        <w:t xml:space="preserve"> in 2016). </w:t>
      </w:r>
      <w:r w:rsidR="005A2C3D" w:rsidRPr="009739DF">
        <w:rPr>
          <w:rStyle w:val="hps"/>
        </w:rPr>
        <w:t xml:space="preserve">As explained in the </w:t>
      </w:r>
      <w:r w:rsidR="006E6204" w:rsidRPr="009739DF">
        <w:rPr>
          <w:rStyle w:val="hps"/>
        </w:rPr>
        <w:t>report of the Secretariat to the General Assembly (Document ITH/14/5.GA/4.3), the implementation</w:t>
      </w:r>
      <w:r w:rsidR="00F3731C" w:rsidRPr="009739DF">
        <w:rPr>
          <w:rStyle w:val="hps"/>
        </w:rPr>
        <w:t xml:space="preserve"> and delivery</w:t>
      </w:r>
      <w:r w:rsidR="006E6204" w:rsidRPr="009739DF">
        <w:rPr>
          <w:rStyle w:val="hps"/>
        </w:rPr>
        <w:t xml:space="preserve"> of the </w:t>
      </w:r>
      <w:r w:rsidRPr="009739DF">
        <w:rPr>
          <w:rStyle w:val="hps"/>
        </w:rPr>
        <w:t xml:space="preserve">capacity-building </w:t>
      </w:r>
      <w:r w:rsidR="006E6204" w:rsidRPr="009739DF">
        <w:rPr>
          <w:rStyle w:val="hps"/>
        </w:rPr>
        <w:t xml:space="preserve">programme in developing countries around the world </w:t>
      </w:r>
      <w:r w:rsidR="00F3731C" w:rsidRPr="009739DF">
        <w:rPr>
          <w:rStyle w:val="hps"/>
        </w:rPr>
        <w:t>are</w:t>
      </w:r>
      <w:r w:rsidR="006E6204" w:rsidRPr="009739DF">
        <w:rPr>
          <w:rStyle w:val="hps"/>
        </w:rPr>
        <w:t xml:space="preserve"> made possible through earmarked contributions to the ICH Fund and Funds-in-Trust</w:t>
      </w:r>
      <w:r w:rsidR="00E12666" w:rsidRPr="009739DF">
        <w:rPr>
          <w:rStyle w:val="hps"/>
        </w:rPr>
        <w:t xml:space="preserve"> arrangements</w:t>
      </w:r>
      <w:r w:rsidR="006E6204" w:rsidRPr="009739DF">
        <w:rPr>
          <w:rStyle w:val="hps"/>
        </w:rPr>
        <w:t xml:space="preserve">, </w:t>
      </w:r>
      <w:r w:rsidR="00F3731C" w:rsidRPr="009739DF">
        <w:rPr>
          <w:rStyle w:val="hps"/>
        </w:rPr>
        <w:t>while</w:t>
      </w:r>
      <w:r w:rsidR="006E6204" w:rsidRPr="009739DF">
        <w:rPr>
          <w:rStyle w:val="hps"/>
        </w:rPr>
        <w:t xml:space="preserve"> the</w:t>
      </w:r>
      <w:r w:rsidR="00681C98" w:rsidRPr="009739DF">
        <w:rPr>
          <w:rStyle w:val="hps"/>
        </w:rPr>
        <w:t xml:space="preserve"> present</w:t>
      </w:r>
      <w:r w:rsidR="006E6204" w:rsidRPr="009739DF">
        <w:rPr>
          <w:rStyle w:val="hps"/>
        </w:rPr>
        <w:t xml:space="preserve"> </w:t>
      </w:r>
      <w:r w:rsidR="00F3731C" w:rsidRPr="009739DF">
        <w:rPr>
          <w:rStyle w:val="hps"/>
        </w:rPr>
        <w:t xml:space="preserve">funds dedicated to ‘other functions of the Committee’ </w:t>
      </w:r>
      <w:r w:rsidR="00A950BA" w:rsidRPr="009739DF">
        <w:rPr>
          <w:rStyle w:val="hps"/>
        </w:rPr>
        <w:t>provide</w:t>
      </w:r>
      <w:r w:rsidR="00F3731C" w:rsidRPr="009739DF">
        <w:rPr>
          <w:rStyle w:val="hps"/>
        </w:rPr>
        <w:t xml:space="preserve"> essential support </w:t>
      </w:r>
      <w:r w:rsidR="00A950BA" w:rsidRPr="009739DF">
        <w:rPr>
          <w:rStyle w:val="hps"/>
        </w:rPr>
        <w:t xml:space="preserve">to </w:t>
      </w:r>
      <w:r w:rsidR="00F3731C" w:rsidRPr="009739DF">
        <w:rPr>
          <w:rStyle w:val="hps"/>
        </w:rPr>
        <w:t xml:space="preserve">a number of transversal needs that are not linked to delivery of a specific country programme. As </w:t>
      </w:r>
      <w:r w:rsidR="00681C98" w:rsidRPr="009739DF">
        <w:rPr>
          <w:rStyle w:val="hps"/>
        </w:rPr>
        <w:t>that</w:t>
      </w:r>
      <w:r w:rsidR="00F3731C" w:rsidRPr="009739DF">
        <w:rPr>
          <w:rStyle w:val="hps"/>
        </w:rPr>
        <w:t xml:space="preserve"> report details, these transversal functions are essentially </w:t>
      </w:r>
      <w:r w:rsidR="00BB3ABE" w:rsidRPr="009739DF">
        <w:rPr>
          <w:rStyle w:val="hps"/>
        </w:rPr>
        <w:t>(</w:t>
      </w:r>
      <w:proofErr w:type="spellStart"/>
      <w:r w:rsidR="00F3731C" w:rsidRPr="009739DF">
        <w:t>i</w:t>
      </w:r>
      <w:proofErr w:type="spellEnd"/>
      <w:r w:rsidR="00F3731C" w:rsidRPr="009739DF">
        <w:t xml:space="preserve">) developing </w:t>
      </w:r>
      <w:r w:rsidR="00F3731C" w:rsidRPr="009739DF">
        <w:lastRenderedPageBreak/>
        <w:t xml:space="preserve">training content and materials, </w:t>
      </w:r>
      <w:r w:rsidR="00BB3ABE" w:rsidRPr="009739DF">
        <w:t>(</w:t>
      </w:r>
      <w:r w:rsidR="00F3731C" w:rsidRPr="009739DF">
        <w:t xml:space="preserve">ii) strengthening the network of expert facilitators and </w:t>
      </w:r>
      <w:r w:rsidR="00BB3ABE" w:rsidRPr="009739DF">
        <w:t>(</w:t>
      </w:r>
      <w:r w:rsidRPr="009739DF">
        <w:t>iii) monitoring</w:t>
      </w:r>
      <w:r w:rsidR="007F530C" w:rsidRPr="009739DF">
        <w:t>,</w:t>
      </w:r>
      <w:r w:rsidRPr="009739DF">
        <w:t xml:space="preserve"> evaluatin</w:t>
      </w:r>
      <w:r w:rsidR="007F530C" w:rsidRPr="009739DF">
        <w:t>g and adapting the strategy accordingly</w:t>
      </w:r>
      <w:r w:rsidRPr="009739DF">
        <w:t>.</w:t>
      </w:r>
    </w:p>
    <w:p w:rsidR="009010F4" w:rsidRPr="00622601" w:rsidRDefault="00F3731C" w:rsidP="00DE782E">
      <w:pPr>
        <w:pStyle w:val="Paragraph"/>
        <w:spacing w:before="0" w:after="120"/>
      </w:pPr>
      <w:r w:rsidRPr="00622601">
        <w:t xml:space="preserve">The funds provided here for capacity building therefore leverage a much larger amount of funding provided from </w:t>
      </w:r>
      <w:r w:rsidRPr="00622601">
        <w:rPr>
          <w:rStyle w:val="hps"/>
        </w:rPr>
        <w:t>other</w:t>
      </w:r>
      <w:r w:rsidRPr="00622601">
        <w:t xml:space="preserve"> extrabudgetary sources, with </w:t>
      </w:r>
      <w:r w:rsidR="00536FBB" w:rsidRPr="00622601">
        <w:t xml:space="preserve">approximately </w:t>
      </w:r>
      <w:r w:rsidRPr="00622601">
        <w:t xml:space="preserve">8% of the total cost of the global programme since 2010 paid from the </w:t>
      </w:r>
      <w:r w:rsidR="004961E6" w:rsidRPr="00622601">
        <w:t xml:space="preserve">Intangible Cultural Heritage Fund as </w:t>
      </w:r>
      <w:r w:rsidRPr="00622601">
        <w:t xml:space="preserve">‘other functions of the Committee’, </w:t>
      </w:r>
      <w:r w:rsidR="00536FBB" w:rsidRPr="00622601">
        <w:t xml:space="preserve">about </w:t>
      </w:r>
      <w:r w:rsidRPr="00622601">
        <w:t xml:space="preserve">7% paid from UNESCO’s regular programme and </w:t>
      </w:r>
      <w:r w:rsidR="00536FBB" w:rsidRPr="00622601">
        <w:t xml:space="preserve">about </w:t>
      </w:r>
      <w:r w:rsidRPr="00622601">
        <w:t>85% paid by other donors</w:t>
      </w:r>
      <w:r w:rsidR="00A950BA" w:rsidRPr="00622601">
        <w:t xml:space="preserve"> </w:t>
      </w:r>
      <w:r w:rsidR="00EA4A0B" w:rsidRPr="00622601">
        <w:t>who generously support</w:t>
      </w:r>
      <w:r w:rsidR="00A950BA" w:rsidRPr="00622601">
        <w:t xml:space="preserve"> delivering capacity-building services to beneficiary countries</w:t>
      </w:r>
      <w:r w:rsidR="00536FBB" w:rsidRPr="00622601">
        <w:t>, through Funds-in-Trust or earmarked contributions to the Fund</w:t>
      </w:r>
      <w:r w:rsidRPr="00622601">
        <w:t>.</w:t>
      </w:r>
      <w:r w:rsidR="004961E6" w:rsidRPr="00622601">
        <w:t xml:space="preserve"> </w:t>
      </w:r>
      <w:r w:rsidR="00EA4A0B" w:rsidRPr="00622601">
        <w:t>As described above, specific activities here are also dependent on leveraging co-funding, and the results framework and description below specify whether this is committed (for 2014) or yet to be confirmed (for 2015 and 2016 activities)</w:t>
      </w:r>
      <w:r w:rsidR="00622601" w:rsidRPr="00622601">
        <w:rPr>
          <w:rStyle w:val="FootnoteReference"/>
        </w:rPr>
        <w:footnoteReference w:id="2"/>
      </w:r>
      <w:r w:rsidR="00EA4A0B" w:rsidRPr="00622601">
        <w:t>.</w:t>
      </w:r>
    </w:p>
    <w:p w:rsidR="00B8601F" w:rsidRPr="009739DF" w:rsidRDefault="00681C98" w:rsidP="00131607">
      <w:pPr>
        <w:pStyle w:val="Paragraph"/>
        <w:spacing w:before="0" w:after="120"/>
        <w:rPr>
          <w:rStyle w:val="hps"/>
        </w:rPr>
      </w:pPr>
      <w:r w:rsidRPr="009739DF">
        <w:t xml:space="preserve">As indicated in the </w:t>
      </w:r>
      <w:r w:rsidR="00E3690A" w:rsidRPr="009739DF">
        <w:rPr>
          <w:rStyle w:val="hps"/>
        </w:rPr>
        <w:t>proposal</w:t>
      </w:r>
      <w:r w:rsidRPr="009739DF">
        <w:rPr>
          <w:rStyle w:val="hps"/>
        </w:rPr>
        <w:t>’s</w:t>
      </w:r>
      <w:r w:rsidRPr="009739DF">
        <w:t xml:space="preserve"> results framework, </w:t>
      </w:r>
      <w:r w:rsidR="000A78FF" w:rsidRPr="009739DF">
        <w:t>there are five key outputs identified. The first concerns the ongoing work of strengthening the network of UNESCO-trained facilitators who are responsible for delivering services to beneficiary countries. As explained in document ITH/14/5.GA/4.3, these 79 experts come from every region of the world and allow UNESCO to draw upon a large resource of expertise when designing and delivering capacity-building activities.</w:t>
      </w:r>
      <w:r w:rsidR="00046503" w:rsidRPr="009739DF">
        <w:t xml:space="preserve"> Global implementation of the capacity-building programme</w:t>
      </w:r>
      <w:r w:rsidR="000A78FF" w:rsidRPr="009739DF">
        <w:t xml:space="preserve"> </w:t>
      </w:r>
      <w:r w:rsidR="00046503" w:rsidRPr="009739DF">
        <w:t xml:space="preserve">has revealed a continuing need to expand the network in certain regions </w:t>
      </w:r>
      <w:r w:rsidR="000A78FF" w:rsidRPr="009739DF">
        <w:t xml:space="preserve">and </w:t>
      </w:r>
      <w:r w:rsidR="00046503" w:rsidRPr="009739DF">
        <w:t xml:space="preserve">to </w:t>
      </w:r>
      <w:r w:rsidR="001C0987" w:rsidRPr="009739DF">
        <w:t xml:space="preserve">regularly </w:t>
      </w:r>
      <w:r w:rsidR="000A78FF" w:rsidRPr="009739DF">
        <w:t xml:space="preserve">update </w:t>
      </w:r>
      <w:r w:rsidR="00046503" w:rsidRPr="009739DF">
        <w:t xml:space="preserve">experts’ </w:t>
      </w:r>
      <w:r w:rsidR="000A78FF" w:rsidRPr="009739DF">
        <w:t>knowledge of recent developments in the life of the Convention</w:t>
      </w:r>
      <w:r w:rsidR="00E00ABC" w:rsidRPr="009739DF">
        <w:t xml:space="preserve">, assess lessons learnt </w:t>
      </w:r>
      <w:r w:rsidR="00B167DE" w:rsidRPr="009739DF">
        <w:t xml:space="preserve">and </w:t>
      </w:r>
      <w:r w:rsidR="00AB0568" w:rsidRPr="009739DF">
        <w:t>train them on</w:t>
      </w:r>
      <w:r w:rsidR="00B167DE" w:rsidRPr="009739DF">
        <w:t xml:space="preserve"> newly developed curriculum materials</w:t>
      </w:r>
      <w:r w:rsidR="000A78FF" w:rsidRPr="009739DF">
        <w:t xml:space="preserve">. </w:t>
      </w:r>
      <w:r w:rsidR="001C0987" w:rsidRPr="009739DF">
        <w:t>Several</w:t>
      </w:r>
      <w:r w:rsidR="00046503" w:rsidRPr="009739DF">
        <w:t xml:space="preserve"> such training and updating workshops are planned: one for Asia and the Pacific region will be co-hosted in 2014 by the International Training Centre for Intangible Cultural Heritage in the Asia-Pacific Region (CRIHAP) </w:t>
      </w:r>
      <w:r w:rsidR="001C0987" w:rsidRPr="009739DF">
        <w:t xml:space="preserve">in Beijing, China, </w:t>
      </w:r>
      <w:r w:rsidR="00046503" w:rsidRPr="009739DF">
        <w:t xml:space="preserve">and a second </w:t>
      </w:r>
      <w:r w:rsidR="001C0987" w:rsidRPr="009739DF">
        <w:t>in 2014 will be co-funded by the Regional Centre for the Safeguarding of Intangible Cultural Heritage in South-Eastern Europe in Sofia, Bulgaria</w:t>
      </w:r>
      <w:r w:rsidR="00AB0568" w:rsidRPr="009739DF">
        <w:t>,</w:t>
      </w:r>
      <w:r w:rsidR="001C0987" w:rsidRPr="009739DF">
        <w:t xml:space="preserve"> for facilitators from Europe and Central Asia. A third is planned in 2015 for facilitators in Africa, with co-funding to be negotiated, with a fourth foreseen in 2016 for</w:t>
      </w:r>
      <w:r w:rsidR="00046503" w:rsidRPr="009739DF">
        <w:t xml:space="preserve"> Latin America and the Caribbean, </w:t>
      </w:r>
      <w:r w:rsidR="001C0987" w:rsidRPr="009739DF">
        <w:t xml:space="preserve">also </w:t>
      </w:r>
      <w:r w:rsidR="00046503" w:rsidRPr="009739DF">
        <w:t>with co-funding yet to be confirmed.</w:t>
      </w:r>
    </w:p>
    <w:p w:rsidR="00681C98" w:rsidRPr="009739DF" w:rsidRDefault="00046503" w:rsidP="007F530C">
      <w:pPr>
        <w:pStyle w:val="Paragraph"/>
        <w:spacing w:before="0" w:after="120"/>
        <w:rPr>
          <w:rStyle w:val="hps"/>
        </w:rPr>
      </w:pPr>
      <w:r w:rsidRPr="009739DF">
        <w:t>In addition, a</w:t>
      </w:r>
      <w:r w:rsidR="00B167DE" w:rsidRPr="009739DF">
        <w:t xml:space="preserve"> workshop at UNESCO Headquarters in early 2015 will train a core of facilitators and other experts in the procedures for requesting and implementing International Assistance so that they can provide effective technical assistance to States Parties wishing to elaborate requests for International Assistance, as requested by the Committee in its Decision 8.COM 7.c. Some of the participants will already have had experience to provide such technical assistance, so </w:t>
      </w:r>
      <w:r w:rsidR="00FD39E9" w:rsidRPr="009739DF">
        <w:t>the</w:t>
      </w:r>
      <w:r w:rsidR="00B167DE" w:rsidRPr="009739DF">
        <w:t xml:space="preserve"> workshop </w:t>
      </w:r>
      <w:r w:rsidR="00FD39E9" w:rsidRPr="009739DF">
        <w:t xml:space="preserve">will </w:t>
      </w:r>
      <w:r w:rsidR="00B167DE" w:rsidRPr="009739DF">
        <w:t xml:space="preserve">provide an opportunity to </w:t>
      </w:r>
      <w:r w:rsidR="00FD39E9" w:rsidRPr="009739DF">
        <w:t xml:space="preserve">establish </w:t>
      </w:r>
      <w:r w:rsidR="00B167DE" w:rsidRPr="009739DF">
        <w:t>a common core of knowledge and skills and to learn from early experiences, given that this mechanism is being established on an experimental basis.</w:t>
      </w:r>
      <w:r w:rsidR="00B8601F" w:rsidRPr="009739DF">
        <w:rPr>
          <w:rStyle w:val="hps"/>
        </w:rPr>
        <w:t xml:space="preserve"> </w:t>
      </w:r>
      <w:r w:rsidR="001C0987" w:rsidRPr="009739DF">
        <w:rPr>
          <w:rStyle w:val="hps"/>
        </w:rPr>
        <w:t xml:space="preserve">Finally, within this output, </w:t>
      </w:r>
      <w:r w:rsidR="0026117A" w:rsidRPr="009739DF">
        <w:rPr>
          <w:rStyle w:val="hps"/>
        </w:rPr>
        <w:t xml:space="preserve">and </w:t>
      </w:r>
      <w:r w:rsidR="0026117A" w:rsidRPr="009739DF">
        <w:t xml:space="preserve">following the successful experience of training university lecturers in Africa in 2012, </w:t>
      </w:r>
      <w:r w:rsidR="007F530C" w:rsidRPr="009739DF">
        <w:t xml:space="preserve">the Secretariat will organize </w:t>
      </w:r>
      <w:r w:rsidR="0026117A" w:rsidRPr="009739DF">
        <w:t xml:space="preserve">a similar regional workshop with tertiary education institutions in Asia and the Pacific region in 2016 to support the integration of intangible cultural heritage in university courses in fields such as heritage studies, cultural policy, development studies and </w:t>
      </w:r>
      <w:r w:rsidR="00AB0568" w:rsidRPr="009739DF">
        <w:t>others</w:t>
      </w:r>
      <w:r w:rsidR="0026117A" w:rsidRPr="009739DF">
        <w:t>.</w:t>
      </w:r>
    </w:p>
    <w:p w:rsidR="004D214C" w:rsidRPr="009739DF" w:rsidRDefault="004D214C" w:rsidP="007F530C">
      <w:pPr>
        <w:pStyle w:val="Paragraph"/>
        <w:spacing w:before="0" w:after="120"/>
        <w:rPr>
          <w:rStyle w:val="hps"/>
        </w:rPr>
      </w:pPr>
      <w:r w:rsidRPr="009739DF">
        <w:t xml:space="preserve">As </w:t>
      </w:r>
      <w:r w:rsidRPr="009739DF">
        <w:rPr>
          <w:rStyle w:val="hps"/>
        </w:rPr>
        <w:t>recommended by the Internal Oversight Service and as decided by the Committee in its Decision 8.COM 5.c.1, particular attention will be given during the present biennium to</w:t>
      </w:r>
      <w:r w:rsidR="00B8601F" w:rsidRPr="009739DF">
        <w:rPr>
          <w:rStyle w:val="hps"/>
        </w:rPr>
        <w:t xml:space="preserve"> a second output,</w:t>
      </w:r>
      <w:r w:rsidRPr="009739DF">
        <w:rPr>
          <w:rStyle w:val="hps"/>
        </w:rPr>
        <w:t xml:space="preserve"> the establishment and utilization of a robust follow-up mechanism for capacity-building activities to gather data about their effectiveness. </w:t>
      </w:r>
      <w:r w:rsidR="002C6B69" w:rsidRPr="009739DF">
        <w:rPr>
          <w:rStyle w:val="hps"/>
        </w:rPr>
        <w:t xml:space="preserve">A workshop will be organized in 2015 at UNESCO Headquarters </w:t>
      </w:r>
      <w:r w:rsidR="007F530C" w:rsidRPr="009739DF">
        <w:rPr>
          <w:rStyle w:val="hps"/>
        </w:rPr>
        <w:t xml:space="preserve">to develop such a mechanism, </w:t>
      </w:r>
      <w:r w:rsidR="002C6B69" w:rsidRPr="009739DF">
        <w:rPr>
          <w:rStyle w:val="hps"/>
        </w:rPr>
        <w:t xml:space="preserve">bringing together the key constituents identified by IOS: five facilitators, five national counterparts (including National Commissions), five </w:t>
      </w:r>
      <w:r w:rsidR="007F530C" w:rsidRPr="009739DF">
        <w:rPr>
          <w:rStyle w:val="hps"/>
        </w:rPr>
        <w:t xml:space="preserve">UNESCO </w:t>
      </w:r>
      <w:r w:rsidR="002C6B69" w:rsidRPr="009739DF">
        <w:rPr>
          <w:rStyle w:val="hps"/>
        </w:rPr>
        <w:t xml:space="preserve">Field Office colleagues and five </w:t>
      </w:r>
      <w:r w:rsidR="007F530C" w:rsidRPr="009739DF">
        <w:rPr>
          <w:rStyle w:val="hps"/>
        </w:rPr>
        <w:t xml:space="preserve">members </w:t>
      </w:r>
      <w:r w:rsidR="002C6B69" w:rsidRPr="009739DF">
        <w:rPr>
          <w:rStyle w:val="hps"/>
        </w:rPr>
        <w:t>of the Intangible Cultural Heritage Section.</w:t>
      </w:r>
      <w:r w:rsidR="00046170" w:rsidRPr="009739DF">
        <w:rPr>
          <w:rStyle w:val="hps"/>
        </w:rPr>
        <w:t xml:space="preserve"> The evaluation and monitoring mechanism for capacity building will then be implemented in 2015 and 2016.</w:t>
      </w:r>
    </w:p>
    <w:p w:rsidR="00046170" w:rsidRPr="009739DF" w:rsidRDefault="00046170" w:rsidP="00131607">
      <w:pPr>
        <w:pStyle w:val="Paragraph"/>
        <w:spacing w:before="0" w:after="120"/>
        <w:rPr>
          <w:rStyle w:val="hps"/>
        </w:rPr>
      </w:pPr>
      <w:r w:rsidRPr="009739DF">
        <w:rPr>
          <w:rStyle w:val="hps"/>
        </w:rPr>
        <w:lastRenderedPageBreak/>
        <w:t xml:space="preserve">Another of the IOS recommendations that was taken up in turn by the Committee is the focus of output 3: the need to continually review and adapt the capacity-building curriculum in order ‘to ensure that it responds to the major implementation challenges at the national level’ (Decision 8.COM 5.c.1). </w:t>
      </w:r>
      <w:r w:rsidR="0026117A" w:rsidRPr="009739DF">
        <w:rPr>
          <w:rStyle w:val="hps"/>
        </w:rPr>
        <w:t>This entails, for instance, updating all curriculum materials to reflect decisions of the Committee and General Assembly so that the information provided to facilitators – and in turn, to participants – reflects the current status of the Convention’s procedures and evolution. As begun in the previous biennium and continued in</w:t>
      </w:r>
      <w:r w:rsidR="00B210E5" w:rsidRPr="009739DF">
        <w:rPr>
          <w:rStyle w:val="hps"/>
        </w:rPr>
        <w:t>to</w:t>
      </w:r>
      <w:r w:rsidR="0026117A" w:rsidRPr="009739DF">
        <w:rPr>
          <w:rStyle w:val="hps"/>
        </w:rPr>
        <w:t xml:space="preserve"> the first semester of 2016, and as emphasized in the IOS evaluation, the curricula are also being expanded to cover the importance of gender in intangible cultural heritage and the importance of intangible cultural heritage to sustainable development, as well as to promote creative approaches to developing safeguarding plans.</w:t>
      </w:r>
    </w:p>
    <w:p w:rsidR="0026117A" w:rsidRPr="009739DF" w:rsidRDefault="0026117A" w:rsidP="00131607">
      <w:pPr>
        <w:pStyle w:val="Paragraph"/>
        <w:spacing w:before="0" w:after="120"/>
        <w:rPr>
          <w:rStyle w:val="hps"/>
        </w:rPr>
      </w:pPr>
      <w:r w:rsidRPr="009739DF">
        <w:rPr>
          <w:rStyle w:val="hps"/>
        </w:rPr>
        <w:t xml:space="preserve">The formats and presentations of the curriculum materials are also subject to continuing improvement. A major restructuring of the materials began in late 2013 and continues into 2014: converting them into a set of some </w:t>
      </w:r>
      <w:r w:rsidR="00B210E5" w:rsidRPr="009739DF">
        <w:rPr>
          <w:rStyle w:val="hps"/>
        </w:rPr>
        <w:t xml:space="preserve">50 </w:t>
      </w:r>
      <w:r w:rsidRPr="009739DF">
        <w:rPr>
          <w:rStyle w:val="hps"/>
        </w:rPr>
        <w:t xml:space="preserve">distinct units rather than four separate courses. In this manner, facilitators will better be able to select from the sequence of units those that are best adapted to the particular </w:t>
      </w:r>
      <w:r w:rsidR="003D6272" w:rsidRPr="009739DF">
        <w:rPr>
          <w:rStyle w:val="hps"/>
        </w:rPr>
        <w:t>needs of their trainees, assembling a workshop from the different building blocks so that it can respond to the circumstances</w:t>
      </w:r>
      <w:r w:rsidR="00AB0568" w:rsidRPr="009739DF">
        <w:rPr>
          <w:rStyle w:val="hps"/>
        </w:rPr>
        <w:t xml:space="preserve"> and situation</w:t>
      </w:r>
      <w:r w:rsidR="003D6272" w:rsidRPr="009739DF">
        <w:rPr>
          <w:rStyle w:val="hps"/>
        </w:rPr>
        <w:t xml:space="preserve"> of each </w:t>
      </w:r>
      <w:r w:rsidR="00AB0568" w:rsidRPr="009739DF">
        <w:rPr>
          <w:rStyle w:val="hps"/>
        </w:rPr>
        <w:t xml:space="preserve">beneficiary </w:t>
      </w:r>
      <w:r w:rsidR="003D6272" w:rsidRPr="009739DF">
        <w:rPr>
          <w:rStyle w:val="hps"/>
        </w:rPr>
        <w:t xml:space="preserve">country. It is hoped that this restructuring into units will also facilitate the inevitable revisions after each Committee or General Assembly, as only selected units will be affected and others may not </w:t>
      </w:r>
      <w:r w:rsidR="00AB0568" w:rsidRPr="009739DF">
        <w:rPr>
          <w:rStyle w:val="hps"/>
        </w:rPr>
        <w:t>require</w:t>
      </w:r>
      <w:r w:rsidR="003D6272" w:rsidRPr="009739DF">
        <w:rPr>
          <w:rStyle w:val="hps"/>
        </w:rPr>
        <w:t xml:space="preserve"> revision.</w:t>
      </w:r>
    </w:p>
    <w:p w:rsidR="003D6272" w:rsidRPr="009739DF" w:rsidRDefault="003D6272" w:rsidP="00131607">
      <w:pPr>
        <w:pStyle w:val="Paragraph"/>
        <w:spacing w:before="0" w:after="120"/>
        <w:rPr>
          <w:rStyle w:val="hps"/>
        </w:rPr>
      </w:pPr>
      <w:r w:rsidRPr="009739DF">
        <w:rPr>
          <w:rStyle w:val="hps"/>
        </w:rPr>
        <w:t xml:space="preserve">The fourth output focuses on developing and testing appropriate capacity-building formats and approaches to support beneficiary countries in developing legislation and policy concerning intangible cultural heritage. This area figured into the capacity-building strategy from its inception, but it received new impetus with the IOS evaluation and the Committee’s Decision 8.COM 5.c.1, in which the Secretariat was requested to strengthen its interventions in this area, to develop appropriate formats </w:t>
      </w:r>
      <w:r w:rsidR="004B756D" w:rsidRPr="009739DF">
        <w:rPr>
          <w:rStyle w:val="hps"/>
        </w:rPr>
        <w:t>to do so</w:t>
      </w:r>
      <w:r w:rsidRPr="009739DF">
        <w:rPr>
          <w:rStyle w:val="hps"/>
        </w:rPr>
        <w:t xml:space="preserve">, and to </w:t>
      </w:r>
      <w:r w:rsidR="004B756D" w:rsidRPr="009739DF">
        <w:rPr>
          <w:rStyle w:val="hps"/>
        </w:rPr>
        <w:t>‘cooperate with sustainable development experts when supporting States Parties with the integration of intangible cultural heritage into non-cultural legislation and policy, and with other work related to intangible cultural heritage and sustainable development’. As mentioned above in the report on achievements in the first semester of the biennium, the Secretariat has initiated efforts to analyse and learn from the approaches to policy advice that are used elsewhere in UNESCO and in other agencies. A workshop at the end of June will help establish a solid foundation to guide the Secretariat’s development of curriculum materials and methodologies for providing policy advice</w:t>
      </w:r>
      <w:r w:rsidR="00B210E5" w:rsidRPr="009739DF">
        <w:rPr>
          <w:rStyle w:val="hps"/>
        </w:rPr>
        <w:t>, clarifying both conceptual and methodological issues</w:t>
      </w:r>
      <w:r w:rsidR="004B756D" w:rsidRPr="009739DF">
        <w:rPr>
          <w:rStyle w:val="hps"/>
        </w:rPr>
        <w:t xml:space="preserve">. A thematic unit on this subject will be </w:t>
      </w:r>
      <w:r w:rsidR="000F1113" w:rsidRPr="009739DF">
        <w:rPr>
          <w:rStyle w:val="hps"/>
        </w:rPr>
        <w:t xml:space="preserve">substantially revised </w:t>
      </w:r>
      <w:r w:rsidR="004B756D" w:rsidRPr="009739DF">
        <w:rPr>
          <w:rStyle w:val="hps"/>
        </w:rPr>
        <w:t xml:space="preserve">and piloted in 2015 and then </w:t>
      </w:r>
      <w:r w:rsidR="000F1113" w:rsidRPr="009739DF">
        <w:rPr>
          <w:rStyle w:val="hps"/>
        </w:rPr>
        <w:t>finalized and translated</w:t>
      </w:r>
      <w:r w:rsidR="004B756D" w:rsidRPr="009739DF">
        <w:rPr>
          <w:rStyle w:val="hps"/>
        </w:rPr>
        <w:t xml:space="preserve"> in the first semester of 20</w:t>
      </w:r>
      <w:r w:rsidR="00AB0568" w:rsidRPr="009739DF">
        <w:rPr>
          <w:rStyle w:val="hps"/>
        </w:rPr>
        <w:t>16, based upon its initial use.</w:t>
      </w:r>
    </w:p>
    <w:p w:rsidR="004B756D" w:rsidRPr="009739DF" w:rsidRDefault="004B756D" w:rsidP="00F82140">
      <w:pPr>
        <w:pStyle w:val="Paragraph"/>
        <w:spacing w:before="0" w:after="120"/>
        <w:rPr>
          <w:rStyle w:val="hps"/>
        </w:rPr>
      </w:pPr>
      <w:r w:rsidRPr="009739DF">
        <w:rPr>
          <w:rStyle w:val="hps"/>
        </w:rPr>
        <w:t>Finally, the fifth output</w:t>
      </w:r>
      <w:r w:rsidR="00C34B0B" w:rsidRPr="009739DF">
        <w:rPr>
          <w:rStyle w:val="hps"/>
        </w:rPr>
        <w:t xml:space="preserve"> under this expected result</w:t>
      </w:r>
      <w:r w:rsidRPr="009739DF">
        <w:rPr>
          <w:rStyle w:val="hps"/>
        </w:rPr>
        <w:t xml:space="preserve"> concerns strengthening all aspects of planning, implementing and monitoring the capacity-building programme through improved information </w:t>
      </w:r>
      <w:r w:rsidR="00DF46E5" w:rsidRPr="009739DF">
        <w:rPr>
          <w:rStyle w:val="hps"/>
        </w:rPr>
        <w:t>systems</w:t>
      </w:r>
      <w:r w:rsidRPr="009739DF">
        <w:rPr>
          <w:rStyle w:val="hps"/>
        </w:rPr>
        <w:t>. The organization</w:t>
      </w:r>
      <w:r w:rsidR="00DF46E5" w:rsidRPr="009739DF">
        <w:rPr>
          <w:rStyle w:val="hps"/>
        </w:rPr>
        <w:t>,</w:t>
      </w:r>
      <w:r w:rsidRPr="009739DF">
        <w:rPr>
          <w:rStyle w:val="hps"/>
        </w:rPr>
        <w:t xml:space="preserve"> management </w:t>
      </w:r>
      <w:r w:rsidR="00DF46E5" w:rsidRPr="009739DF">
        <w:rPr>
          <w:rStyle w:val="hps"/>
        </w:rPr>
        <w:t xml:space="preserve">and implementation </w:t>
      </w:r>
      <w:r w:rsidRPr="009739DF">
        <w:rPr>
          <w:rStyle w:val="hps"/>
        </w:rPr>
        <w:t xml:space="preserve">of the activities described above – particularly, materials development, strengthening the facilitators’ network and their respective knowledge, and monitoring and evaluation </w:t>
      </w:r>
      <w:r w:rsidR="00DF46E5" w:rsidRPr="009739DF">
        <w:rPr>
          <w:rStyle w:val="hps"/>
        </w:rPr>
        <w:t xml:space="preserve">– </w:t>
      </w:r>
      <w:r w:rsidRPr="009739DF">
        <w:rPr>
          <w:rStyle w:val="hps"/>
        </w:rPr>
        <w:t xml:space="preserve">all require the effective utilization of information </w:t>
      </w:r>
      <w:r w:rsidR="00DF46E5" w:rsidRPr="009739DF">
        <w:rPr>
          <w:rStyle w:val="hps"/>
        </w:rPr>
        <w:t>systems</w:t>
      </w:r>
      <w:r w:rsidRPr="009739DF">
        <w:rPr>
          <w:rStyle w:val="hps"/>
        </w:rPr>
        <w:t xml:space="preserve">. </w:t>
      </w:r>
      <w:r w:rsidR="00DF46E5" w:rsidRPr="009739DF">
        <w:rPr>
          <w:rStyle w:val="hps"/>
        </w:rPr>
        <w:t>As noted above in the report on the first semester</w:t>
      </w:r>
      <w:r w:rsidR="00F82140" w:rsidRPr="009739DF">
        <w:rPr>
          <w:rStyle w:val="hps"/>
        </w:rPr>
        <w:t xml:space="preserve"> of 2014</w:t>
      </w:r>
      <w:r w:rsidR="00DF46E5" w:rsidRPr="009739DF">
        <w:rPr>
          <w:rStyle w:val="hps"/>
        </w:rPr>
        <w:t xml:space="preserve">, this work began </w:t>
      </w:r>
      <w:r w:rsidR="00F82140" w:rsidRPr="009739DF">
        <w:rPr>
          <w:rStyle w:val="hps"/>
        </w:rPr>
        <w:t xml:space="preserve">already </w:t>
      </w:r>
      <w:r w:rsidR="00DF46E5" w:rsidRPr="009739DF">
        <w:rPr>
          <w:rStyle w:val="hps"/>
        </w:rPr>
        <w:t xml:space="preserve">on </w:t>
      </w:r>
      <w:r w:rsidR="00F82140" w:rsidRPr="009739DF">
        <w:rPr>
          <w:rStyle w:val="hps"/>
        </w:rPr>
        <w:t>a priority</w:t>
      </w:r>
      <w:r w:rsidR="00DF46E5" w:rsidRPr="009739DF">
        <w:rPr>
          <w:rStyle w:val="hps"/>
        </w:rPr>
        <w:t xml:space="preserve"> basis and will continue throughout the biennium and beyond. </w:t>
      </w:r>
    </w:p>
    <w:p w:rsidR="009010F4" w:rsidRPr="009739DF" w:rsidRDefault="0062709D" w:rsidP="009739DF">
      <w:pPr>
        <w:pStyle w:val="Heading2"/>
        <w:tabs>
          <w:tab w:val="left" w:pos="567"/>
        </w:tabs>
        <w:snapToGrid w:val="0"/>
        <w:spacing w:before="360" w:after="240"/>
        <w:ind w:left="1134"/>
        <w:rPr>
          <w:rFonts w:ascii="Arial" w:hAnsi="Arial" w:cs="Arial"/>
          <w:bCs w:val="0"/>
          <w:i w:val="0"/>
          <w:iCs w:val="0"/>
          <w:snapToGrid w:val="0"/>
          <w:sz w:val="22"/>
          <w:szCs w:val="22"/>
          <w:lang w:val="en-GB" w:eastAsia="en-US"/>
        </w:rPr>
      </w:pPr>
      <w:r w:rsidRPr="009739DF">
        <w:rPr>
          <w:rFonts w:ascii="Arial" w:hAnsi="Arial" w:cs="Arial"/>
          <w:bCs w:val="0"/>
          <w:i w:val="0"/>
          <w:iCs w:val="0"/>
          <w:snapToGrid w:val="0"/>
          <w:sz w:val="22"/>
          <w:szCs w:val="22"/>
          <w:lang w:val="en-GB" w:eastAsia="en-US"/>
        </w:rPr>
        <w:t xml:space="preserve">Expected Result 2: </w:t>
      </w:r>
      <w:r w:rsidR="00EA6CDF" w:rsidRPr="009739DF">
        <w:rPr>
          <w:rFonts w:ascii="Arial" w:hAnsi="Arial" w:cs="Arial"/>
          <w:bCs w:val="0"/>
          <w:i w:val="0"/>
          <w:iCs w:val="0"/>
          <w:snapToGrid w:val="0"/>
          <w:sz w:val="22"/>
          <w:szCs w:val="22"/>
          <w:lang w:val="en-GB" w:eastAsia="en-US"/>
        </w:rPr>
        <w:t>Knowledge management services optimized and utilized for effective implementation and information-sharing</w:t>
      </w:r>
    </w:p>
    <w:p w:rsidR="00EA4A0B" w:rsidRPr="009739DF" w:rsidRDefault="00781169" w:rsidP="00131607">
      <w:pPr>
        <w:pStyle w:val="Paragraph"/>
        <w:spacing w:before="0" w:after="120"/>
        <w:rPr>
          <w:rStyle w:val="hps"/>
        </w:rPr>
      </w:pPr>
      <w:r w:rsidRPr="009739DF">
        <w:rPr>
          <w:rStyle w:val="hps"/>
        </w:rPr>
        <w:t xml:space="preserve">Knowledge management has become increasingly indispensable as the Convention’s growth continues and the Secretariat’s human resources face continuing shortfalls. It is only the steady improvement in the management of knowledge and information that allows the Secretariat to continue to deliver services to States Parties and to the governing bodies of the Convention in as timely and accurate manner as possible. </w:t>
      </w:r>
      <w:r w:rsidR="002612B6" w:rsidRPr="009739DF">
        <w:rPr>
          <w:rStyle w:val="hps"/>
        </w:rPr>
        <w:t xml:space="preserve">During the 2014-2015 </w:t>
      </w:r>
      <w:proofErr w:type="gramStart"/>
      <w:r w:rsidR="002612B6" w:rsidRPr="009739DF">
        <w:rPr>
          <w:rStyle w:val="hps"/>
        </w:rPr>
        <w:t>biennium</w:t>
      </w:r>
      <w:proofErr w:type="gramEnd"/>
      <w:r w:rsidR="002612B6" w:rsidRPr="009739DF">
        <w:rPr>
          <w:rStyle w:val="hps"/>
        </w:rPr>
        <w:t xml:space="preserve"> and the first semester of 2016, work will continue on improving both the functioning </w:t>
      </w:r>
      <w:r w:rsidR="002612B6" w:rsidRPr="009739DF">
        <w:rPr>
          <w:rStyle w:val="hps"/>
        </w:rPr>
        <w:lastRenderedPageBreak/>
        <w:t xml:space="preserve">of the Convention’s knowledge management system and </w:t>
      </w:r>
      <w:r w:rsidR="002612B6" w:rsidRPr="00DE782E">
        <w:rPr>
          <w:rStyle w:val="hps"/>
        </w:rPr>
        <w:t>its usefulness to its diverse constituencies.</w:t>
      </w:r>
    </w:p>
    <w:p w:rsidR="002612B6" w:rsidRPr="009739DF" w:rsidRDefault="002612B6" w:rsidP="00D13EB3">
      <w:pPr>
        <w:pStyle w:val="Paragraph"/>
        <w:spacing w:before="0" w:after="120"/>
        <w:rPr>
          <w:rStyle w:val="hps"/>
        </w:rPr>
      </w:pPr>
      <w:r w:rsidRPr="009739DF">
        <w:rPr>
          <w:rStyle w:val="hps"/>
        </w:rPr>
        <w:t xml:space="preserve">A first output will focus on improving </w:t>
      </w:r>
      <w:r w:rsidR="0094502E" w:rsidRPr="009739DF">
        <w:rPr>
          <w:rStyle w:val="hps"/>
        </w:rPr>
        <w:t>external and internal</w:t>
      </w:r>
      <w:r w:rsidRPr="009739DF">
        <w:rPr>
          <w:rStyle w:val="hps"/>
        </w:rPr>
        <w:t xml:space="preserve"> access to information concerning </w:t>
      </w:r>
      <w:r w:rsidR="0094502E" w:rsidRPr="009739DF">
        <w:rPr>
          <w:rStyle w:val="hps"/>
        </w:rPr>
        <w:t>the Convention’s</w:t>
      </w:r>
      <w:r w:rsidRPr="009739DF">
        <w:rPr>
          <w:rStyle w:val="hps"/>
        </w:rPr>
        <w:t xml:space="preserve"> operations. </w:t>
      </w:r>
      <w:r w:rsidR="0094502E" w:rsidRPr="009739DF">
        <w:rPr>
          <w:rStyle w:val="hps"/>
        </w:rPr>
        <w:t xml:space="preserve">New interfaces will allow States Parties, members of the Secretariat and the public to monitor priority nominations for each cycle, backlog files, the status of periodic reporting and international assistance processes (including technical assistance) and to connect inscribed elements </w:t>
      </w:r>
      <w:r w:rsidR="00D13EB3" w:rsidRPr="009739DF">
        <w:rPr>
          <w:rStyle w:val="hps"/>
        </w:rPr>
        <w:t>with the</w:t>
      </w:r>
      <w:r w:rsidR="0094502E" w:rsidRPr="009739DF">
        <w:rPr>
          <w:rStyle w:val="hps"/>
        </w:rPr>
        <w:t xml:space="preserve"> periodic reports that concern them.</w:t>
      </w:r>
      <w:r w:rsidR="00D13EB3" w:rsidRPr="009739DF">
        <w:rPr>
          <w:rStyle w:val="hps"/>
        </w:rPr>
        <w:t xml:space="preserve"> </w:t>
      </w:r>
      <w:r w:rsidRPr="009739DF">
        <w:rPr>
          <w:rStyle w:val="hps"/>
        </w:rPr>
        <w:t>A</w:t>
      </w:r>
      <w:r w:rsidR="00D13EB3" w:rsidRPr="009739DF">
        <w:rPr>
          <w:rStyle w:val="hps"/>
        </w:rPr>
        <w:t> </w:t>
      </w:r>
      <w:r w:rsidRPr="009739DF">
        <w:rPr>
          <w:rStyle w:val="hps"/>
        </w:rPr>
        <w:t xml:space="preserve">regional officer dashboard will consolidate information on the diverse tasks each of the Section’s staff members is responsible for, together with deadlines and status updates. </w:t>
      </w:r>
    </w:p>
    <w:p w:rsidR="004B2CEA" w:rsidRPr="009739DF" w:rsidRDefault="004B2CEA" w:rsidP="00D13EB3">
      <w:pPr>
        <w:pStyle w:val="Paragraph"/>
        <w:spacing w:before="0" w:after="120"/>
        <w:rPr>
          <w:rStyle w:val="hps"/>
        </w:rPr>
      </w:pPr>
      <w:r w:rsidRPr="009739DF">
        <w:rPr>
          <w:rStyle w:val="hps"/>
        </w:rPr>
        <w:t>The Convention’s website provides a rich repository of documents concerning the governing bodies and their decisions (as well as the history of the Convention and its predecessor programmes within UNESCO), but at present the resolutions of the General Assembly and decisions of the Committee are not as usable and accessible</w:t>
      </w:r>
      <w:r w:rsidR="00D13EB3" w:rsidRPr="009739DF">
        <w:rPr>
          <w:rStyle w:val="hps"/>
        </w:rPr>
        <w:t xml:space="preserve"> to States Parties and others</w:t>
      </w:r>
      <w:r w:rsidRPr="009739DF">
        <w:rPr>
          <w:rStyle w:val="hps"/>
        </w:rPr>
        <w:t xml:space="preserve"> as they could be.</w:t>
      </w:r>
      <w:r w:rsidR="000F0206" w:rsidRPr="009739DF">
        <w:rPr>
          <w:rStyle w:val="hps"/>
        </w:rPr>
        <w:t xml:space="preserve"> A second output </w:t>
      </w:r>
      <w:r w:rsidR="00D13EB3" w:rsidRPr="009739DF">
        <w:rPr>
          <w:rStyle w:val="hps"/>
        </w:rPr>
        <w:t xml:space="preserve">will </w:t>
      </w:r>
      <w:r w:rsidR="000F0206" w:rsidRPr="009739DF">
        <w:rPr>
          <w:rStyle w:val="hps"/>
        </w:rPr>
        <w:t>i</w:t>
      </w:r>
      <w:r w:rsidRPr="009739DF">
        <w:rPr>
          <w:rStyle w:val="hps"/>
        </w:rPr>
        <w:t>ntegrat</w:t>
      </w:r>
      <w:r w:rsidR="000F0206" w:rsidRPr="009739DF">
        <w:rPr>
          <w:rStyle w:val="hps"/>
        </w:rPr>
        <w:t>e</w:t>
      </w:r>
      <w:r w:rsidRPr="009739DF">
        <w:rPr>
          <w:rStyle w:val="hps"/>
        </w:rPr>
        <w:t xml:space="preserve"> Convention documents into UNESDOC while also cross-referencing them within the Convention’s own knowledge management system</w:t>
      </w:r>
      <w:r w:rsidR="00D13EB3" w:rsidRPr="009739DF">
        <w:rPr>
          <w:rStyle w:val="hps"/>
        </w:rPr>
        <w:t>,</w:t>
      </w:r>
      <w:r w:rsidRPr="009739DF">
        <w:rPr>
          <w:rStyle w:val="hps"/>
        </w:rPr>
        <w:t xml:space="preserve"> greatly </w:t>
      </w:r>
      <w:r w:rsidR="00D13EB3" w:rsidRPr="009739DF">
        <w:rPr>
          <w:rStyle w:val="hps"/>
        </w:rPr>
        <w:t xml:space="preserve">improving </w:t>
      </w:r>
      <w:r w:rsidRPr="009739DF">
        <w:rPr>
          <w:rStyle w:val="hps"/>
        </w:rPr>
        <w:t>their accessibility. In the same vein, an information conduit will be created between the Convention’s knowledge management system and the Organization’s transparency initiative, so that Member States and others will be able to find consolidated information about UNESCO’s interactions with and assistance to each Member State and to diverse organizations and entities.</w:t>
      </w:r>
    </w:p>
    <w:p w:rsidR="004B2CEA" w:rsidRPr="009739DF" w:rsidRDefault="00CD7923" w:rsidP="00131607">
      <w:pPr>
        <w:pStyle w:val="Paragraph"/>
        <w:spacing w:before="0" w:after="120"/>
        <w:rPr>
          <w:rStyle w:val="hps"/>
        </w:rPr>
      </w:pPr>
      <w:r w:rsidRPr="009739DF">
        <w:rPr>
          <w:rStyle w:val="hps"/>
        </w:rPr>
        <w:t>In addition to improving access to and usefulness of existing information, a third output</w:t>
      </w:r>
      <w:r w:rsidR="000F0206" w:rsidRPr="009739DF">
        <w:rPr>
          <w:rStyle w:val="hps"/>
        </w:rPr>
        <w:t xml:space="preserve"> under this expected result will focus on providing online tools to facilitate the creation and submission by States Parties of international assistance requests and by accredited non-governmental organizations of their status reports. To the extent that information is created digitally by the originating party, there is less necessity for personnel at the Secretariat to treat documents manually, scanning, registering and tracking them, and thus a significant economy in their scarce time.</w:t>
      </w:r>
    </w:p>
    <w:p w:rsidR="000F0206" w:rsidRPr="009739DF" w:rsidRDefault="000F0206" w:rsidP="00086C19">
      <w:pPr>
        <w:pStyle w:val="Paragraph"/>
        <w:spacing w:before="0" w:after="120"/>
        <w:rPr>
          <w:rStyle w:val="hps"/>
        </w:rPr>
      </w:pPr>
      <w:r w:rsidRPr="009739DF">
        <w:rPr>
          <w:rStyle w:val="hps"/>
        </w:rPr>
        <w:t xml:space="preserve">Finally, the fourth output focuses on enhancing the usability of the Convention’s website through improved </w:t>
      </w:r>
      <w:r w:rsidR="00D13EB3" w:rsidRPr="009739DF">
        <w:rPr>
          <w:rStyle w:val="hps"/>
        </w:rPr>
        <w:t xml:space="preserve">navigation </w:t>
      </w:r>
      <w:r w:rsidRPr="009739DF">
        <w:rPr>
          <w:rStyle w:val="hps"/>
        </w:rPr>
        <w:t xml:space="preserve">and ergonomics. As mentioned above, this work has been underway already in the first semester of 2014 and </w:t>
      </w:r>
      <w:r w:rsidR="00086C19" w:rsidRPr="009739DF">
        <w:rPr>
          <w:rStyle w:val="hps"/>
        </w:rPr>
        <w:t xml:space="preserve">the redesigned site </w:t>
      </w:r>
      <w:r w:rsidRPr="009739DF">
        <w:rPr>
          <w:rStyle w:val="hps"/>
        </w:rPr>
        <w:t xml:space="preserve">will be launched during June; </w:t>
      </w:r>
      <w:r w:rsidR="00086C19" w:rsidRPr="009739DF">
        <w:rPr>
          <w:rStyle w:val="hps"/>
        </w:rPr>
        <w:t xml:space="preserve">that will be the occasion </w:t>
      </w:r>
      <w:r w:rsidRPr="009739DF">
        <w:rPr>
          <w:rStyle w:val="hps"/>
        </w:rPr>
        <w:t xml:space="preserve">to </w:t>
      </w:r>
      <w:r w:rsidR="00086C19" w:rsidRPr="009739DF">
        <w:rPr>
          <w:rStyle w:val="hps"/>
        </w:rPr>
        <w:t xml:space="preserve">update </w:t>
      </w:r>
      <w:r w:rsidRPr="009739DF">
        <w:rPr>
          <w:rStyle w:val="hps"/>
        </w:rPr>
        <w:t>existing pages or – if their information is obsolete – to retire them. The website will also be optimized to increase the accessibility of its content through search engines. Together, these two improvements are expected to contribute to a one-third increase in the number of page views</w:t>
      </w:r>
      <w:r w:rsidR="00C81E87" w:rsidRPr="009739DF">
        <w:rPr>
          <w:rStyle w:val="hps"/>
        </w:rPr>
        <w:t>.</w:t>
      </w:r>
    </w:p>
    <w:p w:rsidR="001E5C0B" w:rsidRPr="009739DF" w:rsidRDefault="0025238C" w:rsidP="009739DF">
      <w:pPr>
        <w:pStyle w:val="Heading2"/>
        <w:tabs>
          <w:tab w:val="left" w:pos="567"/>
        </w:tabs>
        <w:snapToGrid w:val="0"/>
        <w:spacing w:before="360" w:after="240"/>
        <w:ind w:left="1134"/>
        <w:rPr>
          <w:rFonts w:ascii="Arial" w:hAnsi="Arial" w:cs="Arial"/>
          <w:bCs w:val="0"/>
          <w:i w:val="0"/>
          <w:iCs w:val="0"/>
          <w:snapToGrid w:val="0"/>
          <w:sz w:val="22"/>
          <w:szCs w:val="22"/>
          <w:lang w:val="en-GB" w:eastAsia="en-US"/>
        </w:rPr>
      </w:pPr>
      <w:r w:rsidRPr="009739DF">
        <w:rPr>
          <w:rFonts w:ascii="Arial" w:hAnsi="Arial" w:cs="Arial"/>
          <w:bCs w:val="0"/>
          <w:i w:val="0"/>
          <w:iCs w:val="0"/>
          <w:snapToGrid w:val="0"/>
          <w:sz w:val="22"/>
          <w:szCs w:val="22"/>
          <w:lang w:val="en-GB" w:eastAsia="en-US"/>
        </w:rPr>
        <w:t>E</w:t>
      </w:r>
      <w:r w:rsidR="001E5C0B" w:rsidRPr="009739DF">
        <w:rPr>
          <w:rFonts w:ascii="Arial" w:hAnsi="Arial" w:cs="Arial"/>
          <w:bCs w:val="0"/>
          <w:i w:val="0"/>
          <w:iCs w:val="0"/>
          <w:snapToGrid w:val="0"/>
          <w:sz w:val="22"/>
          <w:szCs w:val="22"/>
          <w:lang w:val="en-GB" w:eastAsia="en-US"/>
        </w:rPr>
        <w:t xml:space="preserve">xpected </w:t>
      </w:r>
      <w:r w:rsidRPr="009739DF">
        <w:rPr>
          <w:rFonts w:ascii="Arial" w:hAnsi="Arial" w:cs="Arial"/>
          <w:bCs w:val="0"/>
          <w:i w:val="0"/>
          <w:iCs w:val="0"/>
          <w:snapToGrid w:val="0"/>
          <w:sz w:val="22"/>
          <w:szCs w:val="22"/>
          <w:lang w:val="en-GB" w:eastAsia="en-US"/>
        </w:rPr>
        <w:t>R</w:t>
      </w:r>
      <w:r w:rsidR="001E5C0B" w:rsidRPr="009739DF">
        <w:rPr>
          <w:rFonts w:ascii="Arial" w:hAnsi="Arial" w:cs="Arial"/>
          <w:bCs w:val="0"/>
          <w:i w:val="0"/>
          <w:iCs w:val="0"/>
          <w:snapToGrid w:val="0"/>
          <w:sz w:val="22"/>
          <w:szCs w:val="22"/>
          <w:lang w:val="en-GB" w:eastAsia="en-US"/>
        </w:rPr>
        <w:t xml:space="preserve">esult </w:t>
      </w:r>
      <w:r w:rsidRPr="009739DF">
        <w:rPr>
          <w:rFonts w:ascii="Arial" w:hAnsi="Arial" w:cs="Arial"/>
          <w:bCs w:val="0"/>
          <w:i w:val="0"/>
          <w:iCs w:val="0"/>
          <w:snapToGrid w:val="0"/>
          <w:sz w:val="22"/>
          <w:szCs w:val="22"/>
          <w:lang w:val="en-GB" w:eastAsia="en-US"/>
        </w:rPr>
        <w:t>3</w:t>
      </w:r>
      <w:r w:rsidR="0062709D" w:rsidRPr="009739DF">
        <w:rPr>
          <w:rFonts w:ascii="Arial" w:hAnsi="Arial" w:cs="Arial"/>
          <w:bCs w:val="0"/>
          <w:i w:val="0"/>
          <w:iCs w:val="0"/>
          <w:snapToGrid w:val="0"/>
          <w:sz w:val="22"/>
          <w:szCs w:val="22"/>
          <w:lang w:val="en-GB" w:eastAsia="en-US"/>
        </w:rPr>
        <w:t xml:space="preserve">: </w:t>
      </w:r>
      <w:r w:rsidR="001E5C0B" w:rsidRPr="009739DF">
        <w:rPr>
          <w:rFonts w:ascii="Arial" w:hAnsi="Arial" w:cs="Arial"/>
          <w:bCs w:val="0"/>
          <w:i w:val="0"/>
          <w:iCs w:val="0"/>
          <w:snapToGrid w:val="0"/>
          <w:sz w:val="22"/>
          <w:szCs w:val="22"/>
          <w:lang w:val="en-GB" w:eastAsia="en-US"/>
        </w:rPr>
        <w:t xml:space="preserve">Guidance provided on best </w:t>
      </w:r>
      <w:r w:rsidR="00115B6A" w:rsidRPr="009739DF">
        <w:rPr>
          <w:rFonts w:ascii="Arial" w:hAnsi="Arial" w:cs="Arial"/>
          <w:bCs w:val="0"/>
          <w:i w:val="0"/>
          <w:iCs w:val="0"/>
          <w:snapToGrid w:val="0"/>
          <w:sz w:val="22"/>
          <w:szCs w:val="22"/>
          <w:lang w:val="en-GB" w:eastAsia="en-US"/>
        </w:rPr>
        <w:t xml:space="preserve">safeguarding </w:t>
      </w:r>
      <w:r w:rsidR="001E5C0B" w:rsidRPr="009739DF">
        <w:rPr>
          <w:rFonts w:ascii="Arial" w:hAnsi="Arial" w:cs="Arial"/>
          <w:bCs w:val="0"/>
          <w:i w:val="0"/>
          <w:iCs w:val="0"/>
          <w:snapToGrid w:val="0"/>
          <w:sz w:val="22"/>
          <w:szCs w:val="22"/>
          <w:lang w:val="en-GB" w:eastAsia="en-US"/>
        </w:rPr>
        <w:t>practices and recommendations made on measures for the safeguarding of the intangible cultural heritage</w:t>
      </w:r>
    </w:p>
    <w:p w:rsidR="00385509" w:rsidRPr="009739DF" w:rsidRDefault="005F69E3" w:rsidP="00131607">
      <w:pPr>
        <w:pStyle w:val="Paragraph"/>
        <w:spacing w:before="0" w:after="120"/>
        <w:rPr>
          <w:rStyle w:val="hps"/>
        </w:rPr>
      </w:pPr>
      <w:r w:rsidRPr="009739DF">
        <w:rPr>
          <w:rStyle w:val="hps"/>
        </w:rPr>
        <w:t xml:space="preserve">Among the Committee’s functions described in </w:t>
      </w:r>
      <w:r w:rsidR="00115B6A" w:rsidRPr="009739DF">
        <w:rPr>
          <w:rStyle w:val="hps"/>
        </w:rPr>
        <w:t xml:space="preserve">Article 7(b) </w:t>
      </w:r>
      <w:r w:rsidRPr="009739DF">
        <w:rPr>
          <w:rStyle w:val="hps"/>
        </w:rPr>
        <w:t xml:space="preserve">of the Convention is to </w:t>
      </w:r>
      <w:r w:rsidR="00115B6A" w:rsidRPr="009739DF">
        <w:rPr>
          <w:rStyle w:val="hps"/>
        </w:rPr>
        <w:t xml:space="preserve">‘provide guidance on best practices and make recommendations on measures for the safeguarding of the intangible cultural heritage’. Until now, such efforts have </w:t>
      </w:r>
      <w:r w:rsidR="00385509" w:rsidRPr="009739DF">
        <w:rPr>
          <w:rStyle w:val="hps"/>
        </w:rPr>
        <w:t>focused</w:t>
      </w:r>
      <w:r w:rsidR="00115B6A" w:rsidRPr="009739DF">
        <w:rPr>
          <w:rStyle w:val="hps"/>
        </w:rPr>
        <w:t xml:space="preserve"> on the Register of Best Safeguarding Practices and on publishing the experiences of selected projects. However, as explained in the 2013 Evaluation of the Internal Oversight Service (Document ITH/13/8.COM/INF.5.c), the </w:t>
      </w:r>
      <w:r w:rsidR="00115B6A" w:rsidRPr="009739DF">
        <w:rPr>
          <w:rStyle w:val="hps"/>
          <w:rFonts w:eastAsia="Calibri"/>
        </w:rPr>
        <w:t>Register has not proven to be a</w:t>
      </w:r>
      <w:r w:rsidRPr="009739DF">
        <w:rPr>
          <w:rStyle w:val="hps"/>
          <w:rFonts w:eastAsia="Calibri"/>
        </w:rPr>
        <w:t>s</w:t>
      </w:r>
      <w:r w:rsidR="00115B6A" w:rsidRPr="009739DF">
        <w:rPr>
          <w:rStyle w:val="hps"/>
          <w:rFonts w:eastAsia="Calibri"/>
        </w:rPr>
        <w:t xml:space="preserve"> effective </w:t>
      </w:r>
      <w:r w:rsidRPr="009739DF">
        <w:rPr>
          <w:rStyle w:val="hps"/>
          <w:rFonts w:eastAsia="Calibri"/>
        </w:rPr>
        <w:t>as intended: ‘o</w:t>
      </w:r>
      <w:r w:rsidR="00115B6A" w:rsidRPr="009739DF">
        <w:rPr>
          <w:rStyle w:val="hps"/>
          <w:rFonts w:eastAsia="Calibri"/>
        </w:rPr>
        <w:t>verall, the current demand for the exchange of knowledge, experience and guidance seems greatly to exceed the supply.</w:t>
      </w:r>
      <w:r w:rsidR="00115B6A" w:rsidRPr="009739DF">
        <w:rPr>
          <w:rStyle w:val="hps"/>
        </w:rPr>
        <w:t xml:space="preserve">’ </w:t>
      </w:r>
      <w:r w:rsidR="00385509" w:rsidRPr="009739DF">
        <w:rPr>
          <w:rStyle w:val="hps"/>
        </w:rPr>
        <w:t xml:space="preserve">Responding to the IOS recommendations, the Committee called on </w:t>
      </w:r>
      <w:r w:rsidR="00385509" w:rsidRPr="009739DF">
        <w:t>States Parties and the General Assembly, as well as the Secretariat, category 2</w:t>
      </w:r>
      <w:r w:rsidR="00385509" w:rsidRPr="009739DF">
        <w:rPr>
          <w:rStyle w:val="hps"/>
        </w:rPr>
        <w:t xml:space="preserve"> </w:t>
      </w:r>
      <w:r w:rsidR="00385509" w:rsidRPr="009739DF">
        <w:t>centres, non-governmental organizations and all other stakeholders</w:t>
      </w:r>
      <w:r w:rsidR="00385509" w:rsidRPr="009739DF">
        <w:rPr>
          <w:rStyle w:val="hps"/>
        </w:rPr>
        <w:t xml:space="preserve"> both to ‘</w:t>
      </w:r>
      <w:r w:rsidR="00385509" w:rsidRPr="009739DF">
        <w:t>Complement the Register of Best Safeguarding Practices by developing alternate,</w:t>
      </w:r>
      <w:r w:rsidR="00385509" w:rsidRPr="009739DF">
        <w:rPr>
          <w:rStyle w:val="hps"/>
        </w:rPr>
        <w:t xml:space="preserve"> </w:t>
      </w:r>
      <w:r w:rsidR="00385509" w:rsidRPr="009739DF">
        <w:t>lighter ways of sharing safeguarding experiences such as dedicated websites, e</w:t>
      </w:r>
      <w:r w:rsidR="00911F34" w:rsidRPr="009739DF">
        <w:rPr>
          <w:rStyle w:val="hps"/>
        </w:rPr>
        <w:t>-</w:t>
      </w:r>
      <w:r w:rsidR="00385509" w:rsidRPr="009739DF">
        <w:t>newsletters,</w:t>
      </w:r>
      <w:r w:rsidR="00385509" w:rsidRPr="009739DF">
        <w:rPr>
          <w:rStyle w:val="hps"/>
        </w:rPr>
        <w:t xml:space="preserve"> </w:t>
      </w:r>
      <w:r w:rsidR="00385509" w:rsidRPr="009739DF">
        <w:t>online f</w:t>
      </w:r>
      <w:r w:rsidR="00385509" w:rsidRPr="009739DF">
        <w:rPr>
          <w:rStyle w:val="hps"/>
        </w:rPr>
        <w:t>orums, etc. (Recommendation 12)’ and to ‘</w:t>
      </w:r>
      <w:r w:rsidR="00385509" w:rsidRPr="009739DF">
        <w:t>Strengthen informal sharing of interesting and innovative examples on working on the</w:t>
      </w:r>
      <w:r w:rsidR="00385509" w:rsidRPr="009739DF">
        <w:rPr>
          <w:rStyle w:val="hps"/>
        </w:rPr>
        <w:t xml:space="preserve"> </w:t>
      </w:r>
      <w:r w:rsidR="00385509" w:rsidRPr="009739DF">
        <w:t xml:space="preserve">Convention, including about intangible cultural heritage </w:t>
      </w:r>
      <w:r w:rsidR="00385509" w:rsidRPr="009739DF">
        <w:lastRenderedPageBreak/>
        <w:t>safeguarding, development of</w:t>
      </w:r>
      <w:r w:rsidR="00385509" w:rsidRPr="009739DF">
        <w:rPr>
          <w:rStyle w:val="hps"/>
        </w:rPr>
        <w:t xml:space="preserve"> </w:t>
      </w:r>
      <w:r w:rsidR="00385509" w:rsidRPr="009739DF">
        <w:t>policy and legislation, intangible cultural heritage and sustainable development,</w:t>
      </w:r>
      <w:r w:rsidR="00385509" w:rsidRPr="009739DF">
        <w:rPr>
          <w:rStyle w:val="hps"/>
        </w:rPr>
        <w:t xml:space="preserve"> </w:t>
      </w:r>
      <w:r w:rsidR="00385509" w:rsidRPr="009739DF">
        <w:t>innovative partnerships</w:t>
      </w:r>
      <w:r w:rsidR="00385509" w:rsidRPr="009739DF">
        <w:rPr>
          <w:rStyle w:val="hps"/>
        </w:rPr>
        <w:t xml:space="preserve"> and others (Recommendation 20)’.</w:t>
      </w:r>
    </w:p>
    <w:p w:rsidR="00D562DE" w:rsidRPr="009739DF" w:rsidRDefault="00911F34" w:rsidP="00131607">
      <w:pPr>
        <w:pStyle w:val="Paragraph"/>
        <w:spacing w:before="0" w:after="120"/>
        <w:rPr>
          <w:rStyle w:val="hps"/>
        </w:rPr>
      </w:pPr>
      <w:r w:rsidRPr="009739DF">
        <w:rPr>
          <w:rStyle w:val="hps"/>
        </w:rPr>
        <w:t xml:space="preserve">While </w:t>
      </w:r>
      <w:r w:rsidR="00504404" w:rsidRPr="009739DF">
        <w:rPr>
          <w:rStyle w:val="hps"/>
        </w:rPr>
        <w:t xml:space="preserve">encouraging and </w:t>
      </w:r>
      <w:r w:rsidRPr="009739DF">
        <w:rPr>
          <w:rStyle w:val="hps"/>
        </w:rPr>
        <w:t xml:space="preserve">facilitating efforts by others to develop dedicated websites, e-newsletters and online forums, the Secretariat will focus its </w:t>
      </w:r>
      <w:r w:rsidR="00504404" w:rsidRPr="009739DF">
        <w:rPr>
          <w:rStyle w:val="hps"/>
        </w:rPr>
        <w:t xml:space="preserve">own </w:t>
      </w:r>
      <w:r w:rsidRPr="009739DF">
        <w:rPr>
          <w:rStyle w:val="hps"/>
        </w:rPr>
        <w:t xml:space="preserve">efforts in the second area: identifying and sharing interesting and innovative examples </w:t>
      </w:r>
      <w:r w:rsidR="00504404" w:rsidRPr="009739DF">
        <w:rPr>
          <w:rStyle w:val="hps"/>
        </w:rPr>
        <w:t>concerning several</w:t>
      </w:r>
      <w:r w:rsidR="000D5913" w:rsidRPr="009739DF">
        <w:rPr>
          <w:rStyle w:val="hps"/>
        </w:rPr>
        <w:t xml:space="preserve"> themes, including two previously identified as priorities by the Committee. In its Decision 7.COM 6, the Committee invited the Secretariat ‘to initiate work on a model code of ethics and to report on it to a next session of the Committee’, and in its Decision 8.COM 5.c.1 it called for strengthening ‘UNESCO’s long-standing cooperation with WIPO over traditional knowledge and culture to ensure an ongoing exchange and learning between the two organizations and their Member States’ (cf. Decision 8.COM 13.a). </w:t>
      </w:r>
      <w:r w:rsidR="00B13138" w:rsidRPr="009739DF">
        <w:rPr>
          <w:rStyle w:val="hps"/>
        </w:rPr>
        <w:t>Additionally, within the United Nations system, UNESCO is increasingly looked to for guidance on conflict and disaster reduction and recovery, and intangible cultural heritage is clearly at the centre of such discussions.</w:t>
      </w:r>
    </w:p>
    <w:p w:rsidR="00503A05" w:rsidRPr="009739DF" w:rsidRDefault="00D562DE" w:rsidP="00131607">
      <w:pPr>
        <w:pStyle w:val="Paragraph"/>
        <w:spacing w:before="0" w:after="120"/>
        <w:rPr>
          <w:rStyle w:val="hps"/>
        </w:rPr>
      </w:pPr>
      <w:r w:rsidRPr="009739DF">
        <w:rPr>
          <w:rStyle w:val="hps"/>
        </w:rPr>
        <w:t xml:space="preserve">The Secretariat will accordingly consider these as priority </w:t>
      </w:r>
      <w:r w:rsidR="006F11F2" w:rsidRPr="009739DF">
        <w:rPr>
          <w:rStyle w:val="hps"/>
        </w:rPr>
        <w:t>themes</w:t>
      </w:r>
      <w:r w:rsidRPr="009739DF">
        <w:rPr>
          <w:rStyle w:val="hps"/>
        </w:rPr>
        <w:t xml:space="preserve"> for identifying good practices and disseminating information on them</w:t>
      </w:r>
      <w:r w:rsidR="00503A05" w:rsidRPr="009739DF">
        <w:rPr>
          <w:rStyle w:val="hps"/>
        </w:rPr>
        <w:t xml:space="preserve"> and for strengthening the exchange of information</w:t>
      </w:r>
      <w:r w:rsidRPr="009739DF">
        <w:rPr>
          <w:rStyle w:val="hps"/>
        </w:rPr>
        <w:t xml:space="preserve">. </w:t>
      </w:r>
      <w:r w:rsidR="00503A05" w:rsidRPr="009739DF">
        <w:rPr>
          <w:rStyle w:val="hps"/>
        </w:rPr>
        <w:t xml:space="preserve">With regard to the subject of intellectual property, this entails UNESCO participation in the periodic meetings of the WIPO Intergovernmental Committee on Intellectual Property and Genetic Resources, Traditional Knowledge and Folklore and </w:t>
      </w:r>
      <w:r w:rsidR="006F11F2" w:rsidRPr="009739DF">
        <w:rPr>
          <w:rStyle w:val="hps"/>
        </w:rPr>
        <w:t>relevant</w:t>
      </w:r>
      <w:r w:rsidR="00503A05" w:rsidRPr="009739DF">
        <w:rPr>
          <w:rStyle w:val="hps"/>
        </w:rPr>
        <w:t xml:space="preserve"> meetings of other United Nations agencies. The Secretariat will also cooperate with the Regional Centre for the Safeguarding of Intangible Cultural Heritage in South-Eastern Europe in Sofia, Bulgaria, in organizing a sub-regional meeting on intangible cultural heritage and intellectual property.</w:t>
      </w:r>
    </w:p>
    <w:p w:rsidR="000D5913" w:rsidRPr="009739DF" w:rsidRDefault="00503A05" w:rsidP="00131607">
      <w:pPr>
        <w:pStyle w:val="Paragraph"/>
        <w:spacing w:before="0" w:after="120"/>
        <w:rPr>
          <w:rStyle w:val="hps"/>
        </w:rPr>
      </w:pPr>
      <w:r w:rsidRPr="009739DF">
        <w:rPr>
          <w:rStyle w:val="hps"/>
        </w:rPr>
        <w:t xml:space="preserve">For </w:t>
      </w:r>
      <w:r w:rsidR="00DC5C6A" w:rsidRPr="009739DF">
        <w:rPr>
          <w:rStyle w:val="hps"/>
        </w:rPr>
        <w:t xml:space="preserve">consideration of </w:t>
      </w:r>
      <w:r w:rsidRPr="009739DF">
        <w:rPr>
          <w:rStyle w:val="hps"/>
        </w:rPr>
        <w:t>codes of ethics and questions of conflict and disaster reduction and recovery, t</w:t>
      </w:r>
      <w:r w:rsidR="00B13138" w:rsidRPr="009739DF">
        <w:rPr>
          <w:rStyle w:val="hps"/>
        </w:rPr>
        <w:t xml:space="preserve">he first step will be to collect and analyse existing practices through desk studies by consultants, in preparation </w:t>
      </w:r>
      <w:r w:rsidRPr="009739DF">
        <w:rPr>
          <w:rStyle w:val="hps"/>
        </w:rPr>
        <w:t xml:space="preserve">for small expert meetings on the </w:t>
      </w:r>
      <w:r w:rsidR="00DC5C6A" w:rsidRPr="009739DF">
        <w:rPr>
          <w:rStyle w:val="hps"/>
        </w:rPr>
        <w:t>themes</w:t>
      </w:r>
      <w:r w:rsidR="00111D54" w:rsidRPr="009739DF">
        <w:rPr>
          <w:rStyle w:val="hps"/>
        </w:rPr>
        <w:t xml:space="preserve"> in 2015 and 2016 (contingent on</w:t>
      </w:r>
      <w:r w:rsidR="00111D54" w:rsidRPr="009739DF">
        <w:t xml:space="preserve"> </w:t>
      </w:r>
      <w:r w:rsidR="00111D54" w:rsidRPr="009739DF">
        <w:rPr>
          <w:rStyle w:val="hps"/>
        </w:rPr>
        <w:t>host-country or partner support)</w:t>
      </w:r>
      <w:r w:rsidRPr="009739DF">
        <w:rPr>
          <w:rStyle w:val="hps"/>
        </w:rPr>
        <w:t xml:space="preserve">. </w:t>
      </w:r>
      <w:r w:rsidR="00111D54" w:rsidRPr="009739DF">
        <w:rPr>
          <w:rStyle w:val="hps"/>
        </w:rPr>
        <w:t>The expert meetings would in turn generate recommendations to be presented to the Committee for examination at its tenth and eleventh sessions.</w:t>
      </w:r>
    </w:p>
    <w:p w:rsidR="0062709D" w:rsidRPr="009739DF" w:rsidRDefault="0025238C" w:rsidP="009739DF">
      <w:pPr>
        <w:pStyle w:val="Heading2"/>
        <w:tabs>
          <w:tab w:val="left" w:pos="567"/>
        </w:tabs>
        <w:snapToGrid w:val="0"/>
        <w:spacing w:before="360" w:after="240"/>
        <w:ind w:left="1134"/>
        <w:rPr>
          <w:rFonts w:ascii="Arial" w:hAnsi="Arial" w:cs="Arial"/>
          <w:bCs w:val="0"/>
          <w:i w:val="0"/>
          <w:iCs w:val="0"/>
          <w:snapToGrid w:val="0"/>
          <w:sz w:val="22"/>
          <w:szCs w:val="22"/>
          <w:lang w:val="en-GB" w:eastAsia="en-US"/>
        </w:rPr>
      </w:pPr>
      <w:r w:rsidRPr="009739DF">
        <w:rPr>
          <w:rFonts w:ascii="Arial" w:hAnsi="Arial" w:cs="Arial"/>
          <w:bCs w:val="0"/>
          <w:i w:val="0"/>
          <w:iCs w:val="0"/>
          <w:snapToGrid w:val="0"/>
          <w:sz w:val="22"/>
          <w:szCs w:val="22"/>
          <w:lang w:val="en-GB" w:eastAsia="en-US"/>
        </w:rPr>
        <w:t>E</w:t>
      </w:r>
      <w:r w:rsidR="001E5C0B" w:rsidRPr="009739DF">
        <w:rPr>
          <w:rFonts w:ascii="Arial" w:hAnsi="Arial" w:cs="Arial"/>
          <w:bCs w:val="0"/>
          <w:i w:val="0"/>
          <w:iCs w:val="0"/>
          <w:snapToGrid w:val="0"/>
          <w:sz w:val="22"/>
          <w:szCs w:val="22"/>
          <w:lang w:val="en-GB" w:eastAsia="en-US"/>
        </w:rPr>
        <w:t xml:space="preserve">xpected </w:t>
      </w:r>
      <w:r w:rsidRPr="009739DF">
        <w:rPr>
          <w:rFonts w:ascii="Arial" w:hAnsi="Arial" w:cs="Arial"/>
          <w:bCs w:val="0"/>
          <w:i w:val="0"/>
          <w:iCs w:val="0"/>
          <w:snapToGrid w:val="0"/>
          <w:sz w:val="22"/>
          <w:szCs w:val="22"/>
          <w:lang w:val="en-GB" w:eastAsia="en-US"/>
        </w:rPr>
        <w:t>R</w:t>
      </w:r>
      <w:r w:rsidR="001E5C0B" w:rsidRPr="009739DF">
        <w:rPr>
          <w:rFonts w:ascii="Arial" w:hAnsi="Arial" w:cs="Arial"/>
          <w:bCs w:val="0"/>
          <w:i w:val="0"/>
          <w:iCs w:val="0"/>
          <w:snapToGrid w:val="0"/>
          <w:sz w:val="22"/>
          <w:szCs w:val="22"/>
          <w:lang w:val="en-GB" w:eastAsia="en-US"/>
        </w:rPr>
        <w:t>esult</w:t>
      </w:r>
      <w:r w:rsidRPr="009739DF">
        <w:rPr>
          <w:rFonts w:ascii="Arial" w:hAnsi="Arial" w:cs="Arial"/>
          <w:bCs w:val="0"/>
          <w:i w:val="0"/>
          <w:iCs w:val="0"/>
          <w:snapToGrid w:val="0"/>
          <w:sz w:val="22"/>
          <w:szCs w:val="22"/>
          <w:lang w:val="en-GB" w:eastAsia="en-US"/>
        </w:rPr>
        <w:t xml:space="preserve"> 4</w:t>
      </w:r>
      <w:r w:rsidR="0062709D" w:rsidRPr="009739DF">
        <w:rPr>
          <w:rFonts w:ascii="Arial" w:hAnsi="Arial" w:cs="Arial"/>
          <w:bCs w:val="0"/>
          <w:i w:val="0"/>
          <w:iCs w:val="0"/>
          <w:snapToGrid w:val="0"/>
          <w:sz w:val="22"/>
          <w:szCs w:val="22"/>
          <w:lang w:val="en-GB" w:eastAsia="en-US"/>
        </w:rPr>
        <w:t>:</w:t>
      </w:r>
      <w:r w:rsidR="001E5C0B" w:rsidRPr="009739DF">
        <w:rPr>
          <w:rFonts w:ascii="Arial" w:hAnsi="Arial" w:cs="Arial"/>
          <w:bCs w:val="0"/>
          <w:i w:val="0"/>
          <w:iCs w:val="0"/>
          <w:snapToGrid w:val="0"/>
          <w:sz w:val="22"/>
          <w:szCs w:val="22"/>
          <w:lang w:val="en-GB" w:eastAsia="en-US"/>
        </w:rPr>
        <w:t xml:space="preserve"> </w:t>
      </w:r>
      <w:r w:rsidR="008D3618" w:rsidRPr="009739DF">
        <w:rPr>
          <w:rFonts w:ascii="Arial" w:hAnsi="Arial" w:cs="Arial"/>
          <w:bCs w:val="0"/>
          <w:i w:val="0"/>
          <w:iCs w:val="0"/>
          <w:snapToGrid w:val="0"/>
          <w:sz w:val="22"/>
          <w:szCs w:val="22"/>
          <w:lang w:val="en-GB" w:eastAsia="en-US"/>
        </w:rPr>
        <w:t>Better visibility of the intangible cultural heritage and awareness of its significance ensured throug</w:t>
      </w:r>
      <w:r w:rsidR="0062709D" w:rsidRPr="009739DF">
        <w:rPr>
          <w:rFonts w:ascii="Arial" w:hAnsi="Arial" w:cs="Arial"/>
          <w:bCs w:val="0"/>
          <w:i w:val="0"/>
          <w:iCs w:val="0"/>
          <w:snapToGrid w:val="0"/>
          <w:sz w:val="22"/>
          <w:szCs w:val="22"/>
          <w:lang w:val="en-GB" w:eastAsia="en-US"/>
        </w:rPr>
        <w:t>h publication and dissemination</w:t>
      </w:r>
    </w:p>
    <w:p w:rsidR="001E5C0B" w:rsidRPr="009739DF" w:rsidRDefault="00681C98" w:rsidP="00131607">
      <w:pPr>
        <w:pStyle w:val="Paragraph"/>
        <w:spacing w:before="0" w:after="120"/>
        <w:rPr>
          <w:rStyle w:val="hps"/>
        </w:rPr>
      </w:pPr>
      <w:r w:rsidRPr="009739DF">
        <w:rPr>
          <w:rStyle w:val="hps"/>
        </w:rPr>
        <w:t xml:space="preserve">Activities to </w:t>
      </w:r>
      <w:r w:rsidR="00DB5903" w:rsidRPr="009739DF">
        <w:rPr>
          <w:rStyle w:val="hps"/>
        </w:rPr>
        <w:t>attain</w:t>
      </w:r>
      <w:r w:rsidRPr="009739DF">
        <w:rPr>
          <w:rStyle w:val="hps"/>
        </w:rPr>
        <w:t xml:space="preserve"> this result assist</w:t>
      </w:r>
      <w:r w:rsidR="008D3618" w:rsidRPr="009739DF">
        <w:rPr>
          <w:rStyle w:val="hps"/>
        </w:rPr>
        <w:t xml:space="preserve"> the Committee</w:t>
      </w:r>
      <w:r w:rsidRPr="009739DF">
        <w:rPr>
          <w:rStyle w:val="hps"/>
        </w:rPr>
        <w:t xml:space="preserve"> to </w:t>
      </w:r>
      <w:r w:rsidR="00DB5903" w:rsidRPr="009739DF">
        <w:rPr>
          <w:rStyle w:val="hps"/>
        </w:rPr>
        <w:t>meet</w:t>
      </w:r>
      <w:r w:rsidRPr="009739DF">
        <w:rPr>
          <w:rStyle w:val="hps"/>
        </w:rPr>
        <w:t xml:space="preserve"> its</w:t>
      </w:r>
      <w:r w:rsidR="008D3618" w:rsidRPr="009739DF">
        <w:rPr>
          <w:rStyle w:val="hps"/>
        </w:rPr>
        <w:t xml:space="preserve"> responsibilities to </w:t>
      </w:r>
      <w:r w:rsidR="001E5C0B" w:rsidRPr="009739DF">
        <w:rPr>
          <w:rStyle w:val="hps"/>
        </w:rPr>
        <w:t>provid</w:t>
      </w:r>
      <w:r w:rsidR="008D3618" w:rsidRPr="009739DF">
        <w:rPr>
          <w:rStyle w:val="hps"/>
        </w:rPr>
        <w:t>e</w:t>
      </w:r>
      <w:r w:rsidR="001E5C0B" w:rsidRPr="009739DF">
        <w:rPr>
          <w:rStyle w:val="hps"/>
        </w:rPr>
        <w:t xml:space="preserve"> information to States Parties and the public about the Convention and its activities</w:t>
      </w:r>
      <w:r w:rsidR="008D3618" w:rsidRPr="009739DF">
        <w:rPr>
          <w:rStyle w:val="hps"/>
        </w:rPr>
        <w:t>, as set out in the Operational Directives and the decisions of the General Assembly and Committee</w:t>
      </w:r>
      <w:r w:rsidR="001E5C0B" w:rsidRPr="009739DF">
        <w:rPr>
          <w:rStyle w:val="hps"/>
        </w:rPr>
        <w:t>.</w:t>
      </w:r>
      <w:r w:rsidRPr="009739DF">
        <w:rPr>
          <w:rStyle w:val="hps"/>
        </w:rPr>
        <w:t xml:space="preserve"> Given the overall orientation of the Organization </w:t>
      </w:r>
      <w:r w:rsidR="00C03CC4" w:rsidRPr="009739DF">
        <w:rPr>
          <w:rStyle w:val="hps"/>
        </w:rPr>
        <w:t>in favour of</w:t>
      </w:r>
      <w:r w:rsidRPr="009739DF">
        <w:rPr>
          <w:rStyle w:val="hps"/>
        </w:rPr>
        <w:t xml:space="preserve"> ‘e-production, print-on-demand and e-distribution services’ in preference to conventional printing (37 C/5 Approved), </w:t>
      </w:r>
      <w:r w:rsidR="00C03CC4" w:rsidRPr="009739DF">
        <w:rPr>
          <w:rStyle w:val="hps"/>
        </w:rPr>
        <w:t>only the Basic Texts of the Convention will be printed and the other publications will be published online.</w:t>
      </w:r>
    </w:p>
    <w:p w:rsidR="00C03CC4" w:rsidRPr="009739DF" w:rsidRDefault="00C03CC4" w:rsidP="00086C19">
      <w:pPr>
        <w:pStyle w:val="Paragraph"/>
        <w:spacing w:before="0" w:after="120"/>
        <w:rPr>
          <w:rStyle w:val="hps"/>
        </w:rPr>
      </w:pPr>
      <w:r w:rsidRPr="009739DF">
        <w:rPr>
          <w:rStyle w:val="hps"/>
        </w:rPr>
        <w:t xml:space="preserve">A 2014 edition of the Basic Texts </w:t>
      </w:r>
      <w:r w:rsidR="00E3484C" w:rsidRPr="009739DF">
        <w:rPr>
          <w:rStyle w:val="hps"/>
        </w:rPr>
        <w:t xml:space="preserve">– in English, French, Arabic, Chinese, Russian and Spanish editions – </w:t>
      </w:r>
      <w:r w:rsidRPr="009739DF">
        <w:rPr>
          <w:rStyle w:val="hps"/>
        </w:rPr>
        <w:t>will integrate the amendments made to the Operational Directives and Rules of Procedure by the General Assembly during its fifth session.</w:t>
      </w:r>
      <w:r w:rsidR="00E3484C" w:rsidRPr="009739DF">
        <w:rPr>
          <w:rStyle w:val="hps"/>
        </w:rPr>
        <w:t xml:space="preserve"> The Basic Texts are </w:t>
      </w:r>
      <w:r w:rsidR="00086C19" w:rsidRPr="009739DF">
        <w:rPr>
          <w:rStyle w:val="hps"/>
        </w:rPr>
        <w:t>an essential</w:t>
      </w:r>
      <w:r w:rsidR="00E3484C" w:rsidRPr="009739DF">
        <w:rPr>
          <w:rStyle w:val="hps"/>
        </w:rPr>
        <w:t xml:space="preserve"> reference for the Convention’s governing bodies and are utilized in all of the capacity-building activities. As noted above, substantial efforts were made in the first semester of 2014 so that the revised edition can be printed prior to the ninth session of the Committee. </w:t>
      </w:r>
    </w:p>
    <w:p w:rsidR="00835956" w:rsidRPr="009739DF" w:rsidRDefault="007E2615" w:rsidP="00086C19">
      <w:pPr>
        <w:pStyle w:val="Paragraph"/>
        <w:spacing w:before="0" w:after="120"/>
        <w:rPr>
          <w:rStyle w:val="hps"/>
        </w:rPr>
      </w:pPr>
      <w:r w:rsidRPr="009739DF">
        <w:rPr>
          <w:rStyle w:val="hps"/>
        </w:rPr>
        <w:t xml:space="preserve">Editorial and design work for the digital editions, in English and French, of the 2012-2013 List of Intangible Cultural Heritage in Need of Urgent Safeguarding and Register of Best Safeguarding Practices was completed so they could be published </w:t>
      </w:r>
      <w:r w:rsidR="00086C19" w:rsidRPr="009739DF">
        <w:rPr>
          <w:rStyle w:val="hps"/>
        </w:rPr>
        <w:t>in the first semester of 2014</w:t>
      </w:r>
      <w:r w:rsidRPr="009739DF">
        <w:rPr>
          <w:rStyle w:val="hps"/>
        </w:rPr>
        <w:t>. Editing, translation and design of the 2014-2015 publications will be done during the course of the biennium so they can be published in the first semester of 2016. The Representative List of the Intangible Cultural Heritage of Humanity is published dynamically through the Convention’s website, in English, French and Spanish.</w:t>
      </w:r>
    </w:p>
    <w:p w:rsidR="001E5C0B" w:rsidRPr="009739DF" w:rsidRDefault="00835956" w:rsidP="00131607">
      <w:pPr>
        <w:pStyle w:val="Paragraph"/>
        <w:spacing w:before="0" w:after="120"/>
        <w:rPr>
          <w:rStyle w:val="hps"/>
        </w:rPr>
      </w:pPr>
      <w:r w:rsidRPr="009739DF">
        <w:rPr>
          <w:rStyle w:val="hps"/>
        </w:rPr>
        <w:lastRenderedPageBreak/>
        <w:t>This expected result also includes the creation, editing and translation</w:t>
      </w:r>
      <w:r w:rsidR="00086C19" w:rsidRPr="009739DF">
        <w:rPr>
          <w:rStyle w:val="hps"/>
        </w:rPr>
        <w:t xml:space="preserve"> into English, French and Spanish</w:t>
      </w:r>
      <w:r w:rsidRPr="009739DF">
        <w:rPr>
          <w:rStyle w:val="hps"/>
        </w:rPr>
        <w:t xml:space="preserve"> of content for the Convention’s website. This will entail both the creation of new content such as news, announcements and additional information resources as well as the updating and revision of existing content.</w:t>
      </w:r>
    </w:p>
    <w:p w:rsidR="007E2615" w:rsidRPr="009739DF" w:rsidRDefault="007E2615" w:rsidP="006D14DD">
      <w:pPr>
        <w:pStyle w:val="Heading1"/>
        <w:numPr>
          <w:ilvl w:val="0"/>
          <w:numId w:val="19"/>
        </w:numPr>
        <w:tabs>
          <w:tab w:val="left" w:pos="567"/>
        </w:tabs>
        <w:snapToGrid w:val="0"/>
        <w:spacing w:before="360" w:after="240"/>
        <w:ind w:left="567" w:hanging="567"/>
        <w:rPr>
          <w:rFonts w:ascii="Arial" w:hAnsi="Arial" w:cs="Arial"/>
          <w:bCs w:val="0"/>
          <w:smallCaps/>
          <w:snapToGrid w:val="0"/>
          <w:kern w:val="0"/>
          <w:sz w:val="22"/>
          <w:szCs w:val="22"/>
          <w:lang w:val="en-GB" w:eastAsia="en-US"/>
        </w:rPr>
      </w:pPr>
      <w:r w:rsidRPr="009739DF">
        <w:rPr>
          <w:rFonts w:ascii="Arial" w:hAnsi="Arial" w:cs="Arial"/>
          <w:bCs w:val="0"/>
          <w:smallCaps/>
          <w:snapToGrid w:val="0"/>
          <w:kern w:val="0"/>
          <w:sz w:val="22"/>
          <w:szCs w:val="22"/>
          <w:lang w:val="en-GB" w:eastAsia="en-US"/>
        </w:rPr>
        <w:t>Other provisions</w:t>
      </w:r>
      <w:r w:rsidR="006D14DD" w:rsidRPr="009739DF">
        <w:rPr>
          <w:rFonts w:ascii="Arial" w:hAnsi="Arial" w:cs="Arial"/>
          <w:bCs w:val="0"/>
          <w:smallCaps/>
          <w:snapToGrid w:val="0"/>
          <w:kern w:val="0"/>
          <w:sz w:val="22"/>
          <w:szCs w:val="22"/>
          <w:lang w:val="en-GB" w:eastAsia="en-US"/>
        </w:rPr>
        <w:t xml:space="preserve"> and draft decision</w:t>
      </w:r>
    </w:p>
    <w:p w:rsidR="002676F5" w:rsidRPr="009739DF" w:rsidRDefault="002676F5" w:rsidP="00131607">
      <w:pPr>
        <w:pStyle w:val="Paragraph"/>
        <w:spacing w:before="0" w:after="120"/>
        <w:rPr>
          <w:rStyle w:val="hps"/>
        </w:rPr>
      </w:pPr>
      <w:r w:rsidRPr="009739DF">
        <w:rPr>
          <w:rStyle w:val="hps"/>
        </w:rPr>
        <w:t xml:space="preserve">The Bureau is reminded that, in order to avoid interruptions or delays in execution, the Committee decided (Decision </w:t>
      </w:r>
      <w:r w:rsidR="00C361F2" w:rsidRPr="009739DF">
        <w:rPr>
          <w:rStyle w:val="hps"/>
        </w:rPr>
        <w:t>8</w:t>
      </w:r>
      <w:r w:rsidRPr="009739DF">
        <w:rPr>
          <w:rStyle w:val="hps"/>
        </w:rPr>
        <w:t>.COM </w:t>
      </w:r>
      <w:r w:rsidR="00C361F2" w:rsidRPr="009739DF">
        <w:rPr>
          <w:rStyle w:val="hps"/>
        </w:rPr>
        <w:t>11</w:t>
      </w:r>
      <w:r w:rsidRPr="009739DF">
        <w:rPr>
          <w:rStyle w:val="hps"/>
        </w:rPr>
        <w:t xml:space="preserve">) to authorize the Director-General to make transfers between approved activities under this line of the Plan for the resources of the Fund up to a cumulative amount of US$25,000. The Secretariat would then inform the Bureau in writing, at the session following such action, of the details and reasons for </w:t>
      </w:r>
      <w:r w:rsidR="004B5382" w:rsidRPr="009739DF">
        <w:rPr>
          <w:rStyle w:val="hps"/>
        </w:rPr>
        <w:t>such</w:t>
      </w:r>
      <w:r w:rsidRPr="009739DF">
        <w:rPr>
          <w:rStyle w:val="hps"/>
        </w:rPr>
        <w:t xml:space="preserve"> transfers. As decided by the Committee, any transfers larger than that amount would require the Bureau’s prior approval of a revised plan of expenditure.</w:t>
      </w:r>
    </w:p>
    <w:p w:rsidR="002676F5" w:rsidRPr="009739DF" w:rsidRDefault="002676F5" w:rsidP="00131607">
      <w:pPr>
        <w:pStyle w:val="Paragraph"/>
        <w:spacing w:before="0" w:after="120"/>
      </w:pPr>
      <w:r w:rsidRPr="009739DF">
        <w:rPr>
          <w:rStyle w:val="hps"/>
        </w:rPr>
        <w:t>The Bureau is asked to</w:t>
      </w:r>
      <w:r w:rsidRPr="009739DF">
        <w:t xml:space="preserve"> </w:t>
      </w:r>
      <w:r w:rsidR="00C4334F" w:rsidRPr="009739DF">
        <w:t>examine</w:t>
      </w:r>
      <w:r w:rsidRPr="009739DF">
        <w:t xml:space="preserve"> and decide on </w:t>
      </w:r>
      <w:r w:rsidR="00C4334F" w:rsidRPr="009739DF">
        <w:t xml:space="preserve">the annexed </w:t>
      </w:r>
      <w:r w:rsidR="00E3690A" w:rsidRPr="009739DF">
        <w:t>proposal</w:t>
      </w:r>
      <w:r w:rsidR="00C4334F" w:rsidRPr="009739DF">
        <w:t xml:space="preserve"> for the utilization of the funds for ‘other functions of the Committee’</w:t>
      </w:r>
      <w:r w:rsidRPr="009739DF">
        <w:t xml:space="preserve"> through electronic consultation, as provided in Rule 12.3 of the Rules of Procedure of the Committee. The Bureau of the Committee may wish to adopt the following decision:</w:t>
      </w:r>
    </w:p>
    <w:p w:rsidR="002676F5" w:rsidRPr="009739DF" w:rsidRDefault="002676F5" w:rsidP="002676F5">
      <w:pPr>
        <w:pStyle w:val="Marge"/>
        <w:keepNext/>
        <w:spacing w:before="240"/>
        <w:ind w:left="567"/>
        <w:rPr>
          <w:rFonts w:cs="Arial"/>
          <w:b/>
          <w:szCs w:val="22"/>
          <w:lang w:val="en-GB"/>
        </w:rPr>
      </w:pPr>
      <w:r w:rsidRPr="009739DF">
        <w:rPr>
          <w:rFonts w:cs="Arial"/>
          <w:b/>
          <w:szCs w:val="22"/>
          <w:lang w:val="en-GB"/>
        </w:rPr>
        <w:t>DRAFT DECISION 9.COM 2.BUR 1</w:t>
      </w:r>
    </w:p>
    <w:p w:rsidR="002676F5" w:rsidRPr="009739DF" w:rsidRDefault="002676F5" w:rsidP="002676F5">
      <w:pPr>
        <w:pStyle w:val="Marge"/>
        <w:keepNext/>
        <w:spacing w:before="240"/>
        <w:ind w:left="567"/>
        <w:rPr>
          <w:rFonts w:cs="Arial"/>
          <w:szCs w:val="22"/>
          <w:lang w:val="en-GB"/>
        </w:rPr>
      </w:pPr>
      <w:r w:rsidRPr="009739DF">
        <w:rPr>
          <w:rFonts w:cs="Arial"/>
          <w:szCs w:val="22"/>
          <w:lang w:val="en-GB"/>
        </w:rPr>
        <w:t>The Bureau,</w:t>
      </w:r>
    </w:p>
    <w:p w:rsidR="002676F5" w:rsidRPr="009739DF" w:rsidRDefault="002676F5" w:rsidP="002676F5">
      <w:pPr>
        <w:pStyle w:val="Marge"/>
        <w:numPr>
          <w:ilvl w:val="0"/>
          <w:numId w:val="15"/>
        </w:numPr>
        <w:spacing w:before="120" w:after="120"/>
        <w:ind w:left="1134" w:hanging="567"/>
        <w:rPr>
          <w:rFonts w:cs="Arial"/>
          <w:szCs w:val="22"/>
          <w:lang w:val="en-GB"/>
        </w:rPr>
      </w:pPr>
      <w:r w:rsidRPr="009739DF">
        <w:rPr>
          <w:rFonts w:cs="Arial"/>
          <w:szCs w:val="22"/>
          <w:u w:val="single"/>
          <w:lang w:val="en-GB"/>
        </w:rPr>
        <w:t>Having examined</w:t>
      </w:r>
      <w:r w:rsidRPr="009739DF">
        <w:rPr>
          <w:rFonts w:cs="Arial"/>
          <w:szCs w:val="22"/>
          <w:lang w:val="en-GB"/>
        </w:rPr>
        <w:t xml:space="preserve"> document ITH/12/9.COM 2.BUR/1 and its annex,</w:t>
      </w:r>
    </w:p>
    <w:p w:rsidR="006E7EAB" w:rsidRPr="009739DF" w:rsidRDefault="002676F5" w:rsidP="0057468C">
      <w:pPr>
        <w:pStyle w:val="Marge"/>
        <w:numPr>
          <w:ilvl w:val="0"/>
          <w:numId w:val="15"/>
        </w:numPr>
        <w:spacing w:before="120" w:after="120"/>
        <w:ind w:left="1134" w:hanging="567"/>
        <w:rPr>
          <w:rFonts w:cs="Arial"/>
          <w:szCs w:val="22"/>
          <w:lang w:val="en-GB"/>
        </w:rPr>
      </w:pPr>
      <w:r w:rsidRPr="009739DF">
        <w:rPr>
          <w:rFonts w:cs="Arial"/>
          <w:szCs w:val="22"/>
          <w:u w:val="single"/>
          <w:lang w:val="en-GB"/>
        </w:rPr>
        <w:t>Recalling</w:t>
      </w:r>
      <w:r w:rsidRPr="009739DF">
        <w:rPr>
          <w:rFonts w:cs="Arial"/>
          <w:szCs w:val="22"/>
          <w:lang w:val="en-GB"/>
        </w:rPr>
        <w:t xml:space="preserve"> Resolution 5.GA 7 and Decision 8.COM 11,</w:t>
      </w:r>
    </w:p>
    <w:p w:rsidR="00D66FC9" w:rsidRPr="009739DF" w:rsidRDefault="00D66FC9" w:rsidP="0057468C">
      <w:pPr>
        <w:pStyle w:val="Marge"/>
        <w:numPr>
          <w:ilvl w:val="0"/>
          <w:numId w:val="15"/>
        </w:numPr>
        <w:spacing w:before="120" w:after="120"/>
        <w:ind w:left="1134" w:hanging="567"/>
        <w:rPr>
          <w:rFonts w:cs="Arial"/>
          <w:szCs w:val="22"/>
          <w:lang w:val="en-GB"/>
        </w:rPr>
      </w:pPr>
      <w:r w:rsidRPr="009739DF">
        <w:rPr>
          <w:rFonts w:cs="Arial"/>
          <w:szCs w:val="22"/>
          <w:u w:val="single"/>
          <w:lang w:val="en-GB"/>
        </w:rPr>
        <w:t>Approves</w:t>
      </w:r>
      <w:r w:rsidRPr="009739DF">
        <w:rPr>
          <w:rFonts w:cs="Arial"/>
          <w:szCs w:val="22"/>
          <w:lang w:val="en-GB"/>
        </w:rPr>
        <w:t xml:space="preserve"> the Proposal for the utilization of the funds for ‘other functions of the Committee’ as annexed to this Decision;</w:t>
      </w:r>
    </w:p>
    <w:p w:rsidR="002676F5" w:rsidRPr="009739DF" w:rsidRDefault="002676F5" w:rsidP="002676F5">
      <w:pPr>
        <w:pStyle w:val="Marge"/>
        <w:numPr>
          <w:ilvl w:val="0"/>
          <w:numId w:val="15"/>
        </w:numPr>
        <w:spacing w:before="120" w:after="120"/>
        <w:ind w:left="1134" w:hanging="567"/>
        <w:rPr>
          <w:rFonts w:cs="Arial"/>
          <w:szCs w:val="22"/>
          <w:lang w:val="en-GB"/>
        </w:rPr>
      </w:pPr>
      <w:r w:rsidRPr="009739DF">
        <w:rPr>
          <w:rFonts w:cs="Arial"/>
          <w:szCs w:val="22"/>
          <w:u w:val="single"/>
          <w:lang w:val="en-GB"/>
        </w:rPr>
        <w:t>Requests</w:t>
      </w:r>
      <w:r w:rsidRPr="009739DF">
        <w:rPr>
          <w:rFonts w:cs="Arial"/>
          <w:szCs w:val="22"/>
          <w:lang w:val="en-GB"/>
        </w:rPr>
        <w:t xml:space="preserve"> the Secretariat to report on the progress of implementation and the way the funds are spent;</w:t>
      </w:r>
    </w:p>
    <w:p w:rsidR="002676F5" w:rsidRPr="009739DF" w:rsidRDefault="002676F5" w:rsidP="002676F5">
      <w:pPr>
        <w:pStyle w:val="Marge"/>
        <w:numPr>
          <w:ilvl w:val="0"/>
          <w:numId w:val="15"/>
        </w:numPr>
        <w:spacing w:before="120" w:after="120"/>
        <w:ind w:left="1134" w:hanging="567"/>
        <w:rPr>
          <w:rFonts w:cs="Arial"/>
          <w:szCs w:val="22"/>
          <w:lang w:val="en-GB"/>
        </w:rPr>
      </w:pPr>
      <w:r w:rsidRPr="009739DF">
        <w:rPr>
          <w:rFonts w:cs="Arial"/>
          <w:szCs w:val="22"/>
          <w:u w:val="single"/>
          <w:lang w:val="en-GB"/>
        </w:rPr>
        <w:t>Invites</w:t>
      </w:r>
      <w:r w:rsidRPr="009739DF">
        <w:rPr>
          <w:rFonts w:cs="Arial"/>
          <w:szCs w:val="22"/>
          <w:lang w:val="en-GB"/>
        </w:rPr>
        <w:t xml:space="preserve"> the Chairperson of the Committee to bring this decision to the attention of the Committee at its ninth session.</w:t>
      </w:r>
    </w:p>
    <w:p w:rsidR="008A3916" w:rsidRPr="009739DF" w:rsidRDefault="008A3916" w:rsidP="009739DF">
      <w:pPr>
        <w:pStyle w:val="Marge"/>
        <w:pageBreakBefore/>
        <w:tabs>
          <w:tab w:val="clear" w:pos="567"/>
        </w:tabs>
        <w:spacing w:before="120" w:after="120"/>
        <w:jc w:val="center"/>
        <w:rPr>
          <w:rFonts w:cs="Arial"/>
          <w:b/>
          <w:bCs/>
          <w:szCs w:val="22"/>
          <w:lang w:val="en-GB"/>
        </w:rPr>
      </w:pPr>
      <w:r w:rsidRPr="009739DF">
        <w:rPr>
          <w:rFonts w:cs="Arial"/>
          <w:b/>
          <w:bCs/>
          <w:szCs w:val="22"/>
          <w:lang w:val="en-GB"/>
        </w:rPr>
        <w:lastRenderedPageBreak/>
        <w:t>ANNEX</w:t>
      </w:r>
    </w:p>
    <w:p w:rsidR="008A3916" w:rsidRPr="009739DF" w:rsidRDefault="008A3916" w:rsidP="008A3916">
      <w:pPr>
        <w:pStyle w:val="Marge"/>
        <w:spacing w:before="120" w:after="120"/>
        <w:jc w:val="center"/>
        <w:rPr>
          <w:rFonts w:cs="Arial"/>
          <w:b/>
          <w:bCs/>
          <w:szCs w:val="22"/>
          <w:lang w:val="en-GB"/>
        </w:rPr>
      </w:pPr>
      <w:r w:rsidRPr="009739DF">
        <w:rPr>
          <w:rFonts w:cs="Arial"/>
          <w:b/>
          <w:bCs/>
          <w:szCs w:val="22"/>
          <w:lang w:val="en-GB"/>
        </w:rPr>
        <w:t xml:space="preserve">Proposal for the utilization of the funds for ‘other functions of the Committee’ </w:t>
      </w:r>
      <w:r w:rsidRPr="009739DF">
        <w:rPr>
          <w:rFonts w:cs="Arial"/>
          <w:b/>
          <w:bCs/>
          <w:szCs w:val="22"/>
          <w:lang w:val="en-GB"/>
        </w:rPr>
        <w:br/>
        <w:t>for the periods of 1 January 2014 to 31 December 2015 and 1 January to 30 June 2016</w:t>
      </w:r>
    </w:p>
    <w:p w:rsidR="008A3916" w:rsidRPr="009739DF" w:rsidRDefault="0085409E" w:rsidP="00DE782E">
      <w:pPr>
        <w:pStyle w:val="Marge"/>
        <w:spacing w:before="360" w:after="360"/>
        <w:rPr>
          <w:rFonts w:cs="Arial"/>
          <w:szCs w:val="22"/>
          <w:lang w:val="en-GB"/>
        </w:rPr>
      </w:pPr>
      <w:r w:rsidRPr="009739DF">
        <w:rPr>
          <w:rFonts w:cs="Arial"/>
          <w:szCs w:val="22"/>
          <w:lang w:val="en-GB"/>
        </w:rPr>
        <w:t>Funds shall be used</w:t>
      </w:r>
      <w:r w:rsidR="008D1190" w:rsidRPr="009739DF">
        <w:rPr>
          <w:rFonts w:cs="Arial"/>
          <w:szCs w:val="22"/>
          <w:lang w:val="en-GB"/>
        </w:rPr>
        <w:t xml:space="preserve"> in conformity with the Financial Regulations of the </w:t>
      </w:r>
      <w:r w:rsidR="001E5879" w:rsidRPr="009739DF">
        <w:rPr>
          <w:rFonts w:cs="Arial"/>
          <w:szCs w:val="22"/>
          <w:lang w:val="en-GB"/>
        </w:rPr>
        <w:t>Special Account for the Fund for the Safeguarding of the Intangible Cultural Heritage and the Financial Regulations of UNESCO</w:t>
      </w:r>
      <w:r w:rsidRPr="009739DF">
        <w:rPr>
          <w:rFonts w:cs="Arial"/>
          <w:szCs w:val="22"/>
          <w:lang w:val="en-GB"/>
        </w:rPr>
        <w:t xml:space="preserve"> to cover </w:t>
      </w:r>
      <w:r w:rsidR="00872A0A">
        <w:rPr>
          <w:rFonts w:cs="Arial"/>
          <w:szCs w:val="22"/>
          <w:lang w:val="en-GB"/>
        </w:rPr>
        <w:t>all</w:t>
      </w:r>
      <w:r w:rsidR="00872A0A" w:rsidRPr="009739DF">
        <w:rPr>
          <w:rFonts w:cs="Arial"/>
          <w:szCs w:val="22"/>
          <w:lang w:val="en-GB"/>
        </w:rPr>
        <w:t xml:space="preserve"> </w:t>
      </w:r>
      <w:r w:rsidRPr="009739DF">
        <w:rPr>
          <w:rFonts w:cs="Arial"/>
          <w:szCs w:val="22"/>
          <w:lang w:val="en-GB"/>
        </w:rPr>
        <w:t xml:space="preserve">costs </w:t>
      </w:r>
      <w:r w:rsidR="00872A0A">
        <w:rPr>
          <w:rFonts w:cs="Arial"/>
          <w:szCs w:val="22"/>
          <w:lang w:val="en-GB"/>
        </w:rPr>
        <w:t xml:space="preserve">in line with full budgeting principles to achieve the project’s objectives. These costs </w:t>
      </w:r>
      <w:r w:rsidR="00872A0A" w:rsidRPr="009739DF">
        <w:rPr>
          <w:rFonts w:cs="Arial"/>
          <w:szCs w:val="22"/>
          <w:lang w:val="en-GB"/>
        </w:rPr>
        <w:t>includ</w:t>
      </w:r>
      <w:r w:rsidR="00872A0A">
        <w:rPr>
          <w:rFonts w:cs="Arial"/>
          <w:szCs w:val="22"/>
          <w:lang w:val="en-GB"/>
        </w:rPr>
        <w:t>e</w:t>
      </w:r>
      <w:r w:rsidR="00872A0A" w:rsidRPr="009739DF">
        <w:rPr>
          <w:rFonts w:cs="Arial"/>
          <w:szCs w:val="22"/>
          <w:lang w:val="en-GB"/>
        </w:rPr>
        <w:t xml:space="preserve"> </w:t>
      </w:r>
      <w:r w:rsidR="0025303E" w:rsidRPr="009739DF">
        <w:rPr>
          <w:rFonts w:cs="Arial"/>
          <w:szCs w:val="22"/>
          <w:lang w:val="en-GB"/>
        </w:rPr>
        <w:t xml:space="preserve">training, seminars and meetings; preparation of technical reports; monitoring and evaluation; </w:t>
      </w:r>
      <w:r w:rsidRPr="009739DF">
        <w:rPr>
          <w:rFonts w:cs="Arial"/>
          <w:szCs w:val="22"/>
          <w:lang w:val="en-GB"/>
        </w:rPr>
        <w:t xml:space="preserve">subcontracts; </w:t>
      </w:r>
      <w:r w:rsidR="0025303E" w:rsidRPr="009739DF">
        <w:rPr>
          <w:rFonts w:cs="Arial"/>
          <w:szCs w:val="22"/>
          <w:lang w:val="en-GB"/>
        </w:rPr>
        <w:t>staff; travel; equipment</w:t>
      </w:r>
      <w:r w:rsidRPr="009739DF">
        <w:rPr>
          <w:rFonts w:cs="Arial"/>
          <w:szCs w:val="22"/>
          <w:lang w:val="en-GB"/>
        </w:rPr>
        <w:t xml:space="preserve"> </w:t>
      </w:r>
      <w:r w:rsidR="0025303E" w:rsidRPr="009739DF">
        <w:rPr>
          <w:rFonts w:cs="Arial"/>
          <w:szCs w:val="22"/>
          <w:lang w:val="en-GB"/>
        </w:rPr>
        <w:t xml:space="preserve">and </w:t>
      </w:r>
      <w:r w:rsidRPr="009739DF">
        <w:rPr>
          <w:rFonts w:cs="Arial"/>
          <w:szCs w:val="22"/>
          <w:lang w:val="en-GB"/>
        </w:rPr>
        <w:t xml:space="preserve">any other </w:t>
      </w:r>
      <w:r w:rsidR="00872A0A">
        <w:rPr>
          <w:rFonts w:cs="Arial"/>
          <w:szCs w:val="22"/>
          <w:lang w:val="en-GB"/>
        </w:rPr>
        <w:t>item</w:t>
      </w:r>
      <w:r w:rsidR="00872A0A" w:rsidRPr="009739DF">
        <w:rPr>
          <w:rFonts w:cs="Arial"/>
          <w:szCs w:val="22"/>
          <w:lang w:val="en-GB"/>
        </w:rPr>
        <w:t xml:space="preserve"> </w:t>
      </w:r>
      <w:r w:rsidRPr="009739DF">
        <w:rPr>
          <w:rFonts w:cs="Arial"/>
          <w:szCs w:val="22"/>
          <w:lang w:val="en-GB"/>
        </w:rPr>
        <w:t xml:space="preserve">necessary to </w:t>
      </w:r>
      <w:r w:rsidR="00872A0A">
        <w:rPr>
          <w:rFonts w:cs="Arial"/>
          <w:szCs w:val="22"/>
          <w:lang w:val="en-GB"/>
        </w:rPr>
        <w:t>implement the</w:t>
      </w:r>
      <w:r w:rsidRPr="009739DF">
        <w:rPr>
          <w:rFonts w:cs="Arial"/>
          <w:szCs w:val="22"/>
          <w:lang w:val="en-GB"/>
        </w:rPr>
        <w:t xml:space="preserve"> project’s </w:t>
      </w:r>
      <w:r w:rsidR="00872A0A">
        <w:rPr>
          <w:rFonts w:cs="Arial"/>
          <w:szCs w:val="22"/>
          <w:lang w:val="en-GB"/>
        </w:rPr>
        <w:t>activities</w:t>
      </w:r>
      <w:r w:rsidR="008B2AF6" w:rsidRPr="009739DF">
        <w:rPr>
          <w:rFonts w:cs="Arial"/>
          <w:szCs w:val="22"/>
          <w:lang w:val="en-GB"/>
        </w:rPr>
        <w:t>.</w:t>
      </w:r>
    </w:p>
    <w:tbl>
      <w:tblPr>
        <w:tblStyle w:val="TableGrid"/>
        <w:tblW w:w="5000" w:type="pct"/>
        <w:tblLayout w:type="fixed"/>
        <w:tblLook w:val="04A0" w:firstRow="1" w:lastRow="0" w:firstColumn="1" w:lastColumn="0" w:noHBand="0" w:noVBand="1"/>
      </w:tblPr>
      <w:tblGrid>
        <w:gridCol w:w="2316"/>
        <w:gridCol w:w="7538"/>
      </w:tblGrid>
      <w:tr w:rsidR="00C179D3" w:rsidRPr="009739DF" w:rsidTr="006D14DD">
        <w:trPr>
          <w:cantSplit/>
        </w:trPr>
        <w:tc>
          <w:tcPr>
            <w:tcW w:w="1175" w:type="pct"/>
            <w:shd w:val="clear" w:color="auto" w:fill="F2F2F2" w:themeFill="background1" w:themeFillShade="F2"/>
            <w:vAlign w:val="center"/>
          </w:tcPr>
          <w:p w:rsidR="00C179D3" w:rsidRPr="009739DF" w:rsidRDefault="00C179D3" w:rsidP="00844FC2">
            <w:pPr>
              <w:keepNext/>
              <w:spacing w:before="120" w:after="120"/>
              <w:rPr>
                <w:rFonts w:ascii="Arial" w:hAnsi="Arial" w:cs="Arial"/>
                <w:b/>
                <w:bCs/>
                <w:sz w:val="22"/>
                <w:szCs w:val="22"/>
                <w:lang w:val="en-GB"/>
              </w:rPr>
            </w:pPr>
            <w:r w:rsidRPr="009739DF">
              <w:rPr>
                <w:rFonts w:ascii="Arial" w:hAnsi="Arial" w:cs="Arial"/>
                <w:b/>
                <w:bCs/>
                <w:sz w:val="22"/>
                <w:szCs w:val="22"/>
                <w:lang w:val="en-GB"/>
              </w:rPr>
              <w:t>199OTH</w:t>
            </w:r>
            <w:r w:rsidR="00844FC2" w:rsidRPr="009739DF">
              <w:rPr>
                <w:rFonts w:ascii="Arial" w:hAnsi="Arial" w:cs="Arial"/>
                <w:b/>
                <w:bCs/>
                <w:sz w:val="22"/>
                <w:szCs w:val="22"/>
                <w:lang w:val="en-GB"/>
              </w:rPr>
              <w:t>4137</w:t>
            </w:r>
          </w:p>
        </w:tc>
        <w:tc>
          <w:tcPr>
            <w:tcW w:w="3825" w:type="pct"/>
            <w:shd w:val="clear" w:color="auto" w:fill="F2F2F2" w:themeFill="background1" w:themeFillShade="F2"/>
            <w:vAlign w:val="center"/>
          </w:tcPr>
          <w:p w:rsidR="00C179D3" w:rsidRPr="009739DF" w:rsidRDefault="00C179D3" w:rsidP="0041570B">
            <w:pPr>
              <w:keepNext/>
              <w:spacing w:before="120" w:after="120"/>
              <w:rPr>
                <w:rFonts w:ascii="Arial" w:hAnsi="Arial" w:cs="Arial"/>
                <w:b/>
                <w:bCs/>
                <w:sz w:val="22"/>
                <w:szCs w:val="22"/>
                <w:lang w:val="en-GB"/>
              </w:rPr>
            </w:pPr>
            <w:r w:rsidRPr="009739DF">
              <w:rPr>
                <w:rFonts w:ascii="Arial" w:hAnsi="Arial" w:cs="Arial"/>
                <w:b/>
                <w:bCs/>
                <w:sz w:val="22"/>
                <w:szCs w:val="22"/>
                <w:lang w:val="en-GB"/>
              </w:rPr>
              <w:t>Total budgetary allocation</w:t>
            </w:r>
            <w:r w:rsidR="000E1D17" w:rsidRPr="009739DF">
              <w:rPr>
                <w:rFonts w:ascii="Arial" w:hAnsi="Arial" w:cs="Arial"/>
                <w:b/>
                <w:bCs/>
                <w:sz w:val="22"/>
                <w:szCs w:val="22"/>
                <w:lang w:val="en-GB"/>
              </w:rPr>
              <w:t>s</w:t>
            </w:r>
            <w:r w:rsidRPr="009739DF">
              <w:rPr>
                <w:rFonts w:ascii="Arial" w:hAnsi="Arial" w:cs="Arial"/>
                <w:b/>
                <w:bCs/>
                <w:sz w:val="22"/>
                <w:szCs w:val="22"/>
                <w:lang w:val="en-GB"/>
              </w:rPr>
              <w:t xml:space="preserve">: </w:t>
            </w:r>
            <w:r w:rsidR="0041570B" w:rsidRPr="009739DF">
              <w:rPr>
                <w:rFonts w:ascii="Arial" w:hAnsi="Arial" w:cs="Arial"/>
                <w:b/>
                <w:bCs/>
                <w:sz w:val="22"/>
                <w:szCs w:val="22"/>
                <w:lang w:val="en-GB"/>
              </w:rPr>
              <w:br/>
            </w:r>
            <w:r w:rsidRPr="009739DF">
              <w:rPr>
                <w:rFonts w:ascii="Arial" w:hAnsi="Arial" w:cs="Arial"/>
                <w:b/>
                <w:bCs/>
                <w:sz w:val="22"/>
                <w:szCs w:val="22"/>
                <w:lang w:val="en-GB"/>
              </w:rPr>
              <w:t>US$1,351,087 for the period of 1 January 2014 to 31 December 2015</w:t>
            </w:r>
            <w:r w:rsidR="000E1D17" w:rsidRPr="009739DF">
              <w:rPr>
                <w:rFonts w:ascii="Arial" w:hAnsi="Arial" w:cs="Arial"/>
                <w:b/>
                <w:bCs/>
                <w:sz w:val="22"/>
                <w:szCs w:val="22"/>
                <w:lang w:val="en-GB"/>
              </w:rPr>
              <w:br/>
            </w:r>
            <w:r w:rsidRPr="009739DF">
              <w:rPr>
                <w:rFonts w:ascii="Arial" w:hAnsi="Arial" w:cs="Arial"/>
                <w:b/>
                <w:bCs/>
                <w:sz w:val="22"/>
                <w:szCs w:val="22"/>
                <w:lang w:val="en-GB"/>
              </w:rPr>
              <w:t>US$337,772 for the period of 1 January 2016 to 30 June 2016</w:t>
            </w:r>
          </w:p>
        </w:tc>
      </w:tr>
    </w:tbl>
    <w:p w:rsidR="00A82EDA" w:rsidRPr="009739DF" w:rsidRDefault="00A82EDA" w:rsidP="006C63D2">
      <w:pPr>
        <w:rPr>
          <w:rFonts w:ascii="Arial" w:hAnsi="Arial" w:cs="Arial"/>
          <w:lang w:val="en-GB"/>
        </w:rPr>
      </w:pPr>
    </w:p>
    <w:tbl>
      <w:tblPr>
        <w:tblStyle w:val="TableGrid"/>
        <w:tblW w:w="5002" w:type="pct"/>
        <w:tblLayout w:type="fixed"/>
        <w:tblLook w:val="04A0" w:firstRow="1" w:lastRow="0" w:firstColumn="1" w:lastColumn="0" w:noHBand="0" w:noVBand="1"/>
      </w:tblPr>
      <w:tblGrid>
        <w:gridCol w:w="716"/>
        <w:gridCol w:w="1599"/>
        <w:gridCol w:w="1453"/>
        <w:gridCol w:w="3046"/>
        <w:gridCol w:w="3044"/>
      </w:tblGrid>
      <w:tr w:rsidR="008A3916" w:rsidRPr="004C286E" w:rsidTr="00B21E39">
        <w:trPr>
          <w:cantSplit/>
        </w:trPr>
        <w:tc>
          <w:tcPr>
            <w:tcW w:w="1174" w:type="pct"/>
            <w:gridSpan w:val="2"/>
            <w:shd w:val="clear" w:color="auto" w:fill="F2F2F2" w:themeFill="background1" w:themeFillShade="F2"/>
            <w:vAlign w:val="center"/>
          </w:tcPr>
          <w:p w:rsidR="008A3916" w:rsidRPr="004C286E" w:rsidRDefault="00456B33"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Expected Result</w:t>
            </w:r>
            <w:r w:rsidR="008A3916" w:rsidRPr="004C286E">
              <w:rPr>
                <w:rFonts w:ascii="Arial" w:hAnsi="Arial" w:cs="Arial"/>
                <w:b/>
                <w:bCs/>
                <w:sz w:val="22"/>
                <w:szCs w:val="22"/>
                <w:lang w:val="en-GB"/>
              </w:rPr>
              <w:t xml:space="preserve"> 1</w:t>
            </w:r>
          </w:p>
        </w:tc>
        <w:tc>
          <w:tcPr>
            <w:tcW w:w="3826" w:type="pct"/>
            <w:gridSpan w:val="3"/>
            <w:shd w:val="clear" w:color="auto" w:fill="F2F2F2" w:themeFill="background1" w:themeFillShade="F2"/>
            <w:vAlign w:val="center"/>
          </w:tcPr>
          <w:p w:rsidR="008A3916" w:rsidRPr="004C286E" w:rsidRDefault="008A3916"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Capacity-building programme strengthened to effectively support countries in developing their national policies and human and institutional resources for intangible cultural heritage</w:t>
            </w:r>
          </w:p>
        </w:tc>
      </w:tr>
      <w:tr w:rsidR="00907810" w:rsidRPr="004C286E" w:rsidTr="004C286E">
        <w:trPr>
          <w:cantSplit/>
        </w:trPr>
        <w:tc>
          <w:tcPr>
            <w:tcW w:w="1174" w:type="pct"/>
            <w:gridSpan w:val="2"/>
            <w:shd w:val="clear" w:color="auto" w:fill="F2F2F2" w:themeFill="background1" w:themeFillShade="F2"/>
            <w:vAlign w:val="center"/>
          </w:tcPr>
          <w:p w:rsidR="00907810" w:rsidRPr="004C286E" w:rsidRDefault="00844FC2"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199OTH4137.1</w:t>
            </w:r>
          </w:p>
        </w:tc>
        <w:tc>
          <w:tcPr>
            <w:tcW w:w="3826" w:type="pct"/>
            <w:gridSpan w:val="3"/>
            <w:shd w:val="clear" w:color="auto" w:fill="F2F2F2" w:themeFill="background1" w:themeFillShade="F2"/>
            <w:vAlign w:val="center"/>
          </w:tcPr>
          <w:p w:rsidR="00907810" w:rsidRPr="004C286E" w:rsidRDefault="00907810"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Budgetary allocation</w:t>
            </w:r>
            <w:r w:rsidR="000E1D17" w:rsidRPr="004C286E">
              <w:rPr>
                <w:rFonts w:ascii="Arial" w:hAnsi="Arial" w:cs="Arial"/>
                <w:b/>
                <w:bCs/>
                <w:sz w:val="22"/>
                <w:szCs w:val="22"/>
                <w:lang w:val="en-GB"/>
              </w:rPr>
              <w:t>s</w:t>
            </w:r>
            <w:r w:rsidRPr="004C286E">
              <w:rPr>
                <w:rFonts w:ascii="Arial" w:hAnsi="Arial" w:cs="Arial"/>
                <w:b/>
                <w:bCs/>
                <w:sz w:val="22"/>
                <w:szCs w:val="22"/>
                <w:lang w:val="en-GB"/>
              </w:rPr>
              <w:t xml:space="preserve">: </w:t>
            </w:r>
            <w:r w:rsidR="0041570B" w:rsidRPr="004C286E">
              <w:rPr>
                <w:rFonts w:ascii="Arial" w:hAnsi="Arial" w:cs="Arial"/>
                <w:b/>
                <w:bCs/>
                <w:sz w:val="22"/>
                <w:szCs w:val="22"/>
                <w:lang w:val="en-GB"/>
              </w:rPr>
              <w:br/>
            </w:r>
            <w:r w:rsidR="001B60A0" w:rsidRPr="004C286E">
              <w:rPr>
                <w:rFonts w:ascii="Arial" w:hAnsi="Arial" w:cs="Arial"/>
                <w:b/>
                <w:bCs/>
                <w:sz w:val="22"/>
                <w:szCs w:val="22"/>
                <w:lang w:val="en-GB"/>
              </w:rPr>
              <w:t>US</w:t>
            </w:r>
            <w:r w:rsidRPr="004C286E">
              <w:rPr>
                <w:rFonts w:ascii="Arial" w:hAnsi="Arial" w:cs="Arial"/>
                <w:b/>
                <w:bCs/>
                <w:sz w:val="22"/>
                <w:szCs w:val="22"/>
                <w:lang w:val="en-GB"/>
              </w:rPr>
              <w:t>$</w:t>
            </w:r>
            <w:r w:rsidR="001B60A0" w:rsidRPr="004C286E">
              <w:rPr>
                <w:rFonts w:ascii="Arial" w:hAnsi="Arial" w:cs="Arial"/>
                <w:b/>
                <w:bCs/>
                <w:sz w:val="22"/>
                <w:szCs w:val="22"/>
                <w:lang w:val="en-GB"/>
              </w:rPr>
              <w:t>785,087</w:t>
            </w:r>
            <w:r w:rsidRPr="004C286E">
              <w:rPr>
                <w:rFonts w:ascii="Arial" w:hAnsi="Arial" w:cs="Arial"/>
                <w:b/>
                <w:bCs/>
                <w:sz w:val="22"/>
                <w:szCs w:val="22"/>
                <w:lang w:val="en-GB"/>
              </w:rPr>
              <w:t xml:space="preserve"> in 2014-2015</w:t>
            </w:r>
            <w:r w:rsidR="000E1D17" w:rsidRPr="004C286E">
              <w:rPr>
                <w:rFonts w:ascii="Arial" w:hAnsi="Arial" w:cs="Arial"/>
                <w:b/>
                <w:bCs/>
                <w:sz w:val="22"/>
                <w:szCs w:val="22"/>
                <w:lang w:val="en-GB"/>
              </w:rPr>
              <w:br/>
            </w:r>
            <w:r w:rsidR="001B60A0" w:rsidRPr="004C286E">
              <w:rPr>
                <w:rFonts w:ascii="Arial" w:hAnsi="Arial" w:cs="Arial"/>
                <w:b/>
                <w:bCs/>
                <w:sz w:val="22"/>
                <w:szCs w:val="22"/>
                <w:lang w:val="en-GB"/>
              </w:rPr>
              <w:t>US</w:t>
            </w:r>
            <w:r w:rsidRPr="004C286E">
              <w:rPr>
                <w:rFonts w:ascii="Arial" w:hAnsi="Arial" w:cs="Arial"/>
                <w:b/>
                <w:bCs/>
                <w:sz w:val="22"/>
                <w:szCs w:val="22"/>
                <w:lang w:val="en-GB"/>
              </w:rPr>
              <w:t>$</w:t>
            </w:r>
            <w:r w:rsidR="001B60A0" w:rsidRPr="004C286E">
              <w:rPr>
                <w:rFonts w:ascii="Arial" w:hAnsi="Arial" w:cs="Arial"/>
                <w:b/>
                <w:bCs/>
                <w:sz w:val="22"/>
                <w:szCs w:val="22"/>
                <w:lang w:val="en-GB"/>
              </w:rPr>
              <w:t>196,772</w:t>
            </w:r>
            <w:r w:rsidRPr="004C286E">
              <w:rPr>
                <w:rFonts w:ascii="Arial" w:hAnsi="Arial" w:cs="Arial"/>
                <w:b/>
                <w:bCs/>
                <w:sz w:val="22"/>
                <w:szCs w:val="22"/>
                <w:lang w:val="en-GB"/>
              </w:rPr>
              <w:t xml:space="preserve"> in 2016</w:t>
            </w:r>
          </w:p>
        </w:tc>
      </w:tr>
      <w:tr w:rsidR="008A3916" w:rsidRPr="004C286E" w:rsidTr="004C286E">
        <w:trPr>
          <w:cantSplit/>
        </w:trPr>
        <w:tc>
          <w:tcPr>
            <w:tcW w:w="363" w:type="pct"/>
            <w:shd w:val="clear" w:color="auto" w:fill="F2F2F2" w:themeFill="background1" w:themeFillShade="F2"/>
            <w:vAlign w:val="center"/>
          </w:tcPr>
          <w:p w:rsidR="008A3916" w:rsidRPr="004C286E" w:rsidRDefault="008A3916" w:rsidP="00DE782E">
            <w:pPr>
              <w:keepNext/>
              <w:spacing w:before="60" w:after="60"/>
              <w:jc w:val="right"/>
              <w:rPr>
                <w:rFonts w:ascii="Arial" w:hAnsi="Arial" w:cs="Arial"/>
                <w:i/>
                <w:iCs/>
                <w:sz w:val="22"/>
                <w:szCs w:val="22"/>
                <w:lang w:val="en-GB"/>
              </w:rPr>
            </w:pPr>
          </w:p>
        </w:tc>
        <w:tc>
          <w:tcPr>
            <w:tcW w:w="1548" w:type="pct"/>
            <w:gridSpan w:val="2"/>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Outputs</w:t>
            </w:r>
          </w:p>
        </w:tc>
        <w:tc>
          <w:tcPr>
            <w:tcW w:w="1545" w:type="pct"/>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Indicators (Benchmarks) 2014-2015</w:t>
            </w:r>
          </w:p>
        </w:tc>
        <w:tc>
          <w:tcPr>
            <w:tcW w:w="1544" w:type="pct"/>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 xml:space="preserve">Indicators (Benchmarks) </w:t>
            </w:r>
            <w:r w:rsidR="00456B33" w:rsidRPr="004C286E">
              <w:rPr>
                <w:rFonts w:ascii="Arial" w:hAnsi="Arial" w:cs="Arial"/>
                <w:i/>
                <w:iCs/>
                <w:sz w:val="22"/>
                <w:szCs w:val="22"/>
                <w:lang w:val="en-GB"/>
              </w:rPr>
              <w:br/>
            </w:r>
            <w:r w:rsidRPr="004C286E">
              <w:rPr>
                <w:rFonts w:ascii="Arial" w:hAnsi="Arial" w:cs="Arial"/>
                <w:i/>
                <w:iCs/>
                <w:sz w:val="22"/>
                <w:szCs w:val="22"/>
                <w:lang w:val="en-GB"/>
              </w:rPr>
              <w:t>first semester 2016</w:t>
            </w:r>
          </w:p>
        </w:tc>
      </w:tr>
      <w:tr w:rsidR="000A78FF" w:rsidRPr="004C286E" w:rsidTr="004C286E">
        <w:trPr>
          <w:cantSplit/>
        </w:trPr>
        <w:tc>
          <w:tcPr>
            <w:tcW w:w="363" w:type="pct"/>
            <w:vAlign w:val="center"/>
          </w:tcPr>
          <w:p w:rsidR="000A78FF" w:rsidRPr="004C286E" w:rsidRDefault="000A78FF" w:rsidP="00DE782E">
            <w:pPr>
              <w:spacing w:before="60" w:after="60"/>
              <w:jc w:val="right"/>
              <w:rPr>
                <w:rFonts w:ascii="Arial" w:hAnsi="Arial" w:cs="Arial"/>
                <w:sz w:val="22"/>
                <w:szCs w:val="22"/>
                <w:lang w:val="en-GB"/>
              </w:rPr>
            </w:pPr>
            <w:r w:rsidRPr="004C286E">
              <w:rPr>
                <w:rFonts w:ascii="Arial" w:hAnsi="Arial" w:cs="Arial"/>
                <w:sz w:val="22"/>
                <w:szCs w:val="22"/>
                <w:lang w:val="en-GB"/>
              </w:rPr>
              <w:t>1.1</w:t>
            </w:r>
          </w:p>
        </w:tc>
        <w:tc>
          <w:tcPr>
            <w:tcW w:w="1548" w:type="pct"/>
            <w:gridSpan w:val="2"/>
            <w:vAlign w:val="center"/>
          </w:tcPr>
          <w:p w:rsidR="000A78FF" w:rsidRPr="004C286E" w:rsidRDefault="000A78FF" w:rsidP="00DE782E">
            <w:pPr>
              <w:autoSpaceDE w:val="0"/>
              <w:autoSpaceDN w:val="0"/>
              <w:adjustRightInd w:val="0"/>
              <w:spacing w:before="60" w:after="60"/>
              <w:rPr>
                <w:rFonts w:ascii="Arial" w:hAnsi="Arial" w:cs="Arial"/>
                <w:sz w:val="22"/>
                <w:szCs w:val="22"/>
                <w:lang w:val="en-GB"/>
              </w:rPr>
            </w:pPr>
            <w:r w:rsidRPr="004C286E">
              <w:rPr>
                <w:rFonts w:ascii="Arial" w:hAnsi="Arial" w:cs="Arial"/>
                <w:sz w:val="22"/>
                <w:szCs w:val="22"/>
                <w:lang w:val="en-GB"/>
              </w:rPr>
              <w:t>Facilitators’ network and relevant education institutions strengthened</w:t>
            </w:r>
          </w:p>
        </w:tc>
        <w:tc>
          <w:tcPr>
            <w:tcW w:w="1545" w:type="pct"/>
            <w:vAlign w:val="center"/>
          </w:tcPr>
          <w:p w:rsidR="000A78FF" w:rsidRPr="004C286E" w:rsidRDefault="000A78FF" w:rsidP="00DE782E">
            <w:pPr>
              <w:spacing w:before="60" w:after="60"/>
              <w:rPr>
                <w:rFonts w:ascii="Arial" w:hAnsi="Arial" w:cs="Arial"/>
                <w:sz w:val="22"/>
                <w:szCs w:val="22"/>
                <w:lang w:val="en-GB"/>
              </w:rPr>
            </w:pPr>
            <w:r w:rsidRPr="004C286E">
              <w:rPr>
                <w:rFonts w:ascii="Arial" w:hAnsi="Arial" w:cs="Arial"/>
                <w:sz w:val="22"/>
                <w:szCs w:val="22"/>
                <w:lang w:val="en-GB"/>
              </w:rPr>
              <w:t>Regional workshops to train facilitators and update skills (B=</w:t>
            </w:r>
            <w:r w:rsidR="007B184D" w:rsidRPr="004C286E">
              <w:rPr>
                <w:rFonts w:ascii="Arial" w:hAnsi="Arial" w:cs="Arial"/>
                <w:sz w:val="22"/>
                <w:szCs w:val="22"/>
                <w:lang w:val="en-GB"/>
              </w:rPr>
              <w:t>3</w:t>
            </w:r>
            <w:r w:rsidRPr="004C286E">
              <w:rPr>
                <w:rFonts w:ascii="Arial" w:hAnsi="Arial" w:cs="Arial"/>
                <w:sz w:val="22"/>
                <w:szCs w:val="22"/>
                <w:lang w:val="en-GB"/>
              </w:rPr>
              <w:t xml:space="preserve">, </w:t>
            </w:r>
            <w:r w:rsidR="007B184D" w:rsidRPr="004C286E">
              <w:rPr>
                <w:rFonts w:ascii="Arial" w:hAnsi="Arial" w:cs="Arial"/>
                <w:sz w:val="22"/>
                <w:szCs w:val="22"/>
                <w:lang w:val="en-GB"/>
              </w:rPr>
              <w:t xml:space="preserve">of which one is </w:t>
            </w:r>
            <w:r w:rsidRPr="004C286E">
              <w:rPr>
                <w:rFonts w:ascii="Arial" w:hAnsi="Arial" w:cs="Arial"/>
                <w:sz w:val="22"/>
                <w:szCs w:val="22"/>
                <w:lang w:val="en-GB"/>
              </w:rPr>
              <w:t>contingent on host-country or partner support)</w:t>
            </w:r>
          </w:p>
          <w:p w:rsidR="000A78FF" w:rsidRPr="004C286E" w:rsidRDefault="000A78FF" w:rsidP="00DE782E">
            <w:pPr>
              <w:spacing w:before="60" w:after="60"/>
              <w:rPr>
                <w:rFonts w:ascii="Arial" w:hAnsi="Arial" w:cs="Arial"/>
                <w:sz w:val="22"/>
                <w:szCs w:val="22"/>
                <w:lang w:val="en-GB"/>
              </w:rPr>
            </w:pPr>
            <w:r w:rsidRPr="004C286E">
              <w:rPr>
                <w:rFonts w:ascii="Arial" w:hAnsi="Arial" w:cs="Arial"/>
                <w:sz w:val="22"/>
                <w:szCs w:val="22"/>
                <w:lang w:val="en-GB"/>
              </w:rPr>
              <w:t>Workshop on providing technical assistance concerning international assistance (B=1)</w:t>
            </w:r>
          </w:p>
        </w:tc>
        <w:tc>
          <w:tcPr>
            <w:tcW w:w="1544" w:type="pct"/>
            <w:vAlign w:val="center"/>
          </w:tcPr>
          <w:p w:rsidR="00B66EBA" w:rsidRPr="004C286E" w:rsidRDefault="007B184D" w:rsidP="00DE782E">
            <w:pPr>
              <w:spacing w:before="60" w:after="60"/>
              <w:rPr>
                <w:rFonts w:ascii="Arial" w:hAnsi="Arial" w:cs="Arial"/>
                <w:sz w:val="22"/>
                <w:szCs w:val="22"/>
                <w:lang w:val="en-GB"/>
              </w:rPr>
            </w:pPr>
            <w:r w:rsidRPr="004C286E">
              <w:rPr>
                <w:rFonts w:ascii="Arial" w:hAnsi="Arial" w:cs="Arial"/>
                <w:sz w:val="22"/>
                <w:szCs w:val="22"/>
                <w:lang w:val="en-GB"/>
              </w:rPr>
              <w:t>Regional workshop to train facilitators and update skills</w:t>
            </w:r>
            <w:r w:rsidR="00B66EBA" w:rsidRPr="004C286E">
              <w:rPr>
                <w:rFonts w:ascii="Arial" w:hAnsi="Arial" w:cs="Arial"/>
                <w:sz w:val="22"/>
                <w:szCs w:val="22"/>
                <w:lang w:val="en-GB"/>
              </w:rPr>
              <w:t xml:space="preserve"> (B=1, contingent on host-country or partner support)</w:t>
            </w:r>
          </w:p>
          <w:p w:rsidR="000A78FF" w:rsidRPr="004C286E" w:rsidRDefault="00F71334" w:rsidP="00DE782E">
            <w:pPr>
              <w:spacing w:before="60" w:after="60"/>
              <w:rPr>
                <w:rFonts w:ascii="Arial" w:hAnsi="Arial" w:cs="Arial"/>
                <w:sz w:val="22"/>
                <w:szCs w:val="22"/>
                <w:lang w:val="en-GB"/>
              </w:rPr>
            </w:pPr>
            <w:r w:rsidRPr="004C286E">
              <w:rPr>
                <w:rFonts w:ascii="Arial" w:hAnsi="Arial" w:cs="Arial"/>
                <w:sz w:val="22"/>
                <w:szCs w:val="22"/>
                <w:lang w:val="en-GB"/>
              </w:rPr>
              <w:t>Regional workshop with tertiary education institutions (B=1)</w:t>
            </w:r>
          </w:p>
        </w:tc>
      </w:tr>
      <w:tr w:rsidR="000A78FF" w:rsidRPr="004C286E" w:rsidTr="004C286E">
        <w:trPr>
          <w:cantSplit/>
        </w:trPr>
        <w:tc>
          <w:tcPr>
            <w:tcW w:w="363" w:type="pct"/>
            <w:vAlign w:val="center"/>
          </w:tcPr>
          <w:p w:rsidR="000A78FF" w:rsidRPr="004C286E" w:rsidRDefault="000A78FF" w:rsidP="00DE782E">
            <w:pPr>
              <w:spacing w:before="60" w:after="60"/>
              <w:jc w:val="right"/>
              <w:rPr>
                <w:rFonts w:ascii="Arial" w:hAnsi="Arial" w:cs="Arial"/>
                <w:sz w:val="22"/>
                <w:szCs w:val="22"/>
                <w:lang w:val="en-GB"/>
              </w:rPr>
            </w:pPr>
            <w:r w:rsidRPr="004C286E">
              <w:rPr>
                <w:rFonts w:ascii="Arial" w:hAnsi="Arial" w:cs="Arial"/>
                <w:sz w:val="22"/>
                <w:szCs w:val="22"/>
                <w:lang w:val="en-GB"/>
              </w:rPr>
              <w:t>1.2</w:t>
            </w:r>
          </w:p>
        </w:tc>
        <w:tc>
          <w:tcPr>
            <w:tcW w:w="1548" w:type="pct"/>
            <w:gridSpan w:val="2"/>
            <w:vAlign w:val="center"/>
          </w:tcPr>
          <w:p w:rsidR="000A78FF" w:rsidRPr="004C286E" w:rsidRDefault="000A78FF" w:rsidP="00DE782E">
            <w:pPr>
              <w:spacing w:before="60" w:after="60"/>
              <w:rPr>
                <w:rFonts w:ascii="Arial" w:hAnsi="Arial" w:cs="Arial"/>
                <w:sz w:val="22"/>
                <w:szCs w:val="22"/>
                <w:lang w:val="en-GB"/>
              </w:rPr>
            </w:pPr>
            <w:r w:rsidRPr="004C286E">
              <w:rPr>
                <w:rFonts w:ascii="Arial" w:hAnsi="Arial" w:cs="Arial"/>
                <w:sz w:val="22"/>
                <w:szCs w:val="22"/>
                <w:lang w:val="en-GB"/>
              </w:rPr>
              <w:t>Follow-up and evaluation mechanism established for capacity-building activities to gather data about their effectiveness</w:t>
            </w:r>
          </w:p>
        </w:tc>
        <w:tc>
          <w:tcPr>
            <w:tcW w:w="1545" w:type="pct"/>
            <w:vAlign w:val="center"/>
          </w:tcPr>
          <w:p w:rsidR="000A78FF" w:rsidRPr="004C286E" w:rsidRDefault="000A78FF" w:rsidP="00DE782E">
            <w:pPr>
              <w:spacing w:before="60" w:after="60"/>
              <w:rPr>
                <w:rFonts w:ascii="Arial" w:hAnsi="Arial" w:cs="Arial"/>
                <w:sz w:val="22"/>
                <w:szCs w:val="22"/>
                <w:lang w:val="en-GB"/>
              </w:rPr>
            </w:pPr>
            <w:r w:rsidRPr="004C286E">
              <w:rPr>
                <w:rFonts w:ascii="Arial" w:hAnsi="Arial" w:cs="Arial"/>
                <w:sz w:val="22"/>
                <w:szCs w:val="22"/>
                <w:lang w:val="en-GB"/>
              </w:rPr>
              <w:t>Workshop on developing an effective follow-up and evaluation mechanism (B=1)</w:t>
            </w:r>
          </w:p>
          <w:p w:rsidR="000A78FF" w:rsidRPr="004C286E" w:rsidRDefault="000A78FF" w:rsidP="00DE782E">
            <w:pPr>
              <w:spacing w:before="60" w:after="60"/>
              <w:rPr>
                <w:rFonts w:ascii="Arial" w:hAnsi="Arial" w:cs="Arial"/>
                <w:sz w:val="22"/>
                <w:szCs w:val="22"/>
                <w:lang w:val="en-GB"/>
              </w:rPr>
            </w:pPr>
            <w:r w:rsidRPr="004C286E">
              <w:rPr>
                <w:rFonts w:ascii="Arial" w:hAnsi="Arial" w:cs="Arial"/>
                <w:sz w:val="22"/>
                <w:szCs w:val="22"/>
                <w:lang w:val="en-GB"/>
              </w:rPr>
              <w:t>Follow-up and evaluation mechanism established (B=1)</w:t>
            </w:r>
          </w:p>
        </w:tc>
        <w:tc>
          <w:tcPr>
            <w:tcW w:w="1544" w:type="pct"/>
            <w:vAlign w:val="center"/>
          </w:tcPr>
          <w:p w:rsidR="000A78FF" w:rsidRPr="004C286E" w:rsidRDefault="000A78FF" w:rsidP="00DE782E">
            <w:pPr>
              <w:spacing w:before="60" w:after="60"/>
              <w:rPr>
                <w:rFonts w:ascii="Arial" w:hAnsi="Arial" w:cs="Arial"/>
                <w:sz w:val="22"/>
                <w:szCs w:val="22"/>
                <w:lang w:val="en-GB"/>
              </w:rPr>
            </w:pPr>
            <w:r w:rsidRPr="004C286E">
              <w:rPr>
                <w:rFonts w:ascii="Arial" w:hAnsi="Arial" w:cs="Arial"/>
                <w:sz w:val="22"/>
                <w:szCs w:val="22"/>
                <w:lang w:val="en-GB"/>
              </w:rPr>
              <w:t>Follow-up and evaluation mechanism implemented (B=1)</w:t>
            </w:r>
          </w:p>
        </w:tc>
      </w:tr>
      <w:tr w:rsidR="008A3916" w:rsidRPr="004C286E" w:rsidTr="004C286E">
        <w:trPr>
          <w:cantSplit/>
        </w:trPr>
        <w:tc>
          <w:tcPr>
            <w:tcW w:w="363" w:type="pct"/>
            <w:vAlign w:val="center"/>
          </w:tcPr>
          <w:p w:rsidR="008A3916" w:rsidRPr="004C286E" w:rsidRDefault="008A3916" w:rsidP="00DE782E">
            <w:pPr>
              <w:spacing w:before="60" w:after="60"/>
              <w:jc w:val="right"/>
              <w:rPr>
                <w:rFonts w:ascii="Arial" w:hAnsi="Arial" w:cs="Arial"/>
                <w:sz w:val="22"/>
                <w:szCs w:val="22"/>
                <w:lang w:val="en-GB"/>
              </w:rPr>
            </w:pPr>
            <w:r w:rsidRPr="004C286E">
              <w:rPr>
                <w:rFonts w:ascii="Arial" w:hAnsi="Arial" w:cs="Arial"/>
                <w:sz w:val="22"/>
                <w:szCs w:val="22"/>
                <w:lang w:val="en-GB"/>
              </w:rPr>
              <w:t>1.</w:t>
            </w:r>
            <w:r w:rsidR="000A78FF" w:rsidRPr="004C286E">
              <w:rPr>
                <w:rFonts w:ascii="Arial" w:hAnsi="Arial" w:cs="Arial"/>
                <w:sz w:val="22"/>
                <w:szCs w:val="22"/>
                <w:lang w:val="en-GB"/>
              </w:rPr>
              <w:t>3</w:t>
            </w:r>
          </w:p>
        </w:tc>
        <w:tc>
          <w:tcPr>
            <w:tcW w:w="1548" w:type="pct"/>
            <w:gridSpan w:val="2"/>
            <w:vAlign w:val="center"/>
          </w:tcPr>
          <w:p w:rsidR="008A3916" w:rsidRPr="004C286E" w:rsidRDefault="008A3916" w:rsidP="00DE782E">
            <w:pPr>
              <w:autoSpaceDE w:val="0"/>
              <w:autoSpaceDN w:val="0"/>
              <w:adjustRightInd w:val="0"/>
              <w:spacing w:before="60" w:after="60"/>
              <w:rPr>
                <w:rFonts w:ascii="Arial" w:hAnsi="Arial" w:cs="Arial"/>
                <w:sz w:val="22"/>
                <w:szCs w:val="22"/>
                <w:lang w:val="en-GB"/>
              </w:rPr>
            </w:pPr>
            <w:r w:rsidRPr="004C286E">
              <w:rPr>
                <w:rFonts w:ascii="Arial" w:hAnsi="Arial" w:cs="Arial"/>
                <w:sz w:val="22"/>
                <w:szCs w:val="22"/>
                <w:lang w:val="en-GB"/>
              </w:rPr>
              <w:t>Content and format of the capacity-building programme reviewed and adapted to ensure that it responds to the major implementation challenges at the national level</w:t>
            </w:r>
          </w:p>
        </w:tc>
        <w:tc>
          <w:tcPr>
            <w:tcW w:w="1545"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Unit system implemented (B=</w:t>
            </w:r>
            <w:r w:rsidR="007B184D" w:rsidRPr="004C286E">
              <w:rPr>
                <w:rFonts w:ascii="Arial" w:hAnsi="Arial" w:cs="Arial"/>
                <w:sz w:val="22"/>
                <w:szCs w:val="22"/>
                <w:lang w:val="en-GB"/>
              </w:rPr>
              <w:t xml:space="preserve">47 </w:t>
            </w:r>
            <w:r w:rsidRPr="004C286E">
              <w:rPr>
                <w:rFonts w:ascii="Arial" w:hAnsi="Arial" w:cs="Arial"/>
                <w:sz w:val="22"/>
                <w:szCs w:val="22"/>
                <w:lang w:val="en-GB"/>
              </w:rPr>
              <w:t xml:space="preserve">units; </w:t>
            </w:r>
            <w:r w:rsidR="007B184D" w:rsidRPr="004C286E">
              <w:rPr>
                <w:rFonts w:ascii="Arial" w:hAnsi="Arial" w:cs="Arial"/>
                <w:sz w:val="22"/>
                <w:szCs w:val="22"/>
                <w:lang w:val="en-GB"/>
              </w:rPr>
              <w:t xml:space="preserve">3 </w:t>
            </w:r>
            <w:r w:rsidRPr="004C286E">
              <w:rPr>
                <w:rFonts w:ascii="Arial" w:hAnsi="Arial" w:cs="Arial"/>
                <w:sz w:val="22"/>
                <w:szCs w:val="22"/>
                <w:lang w:val="en-GB"/>
              </w:rPr>
              <w:t>languages)</w:t>
            </w:r>
          </w:p>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 xml:space="preserve">Core curriculum materials updated to reflect decisions of statutory meetings (B=15 units; </w:t>
            </w:r>
            <w:r w:rsidR="007B184D" w:rsidRPr="004C286E">
              <w:rPr>
                <w:rFonts w:ascii="Arial" w:hAnsi="Arial" w:cs="Arial"/>
                <w:sz w:val="22"/>
                <w:szCs w:val="22"/>
                <w:lang w:val="en-GB"/>
              </w:rPr>
              <w:t xml:space="preserve">2 </w:t>
            </w:r>
            <w:r w:rsidRPr="004C286E">
              <w:rPr>
                <w:rFonts w:ascii="Arial" w:hAnsi="Arial" w:cs="Arial"/>
                <w:sz w:val="22"/>
                <w:szCs w:val="22"/>
                <w:lang w:val="en-GB"/>
              </w:rPr>
              <w:t>languages)</w:t>
            </w:r>
          </w:p>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New curricular content developed (B=3 units: safeguarding plans, gender and sustainable development)</w:t>
            </w:r>
          </w:p>
        </w:tc>
        <w:tc>
          <w:tcPr>
            <w:tcW w:w="1544"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 xml:space="preserve">Core curriculum materials updated to reflect decisions of statutory meetings (B=15 units; </w:t>
            </w:r>
            <w:r w:rsidR="007B184D" w:rsidRPr="004C286E">
              <w:rPr>
                <w:rFonts w:ascii="Arial" w:hAnsi="Arial" w:cs="Arial"/>
                <w:sz w:val="22"/>
                <w:szCs w:val="22"/>
                <w:lang w:val="en-GB"/>
              </w:rPr>
              <w:t xml:space="preserve">2 </w:t>
            </w:r>
            <w:r w:rsidRPr="004C286E">
              <w:rPr>
                <w:rFonts w:ascii="Arial" w:hAnsi="Arial" w:cs="Arial"/>
                <w:sz w:val="22"/>
                <w:szCs w:val="22"/>
                <w:lang w:val="en-GB"/>
              </w:rPr>
              <w:t>languages)</w:t>
            </w:r>
          </w:p>
        </w:tc>
      </w:tr>
      <w:tr w:rsidR="008A3916" w:rsidRPr="004C286E" w:rsidTr="004C286E">
        <w:trPr>
          <w:cantSplit/>
        </w:trPr>
        <w:tc>
          <w:tcPr>
            <w:tcW w:w="363" w:type="pct"/>
            <w:vAlign w:val="center"/>
          </w:tcPr>
          <w:p w:rsidR="008A3916" w:rsidRPr="004C286E" w:rsidRDefault="008A3916" w:rsidP="00DE782E">
            <w:pPr>
              <w:spacing w:before="60" w:after="60"/>
              <w:jc w:val="right"/>
              <w:rPr>
                <w:rFonts w:ascii="Arial" w:hAnsi="Arial" w:cs="Arial"/>
                <w:sz w:val="22"/>
                <w:szCs w:val="22"/>
                <w:lang w:val="en-GB"/>
              </w:rPr>
            </w:pPr>
            <w:r w:rsidRPr="004C286E">
              <w:rPr>
                <w:rFonts w:ascii="Arial" w:hAnsi="Arial" w:cs="Arial"/>
                <w:sz w:val="22"/>
                <w:szCs w:val="22"/>
                <w:lang w:val="en-GB"/>
              </w:rPr>
              <w:lastRenderedPageBreak/>
              <w:t>1.</w:t>
            </w:r>
            <w:r w:rsidR="000A78FF" w:rsidRPr="004C286E">
              <w:rPr>
                <w:rFonts w:ascii="Arial" w:hAnsi="Arial" w:cs="Arial"/>
                <w:sz w:val="22"/>
                <w:szCs w:val="22"/>
                <w:lang w:val="en-GB"/>
              </w:rPr>
              <w:t>4</w:t>
            </w:r>
          </w:p>
        </w:tc>
        <w:tc>
          <w:tcPr>
            <w:tcW w:w="1548" w:type="pct"/>
            <w:gridSpan w:val="2"/>
            <w:vAlign w:val="center"/>
          </w:tcPr>
          <w:p w:rsidR="008A3916" w:rsidRPr="004C286E" w:rsidRDefault="008A3916" w:rsidP="00DE782E">
            <w:pPr>
              <w:autoSpaceDE w:val="0"/>
              <w:autoSpaceDN w:val="0"/>
              <w:adjustRightInd w:val="0"/>
              <w:spacing w:before="60" w:after="60"/>
              <w:rPr>
                <w:rFonts w:ascii="Arial" w:hAnsi="Arial" w:cs="Arial"/>
                <w:sz w:val="22"/>
                <w:szCs w:val="22"/>
                <w:lang w:val="en-GB"/>
              </w:rPr>
            </w:pPr>
            <w:r w:rsidRPr="004C286E">
              <w:rPr>
                <w:rFonts w:ascii="Arial" w:hAnsi="Arial" w:cs="Arial"/>
                <w:sz w:val="22"/>
                <w:szCs w:val="22"/>
                <w:lang w:val="en-GB"/>
              </w:rPr>
              <w:t>Appropriate capacity-building formats and approaches developed and tested to support countries in the development of legislation and policy</w:t>
            </w:r>
          </w:p>
        </w:tc>
        <w:tc>
          <w:tcPr>
            <w:tcW w:w="1545"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 xml:space="preserve">Workshop and issues paper on </w:t>
            </w:r>
            <w:r w:rsidR="000A5F77" w:rsidRPr="004C286E">
              <w:rPr>
                <w:rFonts w:ascii="Arial" w:hAnsi="Arial" w:cs="Arial"/>
                <w:sz w:val="22"/>
                <w:szCs w:val="22"/>
                <w:lang w:val="en-GB"/>
              </w:rPr>
              <w:t xml:space="preserve">effectively </w:t>
            </w:r>
            <w:r w:rsidRPr="004C286E">
              <w:rPr>
                <w:rFonts w:ascii="Arial" w:hAnsi="Arial" w:cs="Arial"/>
                <w:sz w:val="22"/>
                <w:szCs w:val="22"/>
                <w:lang w:val="en-GB"/>
              </w:rPr>
              <w:t>providing policy advice (B=1 workshop and 1 issues paper)</w:t>
            </w:r>
          </w:p>
          <w:p w:rsidR="007B184D"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Methodological approach to policy advice developed</w:t>
            </w:r>
            <w:r w:rsidR="007B184D" w:rsidRPr="004C286E">
              <w:rPr>
                <w:rFonts w:ascii="Arial" w:hAnsi="Arial" w:cs="Arial"/>
                <w:sz w:val="22"/>
                <w:szCs w:val="22"/>
                <w:lang w:val="en-GB"/>
              </w:rPr>
              <w:t xml:space="preserve"> and</w:t>
            </w:r>
            <w:r w:rsidRPr="004C286E">
              <w:rPr>
                <w:rFonts w:ascii="Arial" w:hAnsi="Arial" w:cs="Arial"/>
                <w:sz w:val="22"/>
                <w:szCs w:val="22"/>
                <w:lang w:val="en-GB"/>
              </w:rPr>
              <w:t xml:space="preserve"> piloted (B=1)</w:t>
            </w:r>
            <w:r w:rsidR="007B184D" w:rsidRPr="004C286E">
              <w:rPr>
                <w:rFonts w:ascii="Arial" w:hAnsi="Arial" w:cs="Arial"/>
                <w:sz w:val="22"/>
                <w:szCs w:val="22"/>
                <w:lang w:val="en-GB"/>
              </w:rPr>
              <w:t xml:space="preserve"> </w:t>
            </w:r>
          </w:p>
          <w:p w:rsidR="008A3916" w:rsidRPr="004C286E" w:rsidRDefault="007B184D" w:rsidP="00DE782E">
            <w:pPr>
              <w:spacing w:before="60" w:after="60"/>
              <w:rPr>
                <w:rFonts w:ascii="Arial" w:hAnsi="Arial" w:cs="Arial"/>
                <w:sz w:val="22"/>
                <w:szCs w:val="22"/>
                <w:lang w:val="en-GB"/>
              </w:rPr>
            </w:pPr>
            <w:r w:rsidRPr="004C286E">
              <w:rPr>
                <w:rFonts w:ascii="Arial" w:hAnsi="Arial" w:cs="Arial"/>
                <w:sz w:val="22"/>
                <w:szCs w:val="22"/>
                <w:lang w:val="en-GB"/>
              </w:rPr>
              <w:t>Thematic unit on policy advice substantially revised (B=1)</w:t>
            </w:r>
          </w:p>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Needs assessments in potential beneficiary countries of the capacity-building</w:t>
            </w:r>
            <w:r w:rsidR="000A5F77" w:rsidRPr="004C286E">
              <w:rPr>
                <w:rFonts w:ascii="Arial" w:hAnsi="Arial" w:cs="Arial"/>
                <w:sz w:val="22"/>
                <w:szCs w:val="22"/>
                <w:lang w:val="en-GB"/>
              </w:rPr>
              <w:t xml:space="preserve"> programme</w:t>
            </w:r>
            <w:r w:rsidRPr="004C286E">
              <w:rPr>
                <w:rFonts w:ascii="Arial" w:hAnsi="Arial" w:cs="Arial"/>
                <w:sz w:val="22"/>
                <w:szCs w:val="22"/>
                <w:lang w:val="en-GB"/>
              </w:rPr>
              <w:t xml:space="preserve"> (B=</w:t>
            </w:r>
            <w:r w:rsidR="000A5F77" w:rsidRPr="004C286E">
              <w:rPr>
                <w:rFonts w:ascii="Arial" w:hAnsi="Arial" w:cs="Arial"/>
                <w:sz w:val="22"/>
                <w:szCs w:val="22"/>
                <w:lang w:val="en-GB"/>
              </w:rPr>
              <w:t>2</w:t>
            </w:r>
            <w:r w:rsidRPr="004C286E">
              <w:rPr>
                <w:rFonts w:ascii="Arial" w:hAnsi="Arial" w:cs="Arial"/>
                <w:sz w:val="22"/>
                <w:szCs w:val="22"/>
                <w:lang w:val="en-GB"/>
              </w:rPr>
              <w:t>)</w:t>
            </w:r>
          </w:p>
        </w:tc>
        <w:tc>
          <w:tcPr>
            <w:tcW w:w="1544" w:type="pct"/>
            <w:vAlign w:val="center"/>
          </w:tcPr>
          <w:p w:rsidR="008A3916" w:rsidRPr="004C286E" w:rsidRDefault="007B184D" w:rsidP="00DE782E">
            <w:pPr>
              <w:spacing w:before="60" w:after="60"/>
              <w:rPr>
                <w:rFonts w:ascii="Arial" w:hAnsi="Arial" w:cs="Arial"/>
                <w:sz w:val="22"/>
                <w:szCs w:val="22"/>
                <w:lang w:val="en-GB"/>
              </w:rPr>
            </w:pPr>
            <w:r w:rsidRPr="004C286E">
              <w:rPr>
                <w:rFonts w:ascii="Arial" w:hAnsi="Arial" w:cs="Arial"/>
                <w:sz w:val="22"/>
                <w:szCs w:val="22"/>
                <w:lang w:val="en-GB"/>
              </w:rPr>
              <w:t>Methodological approach to policy advice revised (B=1)</w:t>
            </w:r>
          </w:p>
        </w:tc>
      </w:tr>
      <w:tr w:rsidR="00CD4E98" w:rsidRPr="004C286E" w:rsidTr="004C286E">
        <w:trPr>
          <w:cantSplit/>
        </w:trPr>
        <w:tc>
          <w:tcPr>
            <w:tcW w:w="363" w:type="pct"/>
            <w:vAlign w:val="center"/>
          </w:tcPr>
          <w:p w:rsidR="00CD4E98" w:rsidRPr="004C286E" w:rsidRDefault="00CD4E98" w:rsidP="00DE782E">
            <w:pPr>
              <w:spacing w:before="60" w:after="60"/>
              <w:jc w:val="right"/>
              <w:rPr>
                <w:rFonts w:ascii="Arial" w:hAnsi="Arial" w:cs="Arial"/>
                <w:sz w:val="22"/>
                <w:szCs w:val="22"/>
                <w:lang w:val="en-GB"/>
              </w:rPr>
            </w:pPr>
            <w:r w:rsidRPr="004C286E">
              <w:rPr>
                <w:rFonts w:ascii="Arial" w:hAnsi="Arial" w:cs="Arial"/>
                <w:sz w:val="22"/>
                <w:szCs w:val="22"/>
                <w:lang w:val="en-GB"/>
              </w:rPr>
              <w:t>1.5</w:t>
            </w:r>
          </w:p>
        </w:tc>
        <w:tc>
          <w:tcPr>
            <w:tcW w:w="1548" w:type="pct"/>
            <w:gridSpan w:val="2"/>
            <w:vAlign w:val="center"/>
          </w:tcPr>
          <w:p w:rsidR="00CD4E98" w:rsidRPr="004C286E" w:rsidRDefault="00CD4E98" w:rsidP="00DE782E">
            <w:pPr>
              <w:spacing w:before="60" w:after="60"/>
              <w:rPr>
                <w:rFonts w:ascii="Arial" w:hAnsi="Arial" w:cs="Arial"/>
                <w:sz w:val="22"/>
                <w:szCs w:val="22"/>
                <w:lang w:val="en-GB"/>
              </w:rPr>
            </w:pPr>
            <w:r w:rsidRPr="004C286E">
              <w:rPr>
                <w:rFonts w:ascii="Arial" w:hAnsi="Arial" w:cs="Arial"/>
                <w:sz w:val="22"/>
                <w:szCs w:val="22"/>
                <w:lang w:val="en-GB"/>
              </w:rPr>
              <w:t xml:space="preserve">Capacity-building programme planning, implementation and monitoring strengthened through improved </w:t>
            </w:r>
            <w:r w:rsidR="004C09CB" w:rsidRPr="004C286E">
              <w:rPr>
                <w:rFonts w:ascii="Arial" w:hAnsi="Arial" w:cs="Arial"/>
                <w:sz w:val="22"/>
                <w:szCs w:val="22"/>
                <w:lang w:val="en-GB"/>
              </w:rPr>
              <w:t>information systems</w:t>
            </w:r>
          </w:p>
        </w:tc>
        <w:tc>
          <w:tcPr>
            <w:tcW w:w="1545" w:type="pct"/>
            <w:vAlign w:val="center"/>
          </w:tcPr>
          <w:p w:rsidR="00CD4E98" w:rsidRPr="004C286E" w:rsidRDefault="00CD4E98" w:rsidP="00DE782E">
            <w:pPr>
              <w:spacing w:before="60" w:after="60"/>
              <w:rPr>
                <w:rFonts w:ascii="Arial" w:hAnsi="Arial" w:cs="Arial"/>
                <w:sz w:val="22"/>
                <w:szCs w:val="22"/>
                <w:lang w:val="en-GB"/>
              </w:rPr>
            </w:pPr>
            <w:r w:rsidRPr="004C286E">
              <w:rPr>
                <w:rFonts w:ascii="Arial" w:hAnsi="Arial" w:cs="Arial"/>
                <w:sz w:val="22"/>
                <w:szCs w:val="22"/>
                <w:lang w:val="en-GB"/>
              </w:rPr>
              <w:t>IT functionalities</w:t>
            </w:r>
            <w:r w:rsidR="00237050" w:rsidRPr="004C286E">
              <w:rPr>
                <w:rFonts w:ascii="Arial" w:hAnsi="Arial" w:cs="Arial"/>
                <w:sz w:val="22"/>
                <w:szCs w:val="22"/>
                <w:lang w:val="en-GB"/>
              </w:rPr>
              <w:t xml:space="preserve"> developed</w:t>
            </w:r>
            <w:r w:rsidRPr="004C286E">
              <w:rPr>
                <w:rFonts w:ascii="Arial" w:hAnsi="Arial" w:cs="Arial"/>
                <w:sz w:val="22"/>
                <w:szCs w:val="22"/>
                <w:lang w:val="en-GB"/>
              </w:rPr>
              <w:t xml:space="preserve"> for </w:t>
            </w:r>
            <w:r w:rsidR="004C09CB" w:rsidRPr="004C286E">
              <w:rPr>
                <w:rFonts w:ascii="Arial" w:hAnsi="Arial" w:cs="Arial"/>
                <w:sz w:val="22"/>
                <w:szCs w:val="22"/>
                <w:lang w:val="en-GB"/>
              </w:rPr>
              <w:t xml:space="preserve">curriculum </w:t>
            </w:r>
            <w:r w:rsidRPr="004C286E">
              <w:rPr>
                <w:rFonts w:ascii="Arial" w:hAnsi="Arial" w:cs="Arial"/>
                <w:sz w:val="22"/>
                <w:szCs w:val="22"/>
                <w:lang w:val="en-GB"/>
              </w:rPr>
              <w:t xml:space="preserve">management (B=1) </w:t>
            </w:r>
          </w:p>
          <w:p w:rsidR="00CD4E98" w:rsidRPr="004C286E" w:rsidRDefault="00CD4E98" w:rsidP="00DE782E">
            <w:pPr>
              <w:spacing w:before="60" w:after="60"/>
              <w:rPr>
                <w:rFonts w:ascii="Arial" w:hAnsi="Arial" w:cs="Arial"/>
                <w:sz w:val="22"/>
                <w:szCs w:val="22"/>
                <w:lang w:val="en-GB"/>
              </w:rPr>
            </w:pPr>
            <w:r w:rsidRPr="004C286E">
              <w:rPr>
                <w:rFonts w:ascii="Arial" w:hAnsi="Arial" w:cs="Arial"/>
                <w:sz w:val="22"/>
                <w:szCs w:val="22"/>
                <w:lang w:val="en-GB"/>
              </w:rPr>
              <w:t>IT functionalities</w:t>
            </w:r>
            <w:r w:rsidR="00237050" w:rsidRPr="004C286E">
              <w:rPr>
                <w:rFonts w:ascii="Arial" w:hAnsi="Arial" w:cs="Arial"/>
                <w:sz w:val="22"/>
                <w:szCs w:val="22"/>
                <w:lang w:val="en-GB"/>
              </w:rPr>
              <w:t xml:space="preserve"> developed</w:t>
            </w:r>
            <w:r w:rsidRPr="004C286E">
              <w:rPr>
                <w:rFonts w:ascii="Arial" w:hAnsi="Arial" w:cs="Arial"/>
                <w:sz w:val="22"/>
                <w:szCs w:val="22"/>
                <w:lang w:val="en-GB"/>
              </w:rPr>
              <w:t xml:space="preserve"> for information-exchange among facilitators (B=1)</w:t>
            </w:r>
          </w:p>
          <w:p w:rsidR="00CD4E98" w:rsidRPr="004C286E" w:rsidRDefault="00237050" w:rsidP="00DE782E">
            <w:pPr>
              <w:spacing w:before="60" w:after="60"/>
              <w:rPr>
                <w:rFonts w:ascii="Arial" w:hAnsi="Arial" w:cs="Arial"/>
                <w:color w:val="000000"/>
                <w:sz w:val="22"/>
                <w:szCs w:val="22"/>
                <w:lang w:val="en-GB"/>
              </w:rPr>
            </w:pPr>
            <w:r w:rsidRPr="004C286E">
              <w:rPr>
                <w:rFonts w:ascii="Arial" w:hAnsi="Arial" w:cs="Arial"/>
                <w:sz w:val="22"/>
                <w:szCs w:val="22"/>
                <w:lang w:val="en-GB"/>
              </w:rPr>
              <w:t>IT functionalities developed</w:t>
            </w:r>
            <w:r w:rsidR="004C09CB" w:rsidRPr="004C286E">
              <w:rPr>
                <w:rFonts w:ascii="Arial" w:hAnsi="Arial" w:cs="Arial"/>
                <w:sz w:val="22"/>
                <w:szCs w:val="22"/>
                <w:lang w:val="en-GB"/>
              </w:rPr>
              <w:t xml:space="preserve"> </w:t>
            </w:r>
            <w:r w:rsidR="000A5F77" w:rsidRPr="004C286E">
              <w:rPr>
                <w:rFonts w:ascii="Arial" w:hAnsi="Arial" w:cs="Arial"/>
                <w:sz w:val="22"/>
                <w:szCs w:val="22"/>
                <w:lang w:val="en-GB"/>
              </w:rPr>
              <w:t xml:space="preserve">for </w:t>
            </w:r>
            <w:r w:rsidR="00CD4E98" w:rsidRPr="004C286E">
              <w:rPr>
                <w:rFonts w:ascii="Arial" w:hAnsi="Arial" w:cs="Arial"/>
                <w:sz w:val="22"/>
                <w:szCs w:val="22"/>
                <w:lang w:val="en-GB"/>
              </w:rPr>
              <w:t xml:space="preserve">monitoring and evaluation of </w:t>
            </w:r>
            <w:r w:rsidR="000A5F77" w:rsidRPr="004C286E">
              <w:rPr>
                <w:rFonts w:ascii="Arial" w:hAnsi="Arial" w:cs="Arial"/>
                <w:sz w:val="22"/>
                <w:szCs w:val="22"/>
                <w:lang w:val="en-GB"/>
              </w:rPr>
              <w:t xml:space="preserve">capacity-building </w:t>
            </w:r>
            <w:r w:rsidR="00CD4E98" w:rsidRPr="004C286E">
              <w:rPr>
                <w:rFonts w:ascii="Arial" w:hAnsi="Arial" w:cs="Arial"/>
                <w:sz w:val="22"/>
                <w:szCs w:val="22"/>
                <w:lang w:val="en-GB"/>
              </w:rPr>
              <w:t>project</w:t>
            </w:r>
            <w:r w:rsidR="000A5F77" w:rsidRPr="004C286E">
              <w:rPr>
                <w:rFonts w:ascii="Arial" w:hAnsi="Arial" w:cs="Arial"/>
                <w:sz w:val="22"/>
                <w:szCs w:val="22"/>
                <w:lang w:val="en-GB"/>
              </w:rPr>
              <w:t>s</w:t>
            </w:r>
            <w:r w:rsidR="00CD4E98" w:rsidRPr="004C286E">
              <w:rPr>
                <w:rFonts w:ascii="Arial" w:hAnsi="Arial" w:cs="Arial"/>
                <w:sz w:val="22"/>
                <w:szCs w:val="22"/>
                <w:lang w:val="en-GB"/>
              </w:rPr>
              <w:t xml:space="preserve"> (B=1)</w:t>
            </w:r>
          </w:p>
        </w:tc>
        <w:tc>
          <w:tcPr>
            <w:tcW w:w="1544" w:type="pct"/>
            <w:vAlign w:val="center"/>
          </w:tcPr>
          <w:p w:rsidR="00CD4E98" w:rsidRPr="004C286E" w:rsidRDefault="00CD4E98" w:rsidP="00DE782E">
            <w:pPr>
              <w:spacing w:before="60" w:after="60"/>
              <w:rPr>
                <w:rFonts w:ascii="Arial" w:hAnsi="Arial" w:cs="Arial"/>
                <w:sz w:val="22"/>
                <w:szCs w:val="22"/>
                <w:lang w:val="en-GB"/>
              </w:rPr>
            </w:pPr>
            <w:r w:rsidRPr="004C286E">
              <w:rPr>
                <w:rFonts w:ascii="Arial" w:hAnsi="Arial" w:cs="Arial"/>
                <w:sz w:val="22"/>
                <w:szCs w:val="22"/>
                <w:lang w:val="en-GB"/>
              </w:rPr>
              <w:t>IT functionalities</w:t>
            </w:r>
            <w:r w:rsidR="00237050" w:rsidRPr="004C286E">
              <w:rPr>
                <w:rFonts w:ascii="Arial" w:hAnsi="Arial" w:cs="Arial"/>
                <w:sz w:val="22"/>
                <w:szCs w:val="22"/>
                <w:lang w:val="en-GB"/>
              </w:rPr>
              <w:t xml:space="preserve"> updated</w:t>
            </w:r>
            <w:r w:rsidRPr="004C286E">
              <w:rPr>
                <w:rFonts w:ascii="Arial" w:hAnsi="Arial" w:cs="Arial"/>
                <w:sz w:val="22"/>
                <w:szCs w:val="22"/>
                <w:lang w:val="en-GB"/>
              </w:rPr>
              <w:t xml:space="preserve"> for the capacity-building programme (B=1)</w:t>
            </w:r>
          </w:p>
        </w:tc>
      </w:tr>
    </w:tbl>
    <w:p w:rsidR="004C286E" w:rsidRDefault="004C286E"/>
    <w:tbl>
      <w:tblPr>
        <w:tblStyle w:val="TableGrid"/>
        <w:tblW w:w="5002" w:type="pct"/>
        <w:tblLayout w:type="fixed"/>
        <w:tblLook w:val="04A0" w:firstRow="1" w:lastRow="0" w:firstColumn="1" w:lastColumn="0" w:noHBand="0" w:noVBand="1"/>
      </w:tblPr>
      <w:tblGrid>
        <w:gridCol w:w="716"/>
        <w:gridCol w:w="1599"/>
        <w:gridCol w:w="1453"/>
        <w:gridCol w:w="3046"/>
        <w:gridCol w:w="3044"/>
      </w:tblGrid>
      <w:tr w:rsidR="008A3916" w:rsidRPr="004C286E" w:rsidTr="00B21E39">
        <w:trPr>
          <w:cantSplit/>
        </w:trPr>
        <w:tc>
          <w:tcPr>
            <w:tcW w:w="1174" w:type="pct"/>
            <w:gridSpan w:val="2"/>
            <w:shd w:val="clear" w:color="auto" w:fill="F2F2F2" w:themeFill="background1" w:themeFillShade="F2"/>
            <w:vAlign w:val="center"/>
          </w:tcPr>
          <w:p w:rsidR="008A3916" w:rsidRPr="004C286E" w:rsidRDefault="00456B33"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Expected Result</w:t>
            </w:r>
            <w:r w:rsidR="008A3916" w:rsidRPr="004C286E">
              <w:rPr>
                <w:rFonts w:ascii="Arial" w:hAnsi="Arial" w:cs="Arial"/>
                <w:b/>
                <w:bCs/>
                <w:sz w:val="22"/>
                <w:szCs w:val="22"/>
                <w:lang w:val="en-GB"/>
              </w:rPr>
              <w:t xml:space="preserve"> 2</w:t>
            </w:r>
          </w:p>
        </w:tc>
        <w:tc>
          <w:tcPr>
            <w:tcW w:w="3826" w:type="pct"/>
            <w:gridSpan w:val="3"/>
            <w:shd w:val="clear" w:color="auto" w:fill="F2F2F2" w:themeFill="background1" w:themeFillShade="F2"/>
            <w:vAlign w:val="center"/>
          </w:tcPr>
          <w:p w:rsidR="008A3916" w:rsidRPr="004C286E" w:rsidRDefault="00DB0383"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Knowledge management services optimized and utilized for effective implementation and information</w:t>
            </w:r>
            <w:r w:rsidR="00EB7FD1" w:rsidRPr="004C286E">
              <w:rPr>
                <w:rFonts w:ascii="Arial" w:hAnsi="Arial" w:cs="Arial"/>
                <w:b/>
                <w:bCs/>
                <w:sz w:val="22"/>
                <w:szCs w:val="22"/>
                <w:lang w:val="en-GB"/>
              </w:rPr>
              <w:t>-sharing</w:t>
            </w:r>
          </w:p>
        </w:tc>
      </w:tr>
      <w:tr w:rsidR="00907810" w:rsidRPr="004C286E" w:rsidTr="004C286E">
        <w:trPr>
          <w:cantSplit/>
        </w:trPr>
        <w:tc>
          <w:tcPr>
            <w:tcW w:w="1174" w:type="pct"/>
            <w:gridSpan w:val="2"/>
            <w:shd w:val="clear" w:color="auto" w:fill="F2F2F2" w:themeFill="background1" w:themeFillShade="F2"/>
            <w:vAlign w:val="center"/>
          </w:tcPr>
          <w:p w:rsidR="00907810" w:rsidRPr="004C286E" w:rsidRDefault="00844FC2"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199OTH4137.2</w:t>
            </w:r>
          </w:p>
        </w:tc>
        <w:tc>
          <w:tcPr>
            <w:tcW w:w="3826" w:type="pct"/>
            <w:gridSpan w:val="3"/>
            <w:shd w:val="clear" w:color="auto" w:fill="F2F2F2" w:themeFill="background1" w:themeFillShade="F2"/>
            <w:vAlign w:val="center"/>
          </w:tcPr>
          <w:p w:rsidR="00907810" w:rsidRPr="004C286E" w:rsidRDefault="00907810"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Budgetary allocation</w:t>
            </w:r>
            <w:r w:rsidR="007C23F4" w:rsidRPr="004C286E">
              <w:rPr>
                <w:rFonts w:ascii="Arial" w:hAnsi="Arial" w:cs="Arial"/>
                <w:b/>
                <w:bCs/>
                <w:sz w:val="22"/>
                <w:szCs w:val="22"/>
                <w:lang w:val="en-GB"/>
              </w:rPr>
              <w:t>s</w:t>
            </w:r>
            <w:r w:rsidRPr="004C286E">
              <w:rPr>
                <w:rFonts w:ascii="Arial" w:hAnsi="Arial" w:cs="Arial"/>
                <w:b/>
                <w:bCs/>
                <w:sz w:val="22"/>
                <w:szCs w:val="22"/>
                <w:lang w:val="en-GB"/>
              </w:rPr>
              <w:t>:</w:t>
            </w:r>
            <w:r w:rsidR="0041570B" w:rsidRPr="004C286E">
              <w:rPr>
                <w:rFonts w:ascii="Arial" w:hAnsi="Arial" w:cs="Arial"/>
                <w:b/>
                <w:bCs/>
                <w:sz w:val="22"/>
                <w:szCs w:val="22"/>
                <w:lang w:val="en-GB"/>
              </w:rPr>
              <w:br/>
            </w:r>
            <w:r w:rsidR="001B60A0" w:rsidRPr="004C286E">
              <w:rPr>
                <w:rFonts w:ascii="Arial" w:hAnsi="Arial" w:cs="Arial"/>
                <w:b/>
                <w:bCs/>
                <w:sz w:val="22"/>
                <w:szCs w:val="22"/>
                <w:lang w:val="en-GB"/>
              </w:rPr>
              <w:t>US</w:t>
            </w:r>
            <w:r w:rsidRPr="004C286E">
              <w:rPr>
                <w:rFonts w:ascii="Arial" w:hAnsi="Arial" w:cs="Arial"/>
                <w:b/>
                <w:bCs/>
                <w:sz w:val="22"/>
                <w:szCs w:val="22"/>
                <w:lang w:val="en-GB"/>
              </w:rPr>
              <w:t>$</w:t>
            </w:r>
            <w:r w:rsidR="001B60A0" w:rsidRPr="004C286E">
              <w:rPr>
                <w:rFonts w:ascii="Arial" w:hAnsi="Arial" w:cs="Arial"/>
                <w:b/>
                <w:bCs/>
                <w:sz w:val="22"/>
                <w:szCs w:val="22"/>
                <w:lang w:val="en-GB"/>
              </w:rPr>
              <w:t>304,000</w:t>
            </w:r>
            <w:r w:rsidRPr="004C286E">
              <w:rPr>
                <w:rFonts w:ascii="Arial" w:hAnsi="Arial" w:cs="Arial"/>
                <w:b/>
                <w:bCs/>
                <w:sz w:val="22"/>
                <w:szCs w:val="22"/>
                <w:lang w:val="en-GB"/>
              </w:rPr>
              <w:t xml:space="preserve"> in 2014-2015</w:t>
            </w:r>
            <w:r w:rsidR="007C23F4" w:rsidRPr="004C286E">
              <w:rPr>
                <w:rFonts w:ascii="Arial" w:hAnsi="Arial" w:cs="Arial"/>
                <w:b/>
                <w:bCs/>
                <w:sz w:val="22"/>
                <w:szCs w:val="22"/>
                <w:lang w:val="en-GB"/>
              </w:rPr>
              <w:br/>
            </w:r>
            <w:r w:rsidR="001B60A0" w:rsidRPr="004C286E">
              <w:rPr>
                <w:rFonts w:ascii="Arial" w:hAnsi="Arial" w:cs="Arial"/>
                <w:b/>
                <w:bCs/>
                <w:sz w:val="22"/>
                <w:szCs w:val="22"/>
                <w:lang w:val="en-GB"/>
              </w:rPr>
              <w:t>US</w:t>
            </w:r>
            <w:r w:rsidRPr="004C286E">
              <w:rPr>
                <w:rFonts w:ascii="Arial" w:hAnsi="Arial" w:cs="Arial"/>
                <w:b/>
                <w:bCs/>
                <w:sz w:val="22"/>
                <w:szCs w:val="22"/>
                <w:lang w:val="en-GB"/>
              </w:rPr>
              <w:t>$</w:t>
            </w:r>
            <w:r w:rsidR="001B60A0" w:rsidRPr="004C286E">
              <w:rPr>
                <w:rFonts w:ascii="Arial" w:hAnsi="Arial" w:cs="Arial"/>
                <w:b/>
                <w:bCs/>
                <w:sz w:val="22"/>
                <w:szCs w:val="22"/>
                <w:lang w:val="en-GB"/>
              </w:rPr>
              <w:t>80,000</w:t>
            </w:r>
            <w:r w:rsidRPr="004C286E">
              <w:rPr>
                <w:rFonts w:ascii="Arial" w:hAnsi="Arial" w:cs="Arial"/>
                <w:b/>
                <w:bCs/>
                <w:sz w:val="22"/>
                <w:szCs w:val="22"/>
                <w:lang w:val="en-GB"/>
              </w:rPr>
              <w:t xml:space="preserve"> in 2016</w:t>
            </w:r>
          </w:p>
        </w:tc>
      </w:tr>
      <w:tr w:rsidR="008A3916" w:rsidRPr="004C286E" w:rsidTr="004C286E">
        <w:trPr>
          <w:cantSplit/>
        </w:trPr>
        <w:tc>
          <w:tcPr>
            <w:tcW w:w="363" w:type="pct"/>
            <w:shd w:val="clear" w:color="auto" w:fill="F2F2F2" w:themeFill="background1" w:themeFillShade="F2"/>
            <w:vAlign w:val="center"/>
          </w:tcPr>
          <w:p w:rsidR="008A3916" w:rsidRPr="004C286E" w:rsidRDefault="008A3916" w:rsidP="00DE782E">
            <w:pPr>
              <w:keepNext/>
              <w:spacing w:before="60" w:after="60"/>
              <w:jc w:val="right"/>
              <w:rPr>
                <w:rFonts w:ascii="Arial" w:hAnsi="Arial" w:cs="Arial"/>
                <w:i/>
                <w:iCs/>
                <w:sz w:val="22"/>
                <w:szCs w:val="22"/>
                <w:lang w:val="en-GB"/>
              </w:rPr>
            </w:pPr>
          </w:p>
        </w:tc>
        <w:tc>
          <w:tcPr>
            <w:tcW w:w="1548" w:type="pct"/>
            <w:gridSpan w:val="2"/>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Outputs</w:t>
            </w:r>
          </w:p>
        </w:tc>
        <w:tc>
          <w:tcPr>
            <w:tcW w:w="1545" w:type="pct"/>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Indicators (Benchmarks) 2014-2015</w:t>
            </w:r>
          </w:p>
        </w:tc>
        <w:tc>
          <w:tcPr>
            <w:tcW w:w="1544" w:type="pct"/>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 xml:space="preserve">Indicators (Benchmarks) </w:t>
            </w:r>
            <w:r w:rsidR="00456B33" w:rsidRPr="004C286E">
              <w:rPr>
                <w:rFonts w:ascii="Arial" w:hAnsi="Arial" w:cs="Arial"/>
                <w:i/>
                <w:iCs/>
                <w:sz w:val="22"/>
                <w:szCs w:val="22"/>
                <w:lang w:val="en-GB"/>
              </w:rPr>
              <w:br/>
            </w:r>
            <w:r w:rsidRPr="004C286E">
              <w:rPr>
                <w:rFonts w:ascii="Arial" w:hAnsi="Arial" w:cs="Arial"/>
                <w:i/>
                <w:iCs/>
                <w:sz w:val="22"/>
                <w:szCs w:val="22"/>
                <w:lang w:val="en-GB"/>
              </w:rPr>
              <w:t>first semester 2016</w:t>
            </w:r>
          </w:p>
        </w:tc>
      </w:tr>
      <w:tr w:rsidR="00CD4E98" w:rsidRPr="004C286E" w:rsidTr="004C286E">
        <w:trPr>
          <w:cantSplit/>
        </w:trPr>
        <w:tc>
          <w:tcPr>
            <w:tcW w:w="363" w:type="pct"/>
            <w:vAlign w:val="center"/>
          </w:tcPr>
          <w:p w:rsidR="00CD4E98" w:rsidRPr="004C286E" w:rsidRDefault="0041570B" w:rsidP="00DE782E">
            <w:pPr>
              <w:spacing w:before="60" w:after="60"/>
              <w:jc w:val="right"/>
              <w:rPr>
                <w:rFonts w:ascii="Arial" w:hAnsi="Arial" w:cs="Arial"/>
                <w:sz w:val="22"/>
                <w:szCs w:val="22"/>
                <w:lang w:val="en-GB"/>
              </w:rPr>
            </w:pPr>
            <w:r w:rsidRPr="004C286E">
              <w:rPr>
                <w:rFonts w:ascii="Arial" w:hAnsi="Arial" w:cs="Arial"/>
                <w:sz w:val="22"/>
                <w:szCs w:val="22"/>
                <w:lang w:val="en-GB"/>
              </w:rPr>
              <w:t>2</w:t>
            </w:r>
            <w:r w:rsidR="00CD4E98" w:rsidRPr="004C286E">
              <w:rPr>
                <w:rFonts w:ascii="Arial" w:hAnsi="Arial" w:cs="Arial"/>
                <w:sz w:val="22"/>
                <w:szCs w:val="22"/>
                <w:lang w:val="en-GB"/>
              </w:rPr>
              <w:t>.</w:t>
            </w:r>
            <w:r w:rsidR="00F71334" w:rsidRPr="004C286E">
              <w:rPr>
                <w:rFonts w:ascii="Arial" w:hAnsi="Arial" w:cs="Arial"/>
                <w:sz w:val="22"/>
                <w:szCs w:val="22"/>
                <w:lang w:val="en-GB"/>
              </w:rPr>
              <w:t>1</w:t>
            </w:r>
          </w:p>
        </w:tc>
        <w:tc>
          <w:tcPr>
            <w:tcW w:w="1548" w:type="pct"/>
            <w:gridSpan w:val="2"/>
            <w:vAlign w:val="center"/>
          </w:tcPr>
          <w:p w:rsidR="00CD4E98" w:rsidRPr="004C286E" w:rsidRDefault="00237050" w:rsidP="00DE782E">
            <w:pPr>
              <w:spacing w:before="60" w:after="60"/>
              <w:rPr>
                <w:rFonts w:ascii="Arial" w:hAnsi="Arial" w:cs="Arial"/>
                <w:sz w:val="22"/>
                <w:szCs w:val="22"/>
                <w:lang w:val="en-GB"/>
              </w:rPr>
            </w:pPr>
            <w:r w:rsidRPr="004C286E">
              <w:rPr>
                <w:rFonts w:ascii="Arial" w:hAnsi="Arial" w:cs="Arial"/>
                <w:color w:val="000000"/>
                <w:sz w:val="22"/>
                <w:szCs w:val="22"/>
                <w:lang w:val="en-GB"/>
              </w:rPr>
              <w:t xml:space="preserve">External access to information increased and </w:t>
            </w:r>
            <w:r w:rsidR="00CD4E98" w:rsidRPr="004C286E">
              <w:rPr>
                <w:rFonts w:ascii="Arial" w:hAnsi="Arial" w:cs="Arial"/>
                <w:color w:val="000000"/>
                <w:sz w:val="22"/>
                <w:szCs w:val="22"/>
                <w:lang w:val="en-GB"/>
              </w:rPr>
              <w:t xml:space="preserve">processes, workflows and response time optimized thanks to </w:t>
            </w:r>
            <w:r w:rsidRPr="004C286E">
              <w:rPr>
                <w:rFonts w:ascii="Arial" w:hAnsi="Arial" w:cs="Arial"/>
                <w:color w:val="000000"/>
                <w:sz w:val="22"/>
                <w:szCs w:val="22"/>
                <w:lang w:val="en-GB"/>
              </w:rPr>
              <w:t xml:space="preserve">monitoring interfaces, </w:t>
            </w:r>
            <w:r w:rsidR="00CD4E98" w:rsidRPr="004C286E">
              <w:rPr>
                <w:rFonts w:ascii="Arial" w:hAnsi="Arial" w:cs="Arial"/>
                <w:color w:val="000000"/>
                <w:sz w:val="22"/>
                <w:szCs w:val="22"/>
                <w:lang w:val="en-GB"/>
              </w:rPr>
              <w:t>regional officer dashboard</w:t>
            </w:r>
          </w:p>
        </w:tc>
        <w:tc>
          <w:tcPr>
            <w:tcW w:w="1545" w:type="pct"/>
            <w:vAlign w:val="center"/>
          </w:tcPr>
          <w:p w:rsidR="00237050" w:rsidRPr="004C286E" w:rsidRDefault="00237050"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Number of monitoring interfaces (B=4)</w:t>
            </w:r>
          </w:p>
          <w:p w:rsidR="00CD4E98" w:rsidRPr="004C286E" w:rsidRDefault="00CD4E98" w:rsidP="00DE782E">
            <w:pPr>
              <w:spacing w:before="60" w:after="60"/>
              <w:rPr>
                <w:rFonts w:ascii="Arial" w:hAnsi="Arial" w:cs="Arial"/>
                <w:sz w:val="22"/>
                <w:szCs w:val="22"/>
                <w:lang w:val="en-GB"/>
              </w:rPr>
            </w:pPr>
            <w:r w:rsidRPr="004C286E">
              <w:rPr>
                <w:rFonts w:ascii="Arial" w:hAnsi="Arial" w:cs="Arial"/>
                <w:color w:val="000000"/>
                <w:sz w:val="22"/>
                <w:szCs w:val="22"/>
                <w:lang w:val="en-GB"/>
              </w:rPr>
              <w:t>Regional officer dashboard displaying tasks, deadlines and monitoring information (B=1)</w:t>
            </w:r>
          </w:p>
        </w:tc>
        <w:tc>
          <w:tcPr>
            <w:tcW w:w="1544" w:type="pct"/>
            <w:vAlign w:val="center"/>
          </w:tcPr>
          <w:p w:rsidR="00CD4E98" w:rsidRPr="004C286E" w:rsidRDefault="00CD4E98" w:rsidP="00DE782E">
            <w:pPr>
              <w:spacing w:before="60" w:after="60"/>
              <w:rPr>
                <w:rFonts w:ascii="Arial" w:hAnsi="Arial" w:cs="Arial"/>
                <w:sz w:val="22"/>
                <w:szCs w:val="22"/>
                <w:lang w:val="en-GB"/>
              </w:rPr>
            </w:pPr>
            <w:r w:rsidRPr="004C286E">
              <w:rPr>
                <w:rFonts w:ascii="Arial" w:hAnsi="Arial" w:cs="Arial"/>
                <w:color w:val="000000"/>
                <w:sz w:val="22"/>
                <w:szCs w:val="22"/>
                <w:lang w:val="en-GB"/>
              </w:rPr>
              <w:t>Number of monitoring interfaces (B=1)</w:t>
            </w:r>
          </w:p>
        </w:tc>
      </w:tr>
      <w:tr w:rsidR="008A3916" w:rsidRPr="004C286E" w:rsidTr="004C286E">
        <w:trPr>
          <w:cantSplit/>
        </w:trPr>
        <w:tc>
          <w:tcPr>
            <w:tcW w:w="363" w:type="pct"/>
            <w:vAlign w:val="center"/>
          </w:tcPr>
          <w:p w:rsidR="008A3916" w:rsidRPr="004C286E" w:rsidRDefault="0041570B" w:rsidP="00DE782E">
            <w:pPr>
              <w:spacing w:before="60" w:after="60"/>
              <w:jc w:val="right"/>
              <w:rPr>
                <w:rFonts w:ascii="Arial" w:hAnsi="Arial" w:cs="Arial"/>
                <w:sz w:val="22"/>
                <w:szCs w:val="22"/>
                <w:lang w:val="en-GB"/>
              </w:rPr>
            </w:pPr>
            <w:r w:rsidRPr="004C286E">
              <w:rPr>
                <w:rFonts w:ascii="Arial" w:hAnsi="Arial" w:cs="Arial"/>
                <w:sz w:val="22"/>
                <w:szCs w:val="22"/>
                <w:lang w:val="en-GB"/>
              </w:rPr>
              <w:t>2</w:t>
            </w:r>
            <w:r w:rsidR="008A3916" w:rsidRPr="004C286E">
              <w:rPr>
                <w:rFonts w:ascii="Arial" w:hAnsi="Arial" w:cs="Arial"/>
                <w:sz w:val="22"/>
                <w:szCs w:val="22"/>
                <w:lang w:val="en-GB"/>
              </w:rPr>
              <w:t>.</w:t>
            </w:r>
            <w:r w:rsidR="00F71334" w:rsidRPr="004C286E">
              <w:rPr>
                <w:rFonts w:ascii="Arial" w:hAnsi="Arial" w:cs="Arial"/>
                <w:sz w:val="22"/>
                <w:szCs w:val="22"/>
                <w:lang w:val="en-GB"/>
              </w:rPr>
              <w:t>2</w:t>
            </w:r>
          </w:p>
        </w:tc>
        <w:tc>
          <w:tcPr>
            <w:tcW w:w="1548" w:type="pct"/>
            <w:gridSpan w:val="2"/>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color w:val="000000"/>
                <w:sz w:val="22"/>
                <w:szCs w:val="22"/>
                <w:lang w:val="en-GB"/>
              </w:rPr>
              <w:t xml:space="preserve">Improved accessibility and usability of Convention documents and decisions; better indexing </w:t>
            </w:r>
            <w:r w:rsidR="00774738" w:rsidRPr="004C286E">
              <w:rPr>
                <w:rFonts w:ascii="Arial" w:hAnsi="Arial" w:cs="Arial"/>
                <w:color w:val="000000"/>
                <w:sz w:val="22"/>
                <w:szCs w:val="22"/>
                <w:lang w:val="en-GB"/>
              </w:rPr>
              <w:t>and improved search capacities</w:t>
            </w:r>
            <w:r w:rsidR="001D7029" w:rsidRPr="004C286E">
              <w:rPr>
                <w:rFonts w:ascii="Arial" w:hAnsi="Arial" w:cs="Arial"/>
                <w:color w:val="000000"/>
                <w:sz w:val="22"/>
                <w:szCs w:val="22"/>
                <w:lang w:val="en-GB"/>
              </w:rPr>
              <w:t xml:space="preserve">; </w:t>
            </w:r>
            <w:r w:rsidR="000A084D" w:rsidRPr="004C286E">
              <w:rPr>
                <w:rFonts w:ascii="Arial" w:hAnsi="Arial" w:cs="Arial"/>
                <w:color w:val="000000"/>
                <w:sz w:val="22"/>
                <w:szCs w:val="22"/>
                <w:lang w:val="en-GB"/>
              </w:rPr>
              <w:t>data conduit to contribute to</w:t>
            </w:r>
            <w:r w:rsidR="001D7029" w:rsidRPr="004C286E">
              <w:rPr>
                <w:rFonts w:ascii="Arial" w:hAnsi="Arial" w:cs="Arial"/>
                <w:color w:val="000000"/>
                <w:sz w:val="22"/>
                <w:szCs w:val="22"/>
                <w:lang w:val="en-GB"/>
              </w:rPr>
              <w:t xml:space="preserve"> transparency initiative</w:t>
            </w:r>
          </w:p>
        </w:tc>
        <w:tc>
          <w:tcPr>
            <w:tcW w:w="1545" w:type="pct"/>
            <w:vAlign w:val="center"/>
          </w:tcPr>
          <w:p w:rsidR="008A3916" w:rsidRPr="004C286E" w:rsidRDefault="008A3916"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Number of decision documents loaded in UNESDOC (B=</w:t>
            </w:r>
            <w:r w:rsidR="00F71334" w:rsidRPr="004C286E">
              <w:rPr>
                <w:rFonts w:ascii="Arial" w:hAnsi="Arial" w:cs="Arial"/>
                <w:color w:val="000000"/>
                <w:sz w:val="22"/>
                <w:szCs w:val="22"/>
                <w:lang w:val="en-GB"/>
              </w:rPr>
              <w:t>15</w:t>
            </w:r>
            <w:r w:rsidRPr="004C286E">
              <w:rPr>
                <w:rFonts w:ascii="Arial" w:hAnsi="Arial" w:cs="Arial"/>
                <w:color w:val="000000"/>
                <w:sz w:val="22"/>
                <w:szCs w:val="22"/>
                <w:lang w:val="en-GB"/>
              </w:rPr>
              <w:t>)</w:t>
            </w:r>
          </w:p>
          <w:p w:rsidR="008A3916" w:rsidRPr="004C286E" w:rsidRDefault="008A3916"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Number of decisions/resolutio</w:t>
            </w:r>
            <w:r w:rsidR="00774738" w:rsidRPr="004C286E">
              <w:rPr>
                <w:rFonts w:ascii="Arial" w:hAnsi="Arial" w:cs="Arial"/>
                <w:color w:val="000000"/>
                <w:sz w:val="22"/>
                <w:szCs w:val="22"/>
                <w:lang w:val="en-GB"/>
              </w:rPr>
              <w:t>ns referenced in the KMS (B=</w:t>
            </w:r>
            <w:r w:rsidR="00F71334" w:rsidRPr="004C286E">
              <w:rPr>
                <w:rFonts w:ascii="Arial" w:hAnsi="Arial" w:cs="Arial"/>
                <w:color w:val="000000"/>
                <w:sz w:val="22"/>
                <w:szCs w:val="22"/>
                <w:lang w:val="en-GB"/>
              </w:rPr>
              <w:t>150</w:t>
            </w:r>
            <w:r w:rsidRPr="004C286E">
              <w:rPr>
                <w:rFonts w:ascii="Arial" w:hAnsi="Arial" w:cs="Arial"/>
                <w:color w:val="000000"/>
                <w:sz w:val="22"/>
                <w:szCs w:val="22"/>
                <w:lang w:val="en-GB"/>
              </w:rPr>
              <w:t>)</w:t>
            </w:r>
          </w:p>
          <w:p w:rsidR="001D7029" w:rsidRPr="004C286E" w:rsidRDefault="000A084D"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Data conduit to contribute to transparency initiative (B=1)</w:t>
            </w:r>
          </w:p>
        </w:tc>
        <w:tc>
          <w:tcPr>
            <w:tcW w:w="1544" w:type="pct"/>
            <w:vAlign w:val="center"/>
          </w:tcPr>
          <w:p w:rsidR="00774738" w:rsidRPr="004C286E" w:rsidRDefault="00774738"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 xml:space="preserve">Number of </w:t>
            </w:r>
            <w:r w:rsidR="00F71334" w:rsidRPr="004C286E">
              <w:rPr>
                <w:rFonts w:ascii="Arial" w:hAnsi="Arial" w:cs="Arial"/>
                <w:color w:val="000000"/>
                <w:sz w:val="22"/>
                <w:szCs w:val="22"/>
                <w:lang w:val="en-GB"/>
              </w:rPr>
              <w:t xml:space="preserve">additional </w:t>
            </w:r>
            <w:r w:rsidRPr="004C286E">
              <w:rPr>
                <w:rFonts w:ascii="Arial" w:hAnsi="Arial" w:cs="Arial"/>
                <w:color w:val="000000"/>
                <w:sz w:val="22"/>
                <w:szCs w:val="22"/>
                <w:lang w:val="en-GB"/>
              </w:rPr>
              <w:t>decision documents loaded in UNESDOC (B=</w:t>
            </w:r>
            <w:r w:rsidR="00F71334" w:rsidRPr="004C286E">
              <w:rPr>
                <w:rFonts w:ascii="Arial" w:hAnsi="Arial" w:cs="Arial"/>
                <w:color w:val="000000"/>
                <w:sz w:val="22"/>
                <w:szCs w:val="22"/>
                <w:lang w:val="en-GB"/>
              </w:rPr>
              <w:t>2</w:t>
            </w:r>
            <w:r w:rsidRPr="004C286E">
              <w:rPr>
                <w:rFonts w:ascii="Arial" w:hAnsi="Arial" w:cs="Arial"/>
                <w:color w:val="000000"/>
                <w:sz w:val="22"/>
                <w:szCs w:val="22"/>
                <w:lang w:val="en-GB"/>
              </w:rPr>
              <w:t>)</w:t>
            </w:r>
          </w:p>
          <w:p w:rsidR="008A3916" w:rsidRPr="004C286E" w:rsidRDefault="00774738" w:rsidP="00DE782E">
            <w:pPr>
              <w:spacing w:before="60" w:after="60"/>
              <w:rPr>
                <w:rFonts w:ascii="Arial" w:hAnsi="Arial" w:cs="Arial"/>
                <w:sz w:val="22"/>
                <w:szCs w:val="22"/>
                <w:lang w:val="en-GB"/>
              </w:rPr>
            </w:pPr>
            <w:r w:rsidRPr="004C286E">
              <w:rPr>
                <w:rFonts w:ascii="Arial" w:hAnsi="Arial" w:cs="Arial"/>
                <w:color w:val="000000"/>
                <w:sz w:val="22"/>
                <w:szCs w:val="22"/>
                <w:lang w:val="en-GB"/>
              </w:rPr>
              <w:t xml:space="preserve">Number of </w:t>
            </w:r>
            <w:r w:rsidR="00F71334" w:rsidRPr="004C286E">
              <w:rPr>
                <w:rFonts w:ascii="Arial" w:hAnsi="Arial" w:cs="Arial"/>
                <w:color w:val="000000"/>
                <w:sz w:val="22"/>
                <w:szCs w:val="22"/>
                <w:lang w:val="en-GB"/>
              </w:rPr>
              <w:t xml:space="preserve">additional </w:t>
            </w:r>
            <w:r w:rsidRPr="004C286E">
              <w:rPr>
                <w:rFonts w:ascii="Arial" w:hAnsi="Arial" w:cs="Arial"/>
                <w:color w:val="000000"/>
                <w:sz w:val="22"/>
                <w:szCs w:val="22"/>
                <w:lang w:val="en-GB"/>
              </w:rPr>
              <w:t>decisions/resolutions referenced in the KMS (B=</w:t>
            </w:r>
            <w:r w:rsidR="00F71334" w:rsidRPr="004C286E">
              <w:rPr>
                <w:rFonts w:ascii="Arial" w:hAnsi="Arial" w:cs="Arial"/>
                <w:color w:val="000000"/>
                <w:sz w:val="22"/>
                <w:szCs w:val="22"/>
                <w:lang w:val="en-GB"/>
              </w:rPr>
              <w:t>20</w:t>
            </w:r>
            <w:r w:rsidRPr="004C286E">
              <w:rPr>
                <w:rFonts w:ascii="Arial" w:hAnsi="Arial" w:cs="Arial"/>
                <w:color w:val="000000"/>
                <w:sz w:val="22"/>
                <w:szCs w:val="22"/>
                <w:lang w:val="en-GB"/>
              </w:rPr>
              <w:t>)</w:t>
            </w:r>
          </w:p>
        </w:tc>
      </w:tr>
      <w:tr w:rsidR="008A3916" w:rsidRPr="004C286E" w:rsidTr="004C286E">
        <w:trPr>
          <w:cantSplit/>
        </w:trPr>
        <w:tc>
          <w:tcPr>
            <w:tcW w:w="363" w:type="pct"/>
            <w:vAlign w:val="center"/>
          </w:tcPr>
          <w:p w:rsidR="008A3916" w:rsidRPr="004C286E" w:rsidRDefault="0041570B" w:rsidP="00DE782E">
            <w:pPr>
              <w:spacing w:before="60" w:after="60"/>
              <w:jc w:val="right"/>
              <w:rPr>
                <w:rFonts w:ascii="Arial" w:hAnsi="Arial" w:cs="Arial"/>
                <w:sz w:val="22"/>
                <w:szCs w:val="22"/>
                <w:lang w:val="en-GB"/>
              </w:rPr>
            </w:pPr>
            <w:r w:rsidRPr="004C286E">
              <w:rPr>
                <w:rFonts w:ascii="Arial" w:hAnsi="Arial" w:cs="Arial"/>
                <w:sz w:val="22"/>
                <w:szCs w:val="22"/>
                <w:lang w:val="en-GB"/>
              </w:rPr>
              <w:t>2</w:t>
            </w:r>
            <w:r w:rsidR="008A3916" w:rsidRPr="004C286E">
              <w:rPr>
                <w:rFonts w:ascii="Arial" w:hAnsi="Arial" w:cs="Arial"/>
                <w:sz w:val="22"/>
                <w:szCs w:val="22"/>
                <w:lang w:val="en-GB"/>
              </w:rPr>
              <w:t>.</w:t>
            </w:r>
            <w:r w:rsidR="00CD4E98" w:rsidRPr="004C286E">
              <w:rPr>
                <w:rFonts w:ascii="Arial" w:hAnsi="Arial" w:cs="Arial"/>
                <w:sz w:val="22"/>
                <w:szCs w:val="22"/>
                <w:lang w:val="en-GB"/>
              </w:rPr>
              <w:t>3</w:t>
            </w:r>
          </w:p>
        </w:tc>
        <w:tc>
          <w:tcPr>
            <w:tcW w:w="1548" w:type="pct"/>
            <w:gridSpan w:val="2"/>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color w:val="000000"/>
                <w:sz w:val="22"/>
                <w:szCs w:val="22"/>
                <w:lang w:val="en-GB"/>
              </w:rPr>
              <w:t>New online functionalities for external stakeholders</w:t>
            </w:r>
          </w:p>
        </w:tc>
        <w:tc>
          <w:tcPr>
            <w:tcW w:w="1545" w:type="pct"/>
            <w:vAlign w:val="center"/>
          </w:tcPr>
          <w:p w:rsidR="001D7029" w:rsidRPr="004C286E" w:rsidRDefault="008A3916"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 xml:space="preserve">Number of </w:t>
            </w:r>
            <w:r w:rsidR="001D7029" w:rsidRPr="004C286E">
              <w:rPr>
                <w:rFonts w:ascii="Arial" w:hAnsi="Arial" w:cs="Arial"/>
                <w:color w:val="000000"/>
                <w:sz w:val="22"/>
                <w:szCs w:val="22"/>
                <w:lang w:val="en-GB"/>
              </w:rPr>
              <w:t xml:space="preserve">new </w:t>
            </w:r>
            <w:r w:rsidRPr="004C286E">
              <w:rPr>
                <w:rFonts w:ascii="Arial" w:hAnsi="Arial" w:cs="Arial"/>
                <w:color w:val="000000"/>
                <w:sz w:val="22"/>
                <w:szCs w:val="22"/>
                <w:lang w:val="en-GB"/>
              </w:rPr>
              <w:t>online processes (B=</w:t>
            </w:r>
            <w:r w:rsidR="001A54B4" w:rsidRPr="004C286E">
              <w:rPr>
                <w:rFonts w:ascii="Arial" w:hAnsi="Arial" w:cs="Arial"/>
                <w:color w:val="000000"/>
                <w:sz w:val="22"/>
                <w:szCs w:val="22"/>
                <w:lang w:val="en-GB"/>
              </w:rPr>
              <w:t>1</w:t>
            </w:r>
            <w:r w:rsidRPr="004C286E">
              <w:rPr>
                <w:rFonts w:ascii="Arial" w:hAnsi="Arial" w:cs="Arial"/>
                <w:color w:val="000000"/>
                <w:sz w:val="22"/>
                <w:szCs w:val="22"/>
                <w:lang w:val="en-GB"/>
              </w:rPr>
              <w:t>)</w:t>
            </w:r>
          </w:p>
        </w:tc>
        <w:tc>
          <w:tcPr>
            <w:tcW w:w="1544"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color w:val="000000"/>
                <w:sz w:val="22"/>
                <w:szCs w:val="22"/>
                <w:lang w:val="en-GB"/>
              </w:rPr>
              <w:t xml:space="preserve">Number of </w:t>
            </w:r>
            <w:r w:rsidR="001D7029" w:rsidRPr="004C286E">
              <w:rPr>
                <w:rFonts w:ascii="Arial" w:hAnsi="Arial" w:cs="Arial"/>
                <w:color w:val="000000"/>
                <w:sz w:val="22"/>
                <w:szCs w:val="22"/>
                <w:lang w:val="en-GB"/>
              </w:rPr>
              <w:t xml:space="preserve">new </w:t>
            </w:r>
            <w:r w:rsidRPr="004C286E">
              <w:rPr>
                <w:rFonts w:ascii="Arial" w:hAnsi="Arial" w:cs="Arial"/>
                <w:color w:val="000000"/>
                <w:sz w:val="22"/>
                <w:szCs w:val="22"/>
                <w:lang w:val="en-GB"/>
              </w:rPr>
              <w:t>online processes (B=1)</w:t>
            </w:r>
          </w:p>
        </w:tc>
      </w:tr>
      <w:tr w:rsidR="008A3916" w:rsidRPr="004C286E" w:rsidTr="004C286E">
        <w:trPr>
          <w:cantSplit/>
        </w:trPr>
        <w:tc>
          <w:tcPr>
            <w:tcW w:w="363" w:type="pct"/>
            <w:vAlign w:val="center"/>
          </w:tcPr>
          <w:p w:rsidR="008A3916" w:rsidRPr="004C286E" w:rsidRDefault="0041570B" w:rsidP="00DE782E">
            <w:pPr>
              <w:spacing w:before="60" w:after="60"/>
              <w:jc w:val="right"/>
              <w:rPr>
                <w:rFonts w:ascii="Arial" w:hAnsi="Arial" w:cs="Arial"/>
                <w:sz w:val="22"/>
                <w:szCs w:val="22"/>
                <w:lang w:val="en-GB"/>
              </w:rPr>
            </w:pPr>
            <w:r w:rsidRPr="004C286E">
              <w:rPr>
                <w:rFonts w:ascii="Arial" w:hAnsi="Arial" w:cs="Arial"/>
                <w:sz w:val="22"/>
                <w:szCs w:val="22"/>
                <w:lang w:val="en-GB"/>
              </w:rPr>
              <w:lastRenderedPageBreak/>
              <w:t>2</w:t>
            </w:r>
            <w:r w:rsidR="008A3916" w:rsidRPr="004C286E">
              <w:rPr>
                <w:rFonts w:ascii="Arial" w:hAnsi="Arial" w:cs="Arial"/>
                <w:sz w:val="22"/>
                <w:szCs w:val="22"/>
                <w:lang w:val="en-GB"/>
              </w:rPr>
              <w:t>.</w:t>
            </w:r>
            <w:r w:rsidR="00CD4E98" w:rsidRPr="004C286E">
              <w:rPr>
                <w:rFonts w:ascii="Arial" w:hAnsi="Arial" w:cs="Arial"/>
                <w:sz w:val="22"/>
                <w:szCs w:val="22"/>
                <w:lang w:val="en-GB"/>
              </w:rPr>
              <w:t>4</w:t>
            </w:r>
          </w:p>
        </w:tc>
        <w:tc>
          <w:tcPr>
            <w:tcW w:w="1548" w:type="pct"/>
            <w:gridSpan w:val="2"/>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color w:val="000000"/>
                <w:sz w:val="22"/>
                <w:szCs w:val="22"/>
                <w:lang w:val="en-GB"/>
              </w:rPr>
              <w:t xml:space="preserve">Convention website enhanced with improved </w:t>
            </w:r>
            <w:r w:rsidR="001A54B4" w:rsidRPr="004C286E">
              <w:rPr>
                <w:rFonts w:ascii="Arial" w:hAnsi="Arial" w:cs="Arial"/>
                <w:color w:val="000000"/>
                <w:sz w:val="22"/>
                <w:szCs w:val="22"/>
                <w:lang w:val="en-GB"/>
              </w:rPr>
              <w:t xml:space="preserve">navigation </w:t>
            </w:r>
            <w:r w:rsidRPr="004C286E">
              <w:rPr>
                <w:rFonts w:ascii="Arial" w:hAnsi="Arial" w:cs="Arial"/>
                <w:color w:val="000000"/>
                <w:sz w:val="22"/>
                <w:szCs w:val="22"/>
                <w:lang w:val="en-GB"/>
              </w:rPr>
              <w:t>and ergonomics, and search engine optimization</w:t>
            </w:r>
          </w:p>
        </w:tc>
        <w:tc>
          <w:tcPr>
            <w:tcW w:w="1545" w:type="pct"/>
            <w:vAlign w:val="center"/>
          </w:tcPr>
          <w:p w:rsidR="008A3916" w:rsidRPr="004C286E" w:rsidRDefault="008A3916"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Proportion of existing pages migrated (B=95%) or retired (B=5%)</w:t>
            </w:r>
          </w:p>
          <w:p w:rsidR="008A3916" w:rsidRPr="004C286E" w:rsidRDefault="008A3916"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Number of page views (B=4,000,000)</w:t>
            </w:r>
          </w:p>
        </w:tc>
        <w:tc>
          <w:tcPr>
            <w:tcW w:w="1544"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color w:val="000000"/>
                <w:sz w:val="22"/>
                <w:szCs w:val="22"/>
                <w:lang w:val="en-GB"/>
              </w:rPr>
              <w:t>Number of page views (B=1,000,000)</w:t>
            </w:r>
          </w:p>
        </w:tc>
      </w:tr>
    </w:tbl>
    <w:p w:rsidR="004C286E" w:rsidRDefault="004C286E"/>
    <w:tbl>
      <w:tblPr>
        <w:tblStyle w:val="TableGrid"/>
        <w:tblW w:w="5002" w:type="pct"/>
        <w:tblLayout w:type="fixed"/>
        <w:tblLook w:val="04A0" w:firstRow="1" w:lastRow="0" w:firstColumn="1" w:lastColumn="0" w:noHBand="0" w:noVBand="1"/>
      </w:tblPr>
      <w:tblGrid>
        <w:gridCol w:w="716"/>
        <w:gridCol w:w="1599"/>
        <w:gridCol w:w="1453"/>
        <w:gridCol w:w="3046"/>
        <w:gridCol w:w="3044"/>
      </w:tblGrid>
      <w:tr w:rsidR="008A3916" w:rsidRPr="004C286E" w:rsidTr="00B21E39">
        <w:trPr>
          <w:cantSplit/>
        </w:trPr>
        <w:tc>
          <w:tcPr>
            <w:tcW w:w="1174" w:type="pct"/>
            <w:gridSpan w:val="2"/>
            <w:shd w:val="clear" w:color="auto" w:fill="F2F2F2" w:themeFill="background1" w:themeFillShade="F2"/>
            <w:vAlign w:val="center"/>
          </w:tcPr>
          <w:p w:rsidR="008A3916" w:rsidRPr="004C286E" w:rsidRDefault="00456B33"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Expected Result</w:t>
            </w:r>
            <w:r w:rsidR="008A3916" w:rsidRPr="004C286E">
              <w:rPr>
                <w:rFonts w:ascii="Arial" w:hAnsi="Arial" w:cs="Arial"/>
                <w:b/>
                <w:bCs/>
                <w:sz w:val="22"/>
                <w:szCs w:val="22"/>
                <w:lang w:val="en-GB"/>
              </w:rPr>
              <w:t xml:space="preserve"> 3</w:t>
            </w:r>
          </w:p>
        </w:tc>
        <w:tc>
          <w:tcPr>
            <w:tcW w:w="3826" w:type="pct"/>
            <w:gridSpan w:val="3"/>
            <w:shd w:val="clear" w:color="auto" w:fill="F2F2F2" w:themeFill="background1" w:themeFillShade="F2"/>
            <w:vAlign w:val="center"/>
          </w:tcPr>
          <w:p w:rsidR="008A3916" w:rsidRPr="004C286E" w:rsidRDefault="008A3916"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 xml:space="preserve">Guidance provided on best </w:t>
            </w:r>
            <w:r w:rsidR="00115B6A" w:rsidRPr="004C286E">
              <w:rPr>
                <w:rFonts w:ascii="Arial" w:hAnsi="Arial" w:cs="Arial"/>
                <w:b/>
                <w:bCs/>
                <w:sz w:val="22"/>
                <w:szCs w:val="22"/>
                <w:lang w:val="en-GB"/>
              </w:rPr>
              <w:t xml:space="preserve">safeguarding </w:t>
            </w:r>
            <w:r w:rsidRPr="004C286E">
              <w:rPr>
                <w:rFonts w:ascii="Arial" w:hAnsi="Arial" w:cs="Arial"/>
                <w:b/>
                <w:bCs/>
                <w:sz w:val="22"/>
                <w:szCs w:val="22"/>
                <w:lang w:val="en-GB"/>
              </w:rPr>
              <w:t>practices and recommendations made on measures for the safeguarding of the intangible cultural heritage</w:t>
            </w:r>
          </w:p>
        </w:tc>
      </w:tr>
      <w:tr w:rsidR="00907810" w:rsidRPr="004C286E" w:rsidTr="004C286E">
        <w:trPr>
          <w:cantSplit/>
        </w:trPr>
        <w:tc>
          <w:tcPr>
            <w:tcW w:w="1174" w:type="pct"/>
            <w:gridSpan w:val="2"/>
            <w:shd w:val="clear" w:color="auto" w:fill="F2F2F2" w:themeFill="background1" w:themeFillShade="F2"/>
            <w:vAlign w:val="center"/>
          </w:tcPr>
          <w:p w:rsidR="00907810" w:rsidRPr="004C286E" w:rsidRDefault="00844FC2"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199OTH4137.3</w:t>
            </w:r>
          </w:p>
        </w:tc>
        <w:tc>
          <w:tcPr>
            <w:tcW w:w="3826" w:type="pct"/>
            <w:gridSpan w:val="3"/>
            <w:shd w:val="clear" w:color="auto" w:fill="F2F2F2" w:themeFill="background1" w:themeFillShade="F2"/>
            <w:vAlign w:val="center"/>
          </w:tcPr>
          <w:p w:rsidR="00907810" w:rsidRPr="004C286E" w:rsidRDefault="00907810"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Budgetary allocation</w:t>
            </w:r>
            <w:r w:rsidR="007C23F4" w:rsidRPr="004C286E">
              <w:rPr>
                <w:rFonts w:ascii="Arial" w:hAnsi="Arial" w:cs="Arial"/>
                <w:b/>
                <w:bCs/>
                <w:sz w:val="22"/>
                <w:szCs w:val="22"/>
                <w:lang w:val="en-GB"/>
              </w:rPr>
              <w:t>s</w:t>
            </w:r>
            <w:r w:rsidRPr="004C286E">
              <w:rPr>
                <w:rFonts w:ascii="Arial" w:hAnsi="Arial" w:cs="Arial"/>
                <w:b/>
                <w:bCs/>
                <w:sz w:val="22"/>
                <w:szCs w:val="22"/>
                <w:lang w:val="en-GB"/>
              </w:rPr>
              <w:t>:</w:t>
            </w:r>
            <w:r w:rsidR="0041570B" w:rsidRPr="004C286E">
              <w:rPr>
                <w:rFonts w:ascii="Arial" w:hAnsi="Arial" w:cs="Arial"/>
                <w:b/>
                <w:bCs/>
                <w:sz w:val="22"/>
                <w:szCs w:val="22"/>
                <w:lang w:val="en-GB"/>
              </w:rPr>
              <w:br/>
            </w:r>
            <w:r w:rsidR="001B60A0" w:rsidRPr="004C286E">
              <w:rPr>
                <w:rFonts w:ascii="Arial" w:hAnsi="Arial" w:cs="Arial"/>
                <w:b/>
                <w:bCs/>
                <w:sz w:val="22"/>
                <w:szCs w:val="22"/>
                <w:lang w:val="en-GB"/>
              </w:rPr>
              <w:t>US$133,000</w:t>
            </w:r>
            <w:r w:rsidRPr="004C286E">
              <w:rPr>
                <w:rFonts w:ascii="Arial" w:hAnsi="Arial" w:cs="Arial"/>
                <w:b/>
                <w:bCs/>
                <w:sz w:val="22"/>
                <w:szCs w:val="22"/>
                <w:lang w:val="en-GB"/>
              </w:rPr>
              <w:t xml:space="preserve"> in 2014-2015 </w:t>
            </w:r>
            <w:r w:rsidR="007C23F4" w:rsidRPr="004C286E">
              <w:rPr>
                <w:rFonts w:ascii="Arial" w:hAnsi="Arial" w:cs="Arial"/>
                <w:b/>
                <w:bCs/>
                <w:sz w:val="22"/>
                <w:szCs w:val="22"/>
                <w:lang w:val="en-GB"/>
              </w:rPr>
              <w:br/>
            </w:r>
            <w:r w:rsidR="001B60A0" w:rsidRPr="004C286E">
              <w:rPr>
                <w:rFonts w:ascii="Arial" w:hAnsi="Arial" w:cs="Arial"/>
                <w:b/>
                <w:bCs/>
                <w:sz w:val="22"/>
                <w:szCs w:val="22"/>
                <w:lang w:val="en-GB"/>
              </w:rPr>
              <w:t>US$43,000</w:t>
            </w:r>
            <w:r w:rsidRPr="004C286E">
              <w:rPr>
                <w:rFonts w:ascii="Arial" w:hAnsi="Arial" w:cs="Arial"/>
                <w:b/>
                <w:bCs/>
                <w:sz w:val="22"/>
                <w:szCs w:val="22"/>
                <w:lang w:val="en-GB"/>
              </w:rPr>
              <w:t xml:space="preserve"> in 2016</w:t>
            </w:r>
          </w:p>
        </w:tc>
      </w:tr>
      <w:tr w:rsidR="008A3916" w:rsidRPr="004C286E" w:rsidTr="004C286E">
        <w:trPr>
          <w:cantSplit/>
        </w:trPr>
        <w:tc>
          <w:tcPr>
            <w:tcW w:w="363" w:type="pct"/>
            <w:shd w:val="clear" w:color="auto" w:fill="F2F2F2" w:themeFill="background1" w:themeFillShade="F2"/>
            <w:vAlign w:val="center"/>
          </w:tcPr>
          <w:p w:rsidR="008A3916" w:rsidRPr="004C286E" w:rsidRDefault="008A3916" w:rsidP="00DE782E">
            <w:pPr>
              <w:keepNext/>
              <w:spacing w:before="60" w:after="60"/>
              <w:jc w:val="right"/>
              <w:rPr>
                <w:rFonts w:ascii="Arial" w:hAnsi="Arial" w:cs="Arial"/>
                <w:i/>
                <w:iCs/>
                <w:sz w:val="22"/>
                <w:szCs w:val="22"/>
                <w:lang w:val="en-GB"/>
              </w:rPr>
            </w:pPr>
          </w:p>
        </w:tc>
        <w:tc>
          <w:tcPr>
            <w:tcW w:w="1548" w:type="pct"/>
            <w:gridSpan w:val="2"/>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Outputs</w:t>
            </w:r>
          </w:p>
        </w:tc>
        <w:tc>
          <w:tcPr>
            <w:tcW w:w="1545" w:type="pct"/>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Indicators (Benchmarks) 2014-2015</w:t>
            </w:r>
          </w:p>
        </w:tc>
        <w:tc>
          <w:tcPr>
            <w:tcW w:w="1544" w:type="pct"/>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 xml:space="preserve">Indicators (Benchmarks) </w:t>
            </w:r>
            <w:r w:rsidR="00456B33" w:rsidRPr="004C286E">
              <w:rPr>
                <w:rFonts w:ascii="Arial" w:hAnsi="Arial" w:cs="Arial"/>
                <w:i/>
                <w:iCs/>
                <w:sz w:val="22"/>
                <w:szCs w:val="22"/>
                <w:lang w:val="en-GB"/>
              </w:rPr>
              <w:br/>
            </w:r>
            <w:r w:rsidRPr="004C286E">
              <w:rPr>
                <w:rFonts w:ascii="Arial" w:hAnsi="Arial" w:cs="Arial"/>
                <w:i/>
                <w:iCs/>
                <w:sz w:val="22"/>
                <w:szCs w:val="22"/>
                <w:lang w:val="en-GB"/>
              </w:rPr>
              <w:t>first semester 2016</w:t>
            </w:r>
          </w:p>
        </w:tc>
      </w:tr>
      <w:tr w:rsidR="008A3916" w:rsidRPr="004C286E" w:rsidTr="004C286E">
        <w:trPr>
          <w:cantSplit/>
        </w:trPr>
        <w:tc>
          <w:tcPr>
            <w:tcW w:w="363" w:type="pct"/>
            <w:vAlign w:val="center"/>
          </w:tcPr>
          <w:p w:rsidR="008A3916" w:rsidRPr="004C286E" w:rsidRDefault="0041570B" w:rsidP="00DE782E">
            <w:pPr>
              <w:spacing w:before="60" w:after="60"/>
              <w:jc w:val="right"/>
              <w:rPr>
                <w:rFonts w:ascii="Arial" w:hAnsi="Arial" w:cs="Arial"/>
                <w:sz w:val="22"/>
                <w:szCs w:val="22"/>
                <w:lang w:val="en-GB"/>
              </w:rPr>
            </w:pPr>
            <w:r w:rsidRPr="004C286E">
              <w:rPr>
                <w:rFonts w:ascii="Arial" w:hAnsi="Arial" w:cs="Arial"/>
                <w:sz w:val="22"/>
                <w:szCs w:val="22"/>
                <w:lang w:val="en-GB"/>
              </w:rPr>
              <w:t>3</w:t>
            </w:r>
            <w:r w:rsidR="008A3916" w:rsidRPr="004C286E">
              <w:rPr>
                <w:rFonts w:ascii="Arial" w:hAnsi="Arial" w:cs="Arial"/>
                <w:sz w:val="22"/>
                <w:szCs w:val="22"/>
                <w:lang w:val="en-GB"/>
              </w:rPr>
              <w:t>.</w:t>
            </w:r>
            <w:r w:rsidR="007A66E8" w:rsidRPr="004C286E">
              <w:rPr>
                <w:rFonts w:ascii="Arial" w:hAnsi="Arial" w:cs="Arial"/>
                <w:sz w:val="22"/>
                <w:szCs w:val="22"/>
                <w:lang w:val="en-GB"/>
              </w:rPr>
              <w:t>1</w:t>
            </w:r>
          </w:p>
        </w:tc>
        <w:tc>
          <w:tcPr>
            <w:tcW w:w="1548" w:type="pct"/>
            <w:gridSpan w:val="2"/>
            <w:vAlign w:val="center"/>
          </w:tcPr>
          <w:p w:rsidR="008A3916" w:rsidRPr="004C286E" w:rsidRDefault="008A3916" w:rsidP="00DE782E">
            <w:pPr>
              <w:autoSpaceDE w:val="0"/>
              <w:autoSpaceDN w:val="0"/>
              <w:adjustRightInd w:val="0"/>
              <w:spacing w:before="60" w:after="60"/>
              <w:rPr>
                <w:rFonts w:ascii="Arial" w:hAnsi="Arial" w:cs="Arial"/>
                <w:sz w:val="22"/>
                <w:szCs w:val="22"/>
                <w:lang w:val="en-GB"/>
              </w:rPr>
            </w:pPr>
            <w:r w:rsidRPr="004C286E">
              <w:rPr>
                <w:rFonts w:ascii="Arial" w:hAnsi="Arial" w:cs="Arial"/>
                <w:sz w:val="22"/>
                <w:szCs w:val="22"/>
                <w:lang w:val="en-GB"/>
              </w:rPr>
              <w:t xml:space="preserve">Interesting and innovative examples </w:t>
            </w:r>
            <w:r w:rsidR="007A66E8" w:rsidRPr="004C286E">
              <w:rPr>
                <w:rFonts w:ascii="Arial" w:hAnsi="Arial" w:cs="Arial"/>
                <w:sz w:val="22"/>
                <w:szCs w:val="22"/>
                <w:lang w:val="en-GB"/>
              </w:rPr>
              <w:t xml:space="preserve">identified and </w:t>
            </w:r>
            <w:r w:rsidR="00CB159D" w:rsidRPr="004C286E">
              <w:rPr>
                <w:rFonts w:ascii="Arial" w:hAnsi="Arial" w:cs="Arial"/>
                <w:sz w:val="22"/>
                <w:szCs w:val="22"/>
                <w:lang w:val="en-GB"/>
              </w:rPr>
              <w:t xml:space="preserve">shared, including about </w:t>
            </w:r>
            <w:r w:rsidRPr="004C286E">
              <w:rPr>
                <w:rFonts w:ascii="Arial" w:hAnsi="Arial" w:cs="Arial"/>
                <w:sz w:val="22"/>
                <w:szCs w:val="22"/>
                <w:lang w:val="en-GB"/>
              </w:rPr>
              <w:t>ICH codes of ethics</w:t>
            </w:r>
            <w:r w:rsidR="00CB159D" w:rsidRPr="004C286E">
              <w:rPr>
                <w:rFonts w:ascii="Arial" w:hAnsi="Arial" w:cs="Arial"/>
                <w:sz w:val="22"/>
                <w:szCs w:val="22"/>
                <w:lang w:val="en-GB"/>
              </w:rPr>
              <w:t xml:space="preserve">, </w:t>
            </w:r>
            <w:r w:rsidR="007D5004" w:rsidRPr="004C286E">
              <w:rPr>
                <w:rFonts w:ascii="Arial" w:hAnsi="Arial" w:cs="Arial"/>
                <w:sz w:val="22"/>
                <w:szCs w:val="22"/>
                <w:lang w:val="en-GB"/>
              </w:rPr>
              <w:t>conflict and disaster reduction and recovery</w:t>
            </w:r>
            <w:r w:rsidRPr="004C286E">
              <w:rPr>
                <w:rFonts w:ascii="Arial" w:hAnsi="Arial" w:cs="Arial"/>
                <w:sz w:val="22"/>
                <w:szCs w:val="22"/>
                <w:lang w:val="en-GB"/>
              </w:rPr>
              <w:t xml:space="preserve"> and other</w:t>
            </w:r>
            <w:r w:rsidR="006D3728" w:rsidRPr="004C286E">
              <w:rPr>
                <w:rFonts w:ascii="Arial" w:hAnsi="Arial" w:cs="Arial"/>
                <w:sz w:val="22"/>
                <w:szCs w:val="22"/>
                <w:lang w:val="en-GB"/>
              </w:rPr>
              <w:t xml:space="preserve"> theme</w:t>
            </w:r>
            <w:r w:rsidRPr="004C286E">
              <w:rPr>
                <w:rFonts w:ascii="Arial" w:hAnsi="Arial" w:cs="Arial"/>
                <w:sz w:val="22"/>
                <w:szCs w:val="22"/>
                <w:lang w:val="en-GB"/>
              </w:rPr>
              <w:t>s</w:t>
            </w:r>
          </w:p>
        </w:tc>
        <w:tc>
          <w:tcPr>
            <w:tcW w:w="1545" w:type="pct"/>
            <w:vAlign w:val="center"/>
          </w:tcPr>
          <w:p w:rsidR="00941F9C" w:rsidRPr="004C286E" w:rsidRDefault="00941F9C" w:rsidP="00DE782E">
            <w:pPr>
              <w:spacing w:before="60" w:after="60"/>
              <w:rPr>
                <w:rFonts w:ascii="Arial" w:hAnsi="Arial" w:cs="Arial"/>
                <w:sz w:val="22"/>
                <w:szCs w:val="22"/>
                <w:lang w:val="en-GB"/>
              </w:rPr>
            </w:pPr>
            <w:r w:rsidRPr="004C286E">
              <w:rPr>
                <w:rFonts w:ascii="Arial" w:hAnsi="Arial" w:cs="Arial"/>
                <w:sz w:val="22"/>
                <w:szCs w:val="22"/>
                <w:lang w:val="en-GB"/>
              </w:rPr>
              <w:t>Collection and analysis of good practices in theme areas (B=2)</w:t>
            </w:r>
          </w:p>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 xml:space="preserve">Category VI expert meeting organized (B=1, contingent on </w:t>
            </w:r>
            <w:r w:rsidR="00B309D3" w:rsidRPr="004C286E">
              <w:rPr>
                <w:rFonts w:ascii="Arial" w:hAnsi="Arial" w:cs="Arial"/>
                <w:sz w:val="22"/>
                <w:szCs w:val="22"/>
                <w:lang w:val="en-GB"/>
              </w:rPr>
              <w:t>host-country or partner support</w:t>
            </w:r>
            <w:r w:rsidRPr="004C286E">
              <w:rPr>
                <w:rFonts w:ascii="Arial" w:hAnsi="Arial" w:cs="Arial"/>
                <w:sz w:val="22"/>
                <w:szCs w:val="22"/>
                <w:lang w:val="en-GB"/>
              </w:rPr>
              <w:t>)</w:t>
            </w:r>
          </w:p>
        </w:tc>
        <w:tc>
          <w:tcPr>
            <w:tcW w:w="1544"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 xml:space="preserve">Category VI expert meeting organized (B=1, contingent on </w:t>
            </w:r>
            <w:r w:rsidR="00B309D3" w:rsidRPr="004C286E">
              <w:rPr>
                <w:rFonts w:ascii="Arial" w:hAnsi="Arial" w:cs="Arial"/>
                <w:sz w:val="22"/>
                <w:szCs w:val="22"/>
                <w:lang w:val="en-GB"/>
              </w:rPr>
              <w:t>host-country or partner support</w:t>
            </w:r>
            <w:r w:rsidRPr="004C286E">
              <w:rPr>
                <w:rFonts w:ascii="Arial" w:hAnsi="Arial" w:cs="Arial"/>
                <w:sz w:val="22"/>
                <w:szCs w:val="22"/>
                <w:lang w:val="en-GB"/>
              </w:rPr>
              <w:t>)</w:t>
            </w:r>
          </w:p>
        </w:tc>
      </w:tr>
      <w:tr w:rsidR="008A3916" w:rsidRPr="004C286E" w:rsidTr="004C286E">
        <w:trPr>
          <w:cantSplit/>
        </w:trPr>
        <w:tc>
          <w:tcPr>
            <w:tcW w:w="363" w:type="pct"/>
            <w:vAlign w:val="center"/>
          </w:tcPr>
          <w:p w:rsidR="008A3916" w:rsidRPr="004C286E" w:rsidRDefault="0041570B" w:rsidP="00DE782E">
            <w:pPr>
              <w:spacing w:before="60" w:after="60"/>
              <w:jc w:val="right"/>
              <w:rPr>
                <w:rFonts w:ascii="Arial" w:hAnsi="Arial" w:cs="Arial"/>
                <w:sz w:val="22"/>
                <w:szCs w:val="22"/>
                <w:lang w:val="en-GB"/>
              </w:rPr>
            </w:pPr>
            <w:r w:rsidRPr="004C286E">
              <w:rPr>
                <w:rFonts w:ascii="Arial" w:hAnsi="Arial" w:cs="Arial"/>
                <w:sz w:val="22"/>
                <w:szCs w:val="22"/>
                <w:lang w:val="en-GB"/>
              </w:rPr>
              <w:t>3</w:t>
            </w:r>
            <w:r w:rsidR="008A3916" w:rsidRPr="004C286E">
              <w:rPr>
                <w:rFonts w:ascii="Arial" w:hAnsi="Arial" w:cs="Arial"/>
                <w:sz w:val="22"/>
                <w:szCs w:val="22"/>
                <w:lang w:val="en-GB"/>
              </w:rPr>
              <w:t>.</w:t>
            </w:r>
            <w:r w:rsidR="007A66E8" w:rsidRPr="004C286E">
              <w:rPr>
                <w:rFonts w:ascii="Arial" w:hAnsi="Arial" w:cs="Arial"/>
                <w:sz w:val="22"/>
                <w:szCs w:val="22"/>
                <w:lang w:val="en-GB"/>
              </w:rPr>
              <w:t>2</w:t>
            </w:r>
          </w:p>
        </w:tc>
        <w:tc>
          <w:tcPr>
            <w:tcW w:w="1548" w:type="pct"/>
            <w:gridSpan w:val="2"/>
            <w:vAlign w:val="center"/>
          </w:tcPr>
          <w:p w:rsidR="008A3916" w:rsidRPr="004C286E" w:rsidRDefault="008A3916" w:rsidP="00DE782E">
            <w:pPr>
              <w:autoSpaceDE w:val="0"/>
              <w:autoSpaceDN w:val="0"/>
              <w:adjustRightInd w:val="0"/>
              <w:spacing w:before="60" w:after="60"/>
              <w:rPr>
                <w:rFonts w:ascii="Arial" w:hAnsi="Arial" w:cs="Arial"/>
                <w:sz w:val="22"/>
                <w:szCs w:val="22"/>
                <w:lang w:val="en-GB"/>
              </w:rPr>
            </w:pPr>
            <w:r w:rsidRPr="004C286E">
              <w:rPr>
                <w:rFonts w:ascii="Arial" w:hAnsi="Arial" w:cs="Arial"/>
                <w:sz w:val="22"/>
                <w:szCs w:val="22"/>
                <w:lang w:val="en-GB"/>
              </w:rPr>
              <w:t>UNESCO’s cooperation with WIPO strengthened to ensure ongoing exchange and learning between the two organizations and their Member States</w:t>
            </w:r>
            <w:r w:rsidR="007D5004" w:rsidRPr="004C286E">
              <w:rPr>
                <w:rFonts w:ascii="Arial" w:hAnsi="Arial" w:cs="Arial"/>
                <w:sz w:val="22"/>
                <w:szCs w:val="22"/>
                <w:lang w:val="en-GB"/>
              </w:rPr>
              <w:t xml:space="preserve"> concerning traditional knowledge and cultural expression</w:t>
            </w:r>
          </w:p>
        </w:tc>
        <w:tc>
          <w:tcPr>
            <w:tcW w:w="1545" w:type="pct"/>
            <w:vAlign w:val="center"/>
          </w:tcPr>
          <w:p w:rsidR="008A3916" w:rsidRPr="004C286E" w:rsidRDefault="00503A05" w:rsidP="00DE782E">
            <w:pPr>
              <w:spacing w:before="60" w:after="60"/>
              <w:rPr>
                <w:rFonts w:ascii="Arial" w:hAnsi="Arial" w:cs="Arial"/>
                <w:sz w:val="22"/>
                <w:szCs w:val="22"/>
                <w:lang w:val="en-GB"/>
              </w:rPr>
            </w:pPr>
            <w:r w:rsidRPr="004C286E">
              <w:rPr>
                <w:rFonts w:ascii="Arial" w:hAnsi="Arial" w:cs="Arial"/>
                <w:sz w:val="22"/>
                <w:szCs w:val="22"/>
                <w:lang w:val="en-GB"/>
              </w:rPr>
              <w:t>S</w:t>
            </w:r>
            <w:r w:rsidR="008A3916" w:rsidRPr="004C286E">
              <w:rPr>
                <w:rFonts w:ascii="Arial" w:hAnsi="Arial" w:cs="Arial"/>
                <w:sz w:val="22"/>
                <w:szCs w:val="22"/>
                <w:lang w:val="en-GB"/>
              </w:rPr>
              <w:t xml:space="preserve">ub-regional meeting organized (B=1, </w:t>
            </w:r>
            <w:r w:rsidRPr="004C286E">
              <w:rPr>
                <w:rFonts w:ascii="Arial" w:hAnsi="Arial" w:cs="Arial"/>
                <w:sz w:val="22"/>
                <w:szCs w:val="22"/>
                <w:lang w:val="en-GB"/>
              </w:rPr>
              <w:t>in cooperation with Sofia Centre</w:t>
            </w:r>
            <w:r w:rsidR="008A3916" w:rsidRPr="004C286E">
              <w:rPr>
                <w:rFonts w:ascii="Arial" w:hAnsi="Arial" w:cs="Arial"/>
                <w:sz w:val="22"/>
                <w:szCs w:val="22"/>
                <w:lang w:val="en-GB"/>
              </w:rPr>
              <w:t>)</w:t>
            </w:r>
          </w:p>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Participation in meetings organized by WIPO or other UN agencies (B=1)</w:t>
            </w:r>
          </w:p>
        </w:tc>
        <w:tc>
          <w:tcPr>
            <w:tcW w:w="1544"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Participation in meetings organized by WIPO or other UN agencies (B=1)</w:t>
            </w:r>
          </w:p>
        </w:tc>
      </w:tr>
    </w:tbl>
    <w:p w:rsidR="004C286E" w:rsidRDefault="004C286E"/>
    <w:tbl>
      <w:tblPr>
        <w:tblStyle w:val="TableGrid"/>
        <w:tblW w:w="5002" w:type="pct"/>
        <w:tblLayout w:type="fixed"/>
        <w:tblLook w:val="04A0" w:firstRow="1" w:lastRow="0" w:firstColumn="1" w:lastColumn="0" w:noHBand="0" w:noVBand="1"/>
      </w:tblPr>
      <w:tblGrid>
        <w:gridCol w:w="716"/>
        <w:gridCol w:w="1599"/>
        <w:gridCol w:w="1453"/>
        <w:gridCol w:w="3046"/>
        <w:gridCol w:w="3044"/>
      </w:tblGrid>
      <w:tr w:rsidR="008A3916" w:rsidRPr="004C286E" w:rsidTr="00B21E39">
        <w:trPr>
          <w:cantSplit/>
        </w:trPr>
        <w:tc>
          <w:tcPr>
            <w:tcW w:w="1174" w:type="pct"/>
            <w:gridSpan w:val="2"/>
            <w:shd w:val="clear" w:color="auto" w:fill="F2F2F2" w:themeFill="background1" w:themeFillShade="F2"/>
            <w:vAlign w:val="center"/>
          </w:tcPr>
          <w:p w:rsidR="008A3916" w:rsidRPr="004C286E" w:rsidRDefault="008A3916" w:rsidP="004C286E">
            <w:pPr>
              <w:keepNext/>
              <w:spacing w:before="60" w:after="60"/>
              <w:rPr>
                <w:rFonts w:ascii="Arial" w:hAnsi="Arial" w:cs="Arial"/>
                <w:b/>
                <w:bCs/>
                <w:sz w:val="22"/>
                <w:szCs w:val="22"/>
                <w:highlight w:val="yellow"/>
                <w:lang w:val="en-GB"/>
              </w:rPr>
            </w:pPr>
            <w:r w:rsidRPr="004C286E">
              <w:rPr>
                <w:rFonts w:ascii="Arial" w:hAnsi="Arial" w:cs="Arial"/>
                <w:b/>
                <w:bCs/>
                <w:sz w:val="22"/>
                <w:szCs w:val="22"/>
                <w:lang w:val="en-GB"/>
              </w:rPr>
              <w:t>E</w:t>
            </w:r>
            <w:r w:rsidR="00456B33" w:rsidRPr="004C286E">
              <w:rPr>
                <w:rFonts w:ascii="Arial" w:hAnsi="Arial" w:cs="Arial"/>
                <w:b/>
                <w:bCs/>
                <w:sz w:val="22"/>
                <w:szCs w:val="22"/>
                <w:lang w:val="en-GB"/>
              </w:rPr>
              <w:t xml:space="preserve">xpected </w:t>
            </w:r>
            <w:r w:rsidRPr="004C286E">
              <w:rPr>
                <w:rFonts w:ascii="Arial" w:hAnsi="Arial" w:cs="Arial"/>
                <w:b/>
                <w:bCs/>
                <w:sz w:val="22"/>
                <w:szCs w:val="22"/>
                <w:lang w:val="en-GB"/>
              </w:rPr>
              <w:t>R</w:t>
            </w:r>
            <w:r w:rsidR="00456B33" w:rsidRPr="004C286E">
              <w:rPr>
                <w:rFonts w:ascii="Arial" w:hAnsi="Arial" w:cs="Arial"/>
                <w:b/>
                <w:bCs/>
                <w:sz w:val="22"/>
                <w:szCs w:val="22"/>
                <w:lang w:val="en-GB"/>
              </w:rPr>
              <w:t>esult</w:t>
            </w:r>
            <w:r w:rsidRPr="004C286E">
              <w:rPr>
                <w:rFonts w:ascii="Arial" w:hAnsi="Arial" w:cs="Arial"/>
                <w:b/>
                <w:bCs/>
                <w:sz w:val="22"/>
                <w:szCs w:val="22"/>
                <w:lang w:val="en-GB"/>
              </w:rPr>
              <w:t xml:space="preserve"> 4</w:t>
            </w:r>
          </w:p>
        </w:tc>
        <w:tc>
          <w:tcPr>
            <w:tcW w:w="3826" w:type="pct"/>
            <w:gridSpan w:val="3"/>
            <w:shd w:val="clear" w:color="auto" w:fill="F2F2F2" w:themeFill="background1" w:themeFillShade="F2"/>
            <w:vAlign w:val="center"/>
          </w:tcPr>
          <w:p w:rsidR="008A3916" w:rsidRPr="004C286E" w:rsidRDefault="00456B33" w:rsidP="004C286E">
            <w:pPr>
              <w:keepNext/>
              <w:spacing w:before="60" w:after="60"/>
              <w:rPr>
                <w:rFonts w:ascii="Arial" w:hAnsi="Arial" w:cs="Arial"/>
                <w:b/>
                <w:bCs/>
                <w:sz w:val="22"/>
                <w:szCs w:val="22"/>
                <w:lang w:val="en-GB"/>
              </w:rPr>
            </w:pPr>
            <w:r w:rsidRPr="004C286E">
              <w:rPr>
                <w:rFonts w:ascii="Arial" w:hAnsi="Arial" w:cs="Arial"/>
                <w:b/>
                <w:bCs/>
                <w:sz w:val="22"/>
                <w:szCs w:val="22"/>
                <w:lang w:val="en-GB"/>
              </w:rPr>
              <w:t>Better visibility of the intangible cultural heritage and awareness of its significance ensured throug</w:t>
            </w:r>
            <w:r w:rsidR="00C94D7D" w:rsidRPr="004C286E">
              <w:rPr>
                <w:rFonts w:ascii="Arial" w:hAnsi="Arial" w:cs="Arial"/>
                <w:b/>
                <w:bCs/>
                <w:sz w:val="22"/>
                <w:szCs w:val="22"/>
                <w:lang w:val="en-GB"/>
              </w:rPr>
              <w:t>h publication and dissemination</w:t>
            </w:r>
          </w:p>
        </w:tc>
      </w:tr>
      <w:tr w:rsidR="00907810" w:rsidRPr="004C286E" w:rsidTr="004C286E">
        <w:trPr>
          <w:cantSplit/>
        </w:trPr>
        <w:tc>
          <w:tcPr>
            <w:tcW w:w="1174" w:type="pct"/>
            <w:gridSpan w:val="2"/>
            <w:shd w:val="clear" w:color="auto" w:fill="F2F2F2" w:themeFill="background1" w:themeFillShade="F2"/>
            <w:vAlign w:val="center"/>
          </w:tcPr>
          <w:p w:rsidR="00907810" w:rsidRPr="004C286E" w:rsidRDefault="00844FC2"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199OTH4137.1</w:t>
            </w:r>
          </w:p>
        </w:tc>
        <w:tc>
          <w:tcPr>
            <w:tcW w:w="3826" w:type="pct"/>
            <w:gridSpan w:val="3"/>
            <w:shd w:val="clear" w:color="auto" w:fill="F2F2F2" w:themeFill="background1" w:themeFillShade="F2"/>
            <w:vAlign w:val="center"/>
          </w:tcPr>
          <w:p w:rsidR="00907810" w:rsidRPr="004C286E" w:rsidRDefault="00907810" w:rsidP="00DE782E">
            <w:pPr>
              <w:keepNext/>
              <w:spacing w:before="60" w:after="60"/>
              <w:rPr>
                <w:rFonts w:ascii="Arial" w:hAnsi="Arial" w:cs="Arial"/>
                <w:b/>
                <w:bCs/>
                <w:sz w:val="22"/>
                <w:szCs w:val="22"/>
                <w:lang w:val="en-GB"/>
              </w:rPr>
            </w:pPr>
            <w:r w:rsidRPr="004C286E">
              <w:rPr>
                <w:rFonts w:ascii="Arial" w:hAnsi="Arial" w:cs="Arial"/>
                <w:b/>
                <w:bCs/>
                <w:sz w:val="22"/>
                <w:szCs w:val="22"/>
                <w:lang w:val="en-GB"/>
              </w:rPr>
              <w:t>Budgetary allocation:</w:t>
            </w:r>
            <w:r w:rsidR="0041570B" w:rsidRPr="004C286E">
              <w:rPr>
                <w:rFonts w:ascii="Arial" w:hAnsi="Arial" w:cs="Arial"/>
                <w:b/>
                <w:bCs/>
                <w:sz w:val="22"/>
                <w:szCs w:val="22"/>
                <w:lang w:val="en-GB"/>
              </w:rPr>
              <w:br/>
            </w:r>
            <w:r w:rsidR="001B60A0" w:rsidRPr="004C286E">
              <w:rPr>
                <w:rFonts w:ascii="Arial" w:hAnsi="Arial" w:cs="Arial"/>
                <w:b/>
                <w:bCs/>
                <w:sz w:val="22"/>
                <w:szCs w:val="22"/>
                <w:lang w:val="en-GB"/>
              </w:rPr>
              <w:t>US$129,000</w:t>
            </w:r>
            <w:r w:rsidRPr="004C286E">
              <w:rPr>
                <w:rFonts w:ascii="Arial" w:hAnsi="Arial" w:cs="Arial"/>
                <w:b/>
                <w:bCs/>
                <w:sz w:val="22"/>
                <w:szCs w:val="22"/>
                <w:lang w:val="en-GB"/>
              </w:rPr>
              <w:t xml:space="preserve"> in 2014-2015 </w:t>
            </w:r>
            <w:r w:rsidR="007C23F4" w:rsidRPr="004C286E">
              <w:rPr>
                <w:rFonts w:ascii="Arial" w:hAnsi="Arial" w:cs="Arial"/>
                <w:b/>
                <w:bCs/>
                <w:sz w:val="22"/>
                <w:szCs w:val="22"/>
                <w:lang w:val="en-GB"/>
              </w:rPr>
              <w:br/>
            </w:r>
            <w:r w:rsidR="001B60A0" w:rsidRPr="004C286E">
              <w:rPr>
                <w:rFonts w:ascii="Arial" w:hAnsi="Arial" w:cs="Arial"/>
                <w:b/>
                <w:bCs/>
                <w:sz w:val="22"/>
                <w:szCs w:val="22"/>
                <w:lang w:val="en-GB"/>
              </w:rPr>
              <w:t>US$18,000</w:t>
            </w:r>
            <w:r w:rsidRPr="004C286E">
              <w:rPr>
                <w:rFonts w:ascii="Arial" w:hAnsi="Arial" w:cs="Arial"/>
                <w:b/>
                <w:bCs/>
                <w:sz w:val="22"/>
                <w:szCs w:val="22"/>
                <w:lang w:val="en-GB"/>
              </w:rPr>
              <w:t xml:space="preserve"> in 2016</w:t>
            </w:r>
          </w:p>
        </w:tc>
      </w:tr>
      <w:tr w:rsidR="008A3916" w:rsidRPr="004C286E" w:rsidTr="004C286E">
        <w:trPr>
          <w:cantSplit/>
        </w:trPr>
        <w:tc>
          <w:tcPr>
            <w:tcW w:w="363" w:type="pct"/>
            <w:shd w:val="clear" w:color="auto" w:fill="F2F2F2" w:themeFill="background1" w:themeFillShade="F2"/>
            <w:vAlign w:val="center"/>
          </w:tcPr>
          <w:p w:rsidR="008A3916" w:rsidRPr="004C286E" w:rsidRDefault="008A3916" w:rsidP="00DE782E">
            <w:pPr>
              <w:keepNext/>
              <w:spacing w:before="60" w:after="60"/>
              <w:jc w:val="right"/>
              <w:rPr>
                <w:rFonts w:ascii="Arial" w:hAnsi="Arial" w:cs="Arial"/>
                <w:i/>
                <w:iCs/>
                <w:sz w:val="22"/>
                <w:szCs w:val="22"/>
                <w:lang w:val="en-GB"/>
              </w:rPr>
            </w:pPr>
          </w:p>
        </w:tc>
        <w:tc>
          <w:tcPr>
            <w:tcW w:w="1548" w:type="pct"/>
            <w:gridSpan w:val="2"/>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Outputs</w:t>
            </w:r>
          </w:p>
        </w:tc>
        <w:tc>
          <w:tcPr>
            <w:tcW w:w="1545" w:type="pct"/>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Indicators (Benchmarks) 2014-2015</w:t>
            </w:r>
          </w:p>
        </w:tc>
        <w:tc>
          <w:tcPr>
            <w:tcW w:w="1544" w:type="pct"/>
            <w:shd w:val="clear" w:color="auto" w:fill="F2F2F2" w:themeFill="background1" w:themeFillShade="F2"/>
            <w:vAlign w:val="center"/>
          </w:tcPr>
          <w:p w:rsidR="008A3916" w:rsidRPr="004C286E" w:rsidRDefault="008A3916" w:rsidP="00DE782E">
            <w:pPr>
              <w:keepNext/>
              <w:spacing w:before="60" w:after="60"/>
              <w:jc w:val="center"/>
              <w:rPr>
                <w:rFonts w:ascii="Arial" w:hAnsi="Arial" w:cs="Arial"/>
                <w:i/>
                <w:iCs/>
                <w:sz w:val="22"/>
                <w:szCs w:val="22"/>
                <w:lang w:val="en-GB"/>
              </w:rPr>
            </w:pPr>
            <w:r w:rsidRPr="004C286E">
              <w:rPr>
                <w:rFonts w:ascii="Arial" w:hAnsi="Arial" w:cs="Arial"/>
                <w:i/>
                <w:iCs/>
                <w:sz w:val="22"/>
                <w:szCs w:val="22"/>
                <w:lang w:val="en-GB"/>
              </w:rPr>
              <w:t xml:space="preserve">Indicators (Benchmarks) </w:t>
            </w:r>
            <w:r w:rsidR="00456B33" w:rsidRPr="004C286E">
              <w:rPr>
                <w:rFonts w:ascii="Arial" w:hAnsi="Arial" w:cs="Arial"/>
                <w:i/>
                <w:iCs/>
                <w:sz w:val="22"/>
                <w:szCs w:val="22"/>
                <w:lang w:val="en-GB"/>
              </w:rPr>
              <w:br/>
            </w:r>
            <w:r w:rsidRPr="004C286E">
              <w:rPr>
                <w:rFonts w:ascii="Arial" w:hAnsi="Arial" w:cs="Arial"/>
                <w:i/>
                <w:iCs/>
                <w:sz w:val="22"/>
                <w:szCs w:val="22"/>
                <w:lang w:val="en-GB"/>
              </w:rPr>
              <w:t>first semester 2016</w:t>
            </w:r>
          </w:p>
        </w:tc>
      </w:tr>
      <w:tr w:rsidR="008A3916" w:rsidRPr="004C286E" w:rsidTr="004C286E">
        <w:trPr>
          <w:cantSplit/>
        </w:trPr>
        <w:tc>
          <w:tcPr>
            <w:tcW w:w="363" w:type="pct"/>
            <w:vAlign w:val="center"/>
          </w:tcPr>
          <w:p w:rsidR="008A3916" w:rsidRPr="004C286E" w:rsidRDefault="00237050" w:rsidP="00DE782E">
            <w:pPr>
              <w:spacing w:before="60" w:after="60"/>
              <w:jc w:val="right"/>
              <w:rPr>
                <w:rFonts w:ascii="Arial" w:hAnsi="Arial" w:cs="Arial"/>
                <w:sz w:val="22"/>
                <w:szCs w:val="22"/>
                <w:lang w:val="en-GB"/>
              </w:rPr>
            </w:pPr>
            <w:r w:rsidRPr="004C286E">
              <w:rPr>
                <w:rFonts w:ascii="Arial" w:hAnsi="Arial" w:cs="Arial"/>
                <w:sz w:val="22"/>
                <w:szCs w:val="22"/>
                <w:lang w:val="en-GB"/>
              </w:rPr>
              <w:t>4</w:t>
            </w:r>
            <w:r w:rsidR="008A3916" w:rsidRPr="004C286E">
              <w:rPr>
                <w:rFonts w:ascii="Arial" w:hAnsi="Arial" w:cs="Arial"/>
                <w:sz w:val="22"/>
                <w:szCs w:val="22"/>
                <w:lang w:val="en-GB"/>
              </w:rPr>
              <w:t>.1</w:t>
            </w:r>
          </w:p>
        </w:tc>
        <w:tc>
          <w:tcPr>
            <w:tcW w:w="1548" w:type="pct"/>
            <w:gridSpan w:val="2"/>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Basic Texts of the Convention revised and published</w:t>
            </w:r>
          </w:p>
        </w:tc>
        <w:tc>
          <w:tcPr>
            <w:tcW w:w="1545"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One publication in six languages of 2014 version of the Basic Text</w:t>
            </w:r>
          </w:p>
        </w:tc>
        <w:tc>
          <w:tcPr>
            <w:tcW w:w="1544" w:type="pct"/>
            <w:vAlign w:val="center"/>
          </w:tcPr>
          <w:p w:rsidR="008A3916" w:rsidRPr="004C286E" w:rsidRDefault="008A3916" w:rsidP="00DE782E">
            <w:pPr>
              <w:spacing w:before="60" w:after="60"/>
              <w:rPr>
                <w:rFonts w:ascii="Arial" w:hAnsi="Arial" w:cs="Arial"/>
                <w:sz w:val="22"/>
                <w:szCs w:val="22"/>
                <w:lang w:val="en-GB"/>
              </w:rPr>
            </w:pPr>
          </w:p>
        </w:tc>
      </w:tr>
      <w:tr w:rsidR="008A3916" w:rsidRPr="004C286E" w:rsidTr="004C286E">
        <w:trPr>
          <w:cantSplit/>
        </w:trPr>
        <w:tc>
          <w:tcPr>
            <w:tcW w:w="363" w:type="pct"/>
            <w:vAlign w:val="center"/>
          </w:tcPr>
          <w:p w:rsidR="008A3916" w:rsidRPr="004C286E" w:rsidRDefault="00237050" w:rsidP="00DE782E">
            <w:pPr>
              <w:spacing w:before="60" w:after="60"/>
              <w:jc w:val="right"/>
              <w:rPr>
                <w:rFonts w:ascii="Arial" w:hAnsi="Arial" w:cs="Arial"/>
                <w:sz w:val="22"/>
                <w:szCs w:val="22"/>
                <w:lang w:val="en-GB"/>
              </w:rPr>
            </w:pPr>
            <w:r w:rsidRPr="004C286E">
              <w:rPr>
                <w:rFonts w:ascii="Arial" w:hAnsi="Arial" w:cs="Arial"/>
                <w:sz w:val="22"/>
                <w:szCs w:val="22"/>
                <w:lang w:val="en-GB"/>
              </w:rPr>
              <w:t>4</w:t>
            </w:r>
            <w:r w:rsidR="008A3916" w:rsidRPr="004C286E">
              <w:rPr>
                <w:rFonts w:ascii="Arial" w:hAnsi="Arial" w:cs="Arial"/>
                <w:sz w:val="22"/>
                <w:szCs w:val="22"/>
                <w:lang w:val="en-GB"/>
              </w:rPr>
              <w:t>.2</w:t>
            </w:r>
          </w:p>
        </w:tc>
        <w:tc>
          <w:tcPr>
            <w:tcW w:w="1548" w:type="pct"/>
            <w:gridSpan w:val="2"/>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Leaflets on capacity building and sustainable development published</w:t>
            </w:r>
          </w:p>
        </w:tc>
        <w:tc>
          <w:tcPr>
            <w:tcW w:w="1545"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Two publications: leaflets on capacity building and on ICH for sustainable development</w:t>
            </w:r>
          </w:p>
        </w:tc>
        <w:tc>
          <w:tcPr>
            <w:tcW w:w="1544" w:type="pct"/>
            <w:vAlign w:val="center"/>
          </w:tcPr>
          <w:p w:rsidR="008A3916" w:rsidRPr="004C286E" w:rsidRDefault="008A3916" w:rsidP="00DE782E">
            <w:pPr>
              <w:spacing w:before="60" w:after="60"/>
              <w:rPr>
                <w:rFonts w:ascii="Arial" w:hAnsi="Arial" w:cs="Arial"/>
                <w:sz w:val="22"/>
                <w:szCs w:val="22"/>
                <w:lang w:val="en-GB"/>
              </w:rPr>
            </w:pPr>
          </w:p>
        </w:tc>
      </w:tr>
      <w:tr w:rsidR="008A3916" w:rsidRPr="004C286E" w:rsidTr="004C286E">
        <w:trPr>
          <w:cantSplit/>
        </w:trPr>
        <w:tc>
          <w:tcPr>
            <w:tcW w:w="363" w:type="pct"/>
            <w:vAlign w:val="center"/>
          </w:tcPr>
          <w:p w:rsidR="008A3916" w:rsidRPr="004C286E" w:rsidRDefault="00237050" w:rsidP="00DE782E">
            <w:pPr>
              <w:spacing w:before="60" w:after="60"/>
              <w:jc w:val="right"/>
              <w:rPr>
                <w:rFonts w:ascii="Arial" w:hAnsi="Arial" w:cs="Arial"/>
                <w:sz w:val="22"/>
                <w:szCs w:val="22"/>
                <w:lang w:val="en-GB"/>
              </w:rPr>
            </w:pPr>
            <w:r w:rsidRPr="004C286E">
              <w:rPr>
                <w:rFonts w:ascii="Arial" w:hAnsi="Arial" w:cs="Arial"/>
                <w:sz w:val="22"/>
                <w:szCs w:val="22"/>
                <w:lang w:val="en-GB"/>
              </w:rPr>
              <w:t>4</w:t>
            </w:r>
            <w:r w:rsidR="008A3916" w:rsidRPr="004C286E">
              <w:rPr>
                <w:rFonts w:ascii="Arial" w:hAnsi="Arial" w:cs="Arial"/>
                <w:sz w:val="22"/>
                <w:szCs w:val="22"/>
                <w:lang w:val="en-GB"/>
              </w:rPr>
              <w:t>.3</w:t>
            </w:r>
          </w:p>
        </w:tc>
        <w:tc>
          <w:tcPr>
            <w:tcW w:w="1548" w:type="pct"/>
            <w:gridSpan w:val="2"/>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Urgent Safeguarding List and Register of Best Safeguarding Practices published</w:t>
            </w:r>
          </w:p>
        </w:tc>
        <w:tc>
          <w:tcPr>
            <w:tcW w:w="1545"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Publication of the 2012-2013 USL and Register</w:t>
            </w:r>
          </w:p>
        </w:tc>
        <w:tc>
          <w:tcPr>
            <w:tcW w:w="1544" w:type="pct"/>
            <w:vAlign w:val="center"/>
          </w:tcPr>
          <w:p w:rsidR="008A3916" w:rsidRPr="004C286E" w:rsidRDefault="008A3916" w:rsidP="00DE782E">
            <w:pPr>
              <w:spacing w:before="60" w:after="60"/>
              <w:rPr>
                <w:rFonts w:ascii="Arial" w:hAnsi="Arial" w:cs="Arial"/>
                <w:sz w:val="22"/>
                <w:szCs w:val="22"/>
                <w:lang w:val="en-GB"/>
              </w:rPr>
            </w:pPr>
            <w:r w:rsidRPr="004C286E">
              <w:rPr>
                <w:rFonts w:ascii="Arial" w:hAnsi="Arial" w:cs="Arial"/>
                <w:sz w:val="22"/>
                <w:szCs w:val="22"/>
                <w:lang w:val="en-GB"/>
              </w:rPr>
              <w:t>Publication of the 2014-2015 USL and Register</w:t>
            </w:r>
          </w:p>
        </w:tc>
      </w:tr>
      <w:tr w:rsidR="006E0CEA" w:rsidRPr="004C286E" w:rsidTr="004C286E">
        <w:trPr>
          <w:cantSplit/>
        </w:trPr>
        <w:tc>
          <w:tcPr>
            <w:tcW w:w="363" w:type="pct"/>
            <w:vAlign w:val="center"/>
          </w:tcPr>
          <w:p w:rsidR="006E0CEA" w:rsidRPr="004C286E" w:rsidRDefault="00237050" w:rsidP="00DE782E">
            <w:pPr>
              <w:spacing w:before="60" w:after="60"/>
              <w:jc w:val="right"/>
              <w:rPr>
                <w:rFonts w:ascii="Arial" w:hAnsi="Arial" w:cs="Arial"/>
                <w:sz w:val="22"/>
                <w:szCs w:val="22"/>
                <w:lang w:val="en-GB"/>
              </w:rPr>
            </w:pPr>
            <w:r w:rsidRPr="004C286E">
              <w:rPr>
                <w:rFonts w:ascii="Arial" w:hAnsi="Arial" w:cs="Arial"/>
                <w:sz w:val="22"/>
                <w:szCs w:val="22"/>
                <w:lang w:val="en-GB"/>
              </w:rPr>
              <w:lastRenderedPageBreak/>
              <w:t>4</w:t>
            </w:r>
            <w:r w:rsidR="006E0CEA" w:rsidRPr="004C286E">
              <w:rPr>
                <w:rFonts w:ascii="Arial" w:hAnsi="Arial" w:cs="Arial"/>
                <w:sz w:val="22"/>
                <w:szCs w:val="22"/>
                <w:lang w:val="en-GB"/>
              </w:rPr>
              <w:t>.4</w:t>
            </w:r>
          </w:p>
        </w:tc>
        <w:tc>
          <w:tcPr>
            <w:tcW w:w="1548" w:type="pct"/>
            <w:gridSpan w:val="2"/>
            <w:vAlign w:val="center"/>
          </w:tcPr>
          <w:p w:rsidR="006E0CEA" w:rsidRPr="004C286E" w:rsidRDefault="006E0CEA" w:rsidP="00DE782E">
            <w:pPr>
              <w:spacing w:before="60" w:after="60"/>
              <w:rPr>
                <w:rFonts w:ascii="Arial" w:hAnsi="Arial" w:cs="Arial"/>
                <w:sz w:val="22"/>
                <w:szCs w:val="22"/>
                <w:lang w:val="en-GB"/>
              </w:rPr>
            </w:pPr>
            <w:r w:rsidRPr="004C286E">
              <w:rPr>
                <w:rFonts w:ascii="Arial" w:hAnsi="Arial" w:cs="Arial"/>
                <w:color w:val="000000"/>
                <w:sz w:val="22"/>
                <w:szCs w:val="22"/>
                <w:lang w:val="en-GB"/>
              </w:rPr>
              <w:t>Information on Convention enhanced with additional multilingual web content</w:t>
            </w:r>
          </w:p>
        </w:tc>
        <w:tc>
          <w:tcPr>
            <w:tcW w:w="1545" w:type="pct"/>
            <w:vAlign w:val="center"/>
          </w:tcPr>
          <w:p w:rsidR="006E0CEA" w:rsidRPr="004C286E" w:rsidRDefault="006E0CEA"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Number of new webpages published in English, French, Spanish (B=300)</w:t>
            </w:r>
          </w:p>
        </w:tc>
        <w:tc>
          <w:tcPr>
            <w:tcW w:w="1544" w:type="pct"/>
            <w:vAlign w:val="center"/>
          </w:tcPr>
          <w:p w:rsidR="006E0CEA" w:rsidRPr="004C286E" w:rsidRDefault="006E0CEA" w:rsidP="00DE782E">
            <w:pPr>
              <w:spacing w:before="60" w:after="60"/>
              <w:rPr>
                <w:rFonts w:ascii="Arial" w:hAnsi="Arial" w:cs="Arial"/>
                <w:color w:val="000000"/>
                <w:sz w:val="22"/>
                <w:szCs w:val="22"/>
                <w:lang w:val="en-GB"/>
              </w:rPr>
            </w:pPr>
            <w:r w:rsidRPr="004C286E">
              <w:rPr>
                <w:rFonts w:ascii="Arial" w:hAnsi="Arial" w:cs="Arial"/>
                <w:color w:val="000000"/>
                <w:sz w:val="22"/>
                <w:szCs w:val="22"/>
                <w:lang w:val="en-GB"/>
              </w:rPr>
              <w:t>Number of new webpages published in English, French, Spanish (B=75)</w:t>
            </w:r>
          </w:p>
        </w:tc>
      </w:tr>
    </w:tbl>
    <w:p w:rsidR="00183962" w:rsidRPr="009739DF" w:rsidRDefault="00183962" w:rsidP="00DE782E">
      <w:pPr>
        <w:pStyle w:val="Paragraph"/>
        <w:numPr>
          <w:ilvl w:val="0"/>
          <w:numId w:val="0"/>
        </w:numPr>
        <w:spacing w:before="0" w:line="20" w:lineRule="exact"/>
        <w:ind w:left="567" w:hanging="567"/>
      </w:pPr>
    </w:p>
    <w:sectPr w:rsidR="00183962" w:rsidRPr="009739DF" w:rsidSect="00372ABB">
      <w:headerReference w:type="even" r:id="rId9"/>
      <w:headerReference w:type="default" r:id="rId10"/>
      <w:headerReference w:type="first" r:id="rId11"/>
      <w:pgSz w:w="11906" w:h="16838" w:code="9"/>
      <w:pgMar w:top="1418" w:right="1134" w:bottom="1134" w:left="1134" w:header="34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E5" w:rsidRDefault="007435E5" w:rsidP="00655736">
      <w:r>
        <w:separator/>
      </w:r>
    </w:p>
  </w:endnote>
  <w:endnote w:type="continuationSeparator" w:id="0">
    <w:p w:rsidR="007435E5" w:rsidRDefault="007435E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E5" w:rsidRDefault="007435E5" w:rsidP="00655736">
      <w:r>
        <w:separator/>
      </w:r>
    </w:p>
  </w:footnote>
  <w:footnote w:type="continuationSeparator" w:id="0">
    <w:p w:rsidR="007435E5" w:rsidRDefault="007435E5" w:rsidP="00655736">
      <w:r>
        <w:continuationSeparator/>
      </w:r>
    </w:p>
  </w:footnote>
  <w:footnote w:id="1">
    <w:p w:rsidR="00046503" w:rsidRPr="00F01235" w:rsidRDefault="00287D39" w:rsidP="00287D39">
      <w:pPr>
        <w:pStyle w:val="FootnoteText"/>
        <w:tabs>
          <w:tab w:val="left" w:pos="284"/>
        </w:tabs>
        <w:ind w:left="284" w:hanging="284"/>
        <w:rPr>
          <w:lang w:val="en-US"/>
        </w:rPr>
      </w:pPr>
      <w:r w:rsidRPr="00287D39">
        <w:rPr>
          <w:rStyle w:val="FootnoteReference"/>
          <w:vertAlign w:val="baseline"/>
        </w:rPr>
        <w:footnoteRef/>
      </w:r>
      <w:r>
        <w:t>.</w:t>
      </w:r>
      <w:r>
        <w:tab/>
      </w:r>
      <w:r w:rsidR="00046503">
        <w:t xml:space="preserve">Document </w:t>
      </w:r>
      <w:r w:rsidR="00046503" w:rsidRPr="006A57BE">
        <w:t>ITH/14/5.GA/4.3</w:t>
      </w:r>
      <w:r w:rsidR="00046503">
        <w:t xml:space="preserve"> provides a synthetic narrative report on the activities of the Secretariat during the 2012-2013 </w:t>
      </w:r>
      <w:proofErr w:type="gramStart"/>
      <w:r w:rsidR="00046503">
        <w:t>biennium</w:t>
      </w:r>
      <w:proofErr w:type="gramEnd"/>
      <w:r w:rsidR="00046503">
        <w:t xml:space="preserve">. Document </w:t>
      </w:r>
      <w:r w:rsidR="00046503">
        <w:rPr>
          <w:rStyle w:val="atenuated"/>
          <w:lang w:val="en"/>
        </w:rPr>
        <w:t xml:space="preserve">ITH/13/8.COM 2.BUR/1 provides a detailed report on the use of the funds for the period 1 January 2012 through 30 June 2012, while Document </w:t>
      </w:r>
      <w:r w:rsidR="00046503" w:rsidRPr="00F01235">
        <w:rPr>
          <w:rStyle w:val="atenuated"/>
          <w:lang w:val="en"/>
        </w:rPr>
        <w:t>ITH/13/8.COM 4.BUR/1</w:t>
      </w:r>
      <w:r w:rsidR="00046503">
        <w:rPr>
          <w:rStyle w:val="atenuated"/>
          <w:lang w:val="en"/>
        </w:rPr>
        <w:t xml:space="preserve"> provides a report on </w:t>
      </w:r>
      <w:r w:rsidR="00046503" w:rsidRPr="00F01235">
        <w:rPr>
          <w:rStyle w:val="atenuated"/>
          <w:lang w:val="en"/>
        </w:rPr>
        <w:t>adjustments to the spending plan 1 January 2012 to 31 December 2013</w:t>
      </w:r>
      <w:r w:rsidR="00046503">
        <w:rPr>
          <w:rStyle w:val="atenuated"/>
          <w:lang w:val="en"/>
        </w:rPr>
        <w:t>.</w:t>
      </w:r>
    </w:p>
  </w:footnote>
  <w:footnote w:id="2">
    <w:p w:rsidR="00622601" w:rsidRPr="00622601" w:rsidRDefault="00622601">
      <w:pPr>
        <w:pStyle w:val="FootnoteText"/>
        <w:rPr>
          <w:lang w:val="en-US"/>
        </w:rPr>
      </w:pPr>
      <w:r w:rsidRPr="00622601">
        <w:rPr>
          <w:rStyle w:val="FootnoteReference"/>
          <w:lang w:val="en-US"/>
        </w:rPr>
        <w:footnoteRef/>
      </w:r>
      <w:r w:rsidRPr="00622601">
        <w:rPr>
          <w:lang w:val="en-US"/>
        </w:rPr>
        <w:t xml:space="preserve"> These </w:t>
      </w:r>
      <w:r>
        <w:rPr>
          <w:lang w:val="en-US"/>
        </w:rPr>
        <w:t xml:space="preserve">percentages are based on assessments of the Intangible Cultural Heritage Section and have not been validated by the Bureau of Financial Management.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03" w:rsidRPr="004D71E7" w:rsidRDefault="00046503" w:rsidP="002676F5">
    <w:pPr>
      <w:pStyle w:val="Header"/>
      <w:rPr>
        <w:rFonts w:ascii="Arial" w:hAnsi="Arial" w:cs="Arial"/>
        <w:lang w:val="en-US"/>
      </w:rPr>
    </w:pPr>
    <w:r>
      <w:rPr>
        <w:rFonts w:ascii="Arial" w:hAnsi="Arial" w:cs="Arial"/>
        <w:sz w:val="20"/>
        <w:szCs w:val="20"/>
        <w:lang w:val="en-US"/>
      </w:rPr>
      <w:t xml:space="preserve">ITH/14/9.COM 2.BUR/1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980F31">
      <w:rPr>
        <w:rStyle w:val="PageNumber"/>
        <w:rFonts w:ascii="Arial" w:hAnsi="Arial" w:cs="Arial"/>
        <w:noProof/>
        <w:sz w:val="20"/>
        <w:szCs w:val="20"/>
        <w:lang w:val="en-US"/>
      </w:rPr>
      <w:t>12</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03" w:rsidRPr="000A07E0" w:rsidRDefault="00046503" w:rsidP="000A07E0">
    <w:pPr>
      <w:pStyle w:val="Header"/>
      <w:jc w:val="right"/>
      <w:rPr>
        <w:rFonts w:ascii="Arial" w:hAnsi="Arial" w:cs="Arial"/>
        <w:lang w:val="en-US"/>
      </w:rPr>
    </w:pPr>
    <w:r>
      <w:rPr>
        <w:rFonts w:ascii="Arial" w:hAnsi="Arial" w:cs="Arial"/>
        <w:sz w:val="20"/>
        <w:szCs w:val="20"/>
        <w:lang w:val="en-US"/>
      </w:rPr>
      <w:t xml:space="preserve">ITH/14/9.COM 2.BUR/1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980F31">
      <w:rPr>
        <w:rStyle w:val="PageNumber"/>
        <w:rFonts w:ascii="Arial" w:hAnsi="Arial" w:cs="Arial"/>
        <w:noProof/>
        <w:sz w:val="20"/>
        <w:szCs w:val="20"/>
        <w:lang w:val="en-US"/>
      </w:rPr>
      <w:t>11</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03" w:rsidRPr="009739DF" w:rsidRDefault="00046503">
    <w:pPr>
      <w:pStyle w:val="Header"/>
      <w:rPr>
        <w:rFonts w:ascii="Arial" w:hAnsi="Arial" w:cs="Arial"/>
      </w:rPr>
    </w:pPr>
    <w:r w:rsidRPr="009739DF">
      <w:rPr>
        <w:rFonts w:ascii="Arial" w:hAnsi="Arial" w:cs="Arial"/>
        <w:noProof/>
      </w:rPr>
      <w:drawing>
        <wp:anchor distT="0" distB="0" distL="114300" distR="114300" simplePos="0" relativeHeight="251657728" behindDoc="0" locked="0" layoutInCell="1" allowOverlap="1" wp14:anchorId="6A934047" wp14:editId="2E15D310">
          <wp:simplePos x="0" y="0"/>
          <wp:positionH relativeFrom="column">
            <wp:posOffset>-567690</wp:posOffset>
          </wp:positionH>
          <wp:positionV relativeFrom="paragraph">
            <wp:posOffset>3810</wp:posOffset>
          </wp:positionV>
          <wp:extent cx="2228215" cy="1367790"/>
          <wp:effectExtent l="0" t="0" r="635" b="381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503" w:rsidRPr="009739DF" w:rsidRDefault="00046503" w:rsidP="002676F5">
    <w:pPr>
      <w:pStyle w:val="Header"/>
      <w:spacing w:after="520"/>
      <w:jc w:val="right"/>
      <w:rPr>
        <w:rFonts w:ascii="Arial" w:hAnsi="Arial" w:cs="Arial"/>
        <w:b/>
        <w:sz w:val="44"/>
        <w:szCs w:val="44"/>
        <w:lang w:val="en-US"/>
      </w:rPr>
    </w:pPr>
    <w:r w:rsidRPr="009739DF">
      <w:rPr>
        <w:rFonts w:ascii="Arial" w:hAnsi="Arial" w:cs="Arial"/>
        <w:b/>
        <w:sz w:val="44"/>
        <w:szCs w:val="44"/>
        <w:lang w:val="en-US"/>
      </w:rPr>
      <w:t>9 COM 2 BUR</w:t>
    </w:r>
  </w:p>
  <w:p w:rsidR="00046503" w:rsidRPr="009739DF" w:rsidRDefault="00046503" w:rsidP="002676F5">
    <w:pPr>
      <w:jc w:val="right"/>
      <w:rPr>
        <w:rFonts w:ascii="Arial" w:hAnsi="Arial" w:cs="Arial"/>
        <w:b/>
        <w:sz w:val="22"/>
        <w:szCs w:val="22"/>
        <w:lang w:val="en-US"/>
      </w:rPr>
    </w:pPr>
    <w:r w:rsidRPr="009739DF">
      <w:rPr>
        <w:rFonts w:ascii="Arial" w:hAnsi="Arial" w:cs="Arial"/>
        <w:b/>
        <w:sz w:val="22"/>
        <w:szCs w:val="22"/>
        <w:lang w:val="en-US"/>
      </w:rPr>
      <w:t>ITH/14/9.COM 2.BUR/1</w:t>
    </w:r>
  </w:p>
  <w:p w:rsidR="00046503" w:rsidRPr="009739DF" w:rsidRDefault="00046503" w:rsidP="002676F5">
    <w:pPr>
      <w:jc w:val="right"/>
      <w:rPr>
        <w:rFonts w:ascii="Arial" w:hAnsi="Arial" w:cs="Arial"/>
        <w:b/>
        <w:sz w:val="22"/>
        <w:szCs w:val="22"/>
        <w:lang w:val="en-US"/>
      </w:rPr>
    </w:pPr>
    <w:r w:rsidRPr="009739DF">
      <w:rPr>
        <w:rFonts w:ascii="Arial" w:hAnsi="Arial" w:cs="Arial"/>
        <w:b/>
        <w:sz w:val="22"/>
        <w:szCs w:val="22"/>
        <w:lang w:val="en-US"/>
      </w:rPr>
      <w:t xml:space="preserve">Paris, </w:t>
    </w:r>
    <w:r w:rsidR="00980F31">
      <w:rPr>
        <w:rFonts w:ascii="Arial" w:hAnsi="Arial" w:cs="Arial"/>
        <w:b/>
        <w:sz w:val="22"/>
        <w:szCs w:val="22"/>
        <w:lang w:val="en-US"/>
      </w:rPr>
      <w:t>3</w:t>
    </w:r>
    <w:r w:rsidRPr="009739DF">
      <w:rPr>
        <w:rFonts w:ascii="Arial" w:hAnsi="Arial" w:cs="Arial"/>
        <w:b/>
        <w:sz w:val="22"/>
        <w:szCs w:val="22"/>
        <w:lang w:val="en-US"/>
      </w:rPr>
      <w:t xml:space="preserve"> June 2014</w:t>
    </w:r>
  </w:p>
  <w:p w:rsidR="009739DF" w:rsidRPr="00F16BD9" w:rsidRDefault="00046503" w:rsidP="00F16BD9">
    <w:pPr>
      <w:jc w:val="right"/>
      <w:rPr>
        <w:rFonts w:ascii="Arial" w:hAnsi="Arial" w:cs="Arial"/>
        <w:b/>
        <w:noProof/>
        <w:sz w:val="22"/>
        <w:szCs w:val="22"/>
        <w:lang w:val="en-US"/>
      </w:rPr>
    </w:pPr>
    <w:r w:rsidRPr="009739DF">
      <w:rPr>
        <w:rFonts w:ascii="Arial" w:hAnsi="Arial" w:cs="Arial"/>
        <w:b/>
        <w:sz w:val="22"/>
        <w:szCs w:val="22"/>
        <w:lang w:val="en-US"/>
      </w:rPr>
      <w:t>Original: 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06551983"/>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0E674123"/>
    <w:multiLevelType w:val="hybridMultilevel"/>
    <w:tmpl w:val="552A94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nsid w:val="194E0DB9"/>
    <w:multiLevelType w:val="hybridMultilevel"/>
    <w:tmpl w:val="9ADA43D0"/>
    <w:lvl w:ilvl="0" w:tplc="6EDC5580">
      <w:start w:val="1"/>
      <w:numFmt w:val="upperLetter"/>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5">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nsid w:val="485F376B"/>
    <w:multiLevelType w:val="hybridMultilevel"/>
    <w:tmpl w:val="986A85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A84AA9"/>
    <w:multiLevelType w:val="hybridMultilevel"/>
    <w:tmpl w:val="2138E1A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nsid w:val="66D826C3"/>
    <w:multiLevelType w:val="hybridMultilevel"/>
    <w:tmpl w:val="68B8CC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D97552"/>
    <w:multiLevelType w:val="hybridMultilevel"/>
    <w:tmpl w:val="63D8D84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nsid w:val="74C74C90"/>
    <w:multiLevelType w:val="hybridMultilevel"/>
    <w:tmpl w:val="84448370"/>
    <w:lvl w:ilvl="0" w:tplc="0409000F">
      <w:start w:val="1"/>
      <w:numFmt w:val="decimal"/>
      <w:lvlText w:val="%1."/>
      <w:lvlJc w:val="left"/>
      <w:pPr>
        <w:ind w:left="1779" w:hanging="360"/>
      </w:pPr>
      <w:rPr>
        <w:rFonts w:hint="default"/>
      </w:rPr>
    </w:lvl>
    <w:lvl w:ilvl="1" w:tplc="040C0019" w:tentative="1">
      <w:start w:val="1"/>
      <w:numFmt w:val="lowerLetter"/>
      <w:lvlText w:val="%2."/>
      <w:lvlJc w:val="left"/>
      <w:pPr>
        <w:ind w:left="2859" w:hanging="360"/>
      </w:pPr>
    </w:lvl>
    <w:lvl w:ilvl="2" w:tplc="040C001B" w:tentative="1">
      <w:start w:val="1"/>
      <w:numFmt w:val="lowerRoman"/>
      <w:lvlText w:val="%3."/>
      <w:lvlJc w:val="right"/>
      <w:pPr>
        <w:ind w:left="3579" w:hanging="180"/>
      </w:pPr>
    </w:lvl>
    <w:lvl w:ilvl="3" w:tplc="040C000F" w:tentative="1">
      <w:start w:val="1"/>
      <w:numFmt w:val="decimal"/>
      <w:lvlText w:val="%4."/>
      <w:lvlJc w:val="left"/>
      <w:pPr>
        <w:ind w:left="4299" w:hanging="360"/>
      </w:pPr>
    </w:lvl>
    <w:lvl w:ilvl="4" w:tplc="040C0019" w:tentative="1">
      <w:start w:val="1"/>
      <w:numFmt w:val="lowerLetter"/>
      <w:lvlText w:val="%5."/>
      <w:lvlJc w:val="left"/>
      <w:pPr>
        <w:ind w:left="5019" w:hanging="360"/>
      </w:pPr>
    </w:lvl>
    <w:lvl w:ilvl="5" w:tplc="040C001B" w:tentative="1">
      <w:start w:val="1"/>
      <w:numFmt w:val="lowerRoman"/>
      <w:lvlText w:val="%6."/>
      <w:lvlJc w:val="right"/>
      <w:pPr>
        <w:ind w:left="5739" w:hanging="180"/>
      </w:pPr>
    </w:lvl>
    <w:lvl w:ilvl="6" w:tplc="040C000F" w:tentative="1">
      <w:start w:val="1"/>
      <w:numFmt w:val="decimal"/>
      <w:lvlText w:val="%7."/>
      <w:lvlJc w:val="left"/>
      <w:pPr>
        <w:ind w:left="6459" w:hanging="360"/>
      </w:pPr>
    </w:lvl>
    <w:lvl w:ilvl="7" w:tplc="040C0019" w:tentative="1">
      <w:start w:val="1"/>
      <w:numFmt w:val="lowerLetter"/>
      <w:lvlText w:val="%8."/>
      <w:lvlJc w:val="left"/>
      <w:pPr>
        <w:ind w:left="7179" w:hanging="360"/>
      </w:pPr>
    </w:lvl>
    <w:lvl w:ilvl="8" w:tplc="040C001B" w:tentative="1">
      <w:start w:val="1"/>
      <w:numFmt w:val="lowerRoman"/>
      <w:lvlText w:val="%9."/>
      <w:lvlJc w:val="right"/>
      <w:pPr>
        <w:ind w:left="7899" w:hanging="180"/>
      </w:pPr>
    </w:lvl>
  </w:abstractNum>
  <w:abstractNum w:abstractNumId="18">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18"/>
  </w:num>
  <w:num w:numId="5">
    <w:abstractNumId w:val="15"/>
  </w:num>
  <w:num w:numId="6">
    <w:abstractNumId w:val="3"/>
  </w:num>
  <w:num w:numId="7">
    <w:abstractNumId w:val="6"/>
  </w:num>
  <w:num w:numId="8">
    <w:abstractNumId w:val="10"/>
  </w:num>
  <w:num w:numId="9">
    <w:abstractNumId w:val="7"/>
  </w:num>
  <w:num w:numId="10">
    <w:abstractNumId w:val="9"/>
  </w:num>
  <w:num w:numId="11">
    <w:abstractNumId w:val="1"/>
  </w:num>
  <w:num w:numId="12">
    <w:abstractNumId w:val="12"/>
  </w:num>
  <w:num w:numId="13">
    <w:abstractNumId w:val="16"/>
  </w:num>
  <w:num w:numId="14">
    <w:abstractNumId w:val="17"/>
  </w:num>
  <w:num w:numId="15">
    <w:abstractNumId w:val="0"/>
  </w:num>
  <w:num w:numId="16">
    <w:abstractNumId w:val="2"/>
  </w:num>
  <w:num w:numId="17">
    <w:abstractNumId w:val="13"/>
  </w:num>
  <w:num w:numId="18">
    <w:abstractNumId w:val="13"/>
    <w:lvlOverride w:ilvl="0">
      <w:startOverride w:val="1"/>
    </w:lvlOverride>
  </w:num>
  <w:num w:numId="19">
    <w:abstractNumId w:val="11"/>
  </w:num>
  <w:num w:numId="20">
    <w:abstractNumId w:val="4"/>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T/CEH/ITH-C.Duvelle">
    <w15:presenceInfo w15:providerId="None" w15:userId="CLT/CEH/ITH-C.Duvelle"/>
  </w15:person>
  <w15:person w15:author="CLT/CEH/ITH-F.Proschan">
    <w15:presenceInfo w15:providerId="None" w15:userId="CLT/CEH/ITH-F.Proschan"/>
  </w15:person>
  <w15:person w15:author="CLT/CEH/ITH - H. Sicard">
    <w15:presenceInfo w15:providerId="None" w15:userId="CLT/CEH/ITH - H. Sic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09"/>
  <w:hyphenationZone w:val="425"/>
  <w:evenAndOddHeaders/>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E5"/>
    <w:rsid w:val="0002431E"/>
    <w:rsid w:val="00046170"/>
    <w:rsid w:val="00046503"/>
    <w:rsid w:val="0005176E"/>
    <w:rsid w:val="000676EB"/>
    <w:rsid w:val="000743EF"/>
    <w:rsid w:val="00077AB7"/>
    <w:rsid w:val="00080D62"/>
    <w:rsid w:val="00081CD8"/>
    <w:rsid w:val="00086C19"/>
    <w:rsid w:val="000A0437"/>
    <w:rsid w:val="000A07E0"/>
    <w:rsid w:val="000A084D"/>
    <w:rsid w:val="000A5F77"/>
    <w:rsid w:val="000A6BCD"/>
    <w:rsid w:val="000A78FF"/>
    <w:rsid w:val="000A7F0E"/>
    <w:rsid w:val="000C411B"/>
    <w:rsid w:val="000D5913"/>
    <w:rsid w:val="000E1D17"/>
    <w:rsid w:val="000F0206"/>
    <w:rsid w:val="000F1113"/>
    <w:rsid w:val="000F3A3F"/>
    <w:rsid w:val="000F6F81"/>
    <w:rsid w:val="00111D54"/>
    <w:rsid w:val="00115B6A"/>
    <w:rsid w:val="00131607"/>
    <w:rsid w:val="001329D6"/>
    <w:rsid w:val="001503B7"/>
    <w:rsid w:val="00157129"/>
    <w:rsid w:val="00161878"/>
    <w:rsid w:val="00164D56"/>
    <w:rsid w:val="00167B10"/>
    <w:rsid w:val="00170BCE"/>
    <w:rsid w:val="00174B94"/>
    <w:rsid w:val="00182F12"/>
    <w:rsid w:val="00183962"/>
    <w:rsid w:val="00196C1B"/>
    <w:rsid w:val="001A54B4"/>
    <w:rsid w:val="001B0F73"/>
    <w:rsid w:val="001B41F2"/>
    <w:rsid w:val="001B4FFA"/>
    <w:rsid w:val="001B60A0"/>
    <w:rsid w:val="001C0987"/>
    <w:rsid w:val="001D2E2F"/>
    <w:rsid w:val="001D4793"/>
    <w:rsid w:val="001D7029"/>
    <w:rsid w:val="001E5879"/>
    <w:rsid w:val="001E5C0B"/>
    <w:rsid w:val="001F74D6"/>
    <w:rsid w:val="002020C9"/>
    <w:rsid w:val="00222A2D"/>
    <w:rsid w:val="00237050"/>
    <w:rsid w:val="002407AF"/>
    <w:rsid w:val="0025238C"/>
    <w:rsid w:val="0025303E"/>
    <w:rsid w:val="0026117A"/>
    <w:rsid w:val="002612B6"/>
    <w:rsid w:val="00262225"/>
    <w:rsid w:val="002676F5"/>
    <w:rsid w:val="00287D39"/>
    <w:rsid w:val="002C417A"/>
    <w:rsid w:val="002C6B69"/>
    <w:rsid w:val="002C7113"/>
    <w:rsid w:val="002D61C8"/>
    <w:rsid w:val="002E605D"/>
    <w:rsid w:val="003168C6"/>
    <w:rsid w:val="00317549"/>
    <w:rsid w:val="0032379E"/>
    <w:rsid w:val="003320F7"/>
    <w:rsid w:val="00332374"/>
    <w:rsid w:val="00342B5F"/>
    <w:rsid w:val="003434A7"/>
    <w:rsid w:val="00343A2C"/>
    <w:rsid w:val="003440A2"/>
    <w:rsid w:val="003443AD"/>
    <w:rsid w:val="00364090"/>
    <w:rsid w:val="00372ABB"/>
    <w:rsid w:val="00372D2E"/>
    <w:rsid w:val="00382526"/>
    <w:rsid w:val="00382E94"/>
    <w:rsid w:val="00385509"/>
    <w:rsid w:val="003A4569"/>
    <w:rsid w:val="003B7DF4"/>
    <w:rsid w:val="003C0849"/>
    <w:rsid w:val="003C31F5"/>
    <w:rsid w:val="003D069C"/>
    <w:rsid w:val="003D6272"/>
    <w:rsid w:val="003D63F7"/>
    <w:rsid w:val="003F0E35"/>
    <w:rsid w:val="003F113A"/>
    <w:rsid w:val="003F4DAD"/>
    <w:rsid w:val="004132E7"/>
    <w:rsid w:val="0041570B"/>
    <w:rsid w:val="00426824"/>
    <w:rsid w:val="00433026"/>
    <w:rsid w:val="004421E5"/>
    <w:rsid w:val="00451551"/>
    <w:rsid w:val="00452284"/>
    <w:rsid w:val="004529A1"/>
    <w:rsid w:val="00456B33"/>
    <w:rsid w:val="00475FB2"/>
    <w:rsid w:val="004918C5"/>
    <w:rsid w:val="004961E6"/>
    <w:rsid w:val="0049705E"/>
    <w:rsid w:val="004A0CFB"/>
    <w:rsid w:val="004A44A6"/>
    <w:rsid w:val="004B2CEA"/>
    <w:rsid w:val="004B5382"/>
    <w:rsid w:val="004B756D"/>
    <w:rsid w:val="004C09CB"/>
    <w:rsid w:val="004C286E"/>
    <w:rsid w:val="004D214C"/>
    <w:rsid w:val="004D4707"/>
    <w:rsid w:val="004F2D9F"/>
    <w:rsid w:val="00503A05"/>
    <w:rsid w:val="00504404"/>
    <w:rsid w:val="00504C0C"/>
    <w:rsid w:val="00513013"/>
    <w:rsid w:val="00525A51"/>
    <w:rsid w:val="00526B7B"/>
    <w:rsid w:val="005308CE"/>
    <w:rsid w:val="00532625"/>
    <w:rsid w:val="00536FBB"/>
    <w:rsid w:val="005423AA"/>
    <w:rsid w:val="00560AD6"/>
    <w:rsid w:val="00572F9B"/>
    <w:rsid w:val="0057468C"/>
    <w:rsid w:val="005965C2"/>
    <w:rsid w:val="005A2C3D"/>
    <w:rsid w:val="005B0127"/>
    <w:rsid w:val="005B1DCD"/>
    <w:rsid w:val="005C4B73"/>
    <w:rsid w:val="005F69E3"/>
    <w:rsid w:val="00600D93"/>
    <w:rsid w:val="0060251F"/>
    <w:rsid w:val="006069C3"/>
    <w:rsid w:val="00607B04"/>
    <w:rsid w:val="00622601"/>
    <w:rsid w:val="0062709D"/>
    <w:rsid w:val="00627670"/>
    <w:rsid w:val="00653B55"/>
    <w:rsid w:val="00655736"/>
    <w:rsid w:val="00655F75"/>
    <w:rsid w:val="00661A2C"/>
    <w:rsid w:val="00663B8D"/>
    <w:rsid w:val="00680618"/>
    <w:rsid w:val="00681C98"/>
    <w:rsid w:val="006837B1"/>
    <w:rsid w:val="00696C8D"/>
    <w:rsid w:val="006A2AC2"/>
    <w:rsid w:val="006A3617"/>
    <w:rsid w:val="006A57BE"/>
    <w:rsid w:val="006C63D2"/>
    <w:rsid w:val="006C6728"/>
    <w:rsid w:val="006C76AF"/>
    <w:rsid w:val="006D14DD"/>
    <w:rsid w:val="006D3728"/>
    <w:rsid w:val="006E0CEA"/>
    <w:rsid w:val="006E46E4"/>
    <w:rsid w:val="006E6204"/>
    <w:rsid w:val="006E7EAB"/>
    <w:rsid w:val="006F11F2"/>
    <w:rsid w:val="006F6E49"/>
    <w:rsid w:val="006F6E56"/>
    <w:rsid w:val="00731A76"/>
    <w:rsid w:val="00733256"/>
    <w:rsid w:val="007435E5"/>
    <w:rsid w:val="00744748"/>
    <w:rsid w:val="0075794A"/>
    <w:rsid w:val="00762E44"/>
    <w:rsid w:val="00774738"/>
    <w:rsid w:val="007772A1"/>
    <w:rsid w:val="00781169"/>
    <w:rsid w:val="00784B8C"/>
    <w:rsid w:val="00786DED"/>
    <w:rsid w:val="0079557F"/>
    <w:rsid w:val="0079732A"/>
    <w:rsid w:val="007A66E8"/>
    <w:rsid w:val="007B184D"/>
    <w:rsid w:val="007B43A7"/>
    <w:rsid w:val="007C1495"/>
    <w:rsid w:val="007C23F4"/>
    <w:rsid w:val="007D5004"/>
    <w:rsid w:val="007E2615"/>
    <w:rsid w:val="007E79F0"/>
    <w:rsid w:val="007F530C"/>
    <w:rsid w:val="00801B18"/>
    <w:rsid w:val="00835956"/>
    <w:rsid w:val="00844FC2"/>
    <w:rsid w:val="00852B94"/>
    <w:rsid w:val="0085409E"/>
    <w:rsid w:val="0085414A"/>
    <w:rsid w:val="00855C42"/>
    <w:rsid w:val="0086269D"/>
    <w:rsid w:val="00865168"/>
    <w:rsid w:val="008724E5"/>
    <w:rsid w:val="00872A0A"/>
    <w:rsid w:val="00884A9D"/>
    <w:rsid w:val="008A379E"/>
    <w:rsid w:val="008A3916"/>
    <w:rsid w:val="008A4E1E"/>
    <w:rsid w:val="008A770C"/>
    <w:rsid w:val="008B2AF6"/>
    <w:rsid w:val="008C296C"/>
    <w:rsid w:val="008D1190"/>
    <w:rsid w:val="008D3618"/>
    <w:rsid w:val="008D4305"/>
    <w:rsid w:val="008D7444"/>
    <w:rsid w:val="008E708C"/>
    <w:rsid w:val="009010F4"/>
    <w:rsid w:val="00905832"/>
    <w:rsid w:val="00907810"/>
    <w:rsid w:val="00907F3C"/>
    <w:rsid w:val="00911F34"/>
    <w:rsid w:val="009150DD"/>
    <w:rsid w:val="009163A7"/>
    <w:rsid w:val="00920A00"/>
    <w:rsid w:val="00941F9C"/>
    <w:rsid w:val="0094502E"/>
    <w:rsid w:val="00957242"/>
    <w:rsid w:val="00960E61"/>
    <w:rsid w:val="00962A65"/>
    <w:rsid w:val="009727B1"/>
    <w:rsid w:val="009739DF"/>
    <w:rsid w:val="00980F31"/>
    <w:rsid w:val="009972D6"/>
    <w:rsid w:val="009A18CD"/>
    <w:rsid w:val="009A7166"/>
    <w:rsid w:val="009B4664"/>
    <w:rsid w:val="009D1AF3"/>
    <w:rsid w:val="009E2C90"/>
    <w:rsid w:val="00A12558"/>
    <w:rsid w:val="00A13903"/>
    <w:rsid w:val="00A34ED5"/>
    <w:rsid w:val="00A3649A"/>
    <w:rsid w:val="00A36BD0"/>
    <w:rsid w:val="00A45DBF"/>
    <w:rsid w:val="00A55794"/>
    <w:rsid w:val="00A755A2"/>
    <w:rsid w:val="00A82EDA"/>
    <w:rsid w:val="00A93DA1"/>
    <w:rsid w:val="00A950BA"/>
    <w:rsid w:val="00AB0568"/>
    <w:rsid w:val="00AB2C36"/>
    <w:rsid w:val="00AD1A86"/>
    <w:rsid w:val="00AD4F8A"/>
    <w:rsid w:val="00AD5DD3"/>
    <w:rsid w:val="00AD7972"/>
    <w:rsid w:val="00AE103E"/>
    <w:rsid w:val="00AF05EE"/>
    <w:rsid w:val="00AF625E"/>
    <w:rsid w:val="00AF677A"/>
    <w:rsid w:val="00AF7B47"/>
    <w:rsid w:val="00B13138"/>
    <w:rsid w:val="00B167DE"/>
    <w:rsid w:val="00B17838"/>
    <w:rsid w:val="00B210E5"/>
    <w:rsid w:val="00B21E39"/>
    <w:rsid w:val="00B309D3"/>
    <w:rsid w:val="00B30F24"/>
    <w:rsid w:val="00B60C7F"/>
    <w:rsid w:val="00B66EBA"/>
    <w:rsid w:val="00B768C6"/>
    <w:rsid w:val="00B8601F"/>
    <w:rsid w:val="00BA0109"/>
    <w:rsid w:val="00BA1597"/>
    <w:rsid w:val="00BA464A"/>
    <w:rsid w:val="00BB3ABE"/>
    <w:rsid w:val="00BD52C9"/>
    <w:rsid w:val="00BE07EC"/>
    <w:rsid w:val="00BE6354"/>
    <w:rsid w:val="00BF509A"/>
    <w:rsid w:val="00C015EE"/>
    <w:rsid w:val="00C03CC4"/>
    <w:rsid w:val="00C04CC6"/>
    <w:rsid w:val="00C10CE1"/>
    <w:rsid w:val="00C16555"/>
    <w:rsid w:val="00C179D3"/>
    <w:rsid w:val="00C3376D"/>
    <w:rsid w:val="00C34B0B"/>
    <w:rsid w:val="00C361F2"/>
    <w:rsid w:val="00C3679F"/>
    <w:rsid w:val="00C4334F"/>
    <w:rsid w:val="00C54B31"/>
    <w:rsid w:val="00C70EA7"/>
    <w:rsid w:val="00C7516E"/>
    <w:rsid w:val="00C75F7E"/>
    <w:rsid w:val="00C80C64"/>
    <w:rsid w:val="00C81E87"/>
    <w:rsid w:val="00C94D7D"/>
    <w:rsid w:val="00CA3C21"/>
    <w:rsid w:val="00CB159D"/>
    <w:rsid w:val="00CD4E98"/>
    <w:rsid w:val="00CD7923"/>
    <w:rsid w:val="00D046E8"/>
    <w:rsid w:val="00D109BC"/>
    <w:rsid w:val="00D13EB3"/>
    <w:rsid w:val="00D24877"/>
    <w:rsid w:val="00D537ED"/>
    <w:rsid w:val="00D562DE"/>
    <w:rsid w:val="00D66FC9"/>
    <w:rsid w:val="00D8300A"/>
    <w:rsid w:val="00DA36ED"/>
    <w:rsid w:val="00DB0383"/>
    <w:rsid w:val="00DB5903"/>
    <w:rsid w:val="00DC5C6A"/>
    <w:rsid w:val="00DC6487"/>
    <w:rsid w:val="00DD6BE0"/>
    <w:rsid w:val="00DE34F1"/>
    <w:rsid w:val="00DE782E"/>
    <w:rsid w:val="00DF46E5"/>
    <w:rsid w:val="00DF4942"/>
    <w:rsid w:val="00E00ABC"/>
    <w:rsid w:val="00E12666"/>
    <w:rsid w:val="00E14EB7"/>
    <w:rsid w:val="00E3484C"/>
    <w:rsid w:val="00E3690A"/>
    <w:rsid w:val="00E627B1"/>
    <w:rsid w:val="00E733E1"/>
    <w:rsid w:val="00E7343E"/>
    <w:rsid w:val="00E76F6B"/>
    <w:rsid w:val="00E9376C"/>
    <w:rsid w:val="00E96F8C"/>
    <w:rsid w:val="00E97E5B"/>
    <w:rsid w:val="00EA4A0B"/>
    <w:rsid w:val="00EA5494"/>
    <w:rsid w:val="00EA6CDF"/>
    <w:rsid w:val="00EB3135"/>
    <w:rsid w:val="00EB485B"/>
    <w:rsid w:val="00EB59BF"/>
    <w:rsid w:val="00EB7FD1"/>
    <w:rsid w:val="00EC3E55"/>
    <w:rsid w:val="00ED3AD4"/>
    <w:rsid w:val="00EF28D5"/>
    <w:rsid w:val="00EF5E45"/>
    <w:rsid w:val="00F01235"/>
    <w:rsid w:val="00F0168B"/>
    <w:rsid w:val="00F026C3"/>
    <w:rsid w:val="00F16BD9"/>
    <w:rsid w:val="00F179AF"/>
    <w:rsid w:val="00F3731C"/>
    <w:rsid w:val="00F41042"/>
    <w:rsid w:val="00F435F9"/>
    <w:rsid w:val="00F444FE"/>
    <w:rsid w:val="00F576CB"/>
    <w:rsid w:val="00F71334"/>
    <w:rsid w:val="00F72749"/>
    <w:rsid w:val="00F82140"/>
    <w:rsid w:val="00F86461"/>
    <w:rsid w:val="00FD1226"/>
    <w:rsid w:val="00FD39E9"/>
    <w:rsid w:val="00FE76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FF"/>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qFormat/>
    <w:rsid w:val="002676F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
    <w:name w:val="Sans interligne"/>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3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2">
    <w:name w:val="Sans interligne2"/>
    <w:uiPriority w:val="1"/>
    <w:qFormat/>
    <w:rsid w:val="009D1AF3"/>
    <w:rPr>
      <w:rFonts w:ascii="Times New Roman" w:eastAsia="Times New Roman" w:hAnsi="Times New Roman"/>
      <w:sz w:val="24"/>
      <w:szCs w:val="24"/>
      <w:lang w:val="fr-FR" w:eastAsia="fr-FR"/>
    </w:rPr>
  </w:style>
  <w:style w:type="paragraph" w:customStyle="1" w:styleId="Sansinterligne1">
    <w:name w:val="Sans interligne1"/>
    <w:uiPriority w:val="1"/>
    <w:qFormat/>
    <w:rsid w:val="009D1AF3"/>
    <w:rPr>
      <w:rFonts w:ascii="Times New Roman" w:eastAsia="Times New Roman" w:hAnsi="Times New Roman"/>
      <w:sz w:val="24"/>
      <w:szCs w:val="24"/>
      <w:lang w:val="fr-FR" w:eastAsia="fr-FR"/>
    </w:rPr>
  </w:style>
  <w:style w:type="paragraph" w:styleId="NoSpacing">
    <w:name w:val="No Spacing"/>
    <w:uiPriority w:val="1"/>
    <w:qFormat/>
    <w:rsid w:val="009D1AF3"/>
    <w:rPr>
      <w:rFonts w:ascii="Times New Roman" w:eastAsia="Times New Roman" w:hAnsi="Times New Roman"/>
      <w:sz w:val="24"/>
      <w:szCs w:val="24"/>
      <w:lang w:val="fr-FR" w:eastAsia="fr-FR"/>
    </w:rPr>
  </w:style>
  <w:style w:type="character" w:customStyle="1" w:styleId="Heading1Char">
    <w:name w:val="Heading 1 Char"/>
    <w:link w:val="Heading1"/>
    <w:uiPriority w:val="9"/>
    <w:rsid w:val="002676F5"/>
    <w:rPr>
      <w:rFonts w:ascii="Calibri Light" w:eastAsia="Times New Roman" w:hAnsi="Calibri Light" w:cs="Times New Roman"/>
      <w:b/>
      <w:bCs/>
      <w:kern w:val="32"/>
      <w:sz w:val="32"/>
      <w:szCs w:val="32"/>
      <w:lang w:val="fr-FR" w:eastAsia="fr-FR"/>
    </w:rPr>
  </w:style>
  <w:style w:type="character" w:styleId="Hyperlink">
    <w:name w:val="Hyperlink"/>
    <w:uiPriority w:val="99"/>
    <w:rsid w:val="002676F5"/>
    <w:rPr>
      <w:color w:val="0000FF"/>
      <w:u w:val="single"/>
    </w:rPr>
  </w:style>
  <w:style w:type="paragraph" w:customStyle="1" w:styleId="Paragraph">
    <w:name w:val="Paragraph"/>
    <w:basedOn w:val="Normal"/>
    <w:link w:val="ParagraphChar"/>
    <w:qFormat/>
    <w:rsid w:val="00131607"/>
    <w:pPr>
      <w:numPr>
        <w:numId w:val="17"/>
      </w:numPr>
      <w:spacing w:before="240"/>
      <w:ind w:left="567" w:hanging="567"/>
      <w:jc w:val="both"/>
    </w:pPr>
    <w:rPr>
      <w:rFonts w:ascii="Arial" w:hAnsi="Arial" w:cs="Arial"/>
      <w:sz w:val="22"/>
      <w:szCs w:val="22"/>
      <w:lang w:val="en-GB"/>
    </w:rPr>
  </w:style>
  <w:style w:type="character" w:customStyle="1" w:styleId="MargeChar">
    <w:name w:val="Marge Char"/>
    <w:link w:val="Marge"/>
    <w:rsid w:val="002676F5"/>
    <w:rPr>
      <w:rFonts w:ascii="Arial" w:eastAsia="Times New Roman" w:hAnsi="Arial"/>
      <w:snapToGrid w:val="0"/>
      <w:sz w:val="22"/>
      <w:szCs w:val="24"/>
      <w:lang w:val="fr-FR" w:eastAsia="en-US"/>
    </w:rPr>
  </w:style>
  <w:style w:type="character" w:customStyle="1" w:styleId="ParagraphChar">
    <w:name w:val="Paragraph Char"/>
    <w:link w:val="Paragraph"/>
    <w:rsid w:val="00131607"/>
    <w:rPr>
      <w:rFonts w:ascii="Arial" w:eastAsia="Times New Roman" w:hAnsi="Arial" w:cs="Arial"/>
      <w:sz w:val="22"/>
      <w:szCs w:val="22"/>
      <w:lang w:eastAsia="fr-FR"/>
    </w:rPr>
  </w:style>
  <w:style w:type="character" w:customStyle="1" w:styleId="hps">
    <w:name w:val="hps"/>
    <w:rsid w:val="002676F5"/>
  </w:style>
  <w:style w:type="paragraph" w:styleId="FootnoteText">
    <w:name w:val="footnote text"/>
    <w:basedOn w:val="Normal"/>
    <w:link w:val="FootnoteTextChar"/>
    <w:uiPriority w:val="99"/>
    <w:unhideWhenUsed/>
    <w:rsid w:val="002676F5"/>
    <w:pPr>
      <w:spacing w:before="60" w:after="60"/>
      <w:jc w:val="both"/>
    </w:pPr>
    <w:rPr>
      <w:rFonts w:ascii="Arial" w:hAnsi="Arial"/>
      <w:sz w:val="20"/>
      <w:szCs w:val="20"/>
      <w:lang w:val="en-GB"/>
    </w:rPr>
  </w:style>
  <w:style w:type="character" w:customStyle="1" w:styleId="FootnoteTextChar">
    <w:name w:val="Footnote Text Char"/>
    <w:link w:val="FootnoteText"/>
    <w:uiPriority w:val="99"/>
    <w:rsid w:val="002676F5"/>
    <w:rPr>
      <w:rFonts w:ascii="Arial" w:eastAsia="Times New Roman" w:hAnsi="Arial"/>
      <w:lang w:eastAsia="fr-FR"/>
    </w:rPr>
  </w:style>
  <w:style w:type="character" w:styleId="FootnoteReference">
    <w:name w:val="footnote reference"/>
    <w:uiPriority w:val="99"/>
    <w:unhideWhenUsed/>
    <w:rsid w:val="002676F5"/>
    <w:rPr>
      <w:vertAlign w:val="superscript"/>
    </w:rPr>
  </w:style>
  <w:style w:type="character" w:customStyle="1" w:styleId="shorttext">
    <w:name w:val="short_text"/>
    <w:rsid w:val="002676F5"/>
  </w:style>
  <w:style w:type="character" w:customStyle="1" w:styleId="atenuated">
    <w:name w:val="atenuated"/>
    <w:rsid w:val="002676F5"/>
  </w:style>
  <w:style w:type="character" w:styleId="CommentReference">
    <w:name w:val="annotation reference"/>
    <w:basedOn w:val="DefaultParagraphFont"/>
    <w:uiPriority w:val="99"/>
    <w:semiHidden/>
    <w:unhideWhenUsed/>
    <w:rsid w:val="00426824"/>
    <w:rPr>
      <w:sz w:val="16"/>
      <w:szCs w:val="16"/>
    </w:rPr>
  </w:style>
  <w:style w:type="paragraph" w:styleId="CommentText">
    <w:name w:val="annotation text"/>
    <w:basedOn w:val="Normal"/>
    <w:link w:val="CommentTextChar"/>
    <w:uiPriority w:val="99"/>
    <w:semiHidden/>
    <w:unhideWhenUsed/>
    <w:rsid w:val="00426824"/>
    <w:rPr>
      <w:sz w:val="20"/>
      <w:szCs w:val="20"/>
    </w:rPr>
  </w:style>
  <w:style w:type="character" w:customStyle="1" w:styleId="CommentTextChar">
    <w:name w:val="Comment Text Char"/>
    <w:basedOn w:val="DefaultParagraphFont"/>
    <w:link w:val="CommentText"/>
    <w:uiPriority w:val="99"/>
    <w:semiHidden/>
    <w:rsid w:val="00426824"/>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426824"/>
    <w:rPr>
      <w:b/>
      <w:bCs/>
    </w:rPr>
  </w:style>
  <w:style w:type="character" w:customStyle="1" w:styleId="CommentSubjectChar">
    <w:name w:val="Comment Subject Char"/>
    <w:basedOn w:val="CommentTextChar"/>
    <w:link w:val="CommentSubject"/>
    <w:uiPriority w:val="99"/>
    <w:semiHidden/>
    <w:rsid w:val="00426824"/>
    <w:rPr>
      <w:rFonts w:ascii="Times New Roman" w:eastAsia="Times New Roman" w:hAnsi="Times New Roman"/>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FF"/>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qFormat/>
    <w:rsid w:val="002676F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
    <w:name w:val="Sans interligne"/>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3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2">
    <w:name w:val="Sans interligne2"/>
    <w:uiPriority w:val="1"/>
    <w:qFormat/>
    <w:rsid w:val="009D1AF3"/>
    <w:rPr>
      <w:rFonts w:ascii="Times New Roman" w:eastAsia="Times New Roman" w:hAnsi="Times New Roman"/>
      <w:sz w:val="24"/>
      <w:szCs w:val="24"/>
      <w:lang w:val="fr-FR" w:eastAsia="fr-FR"/>
    </w:rPr>
  </w:style>
  <w:style w:type="paragraph" w:customStyle="1" w:styleId="Sansinterligne1">
    <w:name w:val="Sans interligne1"/>
    <w:uiPriority w:val="1"/>
    <w:qFormat/>
    <w:rsid w:val="009D1AF3"/>
    <w:rPr>
      <w:rFonts w:ascii="Times New Roman" w:eastAsia="Times New Roman" w:hAnsi="Times New Roman"/>
      <w:sz w:val="24"/>
      <w:szCs w:val="24"/>
      <w:lang w:val="fr-FR" w:eastAsia="fr-FR"/>
    </w:rPr>
  </w:style>
  <w:style w:type="paragraph" w:styleId="NoSpacing">
    <w:name w:val="No Spacing"/>
    <w:uiPriority w:val="1"/>
    <w:qFormat/>
    <w:rsid w:val="009D1AF3"/>
    <w:rPr>
      <w:rFonts w:ascii="Times New Roman" w:eastAsia="Times New Roman" w:hAnsi="Times New Roman"/>
      <w:sz w:val="24"/>
      <w:szCs w:val="24"/>
      <w:lang w:val="fr-FR" w:eastAsia="fr-FR"/>
    </w:rPr>
  </w:style>
  <w:style w:type="character" w:customStyle="1" w:styleId="Heading1Char">
    <w:name w:val="Heading 1 Char"/>
    <w:link w:val="Heading1"/>
    <w:uiPriority w:val="9"/>
    <w:rsid w:val="002676F5"/>
    <w:rPr>
      <w:rFonts w:ascii="Calibri Light" w:eastAsia="Times New Roman" w:hAnsi="Calibri Light" w:cs="Times New Roman"/>
      <w:b/>
      <w:bCs/>
      <w:kern w:val="32"/>
      <w:sz w:val="32"/>
      <w:szCs w:val="32"/>
      <w:lang w:val="fr-FR" w:eastAsia="fr-FR"/>
    </w:rPr>
  </w:style>
  <w:style w:type="character" w:styleId="Hyperlink">
    <w:name w:val="Hyperlink"/>
    <w:uiPriority w:val="99"/>
    <w:rsid w:val="002676F5"/>
    <w:rPr>
      <w:color w:val="0000FF"/>
      <w:u w:val="single"/>
    </w:rPr>
  </w:style>
  <w:style w:type="paragraph" w:customStyle="1" w:styleId="Paragraph">
    <w:name w:val="Paragraph"/>
    <w:basedOn w:val="Normal"/>
    <w:link w:val="ParagraphChar"/>
    <w:qFormat/>
    <w:rsid w:val="00131607"/>
    <w:pPr>
      <w:numPr>
        <w:numId w:val="17"/>
      </w:numPr>
      <w:spacing w:before="240"/>
      <w:ind w:left="567" w:hanging="567"/>
      <w:jc w:val="both"/>
    </w:pPr>
    <w:rPr>
      <w:rFonts w:ascii="Arial" w:hAnsi="Arial" w:cs="Arial"/>
      <w:sz w:val="22"/>
      <w:szCs w:val="22"/>
      <w:lang w:val="en-GB"/>
    </w:rPr>
  </w:style>
  <w:style w:type="character" w:customStyle="1" w:styleId="MargeChar">
    <w:name w:val="Marge Char"/>
    <w:link w:val="Marge"/>
    <w:rsid w:val="002676F5"/>
    <w:rPr>
      <w:rFonts w:ascii="Arial" w:eastAsia="Times New Roman" w:hAnsi="Arial"/>
      <w:snapToGrid w:val="0"/>
      <w:sz w:val="22"/>
      <w:szCs w:val="24"/>
      <w:lang w:val="fr-FR" w:eastAsia="en-US"/>
    </w:rPr>
  </w:style>
  <w:style w:type="character" w:customStyle="1" w:styleId="ParagraphChar">
    <w:name w:val="Paragraph Char"/>
    <w:link w:val="Paragraph"/>
    <w:rsid w:val="00131607"/>
    <w:rPr>
      <w:rFonts w:ascii="Arial" w:eastAsia="Times New Roman" w:hAnsi="Arial" w:cs="Arial"/>
      <w:sz w:val="22"/>
      <w:szCs w:val="22"/>
      <w:lang w:eastAsia="fr-FR"/>
    </w:rPr>
  </w:style>
  <w:style w:type="character" w:customStyle="1" w:styleId="hps">
    <w:name w:val="hps"/>
    <w:rsid w:val="002676F5"/>
  </w:style>
  <w:style w:type="paragraph" w:styleId="FootnoteText">
    <w:name w:val="footnote text"/>
    <w:basedOn w:val="Normal"/>
    <w:link w:val="FootnoteTextChar"/>
    <w:uiPriority w:val="99"/>
    <w:unhideWhenUsed/>
    <w:rsid w:val="002676F5"/>
    <w:pPr>
      <w:spacing w:before="60" w:after="60"/>
      <w:jc w:val="both"/>
    </w:pPr>
    <w:rPr>
      <w:rFonts w:ascii="Arial" w:hAnsi="Arial"/>
      <w:sz w:val="20"/>
      <w:szCs w:val="20"/>
      <w:lang w:val="en-GB"/>
    </w:rPr>
  </w:style>
  <w:style w:type="character" w:customStyle="1" w:styleId="FootnoteTextChar">
    <w:name w:val="Footnote Text Char"/>
    <w:link w:val="FootnoteText"/>
    <w:uiPriority w:val="99"/>
    <w:rsid w:val="002676F5"/>
    <w:rPr>
      <w:rFonts w:ascii="Arial" w:eastAsia="Times New Roman" w:hAnsi="Arial"/>
      <w:lang w:eastAsia="fr-FR"/>
    </w:rPr>
  </w:style>
  <w:style w:type="character" w:styleId="FootnoteReference">
    <w:name w:val="footnote reference"/>
    <w:uiPriority w:val="99"/>
    <w:unhideWhenUsed/>
    <w:rsid w:val="002676F5"/>
    <w:rPr>
      <w:vertAlign w:val="superscript"/>
    </w:rPr>
  </w:style>
  <w:style w:type="character" w:customStyle="1" w:styleId="shorttext">
    <w:name w:val="short_text"/>
    <w:rsid w:val="002676F5"/>
  </w:style>
  <w:style w:type="character" w:customStyle="1" w:styleId="atenuated">
    <w:name w:val="atenuated"/>
    <w:rsid w:val="002676F5"/>
  </w:style>
  <w:style w:type="character" w:styleId="CommentReference">
    <w:name w:val="annotation reference"/>
    <w:basedOn w:val="DefaultParagraphFont"/>
    <w:uiPriority w:val="99"/>
    <w:semiHidden/>
    <w:unhideWhenUsed/>
    <w:rsid w:val="00426824"/>
    <w:rPr>
      <w:sz w:val="16"/>
      <w:szCs w:val="16"/>
    </w:rPr>
  </w:style>
  <w:style w:type="paragraph" w:styleId="CommentText">
    <w:name w:val="annotation text"/>
    <w:basedOn w:val="Normal"/>
    <w:link w:val="CommentTextChar"/>
    <w:uiPriority w:val="99"/>
    <w:semiHidden/>
    <w:unhideWhenUsed/>
    <w:rsid w:val="00426824"/>
    <w:rPr>
      <w:sz w:val="20"/>
      <w:szCs w:val="20"/>
    </w:rPr>
  </w:style>
  <w:style w:type="character" w:customStyle="1" w:styleId="CommentTextChar">
    <w:name w:val="Comment Text Char"/>
    <w:basedOn w:val="DefaultParagraphFont"/>
    <w:link w:val="CommentText"/>
    <w:uiPriority w:val="99"/>
    <w:semiHidden/>
    <w:rsid w:val="00426824"/>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426824"/>
    <w:rPr>
      <w:b/>
      <w:bCs/>
    </w:rPr>
  </w:style>
  <w:style w:type="character" w:customStyle="1" w:styleId="CommentSubjectChar">
    <w:name w:val="Comment Subject Char"/>
    <w:basedOn w:val="CommentTextChar"/>
    <w:link w:val="CommentSubject"/>
    <w:uiPriority w:val="99"/>
    <w:semiHidden/>
    <w:rsid w:val="00426824"/>
    <w:rPr>
      <w:rFonts w:ascii="Times New Roman" w:eastAsia="Times New Roman" w:hAnsi="Times New Roman"/>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0383-9067-416F-A5EB-58340484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5820</Words>
  <Characters>32016</Characters>
  <Application>Microsoft Office Word</Application>
  <DocSecurity>0</DocSecurity>
  <Lines>266</Lines>
  <Paragraphs>75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37761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UNESCO</cp:lastModifiedBy>
  <cp:revision>6</cp:revision>
  <cp:lastPrinted>2011-09-08T10:27:00Z</cp:lastPrinted>
  <dcterms:created xsi:type="dcterms:W3CDTF">2014-06-02T17:15:00Z</dcterms:created>
  <dcterms:modified xsi:type="dcterms:W3CDTF">2014-06-03T16:56:00Z</dcterms:modified>
</cp:coreProperties>
</file>