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20" w:rsidRPr="00810867" w:rsidRDefault="00BC3420" w:rsidP="00BC3420">
      <w:pPr>
        <w:spacing w:before="1440"/>
        <w:jc w:val="center"/>
        <w:rPr>
          <w:rFonts w:ascii="Arial" w:hAnsi="Arial" w:cs="Arial"/>
          <w:b/>
          <w:sz w:val="22"/>
          <w:szCs w:val="22"/>
        </w:rPr>
      </w:pPr>
      <w:r w:rsidRPr="00810867">
        <w:rPr>
          <w:rFonts w:ascii="Arial" w:hAnsi="Arial" w:cs="Arial"/>
          <w:b/>
          <w:sz w:val="22"/>
          <w:szCs w:val="22"/>
        </w:rPr>
        <w:t>CONVENTION POUR LA SAUVEGARDE DU</w:t>
      </w:r>
      <w:r w:rsidRPr="00810867">
        <w:rPr>
          <w:rFonts w:ascii="Arial" w:hAnsi="Arial" w:cs="Arial"/>
          <w:b/>
          <w:sz w:val="22"/>
          <w:szCs w:val="22"/>
        </w:rPr>
        <w:br/>
        <w:t>PATRIMOINE CULTUREL IMMATÉRIEL</w:t>
      </w:r>
    </w:p>
    <w:p w:rsidR="00BC3420" w:rsidRPr="00810867" w:rsidRDefault="00BC3420" w:rsidP="00BC3420">
      <w:pPr>
        <w:spacing w:before="1200"/>
        <w:jc w:val="center"/>
        <w:rPr>
          <w:rFonts w:ascii="Arial" w:hAnsi="Arial" w:cs="Arial"/>
          <w:b/>
          <w:sz w:val="22"/>
          <w:szCs w:val="22"/>
        </w:rPr>
      </w:pPr>
      <w:r w:rsidRPr="00810867">
        <w:rPr>
          <w:rFonts w:ascii="Arial" w:hAnsi="Arial" w:cs="Arial"/>
          <w:b/>
          <w:sz w:val="22"/>
          <w:szCs w:val="22"/>
        </w:rPr>
        <w:t>COMITÉ INTERGOUVERNEMENTAL DE SAUVEGARDE</w:t>
      </w:r>
      <w:r w:rsidRPr="00810867">
        <w:rPr>
          <w:rFonts w:ascii="Arial" w:hAnsi="Arial" w:cs="Arial"/>
          <w:b/>
          <w:sz w:val="22"/>
          <w:szCs w:val="22"/>
        </w:rPr>
        <w:br/>
        <w:t>DU PATRIMOINE CULTUREL IMMATÉRIEL</w:t>
      </w:r>
    </w:p>
    <w:p w:rsidR="00BC3420" w:rsidRPr="00810867" w:rsidRDefault="00A91141" w:rsidP="00BC3420">
      <w:pPr>
        <w:spacing w:before="840"/>
        <w:jc w:val="center"/>
        <w:rPr>
          <w:rFonts w:ascii="Arial" w:hAnsi="Arial" w:cs="Arial"/>
          <w:b/>
          <w:sz w:val="22"/>
          <w:szCs w:val="22"/>
        </w:rPr>
      </w:pPr>
      <w:r w:rsidRPr="00810867">
        <w:rPr>
          <w:rFonts w:ascii="Arial" w:hAnsi="Arial" w:cs="Arial"/>
          <w:b/>
          <w:sz w:val="22"/>
          <w:szCs w:val="22"/>
        </w:rPr>
        <w:t>Consultation électronique du Bureau</w:t>
      </w:r>
    </w:p>
    <w:p w:rsidR="00BC3420" w:rsidRPr="00810867" w:rsidRDefault="00A91141" w:rsidP="00BC3420">
      <w:pPr>
        <w:jc w:val="center"/>
        <w:rPr>
          <w:rFonts w:ascii="Arial" w:hAnsi="Arial" w:cs="Arial"/>
          <w:b/>
          <w:sz w:val="22"/>
          <w:szCs w:val="22"/>
        </w:rPr>
      </w:pPr>
      <w:r w:rsidRPr="00810867">
        <w:rPr>
          <w:rFonts w:ascii="Arial" w:hAnsi="Arial" w:cs="Arial"/>
          <w:b/>
          <w:sz w:val="22"/>
          <w:szCs w:val="22"/>
        </w:rPr>
        <w:t xml:space="preserve">mai </w:t>
      </w:r>
      <w:r w:rsidR="00764CF9" w:rsidRPr="00810867">
        <w:rPr>
          <w:rFonts w:ascii="Arial" w:hAnsi="Arial" w:cs="Arial"/>
          <w:b/>
          <w:sz w:val="22"/>
          <w:szCs w:val="22"/>
        </w:rPr>
        <w:t>2015</w:t>
      </w:r>
    </w:p>
    <w:p w:rsidR="00BC3420" w:rsidRPr="00810867" w:rsidRDefault="00A938C5" w:rsidP="00BC3420">
      <w:pPr>
        <w:pStyle w:val="Sansinterligne2"/>
        <w:spacing w:before="1200"/>
        <w:jc w:val="center"/>
        <w:rPr>
          <w:rFonts w:ascii="Arial" w:hAnsi="Arial" w:cs="Arial"/>
          <w:b/>
          <w:sz w:val="22"/>
          <w:szCs w:val="22"/>
        </w:rPr>
      </w:pPr>
      <w:r w:rsidRPr="00810867">
        <w:rPr>
          <w:rFonts w:ascii="Arial" w:hAnsi="Arial" w:cs="Arial"/>
          <w:b/>
          <w:sz w:val="22"/>
          <w:szCs w:val="22"/>
          <w:u w:val="single"/>
        </w:rPr>
        <w:t>Point</w:t>
      </w:r>
      <w:r w:rsidR="00110D0D" w:rsidRPr="00810867">
        <w:rPr>
          <w:rFonts w:ascii="Arial" w:hAnsi="Arial" w:cs="Arial"/>
          <w:b/>
          <w:sz w:val="22"/>
          <w:szCs w:val="22"/>
          <w:u w:val="single"/>
        </w:rPr>
        <w:t xml:space="preserve"> 2</w:t>
      </w:r>
      <w:r w:rsidR="00A91141" w:rsidRPr="00810867">
        <w:rPr>
          <w:rFonts w:ascii="Arial" w:hAnsi="Arial" w:cs="Arial"/>
          <w:b/>
          <w:sz w:val="22"/>
          <w:szCs w:val="22"/>
          <w:u w:val="single"/>
        </w:rPr>
        <w:t> :</w:t>
      </w:r>
    </w:p>
    <w:p w:rsidR="00BC3420" w:rsidRPr="00810867" w:rsidRDefault="00A91141" w:rsidP="00BC3420">
      <w:pPr>
        <w:pStyle w:val="NoSpacing"/>
        <w:spacing w:after="1200"/>
        <w:jc w:val="center"/>
        <w:rPr>
          <w:rFonts w:ascii="Arial" w:hAnsi="Arial" w:cs="Arial"/>
          <w:b/>
          <w:sz w:val="22"/>
          <w:szCs w:val="22"/>
        </w:rPr>
      </w:pPr>
      <w:r w:rsidRPr="00810867">
        <w:rPr>
          <w:rFonts w:ascii="Arial" w:hAnsi="Arial" w:cs="Arial"/>
          <w:b/>
          <w:sz w:val="22"/>
          <w:szCs w:val="22"/>
        </w:rPr>
        <w:t>Examen des demandes</w:t>
      </w:r>
      <w:r w:rsidR="00A938C5" w:rsidRPr="00810867">
        <w:rPr>
          <w:rFonts w:ascii="Arial" w:hAnsi="Arial" w:cs="Arial"/>
          <w:b/>
          <w:sz w:val="22"/>
          <w:szCs w:val="22"/>
        </w:rPr>
        <w:br/>
      </w:r>
      <w:r w:rsidRPr="00810867">
        <w:rPr>
          <w:rFonts w:ascii="Arial" w:hAnsi="Arial" w:cs="Arial"/>
          <w:b/>
          <w:sz w:val="22"/>
          <w:szCs w:val="22"/>
        </w:rPr>
        <w:t>d’assistance internationales</w:t>
      </w:r>
      <w:r w:rsidR="00A938C5" w:rsidRPr="00810867">
        <w:rPr>
          <w:rFonts w:ascii="Arial" w:hAnsi="Arial" w:cs="Arial"/>
          <w:b/>
          <w:sz w:val="22"/>
          <w:szCs w:val="22"/>
        </w:rPr>
        <w:t xml:space="preserve"> d’urgence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3420" w:rsidRPr="00810867" w:rsidTr="0019264E">
        <w:trPr>
          <w:jc w:val="center"/>
        </w:trPr>
        <w:tc>
          <w:tcPr>
            <w:tcW w:w="7825" w:type="dxa"/>
            <w:vAlign w:val="center"/>
          </w:tcPr>
          <w:p w:rsidR="00BC3420" w:rsidRPr="00810867" w:rsidRDefault="00BC3420" w:rsidP="0019264E">
            <w:pPr>
              <w:pStyle w:val="Sansinterligne1"/>
              <w:spacing w:before="200" w:after="200"/>
              <w:jc w:val="center"/>
              <w:rPr>
                <w:rFonts w:ascii="Arial" w:hAnsi="Arial" w:cs="Arial"/>
                <w:b/>
                <w:sz w:val="22"/>
                <w:szCs w:val="22"/>
              </w:rPr>
            </w:pPr>
            <w:r w:rsidRPr="00810867">
              <w:rPr>
                <w:rFonts w:ascii="Arial" w:hAnsi="Arial" w:cs="Arial"/>
                <w:b/>
                <w:sz w:val="22"/>
                <w:szCs w:val="22"/>
              </w:rPr>
              <w:t>Résumé</w:t>
            </w:r>
          </w:p>
          <w:p w:rsidR="00A938C5" w:rsidRPr="00810867" w:rsidRDefault="007474E1" w:rsidP="0019264E">
            <w:pPr>
              <w:pStyle w:val="Sansinterligne1"/>
              <w:jc w:val="both"/>
              <w:rPr>
                <w:rFonts w:ascii="Arial" w:hAnsi="Arial" w:cs="Arial"/>
                <w:bCs/>
                <w:sz w:val="22"/>
                <w:szCs w:val="22"/>
              </w:rPr>
            </w:pPr>
            <w:r w:rsidRPr="00810867">
              <w:rPr>
                <w:rFonts w:ascii="Arial" w:hAnsi="Arial" w:cs="Arial"/>
                <w:bCs/>
                <w:sz w:val="22"/>
                <w:szCs w:val="22"/>
              </w:rPr>
              <w:t>Le c</w:t>
            </w:r>
            <w:r w:rsidR="00110D0D" w:rsidRPr="00810867">
              <w:rPr>
                <w:rFonts w:ascii="Arial" w:hAnsi="Arial" w:cs="Arial"/>
                <w:bCs/>
                <w:sz w:val="22"/>
                <w:szCs w:val="22"/>
              </w:rPr>
              <w:t xml:space="preserve">hapitre I.14 des Directives opérationnelles prévoit que les demandes d’assistance internationale </w:t>
            </w:r>
            <w:r w:rsidR="00A938C5" w:rsidRPr="00810867">
              <w:rPr>
                <w:rFonts w:ascii="Arial" w:hAnsi="Arial" w:cs="Arial"/>
                <w:bCs/>
                <w:sz w:val="22"/>
                <w:szCs w:val="22"/>
              </w:rPr>
              <w:t xml:space="preserve">d’urgence </w:t>
            </w:r>
            <w:r w:rsidR="00110D0D" w:rsidRPr="00810867">
              <w:rPr>
                <w:rFonts w:ascii="Arial" w:hAnsi="Arial" w:cs="Arial"/>
                <w:bCs/>
                <w:sz w:val="22"/>
                <w:szCs w:val="22"/>
              </w:rPr>
              <w:t xml:space="preserve">peuvent être soumises à tout moment et </w:t>
            </w:r>
            <w:r w:rsidR="00A938C5" w:rsidRPr="00810867">
              <w:rPr>
                <w:rFonts w:ascii="Arial" w:eastAsia="SimSun" w:hAnsi="Arial" w:cs="Arial"/>
                <w:sz w:val="22"/>
                <w:szCs w:val="22"/>
              </w:rPr>
              <w:t>qu’elles sont examinées et approuvées par le B</w:t>
            </w:r>
            <w:r w:rsidR="003475F9" w:rsidRPr="00810867">
              <w:rPr>
                <w:rFonts w:ascii="Arial" w:eastAsia="SimSun" w:hAnsi="Arial" w:cs="Arial"/>
                <w:sz w:val="22"/>
                <w:szCs w:val="22"/>
              </w:rPr>
              <w:t xml:space="preserve">ureau du Comité. </w:t>
            </w:r>
            <w:r w:rsidR="00110D0D" w:rsidRPr="00810867">
              <w:rPr>
                <w:rFonts w:ascii="Arial" w:hAnsi="Arial" w:cs="Arial"/>
                <w:bCs/>
                <w:sz w:val="22"/>
                <w:szCs w:val="22"/>
              </w:rPr>
              <w:t>Le présent document comprend deux de ces demandes</w:t>
            </w:r>
            <w:r w:rsidR="0074453C" w:rsidRPr="00810867">
              <w:rPr>
                <w:rFonts w:ascii="Arial" w:hAnsi="Arial" w:cs="Arial"/>
                <w:bCs/>
                <w:sz w:val="22"/>
                <w:szCs w:val="22"/>
              </w:rPr>
              <w:t xml:space="preserve">. </w:t>
            </w:r>
            <w:r w:rsidR="00110D0D" w:rsidRPr="00810867">
              <w:rPr>
                <w:rFonts w:ascii="Arial" w:hAnsi="Arial" w:cs="Arial"/>
                <w:bCs/>
                <w:sz w:val="22"/>
                <w:szCs w:val="22"/>
              </w:rPr>
              <w:t>Le Bureau est invité à</w:t>
            </w:r>
            <w:r w:rsidR="00A938C5" w:rsidRPr="00810867">
              <w:rPr>
                <w:rFonts w:ascii="Arial" w:hAnsi="Arial" w:cs="Arial"/>
                <w:bCs/>
                <w:sz w:val="22"/>
                <w:szCs w:val="22"/>
              </w:rPr>
              <w:t xml:space="preserve"> prendre une décision </w:t>
            </w:r>
            <w:r w:rsidR="00110D0D" w:rsidRPr="00810867">
              <w:rPr>
                <w:rFonts w:ascii="Arial" w:hAnsi="Arial" w:cs="Arial"/>
                <w:bCs/>
                <w:sz w:val="22"/>
                <w:szCs w:val="22"/>
              </w:rPr>
              <w:t>sur ces demandes par le biais de la consultation électronique</w:t>
            </w:r>
            <w:r w:rsidR="00A938C5" w:rsidRPr="00810867">
              <w:rPr>
                <w:rFonts w:ascii="Arial" w:hAnsi="Arial" w:cs="Arial"/>
                <w:bCs/>
                <w:sz w:val="22"/>
                <w:szCs w:val="22"/>
              </w:rPr>
              <w:t>.</w:t>
            </w:r>
          </w:p>
          <w:p w:rsidR="00BC3420" w:rsidRPr="00810867" w:rsidRDefault="00BC3420" w:rsidP="00A32E09">
            <w:pPr>
              <w:pStyle w:val="Sansinterligne2"/>
              <w:spacing w:before="200" w:after="200"/>
              <w:ind w:right="284"/>
              <w:jc w:val="both"/>
              <w:rPr>
                <w:rFonts w:ascii="Arial" w:hAnsi="Arial" w:cs="Arial"/>
                <w:b/>
                <w:sz w:val="22"/>
                <w:szCs w:val="22"/>
              </w:rPr>
            </w:pPr>
            <w:r w:rsidRPr="00810867">
              <w:rPr>
                <w:rFonts w:ascii="Arial" w:hAnsi="Arial" w:cs="Arial"/>
                <w:b/>
                <w:sz w:val="22"/>
                <w:szCs w:val="22"/>
              </w:rPr>
              <w:t xml:space="preserve">Décision requise : </w:t>
            </w:r>
            <w:r w:rsidRPr="00810867">
              <w:rPr>
                <w:rFonts w:ascii="Arial" w:hAnsi="Arial" w:cs="Arial"/>
                <w:bCs/>
                <w:sz w:val="22"/>
                <w:szCs w:val="22"/>
              </w:rPr>
              <w:t xml:space="preserve">paragraphe </w:t>
            </w:r>
            <w:r w:rsidR="00110D0D" w:rsidRPr="00810867">
              <w:rPr>
                <w:rFonts w:ascii="Arial" w:hAnsi="Arial" w:cs="Arial"/>
                <w:bCs/>
                <w:sz w:val="22"/>
                <w:szCs w:val="22"/>
              </w:rPr>
              <w:t>10</w:t>
            </w:r>
          </w:p>
        </w:tc>
      </w:tr>
    </w:tbl>
    <w:p w:rsidR="00BC3420" w:rsidRPr="000D4F5D" w:rsidRDefault="00BC3420" w:rsidP="00A55890">
      <w:pPr>
        <w:pStyle w:val="COMParabodytext"/>
        <w:ind w:left="567" w:hanging="567"/>
        <w:rPr>
          <w:lang w:val="fr-FR"/>
        </w:rPr>
      </w:pPr>
      <w:r w:rsidRPr="000D4F5D">
        <w:rPr>
          <w:lang w:val="fr-FR"/>
        </w:rPr>
        <w:br w:type="page"/>
      </w:r>
      <w:r w:rsidR="00C02814" w:rsidRPr="000D4F5D">
        <w:rPr>
          <w:lang w:val="fr-FR"/>
        </w:rPr>
        <w:lastRenderedPageBreak/>
        <w:t>Comme le prévoit l’a</w:t>
      </w:r>
      <w:r w:rsidR="00F95E24" w:rsidRPr="000D4F5D">
        <w:rPr>
          <w:lang w:val="fr-FR"/>
        </w:rPr>
        <w:t xml:space="preserve">rticle 22 </w:t>
      </w:r>
      <w:r w:rsidR="00C02814" w:rsidRPr="000D4F5D">
        <w:rPr>
          <w:lang w:val="fr-FR"/>
        </w:rPr>
        <w:t>de la</w:t>
      </w:r>
      <w:r w:rsidR="00F95E24" w:rsidRPr="000D4F5D">
        <w:rPr>
          <w:lang w:val="fr-FR"/>
        </w:rPr>
        <w:t xml:space="preserve"> Convention, </w:t>
      </w:r>
      <w:r w:rsidR="00C02814" w:rsidRPr="000D4F5D">
        <w:rPr>
          <w:lang w:val="fr-FR"/>
        </w:rPr>
        <w:t xml:space="preserve">en cas d’urgence les demandes d’assistance internationale </w:t>
      </w:r>
      <w:r w:rsidR="00F658AD" w:rsidRPr="000D4F5D">
        <w:rPr>
          <w:lang w:val="fr-FR"/>
        </w:rPr>
        <w:t>doivent être</w:t>
      </w:r>
      <w:r w:rsidR="00C02814" w:rsidRPr="000D4F5D">
        <w:rPr>
          <w:lang w:val="fr-FR"/>
        </w:rPr>
        <w:t xml:space="preserve"> examinées en priorité</w:t>
      </w:r>
      <w:r w:rsidR="00F95E24" w:rsidRPr="000D4F5D">
        <w:rPr>
          <w:lang w:val="fr-FR"/>
        </w:rPr>
        <w:t xml:space="preserve">. </w:t>
      </w:r>
      <w:r w:rsidR="00F658AD" w:rsidRPr="000D4F5D">
        <w:rPr>
          <w:lang w:val="fr-FR"/>
        </w:rPr>
        <w:t>Selon les Directives opérationnelles, ces demandes d’assistance internationale d’</w:t>
      </w:r>
      <w:r w:rsidR="00B4432C" w:rsidRPr="000D4F5D">
        <w:rPr>
          <w:lang w:val="fr-FR"/>
        </w:rPr>
        <w:t xml:space="preserve">urgence peuvent être soumises à tout moment quel que soit leur montant </w:t>
      </w:r>
      <w:r w:rsidR="00F95E24" w:rsidRPr="000D4F5D">
        <w:rPr>
          <w:lang w:val="fr-FR"/>
        </w:rPr>
        <w:t>(paragraph</w:t>
      </w:r>
      <w:r w:rsidR="00B4432C" w:rsidRPr="000D4F5D">
        <w:rPr>
          <w:lang w:val="fr-FR"/>
        </w:rPr>
        <w:t>e</w:t>
      </w:r>
      <w:r w:rsidR="00F95E24" w:rsidRPr="000D4F5D">
        <w:rPr>
          <w:lang w:val="fr-FR"/>
        </w:rPr>
        <w:t xml:space="preserve"> 47). </w:t>
      </w:r>
      <w:r w:rsidR="00B4432C" w:rsidRPr="000D4F5D">
        <w:rPr>
          <w:lang w:val="fr-FR"/>
        </w:rPr>
        <w:t>Les</w:t>
      </w:r>
      <w:r w:rsidR="00F95E24" w:rsidRPr="000D4F5D">
        <w:rPr>
          <w:lang w:val="fr-FR"/>
        </w:rPr>
        <w:t xml:space="preserve"> Directives </w:t>
      </w:r>
      <w:r w:rsidR="00B4432C" w:rsidRPr="000D4F5D">
        <w:rPr>
          <w:lang w:val="fr-FR"/>
        </w:rPr>
        <w:t xml:space="preserve">indiquent également que ces demandes sont examinées et approuvées par le Bureau du Comité et </w:t>
      </w:r>
      <w:r w:rsidR="000D4F5D">
        <w:rPr>
          <w:lang w:val="fr-FR"/>
        </w:rPr>
        <w:t>qu’</w:t>
      </w:r>
      <w:r w:rsidR="00765FDB" w:rsidRPr="000D4F5D">
        <w:rPr>
          <w:lang w:val="fr-FR"/>
        </w:rPr>
        <w:t>« </w:t>
      </w:r>
      <w:r w:rsidR="000D4F5D">
        <w:rPr>
          <w:lang w:val="fr-FR"/>
        </w:rPr>
        <w:t>a</w:t>
      </w:r>
      <w:r w:rsidR="000D4F5D" w:rsidRPr="000D4F5D">
        <w:rPr>
          <w:lang w:val="fr-FR"/>
        </w:rPr>
        <w:t>fin de déterminer si une demande d’assistance internationale constitue une demande d’urgence susceptible d’être examinée en priorité par le Bureau, il sera considéré qu’il existe une urgence lorsqu’un État partie ne se trouve pas en mesure de surmonter seul une situation due à un désastre, une catastrophe naturelle, un conflit armé, une grave épidémie ou tout autre événement d’origine naturelle ou humaine ayant de graves conséquences pour le patrimoine culturel immatériel ainsi que pour les communautés, groupes et, le cas échéant, individus détenteurs de ce patrimoine.</w:t>
      </w:r>
      <w:r w:rsidR="000D4F5D">
        <w:rPr>
          <w:lang w:val="fr-FR"/>
        </w:rPr>
        <w:t> </w:t>
      </w:r>
      <w:r w:rsidR="000C5E78" w:rsidRPr="000D4F5D">
        <w:rPr>
          <w:lang w:val="fr-FR"/>
        </w:rPr>
        <w:t>»</w:t>
      </w:r>
      <w:r w:rsidR="00F95E24" w:rsidRPr="000D4F5D">
        <w:rPr>
          <w:lang w:val="fr-FR"/>
        </w:rPr>
        <w:t xml:space="preserve"> (</w:t>
      </w:r>
      <w:r w:rsidR="000C5E78" w:rsidRPr="000D4F5D">
        <w:rPr>
          <w:lang w:val="fr-FR"/>
        </w:rPr>
        <w:t>p</w:t>
      </w:r>
      <w:r w:rsidR="00F95E24" w:rsidRPr="000D4F5D">
        <w:rPr>
          <w:lang w:val="fr-FR"/>
        </w:rPr>
        <w:t>aragraph</w:t>
      </w:r>
      <w:r w:rsidR="000C5E78" w:rsidRPr="000D4F5D">
        <w:rPr>
          <w:lang w:val="fr-FR"/>
        </w:rPr>
        <w:t>e</w:t>
      </w:r>
      <w:r w:rsidR="00F95E24" w:rsidRPr="000D4F5D">
        <w:rPr>
          <w:lang w:val="fr-FR"/>
        </w:rPr>
        <w:t xml:space="preserve"> 50).</w:t>
      </w:r>
    </w:p>
    <w:p w:rsidR="0057439C" w:rsidRPr="00810867" w:rsidRDefault="000D4F5D" w:rsidP="00A55890">
      <w:pPr>
        <w:pStyle w:val="COMParabodytext"/>
        <w:ind w:left="567" w:hanging="567"/>
        <w:rPr>
          <w:lang w:val="fr-FR"/>
        </w:rPr>
      </w:pPr>
      <w:r>
        <w:rPr>
          <w:lang w:val="fr-FR"/>
        </w:rPr>
        <w:t>À fin</w:t>
      </w:r>
      <w:r w:rsidR="000C5E78" w:rsidRPr="00810867">
        <w:rPr>
          <w:lang w:val="fr-FR"/>
        </w:rPr>
        <w:t xml:space="preserve"> mai</w:t>
      </w:r>
      <w:r w:rsidR="00F95E24" w:rsidRPr="00810867">
        <w:rPr>
          <w:lang w:val="fr-FR"/>
        </w:rPr>
        <w:t xml:space="preserve"> 2015</w:t>
      </w:r>
      <w:r w:rsidR="000C5E78" w:rsidRPr="00810867">
        <w:rPr>
          <w:lang w:val="fr-FR"/>
        </w:rPr>
        <w:t xml:space="preserve">, le Secrétariat avait reçu quatre demandes d’assistance d’urgence dont une, celle du Mali, a été accordée par le Bureau en </w:t>
      </w:r>
      <w:r w:rsidR="00F95E24" w:rsidRPr="00810867">
        <w:rPr>
          <w:lang w:val="fr-FR"/>
        </w:rPr>
        <w:t xml:space="preserve">2013. </w:t>
      </w:r>
      <w:r w:rsidR="000C5E78" w:rsidRPr="00810867">
        <w:rPr>
          <w:lang w:val="fr-FR"/>
        </w:rPr>
        <w:t>U</w:t>
      </w:r>
      <w:r w:rsidR="00F95E24" w:rsidRPr="00810867">
        <w:rPr>
          <w:lang w:val="fr-FR"/>
        </w:rPr>
        <w:t xml:space="preserve">ne </w:t>
      </w:r>
      <w:r w:rsidR="000C5E78" w:rsidRPr="00810867">
        <w:rPr>
          <w:lang w:val="fr-FR"/>
        </w:rPr>
        <w:t>demande a été retirée par l’</w:t>
      </w:r>
      <w:r w:rsidR="00E01D22" w:rsidRPr="00810867">
        <w:rPr>
          <w:lang w:val="fr-FR"/>
        </w:rPr>
        <w:t>État</w:t>
      </w:r>
      <w:r w:rsidR="000C5E78" w:rsidRPr="00810867">
        <w:rPr>
          <w:lang w:val="fr-FR"/>
        </w:rPr>
        <w:t xml:space="preserve"> </w:t>
      </w:r>
      <w:r>
        <w:rPr>
          <w:lang w:val="fr-FR"/>
        </w:rPr>
        <w:t>soumissionnaire</w:t>
      </w:r>
      <w:r w:rsidR="00F95E24" w:rsidRPr="00810867">
        <w:rPr>
          <w:lang w:val="fr-FR"/>
        </w:rPr>
        <w:t>.</w:t>
      </w:r>
    </w:p>
    <w:p w:rsidR="000D4F5D" w:rsidRPr="000D4F5D" w:rsidRDefault="000D4F5D" w:rsidP="00A55890">
      <w:pPr>
        <w:numPr>
          <w:ilvl w:val="0"/>
          <w:numId w:val="14"/>
        </w:numPr>
        <w:spacing w:before="360" w:after="240"/>
        <w:ind w:left="567" w:hanging="567"/>
        <w:jc w:val="both"/>
        <w:rPr>
          <w:rFonts w:ascii="Arial" w:eastAsia="SimSun" w:hAnsi="Arial" w:cs="Arial"/>
          <w:b/>
          <w:sz w:val="22"/>
          <w:szCs w:val="22"/>
          <w:lang w:eastAsia="zh-CN"/>
        </w:rPr>
      </w:pPr>
      <w:r>
        <w:rPr>
          <w:rFonts w:ascii="Arial" w:eastAsia="SimSun" w:hAnsi="Arial" w:cs="Arial"/>
          <w:b/>
          <w:sz w:val="22"/>
          <w:szCs w:val="22"/>
          <w:lang w:eastAsia="zh-CN"/>
        </w:rPr>
        <w:t>A</w:t>
      </w:r>
      <w:r w:rsidRPr="000D4F5D">
        <w:rPr>
          <w:rFonts w:ascii="Arial" w:eastAsia="SimSun" w:hAnsi="Arial" w:cs="Arial"/>
          <w:b/>
          <w:sz w:val="22"/>
          <w:szCs w:val="22"/>
          <w:lang w:eastAsia="zh-CN"/>
        </w:rPr>
        <w:t>perçu des demandes actuelles</w:t>
      </w:r>
    </w:p>
    <w:p w:rsidR="0085101F" w:rsidRPr="00481C4C" w:rsidRDefault="000D4F5D" w:rsidP="00A55890">
      <w:pPr>
        <w:pStyle w:val="COMParabodytext"/>
        <w:spacing w:after="240"/>
        <w:ind w:left="567" w:hanging="567"/>
        <w:rPr>
          <w:lang w:val="fr-FR"/>
        </w:rPr>
      </w:pPr>
      <w:r w:rsidRPr="00481C4C">
        <w:rPr>
          <w:lang w:val="fr-FR"/>
        </w:rPr>
        <w:t xml:space="preserve">Il est actuellement demandé au Bureau d’examiner deux demandes </w:t>
      </w:r>
      <w:r w:rsidR="00C27D69" w:rsidRPr="00481C4C">
        <w:rPr>
          <w:lang w:val="fr-FR"/>
        </w:rPr>
        <w:t>complétées</w:t>
      </w:r>
      <w:r w:rsidRPr="00481C4C">
        <w:rPr>
          <w:lang w:val="fr-FR"/>
        </w:rPr>
        <w:t xml:space="preserve"> et de prendre une décision à leur </w:t>
      </w:r>
      <w:r w:rsidRPr="00A55890">
        <w:rPr>
          <w:lang w:val="fr-FR"/>
        </w:rPr>
        <w:t>égard</w:t>
      </w:r>
      <w:r w:rsidR="0085101F" w:rsidRPr="00481C4C">
        <w:rPr>
          <w:lang w:val="fr-FR"/>
        </w:rPr>
        <w:t>:</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43"/>
        <w:gridCol w:w="1159"/>
        <w:gridCol w:w="3968"/>
        <w:gridCol w:w="1254"/>
        <w:gridCol w:w="847"/>
      </w:tblGrid>
      <w:tr w:rsidR="0085101F" w:rsidRPr="00810867" w:rsidTr="00503B80">
        <w:trPr>
          <w:cantSplit/>
          <w:tblHeader/>
        </w:trPr>
        <w:tc>
          <w:tcPr>
            <w:tcW w:w="1016" w:type="pct"/>
            <w:tcBorders>
              <w:top w:val="single" w:sz="4" w:space="0" w:color="auto"/>
              <w:bottom w:val="single" w:sz="4" w:space="0" w:color="auto"/>
              <w:right w:val="nil"/>
            </w:tcBorders>
            <w:shd w:val="clear" w:color="auto" w:fill="BFBFBF"/>
            <w:vAlign w:val="center"/>
          </w:tcPr>
          <w:p w:rsidR="0085101F" w:rsidRPr="00810867" w:rsidRDefault="00CA140F" w:rsidP="00CA140F">
            <w:pPr>
              <w:spacing w:before="120" w:after="120"/>
              <w:jc w:val="center"/>
              <w:rPr>
                <w:rFonts w:ascii="Arial" w:hAnsi="Arial" w:cs="Arial"/>
                <w:sz w:val="18"/>
                <w:szCs w:val="18"/>
              </w:rPr>
            </w:pPr>
            <w:r w:rsidRPr="00810867">
              <w:rPr>
                <w:rFonts w:ascii="Arial" w:hAnsi="Arial" w:cs="Arial"/>
                <w:b/>
                <w:bCs/>
                <w:sz w:val="18"/>
                <w:szCs w:val="18"/>
                <w:lang w:eastAsia="en-GB"/>
              </w:rPr>
              <w:t>Projet de décision</w:t>
            </w:r>
          </w:p>
        </w:tc>
        <w:tc>
          <w:tcPr>
            <w:tcW w:w="639" w:type="pct"/>
            <w:tcBorders>
              <w:top w:val="single" w:sz="4" w:space="0" w:color="auto"/>
              <w:left w:val="nil"/>
              <w:bottom w:val="single" w:sz="4" w:space="0" w:color="auto"/>
            </w:tcBorders>
            <w:shd w:val="clear" w:color="auto" w:fill="BFBFBF"/>
            <w:vAlign w:val="center"/>
          </w:tcPr>
          <w:p w:rsidR="0085101F" w:rsidRPr="00810867" w:rsidRDefault="00E01D22" w:rsidP="00CA140F">
            <w:pPr>
              <w:spacing w:before="120" w:after="120"/>
              <w:jc w:val="center"/>
              <w:rPr>
                <w:rFonts w:ascii="Arial" w:hAnsi="Arial" w:cs="Arial"/>
                <w:sz w:val="18"/>
                <w:szCs w:val="18"/>
              </w:rPr>
            </w:pPr>
            <w:r w:rsidRPr="00810867">
              <w:rPr>
                <w:rFonts w:ascii="Arial" w:hAnsi="Arial" w:cs="Arial"/>
                <w:b/>
                <w:bCs/>
                <w:sz w:val="18"/>
                <w:szCs w:val="18"/>
                <w:lang w:eastAsia="en-GB"/>
              </w:rPr>
              <w:t>État</w:t>
            </w:r>
            <w:r w:rsidR="00CA140F" w:rsidRPr="00810867">
              <w:rPr>
                <w:rFonts w:ascii="Arial" w:hAnsi="Arial" w:cs="Arial"/>
                <w:b/>
                <w:bCs/>
                <w:sz w:val="18"/>
                <w:szCs w:val="18"/>
                <w:lang w:eastAsia="en-GB"/>
              </w:rPr>
              <w:t xml:space="preserve"> demandeur</w:t>
            </w:r>
          </w:p>
        </w:tc>
        <w:tc>
          <w:tcPr>
            <w:tcW w:w="2187" w:type="pct"/>
            <w:tcBorders>
              <w:top w:val="single" w:sz="4" w:space="0" w:color="auto"/>
              <w:bottom w:val="single" w:sz="4" w:space="0" w:color="auto"/>
            </w:tcBorders>
            <w:shd w:val="clear" w:color="auto" w:fill="BFBFBF"/>
            <w:vAlign w:val="center"/>
          </w:tcPr>
          <w:p w:rsidR="0085101F" w:rsidRPr="00810867" w:rsidRDefault="0085101F" w:rsidP="00CA140F">
            <w:pPr>
              <w:spacing w:before="120" w:after="120"/>
              <w:jc w:val="center"/>
              <w:rPr>
                <w:rFonts w:ascii="Arial" w:hAnsi="Arial" w:cs="Arial"/>
                <w:sz w:val="18"/>
                <w:szCs w:val="18"/>
              </w:rPr>
            </w:pPr>
            <w:r w:rsidRPr="00810867">
              <w:rPr>
                <w:rFonts w:ascii="Arial" w:hAnsi="Arial" w:cs="Arial"/>
                <w:b/>
                <w:bCs/>
                <w:sz w:val="18"/>
                <w:szCs w:val="18"/>
                <w:lang w:eastAsia="en-GB"/>
              </w:rPr>
              <w:t>Tit</w:t>
            </w:r>
            <w:r w:rsidR="00CA140F" w:rsidRPr="00810867">
              <w:rPr>
                <w:rFonts w:ascii="Arial" w:hAnsi="Arial" w:cs="Arial"/>
                <w:b/>
                <w:bCs/>
                <w:sz w:val="18"/>
                <w:szCs w:val="18"/>
                <w:lang w:eastAsia="en-GB"/>
              </w:rPr>
              <w:t>r</w:t>
            </w:r>
            <w:r w:rsidRPr="00810867">
              <w:rPr>
                <w:rFonts w:ascii="Arial" w:hAnsi="Arial" w:cs="Arial"/>
                <w:b/>
                <w:bCs/>
                <w:sz w:val="18"/>
                <w:szCs w:val="18"/>
                <w:lang w:eastAsia="en-GB"/>
              </w:rPr>
              <w:t>e</w:t>
            </w:r>
          </w:p>
        </w:tc>
        <w:tc>
          <w:tcPr>
            <w:tcW w:w="691" w:type="pct"/>
            <w:tcBorders>
              <w:top w:val="single" w:sz="4" w:space="0" w:color="auto"/>
              <w:bottom w:val="single" w:sz="4" w:space="0" w:color="auto"/>
            </w:tcBorders>
            <w:shd w:val="clear" w:color="auto" w:fill="BFBFBF"/>
            <w:vAlign w:val="center"/>
          </w:tcPr>
          <w:p w:rsidR="0085101F" w:rsidRPr="00810867" w:rsidRDefault="00CA140F" w:rsidP="00CA140F">
            <w:pPr>
              <w:spacing w:before="120" w:after="120"/>
              <w:jc w:val="center"/>
              <w:rPr>
                <w:rFonts w:ascii="Arial" w:hAnsi="Arial" w:cs="Arial"/>
                <w:b/>
                <w:bCs/>
                <w:sz w:val="18"/>
                <w:szCs w:val="18"/>
                <w:lang w:eastAsia="en-GB"/>
              </w:rPr>
            </w:pPr>
            <w:r w:rsidRPr="00810867">
              <w:rPr>
                <w:rFonts w:ascii="Arial" w:hAnsi="Arial" w:cs="Arial"/>
                <w:b/>
                <w:bCs/>
                <w:sz w:val="18"/>
                <w:szCs w:val="18"/>
                <w:lang w:eastAsia="en-GB"/>
              </w:rPr>
              <w:t>Montant demandé</w:t>
            </w:r>
          </w:p>
        </w:tc>
        <w:tc>
          <w:tcPr>
            <w:tcW w:w="467" w:type="pct"/>
            <w:tcBorders>
              <w:top w:val="single" w:sz="4" w:space="0" w:color="auto"/>
              <w:bottom w:val="single" w:sz="4" w:space="0" w:color="auto"/>
            </w:tcBorders>
            <w:shd w:val="clear" w:color="auto" w:fill="BFBFBF"/>
            <w:vAlign w:val="center"/>
          </w:tcPr>
          <w:p w:rsidR="0085101F" w:rsidRPr="00810867" w:rsidRDefault="00CA140F" w:rsidP="00CA140F">
            <w:pPr>
              <w:spacing w:before="120" w:after="120"/>
              <w:jc w:val="center"/>
              <w:rPr>
                <w:rFonts w:ascii="Arial" w:hAnsi="Arial" w:cs="Arial"/>
                <w:sz w:val="18"/>
                <w:szCs w:val="18"/>
              </w:rPr>
            </w:pPr>
            <w:r w:rsidRPr="00810867">
              <w:rPr>
                <w:rFonts w:ascii="Arial" w:hAnsi="Arial" w:cs="Arial"/>
                <w:b/>
                <w:bCs/>
                <w:sz w:val="18"/>
                <w:szCs w:val="18"/>
                <w:lang w:eastAsia="en-GB"/>
              </w:rPr>
              <w:t>N° de dossier</w:t>
            </w:r>
          </w:p>
        </w:tc>
      </w:tr>
      <w:tr w:rsidR="0085101F" w:rsidRPr="00810867" w:rsidTr="00A55890">
        <w:trPr>
          <w:cantSplit/>
          <w:tblHeader/>
        </w:trPr>
        <w:tc>
          <w:tcPr>
            <w:tcW w:w="1016" w:type="pct"/>
            <w:tcBorders>
              <w:top w:val="single" w:sz="4" w:space="0" w:color="auto"/>
              <w:bottom w:val="single" w:sz="4" w:space="0" w:color="auto"/>
              <w:right w:val="nil"/>
            </w:tcBorders>
            <w:shd w:val="clear" w:color="auto" w:fill="auto"/>
            <w:vAlign w:val="center"/>
          </w:tcPr>
          <w:p w:rsidR="0085101F" w:rsidRPr="00810867" w:rsidRDefault="002504A5" w:rsidP="00503B80">
            <w:pPr>
              <w:spacing w:before="120" w:after="120"/>
              <w:jc w:val="center"/>
              <w:rPr>
                <w:rFonts w:ascii="Arial" w:hAnsi="Arial" w:cs="Arial"/>
                <w:bCs/>
                <w:sz w:val="20"/>
                <w:szCs w:val="20"/>
                <w:lang w:eastAsia="en-GB"/>
              </w:rPr>
            </w:pPr>
            <w:hyperlink w:anchor="Decision10COM1BUR2_1" w:history="1">
              <w:r w:rsidR="0085101F" w:rsidRPr="00810867">
                <w:rPr>
                  <w:rStyle w:val="Hyperlink"/>
                  <w:rFonts w:ascii="Arial" w:hAnsi="Arial" w:cs="Arial"/>
                  <w:bCs/>
                  <w:sz w:val="20"/>
                  <w:szCs w:val="20"/>
                  <w:lang w:eastAsia="en-GB"/>
                </w:rPr>
                <w:t>10</w:t>
              </w:r>
              <w:proofErr w:type="gramStart"/>
              <w:r w:rsidR="0085101F" w:rsidRPr="00810867">
                <w:rPr>
                  <w:rStyle w:val="Hyperlink"/>
                  <w:rFonts w:ascii="Arial" w:hAnsi="Arial" w:cs="Arial"/>
                  <w:bCs/>
                  <w:sz w:val="20"/>
                  <w:szCs w:val="20"/>
                  <w:lang w:eastAsia="en-GB"/>
                </w:rPr>
                <w:t>.CO</w:t>
              </w:r>
              <w:r w:rsidR="0085101F" w:rsidRPr="00810867">
                <w:rPr>
                  <w:rStyle w:val="Hyperlink"/>
                  <w:rFonts w:ascii="Arial" w:hAnsi="Arial" w:cs="Arial"/>
                  <w:bCs/>
                  <w:sz w:val="20"/>
                  <w:szCs w:val="20"/>
                  <w:lang w:eastAsia="en-GB"/>
                </w:rPr>
                <w:t>M</w:t>
              </w:r>
              <w:proofErr w:type="gramEnd"/>
              <w:r w:rsidR="0085101F" w:rsidRPr="00810867">
                <w:rPr>
                  <w:rStyle w:val="Hyperlink"/>
                  <w:rFonts w:ascii="Arial" w:hAnsi="Arial" w:cs="Arial"/>
                  <w:bCs/>
                  <w:sz w:val="20"/>
                  <w:szCs w:val="20"/>
                  <w:lang w:eastAsia="en-GB"/>
                </w:rPr>
                <w:t> 1</w:t>
              </w:r>
              <w:r w:rsidR="0085101F" w:rsidRPr="00810867">
                <w:rPr>
                  <w:rStyle w:val="Hyperlink"/>
                  <w:rFonts w:ascii="Arial" w:hAnsi="Arial" w:cs="Arial"/>
                  <w:bCs/>
                  <w:sz w:val="20"/>
                  <w:szCs w:val="20"/>
                  <w:lang w:eastAsia="en-GB"/>
                </w:rPr>
                <w:t>.</w:t>
              </w:r>
              <w:r w:rsidR="0085101F" w:rsidRPr="00810867">
                <w:rPr>
                  <w:rStyle w:val="Hyperlink"/>
                  <w:rFonts w:ascii="Arial" w:hAnsi="Arial" w:cs="Arial"/>
                  <w:bCs/>
                  <w:sz w:val="20"/>
                  <w:szCs w:val="20"/>
                  <w:lang w:eastAsia="en-GB"/>
                </w:rPr>
                <w:t>B</w:t>
              </w:r>
              <w:r w:rsidR="0085101F" w:rsidRPr="00810867">
                <w:rPr>
                  <w:rStyle w:val="Hyperlink"/>
                  <w:rFonts w:ascii="Arial" w:hAnsi="Arial" w:cs="Arial"/>
                  <w:bCs/>
                  <w:sz w:val="20"/>
                  <w:szCs w:val="20"/>
                  <w:lang w:eastAsia="en-GB"/>
                </w:rPr>
                <w:t>U</w:t>
              </w:r>
              <w:r w:rsidR="0085101F" w:rsidRPr="00810867">
                <w:rPr>
                  <w:rStyle w:val="Hyperlink"/>
                  <w:rFonts w:ascii="Arial" w:hAnsi="Arial" w:cs="Arial"/>
                  <w:bCs/>
                  <w:sz w:val="20"/>
                  <w:szCs w:val="20"/>
                  <w:lang w:eastAsia="en-GB"/>
                </w:rPr>
                <w:t>R</w:t>
              </w:r>
              <w:r w:rsidR="0085101F" w:rsidRPr="00810867">
                <w:rPr>
                  <w:rStyle w:val="Hyperlink"/>
                  <w:rFonts w:ascii="Arial" w:hAnsi="Arial" w:cs="Arial"/>
                  <w:bCs/>
                  <w:sz w:val="20"/>
                  <w:szCs w:val="20"/>
                  <w:lang w:eastAsia="en-GB"/>
                </w:rPr>
                <w:t> </w:t>
              </w:r>
              <w:bookmarkStart w:id="0" w:name="Vanuatu"/>
              <w:bookmarkEnd w:id="0"/>
              <w:r w:rsidR="0085101F" w:rsidRPr="00810867">
                <w:rPr>
                  <w:rStyle w:val="Hyperlink"/>
                  <w:rFonts w:ascii="Arial" w:hAnsi="Arial" w:cs="Arial"/>
                  <w:bCs/>
                  <w:sz w:val="20"/>
                  <w:szCs w:val="20"/>
                  <w:lang w:eastAsia="en-GB"/>
                </w:rPr>
                <w:t>2.1</w:t>
              </w:r>
            </w:hyperlink>
          </w:p>
        </w:tc>
        <w:tc>
          <w:tcPr>
            <w:tcW w:w="639" w:type="pct"/>
            <w:tcBorders>
              <w:top w:val="single" w:sz="4" w:space="0" w:color="auto"/>
              <w:left w:val="nil"/>
              <w:bottom w:val="single" w:sz="4" w:space="0" w:color="auto"/>
            </w:tcBorders>
            <w:shd w:val="clear" w:color="auto" w:fill="auto"/>
            <w:vAlign w:val="center"/>
          </w:tcPr>
          <w:p w:rsidR="0085101F" w:rsidRPr="00810867" w:rsidRDefault="0085101F" w:rsidP="00503B80">
            <w:pPr>
              <w:spacing w:before="120" w:after="120"/>
              <w:jc w:val="center"/>
              <w:rPr>
                <w:rFonts w:ascii="Arial" w:hAnsi="Arial" w:cs="Arial"/>
                <w:bCs/>
                <w:sz w:val="20"/>
                <w:szCs w:val="20"/>
                <w:lang w:eastAsia="en-GB"/>
              </w:rPr>
            </w:pPr>
            <w:bookmarkStart w:id="1" w:name="Cote_de_ivoire"/>
            <w:r w:rsidRPr="00810867">
              <w:rPr>
                <w:rFonts w:ascii="Arial" w:hAnsi="Arial" w:cs="Arial"/>
                <w:bCs/>
                <w:sz w:val="20"/>
                <w:szCs w:val="20"/>
                <w:lang w:eastAsia="en-GB"/>
              </w:rPr>
              <w:t>Côte d’Ivoire</w:t>
            </w:r>
            <w:bookmarkEnd w:id="1"/>
          </w:p>
        </w:tc>
        <w:tc>
          <w:tcPr>
            <w:tcW w:w="2187" w:type="pct"/>
            <w:tcBorders>
              <w:top w:val="single" w:sz="4" w:space="0" w:color="auto"/>
              <w:bottom w:val="single" w:sz="4" w:space="0" w:color="auto"/>
            </w:tcBorders>
            <w:shd w:val="clear" w:color="auto" w:fill="auto"/>
            <w:vAlign w:val="center"/>
          </w:tcPr>
          <w:p w:rsidR="0085101F" w:rsidRPr="00810867" w:rsidRDefault="0085101F" w:rsidP="002A2D12">
            <w:pPr>
              <w:spacing w:before="120" w:after="120"/>
              <w:rPr>
                <w:rFonts w:ascii="Arial" w:hAnsi="Arial" w:cs="Arial"/>
                <w:sz w:val="20"/>
                <w:szCs w:val="20"/>
              </w:rPr>
            </w:pPr>
            <w:r w:rsidRPr="00810867">
              <w:rPr>
                <w:rFonts w:ascii="Arial" w:hAnsi="Arial" w:cs="Arial"/>
                <w:sz w:val="20"/>
                <w:szCs w:val="20"/>
              </w:rPr>
              <w:t>Invent</w:t>
            </w:r>
            <w:r w:rsidR="00CA140F" w:rsidRPr="00810867">
              <w:rPr>
                <w:rFonts w:ascii="Arial" w:hAnsi="Arial" w:cs="Arial"/>
                <w:sz w:val="20"/>
                <w:szCs w:val="20"/>
              </w:rPr>
              <w:t xml:space="preserve">aire du patrimoine culturel immatériel présent en </w:t>
            </w:r>
            <w:r w:rsidRPr="00810867">
              <w:rPr>
                <w:rFonts w:ascii="Arial" w:hAnsi="Arial" w:cs="Arial"/>
                <w:sz w:val="20"/>
                <w:szCs w:val="20"/>
              </w:rPr>
              <w:t xml:space="preserve">Côte d’Ivoire </w:t>
            </w:r>
            <w:r w:rsidR="002A2D12" w:rsidRPr="00810867">
              <w:rPr>
                <w:rFonts w:ascii="Arial" w:hAnsi="Arial" w:cs="Arial"/>
                <w:sz w:val="20"/>
                <w:szCs w:val="20"/>
              </w:rPr>
              <w:t xml:space="preserve">en vue de </w:t>
            </w:r>
            <w:r w:rsidR="00CA140F" w:rsidRPr="00810867">
              <w:rPr>
                <w:rFonts w:ascii="Arial" w:hAnsi="Arial" w:cs="Arial"/>
                <w:sz w:val="20"/>
                <w:szCs w:val="20"/>
              </w:rPr>
              <w:t>sa sauvegarde</w:t>
            </w:r>
            <w:r w:rsidRPr="00810867">
              <w:rPr>
                <w:rFonts w:ascii="Arial" w:hAnsi="Arial" w:cs="Arial"/>
                <w:sz w:val="20"/>
                <w:szCs w:val="20"/>
              </w:rPr>
              <w:t xml:space="preserve"> </w:t>
            </w:r>
            <w:r w:rsidR="002A2D12" w:rsidRPr="00810867">
              <w:rPr>
                <w:rFonts w:ascii="Arial" w:hAnsi="Arial" w:cs="Arial"/>
                <w:sz w:val="20"/>
                <w:szCs w:val="20"/>
              </w:rPr>
              <w:t>urgente</w:t>
            </w:r>
          </w:p>
        </w:tc>
        <w:tc>
          <w:tcPr>
            <w:tcW w:w="691" w:type="pct"/>
            <w:tcBorders>
              <w:top w:val="single" w:sz="4" w:space="0" w:color="auto"/>
              <w:bottom w:val="single" w:sz="4" w:space="0" w:color="auto"/>
            </w:tcBorders>
            <w:vAlign w:val="center"/>
          </w:tcPr>
          <w:p w:rsidR="0085101F" w:rsidRPr="00810867" w:rsidRDefault="0085101F" w:rsidP="00A55890">
            <w:pPr>
              <w:spacing w:before="120" w:after="120"/>
              <w:jc w:val="center"/>
              <w:rPr>
                <w:rFonts w:ascii="Arial" w:hAnsi="Arial" w:cs="Arial"/>
                <w:sz w:val="20"/>
                <w:szCs w:val="20"/>
              </w:rPr>
            </w:pPr>
            <w:r w:rsidRPr="00810867">
              <w:rPr>
                <w:rFonts w:ascii="Arial" w:hAnsi="Arial" w:cs="Arial"/>
                <w:sz w:val="20"/>
                <w:szCs w:val="20"/>
              </w:rPr>
              <w:t>299</w:t>
            </w:r>
            <w:r w:rsidR="008340A5" w:rsidRPr="00810867">
              <w:rPr>
                <w:rFonts w:ascii="Arial" w:hAnsi="Arial" w:cs="Arial"/>
                <w:sz w:val="20"/>
                <w:szCs w:val="20"/>
              </w:rPr>
              <w:t> </w:t>
            </w:r>
            <w:r w:rsidRPr="00810867">
              <w:rPr>
                <w:rFonts w:ascii="Arial" w:hAnsi="Arial" w:cs="Arial"/>
                <w:sz w:val="20"/>
                <w:szCs w:val="20"/>
              </w:rPr>
              <w:t>972</w:t>
            </w:r>
            <w:r w:rsidR="008340A5" w:rsidRPr="00810867">
              <w:rPr>
                <w:rFonts w:ascii="Arial" w:hAnsi="Arial" w:cs="Arial"/>
                <w:sz w:val="20"/>
                <w:szCs w:val="20"/>
              </w:rPr>
              <w:t> $ des É.-U.</w:t>
            </w:r>
          </w:p>
        </w:tc>
        <w:tc>
          <w:tcPr>
            <w:tcW w:w="467" w:type="pct"/>
            <w:tcBorders>
              <w:top w:val="single" w:sz="4" w:space="0" w:color="auto"/>
              <w:bottom w:val="single" w:sz="4" w:space="0" w:color="auto"/>
            </w:tcBorders>
            <w:shd w:val="clear" w:color="auto" w:fill="auto"/>
            <w:vAlign w:val="center"/>
          </w:tcPr>
          <w:p w:rsidR="0085101F" w:rsidRPr="00810867" w:rsidRDefault="0085101F" w:rsidP="00A55890">
            <w:pPr>
              <w:spacing w:before="120" w:after="120"/>
              <w:jc w:val="center"/>
              <w:rPr>
                <w:rFonts w:ascii="Arial" w:hAnsi="Arial" w:cs="Arial"/>
                <w:bCs/>
                <w:sz w:val="20"/>
                <w:szCs w:val="20"/>
                <w:lang w:eastAsia="en-GB"/>
              </w:rPr>
            </w:pPr>
            <w:r w:rsidRPr="00810867">
              <w:rPr>
                <w:rFonts w:ascii="Arial" w:hAnsi="Arial" w:cs="Arial"/>
                <w:bCs/>
                <w:sz w:val="20"/>
                <w:szCs w:val="20"/>
                <w:lang w:eastAsia="en-GB"/>
              </w:rPr>
              <w:t>01051</w:t>
            </w:r>
          </w:p>
        </w:tc>
      </w:tr>
      <w:tr w:rsidR="0085101F" w:rsidRPr="00810867" w:rsidTr="00A55890">
        <w:trPr>
          <w:cantSplit/>
          <w:tblHeader/>
        </w:trPr>
        <w:tc>
          <w:tcPr>
            <w:tcW w:w="1016" w:type="pct"/>
            <w:tcBorders>
              <w:top w:val="single" w:sz="4" w:space="0" w:color="auto"/>
              <w:bottom w:val="single" w:sz="4" w:space="0" w:color="auto"/>
              <w:right w:val="nil"/>
            </w:tcBorders>
            <w:shd w:val="clear" w:color="auto" w:fill="auto"/>
            <w:vAlign w:val="center"/>
          </w:tcPr>
          <w:p w:rsidR="0085101F" w:rsidRPr="00810867" w:rsidRDefault="002504A5" w:rsidP="00503B80">
            <w:pPr>
              <w:spacing w:before="120" w:after="120"/>
              <w:jc w:val="center"/>
              <w:rPr>
                <w:rStyle w:val="Hyperlink"/>
                <w:rFonts w:ascii="Arial" w:hAnsi="Arial" w:cs="Arial"/>
                <w:sz w:val="20"/>
                <w:szCs w:val="20"/>
              </w:rPr>
            </w:pPr>
            <w:hyperlink w:anchor="Decision10COM1BUR2_2" w:history="1">
              <w:r w:rsidR="0085101F" w:rsidRPr="00810867">
                <w:rPr>
                  <w:rStyle w:val="Hyperlink"/>
                  <w:rFonts w:ascii="Arial" w:hAnsi="Arial" w:cs="Arial"/>
                  <w:bCs/>
                  <w:sz w:val="20"/>
                  <w:szCs w:val="20"/>
                  <w:lang w:eastAsia="en-GB"/>
                </w:rPr>
                <w:t>10</w:t>
              </w:r>
              <w:proofErr w:type="gramStart"/>
              <w:r w:rsidR="0085101F" w:rsidRPr="00810867">
                <w:rPr>
                  <w:rStyle w:val="Hyperlink"/>
                  <w:rFonts w:ascii="Arial" w:hAnsi="Arial" w:cs="Arial"/>
                  <w:bCs/>
                  <w:sz w:val="20"/>
                  <w:szCs w:val="20"/>
                  <w:lang w:eastAsia="en-GB"/>
                </w:rPr>
                <w:t>.COM</w:t>
              </w:r>
              <w:proofErr w:type="gramEnd"/>
              <w:r w:rsidR="0085101F" w:rsidRPr="00810867">
                <w:rPr>
                  <w:rStyle w:val="Hyperlink"/>
                  <w:rFonts w:ascii="Arial" w:hAnsi="Arial" w:cs="Arial"/>
                  <w:bCs/>
                  <w:sz w:val="20"/>
                  <w:szCs w:val="20"/>
                  <w:lang w:eastAsia="en-GB"/>
                </w:rPr>
                <w:t> 1.BU</w:t>
              </w:r>
              <w:r w:rsidR="0085101F" w:rsidRPr="00810867">
                <w:rPr>
                  <w:rStyle w:val="Hyperlink"/>
                  <w:rFonts w:ascii="Arial" w:hAnsi="Arial" w:cs="Arial"/>
                  <w:bCs/>
                  <w:sz w:val="20"/>
                  <w:szCs w:val="20"/>
                  <w:lang w:eastAsia="en-GB"/>
                </w:rPr>
                <w:t>R</w:t>
              </w:r>
              <w:r w:rsidR="0085101F" w:rsidRPr="00810867">
                <w:rPr>
                  <w:rStyle w:val="Hyperlink"/>
                  <w:rFonts w:ascii="Arial" w:hAnsi="Arial" w:cs="Arial"/>
                  <w:bCs/>
                  <w:sz w:val="20"/>
                  <w:szCs w:val="20"/>
                  <w:lang w:eastAsia="en-GB"/>
                </w:rPr>
                <w:t> 2.2</w:t>
              </w:r>
            </w:hyperlink>
          </w:p>
        </w:tc>
        <w:tc>
          <w:tcPr>
            <w:tcW w:w="639" w:type="pct"/>
            <w:tcBorders>
              <w:top w:val="single" w:sz="4" w:space="0" w:color="auto"/>
              <w:left w:val="nil"/>
              <w:bottom w:val="single" w:sz="4" w:space="0" w:color="auto"/>
            </w:tcBorders>
            <w:shd w:val="clear" w:color="auto" w:fill="auto"/>
            <w:vAlign w:val="center"/>
          </w:tcPr>
          <w:p w:rsidR="0085101F" w:rsidRPr="00810867" w:rsidRDefault="0085101F" w:rsidP="00503B80">
            <w:pPr>
              <w:spacing w:before="120" w:after="120"/>
              <w:jc w:val="center"/>
              <w:rPr>
                <w:rFonts w:ascii="Arial" w:hAnsi="Arial" w:cs="Arial"/>
                <w:sz w:val="20"/>
                <w:szCs w:val="20"/>
              </w:rPr>
            </w:pPr>
            <w:r w:rsidRPr="00810867">
              <w:rPr>
                <w:rFonts w:ascii="Arial" w:hAnsi="Arial" w:cs="Arial"/>
                <w:sz w:val="20"/>
                <w:szCs w:val="20"/>
              </w:rPr>
              <w:t>Vanuatu</w:t>
            </w:r>
          </w:p>
        </w:tc>
        <w:tc>
          <w:tcPr>
            <w:tcW w:w="2187" w:type="pct"/>
            <w:tcBorders>
              <w:top w:val="single" w:sz="4" w:space="0" w:color="auto"/>
              <w:bottom w:val="single" w:sz="4" w:space="0" w:color="auto"/>
            </w:tcBorders>
            <w:shd w:val="clear" w:color="auto" w:fill="auto"/>
            <w:vAlign w:val="center"/>
          </w:tcPr>
          <w:p w:rsidR="0085101F" w:rsidRPr="00810867" w:rsidRDefault="0085101F" w:rsidP="002A1069">
            <w:pPr>
              <w:spacing w:before="120" w:after="120"/>
              <w:rPr>
                <w:rFonts w:ascii="Arial" w:hAnsi="Arial" w:cs="Arial"/>
                <w:sz w:val="20"/>
                <w:szCs w:val="20"/>
              </w:rPr>
            </w:pPr>
            <w:r w:rsidRPr="00810867">
              <w:rPr>
                <w:rFonts w:ascii="Arial" w:hAnsi="Arial" w:cs="Arial"/>
                <w:sz w:val="20"/>
                <w:szCs w:val="20"/>
              </w:rPr>
              <w:t>Sa</w:t>
            </w:r>
            <w:r w:rsidR="00657A76" w:rsidRPr="00810867">
              <w:rPr>
                <w:rFonts w:ascii="Arial" w:hAnsi="Arial" w:cs="Arial"/>
                <w:sz w:val="20"/>
                <w:szCs w:val="20"/>
              </w:rPr>
              <w:t xml:space="preserve">uvegarde de l’architecture vernaculaire autochtone et des connaissances en matière de construction au </w:t>
            </w:r>
            <w:r w:rsidRPr="00810867">
              <w:rPr>
                <w:rFonts w:ascii="Arial" w:hAnsi="Arial" w:cs="Arial"/>
                <w:sz w:val="20"/>
                <w:szCs w:val="20"/>
              </w:rPr>
              <w:t>Vanuatu</w:t>
            </w:r>
          </w:p>
        </w:tc>
        <w:tc>
          <w:tcPr>
            <w:tcW w:w="691" w:type="pct"/>
            <w:tcBorders>
              <w:top w:val="single" w:sz="4" w:space="0" w:color="auto"/>
              <w:bottom w:val="single" w:sz="4" w:space="0" w:color="auto"/>
            </w:tcBorders>
            <w:vAlign w:val="center"/>
          </w:tcPr>
          <w:p w:rsidR="0085101F" w:rsidRPr="00810867" w:rsidRDefault="0085101F" w:rsidP="00A55890">
            <w:pPr>
              <w:spacing w:before="120" w:after="120"/>
              <w:jc w:val="center"/>
              <w:rPr>
                <w:rFonts w:ascii="Arial" w:hAnsi="Arial" w:cs="Arial"/>
                <w:sz w:val="20"/>
                <w:szCs w:val="20"/>
              </w:rPr>
            </w:pPr>
            <w:r w:rsidRPr="00810867">
              <w:rPr>
                <w:rFonts w:ascii="Arial" w:hAnsi="Arial" w:cs="Arial"/>
                <w:sz w:val="20"/>
                <w:szCs w:val="20"/>
              </w:rPr>
              <w:t>23</w:t>
            </w:r>
            <w:r w:rsidR="008340A5" w:rsidRPr="00810867">
              <w:rPr>
                <w:rFonts w:ascii="Arial" w:hAnsi="Arial" w:cs="Arial"/>
                <w:sz w:val="20"/>
                <w:szCs w:val="20"/>
              </w:rPr>
              <w:t> </w:t>
            </w:r>
            <w:r w:rsidRPr="00810867">
              <w:rPr>
                <w:rFonts w:ascii="Arial" w:hAnsi="Arial" w:cs="Arial"/>
                <w:sz w:val="20"/>
                <w:szCs w:val="20"/>
              </w:rPr>
              <w:t>908</w:t>
            </w:r>
            <w:r w:rsidR="008340A5" w:rsidRPr="00810867">
              <w:rPr>
                <w:rFonts w:ascii="Arial" w:hAnsi="Arial" w:cs="Arial"/>
                <w:sz w:val="20"/>
                <w:szCs w:val="20"/>
              </w:rPr>
              <w:t> </w:t>
            </w:r>
            <w:r w:rsidR="00D965B1" w:rsidRPr="00810867">
              <w:rPr>
                <w:rFonts w:ascii="Arial" w:hAnsi="Arial" w:cs="Arial"/>
                <w:sz w:val="20"/>
                <w:szCs w:val="20"/>
              </w:rPr>
              <w:t xml:space="preserve">$ </w:t>
            </w:r>
            <w:r w:rsidR="008340A5" w:rsidRPr="00810867">
              <w:rPr>
                <w:rFonts w:ascii="Arial" w:hAnsi="Arial" w:cs="Arial"/>
                <w:sz w:val="20"/>
                <w:szCs w:val="20"/>
              </w:rPr>
              <w:t xml:space="preserve">des </w:t>
            </w:r>
            <w:r w:rsidR="00D965B1" w:rsidRPr="00810867">
              <w:rPr>
                <w:rFonts w:ascii="Arial" w:hAnsi="Arial" w:cs="Arial"/>
                <w:sz w:val="20"/>
                <w:szCs w:val="20"/>
              </w:rPr>
              <w:t>É</w:t>
            </w:r>
            <w:r w:rsidR="008340A5" w:rsidRPr="00810867">
              <w:rPr>
                <w:rFonts w:ascii="Arial" w:hAnsi="Arial" w:cs="Arial"/>
                <w:sz w:val="20"/>
                <w:szCs w:val="20"/>
              </w:rPr>
              <w:t>.</w:t>
            </w:r>
            <w:r w:rsidR="00D965B1" w:rsidRPr="00810867">
              <w:rPr>
                <w:rFonts w:ascii="Arial" w:hAnsi="Arial" w:cs="Arial"/>
                <w:sz w:val="20"/>
                <w:szCs w:val="20"/>
              </w:rPr>
              <w:t>-U.</w:t>
            </w:r>
          </w:p>
        </w:tc>
        <w:tc>
          <w:tcPr>
            <w:tcW w:w="467" w:type="pct"/>
            <w:tcBorders>
              <w:top w:val="single" w:sz="4" w:space="0" w:color="auto"/>
              <w:bottom w:val="single" w:sz="4" w:space="0" w:color="auto"/>
            </w:tcBorders>
            <w:shd w:val="clear" w:color="auto" w:fill="auto"/>
            <w:vAlign w:val="center"/>
          </w:tcPr>
          <w:p w:rsidR="0085101F" w:rsidRPr="00810867" w:rsidRDefault="0085101F" w:rsidP="00A55890">
            <w:pPr>
              <w:spacing w:before="120" w:after="120"/>
              <w:jc w:val="center"/>
              <w:rPr>
                <w:rFonts w:ascii="Arial" w:hAnsi="Arial" w:cs="Arial"/>
                <w:sz w:val="20"/>
                <w:szCs w:val="20"/>
              </w:rPr>
            </w:pPr>
            <w:r w:rsidRPr="00810867">
              <w:rPr>
                <w:rFonts w:ascii="Arial" w:hAnsi="Arial" w:cs="Arial"/>
                <w:sz w:val="20"/>
                <w:szCs w:val="20"/>
              </w:rPr>
              <w:t>01214</w:t>
            </w:r>
          </w:p>
        </w:tc>
      </w:tr>
    </w:tbl>
    <w:p w:rsidR="0085101F" w:rsidRPr="00481C4C" w:rsidRDefault="00657A76" w:rsidP="00A55890">
      <w:pPr>
        <w:pStyle w:val="COMParabodytext"/>
        <w:spacing w:before="240"/>
        <w:ind w:left="567" w:hanging="567"/>
        <w:rPr>
          <w:lang w:val="fr-FR"/>
        </w:rPr>
      </w:pPr>
      <w:r w:rsidRPr="00481C4C">
        <w:rPr>
          <w:lang w:val="fr-FR"/>
        </w:rPr>
        <w:t xml:space="preserve">Lors de sa </w:t>
      </w:r>
      <w:r w:rsidR="000D4F5D" w:rsidRPr="00481C4C">
        <w:rPr>
          <w:lang w:val="fr-FR"/>
        </w:rPr>
        <w:t>huitième</w:t>
      </w:r>
      <w:r w:rsidRPr="00481C4C">
        <w:rPr>
          <w:lang w:val="fr-FR"/>
        </w:rPr>
        <w:t xml:space="preserve"> session, </w:t>
      </w:r>
      <w:r w:rsidR="000D4F5D" w:rsidRPr="00481C4C">
        <w:rPr>
          <w:lang w:val="fr-FR"/>
        </w:rPr>
        <w:t>par</w:t>
      </w:r>
      <w:r w:rsidRPr="00481C4C">
        <w:rPr>
          <w:lang w:val="fr-FR"/>
        </w:rPr>
        <w:t xml:space="preserve"> sa décision </w:t>
      </w:r>
      <w:r w:rsidR="0085101F" w:rsidRPr="00481C4C">
        <w:rPr>
          <w:lang w:val="fr-FR"/>
        </w:rPr>
        <w:t xml:space="preserve">8.COM 7.c, </w:t>
      </w:r>
      <w:r w:rsidRPr="00481C4C">
        <w:rPr>
          <w:lang w:val="fr-FR"/>
        </w:rPr>
        <w:t>l</w:t>
      </w:r>
      <w:r w:rsidR="0085101F" w:rsidRPr="00481C4C">
        <w:rPr>
          <w:lang w:val="fr-FR"/>
        </w:rPr>
        <w:t>e Comit</w:t>
      </w:r>
      <w:r w:rsidRPr="00481C4C">
        <w:rPr>
          <w:lang w:val="fr-FR"/>
        </w:rPr>
        <w:t xml:space="preserve">é a demandé au </w:t>
      </w:r>
      <w:r w:rsidR="0085101F" w:rsidRPr="00481C4C">
        <w:rPr>
          <w:lang w:val="fr-FR"/>
        </w:rPr>
        <w:t>Secr</w:t>
      </w:r>
      <w:r w:rsidRPr="00481C4C">
        <w:rPr>
          <w:lang w:val="fr-FR"/>
        </w:rPr>
        <w:t>é</w:t>
      </w:r>
      <w:r w:rsidR="0085101F" w:rsidRPr="00481C4C">
        <w:rPr>
          <w:lang w:val="fr-FR"/>
        </w:rPr>
        <w:t xml:space="preserve">tariat </w:t>
      </w:r>
      <w:r w:rsidRPr="00481C4C">
        <w:rPr>
          <w:lang w:val="fr-FR"/>
        </w:rPr>
        <w:t>de</w:t>
      </w:r>
      <w:r w:rsidR="0085101F" w:rsidRPr="00481C4C">
        <w:rPr>
          <w:lang w:val="fr-FR"/>
        </w:rPr>
        <w:t xml:space="preserve"> </w:t>
      </w:r>
      <w:r w:rsidR="00C547E4" w:rsidRPr="00481C4C">
        <w:rPr>
          <w:lang w:val="fr-FR"/>
        </w:rPr>
        <w:t>« </w:t>
      </w:r>
      <w:r w:rsidR="000D4F5D" w:rsidRPr="00481C4C">
        <w:rPr>
          <w:lang w:val="fr-FR"/>
        </w:rPr>
        <w:t>de trouver un moyen, à plus court terme et à titre expérimental, d’offrir une assistance technique, à travers la mise à disposition d’experts, telle que décrite à l’article 21 de la Convention, aux États parties souhaitant élaborer une demande d’assistance internationale</w:t>
      </w:r>
      <w:r w:rsidR="00714F53" w:rsidRPr="00481C4C">
        <w:rPr>
          <w:lang w:val="fr-FR"/>
        </w:rPr>
        <w:t> »</w:t>
      </w:r>
      <w:r w:rsidR="00A55890" w:rsidRPr="00481C4C">
        <w:rPr>
          <w:lang w:val="fr-FR"/>
        </w:rPr>
        <w:t>.</w:t>
      </w:r>
      <w:r w:rsidR="0085101F" w:rsidRPr="00481C4C">
        <w:rPr>
          <w:lang w:val="fr-FR"/>
        </w:rPr>
        <w:t xml:space="preserve"> (</w:t>
      </w:r>
      <w:r w:rsidR="00714F53" w:rsidRPr="00481C4C">
        <w:rPr>
          <w:lang w:val="fr-FR"/>
        </w:rPr>
        <w:t>voir dans le document</w:t>
      </w:r>
      <w:r w:rsidR="0085101F" w:rsidRPr="00481C4C">
        <w:rPr>
          <w:lang w:val="fr-FR"/>
        </w:rPr>
        <w:t xml:space="preserve"> ITH/15/10.COM 1.BUR/1 </w:t>
      </w:r>
      <w:r w:rsidR="00714F53" w:rsidRPr="00481C4C">
        <w:rPr>
          <w:lang w:val="fr-FR"/>
        </w:rPr>
        <w:t xml:space="preserve">les critères </w:t>
      </w:r>
      <w:r w:rsidR="00882F6A" w:rsidRPr="00481C4C">
        <w:rPr>
          <w:lang w:val="fr-FR"/>
        </w:rPr>
        <w:t>d’octroi de</w:t>
      </w:r>
      <w:r w:rsidR="00714F53" w:rsidRPr="00481C4C">
        <w:rPr>
          <w:lang w:val="fr-FR"/>
        </w:rPr>
        <w:t xml:space="preserve"> </w:t>
      </w:r>
      <w:r w:rsidR="00882F6A" w:rsidRPr="00481C4C">
        <w:rPr>
          <w:lang w:val="fr-FR"/>
        </w:rPr>
        <w:t>l’</w:t>
      </w:r>
      <w:r w:rsidR="00714F53" w:rsidRPr="00481C4C">
        <w:rPr>
          <w:lang w:val="fr-FR"/>
        </w:rPr>
        <w:t>assistance</w:t>
      </w:r>
      <w:r w:rsidR="0085101F" w:rsidRPr="00481C4C">
        <w:rPr>
          <w:lang w:val="fr-FR"/>
        </w:rPr>
        <w:t>)</w:t>
      </w:r>
    </w:p>
    <w:p w:rsidR="00C00BFF" w:rsidRPr="00C00BFF" w:rsidRDefault="00714F53" w:rsidP="00C00BFF">
      <w:pPr>
        <w:pStyle w:val="COMParabodytext"/>
        <w:spacing w:before="120"/>
        <w:ind w:left="567" w:hanging="567"/>
        <w:rPr>
          <w:lang w:val="fr-FR"/>
        </w:rPr>
      </w:pPr>
      <w:r w:rsidRPr="00810867">
        <w:rPr>
          <w:lang w:val="fr-FR"/>
        </w:rPr>
        <w:t xml:space="preserve">La demande de la </w:t>
      </w:r>
      <w:r w:rsidR="0085101F" w:rsidRPr="000D4F5D">
        <w:rPr>
          <w:lang w:val="fr-FR"/>
        </w:rPr>
        <w:t xml:space="preserve">Côte d’Ivoire </w:t>
      </w:r>
      <w:r w:rsidR="0085101F" w:rsidRPr="00810867">
        <w:rPr>
          <w:lang w:val="fr-FR"/>
        </w:rPr>
        <w:t>a b</w:t>
      </w:r>
      <w:r w:rsidRPr="00810867">
        <w:rPr>
          <w:lang w:val="fr-FR"/>
        </w:rPr>
        <w:t>é</w:t>
      </w:r>
      <w:r w:rsidR="0085101F" w:rsidRPr="00810867">
        <w:rPr>
          <w:lang w:val="fr-FR"/>
        </w:rPr>
        <w:t>n</w:t>
      </w:r>
      <w:r w:rsidRPr="00810867">
        <w:rPr>
          <w:lang w:val="fr-FR"/>
        </w:rPr>
        <w:t>é</w:t>
      </w:r>
      <w:r w:rsidR="0085101F" w:rsidRPr="00810867">
        <w:rPr>
          <w:lang w:val="fr-FR"/>
        </w:rPr>
        <w:t>fi</w:t>
      </w:r>
      <w:r w:rsidRPr="00810867">
        <w:rPr>
          <w:lang w:val="fr-FR"/>
        </w:rPr>
        <w:t xml:space="preserve">cié de cette assistance technique pour améliorer </w:t>
      </w:r>
      <w:r w:rsidR="000D4F5D" w:rsidRPr="00810867">
        <w:rPr>
          <w:lang w:val="fr-FR"/>
        </w:rPr>
        <w:t xml:space="preserve">et </w:t>
      </w:r>
      <w:r w:rsidR="000D4F5D">
        <w:rPr>
          <w:lang w:val="fr-FR"/>
        </w:rPr>
        <w:t xml:space="preserve">compléter </w:t>
      </w:r>
      <w:r w:rsidRPr="00810867">
        <w:rPr>
          <w:lang w:val="fr-FR"/>
        </w:rPr>
        <w:t>sa demande</w:t>
      </w:r>
      <w:r w:rsidR="0085101F" w:rsidRPr="00810867">
        <w:rPr>
          <w:lang w:val="fr-FR"/>
        </w:rPr>
        <w:t xml:space="preserve">. </w:t>
      </w:r>
      <w:r w:rsidR="00882F6A" w:rsidRPr="00810867">
        <w:rPr>
          <w:lang w:val="fr-FR"/>
        </w:rPr>
        <w:t>E</w:t>
      </w:r>
      <w:r w:rsidR="0085101F" w:rsidRPr="00810867">
        <w:rPr>
          <w:lang w:val="fr-FR"/>
        </w:rPr>
        <w:t>n particul</w:t>
      </w:r>
      <w:r w:rsidR="00882F6A" w:rsidRPr="00810867">
        <w:rPr>
          <w:lang w:val="fr-FR"/>
        </w:rPr>
        <w:t>ier,</w:t>
      </w:r>
      <w:r w:rsidR="0085101F" w:rsidRPr="00810867">
        <w:rPr>
          <w:lang w:val="fr-FR"/>
        </w:rPr>
        <w:t xml:space="preserve"> </w:t>
      </w:r>
      <w:r w:rsidR="00882F6A" w:rsidRPr="00810867">
        <w:rPr>
          <w:lang w:val="fr-FR"/>
        </w:rPr>
        <w:t>l’</w:t>
      </w:r>
      <w:r w:rsidR="00E01D22" w:rsidRPr="00810867">
        <w:rPr>
          <w:lang w:val="fr-FR"/>
        </w:rPr>
        <w:t>État</w:t>
      </w:r>
      <w:r w:rsidR="00882F6A" w:rsidRPr="00810867">
        <w:rPr>
          <w:lang w:val="fr-FR"/>
        </w:rPr>
        <w:t xml:space="preserve"> </w:t>
      </w:r>
      <w:r w:rsidR="000D4F5D">
        <w:rPr>
          <w:lang w:val="fr-FR"/>
        </w:rPr>
        <w:t>soumissionnaire</w:t>
      </w:r>
      <w:r w:rsidR="00AF40FF" w:rsidRPr="00810867">
        <w:rPr>
          <w:lang w:val="fr-FR"/>
        </w:rPr>
        <w:t xml:space="preserve"> </w:t>
      </w:r>
      <w:r w:rsidR="00882F6A" w:rsidRPr="00810867">
        <w:rPr>
          <w:lang w:val="fr-FR"/>
        </w:rPr>
        <w:t>a bénéficié d</w:t>
      </w:r>
      <w:r w:rsidR="00B76411" w:rsidRPr="00810867">
        <w:rPr>
          <w:lang w:val="fr-FR"/>
        </w:rPr>
        <w:t>e l’aide d</w:t>
      </w:r>
      <w:r w:rsidR="00882F6A" w:rsidRPr="00810867">
        <w:rPr>
          <w:lang w:val="fr-FR"/>
        </w:rPr>
        <w:t>’un expert qui était chargé d’analyser la demande telle qu’elle avait été formulée par l’</w:t>
      </w:r>
      <w:r w:rsidR="00E01D22" w:rsidRPr="00810867">
        <w:rPr>
          <w:lang w:val="fr-FR"/>
        </w:rPr>
        <w:t>État</w:t>
      </w:r>
      <w:r w:rsidR="00882F6A" w:rsidRPr="00810867">
        <w:rPr>
          <w:lang w:val="fr-FR"/>
        </w:rPr>
        <w:t xml:space="preserve"> et d’identifier les aspects </w:t>
      </w:r>
      <w:r w:rsidR="004D381A" w:rsidRPr="00810867">
        <w:rPr>
          <w:lang w:val="fr-FR"/>
        </w:rPr>
        <w:t xml:space="preserve">appelant </w:t>
      </w:r>
      <w:r w:rsidR="00B76411" w:rsidRPr="00810867">
        <w:rPr>
          <w:lang w:val="fr-FR"/>
        </w:rPr>
        <w:t>des</w:t>
      </w:r>
      <w:r w:rsidR="004D381A" w:rsidRPr="00810867">
        <w:rPr>
          <w:lang w:val="fr-FR"/>
        </w:rPr>
        <w:t xml:space="preserve"> améliorations </w:t>
      </w:r>
      <w:r w:rsidR="00B76411" w:rsidRPr="00810867">
        <w:rPr>
          <w:lang w:val="fr-FR"/>
        </w:rPr>
        <w:t>substantielles</w:t>
      </w:r>
      <w:r w:rsidR="004D381A" w:rsidRPr="00810867">
        <w:rPr>
          <w:lang w:val="fr-FR"/>
        </w:rPr>
        <w:t xml:space="preserve">, en prenant en compte l’esprit et les objectifs de la </w:t>
      </w:r>
      <w:r w:rsidR="0085101F" w:rsidRPr="00810867">
        <w:rPr>
          <w:lang w:val="fr-FR"/>
        </w:rPr>
        <w:t>Convention a</w:t>
      </w:r>
      <w:r w:rsidR="004D381A" w:rsidRPr="00810867">
        <w:rPr>
          <w:lang w:val="fr-FR"/>
        </w:rPr>
        <w:t>insi que le</w:t>
      </w:r>
      <w:r w:rsidR="002136E0" w:rsidRPr="00810867">
        <w:rPr>
          <w:lang w:val="fr-FR"/>
        </w:rPr>
        <w:t>s critères d’admissibilité et</w:t>
      </w:r>
      <w:r w:rsidR="004D381A" w:rsidRPr="00810867">
        <w:rPr>
          <w:lang w:val="fr-FR"/>
        </w:rPr>
        <w:t xml:space="preserve"> de sélection des demandes d’assistance internationale tels que décrits </w:t>
      </w:r>
      <w:r w:rsidR="00AF40FF" w:rsidRPr="00810867">
        <w:rPr>
          <w:lang w:val="fr-FR"/>
        </w:rPr>
        <w:t>au</w:t>
      </w:r>
      <w:r w:rsidR="004D381A" w:rsidRPr="00810867">
        <w:rPr>
          <w:lang w:val="fr-FR"/>
        </w:rPr>
        <w:t xml:space="preserve"> chapitre </w:t>
      </w:r>
      <w:r w:rsidR="0085101F" w:rsidRPr="00810867">
        <w:rPr>
          <w:lang w:val="fr-FR"/>
        </w:rPr>
        <w:t xml:space="preserve">I.4 </w:t>
      </w:r>
      <w:r w:rsidR="004D381A" w:rsidRPr="00810867">
        <w:rPr>
          <w:lang w:val="fr-FR"/>
        </w:rPr>
        <w:t>des Directives opérationnelles</w:t>
      </w:r>
      <w:r w:rsidR="0085101F" w:rsidRPr="00810867">
        <w:rPr>
          <w:lang w:val="fr-FR"/>
        </w:rPr>
        <w:t xml:space="preserve">. </w:t>
      </w:r>
      <w:r w:rsidR="000D4F5D">
        <w:rPr>
          <w:lang w:val="fr-FR"/>
        </w:rPr>
        <w:t>Dans le cadre de son</w:t>
      </w:r>
      <w:r w:rsidR="00C547E4" w:rsidRPr="00810867">
        <w:rPr>
          <w:lang w:val="fr-FR"/>
        </w:rPr>
        <w:t xml:space="preserve"> contrat, l’expert a effectué une mission de conseil d’une semaine à </w:t>
      </w:r>
      <w:r w:rsidR="0085101F" w:rsidRPr="00810867">
        <w:rPr>
          <w:lang w:val="fr-FR"/>
        </w:rPr>
        <w:t xml:space="preserve">Abidjan </w:t>
      </w:r>
      <w:r w:rsidR="00C547E4" w:rsidRPr="00810867">
        <w:rPr>
          <w:lang w:val="fr-FR"/>
        </w:rPr>
        <w:t xml:space="preserve">qui a été préparée en </w:t>
      </w:r>
      <w:r w:rsidR="00C00BFF" w:rsidRPr="00810867">
        <w:rPr>
          <w:lang w:val="fr-FR"/>
        </w:rPr>
        <w:t xml:space="preserve">étroite </w:t>
      </w:r>
      <w:r w:rsidR="00C547E4" w:rsidRPr="00810867">
        <w:rPr>
          <w:lang w:val="fr-FR"/>
        </w:rPr>
        <w:t>liaison avec l’</w:t>
      </w:r>
      <w:r w:rsidR="00E01D22" w:rsidRPr="00810867">
        <w:rPr>
          <w:lang w:val="fr-FR"/>
        </w:rPr>
        <w:t>État</w:t>
      </w:r>
      <w:r w:rsidR="00C547E4" w:rsidRPr="00810867">
        <w:rPr>
          <w:lang w:val="fr-FR"/>
        </w:rPr>
        <w:t xml:space="preserve"> </w:t>
      </w:r>
      <w:r w:rsidR="000D4F5D">
        <w:rPr>
          <w:lang w:val="fr-FR"/>
        </w:rPr>
        <w:t>soumissionnaire</w:t>
      </w:r>
      <w:r w:rsidR="0085101F" w:rsidRPr="00810867">
        <w:rPr>
          <w:lang w:val="fr-FR"/>
        </w:rPr>
        <w:t xml:space="preserve">. </w:t>
      </w:r>
      <w:r w:rsidR="00AF40FF" w:rsidRPr="00810867">
        <w:rPr>
          <w:lang w:val="fr-FR"/>
        </w:rPr>
        <w:t>À la suite de cette mission, l’e</w:t>
      </w:r>
      <w:r w:rsidR="0085101F" w:rsidRPr="00810867">
        <w:rPr>
          <w:lang w:val="fr-FR"/>
        </w:rPr>
        <w:t xml:space="preserve">xpert </w:t>
      </w:r>
      <w:r w:rsidR="00AF40FF" w:rsidRPr="00810867">
        <w:rPr>
          <w:lang w:val="fr-FR"/>
        </w:rPr>
        <w:t xml:space="preserve">a </w:t>
      </w:r>
      <w:r w:rsidR="002136E0" w:rsidRPr="00810867">
        <w:rPr>
          <w:lang w:val="fr-FR"/>
        </w:rPr>
        <w:t>formulé</w:t>
      </w:r>
      <w:r w:rsidR="00AF40FF" w:rsidRPr="00810867">
        <w:rPr>
          <w:lang w:val="fr-FR"/>
        </w:rPr>
        <w:t xml:space="preserve"> des conseils pour </w:t>
      </w:r>
      <w:r w:rsidR="000D4F5D">
        <w:rPr>
          <w:lang w:val="fr-FR"/>
        </w:rPr>
        <w:t>la révision de</w:t>
      </w:r>
      <w:r w:rsidR="00AF40FF" w:rsidRPr="00810867">
        <w:rPr>
          <w:lang w:val="fr-FR"/>
        </w:rPr>
        <w:t xml:space="preserve"> la demande</w:t>
      </w:r>
      <w:r w:rsidR="0085101F" w:rsidRPr="00810867">
        <w:rPr>
          <w:lang w:val="fr-FR"/>
        </w:rPr>
        <w:t xml:space="preserve">. </w:t>
      </w:r>
      <w:r w:rsidR="00AF40FF" w:rsidRPr="00810867">
        <w:rPr>
          <w:lang w:val="fr-FR"/>
        </w:rPr>
        <w:t xml:space="preserve">La demande </w:t>
      </w:r>
      <w:r w:rsidR="00AF40FF" w:rsidRPr="00481C4C">
        <w:rPr>
          <w:lang w:val="fr-FR"/>
        </w:rPr>
        <w:t>révisée</w:t>
      </w:r>
      <w:r w:rsidR="00AF40FF" w:rsidRPr="00810867">
        <w:rPr>
          <w:lang w:val="fr-FR"/>
        </w:rPr>
        <w:t xml:space="preserve"> </w:t>
      </w:r>
      <w:r w:rsidR="002136E0" w:rsidRPr="00810867">
        <w:rPr>
          <w:lang w:val="fr-FR"/>
        </w:rPr>
        <w:t>qui en résulte</w:t>
      </w:r>
      <w:r w:rsidR="00AF40FF" w:rsidRPr="00810867">
        <w:rPr>
          <w:lang w:val="fr-FR"/>
        </w:rPr>
        <w:t xml:space="preserve"> est celle qu’il est demandé au Bureau d’examiner aujourd’hui</w:t>
      </w:r>
      <w:r w:rsidR="0085101F" w:rsidRPr="00810867">
        <w:rPr>
          <w:lang w:val="fr-FR"/>
        </w:rPr>
        <w:t>.</w:t>
      </w:r>
    </w:p>
    <w:p w:rsidR="0085101F" w:rsidRPr="00810867" w:rsidRDefault="00AF40FF" w:rsidP="00A55890">
      <w:pPr>
        <w:pStyle w:val="COMParabodytext"/>
        <w:spacing w:before="120"/>
        <w:ind w:left="567" w:hanging="567"/>
        <w:rPr>
          <w:lang w:val="fr-FR"/>
        </w:rPr>
      </w:pPr>
      <w:r w:rsidRPr="00810867">
        <w:rPr>
          <w:lang w:val="fr-FR"/>
        </w:rPr>
        <w:t>La demande du V</w:t>
      </w:r>
      <w:r w:rsidR="0085101F" w:rsidRPr="00810867">
        <w:rPr>
          <w:lang w:val="fr-FR"/>
        </w:rPr>
        <w:t>anuatu</w:t>
      </w:r>
      <w:r w:rsidR="002136E0" w:rsidRPr="00810867">
        <w:rPr>
          <w:lang w:val="fr-FR"/>
        </w:rPr>
        <w:t>,</w:t>
      </w:r>
      <w:r w:rsidR="0085101F" w:rsidRPr="00810867">
        <w:rPr>
          <w:lang w:val="fr-FR"/>
        </w:rPr>
        <w:t xml:space="preserve"> </w:t>
      </w:r>
      <w:r w:rsidRPr="00810867">
        <w:rPr>
          <w:lang w:val="fr-FR"/>
        </w:rPr>
        <w:t>telle qu’elle a été initialement reçu</w:t>
      </w:r>
      <w:r w:rsidR="005B4A40" w:rsidRPr="00810867">
        <w:rPr>
          <w:lang w:val="fr-FR"/>
        </w:rPr>
        <w:t>e par le Secrétariat</w:t>
      </w:r>
      <w:r w:rsidR="002136E0" w:rsidRPr="00810867">
        <w:rPr>
          <w:lang w:val="fr-FR"/>
        </w:rPr>
        <w:t>,</w:t>
      </w:r>
      <w:r w:rsidR="005B4A40" w:rsidRPr="00810867">
        <w:rPr>
          <w:lang w:val="fr-FR"/>
        </w:rPr>
        <w:t xml:space="preserve"> </w:t>
      </w:r>
      <w:r w:rsidR="0085101F" w:rsidRPr="00810867">
        <w:rPr>
          <w:lang w:val="fr-FR"/>
        </w:rPr>
        <w:t>a</w:t>
      </w:r>
      <w:r w:rsidR="005B4A40" w:rsidRPr="00810867">
        <w:rPr>
          <w:lang w:val="fr-FR"/>
        </w:rPr>
        <w:t xml:space="preserve"> été jugée bonne pour transmis</w:t>
      </w:r>
      <w:r w:rsidR="00FD5015" w:rsidRPr="00810867">
        <w:rPr>
          <w:lang w:val="fr-FR"/>
        </w:rPr>
        <w:t>sion</w:t>
      </w:r>
      <w:r w:rsidR="005B4A40" w:rsidRPr="00810867">
        <w:rPr>
          <w:lang w:val="fr-FR"/>
        </w:rPr>
        <w:t xml:space="preserve"> au Bureau sans révision supplémentaire</w:t>
      </w:r>
      <w:r w:rsidR="0085101F" w:rsidRPr="00810867">
        <w:rPr>
          <w:lang w:val="fr-FR"/>
        </w:rPr>
        <w:t>.</w:t>
      </w:r>
    </w:p>
    <w:p w:rsidR="0085101F" w:rsidRPr="00810867" w:rsidRDefault="005B4A40" w:rsidP="00A55890">
      <w:pPr>
        <w:pStyle w:val="COMParabodytext"/>
        <w:spacing w:before="120"/>
        <w:ind w:left="567" w:hanging="567"/>
        <w:rPr>
          <w:lang w:val="fr-FR"/>
        </w:rPr>
      </w:pPr>
      <w:r w:rsidRPr="00810867">
        <w:rPr>
          <w:lang w:val="fr-FR"/>
        </w:rPr>
        <w:t xml:space="preserve">Les demandes </w:t>
      </w:r>
      <w:r w:rsidR="00A45A35" w:rsidRPr="00810867">
        <w:rPr>
          <w:lang w:val="fr-FR"/>
        </w:rPr>
        <w:t xml:space="preserve">complètes peuvent être consultées en ligne par le </w:t>
      </w:r>
      <w:r w:rsidR="0085101F" w:rsidRPr="00810867">
        <w:rPr>
          <w:lang w:val="fr-FR"/>
        </w:rPr>
        <w:t xml:space="preserve">Bureau </w:t>
      </w:r>
      <w:r w:rsidR="00A45A35" w:rsidRPr="00810867">
        <w:rPr>
          <w:lang w:val="fr-FR"/>
        </w:rPr>
        <w:t>à la pag</w:t>
      </w:r>
      <w:r w:rsidR="002136E0" w:rsidRPr="00810867">
        <w:rPr>
          <w:lang w:val="fr-FR"/>
        </w:rPr>
        <w:t xml:space="preserve">e </w:t>
      </w:r>
      <w:hyperlink r:id="rId9" w:history="1">
        <w:r w:rsidR="002504A5" w:rsidRPr="00013218">
          <w:rPr>
            <w:rStyle w:val="Hyperlink"/>
            <w:lang w:val="fr-FR"/>
          </w:rPr>
          <w:t>http://www.unesco.org/culture/ic</w:t>
        </w:r>
        <w:r w:rsidR="002504A5" w:rsidRPr="00013218">
          <w:rPr>
            <w:rStyle w:val="Hyperlink"/>
            <w:lang w:val="fr-FR"/>
          </w:rPr>
          <w:t>h</w:t>
        </w:r>
        <w:r w:rsidR="002504A5" w:rsidRPr="00013218">
          <w:rPr>
            <w:rStyle w:val="Hyperlink"/>
            <w:lang w:val="fr-FR"/>
          </w:rPr>
          <w:t>/fr/10COM-BUREAU</w:t>
        </w:r>
      </w:hyperlink>
      <w:r w:rsidR="0085101F" w:rsidRPr="00810867">
        <w:rPr>
          <w:lang w:val="fr-FR"/>
        </w:rPr>
        <w:t>,</w:t>
      </w:r>
      <w:r w:rsidR="00A45A35" w:rsidRPr="00810867">
        <w:rPr>
          <w:lang w:val="fr-FR"/>
        </w:rPr>
        <w:t xml:space="preserve"> en anglais et en français, ainsi que les </w:t>
      </w:r>
      <w:r w:rsidR="00FD5015" w:rsidRPr="00810867">
        <w:rPr>
          <w:lang w:val="fr-FR"/>
        </w:rPr>
        <w:t xml:space="preserve">éventuelles </w:t>
      </w:r>
      <w:r w:rsidR="00A45A35" w:rsidRPr="00810867">
        <w:rPr>
          <w:lang w:val="fr-FR"/>
        </w:rPr>
        <w:t xml:space="preserve">versions </w:t>
      </w:r>
      <w:r w:rsidR="00FD5015" w:rsidRPr="00810867">
        <w:rPr>
          <w:lang w:val="fr-FR"/>
        </w:rPr>
        <w:t>antérieures</w:t>
      </w:r>
      <w:r w:rsidR="00A45A35" w:rsidRPr="00810867">
        <w:rPr>
          <w:lang w:val="fr-FR"/>
        </w:rPr>
        <w:t xml:space="preserve"> et la ou les lettre(s) du </w:t>
      </w:r>
      <w:r w:rsidR="0085101F" w:rsidRPr="00810867">
        <w:rPr>
          <w:lang w:val="fr-FR"/>
        </w:rPr>
        <w:t>Secr</w:t>
      </w:r>
      <w:r w:rsidR="00A45A35" w:rsidRPr="00810867">
        <w:rPr>
          <w:lang w:val="fr-FR"/>
        </w:rPr>
        <w:t>é</w:t>
      </w:r>
      <w:r w:rsidR="0085101F" w:rsidRPr="00810867">
        <w:rPr>
          <w:lang w:val="fr-FR"/>
        </w:rPr>
        <w:t>tariat</w:t>
      </w:r>
      <w:r w:rsidR="00A45A35" w:rsidRPr="00810867">
        <w:rPr>
          <w:lang w:val="fr-FR"/>
        </w:rPr>
        <w:t xml:space="preserve"> demandant des informations complémentaires</w:t>
      </w:r>
      <w:r w:rsidR="0085101F" w:rsidRPr="00810867">
        <w:rPr>
          <w:lang w:val="fr-FR"/>
        </w:rPr>
        <w:t>.</w:t>
      </w:r>
    </w:p>
    <w:p w:rsidR="0085101F" w:rsidRPr="00810867" w:rsidRDefault="00A45A35" w:rsidP="00A55890">
      <w:pPr>
        <w:pStyle w:val="COMParabodytext"/>
        <w:spacing w:before="120"/>
        <w:ind w:left="567" w:hanging="567"/>
        <w:rPr>
          <w:lang w:val="fr-FR"/>
        </w:rPr>
      </w:pPr>
      <w:r w:rsidRPr="00810867">
        <w:rPr>
          <w:lang w:val="fr-FR"/>
        </w:rPr>
        <w:lastRenderedPageBreak/>
        <w:t xml:space="preserve">Il est par conséquent demandé au </w:t>
      </w:r>
      <w:r w:rsidR="0085101F" w:rsidRPr="00810867">
        <w:rPr>
          <w:lang w:val="fr-FR"/>
        </w:rPr>
        <w:t xml:space="preserve">Bureau </w:t>
      </w:r>
      <w:r w:rsidRPr="00810867">
        <w:rPr>
          <w:lang w:val="fr-FR"/>
        </w:rPr>
        <w:t>d’examiner les demandes susmentionnées et de prendre une décision</w:t>
      </w:r>
      <w:r w:rsidR="0085101F" w:rsidRPr="00810867">
        <w:rPr>
          <w:lang w:val="fr-FR"/>
        </w:rPr>
        <w:t xml:space="preserve">. </w:t>
      </w:r>
      <w:r w:rsidRPr="00810867">
        <w:rPr>
          <w:lang w:val="fr-FR"/>
        </w:rPr>
        <w:t xml:space="preserve">Conformément aux Directives opérationnelles, les </w:t>
      </w:r>
      <w:r w:rsidR="00E01D22" w:rsidRPr="00810867">
        <w:rPr>
          <w:lang w:val="fr-FR"/>
        </w:rPr>
        <w:t>États</w:t>
      </w:r>
      <w:r w:rsidR="009B3580">
        <w:rPr>
          <w:lang w:val="fr-FR"/>
        </w:rPr>
        <w:t xml:space="preserve"> parties </w:t>
      </w:r>
      <w:r w:rsidRPr="00810867">
        <w:rPr>
          <w:lang w:val="fr-FR"/>
        </w:rPr>
        <w:t>s</w:t>
      </w:r>
      <w:r w:rsidR="009B3580">
        <w:rPr>
          <w:lang w:val="fr-FR"/>
        </w:rPr>
        <w:t>oumissionnaires</w:t>
      </w:r>
      <w:r w:rsidRPr="00810867">
        <w:rPr>
          <w:lang w:val="fr-FR"/>
        </w:rPr>
        <w:t xml:space="preserve"> ont été informés de la date d’examen possible de leur demande</w:t>
      </w:r>
      <w:r w:rsidR="0085101F" w:rsidRPr="00810867">
        <w:rPr>
          <w:lang w:val="fr-FR"/>
        </w:rPr>
        <w:t xml:space="preserve">. </w:t>
      </w:r>
      <w:r w:rsidRPr="00810867">
        <w:rPr>
          <w:lang w:val="fr-FR"/>
        </w:rPr>
        <w:t>L</w:t>
      </w:r>
      <w:r w:rsidR="0085101F" w:rsidRPr="00810867">
        <w:rPr>
          <w:lang w:val="fr-FR"/>
        </w:rPr>
        <w:t>e Secr</w:t>
      </w:r>
      <w:r w:rsidRPr="00810867">
        <w:rPr>
          <w:lang w:val="fr-FR"/>
        </w:rPr>
        <w:t>é</w:t>
      </w:r>
      <w:r w:rsidR="0085101F" w:rsidRPr="00810867">
        <w:rPr>
          <w:lang w:val="fr-FR"/>
        </w:rPr>
        <w:t xml:space="preserve">tariat </w:t>
      </w:r>
      <w:r w:rsidRPr="00810867">
        <w:rPr>
          <w:lang w:val="fr-FR"/>
        </w:rPr>
        <w:t xml:space="preserve">communiquera </w:t>
      </w:r>
      <w:r w:rsidR="00BB52F9" w:rsidRPr="00810867">
        <w:rPr>
          <w:lang w:val="fr-FR"/>
        </w:rPr>
        <w:t>aux demandeu</w:t>
      </w:r>
      <w:r w:rsidR="00FD5015" w:rsidRPr="00810867">
        <w:rPr>
          <w:lang w:val="fr-FR"/>
        </w:rPr>
        <w:t>r</w:t>
      </w:r>
      <w:r w:rsidR="00BB52F9" w:rsidRPr="00810867">
        <w:rPr>
          <w:lang w:val="fr-FR"/>
        </w:rPr>
        <w:t xml:space="preserve">s </w:t>
      </w:r>
      <w:r w:rsidRPr="00810867">
        <w:rPr>
          <w:lang w:val="fr-FR"/>
        </w:rPr>
        <w:t xml:space="preserve">la décision du </w:t>
      </w:r>
      <w:r w:rsidR="0085101F" w:rsidRPr="00810867">
        <w:rPr>
          <w:lang w:val="fr-FR"/>
        </w:rPr>
        <w:t xml:space="preserve">Bureau </w:t>
      </w:r>
      <w:r w:rsidR="00FD5015" w:rsidRPr="00810867">
        <w:rPr>
          <w:lang w:val="fr-FR"/>
        </w:rPr>
        <w:t>relative à</w:t>
      </w:r>
      <w:r w:rsidR="00BB52F9" w:rsidRPr="00810867">
        <w:rPr>
          <w:lang w:val="fr-FR"/>
        </w:rPr>
        <w:t xml:space="preserve"> l’octroi de l’assistance dans un délai de deux semaines</w:t>
      </w:r>
      <w:r w:rsidR="00FD5015" w:rsidRPr="00810867">
        <w:rPr>
          <w:lang w:val="fr-FR"/>
        </w:rPr>
        <w:t xml:space="preserve"> suivant</w:t>
      </w:r>
      <w:r w:rsidR="00BB52F9" w:rsidRPr="00810867">
        <w:rPr>
          <w:lang w:val="fr-FR"/>
        </w:rPr>
        <w:t xml:space="preserve"> </w:t>
      </w:r>
      <w:r w:rsidR="00FD5015" w:rsidRPr="00810867">
        <w:rPr>
          <w:lang w:val="fr-FR"/>
        </w:rPr>
        <w:t>cette</w:t>
      </w:r>
      <w:r w:rsidR="00BB52F9" w:rsidRPr="00810867">
        <w:rPr>
          <w:lang w:val="fr-FR"/>
        </w:rPr>
        <w:t xml:space="preserve"> décision</w:t>
      </w:r>
      <w:r w:rsidR="0085101F" w:rsidRPr="00810867">
        <w:rPr>
          <w:lang w:val="fr-FR"/>
        </w:rPr>
        <w:t>.</w:t>
      </w:r>
    </w:p>
    <w:p w:rsidR="000D4F5D" w:rsidRDefault="00BB52F9" w:rsidP="00A55890">
      <w:pPr>
        <w:pStyle w:val="COMParabodytext"/>
        <w:spacing w:before="120"/>
        <w:ind w:left="567" w:hanging="567"/>
        <w:rPr>
          <w:lang w:val="fr-FR"/>
        </w:rPr>
      </w:pPr>
      <w:r w:rsidRPr="00810867">
        <w:rPr>
          <w:lang w:val="fr-FR"/>
        </w:rPr>
        <w:t>Le</w:t>
      </w:r>
      <w:r w:rsidR="00E0608C" w:rsidRPr="00810867">
        <w:rPr>
          <w:lang w:val="fr-FR"/>
        </w:rPr>
        <w:t>s</w:t>
      </w:r>
      <w:r w:rsidRPr="00810867">
        <w:rPr>
          <w:lang w:val="fr-FR"/>
        </w:rPr>
        <w:t xml:space="preserve"> projet</w:t>
      </w:r>
      <w:r w:rsidR="00E0608C" w:rsidRPr="00810867">
        <w:rPr>
          <w:lang w:val="fr-FR"/>
        </w:rPr>
        <w:t>s</w:t>
      </w:r>
      <w:r w:rsidRPr="00810867">
        <w:rPr>
          <w:lang w:val="fr-FR"/>
        </w:rPr>
        <w:t xml:space="preserve"> de décision ci-dessous décri</w:t>
      </w:r>
      <w:r w:rsidR="00E0608C" w:rsidRPr="00810867">
        <w:rPr>
          <w:lang w:val="fr-FR"/>
        </w:rPr>
        <w:t>vent</w:t>
      </w:r>
      <w:r w:rsidRPr="00810867">
        <w:rPr>
          <w:lang w:val="fr-FR"/>
        </w:rPr>
        <w:t xml:space="preserve"> l</w:t>
      </w:r>
      <w:r w:rsidR="00B228B6" w:rsidRPr="00810867">
        <w:rPr>
          <w:lang w:val="fr-FR"/>
        </w:rPr>
        <w:t>es</w:t>
      </w:r>
      <w:r w:rsidRPr="00810867">
        <w:rPr>
          <w:lang w:val="fr-FR"/>
        </w:rPr>
        <w:t xml:space="preserve"> demande</w:t>
      </w:r>
      <w:r w:rsidR="00B228B6" w:rsidRPr="00810867">
        <w:rPr>
          <w:lang w:val="fr-FR"/>
        </w:rPr>
        <w:t>s</w:t>
      </w:r>
      <w:r w:rsidRPr="00810867">
        <w:rPr>
          <w:lang w:val="fr-FR"/>
        </w:rPr>
        <w:t xml:space="preserve"> dans </w:t>
      </w:r>
      <w:r w:rsidR="00B228B6" w:rsidRPr="00810867">
        <w:rPr>
          <w:lang w:val="fr-FR"/>
        </w:rPr>
        <w:t>leurs</w:t>
      </w:r>
      <w:r w:rsidRPr="00810867">
        <w:rPr>
          <w:lang w:val="fr-FR"/>
        </w:rPr>
        <w:t xml:space="preserve"> grandes lignes et l</w:t>
      </w:r>
      <w:r w:rsidR="00B228B6" w:rsidRPr="00810867">
        <w:rPr>
          <w:lang w:val="fr-FR"/>
        </w:rPr>
        <w:t xml:space="preserve">es </w:t>
      </w:r>
      <w:r w:rsidRPr="00810867">
        <w:rPr>
          <w:lang w:val="fr-FR"/>
        </w:rPr>
        <w:t>évaluation</w:t>
      </w:r>
      <w:r w:rsidR="00B228B6" w:rsidRPr="00810867">
        <w:rPr>
          <w:lang w:val="fr-FR"/>
        </w:rPr>
        <w:t>s</w:t>
      </w:r>
      <w:r w:rsidRPr="00810867">
        <w:rPr>
          <w:lang w:val="fr-FR"/>
        </w:rPr>
        <w:t xml:space="preserve"> du Secrétariat détermin</w:t>
      </w:r>
      <w:r w:rsidR="00FD5015" w:rsidRPr="00810867">
        <w:rPr>
          <w:lang w:val="fr-FR"/>
        </w:rPr>
        <w:t>ant</w:t>
      </w:r>
      <w:r w:rsidRPr="00810867">
        <w:rPr>
          <w:lang w:val="fr-FR"/>
        </w:rPr>
        <w:t xml:space="preserve"> si elles remplissent les critères énoncés au chapitre 1 des Directives opérationnelles</w:t>
      </w:r>
      <w:r w:rsidR="0085101F" w:rsidRPr="00810867">
        <w:rPr>
          <w:lang w:val="fr-FR"/>
        </w:rPr>
        <w:t xml:space="preserve">. </w:t>
      </w:r>
      <w:r w:rsidRPr="00810867">
        <w:rPr>
          <w:lang w:val="fr-FR"/>
        </w:rPr>
        <w:t>Le</w:t>
      </w:r>
      <w:r w:rsidR="0085101F" w:rsidRPr="00810867">
        <w:rPr>
          <w:lang w:val="fr-FR"/>
        </w:rPr>
        <w:t xml:space="preserve"> Secr</w:t>
      </w:r>
      <w:r w:rsidRPr="00810867">
        <w:rPr>
          <w:lang w:val="fr-FR"/>
        </w:rPr>
        <w:t>étariat recomma</w:t>
      </w:r>
      <w:r w:rsidR="0085101F" w:rsidRPr="00810867">
        <w:rPr>
          <w:lang w:val="fr-FR"/>
        </w:rPr>
        <w:t>nd</w:t>
      </w:r>
      <w:r w:rsidRPr="00810867">
        <w:rPr>
          <w:lang w:val="fr-FR"/>
        </w:rPr>
        <w:t xml:space="preserve">e au </w:t>
      </w:r>
      <w:r w:rsidR="0085101F" w:rsidRPr="00810867">
        <w:rPr>
          <w:lang w:val="fr-FR"/>
        </w:rPr>
        <w:t xml:space="preserve">Bureau </w:t>
      </w:r>
      <w:r w:rsidRPr="00810867">
        <w:rPr>
          <w:lang w:val="fr-FR"/>
        </w:rPr>
        <w:t>d’approuver les deux demandes</w:t>
      </w:r>
      <w:r w:rsidR="0085101F" w:rsidRPr="00810867">
        <w:rPr>
          <w:lang w:val="fr-FR"/>
        </w:rPr>
        <w:t>.</w:t>
      </w:r>
    </w:p>
    <w:p w:rsidR="00A55890" w:rsidRPr="00A55890" w:rsidRDefault="00A55890" w:rsidP="00A55890">
      <w:pPr>
        <w:numPr>
          <w:ilvl w:val="0"/>
          <w:numId w:val="14"/>
        </w:numPr>
        <w:spacing w:before="360" w:after="240"/>
        <w:ind w:left="567" w:hanging="567"/>
        <w:jc w:val="both"/>
        <w:rPr>
          <w:rFonts w:ascii="Arial" w:eastAsia="SimSun" w:hAnsi="Arial" w:cs="Arial"/>
          <w:b/>
          <w:sz w:val="22"/>
          <w:szCs w:val="22"/>
          <w:lang w:eastAsia="zh-CN"/>
        </w:rPr>
      </w:pPr>
      <w:r w:rsidRPr="00A55890">
        <w:rPr>
          <w:rFonts w:ascii="Arial" w:eastAsia="SimSun" w:hAnsi="Arial" w:cs="Arial"/>
          <w:b/>
          <w:sz w:val="22"/>
          <w:szCs w:val="22"/>
          <w:lang w:eastAsia="zh-CN"/>
        </w:rPr>
        <w:t>Projet</w:t>
      </w:r>
      <w:r>
        <w:rPr>
          <w:rFonts w:ascii="Arial" w:eastAsia="SimSun" w:hAnsi="Arial" w:cs="Arial"/>
          <w:b/>
          <w:sz w:val="22"/>
          <w:szCs w:val="22"/>
          <w:lang w:eastAsia="zh-CN"/>
        </w:rPr>
        <w:t>s</w:t>
      </w:r>
      <w:r w:rsidRPr="00A55890">
        <w:rPr>
          <w:rFonts w:ascii="Arial" w:eastAsia="SimSun" w:hAnsi="Arial" w:cs="Arial"/>
          <w:b/>
          <w:sz w:val="22"/>
          <w:szCs w:val="22"/>
          <w:lang w:eastAsia="zh-CN"/>
        </w:rPr>
        <w:t xml:space="preserve"> de décision</w:t>
      </w:r>
      <w:r>
        <w:rPr>
          <w:rFonts w:ascii="Arial" w:eastAsia="SimSun" w:hAnsi="Arial" w:cs="Arial"/>
          <w:b/>
          <w:sz w:val="22"/>
          <w:szCs w:val="22"/>
          <w:lang w:eastAsia="zh-CN"/>
        </w:rPr>
        <w:t>s</w:t>
      </w:r>
    </w:p>
    <w:p w:rsidR="0085101F" w:rsidRPr="000D4F5D" w:rsidRDefault="000D4F5D" w:rsidP="00A55890">
      <w:pPr>
        <w:pStyle w:val="COMParabodytext"/>
        <w:spacing w:before="120"/>
        <w:ind w:left="567" w:hanging="567"/>
        <w:rPr>
          <w:lang w:val="fr-FR"/>
        </w:rPr>
      </w:pPr>
      <w:r w:rsidRPr="000D4F5D">
        <w:rPr>
          <w:lang w:val="fr-FR"/>
        </w:rPr>
        <w:t>Le Bureau du Comité intergouvernemental souhaitera peut-être a</w:t>
      </w:r>
      <w:r w:rsidR="00A55890">
        <w:rPr>
          <w:lang w:val="fr-FR"/>
        </w:rPr>
        <w:t>dopter les décisions suivantes</w:t>
      </w:r>
      <w:r w:rsidR="00BB52F9" w:rsidRPr="000D4F5D">
        <w:rPr>
          <w:lang w:val="fr-FR"/>
        </w:rPr>
        <w:t> </w:t>
      </w:r>
      <w:r w:rsidR="0085101F" w:rsidRPr="000D4F5D">
        <w:rPr>
          <w:lang w:val="fr-FR"/>
        </w:rPr>
        <w:t>:</w:t>
      </w:r>
    </w:p>
    <w:p w:rsidR="0057439C" w:rsidRPr="00810867" w:rsidRDefault="009E1B50" w:rsidP="00A55890">
      <w:pPr>
        <w:pStyle w:val="GATitleResolution"/>
        <w:spacing w:before="360" w:after="240"/>
      </w:pPr>
      <w:bookmarkStart w:id="2" w:name="Decision10COM1BUR2"/>
      <w:bookmarkStart w:id="3" w:name="Decision10COM1BUR2_1"/>
      <w:r w:rsidRPr="00810867">
        <w:t>PROJET DE DÉCIS</w:t>
      </w:r>
      <w:r w:rsidR="00165170" w:rsidRPr="00810867">
        <w:t xml:space="preserve">ION </w:t>
      </w:r>
      <w:r w:rsidR="00110D0D" w:rsidRPr="00810867">
        <w:t>10.COM 1.BUR 2</w:t>
      </w:r>
      <w:r w:rsidR="00A32E09" w:rsidRPr="00810867">
        <w:t>.1</w:t>
      </w:r>
      <w:r w:rsidR="00460FDA">
        <w:t xml:space="preserve"> </w:t>
      </w:r>
      <w:bookmarkEnd w:id="2"/>
      <w:bookmarkEnd w:id="3"/>
      <w:r w:rsidR="00460FDA">
        <w:rPr>
          <w:noProof/>
          <w:snapToGrid/>
          <w:color w:val="0000FF"/>
          <w:lang w:eastAsia="fr-FR"/>
        </w:rPr>
        <w:drawing>
          <wp:inline distT="0" distB="0" distL="0" distR="0" wp14:anchorId="4DE9F3DC" wp14:editId="233D0AFA">
            <wp:extent cx="104775" cy="10477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57439C" w:rsidRPr="00810867" w:rsidRDefault="00E62B4C" w:rsidP="00A938C5">
      <w:pPr>
        <w:pStyle w:val="COMPreambulaDecision"/>
      </w:pPr>
      <w:r w:rsidRPr="00810867">
        <w:t>Le</w:t>
      </w:r>
      <w:r w:rsidR="00A32E09" w:rsidRPr="00810867">
        <w:t xml:space="preserve"> Bureau</w:t>
      </w:r>
      <w:r w:rsidR="00962119" w:rsidRPr="00810867">
        <w:t>,</w:t>
      </w:r>
    </w:p>
    <w:p w:rsidR="0057439C" w:rsidRPr="00810867" w:rsidRDefault="00A32E09" w:rsidP="00A938C5">
      <w:pPr>
        <w:pStyle w:val="COMParaDecision"/>
      </w:pPr>
      <w:r w:rsidRPr="00810867">
        <w:t>Rappelant</w:t>
      </w:r>
      <w:r w:rsidR="005620E2" w:rsidRPr="00810867">
        <w:t xml:space="preserve"> </w:t>
      </w:r>
      <w:r w:rsidR="005620E2" w:rsidRPr="00810867">
        <w:rPr>
          <w:snapToGrid w:val="0"/>
          <w:u w:val="none"/>
          <w:lang w:eastAsia="en-US"/>
        </w:rPr>
        <w:t>le chapitre V de la Conventio</w:t>
      </w:r>
      <w:r w:rsidR="005620E2" w:rsidRPr="00810867">
        <w:rPr>
          <w:snapToGrid w:val="0"/>
          <w:u w:val="none"/>
          <w:lang w:eastAsia="en-US"/>
        </w:rPr>
        <w:t>n et le chapitre I des Directives opérationnelles,</w:t>
      </w:r>
    </w:p>
    <w:p w:rsidR="00110D0D" w:rsidRPr="00810867" w:rsidRDefault="00110D0D" w:rsidP="00A938C5">
      <w:pPr>
        <w:pStyle w:val="COMParaDecision"/>
      </w:pPr>
      <w:r w:rsidRPr="00810867">
        <w:t>Rappelant en outre</w:t>
      </w:r>
      <w:r w:rsidRPr="00A55890">
        <w:rPr>
          <w:u w:val="none"/>
        </w:rPr>
        <w:t xml:space="preserve"> </w:t>
      </w:r>
      <w:r w:rsidRPr="00810867">
        <w:rPr>
          <w:snapToGrid w:val="0"/>
          <w:u w:val="none"/>
          <w:lang w:eastAsia="en-US"/>
        </w:rPr>
        <w:t>Ie paragraphe 50 des Directives opérationnelles, qui détermine les cas où une demande d’assistance internationale constitue une demande d’urgence susceptible d’être examinée en priorité par le Bureau</w:t>
      </w:r>
      <w:r w:rsidR="00573E80" w:rsidRPr="00810867">
        <w:rPr>
          <w:snapToGrid w:val="0"/>
          <w:u w:val="none"/>
          <w:lang w:eastAsia="en-US"/>
        </w:rPr>
        <w:t>,</w:t>
      </w:r>
    </w:p>
    <w:p w:rsidR="0057439C" w:rsidRPr="00810867" w:rsidRDefault="00A32E09" w:rsidP="00A938C5">
      <w:pPr>
        <w:pStyle w:val="COMParaDecision"/>
      </w:pPr>
      <w:r w:rsidRPr="00810867">
        <w:t>Ayant examiné</w:t>
      </w:r>
      <w:r w:rsidRPr="00810867">
        <w:rPr>
          <w:u w:val="none"/>
        </w:rPr>
        <w:t xml:space="preserve"> le document ITH/15/</w:t>
      </w:r>
      <w:r w:rsidR="00110D0D" w:rsidRPr="00810867">
        <w:rPr>
          <w:u w:val="none"/>
        </w:rPr>
        <w:t>10.COM 1.BUR 2</w:t>
      </w:r>
      <w:r w:rsidRPr="00810867">
        <w:rPr>
          <w:u w:val="none"/>
        </w:rPr>
        <w:t>.1</w:t>
      </w:r>
      <w:r w:rsidR="00CB66E1" w:rsidRPr="00810867">
        <w:rPr>
          <w:u w:val="none"/>
        </w:rPr>
        <w:t xml:space="preserve"> </w:t>
      </w:r>
      <w:r w:rsidR="00CB66E1" w:rsidRPr="00810867">
        <w:rPr>
          <w:snapToGrid w:val="0"/>
          <w:u w:val="none"/>
          <w:lang w:eastAsia="en-US"/>
        </w:rPr>
        <w:t>ainsi que le dossier n° 01051,</w:t>
      </w:r>
    </w:p>
    <w:p w:rsidR="00CB66E1" w:rsidRPr="00810867" w:rsidRDefault="0066364F" w:rsidP="00A938C5">
      <w:pPr>
        <w:pStyle w:val="COMParaDecision"/>
        <w:rPr>
          <w:u w:val="none"/>
        </w:rPr>
      </w:pPr>
      <w:r w:rsidRPr="00810867">
        <w:t>Prend note</w:t>
      </w:r>
      <w:r w:rsidRPr="00810867">
        <w:rPr>
          <w:u w:val="none"/>
        </w:rPr>
        <w:t xml:space="preserve"> </w:t>
      </w:r>
      <w:r w:rsidR="00904D86" w:rsidRPr="00810867">
        <w:rPr>
          <w:u w:val="none"/>
        </w:rPr>
        <w:t>que la Côte d’Ivoire a présenté une demande d’assistance internationale d’un montant de 299 972 dollars des États-Unis</w:t>
      </w:r>
      <w:r w:rsidR="003475F9" w:rsidRPr="00810867">
        <w:rPr>
          <w:u w:val="none"/>
        </w:rPr>
        <w:t xml:space="preserve"> afin de soutenir le projet d’« </w:t>
      </w:r>
      <w:r w:rsidR="00904D86" w:rsidRPr="00810867">
        <w:rPr>
          <w:b/>
          <w:u w:val="none"/>
        </w:rPr>
        <w:t>Inventaire du patrimoine culturel immatériel présent en Côte d'Ivoire en vue de sa sauvegarde urgente</w:t>
      </w:r>
      <w:r w:rsidR="003475F9" w:rsidRPr="00810867">
        <w:rPr>
          <w:u w:val="none"/>
        </w:rPr>
        <w:t> </w:t>
      </w:r>
      <w:r w:rsidR="00904D86" w:rsidRPr="00810867">
        <w:rPr>
          <w:u w:val="none"/>
        </w:rPr>
        <w:t>» :</w:t>
      </w:r>
    </w:p>
    <w:p w:rsidR="00443880" w:rsidRPr="00810867" w:rsidRDefault="00904D86" w:rsidP="00A938C5">
      <w:pPr>
        <w:pStyle w:val="COMParaDecision"/>
        <w:numPr>
          <w:ilvl w:val="0"/>
          <w:numId w:val="0"/>
        </w:numPr>
        <w:ind w:left="1134"/>
        <w:rPr>
          <w:u w:val="none"/>
        </w:rPr>
      </w:pPr>
      <w:r w:rsidRPr="00810867">
        <w:rPr>
          <w:u w:val="none"/>
        </w:rPr>
        <w:t xml:space="preserve">La crise politique et militaire que le pays a traversée entre 2002 et 2011 a mis un frein aux efforts actifs engagés par la Côte d’Ivoire depuis de nombreuses années pour l’identification des éléments du patrimoine culturel immatériel présent sur son territoire et l’a affecté négativement, notamment par l’interruption de certaines pratiques violemment réprimées ou la dénaturation de certains éléments les vidant de leurs valeurs et fonctions sociales traditionnelles. Dans ce contexte, le présent projet vise à dresser l’inventaire du patrimoine culturel immatériel présent en Côte d’Ivoire en vue de sa sauvegarde urgente et de sa valorisation comme l’un des axes majeurs pour la consolidation de la paix et la stabilisation durable du pays dans le cadre du Programme national de cohésion sociale. L’inventaire permettra d’amorcer une stratégie nationale de sauvegarde du patrimoine culturel immatériel visant à créer une synergie entre les différentes parties prenantes, dresser </w:t>
      </w:r>
      <w:r w:rsidR="00E207CB">
        <w:rPr>
          <w:u w:val="none"/>
        </w:rPr>
        <w:t>l’</w:t>
      </w:r>
      <w:r w:rsidRPr="00810867">
        <w:rPr>
          <w:u w:val="none"/>
        </w:rPr>
        <w:t>état des lieux de la viabilité du patrimoine culturel immatériel, entreprendre des actions de plaidoyer, de sensibilisation, de valorisation et de promotion de ce patrimoine, et renforcer les capacités pour sa sauvegarde</w:t>
      </w:r>
      <w:r w:rsidR="00CB66E1" w:rsidRPr="00810867">
        <w:rPr>
          <w:u w:val="none"/>
        </w:rPr>
        <w:t>.</w:t>
      </w:r>
    </w:p>
    <w:p w:rsidR="00CB66E1" w:rsidRPr="00810867" w:rsidRDefault="000D02B7" w:rsidP="00A938C5">
      <w:pPr>
        <w:pStyle w:val="COMParaDecision"/>
        <w:rPr>
          <w:u w:val="none"/>
        </w:rPr>
      </w:pPr>
      <w:r>
        <w:t>Reconna</w:t>
      </w:r>
      <w:r w:rsidRPr="00810867">
        <w:rPr>
          <w:rStyle w:val="hps"/>
        </w:rPr>
        <w:t>î</w:t>
      </w:r>
      <w:r w:rsidR="00904D86" w:rsidRPr="00810867">
        <w:t>t</w:t>
      </w:r>
      <w:r w:rsidR="0066364F" w:rsidRPr="00810867">
        <w:rPr>
          <w:u w:val="none"/>
        </w:rPr>
        <w:t xml:space="preserve"> </w:t>
      </w:r>
      <w:r w:rsidR="00904D86" w:rsidRPr="00810867">
        <w:rPr>
          <w:u w:val="none"/>
        </w:rPr>
        <w:t>que le caractère d’urgence est clairement démontré dans la demande qui s’appuie sur la volonté de la Côte d’Ivoire de capitaliser sur le rôle du patrimoine culturel immatériel comme facteur de rapprochement et compréhension mutuelle en vue de la réconciliation nationale et l’instauration d’une paix durable,</w:t>
      </w:r>
    </w:p>
    <w:p w:rsidR="00904D86" w:rsidRPr="00810867" w:rsidRDefault="00904D86" w:rsidP="00A938C5">
      <w:pPr>
        <w:pStyle w:val="COMParaDecision"/>
      </w:pPr>
      <w:r w:rsidRPr="00810867">
        <w:t>Décide,</w:t>
      </w:r>
      <w:r w:rsidRPr="00810867">
        <w:rPr>
          <w:u w:val="none"/>
        </w:rPr>
        <w:t xml:space="preserve"> sur la base des informations fournies dans le dossier n° 01051, que la demande satisfait aux critères d’octroi de l’assistance internationale énoncés aux paragraphes 10 et 12 des Directives opérationnelles :</w:t>
      </w:r>
    </w:p>
    <w:p w:rsidR="00904D86" w:rsidRPr="00810867" w:rsidRDefault="00904D86" w:rsidP="00A938C5">
      <w:pPr>
        <w:pStyle w:val="COMParaDecision"/>
        <w:numPr>
          <w:ilvl w:val="0"/>
          <w:numId w:val="0"/>
        </w:numPr>
        <w:ind w:left="1134"/>
        <w:rPr>
          <w:u w:val="none"/>
        </w:rPr>
      </w:pPr>
      <w:r w:rsidRPr="00810867">
        <w:rPr>
          <w:b/>
          <w:u w:val="none"/>
        </w:rPr>
        <w:t>Critère A.1</w:t>
      </w:r>
      <w:r w:rsidR="002A2D12" w:rsidRPr="00810867">
        <w:rPr>
          <w:b/>
          <w:u w:val="none"/>
        </w:rPr>
        <w:t> </w:t>
      </w:r>
      <w:r w:rsidRPr="00810867">
        <w:rPr>
          <w:u w:val="none"/>
        </w:rPr>
        <w:t xml:space="preserve">: Les communautés ont été associées à l’élaboration de la demande à travers des consultations préliminaires organisées avec leurs représentants, </w:t>
      </w:r>
      <w:r w:rsidRPr="00810867">
        <w:rPr>
          <w:u w:val="none"/>
        </w:rPr>
        <w:lastRenderedPageBreak/>
        <w:t>notamment le Conseil supérieur des rois et chefs traditionnels de Côte d’Ivoire, et un mécanisme a été mis en place pour leur implication et leur participation à toutes les étapes du projet, à commencer par la définition des activités et de leur chronogramme. Elles seront représentées dans les structures de mise en œuvre, y compris au sein de de l’équipe de coordination nationale du projet, des coordinations régionales et des équipes d’inventaire. Dans la phase de collecte et de traitement des données, les représentants des communautés veilleront particulièrement au respect des règles et codes coutumiers régissant l’accès aux éléments de leur patrimoine culturel immatériel. L’accès des communautés aux résultats du projet sera garanti par la distribution des données d’inventaire et la base de données soutiendra également leur utilisation aux fins de la sauvegarde.</w:t>
      </w:r>
    </w:p>
    <w:p w:rsidR="00904D86" w:rsidRPr="00810867" w:rsidRDefault="00904D86" w:rsidP="00904D86">
      <w:pPr>
        <w:pStyle w:val="COMParaDecision"/>
        <w:numPr>
          <w:ilvl w:val="0"/>
          <w:numId w:val="0"/>
        </w:numPr>
        <w:ind w:left="1134"/>
        <w:rPr>
          <w:u w:val="none"/>
        </w:rPr>
      </w:pPr>
      <w:r w:rsidRPr="00810867">
        <w:rPr>
          <w:b/>
          <w:u w:val="none"/>
        </w:rPr>
        <w:t>Critère A.2</w:t>
      </w:r>
      <w:r w:rsidR="002A2D12" w:rsidRPr="00810867">
        <w:rPr>
          <w:b/>
          <w:u w:val="none"/>
        </w:rPr>
        <w:t> </w:t>
      </w:r>
      <w:r w:rsidRPr="00810867">
        <w:rPr>
          <w:u w:val="none"/>
        </w:rPr>
        <w:t xml:space="preserve">: Le montant de l’assistance demandée semble adapté aux activités proposées et correspond aux activités planifiées. </w:t>
      </w:r>
    </w:p>
    <w:p w:rsidR="00904D86" w:rsidRPr="00810867" w:rsidRDefault="00904D86" w:rsidP="00904D86">
      <w:pPr>
        <w:pStyle w:val="COMParaDecision"/>
        <w:numPr>
          <w:ilvl w:val="0"/>
          <w:numId w:val="0"/>
        </w:numPr>
        <w:ind w:left="1134"/>
        <w:rPr>
          <w:u w:val="none"/>
        </w:rPr>
      </w:pPr>
      <w:r w:rsidRPr="00810867">
        <w:rPr>
          <w:b/>
          <w:u w:val="none"/>
        </w:rPr>
        <w:t>Critère A.3</w:t>
      </w:r>
      <w:r w:rsidR="002A2D12" w:rsidRPr="00810867">
        <w:rPr>
          <w:b/>
          <w:u w:val="none"/>
        </w:rPr>
        <w:t> </w:t>
      </w:r>
      <w:r w:rsidRPr="00810867">
        <w:rPr>
          <w:u w:val="none"/>
        </w:rPr>
        <w:t>: Les objectifs et résultats du projet sont clairement définis et semblent réalisables. Les activités sont divisées en deux phases − la phase 1 couvrant les régions les plus touchées situées à l’ouest et au centre-ouest de la Côte d’Ivoire et la phase 2 les autres régions − et elles sont listées de manière détaillée et structurée selon un calendrier bien établi. La répartition des tâches et des responsabilités, les ressources humaines disponibles et la coordination entre les partenaires ainsi que les structures décentralisées sont clairement indiquées.</w:t>
      </w:r>
    </w:p>
    <w:p w:rsidR="00904D86" w:rsidRPr="00810867" w:rsidRDefault="00904D86" w:rsidP="00904D86">
      <w:pPr>
        <w:pStyle w:val="COMParaDecision"/>
        <w:numPr>
          <w:ilvl w:val="0"/>
          <w:numId w:val="0"/>
        </w:numPr>
        <w:ind w:left="1134"/>
        <w:rPr>
          <w:u w:val="none"/>
        </w:rPr>
      </w:pPr>
      <w:r w:rsidRPr="00810867">
        <w:rPr>
          <w:b/>
          <w:u w:val="none"/>
        </w:rPr>
        <w:t>Critère A.4</w:t>
      </w:r>
      <w:r w:rsidR="002A2D12" w:rsidRPr="00810867">
        <w:rPr>
          <w:b/>
          <w:u w:val="none"/>
        </w:rPr>
        <w:t> </w:t>
      </w:r>
      <w:r w:rsidRPr="00810867">
        <w:rPr>
          <w:u w:val="none"/>
        </w:rPr>
        <w:t>: Les résultats du projet seront pérennisés à travers plusieurs actions : la mise en place d’un comité national pour le patrimoine culturel immatériel ; la création d’un système de sauvegarde ; l’élaboration d’un programme de valorisation et de promotion du patrimoine culturel immatériel, dont le financement sera assuré par le budget étatique et les contributions de ses partenaires bilatéraux et multilatéraux dans le cadre des plans d’actions de la politique nationale de la culture ; et la prise en compte du patrimoine culturel immatériel dans la législation nationale sur le patrimoine culturel et son intégration dans les programmes d’éducation formelle et non formelle, pour lesquelles des ressources financières seront allouées dans le budget du Ministère de la culture. De plus, la participation d’instituts et de centres de recherche en sciences sociales et humaines au projet leur permettra de prendre en compte les résultats du projet dans leurs programmes et projets de recherches futurs.</w:t>
      </w:r>
    </w:p>
    <w:p w:rsidR="00904D86" w:rsidRPr="00810867" w:rsidRDefault="00904D86" w:rsidP="00904D86">
      <w:pPr>
        <w:pStyle w:val="COMParaDecision"/>
        <w:numPr>
          <w:ilvl w:val="0"/>
          <w:numId w:val="0"/>
        </w:numPr>
        <w:ind w:left="1134"/>
        <w:rPr>
          <w:u w:val="none"/>
        </w:rPr>
      </w:pPr>
      <w:r w:rsidRPr="00810867">
        <w:rPr>
          <w:b/>
          <w:u w:val="none"/>
        </w:rPr>
        <w:t>Critère A.5</w:t>
      </w:r>
      <w:r w:rsidR="002A2D12" w:rsidRPr="00810867">
        <w:rPr>
          <w:b/>
          <w:u w:val="none"/>
        </w:rPr>
        <w:t> </w:t>
      </w:r>
      <w:r w:rsidRPr="00810867">
        <w:rPr>
          <w:u w:val="none"/>
        </w:rPr>
        <w:t>: Le budget distingue clairement le montant demandé au Fonds et la contribution de l’État partie qui s’élève à environ 36 % (167 780 dollars des États-Unis) du montant total du projet, ce qui constitue une preuve d’engagement conséquente des autorités nationales dans ce projet.</w:t>
      </w:r>
    </w:p>
    <w:p w:rsidR="00904D86" w:rsidRPr="00810867" w:rsidRDefault="00904D86" w:rsidP="00904D86">
      <w:pPr>
        <w:pStyle w:val="COMParaDecision"/>
        <w:numPr>
          <w:ilvl w:val="0"/>
          <w:numId w:val="0"/>
        </w:numPr>
        <w:ind w:left="1134"/>
        <w:rPr>
          <w:u w:val="none"/>
        </w:rPr>
      </w:pPr>
      <w:r w:rsidRPr="00810867">
        <w:rPr>
          <w:b/>
          <w:u w:val="none"/>
        </w:rPr>
        <w:t>Critère A.6</w:t>
      </w:r>
      <w:r w:rsidR="002A2D12" w:rsidRPr="00810867">
        <w:rPr>
          <w:b/>
          <w:u w:val="none"/>
        </w:rPr>
        <w:t> </w:t>
      </w:r>
      <w:r w:rsidRPr="00810867">
        <w:rPr>
          <w:u w:val="none"/>
        </w:rPr>
        <w:t>: Le projet contribuera au développement des capacités, au renforcement des ressources humaines et matérielles existantes, tant au niveau institutionnel que communautaire. Les ateliers de formation, les travaux pratiques d’inventaire, la création de la base de données et l’achat de matériel pertinent permettront à l’administration culturelle ivoirienne et aux communautés de s’approprier les principes de la Convention de 2003, y compris le rôle et les obligations de l’État ; d’acquérir les compétences nécessaires pour la sauvegarde du patrimoine culturel immatériel, notamment en matière d’inventaire, d’élaboration de mesures de sauvegarde et de valorisation et promotion des éléments du patrimoine culturel immatériel ; et de disposer des équipements techniques pour être opérationnel.</w:t>
      </w:r>
    </w:p>
    <w:p w:rsidR="00904D86" w:rsidRPr="00810867" w:rsidRDefault="00904D86" w:rsidP="00A938C5">
      <w:pPr>
        <w:pStyle w:val="COMParaDecision"/>
        <w:numPr>
          <w:ilvl w:val="0"/>
          <w:numId w:val="0"/>
        </w:numPr>
        <w:ind w:left="1134"/>
        <w:rPr>
          <w:u w:val="none"/>
        </w:rPr>
      </w:pPr>
      <w:r w:rsidRPr="00810867">
        <w:rPr>
          <w:b/>
          <w:u w:val="none"/>
        </w:rPr>
        <w:t>Critère A.7</w:t>
      </w:r>
      <w:r w:rsidR="002A2D12" w:rsidRPr="00810867">
        <w:rPr>
          <w:u w:val="none"/>
        </w:rPr>
        <w:t> </w:t>
      </w:r>
      <w:r w:rsidRPr="00810867">
        <w:rPr>
          <w:u w:val="none"/>
        </w:rPr>
        <w:t>: L’État partie n’a pas précédemment bénéficié d’assistance financière de la part de l’UNESCO dans le domaine du patrimoine culturel immatériel.</w:t>
      </w:r>
    </w:p>
    <w:p w:rsidR="00904D86" w:rsidRPr="00810867" w:rsidRDefault="00904D86" w:rsidP="00A938C5">
      <w:pPr>
        <w:pStyle w:val="COMParaDecision"/>
        <w:numPr>
          <w:ilvl w:val="0"/>
          <w:numId w:val="0"/>
        </w:numPr>
        <w:ind w:left="1134"/>
        <w:rPr>
          <w:u w:val="none"/>
        </w:rPr>
      </w:pPr>
      <w:r w:rsidRPr="00810867">
        <w:rPr>
          <w:b/>
          <w:u w:val="none"/>
        </w:rPr>
        <w:t>Critère 10(b)</w:t>
      </w:r>
      <w:r w:rsidR="002A2D12" w:rsidRPr="00810867">
        <w:rPr>
          <w:b/>
          <w:u w:val="none"/>
        </w:rPr>
        <w:t> </w:t>
      </w:r>
      <w:r w:rsidRPr="00810867">
        <w:rPr>
          <w:u w:val="none"/>
        </w:rPr>
        <w:t xml:space="preserve">: L’assistance semble pouvoir générer un effet multiplicateur. En effet, dans ses efforts de développement social et économique, la Côte d’Ivoire entend intégrer le patrimoine culturel immatériel dans plusieurs programmes et projets de développement durable. En outre, dans ses efforts de stabilisation de la Côte d’Ivoire, la communauté internationale, à travers le système des Nations Unies, envisage de </w:t>
      </w:r>
      <w:r w:rsidRPr="00810867">
        <w:rPr>
          <w:u w:val="none"/>
        </w:rPr>
        <w:lastRenderedPageBreak/>
        <w:t>consacrer un projet et des ressources financières à la contribution du patrimoine culturel immatériel au retour de la paix et à la cohésion sociale en Côte d’Ivoire.</w:t>
      </w:r>
    </w:p>
    <w:p w:rsidR="0057439C" w:rsidRPr="00810867" w:rsidRDefault="003D2DDD" w:rsidP="003D2DDD">
      <w:pPr>
        <w:pStyle w:val="COMParaDecision"/>
      </w:pPr>
      <w:r w:rsidRPr="00810867">
        <w:t>Approuve</w:t>
      </w:r>
      <w:r w:rsidR="002A2D12" w:rsidRPr="00810867">
        <w:t>,</w:t>
      </w:r>
      <w:r w:rsidRPr="00810867">
        <w:rPr>
          <w:u w:val="none"/>
        </w:rPr>
        <w:t xml:space="preserve"> </w:t>
      </w:r>
      <w:r w:rsidRPr="00810867">
        <w:rPr>
          <w:bCs/>
          <w:u w:val="none"/>
        </w:rPr>
        <w:t xml:space="preserve">en sa qualité d’organe habilité, la demande d’assistance internationale de la Côte d’Ivoire pour l’« </w:t>
      </w:r>
      <w:r w:rsidRPr="00810867">
        <w:rPr>
          <w:b/>
          <w:bCs/>
          <w:u w:val="none"/>
        </w:rPr>
        <w:t>Inventaire du patrimoine culturel immatériel présent en Côte d'Ivoire en vue de sa sauvegarde urgente</w:t>
      </w:r>
      <w:r w:rsidR="002504A5">
        <w:rPr>
          <w:bCs/>
          <w:u w:val="none"/>
        </w:rPr>
        <w:t> </w:t>
      </w:r>
      <w:r w:rsidRPr="00810867">
        <w:rPr>
          <w:bCs/>
          <w:u w:val="none"/>
        </w:rPr>
        <w:t>» (n° 01051) pour un montant de 299</w:t>
      </w:r>
      <w:r w:rsidR="002504A5">
        <w:rPr>
          <w:bCs/>
          <w:u w:val="none"/>
        </w:rPr>
        <w:t> </w:t>
      </w:r>
      <w:r w:rsidRPr="00810867">
        <w:rPr>
          <w:bCs/>
          <w:u w:val="none"/>
        </w:rPr>
        <w:t>972</w:t>
      </w:r>
      <w:r w:rsidR="002504A5">
        <w:rPr>
          <w:bCs/>
          <w:u w:val="none"/>
        </w:rPr>
        <w:t> </w:t>
      </w:r>
      <w:r w:rsidRPr="00810867">
        <w:rPr>
          <w:bCs/>
          <w:u w:val="none"/>
        </w:rPr>
        <w:t xml:space="preserve"> dollars des États-Unis ;</w:t>
      </w:r>
    </w:p>
    <w:p w:rsidR="003D2DDD" w:rsidRPr="00810867" w:rsidRDefault="003D2DDD" w:rsidP="003D2DDD">
      <w:pPr>
        <w:pStyle w:val="COMParaDecision"/>
      </w:pPr>
      <w:r w:rsidRPr="00810867">
        <w:t>Salue</w:t>
      </w:r>
      <w:r w:rsidRPr="00810867">
        <w:rPr>
          <w:u w:val="none"/>
        </w:rPr>
        <w:t xml:space="preserve"> l’initiative de l’État partie de soumettre une demande d’urgence et de sa volonté de placer le patrimoine culturel immatériel au cœur de sa stratégie de cohésion nationale ;</w:t>
      </w:r>
    </w:p>
    <w:p w:rsidR="003D2DDD" w:rsidRPr="00810867" w:rsidRDefault="003D2DDD" w:rsidP="003D2DDD">
      <w:pPr>
        <w:pStyle w:val="COMParaDecision"/>
      </w:pPr>
      <w:r w:rsidRPr="00810867">
        <w:t>Invite</w:t>
      </w:r>
      <w:r w:rsidRPr="00810867">
        <w:rPr>
          <w:u w:val="none"/>
        </w:rPr>
        <w:t xml:space="preserve"> l’État partie à s’assurer de la pleine participation de tous les partenaires identifiés au niveau national et décentralisé et à garantir la participation la plus large possible des communautés concernées ;</w:t>
      </w:r>
    </w:p>
    <w:p w:rsidR="003D2DDD" w:rsidRPr="00810867" w:rsidRDefault="003D2DDD" w:rsidP="003D2DDD">
      <w:pPr>
        <w:pStyle w:val="COMParaDecision"/>
      </w:pPr>
      <w:r w:rsidRPr="00810867">
        <w:t>Encourage</w:t>
      </w:r>
      <w:r w:rsidRPr="00810867">
        <w:rPr>
          <w:u w:val="none"/>
        </w:rPr>
        <w:t xml:space="preserve"> l’État partie à mettre en œuvre le projet en étroite coopération avec l’UNESCO et l’Opération des Nations Unies en Côte d’Ivoire (ONUCI) en vue d’assurer une coordination et complémentarité des différents projets qui seront mis en place avec le système des Nations Unies sur le patrimoine culturel immatériel comme levier de réconciliation et de dialogue intercommunautaire ;</w:t>
      </w:r>
    </w:p>
    <w:p w:rsidR="003D2DDD" w:rsidRPr="00810867" w:rsidRDefault="003D2DDD" w:rsidP="003D2DDD">
      <w:pPr>
        <w:pStyle w:val="COMParaDecision"/>
        <w:rPr>
          <w:u w:val="none"/>
        </w:rPr>
      </w:pPr>
      <w:r w:rsidRPr="00810867">
        <w:t>Encourage</w:t>
      </w:r>
      <w:r w:rsidRPr="00810867">
        <w:rPr>
          <w:u w:val="none"/>
        </w:rPr>
        <w:t xml:space="preserve"> l’État partie, au terme de ce projet, </w:t>
      </w:r>
      <w:r w:rsidRPr="00810867">
        <w:rPr>
          <w:rFonts w:eastAsia="SimSun"/>
          <w:u w:val="none"/>
        </w:rPr>
        <w:t>à partager ses expériences et ses résultats avec la communauté internationale et tout autre pays intéressé ;</w:t>
      </w:r>
    </w:p>
    <w:p w:rsidR="003D2DDD" w:rsidRPr="00810867" w:rsidRDefault="003D2DDD" w:rsidP="003D2DDD">
      <w:pPr>
        <w:pStyle w:val="COMParaDecision"/>
      </w:pPr>
      <w:r w:rsidRPr="00810867">
        <w:rPr>
          <w:snapToGrid w:val="0"/>
          <w:lang w:eastAsia="en-US"/>
        </w:rPr>
        <w:t>Prend note</w:t>
      </w:r>
      <w:r w:rsidRPr="00810867">
        <w:rPr>
          <w:snapToGrid w:val="0"/>
          <w:u w:val="none"/>
          <w:lang w:eastAsia="en-US"/>
        </w:rPr>
        <w:t xml:space="preserve"> de l’expérience positive d’assistance technique fournie à la Côte d’Ivoire dans la révision de sa demande d’assistance internationale ;</w:t>
      </w:r>
    </w:p>
    <w:p w:rsidR="003D2DDD" w:rsidRPr="00810867" w:rsidRDefault="003D2DDD" w:rsidP="003D2DDD">
      <w:pPr>
        <w:pStyle w:val="COMParaDecision"/>
        <w:rPr>
          <w:u w:val="none"/>
        </w:rPr>
      </w:pPr>
      <w:r w:rsidRPr="00810867">
        <w:t>Demande</w:t>
      </w:r>
      <w:r w:rsidRPr="00810867">
        <w:rPr>
          <w:u w:val="none"/>
        </w:rPr>
        <w:t xml:space="preserve"> au Secrétariat de se mettre d’accord avec l’État partie demandeur sur les détails techniques de l’assistance, en accordant une attention particulière à la budgétisation détaillée des activités prises en charge par le Fonds du patrimoine culturel immatériel ;</w:t>
      </w:r>
    </w:p>
    <w:p w:rsidR="003D2DDD" w:rsidRPr="00810867" w:rsidRDefault="003D2DDD" w:rsidP="003D2DDD">
      <w:pPr>
        <w:pStyle w:val="COMParaDecision"/>
        <w:rPr>
          <w:u w:val="none"/>
        </w:rPr>
      </w:pPr>
      <w:r w:rsidRPr="00810867">
        <w:t>Invite</w:t>
      </w:r>
      <w:r w:rsidRPr="00810867">
        <w:rPr>
          <w:u w:val="none"/>
        </w:rPr>
        <w:t xml:space="preserve"> l’État partie à utili</w:t>
      </w:r>
      <w:r w:rsidR="00481C4C">
        <w:rPr>
          <w:u w:val="none"/>
        </w:rPr>
        <w:t>ser le formulaire ICH-04-Rapport</w:t>
      </w:r>
      <w:r w:rsidRPr="00810867">
        <w:rPr>
          <w:u w:val="none"/>
        </w:rPr>
        <w:t xml:space="preserve"> pour </w:t>
      </w:r>
      <w:r w:rsidR="001B0296">
        <w:rPr>
          <w:u w:val="none"/>
        </w:rPr>
        <w:t xml:space="preserve">rendre compte </w:t>
      </w:r>
      <w:r w:rsidRPr="00810867">
        <w:rPr>
          <w:u w:val="none"/>
        </w:rPr>
        <w:t>de l’utilisation de l’assistance accordée.</w:t>
      </w:r>
    </w:p>
    <w:p w:rsidR="003F6CF1" w:rsidRPr="00810867" w:rsidRDefault="003F6CF1" w:rsidP="00A55890">
      <w:pPr>
        <w:pStyle w:val="GATitleResolution"/>
        <w:spacing w:before="360" w:after="240"/>
      </w:pPr>
      <w:bookmarkStart w:id="4" w:name="Decision10COM1BUR2_2"/>
      <w:r w:rsidRPr="00810867">
        <w:t>PROJET DE DÉCIS</w:t>
      </w:r>
      <w:r w:rsidR="003D2DDD" w:rsidRPr="00810867">
        <w:t>ION 10.COM 1.BUR 2</w:t>
      </w:r>
      <w:r w:rsidRPr="00810867">
        <w:t>.2</w:t>
      </w:r>
      <w:r w:rsidR="00460FDA">
        <w:t xml:space="preserve"> </w:t>
      </w:r>
      <w:bookmarkEnd w:id="4"/>
      <w:r w:rsidR="00460FDA">
        <w:rPr>
          <w:noProof/>
          <w:snapToGrid/>
          <w:color w:val="0000FF"/>
          <w:lang w:eastAsia="fr-FR"/>
        </w:rPr>
        <w:drawing>
          <wp:inline distT="0" distB="0" distL="0" distR="0">
            <wp:extent cx="104775" cy="104775"/>
            <wp:effectExtent l="0" t="0" r="9525" b="9525"/>
            <wp:docPr id="3" name="Picture 3" descr="Return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to top">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02814" w:rsidRPr="00810867" w:rsidRDefault="00573E80" w:rsidP="00C02814">
      <w:pPr>
        <w:pStyle w:val="Marge"/>
        <w:keepNext/>
        <w:spacing w:after="120"/>
        <w:ind w:left="1134" w:hanging="567"/>
        <w:rPr>
          <w:rFonts w:cs="Arial"/>
          <w:szCs w:val="22"/>
        </w:rPr>
      </w:pPr>
      <w:r w:rsidRPr="00810867">
        <w:rPr>
          <w:rFonts w:cs="Arial"/>
          <w:szCs w:val="22"/>
        </w:rPr>
        <w:t>L</w:t>
      </w:r>
      <w:r w:rsidR="00C02814" w:rsidRPr="00810867">
        <w:rPr>
          <w:rFonts w:cs="Arial"/>
          <w:szCs w:val="22"/>
        </w:rPr>
        <w:t>e Bureau,</w:t>
      </w:r>
    </w:p>
    <w:p w:rsidR="00C02814" w:rsidRPr="00810867" w:rsidRDefault="00573E80" w:rsidP="00C02814">
      <w:pPr>
        <w:pStyle w:val="Marge"/>
        <w:numPr>
          <w:ilvl w:val="0"/>
          <w:numId w:val="15"/>
        </w:numPr>
        <w:spacing w:after="120"/>
        <w:ind w:left="1134" w:hanging="567"/>
      </w:pPr>
      <w:r w:rsidRPr="00810867">
        <w:rPr>
          <w:u w:val="single"/>
        </w:rPr>
        <w:t>Rappelant</w:t>
      </w:r>
      <w:r w:rsidRPr="00810867">
        <w:t xml:space="preserve"> le chapitre V de la Convention et le chapitre I des Directives opérationnelles,</w:t>
      </w:r>
    </w:p>
    <w:p w:rsidR="00C02814" w:rsidRPr="00810867" w:rsidRDefault="00573E80" w:rsidP="00C02814">
      <w:pPr>
        <w:pStyle w:val="Marge"/>
        <w:numPr>
          <w:ilvl w:val="0"/>
          <w:numId w:val="15"/>
        </w:numPr>
        <w:spacing w:after="120"/>
        <w:ind w:left="1134" w:hanging="567"/>
      </w:pPr>
      <w:r w:rsidRPr="00810867">
        <w:rPr>
          <w:u w:val="single"/>
        </w:rPr>
        <w:t>Rappelant en outre</w:t>
      </w:r>
      <w:r w:rsidRPr="00810867">
        <w:t xml:space="preserve"> </w:t>
      </w:r>
      <w:proofErr w:type="spellStart"/>
      <w:r w:rsidRPr="00810867">
        <w:t>Ie</w:t>
      </w:r>
      <w:proofErr w:type="spellEnd"/>
      <w:r w:rsidRPr="00810867">
        <w:t xml:space="preserve"> paragraphe 50 des Directives opérationnelles qui détermine les cas où une demande d’assistance internationale constitue une demande d’urgence susceptible d’être examinée en priorité par le Bureau</w:t>
      </w:r>
      <w:r w:rsidR="00C02814" w:rsidRPr="00810867">
        <w:t>,</w:t>
      </w:r>
    </w:p>
    <w:p w:rsidR="00C02814" w:rsidRPr="00810867" w:rsidRDefault="00646E72" w:rsidP="00C02814">
      <w:pPr>
        <w:pStyle w:val="Marge"/>
        <w:numPr>
          <w:ilvl w:val="0"/>
          <w:numId w:val="15"/>
        </w:numPr>
        <w:spacing w:after="120"/>
        <w:ind w:left="1134" w:hanging="567"/>
      </w:pPr>
      <w:r w:rsidRPr="00810867">
        <w:rPr>
          <w:u w:val="single"/>
        </w:rPr>
        <w:t>Ayant examiné</w:t>
      </w:r>
      <w:r w:rsidR="00C02814" w:rsidRPr="00810867">
        <w:t xml:space="preserve"> </w:t>
      </w:r>
      <w:r w:rsidRPr="00810867">
        <w:t>le d</w:t>
      </w:r>
      <w:r w:rsidR="00C02814" w:rsidRPr="00810867">
        <w:t>ocument ITH/15/10.COM 1.BUR/2 a</w:t>
      </w:r>
      <w:r w:rsidRPr="00810867">
        <w:t>insi que le dossier</w:t>
      </w:r>
      <w:r w:rsidR="00C02814" w:rsidRPr="00810867">
        <w:t xml:space="preserve"> </w:t>
      </w:r>
      <w:r w:rsidR="00BB763C">
        <w:t>n°</w:t>
      </w:r>
      <w:r w:rsidR="00C02814" w:rsidRPr="00810867">
        <w:t>01214,</w:t>
      </w:r>
    </w:p>
    <w:p w:rsidR="00C02814" w:rsidRPr="00810867" w:rsidRDefault="00646E72" w:rsidP="00C02814">
      <w:pPr>
        <w:pStyle w:val="Marge"/>
        <w:numPr>
          <w:ilvl w:val="0"/>
          <w:numId w:val="15"/>
        </w:numPr>
        <w:spacing w:after="120"/>
        <w:ind w:left="1134" w:hanging="567"/>
      </w:pPr>
      <w:r w:rsidRPr="00810867">
        <w:rPr>
          <w:u w:val="single"/>
        </w:rPr>
        <w:t>Prend note</w:t>
      </w:r>
      <w:r w:rsidR="00C02814" w:rsidRPr="00810867">
        <w:t xml:space="preserve"> </w:t>
      </w:r>
      <w:r w:rsidRPr="00810867">
        <w:t>que le</w:t>
      </w:r>
      <w:r w:rsidR="00C02814" w:rsidRPr="00810867">
        <w:t xml:space="preserve"> Vanuatu a </w:t>
      </w:r>
      <w:r w:rsidRPr="00810867">
        <w:t xml:space="preserve">demandé l’assistance internationale pour un montant de </w:t>
      </w:r>
      <w:r w:rsidR="00C02814" w:rsidRPr="00810867">
        <w:t>23</w:t>
      </w:r>
      <w:r w:rsidRPr="00810867">
        <w:t> </w:t>
      </w:r>
      <w:r w:rsidR="00C02814" w:rsidRPr="00810867">
        <w:t>908</w:t>
      </w:r>
      <w:r w:rsidRPr="00810867">
        <w:t xml:space="preserve"> dollars des </w:t>
      </w:r>
      <w:r w:rsidR="00E01D22" w:rsidRPr="00810867">
        <w:t>États-Unis</w:t>
      </w:r>
      <w:r w:rsidR="00C02814" w:rsidRPr="00810867">
        <w:t xml:space="preserve"> </w:t>
      </w:r>
      <w:r w:rsidRPr="00810867">
        <w:t>pour</w:t>
      </w:r>
      <w:r w:rsidR="00C02814" w:rsidRPr="00810867">
        <w:t xml:space="preserve"> </w:t>
      </w:r>
      <w:r w:rsidR="00B228B6" w:rsidRPr="00810867">
        <w:t>« </w:t>
      </w:r>
      <w:r w:rsidR="00C02814" w:rsidRPr="00810867">
        <w:rPr>
          <w:b/>
        </w:rPr>
        <w:t>Sa</w:t>
      </w:r>
      <w:r w:rsidRPr="00810867">
        <w:rPr>
          <w:b/>
        </w:rPr>
        <w:t>uv</w:t>
      </w:r>
      <w:r w:rsidR="00C02814" w:rsidRPr="00810867">
        <w:rPr>
          <w:b/>
        </w:rPr>
        <w:t>egard</w:t>
      </w:r>
      <w:r w:rsidRPr="00810867">
        <w:rPr>
          <w:b/>
        </w:rPr>
        <w:t xml:space="preserve">er l’architecture autochtone vernaculaire et les connaissances en matière de construction </w:t>
      </w:r>
      <w:r w:rsidR="00642A7D" w:rsidRPr="00810867">
        <w:rPr>
          <w:b/>
        </w:rPr>
        <w:t>a</w:t>
      </w:r>
      <w:r w:rsidRPr="00810867">
        <w:rPr>
          <w:b/>
        </w:rPr>
        <w:t xml:space="preserve">u </w:t>
      </w:r>
      <w:r w:rsidR="00C02814" w:rsidRPr="00810867">
        <w:rPr>
          <w:b/>
        </w:rPr>
        <w:t>Vanuatu</w:t>
      </w:r>
      <w:r w:rsidRPr="00810867">
        <w:rPr>
          <w:b/>
        </w:rPr>
        <w:t> » </w:t>
      </w:r>
      <w:r w:rsidR="00C02814" w:rsidRPr="00810867">
        <w:t>:</w:t>
      </w:r>
    </w:p>
    <w:p w:rsidR="00C02814" w:rsidRPr="00810867" w:rsidRDefault="00AE294D" w:rsidP="00C02814">
      <w:pPr>
        <w:pStyle w:val="Marge"/>
        <w:spacing w:after="120"/>
        <w:ind w:left="1134"/>
      </w:pPr>
      <w:r w:rsidRPr="00810867">
        <w:t>Le projet a pour objet de documenter l’état, avant et a</w:t>
      </w:r>
      <w:r w:rsidR="00AE5034">
        <w:t>près le passage du cyclone, de six</w:t>
      </w:r>
      <w:r w:rsidRPr="00810867">
        <w:t xml:space="preserve"> </w:t>
      </w:r>
      <w:proofErr w:type="spellStart"/>
      <w:r w:rsidRPr="00810867">
        <w:t>nakamals</w:t>
      </w:r>
      <w:proofErr w:type="spellEnd"/>
      <w:r w:rsidRPr="00810867">
        <w:t xml:space="preserve"> traditionnels importants (également appelés </w:t>
      </w:r>
      <w:r w:rsidR="00642A7D" w:rsidRPr="00810867">
        <w:t>couramment « </w:t>
      </w:r>
      <w:proofErr w:type="spellStart"/>
      <w:r w:rsidRPr="00810867">
        <w:t>fareas</w:t>
      </w:r>
      <w:proofErr w:type="spellEnd"/>
      <w:r w:rsidR="00642A7D" w:rsidRPr="00810867">
        <w:t> »</w:t>
      </w:r>
      <w:r w:rsidRPr="00810867">
        <w:t xml:space="preserve">), qui sont des espaces de sociabilité traditionnels à Vanuatu. Ces structures ont été récemment endommagées par le cyclone Pam, de catégorie 5, qui a traversé la région le 13 mars 2015. Le travail de documentation couvrira les aspects matériels et immatériels de chaque </w:t>
      </w:r>
      <w:proofErr w:type="spellStart"/>
      <w:r w:rsidRPr="00810867">
        <w:t>nakamal</w:t>
      </w:r>
      <w:proofErr w:type="spellEnd"/>
      <w:r w:rsidRPr="00810867">
        <w:t xml:space="preserve"> qui seront représentés par des moyens écrits et visuels.</w:t>
      </w:r>
      <w:r w:rsidR="00C02814" w:rsidRPr="00810867">
        <w:t xml:space="preserve"> </w:t>
      </w:r>
      <w:r w:rsidRPr="00810867">
        <w:t>Le principal objectif du projet est d</w:t>
      </w:r>
      <w:r w:rsidR="002A55E6" w:rsidRPr="00810867">
        <w:t>’établir</w:t>
      </w:r>
      <w:r w:rsidRPr="00810867">
        <w:t xml:space="preserve"> un ensemble de </w:t>
      </w:r>
      <w:r w:rsidR="002A55E6" w:rsidRPr="00810867">
        <w:t>meilleure</w:t>
      </w:r>
      <w:r w:rsidRPr="00810867">
        <w:t xml:space="preserve">s pratiques de sauvegarde qui encouragera la revitalisation des techniques de construction propres à l’architecture autochtone de la région afin de </w:t>
      </w:r>
      <w:r w:rsidR="00924E9D" w:rsidRPr="00810867">
        <w:t>garantir l</w:t>
      </w:r>
      <w:r w:rsidR="00642A7D" w:rsidRPr="00810867">
        <w:t>a pérennité</w:t>
      </w:r>
      <w:r w:rsidR="00924E9D" w:rsidRPr="00810867">
        <w:t xml:space="preserve"> de</w:t>
      </w:r>
      <w:r w:rsidRPr="00810867">
        <w:t xml:space="preserve"> ces structures</w:t>
      </w:r>
      <w:r w:rsidR="00642A7D" w:rsidRPr="00810867">
        <w:t> </w:t>
      </w:r>
      <w:r w:rsidR="00C02814" w:rsidRPr="00810867">
        <w:t xml:space="preserve">; </w:t>
      </w:r>
      <w:r w:rsidR="00924E9D" w:rsidRPr="00810867">
        <w:t>le résultat sera un ensemble de</w:t>
      </w:r>
      <w:r w:rsidR="002A55E6" w:rsidRPr="00810867">
        <w:t>s</w:t>
      </w:r>
      <w:r w:rsidR="00924E9D" w:rsidRPr="00810867">
        <w:t xml:space="preserve"> </w:t>
      </w:r>
      <w:r w:rsidR="002A55E6" w:rsidRPr="00810867">
        <w:t>meilleures</w:t>
      </w:r>
      <w:r w:rsidR="00924E9D" w:rsidRPr="00810867">
        <w:t xml:space="preserve"> pratiques de sauvegarde </w:t>
      </w:r>
      <w:r w:rsidR="000D4F5D">
        <w:t>à</w:t>
      </w:r>
      <w:r w:rsidR="006300F9" w:rsidRPr="00810867">
        <w:t xml:space="preserve"> </w:t>
      </w:r>
      <w:r w:rsidR="000D4F5D" w:rsidRPr="00810867">
        <w:lastRenderedPageBreak/>
        <w:t>appliquer</w:t>
      </w:r>
      <w:r w:rsidR="00924E9D" w:rsidRPr="00810867">
        <w:t xml:space="preserve"> dans les villages par les communautés elles-mêmes, au niveau national par le gouvernement de Vanuatu et au niveau international par l’intermédiaire de l’UNESCO.</w:t>
      </w:r>
      <w:r w:rsidR="00C02814" w:rsidRPr="00810867">
        <w:t xml:space="preserve"> </w:t>
      </w:r>
      <w:r w:rsidR="006300F9" w:rsidRPr="00810867">
        <w:t xml:space="preserve">Le projet comportera quatre </w:t>
      </w:r>
      <w:r w:rsidR="002A55E6" w:rsidRPr="00810867">
        <w:t xml:space="preserve">grandes </w:t>
      </w:r>
      <w:r w:rsidR="006300F9" w:rsidRPr="00810867">
        <w:t>lignes d’action</w:t>
      </w:r>
      <w:r w:rsidR="002A55E6" w:rsidRPr="00810867">
        <w:t> </w:t>
      </w:r>
      <w:r w:rsidR="006300F9" w:rsidRPr="00810867">
        <w:t xml:space="preserve">: une étude documentaire des aspects matériels et immatériels de chaque </w:t>
      </w:r>
      <w:proofErr w:type="spellStart"/>
      <w:r w:rsidR="00C02814" w:rsidRPr="00810867">
        <w:t>nakamal</w:t>
      </w:r>
      <w:proofErr w:type="spellEnd"/>
      <w:r w:rsidR="00C02814" w:rsidRPr="00810867">
        <w:t xml:space="preserve">, </w:t>
      </w:r>
      <w:r w:rsidR="006300F9" w:rsidRPr="00810867">
        <w:t xml:space="preserve">une évaluation des dégâts </w:t>
      </w:r>
      <w:r w:rsidR="002A55E6" w:rsidRPr="00810867">
        <w:t>destinée à</w:t>
      </w:r>
      <w:r w:rsidR="006300F9" w:rsidRPr="00810867">
        <w:t xml:space="preserve"> étayer l’état actuel de</w:t>
      </w:r>
      <w:r w:rsidR="002A55E6" w:rsidRPr="00810867">
        <w:t>s</w:t>
      </w:r>
      <w:r w:rsidR="00AE57B9" w:rsidRPr="00810867">
        <w:t xml:space="preserve"> structure</w:t>
      </w:r>
      <w:r w:rsidR="002A55E6" w:rsidRPr="00810867">
        <w:t>s</w:t>
      </w:r>
      <w:r w:rsidR="00AE57B9" w:rsidRPr="00810867">
        <w:t xml:space="preserve">, </w:t>
      </w:r>
      <w:r w:rsidR="000D4F5D" w:rsidRPr="000D4F5D">
        <w:t xml:space="preserve">une évaluation du risque de perte des aspects du patrimoine culturel immatériel de chaque structure comprenant </w:t>
      </w:r>
      <w:r w:rsidR="000D4F5D">
        <w:t xml:space="preserve">les </w:t>
      </w:r>
      <w:r w:rsidR="000C32BD" w:rsidRPr="00810867">
        <w:t xml:space="preserve">savoir-faire </w:t>
      </w:r>
      <w:r w:rsidR="00916960" w:rsidRPr="00810867">
        <w:t xml:space="preserve">nécessaires pour construire </w:t>
      </w:r>
      <w:r w:rsidR="00E75D03" w:rsidRPr="00810867">
        <w:t>un</w:t>
      </w:r>
      <w:r w:rsidR="00C02814" w:rsidRPr="00810867">
        <w:t xml:space="preserve"> </w:t>
      </w:r>
      <w:proofErr w:type="spellStart"/>
      <w:r w:rsidR="00C02814" w:rsidRPr="00810867">
        <w:t>nakamal</w:t>
      </w:r>
      <w:proofErr w:type="spellEnd"/>
      <w:r w:rsidR="00C02814" w:rsidRPr="00810867">
        <w:t xml:space="preserve"> </w:t>
      </w:r>
      <w:r w:rsidR="00A30FBC" w:rsidRPr="00810867">
        <w:t>détenus</w:t>
      </w:r>
      <w:r w:rsidR="00E75D03" w:rsidRPr="00810867">
        <w:t xml:space="preserve"> par chaque communauté, et un rapport final énumérant les meilleures mesures de sauvegarde pour chacun des </w:t>
      </w:r>
      <w:r w:rsidR="00AE5034">
        <w:t>six</w:t>
      </w:r>
      <w:r w:rsidR="00C02814" w:rsidRPr="00810867">
        <w:t xml:space="preserve"> </w:t>
      </w:r>
      <w:proofErr w:type="spellStart"/>
      <w:r w:rsidR="00C02814" w:rsidRPr="00810867">
        <w:t>nakamals</w:t>
      </w:r>
      <w:proofErr w:type="spellEnd"/>
      <w:r w:rsidR="00C02814" w:rsidRPr="00810867">
        <w:t>.</w:t>
      </w:r>
    </w:p>
    <w:p w:rsidR="00C02814" w:rsidRPr="00810867" w:rsidRDefault="00C02814" w:rsidP="00C02814">
      <w:pPr>
        <w:pStyle w:val="Marge"/>
        <w:numPr>
          <w:ilvl w:val="0"/>
          <w:numId w:val="15"/>
        </w:numPr>
        <w:spacing w:after="120"/>
        <w:ind w:left="1134" w:hanging="567"/>
        <w:rPr>
          <w:rStyle w:val="hps"/>
          <w:rFonts w:cs="Arial"/>
          <w:szCs w:val="22"/>
        </w:rPr>
      </w:pPr>
      <w:r w:rsidRPr="00810867">
        <w:rPr>
          <w:rStyle w:val="hps"/>
          <w:u w:val="single"/>
        </w:rPr>
        <w:t>Reco</w:t>
      </w:r>
      <w:r w:rsidR="00E75D03" w:rsidRPr="00810867">
        <w:rPr>
          <w:rStyle w:val="hps"/>
          <w:u w:val="single"/>
        </w:rPr>
        <w:t>nnaît</w:t>
      </w:r>
      <w:r w:rsidR="00472148" w:rsidRPr="00810867">
        <w:rPr>
          <w:rStyle w:val="hps"/>
        </w:rPr>
        <w:t xml:space="preserve"> que le caractère d’urgence est clairement démontré dans la demande et que la nécessité de prendre des mesures immédiates est amplement justifiée par l’</w:t>
      </w:r>
      <w:r w:rsidRPr="00810867">
        <w:rPr>
          <w:rStyle w:val="hps"/>
        </w:rPr>
        <w:t>imp</w:t>
      </w:r>
      <w:r w:rsidR="00A30FBC" w:rsidRPr="00810867">
        <w:rPr>
          <w:rStyle w:val="hps"/>
        </w:rPr>
        <w:t>ératif</w:t>
      </w:r>
      <w:r w:rsidRPr="00810867">
        <w:rPr>
          <w:rStyle w:val="hps"/>
        </w:rPr>
        <w:t xml:space="preserve"> no</w:t>
      </w:r>
      <w:r w:rsidR="00472148" w:rsidRPr="00810867">
        <w:rPr>
          <w:rStyle w:val="hps"/>
        </w:rPr>
        <w:t>n seulement d’évaluer les dégâts matériels subis par ces lieux communautaires</w:t>
      </w:r>
      <w:r w:rsidR="00A30FBC" w:rsidRPr="00810867">
        <w:rPr>
          <w:rStyle w:val="hps"/>
        </w:rPr>
        <w:t>,</w:t>
      </w:r>
      <w:r w:rsidR="00472148" w:rsidRPr="00810867">
        <w:rPr>
          <w:rStyle w:val="hps"/>
        </w:rPr>
        <w:t xml:space="preserve"> </w:t>
      </w:r>
      <w:r w:rsidR="002C10ED" w:rsidRPr="00810867">
        <w:rPr>
          <w:rStyle w:val="hps"/>
        </w:rPr>
        <w:t>mais aussi de renforcer le rôle du patrimoine culturel immatériel dans leur construction et leur réparation, ainsi qu</w:t>
      </w:r>
      <w:r w:rsidR="00435A19" w:rsidRPr="00810867">
        <w:rPr>
          <w:rStyle w:val="hps"/>
        </w:rPr>
        <w:t>e leur rôle de</w:t>
      </w:r>
      <w:r w:rsidR="002C10ED" w:rsidRPr="00810867">
        <w:rPr>
          <w:rStyle w:val="hps"/>
        </w:rPr>
        <w:t xml:space="preserve"> facteur de cohésion sociale au sein de ces communautés </w:t>
      </w:r>
      <w:r w:rsidRPr="00810867">
        <w:rPr>
          <w:rStyle w:val="hps"/>
        </w:rPr>
        <w:t>;</w:t>
      </w:r>
    </w:p>
    <w:p w:rsidR="00C02814" w:rsidRPr="00810867" w:rsidRDefault="00C02814" w:rsidP="00C02814">
      <w:pPr>
        <w:pStyle w:val="Marge"/>
        <w:numPr>
          <w:ilvl w:val="0"/>
          <w:numId w:val="15"/>
        </w:numPr>
        <w:spacing w:after="120"/>
        <w:ind w:left="1134" w:hanging="567"/>
        <w:rPr>
          <w:u w:val="single"/>
        </w:rPr>
      </w:pPr>
      <w:r w:rsidRPr="00810867">
        <w:rPr>
          <w:u w:val="single"/>
        </w:rPr>
        <w:t>D</w:t>
      </w:r>
      <w:r w:rsidR="002C10ED" w:rsidRPr="00810867">
        <w:rPr>
          <w:u w:val="single"/>
        </w:rPr>
        <w:t>é</w:t>
      </w:r>
      <w:r w:rsidRPr="00810867">
        <w:rPr>
          <w:u w:val="single"/>
        </w:rPr>
        <w:t>cide</w:t>
      </w:r>
      <w:r w:rsidR="003A4DAF" w:rsidRPr="00810867">
        <w:rPr>
          <w:u w:val="single"/>
        </w:rPr>
        <w:t>,</w:t>
      </w:r>
      <w:r w:rsidRPr="00810867">
        <w:t xml:space="preserve"> </w:t>
      </w:r>
      <w:r w:rsidR="002C10ED" w:rsidRPr="00810867">
        <w:t>sur la base des informations fournies dans le dossier n° 01214, que la demande satisfait aux critères d’octroi de l’assistance internationale énoncés aux paragraphes 10 et 12 des Directives opérationnelles </w:t>
      </w:r>
      <w:r w:rsidRPr="00810867">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C02814" w:rsidRPr="00A55890">
        <w:rPr>
          <w:rFonts w:ascii="Arial" w:hAnsi="Arial" w:cs="Arial"/>
          <w:b/>
          <w:sz w:val="22"/>
          <w:szCs w:val="22"/>
        </w:rPr>
        <w:t>A.1</w:t>
      </w:r>
      <w:r w:rsidR="002A1069" w:rsidRPr="00A55890">
        <w:rPr>
          <w:rFonts w:ascii="Arial" w:hAnsi="Arial" w:cs="Arial"/>
          <w:b/>
          <w:sz w:val="22"/>
          <w:szCs w:val="22"/>
        </w:rPr>
        <w:t> </w:t>
      </w:r>
      <w:r>
        <w:rPr>
          <w:rFonts w:ascii="Arial" w:hAnsi="Arial" w:cs="Arial"/>
          <w:sz w:val="22"/>
          <w:szCs w:val="22"/>
        </w:rPr>
        <w:t xml:space="preserve">: </w:t>
      </w:r>
      <w:r w:rsidR="002C10ED" w:rsidRPr="00810867">
        <w:rPr>
          <w:rFonts w:ascii="Arial" w:hAnsi="Arial" w:cs="Arial"/>
          <w:sz w:val="22"/>
          <w:szCs w:val="22"/>
        </w:rPr>
        <w:t xml:space="preserve">Les activités prévues dans </w:t>
      </w:r>
      <w:r w:rsidR="0086639E" w:rsidRPr="00810867">
        <w:rPr>
          <w:rFonts w:ascii="Arial" w:hAnsi="Arial" w:cs="Arial"/>
          <w:sz w:val="22"/>
          <w:szCs w:val="22"/>
        </w:rPr>
        <w:t xml:space="preserve">le projet seront menées avec une large participation des communautés de </w:t>
      </w:r>
      <w:r w:rsidR="00575715" w:rsidRPr="00810867">
        <w:rPr>
          <w:rFonts w:ascii="Arial" w:hAnsi="Arial" w:cs="Arial"/>
          <w:sz w:val="22"/>
          <w:szCs w:val="22"/>
        </w:rPr>
        <w:t xml:space="preserve">chaque localité où se trouvent les six </w:t>
      </w:r>
      <w:proofErr w:type="spellStart"/>
      <w:r w:rsidR="00575715" w:rsidRPr="00810867">
        <w:rPr>
          <w:rFonts w:ascii="Arial" w:hAnsi="Arial" w:cs="Arial"/>
          <w:sz w:val="22"/>
          <w:szCs w:val="22"/>
        </w:rPr>
        <w:t>nakamals</w:t>
      </w:r>
      <w:proofErr w:type="spellEnd"/>
      <w:r w:rsidR="00575715" w:rsidRPr="00810867">
        <w:rPr>
          <w:rFonts w:ascii="Arial" w:hAnsi="Arial" w:cs="Arial"/>
          <w:sz w:val="22"/>
          <w:szCs w:val="22"/>
        </w:rPr>
        <w:t xml:space="preserve"> </w:t>
      </w:r>
      <w:r w:rsidR="00D6681F" w:rsidRPr="00810867">
        <w:rPr>
          <w:rFonts w:ascii="Arial" w:hAnsi="Arial" w:cs="Arial"/>
          <w:sz w:val="22"/>
          <w:szCs w:val="22"/>
        </w:rPr>
        <w:t>indiqués</w:t>
      </w:r>
      <w:r w:rsidR="00575715" w:rsidRPr="00810867">
        <w:rPr>
          <w:rFonts w:ascii="Arial" w:hAnsi="Arial" w:cs="Arial"/>
          <w:sz w:val="22"/>
          <w:szCs w:val="22"/>
        </w:rPr>
        <w:t xml:space="preserve">, en particulier </w:t>
      </w:r>
      <w:r w:rsidR="00435A19" w:rsidRPr="00810867">
        <w:rPr>
          <w:rFonts w:ascii="Arial" w:hAnsi="Arial" w:cs="Arial"/>
          <w:sz w:val="22"/>
          <w:szCs w:val="22"/>
        </w:rPr>
        <w:t>d</w:t>
      </w:r>
      <w:r w:rsidR="00575715" w:rsidRPr="00810867">
        <w:rPr>
          <w:rFonts w:ascii="Arial" w:hAnsi="Arial" w:cs="Arial"/>
          <w:sz w:val="22"/>
          <w:szCs w:val="22"/>
        </w:rPr>
        <w:t>es groupes d’anciens et de jeunes </w:t>
      </w:r>
      <w:r w:rsidR="00C02814" w:rsidRPr="00810867">
        <w:rPr>
          <w:rFonts w:ascii="Arial" w:hAnsi="Arial" w:cs="Arial"/>
          <w:sz w:val="22"/>
          <w:szCs w:val="22"/>
        </w:rPr>
        <w:t xml:space="preserve">; </w:t>
      </w:r>
      <w:r w:rsidR="00575715" w:rsidRPr="00810867">
        <w:rPr>
          <w:rFonts w:ascii="Arial" w:hAnsi="Arial" w:cs="Arial"/>
          <w:sz w:val="22"/>
          <w:szCs w:val="22"/>
        </w:rPr>
        <w:t>de plus, c</w:t>
      </w:r>
      <w:r w:rsidR="00C02814" w:rsidRPr="00810867">
        <w:rPr>
          <w:rFonts w:ascii="Arial" w:hAnsi="Arial" w:cs="Arial"/>
          <w:sz w:val="22"/>
          <w:szCs w:val="22"/>
        </w:rPr>
        <w:t>es commun</w:t>
      </w:r>
      <w:r w:rsidR="00575715" w:rsidRPr="00810867">
        <w:rPr>
          <w:rFonts w:ascii="Arial" w:hAnsi="Arial" w:cs="Arial"/>
          <w:sz w:val="22"/>
          <w:szCs w:val="22"/>
        </w:rPr>
        <w:t>auté</w:t>
      </w:r>
      <w:r w:rsidR="00C02814" w:rsidRPr="00810867">
        <w:rPr>
          <w:rFonts w:ascii="Arial" w:hAnsi="Arial" w:cs="Arial"/>
          <w:sz w:val="22"/>
          <w:szCs w:val="22"/>
        </w:rPr>
        <w:t xml:space="preserve">s </w:t>
      </w:r>
      <w:r w:rsidR="00575715" w:rsidRPr="00810867">
        <w:rPr>
          <w:rFonts w:ascii="Arial" w:hAnsi="Arial" w:cs="Arial"/>
          <w:sz w:val="22"/>
          <w:szCs w:val="22"/>
        </w:rPr>
        <w:t xml:space="preserve">recevront les conclusions du projet, valideront le rapport final et bénéficieront de la mise en œuvre des meilleures pratiques </w:t>
      </w:r>
      <w:r w:rsidR="00D6681F" w:rsidRPr="00810867">
        <w:rPr>
          <w:rFonts w:ascii="Arial" w:hAnsi="Arial" w:cs="Arial"/>
          <w:sz w:val="22"/>
          <w:szCs w:val="22"/>
        </w:rPr>
        <w:t>mentionnées dans ce rapport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C02814" w:rsidRPr="00A55890">
        <w:rPr>
          <w:rFonts w:ascii="Arial" w:hAnsi="Arial" w:cs="Arial"/>
          <w:b/>
          <w:sz w:val="22"/>
          <w:szCs w:val="22"/>
        </w:rPr>
        <w:t>A.2</w:t>
      </w:r>
      <w:r w:rsidR="002A1069" w:rsidRPr="00810867">
        <w:rPr>
          <w:rFonts w:ascii="Arial" w:hAnsi="Arial" w:cs="Arial"/>
          <w:sz w:val="22"/>
          <w:szCs w:val="22"/>
        </w:rPr>
        <w:t> </w:t>
      </w:r>
      <w:r>
        <w:rPr>
          <w:rFonts w:ascii="Arial" w:hAnsi="Arial" w:cs="Arial"/>
          <w:sz w:val="22"/>
          <w:szCs w:val="22"/>
        </w:rPr>
        <w:t xml:space="preserve">: </w:t>
      </w:r>
      <w:r w:rsidR="00D6681F" w:rsidRPr="00810867">
        <w:rPr>
          <w:rFonts w:ascii="Arial" w:hAnsi="Arial" w:cs="Arial"/>
          <w:sz w:val="22"/>
          <w:szCs w:val="22"/>
        </w:rPr>
        <w:t xml:space="preserve">Le </w:t>
      </w:r>
      <w:r w:rsidR="00C02814" w:rsidRPr="00810867">
        <w:rPr>
          <w:rFonts w:ascii="Arial" w:hAnsi="Arial" w:cs="Arial"/>
          <w:sz w:val="22"/>
          <w:szCs w:val="22"/>
        </w:rPr>
        <w:t xml:space="preserve">budget </w:t>
      </w:r>
      <w:r w:rsidR="00D6681F" w:rsidRPr="00810867">
        <w:rPr>
          <w:rFonts w:ascii="Arial" w:hAnsi="Arial" w:cs="Arial"/>
          <w:sz w:val="22"/>
          <w:szCs w:val="22"/>
        </w:rPr>
        <w:t>est clair</w:t>
      </w:r>
      <w:r w:rsidR="00C02814" w:rsidRPr="00810867">
        <w:rPr>
          <w:rFonts w:ascii="Arial" w:hAnsi="Arial" w:cs="Arial"/>
          <w:sz w:val="22"/>
          <w:szCs w:val="22"/>
        </w:rPr>
        <w:t>, d</w:t>
      </w:r>
      <w:r w:rsidR="00D6681F" w:rsidRPr="00810867">
        <w:rPr>
          <w:rFonts w:ascii="Arial" w:hAnsi="Arial" w:cs="Arial"/>
          <w:sz w:val="22"/>
          <w:szCs w:val="22"/>
        </w:rPr>
        <w:t>é</w:t>
      </w:r>
      <w:r w:rsidR="00C02814" w:rsidRPr="00810867">
        <w:rPr>
          <w:rFonts w:ascii="Arial" w:hAnsi="Arial" w:cs="Arial"/>
          <w:sz w:val="22"/>
          <w:szCs w:val="22"/>
        </w:rPr>
        <w:t>tail</w:t>
      </w:r>
      <w:r w:rsidR="00D6681F" w:rsidRPr="00810867">
        <w:rPr>
          <w:rFonts w:ascii="Arial" w:hAnsi="Arial" w:cs="Arial"/>
          <w:sz w:val="22"/>
          <w:szCs w:val="22"/>
        </w:rPr>
        <w:t>lé et bien structuré</w:t>
      </w:r>
      <w:r w:rsidR="00A4257B" w:rsidRPr="00810867">
        <w:rPr>
          <w:rFonts w:ascii="Arial" w:hAnsi="Arial" w:cs="Arial"/>
          <w:sz w:val="22"/>
          <w:szCs w:val="22"/>
        </w:rPr>
        <w:t xml:space="preserve"> en </w:t>
      </w:r>
      <w:r w:rsidR="00435A19" w:rsidRPr="00810867">
        <w:rPr>
          <w:rFonts w:ascii="Arial" w:hAnsi="Arial" w:cs="Arial"/>
          <w:sz w:val="22"/>
          <w:szCs w:val="22"/>
        </w:rPr>
        <w:t>fonction des</w:t>
      </w:r>
      <w:r w:rsidR="00D6681F" w:rsidRPr="00810867">
        <w:rPr>
          <w:rFonts w:ascii="Arial" w:hAnsi="Arial" w:cs="Arial"/>
          <w:sz w:val="22"/>
          <w:szCs w:val="22"/>
        </w:rPr>
        <w:t xml:space="preserve"> activités et </w:t>
      </w:r>
      <w:r w:rsidR="00435A19" w:rsidRPr="00810867">
        <w:rPr>
          <w:rFonts w:ascii="Arial" w:hAnsi="Arial" w:cs="Arial"/>
          <w:sz w:val="22"/>
          <w:szCs w:val="22"/>
        </w:rPr>
        <w:t>du</w:t>
      </w:r>
      <w:r w:rsidR="00A4257B" w:rsidRPr="00810867">
        <w:rPr>
          <w:rFonts w:ascii="Arial" w:hAnsi="Arial" w:cs="Arial"/>
          <w:sz w:val="22"/>
          <w:szCs w:val="22"/>
        </w:rPr>
        <w:t xml:space="preserve"> </w:t>
      </w:r>
      <w:r w:rsidR="00D6681F" w:rsidRPr="00810867">
        <w:rPr>
          <w:rFonts w:ascii="Arial" w:hAnsi="Arial" w:cs="Arial"/>
          <w:sz w:val="22"/>
          <w:szCs w:val="22"/>
        </w:rPr>
        <w:t>plan de travail proposé</w:t>
      </w:r>
      <w:r w:rsidR="00626EA7" w:rsidRPr="00810867">
        <w:rPr>
          <w:rFonts w:ascii="Arial" w:hAnsi="Arial" w:cs="Arial"/>
          <w:sz w:val="22"/>
          <w:szCs w:val="22"/>
        </w:rPr>
        <w:t>s ; le montant de l’assistance demandée semble adéquat</w:t>
      </w:r>
      <w:r w:rsidR="00435A19" w:rsidRPr="00810867">
        <w:rPr>
          <w:rFonts w:ascii="Arial" w:hAnsi="Arial" w:cs="Arial"/>
          <w:sz w:val="22"/>
          <w:szCs w:val="22"/>
        </w:rPr>
        <w:t>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C02814" w:rsidRPr="00A55890">
        <w:rPr>
          <w:rFonts w:ascii="Arial" w:hAnsi="Arial" w:cs="Arial"/>
          <w:b/>
          <w:sz w:val="22"/>
          <w:szCs w:val="22"/>
        </w:rPr>
        <w:t>A.3</w:t>
      </w:r>
      <w:r w:rsidR="002A1069" w:rsidRPr="00810867">
        <w:rPr>
          <w:rFonts w:ascii="Arial" w:hAnsi="Arial" w:cs="Arial"/>
          <w:sz w:val="22"/>
          <w:szCs w:val="22"/>
        </w:rPr>
        <w:t> </w:t>
      </w:r>
      <w:r>
        <w:rPr>
          <w:rFonts w:ascii="Arial" w:hAnsi="Arial" w:cs="Arial"/>
          <w:sz w:val="22"/>
          <w:szCs w:val="22"/>
        </w:rPr>
        <w:t xml:space="preserve">: </w:t>
      </w:r>
      <w:r w:rsidR="00A4257B" w:rsidRPr="00810867">
        <w:rPr>
          <w:rFonts w:ascii="Arial" w:hAnsi="Arial" w:cs="Arial"/>
          <w:sz w:val="22"/>
          <w:szCs w:val="22"/>
        </w:rPr>
        <w:t>Les activités proposées, réparties selon quatre axes principaux, sont bien conçues pour répondre aux besoins urgents des comm</w:t>
      </w:r>
      <w:r w:rsidR="00FC76C6" w:rsidRPr="00810867">
        <w:rPr>
          <w:rFonts w:ascii="Arial" w:hAnsi="Arial" w:cs="Arial"/>
          <w:sz w:val="22"/>
          <w:szCs w:val="22"/>
        </w:rPr>
        <w:t>unautés, évaluer les dommages causés aux aspects matériels et immatériels de ce patrimoine culturel et identifier des solutions immédiates </w:t>
      </w:r>
      <w:r w:rsidR="00C02814" w:rsidRPr="00810867">
        <w:rPr>
          <w:rFonts w:ascii="Arial" w:hAnsi="Arial" w:cs="Arial"/>
          <w:sz w:val="22"/>
          <w:szCs w:val="22"/>
        </w:rPr>
        <w:t xml:space="preserve">; </w:t>
      </w:r>
      <w:r w:rsidR="00FC76C6" w:rsidRPr="00810867">
        <w:rPr>
          <w:rFonts w:ascii="Arial" w:hAnsi="Arial" w:cs="Arial"/>
          <w:sz w:val="22"/>
          <w:szCs w:val="22"/>
        </w:rPr>
        <w:t>la stratégie de mise en œuvre semble efficace, grâce également à une équipe bien assortie de spécialistes de différents domaines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FC76C6" w:rsidRPr="00A55890">
        <w:rPr>
          <w:rFonts w:ascii="Arial" w:hAnsi="Arial" w:cs="Arial"/>
          <w:b/>
          <w:sz w:val="22"/>
          <w:szCs w:val="22"/>
        </w:rPr>
        <w:t>A.4</w:t>
      </w:r>
      <w:r w:rsidR="002A1069" w:rsidRPr="00A55890">
        <w:rPr>
          <w:rFonts w:ascii="Arial" w:hAnsi="Arial" w:cs="Arial"/>
          <w:b/>
          <w:sz w:val="22"/>
          <w:szCs w:val="22"/>
        </w:rPr>
        <w:t> </w:t>
      </w:r>
      <w:r>
        <w:rPr>
          <w:rFonts w:ascii="Arial" w:hAnsi="Arial" w:cs="Arial"/>
          <w:sz w:val="22"/>
          <w:szCs w:val="22"/>
        </w:rPr>
        <w:t xml:space="preserve">: </w:t>
      </w:r>
      <w:r w:rsidR="00FC76C6" w:rsidRPr="00810867">
        <w:rPr>
          <w:rFonts w:ascii="Arial" w:hAnsi="Arial" w:cs="Arial"/>
          <w:sz w:val="22"/>
          <w:szCs w:val="22"/>
        </w:rPr>
        <w:t xml:space="preserve">Les résultats du projet seront pérennisés par l’élaboration d’un ensemble de meilleures pratiques de sauvegarde qui permettra aux communautés de </w:t>
      </w:r>
      <w:r w:rsidR="00145376" w:rsidRPr="00810867">
        <w:rPr>
          <w:rFonts w:ascii="Arial" w:hAnsi="Arial" w:cs="Arial"/>
          <w:sz w:val="22"/>
          <w:szCs w:val="22"/>
        </w:rPr>
        <w:t xml:space="preserve">conserver et entretenir correctement les </w:t>
      </w:r>
      <w:proofErr w:type="spellStart"/>
      <w:r w:rsidR="00145376" w:rsidRPr="00810867">
        <w:rPr>
          <w:rFonts w:ascii="Arial" w:hAnsi="Arial" w:cs="Arial"/>
          <w:sz w:val="22"/>
          <w:szCs w:val="22"/>
        </w:rPr>
        <w:t>nakamals</w:t>
      </w:r>
      <w:proofErr w:type="spellEnd"/>
      <w:r w:rsidR="00145376" w:rsidRPr="00810867">
        <w:rPr>
          <w:rFonts w:ascii="Arial" w:hAnsi="Arial" w:cs="Arial"/>
          <w:sz w:val="22"/>
          <w:szCs w:val="22"/>
        </w:rPr>
        <w:t xml:space="preserve"> au profit des générations actuelles et futures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145376" w:rsidRPr="00A55890">
        <w:rPr>
          <w:rFonts w:ascii="Arial" w:hAnsi="Arial" w:cs="Arial"/>
          <w:b/>
          <w:sz w:val="22"/>
          <w:szCs w:val="22"/>
        </w:rPr>
        <w:t>A.5</w:t>
      </w:r>
      <w:r w:rsidR="002A1069" w:rsidRPr="00810867">
        <w:rPr>
          <w:rFonts w:ascii="Arial" w:hAnsi="Arial" w:cs="Arial"/>
          <w:sz w:val="22"/>
          <w:szCs w:val="22"/>
        </w:rPr>
        <w:t> </w:t>
      </w:r>
      <w:r>
        <w:rPr>
          <w:rFonts w:ascii="Arial" w:hAnsi="Arial" w:cs="Arial"/>
          <w:sz w:val="22"/>
          <w:szCs w:val="22"/>
        </w:rPr>
        <w:t xml:space="preserve">: </w:t>
      </w:r>
      <w:r w:rsidR="00145376" w:rsidRPr="00810867">
        <w:rPr>
          <w:rFonts w:ascii="Arial" w:hAnsi="Arial" w:cs="Arial"/>
          <w:sz w:val="22"/>
          <w:szCs w:val="22"/>
        </w:rPr>
        <w:t>L’</w:t>
      </w:r>
      <w:r w:rsidR="00E01D22" w:rsidRPr="00810867">
        <w:rPr>
          <w:rFonts w:ascii="Arial" w:hAnsi="Arial" w:cs="Arial"/>
          <w:sz w:val="22"/>
          <w:szCs w:val="22"/>
        </w:rPr>
        <w:t>État</w:t>
      </w:r>
      <w:r w:rsidR="00145376" w:rsidRPr="00810867">
        <w:rPr>
          <w:rFonts w:ascii="Arial" w:hAnsi="Arial" w:cs="Arial"/>
          <w:sz w:val="22"/>
          <w:szCs w:val="22"/>
        </w:rPr>
        <w:t xml:space="preserve"> partie et d’autres sources contribuent </w:t>
      </w:r>
      <w:r w:rsidR="00731F94" w:rsidRPr="00810867">
        <w:rPr>
          <w:rFonts w:ascii="Arial" w:hAnsi="Arial" w:cs="Arial"/>
          <w:sz w:val="22"/>
          <w:szCs w:val="22"/>
        </w:rPr>
        <w:t>pour</w:t>
      </w:r>
      <w:r w:rsidR="00145376" w:rsidRPr="00810867">
        <w:rPr>
          <w:rFonts w:ascii="Arial" w:hAnsi="Arial" w:cs="Arial"/>
          <w:sz w:val="22"/>
          <w:szCs w:val="22"/>
        </w:rPr>
        <w:t xml:space="preserve"> moitié au budget total du projet</w:t>
      </w:r>
      <w:r w:rsidR="00C02814" w:rsidRPr="00810867">
        <w:rPr>
          <w:rFonts w:ascii="Arial" w:hAnsi="Arial" w:cs="Arial"/>
          <w:sz w:val="22"/>
          <w:szCs w:val="22"/>
        </w:rPr>
        <w:t xml:space="preserve"> </w:t>
      </w:r>
      <w:r w:rsidR="00145376" w:rsidRPr="00810867">
        <w:rPr>
          <w:rFonts w:ascii="Arial" w:hAnsi="Arial" w:cs="Arial"/>
          <w:sz w:val="22"/>
          <w:szCs w:val="22"/>
        </w:rPr>
        <w:t>par des contributions en nature et la location de bureaux, ce qui permet de distinguer sa contribution de celle demandée au Fonds du patrimoine culturel immatériel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C02814" w:rsidRPr="00A55890">
        <w:rPr>
          <w:rFonts w:ascii="Arial" w:hAnsi="Arial" w:cs="Arial"/>
          <w:b/>
          <w:sz w:val="22"/>
          <w:szCs w:val="22"/>
        </w:rPr>
        <w:t>A.6</w:t>
      </w:r>
      <w:r w:rsidR="002A1069" w:rsidRPr="00810867">
        <w:rPr>
          <w:rFonts w:ascii="Arial" w:hAnsi="Arial" w:cs="Arial"/>
          <w:sz w:val="22"/>
          <w:szCs w:val="22"/>
        </w:rPr>
        <w:t> </w:t>
      </w:r>
      <w:r>
        <w:rPr>
          <w:rFonts w:ascii="Arial" w:hAnsi="Arial" w:cs="Arial"/>
          <w:sz w:val="22"/>
          <w:szCs w:val="22"/>
        </w:rPr>
        <w:t xml:space="preserve">: </w:t>
      </w:r>
      <w:r w:rsidR="009B57CA" w:rsidRPr="00810867">
        <w:rPr>
          <w:rFonts w:ascii="Arial" w:hAnsi="Arial" w:cs="Arial"/>
          <w:sz w:val="22"/>
          <w:szCs w:val="22"/>
        </w:rPr>
        <w:t xml:space="preserve">Le renforcement des capacités et des savoirs des six communautés du </w:t>
      </w:r>
      <w:r w:rsidR="00C02814" w:rsidRPr="00810867">
        <w:rPr>
          <w:rFonts w:ascii="Arial" w:hAnsi="Arial" w:cs="Arial"/>
          <w:sz w:val="22"/>
          <w:szCs w:val="22"/>
        </w:rPr>
        <w:t xml:space="preserve">Vanuatu </w:t>
      </w:r>
      <w:r w:rsidR="009B57CA" w:rsidRPr="00810867">
        <w:rPr>
          <w:rFonts w:ascii="Arial" w:hAnsi="Arial" w:cs="Arial"/>
          <w:sz w:val="22"/>
          <w:szCs w:val="22"/>
        </w:rPr>
        <w:t>et leur sensibilisation à l’i</w:t>
      </w:r>
      <w:r w:rsidR="00C02814" w:rsidRPr="00810867">
        <w:rPr>
          <w:rFonts w:ascii="Arial" w:hAnsi="Arial" w:cs="Arial"/>
          <w:sz w:val="22"/>
          <w:szCs w:val="22"/>
        </w:rPr>
        <w:t xml:space="preserve">mportance </w:t>
      </w:r>
      <w:r w:rsidR="009B57CA" w:rsidRPr="00810867">
        <w:rPr>
          <w:rFonts w:ascii="Arial" w:hAnsi="Arial" w:cs="Arial"/>
          <w:sz w:val="22"/>
          <w:szCs w:val="22"/>
        </w:rPr>
        <w:t>de la sauvegarde du patrimoine culturel immatériel sont des aspects centraux du programme proposé et font partie de ses principaux résultats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C02814" w:rsidRPr="00A55890">
        <w:rPr>
          <w:rFonts w:ascii="Arial" w:hAnsi="Arial" w:cs="Arial"/>
          <w:b/>
          <w:sz w:val="22"/>
          <w:szCs w:val="22"/>
        </w:rPr>
        <w:t>A.7</w:t>
      </w:r>
      <w:r>
        <w:rPr>
          <w:rFonts w:ascii="Arial" w:hAnsi="Arial" w:cs="Arial"/>
          <w:sz w:val="22"/>
          <w:szCs w:val="22"/>
        </w:rPr>
        <w:t xml:space="preserve">: </w:t>
      </w:r>
      <w:r w:rsidR="009B57CA" w:rsidRPr="00810867">
        <w:rPr>
          <w:rFonts w:ascii="Arial" w:hAnsi="Arial" w:cs="Arial"/>
          <w:sz w:val="22"/>
          <w:szCs w:val="22"/>
        </w:rPr>
        <w:t>L’</w:t>
      </w:r>
      <w:r w:rsidR="00E01D22" w:rsidRPr="00810867">
        <w:rPr>
          <w:rFonts w:ascii="Arial" w:hAnsi="Arial" w:cs="Arial"/>
          <w:sz w:val="22"/>
          <w:szCs w:val="22"/>
        </w:rPr>
        <w:t>État</w:t>
      </w:r>
      <w:r w:rsidR="009B57CA" w:rsidRPr="00810867">
        <w:rPr>
          <w:rFonts w:ascii="Arial" w:hAnsi="Arial" w:cs="Arial"/>
          <w:sz w:val="22"/>
          <w:szCs w:val="22"/>
        </w:rPr>
        <w:t xml:space="preserve"> partie bénéficiaire n’a </w:t>
      </w:r>
      <w:r w:rsidR="002A1069" w:rsidRPr="00810867">
        <w:rPr>
          <w:rFonts w:ascii="Arial" w:hAnsi="Arial" w:cs="Arial"/>
          <w:sz w:val="22"/>
          <w:szCs w:val="22"/>
        </w:rPr>
        <w:t>encore jamais</w:t>
      </w:r>
      <w:r w:rsidR="00895878" w:rsidRPr="00810867">
        <w:rPr>
          <w:rFonts w:ascii="Arial" w:hAnsi="Arial" w:cs="Arial"/>
          <w:sz w:val="22"/>
          <w:szCs w:val="22"/>
        </w:rPr>
        <w:t xml:space="preserve"> bénéficié d’une aide financière de l’UNESCO dans le domaine du patrimoine culturel immatériel </w:t>
      </w:r>
      <w:r w:rsidR="00C02814" w:rsidRPr="00810867">
        <w:rPr>
          <w:rFonts w:ascii="Arial" w:hAnsi="Arial" w:cs="Arial"/>
          <w:sz w:val="22"/>
          <w:szCs w:val="22"/>
        </w:rPr>
        <w:t xml:space="preserve">; </w:t>
      </w:r>
      <w:r w:rsidR="00895878" w:rsidRPr="00810867">
        <w:rPr>
          <w:rFonts w:ascii="Arial" w:hAnsi="Arial" w:cs="Arial"/>
          <w:sz w:val="22"/>
          <w:szCs w:val="22"/>
        </w:rPr>
        <w:t xml:space="preserve">il a </w:t>
      </w:r>
      <w:r w:rsidR="002A1069" w:rsidRPr="00810867">
        <w:rPr>
          <w:rFonts w:ascii="Arial" w:hAnsi="Arial" w:cs="Arial"/>
          <w:sz w:val="22"/>
          <w:szCs w:val="22"/>
        </w:rPr>
        <w:t xml:space="preserve">toutefois </w:t>
      </w:r>
      <w:r w:rsidR="00895878" w:rsidRPr="00810867">
        <w:rPr>
          <w:rFonts w:ascii="Arial" w:hAnsi="Arial" w:cs="Arial"/>
          <w:sz w:val="22"/>
          <w:szCs w:val="22"/>
        </w:rPr>
        <w:t xml:space="preserve">reçu récemment une contribution de </w:t>
      </w:r>
      <w:r w:rsidR="00C02814" w:rsidRPr="00810867">
        <w:rPr>
          <w:rFonts w:ascii="Arial" w:hAnsi="Arial" w:cs="Arial"/>
          <w:sz w:val="22"/>
          <w:szCs w:val="22"/>
        </w:rPr>
        <w:t>18</w:t>
      </w:r>
      <w:r w:rsidR="00895878" w:rsidRPr="00810867">
        <w:rPr>
          <w:rFonts w:ascii="Arial" w:hAnsi="Arial" w:cs="Arial"/>
          <w:sz w:val="22"/>
          <w:szCs w:val="22"/>
        </w:rPr>
        <w:t> </w:t>
      </w:r>
      <w:r w:rsidR="00C02814" w:rsidRPr="00810867">
        <w:rPr>
          <w:rFonts w:ascii="Arial" w:hAnsi="Arial" w:cs="Arial"/>
          <w:sz w:val="22"/>
          <w:szCs w:val="22"/>
        </w:rPr>
        <w:t>140</w:t>
      </w:r>
      <w:r w:rsidR="00895878" w:rsidRPr="00810867">
        <w:rPr>
          <w:rFonts w:ascii="Arial" w:hAnsi="Arial" w:cs="Arial"/>
          <w:sz w:val="22"/>
          <w:szCs w:val="22"/>
        </w:rPr>
        <w:t xml:space="preserve"> dollars des </w:t>
      </w:r>
      <w:r w:rsidR="00E01D22" w:rsidRPr="00810867">
        <w:rPr>
          <w:rFonts w:ascii="Arial" w:hAnsi="Arial" w:cs="Arial"/>
          <w:sz w:val="22"/>
          <w:szCs w:val="22"/>
        </w:rPr>
        <w:t>États-Unis</w:t>
      </w:r>
      <w:r w:rsidR="00895878" w:rsidRPr="00810867">
        <w:rPr>
          <w:rFonts w:ascii="Arial" w:hAnsi="Arial" w:cs="Arial"/>
          <w:sz w:val="22"/>
          <w:szCs w:val="22"/>
        </w:rPr>
        <w:t xml:space="preserve"> du Fonds du patrimoine mondial pour </w:t>
      </w:r>
      <w:r w:rsidR="00731F94" w:rsidRPr="00810867">
        <w:rPr>
          <w:rFonts w:ascii="Arial" w:hAnsi="Arial" w:cs="Arial"/>
          <w:sz w:val="22"/>
          <w:szCs w:val="22"/>
        </w:rPr>
        <w:t>l’</w:t>
      </w:r>
      <w:r w:rsidR="00895878" w:rsidRPr="00810867">
        <w:rPr>
          <w:rFonts w:ascii="Arial" w:hAnsi="Arial" w:cs="Arial"/>
          <w:sz w:val="22"/>
          <w:szCs w:val="22"/>
        </w:rPr>
        <w:t>évalu</w:t>
      </w:r>
      <w:r w:rsidR="00731F94" w:rsidRPr="00810867">
        <w:rPr>
          <w:rFonts w:ascii="Arial" w:hAnsi="Arial" w:cs="Arial"/>
          <w:sz w:val="22"/>
          <w:szCs w:val="22"/>
        </w:rPr>
        <w:t>ation urgente d</w:t>
      </w:r>
      <w:r w:rsidR="00895878" w:rsidRPr="00810867">
        <w:rPr>
          <w:rFonts w:ascii="Arial" w:hAnsi="Arial" w:cs="Arial"/>
          <w:sz w:val="22"/>
          <w:szCs w:val="22"/>
        </w:rPr>
        <w:t>es impacts du</w:t>
      </w:r>
      <w:r w:rsidR="00C02814" w:rsidRPr="00810867">
        <w:rPr>
          <w:rFonts w:ascii="Arial" w:hAnsi="Arial" w:cs="Arial"/>
          <w:sz w:val="22"/>
          <w:szCs w:val="22"/>
        </w:rPr>
        <w:t xml:space="preserve"> cyclone Pam </w:t>
      </w:r>
      <w:r w:rsidR="00895878" w:rsidRPr="00810867">
        <w:rPr>
          <w:rFonts w:ascii="Arial" w:hAnsi="Arial" w:cs="Arial"/>
          <w:sz w:val="22"/>
          <w:szCs w:val="22"/>
        </w:rPr>
        <w:t>sur le Domaine du chef roi Mata</w:t>
      </w:r>
      <w:r w:rsidR="00C02814" w:rsidRPr="00810867">
        <w:rPr>
          <w:rFonts w:ascii="Arial" w:hAnsi="Arial" w:cs="Arial"/>
          <w:sz w:val="22"/>
          <w:szCs w:val="22"/>
        </w:rPr>
        <w:t xml:space="preserve">, </w:t>
      </w:r>
      <w:r w:rsidR="00895878" w:rsidRPr="00810867">
        <w:rPr>
          <w:rFonts w:ascii="Arial" w:hAnsi="Arial" w:cs="Arial"/>
          <w:sz w:val="22"/>
          <w:szCs w:val="22"/>
        </w:rPr>
        <w:t>site du patrimoine mondial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t xml:space="preserve">Critère </w:t>
      </w:r>
      <w:r w:rsidR="00C02814" w:rsidRPr="00A55890">
        <w:rPr>
          <w:rFonts w:ascii="Arial" w:hAnsi="Arial" w:cs="Arial"/>
          <w:b/>
          <w:sz w:val="22"/>
          <w:szCs w:val="22"/>
        </w:rPr>
        <w:t>10(a)</w:t>
      </w:r>
      <w:r w:rsidR="002A1069" w:rsidRPr="00810867">
        <w:rPr>
          <w:rFonts w:ascii="Arial" w:hAnsi="Arial" w:cs="Arial"/>
          <w:sz w:val="22"/>
          <w:szCs w:val="22"/>
        </w:rPr>
        <w:t> </w:t>
      </w:r>
      <w:r>
        <w:rPr>
          <w:rFonts w:ascii="Arial" w:hAnsi="Arial" w:cs="Arial"/>
          <w:sz w:val="22"/>
          <w:szCs w:val="22"/>
        </w:rPr>
        <w:t xml:space="preserve">: </w:t>
      </w:r>
      <w:r w:rsidR="00895878" w:rsidRPr="00810867">
        <w:rPr>
          <w:rFonts w:ascii="Arial" w:hAnsi="Arial" w:cs="Arial"/>
          <w:sz w:val="22"/>
          <w:szCs w:val="22"/>
        </w:rPr>
        <w:t xml:space="preserve">Le projet a une envergure nationale et fait appel à des partenaires de mise en </w:t>
      </w:r>
      <w:r w:rsidR="002A1069" w:rsidRPr="00810867">
        <w:rPr>
          <w:rFonts w:ascii="Arial" w:hAnsi="Arial" w:cs="Arial"/>
          <w:sz w:val="22"/>
          <w:szCs w:val="22"/>
        </w:rPr>
        <w:t>œuvre nationaux </w:t>
      </w:r>
      <w:r w:rsidR="00C02814" w:rsidRPr="00810867">
        <w:rPr>
          <w:rFonts w:ascii="Arial" w:hAnsi="Arial" w:cs="Arial"/>
          <w:sz w:val="22"/>
          <w:szCs w:val="22"/>
        </w:rPr>
        <w:t>;</w:t>
      </w:r>
    </w:p>
    <w:p w:rsidR="00C02814" w:rsidRPr="00810867" w:rsidRDefault="00A55890" w:rsidP="00A55890">
      <w:pPr>
        <w:tabs>
          <w:tab w:val="left" w:pos="1134"/>
        </w:tabs>
        <w:spacing w:before="120" w:after="120"/>
        <w:ind w:left="1134"/>
        <w:jc w:val="both"/>
        <w:rPr>
          <w:rFonts w:ascii="Arial" w:hAnsi="Arial" w:cs="Arial"/>
          <w:sz w:val="22"/>
          <w:szCs w:val="22"/>
        </w:rPr>
      </w:pPr>
      <w:r w:rsidRPr="00A55890">
        <w:rPr>
          <w:rFonts w:ascii="Arial" w:hAnsi="Arial" w:cs="Arial"/>
          <w:b/>
          <w:sz w:val="22"/>
          <w:szCs w:val="22"/>
        </w:rPr>
        <w:lastRenderedPageBreak/>
        <w:t xml:space="preserve">Critère </w:t>
      </w:r>
      <w:r w:rsidR="00C02814" w:rsidRPr="00A55890">
        <w:rPr>
          <w:rFonts w:ascii="Arial" w:hAnsi="Arial" w:cs="Arial"/>
          <w:b/>
          <w:sz w:val="22"/>
          <w:szCs w:val="22"/>
        </w:rPr>
        <w:t>10(b)</w:t>
      </w:r>
      <w:r w:rsidR="002A1069" w:rsidRPr="00810867">
        <w:rPr>
          <w:rFonts w:ascii="Arial" w:hAnsi="Arial" w:cs="Arial"/>
          <w:sz w:val="22"/>
          <w:szCs w:val="22"/>
        </w:rPr>
        <w:t> </w:t>
      </w:r>
      <w:r>
        <w:rPr>
          <w:rFonts w:ascii="Arial" w:hAnsi="Arial" w:cs="Arial"/>
          <w:sz w:val="22"/>
          <w:szCs w:val="22"/>
        </w:rPr>
        <w:t xml:space="preserve">: </w:t>
      </w:r>
      <w:r w:rsidR="00EC3BAE" w:rsidRPr="00810867">
        <w:rPr>
          <w:rFonts w:ascii="Arial" w:hAnsi="Arial" w:cs="Arial"/>
          <w:sz w:val="22"/>
          <w:szCs w:val="22"/>
        </w:rPr>
        <w:t>En identifiant et recommandant les meilleures mesures de sauvegarde pour la construction et le maintien des connaissances et savoir-faire liés aux</w:t>
      </w:r>
      <w:r w:rsidR="00C02814" w:rsidRPr="00810867">
        <w:rPr>
          <w:rFonts w:ascii="Arial" w:hAnsi="Arial" w:cs="Arial"/>
          <w:sz w:val="22"/>
          <w:szCs w:val="22"/>
        </w:rPr>
        <w:t xml:space="preserve"> </w:t>
      </w:r>
      <w:proofErr w:type="spellStart"/>
      <w:r w:rsidR="00C02814" w:rsidRPr="00810867">
        <w:rPr>
          <w:rFonts w:ascii="Arial" w:hAnsi="Arial" w:cs="Arial"/>
          <w:sz w:val="22"/>
          <w:szCs w:val="22"/>
        </w:rPr>
        <w:t>nakamals</w:t>
      </w:r>
      <w:proofErr w:type="spellEnd"/>
      <w:r w:rsidR="00C02814" w:rsidRPr="00810867">
        <w:rPr>
          <w:rFonts w:ascii="Arial" w:hAnsi="Arial" w:cs="Arial"/>
          <w:sz w:val="22"/>
          <w:szCs w:val="22"/>
        </w:rPr>
        <w:t xml:space="preserve">, </w:t>
      </w:r>
      <w:r w:rsidR="00EC3BAE" w:rsidRPr="00810867">
        <w:rPr>
          <w:rFonts w:ascii="Arial" w:hAnsi="Arial" w:cs="Arial"/>
          <w:sz w:val="22"/>
          <w:szCs w:val="22"/>
        </w:rPr>
        <w:t>le projet pourrait attirer de nouveaux partenaires financiers et techniques </w:t>
      </w:r>
      <w:r w:rsidR="00C02814" w:rsidRPr="00810867">
        <w:rPr>
          <w:rFonts w:ascii="Arial" w:hAnsi="Arial" w:cs="Arial"/>
          <w:sz w:val="22"/>
          <w:szCs w:val="22"/>
        </w:rPr>
        <w:t>;</w:t>
      </w:r>
    </w:p>
    <w:p w:rsidR="00C02814" w:rsidRPr="00810867" w:rsidRDefault="00C02814" w:rsidP="003D6368">
      <w:pPr>
        <w:pStyle w:val="Marge"/>
        <w:numPr>
          <w:ilvl w:val="0"/>
          <w:numId w:val="15"/>
        </w:numPr>
        <w:tabs>
          <w:tab w:val="clear" w:pos="567"/>
        </w:tabs>
        <w:spacing w:after="120"/>
        <w:ind w:left="1134" w:hanging="567"/>
      </w:pPr>
      <w:r w:rsidRPr="00810867">
        <w:rPr>
          <w:u w:val="single"/>
        </w:rPr>
        <w:t>Appro</w:t>
      </w:r>
      <w:r w:rsidR="00C328D4" w:rsidRPr="00810867">
        <w:rPr>
          <w:u w:val="single"/>
        </w:rPr>
        <w:t>uve</w:t>
      </w:r>
      <w:r w:rsidRPr="00810867">
        <w:t xml:space="preserve">, </w:t>
      </w:r>
      <w:r w:rsidR="0044684E" w:rsidRPr="00810867">
        <w:t>en sa qualité d’organe habilité,</w:t>
      </w:r>
      <w:r w:rsidRPr="00810867">
        <w:t xml:space="preserve"> </w:t>
      </w:r>
      <w:r w:rsidR="0044684E" w:rsidRPr="00810867">
        <w:t xml:space="preserve">la demande d’assistance </w:t>
      </w:r>
      <w:r w:rsidRPr="00810867">
        <w:t>international</w:t>
      </w:r>
      <w:r w:rsidR="00743B83" w:rsidRPr="00810867">
        <w:t>e</w:t>
      </w:r>
      <w:r w:rsidRPr="00810867">
        <w:t xml:space="preserve"> </w:t>
      </w:r>
      <w:r w:rsidR="00743B83" w:rsidRPr="00810867">
        <w:t xml:space="preserve">du </w:t>
      </w:r>
      <w:r w:rsidRPr="00810867">
        <w:t xml:space="preserve">Vanuatu </w:t>
      </w:r>
      <w:r w:rsidR="00743B83" w:rsidRPr="00810867">
        <w:t>pour la</w:t>
      </w:r>
      <w:r w:rsidRPr="00810867">
        <w:t xml:space="preserve"> </w:t>
      </w:r>
      <w:r w:rsidR="00743B83" w:rsidRPr="00810867">
        <w:t>« </w:t>
      </w:r>
      <w:r w:rsidRPr="00810867">
        <w:rPr>
          <w:b/>
        </w:rPr>
        <w:t>Sa</w:t>
      </w:r>
      <w:r w:rsidR="00743B83" w:rsidRPr="00810867">
        <w:rPr>
          <w:b/>
        </w:rPr>
        <w:t xml:space="preserve">uvegarde de l’architecture autochtone vernaculaire et des connaissances en matière de construction </w:t>
      </w:r>
      <w:r w:rsidR="002A1069" w:rsidRPr="00810867">
        <w:rPr>
          <w:b/>
        </w:rPr>
        <w:t>a</w:t>
      </w:r>
      <w:r w:rsidR="00743B83" w:rsidRPr="00810867">
        <w:rPr>
          <w:b/>
        </w:rPr>
        <w:t xml:space="preserve">u </w:t>
      </w:r>
      <w:r w:rsidRPr="00810867">
        <w:rPr>
          <w:b/>
        </w:rPr>
        <w:t>Vanuatu</w:t>
      </w:r>
      <w:r w:rsidR="00743B83" w:rsidRPr="00810867">
        <w:t> »</w:t>
      </w:r>
      <w:r w:rsidRPr="00810867">
        <w:t xml:space="preserve"> (N</w:t>
      </w:r>
      <w:r w:rsidR="003D6368">
        <w:t>°</w:t>
      </w:r>
      <w:r w:rsidRPr="00810867">
        <w:t xml:space="preserve">01214) </w:t>
      </w:r>
      <w:r w:rsidR="00743B83" w:rsidRPr="00810867">
        <w:t xml:space="preserve">pour un montant de </w:t>
      </w:r>
      <w:r w:rsidRPr="00810867">
        <w:t>23</w:t>
      </w:r>
      <w:r w:rsidR="00743B83" w:rsidRPr="00810867">
        <w:t> </w:t>
      </w:r>
      <w:r w:rsidRPr="00810867">
        <w:t>908</w:t>
      </w:r>
      <w:r w:rsidR="00743B83" w:rsidRPr="00810867">
        <w:t xml:space="preserve"> dollars des </w:t>
      </w:r>
      <w:r w:rsidR="00E01D22" w:rsidRPr="00810867">
        <w:t>États-Unis</w:t>
      </w:r>
      <w:r w:rsidR="00743B83" w:rsidRPr="00810867">
        <w:t> </w:t>
      </w:r>
      <w:r w:rsidRPr="00810867">
        <w:t>;</w:t>
      </w:r>
    </w:p>
    <w:p w:rsidR="00C02814" w:rsidRPr="00810867" w:rsidRDefault="003A4DAF" w:rsidP="00C02814">
      <w:pPr>
        <w:pStyle w:val="Marge"/>
        <w:numPr>
          <w:ilvl w:val="0"/>
          <w:numId w:val="15"/>
        </w:numPr>
        <w:spacing w:after="120"/>
        <w:ind w:left="1134" w:hanging="567"/>
      </w:pPr>
      <w:r w:rsidRPr="00810867">
        <w:rPr>
          <w:u w:val="single"/>
        </w:rPr>
        <w:t>Salue</w:t>
      </w:r>
      <w:r w:rsidRPr="00810867">
        <w:t xml:space="preserve"> l’</w:t>
      </w:r>
      <w:r w:rsidR="00C02814" w:rsidRPr="00810867">
        <w:t xml:space="preserve">initiative </w:t>
      </w:r>
      <w:r w:rsidRPr="00810867">
        <w:t>de l’</w:t>
      </w:r>
      <w:r w:rsidR="00E01D22" w:rsidRPr="00810867">
        <w:t>État</w:t>
      </w:r>
      <w:r w:rsidRPr="00810867">
        <w:t xml:space="preserve"> partie de soumettre une demande d’urgence et</w:t>
      </w:r>
      <w:r w:rsidR="00C02814" w:rsidRPr="00810867">
        <w:t xml:space="preserve"> </w:t>
      </w:r>
      <w:r w:rsidRPr="00810867">
        <w:rPr>
          <w:u w:val="single"/>
        </w:rPr>
        <w:t>prend n</w:t>
      </w:r>
      <w:r w:rsidR="00C02814" w:rsidRPr="00810867">
        <w:rPr>
          <w:u w:val="single"/>
        </w:rPr>
        <w:t xml:space="preserve">ote </w:t>
      </w:r>
      <w:r w:rsidRPr="00810867">
        <w:rPr>
          <w:u w:val="single"/>
        </w:rPr>
        <w:t>avec satisfaction</w:t>
      </w:r>
      <w:r w:rsidRPr="00810867">
        <w:t xml:space="preserve"> de ses </w:t>
      </w:r>
      <w:r w:rsidR="00C02814" w:rsidRPr="00810867">
        <w:t xml:space="preserve">efforts </w:t>
      </w:r>
      <w:r w:rsidRPr="00810867">
        <w:t xml:space="preserve">pour évaluer et atténuer les dégâts causés à son patrimoine culturel matériel et immatériel par le cyclone </w:t>
      </w:r>
      <w:r w:rsidR="00C02814" w:rsidRPr="00810867">
        <w:rPr>
          <w:szCs w:val="22"/>
        </w:rPr>
        <w:t>Pam</w:t>
      </w:r>
      <w:r w:rsidR="006C1039" w:rsidRPr="00810867">
        <w:rPr>
          <w:szCs w:val="22"/>
        </w:rPr>
        <w:t> </w:t>
      </w:r>
      <w:r w:rsidR="00C02814" w:rsidRPr="00810867">
        <w:t>;</w:t>
      </w:r>
    </w:p>
    <w:p w:rsidR="00C02814" w:rsidRPr="00810867" w:rsidRDefault="00C02814" w:rsidP="00C02814">
      <w:pPr>
        <w:pStyle w:val="Marge"/>
        <w:numPr>
          <w:ilvl w:val="0"/>
          <w:numId w:val="15"/>
        </w:numPr>
        <w:spacing w:after="120"/>
        <w:ind w:left="1134" w:hanging="567"/>
      </w:pPr>
      <w:r w:rsidRPr="00810867">
        <w:rPr>
          <w:rFonts w:cs="Arial"/>
          <w:bCs/>
          <w:szCs w:val="22"/>
          <w:u w:val="single"/>
        </w:rPr>
        <w:t>F</w:t>
      </w:r>
      <w:r w:rsidR="00516D2C" w:rsidRPr="00810867">
        <w:rPr>
          <w:rFonts w:cs="Arial"/>
          <w:bCs/>
          <w:szCs w:val="22"/>
          <w:u w:val="single"/>
        </w:rPr>
        <w:t>élicite également</w:t>
      </w:r>
      <w:r w:rsidR="00516D2C" w:rsidRPr="00810867">
        <w:rPr>
          <w:rFonts w:cs="Arial"/>
          <w:bCs/>
          <w:szCs w:val="22"/>
        </w:rPr>
        <w:t xml:space="preserve"> l’</w:t>
      </w:r>
      <w:r w:rsidR="00E01D22" w:rsidRPr="00810867">
        <w:rPr>
          <w:rFonts w:cs="Arial"/>
          <w:bCs/>
          <w:szCs w:val="22"/>
        </w:rPr>
        <w:t>État</w:t>
      </w:r>
      <w:r w:rsidR="00516D2C" w:rsidRPr="00810867">
        <w:rPr>
          <w:rFonts w:cs="Arial"/>
          <w:bCs/>
          <w:szCs w:val="22"/>
        </w:rPr>
        <w:t xml:space="preserve"> partie pour la clarté et la précision avec laq</w:t>
      </w:r>
      <w:r w:rsidR="00810867" w:rsidRPr="00810867">
        <w:rPr>
          <w:rFonts w:cs="Arial"/>
          <w:bCs/>
          <w:szCs w:val="22"/>
        </w:rPr>
        <w:t>uelle la demande a été préparée</w:t>
      </w:r>
      <w:r w:rsidR="00516D2C" w:rsidRPr="00810867">
        <w:rPr>
          <w:rFonts w:cs="Arial"/>
          <w:bCs/>
          <w:szCs w:val="22"/>
        </w:rPr>
        <w:t>, en particulier pour la transparence de la présentation du budget qui expose clairement les coûts spécifiques que l’</w:t>
      </w:r>
      <w:r w:rsidR="00E01D22" w:rsidRPr="00810867">
        <w:rPr>
          <w:rFonts w:cs="Arial"/>
          <w:bCs/>
          <w:szCs w:val="22"/>
        </w:rPr>
        <w:t>État</w:t>
      </w:r>
      <w:r w:rsidR="00516D2C" w:rsidRPr="00810867">
        <w:rPr>
          <w:rFonts w:cs="Arial"/>
          <w:bCs/>
          <w:szCs w:val="22"/>
        </w:rPr>
        <w:t xml:space="preserve"> demandeur et d’autres sources supporter</w:t>
      </w:r>
      <w:r w:rsidR="00810867" w:rsidRPr="00810867">
        <w:rPr>
          <w:rFonts w:cs="Arial"/>
          <w:bCs/>
          <w:szCs w:val="22"/>
        </w:rPr>
        <w:t>ont</w:t>
      </w:r>
      <w:r w:rsidR="00516D2C" w:rsidRPr="00810867">
        <w:rPr>
          <w:rFonts w:cs="Arial"/>
          <w:bCs/>
          <w:szCs w:val="22"/>
        </w:rPr>
        <w:t>, ainsi que ceux qui seraient pris en charge par le Fonds du patrimoine culturel immatériel </w:t>
      </w:r>
      <w:r w:rsidRPr="00810867">
        <w:rPr>
          <w:rFonts w:cs="Arial"/>
          <w:bCs/>
          <w:szCs w:val="22"/>
        </w:rPr>
        <w:t>;</w:t>
      </w:r>
    </w:p>
    <w:p w:rsidR="00C02814" w:rsidRPr="00810867" w:rsidRDefault="00C328D4" w:rsidP="00C02814">
      <w:pPr>
        <w:pStyle w:val="Marge"/>
        <w:numPr>
          <w:ilvl w:val="0"/>
          <w:numId w:val="15"/>
        </w:numPr>
        <w:spacing w:after="120"/>
        <w:ind w:left="1134" w:hanging="567"/>
      </w:pPr>
      <w:r w:rsidRPr="00810867">
        <w:rPr>
          <w:u w:val="single"/>
        </w:rPr>
        <w:t>Encourage</w:t>
      </w:r>
      <w:r w:rsidR="00C02814" w:rsidRPr="00810867">
        <w:t xml:space="preserve"> </w:t>
      </w:r>
      <w:r w:rsidRPr="00810867">
        <w:t>l’</w:t>
      </w:r>
      <w:r w:rsidR="00E01D22" w:rsidRPr="00810867">
        <w:t>État</w:t>
      </w:r>
      <w:r w:rsidRPr="00810867">
        <w:t xml:space="preserve"> partie à mettre en œuvre le projet en étroite collaboration avec l’UNESCO et avec la participation la plus large possi</w:t>
      </w:r>
      <w:r w:rsidR="0044684E" w:rsidRPr="00810867">
        <w:t xml:space="preserve">ble des communautés concernées </w:t>
      </w:r>
      <w:r w:rsidR="00810867" w:rsidRPr="00810867">
        <w:t>d</w:t>
      </w:r>
      <w:r w:rsidRPr="00810867">
        <w:t>es différentes îles </w:t>
      </w:r>
      <w:r w:rsidR="00C02814" w:rsidRPr="00810867">
        <w:t>;</w:t>
      </w:r>
    </w:p>
    <w:p w:rsidR="00C02814" w:rsidRPr="00810867" w:rsidRDefault="00C02814" w:rsidP="00C02814">
      <w:pPr>
        <w:pStyle w:val="Marge"/>
        <w:numPr>
          <w:ilvl w:val="0"/>
          <w:numId w:val="15"/>
        </w:numPr>
        <w:spacing w:after="120"/>
        <w:ind w:left="1134" w:hanging="567"/>
      </w:pPr>
      <w:r w:rsidRPr="00810867">
        <w:rPr>
          <w:u w:val="single"/>
        </w:rPr>
        <w:t>Invite</w:t>
      </w:r>
      <w:r w:rsidRPr="00810867">
        <w:t xml:space="preserve"> </w:t>
      </w:r>
      <w:r w:rsidR="00C328D4" w:rsidRPr="00810867">
        <w:t>l’</w:t>
      </w:r>
      <w:r w:rsidR="00E01D22" w:rsidRPr="00810867">
        <w:t>État</w:t>
      </w:r>
      <w:r w:rsidR="00C328D4" w:rsidRPr="00810867">
        <w:t xml:space="preserve"> partie à envisager la possibilité de demander une seconde phase d’assistance d’urgence sur la base</w:t>
      </w:r>
      <w:r w:rsidR="00810867" w:rsidRPr="00810867">
        <w:t>,</w:t>
      </w:r>
      <w:r w:rsidR="00C328D4" w:rsidRPr="00810867">
        <w:t xml:space="preserve"> </w:t>
      </w:r>
      <w:r w:rsidR="0044684E" w:rsidRPr="00810867">
        <w:t xml:space="preserve">d’une part </w:t>
      </w:r>
      <w:r w:rsidR="00C328D4" w:rsidRPr="00810867">
        <w:t xml:space="preserve">de l’évaluation de l’état des </w:t>
      </w:r>
      <w:proofErr w:type="spellStart"/>
      <w:r w:rsidR="00C328D4" w:rsidRPr="00810867">
        <w:t>nakamals</w:t>
      </w:r>
      <w:proofErr w:type="spellEnd"/>
      <w:r w:rsidR="00C328D4" w:rsidRPr="00810867">
        <w:t xml:space="preserve"> avant et après le cyclone, </w:t>
      </w:r>
      <w:r w:rsidR="0044684E" w:rsidRPr="00810867">
        <w:t xml:space="preserve">et d’autre part </w:t>
      </w:r>
      <w:r w:rsidR="00C328D4" w:rsidRPr="00810867">
        <w:t>des résultats et conclusions de ce projet urgent </w:t>
      </w:r>
      <w:r w:rsidRPr="00810867">
        <w:rPr>
          <w:szCs w:val="22"/>
        </w:rPr>
        <w:t>;</w:t>
      </w:r>
    </w:p>
    <w:p w:rsidR="00C02814" w:rsidRPr="00810867" w:rsidRDefault="00204BF0" w:rsidP="00C02814">
      <w:pPr>
        <w:pStyle w:val="Marge"/>
        <w:numPr>
          <w:ilvl w:val="0"/>
          <w:numId w:val="15"/>
        </w:numPr>
        <w:spacing w:after="120"/>
        <w:ind w:left="1134" w:hanging="567"/>
      </w:pPr>
      <w:r w:rsidRPr="00810867">
        <w:rPr>
          <w:u w:val="single"/>
        </w:rPr>
        <w:t>Demande</w:t>
      </w:r>
      <w:r w:rsidRPr="00810867">
        <w:t xml:space="preserve"> </w:t>
      </w:r>
      <w:r w:rsidR="002504A5">
        <w:t>au</w:t>
      </w:r>
      <w:r w:rsidRPr="00810867">
        <w:t xml:space="preserve"> Secrétariat de se mettre d’accord avec l’État partie demandeur sur les détails techniques de l’assistance </w:t>
      </w:r>
      <w:r w:rsidR="00C02814" w:rsidRPr="00810867">
        <w:t>;</w:t>
      </w:r>
    </w:p>
    <w:p w:rsidR="00C02814" w:rsidRPr="00810867" w:rsidRDefault="00C02814" w:rsidP="000D4F5D">
      <w:pPr>
        <w:pStyle w:val="Marge"/>
        <w:numPr>
          <w:ilvl w:val="0"/>
          <w:numId w:val="15"/>
        </w:numPr>
        <w:spacing w:after="120"/>
        <w:ind w:left="1134" w:hanging="567"/>
      </w:pPr>
      <w:r w:rsidRPr="00810867">
        <w:rPr>
          <w:u w:val="single"/>
        </w:rPr>
        <w:t>Invite</w:t>
      </w:r>
      <w:r w:rsidRPr="00810867">
        <w:t xml:space="preserve"> </w:t>
      </w:r>
      <w:r w:rsidR="00204BF0" w:rsidRPr="00810867">
        <w:t>l’</w:t>
      </w:r>
      <w:r w:rsidR="00E01D22" w:rsidRPr="00810867">
        <w:t>État</w:t>
      </w:r>
      <w:r w:rsidR="00204BF0" w:rsidRPr="00810867">
        <w:t xml:space="preserve"> partie à utiliser le formulaire </w:t>
      </w:r>
      <w:r w:rsidR="003D6368">
        <w:t>ICH-04-Rap</w:t>
      </w:r>
      <w:r w:rsidRPr="00810867">
        <w:t xml:space="preserve">port </w:t>
      </w:r>
      <w:r w:rsidR="00204BF0" w:rsidRPr="00810867">
        <w:t xml:space="preserve">pour </w:t>
      </w:r>
      <w:r w:rsidR="001653ED">
        <w:t xml:space="preserve">rendre compte </w:t>
      </w:r>
      <w:r w:rsidR="00204BF0" w:rsidRPr="00810867">
        <w:t>de l’utilisation de l’assistance accordée</w:t>
      </w:r>
      <w:r w:rsidRPr="00810867">
        <w:t>.</w:t>
      </w:r>
      <w:bookmarkStart w:id="5" w:name="_GoBack"/>
      <w:bookmarkEnd w:id="5"/>
    </w:p>
    <w:sectPr w:rsidR="00C02814" w:rsidRPr="00810867" w:rsidSect="00655736">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20" w:rsidRDefault="00312120" w:rsidP="00655736">
      <w:r>
        <w:separator/>
      </w:r>
    </w:p>
    <w:p w:rsidR="00312120" w:rsidRDefault="00312120"/>
    <w:p w:rsidR="00312120" w:rsidRDefault="00312120" w:rsidP="002E58D4"/>
    <w:p w:rsidR="00312120" w:rsidRDefault="00312120" w:rsidP="002E58D4"/>
    <w:p w:rsidR="00312120" w:rsidRDefault="00312120" w:rsidP="002E58D4"/>
  </w:endnote>
  <w:endnote w:type="continuationSeparator" w:id="0">
    <w:p w:rsidR="00312120" w:rsidRDefault="00312120" w:rsidP="00655736">
      <w:r>
        <w:continuationSeparator/>
      </w:r>
    </w:p>
    <w:p w:rsidR="00312120" w:rsidRDefault="00312120"/>
    <w:p w:rsidR="00312120" w:rsidRDefault="00312120" w:rsidP="002E58D4"/>
    <w:p w:rsidR="00312120" w:rsidRDefault="00312120" w:rsidP="002E58D4"/>
    <w:p w:rsidR="00312120" w:rsidRDefault="00312120"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20" w:rsidRDefault="00312120" w:rsidP="00655736">
      <w:r>
        <w:separator/>
      </w:r>
    </w:p>
    <w:p w:rsidR="00312120" w:rsidRDefault="00312120"/>
    <w:p w:rsidR="00312120" w:rsidRDefault="00312120" w:rsidP="002E58D4"/>
    <w:p w:rsidR="00312120" w:rsidRDefault="00312120" w:rsidP="002E58D4"/>
    <w:p w:rsidR="00312120" w:rsidRDefault="00312120" w:rsidP="002E58D4"/>
  </w:footnote>
  <w:footnote w:type="continuationSeparator" w:id="0">
    <w:p w:rsidR="00312120" w:rsidRDefault="00312120" w:rsidP="00655736">
      <w:r>
        <w:continuationSeparator/>
      </w:r>
    </w:p>
    <w:p w:rsidR="00312120" w:rsidRDefault="00312120"/>
    <w:p w:rsidR="00312120" w:rsidRDefault="00312120" w:rsidP="002E58D4"/>
    <w:p w:rsidR="00312120" w:rsidRDefault="00312120" w:rsidP="002E58D4"/>
    <w:p w:rsidR="00312120" w:rsidRDefault="00312120"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01" w:rsidRPr="002E58D4" w:rsidRDefault="00E9376C" w:rsidP="002E58D4">
    <w:pPr>
      <w:pStyle w:val="Header"/>
      <w:rPr>
        <w:rFonts w:ascii="Arial" w:hAnsi="Arial" w:cs="Arial"/>
        <w:lang w:val="en-US"/>
      </w:rPr>
    </w:pPr>
    <w:r>
      <w:rPr>
        <w:rFonts w:ascii="Arial" w:hAnsi="Arial" w:cs="Arial"/>
        <w:sz w:val="20"/>
        <w:szCs w:val="20"/>
        <w:lang w:val="en-US"/>
      </w:rPr>
      <w:t>ITH/1</w:t>
    </w:r>
    <w:r w:rsidR="00165170">
      <w:rPr>
        <w:rFonts w:ascii="Arial" w:hAnsi="Arial" w:cs="Arial"/>
        <w:sz w:val="20"/>
        <w:szCs w:val="20"/>
        <w:lang w:val="en-US"/>
      </w:rPr>
      <w:t>5/</w:t>
    </w:r>
    <w:r w:rsidR="00B464F3">
      <w:rPr>
        <w:rFonts w:ascii="Arial" w:hAnsi="Arial" w:cs="Arial"/>
        <w:sz w:val="20"/>
        <w:szCs w:val="20"/>
        <w:lang w:val="en-GB"/>
      </w:rPr>
      <w:t>10.COM 1.BUR/2</w:t>
    </w:r>
    <w:r w:rsidR="00A55890">
      <w:rPr>
        <w:rFonts w:ascii="Arial" w:hAnsi="Arial" w:cs="Arial"/>
        <w:sz w:val="20"/>
        <w:szCs w:val="20"/>
        <w:lang w:val="en-GB"/>
      </w:rPr>
      <w:t xml:space="preserve">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2504A5">
      <w:rPr>
        <w:rStyle w:val="PageNumber"/>
        <w:rFonts w:ascii="Arial" w:hAnsi="Arial" w:cs="Arial"/>
        <w:noProof/>
        <w:sz w:val="20"/>
        <w:szCs w:val="20"/>
        <w:lang w:val="en-US"/>
      </w:rPr>
      <w:t>2</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01" w:rsidRPr="00BC3420" w:rsidRDefault="00165170" w:rsidP="00BC3420">
    <w:pPr>
      <w:pStyle w:val="Header"/>
      <w:jc w:val="right"/>
      <w:rPr>
        <w:rFonts w:ascii="Arial" w:hAnsi="Arial" w:cs="Arial"/>
        <w:lang w:val="en-US"/>
      </w:rPr>
    </w:pPr>
    <w:r>
      <w:rPr>
        <w:rFonts w:ascii="Arial" w:hAnsi="Arial" w:cs="Arial"/>
        <w:sz w:val="20"/>
        <w:szCs w:val="20"/>
        <w:lang w:val="en-US"/>
      </w:rPr>
      <w:t>ITH/15/</w:t>
    </w:r>
    <w:r w:rsidR="00CB66E1" w:rsidRPr="00CB66E1">
      <w:rPr>
        <w:rFonts w:ascii="Arial" w:hAnsi="Arial" w:cs="Arial"/>
        <w:sz w:val="20"/>
        <w:szCs w:val="20"/>
        <w:lang w:val="en-GB"/>
      </w:rPr>
      <w:t xml:space="preserve"> </w:t>
    </w:r>
    <w:r w:rsidR="00B464F3">
      <w:rPr>
        <w:rFonts w:ascii="Arial" w:hAnsi="Arial" w:cs="Arial"/>
        <w:sz w:val="20"/>
        <w:szCs w:val="20"/>
        <w:lang w:val="en-GB"/>
      </w:rPr>
      <w:t>COM 1.BUR/2</w:t>
    </w:r>
    <w:r w:rsidR="00A55890">
      <w:rPr>
        <w:rFonts w:ascii="Arial" w:hAnsi="Arial" w:cs="Arial"/>
        <w:sz w:val="20"/>
        <w:szCs w:val="20"/>
        <w:lang w:val="en-GB"/>
      </w:rPr>
      <w:t xml:space="preserve"> </w:t>
    </w:r>
    <w:r w:rsidR="002C0D14" w:rsidRPr="00EF563B">
      <w:rPr>
        <w:rFonts w:ascii="Arial" w:hAnsi="Arial" w:cs="Arial"/>
        <w:sz w:val="20"/>
        <w:szCs w:val="20"/>
        <w:lang w:val="en-US"/>
      </w:rPr>
      <w:t xml:space="preserve">–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2504A5">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6C" w:rsidRPr="008724E5" w:rsidRDefault="00AF5AE5">
    <w:pPr>
      <w:pStyle w:val="Header"/>
    </w:pPr>
    <w:r>
      <w:rPr>
        <w:noProof/>
      </w:rPr>
      <w:drawing>
        <wp:anchor distT="0" distB="0" distL="114300" distR="114300" simplePos="0" relativeHeight="251657728" behindDoc="0" locked="0" layoutInCell="1" allowOverlap="1">
          <wp:simplePos x="0" y="0"/>
          <wp:positionH relativeFrom="column">
            <wp:posOffset>-377190</wp:posOffset>
          </wp:positionH>
          <wp:positionV relativeFrom="paragraph">
            <wp:posOffset>5080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76C" w:rsidRPr="00A91141" w:rsidRDefault="00165170" w:rsidP="00655736">
    <w:pPr>
      <w:pStyle w:val="Header"/>
      <w:spacing w:after="520"/>
      <w:jc w:val="right"/>
      <w:rPr>
        <w:rFonts w:ascii="Arial" w:hAnsi="Arial" w:cs="Arial"/>
        <w:b/>
        <w:sz w:val="44"/>
        <w:szCs w:val="44"/>
        <w:lang w:val="en-US"/>
      </w:rPr>
    </w:pPr>
    <w:r w:rsidRPr="00A91141">
      <w:rPr>
        <w:rFonts w:ascii="Arial" w:hAnsi="Arial" w:cs="Arial"/>
        <w:b/>
        <w:sz w:val="44"/>
        <w:szCs w:val="44"/>
        <w:lang w:val="en-US"/>
      </w:rPr>
      <w:t>10</w:t>
    </w:r>
    <w:r w:rsidR="00E9376C" w:rsidRPr="00A91141">
      <w:rPr>
        <w:rFonts w:ascii="Arial" w:hAnsi="Arial" w:cs="Arial"/>
        <w:b/>
        <w:sz w:val="44"/>
        <w:szCs w:val="44"/>
        <w:lang w:val="en-US"/>
      </w:rPr>
      <w:t xml:space="preserve"> </w:t>
    </w:r>
    <w:r w:rsidR="00A32E09" w:rsidRPr="00AA1D1D">
      <w:rPr>
        <w:rFonts w:ascii="Arial" w:hAnsi="Arial" w:cs="Arial"/>
        <w:b/>
        <w:sz w:val="44"/>
        <w:szCs w:val="44"/>
        <w:lang w:val="en-GB"/>
      </w:rPr>
      <w:t>COM </w:t>
    </w:r>
    <w:r w:rsidR="00110D0D">
      <w:rPr>
        <w:rFonts w:ascii="Arial" w:hAnsi="Arial" w:cs="Arial"/>
        <w:b/>
        <w:sz w:val="44"/>
        <w:szCs w:val="44"/>
        <w:lang w:val="en-GB"/>
      </w:rPr>
      <w:t>1</w:t>
    </w:r>
    <w:r w:rsidR="00A32E09">
      <w:rPr>
        <w:rFonts w:ascii="Arial" w:hAnsi="Arial" w:cs="Arial"/>
        <w:b/>
        <w:sz w:val="44"/>
        <w:szCs w:val="44"/>
        <w:lang w:val="en-GB"/>
      </w:rPr>
      <w:t> </w:t>
    </w:r>
    <w:r w:rsidR="00A32E09" w:rsidRPr="00AA1D1D">
      <w:rPr>
        <w:rFonts w:ascii="Arial" w:hAnsi="Arial" w:cs="Arial"/>
        <w:b/>
        <w:sz w:val="44"/>
        <w:szCs w:val="44"/>
        <w:lang w:val="en-GB"/>
      </w:rPr>
      <w:t>BUR</w:t>
    </w:r>
  </w:p>
  <w:p w:rsidR="00E9376C" w:rsidRPr="00A91141" w:rsidRDefault="00165170" w:rsidP="00655736">
    <w:pPr>
      <w:jc w:val="right"/>
      <w:rPr>
        <w:rFonts w:ascii="Arial" w:hAnsi="Arial" w:cs="Arial"/>
        <w:b/>
        <w:sz w:val="22"/>
        <w:szCs w:val="22"/>
        <w:lang w:val="en-US"/>
      </w:rPr>
    </w:pPr>
    <w:r w:rsidRPr="00A91141">
      <w:rPr>
        <w:rFonts w:ascii="Arial" w:hAnsi="Arial" w:cs="Arial"/>
        <w:b/>
        <w:sz w:val="22"/>
        <w:szCs w:val="22"/>
        <w:lang w:val="en-US"/>
      </w:rPr>
      <w:t>ITH/15</w:t>
    </w:r>
    <w:r w:rsidR="00E9376C" w:rsidRPr="00A91141">
      <w:rPr>
        <w:rFonts w:ascii="Arial" w:hAnsi="Arial" w:cs="Arial"/>
        <w:b/>
        <w:sz w:val="22"/>
        <w:szCs w:val="22"/>
        <w:lang w:val="en-US"/>
      </w:rPr>
      <w:t>/</w:t>
    </w:r>
    <w:r w:rsidR="00A32E09">
      <w:rPr>
        <w:rFonts w:ascii="Arial" w:hAnsi="Arial" w:cs="Arial"/>
        <w:b/>
        <w:sz w:val="22"/>
        <w:szCs w:val="22"/>
        <w:lang w:val="en-GB"/>
      </w:rPr>
      <w:t>10.COM 1</w:t>
    </w:r>
    <w:r w:rsidR="00A32E09" w:rsidRPr="00AA1D1D">
      <w:rPr>
        <w:rFonts w:ascii="Arial" w:hAnsi="Arial" w:cs="Arial"/>
        <w:b/>
        <w:sz w:val="22"/>
        <w:szCs w:val="22"/>
        <w:lang w:val="en-GB"/>
      </w:rPr>
      <w:t>.BUR/</w:t>
    </w:r>
    <w:r w:rsidR="00110D0D">
      <w:rPr>
        <w:rFonts w:ascii="Arial" w:hAnsi="Arial" w:cs="Arial"/>
        <w:b/>
        <w:sz w:val="22"/>
        <w:szCs w:val="22"/>
        <w:lang w:val="en-GB"/>
      </w:rPr>
      <w:t>2</w:t>
    </w:r>
  </w:p>
  <w:p w:rsidR="00E9376C" w:rsidRPr="00A91141" w:rsidRDefault="00E9376C" w:rsidP="00655736">
    <w:pPr>
      <w:jc w:val="right"/>
      <w:rPr>
        <w:rFonts w:ascii="Arial" w:hAnsi="Arial" w:cs="Arial"/>
        <w:b/>
        <w:sz w:val="22"/>
        <w:szCs w:val="22"/>
      </w:rPr>
    </w:pPr>
    <w:r w:rsidRPr="00A91141">
      <w:rPr>
        <w:rFonts w:ascii="Arial" w:hAnsi="Arial" w:cs="Arial"/>
        <w:b/>
        <w:sz w:val="22"/>
        <w:szCs w:val="22"/>
      </w:rPr>
      <w:t xml:space="preserve">Paris, </w:t>
    </w:r>
    <w:r w:rsidR="00962119" w:rsidRPr="00A91141">
      <w:rPr>
        <w:rFonts w:ascii="Arial" w:hAnsi="Arial" w:cs="Arial"/>
        <w:b/>
        <w:sz w:val="22"/>
        <w:szCs w:val="22"/>
      </w:rPr>
      <w:t xml:space="preserve">le </w:t>
    </w:r>
    <w:r w:rsidR="002504A5">
      <w:rPr>
        <w:rFonts w:ascii="Arial" w:hAnsi="Arial" w:cs="Arial"/>
        <w:b/>
        <w:sz w:val="22"/>
        <w:szCs w:val="22"/>
      </w:rPr>
      <w:t>8 juin</w:t>
    </w:r>
    <w:r w:rsidR="0057439C" w:rsidRPr="00A91141">
      <w:rPr>
        <w:rFonts w:ascii="Arial" w:hAnsi="Arial" w:cs="Arial"/>
        <w:b/>
        <w:sz w:val="22"/>
        <w:szCs w:val="22"/>
      </w:rPr>
      <w:t xml:space="preserve"> </w:t>
    </w:r>
    <w:r w:rsidR="00165170" w:rsidRPr="00A91141">
      <w:rPr>
        <w:rFonts w:ascii="Arial" w:hAnsi="Arial" w:cs="Arial"/>
        <w:b/>
        <w:sz w:val="22"/>
        <w:szCs w:val="22"/>
      </w:rPr>
      <w:t>2015</w:t>
    </w:r>
  </w:p>
  <w:p w:rsidR="00E9376C" w:rsidRPr="0020150F" w:rsidRDefault="00E9376C" w:rsidP="003E2A08">
    <w:pPr>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A91141">
      <w:rPr>
        <w:rFonts w:ascii="Arial" w:hAnsi="Arial" w:cs="Arial"/>
        <w:b/>
        <w:sz w:val="22"/>
        <w:szCs w:val="22"/>
      </w:rPr>
      <w:t>anglais</w:t>
    </w:r>
    <w:r w:rsidR="00110D89">
      <w:rPr>
        <w:rFonts w:ascii="Arial" w:hAnsi="Arial" w:cs="Arial"/>
        <w:b/>
        <w:sz w:val="22"/>
        <w:szCs w:val="22"/>
      </w:rPr>
      <w:t>/français</w:t>
    </w:r>
  </w:p>
  <w:p w:rsidR="00E9376C" w:rsidRPr="0057439C" w:rsidRDefault="00E93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2BB"/>
    <w:multiLevelType w:val="hybridMultilevel"/>
    <w:tmpl w:val="AF4A4A54"/>
    <w:lvl w:ilvl="0" w:tplc="10E0E66E">
      <w:start w:val="1"/>
      <w:numFmt w:val="decimal"/>
      <w:lvlText w:val="%1."/>
      <w:lvlJc w:val="left"/>
      <w:pPr>
        <w:ind w:left="786"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nsid w:val="12336DD9"/>
    <w:multiLevelType w:val="hybridMultilevel"/>
    <w:tmpl w:val="2602A158"/>
    <w:lvl w:ilvl="0" w:tplc="1FB6E6CC">
      <w:start w:val="1"/>
      <w:numFmt w:val="upperLetter"/>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1EC52FED"/>
    <w:multiLevelType w:val="hybridMultilevel"/>
    <w:tmpl w:val="DC9E3BD8"/>
    <w:lvl w:ilvl="0" w:tplc="55948182">
      <w:start w:val="3"/>
      <w:numFmt w:val="decimal"/>
      <w:lvlText w:val="%1."/>
      <w:lvlJc w:val="left"/>
      <w:pPr>
        <w:tabs>
          <w:tab w:val="num" w:pos="360"/>
        </w:tabs>
        <w:ind w:left="360" w:hanging="360"/>
      </w:pPr>
      <w:rPr>
        <w:rFonts w:hint="default"/>
        <w:lang w:val="fr-FR"/>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DC142A"/>
    <w:multiLevelType w:val="hybridMultilevel"/>
    <w:tmpl w:val="7E18DBB0"/>
    <w:lvl w:ilvl="0" w:tplc="6B5C21BA">
      <w:start w:val="1"/>
      <w:numFmt w:val="decimal"/>
      <w:lvlText w:val="%1."/>
      <w:lvlJc w:val="left"/>
      <w:pPr>
        <w:ind w:left="928" w:hanging="360"/>
      </w:pPr>
      <w:rPr>
        <w:rFonts w:hint="default"/>
        <w:b w:val="0"/>
      </w:rPr>
    </w:lvl>
    <w:lvl w:ilvl="1" w:tplc="C916CC3C">
      <w:start w:val="1"/>
      <w:numFmt w:val="lowerLetter"/>
      <w:lvlText w:val="%2."/>
      <w:lvlJc w:val="left"/>
      <w:pPr>
        <w:ind w:left="1440" w:hanging="360"/>
      </w:pPr>
      <w:rPr>
        <w:rFonts w:ascii="Arial" w:hAnsi="Arial" w:cs="Arial" w:hint="default"/>
        <w:sz w:val="22"/>
        <w:szCs w:val="22"/>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F07BFE"/>
    <w:multiLevelType w:val="hybridMultilevel"/>
    <w:tmpl w:val="41DC2534"/>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14"/>
  </w:num>
  <w:num w:numId="5">
    <w:abstractNumId w:val="13"/>
  </w:num>
  <w:num w:numId="6">
    <w:abstractNumId w:val="1"/>
  </w:num>
  <w:num w:numId="7">
    <w:abstractNumId w:val="4"/>
  </w:num>
  <w:num w:numId="8">
    <w:abstractNumId w:val="11"/>
  </w:num>
  <w:num w:numId="9">
    <w:abstractNumId w:val="8"/>
  </w:num>
  <w:num w:numId="10">
    <w:abstractNumId w:val="10"/>
  </w:num>
  <w:num w:numId="11">
    <w:abstractNumId w:val="6"/>
  </w:num>
  <w:num w:numId="12">
    <w:abstractNumId w:val="5"/>
  </w:num>
  <w:num w:numId="13">
    <w:abstractNumId w:val="7"/>
  </w:num>
  <w:num w:numId="14">
    <w:abstractNumId w:val="2"/>
  </w:num>
  <w:num w:numId="15">
    <w:abstractNumId w:val="0"/>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FC"/>
    <w:rsid w:val="00020BFC"/>
    <w:rsid w:val="00022428"/>
    <w:rsid w:val="000263BA"/>
    <w:rsid w:val="0003530D"/>
    <w:rsid w:val="0005176E"/>
    <w:rsid w:val="00077AB7"/>
    <w:rsid w:val="00081CD8"/>
    <w:rsid w:val="0008329C"/>
    <w:rsid w:val="000A7F0E"/>
    <w:rsid w:val="000C32BD"/>
    <w:rsid w:val="000C5E78"/>
    <w:rsid w:val="000D02B7"/>
    <w:rsid w:val="000D4F5D"/>
    <w:rsid w:val="000E6CD7"/>
    <w:rsid w:val="000F3A3F"/>
    <w:rsid w:val="000F4E34"/>
    <w:rsid w:val="00110D0D"/>
    <w:rsid w:val="00110D89"/>
    <w:rsid w:val="00145376"/>
    <w:rsid w:val="00164D56"/>
    <w:rsid w:val="00165170"/>
    <w:rsid w:val="001653ED"/>
    <w:rsid w:val="00167B10"/>
    <w:rsid w:val="0019264E"/>
    <w:rsid w:val="00196C1B"/>
    <w:rsid w:val="001A766C"/>
    <w:rsid w:val="001B0296"/>
    <w:rsid w:val="001B0F73"/>
    <w:rsid w:val="001D1FEC"/>
    <w:rsid w:val="0020150F"/>
    <w:rsid w:val="00204BF0"/>
    <w:rsid w:val="002136E0"/>
    <w:rsid w:val="00222A2D"/>
    <w:rsid w:val="002407AF"/>
    <w:rsid w:val="002504A5"/>
    <w:rsid w:val="00280D62"/>
    <w:rsid w:val="002A1069"/>
    <w:rsid w:val="002A2D12"/>
    <w:rsid w:val="002A55E6"/>
    <w:rsid w:val="002A6C11"/>
    <w:rsid w:val="002A6F73"/>
    <w:rsid w:val="002C0D14"/>
    <w:rsid w:val="002C10ED"/>
    <w:rsid w:val="002E13CE"/>
    <w:rsid w:val="002E3D25"/>
    <w:rsid w:val="002E58D4"/>
    <w:rsid w:val="002E7EF7"/>
    <w:rsid w:val="002F130B"/>
    <w:rsid w:val="00312120"/>
    <w:rsid w:val="0033304C"/>
    <w:rsid w:val="003475F9"/>
    <w:rsid w:val="003845BE"/>
    <w:rsid w:val="003A4DAF"/>
    <w:rsid w:val="003C1678"/>
    <w:rsid w:val="003D069C"/>
    <w:rsid w:val="003D2DDD"/>
    <w:rsid w:val="003D6368"/>
    <w:rsid w:val="003E07D8"/>
    <w:rsid w:val="003E2A08"/>
    <w:rsid w:val="003F113A"/>
    <w:rsid w:val="003F6CF1"/>
    <w:rsid w:val="0041343C"/>
    <w:rsid w:val="004239C7"/>
    <w:rsid w:val="004351A8"/>
    <w:rsid w:val="00435A19"/>
    <w:rsid w:val="00440F9B"/>
    <w:rsid w:val="004421E5"/>
    <w:rsid w:val="00443880"/>
    <w:rsid w:val="0044684E"/>
    <w:rsid w:val="00452284"/>
    <w:rsid w:val="00460FDA"/>
    <w:rsid w:val="00472148"/>
    <w:rsid w:val="00481C4C"/>
    <w:rsid w:val="00486948"/>
    <w:rsid w:val="0049705E"/>
    <w:rsid w:val="004D381A"/>
    <w:rsid w:val="0051103F"/>
    <w:rsid w:val="00516D2C"/>
    <w:rsid w:val="00526B7B"/>
    <w:rsid w:val="005308CE"/>
    <w:rsid w:val="005620E2"/>
    <w:rsid w:val="00573E80"/>
    <w:rsid w:val="0057439C"/>
    <w:rsid w:val="00575715"/>
    <w:rsid w:val="00597066"/>
    <w:rsid w:val="005B0127"/>
    <w:rsid w:val="005B4A40"/>
    <w:rsid w:val="005C094D"/>
    <w:rsid w:val="005C4B73"/>
    <w:rsid w:val="00600D93"/>
    <w:rsid w:val="00626EA7"/>
    <w:rsid w:val="00627C5C"/>
    <w:rsid w:val="006300F9"/>
    <w:rsid w:val="00642A7D"/>
    <w:rsid w:val="00646E72"/>
    <w:rsid w:val="00655736"/>
    <w:rsid w:val="00657A76"/>
    <w:rsid w:val="0066364F"/>
    <w:rsid w:val="00663B8D"/>
    <w:rsid w:val="006923BD"/>
    <w:rsid w:val="00696C8D"/>
    <w:rsid w:val="006A2AC2"/>
    <w:rsid w:val="006A3617"/>
    <w:rsid w:val="006B5001"/>
    <w:rsid w:val="006C1039"/>
    <w:rsid w:val="006D21D9"/>
    <w:rsid w:val="006D2536"/>
    <w:rsid w:val="006E46E4"/>
    <w:rsid w:val="00714F53"/>
    <w:rsid w:val="00717DBD"/>
    <w:rsid w:val="00731F94"/>
    <w:rsid w:val="00743B83"/>
    <w:rsid w:val="0074453C"/>
    <w:rsid w:val="007474E1"/>
    <w:rsid w:val="0076350B"/>
    <w:rsid w:val="00764CF9"/>
    <w:rsid w:val="00765FDB"/>
    <w:rsid w:val="00784B8C"/>
    <w:rsid w:val="007E5789"/>
    <w:rsid w:val="008064F0"/>
    <w:rsid w:val="00810867"/>
    <w:rsid w:val="00823A11"/>
    <w:rsid w:val="00824EF7"/>
    <w:rsid w:val="008340A5"/>
    <w:rsid w:val="0085101F"/>
    <w:rsid w:val="0085414A"/>
    <w:rsid w:val="0086269D"/>
    <w:rsid w:val="00863302"/>
    <w:rsid w:val="0086639E"/>
    <w:rsid w:val="008712A2"/>
    <w:rsid w:val="00871C8F"/>
    <w:rsid w:val="008724E5"/>
    <w:rsid w:val="00882F6A"/>
    <w:rsid w:val="00884A9D"/>
    <w:rsid w:val="00892AB7"/>
    <w:rsid w:val="00895878"/>
    <w:rsid w:val="008A4E1E"/>
    <w:rsid w:val="008C296C"/>
    <w:rsid w:val="008D4305"/>
    <w:rsid w:val="00904D86"/>
    <w:rsid w:val="00913D86"/>
    <w:rsid w:val="009163A7"/>
    <w:rsid w:val="00916960"/>
    <w:rsid w:val="00922E3E"/>
    <w:rsid w:val="00924E9D"/>
    <w:rsid w:val="00933C6B"/>
    <w:rsid w:val="00950F68"/>
    <w:rsid w:val="00962119"/>
    <w:rsid w:val="00974249"/>
    <w:rsid w:val="009871F8"/>
    <w:rsid w:val="009A18CD"/>
    <w:rsid w:val="009B3580"/>
    <w:rsid w:val="009B57CA"/>
    <w:rsid w:val="009E1B50"/>
    <w:rsid w:val="00A12558"/>
    <w:rsid w:val="00A13903"/>
    <w:rsid w:val="00A30FBC"/>
    <w:rsid w:val="00A32E09"/>
    <w:rsid w:val="00A34ED5"/>
    <w:rsid w:val="00A4257B"/>
    <w:rsid w:val="00A45A35"/>
    <w:rsid w:val="00A45DBF"/>
    <w:rsid w:val="00A55890"/>
    <w:rsid w:val="00A61C6E"/>
    <w:rsid w:val="00A755A2"/>
    <w:rsid w:val="00A90761"/>
    <w:rsid w:val="00A91141"/>
    <w:rsid w:val="00A938C5"/>
    <w:rsid w:val="00AB2C36"/>
    <w:rsid w:val="00AD1A86"/>
    <w:rsid w:val="00AE103E"/>
    <w:rsid w:val="00AE294D"/>
    <w:rsid w:val="00AE5034"/>
    <w:rsid w:val="00AE57B9"/>
    <w:rsid w:val="00AF0A07"/>
    <w:rsid w:val="00AF40FF"/>
    <w:rsid w:val="00AF5AE5"/>
    <w:rsid w:val="00AF625E"/>
    <w:rsid w:val="00AF721B"/>
    <w:rsid w:val="00B152B1"/>
    <w:rsid w:val="00B228B6"/>
    <w:rsid w:val="00B43974"/>
    <w:rsid w:val="00B4432C"/>
    <w:rsid w:val="00B464F3"/>
    <w:rsid w:val="00B7235D"/>
    <w:rsid w:val="00B76411"/>
    <w:rsid w:val="00B90701"/>
    <w:rsid w:val="00BB52F9"/>
    <w:rsid w:val="00BB763C"/>
    <w:rsid w:val="00BC3420"/>
    <w:rsid w:val="00BD52C9"/>
    <w:rsid w:val="00BE6354"/>
    <w:rsid w:val="00C00BFF"/>
    <w:rsid w:val="00C02814"/>
    <w:rsid w:val="00C27D69"/>
    <w:rsid w:val="00C328D4"/>
    <w:rsid w:val="00C34538"/>
    <w:rsid w:val="00C358C4"/>
    <w:rsid w:val="00C377F5"/>
    <w:rsid w:val="00C547E4"/>
    <w:rsid w:val="00C70EA7"/>
    <w:rsid w:val="00C7516E"/>
    <w:rsid w:val="00CA140F"/>
    <w:rsid w:val="00CB66E1"/>
    <w:rsid w:val="00D24877"/>
    <w:rsid w:val="00D6681F"/>
    <w:rsid w:val="00D75D42"/>
    <w:rsid w:val="00D77F94"/>
    <w:rsid w:val="00D965B1"/>
    <w:rsid w:val="00DA36ED"/>
    <w:rsid w:val="00DB4A84"/>
    <w:rsid w:val="00DC7FFC"/>
    <w:rsid w:val="00DE34F1"/>
    <w:rsid w:val="00DF4942"/>
    <w:rsid w:val="00E01D22"/>
    <w:rsid w:val="00E0608C"/>
    <w:rsid w:val="00E207CB"/>
    <w:rsid w:val="00E22288"/>
    <w:rsid w:val="00E627B1"/>
    <w:rsid w:val="00E62B4C"/>
    <w:rsid w:val="00E75D03"/>
    <w:rsid w:val="00E9376C"/>
    <w:rsid w:val="00EC3BAE"/>
    <w:rsid w:val="00EF03EC"/>
    <w:rsid w:val="00F134B7"/>
    <w:rsid w:val="00F16C0C"/>
    <w:rsid w:val="00F576CB"/>
    <w:rsid w:val="00F658AD"/>
    <w:rsid w:val="00F95E24"/>
    <w:rsid w:val="00FC2940"/>
    <w:rsid w:val="00FC4715"/>
    <w:rsid w:val="00FC76C6"/>
    <w:rsid w:val="00FD1226"/>
    <w:rsid w:val="00FD501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character" w:styleId="Hyperlink">
    <w:name w:val="Hyperlink"/>
    <w:rsid w:val="0085101F"/>
    <w:rPr>
      <w:color w:val="0000FF"/>
      <w:u w:val="single"/>
    </w:rPr>
  </w:style>
  <w:style w:type="paragraph" w:customStyle="1" w:styleId="Paragraph">
    <w:name w:val="Paragraph"/>
    <w:basedOn w:val="Marge"/>
    <w:link w:val="ParagraphChar"/>
    <w:qFormat/>
    <w:rsid w:val="0085101F"/>
    <w:pPr>
      <w:tabs>
        <w:tab w:val="clear" w:pos="567"/>
        <w:tab w:val="num" w:pos="360"/>
      </w:tabs>
      <w:ind w:left="360" w:hanging="360"/>
    </w:pPr>
    <w:rPr>
      <w:rFonts w:cs="Arial"/>
      <w:szCs w:val="22"/>
      <w:lang w:val="en-GB"/>
    </w:rPr>
  </w:style>
  <w:style w:type="character" w:customStyle="1" w:styleId="MargeChar">
    <w:name w:val="Marge Char"/>
    <w:link w:val="Marge"/>
    <w:rsid w:val="0085101F"/>
    <w:rPr>
      <w:rFonts w:ascii="Arial" w:eastAsia="Times New Roman" w:hAnsi="Arial"/>
      <w:snapToGrid w:val="0"/>
      <w:sz w:val="22"/>
      <w:szCs w:val="24"/>
      <w:lang w:eastAsia="en-US"/>
    </w:rPr>
  </w:style>
  <w:style w:type="character" w:customStyle="1" w:styleId="ParagraphChar">
    <w:name w:val="Paragraph Char"/>
    <w:link w:val="Paragraph"/>
    <w:rsid w:val="0085101F"/>
    <w:rPr>
      <w:rFonts w:ascii="Arial" w:eastAsia="Times New Roman" w:hAnsi="Arial" w:cs="Arial"/>
      <w:snapToGrid w:val="0"/>
      <w:sz w:val="22"/>
      <w:szCs w:val="22"/>
      <w:lang w:val="en-GB" w:eastAsia="en-US"/>
    </w:rPr>
  </w:style>
  <w:style w:type="paragraph" w:customStyle="1" w:styleId="NoSpacing1">
    <w:name w:val="No Spacing1"/>
    <w:uiPriority w:val="99"/>
    <w:qFormat/>
    <w:rsid w:val="0085101F"/>
    <w:rPr>
      <w:sz w:val="22"/>
      <w:szCs w:val="22"/>
      <w:lang w:eastAsia="zh-CN"/>
    </w:rPr>
  </w:style>
  <w:style w:type="character" w:customStyle="1" w:styleId="hps">
    <w:name w:val="hps"/>
    <w:rsid w:val="00C02814"/>
  </w:style>
  <w:style w:type="character" w:styleId="CommentReference">
    <w:name w:val="annotation reference"/>
    <w:basedOn w:val="DefaultParagraphFont"/>
    <w:uiPriority w:val="99"/>
    <w:semiHidden/>
    <w:unhideWhenUsed/>
    <w:rsid w:val="005B4A40"/>
    <w:rPr>
      <w:sz w:val="16"/>
      <w:szCs w:val="16"/>
    </w:rPr>
  </w:style>
  <w:style w:type="paragraph" w:styleId="CommentText">
    <w:name w:val="annotation text"/>
    <w:basedOn w:val="Normal"/>
    <w:link w:val="CommentTextChar"/>
    <w:uiPriority w:val="99"/>
    <w:semiHidden/>
    <w:unhideWhenUsed/>
    <w:rsid w:val="005B4A40"/>
    <w:rPr>
      <w:sz w:val="20"/>
      <w:szCs w:val="20"/>
    </w:rPr>
  </w:style>
  <w:style w:type="character" w:customStyle="1" w:styleId="CommentTextChar">
    <w:name w:val="Comment Text Char"/>
    <w:basedOn w:val="DefaultParagraphFont"/>
    <w:link w:val="CommentText"/>
    <w:uiPriority w:val="99"/>
    <w:semiHidden/>
    <w:rsid w:val="005B4A4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4A40"/>
    <w:rPr>
      <w:b/>
      <w:bCs/>
    </w:rPr>
  </w:style>
  <w:style w:type="character" w:customStyle="1" w:styleId="CommentSubjectChar">
    <w:name w:val="Comment Subject Char"/>
    <w:basedOn w:val="CommentTextChar"/>
    <w:link w:val="CommentSubject"/>
    <w:uiPriority w:val="99"/>
    <w:semiHidden/>
    <w:rsid w:val="005B4A40"/>
    <w:rPr>
      <w:rFonts w:ascii="Times New Roman" w:eastAsia="Times New Roman" w:hAnsi="Times New Roman"/>
      <w:b/>
      <w:bCs/>
    </w:rPr>
  </w:style>
  <w:style w:type="character" w:styleId="FollowedHyperlink">
    <w:name w:val="FollowedHyperlink"/>
    <w:basedOn w:val="DefaultParagraphFont"/>
    <w:uiPriority w:val="99"/>
    <w:semiHidden/>
    <w:unhideWhenUsed/>
    <w:rsid w:val="002504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character" w:styleId="Hyperlink">
    <w:name w:val="Hyperlink"/>
    <w:rsid w:val="0085101F"/>
    <w:rPr>
      <w:color w:val="0000FF"/>
      <w:u w:val="single"/>
    </w:rPr>
  </w:style>
  <w:style w:type="paragraph" w:customStyle="1" w:styleId="Paragraph">
    <w:name w:val="Paragraph"/>
    <w:basedOn w:val="Marge"/>
    <w:link w:val="ParagraphChar"/>
    <w:qFormat/>
    <w:rsid w:val="0085101F"/>
    <w:pPr>
      <w:tabs>
        <w:tab w:val="clear" w:pos="567"/>
        <w:tab w:val="num" w:pos="360"/>
      </w:tabs>
      <w:ind w:left="360" w:hanging="360"/>
    </w:pPr>
    <w:rPr>
      <w:rFonts w:cs="Arial"/>
      <w:szCs w:val="22"/>
      <w:lang w:val="en-GB"/>
    </w:rPr>
  </w:style>
  <w:style w:type="character" w:customStyle="1" w:styleId="MargeChar">
    <w:name w:val="Marge Char"/>
    <w:link w:val="Marge"/>
    <w:rsid w:val="0085101F"/>
    <w:rPr>
      <w:rFonts w:ascii="Arial" w:eastAsia="Times New Roman" w:hAnsi="Arial"/>
      <w:snapToGrid w:val="0"/>
      <w:sz w:val="22"/>
      <w:szCs w:val="24"/>
      <w:lang w:eastAsia="en-US"/>
    </w:rPr>
  </w:style>
  <w:style w:type="character" w:customStyle="1" w:styleId="ParagraphChar">
    <w:name w:val="Paragraph Char"/>
    <w:link w:val="Paragraph"/>
    <w:rsid w:val="0085101F"/>
    <w:rPr>
      <w:rFonts w:ascii="Arial" w:eastAsia="Times New Roman" w:hAnsi="Arial" w:cs="Arial"/>
      <w:snapToGrid w:val="0"/>
      <w:sz w:val="22"/>
      <w:szCs w:val="22"/>
      <w:lang w:val="en-GB" w:eastAsia="en-US"/>
    </w:rPr>
  </w:style>
  <w:style w:type="paragraph" w:customStyle="1" w:styleId="NoSpacing1">
    <w:name w:val="No Spacing1"/>
    <w:uiPriority w:val="99"/>
    <w:qFormat/>
    <w:rsid w:val="0085101F"/>
    <w:rPr>
      <w:sz w:val="22"/>
      <w:szCs w:val="22"/>
      <w:lang w:eastAsia="zh-CN"/>
    </w:rPr>
  </w:style>
  <w:style w:type="character" w:customStyle="1" w:styleId="hps">
    <w:name w:val="hps"/>
    <w:rsid w:val="00C02814"/>
  </w:style>
  <w:style w:type="character" w:styleId="CommentReference">
    <w:name w:val="annotation reference"/>
    <w:basedOn w:val="DefaultParagraphFont"/>
    <w:uiPriority w:val="99"/>
    <w:semiHidden/>
    <w:unhideWhenUsed/>
    <w:rsid w:val="005B4A40"/>
    <w:rPr>
      <w:sz w:val="16"/>
      <w:szCs w:val="16"/>
    </w:rPr>
  </w:style>
  <w:style w:type="paragraph" w:styleId="CommentText">
    <w:name w:val="annotation text"/>
    <w:basedOn w:val="Normal"/>
    <w:link w:val="CommentTextChar"/>
    <w:uiPriority w:val="99"/>
    <w:semiHidden/>
    <w:unhideWhenUsed/>
    <w:rsid w:val="005B4A40"/>
    <w:rPr>
      <w:sz w:val="20"/>
      <w:szCs w:val="20"/>
    </w:rPr>
  </w:style>
  <w:style w:type="character" w:customStyle="1" w:styleId="CommentTextChar">
    <w:name w:val="Comment Text Char"/>
    <w:basedOn w:val="DefaultParagraphFont"/>
    <w:link w:val="CommentText"/>
    <w:uiPriority w:val="99"/>
    <w:semiHidden/>
    <w:rsid w:val="005B4A4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4A40"/>
    <w:rPr>
      <w:b/>
      <w:bCs/>
    </w:rPr>
  </w:style>
  <w:style w:type="character" w:customStyle="1" w:styleId="CommentSubjectChar">
    <w:name w:val="Comment Subject Char"/>
    <w:basedOn w:val="CommentTextChar"/>
    <w:link w:val="CommentSubject"/>
    <w:uiPriority w:val="99"/>
    <w:semiHidden/>
    <w:rsid w:val="005B4A40"/>
    <w:rPr>
      <w:rFonts w:ascii="Times New Roman" w:eastAsia="Times New Roman" w:hAnsi="Times New Roman"/>
      <w:b/>
      <w:bCs/>
    </w:rPr>
  </w:style>
  <w:style w:type="character" w:styleId="FollowedHyperlink">
    <w:name w:val="FollowedHyperlink"/>
    <w:basedOn w:val="DefaultParagraphFont"/>
    <w:uiPriority w:val="99"/>
    <w:semiHidden/>
    <w:unhideWhenUsed/>
    <w:rsid w:val="00250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index.php?lg=en&amp;pg=00407#top"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Vanuatu"/><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http://www.unesco.org/culture/ich/design/pagetop.gif" TargetMode="External"/><Relationship Id="rId10" Type="http://schemas.openxmlformats.org/officeDocument/2006/relationships/hyperlink" Target="#Cote_de_ivoire"/><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esco.org/culture/ich/fr/10COM-BUREAU" TargetMode="External"/><Relationship Id="rId14"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_varnet\Document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765F-092A-45E4-9C2B-22C77902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278</TotalTime>
  <Pages>7</Pages>
  <Words>3215</Words>
  <Characters>17686</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Elena Constantinou</cp:lastModifiedBy>
  <cp:revision>16</cp:revision>
  <cp:lastPrinted>2011-08-06T10:22:00Z</cp:lastPrinted>
  <dcterms:created xsi:type="dcterms:W3CDTF">2015-05-28T14:41:00Z</dcterms:created>
  <dcterms:modified xsi:type="dcterms:W3CDTF">2015-06-08T08:13:00Z</dcterms:modified>
</cp:coreProperties>
</file>