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20" w:rsidRPr="007F1754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CONVENTION POUR LA SAUVEGARDE DU</w:t>
      </w:r>
      <w:r w:rsidRPr="007F1754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:rsidR="00DE19F2" w:rsidRPr="00DE19F2" w:rsidRDefault="00BC3420" w:rsidP="00DE19F2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COMITÉ INTERGOUVERNEMENTAL DE SAUVEGARDE</w:t>
      </w:r>
      <w:r w:rsidRPr="007F1754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:rsidR="00DE19F2" w:rsidRPr="00DE19F2" w:rsidRDefault="00DE19F2" w:rsidP="00DE19F2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DE19F2">
        <w:rPr>
          <w:rFonts w:ascii="Arial" w:hAnsi="Arial" w:cs="Arial"/>
          <w:b/>
          <w:sz w:val="22"/>
          <w:szCs w:val="22"/>
        </w:rPr>
        <w:t>Réunion du Bureau</w:t>
      </w:r>
    </w:p>
    <w:p w:rsidR="00DE19F2" w:rsidRPr="00DE19F2" w:rsidRDefault="00DE19F2" w:rsidP="00DE19F2">
      <w:pPr>
        <w:jc w:val="center"/>
        <w:rPr>
          <w:rFonts w:ascii="Arial" w:hAnsi="Arial" w:cs="Arial"/>
          <w:b/>
          <w:sz w:val="22"/>
          <w:szCs w:val="22"/>
        </w:rPr>
      </w:pPr>
      <w:r w:rsidRPr="00DE19F2">
        <w:rPr>
          <w:rFonts w:ascii="Arial" w:hAnsi="Arial" w:cs="Arial"/>
          <w:b/>
          <w:sz w:val="22"/>
          <w:szCs w:val="22"/>
        </w:rPr>
        <w:t>Windhoek Namibie</w:t>
      </w:r>
    </w:p>
    <w:p w:rsidR="00DE19F2" w:rsidRPr="00DE19F2" w:rsidRDefault="00DE19F2" w:rsidP="00DE19F2">
      <w:pPr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DE19F2">
        <w:rPr>
          <w:rFonts w:ascii="Arial" w:hAnsi="Arial" w:cs="Arial"/>
          <w:b/>
          <w:sz w:val="22"/>
          <w:szCs w:val="22"/>
        </w:rPr>
        <w:t>4 décembr</w:t>
      </w:r>
      <w:r w:rsidR="0068134C">
        <w:rPr>
          <w:rFonts w:ascii="Arial" w:hAnsi="Arial" w:cs="Arial"/>
          <w:b/>
          <w:sz w:val="22"/>
          <w:szCs w:val="22"/>
        </w:rPr>
        <w:t>e 2015, 9h00 – 9h3</w:t>
      </w:r>
      <w:r>
        <w:rPr>
          <w:rFonts w:ascii="Arial" w:hAnsi="Arial" w:cs="Arial"/>
          <w:b/>
          <w:sz w:val="22"/>
          <w:szCs w:val="22"/>
        </w:rPr>
        <w:t>0</w:t>
      </w:r>
    </w:p>
    <w:p w:rsidR="00BC3420" w:rsidRPr="007F1754" w:rsidRDefault="002219DF" w:rsidP="00BC3420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  <w:u w:val="single"/>
        </w:rPr>
        <w:t>Point</w:t>
      </w:r>
      <w:r w:rsidR="005A2132" w:rsidRPr="007F1754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A91141" w:rsidRPr="007F1754">
        <w:rPr>
          <w:rFonts w:ascii="Arial" w:hAnsi="Arial" w:cs="Arial"/>
          <w:b/>
          <w:sz w:val="22"/>
          <w:szCs w:val="22"/>
          <w:u w:val="single"/>
        </w:rPr>
        <w:t> :</w:t>
      </w:r>
    </w:p>
    <w:p w:rsidR="00BC3420" w:rsidRPr="00DE19F2" w:rsidRDefault="00DE19F2" w:rsidP="005A2132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t>Examen d’une demande d’assistance préparatoire</w:t>
      </w: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  <w:t xml:space="preserve">pour </w:t>
      </w:r>
      <w:r w:rsidR="00D836EB">
        <w:rPr>
          <w:rFonts w:ascii="Arial" w:eastAsia="SimSun" w:hAnsi="Arial" w:cs="Arial"/>
          <w:b/>
          <w:bCs/>
          <w:sz w:val="22"/>
          <w:szCs w:val="22"/>
          <w:lang w:eastAsia="zh-CN"/>
        </w:rPr>
        <w:t>l’</w:t>
      </w: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t>élabor</w:t>
      </w:r>
      <w:r w:rsidR="00D836EB">
        <w:rPr>
          <w:rFonts w:ascii="Arial" w:eastAsia="SimSun" w:hAnsi="Arial" w:cs="Arial"/>
          <w:b/>
          <w:bCs/>
          <w:sz w:val="22"/>
          <w:szCs w:val="22"/>
          <w:lang w:eastAsia="zh-CN"/>
        </w:rPr>
        <w:t>ation d’</w:t>
      </w: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une candidature </w:t>
      </w:r>
      <w:r w:rsidR="00D836EB">
        <w:rPr>
          <w:rFonts w:ascii="Arial" w:eastAsia="SimSun" w:hAnsi="Arial" w:cs="Arial"/>
          <w:b/>
          <w:bCs/>
          <w:sz w:val="22"/>
          <w:szCs w:val="22"/>
          <w:lang w:eastAsia="zh-CN"/>
        </w:rPr>
        <w:t>sur la</w:t>
      </w: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Liste </w:t>
      </w:r>
      <w:r w:rsidR="00D836EB">
        <w:rPr>
          <w:rFonts w:ascii="Arial" w:eastAsia="SimSun" w:hAnsi="Arial" w:cs="Arial"/>
          <w:b/>
          <w:bCs/>
          <w:sz w:val="22"/>
          <w:szCs w:val="22"/>
          <w:lang w:eastAsia="zh-CN"/>
        </w:rPr>
        <w:t>de</w:t>
      </w:r>
      <w:r w:rsidRPr="00DE19F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sauvegarde urgente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BC3420" w:rsidRPr="007F1754" w:rsidTr="0019264E">
        <w:trPr>
          <w:jc w:val="center"/>
        </w:trPr>
        <w:tc>
          <w:tcPr>
            <w:tcW w:w="7825" w:type="dxa"/>
            <w:vAlign w:val="center"/>
          </w:tcPr>
          <w:p w:rsidR="00BC3420" w:rsidRPr="007F1754" w:rsidRDefault="00BC3420" w:rsidP="0019264E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754">
              <w:rPr>
                <w:rFonts w:ascii="Arial" w:hAnsi="Arial" w:cs="Arial"/>
                <w:b/>
                <w:sz w:val="22"/>
                <w:szCs w:val="22"/>
              </w:rPr>
              <w:t>Résumé</w:t>
            </w:r>
          </w:p>
          <w:p w:rsidR="00BC3420" w:rsidRPr="007F1754" w:rsidRDefault="00E738B9" w:rsidP="0019264E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1754">
              <w:rPr>
                <w:rFonts w:ascii="Arial" w:hAnsi="Arial" w:cs="Arial"/>
                <w:sz w:val="22"/>
                <w:szCs w:val="22"/>
              </w:rPr>
              <w:t>Le paragraphe 49 des Directives opérationnelles prévoit que les demandes jusqu’à 25 000 dollars des États-Unis</w:t>
            </w:r>
            <w:r w:rsidR="00762C35" w:rsidRPr="007F1754">
              <w:rPr>
                <w:rFonts w:ascii="Arial" w:hAnsi="Arial" w:cs="Arial"/>
                <w:sz w:val="22"/>
                <w:szCs w:val="22"/>
              </w:rPr>
              <w:t>, y compris l’assistance préparatoire,</w:t>
            </w:r>
            <w:r w:rsidRPr="007F1754">
              <w:rPr>
                <w:rFonts w:ascii="Arial" w:hAnsi="Arial" w:cs="Arial"/>
                <w:sz w:val="22"/>
                <w:szCs w:val="22"/>
              </w:rPr>
              <w:t xml:space="preserve"> sont examinées et approuvées par le Bureau du Comité. Le présent document inclut une de ces demandes.</w:t>
            </w:r>
          </w:p>
          <w:p w:rsidR="00BC3420" w:rsidRPr="007F1754" w:rsidRDefault="00BC3420" w:rsidP="00A32E09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175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7F175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CA074F" w:rsidRPr="007F1754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</w:tr>
    </w:tbl>
    <w:p w:rsidR="00BC3420" w:rsidRPr="007F1754" w:rsidRDefault="00BC3420" w:rsidP="007758BC">
      <w:pPr>
        <w:pStyle w:val="COMParabodytext"/>
        <w:ind w:left="567" w:hanging="567"/>
        <w:rPr>
          <w:lang w:val="fr-FR"/>
        </w:rPr>
      </w:pPr>
      <w:r w:rsidRPr="007F1754">
        <w:rPr>
          <w:lang w:val="fr-FR"/>
        </w:rPr>
        <w:br w:type="page"/>
      </w:r>
      <w:r w:rsidR="00762C35" w:rsidRPr="007F1754">
        <w:rPr>
          <w:lang w:val="fr-FR"/>
        </w:rPr>
        <w:lastRenderedPageBreak/>
        <w:t>Les p</w:t>
      </w:r>
      <w:r w:rsidR="00CA074F" w:rsidRPr="007F1754">
        <w:rPr>
          <w:snapToGrid/>
          <w:lang w:val="fr-FR" w:eastAsia="fr-FR"/>
        </w:rPr>
        <w:t>aragraph</w:t>
      </w:r>
      <w:r w:rsidR="00762C35" w:rsidRPr="007F1754">
        <w:rPr>
          <w:snapToGrid/>
          <w:lang w:val="fr-FR" w:eastAsia="fr-FR"/>
        </w:rPr>
        <w:t>e</w:t>
      </w:r>
      <w:r w:rsidR="00CA074F" w:rsidRPr="007F1754">
        <w:rPr>
          <w:snapToGrid/>
          <w:lang w:val="fr-FR" w:eastAsia="fr-FR"/>
        </w:rPr>
        <w:t xml:space="preserve">s </w:t>
      </w:r>
      <w:r w:rsidR="00C3005A" w:rsidRPr="007F1754">
        <w:rPr>
          <w:snapToGrid/>
          <w:lang w:val="fr-FR" w:eastAsia="fr-FR"/>
        </w:rPr>
        <w:t>9</w:t>
      </w:r>
      <w:r w:rsidR="00C3005A">
        <w:rPr>
          <w:snapToGrid/>
          <w:lang w:val="fr-FR" w:eastAsia="fr-FR"/>
        </w:rPr>
        <w:t> </w:t>
      </w:r>
      <w:r w:rsidR="00CA074F" w:rsidRPr="007F1754">
        <w:rPr>
          <w:snapToGrid/>
          <w:lang w:val="fr-FR" w:eastAsia="fr-FR"/>
        </w:rPr>
        <w:t xml:space="preserve">(d) </w:t>
      </w:r>
      <w:r w:rsidR="00762C35" w:rsidRPr="007F1754">
        <w:rPr>
          <w:snapToGrid/>
          <w:lang w:val="fr-FR" w:eastAsia="fr-FR"/>
        </w:rPr>
        <w:t>et</w:t>
      </w:r>
      <w:r w:rsidR="00CA074F" w:rsidRPr="007F1754">
        <w:rPr>
          <w:snapToGrid/>
          <w:lang w:val="fr-FR" w:eastAsia="fr-FR"/>
        </w:rPr>
        <w:t xml:space="preserve"> 21 </w:t>
      </w:r>
      <w:r w:rsidR="00762C35" w:rsidRPr="007F1754">
        <w:rPr>
          <w:snapToGrid/>
          <w:lang w:val="fr-FR" w:eastAsia="fr-FR"/>
        </w:rPr>
        <w:t>des Directives opérationnelles prévoi</w:t>
      </w:r>
      <w:r w:rsidR="00CF5A60" w:rsidRPr="007F1754">
        <w:rPr>
          <w:snapToGrid/>
          <w:lang w:val="fr-FR" w:eastAsia="fr-FR"/>
        </w:rPr>
        <w:t>en</w:t>
      </w:r>
      <w:r w:rsidR="00762C35" w:rsidRPr="007F1754">
        <w:rPr>
          <w:snapToGrid/>
          <w:lang w:val="fr-FR" w:eastAsia="fr-FR"/>
        </w:rPr>
        <w:t xml:space="preserve">t </w:t>
      </w:r>
      <w:r w:rsidR="00D836EB">
        <w:rPr>
          <w:snapToGrid/>
          <w:lang w:val="fr-FR" w:eastAsia="fr-FR"/>
        </w:rPr>
        <w:t>qu’</w:t>
      </w:r>
      <w:r w:rsidR="00762C35" w:rsidRPr="007F1754">
        <w:rPr>
          <w:snapToGrid/>
          <w:lang w:val="fr-FR" w:eastAsia="fr-FR"/>
        </w:rPr>
        <w:t xml:space="preserve">une assistance préparatoire </w:t>
      </w:r>
      <w:r w:rsidR="00D836EB">
        <w:rPr>
          <w:snapToGrid/>
          <w:lang w:val="fr-FR" w:eastAsia="fr-FR"/>
        </w:rPr>
        <w:t>soit mise à la disposition des</w:t>
      </w:r>
      <w:r w:rsidR="00D836EB" w:rsidRPr="007F1754">
        <w:rPr>
          <w:snapToGrid/>
          <w:lang w:val="fr-FR" w:eastAsia="fr-FR"/>
        </w:rPr>
        <w:t xml:space="preserve"> </w:t>
      </w:r>
      <w:r w:rsidR="007F1754" w:rsidRPr="007F1754">
        <w:rPr>
          <w:snapToGrid/>
          <w:lang w:val="fr-FR" w:eastAsia="fr-FR"/>
        </w:rPr>
        <w:t>États</w:t>
      </w:r>
      <w:r w:rsidR="00762C35" w:rsidRPr="007F1754">
        <w:rPr>
          <w:snapToGrid/>
          <w:lang w:val="fr-FR" w:eastAsia="fr-FR"/>
        </w:rPr>
        <w:t xml:space="preserve"> parties qui souhaitent </w:t>
      </w:r>
      <w:r w:rsidR="00723D13" w:rsidRPr="007F1754">
        <w:rPr>
          <w:snapToGrid/>
          <w:lang w:val="fr-FR" w:eastAsia="fr-FR"/>
        </w:rPr>
        <w:t xml:space="preserve">élaborer des dossiers de candidature pour la Liste du </w:t>
      </w:r>
      <w:r w:rsidR="007F1754" w:rsidRPr="007F1754">
        <w:rPr>
          <w:snapToGrid/>
          <w:lang w:val="fr-FR" w:eastAsia="fr-FR"/>
        </w:rPr>
        <w:t>patrimoine</w:t>
      </w:r>
      <w:r w:rsidR="00723D13" w:rsidRPr="007F1754">
        <w:rPr>
          <w:snapToGrid/>
          <w:lang w:val="fr-FR" w:eastAsia="fr-FR"/>
        </w:rPr>
        <w:t xml:space="preserve"> culturel immatériel nécessitant une sauvegarde urgente ou élaborer des propositions </w:t>
      </w:r>
      <w:r w:rsidR="00A22F52" w:rsidRPr="007F1754">
        <w:rPr>
          <w:snapToGrid/>
          <w:lang w:val="fr-FR" w:eastAsia="fr-FR"/>
        </w:rPr>
        <w:t>pour le Registre des meilleures pratiques de sauvegarde</w:t>
      </w:r>
      <w:r w:rsidR="00CA074F" w:rsidRPr="007F1754">
        <w:rPr>
          <w:snapToGrid/>
          <w:lang w:val="fr-FR" w:eastAsia="fr-FR"/>
        </w:rPr>
        <w:t xml:space="preserve">. </w:t>
      </w:r>
      <w:r w:rsidR="00A22F52" w:rsidRPr="007F1754">
        <w:rPr>
          <w:snapToGrid/>
          <w:lang w:val="fr-FR" w:eastAsia="fr-FR"/>
        </w:rPr>
        <w:t xml:space="preserve">Le </w:t>
      </w:r>
      <w:r w:rsidR="00C3005A" w:rsidRPr="007F1754">
        <w:rPr>
          <w:snapToGrid/>
          <w:lang w:val="fr-FR" w:eastAsia="fr-FR"/>
        </w:rPr>
        <w:t>paragraphe</w:t>
      </w:r>
      <w:r w:rsidR="00C3005A">
        <w:rPr>
          <w:snapToGrid/>
          <w:lang w:val="fr-FR" w:eastAsia="fr-FR"/>
        </w:rPr>
        <w:t> </w:t>
      </w:r>
      <w:r w:rsidR="00CA074F" w:rsidRPr="007F1754">
        <w:rPr>
          <w:snapToGrid/>
          <w:lang w:val="fr-FR" w:eastAsia="fr-FR"/>
        </w:rPr>
        <w:t xml:space="preserve">49 </w:t>
      </w:r>
      <w:r w:rsidR="00A22F52" w:rsidRPr="007F1754">
        <w:rPr>
          <w:snapToGrid/>
          <w:lang w:val="fr-FR" w:eastAsia="fr-FR"/>
        </w:rPr>
        <w:t>des Directive</w:t>
      </w:r>
      <w:r w:rsidR="00CF5A60" w:rsidRPr="007F1754">
        <w:rPr>
          <w:snapToGrid/>
          <w:lang w:val="fr-FR" w:eastAsia="fr-FR"/>
        </w:rPr>
        <w:t>s</w:t>
      </w:r>
      <w:r w:rsidR="00A22F52" w:rsidRPr="007F1754">
        <w:rPr>
          <w:snapToGrid/>
          <w:lang w:val="fr-FR" w:eastAsia="fr-FR"/>
        </w:rPr>
        <w:t xml:space="preserve"> opérationnelles prévoit que </w:t>
      </w:r>
      <w:r w:rsidR="00A22F52" w:rsidRPr="007F1754">
        <w:rPr>
          <w:lang w:val="fr-FR"/>
        </w:rPr>
        <w:t>les demandes jusqu’à 25 000 dollars des États-Unis</w:t>
      </w:r>
      <w:r w:rsidR="00D836EB" w:rsidRPr="00021E33">
        <w:rPr>
          <w:lang w:val="fr-FR"/>
        </w:rPr>
        <w:t xml:space="preserve">, y compris l’assistance préparatoire, </w:t>
      </w:r>
      <w:r w:rsidR="00A22F52" w:rsidRPr="007F1754">
        <w:rPr>
          <w:lang w:val="fr-FR"/>
        </w:rPr>
        <w:t>sont examinées et approuvées par le Bureau du Comité.</w:t>
      </w:r>
      <w:r w:rsidR="00582435" w:rsidRPr="007F1754">
        <w:rPr>
          <w:lang w:val="fr-FR"/>
        </w:rPr>
        <w:t xml:space="preserve"> </w:t>
      </w:r>
    </w:p>
    <w:p w:rsidR="00D45AF2" w:rsidRPr="007F1754" w:rsidRDefault="00355E28" w:rsidP="00C962CF">
      <w:pPr>
        <w:pStyle w:val="NoSpacing1"/>
        <w:keepNext/>
        <w:numPr>
          <w:ilvl w:val="0"/>
          <w:numId w:val="21"/>
        </w:numPr>
        <w:tabs>
          <w:tab w:val="left" w:pos="567"/>
        </w:tabs>
        <w:spacing w:before="360" w:after="240"/>
        <w:ind w:hanging="720"/>
        <w:jc w:val="both"/>
        <w:rPr>
          <w:rFonts w:ascii="Arial" w:hAnsi="Arial" w:cs="Arial"/>
          <w:b/>
        </w:rPr>
      </w:pPr>
      <w:r w:rsidRPr="007F1754">
        <w:rPr>
          <w:rFonts w:ascii="Arial" w:eastAsia="Times New Roman" w:hAnsi="Arial" w:cs="Arial"/>
          <w:b/>
          <w:sz w:val="24"/>
          <w:szCs w:val="24"/>
          <w:lang w:eastAsia="fr-FR"/>
        </w:rPr>
        <w:t>Présentation de la demande</w:t>
      </w:r>
    </w:p>
    <w:p w:rsidR="00035BAB" w:rsidRPr="00021E33" w:rsidRDefault="00355E28" w:rsidP="00021E33">
      <w:pPr>
        <w:pStyle w:val="COMParabodytext"/>
        <w:ind w:left="567" w:hanging="567"/>
        <w:rPr>
          <w:lang w:val="fr-FR"/>
        </w:rPr>
      </w:pPr>
      <w:r w:rsidRPr="00021E33">
        <w:rPr>
          <w:lang w:val="fr-FR"/>
        </w:rPr>
        <w:t xml:space="preserve">Il est demandé au Bureau d’examiner la demande complétée suivante </w:t>
      </w:r>
      <w:r w:rsidR="006F44D6" w:rsidRPr="00021E33">
        <w:rPr>
          <w:lang w:val="fr-FR"/>
        </w:rPr>
        <w:t xml:space="preserve">d’assistance préparatoire pour l’élaboration d’une candidature sur la Liste du patrimoine culturel immatériel nécessitant une sauvegarde urgente </w:t>
      </w:r>
      <w:r w:rsidRPr="00021E33">
        <w:rPr>
          <w:lang w:val="fr-FR"/>
        </w:rPr>
        <w:t>et de prendre une décision à son égard </w:t>
      </w:r>
      <w:r w:rsidR="00035BAB" w:rsidRPr="00021E33">
        <w:rPr>
          <w:lang w:val="fr-FR"/>
        </w:rPr>
        <w:t>:</w:t>
      </w:r>
    </w:p>
    <w:tbl>
      <w:tblPr>
        <w:tblW w:w="4638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3968"/>
        <w:gridCol w:w="1254"/>
        <w:gridCol w:w="847"/>
      </w:tblGrid>
      <w:tr w:rsidR="00C962CF" w:rsidRPr="007F1754" w:rsidTr="00A139F1">
        <w:trPr>
          <w:cantSplit/>
          <w:tblHeader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C962CF" w:rsidRPr="007F1754" w:rsidRDefault="00355E28" w:rsidP="00021E3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Projet de décision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355E28" w:rsidRPr="007F1754" w:rsidRDefault="00355E28" w:rsidP="00021E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État </w:t>
            </w:r>
          </w:p>
          <w:p w:rsidR="00C962CF" w:rsidRPr="007F1754" w:rsidRDefault="00355E28" w:rsidP="0002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demandeur</w:t>
            </w:r>
          </w:p>
        </w:tc>
        <w:tc>
          <w:tcPr>
            <w:tcW w:w="2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962CF" w:rsidRPr="007F1754" w:rsidRDefault="00A139F1" w:rsidP="00021E33">
            <w:pPr>
              <w:spacing w:before="120" w:after="120"/>
              <w:ind w:lef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Titr</w:t>
            </w:r>
            <w:r w:rsidR="00C962CF"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962CF" w:rsidRPr="007F1754" w:rsidRDefault="00A139F1" w:rsidP="00021E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Montant demandé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962CF" w:rsidRPr="007F1754" w:rsidRDefault="00A139F1" w:rsidP="00391A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75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N° de dossier</w:t>
            </w:r>
          </w:p>
        </w:tc>
      </w:tr>
      <w:tr w:rsidR="00C962CF" w:rsidRPr="007F1754" w:rsidTr="00A139F1">
        <w:trPr>
          <w:cantSplit/>
          <w:tblHeader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62CF" w:rsidRPr="007F1754" w:rsidRDefault="00541004" w:rsidP="00021E3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GB"/>
              </w:rPr>
              <w:t>10 COM 3 BUR 1</w:t>
            </w:r>
            <w:bookmarkStart w:id="0" w:name="_GoBack"/>
            <w:bookmarkEnd w:id="0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962CF" w:rsidRPr="007F1754" w:rsidRDefault="00C962CF" w:rsidP="00A139F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F1754">
              <w:rPr>
                <w:rFonts w:ascii="Arial" w:hAnsi="Arial" w:cs="Arial"/>
                <w:sz w:val="20"/>
                <w:szCs w:val="20"/>
              </w:rPr>
              <w:t>Philippines</w:t>
            </w:r>
          </w:p>
        </w:tc>
        <w:tc>
          <w:tcPr>
            <w:tcW w:w="2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2CF" w:rsidRPr="007F1754" w:rsidRDefault="00AE0B3E" w:rsidP="00021E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F1754">
              <w:rPr>
                <w:rFonts w:ascii="Arial" w:hAnsi="Arial" w:cs="Arial"/>
                <w:sz w:val="20"/>
                <w:szCs w:val="20"/>
              </w:rPr>
              <w:t xml:space="preserve">Traditions de construction de bateaux traditionnels des </w:t>
            </w:r>
            <w:proofErr w:type="spellStart"/>
            <w:r w:rsidR="00C962CF" w:rsidRPr="007F1754">
              <w:rPr>
                <w:rFonts w:ascii="Arial" w:hAnsi="Arial" w:cs="Arial"/>
                <w:sz w:val="20"/>
                <w:szCs w:val="20"/>
              </w:rPr>
              <w:t>lvatans</w:t>
            </w:r>
            <w:proofErr w:type="spellEnd"/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754">
              <w:rPr>
                <w:rFonts w:ascii="Arial" w:hAnsi="Arial" w:cs="Arial"/>
                <w:sz w:val="20"/>
                <w:szCs w:val="20"/>
              </w:rPr>
              <w:t>de</w:t>
            </w:r>
            <w:r w:rsidR="00CF5A60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60" w:rsidRPr="007F1754">
              <w:rPr>
                <w:rFonts w:ascii="Arial" w:hAnsi="Arial" w:cs="Arial"/>
                <w:sz w:val="20"/>
                <w:szCs w:val="20"/>
              </w:rPr>
              <w:t>Batanes</w:t>
            </w:r>
            <w:proofErr w:type="spellEnd"/>
            <w:r w:rsidR="00CF5A60" w:rsidRPr="007F1754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A60" w:rsidRPr="007F1754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C962CF" w:rsidRPr="007F1754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. Catalina, </w:t>
            </w:r>
            <w:r w:rsidRPr="007F1754">
              <w:rPr>
                <w:rFonts w:ascii="Arial" w:hAnsi="Arial" w:cs="Arial"/>
                <w:sz w:val="20"/>
                <w:szCs w:val="20"/>
              </w:rPr>
              <w:t xml:space="preserve">dans le 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>Negros Oriental,</w:t>
            </w:r>
            <w:r w:rsidRPr="007F1754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62CF" w:rsidRPr="007F1754">
              <w:rPr>
                <w:rFonts w:ascii="Arial" w:hAnsi="Arial" w:cs="Arial"/>
                <w:sz w:val="20"/>
                <w:szCs w:val="20"/>
              </w:rPr>
              <w:t>Manobo</w:t>
            </w:r>
            <w:proofErr w:type="spellEnd"/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754">
              <w:rPr>
                <w:rFonts w:ascii="Arial" w:hAnsi="Arial" w:cs="Arial"/>
                <w:sz w:val="20"/>
                <w:szCs w:val="20"/>
              </w:rPr>
              <w:t>d’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Agusan </w:t>
            </w:r>
            <w:r w:rsidRPr="007F1754">
              <w:rPr>
                <w:rFonts w:ascii="Arial" w:hAnsi="Arial" w:cs="Arial"/>
                <w:sz w:val="20"/>
                <w:szCs w:val="20"/>
              </w:rPr>
              <w:t>et des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62CF" w:rsidRPr="007F1754">
              <w:rPr>
                <w:rFonts w:ascii="Arial" w:hAnsi="Arial" w:cs="Arial"/>
                <w:sz w:val="20"/>
                <w:szCs w:val="20"/>
              </w:rPr>
              <w:t>Sama</w:t>
            </w:r>
            <w:proofErr w:type="spellEnd"/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-Bajau </w:t>
            </w:r>
            <w:r w:rsidRPr="007F1754">
              <w:rPr>
                <w:rFonts w:ascii="Arial" w:hAnsi="Arial" w:cs="Arial"/>
                <w:sz w:val="20"/>
                <w:szCs w:val="20"/>
              </w:rPr>
              <w:t>de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62CF" w:rsidRPr="007F1754">
              <w:rPr>
                <w:rFonts w:ascii="Arial" w:hAnsi="Arial" w:cs="Arial"/>
                <w:sz w:val="20"/>
                <w:szCs w:val="20"/>
              </w:rPr>
              <w:t>Tawi-tawi</w:t>
            </w:r>
            <w:proofErr w:type="spellEnd"/>
            <w:r w:rsidRPr="007F1754">
              <w:rPr>
                <w:rFonts w:ascii="Arial" w:hAnsi="Arial" w:cs="Arial"/>
                <w:sz w:val="20"/>
                <w:szCs w:val="20"/>
              </w:rPr>
              <w:t xml:space="preserve">, dans l’archipel des </w:t>
            </w:r>
            <w:r w:rsidR="00C962CF" w:rsidRPr="007F1754">
              <w:rPr>
                <w:rFonts w:ascii="Arial" w:hAnsi="Arial" w:cs="Arial"/>
                <w:sz w:val="20"/>
                <w:szCs w:val="20"/>
              </w:rPr>
              <w:t>Philippine</w:t>
            </w:r>
            <w:r w:rsidRPr="007F175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C962CF" w:rsidRPr="007F1754" w:rsidRDefault="00C962CF" w:rsidP="00A139F1">
            <w:pPr>
              <w:spacing w:before="120" w:after="120"/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754">
              <w:rPr>
                <w:rFonts w:ascii="Arial" w:hAnsi="Arial" w:cs="Arial"/>
                <w:sz w:val="20"/>
                <w:szCs w:val="20"/>
              </w:rPr>
              <w:t>7</w:t>
            </w:r>
            <w:r w:rsidR="00A139F1" w:rsidRPr="007F1754">
              <w:rPr>
                <w:rFonts w:ascii="Arial" w:hAnsi="Arial" w:cs="Arial"/>
                <w:sz w:val="20"/>
                <w:szCs w:val="20"/>
              </w:rPr>
              <w:t> </w:t>
            </w:r>
            <w:r w:rsidRPr="007F1754">
              <w:rPr>
                <w:rFonts w:ascii="Arial" w:hAnsi="Arial" w:cs="Arial"/>
                <w:sz w:val="20"/>
                <w:szCs w:val="20"/>
              </w:rPr>
              <w:t>393</w:t>
            </w:r>
            <w:r w:rsidR="00A139F1" w:rsidRPr="007F1754">
              <w:rPr>
                <w:rFonts w:ascii="Arial" w:hAnsi="Arial" w:cs="Arial"/>
                <w:sz w:val="20"/>
                <w:szCs w:val="20"/>
              </w:rPr>
              <w:t> USD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2CF" w:rsidRPr="007F1754" w:rsidRDefault="00C962CF" w:rsidP="00A139F1">
            <w:pPr>
              <w:spacing w:before="120" w:after="120"/>
              <w:ind w:left="83"/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F1754">
              <w:rPr>
                <w:rFonts w:ascii="Arial" w:hAnsi="Arial" w:cs="Arial"/>
                <w:sz w:val="20"/>
                <w:szCs w:val="20"/>
              </w:rPr>
              <w:t>01176</w:t>
            </w:r>
          </w:p>
        </w:tc>
      </w:tr>
    </w:tbl>
    <w:p w:rsidR="003120DE" w:rsidRPr="007F1754" w:rsidRDefault="00AE0B3E" w:rsidP="00C9009D">
      <w:pPr>
        <w:pStyle w:val="NoSpacing1"/>
        <w:keepNext/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7F1754">
        <w:rPr>
          <w:rFonts w:ascii="Arial" w:eastAsia="Times New Roman" w:hAnsi="Arial" w:cs="Arial"/>
          <w:lang w:eastAsia="fr-FR"/>
        </w:rPr>
        <w:t>La demande est disponible en ligne</w:t>
      </w:r>
      <w:r w:rsidR="00391AE3" w:rsidRPr="007F1754">
        <w:rPr>
          <w:rFonts w:ascii="Arial" w:eastAsia="Times New Roman" w:hAnsi="Arial" w:cs="Arial"/>
          <w:lang w:eastAsia="fr-FR"/>
        </w:rPr>
        <w:t>,</w:t>
      </w:r>
      <w:r w:rsidRPr="007F1754">
        <w:rPr>
          <w:rFonts w:ascii="Arial" w:eastAsia="Times New Roman" w:hAnsi="Arial" w:cs="Arial"/>
          <w:lang w:eastAsia="fr-FR"/>
        </w:rPr>
        <w:t xml:space="preserve"> en anglais et en français</w:t>
      </w:r>
      <w:r w:rsidR="00391AE3" w:rsidRPr="007F1754">
        <w:rPr>
          <w:rFonts w:ascii="Arial" w:eastAsia="Times New Roman" w:hAnsi="Arial" w:cs="Arial"/>
          <w:lang w:eastAsia="fr-FR"/>
        </w:rPr>
        <w:t>,</w:t>
      </w:r>
      <w:r w:rsidRPr="007F1754">
        <w:rPr>
          <w:rFonts w:ascii="Arial" w:eastAsia="Times New Roman" w:hAnsi="Arial" w:cs="Arial"/>
          <w:lang w:eastAsia="fr-FR"/>
        </w:rPr>
        <w:t xml:space="preserve"> et peut être consultée par le </w:t>
      </w:r>
      <w:r w:rsidRPr="00021E33">
        <w:rPr>
          <w:rFonts w:ascii="Arial" w:eastAsia="Times New Roman" w:hAnsi="Arial" w:cs="Arial"/>
          <w:lang w:eastAsia="fr-FR"/>
        </w:rPr>
        <w:t>Bureau sur la page</w:t>
      </w:r>
      <w:r w:rsidR="003120DE" w:rsidRPr="00021E33">
        <w:rPr>
          <w:rFonts w:ascii="Arial" w:eastAsia="Times New Roman" w:hAnsi="Arial" w:cs="Arial"/>
          <w:lang w:eastAsia="fr-FR"/>
        </w:rPr>
        <w:t xml:space="preserve"> </w:t>
      </w:r>
      <w:hyperlink r:id="rId9" w:history="1">
        <w:r w:rsidR="006F44D6" w:rsidRPr="00021E33">
          <w:rPr>
            <w:rStyle w:val="Hyperlink"/>
            <w:rFonts w:ascii="Arial" w:eastAsia="Times New Roman" w:hAnsi="Arial" w:cs="Arial"/>
            <w:lang w:eastAsia="fr-FR"/>
          </w:rPr>
          <w:t>http://www.unesco.org/culture/ich/fr/10COM-BUREAU</w:t>
        </w:r>
      </w:hyperlink>
      <w:r w:rsidR="003120DE" w:rsidRPr="00021E33">
        <w:rPr>
          <w:rFonts w:ascii="Arial" w:eastAsia="Times New Roman" w:hAnsi="Arial" w:cs="Arial"/>
          <w:lang w:eastAsia="fr-FR"/>
        </w:rPr>
        <w:t>,</w:t>
      </w:r>
      <w:r w:rsidR="003120DE" w:rsidRPr="007F1754">
        <w:rPr>
          <w:rFonts w:ascii="Arial" w:eastAsia="Times New Roman" w:hAnsi="Arial" w:cs="Arial"/>
          <w:lang w:eastAsia="fr-FR"/>
        </w:rPr>
        <w:t xml:space="preserve"> </w:t>
      </w:r>
      <w:r w:rsidRPr="007F1754">
        <w:rPr>
          <w:rFonts w:ascii="Arial" w:eastAsia="Times New Roman" w:hAnsi="Arial" w:cs="Arial"/>
          <w:lang w:eastAsia="fr-FR"/>
        </w:rPr>
        <w:t xml:space="preserve">ainsi que la version précédente de la demande et la lettre du </w:t>
      </w:r>
      <w:r w:rsidR="003120DE" w:rsidRPr="007F1754">
        <w:rPr>
          <w:rFonts w:ascii="Arial" w:eastAsia="Times New Roman" w:hAnsi="Arial" w:cs="Arial"/>
          <w:lang w:eastAsia="fr-FR"/>
        </w:rPr>
        <w:t>Secr</w:t>
      </w:r>
      <w:r w:rsidRPr="007F1754">
        <w:rPr>
          <w:rFonts w:ascii="Arial" w:eastAsia="Times New Roman" w:hAnsi="Arial" w:cs="Arial"/>
          <w:lang w:eastAsia="fr-FR"/>
        </w:rPr>
        <w:t>é</w:t>
      </w:r>
      <w:r w:rsidR="003120DE" w:rsidRPr="007F1754">
        <w:rPr>
          <w:rFonts w:ascii="Arial" w:eastAsia="Times New Roman" w:hAnsi="Arial" w:cs="Arial"/>
          <w:lang w:eastAsia="fr-FR"/>
        </w:rPr>
        <w:t>tariat</w:t>
      </w:r>
      <w:r w:rsidRPr="007F1754">
        <w:rPr>
          <w:rFonts w:ascii="Arial" w:eastAsia="Times New Roman" w:hAnsi="Arial" w:cs="Arial"/>
          <w:lang w:eastAsia="fr-FR"/>
        </w:rPr>
        <w:t xml:space="preserve"> </w:t>
      </w:r>
      <w:r w:rsidR="007F1754" w:rsidRPr="007F1754">
        <w:rPr>
          <w:rFonts w:ascii="Arial" w:eastAsia="Times New Roman" w:hAnsi="Arial" w:cs="Arial"/>
          <w:lang w:eastAsia="fr-FR"/>
        </w:rPr>
        <w:t>demandant</w:t>
      </w:r>
      <w:r w:rsidRPr="007F1754">
        <w:rPr>
          <w:rFonts w:ascii="Arial" w:eastAsia="Times New Roman" w:hAnsi="Arial" w:cs="Arial"/>
          <w:lang w:eastAsia="fr-FR"/>
        </w:rPr>
        <w:t xml:space="preserve"> des informations complémentaires</w:t>
      </w:r>
      <w:r w:rsidR="009068AB" w:rsidRPr="007F1754">
        <w:rPr>
          <w:rFonts w:ascii="Arial" w:eastAsia="Times New Roman" w:hAnsi="Arial" w:cs="Arial"/>
          <w:lang w:eastAsia="fr-FR"/>
        </w:rPr>
        <w:t>.</w:t>
      </w:r>
    </w:p>
    <w:p w:rsidR="003120DE" w:rsidRPr="007F1754" w:rsidRDefault="00AE0B3E" w:rsidP="00C9009D">
      <w:pPr>
        <w:pStyle w:val="NoSpacing1"/>
        <w:keepNext/>
        <w:numPr>
          <w:ilvl w:val="0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7F1754">
        <w:rPr>
          <w:rFonts w:ascii="Arial" w:eastAsia="Times New Roman" w:hAnsi="Arial" w:cs="Arial"/>
          <w:lang w:eastAsia="fr-FR"/>
        </w:rPr>
        <w:t>L</w:t>
      </w:r>
      <w:r w:rsidR="003120DE" w:rsidRPr="007F1754">
        <w:rPr>
          <w:rFonts w:ascii="Arial" w:eastAsia="Times New Roman" w:hAnsi="Arial" w:cs="Arial"/>
          <w:lang w:eastAsia="fr-FR"/>
        </w:rPr>
        <w:t>e Secr</w:t>
      </w:r>
      <w:r w:rsidRPr="007F1754">
        <w:rPr>
          <w:rFonts w:ascii="Arial" w:eastAsia="Times New Roman" w:hAnsi="Arial" w:cs="Arial"/>
          <w:lang w:eastAsia="fr-FR"/>
        </w:rPr>
        <w:t>é</w:t>
      </w:r>
      <w:r w:rsidR="003120DE" w:rsidRPr="007F1754">
        <w:rPr>
          <w:rFonts w:ascii="Arial" w:eastAsia="Times New Roman" w:hAnsi="Arial" w:cs="Arial"/>
          <w:lang w:eastAsia="fr-FR"/>
        </w:rPr>
        <w:t xml:space="preserve">tariat </w:t>
      </w:r>
      <w:r w:rsidRPr="007F1754">
        <w:rPr>
          <w:rFonts w:ascii="Arial" w:eastAsia="Times New Roman" w:hAnsi="Arial" w:cs="Arial"/>
          <w:lang w:eastAsia="fr-FR"/>
        </w:rPr>
        <w:t xml:space="preserve">a fourni aux Philippines des conseils sur la manière d’améliorer leur demande </w:t>
      </w:r>
      <w:r w:rsidR="00CC14C1">
        <w:rPr>
          <w:rFonts w:ascii="Arial" w:eastAsia="Times New Roman" w:hAnsi="Arial" w:cs="Arial"/>
          <w:lang w:eastAsia="fr-FR"/>
        </w:rPr>
        <w:t>par le biais</w:t>
      </w:r>
      <w:r w:rsidR="00CC14C1" w:rsidRPr="007F1754">
        <w:rPr>
          <w:rFonts w:ascii="Arial" w:eastAsia="Times New Roman" w:hAnsi="Arial" w:cs="Arial"/>
          <w:lang w:eastAsia="fr-FR"/>
        </w:rPr>
        <w:t xml:space="preserve"> </w:t>
      </w:r>
      <w:r w:rsidR="00CC14C1">
        <w:rPr>
          <w:rFonts w:ascii="Arial" w:eastAsia="Times New Roman" w:hAnsi="Arial" w:cs="Arial"/>
          <w:lang w:eastAsia="fr-FR"/>
        </w:rPr>
        <w:t>d’</w:t>
      </w:r>
      <w:r w:rsidRPr="007F1754">
        <w:rPr>
          <w:rFonts w:ascii="Arial" w:eastAsia="Times New Roman" w:hAnsi="Arial" w:cs="Arial"/>
          <w:lang w:eastAsia="fr-FR"/>
        </w:rPr>
        <w:t xml:space="preserve">une lettre complète et détaillée </w:t>
      </w:r>
      <w:r w:rsidR="008656EE" w:rsidRPr="007F1754">
        <w:rPr>
          <w:rFonts w:ascii="Arial" w:eastAsia="Times New Roman" w:hAnsi="Arial" w:cs="Arial"/>
          <w:lang w:eastAsia="fr-FR"/>
        </w:rPr>
        <w:t xml:space="preserve">précisant les informations qui manquaient dans la </w:t>
      </w:r>
      <w:r w:rsidR="007F1754" w:rsidRPr="007F1754">
        <w:rPr>
          <w:rFonts w:ascii="Arial" w:eastAsia="Times New Roman" w:hAnsi="Arial" w:cs="Arial"/>
          <w:lang w:eastAsia="fr-FR"/>
        </w:rPr>
        <w:t>demande</w:t>
      </w:r>
      <w:r w:rsidR="00391AE3" w:rsidRPr="007F1754">
        <w:rPr>
          <w:rFonts w:ascii="Arial" w:eastAsia="Times New Roman" w:hAnsi="Arial" w:cs="Arial"/>
          <w:lang w:eastAsia="fr-FR"/>
        </w:rPr>
        <w:t>,</w:t>
      </w:r>
      <w:r w:rsidR="008656EE" w:rsidRPr="007F1754">
        <w:rPr>
          <w:rFonts w:ascii="Arial" w:eastAsia="Times New Roman" w:hAnsi="Arial" w:cs="Arial"/>
          <w:lang w:eastAsia="fr-FR"/>
        </w:rPr>
        <w:t xml:space="preserve"> </w:t>
      </w:r>
      <w:r w:rsidR="00391AE3" w:rsidRPr="007F1754">
        <w:rPr>
          <w:rFonts w:ascii="Arial" w:eastAsia="Times New Roman" w:hAnsi="Arial" w:cs="Arial"/>
          <w:lang w:eastAsia="fr-FR"/>
        </w:rPr>
        <w:t>ainsi que</w:t>
      </w:r>
      <w:r w:rsidR="008656EE" w:rsidRPr="007F1754">
        <w:rPr>
          <w:rFonts w:ascii="Arial" w:eastAsia="Times New Roman" w:hAnsi="Arial" w:cs="Arial"/>
          <w:lang w:eastAsia="fr-FR"/>
        </w:rPr>
        <w:t xml:space="preserve"> d’autres points appelant une modification, notamment le budget proposé</w:t>
      </w:r>
      <w:r w:rsidR="003120DE" w:rsidRPr="007F1754">
        <w:rPr>
          <w:rFonts w:ascii="Arial" w:eastAsia="Times New Roman" w:hAnsi="Arial" w:cs="Arial"/>
          <w:lang w:eastAsia="fr-FR"/>
        </w:rPr>
        <w:t>.</w:t>
      </w:r>
    </w:p>
    <w:p w:rsidR="009068AB" w:rsidRPr="007F1754" w:rsidRDefault="008656EE" w:rsidP="00C9009D">
      <w:pPr>
        <w:pStyle w:val="NoSpacing1"/>
        <w:keepNext/>
        <w:numPr>
          <w:ilvl w:val="0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7F1754">
        <w:rPr>
          <w:rFonts w:ascii="Arial" w:eastAsia="Times New Roman" w:hAnsi="Arial" w:cs="Arial"/>
          <w:lang w:eastAsia="fr-FR"/>
        </w:rPr>
        <w:t xml:space="preserve">Conformément au </w:t>
      </w:r>
      <w:r w:rsidR="009068AB" w:rsidRPr="007F1754">
        <w:rPr>
          <w:rFonts w:ascii="Arial" w:eastAsia="Times New Roman" w:hAnsi="Arial" w:cs="Arial"/>
          <w:lang w:eastAsia="fr-FR"/>
        </w:rPr>
        <w:t>paragraph</w:t>
      </w:r>
      <w:r w:rsidRPr="007F1754">
        <w:rPr>
          <w:rFonts w:ascii="Arial" w:eastAsia="Times New Roman" w:hAnsi="Arial" w:cs="Arial"/>
          <w:lang w:eastAsia="fr-FR"/>
        </w:rPr>
        <w:t xml:space="preserve">e 48 des </w:t>
      </w:r>
      <w:r w:rsidR="009068AB" w:rsidRPr="007F1754">
        <w:rPr>
          <w:rFonts w:ascii="Arial" w:eastAsia="Times New Roman" w:hAnsi="Arial" w:cs="Arial"/>
          <w:lang w:eastAsia="fr-FR"/>
        </w:rPr>
        <w:t>Directives</w:t>
      </w:r>
      <w:r w:rsidRPr="007F1754">
        <w:rPr>
          <w:rFonts w:ascii="Arial" w:eastAsia="Times New Roman" w:hAnsi="Arial" w:cs="Arial"/>
          <w:lang w:eastAsia="fr-FR"/>
        </w:rPr>
        <w:t xml:space="preserve"> opérationnelles</w:t>
      </w:r>
      <w:r w:rsidR="009068AB" w:rsidRPr="007F1754">
        <w:rPr>
          <w:rFonts w:ascii="Arial" w:eastAsia="Times New Roman" w:hAnsi="Arial" w:cs="Arial"/>
          <w:lang w:eastAsia="fr-FR"/>
        </w:rPr>
        <w:t xml:space="preserve">, </w:t>
      </w:r>
      <w:r w:rsidRPr="007F1754">
        <w:rPr>
          <w:rFonts w:ascii="Arial" w:eastAsia="Times New Roman" w:hAnsi="Arial" w:cs="Arial"/>
          <w:lang w:eastAsia="fr-FR"/>
        </w:rPr>
        <w:t>l’</w:t>
      </w:r>
      <w:r w:rsidR="007F1754" w:rsidRPr="007F1754">
        <w:rPr>
          <w:rFonts w:ascii="Arial" w:eastAsia="Times New Roman" w:hAnsi="Arial" w:cs="Arial"/>
          <w:lang w:eastAsia="fr-FR"/>
        </w:rPr>
        <w:t>État</w:t>
      </w:r>
      <w:r w:rsidRPr="007F1754">
        <w:rPr>
          <w:rFonts w:ascii="Arial" w:eastAsia="Times New Roman" w:hAnsi="Arial" w:cs="Arial"/>
          <w:lang w:eastAsia="fr-FR"/>
        </w:rPr>
        <w:t xml:space="preserve"> demandeur a été informé des dates possibles d’examen de sa demande</w:t>
      </w:r>
      <w:r w:rsidR="009068AB" w:rsidRPr="007F1754">
        <w:rPr>
          <w:rFonts w:ascii="Arial" w:eastAsia="Times New Roman" w:hAnsi="Arial" w:cs="Arial"/>
          <w:lang w:eastAsia="fr-FR"/>
        </w:rPr>
        <w:t xml:space="preserve">. </w:t>
      </w:r>
      <w:r w:rsidRPr="007F1754">
        <w:rPr>
          <w:rFonts w:ascii="Arial" w:eastAsia="Times New Roman" w:hAnsi="Arial" w:cs="Arial"/>
          <w:lang w:eastAsia="fr-FR"/>
        </w:rPr>
        <w:t>Toujours conformément aux Directives opérationnelles, le Secrétariat communiquera à l’État demandeur la décision du Bureau concernant l’octroi de l’assistance dans un délai de deux semaines à compter de cette décision.</w:t>
      </w:r>
    </w:p>
    <w:p w:rsidR="009068AB" w:rsidRPr="007F1754" w:rsidRDefault="00750952" w:rsidP="00C9009D">
      <w:pPr>
        <w:pStyle w:val="NoSpacing1"/>
        <w:keepNext/>
        <w:numPr>
          <w:ilvl w:val="0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7F1754">
        <w:rPr>
          <w:rFonts w:ascii="Arial" w:eastAsia="Times New Roman" w:hAnsi="Arial" w:cs="Arial"/>
          <w:lang w:eastAsia="fr-FR"/>
        </w:rPr>
        <w:t xml:space="preserve">Le projet de décision ci-dessous contient un </w:t>
      </w:r>
      <w:r w:rsidR="00CC14C1">
        <w:rPr>
          <w:rFonts w:ascii="Arial" w:eastAsia="Times New Roman" w:hAnsi="Arial" w:cs="Arial"/>
          <w:lang w:eastAsia="fr-FR"/>
        </w:rPr>
        <w:t>résumé</w:t>
      </w:r>
      <w:r w:rsidRPr="007F1754">
        <w:rPr>
          <w:rFonts w:ascii="Arial" w:eastAsia="Times New Roman" w:hAnsi="Arial" w:cs="Arial"/>
          <w:lang w:eastAsia="fr-FR"/>
        </w:rPr>
        <w:t xml:space="preserve"> </w:t>
      </w:r>
      <w:r w:rsidR="00CC14C1">
        <w:rPr>
          <w:rFonts w:ascii="Arial" w:eastAsia="Times New Roman" w:hAnsi="Arial" w:cs="Arial"/>
          <w:lang w:eastAsia="fr-FR"/>
        </w:rPr>
        <w:t xml:space="preserve">de </w:t>
      </w:r>
      <w:r w:rsidRPr="007F1754">
        <w:rPr>
          <w:rFonts w:ascii="Arial" w:eastAsia="Times New Roman" w:hAnsi="Arial" w:cs="Arial"/>
          <w:lang w:eastAsia="fr-FR"/>
        </w:rPr>
        <w:t>la demande et une évaluation générale du dossier sur la base des informations fournies</w:t>
      </w:r>
      <w:r w:rsidR="009068AB" w:rsidRPr="007F1754">
        <w:rPr>
          <w:rFonts w:ascii="Arial" w:eastAsia="Times New Roman" w:hAnsi="Arial" w:cs="Arial"/>
          <w:lang w:eastAsia="fr-FR"/>
        </w:rPr>
        <w:t xml:space="preserve">. </w:t>
      </w:r>
      <w:r w:rsidRPr="007F1754">
        <w:rPr>
          <w:rFonts w:ascii="Arial" w:eastAsia="Times New Roman" w:hAnsi="Arial" w:cs="Arial"/>
          <w:lang w:eastAsia="fr-FR"/>
        </w:rPr>
        <w:t>L</w:t>
      </w:r>
      <w:r w:rsidR="009068AB" w:rsidRPr="007F1754">
        <w:rPr>
          <w:rFonts w:ascii="Arial" w:eastAsia="Times New Roman" w:hAnsi="Arial" w:cs="Arial"/>
          <w:lang w:eastAsia="fr-FR"/>
        </w:rPr>
        <w:t>e Secr</w:t>
      </w:r>
      <w:r w:rsidRPr="007F1754">
        <w:rPr>
          <w:rFonts w:ascii="Arial" w:eastAsia="Times New Roman" w:hAnsi="Arial" w:cs="Arial"/>
          <w:lang w:eastAsia="fr-FR"/>
        </w:rPr>
        <w:t>étariat recomma</w:t>
      </w:r>
      <w:r w:rsidR="009068AB" w:rsidRPr="007F1754">
        <w:rPr>
          <w:rFonts w:ascii="Arial" w:eastAsia="Times New Roman" w:hAnsi="Arial" w:cs="Arial"/>
          <w:lang w:eastAsia="fr-FR"/>
        </w:rPr>
        <w:t>nd</w:t>
      </w:r>
      <w:r w:rsidRPr="007F1754">
        <w:rPr>
          <w:rFonts w:ascii="Arial" w:eastAsia="Times New Roman" w:hAnsi="Arial" w:cs="Arial"/>
          <w:lang w:eastAsia="fr-FR"/>
        </w:rPr>
        <w:t xml:space="preserve">e au </w:t>
      </w:r>
      <w:r w:rsidR="009068AB" w:rsidRPr="007F1754">
        <w:rPr>
          <w:rFonts w:ascii="Arial" w:eastAsia="Times New Roman" w:hAnsi="Arial" w:cs="Arial"/>
          <w:lang w:eastAsia="fr-FR"/>
        </w:rPr>
        <w:t xml:space="preserve">Bureau </w:t>
      </w:r>
      <w:r w:rsidRPr="007F1754">
        <w:rPr>
          <w:rFonts w:ascii="Arial" w:eastAsia="Times New Roman" w:hAnsi="Arial" w:cs="Arial"/>
          <w:lang w:eastAsia="fr-FR"/>
        </w:rPr>
        <w:t>d’</w:t>
      </w:r>
      <w:r w:rsidR="009068AB" w:rsidRPr="007F1754">
        <w:rPr>
          <w:rFonts w:ascii="Arial" w:eastAsia="Times New Roman" w:hAnsi="Arial" w:cs="Arial"/>
          <w:lang w:eastAsia="fr-FR"/>
        </w:rPr>
        <w:t>appro</w:t>
      </w:r>
      <w:r w:rsidRPr="007F1754">
        <w:rPr>
          <w:rFonts w:ascii="Arial" w:eastAsia="Times New Roman" w:hAnsi="Arial" w:cs="Arial"/>
          <w:lang w:eastAsia="fr-FR"/>
        </w:rPr>
        <w:t>u</w:t>
      </w:r>
      <w:r w:rsidR="009068AB" w:rsidRPr="007F1754">
        <w:rPr>
          <w:rFonts w:ascii="Arial" w:eastAsia="Times New Roman" w:hAnsi="Arial" w:cs="Arial"/>
          <w:lang w:eastAsia="fr-FR"/>
        </w:rPr>
        <w:t>ve</w:t>
      </w:r>
      <w:r w:rsidRPr="007F1754">
        <w:rPr>
          <w:rFonts w:ascii="Arial" w:eastAsia="Times New Roman" w:hAnsi="Arial" w:cs="Arial"/>
          <w:lang w:eastAsia="fr-FR"/>
        </w:rPr>
        <w:t>r cette demande</w:t>
      </w:r>
      <w:r w:rsidR="009068AB" w:rsidRPr="007F1754">
        <w:rPr>
          <w:rFonts w:ascii="Arial" w:eastAsia="Times New Roman" w:hAnsi="Arial" w:cs="Arial"/>
          <w:lang w:eastAsia="fr-FR"/>
        </w:rPr>
        <w:t>.</w:t>
      </w:r>
      <w:r w:rsidR="009068AB" w:rsidRPr="007F1754">
        <w:rPr>
          <w:rFonts w:ascii="Arial" w:hAnsi="Arial" w:cs="Arial"/>
          <w:b/>
        </w:rPr>
        <w:t xml:space="preserve"> </w:t>
      </w:r>
    </w:p>
    <w:p w:rsidR="005A2132" w:rsidRPr="00021E33" w:rsidRDefault="005A2132" w:rsidP="00021E33">
      <w:pPr>
        <w:pStyle w:val="NoSpacing1"/>
        <w:keepNext/>
        <w:numPr>
          <w:ilvl w:val="0"/>
          <w:numId w:val="21"/>
        </w:numPr>
        <w:tabs>
          <w:tab w:val="left" w:pos="567"/>
        </w:tabs>
        <w:spacing w:before="360" w:after="240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21E33">
        <w:rPr>
          <w:rFonts w:ascii="Arial" w:eastAsia="Times New Roman" w:hAnsi="Arial" w:cs="Arial"/>
          <w:b/>
          <w:sz w:val="24"/>
          <w:szCs w:val="24"/>
          <w:lang w:eastAsia="fr-FR"/>
        </w:rPr>
        <w:t>Projet de décision</w:t>
      </w:r>
    </w:p>
    <w:p w:rsidR="00D45AF2" w:rsidRPr="007F1754" w:rsidRDefault="00D45AF2" w:rsidP="00C9009D">
      <w:pPr>
        <w:pStyle w:val="COMParabodytext"/>
        <w:numPr>
          <w:ilvl w:val="0"/>
          <w:numId w:val="24"/>
        </w:numPr>
        <w:ind w:left="567" w:hanging="567"/>
        <w:rPr>
          <w:lang w:val="fr-FR"/>
        </w:rPr>
      </w:pPr>
      <w:r w:rsidRPr="007F1754">
        <w:rPr>
          <w:lang w:val="fr-FR"/>
        </w:rPr>
        <w:t xml:space="preserve">Le Bureau du Comité intergouvernemental souhaitera peut-être </w:t>
      </w:r>
      <w:r w:rsidR="005A2132" w:rsidRPr="007F1754">
        <w:rPr>
          <w:lang w:val="fr-FR"/>
        </w:rPr>
        <w:t>adopter la décision suivante</w:t>
      </w:r>
      <w:r w:rsidRPr="007F1754">
        <w:rPr>
          <w:lang w:val="fr-FR"/>
        </w:rPr>
        <w:t> :</w:t>
      </w:r>
    </w:p>
    <w:p w:rsidR="0057439C" w:rsidRPr="007F1754" w:rsidRDefault="009E1B50" w:rsidP="00DD2024">
      <w:pPr>
        <w:pStyle w:val="GATitleResolution"/>
        <w:spacing w:before="360" w:after="240"/>
      </w:pPr>
      <w:bookmarkStart w:id="1" w:name="Uganda"/>
      <w:bookmarkStart w:id="2" w:name="Decision_10_COM_1_BUR1_1"/>
      <w:r w:rsidRPr="007F1754">
        <w:t>PROJET DE DÉCIS</w:t>
      </w:r>
      <w:r w:rsidR="00165170" w:rsidRPr="007F1754">
        <w:t xml:space="preserve">ION </w:t>
      </w:r>
      <w:bookmarkEnd w:id="1"/>
      <w:bookmarkEnd w:id="2"/>
      <w:r w:rsidR="005A2132" w:rsidRPr="007F1754">
        <w:t xml:space="preserve">10.COM 3.BUR </w:t>
      </w:r>
      <w:r w:rsidR="00541004">
        <w:t>1</w:t>
      </w:r>
    </w:p>
    <w:p w:rsidR="0057439C" w:rsidRPr="00021E33" w:rsidRDefault="00E62B4C" w:rsidP="00021E33">
      <w:pPr>
        <w:pStyle w:val="Marge"/>
        <w:keepNext/>
        <w:spacing w:before="360"/>
        <w:ind w:left="1134" w:hanging="567"/>
        <w:rPr>
          <w:lang w:val="en-US"/>
        </w:rPr>
      </w:pPr>
      <w:r w:rsidRPr="00021E33">
        <w:rPr>
          <w:rFonts w:cs="Arial"/>
          <w:szCs w:val="22"/>
          <w:lang w:val="en-US"/>
        </w:rPr>
        <w:t>Le</w:t>
      </w:r>
      <w:r w:rsidR="00A32E09" w:rsidRPr="00021E33">
        <w:rPr>
          <w:rFonts w:cs="Arial"/>
          <w:szCs w:val="22"/>
          <w:lang w:val="en-US"/>
        </w:rPr>
        <w:t xml:space="preserve"> Bureau</w:t>
      </w:r>
      <w:r w:rsidR="00962119" w:rsidRPr="00021E33">
        <w:rPr>
          <w:rFonts w:cs="Arial"/>
          <w:szCs w:val="22"/>
          <w:lang w:val="en-US"/>
        </w:rPr>
        <w:t>,</w:t>
      </w:r>
    </w:p>
    <w:p w:rsidR="0057439C" w:rsidRPr="007F1754" w:rsidRDefault="00A32E09" w:rsidP="00B0635A">
      <w:pPr>
        <w:pStyle w:val="COMParaDecision"/>
        <w:ind w:left="1134" w:hanging="567"/>
      </w:pPr>
      <w:r w:rsidRPr="007F1754">
        <w:t>Rappelant</w:t>
      </w:r>
      <w:r w:rsidR="005620E2" w:rsidRPr="007F1754">
        <w:rPr>
          <w:u w:val="none"/>
        </w:rPr>
        <w:t xml:space="preserve"> </w:t>
      </w:r>
      <w:r w:rsidR="005620E2" w:rsidRPr="007F1754">
        <w:rPr>
          <w:snapToGrid w:val="0"/>
          <w:u w:val="none"/>
          <w:lang w:eastAsia="en-US"/>
        </w:rPr>
        <w:t>l</w:t>
      </w:r>
      <w:r w:rsidR="00F12FDE" w:rsidRPr="007F1754">
        <w:rPr>
          <w:snapToGrid w:val="0"/>
          <w:u w:val="none"/>
          <w:lang w:eastAsia="en-US"/>
        </w:rPr>
        <w:t>’</w:t>
      </w:r>
      <w:r w:rsidR="00F12FDE" w:rsidRPr="007F1754">
        <w:rPr>
          <w:u w:val="none"/>
        </w:rPr>
        <w:t xml:space="preserve">Article 23 </w:t>
      </w:r>
      <w:r w:rsidR="00750952" w:rsidRPr="007F1754">
        <w:rPr>
          <w:u w:val="none"/>
        </w:rPr>
        <w:t xml:space="preserve">de la </w:t>
      </w:r>
      <w:r w:rsidR="00F12FDE" w:rsidRPr="007F1754">
        <w:rPr>
          <w:u w:val="none"/>
        </w:rPr>
        <w:t>Convention</w:t>
      </w:r>
      <w:r w:rsidR="00CA627D" w:rsidRPr="007F1754">
        <w:rPr>
          <w:u w:val="none"/>
        </w:rPr>
        <w:t xml:space="preserve"> ainsi que</w:t>
      </w:r>
      <w:r w:rsidR="00F12FDE" w:rsidRPr="007F1754">
        <w:rPr>
          <w:u w:val="none"/>
        </w:rPr>
        <w:t xml:space="preserve"> </w:t>
      </w:r>
      <w:r w:rsidR="00750952" w:rsidRPr="007F1754">
        <w:rPr>
          <w:u w:val="none"/>
        </w:rPr>
        <w:t xml:space="preserve">le chapitre </w:t>
      </w:r>
      <w:r w:rsidR="00F12FDE" w:rsidRPr="007F1754">
        <w:rPr>
          <w:u w:val="none"/>
        </w:rPr>
        <w:t xml:space="preserve">I.4 </w:t>
      </w:r>
      <w:r w:rsidR="00750952" w:rsidRPr="007F1754">
        <w:rPr>
          <w:u w:val="none"/>
        </w:rPr>
        <w:t>relatif aux critères d’admissibilité et de sélection des demandes d’</w:t>
      </w:r>
      <w:r w:rsidR="008E066D" w:rsidRPr="007F1754">
        <w:rPr>
          <w:u w:val="none"/>
        </w:rPr>
        <w:t>assistance internationale,</w:t>
      </w:r>
    </w:p>
    <w:p w:rsidR="0057439C" w:rsidRPr="007F1754" w:rsidRDefault="00A32E09" w:rsidP="00B0635A">
      <w:pPr>
        <w:pStyle w:val="COMParaDecision"/>
        <w:ind w:left="1134" w:hanging="567"/>
      </w:pPr>
      <w:r w:rsidRPr="007F1754">
        <w:t>Ayant examiné</w:t>
      </w:r>
      <w:r w:rsidRPr="007F1754">
        <w:rPr>
          <w:u w:val="none"/>
        </w:rPr>
        <w:t xml:space="preserve"> </w:t>
      </w:r>
      <w:r w:rsidR="008E066D" w:rsidRPr="007F1754">
        <w:rPr>
          <w:u w:val="none"/>
        </w:rPr>
        <w:t>le d</w:t>
      </w:r>
      <w:r w:rsidR="00541004">
        <w:rPr>
          <w:u w:val="none"/>
        </w:rPr>
        <w:t>ocument ITH/15/10.COM 3.BUR/1</w:t>
      </w:r>
      <w:r w:rsidR="00F12FDE" w:rsidRPr="007F1754">
        <w:rPr>
          <w:u w:val="none"/>
        </w:rPr>
        <w:t xml:space="preserve"> a</w:t>
      </w:r>
      <w:r w:rsidR="008E066D" w:rsidRPr="007F1754">
        <w:rPr>
          <w:u w:val="none"/>
        </w:rPr>
        <w:t>in</w:t>
      </w:r>
      <w:r w:rsidR="00F12FDE" w:rsidRPr="007F1754">
        <w:rPr>
          <w:u w:val="none"/>
        </w:rPr>
        <w:t>s</w:t>
      </w:r>
      <w:r w:rsidR="008E066D" w:rsidRPr="007F1754">
        <w:rPr>
          <w:u w:val="none"/>
        </w:rPr>
        <w:t>i que la demande d’assistance préparatoire n° </w:t>
      </w:r>
      <w:r w:rsidR="00F12FDE" w:rsidRPr="007F1754">
        <w:rPr>
          <w:u w:val="none"/>
        </w:rPr>
        <w:t>01176 s</w:t>
      </w:r>
      <w:r w:rsidR="008E066D" w:rsidRPr="007F1754">
        <w:rPr>
          <w:u w:val="none"/>
        </w:rPr>
        <w:t xml:space="preserve">oumise par les </w:t>
      </w:r>
      <w:r w:rsidR="00F12FDE" w:rsidRPr="007F1754">
        <w:rPr>
          <w:u w:val="none"/>
        </w:rPr>
        <w:t>Philippines</w:t>
      </w:r>
      <w:r w:rsidR="00601EC1" w:rsidRPr="007F1754">
        <w:rPr>
          <w:u w:val="none"/>
        </w:rPr>
        <w:t>,</w:t>
      </w:r>
    </w:p>
    <w:p w:rsidR="00443880" w:rsidRPr="007F1754" w:rsidRDefault="0066364F" w:rsidP="00B0635A">
      <w:pPr>
        <w:pStyle w:val="COMParaDecision"/>
        <w:ind w:left="1134" w:hanging="567"/>
        <w:rPr>
          <w:u w:val="none"/>
        </w:rPr>
      </w:pPr>
      <w:r w:rsidRPr="007F1754">
        <w:lastRenderedPageBreak/>
        <w:t>Prend note</w:t>
      </w:r>
      <w:r w:rsidR="00601EC1" w:rsidRPr="007F1754">
        <w:rPr>
          <w:u w:val="none"/>
        </w:rPr>
        <w:t xml:space="preserve"> </w:t>
      </w:r>
      <w:r w:rsidR="008E066D" w:rsidRPr="007F1754">
        <w:rPr>
          <w:u w:val="none"/>
        </w:rPr>
        <w:t>du fait que les</w:t>
      </w:r>
      <w:r w:rsidR="00601EC1" w:rsidRPr="007F1754">
        <w:rPr>
          <w:u w:val="none"/>
        </w:rPr>
        <w:t xml:space="preserve"> Philippines </w:t>
      </w:r>
      <w:r w:rsidR="008E066D" w:rsidRPr="007F1754">
        <w:rPr>
          <w:u w:val="none"/>
        </w:rPr>
        <w:t xml:space="preserve">ont demandé une assistance d’un montant de </w:t>
      </w:r>
      <w:r w:rsidR="00601EC1" w:rsidRPr="007F1754">
        <w:rPr>
          <w:u w:val="none"/>
        </w:rPr>
        <w:t>7</w:t>
      </w:r>
      <w:r w:rsidR="008E066D" w:rsidRPr="007F1754">
        <w:rPr>
          <w:u w:val="none"/>
        </w:rPr>
        <w:t> </w:t>
      </w:r>
      <w:r w:rsidR="00601EC1" w:rsidRPr="007F1754">
        <w:rPr>
          <w:u w:val="none"/>
        </w:rPr>
        <w:t>393</w:t>
      </w:r>
      <w:r w:rsidR="008E066D" w:rsidRPr="007F1754">
        <w:rPr>
          <w:u w:val="none"/>
        </w:rPr>
        <w:t xml:space="preserve"> dollars des </w:t>
      </w:r>
      <w:r w:rsidR="007F1754" w:rsidRPr="007F1754">
        <w:rPr>
          <w:u w:val="none"/>
        </w:rPr>
        <w:t>États-Unis</w:t>
      </w:r>
      <w:r w:rsidR="008E066D" w:rsidRPr="007F1754">
        <w:rPr>
          <w:u w:val="none"/>
        </w:rPr>
        <w:t xml:space="preserve"> pour élaborer une candidature </w:t>
      </w:r>
      <w:r w:rsidR="00702329" w:rsidRPr="007F1754">
        <w:rPr>
          <w:u w:val="none"/>
        </w:rPr>
        <w:t>sur</w:t>
      </w:r>
      <w:r w:rsidR="008E066D" w:rsidRPr="007F1754">
        <w:rPr>
          <w:u w:val="none"/>
        </w:rPr>
        <w:t xml:space="preserve"> la </w:t>
      </w:r>
      <w:r w:rsidR="00CC14C1" w:rsidRPr="00021E33">
        <w:rPr>
          <w:u w:val="none"/>
        </w:rPr>
        <w:t>Liste du patrimoine culturel immatériel nécessitant une sauvegarde urgente</w:t>
      </w:r>
      <w:r w:rsidR="009D4A46">
        <w:rPr>
          <w:u w:val="none"/>
        </w:rPr>
        <w:t xml:space="preserve"> d</w:t>
      </w:r>
      <w:r w:rsidR="00702329" w:rsidRPr="007F1754">
        <w:rPr>
          <w:u w:val="none"/>
        </w:rPr>
        <w:t xml:space="preserve">es </w:t>
      </w:r>
      <w:r w:rsidR="00601EC1" w:rsidRPr="007F1754">
        <w:rPr>
          <w:b/>
          <w:u w:val="none"/>
        </w:rPr>
        <w:t>Tradition</w:t>
      </w:r>
      <w:r w:rsidR="00702329" w:rsidRPr="007F1754">
        <w:rPr>
          <w:b/>
          <w:u w:val="none"/>
        </w:rPr>
        <w:t xml:space="preserve">s de construction de bateaux traditionnels des </w:t>
      </w:r>
      <w:proofErr w:type="spellStart"/>
      <w:r w:rsidR="00601EC1" w:rsidRPr="007F1754">
        <w:rPr>
          <w:b/>
          <w:u w:val="none"/>
        </w:rPr>
        <w:t>lvatans</w:t>
      </w:r>
      <w:proofErr w:type="spellEnd"/>
      <w:r w:rsidR="00601EC1" w:rsidRPr="007F1754">
        <w:rPr>
          <w:b/>
          <w:u w:val="none"/>
        </w:rPr>
        <w:t xml:space="preserve"> </w:t>
      </w:r>
      <w:r w:rsidR="00702329" w:rsidRPr="007F1754">
        <w:rPr>
          <w:b/>
          <w:u w:val="none"/>
        </w:rPr>
        <w:t>de</w:t>
      </w:r>
      <w:r w:rsidR="00601EC1" w:rsidRPr="007F1754">
        <w:rPr>
          <w:b/>
          <w:u w:val="none"/>
        </w:rPr>
        <w:t xml:space="preserve"> </w:t>
      </w:r>
      <w:proofErr w:type="spellStart"/>
      <w:r w:rsidR="00601EC1" w:rsidRPr="007F1754">
        <w:rPr>
          <w:b/>
          <w:u w:val="none"/>
        </w:rPr>
        <w:t>Batanes</w:t>
      </w:r>
      <w:proofErr w:type="spellEnd"/>
      <w:r w:rsidR="00702329" w:rsidRPr="007F1754">
        <w:rPr>
          <w:b/>
          <w:u w:val="none"/>
        </w:rPr>
        <w:t xml:space="preserve"> et</w:t>
      </w:r>
      <w:r w:rsidR="00601EC1" w:rsidRPr="007F1754">
        <w:rPr>
          <w:b/>
          <w:u w:val="none"/>
        </w:rPr>
        <w:t xml:space="preserve"> </w:t>
      </w:r>
      <w:r w:rsidR="009D4A46">
        <w:rPr>
          <w:b/>
          <w:u w:val="none"/>
        </w:rPr>
        <w:t xml:space="preserve">de </w:t>
      </w:r>
      <w:proofErr w:type="spellStart"/>
      <w:r w:rsidR="00601EC1" w:rsidRPr="007F1754">
        <w:rPr>
          <w:b/>
          <w:u w:val="none"/>
        </w:rPr>
        <w:t>Sta</w:t>
      </w:r>
      <w:proofErr w:type="spellEnd"/>
      <w:r w:rsidR="00601EC1" w:rsidRPr="007F1754">
        <w:rPr>
          <w:b/>
          <w:u w:val="none"/>
        </w:rPr>
        <w:t xml:space="preserve">. Catalina, </w:t>
      </w:r>
      <w:r w:rsidR="00702329" w:rsidRPr="007F1754">
        <w:rPr>
          <w:b/>
          <w:u w:val="none"/>
        </w:rPr>
        <w:t xml:space="preserve">dans le </w:t>
      </w:r>
      <w:r w:rsidR="00601EC1" w:rsidRPr="007F1754">
        <w:rPr>
          <w:b/>
          <w:u w:val="none"/>
        </w:rPr>
        <w:t xml:space="preserve">Negros Oriental, </w:t>
      </w:r>
      <w:r w:rsidR="00702329" w:rsidRPr="007F1754">
        <w:rPr>
          <w:b/>
          <w:u w:val="none"/>
        </w:rPr>
        <w:t xml:space="preserve">des </w:t>
      </w:r>
      <w:proofErr w:type="spellStart"/>
      <w:r w:rsidR="00601EC1" w:rsidRPr="007F1754">
        <w:rPr>
          <w:b/>
          <w:u w:val="none"/>
        </w:rPr>
        <w:t>Manobo</w:t>
      </w:r>
      <w:proofErr w:type="spellEnd"/>
      <w:r w:rsidR="00601EC1" w:rsidRPr="007F1754">
        <w:rPr>
          <w:b/>
          <w:u w:val="none"/>
        </w:rPr>
        <w:t xml:space="preserve"> </w:t>
      </w:r>
      <w:r w:rsidR="00702329" w:rsidRPr="007F1754">
        <w:rPr>
          <w:b/>
          <w:u w:val="none"/>
        </w:rPr>
        <w:t>d’</w:t>
      </w:r>
      <w:r w:rsidR="00601EC1" w:rsidRPr="007F1754">
        <w:rPr>
          <w:b/>
          <w:u w:val="none"/>
        </w:rPr>
        <w:t xml:space="preserve">Agusan </w:t>
      </w:r>
      <w:r w:rsidR="00702329" w:rsidRPr="007F1754">
        <w:rPr>
          <w:b/>
          <w:u w:val="none"/>
        </w:rPr>
        <w:t xml:space="preserve">et des </w:t>
      </w:r>
      <w:proofErr w:type="spellStart"/>
      <w:r w:rsidR="00702329" w:rsidRPr="007F1754">
        <w:rPr>
          <w:b/>
          <w:u w:val="none"/>
        </w:rPr>
        <w:t>Sama</w:t>
      </w:r>
      <w:proofErr w:type="spellEnd"/>
      <w:r w:rsidR="00702329" w:rsidRPr="007F1754">
        <w:rPr>
          <w:b/>
          <w:u w:val="none"/>
        </w:rPr>
        <w:t>-Bajau de</w:t>
      </w:r>
      <w:r w:rsidR="00601EC1" w:rsidRPr="007F1754">
        <w:rPr>
          <w:b/>
          <w:u w:val="none"/>
        </w:rPr>
        <w:t xml:space="preserve"> </w:t>
      </w:r>
      <w:proofErr w:type="spellStart"/>
      <w:r w:rsidR="00601EC1" w:rsidRPr="007F1754">
        <w:rPr>
          <w:b/>
          <w:u w:val="none"/>
        </w:rPr>
        <w:t>Tawi-tawi</w:t>
      </w:r>
      <w:proofErr w:type="spellEnd"/>
      <w:r w:rsidR="00601EC1" w:rsidRPr="007F1754">
        <w:rPr>
          <w:b/>
          <w:u w:val="none"/>
        </w:rPr>
        <w:t xml:space="preserve"> </w:t>
      </w:r>
      <w:r w:rsidR="00702329" w:rsidRPr="007F1754">
        <w:rPr>
          <w:b/>
          <w:u w:val="none"/>
        </w:rPr>
        <w:t xml:space="preserve">dans l’archipel des </w:t>
      </w:r>
      <w:r w:rsidR="00601EC1" w:rsidRPr="007F1754">
        <w:rPr>
          <w:b/>
          <w:u w:val="none"/>
        </w:rPr>
        <w:t>Philippine</w:t>
      </w:r>
      <w:r w:rsidR="00702329" w:rsidRPr="007F1754">
        <w:rPr>
          <w:b/>
          <w:u w:val="none"/>
        </w:rPr>
        <w:t>s</w:t>
      </w:r>
      <w:r w:rsidR="00601EC1" w:rsidRPr="007F1754">
        <w:rPr>
          <w:u w:val="none"/>
        </w:rPr>
        <w:t xml:space="preserve">. </w:t>
      </w:r>
      <w:r w:rsidR="00D302EB" w:rsidRPr="007F1754">
        <w:rPr>
          <w:u w:val="none"/>
        </w:rPr>
        <w:t>Les connaissances et savoir-faire liés à la construction des bateaux traditionnels</w:t>
      </w:r>
      <w:r w:rsidR="00601EC1" w:rsidRPr="007F1754">
        <w:rPr>
          <w:u w:val="none"/>
        </w:rPr>
        <w:t xml:space="preserve">, </w:t>
      </w:r>
      <w:r w:rsidR="009D4A46">
        <w:rPr>
          <w:u w:val="none"/>
        </w:rPr>
        <w:t>y compris</w:t>
      </w:r>
      <w:r w:rsidR="009D4A46" w:rsidRPr="007F1754">
        <w:rPr>
          <w:u w:val="none"/>
        </w:rPr>
        <w:t xml:space="preserve"> </w:t>
      </w:r>
      <w:r w:rsidR="00D302EB" w:rsidRPr="007F1754">
        <w:rPr>
          <w:u w:val="none"/>
        </w:rPr>
        <w:t>les rituels et connaissances associés concernant l’astronomie et la nature</w:t>
      </w:r>
      <w:r w:rsidR="00601EC1" w:rsidRPr="007F1754">
        <w:rPr>
          <w:u w:val="none"/>
        </w:rPr>
        <w:t xml:space="preserve">, </w:t>
      </w:r>
      <w:r w:rsidR="00D302EB" w:rsidRPr="007F1754">
        <w:rPr>
          <w:u w:val="none"/>
        </w:rPr>
        <w:t xml:space="preserve">sont détenus par des groupes autochtones </w:t>
      </w:r>
      <w:r w:rsidR="000413F7" w:rsidRPr="007F1754">
        <w:rPr>
          <w:u w:val="none"/>
        </w:rPr>
        <w:t>établis</w:t>
      </w:r>
      <w:r w:rsidR="00016D10" w:rsidRPr="007F1754">
        <w:rPr>
          <w:u w:val="none"/>
        </w:rPr>
        <w:t xml:space="preserve"> </w:t>
      </w:r>
      <w:r w:rsidR="000413F7" w:rsidRPr="007F1754">
        <w:rPr>
          <w:u w:val="none"/>
        </w:rPr>
        <w:t>en</w:t>
      </w:r>
      <w:r w:rsidR="00016D10" w:rsidRPr="007F1754">
        <w:rPr>
          <w:u w:val="none"/>
        </w:rPr>
        <w:t xml:space="preserve"> quatre endroits différents de l’archipel des </w:t>
      </w:r>
      <w:r w:rsidR="00601EC1" w:rsidRPr="007F1754">
        <w:rPr>
          <w:u w:val="none"/>
        </w:rPr>
        <w:t>Philippine</w:t>
      </w:r>
      <w:r w:rsidR="00016D10" w:rsidRPr="007F1754">
        <w:rPr>
          <w:u w:val="none"/>
        </w:rPr>
        <w:t>s </w:t>
      </w:r>
      <w:r w:rsidR="00601EC1" w:rsidRPr="007F1754">
        <w:rPr>
          <w:u w:val="none"/>
        </w:rPr>
        <w:t xml:space="preserve">: </w:t>
      </w:r>
      <w:proofErr w:type="spellStart"/>
      <w:r w:rsidR="00601EC1" w:rsidRPr="007F1754">
        <w:rPr>
          <w:u w:val="none"/>
        </w:rPr>
        <w:t>Batanes</w:t>
      </w:r>
      <w:proofErr w:type="spellEnd"/>
      <w:r w:rsidR="00601EC1" w:rsidRPr="007F1754">
        <w:rPr>
          <w:u w:val="none"/>
        </w:rPr>
        <w:t xml:space="preserve">, Santa Catalina, Agusan </w:t>
      </w:r>
      <w:r w:rsidR="00016D10" w:rsidRPr="007F1754">
        <w:rPr>
          <w:u w:val="none"/>
        </w:rPr>
        <w:t>et</w:t>
      </w:r>
      <w:r w:rsidR="00601EC1" w:rsidRPr="007F1754">
        <w:rPr>
          <w:u w:val="none"/>
        </w:rPr>
        <w:t xml:space="preserve"> </w:t>
      </w:r>
      <w:proofErr w:type="spellStart"/>
      <w:r w:rsidR="00601EC1" w:rsidRPr="007F1754">
        <w:rPr>
          <w:u w:val="none"/>
        </w:rPr>
        <w:t>Tawi-tawi</w:t>
      </w:r>
      <w:proofErr w:type="spellEnd"/>
      <w:r w:rsidR="00601EC1" w:rsidRPr="007F1754">
        <w:rPr>
          <w:u w:val="none"/>
        </w:rPr>
        <w:t xml:space="preserve">. </w:t>
      </w:r>
      <w:r w:rsidR="00016D10" w:rsidRPr="007F1754">
        <w:rPr>
          <w:u w:val="none"/>
        </w:rPr>
        <w:t>Des a</w:t>
      </w:r>
      <w:r w:rsidR="00601EC1" w:rsidRPr="007F1754">
        <w:rPr>
          <w:u w:val="none"/>
        </w:rPr>
        <w:t>nthropolog</w:t>
      </w:r>
      <w:r w:rsidR="00016D10" w:rsidRPr="007F1754">
        <w:rPr>
          <w:u w:val="none"/>
        </w:rPr>
        <w:t>ue</w:t>
      </w:r>
      <w:r w:rsidR="00601EC1" w:rsidRPr="007F1754">
        <w:rPr>
          <w:u w:val="none"/>
        </w:rPr>
        <w:t>s-arch</w:t>
      </w:r>
      <w:r w:rsidR="00016D10" w:rsidRPr="007F1754">
        <w:rPr>
          <w:u w:val="none"/>
        </w:rPr>
        <w:t>é</w:t>
      </w:r>
      <w:r w:rsidR="00601EC1" w:rsidRPr="007F1754">
        <w:rPr>
          <w:u w:val="none"/>
        </w:rPr>
        <w:t>olog</w:t>
      </w:r>
      <w:r w:rsidR="00016D10" w:rsidRPr="007F1754">
        <w:rPr>
          <w:u w:val="none"/>
        </w:rPr>
        <w:t>ue</w:t>
      </w:r>
      <w:r w:rsidR="00601EC1" w:rsidRPr="007F1754">
        <w:rPr>
          <w:u w:val="none"/>
        </w:rPr>
        <w:t xml:space="preserve">s </w:t>
      </w:r>
      <w:r w:rsidR="00016D10" w:rsidRPr="007F1754">
        <w:rPr>
          <w:u w:val="none"/>
        </w:rPr>
        <w:t>du</w:t>
      </w:r>
      <w:r w:rsidR="00601EC1" w:rsidRPr="007F1754">
        <w:rPr>
          <w:u w:val="none"/>
        </w:rPr>
        <w:t xml:space="preserve"> </w:t>
      </w:r>
      <w:r w:rsidR="00016D10" w:rsidRPr="007F1754">
        <w:rPr>
          <w:u w:val="none"/>
        </w:rPr>
        <w:t>Musée national des Philippines seront chargés de l’élaboration du dossier de candidature</w:t>
      </w:r>
      <w:r w:rsidR="000413F7" w:rsidRPr="007F1754">
        <w:rPr>
          <w:u w:val="none"/>
        </w:rPr>
        <w:t>,</w:t>
      </w:r>
      <w:r w:rsidR="00016D10" w:rsidRPr="007F1754">
        <w:rPr>
          <w:u w:val="none"/>
        </w:rPr>
        <w:t xml:space="preserve"> en collaboration étroite avec les détenteurs de la tradition et leurs familles</w:t>
      </w:r>
      <w:r w:rsidR="00601EC1" w:rsidRPr="007F1754">
        <w:rPr>
          <w:u w:val="none"/>
        </w:rPr>
        <w:t xml:space="preserve">. </w:t>
      </w:r>
      <w:r w:rsidR="00016D10" w:rsidRPr="007F1754">
        <w:rPr>
          <w:u w:val="none"/>
        </w:rPr>
        <w:t xml:space="preserve">Le soutien technique d’un </w:t>
      </w:r>
      <w:r w:rsidR="009D4A46">
        <w:rPr>
          <w:u w:val="none"/>
        </w:rPr>
        <w:t>réalisateur</w:t>
      </w:r>
      <w:r w:rsidR="009D4A46" w:rsidRPr="007F1754">
        <w:rPr>
          <w:u w:val="none"/>
        </w:rPr>
        <w:t xml:space="preserve"> </w:t>
      </w:r>
      <w:r w:rsidR="00016D10" w:rsidRPr="007F1754">
        <w:rPr>
          <w:u w:val="none"/>
        </w:rPr>
        <w:t xml:space="preserve">professionnel et de </w:t>
      </w:r>
      <w:r w:rsidR="009D4A46">
        <w:rPr>
          <w:u w:val="none"/>
        </w:rPr>
        <w:t>linguistes</w:t>
      </w:r>
      <w:r w:rsidR="00016D10" w:rsidRPr="007F1754">
        <w:rPr>
          <w:u w:val="none"/>
        </w:rPr>
        <w:t xml:space="preserve"> est également prévu </w:t>
      </w:r>
      <w:r w:rsidR="00601EC1" w:rsidRPr="007F1754">
        <w:rPr>
          <w:u w:val="none"/>
        </w:rPr>
        <w:t>;</w:t>
      </w:r>
    </w:p>
    <w:p w:rsidR="003673F6" w:rsidRPr="007F1754" w:rsidRDefault="0066364F" w:rsidP="00B0635A">
      <w:pPr>
        <w:pStyle w:val="COMParaDecision"/>
        <w:ind w:left="1134" w:hanging="567"/>
      </w:pPr>
      <w:r w:rsidRPr="007F1754">
        <w:t>Décide</w:t>
      </w:r>
      <w:r w:rsidR="00BE1454" w:rsidRPr="007F1754">
        <w:rPr>
          <w:u w:val="none"/>
        </w:rPr>
        <w:t xml:space="preserve"> que</w:t>
      </w:r>
      <w:r w:rsidR="00C51625" w:rsidRPr="007F1754">
        <w:rPr>
          <w:u w:val="none"/>
        </w:rPr>
        <w:t>,</w:t>
      </w:r>
      <w:r w:rsidR="00205128" w:rsidRPr="007F1754">
        <w:rPr>
          <w:u w:val="none"/>
        </w:rPr>
        <w:t xml:space="preserve"> </w:t>
      </w:r>
      <w:r w:rsidR="00DA12F6" w:rsidRPr="007F1754">
        <w:rPr>
          <w:u w:val="none"/>
        </w:rPr>
        <w:t>sur la base des informations fournies dans le dossier</w:t>
      </w:r>
      <w:r w:rsidR="00BE1454" w:rsidRPr="007F1754">
        <w:rPr>
          <w:u w:val="none"/>
        </w:rPr>
        <w:t xml:space="preserve"> </w:t>
      </w:r>
      <w:r w:rsidR="00DA12F6" w:rsidRPr="007F1754">
        <w:rPr>
          <w:u w:val="none"/>
        </w:rPr>
        <w:t>n°</w:t>
      </w:r>
      <w:r w:rsidR="00205128" w:rsidRPr="007F1754">
        <w:rPr>
          <w:u w:val="none"/>
        </w:rPr>
        <w:t xml:space="preserve"> 01176, </w:t>
      </w:r>
      <w:r w:rsidR="00DA12F6" w:rsidRPr="007F1754">
        <w:rPr>
          <w:u w:val="none"/>
        </w:rPr>
        <w:t xml:space="preserve">la demande satisfait aux critères </w:t>
      </w:r>
      <w:r w:rsidR="00173EFD" w:rsidRPr="007F1754">
        <w:rPr>
          <w:u w:val="none"/>
        </w:rPr>
        <w:t xml:space="preserve">d’octroi de l’assistance internationale </w:t>
      </w:r>
      <w:r w:rsidR="009D4A46">
        <w:rPr>
          <w:u w:val="none"/>
        </w:rPr>
        <w:t>énoncés</w:t>
      </w:r>
      <w:r w:rsidR="009D4A46" w:rsidRPr="007F1754">
        <w:rPr>
          <w:u w:val="none"/>
        </w:rPr>
        <w:t xml:space="preserve"> </w:t>
      </w:r>
      <w:r w:rsidR="00173EFD" w:rsidRPr="007F1754">
        <w:rPr>
          <w:u w:val="none"/>
        </w:rPr>
        <w:t>aux paragraphes</w:t>
      </w:r>
      <w:r w:rsidR="00205128" w:rsidRPr="007F1754">
        <w:rPr>
          <w:u w:val="none"/>
        </w:rPr>
        <w:t xml:space="preserve"> 10 </w:t>
      </w:r>
      <w:r w:rsidR="00173EFD" w:rsidRPr="007F1754">
        <w:rPr>
          <w:u w:val="none"/>
        </w:rPr>
        <w:t>et</w:t>
      </w:r>
      <w:r w:rsidR="00205128" w:rsidRPr="007F1754">
        <w:rPr>
          <w:u w:val="none"/>
        </w:rPr>
        <w:t xml:space="preserve"> 12 </w:t>
      </w:r>
      <w:r w:rsidR="00173EFD" w:rsidRPr="007F1754">
        <w:rPr>
          <w:u w:val="none"/>
        </w:rPr>
        <w:t>des</w:t>
      </w:r>
      <w:r w:rsidR="00205128" w:rsidRPr="007F1754">
        <w:rPr>
          <w:u w:val="none"/>
        </w:rPr>
        <w:t xml:space="preserve"> Directives</w:t>
      </w:r>
      <w:r w:rsidR="00173EFD" w:rsidRPr="007F1754">
        <w:rPr>
          <w:u w:val="none"/>
        </w:rPr>
        <w:t xml:space="preserve"> opérationnelles </w:t>
      </w:r>
      <w:r w:rsidR="009D4A46" w:rsidRPr="007F1754">
        <w:rPr>
          <w:u w:val="none"/>
        </w:rPr>
        <w:t>comme suit</w:t>
      </w:r>
      <w:r w:rsidR="00205128" w:rsidRPr="007F1754">
        <w:rPr>
          <w:u w:val="none"/>
        </w:rPr>
        <w:t>: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A.1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021E33">
        <w:rPr>
          <w:rFonts w:ascii="Arial" w:hAnsi="Arial" w:cs="Arial"/>
          <w:b/>
          <w:sz w:val="22"/>
          <w:szCs w:val="22"/>
        </w:rPr>
        <w:t>:</w:t>
      </w:r>
      <w:r w:rsidRPr="007F1754">
        <w:rPr>
          <w:rFonts w:ascii="Arial" w:hAnsi="Arial" w:cs="Arial"/>
          <w:sz w:val="22"/>
          <w:szCs w:val="22"/>
        </w:rPr>
        <w:t xml:space="preserve"> </w:t>
      </w:r>
      <w:r w:rsidR="00BE1454" w:rsidRPr="007F1754">
        <w:rPr>
          <w:rFonts w:ascii="Arial" w:hAnsi="Arial" w:cs="Arial"/>
          <w:sz w:val="22"/>
          <w:szCs w:val="22"/>
        </w:rPr>
        <w:t>Les communauté</w:t>
      </w:r>
      <w:r w:rsidR="00C43D96" w:rsidRPr="007F1754">
        <w:rPr>
          <w:rFonts w:ascii="Arial" w:hAnsi="Arial" w:cs="Arial"/>
          <w:sz w:val="22"/>
          <w:szCs w:val="22"/>
        </w:rPr>
        <w:t>s</w:t>
      </w:r>
      <w:r w:rsidR="00BE1454" w:rsidRPr="007F1754">
        <w:rPr>
          <w:rFonts w:ascii="Arial" w:hAnsi="Arial" w:cs="Arial"/>
          <w:sz w:val="22"/>
          <w:szCs w:val="22"/>
        </w:rPr>
        <w:t xml:space="preserve"> ont donné leur consentement libre, préalable et éclairé aux activités préparatoires proposées et à la candidature de l’élément pour la Liste de sauvegarde urgente</w:t>
      </w:r>
      <w:r w:rsidRPr="007F1754">
        <w:rPr>
          <w:rFonts w:ascii="Arial" w:hAnsi="Arial" w:cs="Arial"/>
          <w:sz w:val="22"/>
          <w:szCs w:val="22"/>
        </w:rPr>
        <w:t xml:space="preserve">. </w:t>
      </w:r>
      <w:r w:rsidR="00BE1454" w:rsidRPr="007F1754">
        <w:rPr>
          <w:rFonts w:ascii="Arial" w:hAnsi="Arial" w:cs="Arial"/>
          <w:sz w:val="22"/>
          <w:szCs w:val="22"/>
        </w:rPr>
        <w:t>L’</w:t>
      </w:r>
      <w:r w:rsidR="007F1754" w:rsidRPr="007F1754">
        <w:rPr>
          <w:rFonts w:ascii="Arial" w:hAnsi="Arial" w:cs="Arial"/>
          <w:sz w:val="22"/>
          <w:szCs w:val="22"/>
        </w:rPr>
        <w:t>État</w:t>
      </w:r>
      <w:r w:rsidR="00BE1454" w:rsidRPr="007F1754">
        <w:rPr>
          <w:rFonts w:ascii="Arial" w:hAnsi="Arial" w:cs="Arial"/>
          <w:sz w:val="22"/>
          <w:szCs w:val="22"/>
        </w:rPr>
        <w:t xml:space="preserve"> partie </w:t>
      </w:r>
      <w:r w:rsidR="00C43D96" w:rsidRPr="007F1754">
        <w:rPr>
          <w:rFonts w:ascii="Arial" w:hAnsi="Arial" w:cs="Arial"/>
          <w:sz w:val="22"/>
          <w:szCs w:val="22"/>
        </w:rPr>
        <w:t xml:space="preserve">s’est engagé à assurer </w:t>
      </w:r>
      <w:r w:rsidR="009D4A46">
        <w:rPr>
          <w:rFonts w:ascii="Arial" w:hAnsi="Arial" w:cs="Arial"/>
          <w:sz w:val="22"/>
          <w:szCs w:val="22"/>
        </w:rPr>
        <w:t>l’implication</w:t>
      </w:r>
      <w:r w:rsidR="00C43D96" w:rsidRPr="007F1754">
        <w:rPr>
          <w:rFonts w:ascii="Arial" w:hAnsi="Arial" w:cs="Arial"/>
          <w:sz w:val="22"/>
          <w:szCs w:val="22"/>
        </w:rPr>
        <w:t xml:space="preserve"> directe des communautés concernées par des entretiens avec l’organisme de mise en </w:t>
      </w:r>
      <w:r w:rsidR="000413F7" w:rsidRPr="007F1754">
        <w:rPr>
          <w:rFonts w:ascii="Arial" w:hAnsi="Arial" w:cs="Arial"/>
          <w:sz w:val="22"/>
          <w:szCs w:val="22"/>
        </w:rPr>
        <w:t xml:space="preserve">œuvre </w:t>
      </w:r>
      <w:r w:rsidR="00C43D96" w:rsidRPr="007F1754">
        <w:rPr>
          <w:rFonts w:ascii="Arial" w:hAnsi="Arial" w:cs="Arial"/>
          <w:sz w:val="22"/>
          <w:szCs w:val="22"/>
        </w:rPr>
        <w:t xml:space="preserve">et leur </w:t>
      </w:r>
      <w:r w:rsidR="009D4A46">
        <w:rPr>
          <w:rFonts w:ascii="Arial" w:hAnsi="Arial" w:cs="Arial"/>
          <w:sz w:val="22"/>
          <w:szCs w:val="22"/>
        </w:rPr>
        <w:t>participation</w:t>
      </w:r>
      <w:r w:rsidR="009D4A46" w:rsidRPr="007F1754">
        <w:rPr>
          <w:rFonts w:ascii="Arial" w:hAnsi="Arial" w:cs="Arial"/>
          <w:sz w:val="22"/>
          <w:szCs w:val="22"/>
        </w:rPr>
        <w:t xml:space="preserve"> </w:t>
      </w:r>
      <w:r w:rsidR="00C43D96" w:rsidRPr="007F1754">
        <w:rPr>
          <w:rFonts w:ascii="Arial" w:hAnsi="Arial" w:cs="Arial"/>
          <w:sz w:val="22"/>
          <w:szCs w:val="22"/>
        </w:rPr>
        <w:t xml:space="preserve">directe </w:t>
      </w:r>
      <w:r w:rsidR="00AA74F5" w:rsidRPr="007F1754">
        <w:rPr>
          <w:rFonts w:ascii="Arial" w:hAnsi="Arial" w:cs="Arial"/>
          <w:sz w:val="22"/>
          <w:szCs w:val="22"/>
        </w:rPr>
        <w:t xml:space="preserve">au processus de documentation selon une approche </w:t>
      </w:r>
      <w:proofErr w:type="spellStart"/>
      <w:r w:rsidR="00AA74F5" w:rsidRPr="007F1754">
        <w:rPr>
          <w:rFonts w:ascii="Arial" w:hAnsi="Arial" w:cs="Arial"/>
          <w:sz w:val="22"/>
          <w:szCs w:val="22"/>
        </w:rPr>
        <w:t>émique</w:t>
      </w:r>
      <w:proofErr w:type="spellEnd"/>
      <w:r w:rsidRPr="007F1754">
        <w:rPr>
          <w:rFonts w:ascii="Arial" w:hAnsi="Arial" w:cs="Arial"/>
          <w:sz w:val="22"/>
          <w:szCs w:val="22"/>
        </w:rPr>
        <w:t xml:space="preserve">. </w:t>
      </w:r>
      <w:r w:rsidR="00AA74F5" w:rsidRPr="007F1754">
        <w:rPr>
          <w:rFonts w:ascii="Arial" w:hAnsi="Arial" w:cs="Arial"/>
          <w:sz w:val="22"/>
          <w:szCs w:val="22"/>
        </w:rPr>
        <w:t>Les communautés aur</w:t>
      </w:r>
      <w:r w:rsidR="00007F18" w:rsidRPr="007F1754">
        <w:rPr>
          <w:rFonts w:ascii="Arial" w:hAnsi="Arial" w:cs="Arial"/>
          <w:sz w:val="22"/>
          <w:szCs w:val="22"/>
        </w:rPr>
        <w:t>o</w:t>
      </w:r>
      <w:r w:rsidR="00AA74F5" w:rsidRPr="007F1754">
        <w:rPr>
          <w:rFonts w:ascii="Arial" w:hAnsi="Arial" w:cs="Arial"/>
          <w:sz w:val="22"/>
          <w:szCs w:val="22"/>
        </w:rPr>
        <w:t>nt également la responsabilité de valider les résultats du processus de documentation</w:t>
      </w:r>
      <w:r w:rsidRPr="007F1754">
        <w:rPr>
          <w:rFonts w:ascii="Arial" w:hAnsi="Arial" w:cs="Arial"/>
          <w:sz w:val="22"/>
          <w:szCs w:val="22"/>
        </w:rPr>
        <w:t xml:space="preserve">. 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A.2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7F1754">
        <w:rPr>
          <w:rFonts w:ascii="Arial" w:hAnsi="Arial" w:cs="Arial"/>
          <w:b/>
          <w:sz w:val="22"/>
          <w:szCs w:val="22"/>
        </w:rPr>
        <w:t>:</w:t>
      </w:r>
      <w:r w:rsidRPr="007F1754">
        <w:rPr>
          <w:rFonts w:ascii="Arial" w:hAnsi="Arial" w:cs="Arial"/>
          <w:sz w:val="22"/>
          <w:szCs w:val="22"/>
        </w:rPr>
        <w:t xml:space="preserve"> </w:t>
      </w:r>
      <w:r w:rsidR="00AA74F5" w:rsidRPr="007F1754">
        <w:rPr>
          <w:rFonts w:ascii="Arial" w:hAnsi="Arial" w:cs="Arial"/>
          <w:sz w:val="22"/>
          <w:szCs w:val="22"/>
        </w:rPr>
        <w:t xml:space="preserve">Malgré le manque de détails budgétaires concernant les services d’un </w:t>
      </w:r>
      <w:r w:rsidR="009D4A46">
        <w:rPr>
          <w:rFonts w:ascii="Arial" w:hAnsi="Arial" w:cs="Arial"/>
          <w:sz w:val="22"/>
          <w:szCs w:val="22"/>
        </w:rPr>
        <w:t>réalisateur</w:t>
      </w:r>
      <w:r w:rsidR="009D4A46" w:rsidRPr="007F1754">
        <w:rPr>
          <w:rFonts w:ascii="Arial" w:hAnsi="Arial" w:cs="Arial"/>
          <w:sz w:val="22"/>
          <w:szCs w:val="22"/>
        </w:rPr>
        <w:t xml:space="preserve"> </w:t>
      </w:r>
      <w:r w:rsidR="00AA74F5" w:rsidRPr="007F1754">
        <w:rPr>
          <w:rFonts w:ascii="Arial" w:hAnsi="Arial" w:cs="Arial"/>
          <w:sz w:val="22"/>
          <w:szCs w:val="22"/>
        </w:rPr>
        <w:t xml:space="preserve">professionnel et de </w:t>
      </w:r>
      <w:r w:rsidR="009D4A46">
        <w:rPr>
          <w:rFonts w:ascii="Arial" w:hAnsi="Arial" w:cs="Arial"/>
          <w:sz w:val="22"/>
          <w:szCs w:val="22"/>
        </w:rPr>
        <w:t>linguistes</w:t>
      </w:r>
      <w:r w:rsidR="00AA74F5" w:rsidRPr="007F1754">
        <w:rPr>
          <w:rFonts w:ascii="Arial" w:hAnsi="Arial" w:cs="Arial"/>
          <w:sz w:val="22"/>
          <w:szCs w:val="22"/>
        </w:rPr>
        <w:t>, le montant de l’assistance demandé</w:t>
      </w:r>
      <w:r w:rsidR="00007F18" w:rsidRPr="007F1754">
        <w:rPr>
          <w:rFonts w:ascii="Arial" w:hAnsi="Arial" w:cs="Arial"/>
          <w:sz w:val="22"/>
          <w:szCs w:val="22"/>
        </w:rPr>
        <w:t>e</w:t>
      </w:r>
      <w:r w:rsidR="00AA74F5" w:rsidRPr="007F1754">
        <w:rPr>
          <w:rFonts w:ascii="Arial" w:hAnsi="Arial" w:cs="Arial"/>
          <w:sz w:val="22"/>
          <w:szCs w:val="22"/>
        </w:rPr>
        <w:t xml:space="preserve"> semble adéquat</w:t>
      </w:r>
      <w:r w:rsidRPr="007F1754">
        <w:rPr>
          <w:rFonts w:ascii="Arial" w:hAnsi="Arial" w:cs="Arial"/>
          <w:sz w:val="22"/>
          <w:szCs w:val="22"/>
        </w:rPr>
        <w:t xml:space="preserve">. 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  <w:highlight w:val="yellow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A.3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7F1754">
        <w:rPr>
          <w:rFonts w:ascii="Arial" w:hAnsi="Arial" w:cs="Arial"/>
          <w:b/>
          <w:sz w:val="22"/>
          <w:szCs w:val="22"/>
        </w:rPr>
        <w:t>:</w:t>
      </w:r>
      <w:r w:rsidRPr="007F1754">
        <w:rPr>
          <w:rFonts w:ascii="Arial" w:hAnsi="Arial" w:cs="Arial"/>
          <w:sz w:val="22"/>
          <w:szCs w:val="22"/>
        </w:rPr>
        <w:t xml:space="preserve"> </w:t>
      </w:r>
      <w:r w:rsidR="00AA74F5" w:rsidRPr="007F1754">
        <w:rPr>
          <w:rFonts w:ascii="Arial" w:hAnsi="Arial" w:cs="Arial"/>
          <w:sz w:val="22"/>
          <w:szCs w:val="22"/>
        </w:rPr>
        <w:t>L</w:t>
      </w:r>
      <w:r w:rsidRPr="007F1754">
        <w:rPr>
          <w:rFonts w:ascii="Arial" w:hAnsi="Arial" w:cs="Arial"/>
          <w:sz w:val="22"/>
          <w:szCs w:val="22"/>
        </w:rPr>
        <w:t xml:space="preserve">e </w:t>
      </w:r>
      <w:r w:rsidR="00AA74F5" w:rsidRPr="007F1754">
        <w:rPr>
          <w:rFonts w:ascii="Arial" w:hAnsi="Arial" w:cs="Arial"/>
          <w:sz w:val="22"/>
          <w:szCs w:val="22"/>
        </w:rPr>
        <w:t xml:space="preserve">calendrier </w:t>
      </w:r>
      <w:r w:rsidRPr="007F1754">
        <w:rPr>
          <w:rFonts w:ascii="Arial" w:hAnsi="Arial" w:cs="Arial"/>
          <w:sz w:val="22"/>
          <w:szCs w:val="22"/>
        </w:rPr>
        <w:t>propos</w:t>
      </w:r>
      <w:r w:rsidR="0042372D" w:rsidRPr="007F1754">
        <w:rPr>
          <w:rFonts w:ascii="Arial" w:hAnsi="Arial" w:cs="Arial"/>
          <w:sz w:val="22"/>
          <w:szCs w:val="22"/>
        </w:rPr>
        <w:t>é semble en cohérence avec les activités préparatoires décrites, bien planifié et réaliste</w:t>
      </w:r>
      <w:r w:rsidRPr="007F1754">
        <w:rPr>
          <w:rFonts w:ascii="Arial" w:hAnsi="Arial" w:cs="Arial"/>
          <w:sz w:val="22"/>
          <w:szCs w:val="22"/>
        </w:rPr>
        <w:t>.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A.4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7F1754">
        <w:rPr>
          <w:rFonts w:ascii="Arial" w:hAnsi="Arial" w:cs="Arial"/>
          <w:b/>
          <w:sz w:val="22"/>
          <w:szCs w:val="22"/>
        </w:rPr>
        <w:t xml:space="preserve">: </w:t>
      </w:r>
      <w:r w:rsidR="0042372D" w:rsidRPr="007F1754">
        <w:rPr>
          <w:rFonts w:ascii="Arial" w:hAnsi="Arial" w:cs="Arial"/>
          <w:sz w:val="22"/>
          <w:szCs w:val="22"/>
        </w:rPr>
        <w:t>La participation des détenteurs traditionnels et de leurs familles au processus de documentation</w:t>
      </w:r>
      <w:r w:rsidR="00007F18" w:rsidRPr="007F1754">
        <w:rPr>
          <w:rFonts w:ascii="Arial" w:hAnsi="Arial" w:cs="Arial"/>
          <w:sz w:val="22"/>
          <w:szCs w:val="22"/>
        </w:rPr>
        <w:t>,</w:t>
      </w:r>
      <w:r w:rsidR="0042372D" w:rsidRPr="007F1754">
        <w:rPr>
          <w:rFonts w:ascii="Arial" w:hAnsi="Arial" w:cs="Arial"/>
          <w:sz w:val="22"/>
          <w:szCs w:val="22"/>
        </w:rPr>
        <w:t xml:space="preserve"> </w:t>
      </w:r>
      <w:r w:rsidR="00007F18" w:rsidRPr="007F1754">
        <w:rPr>
          <w:rFonts w:ascii="Arial" w:hAnsi="Arial" w:cs="Arial"/>
          <w:sz w:val="22"/>
          <w:szCs w:val="22"/>
        </w:rPr>
        <w:t>de même que</w:t>
      </w:r>
      <w:r w:rsidR="0042372D" w:rsidRPr="007F1754">
        <w:rPr>
          <w:rFonts w:ascii="Arial" w:hAnsi="Arial" w:cs="Arial"/>
          <w:sz w:val="22"/>
          <w:szCs w:val="22"/>
        </w:rPr>
        <w:t xml:space="preserve"> leur sensibilisation à l’importance de la sauvegarde de leur patrimoin</w:t>
      </w:r>
      <w:r w:rsidR="00007F18" w:rsidRPr="007F1754">
        <w:rPr>
          <w:rFonts w:ascii="Arial" w:hAnsi="Arial" w:cs="Arial"/>
          <w:sz w:val="22"/>
          <w:szCs w:val="22"/>
        </w:rPr>
        <w:t>e</w:t>
      </w:r>
      <w:r w:rsidR="0042372D" w:rsidRPr="007F1754">
        <w:rPr>
          <w:rFonts w:ascii="Arial" w:hAnsi="Arial" w:cs="Arial"/>
          <w:sz w:val="22"/>
          <w:szCs w:val="22"/>
        </w:rPr>
        <w:t xml:space="preserve"> vivant</w:t>
      </w:r>
      <w:r w:rsidR="00007F18" w:rsidRPr="007F1754">
        <w:rPr>
          <w:rFonts w:ascii="Arial" w:hAnsi="Arial" w:cs="Arial"/>
          <w:sz w:val="22"/>
          <w:szCs w:val="22"/>
        </w:rPr>
        <w:t>,</w:t>
      </w:r>
      <w:r w:rsidR="0042372D" w:rsidRPr="007F1754">
        <w:rPr>
          <w:rFonts w:ascii="Arial" w:hAnsi="Arial" w:cs="Arial"/>
          <w:sz w:val="22"/>
          <w:szCs w:val="22"/>
        </w:rPr>
        <w:t xml:space="preserve"> devrai</w:t>
      </w:r>
      <w:r w:rsidR="00007F18" w:rsidRPr="007F1754">
        <w:rPr>
          <w:rFonts w:ascii="Arial" w:hAnsi="Arial" w:cs="Arial"/>
          <w:sz w:val="22"/>
          <w:szCs w:val="22"/>
        </w:rPr>
        <w:t>en</w:t>
      </w:r>
      <w:r w:rsidR="0042372D" w:rsidRPr="007F1754">
        <w:rPr>
          <w:rFonts w:ascii="Arial" w:hAnsi="Arial" w:cs="Arial"/>
          <w:sz w:val="22"/>
          <w:szCs w:val="22"/>
        </w:rPr>
        <w:t xml:space="preserve">t </w:t>
      </w:r>
      <w:r w:rsidR="00B0635A">
        <w:rPr>
          <w:rFonts w:ascii="Arial" w:hAnsi="Arial" w:cs="Arial"/>
          <w:sz w:val="22"/>
          <w:szCs w:val="22"/>
        </w:rPr>
        <w:t xml:space="preserve">produire des </w:t>
      </w:r>
      <w:r w:rsidR="0042372D" w:rsidRPr="007F1754">
        <w:rPr>
          <w:rFonts w:ascii="Arial" w:hAnsi="Arial" w:cs="Arial"/>
          <w:sz w:val="22"/>
          <w:szCs w:val="22"/>
        </w:rPr>
        <w:t>résultats à court et moyen termes</w:t>
      </w:r>
      <w:r w:rsidRPr="007F1754">
        <w:rPr>
          <w:rFonts w:ascii="Arial" w:hAnsi="Arial" w:cs="Arial"/>
          <w:sz w:val="22"/>
          <w:szCs w:val="22"/>
        </w:rPr>
        <w:t xml:space="preserve">. 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A.5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7F1754">
        <w:rPr>
          <w:rFonts w:ascii="Arial" w:hAnsi="Arial" w:cs="Arial"/>
          <w:b/>
          <w:sz w:val="22"/>
          <w:szCs w:val="22"/>
        </w:rPr>
        <w:t>:</w:t>
      </w:r>
      <w:r w:rsidRPr="007F1754">
        <w:rPr>
          <w:rFonts w:ascii="Arial" w:hAnsi="Arial" w:cs="Arial"/>
          <w:sz w:val="22"/>
          <w:szCs w:val="22"/>
        </w:rPr>
        <w:t xml:space="preserve"> </w:t>
      </w:r>
      <w:r w:rsidR="0042372D" w:rsidRPr="007F1754">
        <w:rPr>
          <w:rFonts w:ascii="Arial" w:hAnsi="Arial" w:cs="Arial"/>
          <w:sz w:val="22"/>
          <w:szCs w:val="22"/>
        </w:rPr>
        <w:t xml:space="preserve">L’organisme de mise en </w:t>
      </w:r>
      <w:r w:rsidR="00007F18" w:rsidRPr="007F1754">
        <w:rPr>
          <w:rFonts w:ascii="Arial" w:hAnsi="Arial" w:cs="Arial"/>
          <w:sz w:val="22"/>
          <w:szCs w:val="22"/>
        </w:rPr>
        <w:t xml:space="preserve">œuvre </w:t>
      </w:r>
      <w:r w:rsidR="0042372D" w:rsidRPr="007F1754">
        <w:rPr>
          <w:rFonts w:ascii="Arial" w:hAnsi="Arial" w:cs="Arial"/>
          <w:sz w:val="22"/>
          <w:szCs w:val="22"/>
        </w:rPr>
        <w:t>i</w:t>
      </w:r>
      <w:r w:rsidR="00007F18" w:rsidRPr="007F1754">
        <w:rPr>
          <w:rFonts w:ascii="Arial" w:hAnsi="Arial" w:cs="Arial"/>
          <w:sz w:val="22"/>
          <w:szCs w:val="22"/>
        </w:rPr>
        <w:t>ndiqu</w:t>
      </w:r>
      <w:r w:rsidR="0042372D" w:rsidRPr="007F1754">
        <w:rPr>
          <w:rFonts w:ascii="Arial" w:hAnsi="Arial" w:cs="Arial"/>
          <w:sz w:val="22"/>
          <w:szCs w:val="22"/>
        </w:rPr>
        <w:t>é par l’</w:t>
      </w:r>
      <w:r w:rsidR="007F1754" w:rsidRPr="007F1754">
        <w:rPr>
          <w:rFonts w:ascii="Arial" w:hAnsi="Arial" w:cs="Arial"/>
          <w:sz w:val="22"/>
          <w:szCs w:val="22"/>
        </w:rPr>
        <w:t>État</w:t>
      </w:r>
      <w:r w:rsidR="0042372D" w:rsidRPr="007F1754">
        <w:rPr>
          <w:rFonts w:ascii="Arial" w:hAnsi="Arial" w:cs="Arial"/>
          <w:sz w:val="22"/>
          <w:szCs w:val="22"/>
        </w:rPr>
        <w:t xml:space="preserve"> partie propose de prendre en charge </w:t>
      </w:r>
      <w:r w:rsidRPr="007F1754">
        <w:rPr>
          <w:rFonts w:ascii="Arial" w:hAnsi="Arial" w:cs="Arial"/>
          <w:sz w:val="22"/>
          <w:szCs w:val="22"/>
        </w:rPr>
        <w:t>45</w:t>
      </w:r>
      <w:r w:rsidR="0042372D" w:rsidRPr="007F1754">
        <w:rPr>
          <w:rFonts w:ascii="Arial" w:hAnsi="Arial" w:cs="Arial"/>
          <w:sz w:val="22"/>
          <w:szCs w:val="22"/>
        </w:rPr>
        <w:t> </w:t>
      </w:r>
      <w:r w:rsidRPr="007F1754">
        <w:rPr>
          <w:rFonts w:ascii="Arial" w:hAnsi="Arial" w:cs="Arial"/>
          <w:sz w:val="22"/>
          <w:szCs w:val="22"/>
        </w:rPr>
        <w:t xml:space="preserve">% </w:t>
      </w:r>
      <w:r w:rsidR="0042372D" w:rsidRPr="007F1754">
        <w:rPr>
          <w:rFonts w:ascii="Arial" w:hAnsi="Arial" w:cs="Arial"/>
          <w:sz w:val="22"/>
          <w:szCs w:val="22"/>
        </w:rPr>
        <w:t xml:space="preserve">des coûts des activités pour </w:t>
      </w:r>
      <w:r w:rsidR="007F1754" w:rsidRPr="007F1754">
        <w:rPr>
          <w:rFonts w:ascii="Arial" w:hAnsi="Arial" w:cs="Arial"/>
          <w:sz w:val="22"/>
          <w:szCs w:val="22"/>
        </w:rPr>
        <w:t>lesquelles</w:t>
      </w:r>
      <w:r w:rsidR="00CD7DE5" w:rsidRPr="007F1754">
        <w:rPr>
          <w:rFonts w:ascii="Arial" w:hAnsi="Arial" w:cs="Arial"/>
          <w:sz w:val="22"/>
          <w:szCs w:val="22"/>
        </w:rPr>
        <w:t xml:space="preserve"> l’assistance préparatoire est demandée, tandis que les collectivités locales apporteront un soutien en nature</w:t>
      </w:r>
      <w:r w:rsidRPr="007F1754">
        <w:rPr>
          <w:rFonts w:ascii="Arial" w:hAnsi="Arial" w:cs="Arial"/>
          <w:sz w:val="22"/>
          <w:szCs w:val="22"/>
        </w:rPr>
        <w:t xml:space="preserve">. </w:t>
      </w:r>
    </w:p>
    <w:p w:rsidR="00205128" w:rsidRPr="007F1754" w:rsidRDefault="00205128" w:rsidP="00DA537C">
      <w:pPr>
        <w:tabs>
          <w:tab w:val="left" w:pos="567"/>
          <w:tab w:val="left" w:pos="1134"/>
          <w:tab w:val="left" w:pos="1701"/>
          <w:tab w:val="left" w:pos="2268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7F1754">
        <w:rPr>
          <w:rFonts w:ascii="Arial" w:hAnsi="Arial" w:cs="Arial"/>
          <w:b/>
          <w:sz w:val="22"/>
          <w:szCs w:val="22"/>
        </w:rPr>
        <w:t>Crit</w:t>
      </w:r>
      <w:r w:rsidR="00DA12F6" w:rsidRPr="007F1754">
        <w:rPr>
          <w:rFonts w:ascii="Arial" w:hAnsi="Arial" w:cs="Arial"/>
          <w:b/>
          <w:sz w:val="22"/>
          <w:szCs w:val="22"/>
        </w:rPr>
        <w:t>ère</w:t>
      </w:r>
      <w:r w:rsidRPr="007F1754">
        <w:rPr>
          <w:rFonts w:ascii="Arial" w:hAnsi="Arial" w:cs="Arial"/>
          <w:b/>
          <w:sz w:val="22"/>
          <w:szCs w:val="22"/>
        </w:rPr>
        <w:t> A.6</w:t>
      </w:r>
      <w:r w:rsidR="00DA12F6" w:rsidRPr="007F1754">
        <w:rPr>
          <w:rFonts w:ascii="Arial" w:hAnsi="Arial" w:cs="Arial"/>
          <w:b/>
          <w:sz w:val="22"/>
          <w:szCs w:val="22"/>
        </w:rPr>
        <w:t> </w:t>
      </w:r>
      <w:r w:rsidRPr="007F1754">
        <w:rPr>
          <w:rFonts w:ascii="Arial" w:hAnsi="Arial" w:cs="Arial"/>
          <w:b/>
          <w:sz w:val="22"/>
          <w:szCs w:val="22"/>
        </w:rPr>
        <w:t>:</w:t>
      </w:r>
      <w:r w:rsidRPr="007F1754">
        <w:rPr>
          <w:rFonts w:ascii="Arial" w:hAnsi="Arial" w:cs="Arial"/>
          <w:sz w:val="22"/>
          <w:szCs w:val="22"/>
        </w:rPr>
        <w:t xml:space="preserve"> </w:t>
      </w:r>
      <w:r w:rsidR="00CD7DE5" w:rsidRPr="007F1754">
        <w:rPr>
          <w:rFonts w:ascii="Arial" w:hAnsi="Arial" w:cs="Arial"/>
          <w:sz w:val="22"/>
          <w:szCs w:val="22"/>
        </w:rPr>
        <w:t>Dans la mesure où les détenteurs traditionnels et leurs familles participeront pleinement au processus de documentation</w:t>
      </w:r>
      <w:r w:rsidRPr="007F1754">
        <w:rPr>
          <w:rFonts w:ascii="Arial" w:hAnsi="Arial" w:cs="Arial"/>
          <w:sz w:val="22"/>
          <w:szCs w:val="22"/>
        </w:rPr>
        <w:t xml:space="preserve">, </w:t>
      </w:r>
      <w:r w:rsidR="00CD7DE5" w:rsidRPr="007F1754">
        <w:rPr>
          <w:rFonts w:ascii="Arial" w:hAnsi="Arial" w:cs="Arial"/>
          <w:sz w:val="22"/>
          <w:szCs w:val="22"/>
        </w:rPr>
        <w:t xml:space="preserve">les communautés devraient être sensibilisées à l’importance de la sauvegarde de leur patrimoine vivant et </w:t>
      </w:r>
      <w:r w:rsidR="007F1754" w:rsidRPr="007F1754">
        <w:rPr>
          <w:rFonts w:ascii="Arial" w:hAnsi="Arial" w:cs="Arial"/>
          <w:sz w:val="22"/>
          <w:szCs w:val="22"/>
        </w:rPr>
        <w:t>aux</w:t>
      </w:r>
      <w:r w:rsidR="006752E1" w:rsidRPr="007F1754">
        <w:rPr>
          <w:rFonts w:ascii="Arial" w:hAnsi="Arial" w:cs="Arial"/>
          <w:sz w:val="22"/>
          <w:szCs w:val="22"/>
        </w:rPr>
        <w:t xml:space="preserve"> méthod</w:t>
      </w:r>
      <w:r w:rsidR="007F1754" w:rsidRPr="007F1754">
        <w:rPr>
          <w:rFonts w:ascii="Arial" w:hAnsi="Arial" w:cs="Arial"/>
          <w:sz w:val="22"/>
          <w:szCs w:val="22"/>
        </w:rPr>
        <w:t>ologie</w:t>
      </w:r>
      <w:r w:rsidR="006752E1" w:rsidRPr="007F1754">
        <w:rPr>
          <w:rFonts w:ascii="Arial" w:hAnsi="Arial" w:cs="Arial"/>
          <w:sz w:val="22"/>
          <w:szCs w:val="22"/>
        </w:rPr>
        <w:t xml:space="preserve">s de documentation, </w:t>
      </w:r>
      <w:r w:rsidR="007F1754" w:rsidRPr="007F1754">
        <w:rPr>
          <w:rFonts w:ascii="Arial" w:hAnsi="Arial" w:cs="Arial"/>
          <w:sz w:val="22"/>
          <w:szCs w:val="22"/>
        </w:rPr>
        <w:t xml:space="preserve">ce qui devrait renforcer </w:t>
      </w:r>
      <w:r w:rsidR="006752E1" w:rsidRPr="007F1754">
        <w:rPr>
          <w:rFonts w:ascii="Arial" w:hAnsi="Arial" w:cs="Arial"/>
          <w:sz w:val="22"/>
          <w:szCs w:val="22"/>
        </w:rPr>
        <w:t xml:space="preserve">leurs </w:t>
      </w:r>
      <w:r w:rsidRPr="007F1754">
        <w:rPr>
          <w:rFonts w:ascii="Arial" w:hAnsi="Arial" w:cs="Arial"/>
          <w:sz w:val="22"/>
          <w:szCs w:val="22"/>
        </w:rPr>
        <w:t>capacit</w:t>
      </w:r>
      <w:r w:rsidR="007F1754" w:rsidRPr="007F1754">
        <w:rPr>
          <w:rFonts w:ascii="Arial" w:hAnsi="Arial" w:cs="Arial"/>
          <w:sz w:val="22"/>
          <w:szCs w:val="22"/>
        </w:rPr>
        <w:t>és</w:t>
      </w:r>
      <w:r w:rsidRPr="007F1754">
        <w:rPr>
          <w:rFonts w:ascii="Arial" w:hAnsi="Arial" w:cs="Arial"/>
          <w:sz w:val="22"/>
          <w:szCs w:val="22"/>
        </w:rPr>
        <w:t xml:space="preserve">. </w:t>
      </w:r>
    </w:p>
    <w:p w:rsidR="00205128" w:rsidRPr="007F1754" w:rsidRDefault="00205128" w:rsidP="00DA537C">
      <w:pPr>
        <w:pStyle w:val="COMParaDecision"/>
        <w:numPr>
          <w:ilvl w:val="0"/>
          <w:numId w:val="0"/>
        </w:numPr>
        <w:ind w:left="1134"/>
      </w:pPr>
      <w:r w:rsidRPr="007F1754">
        <w:rPr>
          <w:rStyle w:val="hps"/>
          <w:b/>
          <w:u w:val="none"/>
        </w:rPr>
        <w:t>Crit</w:t>
      </w:r>
      <w:r w:rsidR="00173EFD" w:rsidRPr="007F1754">
        <w:rPr>
          <w:rStyle w:val="hps"/>
          <w:b/>
          <w:u w:val="none"/>
        </w:rPr>
        <w:t>è</w:t>
      </w:r>
      <w:r w:rsidR="00DA12F6" w:rsidRPr="007F1754">
        <w:rPr>
          <w:rStyle w:val="hps"/>
          <w:b/>
          <w:u w:val="none"/>
        </w:rPr>
        <w:t>re</w:t>
      </w:r>
      <w:r w:rsidRPr="007F1754">
        <w:rPr>
          <w:rStyle w:val="hps"/>
          <w:b/>
          <w:u w:val="none"/>
        </w:rPr>
        <w:t> A.7</w:t>
      </w:r>
      <w:r w:rsidR="00DA12F6" w:rsidRPr="007F1754">
        <w:rPr>
          <w:rStyle w:val="hps"/>
          <w:b/>
          <w:u w:val="none"/>
        </w:rPr>
        <w:t> </w:t>
      </w:r>
      <w:r w:rsidRPr="007F1754">
        <w:rPr>
          <w:rStyle w:val="hps"/>
          <w:b/>
          <w:u w:val="none"/>
        </w:rPr>
        <w:t>:</w:t>
      </w:r>
      <w:r w:rsidRPr="007F1754" w:rsidDel="00640DED">
        <w:rPr>
          <w:u w:val="none"/>
        </w:rPr>
        <w:t xml:space="preserve"> </w:t>
      </w:r>
      <w:r w:rsidR="007F1754" w:rsidRPr="007F1754">
        <w:rPr>
          <w:u w:val="none"/>
        </w:rPr>
        <w:t>De 2003 à 2008, l</w:t>
      </w:r>
      <w:r w:rsidR="006752E1" w:rsidRPr="007F1754">
        <w:rPr>
          <w:u w:val="none"/>
        </w:rPr>
        <w:t>’</w:t>
      </w:r>
      <w:r w:rsidR="007F1754" w:rsidRPr="007F1754">
        <w:rPr>
          <w:u w:val="none"/>
        </w:rPr>
        <w:t>État</w:t>
      </w:r>
      <w:r w:rsidR="006752E1" w:rsidRPr="007F1754">
        <w:rPr>
          <w:u w:val="none"/>
        </w:rPr>
        <w:t xml:space="preserve"> partie a mis en </w:t>
      </w:r>
      <w:r w:rsidR="007F1754" w:rsidRPr="007F1754">
        <w:rPr>
          <w:u w:val="none"/>
        </w:rPr>
        <w:t xml:space="preserve">œuvre </w:t>
      </w:r>
      <w:r w:rsidR="006752E1" w:rsidRPr="007F1754">
        <w:rPr>
          <w:u w:val="none"/>
        </w:rPr>
        <w:t xml:space="preserve">un projet concernant la sauvegarde et la </w:t>
      </w:r>
      <w:r w:rsidRPr="007F1754">
        <w:rPr>
          <w:u w:val="none"/>
        </w:rPr>
        <w:t xml:space="preserve">transmission </w:t>
      </w:r>
      <w:r w:rsidR="006752E1" w:rsidRPr="007F1754">
        <w:rPr>
          <w:u w:val="none"/>
        </w:rPr>
        <w:t xml:space="preserve">des </w:t>
      </w:r>
      <w:r w:rsidR="00B0635A">
        <w:rPr>
          <w:u w:val="none"/>
        </w:rPr>
        <w:t>r</w:t>
      </w:r>
      <w:r w:rsidR="00502838" w:rsidRPr="007F1754">
        <w:rPr>
          <w:u w:val="none"/>
        </w:rPr>
        <w:t xml:space="preserve">écits </w:t>
      </w:r>
      <w:proofErr w:type="spellStart"/>
      <w:r w:rsidR="00B0635A">
        <w:rPr>
          <w:u w:val="none"/>
        </w:rPr>
        <w:t>h</w:t>
      </w:r>
      <w:r w:rsidRPr="007F1754">
        <w:rPr>
          <w:u w:val="none"/>
        </w:rPr>
        <w:t>udhud</w:t>
      </w:r>
      <w:proofErr w:type="spellEnd"/>
      <w:r w:rsidRPr="007F1754">
        <w:rPr>
          <w:u w:val="none"/>
        </w:rPr>
        <w:t xml:space="preserve"> </w:t>
      </w:r>
      <w:r w:rsidR="00502838" w:rsidRPr="007F1754">
        <w:rPr>
          <w:u w:val="none"/>
        </w:rPr>
        <w:t>des</w:t>
      </w:r>
      <w:r w:rsidRPr="007F1754">
        <w:rPr>
          <w:u w:val="none"/>
        </w:rPr>
        <w:t xml:space="preserve"> </w:t>
      </w:r>
      <w:proofErr w:type="spellStart"/>
      <w:r w:rsidRPr="007F1754">
        <w:rPr>
          <w:u w:val="none"/>
        </w:rPr>
        <w:t>Ifugao</w:t>
      </w:r>
      <w:proofErr w:type="spellEnd"/>
      <w:r w:rsidR="007F1754" w:rsidRPr="007F1754">
        <w:rPr>
          <w:u w:val="none"/>
        </w:rPr>
        <w:t>,</w:t>
      </w:r>
      <w:r w:rsidRPr="007F1754">
        <w:rPr>
          <w:u w:val="none"/>
        </w:rPr>
        <w:t xml:space="preserve"> financ</w:t>
      </w:r>
      <w:r w:rsidR="00265AED" w:rsidRPr="007F1754">
        <w:rPr>
          <w:u w:val="none"/>
        </w:rPr>
        <w:t>é par le fonds-en-dépôt japonais et mis en œuvre conformément aux règlements de l’UNESCO</w:t>
      </w:r>
      <w:r w:rsidR="00DA537C">
        <w:rPr>
          <w:u w:val="none"/>
        </w:rPr>
        <w:t>.</w:t>
      </w:r>
    </w:p>
    <w:p w:rsidR="00443880" w:rsidRPr="007F1754" w:rsidRDefault="00205128" w:rsidP="00B0635A">
      <w:pPr>
        <w:pStyle w:val="COMParaDecision"/>
        <w:ind w:left="1134" w:hanging="567"/>
      </w:pPr>
      <w:r w:rsidRPr="007F1754">
        <w:t>Décide d’a</w:t>
      </w:r>
      <w:r w:rsidR="0066364F" w:rsidRPr="007F1754">
        <w:t>pprouve</w:t>
      </w:r>
      <w:r w:rsidRPr="007F1754">
        <w:t>r</w:t>
      </w:r>
      <w:r w:rsidR="00702329" w:rsidRPr="007F1754">
        <w:t>,</w:t>
      </w:r>
      <w:r w:rsidR="00702329" w:rsidRPr="007F1754">
        <w:rPr>
          <w:u w:val="none"/>
        </w:rPr>
        <w:t xml:space="preserve"> en sa qualité d’organe habilité</w:t>
      </w:r>
      <w:r w:rsidRPr="007F1754">
        <w:rPr>
          <w:u w:val="none"/>
        </w:rPr>
        <w:t xml:space="preserve">, </w:t>
      </w:r>
      <w:r w:rsidR="00DA12F6" w:rsidRPr="007F1754">
        <w:rPr>
          <w:u w:val="none"/>
        </w:rPr>
        <w:t>la demande d’assistance préparatoire n° </w:t>
      </w:r>
      <w:r w:rsidRPr="007F1754">
        <w:rPr>
          <w:u w:val="none"/>
        </w:rPr>
        <w:t xml:space="preserve">01176 </w:t>
      </w:r>
      <w:r w:rsidR="00DA12F6" w:rsidRPr="007F1754">
        <w:rPr>
          <w:u w:val="none"/>
        </w:rPr>
        <w:t xml:space="preserve">pour un montant de </w:t>
      </w:r>
      <w:r w:rsidRPr="007F1754">
        <w:rPr>
          <w:u w:val="none"/>
        </w:rPr>
        <w:t>7</w:t>
      </w:r>
      <w:r w:rsidR="00DA12F6" w:rsidRPr="007F1754">
        <w:rPr>
          <w:u w:val="none"/>
        </w:rPr>
        <w:t> </w:t>
      </w:r>
      <w:r w:rsidRPr="007F1754">
        <w:rPr>
          <w:u w:val="none"/>
        </w:rPr>
        <w:t>393</w:t>
      </w:r>
      <w:r w:rsidR="00DA12F6" w:rsidRPr="007F1754">
        <w:rPr>
          <w:u w:val="none"/>
        </w:rPr>
        <w:t xml:space="preserve"> dollars des </w:t>
      </w:r>
      <w:r w:rsidR="007F1754" w:rsidRPr="007F1754">
        <w:rPr>
          <w:u w:val="none"/>
        </w:rPr>
        <w:t>États-Unis</w:t>
      </w:r>
      <w:r w:rsidR="00DA12F6" w:rsidRPr="007F1754">
        <w:rPr>
          <w:u w:val="none"/>
        </w:rPr>
        <w:t> ;</w:t>
      </w:r>
    </w:p>
    <w:p w:rsidR="0057439C" w:rsidRPr="007F1754" w:rsidRDefault="0066364F" w:rsidP="00B0635A">
      <w:pPr>
        <w:pStyle w:val="COMParaDecision"/>
        <w:ind w:left="1134" w:hanging="567"/>
      </w:pPr>
      <w:r w:rsidRPr="007F1754">
        <w:t>Demande</w:t>
      </w:r>
      <w:r w:rsidR="003F5B14" w:rsidRPr="007F1754">
        <w:rPr>
          <w:u w:val="none"/>
        </w:rPr>
        <w:t xml:space="preserve"> </w:t>
      </w:r>
      <w:r w:rsidR="00DA12F6" w:rsidRPr="007F1754">
        <w:rPr>
          <w:u w:val="none"/>
        </w:rPr>
        <w:t>au</w:t>
      </w:r>
      <w:r w:rsidR="003F5B14" w:rsidRPr="007F1754">
        <w:rPr>
          <w:u w:val="none"/>
        </w:rPr>
        <w:t xml:space="preserve"> Secr</w:t>
      </w:r>
      <w:r w:rsidR="00DA12F6" w:rsidRPr="007F1754">
        <w:rPr>
          <w:u w:val="none"/>
        </w:rPr>
        <w:t>é</w:t>
      </w:r>
      <w:r w:rsidR="003F5B14" w:rsidRPr="007F1754">
        <w:rPr>
          <w:u w:val="none"/>
        </w:rPr>
        <w:t xml:space="preserve">tariat </w:t>
      </w:r>
      <w:r w:rsidR="00DA12F6" w:rsidRPr="007F1754">
        <w:rPr>
          <w:u w:val="none"/>
        </w:rPr>
        <w:t>de se mettre d’accord avec l’</w:t>
      </w:r>
      <w:r w:rsidR="007F1754" w:rsidRPr="007F1754">
        <w:rPr>
          <w:u w:val="none"/>
        </w:rPr>
        <w:t>État</w:t>
      </w:r>
      <w:r w:rsidR="00DA12F6" w:rsidRPr="007F1754">
        <w:rPr>
          <w:u w:val="none"/>
        </w:rPr>
        <w:t xml:space="preserve"> demandeur sur les détails techniques de l’assistance préparatoire, notamment un budget détaillé</w:t>
      </w:r>
      <w:r w:rsidR="003F5B14" w:rsidRPr="007F1754">
        <w:rPr>
          <w:u w:val="none"/>
        </w:rPr>
        <w:t>.</w:t>
      </w:r>
    </w:p>
    <w:sectPr w:rsidR="0057439C" w:rsidRPr="007F1754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25" w:rsidRDefault="00FB4625" w:rsidP="00655736">
      <w:r>
        <w:separator/>
      </w:r>
    </w:p>
    <w:p w:rsidR="00FB4625" w:rsidRDefault="00FB4625"/>
    <w:p w:rsidR="00FB4625" w:rsidRDefault="00FB4625" w:rsidP="002E58D4"/>
    <w:p w:rsidR="00FB4625" w:rsidRDefault="00FB4625" w:rsidP="002E58D4"/>
    <w:p w:rsidR="00FB4625" w:rsidRDefault="00FB4625" w:rsidP="002E58D4"/>
  </w:endnote>
  <w:endnote w:type="continuationSeparator" w:id="0">
    <w:p w:rsidR="00FB4625" w:rsidRDefault="00FB4625" w:rsidP="00655736">
      <w:r>
        <w:continuationSeparator/>
      </w:r>
    </w:p>
    <w:p w:rsidR="00FB4625" w:rsidRDefault="00FB4625"/>
    <w:p w:rsidR="00FB4625" w:rsidRDefault="00FB4625" w:rsidP="002E58D4"/>
    <w:p w:rsidR="00FB4625" w:rsidRDefault="00FB4625" w:rsidP="002E58D4"/>
    <w:p w:rsidR="00FB4625" w:rsidRDefault="00FB4625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25" w:rsidRDefault="00FB4625" w:rsidP="00655736">
      <w:r>
        <w:separator/>
      </w:r>
    </w:p>
    <w:p w:rsidR="00FB4625" w:rsidRDefault="00FB4625"/>
    <w:p w:rsidR="00FB4625" w:rsidRDefault="00FB4625" w:rsidP="002E58D4"/>
    <w:p w:rsidR="00FB4625" w:rsidRDefault="00FB4625" w:rsidP="002E58D4"/>
    <w:p w:rsidR="00FB4625" w:rsidRDefault="00FB4625" w:rsidP="002E58D4"/>
  </w:footnote>
  <w:footnote w:type="continuationSeparator" w:id="0">
    <w:p w:rsidR="00FB4625" w:rsidRDefault="00FB4625" w:rsidP="00655736">
      <w:r>
        <w:continuationSeparator/>
      </w:r>
    </w:p>
    <w:p w:rsidR="00FB4625" w:rsidRDefault="00FB4625"/>
    <w:p w:rsidR="00FB4625" w:rsidRDefault="00FB4625" w:rsidP="002E58D4"/>
    <w:p w:rsidR="00FB4625" w:rsidRDefault="00FB4625" w:rsidP="002E58D4"/>
    <w:p w:rsidR="00FB4625" w:rsidRDefault="00FB4625" w:rsidP="002E5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42" w:rsidRPr="002E58D4" w:rsidRDefault="00880142" w:rsidP="002E58D4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ITH/15/</w:t>
    </w:r>
    <w:r w:rsidR="005A2132">
      <w:rPr>
        <w:rFonts w:ascii="Arial" w:hAnsi="Arial" w:cs="Arial"/>
        <w:sz w:val="20"/>
        <w:szCs w:val="20"/>
        <w:lang w:val="en-GB"/>
      </w:rPr>
      <w:t>10.COM 3.BUR/1</w:t>
    </w:r>
    <w:r w:rsidR="009712A4">
      <w:rPr>
        <w:rFonts w:ascii="Arial" w:hAnsi="Arial" w:cs="Arial"/>
        <w:sz w:val="20"/>
        <w:szCs w:val="20"/>
        <w:lang w:val="en-GB"/>
      </w:rPr>
      <w:t xml:space="preserve">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541004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42" w:rsidRPr="00BC3420" w:rsidRDefault="00880142" w:rsidP="00BC3420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ITH/15/</w:t>
    </w:r>
    <w:r w:rsidRPr="00CB66E1">
      <w:rPr>
        <w:rFonts w:ascii="Arial" w:hAnsi="Arial" w:cs="Arial"/>
        <w:sz w:val="20"/>
        <w:szCs w:val="20"/>
        <w:lang w:val="en-GB"/>
      </w:rPr>
      <w:t xml:space="preserve"> </w:t>
    </w:r>
    <w:r w:rsidRPr="00A32E09">
      <w:rPr>
        <w:rFonts w:ascii="Arial" w:hAnsi="Arial" w:cs="Arial"/>
        <w:sz w:val="20"/>
        <w:szCs w:val="20"/>
        <w:lang w:val="en-GB"/>
      </w:rPr>
      <w:t>COM 1.BUR/1</w:t>
    </w:r>
    <w:r w:rsidR="009712A4">
      <w:rPr>
        <w:rFonts w:ascii="Arial" w:hAnsi="Arial" w:cs="Arial"/>
        <w:sz w:val="20"/>
        <w:szCs w:val="20"/>
        <w:lang w:val="en-GB"/>
      </w:rPr>
      <w:t xml:space="preserve">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541004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42" w:rsidRPr="008724E5" w:rsidRDefault="0088014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4999FE" wp14:editId="5BA56D0E">
          <wp:simplePos x="0" y="0"/>
          <wp:positionH relativeFrom="column">
            <wp:posOffset>-377190</wp:posOffset>
          </wp:positionH>
          <wp:positionV relativeFrom="paragraph">
            <wp:posOffset>5080</wp:posOffset>
          </wp:positionV>
          <wp:extent cx="2038350" cy="1529080"/>
          <wp:effectExtent l="0" t="0" r="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142" w:rsidRPr="0068134C" w:rsidRDefault="00880142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68134C">
      <w:rPr>
        <w:rFonts w:ascii="Arial" w:hAnsi="Arial" w:cs="Arial"/>
        <w:b/>
        <w:sz w:val="44"/>
        <w:szCs w:val="44"/>
        <w:lang w:val="en-US"/>
      </w:rPr>
      <w:t>10 COM </w:t>
    </w:r>
    <w:r w:rsidR="005A2132" w:rsidRPr="0068134C">
      <w:rPr>
        <w:rFonts w:ascii="Arial" w:hAnsi="Arial" w:cs="Arial"/>
        <w:b/>
        <w:sz w:val="44"/>
        <w:szCs w:val="44"/>
        <w:lang w:val="en-US"/>
      </w:rPr>
      <w:t>3</w:t>
    </w:r>
    <w:r w:rsidRPr="0068134C">
      <w:rPr>
        <w:rFonts w:ascii="Arial" w:hAnsi="Arial" w:cs="Arial"/>
        <w:b/>
        <w:sz w:val="44"/>
        <w:szCs w:val="44"/>
        <w:lang w:val="en-US"/>
      </w:rPr>
      <w:t> BUR</w:t>
    </w:r>
  </w:p>
  <w:p w:rsidR="00880142" w:rsidRPr="0068134C" w:rsidRDefault="00880142" w:rsidP="00655736">
    <w:pPr>
      <w:jc w:val="right"/>
      <w:rPr>
        <w:rFonts w:ascii="Arial" w:hAnsi="Arial" w:cs="Arial"/>
        <w:b/>
        <w:sz w:val="22"/>
        <w:szCs w:val="22"/>
        <w:lang w:val="en-US"/>
      </w:rPr>
    </w:pPr>
    <w:r w:rsidRPr="0068134C">
      <w:rPr>
        <w:rFonts w:ascii="Arial" w:hAnsi="Arial" w:cs="Arial"/>
        <w:b/>
        <w:sz w:val="22"/>
        <w:szCs w:val="22"/>
        <w:lang w:val="en-US"/>
      </w:rPr>
      <w:t>ITH/15/</w:t>
    </w:r>
    <w:r w:rsidR="005A2132" w:rsidRPr="0068134C">
      <w:rPr>
        <w:rFonts w:ascii="Arial" w:hAnsi="Arial" w:cs="Arial"/>
        <w:b/>
        <w:sz w:val="22"/>
        <w:szCs w:val="22"/>
        <w:lang w:val="en-US"/>
      </w:rPr>
      <w:t>10.COM 3</w:t>
    </w:r>
    <w:r w:rsidRPr="0068134C">
      <w:rPr>
        <w:rFonts w:ascii="Arial" w:hAnsi="Arial" w:cs="Arial"/>
        <w:b/>
        <w:sz w:val="22"/>
        <w:szCs w:val="22"/>
        <w:lang w:val="en-US"/>
      </w:rPr>
      <w:t>.BUR/</w:t>
    </w:r>
    <w:r w:rsidR="005A2132" w:rsidRPr="0068134C">
      <w:rPr>
        <w:rFonts w:ascii="Arial" w:hAnsi="Arial" w:cs="Arial"/>
        <w:b/>
        <w:sz w:val="22"/>
        <w:szCs w:val="22"/>
        <w:lang w:val="en-US"/>
      </w:rPr>
      <w:t>1</w:t>
    </w:r>
  </w:p>
  <w:p w:rsidR="00880142" w:rsidRPr="00021E33" w:rsidRDefault="00880142" w:rsidP="00655736">
    <w:pPr>
      <w:jc w:val="right"/>
      <w:rPr>
        <w:rFonts w:ascii="Arial" w:hAnsi="Arial" w:cs="Arial"/>
        <w:b/>
        <w:sz w:val="22"/>
        <w:szCs w:val="22"/>
      </w:rPr>
    </w:pPr>
    <w:r w:rsidRPr="00021E33">
      <w:rPr>
        <w:rFonts w:ascii="Arial" w:hAnsi="Arial" w:cs="Arial"/>
        <w:b/>
        <w:sz w:val="22"/>
        <w:szCs w:val="22"/>
      </w:rPr>
      <w:t xml:space="preserve">Paris, </w:t>
    </w:r>
    <w:r w:rsidR="00021E33" w:rsidRPr="00021E33">
      <w:rPr>
        <w:rFonts w:ascii="Arial" w:hAnsi="Arial" w:cs="Arial"/>
        <w:b/>
        <w:sz w:val="22"/>
        <w:szCs w:val="22"/>
      </w:rPr>
      <w:t>24 novembre</w:t>
    </w:r>
    <w:r w:rsidR="003673F6" w:rsidRPr="00021E33">
      <w:rPr>
        <w:rFonts w:ascii="Arial" w:hAnsi="Arial" w:cs="Arial"/>
        <w:b/>
        <w:sz w:val="22"/>
        <w:szCs w:val="22"/>
      </w:rPr>
      <w:t xml:space="preserve"> </w:t>
    </w:r>
    <w:r w:rsidRPr="00021E33">
      <w:rPr>
        <w:rFonts w:ascii="Arial" w:hAnsi="Arial" w:cs="Arial"/>
        <w:b/>
        <w:sz w:val="22"/>
        <w:szCs w:val="22"/>
      </w:rPr>
      <w:t>2015</w:t>
    </w:r>
  </w:p>
  <w:p w:rsidR="00880142" w:rsidRPr="00021E33" w:rsidRDefault="00880142" w:rsidP="003E2A08">
    <w:pPr>
      <w:jc w:val="right"/>
      <w:rPr>
        <w:rFonts w:ascii="Arial" w:hAnsi="Arial" w:cs="Arial"/>
        <w:b/>
        <w:sz w:val="22"/>
        <w:szCs w:val="22"/>
      </w:rPr>
    </w:pPr>
    <w:r w:rsidRPr="00021E33">
      <w:rPr>
        <w:rFonts w:ascii="Arial" w:hAnsi="Arial" w:cs="Arial"/>
        <w:b/>
        <w:sz w:val="22"/>
        <w:szCs w:val="22"/>
      </w:rPr>
      <w:t>Original : anglais</w:t>
    </w:r>
  </w:p>
  <w:p w:rsidR="00880142" w:rsidRPr="0057439C" w:rsidRDefault="00880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5C"/>
    <w:multiLevelType w:val="hybridMultilevel"/>
    <w:tmpl w:val="3B3CD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02D6"/>
    <w:multiLevelType w:val="hybridMultilevel"/>
    <w:tmpl w:val="40126DAC"/>
    <w:lvl w:ilvl="0" w:tplc="C02E1E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6BF2D02"/>
    <w:multiLevelType w:val="hybridMultilevel"/>
    <w:tmpl w:val="A17E05EC"/>
    <w:lvl w:ilvl="0" w:tplc="968AB6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lang w:val="fr-FR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EE6FF9"/>
    <w:multiLevelType w:val="hybridMultilevel"/>
    <w:tmpl w:val="4E06BE78"/>
    <w:lvl w:ilvl="0" w:tplc="0D84D3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07BFE"/>
    <w:multiLevelType w:val="hybridMultilevel"/>
    <w:tmpl w:val="9864B0A6"/>
    <w:lvl w:ilvl="0" w:tplc="972857BE">
      <w:start w:val="1"/>
      <w:numFmt w:val="decimal"/>
      <w:pStyle w:val="COMParabodytext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0E61F1"/>
    <w:multiLevelType w:val="hybridMultilevel"/>
    <w:tmpl w:val="14D225DA"/>
    <w:lvl w:ilvl="0" w:tplc="BF3ABCCA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3676892"/>
    <w:multiLevelType w:val="hybridMultilevel"/>
    <w:tmpl w:val="D2C6A28A"/>
    <w:lvl w:ilvl="0" w:tplc="D1D0C9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D01A0A"/>
    <w:multiLevelType w:val="hybridMultilevel"/>
    <w:tmpl w:val="86C25B34"/>
    <w:lvl w:ilvl="0" w:tplc="040C0015">
      <w:start w:val="1"/>
      <w:numFmt w:val="upperLetter"/>
      <w:lvlText w:val="%1."/>
      <w:lvlJc w:val="left"/>
      <w:pPr>
        <w:ind w:left="1138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0CD2"/>
    <w:multiLevelType w:val="hybridMultilevel"/>
    <w:tmpl w:val="6A42F0D4"/>
    <w:lvl w:ilvl="0" w:tplc="88D86886">
      <w:start w:val="3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260B9"/>
    <w:multiLevelType w:val="hybridMultilevel"/>
    <w:tmpl w:val="E85CBBD0"/>
    <w:lvl w:ilvl="0" w:tplc="42E60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9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20"/>
  </w:num>
  <w:num w:numId="14">
    <w:abstractNumId w:val="0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7"/>
  </w:num>
  <w:num w:numId="23">
    <w:abstractNumId w:val="17"/>
  </w:num>
  <w:num w:numId="24">
    <w:abstractNumId w:val="9"/>
    <w:lvlOverride w:ilvl="0">
      <w:startOverride w:val="7"/>
    </w:lvlOverride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FC"/>
    <w:rsid w:val="00007F18"/>
    <w:rsid w:val="00016D10"/>
    <w:rsid w:val="00020BFC"/>
    <w:rsid w:val="00021E33"/>
    <w:rsid w:val="00022428"/>
    <w:rsid w:val="000263BA"/>
    <w:rsid w:val="0003530D"/>
    <w:rsid w:val="00035BAB"/>
    <w:rsid w:val="000413F7"/>
    <w:rsid w:val="00044AD2"/>
    <w:rsid w:val="0005176E"/>
    <w:rsid w:val="00053680"/>
    <w:rsid w:val="00055C27"/>
    <w:rsid w:val="00060B79"/>
    <w:rsid w:val="00063CE9"/>
    <w:rsid w:val="000670F8"/>
    <w:rsid w:val="00077AB7"/>
    <w:rsid w:val="00080E87"/>
    <w:rsid w:val="00081CD8"/>
    <w:rsid w:val="0008329C"/>
    <w:rsid w:val="000932C3"/>
    <w:rsid w:val="000A7F0E"/>
    <w:rsid w:val="000D1051"/>
    <w:rsid w:val="000E6CD7"/>
    <w:rsid w:val="000E7523"/>
    <w:rsid w:val="000F3A3F"/>
    <w:rsid w:val="000F6086"/>
    <w:rsid w:val="00137F77"/>
    <w:rsid w:val="0014715D"/>
    <w:rsid w:val="00153845"/>
    <w:rsid w:val="00164D56"/>
    <w:rsid w:val="00165170"/>
    <w:rsid w:val="00167B10"/>
    <w:rsid w:val="00173EFD"/>
    <w:rsid w:val="001772E0"/>
    <w:rsid w:val="0019264E"/>
    <w:rsid w:val="0019489C"/>
    <w:rsid w:val="00196C1B"/>
    <w:rsid w:val="001A766C"/>
    <w:rsid w:val="001B0F73"/>
    <w:rsid w:val="001C157B"/>
    <w:rsid w:val="001C2B2E"/>
    <w:rsid w:val="001C459B"/>
    <w:rsid w:val="001C6DC4"/>
    <w:rsid w:val="001D2972"/>
    <w:rsid w:val="0020150F"/>
    <w:rsid w:val="00205128"/>
    <w:rsid w:val="002219DF"/>
    <w:rsid w:val="00222A2D"/>
    <w:rsid w:val="002407AF"/>
    <w:rsid w:val="00240F2C"/>
    <w:rsid w:val="00265AED"/>
    <w:rsid w:val="00280D62"/>
    <w:rsid w:val="002A6C11"/>
    <w:rsid w:val="002A6F73"/>
    <w:rsid w:val="002C0D14"/>
    <w:rsid w:val="002C0D2D"/>
    <w:rsid w:val="002E3D25"/>
    <w:rsid w:val="002E58D4"/>
    <w:rsid w:val="002F242A"/>
    <w:rsid w:val="002F7FD7"/>
    <w:rsid w:val="0030706F"/>
    <w:rsid w:val="003120DE"/>
    <w:rsid w:val="00322A06"/>
    <w:rsid w:val="00355E28"/>
    <w:rsid w:val="00356CAA"/>
    <w:rsid w:val="00366F18"/>
    <w:rsid w:val="003673F6"/>
    <w:rsid w:val="003845BE"/>
    <w:rsid w:val="00387719"/>
    <w:rsid w:val="00391AE3"/>
    <w:rsid w:val="003A175D"/>
    <w:rsid w:val="003A7CD2"/>
    <w:rsid w:val="003B5490"/>
    <w:rsid w:val="003C1678"/>
    <w:rsid w:val="003C78AF"/>
    <w:rsid w:val="003D069C"/>
    <w:rsid w:val="003E07D8"/>
    <w:rsid w:val="003E218C"/>
    <w:rsid w:val="003E2A08"/>
    <w:rsid w:val="003F113A"/>
    <w:rsid w:val="003F5B14"/>
    <w:rsid w:val="003F6CF1"/>
    <w:rsid w:val="0042372D"/>
    <w:rsid w:val="004239C7"/>
    <w:rsid w:val="00430200"/>
    <w:rsid w:val="00440F9B"/>
    <w:rsid w:val="004421E5"/>
    <w:rsid w:val="00443880"/>
    <w:rsid w:val="00452284"/>
    <w:rsid w:val="00453472"/>
    <w:rsid w:val="004846FE"/>
    <w:rsid w:val="00486948"/>
    <w:rsid w:val="00486AC6"/>
    <w:rsid w:val="00491A7E"/>
    <w:rsid w:val="00491D70"/>
    <w:rsid w:val="0049705E"/>
    <w:rsid w:val="004A6925"/>
    <w:rsid w:val="004A6C72"/>
    <w:rsid w:val="004C0967"/>
    <w:rsid w:val="004C3F3E"/>
    <w:rsid w:val="004D7F87"/>
    <w:rsid w:val="004E63BF"/>
    <w:rsid w:val="00502838"/>
    <w:rsid w:val="005236A7"/>
    <w:rsid w:val="00526B7B"/>
    <w:rsid w:val="005308CE"/>
    <w:rsid w:val="00541004"/>
    <w:rsid w:val="00543D33"/>
    <w:rsid w:val="00550D94"/>
    <w:rsid w:val="0056060F"/>
    <w:rsid w:val="005620E2"/>
    <w:rsid w:val="005664F8"/>
    <w:rsid w:val="0057439C"/>
    <w:rsid w:val="00580F3E"/>
    <w:rsid w:val="00582435"/>
    <w:rsid w:val="005A2132"/>
    <w:rsid w:val="005B0127"/>
    <w:rsid w:val="005C094D"/>
    <w:rsid w:val="005C4B73"/>
    <w:rsid w:val="005F0ECE"/>
    <w:rsid w:val="005F1DA1"/>
    <w:rsid w:val="00600D93"/>
    <w:rsid w:val="00601EC1"/>
    <w:rsid w:val="00624E06"/>
    <w:rsid w:val="00627C5C"/>
    <w:rsid w:val="00635F5A"/>
    <w:rsid w:val="00655736"/>
    <w:rsid w:val="006573F7"/>
    <w:rsid w:val="0066364F"/>
    <w:rsid w:val="00663B8D"/>
    <w:rsid w:val="006752E1"/>
    <w:rsid w:val="0068134C"/>
    <w:rsid w:val="00687F24"/>
    <w:rsid w:val="006923BD"/>
    <w:rsid w:val="00696C8D"/>
    <w:rsid w:val="006A2AC2"/>
    <w:rsid w:val="006A3617"/>
    <w:rsid w:val="006B5001"/>
    <w:rsid w:val="006D21D9"/>
    <w:rsid w:val="006D2536"/>
    <w:rsid w:val="006E46E4"/>
    <w:rsid w:val="006F44D6"/>
    <w:rsid w:val="006F4DA6"/>
    <w:rsid w:val="00702329"/>
    <w:rsid w:val="00707B1E"/>
    <w:rsid w:val="00717DBD"/>
    <w:rsid w:val="00723D13"/>
    <w:rsid w:val="00750952"/>
    <w:rsid w:val="00761349"/>
    <w:rsid w:val="00762C24"/>
    <w:rsid w:val="00762C35"/>
    <w:rsid w:val="00764CF9"/>
    <w:rsid w:val="007758BC"/>
    <w:rsid w:val="00784B8C"/>
    <w:rsid w:val="007F1754"/>
    <w:rsid w:val="00803157"/>
    <w:rsid w:val="008055DE"/>
    <w:rsid w:val="008064F0"/>
    <w:rsid w:val="008237A0"/>
    <w:rsid w:val="00823A11"/>
    <w:rsid w:val="00824EF7"/>
    <w:rsid w:val="00844105"/>
    <w:rsid w:val="00853034"/>
    <w:rsid w:val="0085414A"/>
    <w:rsid w:val="00860DEB"/>
    <w:rsid w:val="0086269D"/>
    <w:rsid w:val="00863302"/>
    <w:rsid w:val="008656EE"/>
    <w:rsid w:val="008712A2"/>
    <w:rsid w:val="00871C8F"/>
    <w:rsid w:val="008724E5"/>
    <w:rsid w:val="0087756E"/>
    <w:rsid w:val="00880142"/>
    <w:rsid w:val="00884A9D"/>
    <w:rsid w:val="0089371E"/>
    <w:rsid w:val="008A4E1E"/>
    <w:rsid w:val="008C296C"/>
    <w:rsid w:val="008D2FD1"/>
    <w:rsid w:val="008D3134"/>
    <w:rsid w:val="008D4305"/>
    <w:rsid w:val="008E066D"/>
    <w:rsid w:val="008E5043"/>
    <w:rsid w:val="009068AB"/>
    <w:rsid w:val="00913D86"/>
    <w:rsid w:val="009163A7"/>
    <w:rsid w:val="00922E3E"/>
    <w:rsid w:val="00933C6B"/>
    <w:rsid w:val="00950F68"/>
    <w:rsid w:val="009523C1"/>
    <w:rsid w:val="0095371E"/>
    <w:rsid w:val="00962119"/>
    <w:rsid w:val="009712A4"/>
    <w:rsid w:val="00974249"/>
    <w:rsid w:val="009A0697"/>
    <w:rsid w:val="009A18CD"/>
    <w:rsid w:val="009B4755"/>
    <w:rsid w:val="009D4A46"/>
    <w:rsid w:val="009E1B50"/>
    <w:rsid w:val="009F17B5"/>
    <w:rsid w:val="00A078D6"/>
    <w:rsid w:val="00A12558"/>
    <w:rsid w:val="00A13903"/>
    <w:rsid w:val="00A139F1"/>
    <w:rsid w:val="00A22F52"/>
    <w:rsid w:val="00A32E09"/>
    <w:rsid w:val="00A34ED5"/>
    <w:rsid w:val="00A443A6"/>
    <w:rsid w:val="00A45DBF"/>
    <w:rsid w:val="00A600BA"/>
    <w:rsid w:val="00A61C6E"/>
    <w:rsid w:val="00A755A2"/>
    <w:rsid w:val="00A8458C"/>
    <w:rsid w:val="00A903CF"/>
    <w:rsid w:val="00A90761"/>
    <w:rsid w:val="00A91141"/>
    <w:rsid w:val="00A976DC"/>
    <w:rsid w:val="00AA6E05"/>
    <w:rsid w:val="00AA74F5"/>
    <w:rsid w:val="00AA7D32"/>
    <w:rsid w:val="00AB2C36"/>
    <w:rsid w:val="00AB537D"/>
    <w:rsid w:val="00AB568F"/>
    <w:rsid w:val="00AC230B"/>
    <w:rsid w:val="00AD1A86"/>
    <w:rsid w:val="00AE0B3E"/>
    <w:rsid w:val="00AE103E"/>
    <w:rsid w:val="00AE6A61"/>
    <w:rsid w:val="00AF0A07"/>
    <w:rsid w:val="00AF5AE5"/>
    <w:rsid w:val="00AF625E"/>
    <w:rsid w:val="00AF721B"/>
    <w:rsid w:val="00B03611"/>
    <w:rsid w:val="00B03E71"/>
    <w:rsid w:val="00B0635A"/>
    <w:rsid w:val="00B152B1"/>
    <w:rsid w:val="00B216FE"/>
    <w:rsid w:val="00B2299B"/>
    <w:rsid w:val="00B43004"/>
    <w:rsid w:val="00B43974"/>
    <w:rsid w:val="00B653B0"/>
    <w:rsid w:val="00B71C2E"/>
    <w:rsid w:val="00B80A05"/>
    <w:rsid w:val="00B90701"/>
    <w:rsid w:val="00BC0335"/>
    <w:rsid w:val="00BC3420"/>
    <w:rsid w:val="00BC6A35"/>
    <w:rsid w:val="00BD52C9"/>
    <w:rsid w:val="00BE1454"/>
    <w:rsid w:val="00BE6354"/>
    <w:rsid w:val="00C15249"/>
    <w:rsid w:val="00C2075C"/>
    <w:rsid w:val="00C21BF5"/>
    <w:rsid w:val="00C22C21"/>
    <w:rsid w:val="00C279FB"/>
    <w:rsid w:val="00C3005A"/>
    <w:rsid w:val="00C358C4"/>
    <w:rsid w:val="00C377F5"/>
    <w:rsid w:val="00C43D96"/>
    <w:rsid w:val="00C51625"/>
    <w:rsid w:val="00C57AA0"/>
    <w:rsid w:val="00C70EA7"/>
    <w:rsid w:val="00C748CE"/>
    <w:rsid w:val="00C7516E"/>
    <w:rsid w:val="00C77FB5"/>
    <w:rsid w:val="00C802B0"/>
    <w:rsid w:val="00C9009D"/>
    <w:rsid w:val="00C962CF"/>
    <w:rsid w:val="00C96DD2"/>
    <w:rsid w:val="00CA074F"/>
    <w:rsid w:val="00CA627D"/>
    <w:rsid w:val="00CB2469"/>
    <w:rsid w:val="00CB4FB0"/>
    <w:rsid w:val="00CB66E1"/>
    <w:rsid w:val="00CC14C1"/>
    <w:rsid w:val="00CC69D3"/>
    <w:rsid w:val="00CD7DE5"/>
    <w:rsid w:val="00CF5A60"/>
    <w:rsid w:val="00D24877"/>
    <w:rsid w:val="00D302EB"/>
    <w:rsid w:val="00D45AF2"/>
    <w:rsid w:val="00D6334C"/>
    <w:rsid w:val="00D75D42"/>
    <w:rsid w:val="00D836EB"/>
    <w:rsid w:val="00DA12F6"/>
    <w:rsid w:val="00DA36ED"/>
    <w:rsid w:val="00DA537C"/>
    <w:rsid w:val="00DB4A84"/>
    <w:rsid w:val="00DC7FFC"/>
    <w:rsid w:val="00DD2024"/>
    <w:rsid w:val="00DE19F2"/>
    <w:rsid w:val="00DE34F1"/>
    <w:rsid w:val="00DF2185"/>
    <w:rsid w:val="00DF4942"/>
    <w:rsid w:val="00E114B7"/>
    <w:rsid w:val="00E11759"/>
    <w:rsid w:val="00E22288"/>
    <w:rsid w:val="00E32407"/>
    <w:rsid w:val="00E37836"/>
    <w:rsid w:val="00E531B4"/>
    <w:rsid w:val="00E627B1"/>
    <w:rsid w:val="00E62B4C"/>
    <w:rsid w:val="00E738B9"/>
    <w:rsid w:val="00E80CE1"/>
    <w:rsid w:val="00E81FA1"/>
    <w:rsid w:val="00E84C78"/>
    <w:rsid w:val="00E9376C"/>
    <w:rsid w:val="00EC2100"/>
    <w:rsid w:val="00ED7659"/>
    <w:rsid w:val="00F02EA8"/>
    <w:rsid w:val="00F06974"/>
    <w:rsid w:val="00F12FDE"/>
    <w:rsid w:val="00F134B7"/>
    <w:rsid w:val="00F26FD6"/>
    <w:rsid w:val="00F36C16"/>
    <w:rsid w:val="00F576CB"/>
    <w:rsid w:val="00F636C1"/>
    <w:rsid w:val="00F73752"/>
    <w:rsid w:val="00FB4625"/>
    <w:rsid w:val="00FC2940"/>
    <w:rsid w:val="00FC4715"/>
    <w:rsid w:val="00FD122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F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CB66E1"/>
    <w:pPr>
      <w:ind w:left="708"/>
    </w:pPr>
    <w:rPr>
      <w:rFonts w:eastAsia="SimSun"/>
      <w:lang w:val="en-US" w:eastAsia="en-US"/>
    </w:rPr>
  </w:style>
  <w:style w:type="paragraph" w:customStyle="1" w:styleId="COMPara">
    <w:name w:val="COM Para"/>
    <w:qFormat/>
    <w:rsid w:val="00486AC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DocMain">
    <w:name w:val="Doc_Main"/>
    <w:basedOn w:val="Normal"/>
    <w:uiPriority w:val="99"/>
    <w:qFormat/>
    <w:rsid w:val="00486AC6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hps">
    <w:name w:val="hps"/>
    <w:rsid w:val="00486AC6"/>
  </w:style>
  <w:style w:type="paragraph" w:customStyle="1" w:styleId="NoSpacing1">
    <w:name w:val="No Spacing1"/>
    <w:uiPriority w:val="99"/>
    <w:qFormat/>
    <w:rsid w:val="00486AC6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0932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055D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D29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ragraphChar">
    <w:name w:val="Paragraph Char"/>
    <w:link w:val="Paragraph"/>
    <w:locked/>
    <w:rsid w:val="00D45AF2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D45AF2"/>
    <w:pPr>
      <w:tabs>
        <w:tab w:val="num" w:pos="360"/>
      </w:tabs>
      <w:snapToGrid w:val="0"/>
      <w:spacing w:after="240"/>
      <w:ind w:left="360" w:hanging="360"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035BA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05128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128"/>
    <w:rPr>
      <w:rFonts w:ascii="Times New Roman" w:eastAsia="Times New Roman" w:hAnsi="Times New Roman"/>
      <w:lang w:val="en-GB"/>
    </w:rPr>
  </w:style>
  <w:style w:type="character" w:customStyle="1" w:styleId="MargeChar">
    <w:name w:val="Marge Char"/>
    <w:link w:val="Marge"/>
    <w:rsid w:val="00CC14C1"/>
    <w:rPr>
      <w:rFonts w:ascii="Arial" w:eastAsia="Times New Roman" w:hAnsi="Arial"/>
      <w:snapToGrid w:val="0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F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CB66E1"/>
    <w:pPr>
      <w:ind w:left="708"/>
    </w:pPr>
    <w:rPr>
      <w:rFonts w:eastAsia="SimSun"/>
      <w:lang w:val="en-US" w:eastAsia="en-US"/>
    </w:rPr>
  </w:style>
  <w:style w:type="paragraph" w:customStyle="1" w:styleId="COMPara">
    <w:name w:val="COM Para"/>
    <w:qFormat/>
    <w:rsid w:val="00486AC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DocMain">
    <w:name w:val="Doc_Main"/>
    <w:basedOn w:val="Normal"/>
    <w:uiPriority w:val="99"/>
    <w:qFormat/>
    <w:rsid w:val="00486AC6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hps">
    <w:name w:val="hps"/>
    <w:rsid w:val="00486AC6"/>
  </w:style>
  <w:style w:type="paragraph" w:customStyle="1" w:styleId="NoSpacing1">
    <w:name w:val="No Spacing1"/>
    <w:uiPriority w:val="99"/>
    <w:qFormat/>
    <w:rsid w:val="00486AC6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0932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055D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D29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ragraphChar">
    <w:name w:val="Paragraph Char"/>
    <w:link w:val="Paragraph"/>
    <w:locked/>
    <w:rsid w:val="00D45AF2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D45AF2"/>
    <w:pPr>
      <w:tabs>
        <w:tab w:val="num" w:pos="360"/>
      </w:tabs>
      <w:snapToGrid w:val="0"/>
      <w:spacing w:after="240"/>
      <w:ind w:left="360" w:hanging="360"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035BA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05128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128"/>
    <w:rPr>
      <w:rFonts w:ascii="Times New Roman" w:eastAsia="Times New Roman" w:hAnsi="Times New Roman"/>
      <w:lang w:val="en-GB"/>
    </w:rPr>
  </w:style>
  <w:style w:type="character" w:customStyle="1" w:styleId="MargeChar">
    <w:name w:val="Marge Char"/>
    <w:link w:val="Marge"/>
    <w:rsid w:val="00CC14C1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esco.org/culture/ich/fr/10COM-BUREA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rigitte\Documents\Clients\UNESCO\Patrimoine%20immat&#233;riel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BE25-433F-4FB3-A1E9-C6303010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2</TotalTime>
  <Pages>3</Pages>
  <Words>1066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varnet</dc:creator>
  <cp:lastModifiedBy>Elena Constantinou</cp:lastModifiedBy>
  <cp:revision>6</cp:revision>
  <cp:lastPrinted>2011-08-06T10:22:00Z</cp:lastPrinted>
  <dcterms:created xsi:type="dcterms:W3CDTF">2015-11-24T11:29:00Z</dcterms:created>
  <dcterms:modified xsi:type="dcterms:W3CDTF">2015-12-17T11:39:00Z</dcterms:modified>
</cp:coreProperties>
</file>