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D400" w14:textId="3288B952"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w:t>
      </w:r>
      <w:r w:rsidR="00AF70A0">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6C8FD359"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64ABE4E2" w14:textId="77777777" w:rsidR="00EC6F8D" w:rsidRPr="00293C60" w:rsidRDefault="00CB0542" w:rsidP="00EC6F8D">
      <w:pPr>
        <w:spacing w:before="840"/>
        <w:jc w:val="center"/>
        <w:rPr>
          <w:rFonts w:ascii="Arial" w:hAnsi="Arial" w:cs="Arial"/>
          <w:b/>
          <w:sz w:val="22"/>
          <w:szCs w:val="22"/>
          <w:lang w:val="en-GB"/>
        </w:rPr>
      </w:pPr>
      <w:r>
        <w:rPr>
          <w:rFonts w:ascii="Arial" w:hAnsi="Arial" w:cs="Arial"/>
          <w:b/>
          <w:sz w:val="22"/>
          <w:szCs w:val="22"/>
          <w:lang w:val="en-GB"/>
        </w:rPr>
        <w:t>Eleventh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31788D24" w14:textId="77777777" w:rsidR="009D5428" w:rsidRDefault="00CB0542" w:rsidP="005E7074">
      <w:pPr>
        <w:jc w:val="center"/>
        <w:rPr>
          <w:rFonts w:ascii="Arial" w:hAnsi="Arial" w:cs="Arial"/>
          <w:b/>
          <w:sz w:val="22"/>
          <w:szCs w:val="22"/>
          <w:lang w:val="en-GB"/>
        </w:rPr>
      </w:pPr>
      <w:r>
        <w:rPr>
          <w:rFonts w:ascii="Arial" w:hAnsi="Arial" w:cs="Arial"/>
          <w:b/>
          <w:sz w:val="22"/>
          <w:szCs w:val="22"/>
          <w:lang w:val="en-GB"/>
        </w:rPr>
        <w:t>Addis Ababa, Ethiopia</w:t>
      </w:r>
    </w:p>
    <w:p w14:paraId="78CB6C26" w14:textId="77777777" w:rsidR="00EC6F8D" w:rsidRPr="00293C60" w:rsidRDefault="00CB0542" w:rsidP="00EC6F8D">
      <w:pPr>
        <w:jc w:val="center"/>
        <w:rPr>
          <w:rFonts w:ascii="Arial" w:hAnsi="Arial" w:cs="Arial"/>
          <w:b/>
          <w:sz w:val="22"/>
          <w:szCs w:val="22"/>
          <w:lang w:val="en-GB"/>
        </w:rPr>
      </w:pPr>
      <w:r>
        <w:rPr>
          <w:rFonts w:ascii="Arial" w:hAnsi="Arial" w:cs="Arial"/>
          <w:b/>
          <w:sz w:val="22"/>
          <w:szCs w:val="22"/>
          <w:lang w:val="en-GB"/>
        </w:rPr>
        <w:t>28</w:t>
      </w:r>
      <w:r w:rsidR="00D8250F">
        <w:rPr>
          <w:rFonts w:ascii="Arial" w:hAnsi="Arial" w:cs="Arial"/>
          <w:b/>
          <w:sz w:val="22"/>
          <w:szCs w:val="22"/>
          <w:lang w:val="en-GB"/>
        </w:rPr>
        <w:t xml:space="preserve"> November</w:t>
      </w:r>
      <w:r w:rsidR="00EC6F8D" w:rsidRPr="00EC6F8D">
        <w:rPr>
          <w:rFonts w:ascii="Arial" w:hAnsi="Arial" w:cs="Arial"/>
          <w:b/>
          <w:sz w:val="22"/>
          <w:szCs w:val="22"/>
          <w:lang w:val="en-GB"/>
        </w:rPr>
        <w:t xml:space="preserve"> to </w:t>
      </w:r>
      <w:r>
        <w:rPr>
          <w:rFonts w:ascii="Arial" w:hAnsi="Arial" w:cs="Arial"/>
          <w:b/>
          <w:sz w:val="22"/>
          <w:szCs w:val="22"/>
          <w:lang w:val="en-GB"/>
        </w:rPr>
        <w:t>2 December 2016</w:t>
      </w:r>
    </w:p>
    <w:p w14:paraId="2F00F859" w14:textId="77777777" w:rsidR="00EC6F8D" w:rsidRPr="00293C60" w:rsidRDefault="00EC6F8D" w:rsidP="00EC6F8D">
      <w:pPr>
        <w:pStyle w:val="Sansinterligne2"/>
        <w:spacing w:before="1200"/>
        <w:jc w:val="center"/>
        <w:rPr>
          <w:rFonts w:ascii="Arial" w:hAnsi="Arial" w:cs="Arial"/>
          <w:b/>
          <w:sz w:val="22"/>
          <w:szCs w:val="22"/>
          <w:lang w:val="en-GB"/>
        </w:rPr>
      </w:pPr>
      <w:r w:rsidRPr="00330480">
        <w:rPr>
          <w:rFonts w:ascii="Arial" w:hAnsi="Arial" w:cs="Arial"/>
          <w:b/>
          <w:sz w:val="22"/>
          <w:szCs w:val="22"/>
          <w:u w:val="single"/>
          <w:lang w:val="en-GB"/>
        </w:rPr>
        <w:t xml:space="preserve">Item </w:t>
      </w:r>
      <w:r w:rsidR="00330480" w:rsidRPr="00330480">
        <w:rPr>
          <w:rFonts w:ascii="Arial" w:hAnsi="Arial" w:cs="Arial"/>
          <w:b/>
          <w:sz w:val="22"/>
          <w:szCs w:val="22"/>
          <w:u w:val="single"/>
          <w:lang w:val="en-GB"/>
        </w:rPr>
        <w:t>7</w:t>
      </w:r>
      <w:r w:rsidRPr="00330480">
        <w:rPr>
          <w:rFonts w:ascii="Arial" w:hAnsi="Arial" w:cs="Arial"/>
          <w:b/>
          <w:sz w:val="22"/>
          <w:szCs w:val="22"/>
          <w:u w:val="single"/>
          <w:lang w:val="en-GB"/>
        </w:rPr>
        <w:t xml:space="preserve"> of the Provisional Agenda</w:t>
      </w:r>
      <w:r w:rsidRPr="00330480">
        <w:rPr>
          <w:rFonts w:ascii="Arial" w:hAnsi="Arial" w:cs="Arial"/>
          <w:b/>
          <w:sz w:val="22"/>
          <w:szCs w:val="22"/>
          <w:lang w:val="en-GB"/>
        </w:rPr>
        <w:t>:</w:t>
      </w:r>
    </w:p>
    <w:p w14:paraId="534442A0" w14:textId="5078ABEA" w:rsidR="00EC6F8D" w:rsidRPr="00293C60" w:rsidRDefault="00330480" w:rsidP="00EC6F8D">
      <w:pPr>
        <w:pStyle w:val="Sansinterligne2"/>
        <w:spacing w:after="1200"/>
        <w:jc w:val="center"/>
        <w:rPr>
          <w:rFonts w:ascii="Arial" w:hAnsi="Arial" w:cs="Arial"/>
          <w:b/>
          <w:sz w:val="22"/>
          <w:szCs w:val="22"/>
          <w:lang w:val="en-GB"/>
        </w:rPr>
      </w:pPr>
      <w:r w:rsidRPr="00330480">
        <w:rPr>
          <w:rFonts w:ascii="Arial" w:hAnsi="Arial" w:cs="Arial"/>
          <w:b/>
          <w:sz w:val="22"/>
          <w:szCs w:val="22"/>
          <w:lang w:val="en-GB"/>
        </w:rPr>
        <w:t>Follow-up to the recommenda</w:t>
      </w:r>
      <w:r w:rsidR="00AF70A0">
        <w:rPr>
          <w:rFonts w:ascii="Arial" w:hAnsi="Arial" w:cs="Arial"/>
          <w:b/>
          <w:sz w:val="22"/>
          <w:szCs w:val="22"/>
          <w:lang w:val="en-GB"/>
        </w:rPr>
        <w:t>tions of the External Auditor’s</w:t>
      </w:r>
      <w:r>
        <w:rPr>
          <w:rFonts w:ascii="Arial" w:hAnsi="Arial" w:cs="Arial"/>
          <w:b/>
          <w:sz w:val="22"/>
          <w:szCs w:val="22"/>
          <w:lang w:val="en-GB"/>
        </w:rPr>
        <w:br/>
      </w:r>
      <w:r w:rsidRPr="00330480">
        <w:rPr>
          <w:rFonts w:ascii="Arial" w:hAnsi="Arial" w:cs="Arial"/>
          <w:b/>
          <w:sz w:val="22"/>
          <w:szCs w:val="22"/>
          <w:lang w:val="en-GB"/>
        </w:rPr>
        <w:t>‘Report on the governance of UNESCO and dependant funds, programmes and entities’ (Document 38C/23)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F5B67" w14:paraId="65218D42" w14:textId="77777777" w:rsidTr="00EC6F8D">
        <w:trPr>
          <w:jc w:val="center"/>
        </w:trPr>
        <w:tc>
          <w:tcPr>
            <w:tcW w:w="5670" w:type="dxa"/>
            <w:vAlign w:val="center"/>
          </w:tcPr>
          <w:p w14:paraId="7CBCDB39" w14:textId="77777777" w:rsidR="00EC6F8D" w:rsidRPr="00DA7318" w:rsidRDefault="00EC6F8D" w:rsidP="00CA56BB">
            <w:pPr>
              <w:pStyle w:val="Sansinterligne1"/>
              <w:spacing w:before="200" w:after="200"/>
              <w:jc w:val="center"/>
              <w:rPr>
                <w:rFonts w:ascii="Arial" w:hAnsi="Arial" w:cs="Arial"/>
                <w:b/>
                <w:sz w:val="22"/>
                <w:szCs w:val="22"/>
                <w:lang w:val="en-GB"/>
              </w:rPr>
            </w:pPr>
            <w:r w:rsidRPr="00DA7318">
              <w:rPr>
                <w:rFonts w:ascii="Arial" w:hAnsi="Arial" w:cs="Arial"/>
                <w:b/>
                <w:sz w:val="22"/>
                <w:szCs w:val="22"/>
                <w:lang w:val="en-GB"/>
              </w:rPr>
              <w:t>Summary</w:t>
            </w:r>
          </w:p>
          <w:p w14:paraId="74331782" w14:textId="77777777" w:rsidR="00862914" w:rsidRDefault="009648D3" w:rsidP="00EC19CD">
            <w:pPr>
              <w:pStyle w:val="Sansinterligne1"/>
              <w:spacing w:before="200" w:after="200"/>
              <w:jc w:val="both"/>
              <w:rPr>
                <w:rFonts w:ascii="Arial" w:hAnsi="Arial" w:cs="Arial"/>
                <w:sz w:val="22"/>
                <w:szCs w:val="22"/>
                <w:lang w:val="en-GB"/>
              </w:rPr>
            </w:pPr>
            <w:r w:rsidRPr="00DA7318">
              <w:rPr>
                <w:rFonts w:ascii="Arial" w:hAnsi="Arial" w:cs="Arial"/>
                <w:sz w:val="22"/>
                <w:szCs w:val="22"/>
                <w:lang w:val="en-GB"/>
              </w:rPr>
              <w:t xml:space="preserve">The General Conference of UNESCO at its thirty-eighth session </w:t>
            </w:r>
            <w:r w:rsidR="00DC152C" w:rsidRPr="00DA7318">
              <w:rPr>
                <w:rFonts w:ascii="Arial" w:hAnsi="Arial" w:cs="Arial"/>
                <w:sz w:val="22"/>
                <w:szCs w:val="22"/>
                <w:lang w:val="en-GB"/>
              </w:rPr>
              <w:t xml:space="preserve">by its </w:t>
            </w:r>
            <w:r w:rsidRPr="00DA7318">
              <w:rPr>
                <w:rFonts w:ascii="Arial" w:hAnsi="Arial" w:cs="Arial"/>
                <w:sz w:val="22"/>
                <w:szCs w:val="22"/>
                <w:lang w:val="en-GB"/>
              </w:rPr>
              <w:t>38 C/Resolution </w:t>
            </w:r>
            <w:r w:rsidR="00DC152C" w:rsidRPr="00DA7318">
              <w:rPr>
                <w:rFonts w:ascii="Arial" w:hAnsi="Arial" w:cs="Arial"/>
                <w:sz w:val="22"/>
                <w:szCs w:val="22"/>
                <w:lang w:val="en-GB"/>
              </w:rPr>
              <w:t>101</w:t>
            </w:r>
            <w:r w:rsidR="00EC19CD" w:rsidRPr="00DA7318">
              <w:rPr>
                <w:rFonts w:ascii="Arial" w:hAnsi="Arial" w:cs="Arial"/>
                <w:sz w:val="22"/>
                <w:szCs w:val="22"/>
                <w:lang w:val="en-GB"/>
              </w:rPr>
              <w:t xml:space="preserve">, invited all intergovernmental programmes, committees and </w:t>
            </w:r>
            <w:r w:rsidR="002562D6" w:rsidRPr="00DA7318">
              <w:rPr>
                <w:rFonts w:ascii="Arial" w:hAnsi="Arial" w:cs="Arial"/>
                <w:sz w:val="22"/>
                <w:szCs w:val="22"/>
                <w:lang w:val="en-GB"/>
              </w:rPr>
              <w:t>organs</w:t>
            </w:r>
            <w:r w:rsidR="00EC19CD" w:rsidRPr="00DA7318">
              <w:rPr>
                <w:rFonts w:ascii="Arial" w:hAnsi="Arial" w:cs="Arial"/>
                <w:sz w:val="22"/>
                <w:szCs w:val="22"/>
                <w:lang w:val="en-GB"/>
              </w:rPr>
              <w:t xml:space="preserve"> of the Conventions to inscribe, in 2016 if feasible, an item on their agenda concerning the follow-up to the recommendat</w:t>
            </w:r>
            <w:r w:rsidR="004F5B67" w:rsidRPr="00DA7318">
              <w:rPr>
                <w:rFonts w:ascii="Arial" w:hAnsi="Arial" w:cs="Arial"/>
                <w:sz w:val="22"/>
                <w:szCs w:val="22"/>
                <w:lang w:val="en-GB"/>
              </w:rPr>
              <w:t>ions of the External Auditor’s ‘</w:t>
            </w:r>
            <w:r w:rsidR="00EC19CD" w:rsidRPr="00DA7318">
              <w:rPr>
                <w:rFonts w:ascii="Arial" w:hAnsi="Arial" w:cs="Arial"/>
                <w:sz w:val="22"/>
                <w:szCs w:val="22"/>
                <w:lang w:val="en-GB"/>
              </w:rPr>
              <w:t>Report on the governance of UNESCO and dependant</w:t>
            </w:r>
            <w:r w:rsidR="004F5B67" w:rsidRPr="00DA7318">
              <w:rPr>
                <w:rFonts w:ascii="Arial" w:hAnsi="Arial" w:cs="Arial"/>
                <w:sz w:val="22"/>
                <w:szCs w:val="22"/>
                <w:lang w:val="en-GB"/>
              </w:rPr>
              <w:t xml:space="preserve"> funds, programmes and entities’</w:t>
            </w:r>
            <w:r w:rsidR="00EC19CD" w:rsidRPr="00DA7318">
              <w:rPr>
                <w:rFonts w:ascii="Arial" w:hAnsi="Arial" w:cs="Arial"/>
                <w:sz w:val="22"/>
                <w:szCs w:val="22"/>
                <w:lang w:val="en-GB"/>
              </w:rPr>
              <w:t xml:space="preserve"> contained in Document 38 C/23.</w:t>
            </w:r>
            <w:r w:rsidR="00E27A52" w:rsidRPr="00DA7318">
              <w:rPr>
                <w:rFonts w:ascii="Arial" w:hAnsi="Arial" w:cs="Arial"/>
                <w:sz w:val="22"/>
                <w:szCs w:val="22"/>
                <w:lang w:val="en-GB"/>
              </w:rPr>
              <w:t xml:space="preserve"> </w:t>
            </w:r>
            <w:r w:rsidR="00377E36" w:rsidRPr="00DA7318">
              <w:rPr>
                <w:rFonts w:ascii="Arial" w:hAnsi="Arial" w:cs="Arial"/>
                <w:sz w:val="22"/>
                <w:szCs w:val="22"/>
                <w:lang w:val="en-GB"/>
              </w:rPr>
              <w:t xml:space="preserve">This document presents recent situations </w:t>
            </w:r>
            <w:r w:rsidR="00AF2A8D" w:rsidRPr="00DA7318">
              <w:rPr>
                <w:rFonts w:ascii="Arial" w:hAnsi="Arial" w:cs="Arial"/>
                <w:sz w:val="22"/>
                <w:szCs w:val="22"/>
                <w:lang w:val="en-GB"/>
              </w:rPr>
              <w:t xml:space="preserve">as </w:t>
            </w:r>
            <w:r w:rsidR="00377E36" w:rsidRPr="00DA7318">
              <w:rPr>
                <w:rFonts w:ascii="Arial" w:hAnsi="Arial" w:cs="Arial"/>
                <w:sz w:val="22"/>
                <w:szCs w:val="22"/>
                <w:lang w:val="en-GB"/>
              </w:rPr>
              <w:t>regards the recommendations of the External Auditor’s report</w:t>
            </w:r>
            <w:r w:rsidR="008B2782">
              <w:rPr>
                <w:rFonts w:ascii="Arial" w:hAnsi="Arial" w:cs="Arial"/>
                <w:sz w:val="22"/>
                <w:szCs w:val="22"/>
                <w:lang w:val="en-GB"/>
              </w:rPr>
              <w:t>,</w:t>
            </w:r>
            <w:r w:rsidR="00377E36" w:rsidRPr="00DA7318">
              <w:rPr>
                <w:rFonts w:ascii="Arial" w:hAnsi="Arial" w:cs="Arial"/>
                <w:sz w:val="22"/>
                <w:szCs w:val="22"/>
                <w:lang w:val="en-GB"/>
              </w:rPr>
              <w:t xml:space="preserve"> which are of direct relevance to the governing organs of the 2003 Convention.</w:t>
            </w:r>
          </w:p>
          <w:p w14:paraId="6719D587" w14:textId="77777777" w:rsidR="00EC6F8D" w:rsidRPr="00293C60" w:rsidRDefault="00EC6F8D" w:rsidP="00DC152C">
            <w:pPr>
              <w:pStyle w:val="Sansinterligne1"/>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007D43FA">
              <w:rPr>
                <w:rFonts w:ascii="Arial" w:hAnsi="Arial" w:cs="Arial"/>
                <w:bCs/>
                <w:sz w:val="22"/>
                <w:szCs w:val="22"/>
                <w:lang w:val="en-GB"/>
              </w:rPr>
              <w:t>Para</w:t>
            </w:r>
            <w:r w:rsidR="00862914">
              <w:rPr>
                <w:rFonts w:ascii="Arial" w:hAnsi="Arial" w:cs="Arial"/>
                <w:bCs/>
                <w:sz w:val="22"/>
                <w:szCs w:val="22"/>
                <w:lang w:val="en-GB"/>
              </w:rPr>
              <w:t>graph</w:t>
            </w:r>
            <w:r w:rsidR="007D43FA">
              <w:rPr>
                <w:rFonts w:ascii="Arial" w:hAnsi="Arial" w:cs="Arial"/>
                <w:bCs/>
                <w:sz w:val="22"/>
                <w:szCs w:val="22"/>
                <w:lang w:val="en-GB"/>
              </w:rPr>
              <w:t xml:space="preserve"> 10</w:t>
            </w:r>
          </w:p>
        </w:tc>
      </w:tr>
    </w:tbl>
    <w:p w14:paraId="34910335" w14:textId="3A97367E" w:rsidR="00CC5CF6" w:rsidRDefault="009648D3" w:rsidP="004744BE">
      <w:pPr>
        <w:pStyle w:val="COMPara"/>
        <w:numPr>
          <w:ilvl w:val="0"/>
          <w:numId w:val="17"/>
        </w:numPr>
        <w:jc w:val="both"/>
      </w:pPr>
      <w:r>
        <w:lastRenderedPageBreak/>
        <w:t>At its</w:t>
      </w:r>
      <w:r w:rsidRPr="00CC5CF6">
        <w:t xml:space="preserve"> </w:t>
      </w:r>
      <w:r>
        <w:t>thirty-seventh</w:t>
      </w:r>
      <w:r w:rsidRPr="00CC5CF6">
        <w:t xml:space="preserve"> session</w:t>
      </w:r>
      <w:r w:rsidR="00862914">
        <w:t xml:space="preserve"> in </w:t>
      </w:r>
      <w:r w:rsidRPr="00CC5CF6">
        <w:t xml:space="preserve">2013 </w:t>
      </w:r>
      <w:r>
        <w:t>t</w:t>
      </w:r>
      <w:r w:rsidR="00DC152C" w:rsidRPr="00CC5CF6">
        <w:t>he General Conference of UNESCO</w:t>
      </w:r>
      <w:r w:rsidR="00862914">
        <w:t>,</w:t>
      </w:r>
      <w:r w:rsidR="00DC152C" w:rsidRPr="00CC5CF6">
        <w:t xml:space="preserve"> </w:t>
      </w:r>
      <w:r w:rsidR="00171469">
        <w:t>by </w:t>
      </w:r>
      <w:r w:rsidR="00DC152C" w:rsidRPr="00CC5CF6">
        <w:t>37C/Resolution 96</w:t>
      </w:r>
      <w:r w:rsidR="00862914">
        <w:t>,</w:t>
      </w:r>
      <w:r w:rsidR="00DC152C" w:rsidRPr="00CC5CF6">
        <w:t xml:space="preserve"> requested the External Auditor to conduct an audit of the governance of UNESCO as a follow-up to the </w:t>
      </w:r>
      <w:r w:rsidR="00171469" w:rsidRPr="00CC5CF6">
        <w:t xml:space="preserve">recommendations </w:t>
      </w:r>
      <w:r w:rsidR="00171469">
        <w:t xml:space="preserve">by the </w:t>
      </w:r>
      <w:r w:rsidR="00DC152C" w:rsidRPr="00CC5CF6">
        <w:t>United</w:t>
      </w:r>
      <w:r w:rsidR="00171469">
        <w:t xml:space="preserve"> Nations Joint Inspection Unit</w:t>
      </w:r>
      <w:r w:rsidR="00DC152C" w:rsidRPr="00CC5CF6">
        <w:t xml:space="preserve"> (JIU) concerning the methods of work of UNESCO’s intergovernmental bodies. In this Resolution, the General Conference invited all governing bodies, intergovernmental programmes, committees and </w:t>
      </w:r>
      <w:r w:rsidR="002562D6">
        <w:t>organs</w:t>
      </w:r>
      <w:r w:rsidR="00107C68" w:rsidRPr="00CC5CF6">
        <w:t xml:space="preserve"> established by conventions ‘</w:t>
      </w:r>
      <w:r w:rsidR="00DC152C" w:rsidRPr="00CC5CF6">
        <w:t>to perform a self-assessment covering the overall relevance of their work in relation to their specific terms of reference as well as the efficiency and effectiveness of their meetings, including the impa</w:t>
      </w:r>
      <w:r w:rsidR="001A0D84">
        <w:t>ct and utility of experts’ time</w:t>
      </w:r>
      <w:r w:rsidR="00107C68" w:rsidRPr="00CC5CF6">
        <w:t>’</w:t>
      </w:r>
      <w:r w:rsidR="00DC152C" w:rsidRPr="00CC5CF6">
        <w:t xml:space="preserve">. </w:t>
      </w:r>
      <w:r w:rsidR="00FC7015">
        <w:t>Furthermore, t</w:t>
      </w:r>
      <w:r w:rsidR="00CC5CF6" w:rsidRPr="00CC5CF6">
        <w:t xml:space="preserve">he General Conference </w:t>
      </w:r>
      <w:r w:rsidR="004744BE">
        <w:t>invited</w:t>
      </w:r>
      <w:r w:rsidR="004744BE" w:rsidRPr="004744BE">
        <w:t xml:space="preserve"> the </w:t>
      </w:r>
      <w:r w:rsidR="004744BE">
        <w:t>‘</w:t>
      </w:r>
      <w:r w:rsidR="004744BE" w:rsidRPr="004744BE">
        <w:t>External Auditor to facilitate the self-assessment of governing bodies by delivering a common assessment framework</w:t>
      </w:r>
      <w:r w:rsidR="004744BE">
        <w:t>’</w:t>
      </w:r>
      <w:r w:rsidR="00CC5CF6" w:rsidRPr="00CC5CF6">
        <w:t>.</w:t>
      </w:r>
    </w:p>
    <w:p w14:paraId="3A34D847" w14:textId="14FE840E" w:rsidR="001B0BAE" w:rsidRDefault="00FC5CD3" w:rsidP="004849DB">
      <w:pPr>
        <w:pStyle w:val="COMPara"/>
        <w:numPr>
          <w:ilvl w:val="0"/>
          <w:numId w:val="17"/>
        </w:numPr>
        <w:jc w:val="both"/>
      </w:pPr>
      <w:r>
        <w:t>In April 2014, t</w:t>
      </w:r>
      <w:r w:rsidR="00171469">
        <w:t xml:space="preserve">he </w:t>
      </w:r>
      <w:r>
        <w:t>E</w:t>
      </w:r>
      <w:r w:rsidR="009648D3">
        <w:t xml:space="preserve">xternal </w:t>
      </w:r>
      <w:r>
        <w:t>A</w:t>
      </w:r>
      <w:r w:rsidR="00171469" w:rsidRPr="00563371">
        <w:t xml:space="preserve">uditor sent </w:t>
      </w:r>
      <w:r w:rsidR="00171469" w:rsidRPr="00E92AA6">
        <w:t xml:space="preserve">to </w:t>
      </w:r>
      <w:r w:rsidR="00171469">
        <w:t>the</w:t>
      </w:r>
      <w:r w:rsidR="00171469" w:rsidRPr="00563371">
        <w:t xml:space="preserve"> </w:t>
      </w:r>
      <w:r w:rsidR="00C81BED">
        <w:t>Chairs</w:t>
      </w:r>
      <w:r w:rsidR="00C81BED" w:rsidRPr="003833A3">
        <w:t xml:space="preserve"> </w:t>
      </w:r>
      <w:r w:rsidR="00171469" w:rsidRPr="003833A3">
        <w:t>of a</w:t>
      </w:r>
      <w:r w:rsidR="00171469">
        <w:t>ll</w:t>
      </w:r>
      <w:r w:rsidR="00171469" w:rsidRPr="003833A3">
        <w:t xml:space="preserve"> governing bod</w:t>
      </w:r>
      <w:r w:rsidR="00171469">
        <w:t>ies</w:t>
      </w:r>
      <w:r w:rsidR="00171469" w:rsidRPr="003833A3">
        <w:t xml:space="preserve"> of UNESCO </w:t>
      </w:r>
      <w:r w:rsidR="004F5B67">
        <w:t xml:space="preserve">including </w:t>
      </w:r>
      <w:r w:rsidR="004F5B67" w:rsidRPr="004F5B67">
        <w:t>dependant</w:t>
      </w:r>
      <w:r w:rsidR="004F5B67">
        <w:t xml:space="preserve"> funds, programmes and entities</w:t>
      </w:r>
      <w:r w:rsidR="00171469" w:rsidRPr="004F5B67">
        <w:t xml:space="preserve"> </w:t>
      </w:r>
      <w:r w:rsidR="00171469" w:rsidRPr="003833A3">
        <w:t>two questionnaires composing the aforementioned self-assessment framework</w:t>
      </w:r>
      <w:r w:rsidR="00171469">
        <w:t xml:space="preserve">. </w:t>
      </w:r>
      <w:r w:rsidR="007D43FA">
        <w:t>T</w:t>
      </w:r>
      <w:r w:rsidR="00151AD1">
        <w:t>he Secretariat</w:t>
      </w:r>
      <w:r w:rsidR="00AE5FD1">
        <w:t xml:space="preserve"> of the </w:t>
      </w:r>
      <w:r w:rsidR="00447A43">
        <w:t xml:space="preserve">2003 </w:t>
      </w:r>
      <w:r w:rsidR="00AE5FD1">
        <w:t>Convention for the Safeguarding of the Intangible Cultural Heritage</w:t>
      </w:r>
      <w:r w:rsidR="00447A43">
        <w:t xml:space="preserve"> </w:t>
      </w:r>
      <w:r w:rsidR="00447A43" w:rsidRPr="00447A43">
        <w:t xml:space="preserve">(‘the </w:t>
      </w:r>
      <w:r w:rsidR="00447A43">
        <w:t>2003 Convention</w:t>
      </w:r>
      <w:r w:rsidR="00447A43" w:rsidRPr="00447A43">
        <w:t>’)</w:t>
      </w:r>
      <w:r w:rsidR="00151AD1" w:rsidRPr="00447A43">
        <w:t>,</w:t>
      </w:r>
      <w:r w:rsidR="00151AD1">
        <w:t xml:space="preserve"> copied to the message of the external auditor, </w:t>
      </w:r>
      <w:r w:rsidR="00CC5CF6">
        <w:t>forwarded</w:t>
      </w:r>
      <w:r w:rsidR="00CC5CF6" w:rsidRPr="00563371">
        <w:t xml:space="preserve"> the </w:t>
      </w:r>
      <w:r w:rsidR="004744BE">
        <w:t>questionnaire</w:t>
      </w:r>
      <w:r w:rsidR="00171469">
        <w:t>s</w:t>
      </w:r>
      <w:r w:rsidR="00CC5CF6" w:rsidRPr="00563371">
        <w:t xml:space="preserve"> </w:t>
      </w:r>
      <w:r w:rsidR="00862914">
        <w:t xml:space="preserve">in </w:t>
      </w:r>
      <w:r>
        <w:t>June</w:t>
      </w:r>
      <w:r w:rsidR="00862914">
        <w:t xml:space="preserve"> 2014 </w:t>
      </w:r>
      <w:r w:rsidR="00CC5CF6" w:rsidRPr="00563371">
        <w:t xml:space="preserve">to the </w:t>
      </w:r>
      <w:r w:rsidR="00CC5CF6" w:rsidRPr="009C1D73">
        <w:t>Chairperson</w:t>
      </w:r>
      <w:r w:rsidR="0011149B">
        <w:t xml:space="preserve"> of the governing </w:t>
      </w:r>
      <w:r w:rsidR="002562D6">
        <w:t>organs</w:t>
      </w:r>
      <w:r w:rsidR="0011149B">
        <w:t xml:space="preserve"> of </w:t>
      </w:r>
      <w:r w:rsidR="00862914">
        <w:t>the 2003 Convention</w:t>
      </w:r>
      <w:r w:rsidR="00151AD1">
        <w:t xml:space="preserve">. </w:t>
      </w:r>
      <w:r w:rsidR="00AE5FD1">
        <w:t>Consequently, t</w:t>
      </w:r>
      <w:r w:rsidR="00C60F84">
        <w:t>he C</w:t>
      </w:r>
      <w:r w:rsidR="00151AD1">
        <w:t>hairperson</w:t>
      </w:r>
      <w:r w:rsidR="00C60F84">
        <w:t>s</w:t>
      </w:r>
      <w:r w:rsidR="00CC5CF6" w:rsidRPr="00447A43">
        <w:t xml:space="preserve"> </w:t>
      </w:r>
      <w:r w:rsidR="0011149B" w:rsidRPr="00447A43">
        <w:t xml:space="preserve">of the </w:t>
      </w:r>
      <w:r w:rsidR="005A55A7">
        <w:t xml:space="preserve">fifth session of the </w:t>
      </w:r>
      <w:r w:rsidR="0011149B" w:rsidRPr="00447A43">
        <w:t>General Assembly and of the</w:t>
      </w:r>
      <w:r w:rsidR="0011149B" w:rsidRPr="00563371">
        <w:t xml:space="preserve"> </w:t>
      </w:r>
      <w:r w:rsidR="005A55A7">
        <w:t xml:space="preserve">ninth session of the </w:t>
      </w:r>
      <w:r w:rsidR="00151AD1">
        <w:t xml:space="preserve">Intergovernmental </w:t>
      </w:r>
      <w:r w:rsidR="0011149B" w:rsidRPr="00563371">
        <w:t>Committee</w:t>
      </w:r>
      <w:r w:rsidR="0011149B" w:rsidRPr="00447A43">
        <w:t xml:space="preserve"> </w:t>
      </w:r>
      <w:r w:rsidR="00151AD1">
        <w:t xml:space="preserve">coordinated the comments </w:t>
      </w:r>
      <w:r w:rsidR="00862914">
        <w:t>from</w:t>
      </w:r>
      <w:r w:rsidR="00151AD1">
        <w:t xml:space="preserve"> States Parties and members of the Committee respectively. </w:t>
      </w:r>
      <w:r>
        <w:t>A</w:t>
      </w:r>
      <w:r w:rsidR="00192922">
        <w:t>s requested by the External A</w:t>
      </w:r>
      <w:r>
        <w:t>uditor</w:t>
      </w:r>
      <w:r w:rsidR="00192922">
        <w:t>,</w:t>
      </w:r>
      <w:r>
        <w:t xml:space="preserve"> </w:t>
      </w:r>
      <w:r w:rsidR="00192922">
        <w:t>t</w:t>
      </w:r>
      <w:r w:rsidR="00CC5CF6" w:rsidRPr="00447A43">
        <w:t>he Secretariat had several exchanges with both Chairpersons to address specific factual or technical elements the questionnaires</w:t>
      </w:r>
      <w:r w:rsidR="00151AD1" w:rsidRPr="00447A43">
        <w:t xml:space="preserve"> gave rise to and </w:t>
      </w:r>
      <w:r w:rsidR="00CC5CF6" w:rsidRPr="00447A43">
        <w:t>provided the information requested.</w:t>
      </w:r>
      <w:r w:rsidR="00AE5FD1" w:rsidRPr="00447A43">
        <w:t xml:space="preserve"> A</w:t>
      </w:r>
      <w:r w:rsidR="003002AE" w:rsidRPr="00447A43">
        <w:t xml:space="preserve"> </w:t>
      </w:r>
      <w:r w:rsidR="00447A43">
        <w:t xml:space="preserve">working </w:t>
      </w:r>
      <w:r w:rsidR="003002AE" w:rsidRPr="00447A43">
        <w:t>document</w:t>
      </w:r>
      <w:r w:rsidR="005A55A7">
        <w:t xml:space="preserve"> (</w:t>
      </w:r>
      <w:hyperlink r:id="rId8" w:history="1">
        <w:r w:rsidR="004849DB" w:rsidRPr="004849DB">
          <w:rPr>
            <w:rStyle w:val="Hyperlink"/>
          </w:rPr>
          <w:t>ITH/14/9.COM/8</w:t>
        </w:r>
      </w:hyperlink>
      <w:r w:rsidR="004849DB">
        <w:t>)</w:t>
      </w:r>
      <w:r w:rsidR="004849DB" w:rsidRPr="004849DB">
        <w:t xml:space="preserve"> </w:t>
      </w:r>
      <w:r w:rsidR="003002AE" w:rsidRPr="00447A43">
        <w:t>reporting on this audit was examined by the Committee</w:t>
      </w:r>
      <w:r w:rsidR="00171469" w:rsidRPr="00447A43">
        <w:t xml:space="preserve"> </w:t>
      </w:r>
      <w:r w:rsidR="00862914">
        <w:t>during</w:t>
      </w:r>
      <w:r w:rsidR="00AE5FD1" w:rsidRPr="00447A43">
        <w:t xml:space="preserve"> its ninth session.</w:t>
      </w:r>
    </w:p>
    <w:p w14:paraId="1859F556" w14:textId="031CDB77" w:rsidR="00132FB1" w:rsidRDefault="00800175" w:rsidP="008B2782">
      <w:pPr>
        <w:pStyle w:val="COMPara"/>
        <w:numPr>
          <w:ilvl w:val="0"/>
          <w:numId w:val="17"/>
        </w:numPr>
        <w:jc w:val="both"/>
      </w:pPr>
      <w:r>
        <w:t>T</w:t>
      </w:r>
      <w:r w:rsidRPr="00800175">
        <w:t xml:space="preserve">he Executive Board </w:t>
      </w:r>
      <w:r w:rsidR="0078720D">
        <w:t>at</w:t>
      </w:r>
      <w:r w:rsidR="0078720D" w:rsidRPr="00800175">
        <w:t xml:space="preserve"> </w:t>
      </w:r>
      <w:r w:rsidRPr="00800175">
        <w:t>its 197th session</w:t>
      </w:r>
      <w:r w:rsidR="00604D8F">
        <w:t xml:space="preserve"> </w:t>
      </w:r>
      <w:r w:rsidR="0078720D">
        <w:t xml:space="preserve">in </w:t>
      </w:r>
      <w:r w:rsidR="00604D8F">
        <w:t>2015</w:t>
      </w:r>
      <w:r w:rsidRPr="00800175">
        <w:t xml:space="preserve"> </w:t>
      </w:r>
      <w:r w:rsidR="004F5B67">
        <w:t>examined</w:t>
      </w:r>
      <w:r w:rsidRPr="00800175">
        <w:t xml:space="preserve"> </w:t>
      </w:r>
      <w:r w:rsidR="00151AD1" w:rsidRPr="00800175">
        <w:t>the final audit report on the governance of UNESCO and depend</w:t>
      </w:r>
      <w:r w:rsidR="00D93743">
        <w:t>a</w:t>
      </w:r>
      <w:r w:rsidR="00151AD1" w:rsidRPr="00800175">
        <w:t xml:space="preserve">nt funds, programmes </w:t>
      </w:r>
      <w:r w:rsidR="004F5B67">
        <w:t xml:space="preserve">which included </w:t>
      </w:r>
      <w:r w:rsidR="004F5B67" w:rsidRPr="00800175">
        <w:t xml:space="preserve">the results of the </w:t>
      </w:r>
      <w:r w:rsidR="007D43FA">
        <w:t xml:space="preserve">self-assessment </w:t>
      </w:r>
      <w:r w:rsidR="004F5B67" w:rsidRPr="00800175">
        <w:t>questionnaire</w:t>
      </w:r>
      <w:r w:rsidR="004F5B67">
        <w:t>s</w:t>
      </w:r>
      <w:r w:rsidR="004F5B67" w:rsidRPr="00800175">
        <w:t xml:space="preserve"> </w:t>
      </w:r>
      <w:r w:rsidR="00151AD1" w:rsidRPr="00800175">
        <w:t xml:space="preserve">and recommended </w:t>
      </w:r>
      <w:r w:rsidR="003002AE" w:rsidRPr="00800175">
        <w:t>to</w:t>
      </w:r>
      <w:r w:rsidR="00151AD1" w:rsidRPr="00800175">
        <w:t xml:space="preserve"> the General Conference to</w:t>
      </w:r>
      <w:r w:rsidR="00132FB1">
        <w:t>:</w:t>
      </w:r>
    </w:p>
    <w:p w14:paraId="4E259A0A" w14:textId="77777777" w:rsidR="00132FB1" w:rsidRDefault="00151AD1" w:rsidP="00132FB1">
      <w:pPr>
        <w:pStyle w:val="COMPara"/>
        <w:numPr>
          <w:ilvl w:val="1"/>
          <w:numId w:val="17"/>
        </w:numPr>
        <w:jc w:val="both"/>
      </w:pPr>
      <w:r w:rsidRPr="00800175">
        <w:t>establish an open-ended working group to further discuss the recommendations of the audit report</w:t>
      </w:r>
      <w:r w:rsidR="004F5B67">
        <w:t>, and</w:t>
      </w:r>
    </w:p>
    <w:p w14:paraId="13935B82" w14:textId="77777777" w:rsidR="001B0BAE" w:rsidRDefault="004849DB" w:rsidP="00132FB1">
      <w:pPr>
        <w:pStyle w:val="COMPara"/>
        <w:numPr>
          <w:ilvl w:val="1"/>
          <w:numId w:val="17"/>
        </w:numPr>
        <w:jc w:val="both"/>
      </w:pPr>
      <w:r>
        <w:rPr>
          <w:rFonts w:eastAsia="Calibri"/>
          <w:lang w:val="en-US" w:eastAsia="zh-TW"/>
        </w:rPr>
        <w:t xml:space="preserve">requested the </w:t>
      </w:r>
      <w:r w:rsidR="00132FB1" w:rsidRPr="001B0BAE">
        <w:rPr>
          <w:rFonts w:eastAsia="Calibri"/>
          <w:lang w:val="en-US" w:eastAsia="zh-TW"/>
        </w:rPr>
        <w:t>Director-General to start the implementation of recommendations 1, 11 and 13 o</w:t>
      </w:r>
      <w:r>
        <w:rPr>
          <w:rFonts w:eastAsia="Calibri"/>
          <w:lang w:val="en-US" w:eastAsia="zh-TW"/>
        </w:rPr>
        <w:t>f the External Auditor’s report</w:t>
      </w:r>
      <w:r w:rsidR="004F5B67">
        <w:rPr>
          <w:rFonts w:eastAsia="Calibri"/>
          <w:lang w:val="en-US" w:eastAsia="zh-TW"/>
        </w:rPr>
        <w:t xml:space="preserve"> </w:t>
      </w:r>
      <w:r w:rsidR="004F5B67" w:rsidRPr="00800175">
        <w:t>(</w:t>
      </w:r>
      <w:r w:rsidR="004F5B67">
        <w:t>197 EX/Decision 28 and 44</w:t>
      </w:r>
      <w:r w:rsidR="004F5B67" w:rsidRPr="00800175">
        <w:t>)</w:t>
      </w:r>
      <w:r w:rsidR="00132FB1" w:rsidRPr="001B0BAE">
        <w:rPr>
          <w:rFonts w:eastAsia="Calibri"/>
          <w:lang w:val="en-US" w:eastAsia="zh-TW"/>
        </w:rPr>
        <w:t>.</w:t>
      </w:r>
    </w:p>
    <w:p w14:paraId="172A56F5" w14:textId="269B2562" w:rsidR="001B0BAE" w:rsidRDefault="001C126F" w:rsidP="00E5664D">
      <w:pPr>
        <w:pStyle w:val="COMPara"/>
        <w:numPr>
          <w:ilvl w:val="0"/>
          <w:numId w:val="17"/>
        </w:numPr>
        <w:jc w:val="both"/>
      </w:pPr>
      <w:r>
        <w:t>T</w:t>
      </w:r>
      <w:r w:rsidRPr="00800175">
        <w:t xml:space="preserve">he General Conference </w:t>
      </w:r>
      <w:r w:rsidRPr="001B0BAE">
        <w:rPr>
          <w:rFonts w:eastAsia="Calibri"/>
          <w:lang w:val="en-US" w:eastAsia="zh-TW"/>
        </w:rPr>
        <w:t>a</w:t>
      </w:r>
      <w:r w:rsidRPr="00800175">
        <w:t>t its thirty-eighth session</w:t>
      </w:r>
      <w:r w:rsidR="0078720D">
        <w:t xml:space="preserve"> in </w:t>
      </w:r>
      <w:r w:rsidR="00604D8F">
        <w:t>2015</w:t>
      </w:r>
      <w:r>
        <w:t xml:space="preserve"> examined </w:t>
      </w:r>
      <w:r w:rsidRPr="00800175">
        <w:t>the audit report (</w:t>
      </w:r>
      <w:hyperlink r:id="rId9" w:history="1">
        <w:r w:rsidR="00E5664D">
          <w:rPr>
            <w:rStyle w:val="Hyperlink"/>
          </w:rPr>
          <w:t>d</w:t>
        </w:r>
        <w:r w:rsidRPr="001C126F">
          <w:rPr>
            <w:rStyle w:val="Hyperlink"/>
          </w:rPr>
          <w:t>ocument</w:t>
        </w:r>
        <w:r w:rsidR="00E17960">
          <w:rPr>
            <w:rStyle w:val="Hyperlink"/>
          </w:rPr>
          <w:t> </w:t>
        </w:r>
        <w:r w:rsidRPr="001C126F">
          <w:rPr>
            <w:rStyle w:val="Hyperlink"/>
          </w:rPr>
          <w:t>38 C/23</w:t>
        </w:r>
      </w:hyperlink>
      <w:r w:rsidRPr="00800175">
        <w:t>)</w:t>
      </w:r>
      <w:r w:rsidR="004F5B67">
        <w:t xml:space="preserve"> and the recommendations of the Executive Board</w:t>
      </w:r>
      <w:r>
        <w:t>.</w:t>
      </w:r>
      <w:r w:rsidRPr="00800175">
        <w:t xml:space="preserve"> </w:t>
      </w:r>
      <w:r w:rsidR="00AF70A0">
        <w:rPr>
          <w:rFonts w:eastAsia="Calibri"/>
          <w:lang w:val="en-US" w:eastAsia="zh-TW"/>
        </w:rPr>
        <w:t>By 38 C/Resolution </w:t>
      </w:r>
      <w:r w:rsidRPr="001B0BAE">
        <w:rPr>
          <w:rFonts w:eastAsia="Calibri"/>
          <w:lang w:val="en-US" w:eastAsia="zh-TW"/>
        </w:rPr>
        <w:t xml:space="preserve">101, </w:t>
      </w:r>
      <w:r w:rsidR="00A00DC9" w:rsidRPr="00800175">
        <w:t xml:space="preserve">it </w:t>
      </w:r>
      <w:r w:rsidR="00CE6680" w:rsidRPr="00800175">
        <w:t xml:space="preserve">reaffirmed the </w:t>
      </w:r>
      <w:r>
        <w:t>‘</w:t>
      </w:r>
      <w:r w:rsidR="00CE6680" w:rsidRPr="00800175">
        <w:t xml:space="preserve">need </w:t>
      </w:r>
      <w:r w:rsidR="00800175" w:rsidRPr="00800175">
        <w:t>to optimize the governance of intergovernmental programmes, committees and conventions by harnessing the potential for greater synergy, harmonization, efficiency and impact while bearing in mind requirements regarding the quality of the work and the specific mandate, constituency and functioning of individual governing bodies</w:t>
      </w:r>
      <w:r>
        <w:t>’ and</w:t>
      </w:r>
      <w:r w:rsidR="00132FB1">
        <w:rPr>
          <w:rFonts w:eastAsia="Calibri"/>
          <w:lang w:val="en-US" w:eastAsia="zh-TW"/>
        </w:rPr>
        <w:t xml:space="preserve"> adopted the two above</w:t>
      </w:r>
      <w:r w:rsidR="00A555C8">
        <w:rPr>
          <w:rFonts w:eastAsia="Calibri"/>
          <w:lang w:val="en-US" w:eastAsia="zh-TW"/>
        </w:rPr>
        <w:t>-</w:t>
      </w:r>
      <w:r w:rsidR="00132FB1">
        <w:rPr>
          <w:rFonts w:eastAsia="Calibri"/>
          <w:lang w:val="en-US" w:eastAsia="zh-TW"/>
        </w:rPr>
        <w:t>mentioned recommendations</w:t>
      </w:r>
      <w:r w:rsidR="004F5B67">
        <w:rPr>
          <w:rFonts w:eastAsia="Calibri"/>
          <w:lang w:val="en-US" w:eastAsia="zh-TW"/>
        </w:rPr>
        <w:t xml:space="preserve"> of the Executive Board</w:t>
      </w:r>
      <w:r w:rsidR="00CE6680" w:rsidRPr="001B0BAE">
        <w:rPr>
          <w:rFonts w:eastAsia="Calibri"/>
          <w:lang w:val="en-US" w:eastAsia="zh-TW"/>
        </w:rPr>
        <w:t>.</w:t>
      </w:r>
    </w:p>
    <w:p w14:paraId="4E56A87B" w14:textId="5D372143" w:rsidR="001B0BAE" w:rsidRDefault="00AF70A0" w:rsidP="007B6A1E">
      <w:pPr>
        <w:pStyle w:val="COMPara"/>
        <w:numPr>
          <w:ilvl w:val="0"/>
          <w:numId w:val="17"/>
        </w:numPr>
        <w:jc w:val="both"/>
      </w:pPr>
      <w:r>
        <w:t>Pursuant to 38</w:t>
      </w:r>
      <w:r>
        <w:rPr>
          <w:lang w:val="en-US"/>
        </w:rPr>
        <w:t> </w:t>
      </w:r>
      <w:r w:rsidR="00CE6680" w:rsidRPr="00E5664D">
        <w:t>C/Resolution</w:t>
      </w:r>
      <w:r>
        <w:rPr>
          <w:lang w:val="en-US"/>
        </w:rPr>
        <w:t> </w:t>
      </w:r>
      <w:r w:rsidR="00CE6680" w:rsidRPr="00E5664D">
        <w:t>101, the mandate</w:t>
      </w:r>
      <w:r w:rsidR="00792F70">
        <w:rPr>
          <w:rStyle w:val="FootnoteReference"/>
        </w:rPr>
        <w:footnoteReference w:id="1"/>
      </w:r>
      <w:r w:rsidR="00CE6680" w:rsidRPr="00E5664D">
        <w:t xml:space="preserve"> of the Working Group</w:t>
      </w:r>
      <w:r w:rsidR="000E4A33">
        <w:rPr>
          <w:rStyle w:val="FootnoteReference"/>
        </w:rPr>
        <w:footnoteReference w:id="2"/>
      </w:r>
      <w:r w:rsidR="00CE6680" w:rsidRPr="00E5664D">
        <w:t xml:space="preserve"> is to examine the governance, procedures and working methods of the governing bodies of UNESCO on the basis of the views and proposals received from Member States, the External Auditor’s </w:t>
      </w:r>
      <w:r w:rsidR="008A77CD">
        <w:t>r</w:t>
      </w:r>
      <w:r w:rsidR="00CE6680" w:rsidRPr="00E5664D">
        <w:t xml:space="preserve">eport on the </w:t>
      </w:r>
      <w:r w:rsidR="00C529AA">
        <w:t>g</w:t>
      </w:r>
      <w:r w:rsidR="00CE6680" w:rsidRPr="00E5664D">
        <w:t xml:space="preserve">overnance of UNESCO, relevant evaluations and audits by the Internal Oversight Service (IOS), as well as previous decisions and resolutions related to governance. </w:t>
      </w:r>
      <w:r w:rsidR="00CE6680" w:rsidRPr="001C126F">
        <w:t xml:space="preserve">The Working Group </w:t>
      </w:r>
      <w:r w:rsidR="00E5664D">
        <w:t xml:space="preserve">will submit its recommendations </w:t>
      </w:r>
      <w:r w:rsidR="00624026">
        <w:t xml:space="preserve">to the </w:t>
      </w:r>
      <w:r w:rsidR="00E5664D" w:rsidRPr="00E5664D">
        <w:t>Executive Board at its 202nd session</w:t>
      </w:r>
      <w:r w:rsidR="00624026">
        <w:t xml:space="preserve"> in</w:t>
      </w:r>
      <w:r w:rsidR="00C57750">
        <w:t xml:space="preserve"> 2017</w:t>
      </w:r>
      <w:r w:rsidR="00A555C8">
        <w:t>,</w:t>
      </w:r>
      <w:r w:rsidR="00E5664D" w:rsidRPr="00E5664D">
        <w:t xml:space="preserve"> </w:t>
      </w:r>
      <w:r w:rsidR="00E5664D">
        <w:t>which will</w:t>
      </w:r>
      <w:r w:rsidR="00E5664D" w:rsidRPr="00E5664D">
        <w:t xml:space="preserve"> </w:t>
      </w:r>
      <w:r w:rsidR="00E5664D">
        <w:t xml:space="preserve">in turn </w:t>
      </w:r>
      <w:r w:rsidR="00E5664D" w:rsidRPr="00E5664D">
        <w:t>make its recommendations to the General C</w:t>
      </w:r>
      <w:r w:rsidR="00E5664D">
        <w:t xml:space="preserve">onference at its thirty-ninth session </w:t>
      </w:r>
      <w:r w:rsidR="00624026">
        <w:t>in the same year</w:t>
      </w:r>
      <w:r w:rsidR="00CE6680" w:rsidRPr="001C126F">
        <w:t>.</w:t>
      </w:r>
    </w:p>
    <w:p w14:paraId="6D8A485A" w14:textId="77777777" w:rsidR="001B0BAE" w:rsidRDefault="00C60F84" w:rsidP="007B6A1E">
      <w:pPr>
        <w:pStyle w:val="COMPara"/>
        <w:numPr>
          <w:ilvl w:val="0"/>
          <w:numId w:val="17"/>
        </w:numPr>
        <w:jc w:val="both"/>
      </w:pPr>
      <w:r>
        <w:t xml:space="preserve">Furthermore, </w:t>
      </w:r>
      <w:r w:rsidR="00CE6680" w:rsidRPr="001B0BAE">
        <w:rPr>
          <w:rFonts w:eastAsia="Calibri"/>
          <w:lang w:val="en-US" w:eastAsia="zh-TW"/>
        </w:rPr>
        <w:t>the General Conference</w:t>
      </w:r>
      <w:r w:rsidR="00624026">
        <w:rPr>
          <w:rFonts w:eastAsia="Calibri"/>
          <w:lang w:val="en-US" w:eastAsia="zh-TW"/>
        </w:rPr>
        <w:t>,</w:t>
      </w:r>
      <w:r w:rsidR="00CE6680" w:rsidRPr="001B0BAE">
        <w:rPr>
          <w:rFonts w:eastAsia="Calibri"/>
          <w:lang w:val="en-US" w:eastAsia="zh-TW"/>
        </w:rPr>
        <w:t xml:space="preserve"> </w:t>
      </w:r>
      <w:r w:rsidR="00624026">
        <w:t xml:space="preserve">by </w:t>
      </w:r>
      <w:r w:rsidR="00624026" w:rsidRPr="001B0BAE">
        <w:rPr>
          <w:rFonts w:eastAsia="Calibri"/>
          <w:lang w:val="en-US" w:eastAsia="zh-TW"/>
        </w:rPr>
        <w:t>38 C/Resolution 101</w:t>
      </w:r>
      <w:r w:rsidR="00624026">
        <w:rPr>
          <w:rFonts w:eastAsia="Calibri"/>
          <w:lang w:val="en-US" w:eastAsia="zh-TW"/>
        </w:rPr>
        <w:t xml:space="preserve">, </w:t>
      </w:r>
      <w:r w:rsidR="00CE6680">
        <w:t>i</w:t>
      </w:r>
      <w:r w:rsidR="00CE6680" w:rsidRPr="006419C4">
        <w:t xml:space="preserve">nvited </w:t>
      </w:r>
      <w:r w:rsidR="00CE6680" w:rsidRPr="00002438">
        <w:t>all intergovernmental programmes</w:t>
      </w:r>
      <w:r w:rsidR="00CE6680">
        <w:t>, committees and organs of the C</w:t>
      </w:r>
      <w:r w:rsidR="00CE6680" w:rsidRPr="00002438">
        <w:t xml:space="preserve">onventions to inscribe, in 2016 if feasible, an item on their agenda concerning the follow-up to the recommendations of the External Auditor’s report contained in </w:t>
      </w:r>
      <w:hyperlink r:id="rId10" w:history="1">
        <w:r w:rsidR="00CE6680" w:rsidRPr="00E5664D">
          <w:rPr>
            <w:rStyle w:val="Hyperlink"/>
          </w:rPr>
          <w:t>document 38 C/23</w:t>
        </w:r>
      </w:hyperlink>
      <w:r w:rsidR="00CE6680" w:rsidRPr="00002438">
        <w:t xml:space="preserve">, to improve their governance by concrete measures, and </w:t>
      </w:r>
      <w:r w:rsidR="00CE6680" w:rsidRPr="00002438">
        <w:lastRenderedPageBreak/>
        <w:t>to report on their proposals to the Chairperson o</w:t>
      </w:r>
      <w:r w:rsidR="00CE6680">
        <w:t xml:space="preserve">f the open-ended working group. </w:t>
      </w:r>
      <w:r w:rsidR="00624026">
        <w:t xml:space="preserve">This is why </w:t>
      </w:r>
      <w:r w:rsidR="00CE6680">
        <w:t xml:space="preserve">the </w:t>
      </w:r>
      <w:r w:rsidR="00383967">
        <w:t xml:space="preserve">present </w:t>
      </w:r>
      <w:r w:rsidR="00CE6680">
        <w:t xml:space="preserve">session of the Intergovernmental Committee </w:t>
      </w:r>
      <w:r w:rsidR="00383967">
        <w:t xml:space="preserve">of the 2003 Convention </w:t>
      </w:r>
      <w:r w:rsidR="00624026">
        <w:t xml:space="preserve">is asked to examine </w:t>
      </w:r>
      <w:r w:rsidR="00383967">
        <w:t>this</w:t>
      </w:r>
      <w:r w:rsidR="00624026">
        <w:t xml:space="preserve"> agenda item</w:t>
      </w:r>
      <w:r w:rsidR="00CE6680">
        <w:t>.</w:t>
      </w:r>
    </w:p>
    <w:p w14:paraId="6D06A472" w14:textId="654022A2" w:rsidR="007B6A1E" w:rsidRPr="00DA7318" w:rsidRDefault="00383967" w:rsidP="00132FB1">
      <w:pPr>
        <w:pStyle w:val="COMPara"/>
        <w:numPr>
          <w:ilvl w:val="0"/>
          <w:numId w:val="17"/>
        </w:numPr>
        <w:jc w:val="both"/>
      </w:pPr>
      <w:r w:rsidRPr="00DA7318">
        <w:t xml:space="preserve">Some of the recommendations of the External Auditor contained in </w:t>
      </w:r>
      <w:hyperlink r:id="rId11" w:history="1">
        <w:r w:rsidR="002103F3">
          <w:rPr>
            <w:rStyle w:val="Hyperlink"/>
          </w:rPr>
          <w:t>document 38</w:t>
        </w:r>
        <w:r w:rsidR="002103F3">
          <w:rPr>
            <w:rStyle w:val="Hyperlink"/>
            <w:lang w:val="en-US"/>
          </w:rPr>
          <w:t> </w:t>
        </w:r>
        <w:r w:rsidRPr="00DA7318">
          <w:rPr>
            <w:rStyle w:val="Hyperlink"/>
          </w:rPr>
          <w:t>C/23</w:t>
        </w:r>
      </w:hyperlink>
      <w:r w:rsidRPr="002103F3">
        <w:t xml:space="preserve"> </w:t>
      </w:r>
      <w:r w:rsidRPr="00DA7318">
        <w:t xml:space="preserve">have already been examined by the Committee and/or the General Assembly of States Parties (i.e. </w:t>
      </w:r>
      <w:hyperlink r:id="rId12" w:history="1">
        <w:r w:rsidR="00AF70A0">
          <w:rPr>
            <w:rStyle w:val="Hyperlink"/>
          </w:rPr>
          <w:t>Decision</w:t>
        </w:r>
        <w:r w:rsidR="00AF70A0">
          <w:rPr>
            <w:rStyle w:val="Hyperlink"/>
            <w:lang w:val="en-US"/>
          </w:rPr>
          <w:t> </w:t>
        </w:r>
        <w:r w:rsidR="00AF70A0">
          <w:rPr>
            <w:rStyle w:val="Hyperlink"/>
          </w:rPr>
          <w:t>8.COM</w:t>
        </w:r>
        <w:r w:rsidR="00AF70A0">
          <w:rPr>
            <w:rStyle w:val="Hyperlink"/>
            <w:lang w:val="en-US"/>
          </w:rPr>
          <w:t> </w:t>
        </w:r>
        <w:r w:rsidRPr="00DA7318">
          <w:rPr>
            <w:rStyle w:val="Hyperlink"/>
          </w:rPr>
          <w:t>5.c.1</w:t>
        </w:r>
      </w:hyperlink>
      <w:r w:rsidRPr="00DA7318">
        <w:t xml:space="preserve">, </w:t>
      </w:r>
      <w:hyperlink r:id="rId13" w:history="1">
        <w:r w:rsidRPr="00DA7318">
          <w:rPr>
            <w:rStyle w:val="Hyperlink"/>
          </w:rPr>
          <w:t>Decision</w:t>
        </w:r>
        <w:r w:rsidR="00AF70A0">
          <w:rPr>
            <w:rStyle w:val="Hyperlink"/>
            <w:lang w:val="en-US"/>
          </w:rPr>
          <w:t> </w:t>
        </w:r>
        <w:r w:rsidRPr="00DA7318">
          <w:rPr>
            <w:rStyle w:val="Hyperlink"/>
          </w:rPr>
          <w:t>8.COM</w:t>
        </w:r>
        <w:r w:rsidR="00AF70A0">
          <w:rPr>
            <w:rStyle w:val="Hyperlink"/>
            <w:lang w:val="en-US"/>
          </w:rPr>
          <w:t> </w:t>
        </w:r>
        <w:r w:rsidRPr="00DA7318">
          <w:rPr>
            <w:rStyle w:val="Hyperlink"/>
          </w:rPr>
          <w:t>5.c.2</w:t>
        </w:r>
      </w:hyperlink>
      <w:r w:rsidRPr="00DA7318">
        <w:t xml:space="preserve">, </w:t>
      </w:r>
      <w:hyperlink r:id="rId14" w:history="1">
        <w:r w:rsidRPr="00DA7318">
          <w:rPr>
            <w:rStyle w:val="Hyperlink"/>
            <w:lang w:val="en-US"/>
          </w:rPr>
          <w:t>Decision 9.COM 13.g</w:t>
        </w:r>
      </w:hyperlink>
      <w:r w:rsidRPr="00DA7318">
        <w:t xml:space="preserve"> </w:t>
      </w:r>
      <w:r w:rsidR="001E07A1" w:rsidRPr="00DA7318">
        <w:t xml:space="preserve">and </w:t>
      </w:r>
      <w:hyperlink r:id="rId15" w:history="1">
        <w:r w:rsidR="001E07A1" w:rsidRPr="00DA7318">
          <w:rPr>
            <w:rStyle w:val="Hyperlink"/>
          </w:rPr>
          <w:t>Decision</w:t>
        </w:r>
        <w:r w:rsidR="00AF70A0">
          <w:rPr>
            <w:rStyle w:val="Hyperlink"/>
            <w:lang w:val="en-US"/>
          </w:rPr>
          <w:t> </w:t>
        </w:r>
        <w:r w:rsidR="001E07A1" w:rsidRPr="00DA7318">
          <w:rPr>
            <w:rStyle w:val="Hyperlink"/>
          </w:rPr>
          <w:t>10.COM15.c</w:t>
        </w:r>
      </w:hyperlink>
      <w:r w:rsidR="001E07A1" w:rsidRPr="00DA7318">
        <w:t xml:space="preserve"> </w:t>
      </w:r>
      <w:r w:rsidRPr="00DA7318">
        <w:t xml:space="preserve">of the Committee and </w:t>
      </w:r>
      <w:hyperlink r:id="rId16" w:history="1">
        <w:r w:rsidRPr="00DA7318">
          <w:rPr>
            <w:rStyle w:val="Hyperlink"/>
          </w:rPr>
          <w:t>Resolution</w:t>
        </w:r>
        <w:r w:rsidR="00AF70A0">
          <w:rPr>
            <w:rStyle w:val="Hyperlink"/>
            <w:lang w:val="en-US"/>
          </w:rPr>
          <w:t> </w:t>
        </w:r>
        <w:r w:rsidRPr="00DA7318">
          <w:rPr>
            <w:rStyle w:val="Hyperlink"/>
          </w:rPr>
          <w:t>5.GA</w:t>
        </w:r>
        <w:r w:rsidR="00AF70A0">
          <w:rPr>
            <w:rStyle w:val="Hyperlink"/>
            <w:lang w:val="en-US"/>
          </w:rPr>
          <w:t> </w:t>
        </w:r>
        <w:r w:rsidRPr="00DA7318">
          <w:rPr>
            <w:rStyle w:val="Hyperlink"/>
          </w:rPr>
          <w:t>4.1</w:t>
        </w:r>
      </w:hyperlink>
      <w:r w:rsidRPr="00DA7318">
        <w:t xml:space="preserve"> of the General Assembly), in relation to the question of the governance, and notably of the working methods of the governing organs of the 2003 Convention. This concerns in particular</w:t>
      </w:r>
      <w:r w:rsidR="00F60E4C" w:rsidRPr="00DA7318">
        <w:t>:</w:t>
      </w:r>
    </w:p>
    <w:p w14:paraId="32DF9E14" w14:textId="77777777" w:rsidR="00C60F84" w:rsidRPr="00DA7318" w:rsidRDefault="00C60F84">
      <w:pPr>
        <w:pStyle w:val="COMPara"/>
        <w:numPr>
          <w:ilvl w:val="1"/>
          <w:numId w:val="21"/>
        </w:numPr>
        <w:jc w:val="both"/>
      </w:pPr>
      <w:r w:rsidRPr="00DA7318">
        <w:t xml:space="preserve">the evaluation of UNESCO's Standard-setting Work of the Culture Sector, Part I: 2003 Convention for the Safeguarding of </w:t>
      </w:r>
      <w:r w:rsidR="00F60E4C" w:rsidRPr="00DA7318">
        <w:t>the Intangible Cultural Heritage completed by</w:t>
      </w:r>
      <w:r w:rsidR="00C57750" w:rsidRPr="00DA7318">
        <w:t xml:space="preserve"> </w:t>
      </w:r>
      <w:r w:rsidR="007D43FA" w:rsidRPr="00DA7318">
        <w:t>UNESCO’s I</w:t>
      </w:r>
      <w:r w:rsidR="008A77CD" w:rsidRPr="00DA7318">
        <w:t>OS</w:t>
      </w:r>
      <w:r w:rsidR="007D43FA" w:rsidRPr="00DA7318">
        <w:t xml:space="preserve"> completed in 2013</w:t>
      </w:r>
      <w:r w:rsidR="00F60E4C" w:rsidRPr="00DA7318">
        <w:t>,</w:t>
      </w:r>
      <w:r w:rsidR="007D43FA" w:rsidRPr="00DA7318">
        <w:t xml:space="preserve"> </w:t>
      </w:r>
      <w:r w:rsidR="00C57750" w:rsidRPr="00DA7318">
        <w:t>and</w:t>
      </w:r>
    </w:p>
    <w:p w14:paraId="47C03810" w14:textId="77777777" w:rsidR="00C60F84" w:rsidRPr="00DA7318" w:rsidRDefault="00F60E4C" w:rsidP="00F60E4C">
      <w:pPr>
        <w:pStyle w:val="COMPara"/>
        <w:numPr>
          <w:ilvl w:val="1"/>
          <w:numId w:val="21"/>
        </w:numPr>
        <w:jc w:val="both"/>
      </w:pPr>
      <w:r w:rsidRPr="00DA7318">
        <w:rPr>
          <w:rFonts w:eastAsia="SimSun"/>
          <w:snapToGrid/>
          <w:lang w:bidi="en-US"/>
        </w:rPr>
        <w:t xml:space="preserve">the </w:t>
      </w:r>
      <w:r w:rsidR="00C60F84" w:rsidRPr="00DA7318">
        <w:rPr>
          <w:rFonts w:eastAsia="SimSun"/>
          <w:snapToGrid/>
          <w:lang w:bidi="en-US"/>
        </w:rPr>
        <w:t>audit of the working methods of all six cultural conven</w:t>
      </w:r>
      <w:r w:rsidRPr="00DA7318">
        <w:rPr>
          <w:rFonts w:eastAsia="SimSun"/>
          <w:snapToGrid/>
          <w:lang w:bidi="en-US"/>
        </w:rPr>
        <w:t>tions in the field of culture</w:t>
      </w:r>
      <w:r w:rsidR="00C60F84" w:rsidRPr="00DA7318">
        <w:rPr>
          <w:rFonts w:eastAsia="SimSun"/>
          <w:snapToGrid/>
          <w:lang w:bidi="en-US"/>
        </w:rPr>
        <w:t xml:space="preserve"> assess</w:t>
      </w:r>
      <w:r w:rsidRPr="00DA7318">
        <w:rPr>
          <w:rFonts w:eastAsia="SimSun"/>
          <w:snapToGrid/>
          <w:lang w:bidi="en-US"/>
        </w:rPr>
        <w:t>ing</w:t>
      </w:r>
      <w:r w:rsidR="00C60F84" w:rsidRPr="00DA7318">
        <w:rPr>
          <w:rFonts w:eastAsia="SimSun"/>
          <w:snapToGrid/>
          <w:lang w:bidi="en-US"/>
        </w:rPr>
        <w:t xml:space="preserve"> the adequacy and efficiency of the working methods of UNESCO’s standard-setting work in the Culture Sector</w:t>
      </w:r>
      <w:r w:rsidRPr="00DA7318">
        <w:rPr>
          <w:rFonts w:eastAsia="SimSun"/>
          <w:snapToGrid/>
          <w:lang w:bidi="en-US"/>
        </w:rPr>
        <w:t xml:space="preserve"> completed by IOS in 2013</w:t>
      </w:r>
      <w:r w:rsidR="00C57750" w:rsidRPr="00DA7318">
        <w:rPr>
          <w:rFonts w:eastAsia="SimSun"/>
          <w:snapToGrid/>
          <w:lang w:bidi="en-US"/>
        </w:rPr>
        <w:t>.</w:t>
      </w:r>
    </w:p>
    <w:p w14:paraId="34338CA3" w14:textId="218D1C0B" w:rsidR="009012DE" w:rsidRPr="00DA7318" w:rsidRDefault="00F60E4C" w:rsidP="00383967">
      <w:pPr>
        <w:pStyle w:val="COMPara"/>
        <w:numPr>
          <w:ilvl w:val="0"/>
          <w:numId w:val="9"/>
        </w:numPr>
        <w:jc w:val="both"/>
      </w:pPr>
      <w:r w:rsidRPr="00DA7318">
        <w:t>The annex to the present document</w:t>
      </w:r>
      <w:r w:rsidR="00C57750" w:rsidRPr="00DA7318">
        <w:t xml:space="preserve"> </w:t>
      </w:r>
      <w:r w:rsidR="00CA5EE0" w:rsidRPr="00DA7318">
        <w:t>summari</w:t>
      </w:r>
      <w:r w:rsidR="00A555C8">
        <w:t>z</w:t>
      </w:r>
      <w:r w:rsidR="00CA5EE0" w:rsidRPr="00DA7318">
        <w:t xml:space="preserve">es </w:t>
      </w:r>
      <w:r w:rsidR="00A67BDA" w:rsidRPr="00DA7318">
        <w:t>the recommendation</w:t>
      </w:r>
      <w:r w:rsidR="00A555C8">
        <w:t>s</w:t>
      </w:r>
      <w:r w:rsidR="00A67BDA" w:rsidRPr="00DA7318">
        <w:t xml:space="preserve"> </w:t>
      </w:r>
      <w:r w:rsidR="009012DE" w:rsidRPr="00DA7318">
        <w:t xml:space="preserve">that </w:t>
      </w:r>
      <w:r w:rsidR="00A67BDA" w:rsidRPr="00DA7318">
        <w:t xml:space="preserve">are of direct relevance to the governing </w:t>
      </w:r>
      <w:r w:rsidR="002562D6" w:rsidRPr="00DA7318">
        <w:t>organs</w:t>
      </w:r>
      <w:r w:rsidR="00A67BDA" w:rsidRPr="00DA7318">
        <w:t xml:space="preserve"> of the 2003 Convention and the decisions or actions taken if any.</w:t>
      </w:r>
    </w:p>
    <w:p w14:paraId="38A7265A" w14:textId="096B8A56" w:rsidR="00C57750" w:rsidRPr="00DA7318" w:rsidRDefault="00383967" w:rsidP="00383967">
      <w:pPr>
        <w:pStyle w:val="COMPara"/>
        <w:numPr>
          <w:ilvl w:val="0"/>
          <w:numId w:val="9"/>
        </w:numPr>
        <w:jc w:val="both"/>
      </w:pPr>
      <w:r w:rsidRPr="00DA7318">
        <w:t xml:space="preserve">Furthermore, </w:t>
      </w:r>
      <w:r w:rsidR="00C57750" w:rsidRPr="00DA7318">
        <w:t xml:space="preserve">Annex I of the </w:t>
      </w:r>
      <w:r w:rsidR="008A77CD" w:rsidRPr="00DA7318">
        <w:t>r</w:t>
      </w:r>
      <w:r w:rsidR="00C57750" w:rsidRPr="00DA7318">
        <w:t>eport by the Secretariat on its activities (</w:t>
      </w:r>
      <w:hyperlink r:id="rId17" w:history="1">
        <w:r w:rsidR="00C57750" w:rsidRPr="008A300B">
          <w:rPr>
            <w:rStyle w:val="Hyperlink"/>
          </w:rPr>
          <w:t>document</w:t>
        </w:r>
        <w:r w:rsidR="008A300B" w:rsidRPr="008A300B">
          <w:rPr>
            <w:rStyle w:val="Hyperlink"/>
          </w:rPr>
          <w:t> </w:t>
        </w:r>
        <w:r w:rsidR="00C57750" w:rsidRPr="008A300B">
          <w:rPr>
            <w:rStyle w:val="Hyperlink"/>
          </w:rPr>
          <w:t>ITH/16/11.COM/5</w:t>
        </w:r>
      </w:hyperlink>
      <w:r w:rsidR="00C57750" w:rsidRPr="00DA7318">
        <w:t>) presents the status of the implementation of the twenty-four recommendations of the evaluation and the four recommendations of the audit report of the working methods of all six culture conventions</w:t>
      </w:r>
      <w:r w:rsidR="00CA5EE0" w:rsidRPr="00DA7318">
        <w:t xml:space="preserve">. It is also to be noted that </w:t>
      </w:r>
      <w:r w:rsidR="00A555C8">
        <w:t>the</w:t>
      </w:r>
      <w:r w:rsidR="00CA5EE0" w:rsidRPr="00DA7318">
        <w:t xml:space="preserve"> recent sixth session of the General Assembly further highlighted the need for increasing the synergies and coherence of specific aspects of </w:t>
      </w:r>
      <w:r w:rsidR="00E17960">
        <w:t xml:space="preserve">its </w:t>
      </w:r>
      <w:r w:rsidR="00CA5EE0" w:rsidRPr="00DA7318">
        <w:t>work with other conventions in the field of culture, such as the Rules of Procedures and its conduct of business (</w:t>
      </w:r>
      <w:hyperlink r:id="rId18" w:history="1">
        <w:r w:rsidR="00CA5EE0" w:rsidRPr="00DA7318">
          <w:rPr>
            <w:rStyle w:val="Hyperlink"/>
            <w:lang w:val="en-US"/>
          </w:rPr>
          <w:t>Resolution 6</w:t>
        </w:r>
        <w:r w:rsidR="00E17960">
          <w:rPr>
            <w:rStyle w:val="Hyperlink"/>
            <w:lang w:val="en-US"/>
          </w:rPr>
          <w:t>.</w:t>
        </w:r>
        <w:r w:rsidR="00CA5EE0" w:rsidRPr="00DA7318">
          <w:rPr>
            <w:rStyle w:val="Hyperlink"/>
            <w:lang w:val="en-US"/>
          </w:rPr>
          <w:t>GA 11</w:t>
        </w:r>
      </w:hyperlink>
      <w:r w:rsidR="00CA5EE0" w:rsidRPr="00AF70A0">
        <w:rPr>
          <w:rStyle w:val="Hyperlink"/>
          <w:color w:val="auto"/>
          <w:u w:val="none"/>
          <w:lang w:val="en-US"/>
        </w:rPr>
        <w:t>).</w:t>
      </w:r>
    </w:p>
    <w:p w14:paraId="7F771C10" w14:textId="77777777" w:rsidR="00F60E4C" w:rsidRPr="00EA528C" w:rsidRDefault="00F60E4C" w:rsidP="00F60E4C">
      <w:pPr>
        <w:pStyle w:val="COMPara"/>
        <w:numPr>
          <w:ilvl w:val="0"/>
          <w:numId w:val="9"/>
        </w:numPr>
        <w:jc w:val="both"/>
      </w:pPr>
      <w:r w:rsidRPr="000B1C8F">
        <w:t xml:space="preserve">The Committee may wish </w:t>
      </w:r>
      <w:r>
        <w:t>to adopt the following decision</w:t>
      </w:r>
      <w:r w:rsidRPr="00EA528C">
        <w:t>:</w:t>
      </w:r>
    </w:p>
    <w:p w14:paraId="177C9C0F" w14:textId="77777777" w:rsidR="00F60E4C" w:rsidRPr="00FD624F" w:rsidRDefault="00F60E4C" w:rsidP="00F60E4C">
      <w:pPr>
        <w:pStyle w:val="COMTitleDecision"/>
        <w:rPr>
          <w:rFonts w:eastAsia="SimSun"/>
        </w:rPr>
      </w:pPr>
      <w:r w:rsidRPr="00ED7D96">
        <w:t>DRAFT DECISION 11.COM 7</w:t>
      </w:r>
    </w:p>
    <w:p w14:paraId="227BA3DF" w14:textId="77777777" w:rsidR="00F60E4C" w:rsidRPr="00454D21" w:rsidRDefault="00F60E4C" w:rsidP="00F60E4C">
      <w:pPr>
        <w:pStyle w:val="COMPreambulaDecisions"/>
        <w:rPr>
          <w:rFonts w:eastAsia="SimSun"/>
        </w:rPr>
      </w:pPr>
      <w:r w:rsidRPr="00454D21">
        <w:t>The Committee,</w:t>
      </w:r>
    </w:p>
    <w:p w14:paraId="7C4A733B" w14:textId="77777777" w:rsidR="00F60E4C" w:rsidRPr="00DA7318" w:rsidRDefault="00F60E4C" w:rsidP="00F60E4C">
      <w:pPr>
        <w:pStyle w:val="COMParaDecision"/>
        <w:jc w:val="left"/>
      </w:pPr>
      <w:r w:rsidRPr="00DA7318">
        <w:t>Having examined</w:t>
      </w:r>
      <w:r w:rsidRPr="00DA7318">
        <w:rPr>
          <w:u w:val="none"/>
        </w:rPr>
        <w:t xml:space="preserve"> document ITH/16/11.COM/7,</w:t>
      </w:r>
    </w:p>
    <w:p w14:paraId="4F339ABD" w14:textId="62BD7D15" w:rsidR="00220EF1" w:rsidRPr="00DA7318" w:rsidRDefault="00220EF1" w:rsidP="00F60E4C">
      <w:pPr>
        <w:pStyle w:val="COMParaDecision"/>
      </w:pPr>
      <w:r w:rsidRPr="00DA7318">
        <w:t>R</w:t>
      </w:r>
      <w:r w:rsidR="00F60E4C" w:rsidRPr="00DA7318">
        <w:t>ecalling</w:t>
      </w:r>
      <w:r w:rsidR="00F60E4C" w:rsidRPr="00DA7318">
        <w:rPr>
          <w:u w:val="none"/>
        </w:rPr>
        <w:t xml:space="preserve"> </w:t>
      </w:r>
      <w:hyperlink r:id="rId19" w:history="1">
        <w:r w:rsidR="00B44F44">
          <w:rPr>
            <w:rStyle w:val="Hyperlink"/>
          </w:rPr>
          <w:t>Decision</w:t>
        </w:r>
        <w:r w:rsidRPr="00DA7318">
          <w:rPr>
            <w:rStyle w:val="Hyperlink"/>
          </w:rPr>
          <w:t> 8.COM 5.c.1</w:t>
        </w:r>
      </w:hyperlink>
      <w:r w:rsidRPr="00DA7318">
        <w:rPr>
          <w:u w:val="none"/>
        </w:rPr>
        <w:t xml:space="preserve">, </w:t>
      </w:r>
      <w:hyperlink r:id="rId20" w:history="1">
        <w:r w:rsidRPr="00DA7318">
          <w:rPr>
            <w:rStyle w:val="Hyperlink"/>
          </w:rPr>
          <w:t>Decision 8.COM 5.c.2</w:t>
        </w:r>
      </w:hyperlink>
      <w:r w:rsidRPr="00DA7318">
        <w:rPr>
          <w:u w:val="none"/>
        </w:rPr>
        <w:t xml:space="preserve">, </w:t>
      </w:r>
      <w:hyperlink r:id="rId21" w:history="1">
        <w:r w:rsidRPr="00DA7318">
          <w:rPr>
            <w:rStyle w:val="Hyperlink"/>
            <w:lang w:val="en-US"/>
          </w:rPr>
          <w:t>Decision 9.COM 13.g</w:t>
        </w:r>
      </w:hyperlink>
      <w:r w:rsidRPr="00DA7318">
        <w:rPr>
          <w:rStyle w:val="Hyperlink"/>
          <w:lang w:val="en-US"/>
        </w:rPr>
        <w:t>,</w:t>
      </w:r>
      <w:r w:rsidR="00936421" w:rsidRPr="00DA7318">
        <w:rPr>
          <w:rStyle w:val="Hyperlink"/>
          <w:lang w:val="en-US"/>
        </w:rPr>
        <w:t xml:space="preserve"> </w:t>
      </w:r>
      <w:hyperlink r:id="rId22" w:history="1">
        <w:r w:rsidR="00AF70A0">
          <w:rPr>
            <w:rStyle w:val="Hyperlink"/>
          </w:rPr>
          <w:t>Decision</w:t>
        </w:r>
        <w:r w:rsidR="00AF70A0">
          <w:rPr>
            <w:rStyle w:val="Hyperlink"/>
            <w:lang w:val="en-US"/>
          </w:rPr>
          <w:t> </w:t>
        </w:r>
        <w:r w:rsidR="00936421" w:rsidRPr="00DA7318">
          <w:rPr>
            <w:rStyle w:val="Hyperlink"/>
          </w:rPr>
          <w:t>10.COM</w:t>
        </w:r>
        <w:r w:rsidR="00AF70A0">
          <w:rPr>
            <w:rStyle w:val="Hyperlink"/>
            <w:lang w:val="en-US"/>
          </w:rPr>
          <w:t> </w:t>
        </w:r>
        <w:r w:rsidR="00936421" w:rsidRPr="00DA7318">
          <w:rPr>
            <w:rStyle w:val="Hyperlink"/>
          </w:rPr>
          <w:t>15.c</w:t>
        </w:r>
      </w:hyperlink>
      <w:r w:rsidR="00C81BED" w:rsidRPr="00AF70A0">
        <w:rPr>
          <w:rStyle w:val="Hyperlink"/>
          <w:u w:val="none"/>
        </w:rPr>
        <w:t xml:space="preserve"> </w:t>
      </w:r>
      <w:r w:rsidRPr="00DA7318">
        <w:rPr>
          <w:u w:val="none"/>
          <w:lang w:val="en-US"/>
        </w:rPr>
        <w:t xml:space="preserve">and </w:t>
      </w:r>
      <w:hyperlink r:id="rId23" w:history="1">
        <w:r w:rsidRPr="00DA7318">
          <w:rPr>
            <w:rStyle w:val="Hyperlink"/>
            <w:lang w:val="en-US"/>
          </w:rPr>
          <w:t>Resolution 6</w:t>
        </w:r>
        <w:r w:rsidR="00E17960">
          <w:rPr>
            <w:rStyle w:val="Hyperlink"/>
            <w:lang w:val="en-US"/>
          </w:rPr>
          <w:t>.</w:t>
        </w:r>
        <w:r w:rsidRPr="00DA7318">
          <w:rPr>
            <w:rStyle w:val="Hyperlink"/>
            <w:lang w:val="en-US"/>
          </w:rPr>
          <w:t>GA 11</w:t>
        </w:r>
      </w:hyperlink>
      <w:r w:rsidRPr="00DA7318">
        <w:rPr>
          <w:u w:val="none"/>
        </w:rPr>
        <w:t>,</w:t>
      </w:r>
    </w:p>
    <w:p w14:paraId="09C42BB1" w14:textId="7273F9D2" w:rsidR="00F60E4C" w:rsidRPr="00DA7318" w:rsidRDefault="00220EF1" w:rsidP="00F60E4C">
      <w:pPr>
        <w:pStyle w:val="COMParaDecision"/>
      </w:pPr>
      <w:r w:rsidRPr="00DA7318">
        <w:t>Further recalling</w:t>
      </w:r>
      <w:r w:rsidRPr="00DA7318">
        <w:rPr>
          <w:u w:val="none"/>
        </w:rPr>
        <w:t xml:space="preserve"> </w:t>
      </w:r>
      <w:r w:rsidR="00F60E4C" w:rsidRPr="00DA7318">
        <w:rPr>
          <w:u w:val="none"/>
        </w:rPr>
        <w:t>the Audit of the Working Methods of Cultural Conventions and the Evaluation of UNESCO’s Standard-Setting work of the Culture Sector undertaken by the I</w:t>
      </w:r>
      <w:r w:rsidR="008A77CD" w:rsidRPr="00DA7318">
        <w:rPr>
          <w:u w:val="none"/>
        </w:rPr>
        <w:t>OS</w:t>
      </w:r>
      <w:r w:rsidRPr="00DA7318">
        <w:rPr>
          <w:u w:val="none"/>
        </w:rPr>
        <w:t>,</w:t>
      </w:r>
    </w:p>
    <w:p w14:paraId="45CCCF69" w14:textId="77777777" w:rsidR="00357A86" w:rsidRPr="00DA7318" w:rsidRDefault="00F60E4C" w:rsidP="00F60E4C">
      <w:pPr>
        <w:pStyle w:val="COMParaDecision"/>
      </w:pPr>
      <w:r w:rsidRPr="00DA7318">
        <w:t>Takes note</w:t>
      </w:r>
      <w:r w:rsidRPr="00DA7318">
        <w:rPr>
          <w:u w:val="none"/>
        </w:rPr>
        <w:t xml:space="preserve"> of the efforts and steps already undertaken with a view to improve and streaml</w:t>
      </w:r>
      <w:r w:rsidR="002562D6" w:rsidRPr="00DA7318">
        <w:rPr>
          <w:u w:val="none"/>
        </w:rPr>
        <w:t>ine the working methods of the g</w:t>
      </w:r>
      <w:r w:rsidRPr="00DA7318">
        <w:rPr>
          <w:u w:val="none"/>
        </w:rPr>
        <w:t xml:space="preserve">overning </w:t>
      </w:r>
      <w:r w:rsidR="002562D6" w:rsidRPr="00DA7318">
        <w:rPr>
          <w:u w:val="none"/>
        </w:rPr>
        <w:t>organs</w:t>
      </w:r>
      <w:r w:rsidRPr="00DA7318">
        <w:rPr>
          <w:u w:val="none"/>
        </w:rPr>
        <w:t xml:space="preserve"> of the 2003 Convention in line with the Recommendations by the External Auditor and IOS on this matter</w:t>
      </w:r>
      <w:r w:rsidR="00C14C1B" w:rsidRPr="00DA7318">
        <w:rPr>
          <w:u w:val="none"/>
        </w:rPr>
        <w:t>;</w:t>
      </w:r>
    </w:p>
    <w:p w14:paraId="5D3DCC21" w14:textId="77777777" w:rsidR="00F60E4C" w:rsidRPr="00DA7318" w:rsidRDefault="00357A86" w:rsidP="00F60E4C">
      <w:pPr>
        <w:pStyle w:val="COMParaDecision"/>
        <w:rPr>
          <w:u w:val="none"/>
        </w:rPr>
      </w:pPr>
      <w:r w:rsidRPr="00DA7318">
        <w:t>Further takes note</w:t>
      </w:r>
      <w:r w:rsidRPr="00DA7318">
        <w:rPr>
          <w:u w:val="none"/>
        </w:rPr>
        <w:t xml:space="preserve"> of recent situations as regards the recommendations of the External Auditor’s report which are of direct relevance to the governin</w:t>
      </w:r>
      <w:r w:rsidR="00943551" w:rsidRPr="00DA7318">
        <w:rPr>
          <w:u w:val="none"/>
        </w:rPr>
        <w:t>g organs of the 2003 Convention;</w:t>
      </w:r>
    </w:p>
    <w:p w14:paraId="26CCF7CA" w14:textId="77777777" w:rsidR="00F60E4C" w:rsidRPr="007D43FA" w:rsidRDefault="00F60E4C" w:rsidP="00F60E4C">
      <w:pPr>
        <w:pStyle w:val="COMParaDecision"/>
        <w:rPr>
          <w:u w:val="none"/>
        </w:rPr>
      </w:pPr>
      <w:r w:rsidRPr="00DA7318">
        <w:t>Decides</w:t>
      </w:r>
      <w:r w:rsidRPr="00DA7318">
        <w:rPr>
          <w:u w:val="none"/>
        </w:rPr>
        <w:t xml:space="preserve"> to transmit, as requested, Document ITH/16/11.COM/7 and </w:t>
      </w:r>
      <w:r w:rsidR="00C760D6" w:rsidRPr="00DA7318">
        <w:rPr>
          <w:u w:val="none"/>
        </w:rPr>
        <w:t xml:space="preserve">the </w:t>
      </w:r>
      <w:r w:rsidRPr="00DA7318">
        <w:rPr>
          <w:u w:val="none"/>
        </w:rPr>
        <w:t xml:space="preserve">relevant decision to the Chairperson of the </w:t>
      </w:r>
      <w:r w:rsidR="00C760D6" w:rsidRPr="00DA7318">
        <w:rPr>
          <w:u w:val="none"/>
        </w:rPr>
        <w:t>O</w:t>
      </w:r>
      <w:r w:rsidRPr="00DA7318">
        <w:rPr>
          <w:u w:val="none"/>
        </w:rPr>
        <w:t>pen-ended Working Group on the Governance Procedures and Working Methods of</w:t>
      </w:r>
      <w:r>
        <w:rPr>
          <w:u w:val="none"/>
        </w:rPr>
        <w:t xml:space="preserve"> the Governing Bodies.</w:t>
      </w:r>
    </w:p>
    <w:p w14:paraId="204AC625" w14:textId="77777777" w:rsidR="00F60E4C" w:rsidRDefault="00F60E4C" w:rsidP="00171469">
      <w:pPr>
        <w:pStyle w:val="COMPara"/>
        <w:ind w:left="360"/>
        <w:sectPr w:rsidR="00F60E4C" w:rsidSect="008A7E88">
          <w:headerReference w:type="even" r:id="rId24"/>
          <w:headerReference w:type="default" r:id="rId25"/>
          <w:headerReference w:type="first" r:id="rId26"/>
          <w:pgSz w:w="11906" w:h="16838" w:code="9"/>
          <w:pgMar w:top="1418" w:right="1134" w:bottom="1134" w:left="1134" w:header="397" w:footer="284" w:gutter="0"/>
          <w:cols w:space="708"/>
          <w:titlePg/>
          <w:docGrid w:linePitch="360"/>
        </w:sectPr>
      </w:pPr>
    </w:p>
    <w:p w14:paraId="6FA03109" w14:textId="77777777" w:rsidR="00447A43" w:rsidRPr="00F60E4C" w:rsidRDefault="00F60E4C" w:rsidP="00F60E4C">
      <w:pPr>
        <w:pStyle w:val="COMPara"/>
        <w:spacing w:before="120" w:after="240"/>
        <w:ind w:left="357"/>
        <w:jc w:val="center"/>
        <w:rPr>
          <w:b/>
        </w:rPr>
      </w:pPr>
      <w:r w:rsidRPr="00F60E4C">
        <w:rPr>
          <w:b/>
        </w:rPr>
        <w:lastRenderedPageBreak/>
        <w:t>ANNEX</w:t>
      </w:r>
    </w:p>
    <w:tbl>
      <w:tblPr>
        <w:tblStyle w:val="TableGrid"/>
        <w:tblW w:w="0" w:type="auto"/>
        <w:tblInd w:w="360" w:type="dxa"/>
        <w:tblLook w:val="04A0" w:firstRow="1" w:lastRow="0" w:firstColumn="1" w:lastColumn="0" w:noHBand="0" w:noVBand="1"/>
      </w:tblPr>
      <w:tblGrid>
        <w:gridCol w:w="6958"/>
        <w:gridCol w:w="6958"/>
      </w:tblGrid>
      <w:tr w:rsidR="00447A43" w:rsidRPr="00961DAF" w14:paraId="4E73B4A4" w14:textId="77777777" w:rsidTr="00DA4BEB">
        <w:tc>
          <w:tcPr>
            <w:tcW w:w="13916" w:type="dxa"/>
            <w:gridSpan w:val="2"/>
            <w:shd w:val="clear" w:color="auto" w:fill="D9D9D9" w:themeFill="background1" w:themeFillShade="D9"/>
          </w:tcPr>
          <w:p w14:paraId="6F861DED" w14:textId="77777777" w:rsidR="00447A43" w:rsidRPr="00447A43" w:rsidRDefault="00447A43" w:rsidP="00447A43">
            <w:pPr>
              <w:pStyle w:val="Default"/>
              <w:spacing w:before="120" w:after="120"/>
              <w:rPr>
                <w:sz w:val="22"/>
                <w:szCs w:val="22"/>
                <w:lang w:val="en-US"/>
              </w:rPr>
            </w:pPr>
            <w:r w:rsidRPr="00447A43">
              <w:rPr>
                <w:b/>
                <w:bCs/>
                <w:sz w:val="22"/>
                <w:szCs w:val="22"/>
                <w:lang w:val="en-US"/>
              </w:rPr>
              <w:t>Recommendation No. 3</w:t>
            </w:r>
            <w:r w:rsidRPr="00447A43">
              <w:rPr>
                <w:sz w:val="22"/>
                <w:szCs w:val="22"/>
                <w:lang w:val="en-US"/>
              </w:rPr>
              <w:t>. The External Auditor recommends that the General Conference:</w:t>
            </w:r>
          </w:p>
          <w:p w14:paraId="07371073" w14:textId="77777777" w:rsidR="00447A43" w:rsidRPr="00447A43" w:rsidRDefault="00447A43" w:rsidP="00447A43">
            <w:pPr>
              <w:pStyle w:val="Default"/>
              <w:spacing w:before="120" w:after="120"/>
              <w:rPr>
                <w:sz w:val="22"/>
                <w:szCs w:val="22"/>
                <w:lang w:val="en-US"/>
              </w:rPr>
            </w:pPr>
            <w:r w:rsidRPr="00447A43">
              <w:rPr>
                <w:sz w:val="22"/>
                <w:szCs w:val="22"/>
                <w:lang w:val="en-US"/>
              </w:rPr>
              <w:t>(i) delegate the steering and management of the following ten actions to the Bureau of the Executive Board;</w:t>
            </w:r>
          </w:p>
          <w:p w14:paraId="667ECF49" w14:textId="77777777" w:rsidR="00447A43" w:rsidRPr="00447A43" w:rsidRDefault="00447A43" w:rsidP="00447A43">
            <w:pPr>
              <w:pStyle w:val="Default"/>
              <w:spacing w:before="120" w:after="120"/>
              <w:rPr>
                <w:sz w:val="22"/>
                <w:szCs w:val="22"/>
                <w:lang w:val="en-US"/>
              </w:rPr>
            </w:pPr>
            <w:r w:rsidRPr="00447A43">
              <w:rPr>
                <w:sz w:val="22"/>
                <w:szCs w:val="22"/>
                <w:lang w:val="en-US"/>
              </w:rPr>
              <w:t xml:space="preserve">(ii) to that end, provide the Board with the appropriate means to ensure, after obtaining the opinion of each of the governing bodies, consulted as needed and in the most efficient way, the adoption, at the </w:t>
            </w:r>
            <w:r w:rsidR="008A77CD">
              <w:rPr>
                <w:sz w:val="22"/>
                <w:szCs w:val="22"/>
                <w:lang w:val="en-US"/>
              </w:rPr>
              <w:t>thirty-ninth</w:t>
            </w:r>
            <w:r w:rsidRPr="00447A43">
              <w:rPr>
                <w:sz w:val="22"/>
                <w:szCs w:val="22"/>
                <w:lang w:val="en-US"/>
              </w:rPr>
              <w:t xml:space="preserve"> session of the General Conference, of a guide to best practices applicable to the whole of UNESCO and its dependent funds, programmes and entities:</w:t>
            </w:r>
          </w:p>
          <w:p w14:paraId="29E3169C" w14:textId="77777777" w:rsidR="00447A43" w:rsidRPr="00447A43" w:rsidRDefault="00447A43" w:rsidP="00447A43">
            <w:pPr>
              <w:pStyle w:val="Default"/>
              <w:spacing w:before="60" w:after="60"/>
              <w:rPr>
                <w:sz w:val="22"/>
                <w:szCs w:val="22"/>
                <w:lang w:val="en-US"/>
              </w:rPr>
            </w:pPr>
            <w:r w:rsidRPr="00447A43">
              <w:rPr>
                <w:sz w:val="22"/>
                <w:szCs w:val="22"/>
                <w:lang w:val="en-US"/>
              </w:rPr>
              <w:t>– accelerate the shortening of sessions</w:t>
            </w:r>
          </w:p>
          <w:p w14:paraId="07E73884" w14:textId="77777777" w:rsidR="00447A43" w:rsidRPr="00447A43" w:rsidRDefault="00447A43" w:rsidP="00447A43">
            <w:pPr>
              <w:pStyle w:val="Default"/>
              <w:spacing w:before="60" w:after="60"/>
              <w:rPr>
                <w:sz w:val="22"/>
                <w:szCs w:val="22"/>
                <w:lang w:val="en-US"/>
              </w:rPr>
            </w:pPr>
            <w:r w:rsidRPr="00447A43">
              <w:rPr>
                <w:sz w:val="22"/>
                <w:szCs w:val="22"/>
                <w:lang w:val="en-US"/>
              </w:rPr>
              <w:t>– group meetings together</w:t>
            </w:r>
          </w:p>
          <w:p w14:paraId="4C6FCB43" w14:textId="77777777" w:rsidR="00447A43" w:rsidRPr="00447A43" w:rsidRDefault="00447A43" w:rsidP="00447A43">
            <w:pPr>
              <w:pStyle w:val="Default"/>
              <w:spacing w:before="60" w:after="60"/>
              <w:rPr>
                <w:sz w:val="22"/>
                <w:szCs w:val="22"/>
                <w:lang w:val="en-US"/>
              </w:rPr>
            </w:pPr>
            <w:r w:rsidRPr="00447A43">
              <w:rPr>
                <w:sz w:val="22"/>
                <w:szCs w:val="22"/>
                <w:lang w:val="en-US"/>
              </w:rPr>
              <w:t>– make annual meetings biennial, and biennial meetings quadrennial</w:t>
            </w:r>
          </w:p>
          <w:p w14:paraId="77D5A2BA" w14:textId="77777777" w:rsidR="00447A43" w:rsidRPr="00447A43" w:rsidRDefault="00447A43" w:rsidP="00447A43">
            <w:pPr>
              <w:pStyle w:val="Default"/>
              <w:spacing w:before="60" w:after="60"/>
              <w:rPr>
                <w:sz w:val="22"/>
                <w:szCs w:val="22"/>
                <w:lang w:val="en-US"/>
              </w:rPr>
            </w:pPr>
            <w:r w:rsidRPr="00447A43">
              <w:rPr>
                <w:sz w:val="22"/>
                <w:szCs w:val="22"/>
                <w:lang w:val="en-US"/>
              </w:rPr>
              <w:t>– make more use of teleconferences</w:t>
            </w:r>
          </w:p>
          <w:p w14:paraId="59D0AE28" w14:textId="77777777" w:rsidR="00447A43" w:rsidRPr="00447A43" w:rsidRDefault="00447A43" w:rsidP="00447A43">
            <w:pPr>
              <w:pStyle w:val="Default"/>
              <w:spacing w:before="60" w:after="60"/>
              <w:rPr>
                <w:sz w:val="22"/>
                <w:szCs w:val="22"/>
                <w:lang w:val="en-US"/>
              </w:rPr>
            </w:pPr>
            <w:r w:rsidRPr="00447A43">
              <w:rPr>
                <w:sz w:val="22"/>
                <w:szCs w:val="22"/>
                <w:lang w:val="en-US"/>
              </w:rPr>
              <w:t>– convene essential meetings only and finance them through the regular budget</w:t>
            </w:r>
          </w:p>
          <w:p w14:paraId="35B626A6" w14:textId="77777777" w:rsidR="00447A43" w:rsidRPr="00447A43" w:rsidRDefault="00447A43" w:rsidP="00447A43">
            <w:pPr>
              <w:pStyle w:val="Default"/>
              <w:spacing w:before="60" w:after="60"/>
              <w:rPr>
                <w:sz w:val="22"/>
                <w:szCs w:val="22"/>
                <w:lang w:val="en-US"/>
              </w:rPr>
            </w:pPr>
            <w:r w:rsidRPr="00447A43">
              <w:rPr>
                <w:sz w:val="22"/>
                <w:szCs w:val="22"/>
                <w:lang w:val="en-US"/>
              </w:rPr>
              <w:t>– reduce the number of meeting participants</w:t>
            </w:r>
          </w:p>
          <w:p w14:paraId="27F57A49" w14:textId="77777777" w:rsidR="00447A43" w:rsidRPr="00447A43" w:rsidRDefault="00447A43" w:rsidP="00447A43">
            <w:pPr>
              <w:pStyle w:val="Default"/>
              <w:spacing w:before="60" w:after="60"/>
              <w:rPr>
                <w:sz w:val="22"/>
                <w:szCs w:val="22"/>
                <w:lang w:val="en-US"/>
              </w:rPr>
            </w:pPr>
            <w:r w:rsidRPr="00447A43">
              <w:rPr>
                <w:sz w:val="22"/>
                <w:szCs w:val="22"/>
                <w:lang w:val="en-US"/>
              </w:rPr>
              <w:t>– shorten agendas by prioritizing and delegating minor decisions</w:t>
            </w:r>
          </w:p>
          <w:p w14:paraId="0F60FD0B" w14:textId="77777777" w:rsidR="00447A43" w:rsidRPr="00447A43" w:rsidRDefault="00447A43" w:rsidP="00447A43">
            <w:pPr>
              <w:pStyle w:val="Default"/>
              <w:spacing w:before="60" w:after="60"/>
              <w:rPr>
                <w:sz w:val="22"/>
                <w:szCs w:val="22"/>
                <w:lang w:val="en-US"/>
              </w:rPr>
            </w:pPr>
            <w:r w:rsidRPr="00447A43">
              <w:rPr>
                <w:sz w:val="22"/>
                <w:szCs w:val="22"/>
                <w:lang w:val="en-US"/>
              </w:rPr>
              <w:t>– increase the delegation of authority to the bureau</w:t>
            </w:r>
          </w:p>
          <w:p w14:paraId="16D83D28" w14:textId="77777777" w:rsidR="00447A43" w:rsidRPr="00447A43" w:rsidRDefault="00447A43" w:rsidP="00447A43">
            <w:pPr>
              <w:pStyle w:val="Default"/>
              <w:spacing w:before="60" w:after="60"/>
              <w:rPr>
                <w:sz w:val="22"/>
                <w:szCs w:val="22"/>
                <w:lang w:val="en-US"/>
              </w:rPr>
            </w:pPr>
            <w:r w:rsidRPr="00447A43">
              <w:rPr>
                <w:sz w:val="22"/>
                <w:szCs w:val="22"/>
                <w:lang w:val="en-US"/>
              </w:rPr>
              <w:t>– simplify and improve the dissemination of results</w:t>
            </w:r>
          </w:p>
          <w:p w14:paraId="00AED6D1" w14:textId="77777777" w:rsidR="00447A43" w:rsidRDefault="00447A43" w:rsidP="00447A43">
            <w:pPr>
              <w:pStyle w:val="COMPara"/>
              <w:spacing w:before="60" w:after="60"/>
            </w:pPr>
            <w:r>
              <w:t xml:space="preserve">– encourage best practices </w:t>
            </w:r>
          </w:p>
        </w:tc>
      </w:tr>
      <w:tr w:rsidR="001B0BAE" w:rsidRPr="00447A43" w14:paraId="28FB98E2" w14:textId="77777777" w:rsidTr="00DA4BEB">
        <w:tc>
          <w:tcPr>
            <w:tcW w:w="6958" w:type="dxa"/>
            <w:shd w:val="clear" w:color="auto" w:fill="F2F2F2" w:themeFill="background1" w:themeFillShade="F2"/>
          </w:tcPr>
          <w:p w14:paraId="47E5D191" w14:textId="77777777" w:rsidR="001B0BAE" w:rsidRPr="00447A43" w:rsidRDefault="00CC7D3B" w:rsidP="00B01FB3">
            <w:pPr>
              <w:pStyle w:val="Default"/>
              <w:spacing w:before="120" w:after="120"/>
              <w:jc w:val="center"/>
              <w:rPr>
                <w:sz w:val="22"/>
                <w:szCs w:val="22"/>
                <w:lang w:val="en-US"/>
              </w:rPr>
            </w:pPr>
            <w:r>
              <w:rPr>
                <w:sz w:val="22"/>
                <w:szCs w:val="22"/>
                <w:lang w:val="en-US"/>
              </w:rPr>
              <w:t>Action</w:t>
            </w:r>
            <w:r w:rsidR="001B0BAE">
              <w:rPr>
                <w:sz w:val="22"/>
                <w:szCs w:val="22"/>
                <w:lang w:val="en-US"/>
              </w:rPr>
              <w:t xml:space="preserve"> </w:t>
            </w:r>
          </w:p>
        </w:tc>
        <w:tc>
          <w:tcPr>
            <w:tcW w:w="6958" w:type="dxa"/>
            <w:shd w:val="clear" w:color="auto" w:fill="F2F2F2" w:themeFill="background1" w:themeFillShade="F2"/>
          </w:tcPr>
          <w:p w14:paraId="56A592BF" w14:textId="77777777" w:rsidR="001B0BAE" w:rsidRPr="001B0BAE" w:rsidRDefault="001B0BAE" w:rsidP="001B0BAE">
            <w:pPr>
              <w:spacing w:before="120" w:after="120"/>
              <w:ind w:right="57"/>
              <w:jc w:val="center"/>
              <w:rPr>
                <w:rFonts w:ascii="Arial" w:hAnsi="Arial" w:cs="Arial"/>
                <w:sz w:val="22"/>
                <w:szCs w:val="22"/>
                <w:lang w:val="en-US"/>
              </w:rPr>
            </w:pPr>
            <w:r>
              <w:rPr>
                <w:rFonts w:ascii="Arial" w:hAnsi="Arial" w:cs="Arial"/>
                <w:sz w:val="22"/>
                <w:szCs w:val="22"/>
                <w:lang w:val="en-US"/>
              </w:rPr>
              <w:t>Status</w:t>
            </w:r>
          </w:p>
        </w:tc>
      </w:tr>
      <w:tr w:rsidR="004E341F" w:rsidRPr="008A300B" w14:paraId="3749E8B1" w14:textId="77777777" w:rsidTr="008B2782">
        <w:tc>
          <w:tcPr>
            <w:tcW w:w="6958" w:type="dxa"/>
          </w:tcPr>
          <w:p w14:paraId="5724D45E" w14:textId="77777777" w:rsidR="004E341F" w:rsidRPr="00633FD7" w:rsidRDefault="004E341F" w:rsidP="004E341F">
            <w:pPr>
              <w:pStyle w:val="Default"/>
              <w:numPr>
                <w:ilvl w:val="1"/>
                <w:numId w:val="21"/>
              </w:numPr>
              <w:spacing w:before="120" w:after="120"/>
              <w:rPr>
                <w:bCs/>
                <w:sz w:val="22"/>
                <w:szCs w:val="22"/>
                <w:lang w:val="en-US"/>
              </w:rPr>
            </w:pPr>
            <w:r w:rsidRPr="009F4D20">
              <w:rPr>
                <w:sz w:val="22"/>
                <w:szCs w:val="22"/>
                <w:lang w:val="en-US"/>
              </w:rPr>
              <w:t>accelerate the shortening of sessions</w:t>
            </w:r>
          </w:p>
        </w:tc>
        <w:tc>
          <w:tcPr>
            <w:tcW w:w="6958" w:type="dxa"/>
          </w:tcPr>
          <w:p w14:paraId="3AF3F1D1" w14:textId="77777777" w:rsidR="004E341F" w:rsidRDefault="004E341F" w:rsidP="001B0BAE">
            <w:pPr>
              <w:pStyle w:val="ListParagraph"/>
              <w:numPr>
                <w:ilvl w:val="0"/>
                <w:numId w:val="32"/>
              </w:numPr>
              <w:spacing w:before="120" w:after="120"/>
              <w:ind w:left="470" w:right="57" w:hanging="357"/>
              <w:contextualSpacing w:val="0"/>
              <w:rPr>
                <w:rFonts w:ascii="Arial" w:hAnsi="Arial" w:cs="Arial"/>
                <w:sz w:val="22"/>
                <w:szCs w:val="22"/>
                <w:lang w:val="en-US"/>
              </w:rPr>
            </w:pPr>
            <w:r w:rsidRPr="00A76B7D">
              <w:rPr>
                <w:rFonts w:ascii="Arial" w:hAnsi="Arial" w:cs="Arial"/>
                <w:sz w:val="22"/>
                <w:szCs w:val="22"/>
                <w:lang w:val="en-US"/>
              </w:rPr>
              <w:t xml:space="preserve">The duration of the ninth and tenth sessions of the Committee </w:t>
            </w:r>
            <w:r>
              <w:rPr>
                <w:rFonts w:ascii="Arial" w:hAnsi="Arial" w:cs="Arial"/>
                <w:sz w:val="22"/>
                <w:szCs w:val="22"/>
                <w:lang w:val="en-US"/>
              </w:rPr>
              <w:t>was</w:t>
            </w:r>
            <w:r w:rsidRPr="00A76B7D">
              <w:rPr>
                <w:rFonts w:ascii="Arial" w:hAnsi="Arial" w:cs="Arial"/>
                <w:sz w:val="22"/>
                <w:szCs w:val="22"/>
                <w:lang w:val="en-US"/>
              </w:rPr>
              <w:t xml:space="preserve"> </w:t>
            </w:r>
            <w:r>
              <w:rPr>
                <w:rFonts w:ascii="Arial" w:hAnsi="Arial" w:cs="Arial"/>
                <w:sz w:val="22"/>
                <w:szCs w:val="22"/>
                <w:lang w:val="en-US"/>
              </w:rPr>
              <w:t>five</w:t>
            </w:r>
            <w:r w:rsidRPr="00A76B7D">
              <w:rPr>
                <w:rFonts w:ascii="Arial" w:hAnsi="Arial" w:cs="Arial"/>
                <w:sz w:val="22"/>
                <w:szCs w:val="22"/>
                <w:lang w:val="en-US"/>
              </w:rPr>
              <w:t xml:space="preserve"> days </w:t>
            </w:r>
            <w:r w:rsidR="005A66CF">
              <w:rPr>
                <w:rFonts w:ascii="Arial" w:hAnsi="Arial" w:cs="Arial"/>
                <w:sz w:val="22"/>
                <w:szCs w:val="22"/>
                <w:lang w:val="en-US"/>
              </w:rPr>
              <w:t xml:space="preserve">respectively </w:t>
            </w:r>
            <w:r w:rsidRPr="00A76B7D">
              <w:rPr>
                <w:rFonts w:ascii="Arial" w:hAnsi="Arial" w:cs="Arial"/>
                <w:sz w:val="22"/>
                <w:szCs w:val="22"/>
                <w:lang w:val="en-US"/>
              </w:rPr>
              <w:t xml:space="preserve">(one day less than the </w:t>
            </w:r>
            <w:r w:rsidR="00A05293">
              <w:rPr>
                <w:rFonts w:ascii="Arial" w:hAnsi="Arial" w:cs="Arial"/>
                <w:sz w:val="22"/>
                <w:szCs w:val="22"/>
                <w:lang w:val="en-US"/>
              </w:rPr>
              <w:t>eighth</w:t>
            </w:r>
            <w:r w:rsidRPr="00A76B7D">
              <w:rPr>
                <w:rFonts w:ascii="Arial" w:hAnsi="Arial" w:cs="Arial"/>
                <w:sz w:val="22"/>
                <w:szCs w:val="22"/>
                <w:lang w:val="en-US"/>
              </w:rPr>
              <w:t xml:space="preserve"> session).</w:t>
            </w:r>
          </w:p>
          <w:p w14:paraId="3B90A655" w14:textId="77777777" w:rsidR="004E341F" w:rsidRPr="004E341F" w:rsidRDefault="004E341F" w:rsidP="001B0BAE">
            <w:pPr>
              <w:pStyle w:val="ListParagraph"/>
              <w:numPr>
                <w:ilvl w:val="0"/>
                <w:numId w:val="32"/>
              </w:numPr>
              <w:spacing w:before="120" w:after="120"/>
              <w:ind w:left="470" w:right="57" w:hanging="357"/>
              <w:contextualSpacing w:val="0"/>
              <w:rPr>
                <w:rFonts w:ascii="Arial" w:hAnsi="Arial" w:cs="Arial"/>
                <w:sz w:val="22"/>
                <w:szCs w:val="22"/>
                <w:lang w:val="en-US"/>
              </w:rPr>
            </w:pPr>
            <w:r>
              <w:rPr>
                <w:rFonts w:ascii="Arial" w:hAnsi="Arial" w:cs="Arial"/>
                <w:sz w:val="22"/>
                <w:szCs w:val="22"/>
                <w:lang w:val="en-US"/>
              </w:rPr>
              <w:t>The sixth session of the General Assembly lasted three days (one day less than the fifth session and two days less than the fourth session).</w:t>
            </w:r>
          </w:p>
        </w:tc>
      </w:tr>
      <w:tr w:rsidR="004E341F" w:rsidRPr="008A300B" w14:paraId="77C30DF0" w14:textId="77777777" w:rsidTr="008B2782">
        <w:tc>
          <w:tcPr>
            <w:tcW w:w="6958" w:type="dxa"/>
          </w:tcPr>
          <w:p w14:paraId="297091AA" w14:textId="77777777" w:rsidR="004E341F" w:rsidRPr="004E341F" w:rsidRDefault="004E341F" w:rsidP="00447A43">
            <w:pPr>
              <w:pStyle w:val="Default"/>
              <w:numPr>
                <w:ilvl w:val="1"/>
                <w:numId w:val="21"/>
              </w:numPr>
              <w:spacing w:before="120" w:after="120"/>
              <w:rPr>
                <w:sz w:val="22"/>
                <w:szCs w:val="22"/>
                <w:lang w:val="en-US"/>
              </w:rPr>
            </w:pPr>
            <w:r w:rsidRPr="00447A43">
              <w:rPr>
                <w:sz w:val="22"/>
                <w:szCs w:val="22"/>
                <w:lang w:val="en-US"/>
              </w:rPr>
              <w:t xml:space="preserve">group meetings together </w:t>
            </w:r>
          </w:p>
        </w:tc>
        <w:tc>
          <w:tcPr>
            <w:tcW w:w="6958" w:type="dxa"/>
          </w:tcPr>
          <w:p w14:paraId="5E90E58C" w14:textId="1B017A09" w:rsidR="004E341F" w:rsidRPr="00C614CB" w:rsidRDefault="0023514B" w:rsidP="00633FD7">
            <w:pPr>
              <w:pStyle w:val="ListParagraph"/>
              <w:numPr>
                <w:ilvl w:val="0"/>
                <w:numId w:val="32"/>
              </w:numPr>
              <w:spacing w:before="120" w:after="120"/>
              <w:ind w:left="470" w:right="57" w:hanging="357"/>
              <w:contextualSpacing w:val="0"/>
              <w:rPr>
                <w:rFonts w:ascii="Arial" w:hAnsi="Arial" w:cs="Arial"/>
                <w:sz w:val="22"/>
                <w:szCs w:val="22"/>
                <w:lang w:val="en-US"/>
              </w:rPr>
            </w:pPr>
            <w:r w:rsidRPr="00C614CB">
              <w:rPr>
                <w:rFonts w:ascii="Arial" w:hAnsi="Arial" w:cs="Arial"/>
                <w:sz w:val="22"/>
                <w:szCs w:val="22"/>
                <w:lang w:val="en-US"/>
              </w:rPr>
              <w:t>T</w:t>
            </w:r>
            <w:r w:rsidR="004E341F" w:rsidRPr="00C614CB">
              <w:rPr>
                <w:rFonts w:ascii="Arial" w:hAnsi="Arial" w:cs="Arial"/>
                <w:sz w:val="22"/>
                <w:szCs w:val="22"/>
                <w:lang w:val="en-US"/>
              </w:rPr>
              <w:t>he Committee, during its ninth session encouraged the Secretariat to strengthen its efforts in coordinating meetings of States Parties for the different conventions, taking particular care to schedule them as far ahead as possible and with adequate time between them</w:t>
            </w:r>
            <w:r w:rsidR="001B0BAE" w:rsidRPr="00C614CB">
              <w:rPr>
                <w:rFonts w:ascii="Arial" w:hAnsi="Arial" w:cs="Arial"/>
                <w:sz w:val="22"/>
                <w:szCs w:val="22"/>
                <w:lang w:val="en-US"/>
              </w:rPr>
              <w:t xml:space="preserve"> (</w:t>
            </w:r>
            <w:hyperlink r:id="rId27" w:history="1">
              <w:r w:rsidR="001B0BAE" w:rsidRPr="00C614CB">
                <w:rPr>
                  <w:rStyle w:val="Hyperlink"/>
                  <w:rFonts w:ascii="Arial" w:hAnsi="Arial" w:cs="Arial"/>
                  <w:sz w:val="22"/>
                  <w:szCs w:val="22"/>
                  <w:lang w:val="en-US"/>
                </w:rPr>
                <w:t>Decision 9.COM 13.g</w:t>
              </w:r>
            </w:hyperlink>
            <w:r w:rsidR="001B0BAE" w:rsidRPr="00C614CB">
              <w:rPr>
                <w:rStyle w:val="Hyperlink"/>
                <w:rFonts w:ascii="Arial" w:hAnsi="Arial" w:cs="Arial"/>
                <w:color w:val="auto"/>
                <w:sz w:val="22"/>
                <w:szCs w:val="22"/>
                <w:u w:val="none"/>
                <w:lang w:val="en-US"/>
              </w:rPr>
              <w:t>)</w:t>
            </w:r>
            <w:r w:rsidR="00E17960" w:rsidRPr="00C614CB">
              <w:rPr>
                <w:rStyle w:val="Hyperlink"/>
                <w:rFonts w:ascii="Arial" w:hAnsi="Arial" w:cs="Arial"/>
                <w:color w:val="auto"/>
                <w:sz w:val="22"/>
                <w:szCs w:val="22"/>
                <w:u w:val="none"/>
                <w:lang w:val="en-US"/>
              </w:rPr>
              <w:t>.</w:t>
            </w:r>
            <w:r w:rsidRPr="00C614CB">
              <w:rPr>
                <w:rStyle w:val="Hyperlink"/>
                <w:rFonts w:ascii="Arial" w:hAnsi="Arial" w:cs="Arial"/>
                <w:color w:val="auto"/>
                <w:sz w:val="22"/>
                <w:szCs w:val="22"/>
                <w:u w:val="none"/>
                <w:lang w:val="en-US"/>
              </w:rPr>
              <w:t xml:space="preserve"> </w:t>
            </w:r>
            <w:r w:rsidR="00E17960" w:rsidRPr="00C614CB">
              <w:rPr>
                <w:rFonts w:ascii="Arial" w:hAnsi="Arial" w:cs="Arial"/>
                <w:sz w:val="22"/>
                <w:szCs w:val="22"/>
              </w:rPr>
              <w:t>T</w:t>
            </w:r>
            <w:r w:rsidRPr="00C614CB">
              <w:rPr>
                <w:rFonts w:ascii="Arial" w:hAnsi="Arial" w:cs="Arial"/>
                <w:sz w:val="22"/>
                <w:szCs w:val="22"/>
              </w:rPr>
              <w:t>his decision responds to a recommendation by IOS resulting from the audit of the working methods of all six cultural convention</w:t>
            </w:r>
            <w:r w:rsidR="00556880" w:rsidRPr="00C614CB">
              <w:rPr>
                <w:rFonts w:ascii="Arial" w:hAnsi="Arial" w:cs="Arial"/>
                <w:sz w:val="22"/>
                <w:szCs w:val="22"/>
              </w:rPr>
              <w:t>s</w:t>
            </w:r>
            <w:r w:rsidRPr="00C614CB">
              <w:rPr>
                <w:rFonts w:ascii="Arial" w:hAnsi="Arial" w:cs="Arial"/>
                <w:sz w:val="22"/>
                <w:szCs w:val="22"/>
              </w:rPr>
              <w:t xml:space="preserve">, </w:t>
            </w:r>
            <w:r w:rsidR="00BB62EC" w:rsidRPr="00C614CB">
              <w:rPr>
                <w:rFonts w:ascii="Arial" w:hAnsi="Arial" w:cs="Arial"/>
                <w:sz w:val="22"/>
                <w:szCs w:val="22"/>
              </w:rPr>
              <w:t>contrary to what is recommended by</w:t>
            </w:r>
            <w:r w:rsidRPr="00C614CB">
              <w:rPr>
                <w:rFonts w:ascii="Arial" w:hAnsi="Arial" w:cs="Arial"/>
                <w:sz w:val="22"/>
                <w:szCs w:val="22"/>
              </w:rPr>
              <w:t xml:space="preserve"> the External Auditor</w:t>
            </w:r>
            <w:r w:rsidR="004E341F" w:rsidRPr="00C614CB">
              <w:rPr>
                <w:rFonts w:ascii="Arial" w:hAnsi="Arial" w:cs="Arial"/>
                <w:sz w:val="22"/>
                <w:szCs w:val="22"/>
                <w:lang w:val="en-US"/>
              </w:rPr>
              <w:t>.</w:t>
            </w:r>
          </w:p>
        </w:tc>
      </w:tr>
      <w:tr w:rsidR="00ED1FFF" w:rsidRPr="008A300B" w14:paraId="0ED38594" w14:textId="77777777" w:rsidTr="008B2782">
        <w:tc>
          <w:tcPr>
            <w:tcW w:w="6958" w:type="dxa"/>
          </w:tcPr>
          <w:p w14:paraId="10FAA77A" w14:textId="77777777" w:rsidR="00ED1FFF" w:rsidRPr="00447A43" w:rsidRDefault="00B70538" w:rsidP="004E341F">
            <w:pPr>
              <w:pStyle w:val="Default"/>
              <w:numPr>
                <w:ilvl w:val="1"/>
                <w:numId w:val="21"/>
              </w:numPr>
              <w:spacing w:before="120" w:after="120"/>
              <w:rPr>
                <w:sz w:val="22"/>
                <w:szCs w:val="22"/>
                <w:lang w:val="en-US"/>
              </w:rPr>
            </w:pPr>
            <w:r w:rsidRPr="00447A43">
              <w:rPr>
                <w:sz w:val="22"/>
                <w:szCs w:val="22"/>
                <w:lang w:val="en-US"/>
              </w:rPr>
              <w:lastRenderedPageBreak/>
              <w:t>make annual meetings biennial, and biennial meetings quadrennial</w:t>
            </w:r>
          </w:p>
        </w:tc>
        <w:tc>
          <w:tcPr>
            <w:tcW w:w="6958" w:type="dxa"/>
          </w:tcPr>
          <w:p w14:paraId="7AF7AD63" w14:textId="77777777" w:rsidR="00ED1FFF" w:rsidRDefault="00B70538" w:rsidP="0025485D">
            <w:pPr>
              <w:pStyle w:val="ListParagraph"/>
              <w:numPr>
                <w:ilvl w:val="0"/>
                <w:numId w:val="32"/>
              </w:numPr>
              <w:spacing w:before="120" w:after="120"/>
              <w:ind w:left="470" w:right="57" w:hanging="357"/>
              <w:contextualSpacing w:val="0"/>
              <w:rPr>
                <w:rFonts w:ascii="Arial" w:hAnsi="Arial" w:cs="Arial"/>
                <w:sz w:val="22"/>
                <w:szCs w:val="22"/>
                <w:lang w:val="en-US"/>
              </w:rPr>
            </w:pPr>
            <w:r>
              <w:rPr>
                <w:rFonts w:ascii="Arial" w:hAnsi="Arial" w:cs="Arial"/>
                <w:sz w:val="22"/>
                <w:szCs w:val="22"/>
                <w:lang w:val="en-US"/>
              </w:rPr>
              <w:t xml:space="preserve">Paragraph 2 of Article 4 </w:t>
            </w:r>
            <w:r w:rsidRPr="00B70538">
              <w:rPr>
                <w:rFonts w:ascii="Arial" w:hAnsi="Arial" w:cs="Arial"/>
                <w:sz w:val="22"/>
                <w:szCs w:val="22"/>
                <w:lang w:val="en-US"/>
              </w:rPr>
              <w:t>of the 2003 Convention stipulates</w:t>
            </w:r>
            <w:r>
              <w:rPr>
                <w:rFonts w:ascii="Arial" w:hAnsi="Arial" w:cs="Arial"/>
                <w:sz w:val="22"/>
                <w:szCs w:val="22"/>
                <w:lang w:val="en-US"/>
              </w:rPr>
              <w:t xml:space="preserve"> that ‘the General Assembly will meet in ordinary session every two years’. </w:t>
            </w:r>
            <w:r w:rsidR="00F54386">
              <w:rPr>
                <w:rFonts w:ascii="Arial" w:hAnsi="Arial" w:cs="Arial"/>
                <w:sz w:val="22"/>
                <w:szCs w:val="22"/>
                <w:lang w:val="en-US"/>
              </w:rPr>
              <w:t>C</w:t>
            </w:r>
            <w:r>
              <w:rPr>
                <w:rFonts w:ascii="Arial" w:hAnsi="Arial" w:cs="Arial"/>
                <w:sz w:val="22"/>
                <w:szCs w:val="22"/>
                <w:lang w:val="en-US"/>
              </w:rPr>
              <w:t>hanging the frequency of the meeting</w:t>
            </w:r>
            <w:r w:rsidR="00F54386">
              <w:rPr>
                <w:rFonts w:ascii="Arial" w:hAnsi="Arial" w:cs="Arial"/>
                <w:sz w:val="22"/>
                <w:szCs w:val="22"/>
                <w:lang w:val="en-US"/>
              </w:rPr>
              <w:t>s</w:t>
            </w:r>
            <w:r>
              <w:rPr>
                <w:rFonts w:ascii="Arial" w:hAnsi="Arial" w:cs="Arial"/>
                <w:sz w:val="22"/>
                <w:szCs w:val="22"/>
                <w:lang w:val="en-US"/>
              </w:rPr>
              <w:t xml:space="preserve"> of the General Assembly entails revising the </w:t>
            </w:r>
            <w:r w:rsidR="00606004">
              <w:rPr>
                <w:rFonts w:ascii="Arial" w:hAnsi="Arial" w:cs="Arial"/>
                <w:sz w:val="22"/>
                <w:szCs w:val="22"/>
                <w:lang w:val="en-US"/>
              </w:rPr>
              <w:t xml:space="preserve">text of the </w:t>
            </w:r>
            <w:r>
              <w:rPr>
                <w:rFonts w:ascii="Arial" w:hAnsi="Arial" w:cs="Arial"/>
                <w:sz w:val="22"/>
                <w:szCs w:val="22"/>
                <w:lang w:val="en-US"/>
              </w:rPr>
              <w:t>2003 Convention.</w:t>
            </w:r>
            <w:r w:rsidR="0025485D">
              <w:rPr>
                <w:rFonts w:ascii="Arial" w:hAnsi="Arial" w:cs="Arial"/>
                <w:sz w:val="22"/>
                <w:szCs w:val="22"/>
                <w:lang w:val="en-US"/>
              </w:rPr>
              <w:t xml:space="preserve"> Article 38 of the Convention establishes how amendments may be adopted and how they enter into force.</w:t>
            </w:r>
          </w:p>
          <w:p w14:paraId="0AC3A667" w14:textId="0A018A25" w:rsidR="00B70538" w:rsidRPr="00B70538" w:rsidRDefault="0025485D" w:rsidP="005A66CF">
            <w:pPr>
              <w:pStyle w:val="ListParagraph"/>
              <w:numPr>
                <w:ilvl w:val="0"/>
                <w:numId w:val="32"/>
              </w:numPr>
              <w:spacing w:before="120" w:after="120"/>
              <w:ind w:left="470" w:right="57" w:hanging="357"/>
              <w:contextualSpacing w:val="0"/>
              <w:rPr>
                <w:rFonts w:ascii="Arial" w:hAnsi="Arial" w:cs="Arial"/>
                <w:sz w:val="22"/>
                <w:szCs w:val="22"/>
                <w:lang w:val="en-US"/>
              </w:rPr>
            </w:pPr>
            <w:r>
              <w:rPr>
                <w:rFonts w:ascii="Arial" w:hAnsi="Arial" w:cs="Arial"/>
                <w:sz w:val="22"/>
                <w:szCs w:val="22"/>
                <w:lang w:val="en-US"/>
              </w:rPr>
              <w:t xml:space="preserve">Rule 2.1 of the Rules of Procedure of the Committee stipulates that ‘the Committee shall meet at least once a year in ordinary sessions’. The decision to change this Rule lies with members of the Committee. </w:t>
            </w:r>
            <w:r w:rsidR="00A918C3">
              <w:rPr>
                <w:rFonts w:ascii="Arial" w:hAnsi="Arial" w:cs="Arial"/>
                <w:sz w:val="22"/>
                <w:szCs w:val="22"/>
                <w:lang w:val="en-US"/>
              </w:rPr>
              <w:t>In a</w:t>
            </w:r>
            <w:r>
              <w:rPr>
                <w:rFonts w:ascii="Arial" w:hAnsi="Arial" w:cs="Arial"/>
                <w:sz w:val="22"/>
                <w:szCs w:val="22"/>
                <w:lang w:val="en-US"/>
              </w:rPr>
              <w:t>ccord</w:t>
            </w:r>
            <w:r w:rsidR="00A918C3">
              <w:rPr>
                <w:rFonts w:ascii="Arial" w:hAnsi="Arial" w:cs="Arial"/>
                <w:sz w:val="22"/>
                <w:szCs w:val="22"/>
                <w:lang w:val="en-US"/>
              </w:rPr>
              <w:t>ance with</w:t>
            </w:r>
            <w:r>
              <w:rPr>
                <w:rFonts w:ascii="Arial" w:hAnsi="Arial" w:cs="Arial"/>
                <w:sz w:val="22"/>
                <w:szCs w:val="22"/>
                <w:lang w:val="en-US"/>
              </w:rPr>
              <w:t xml:space="preserve"> Rule 48 of the Rules of Procedure such decision shall be taken </w:t>
            </w:r>
            <w:r w:rsidR="005A66CF">
              <w:rPr>
                <w:rFonts w:ascii="Arial" w:hAnsi="Arial" w:cs="Arial"/>
                <w:sz w:val="22"/>
                <w:szCs w:val="22"/>
                <w:lang w:val="en-US"/>
              </w:rPr>
              <w:t xml:space="preserve">by </w:t>
            </w:r>
            <w:r w:rsidR="00556880">
              <w:rPr>
                <w:rFonts w:ascii="Arial" w:hAnsi="Arial" w:cs="Arial"/>
                <w:sz w:val="22"/>
                <w:szCs w:val="22"/>
                <w:lang w:val="en-US"/>
              </w:rPr>
              <w:t xml:space="preserve">a </w:t>
            </w:r>
            <w:r>
              <w:rPr>
                <w:rFonts w:ascii="Arial" w:hAnsi="Arial" w:cs="Arial"/>
                <w:sz w:val="22"/>
                <w:szCs w:val="22"/>
                <w:lang w:val="en-US"/>
              </w:rPr>
              <w:t>two-thirds majority.</w:t>
            </w:r>
          </w:p>
        </w:tc>
      </w:tr>
      <w:tr w:rsidR="004E341F" w:rsidRPr="008A300B" w14:paraId="2786D00A" w14:textId="77777777" w:rsidTr="008B2782">
        <w:tc>
          <w:tcPr>
            <w:tcW w:w="6958" w:type="dxa"/>
          </w:tcPr>
          <w:p w14:paraId="63B82F2B" w14:textId="77777777" w:rsidR="004E341F" w:rsidRPr="00964322" w:rsidRDefault="004E341F" w:rsidP="004E341F">
            <w:pPr>
              <w:pStyle w:val="Default"/>
              <w:numPr>
                <w:ilvl w:val="1"/>
                <w:numId w:val="21"/>
              </w:numPr>
              <w:spacing w:before="120" w:after="120"/>
              <w:rPr>
                <w:bCs/>
                <w:sz w:val="22"/>
                <w:szCs w:val="22"/>
                <w:lang w:val="en-US"/>
              </w:rPr>
            </w:pPr>
            <w:r w:rsidRPr="00964322">
              <w:rPr>
                <w:sz w:val="22"/>
                <w:szCs w:val="22"/>
                <w:lang w:val="en-US"/>
              </w:rPr>
              <w:t>make more use of teleconferences</w:t>
            </w:r>
          </w:p>
        </w:tc>
        <w:tc>
          <w:tcPr>
            <w:tcW w:w="6958" w:type="dxa"/>
          </w:tcPr>
          <w:p w14:paraId="2BF66B80" w14:textId="1C18B228" w:rsidR="004E341F" w:rsidRPr="00447A43" w:rsidRDefault="00284A37" w:rsidP="00ED3793">
            <w:pPr>
              <w:pStyle w:val="ListParagraph"/>
              <w:numPr>
                <w:ilvl w:val="0"/>
                <w:numId w:val="32"/>
              </w:numPr>
              <w:spacing w:before="120" w:after="120"/>
              <w:ind w:left="470" w:right="57" w:hanging="357"/>
              <w:contextualSpacing w:val="0"/>
              <w:rPr>
                <w:b/>
                <w:bCs/>
                <w:sz w:val="22"/>
                <w:szCs w:val="22"/>
                <w:lang w:val="en-US"/>
              </w:rPr>
            </w:pPr>
            <w:r>
              <w:rPr>
                <w:rFonts w:ascii="Arial" w:hAnsi="Arial" w:cs="Arial"/>
                <w:sz w:val="22"/>
                <w:szCs w:val="22"/>
                <w:lang w:val="en-US"/>
              </w:rPr>
              <w:t>Making use of Rule 12.3 of the Rules of Procedure of the Committee, t</w:t>
            </w:r>
            <w:r w:rsidR="004E341F" w:rsidRPr="004E341F">
              <w:rPr>
                <w:rFonts w:ascii="Arial" w:hAnsi="Arial" w:cs="Arial"/>
                <w:sz w:val="22"/>
                <w:szCs w:val="22"/>
                <w:lang w:val="en-US"/>
              </w:rPr>
              <w:t xml:space="preserve">he </w:t>
            </w:r>
            <w:r w:rsidR="004E341F">
              <w:rPr>
                <w:rFonts w:ascii="Arial" w:hAnsi="Arial" w:cs="Arial"/>
                <w:sz w:val="22"/>
                <w:szCs w:val="22"/>
                <w:lang w:val="en-US"/>
              </w:rPr>
              <w:t xml:space="preserve">Bureau of the Committee </w:t>
            </w:r>
            <w:r>
              <w:rPr>
                <w:rFonts w:ascii="Arial" w:hAnsi="Arial" w:cs="Arial"/>
                <w:sz w:val="22"/>
                <w:szCs w:val="22"/>
                <w:lang w:val="en-US"/>
              </w:rPr>
              <w:t>holds elect</w:t>
            </w:r>
            <w:r w:rsidR="00B70538">
              <w:rPr>
                <w:rFonts w:ascii="Arial" w:hAnsi="Arial" w:cs="Arial"/>
                <w:sz w:val="22"/>
                <w:szCs w:val="22"/>
                <w:lang w:val="en-US"/>
              </w:rPr>
              <w:t>ronic cons</w:t>
            </w:r>
            <w:r w:rsidR="00556880">
              <w:rPr>
                <w:rFonts w:ascii="Arial" w:hAnsi="Arial" w:cs="Arial"/>
                <w:sz w:val="22"/>
                <w:szCs w:val="22"/>
                <w:lang w:val="en-US"/>
              </w:rPr>
              <w:t>u</w:t>
            </w:r>
            <w:r w:rsidR="00B70538">
              <w:rPr>
                <w:rFonts w:ascii="Arial" w:hAnsi="Arial" w:cs="Arial"/>
                <w:sz w:val="22"/>
                <w:szCs w:val="22"/>
                <w:lang w:val="en-US"/>
              </w:rPr>
              <w:t>l</w:t>
            </w:r>
            <w:r w:rsidR="00556880">
              <w:rPr>
                <w:rFonts w:ascii="Arial" w:hAnsi="Arial" w:cs="Arial"/>
                <w:sz w:val="22"/>
                <w:szCs w:val="22"/>
                <w:lang w:val="en-US"/>
              </w:rPr>
              <w:t>t</w:t>
            </w:r>
            <w:r w:rsidR="00B70538">
              <w:rPr>
                <w:rFonts w:ascii="Arial" w:hAnsi="Arial" w:cs="Arial"/>
                <w:sz w:val="22"/>
                <w:szCs w:val="22"/>
                <w:lang w:val="en-US"/>
              </w:rPr>
              <w:t>ations every year (</w:t>
            </w:r>
            <w:r>
              <w:rPr>
                <w:rFonts w:ascii="Arial" w:hAnsi="Arial" w:cs="Arial"/>
                <w:sz w:val="22"/>
                <w:szCs w:val="22"/>
                <w:lang w:val="en-US"/>
              </w:rPr>
              <w:t>two in 2014, one in 2015</w:t>
            </w:r>
            <w:r w:rsidR="008A77CD">
              <w:rPr>
                <w:rFonts w:ascii="Arial" w:hAnsi="Arial" w:cs="Arial"/>
                <w:sz w:val="22"/>
                <w:szCs w:val="22"/>
                <w:lang w:val="en-US"/>
              </w:rPr>
              <w:t xml:space="preserve"> and</w:t>
            </w:r>
            <w:r>
              <w:rPr>
                <w:rFonts w:ascii="Arial" w:hAnsi="Arial" w:cs="Arial"/>
                <w:sz w:val="22"/>
                <w:szCs w:val="22"/>
                <w:lang w:val="en-US"/>
              </w:rPr>
              <w:t xml:space="preserve"> two in 2016).</w:t>
            </w:r>
            <w:r w:rsidR="00B70538">
              <w:rPr>
                <w:rFonts w:ascii="Arial" w:hAnsi="Arial" w:cs="Arial"/>
                <w:sz w:val="22"/>
                <w:szCs w:val="22"/>
                <w:lang w:val="en-US"/>
              </w:rPr>
              <w:t xml:space="preserve"> Through these electronic consultations the Bureau adopts decision</w:t>
            </w:r>
            <w:r w:rsidR="00556880">
              <w:rPr>
                <w:rFonts w:ascii="Arial" w:hAnsi="Arial" w:cs="Arial"/>
                <w:sz w:val="22"/>
                <w:szCs w:val="22"/>
                <w:lang w:val="en-US"/>
              </w:rPr>
              <w:t>s</w:t>
            </w:r>
            <w:r w:rsidR="00B70538">
              <w:rPr>
                <w:rFonts w:ascii="Arial" w:hAnsi="Arial" w:cs="Arial"/>
                <w:sz w:val="22"/>
                <w:szCs w:val="22"/>
                <w:lang w:val="en-US"/>
              </w:rPr>
              <w:t xml:space="preserve"> such as </w:t>
            </w:r>
            <w:r w:rsidR="00A918C3">
              <w:rPr>
                <w:rFonts w:ascii="Arial" w:hAnsi="Arial" w:cs="Arial"/>
                <w:sz w:val="22"/>
                <w:szCs w:val="22"/>
                <w:lang w:val="en-US"/>
              </w:rPr>
              <w:t xml:space="preserve">the </w:t>
            </w:r>
            <w:r w:rsidR="00B70538">
              <w:rPr>
                <w:rFonts w:ascii="Arial" w:hAnsi="Arial" w:cs="Arial"/>
                <w:sz w:val="22"/>
                <w:szCs w:val="22"/>
                <w:lang w:val="en-US"/>
              </w:rPr>
              <w:t>granting of International Assistance</w:t>
            </w:r>
            <w:r w:rsidR="00F60E4C">
              <w:rPr>
                <w:rFonts w:ascii="Arial" w:hAnsi="Arial" w:cs="Arial"/>
                <w:sz w:val="22"/>
                <w:szCs w:val="22"/>
                <w:lang w:val="en-US"/>
              </w:rPr>
              <w:t xml:space="preserve"> up to US$100,000</w:t>
            </w:r>
            <w:r w:rsidR="004C5AD3">
              <w:rPr>
                <w:rFonts w:ascii="Arial" w:hAnsi="Arial" w:cs="Arial"/>
                <w:sz w:val="22"/>
                <w:szCs w:val="22"/>
                <w:lang w:val="en-US"/>
              </w:rPr>
              <w:t>,</w:t>
            </w:r>
            <w:r w:rsidR="00A0166E">
              <w:rPr>
                <w:rFonts w:ascii="Arial" w:hAnsi="Arial" w:cs="Arial"/>
                <w:sz w:val="22"/>
                <w:szCs w:val="22"/>
                <w:lang w:val="en-US"/>
              </w:rPr>
              <w:t xml:space="preserve"> emergency assistance requests</w:t>
            </w:r>
            <w:r w:rsidR="006C7B75">
              <w:rPr>
                <w:rFonts w:ascii="Arial" w:hAnsi="Arial" w:cs="Arial"/>
                <w:sz w:val="22"/>
                <w:szCs w:val="22"/>
                <w:lang w:val="en-US"/>
              </w:rPr>
              <w:t xml:space="preserve"> irrespective of the </w:t>
            </w:r>
            <w:r w:rsidR="00601315">
              <w:rPr>
                <w:rFonts w:ascii="Arial" w:hAnsi="Arial" w:cs="Arial"/>
                <w:sz w:val="22"/>
                <w:szCs w:val="22"/>
                <w:lang w:val="en-US"/>
              </w:rPr>
              <w:t>a</w:t>
            </w:r>
            <w:r w:rsidR="006C7B75">
              <w:rPr>
                <w:rFonts w:ascii="Arial" w:hAnsi="Arial" w:cs="Arial"/>
                <w:sz w:val="22"/>
                <w:szCs w:val="22"/>
                <w:lang w:val="en-US"/>
              </w:rPr>
              <w:t>mount</w:t>
            </w:r>
            <w:r w:rsidR="00A0166E">
              <w:rPr>
                <w:rFonts w:ascii="Arial" w:hAnsi="Arial" w:cs="Arial"/>
                <w:sz w:val="22"/>
                <w:szCs w:val="22"/>
                <w:lang w:val="en-US"/>
              </w:rPr>
              <w:t>,</w:t>
            </w:r>
            <w:r w:rsidR="00B70538">
              <w:rPr>
                <w:rFonts w:ascii="Arial" w:hAnsi="Arial" w:cs="Arial"/>
                <w:sz w:val="22"/>
                <w:szCs w:val="22"/>
                <w:lang w:val="en-US"/>
              </w:rPr>
              <w:t xml:space="preserve"> adopting its final report to the General Assembly</w:t>
            </w:r>
            <w:r w:rsidR="004C5AD3">
              <w:rPr>
                <w:rFonts w:ascii="Arial" w:hAnsi="Arial" w:cs="Arial"/>
                <w:sz w:val="22"/>
                <w:szCs w:val="22"/>
                <w:lang w:val="en-US"/>
              </w:rPr>
              <w:t xml:space="preserve"> and approving the use of </w:t>
            </w:r>
            <w:r w:rsidR="00E17960">
              <w:rPr>
                <w:rFonts w:ascii="Arial" w:hAnsi="Arial" w:cs="Arial"/>
                <w:sz w:val="22"/>
                <w:szCs w:val="22"/>
                <w:lang w:val="en-US"/>
              </w:rPr>
              <w:t xml:space="preserve">the </w:t>
            </w:r>
            <w:r w:rsidR="004C5AD3" w:rsidRPr="004C5AD3">
              <w:rPr>
                <w:rFonts w:ascii="Arial" w:hAnsi="Arial" w:cs="Arial"/>
                <w:sz w:val="22"/>
                <w:szCs w:val="22"/>
                <w:lang w:val="en-US"/>
              </w:rPr>
              <w:t xml:space="preserve">20% of the resources </w:t>
            </w:r>
            <w:r w:rsidR="004C5AD3">
              <w:rPr>
                <w:rFonts w:ascii="Arial" w:hAnsi="Arial" w:cs="Arial"/>
                <w:sz w:val="22"/>
                <w:szCs w:val="22"/>
                <w:lang w:val="en-US"/>
              </w:rPr>
              <w:t xml:space="preserve">of the Intangible Culture Heritage Fund </w:t>
            </w:r>
            <w:r w:rsidR="004C5AD3" w:rsidRPr="004C5AD3">
              <w:rPr>
                <w:rFonts w:ascii="Arial" w:hAnsi="Arial" w:cs="Arial"/>
                <w:sz w:val="22"/>
                <w:szCs w:val="22"/>
                <w:lang w:val="en-US"/>
              </w:rPr>
              <w:t>allocated to ‘ot</w:t>
            </w:r>
            <w:r w:rsidR="00ED3793">
              <w:rPr>
                <w:rFonts w:ascii="Arial" w:hAnsi="Arial" w:cs="Arial"/>
                <w:sz w:val="22"/>
                <w:szCs w:val="22"/>
                <w:lang w:val="en-US"/>
              </w:rPr>
              <w:t>her functions of the Committee’.</w:t>
            </w:r>
            <w:bookmarkStart w:id="0" w:name="_GoBack"/>
            <w:bookmarkEnd w:id="0"/>
          </w:p>
        </w:tc>
      </w:tr>
      <w:tr w:rsidR="00A67BDA" w:rsidRPr="008A300B" w14:paraId="5D8B49B5" w14:textId="77777777" w:rsidTr="008B2782">
        <w:tc>
          <w:tcPr>
            <w:tcW w:w="6958" w:type="dxa"/>
          </w:tcPr>
          <w:p w14:paraId="79E7CE7F" w14:textId="54A207A0" w:rsidR="00A67BDA" w:rsidRPr="00431A60" w:rsidRDefault="00431A60" w:rsidP="00431A60">
            <w:pPr>
              <w:pStyle w:val="Default"/>
              <w:numPr>
                <w:ilvl w:val="1"/>
                <w:numId w:val="21"/>
              </w:numPr>
              <w:spacing w:before="120" w:after="120"/>
              <w:rPr>
                <w:sz w:val="22"/>
                <w:szCs w:val="22"/>
                <w:lang w:val="en-US"/>
              </w:rPr>
            </w:pPr>
            <w:r w:rsidRPr="00447A43">
              <w:rPr>
                <w:sz w:val="22"/>
                <w:szCs w:val="22"/>
                <w:lang w:val="en-US"/>
              </w:rPr>
              <w:t xml:space="preserve">convene essential meetings only and finance </w:t>
            </w:r>
            <w:r w:rsidR="00AF70A0">
              <w:rPr>
                <w:sz w:val="22"/>
                <w:szCs w:val="22"/>
                <w:lang w:val="en-US"/>
              </w:rPr>
              <w:t>them through the regular budget</w:t>
            </w:r>
          </w:p>
        </w:tc>
        <w:tc>
          <w:tcPr>
            <w:tcW w:w="6958" w:type="dxa"/>
          </w:tcPr>
          <w:p w14:paraId="4CE9C730" w14:textId="77777777" w:rsidR="00A67BDA" w:rsidRPr="00B70538" w:rsidRDefault="0051264E" w:rsidP="00431A60">
            <w:pPr>
              <w:pStyle w:val="ListParagraph"/>
              <w:numPr>
                <w:ilvl w:val="0"/>
                <w:numId w:val="32"/>
              </w:numPr>
              <w:spacing w:before="120" w:after="120"/>
              <w:ind w:left="470" w:right="57" w:hanging="357"/>
              <w:contextualSpacing w:val="0"/>
              <w:rPr>
                <w:rFonts w:ascii="Arial" w:hAnsi="Arial" w:cs="Arial"/>
                <w:sz w:val="22"/>
                <w:szCs w:val="22"/>
              </w:rPr>
            </w:pPr>
            <w:r w:rsidRPr="00B70538">
              <w:rPr>
                <w:rFonts w:ascii="Arial" w:hAnsi="Arial" w:cs="Arial"/>
                <w:sz w:val="22"/>
                <w:szCs w:val="22"/>
              </w:rPr>
              <w:t>S</w:t>
            </w:r>
            <w:r w:rsidR="00431A60" w:rsidRPr="00B70538">
              <w:rPr>
                <w:rFonts w:ascii="Arial" w:hAnsi="Arial" w:cs="Arial"/>
                <w:sz w:val="22"/>
                <w:szCs w:val="22"/>
              </w:rPr>
              <w:t>tatutory meeting</w:t>
            </w:r>
            <w:r w:rsidRPr="00B70538">
              <w:rPr>
                <w:rFonts w:ascii="Arial" w:hAnsi="Arial" w:cs="Arial"/>
                <w:sz w:val="22"/>
                <w:szCs w:val="22"/>
              </w:rPr>
              <w:t>s</w:t>
            </w:r>
            <w:r w:rsidR="00431A60" w:rsidRPr="00B70538">
              <w:rPr>
                <w:rFonts w:ascii="Arial" w:hAnsi="Arial" w:cs="Arial"/>
                <w:sz w:val="22"/>
                <w:szCs w:val="22"/>
              </w:rPr>
              <w:t xml:space="preserve"> </w:t>
            </w:r>
            <w:r w:rsidR="0046580F" w:rsidRPr="00B70538">
              <w:rPr>
                <w:rFonts w:ascii="Arial" w:hAnsi="Arial" w:cs="Arial"/>
                <w:sz w:val="22"/>
                <w:szCs w:val="22"/>
              </w:rPr>
              <w:t>were established by</w:t>
            </w:r>
            <w:r w:rsidR="00431A60" w:rsidRPr="00B70538">
              <w:rPr>
                <w:rFonts w:ascii="Arial" w:hAnsi="Arial" w:cs="Arial"/>
                <w:sz w:val="22"/>
                <w:szCs w:val="22"/>
              </w:rPr>
              <w:t xml:space="preserve"> States Parties, either through the adoption</w:t>
            </w:r>
            <w:r w:rsidR="00961DAF">
              <w:rPr>
                <w:rFonts w:ascii="Arial" w:hAnsi="Arial" w:cs="Arial"/>
                <w:sz w:val="22"/>
                <w:szCs w:val="22"/>
              </w:rPr>
              <w:t xml:space="preserve"> of the text of the Convention or the </w:t>
            </w:r>
            <w:r w:rsidR="00431A60" w:rsidRPr="00B70538">
              <w:rPr>
                <w:rFonts w:ascii="Arial" w:hAnsi="Arial" w:cs="Arial"/>
                <w:sz w:val="22"/>
                <w:szCs w:val="22"/>
              </w:rPr>
              <w:t xml:space="preserve">Rules of Procedure of the </w:t>
            </w:r>
            <w:r w:rsidR="002562D6">
              <w:rPr>
                <w:rFonts w:ascii="Arial" w:hAnsi="Arial" w:cs="Arial"/>
                <w:sz w:val="22"/>
                <w:szCs w:val="22"/>
              </w:rPr>
              <w:t>organs of the Convention</w:t>
            </w:r>
            <w:r w:rsidR="00431A60" w:rsidRPr="00B70538">
              <w:rPr>
                <w:rFonts w:ascii="Arial" w:hAnsi="Arial" w:cs="Arial"/>
                <w:sz w:val="22"/>
                <w:szCs w:val="22"/>
              </w:rPr>
              <w:t xml:space="preserve"> and </w:t>
            </w:r>
            <w:r w:rsidR="00B70538" w:rsidRPr="00B70538">
              <w:rPr>
                <w:rFonts w:ascii="Arial" w:hAnsi="Arial" w:cs="Arial"/>
                <w:sz w:val="22"/>
                <w:szCs w:val="22"/>
              </w:rPr>
              <w:t>are therefore mandat</w:t>
            </w:r>
            <w:r w:rsidR="0046580F" w:rsidRPr="00B70538">
              <w:rPr>
                <w:rFonts w:ascii="Arial" w:hAnsi="Arial" w:cs="Arial"/>
                <w:sz w:val="22"/>
                <w:szCs w:val="22"/>
              </w:rPr>
              <w:t>ory</w:t>
            </w:r>
            <w:r w:rsidR="00431A60" w:rsidRPr="00B70538">
              <w:rPr>
                <w:rFonts w:ascii="Arial" w:hAnsi="Arial" w:cs="Arial"/>
                <w:sz w:val="22"/>
                <w:szCs w:val="22"/>
              </w:rPr>
              <w:t>.</w:t>
            </w:r>
          </w:p>
          <w:p w14:paraId="3F8B4964" w14:textId="7A775B1B" w:rsidR="00431A60" w:rsidRPr="006723C8" w:rsidRDefault="00431A60" w:rsidP="0076446B">
            <w:pPr>
              <w:pStyle w:val="ListParagraph"/>
              <w:numPr>
                <w:ilvl w:val="0"/>
                <w:numId w:val="32"/>
              </w:numPr>
              <w:spacing w:before="120" w:after="120"/>
              <w:ind w:left="470" w:right="57" w:hanging="357"/>
              <w:contextualSpacing w:val="0"/>
              <w:rPr>
                <w:rFonts w:ascii="Arial" w:hAnsi="Arial" w:cs="Arial"/>
                <w:sz w:val="22"/>
                <w:szCs w:val="22"/>
                <w:lang w:val="en-US"/>
              </w:rPr>
            </w:pPr>
            <w:r w:rsidRPr="00B70538">
              <w:rPr>
                <w:rFonts w:ascii="Arial" w:hAnsi="Arial" w:cs="Arial"/>
                <w:sz w:val="22"/>
                <w:szCs w:val="22"/>
              </w:rPr>
              <w:t>Statutory meetings are finance</w:t>
            </w:r>
            <w:r w:rsidR="00F60E4C">
              <w:rPr>
                <w:rFonts w:ascii="Arial" w:hAnsi="Arial" w:cs="Arial"/>
                <w:sz w:val="22"/>
                <w:szCs w:val="22"/>
              </w:rPr>
              <w:t>d</w:t>
            </w:r>
            <w:r w:rsidRPr="00B70538">
              <w:rPr>
                <w:rFonts w:ascii="Arial" w:hAnsi="Arial" w:cs="Arial"/>
                <w:sz w:val="22"/>
                <w:szCs w:val="22"/>
              </w:rPr>
              <w:t xml:space="preserve"> by the regular programme. </w:t>
            </w:r>
            <w:r w:rsidR="0076446B">
              <w:rPr>
                <w:rFonts w:ascii="Arial" w:hAnsi="Arial" w:cs="Arial"/>
                <w:sz w:val="22"/>
                <w:szCs w:val="22"/>
              </w:rPr>
              <w:t>When such</w:t>
            </w:r>
            <w:r w:rsidR="00FF2342">
              <w:rPr>
                <w:rFonts w:ascii="Arial" w:hAnsi="Arial" w:cs="Arial"/>
                <w:sz w:val="22"/>
                <w:szCs w:val="22"/>
              </w:rPr>
              <w:t xml:space="preserve"> </w:t>
            </w:r>
            <w:r w:rsidRPr="00B70538">
              <w:rPr>
                <w:rFonts w:ascii="Arial" w:hAnsi="Arial" w:cs="Arial"/>
                <w:sz w:val="22"/>
                <w:szCs w:val="22"/>
              </w:rPr>
              <w:t xml:space="preserve">meetings </w:t>
            </w:r>
            <w:r w:rsidR="0076446B">
              <w:rPr>
                <w:rFonts w:ascii="Arial" w:hAnsi="Arial" w:cs="Arial"/>
                <w:sz w:val="22"/>
                <w:szCs w:val="22"/>
              </w:rPr>
              <w:t xml:space="preserve">are </w:t>
            </w:r>
            <w:r w:rsidRPr="00B70538">
              <w:rPr>
                <w:rFonts w:ascii="Arial" w:hAnsi="Arial" w:cs="Arial"/>
                <w:sz w:val="22"/>
                <w:szCs w:val="22"/>
              </w:rPr>
              <w:t>hosted ab</w:t>
            </w:r>
            <w:r w:rsidR="00556880">
              <w:rPr>
                <w:rFonts w:ascii="Arial" w:hAnsi="Arial" w:cs="Arial"/>
                <w:sz w:val="22"/>
                <w:szCs w:val="22"/>
              </w:rPr>
              <w:t>r</w:t>
            </w:r>
            <w:r w:rsidRPr="00B70538">
              <w:rPr>
                <w:rFonts w:ascii="Arial" w:hAnsi="Arial" w:cs="Arial"/>
                <w:sz w:val="22"/>
                <w:szCs w:val="22"/>
              </w:rPr>
              <w:t xml:space="preserve">oad, core costs are financed by the regular programme, while the host country covers the extra costs </w:t>
            </w:r>
            <w:r w:rsidR="0046580F" w:rsidRPr="00B70538">
              <w:rPr>
                <w:rFonts w:ascii="Arial" w:hAnsi="Arial" w:cs="Arial"/>
                <w:sz w:val="22"/>
                <w:szCs w:val="22"/>
              </w:rPr>
              <w:t>resulting from</w:t>
            </w:r>
            <w:r w:rsidR="0051264E" w:rsidRPr="00B70538">
              <w:rPr>
                <w:rFonts w:ascii="Arial" w:hAnsi="Arial" w:cs="Arial"/>
                <w:sz w:val="22"/>
                <w:szCs w:val="22"/>
              </w:rPr>
              <w:t xml:space="preserve"> holding the meeting outside UNESCO </w:t>
            </w:r>
            <w:r w:rsidR="008A77CD">
              <w:rPr>
                <w:rFonts w:ascii="Arial" w:hAnsi="Arial" w:cs="Arial"/>
                <w:sz w:val="22"/>
                <w:szCs w:val="22"/>
              </w:rPr>
              <w:t>h</w:t>
            </w:r>
            <w:r w:rsidR="0051264E" w:rsidRPr="00B70538">
              <w:rPr>
                <w:rFonts w:ascii="Arial" w:hAnsi="Arial" w:cs="Arial"/>
                <w:sz w:val="22"/>
                <w:szCs w:val="22"/>
              </w:rPr>
              <w:t>eadquarters.</w:t>
            </w:r>
          </w:p>
        </w:tc>
      </w:tr>
      <w:tr w:rsidR="00431A60" w:rsidRPr="008A300B" w14:paraId="311B9C32" w14:textId="77777777" w:rsidTr="008B2782">
        <w:tc>
          <w:tcPr>
            <w:tcW w:w="6958" w:type="dxa"/>
          </w:tcPr>
          <w:p w14:paraId="4397906D" w14:textId="77777777" w:rsidR="00431A60" w:rsidRPr="00447A43" w:rsidRDefault="00431A60" w:rsidP="00284A37">
            <w:pPr>
              <w:pStyle w:val="Default"/>
              <w:numPr>
                <w:ilvl w:val="1"/>
                <w:numId w:val="21"/>
              </w:numPr>
              <w:spacing w:before="120" w:after="120"/>
              <w:rPr>
                <w:sz w:val="22"/>
                <w:szCs w:val="22"/>
                <w:lang w:val="en-US"/>
              </w:rPr>
            </w:pPr>
            <w:r w:rsidRPr="00447A43">
              <w:rPr>
                <w:sz w:val="22"/>
                <w:szCs w:val="22"/>
                <w:lang w:val="en-US"/>
              </w:rPr>
              <w:t>reduce the number of meeting participants</w:t>
            </w:r>
          </w:p>
        </w:tc>
        <w:tc>
          <w:tcPr>
            <w:tcW w:w="6958" w:type="dxa"/>
          </w:tcPr>
          <w:p w14:paraId="288C801D" w14:textId="498F5153" w:rsidR="00431A60" w:rsidRPr="007853CE" w:rsidRDefault="0046580F" w:rsidP="00C9584D">
            <w:pPr>
              <w:pStyle w:val="ListParagraph"/>
              <w:numPr>
                <w:ilvl w:val="0"/>
                <w:numId w:val="32"/>
              </w:numPr>
              <w:spacing w:before="120" w:after="120"/>
              <w:ind w:left="470" w:right="57" w:hanging="357"/>
              <w:contextualSpacing w:val="0"/>
              <w:rPr>
                <w:rFonts w:ascii="Arial" w:hAnsi="Arial" w:cs="Arial"/>
                <w:sz w:val="22"/>
                <w:szCs w:val="22"/>
                <w:lang w:val="en-US"/>
              </w:rPr>
            </w:pPr>
            <w:r w:rsidRPr="00556880">
              <w:rPr>
                <w:rFonts w:ascii="Arial" w:hAnsi="Arial" w:cs="Arial"/>
                <w:sz w:val="22"/>
                <w:szCs w:val="22"/>
                <w:lang w:val="en-US"/>
              </w:rPr>
              <w:t xml:space="preserve">The Rules of Procedure of the General Assembly and the Committee establish </w:t>
            </w:r>
            <w:r w:rsidR="00ED1FFF" w:rsidRPr="00556880">
              <w:rPr>
                <w:rFonts w:ascii="Arial" w:hAnsi="Arial" w:cs="Arial"/>
                <w:sz w:val="22"/>
                <w:szCs w:val="22"/>
                <w:lang w:val="en-US"/>
              </w:rPr>
              <w:t xml:space="preserve">who may participate </w:t>
            </w:r>
            <w:r w:rsidR="00556880" w:rsidRPr="00EF2504">
              <w:rPr>
                <w:rFonts w:ascii="Arial" w:hAnsi="Arial" w:cs="Arial"/>
                <w:sz w:val="22"/>
                <w:szCs w:val="22"/>
                <w:lang w:val="en-US"/>
              </w:rPr>
              <w:t>in</w:t>
            </w:r>
            <w:r w:rsidR="00ED1FFF" w:rsidRPr="007853CE">
              <w:rPr>
                <w:rFonts w:ascii="Arial" w:hAnsi="Arial" w:cs="Arial"/>
                <w:sz w:val="22"/>
                <w:szCs w:val="22"/>
                <w:lang w:val="en-US"/>
              </w:rPr>
              <w:t xml:space="preserve"> the</w:t>
            </w:r>
            <w:r w:rsidR="00C9584D">
              <w:rPr>
                <w:rFonts w:ascii="Arial" w:hAnsi="Arial" w:cs="Arial"/>
                <w:sz w:val="22"/>
                <w:szCs w:val="22"/>
                <w:lang w:val="en-US"/>
              </w:rPr>
              <w:t>se</w:t>
            </w:r>
            <w:r w:rsidR="00ED1FFF" w:rsidRPr="007853CE">
              <w:rPr>
                <w:rFonts w:ascii="Arial" w:hAnsi="Arial" w:cs="Arial"/>
                <w:sz w:val="22"/>
                <w:szCs w:val="22"/>
                <w:lang w:val="en-US"/>
              </w:rPr>
              <w:t xml:space="preserve"> meetings. The decision of revising these </w:t>
            </w:r>
            <w:r w:rsidR="00556880" w:rsidRPr="007853CE">
              <w:rPr>
                <w:rFonts w:ascii="Arial" w:hAnsi="Arial" w:cs="Arial"/>
                <w:sz w:val="22"/>
                <w:szCs w:val="22"/>
                <w:lang w:val="en-US"/>
              </w:rPr>
              <w:t>r</w:t>
            </w:r>
            <w:r w:rsidR="00ED1FFF" w:rsidRPr="007853CE">
              <w:rPr>
                <w:rFonts w:ascii="Arial" w:hAnsi="Arial" w:cs="Arial"/>
                <w:sz w:val="22"/>
                <w:szCs w:val="22"/>
                <w:lang w:val="en-US"/>
              </w:rPr>
              <w:t xml:space="preserve">ules or reducing the number of representatives </w:t>
            </w:r>
            <w:r w:rsidR="00C9584D">
              <w:rPr>
                <w:rFonts w:ascii="Arial" w:hAnsi="Arial" w:cs="Arial"/>
                <w:sz w:val="22"/>
                <w:szCs w:val="22"/>
                <w:lang w:val="en-US"/>
              </w:rPr>
              <w:t>at</w:t>
            </w:r>
            <w:r w:rsidR="00ED1FFF" w:rsidRPr="007853CE">
              <w:rPr>
                <w:rFonts w:ascii="Arial" w:hAnsi="Arial" w:cs="Arial"/>
                <w:sz w:val="22"/>
                <w:szCs w:val="22"/>
                <w:lang w:val="en-US"/>
              </w:rPr>
              <w:t xml:space="preserve"> </w:t>
            </w:r>
            <w:r w:rsidR="00577521" w:rsidRPr="006F7B4D">
              <w:rPr>
                <w:rFonts w:ascii="Arial" w:hAnsi="Arial" w:cs="Arial"/>
                <w:sz w:val="22"/>
                <w:szCs w:val="22"/>
                <w:lang w:val="en-US"/>
              </w:rPr>
              <w:t>statutory</w:t>
            </w:r>
            <w:r w:rsidR="00ED1FFF" w:rsidRPr="00046097">
              <w:rPr>
                <w:rFonts w:ascii="Arial" w:hAnsi="Arial" w:cs="Arial"/>
                <w:sz w:val="22"/>
                <w:szCs w:val="22"/>
                <w:lang w:val="en-US"/>
              </w:rPr>
              <w:t xml:space="preserve"> meeting</w:t>
            </w:r>
            <w:r w:rsidR="00EF2504">
              <w:rPr>
                <w:rFonts w:ascii="Arial" w:hAnsi="Arial" w:cs="Arial"/>
                <w:sz w:val="22"/>
                <w:szCs w:val="22"/>
                <w:lang w:val="en-US"/>
              </w:rPr>
              <w:t>s</w:t>
            </w:r>
            <w:r w:rsidR="00ED1FFF" w:rsidRPr="00EF2504">
              <w:rPr>
                <w:rFonts w:ascii="Arial" w:hAnsi="Arial" w:cs="Arial"/>
                <w:sz w:val="22"/>
                <w:szCs w:val="22"/>
                <w:lang w:val="en-US"/>
              </w:rPr>
              <w:t xml:space="preserve"> lies with States Parties and members of the Committee.</w:t>
            </w:r>
          </w:p>
        </w:tc>
      </w:tr>
      <w:tr w:rsidR="004E341F" w:rsidRPr="008A300B" w14:paraId="12013B94" w14:textId="77777777" w:rsidTr="008B2782">
        <w:tc>
          <w:tcPr>
            <w:tcW w:w="6958" w:type="dxa"/>
          </w:tcPr>
          <w:p w14:paraId="0B4404D5" w14:textId="77777777" w:rsidR="004E341F" w:rsidRPr="00ED3793" w:rsidRDefault="00284A37" w:rsidP="00284A37">
            <w:pPr>
              <w:pStyle w:val="Default"/>
              <w:numPr>
                <w:ilvl w:val="1"/>
                <w:numId w:val="21"/>
              </w:numPr>
              <w:spacing w:before="120" w:after="120"/>
              <w:rPr>
                <w:bCs/>
                <w:sz w:val="22"/>
                <w:szCs w:val="22"/>
                <w:lang w:val="en-US"/>
              </w:rPr>
            </w:pPr>
            <w:r w:rsidRPr="00ED3793">
              <w:rPr>
                <w:sz w:val="22"/>
                <w:szCs w:val="22"/>
                <w:lang w:val="en-US"/>
              </w:rPr>
              <w:lastRenderedPageBreak/>
              <w:t>shorten agendas by prioritizing and delegating minor decisions</w:t>
            </w:r>
          </w:p>
        </w:tc>
        <w:tc>
          <w:tcPr>
            <w:tcW w:w="6958" w:type="dxa"/>
          </w:tcPr>
          <w:p w14:paraId="4B7A0A9D" w14:textId="4E5FB0DA" w:rsidR="004E341F" w:rsidRPr="00633FD7" w:rsidRDefault="00606004" w:rsidP="005A13F3">
            <w:pPr>
              <w:pStyle w:val="ListParagraph"/>
              <w:numPr>
                <w:ilvl w:val="0"/>
                <w:numId w:val="32"/>
              </w:numPr>
              <w:spacing w:before="120" w:after="120"/>
              <w:ind w:left="470" w:right="57" w:hanging="357"/>
              <w:contextualSpacing w:val="0"/>
              <w:rPr>
                <w:b/>
                <w:bCs/>
                <w:sz w:val="22"/>
                <w:szCs w:val="22"/>
                <w:lang w:val="en-US"/>
              </w:rPr>
            </w:pPr>
            <w:r>
              <w:rPr>
                <w:rFonts w:ascii="Arial" w:hAnsi="Arial" w:cs="Arial"/>
                <w:sz w:val="22"/>
                <w:szCs w:val="22"/>
                <w:lang w:val="en-US"/>
              </w:rPr>
              <w:t xml:space="preserve">The General Assembly during its fifth session adopted revisions to the Operational Directives concerning the schedule of </w:t>
            </w:r>
            <w:r w:rsidR="00961DAF">
              <w:rPr>
                <w:rFonts w:ascii="Arial" w:hAnsi="Arial" w:cs="Arial"/>
                <w:sz w:val="22"/>
                <w:szCs w:val="22"/>
                <w:lang w:val="en-US"/>
              </w:rPr>
              <w:t xml:space="preserve">accreditation </w:t>
            </w:r>
            <w:r w:rsidR="00EF2504">
              <w:rPr>
                <w:rFonts w:ascii="Arial" w:hAnsi="Arial" w:cs="Arial"/>
                <w:sz w:val="22"/>
                <w:szCs w:val="22"/>
                <w:lang w:val="en-US"/>
              </w:rPr>
              <w:t xml:space="preserve">of </w:t>
            </w:r>
            <w:r>
              <w:rPr>
                <w:rFonts w:ascii="Arial" w:hAnsi="Arial" w:cs="Arial"/>
                <w:sz w:val="22"/>
                <w:szCs w:val="22"/>
                <w:lang w:val="en-US"/>
              </w:rPr>
              <w:t>non-governmental organization</w:t>
            </w:r>
            <w:r w:rsidR="00EF2504">
              <w:rPr>
                <w:rFonts w:ascii="Arial" w:hAnsi="Arial" w:cs="Arial"/>
                <w:sz w:val="22"/>
                <w:szCs w:val="22"/>
                <w:lang w:val="en-US"/>
              </w:rPr>
              <w:t>s</w:t>
            </w:r>
            <w:r w:rsidR="00284A37" w:rsidRPr="006723C8">
              <w:rPr>
                <w:rFonts w:ascii="Arial" w:hAnsi="Arial" w:cs="Arial"/>
                <w:sz w:val="22"/>
                <w:szCs w:val="22"/>
                <w:lang w:val="en-US"/>
              </w:rPr>
              <w:t>.</w:t>
            </w:r>
            <w:r w:rsidRPr="00FF2342">
              <w:rPr>
                <w:rFonts w:ascii="Arial" w:hAnsi="Arial" w:cs="Arial"/>
                <w:sz w:val="22"/>
                <w:szCs w:val="22"/>
                <w:lang w:val="en-US"/>
              </w:rPr>
              <w:t xml:space="preserve"> </w:t>
            </w:r>
            <w:r w:rsidR="00961DAF">
              <w:rPr>
                <w:rFonts w:ascii="Arial" w:hAnsi="Arial" w:cs="Arial"/>
                <w:sz w:val="22"/>
                <w:szCs w:val="22"/>
                <w:lang w:val="en-US"/>
              </w:rPr>
              <w:t>As a result of these revision</w:t>
            </w:r>
            <w:r w:rsidR="00577521">
              <w:rPr>
                <w:rFonts w:ascii="Arial" w:hAnsi="Arial" w:cs="Arial"/>
                <w:sz w:val="22"/>
                <w:szCs w:val="22"/>
                <w:lang w:val="en-US"/>
              </w:rPr>
              <w:t>s</w:t>
            </w:r>
            <w:r w:rsidR="00EF2504">
              <w:rPr>
                <w:rFonts w:ascii="Arial" w:hAnsi="Arial" w:cs="Arial"/>
                <w:sz w:val="22"/>
                <w:szCs w:val="22"/>
                <w:lang w:val="en-US"/>
              </w:rPr>
              <w:t>,</w:t>
            </w:r>
            <w:r w:rsidR="00961DAF">
              <w:rPr>
                <w:rFonts w:ascii="Arial" w:hAnsi="Arial" w:cs="Arial"/>
                <w:sz w:val="22"/>
                <w:szCs w:val="22"/>
                <w:lang w:val="en-US"/>
              </w:rPr>
              <w:t xml:space="preserve"> r</w:t>
            </w:r>
            <w:r w:rsidRPr="00606004">
              <w:rPr>
                <w:rFonts w:ascii="Arial" w:hAnsi="Arial" w:cs="Arial"/>
                <w:sz w:val="22"/>
                <w:szCs w:val="22"/>
                <w:lang w:val="en-US"/>
              </w:rPr>
              <w:t xml:space="preserve">equests shall be received by the Secretariat </w:t>
            </w:r>
            <w:r>
              <w:rPr>
                <w:rFonts w:ascii="Arial" w:hAnsi="Arial" w:cs="Arial"/>
                <w:sz w:val="22"/>
                <w:szCs w:val="22"/>
                <w:lang w:val="en-US"/>
              </w:rPr>
              <w:t>and examined by the Committee</w:t>
            </w:r>
            <w:r w:rsidR="00961DAF">
              <w:rPr>
                <w:rFonts w:ascii="Arial" w:hAnsi="Arial" w:cs="Arial"/>
                <w:sz w:val="22"/>
                <w:szCs w:val="22"/>
                <w:lang w:val="en-US"/>
              </w:rPr>
              <w:t xml:space="preserve"> only</w:t>
            </w:r>
            <w:r>
              <w:rPr>
                <w:rFonts w:ascii="Arial" w:hAnsi="Arial" w:cs="Arial"/>
                <w:sz w:val="22"/>
                <w:szCs w:val="22"/>
                <w:lang w:val="en-US"/>
              </w:rPr>
              <w:t xml:space="preserve"> in </w:t>
            </w:r>
            <w:r w:rsidRPr="00606004">
              <w:rPr>
                <w:rFonts w:ascii="Arial" w:hAnsi="Arial" w:cs="Arial"/>
                <w:sz w:val="22"/>
                <w:szCs w:val="22"/>
                <w:lang w:val="en-US"/>
              </w:rPr>
              <w:t>odd-numbered years</w:t>
            </w:r>
            <w:r>
              <w:rPr>
                <w:rFonts w:ascii="Arial" w:hAnsi="Arial" w:cs="Arial"/>
                <w:sz w:val="22"/>
                <w:szCs w:val="22"/>
                <w:lang w:val="en-US"/>
              </w:rPr>
              <w:t xml:space="preserve"> instead of every year</w:t>
            </w:r>
            <w:r w:rsidR="005A13F3">
              <w:rPr>
                <w:rFonts w:ascii="Arial" w:hAnsi="Arial" w:cs="Arial"/>
                <w:sz w:val="22"/>
                <w:szCs w:val="22"/>
                <w:lang w:val="en-US"/>
              </w:rPr>
              <w:t xml:space="preserve"> </w:t>
            </w:r>
            <w:r w:rsidR="00132FB1" w:rsidRPr="00132FB1">
              <w:rPr>
                <w:rFonts w:ascii="Arial" w:hAnsi="Arial" w:cs="Arial"/>
                <w:sz w:val="22"/>
                <w:szCs w:val="22"/>
                <w:lang w:val="en-US"/>
              </w:rPr>
              <w:t>(</w:t>
            </w:r>
            <w:hyperlink r:id="rId28" w:history="1">
              <w:r w:rsidR="00AF70A0">
                <w:rPr>
                  <w:rStyle w:val="Hyperlink"/>
                  <w:rFonts w:ascii="Arial" w:hAnsi="Arial" w:cs="Arial"/>
                  <w:sz w:val="22"/>
                  <w:szCs w:val="22"/>
                  <w:lang w:val="en-US"/>
                </w:rPr>
                <w:t>Resolution </w:t>
              </w:r>
              <w:r w:rsidR="00132FB1" w:rsidRPr="00FF2342">
                <w:rPr>
                  <w:rStyle w:val="Hyperlink"/>
                  <w:rFonts w:ascii="Arial" w:hAnsi="Arial" w:cs="Arial"/>
                  <w:sz w:val="22"/>
                  <w:szCs w:val="22"/>
                  <w:lang w:val="en-US"/>
                </w:rPr>
                <w:t>6</w:t>
              </w:r>
              <w:r w:rsidR="00ED3793">
                <w:rPr>
                  <w:rStyle w:val="Hyperlink"/>
                  <w:rFonts w:ascii="Arial" w:hAnsi="Arial" w:cs="Arial"/>
                  <w:sz w:val="22"/>
                  <w:szCs w:val="22"/>
                  <w:lang w:val="en-US"/>
                </w:rPr>
                <w:t>.</w:t>
              </w:r>
              <w:r w:rsidR="00132FB1" w:rsidRPr="00FF2342">
                <w:rPr>
                  <w:rStyle w:val="Hyperlink"/>
                  <w:rFonts w:ascii="Arial" w:hAnsi="Arial" w:cs="Arial"/>
                  <w:sz w:val="22"/>
                  <w:szCs w:val="22"/>
                  <w:lang w:val="en-US"/>
                </w:rPr>
                <w:t>GA</w:t>
              </w:r>
              <w:r w:rsidR="00ED3793">
                <w:rPr>
                  <w:rStyle w:val="Hyperlink"/>
                  <w:rFonts w:ascii="Arial" w:hAnsi="Arial" w:cs="Arial"/>
                  <w:sz w:val="22"/>
                  <w:szCs w:val="22"/>
                  <w:lang w:val="en-US"/>
                </w:rPr>
                <w:t> </w:t>
              </w:r>
              <w:r w:rsidR="00132FB1" w:rsidRPr="00FF2342">
                <w:rPr>
                  <w:rStyle w:val="Hyperlink"/>
                  <w:rFonts w:ascii="Arial" w:hAnsi="Arial" w:cs="Arial"/>
                  <w:sz w:val="22"/>
                  <w:szCs w:val="22"/>
                  <w:lang w:val="en-US"/>
                </w:rPr>
                <w:t>7</w:t>
              </w:r>
            </w:hyperlink>
            <w:r w:rsidR="00132FB1" w:rsidRPr="00132FB1">
              <w:rPr>
                <w:rFonts w:ascii="Arial" w:hAnsi="Arial" w:cs="Arial"/>
                <w:sz w:val="22"/>
                <w:szCs w:val="22"/>
                <w:lang w:val="en-US"/>
              </w:rPr>
              <w:t>).</w:t>
            </w:r>
          </w:p>
          <w:p w14:paraId="23F5FB75" w14:textId="1A2FC24F" w:rsidR="00ED3793" w:rsidRPr="00633FD7" w:rsidRDefault="00ED3793" w:rsidP="00ED3793">
            <w:pPr>
              <w:pStyle w:val="ListParagraph"/>
              <w:numPr>
                <w:ilvl w:val="0"/>
                <w:numId w:val="32"/>
              </w:numPr>
              <w:spacing w:before="120" w:after="120"/>
              <w:ind w:left="470" w:right="57" w:hanging="357"/>
              <w:contextualSpacing w:val="0"/>
              <w:rPr>
                <w:b/>
                <w:bCs/>
                <w:sz w:val="22"/>
                <w:szCs w:val="22"/>
                <w:lang w:val="en-US"/>
              </w:rPr>
            </w:pPr>
            <w:r>
              <w:rPr>
                <w:rFonts w:ascii="Arial" w:hAnsi="Arial" w:cs="Arial"/>
                <w:sz w:val="22"/>
                <w:szCs w:val="22"/>
                <w:lang w:val="en-US"/>
              </w:rPr>
              <w:t xml:space="preserve">Furthermore, to allow more time for other </w:t>
            </w:r>
            <w:r w:rsidR="00E03DD1">
              <w:rPr>
                <w:rFonts w:ascii="Arial" w:hAnsi="Arial" w:cs="Arial"/>
                <w:sz w:val="22"/>
                <w:szCs w:val="22"/>
                <w:lang w:val="en-US"/>
              </w:rPr>
              <w:t xml:space="preserve">agenda </w:t>
            </w:r>
            <w:r>
              <w:rPr>
                <w:rFonts w:ascii="Arial" w:hAnsi="Arial" w:cs="Arial"/>
                <w:sz w:val="22"/>
                <w:szCs w:val="22"/>
                <w:lang w:val="en-US"/>
              </w:rPr>
              <w:t>items the Committee delegates to it</w:t>
            </w:r>
            <w:r w:rsidR="006D11F0">
              <w:rPr>
                <w:rFonts w:ascii="Arial" w:hAnsi="Arial" w:cs="Arial"/>
                <w:sz w:val="22"/>
                <w:szCs w:val="22"/>
                <w:lang w:val="en-US"/>
              </w:rPr>
              <w:t>s</w:t>
            </w:r>
            <w:r>
              <w:rPr>
                <w:rFonts w:ascii="Arial" w:hAnsi="Arial" w:cs="Arial"/>
                <w:sz w:val="22"/>
                <w:szCs w:val="22"/>
                <w:lang w:val="en-US"/>
              </w:rPr>
              <w:t xml:space="preserve"> Bureau a number </w:t>
            </w:r>
            <w:r w:rsidR="00C8655E">
              <w:rPr>
                <w:rFonts w:ascii="Arial" w:hAnsi="Arial" w:cs="Arial"/>
                <w:sz w:val="22"/>
                <w:szCs w:val="22"/>
                <w:lang w:val="en-US"/>
              </w:rPr>
              <w:t>of decisions such as approving International A</w:t>
            </w:r>
            <w:r>
              <w:rPr>
                <w:rFonts w:ascii="Arial" w:hAnsi="Arial" w:cs="Arial"/>
                <w:sz w:val="22"/>
                <w:szCs w:val="22"/>
                <w:lang w:val="en-US"/>
              </w:rPr>
              <w:t>ssi</w:t>
            </w:r>
            <w:r w:rsidR="00A0166E">
              <w:rPr>
                <w:rFonts w:ascii="Arial" w:hAnsi="Arial" w:cs="Arial"/>
                <w:sz w:val="22"/>
                <w:szCs w:val="22"/>
                <w:lang w:val="en-US"/>
              </w:rPr>
              <w:t xml:space="preserve">stance requests up to US$100,000 </w:t>
            </w:r>
            <w:r>
              <w:rPr>
                <w:rFonts w:ascii="Arial" w:hAnsi="Arial" w:cs="Arial"/>
                <w:sz w:val="22"/>
                <w:szCs w:val="22"/>
                <w:lang w:val="en-US"/>
              </w:rPr>
              <w:t xml:space="preserve">and the use of </w:t>
            </w:r>
            <w:r w:rsidRPr="004C5AD3">
              <w:rPr>
                <w:rFonts w:ascii="Arial" w:hAnsi="Arial" w:cs="Arial"/>
                <w:sz w:val="22"/>
                <w:szCs w:val="22"/>
                <w:lang w:val="en-US"/>
              </w:rPr>
              <w:t xml:space="preserve">20% of the resources </w:t>
            </w:r>
            <w:r>
              <w:rPr>
                <w:rFonts w:ascii="Arial" w:hAnsi="Arial" w:cs="Arial"/>
                <w:sz w:val="22"/>
                <w:szCs w:val="22"/>
                <w:lang w:val="en-US"/>
              </w:rPr>
              <w:t xml:space="preserve">of the Intangible Culture Heritage Fund </w:t>
            </w:r>
            <w:r w:rsidRPr="004C5AD3">
              <w:rPr>
                <w:rFonts w:ascii="Arial" w:hAnsi="Arial" w:cs="Arial"/>
                <w:sz w:val="22"/>
                <w:szCs w:val="22"/>
                <w:lang w:val="en-US"/>
              </w:rPr>
              <w:t>allocated to ‘ot</w:t>
            </w:r>
            <w:r>
              <w:rPr>
                <w:rFonts w:ascii="Arial" w:hAnsi="Arial" w:cs="Arial"/>
                <w:sz w:val="22"/>
                <w:szCs w:val="22"/>
                <w:lang w:val="en-US"/>
              </w:rPr>
              <w:t>her functions of the Committee’</w:t>
            </w:r>
            <w:r w:rsidR="006C7B75">
              <w:rPr>
                <w:rFonts w:ascii="Arial" w:hAnsi="Arial" w:cs="Arial"/>
                <w:sz w:val="22"/>
                <w:szCs w:val="22"/>
                <w:lang w:val="en-US"/>
              </w:rPr>
              <w:t>.</w:t>
            </w:r>
          </w:p>
          <w:p w14:paraId="2EBC89DA" w14:textId="77777777" w:rsidR="00ED3793" w:rsidRPr="00447A43" w:rsidRDefault="00176EDD" w:rsidP="00633FD7">
            <w:pPr>
              <w:pStyle w:val="ListParagraph"/>
              <w:numPr>
                <w:ilvl w:val="0"/>
                <w:numId w:val="32"/>
              </w:numPr>
              <w:spacing w:before="120" w:after="120"/>
              <w:ind w:left="470" w:right="57" w:hanging="357"/>
              <w:contextualSpacing w:val="0"/>
              <w:rPr>
                <w:b/>
                <w:bCs/>
                <w:sz w:val="22"/>
                <w:szCs w:val="22"/>
                <w:lang w:val="en-US"/>
              </w:rPr>
            </w:pPr>
            <w:r>
              <w:rPr>
                <w:rFonts w:ascii="Arial" w:hAnsi="Arial" w:cs="Arial"/>
                <w:sz w:val="22"/>
                <w:szCs w:val="22"/>
                <w:lang w:val="en-US"/>
              </w:rPr>
              <w:t>During its tenth session</w:t>
            </w:r>
            <w:r w:rsidR="00EF2504">
              <w:rPr>
                <w:rFonts w:ascii="Arial" w:hAnsi="Arial" w:cs="Arial"/>
                <w:sz w:val="22"/>
                <w:szCs w:val="22"/>
                <w:lang w:val="en-US"/>
              </w:rPr>
              <w:t>,</w:t>
            </w:r>
            <w:r>
              <w:rPr>
                <w:rFonts w:ascii="Arial" w:hAnsi="Arial" w:cs="Arial"/>
                <w:sz w:val="22"/>
                <w:szCs w:val="22"/>
                <w:lang w:val="en-US"/>
              </w:rPr>
              <w:t xml:space="preserve"> the Committee adopted a new working method by which decisions concerning nominations, proposals and requests are adopted as a whole </w:t>
            </w:r>
            <w:r w:rsidR="00F303D6">
              <w:rPr>
                <w:rFonts w:ascii="Arial" w:hAnsi="Arial" w:cs="Arial"/>
                <w:sz w:val="22"/>
                <w:szCs w:val="22"/>
                <w:lang w:val="en-US"/>
              </w:rPr>
              <w:t xml:space="preserve">without debate </w:t>
            </w:r>
            <w:r>
              <w:rPr>
                <w:rFonts w:ascii="Arial" w:hAnsi="Arial" w:cs="Arial"/>
                <w:sz w:val="22"/>
                <w:szCs w:val="22"/>
                <w:lang w:val="en-US"/>
              </w:rPr>
              <w:t>based on the recommendation of the Evaluation Body</w:t>
            </w:r>
            <w:r w:rsidR="00F11FA0">
              <w:rPr>
                <w:rFonts w:ascii="Arial" w:hAnsi="Arial" w:cs="Arial"/>
                <w:sz w:val="22"/>
                <w:szCs w:val="22"/>
                <w:lang w:val="en-US"/>
              </w:rPr>
              <w:t xml:space="preserve">, rather than paragraph by </w:t>
            </w:r>
            <w:r w:rsidR="00D33F16">
              <w:rPr>
                <w:rFonts w:ascii="Arial" w:hAnsi="Arial" w:cs="Arial"/>
                <w:sz w:val="22"/>
                <w:szCs w:val="22"/>
                <w:lang w:val="en-US"/>
              </w:rPr>
              <w:t>paragraph,</w:t>
            </w:r>
            <w:r>
              <w:rPr>
                <w:rFonts w:ascii="Arial" w:hAnsi="Arial" w:cs="Arial"/>
                <w:sz w:val="22"/>
                <w:szCs w:val="22"/>
                <w:lang w:val="en-US"/>
              </w:rPr>
              <w:t xml:space="preserve"> except </w:t>
            </w:r>
            <w:r w:rsidR="00F303D6">
              <w:rPr>
                <w:rFonts w:ascii="Arial" w:hAnsi="Arial" w:cs="Arial"/>
                <w:sz w:val="22"/>
                <w:szCs w:val="22"/>
                <w:lang w:val="en-US"/>
              </w:rPr>
              <w:t xml:space="preserve">for those decisions </w:t>
            </w:r>
            <w:r w:rsidR="00F11FA0">
              <w:rPr>
                <w:rFonts w:ascii="Arial" w:hAnsi="Arial" w:cs="Arial"/>
                <w:sz w:val="22"/>
                <w:szCs w:val="22"/>
                <w:lang w:val="en-US"/>
              </w:rPr>
              <w:t>for</w:t>
            </w:r>
            <w:r w:rsidR="006D11F0">
              <w:rPr>
                <w:rFonts w:ascii="Arial" w:hAnsi="Arial" w:cs="Arial"/>
                <w:sz w:val="22"/>
                <w:szCs w:val="22"/>
                <w:lang w:val="en-US"/>
              </w:rPr>
              <w:t xml:space="preserve"> which</w:t>
            </w:r>
            <w:r w:rsidR="00A0166E">
              <w:rPr>
                <w:rFonts w:ascii="Arial" w:hAnsi="Arial" w:cs="Arial"/>
                <w:sz w:val="22"/>
                <w:szCs w:val="22"/>
                <w:lang w:val="en-US"/>
              </w:rPr>
              <w:t xml:space="preserve"> </w:t>
            </w:r>
            <w:r w:rsidR="00F303D6">
              <w:rPr>
                <w:rFonts w:ascii="Arial" w:hAnsi="Arial" w:cs="Arial"/>
                <w:sz w:val="22"/>
                <w:szCs w:val="22"/>
                <w:lang w:val="en-US"/>
              </w:rPr>
              <w:t xml:space="preserve">a </w:t>
            </w:r>
            <w:r>
              <w:rPr>
                <w:rFonts w:ascii="Arial" w:hAnsi="Arial" w:cs="Arial"/>
                <w:sz w:val="22"/>
                <w:szCs w:val="22"/>
                <w:lang w:val="en-US"/>
              </w:rPr>
              <w:t>member of the Committee</w:t>
            </w:r>
            <w:r w:rsidR="00A0166E">
              <w:rPr>
                <w:rFonts w:ascii="Arial" w:hAnsi="Arial" w:cs="Arial"/>
                <w:sz w:val="22"/>
                <w:szCs w:val="22"/>
                <w:lang w:val="en-US"/>
              </w:rPr>
              <w:t xml:space="preserve"> </w:t>
            </w:r>
            <w:r w:rsidR="00F303D6">
              <w:rPr>
                <w:rFonts w:ascii="Arial" w:hAnsi="Arial" w:cs="Arial"/>
                <w:sz w:val="22"/>
                <w:szCs w:val="22"/>
                <w:lang w:val="en-US"/>
              </w:rPr>
              <w:t xml:space="preserve">specifically </w:t>
            </w:r>
            <w:r w:rsidR="00A0166E">
              <w:rPr>
                <w:rFonts w:ascii="Arial" w:hAnsi="Arial" w:cs="Arial"/>
                <w:sz w:val="22"/>
                <w:szCs w:val="22"/>
                <w:lang w:val="en-US"/>
              </w:rPr>
              <w:t>requests to open</w:t>
            </w:r>
            <w:r w:rsidR="00F303D6">
              <w:rPr>
                <w:rFonts w:ascii="Arial" w:hAnsi="Arial" w:cs="Arial"/>
                <w:sz w:val="22"/>
                <w:szCs w:val="22"/>
                <w:lang w:val="en-US"/>
              </w:rPr>
              <w:t xml:space="preserve"> the floor</w:t>
            </w:r>
            <w:r>
              <w:rPr>
                <w:rFonts w:ascii="Arial" w:hAnsi="Arial" w:cs="Arial"/>
                <w:sz w:val="22"/>
                <w:szCs w:val="22"/>
                <w:lang w:val="en-US"/>
              </w:rPr>
              <w:t>.</w:t>
            </w:r>
          </w:p>
        </w:tc>
      </w:tr>
      <w:tr w:rsidR="004E341F" w:rsidRPr="008A300B" w14:paraId="768900D4" w14:textId="77777777" w:rsidTr="008B2782">
        <w:tc>
          <w:tcPr>
            <w:tcW w:w="6958" w:type="dxa"/>
          </w:tcPr>
          <w:p w14:paraId="545745E6" w14:textId="77777777" w:rsidR="004E341F" w:rsidRPr="00ED3793" w:rsidRDefault="00284A37" w:rsidP="00284A37">
            <w:pPr>
              <w:pStyle w:val="Default"/>
              <w:numPr>
                <w:ilvl w:val="1"/>
                <w:numId w:val="21"/>
              </w:numPr>
              <w:spacing w:before="120" w:after="120"/>
              <w:rPr>
                <w:bCs/>
                <w:sz w:val="22"/>
                <w:szCs w:val="22"/>
                <w:lang w:val="en-US"/>
              </w:rPr>
            </w:pPr>
            <w:r w:rsidRPr="00ED3793">
              <w:rPr>
                <w:sz w:val="22"/>
                <w:szCs w:val="22"/>
                <w:lang w:val="en-US"/>
              </w:rPr>
              <w:t>increase the delegation of authority to the bureau</w:t>
            </w:r>
          </w:p>
        </w:tc>
        <w:tc>
          <w:tcPr>
            <w:tcW w:w="6958" w:type="dxa"/>
          </w:tcPr>
          <w:p w14:paraId="33217E0B" w14:textId="481069F2" w:rsidR="004E341F" w:rsidRPr="00633FD7" w:rsidRDefault="00F11FA0" w:rsidP="00C50000">
            <w:pPr>
              <w:pStyle w:val="ListParagraph"/>
              <w:numPr>
                <w:ilvl w:val="0"/>
                <w:numId w:val="32"/>
              </w:numPr>
              <w:spacing w:before="120" w:after="120"/>
              <w:ind w:left="470" w:right="57" w:hanging="357"/>
              <w:rPr>
                <w:b/>
                <w:bCs/>
                <w:sz w:val="22"/>
                <w:szCs w:val="22"/>
                <w:lang w:val="en-US"/>
              </w:rPr>
            </w:pPr>
            <w:r>
              <w:rPr>
                <w:rFonts w:ascii="Arial" w:hAnsi="Arial" w:cs="Arial"/>
                <w:sz w:val="22"/>
                <w:szCs w:val="22"/>
                <w:lang w:val="en-US"/>
              </w:rPr>
              <w:t>A</w:t>
            </w:r>
            <w:r w:rsidRPr="00A76B7D">
              <w:rPr>
                <w:rFonts w:ascii="Arial" w:hAnsi="Arial" w:cs="Arial"/>
                <w:sz w:val="22"/>
                <w:szCs w:val="22"/>
              </w:rPr>
              <w:t xml:space="preserve">t its </w:t>
            </w:r>
            <w:r>
              <w:rPr>
                <w:rFonts w:ascii="Arial" w:hAnsi="Arial" w:cs="Arial"/>
                <w:sz w:val="22"/>
                <w:szCs w:val="22"/>
              </w:rPr>
              <w:t>sixth session</w:t>
            </w:r>
            <w:r w:rsidRPr="00A76B7D">
              <w:rPr>
                <w:rFonts w:ascii="Arial" w:hAnsi="Arial" w:cs="Arial"/>
                <w:sz w:val="22"/>
                <w:szCs w:val="22"/>
              </w:rPr>
              <w:t xml:space="preserve"> in 2016</w:t>
            </w:r>
            <w:r w:rsidR="0011444A">
              <w:rPr>
                <w:rFonts w:ascii="Arial" w:hAnsi="Arial" w:cs="Arial"/>
                <w:sz w:val="22"/>
                <w:szCs w:val="22"/>
              </w:rPr>
              <w:t>,</w:t>
            </w:r>
            <w:r w:rsidRPr="00A76B7D">
              <w:rPr>
                <w:rFonts w:ascii="Arial" w:hAnsi="Arial" w:cs="Arial"/>
                <w:sz w:val="22"/>
                <w:szCs w:val="22"/>
              </w:rPr>
              <w:t xml:space="preserve"> </w:t>
            </w:r>
            <w:r>
              <w:rPr>
                <w:rFonts w:ascii="Arial" w:hAnsi="Arial" w:cs="Arial"/>
                <w:sz w:val="22"/>
                <w:szCs w:val="22"/>
                <w:lang w:val="en-US"/>
              </w:rPr>
              <w:t>t</w:t>
            </w:r>
            <w:r w:rsidR="00284A37" w:rsidRPr="00A76B7D">
              <w:rPr>
                <w:rFonts w:ascii="Arial" w:hAnsi="Arial" w:cs="Arial"/>
                <w:sz w:val="22"/>
                <w:szCs w:val="22"/>
              </w:rPr>
              <w:t>he General Assembly approve</w:t>
            </w:r>
            <w:r w:rsidR="00C50000">
              <w:rPr>
                <w:rFonts w:ascii="Arial" w:hAnsi="Arial" w:cs="Arial"/>
                <w:sz w:val="22"/>
                <w:szCs w:val="22"/>
              </w:rPr>
              <w:t>d</w:t>
            </w:r>
            <w:r w:rsidR="00284A37" w:rsidRPr="00A76B7D">
              <w:rPr>
                <w:rFonts w:ascii="Arial" w:hAnsi="Arial" w:cs="Arial"/>
                <w:sz w:val="22"/>
                <w:szCs w:val="22"/>
              </w:rPr>
              <w:t xml:space="preserve"> amendments to the Operational Directives (chapter I.8, I.10, I.14 and I.15) to increase the ceiling of International Assistance requests that can be approved by the Bureau</w:t>
            </w:r>
            <w:r w:rsidR="00284A37">
              <w:rPr>
                <w:rFonts w:ascii="Arial" w:hAnsi="Arial" w:cs="Arial"/>
                <w:sz w:val="22"/>
                <w:szCs w:val="22"/>
              </w:rPr>
              <w:t xml:space="preserve"> from US$25,000</w:t>
            </w:r>
            <w:r w:rsidR="00E252C5">
              <w:rPr>
                <w:rFonts w:ascii="Arial" w:hAnsi="Arial" w:cs="Arial"/>
                <w:sz w:val="22"/>
                <w:szCs w:val="22"/>
              </w:rPr>
              <w:t xml:space="preserve"> </w:t>
            </w:r>
            <w:r w:rsidR="00284A37">
              <w:rPr>
                <w:rFonts w:ascii="Arial" w:hAnsi="Arial" w:cs="Arial"/>
                <w:sz w:val="22"/>
                <w:szCs w:val="22"/>
              </w:rPr>
              <w:t>to US$100,000</w:t>
            </w:r>
            <w:r w:rsidR="00C50000">
              <w:rPr>
                <w:rFonts w:ascii="Arial" w:hAnsi="Arial" w:cs="Arial"/>
                <w:sz w:val="22"/>
                <w:szCs w:val="22"/>
                <w:lang w:val="en-US"/>
              </w:rPr>
              <w:t xml:space="preserve"> (</w:t>
            </w:r>
            <w:hyperlink r:id="rId29" w:history="1">
              <w:r w:rsidR="00C50000" w:rsidRPr="005A55A7">
                <w:rPr>
                  <w:rStyle w:val="Hyperlink"/>
                  <w:rFonts w:ascii="Arial" w:hAnsi="Arial" w:cs="Arial"/>
                  <w:sz w:val="22"/>
                  <w:szCs w:val="22"/>
                  <w:lang w:val="en-US"/>
                </w:rPr>
                <w:t>Resolution 6</w:t>
              </w:r>
              <w:r w:rsidR="00ED3793">
                <w:rPr>
                  <w:rStyle w:val="Hyperlink"/>
                  <w:rFonts w:ascii="Arial" w:hAnsi="Arial" w:cs="Arial"/>
                  <w:sz w:val="22"/>
                  <w:szCs w:val="22"/>
                  <w:lang w:val="en-US"/>
                </w:rPr>
                <w:t>.</w:t>
              </w:r>
              <w:r w:rsidR="00C50000" w:rsidRPr="005A55A7">
                <w:rPr>
                  <w:rStyle w:val="Hyperlink"/>
                  <w:rFonts w:ascii="Arial" w:hAnsi="Arial" w:cs="Arial"/>
                  <w:sz w:val="22"/>
                  <w:szCs w:val="22"/>
                  <w:lang w:val="en-US"/>
                </w:rPr>
                <w:t>GA</w:t>
              </w:r>
              <w:r w:rsidR="00ED3793">
                <w:rPr>
                  <w:rStyle w:val="Hyperlink"/>
                  <w:rFonts w:ascii="Arial" w:hAnsi="Arial" w:cs="Arial"/>
                  <w:sz w:val="22"/>
                  <w:szCs w:val="22"/>
                  <w:lang w:val="en-US"/>
                </w:rPr>
                <w:t> </w:t>
              </w:r>
              <w:r w:rsidR="00C50000" w:rsidRPr="005A55A7">
                <w:rPr>
                  <w:rStyle w:val="Hyperlink"/>
                  <w:rFonts w:ascii="Arial" w:hAnsi="Arial" w:cs="Arial"/>
                  <w:sz w:val="22"/>
                  <w:szCs w:val="22"/>
                  <w:lang w:val="en-US"/>
                </w:rPr>
                <w:t>7</w:t>
              </w:r>
            </w:hyperlink>
            <w:r w:rsidR="00C50000">
              <w:rPr>
                <w:rFonts w:ascii="Arial" w:hAnsi="Arial" w:cs="Arial"/>
                <w:sz w:val="22"/>
                <w:szCs w:val="22"/>
                <w:lang w:val="en-US"/>
              </w:rPr>
              <w:t>)</w:t>
            </w:r>
            <w:r w:rsidR="00C50000" w:rsidRPr="00C50000">
              <w:rPr>
                <w:rFonts w:ascii="Arial" w:hAnsi="Arial" w:cs="Arial"/>
                <w:sz w:val="22"/>
                <w:szCs w:val="22"/>
                <w:lang w:val="en-US"/>
              </w:rPr>
              <w:t>.</w:t>
            </w:r>
            <w:r w:rsidR="00E03DD1">
              <w:rPr>
                <w:rFonts w:ascii="Arial" w:hAnsi="Arial" w:cs="Arial"/>
                <w:sz w:val="22"/>
                <w:szCs w:val="22"/>
                <w:lang w:val="en-US"/>
              </w:rPr>
              <w:t xml:space="preserve"> T</w:t>
            </w:r>
            <w:r w:rsidR="0011444A">
              <w:rPr>
                <w:rFonts w:ascii="Arial" w:hAnsi="Arial" w:cs="Arial"/>
                <w:sz w:val="22"/>
                <w:szCs w:val="22"/>
                <w:lang w:val="en-US"/>
              </w:rPr>
              <w:t>he Bureau is also responsible for</w:t>
            </w:r>
            <w:r w:rsidR="00E03DD1">
              <w:rPr>
                <w:rFonts w:ascii="Arial" w:hAnsi="Arial" w:cs="Arial"/>
                <w:sz w:val="22"/>
                <w:szCs w:val="22"/>
                <w:lang w:val="en-US"/>
              </w:rPr>
              <w:t xml:space="preserve"> approving</w:t>
            </w:r>
            <w:r w:rsidR="00A0166E">
              <w:rPr>
                <w:rFonts w:ascii="Arial" w:hAnsi="Arial" w:cs="Arial"/>
                <w:sz w:val="22"/>
                <w:szCs w:val="22"/>
                <w:lang w:val="en-US"/>
              </w:rPr>
              <w:t xml:space="preserve"> emergency assistance requests irrespective of the amount</w:t>
            </w:r>
            <w:r w:rsidR="00197CFF">
              <w:rPr>
                <w:rFonts w:ascii="Arial" w:hAnsi="Arial" w:cs="Arial"/>
                <w:sz w:val="22"/>
                <w:szCs w:val="22"/>
                <w:lang w:val="en-US"/>
              </w:rPr>
              <w:t xml:space="preserve"> and approving the use of </w:t>
            </w:r>
            <w:r w:rsidR="00197CFF" w:rsidRPr="004C5AD3">
              <w:rPr>
                <w:rFonts w:ascii="Arial" w:hAnsi="Arial" w:cs="Arial"/>
                <w:sz w:val="22"/>
                <w:szCs w:val="22"/>
                <w:lang w:val="en-US"/>
              </w:rPr>
              <w:t xml:space="preserve">20% of the resources </w:t>
            </w:r>
            <w:r w:rsidR="00197CFF">
              <w:rPr>
                <w:rFonts w:ascii="Arial" w:hAnsi="Arial" w:cs="Arial"/>
                <w:sz w:val="22"/>
                <w:szCs w:val="22"/>
                <w:lang w:val="en-US"/>
              </w:rPr>
              <w:t xml:space="preserve">of the Intangible Culture Heritage Fund </w:t>
            </w:r>
            <w:r w:rsidR="00197CFF" w:rsidRPr="004C5AD3">
              <w:rPr>
                <w:rFonts w:ascii="Arial" w:hAnsi="Arial" w:cs="Arial"/>
                <w:sz w:val="22"/>
                <w:szCs w:val="22"/>
                <w:lang w:val="en-US"/>
              </w:rPr>
              <w:t>allocated to ‘ot</w:t>
            </w:r>
            <w:r w:rsidR="00197CFF">
              <w:rPr>
                <w:rFonts w:ascii="Arial" w:hAnsi="Arial" w:cs="Arial"/>
                <w:sz w:val="22"/>
                <w:szCs w:val="22"/>
                <w:lang w:val="en-US"/>
              </w:rPr>
              <w:t>her functions of the Committee’</w:t>
            </w:r>
            <w:r w:rsidR="00A0166E">
              <w:rPr>
                <w:rFonts w:ascii="Arial" w:hAnsi="Arial" w:cs="Arial"/>
                <w:sz w:val="22"/>
                <w:szCs w:val="22"/>
                <w:lang w:val="en-US"/>
              </w:rPr>
              <w:t>.</w:t>
            </w:r>
          </w:p>
          <w:p w14:paraId="26ED3EA5" w14:textId="286F35CC" w:rsidR="00E03DD1" w:rsidRPr="00633FD7" w:rsidRDefault="00F11FA0" w:rsidP="00633FD7">
            <w:pPr>
              <w:pStyle w:val="ListParagraph"/>
              <w:numPr>
                <w:ilvl w:val="0"/>
                <w:numId w:val="32"/>
              </w:numPr>
              <w:spacing w:before="120" w:after="120"/>
              <w:ind w:left="470" w:right="57" w:hanging="357"/>
              <w:rPr>
                <w:b/>
                <w:bCs/>
                <w:sz w:val="22"/>
                <w:szCs w:val="22"/>
                <w:lang w:val="en-US"/>
              </w:rPr>
            </w:pPr>
            <w:r>
              <w:rPr>
                <w:rFonts w:ascii="Arial" w:hAnsi="Arial" w:cs="Arial"/>
                <w:sz w:val="22"/>
                <w:szCs w:val="22"/>
                <w:lang w:val="en-US"/>
              </w:rPr>
              <w:t>On</w:t>
            </w:r>
            <w:r w:rsidR="00E03DD1">
              <w:rPr>
                <w:rFonts w:ascii="Arial" w:hAnsi="Arial" w:cs="Arial"/>
                <w:sz w:val="22"/>
                <w:szCs w:val="22"/>
                <w:lang w:val="en-US"/>
              </w:rPr>
              <w:t xml:space="preserve"> </w:t>
            </w:r>
            <w:r w:rsidR="00A0166E">
              <w:rPr>
                <w:rFonts w:ascii="Arial" w:hAnsi="Arial" w:cs="Arial"/>
                <w:sz w:val="22"/>
                <w:szCs w:val="22"/>
                <w:lang w:val="en-US"/>
              </w:rPr>
              <w:t xml:space="preserve">five occasions since 2010, </w:t>
            </w:r>
            <w:r w:rsidR="00A0166E" w:rsidRPr="00A0166E">
              <w:rPr>
                <w:rFonts w:ascii="Arial" w:hAnsi="Arial" w:cs="Arial"/>
                <w:sz w:val="22"/>
                <w:szCs w:val="22"/>
                <w:lang w:val="en-US"/>
              </w:rPr>
              <w:t>t</w:t>
            </w:r>
            <w:r w:rsidR="00E03DD1" w:rsidRPr="00633FD7">
              <w:rPr>
                <w:rFonts w:ascii="Arial" w:hAnsi="Arial" w:cs="Arial"/>
                <w:sz w:val="22"/>
                <w:szCs w:val="22"/>
                <w:lang w:val="en-US"/>
              </w:rPr>
              <w:t>he Committee</w:t>
            </w:r>
            <w:r w:rsidR="00A0166E" w:rsidRPr="00A0166E">
              <w:rPr>
                <w:rFonts w:ascii="Arial" w:hAnsi="Arial" w:cs="Arial"/>
                <w:sz w:val="22"/>
                <w:szCs w:val="22"/>
                <w:lang w:val="en-US"/>
              </w:rPr>
              <w:t xml:space="preserve"> delegated to its</w:t>
            </w:r>
            <w:r w:rsidR="00E03DD1" w:rsidRPr="00633FD7">
              <w:rPr>
                <w:rFonts w:ascii="Arial" w:hAnsi="Arial" w:cs="Arial"/>
                <w:sz w:val="22"/>
                <w:szCs w:val="22"/>
                <w:lang w:val="en-US"/>
              </w:rPr>
              <w:t xml:space="preserve"> Bureau </w:t>
            </w:r>
            <w:r w:rsidR="00E252C5">
              <w:rPr>
                <w:rFonts w:ascii="Arial" w:hAnsi="Arial" w:cs="Arial"/>
                <w:sz w:val="22"/>
                <w:szCs w:val="22"/>
                <w:lang w:val="en-US"/>
              </w:rPr>
              <w:t xml:space="preserve">final </w:t>
            </w:r>
            <w:r w:rsidR="00C8655E">
              <w:rPr>
                <w:rFonts w:ascii="Arial" w:hAnsi="Arial" w:cs="Arial"/>
                <w:sz w:val="22"/>
                <w:szCs w:val="22"/>
                <w:lang w:val="en-US"/>
              </w:rPr>
              <w:t xml:space="preserve">decisions on </w:t>
            </w:r>
            <w:r w:rsidR="00E252C5">
              <w:rPr>
                <w:rFonts w:ascii="Arial" w:hAnsi="Arial" w:cs="Arial"/>
                <w:sz w:val="22"/>
                <w:szCs w:val="22"/>
                <w:lang w:val="en-US"/>
              </w:rPr>
              <w:t xml:space="preserve">the </w:t>
            </w:r>
            <w:r w:rsidR="00C8655E">
              <w:rPr>
                <w:rFonts w:ascii="Arial" w:hAnsi="Arial" w:cs="Arial"/>
                <w:sz w:val="22"/>
                <w:szCs w:val="22"/>
                <w:lang w:val="en-US"/>
              </w:rPr>
              <w:t>International Assistance requests</w:t>
            </w:r>
            <w:r w:rsidR="00E252C5">
              <w:rPr>
                <w:rFonts w:ascii="Arial" w:hAnsi="Arial" w:cs="Arial"/>
                <w:sz w:val="22"/>
                <w:szCs w:val="22"/>
                <w:lang w:val="en-US"/>
              </w:rPr>
              <w:t xml:space="preserve"> when they required revision</w:t>
            </w:r>
            <w:r w:rsidR="00C8655E">
              <w:rPr>
                <w:rFonts w:ascii="Arial" w:hAnsi="Arial" w:cs="Arial"/>
                <w:sz w:val="22"/>
                <w:szCs w:val="22"/>
                <w:lang w:val="en-US"/>
              </w:rPr>
              <w:t>.</w:t>
            </w:r>
          </w:p>
        </w:tc>
      </w:tr>
      <w:tr w:rsidR="004E341F" w:rsidRPr="008A300B" w14:paraId="189588DC" w14:textId="77777777" w:rsidTr="008B2782">
        <w:tc>
          <w:tcPr>
            <w:tcW w:w="6958" w:type="dxa"/>
          </w:tcPr>
          <w:p w14:paraId="00F1AA66" w14:textId="77777777" w:rsidR="004E341F" w:rsidRPr="00ED3793" w:rsidRDefault="00284A37" w:rsidP="00284A37">
            <w:pPr>
              <w:pStyle w:val="Default"/>
              <w:numPr>
                <w:ilvl w:val="1"/>
                <w:numId w:val="21"/>
              </w:numPr>
              <w:spacing w:before="120" w:after="120"/>
              <w:rPr>
                <w:bCs/>
                <w:sz w:val="22"/>
                <w:szCs w:val="22"/>
                <w:lang w:val="en-US"/>
              </w:rPr>
            </w:pPr>
            <w:r w:rsidRPr="00ED3793">
              <w:rPr>
                <w:sz w:val="22"/>
                <w:szCs w:val="22"/>
                <w:lang w:val="en-US"/>
              </w:rPr>
              <w:t>simplify and improve the dissemination of results</w:t>
            </w:r>
          </w:p>
        </w:tc>
        <w:tc>
          <w:tcPr>
            <w:tcW w:w="6958" w:type="dxa"/>
          </w:tcPr>
          <w:p w14:paraId="5222B563" w14:textId="38BD3F15" w:rsidR="004E341F" w:rsidRPr="00447A43" w:rsidRDefault="00284A37" w:rsidP="00A05293">
            <w:pPr>
              <w:pStyle w:val="ListParagraph"/>
              <w:numPr>
                <w:ilvl w:val="0"/>
                <w:numId w:val="32"/>
              </w:numPr>
              <w:spacing w:before="120" w:after="120"/>
              <w:ind w:left="470" w:right="57" w:hanging="357"/>
              <w:rPr>
                <w:b/>
                <w:bCs/>
                <w:sz w:val="22"/>
                <w:szCs w:val="22"/>
                <w:lang w:val="en-US"/>
              </w:rPr>
            </w:pPr>
            <w:r w:rsidRPr="00284A37">
              <w:rPr>
                <w:rFonts w:ascii="Arial" w:hAnsi="Arial" w:cs="Arial"/>
                <w:sz w:val="22"/>
                <w:szCs w:val="22"/>
              </w:rPr>
              <w:t xml:space="preserve">The </w:t>
            </w:r>
            <w:r w:rsidR="00C77208">
              <w:rPr>
                <w:rFonts w:ascii="Arial" w:hAnsi="Arial" w:cs="Arial"/>
                <w:sz w:val="22"/>
                <w:szCs w:val="22"/>
              </w:rPr>
              <w:t xml:space="preserve">working and information </w:t>
            </w:r>
            <w:r w:rsidR="00606004">
              <w:rPr>
                <w:rFonts w:ascii="Arial" w:hAnsi="Arial" w:cs="Arial"/>
                <w:sz w:val="22"/>
                <w:szCs w:val="22"/>
              </w:rPr>
              <w:t>documents, summary records and d</w:t>
            </w:r>
            <w:r w:rsidRPr="00284A37">
              <w:rPr>
                <w:rFonts w:ascii="Arial" w:hAnsi="Arial" w:cs="Arial"/>
                <w:sz w:val="22"/>
                <w:szCs w:val="22"/>
              </w:rPr>
              <w:t xml:space="preserve">ecisions of the Committee and </w:t>
            </w:r>
            <w:r w:rsidR="00C77208">
              <w:rPr>
                <w:rFonts w:ascii="Arial" w:hAnsi="Arial" w:cs="Arial"/>
                <w:sz w:val="22"/>
                <w:szCs w:val="22"/>
              </w:rPr>
              <w:t xml:space="preserve">resolutions of </w:t>
            </w:r>
            <w:r w:rsidRPr="00284A37">
              <w:rPr>
                <w:rFonts w:ascii="Arial" w:hAnsi="Arial" w:cs="Arial"/>
                <w:sz w:val="22"/>
                <w:szCs w:val="22"/>
              </w:rPr>
              <w:t xml:space="preserve">the General Assembly are disseminated </w:t>
            </w:r>
            <w:r w:rsidR="00A05293">
              <w:rPr>
                <w:rFonts w:ascii="Arial" w:hAnsi="Arial" w:cs="Arial"/>
                <w:sz w:val="22"/>
                <w:szCs w:val="22"/>
              </w:rPr>
              <w:t>by publishing them online on the web</w:t>
            </w:r>
            <w:r w:rsidR="00571492">
              <w:rPr>
                <w:rFonts w:ascii="Arial" w:hAnsi="Arial" w:cs="Arial"/>
                <w:sz w:val="22"/>
                <w:szCs w:val="22"/>
              </w:rPr>
              <w:t>site</w:t>
            </w:r>
            <w:r w:rsidR="00A05293">
              <w:rPr>
                <w:rFonts w:ascii="Arial" w:hAnsi="Arial" w:cs="Arial"/>
                <w:sz w:val="22"/>
                <w:szCs w:val="22"/>
              </w:rPr>
              <w:t xml:space="preserve"> of the Convention</w:t>
            </w:r>
            <w:r>
              <w:rPr>
                <w:rFonts w:ascii="Arial" w:hAnsi="Arial" w:cs="Arial"/>
                <w:sz w:val="22"/>
                <w:szCs w:val="22"/>
              </w:rPr>
              <w:t>.</w:t>
            </w:r>
          </w:p>
        </w:tc>
      </w:tr>
      <w:tr w:rsidR="00431A60" w:rsidRPr="008A300B" w14:paraId="3DC939FC" w14:textId="77777777" w:rsidTr="008B2782">
        <w:tc>
          <w:tcPr>
            <w:tcW w:w="6958" w:type="dxa"/>
          </w:tcPr>
          <w:p w14:paraId="3BB02275" w14:textId="77777777" w:rsidR="00431A60" w:rsidRPr="00447A43" w:rsidRDefault="00ED1FFF" w:rsidP="00284A37">
            <w:pPr>
              <w:pStyle w:val="Default"/>
              <w:numPr>
                <w:ilvl w:val="1"/>
                <w:numId w:val="21"/>
              </w:numPr>
              <w:spacing w:before="120" w:after="120"/>
              <w:rPr>
                <w:sz w:val="22"/>
                <w:szCs w:val="22"/>
                <w:lang w:val="en-US"/>
              </w:rPr>
            </w:pPr>
            <w:r w:rsidRPr="00DA7318">
              <w:rPr>
                <w:sz w:val="22"/>
                <w:szCs w:val="22"/>
                <w:lang w:val="en-US"/>
              </w:rPr>
              <w:lastRenderedPageBreak/>
              <w:t>encourage best practices</w:t>
            </w:r>
          </w:p>
        </w:tc>
        <w:tc>
          <w:tcPr>
            <w:tcW w:w="6958" w:type="dxa"/>
          </w:tcPr>
          <w:p w14:paraId="6F26C7BB" w14:textId="4D6F8D2E" w:rsidR="00431A60" w:rsidRPr="00284A37" w:rsidRDefault="00ED1FFF" w:rsidP="00DA7318">
            <w:pPr>
              <w:pStyle w:val="ListParagraph"/>
              <w:numPr>
                <w:ilvl w:val="0"/>
                <w:numId w:val="32"/>
              </w:numPr>
              <w:spacing w:before="120" w:after="120"/>
              <w:ind w:left="470" w:right="57" w:hanging="357"/>
              <w:rPr>
                <w:rFonts w:ascii="Arial" w:hAnsi="Arial" w:cs="Arial"/>
                <w:sz w:val="22"/>
                <w:szCs w:val="22"/>
              </w:rPr>
            </w:pPr>
            <w:r>
              <w:rPr>
                <w:rFonts w:ascii="Arial" w:hAnsi="Arial" w:cs="Arial"/>
                <w:sz w:val="22"/>
                <w:szCs w:val="22"/>
              </w:rPr>
              <w:t xml:space="preserve">A satisfaction survey is distributed to all participants of the statutory meetings at the end </w:t>
            </w:r>
            <w:r w:rsidR="001666B2">
              <w:rPr>
                <w:rFonts w:ascii="Arial" w:hAnsi="Arial" w:cs="Arial"/>
                <w:sz w:val="22"/>
                <w:szCs w:val="22"/>
              </w:rPr>
              <w:t xml:space="preserve">of </w:t>
            </w:r>
            <w:r w:rsidR="00FF2342">
              <w:rPr>
                <w:rFonts w:ascii="Arial" w:hAnsi="Arial" w:cs="Arial"/>
                <w:sz w:val="22"/>
                <w:szCs w:val="22"/>
              </w:rPr>
              <w:t>each session</w:t>
            </w:r>
            <w:r>
              <w:rPr>
                <w:rFonts w:ascii="Arial" w:hAnsi="Arial" w:cs="Arial"/>
                <w:sz w:val="22"/>
                <w:szCs w:val="22"/>
              </w:rPr>
              <w:t>. Even though the return rate is low, the Secretariat analy</w:t>
            </w:r>
            <w:r w:rsidR="00EF2504">
              <w:rPr>
                <w:rFonts w:ascii="Arial" w:hAnsi="Arial" w:cs="Arial"/>
                <w:sz w:val="22"/>
                <w:szCs w:val="22"/>
              </w:rPr>
              <w:t>z</w:t>
            </w:r>
            <w:r>
              <w:rPr>
                <w:rFonts w:ascii="Arial" w:hAnsi="Arial" w:cs="Arial"/>
                <w:sz w:val="22"/>
                <w:szCs w:val="22"/>
              </w:rPr>
              <w:t>es those results and tries to maintain practi</w:t>
            </w:r>
            <w:r w:rsidR="008A77CD">
              <w:rPr>
                <w:rFonts w:ascii="Arial" w:hAnsi="Arial" w:cs="Arial"/>
                <w:sz w:val="22"/>
                <w:szCs w:val="22"/>
              </w:rPr>
              <w:t>c</w:t>
            </w:r>
            <w:r>
              <w:rPr>
                <w:rFonts w:ascii="Arial" w:hAnsi="Arial" w:cs="Arial"/>
                <w:sz w:val="22"/>
                <w:szCs w:val="22"/>
              </w:rPr>
              <w:t>es praised by participants and improve the ones that were considered unsatisfactory.</w:t>
            </w:r>
          </w:p>
        </w:tc>
      </w:tr>
      <w:tr w:rsidR="00431B92" w:rsidRPr="008A300B" w14:paraId="777B86D5" w14:textId="77777777" w:rsidTr="00E52143">
        <w:tc>
          <w:tcPr>
            <w:tcW w:w="13916" w:type="dxa"/>
            <w:gridSpan w:val="2"/>
            <w:shd w:val="clear" w:color="auto" w:fill="D9D9D9" w:themeFill="background1" w:themeFillShade="D9"/>
          </w:tcPr>
          <w:p w14:paraId="6BC2457F" w14:textId="77777777" w:rsidR="00431B92" w:rsidRDefault="00431B92" w:rsidP="00E52143">
            <w:pPr>
              <w:pStyle w:val="COMPara"/>
              <w:keepNext/>
              <w:spacing w:before="120"/>
            </w:pPr>
            <w:r>
              <w:rPr>
                <w:b/>
                <w:bCs/>
              </w:rPr>
              <w:t>Recommendation No. 5</w:t>
            </w:r>
            <w:r>
              <w:t>. On a provisional trial basis, the External Auditor recommends that the General Conference:</w:t>
            </w:r>
          </w:p>
          <w:p w14:paraId="16F107E2" w14:textId="77777777" w:rsidR="00431B92" w:rsidRDefault="00431B92" w:rsidP="00E52143">
            <w:pPr>
              <w:pStyle w:val="COMPara"/>
              <w:keepNext/>
              <w:numPr>
                <w:ilvl w:val="0"/>
                <w:numId w:val="29"/>
              </w:numPr>
              <w:spacing w:before="120"/>
              <w:ind w:left="714" w:hanging="357"/>
            </w:pPr>
            <w:r>
              <w:t>decide to elect, from 2016, the same States Parties to the governing bodies of the heritage-related conventions and that the governing bodies thus constituted shall hold their respective sessions in a single joint session, under appropriate legal arrangements;</w:t>
            </w:r>
          </w:p>
          <w:p w14:paraId="37C82E90" w14:textId="77777777" w:rsidR="00431B92" w:rsidRDefault="00431B92" w:rsidP="00E52143">
            <w:pPr>
              <w:pStyle w:val="COMPara"/>
              <w:keepNext/>
              <w:numPr>
                <w:ilvl w:val="0"/>
                <w:numId w:val="29"/>
              </w:numPr>
              <w:spacing w:before="120"/>
            </w:pPr>
            <w:r>
              <w:t>entrust the Executive Board with organizing the implementation of this arrangement by its autumn 2016 session and provide it with appropriate resources;</w:t>
            </w:r>
          </w:p>
          <w:p w14:paraId="15AF0C67" w14:textId="77777777" w:rsidR="00431B92" w:rsidRDefault="00431B92" w:rsidP="00E52143">
            <w:pPr>
              <w:pStyle w:val="COMPara"/>
              <w:keepNext/>
              <w:numPr>
                <w:ilvl w:val="0"/>
                <w:numId w:val="29"/>
              </w:numPr>
              <w:spacing w:before="120"/>
            </w:pPr>
            <w:r>
              <w:t>request the Secretariat consequently to merge the secretariats of these conventions by 1 September 2016.</w:t>
            </w:r>
          </w:p>
        </w:tc>
      </w:tr>
      <w:tr w:rsidR="00E52143" w:rsidRPr="000D5C59" w14:paraId="5711D391" w14:textId="77777777" w:rsidTr="00E52143">
        <w:tc>
          <w:tcPr>
            <w:tcW w:w="6958" w:type="dxa"/>
            <w:shd w:val="clear" w:color="auto" w:fill="F2F2F2" w:themeFill="background1" w:themeFillShade="F2"/>
          </w:tcPr>
          <w:p w14:paraId="58F09B27" w14:textId="77777777" w:rsidR="00E52143" w:rsidRPr="00E52143" w:rsidRDefault="00E52143" w:rsidP="00E52143">
            <w:pPr>
              <w:pStyle w:val="COMPara"/>
              <w:keepNext/>
              <w:spacing w:before="120"/>
              <w:jc w:val="center"/>
            </w:pPr>
            <w:r w:rsidRPr="00E52143">
              <w:t>Action</w:t>
            </w:r>
          </w:p>
        </w:tc>
        <w:tc>
          <w:tcPr>
            <w:tcW w:w="6958" w:type="dxa"/>
            <w:shd w:val="clear" w:color="auto" w:fill="F2F2F2" w:themeFill="background1" w:themeFillShade="F2"/>
          </w:tcPr>
          <w:p w14:paraId="217D1816" w14:textId="77777777" w:rsidR="00E52143" w:rsidRPr="00E52143" w:rsidRDefault="00E52143" w:rsidP="00E52143">
            <w:pPr>
              <w:spacing w:before="120" w:after="120"/>
              <w:ind w:right="57"/>
              <w:jc w:val="center"/>
              <w:rPr>
                <w:rFonts w:ascii="Arial" w:hAnsi="Arial" w:cs="Arial"/>
                <w:sz w:val="22"/>
                <w:szCs w:val="22"/>
                <w:lang w:val="en-GB"/>
              </w:rPr>
            </w:pPr>
            <w:r w:rsidRPr="00E52143">
              <w:rPr>
                <w:rFonts w:ascii="Arial" w:hAnsi="Arial" w:cs="Arial"/>
                <w:sz w:val="22"/>
                <w:szCs w:val="22"/>
                <w:lang w:val="en-GB"/>
              </w:rPr>
              <w:t>Status</w:t>
            </w:r>
          </w:p>
        </w:tc>
      </w:tr>
      <w:tr w:rsidR="00D9226D" w:rsidRPr="008A300B" w14:paraId="34DAF104" w14:textId="77777777" w:rsidTr="008B2782">
        <w:tc>
          <w:tcPr>
            <w:tcW w:w="6958" w:type="dxa"/>
          </w:tcPr>
          <w:p w14:paraId="61EE37C4" w14:textId="143B2EC5" w:rsidR="00D9226D" w:rsidRPr="00D9226D" w:rsidRDefault="00D9226D" w:rsidP="00D9226D">
            <w:pPr>
              <w:pStyle w:val="COMPara"/>
              <w:numPr>
                <w:ilvl w:val="0"/>
                <w:numId w:val="35"/>
              </w:numPr>
              <w:spacing w:before="120"/>
            </w:pPr>
            <w:r>
              <w:t>decide to elect, from 2016, the same States Parties to the governing bodies of the heritage-related conventions and that the governing bodies thus constituted shall hold their respective sessions in a single joint session, under appropriate legal arrangeme</w:t>
            </w:r>
            <w:r w:rsidR="00AF70A0">
              <w:t>nts;</w:t>
            </w:r>
          </w:p>
        </w:tc>
        <w:tc>
          <w:tcPr>
            <w:tcW w:w="6958" w:type="dxa"/>
          </w:tcPr>
          <w:p w14:paraId="0ADE4F18" w14:textId="248A3C2F" w:rsidR="001E62F5" w:rsidRPr="00633FD7" w:rsidRDefault="000D5C59" w:rsidP="00633FD7">
            <w:pPr>
              <w:pStyle w:val="ListParagraph"/>
              <w:numPr>
                <w:ilvl w:val="0"/>
                <w:numId w:val="32"/>
              </w:numPr>
              <w:spacing w:before="120" w:after="120"/>
              <w:ind w:left="470" w:right="57" w:hanging="357"/>
              <w:contextualSpacing w:val="0"/>
              <w:rPr>
                <w:b/>
                <w:bCs/>
              </w:rPr>
            </w:pPr>
            <w:r>
              <w:rPr>
                <w:rFonts w:ascii="Arial" w:hAnsi="Arial" w:cs="Arial"/>
                <w:sz w:val="22"/>
                <w:szCs w:val="22"/>
              </w:rPr>
              <w:t xml:space="preserve">In accordance </w:t>
            </w:r>
            <w:r w:rsidR="00577521">
              <w:rPr>
                <w:rFonts w:ascii="Arial" w:hAnsi="Arial" w:cs="Arial"/>
                <w:sz w:val="22"/>
                <w:szCs w:val="22"/>
              </w:rPr>
              <w:t xml:space="preserve">with </w:t>
            </w:r>
            <w:r w:rsidRPr="000D5C59">
              <w:rPr>
                <w:rFonts w:ascii="Arial" w:hAnsi="Arial" w:cs="Arial"/>
                <w:sz w:val="22"/>
                <w:szCs w:val="22"/>
              </w:rPr>
              <w:t>A</w:t>
            </w:r>
            <w:r>
              <w:rPr>
                <w:rFonts w:ascii="Arial" w:hAnsi="Arial" w:cs="Arial"/>
                <w:sz w:val="22"/>
                <w:szCs w:val="22"/>
              </w:rPr>
              <w:t>r</w:t>
            </w:r>
            <w:r w:rsidRPr="000D5C59">
              <w:rPr>
                <w:rFonts w:ascii="Arial" w:hAnsi="Arial" w:cs="Arial"/>
                <w:sz w:val="22"/>
                <w:szCs w:val="22"/>
              </w:rPr>
              <w:t>ticle</w:t>
            </w:r>
            <w:r>
              <w:rPr>
                <w:rFonts w:ascii="Arial" w:hAnsi="Arial" w:cs="Arial"/>
                <w:sz w:val="22"/>
                <w:szCs w:val="22"/>
              </w:rPr>
              <w:t xml:space="preserve"> 5 of the 2003 Convention the Committee is composed of representatives of 24 States Parties elected by the States Parties meeting in General Assembly</w:t>
            </w:r>
            <w:r w:rsidR="00F11FA0">
              <w:rPr>
                <w:rFonts w:ascii="Arial" w:hAnsi="Arial" w:cs="Arial"/>
                <w:sz w:val="22"/>
                <w:szCs w:val="22"/>
              </w:rPr>
              <w:t>.</w:t>
            </w:r>
            <w:r w:rsidR="00176EDD">
              <w:rPr>
                <w:rFonts w:ascii="Arial" w:hAnsi="Arial" w:cs="Arial"/>
                <w:sz w:val="22"/>
                <w:szCs w:val="22"/>
              </w:rPr>
              <w:t xml:space="preserve"> Committees of other Conventions have different </w:t>
            </w:r>
            <w:r w:rsidR="00D33F16">
              <w:rPr>
                <w:rFonts w:ascii="Arial" w:hAnsi="Arial" w:cs="Arial"/>
                <w:sz w:val="22"/>
                <w:szCs w:val="22"/>
              </w:rPr>
              <w:t>structures</w:t>
            </w:r>
            <w:r w:rsidR="004D6B50">
              <w:rPr>
                <w:rFonts w:ascii="Arial" w:hAnsi="Arial" w:cs="Arial"/>
                <w:sz w:val="22"/>
                <w:szCs w:val="22"/>
              </w:rPr>
              <w:t xml:space="preserve">, </w:t>
            </w:r>
            <w:r w:rsidR="00176EDD">
              <w:rPr>
                <w:rFonts w:ascii="Arial" w:hAnsi="Arial" w:cs="Arial"/>
                <w:sz w:val="22"/>
                <w:szCs w:val="22"/>
              </w:rPr>
              <w:t>for example</w:t>
            </w:r>
            <w:r w:rsidR="004D6B50">
              <w:rPr>
                <w:rFonts w:ascii="Arial" w:hAnsi="Arial" w:cs="Arial"/>
                <w:sz w:val="22"/>
                <w:szCs w:val="22"/>
              </w:rPr>
              <w:t>,</w:t>
            </w:r>
            <w:r w:rsidR="00176EDD">
              <w:rPr>
                <w:rFonts w:ascii="Arial" w:hAnsi="Arial" w:cs="Arial"/>
                <w:sz w:val="22"/>
                <w:szCs w:val="22"/>
              </w:rPr>
              <w:t xml:space="preserve"> </w:t>
            </w:r>
            <w:r w:rsidR="00F11FA0">
              <w:rPr>
                <w:rFonts w:ascii="Arial" w:hAnsi="Arial" w:cs="Arial"/>
                <w:sz w:val="22"/>
                <w:szCs w:val="22"/>
              </w:rPr>
              <w:t xml:space="preserve">while </w:t>
            </w:r>
            <w:r w:rsidR="004D6B50">
              <w:rPr>
                <w:rFonts w:ascii="Arial" w:hAnsi="Arial" w:cs="Arial"/>
                <w:sz w:val="22"/>
                <w:szCs w:val="22"/>
              </w:rPr>
              <w:t xml:space="preserve">the </w:t>
            </w:r>
            <w:r w:rsidR="00F11FA0">
              <w:rPr>
                <w:rFonts w:ascii="Arial" w:hAnsi="Arial" w:cs="Arial"/>
                <w:sz w:val="22"/>
                <w:szCs w:val="22"/>
              </w:rPr>
              <w:t>Committee of the</w:t>
            </w:r>
            <w:r w:rsidR="004D6B50">
              <w:rPr>
                <w:rFonts w:ascii="Arial" w:hAnsi="Arial" w:cs="Arial"/>
                <w:sz w:val="22"/>
                <w:szCs w:val="22"/>
              </w:rPr>
              <w:t xml:space="preserve"> </w:t>
            </w:r>
            <w:r w:rsidR="00F11FA0">
              <w:rPr>
                <w:rFonts w:ascii="Arial" w:hAnsi="Arial" w:cs="Arial"/>
                <w:sz w:val="22"/>
                <w:szCs w:val="22"/>
              </w:rPr>
              <w:t>2005 Convention</w:t>
            </w:r>
            <w:r w:rsidR="00F11FA0" w:rsidRPr="00176EDD">
              <w:rPr>
                <w:rFonts w:ascii="Arial" w:hAnsi="Arial" w:cs="Arial"/>
                <w:sz w:val="22"/>
                <w:szCs w:val="22"/>
              </w:rPr>
              <w:t xml:space="preserve"> </w:t>
            </w:r>
            <w:r w:rsidR="001E62F5">
              <w:rPr>
                <w:rFonts w:ascii="Arial" w:hAnsi="Arial" w:cs="Arial"/>
                <w:sz w:val="22"/>
                <w:szCs w:val="22"/>
              </w:rPr>
              <w:t xml:space="preserve">is also composed of 24 representatives of States Parties, the Committees of the 1972, 1970 and 1954 </w:t>
            </w:r>
            <w:r w:rsidR="007B2AC8">
              <w:rPr>
                <w:rFonts w:ascii="Arial" w:hAnsi="Arial" w:cs="Arial"/>
                <w:sz w:val="22"/>
                <w:szCs w:val="22"/>
              </w:rPr>
              <w:t xml:space="preserve">(Second </w:t>
            </w:r>
            <w:r w:rsidR="00022834">
              <w:rPr>
                <w:rFonts w:ascii="Arial" w:hAnsi="Arial" w:cs="Arial"/>
                <w:sz w:val="22"/>
                <w:szCs w:val="22"/>
              </w:rPr>
              <w:t>P</w:t>
            </w:r>
            <w:r w:rsidR="007B2AC8">
              <w:rPr>
                <w:rFonts w:ascii="Arial" w:hAnsi="Arial" w:cs="Arial"/>
                <w:sz w:val="22"/>
                <w:szCs w:val="22"/>
              </w:rPr>
              <w:t xml:space="preserve">rotocol) </w:t>
            </w:r>
            <w:r w:rsidR="001E62F5">
              <w:rPr>
                <w:rFonts w:ascii="Arial" w:hAnsi="Arial" w:cs="Arial"/>
                <w:sz w:val="22"/>
                <w:szCs w:val="22"/>
              </w:rPr>
              <w:t>Convention</w:t>
            </w:r>
            <w:r w:rsidR="007B2AC8">
              <w:rPr>
                <w:rFonts w:ascii="Arial" w:hAnsi="Arial" w:cs="Arial"/>
                <w:sz w:val="22"/>
                <w:szCs w:val="22"/>
              </w:rPr>
              <w:t>s</w:t>
            </w:r>
            <w:r w:rsidR="001E62F5">
              <w:rPr>
                <w:rFonts w:ascii="Arial" w:hAnsi="Arial" w:cs="Arial"/>
                <w:sz w:val="22"/>
                <w:szCs w:val="22"/>
              </w:rPr>
              <w:t xml:space="preserve"> are composed of 21, 18 and 12 representatives </w:t>
            </w:r>
            <w:r w:rsidR="00AF70A0">
              <w:rPr>
                <w:rFonts w:ascii="Arial" w:hAnsi="Arial" w:cs="Arial"/>
                <w:sz w:val="22"/>
                <w:szCs w:val="22"/>
              </w:rPr>
              <w:t>of States Parties respectively.</w:t>
            </w:r>
          </w:p>
          <w:p w14:paraId="0D8D0CFC" w14:textId="67D79586" w:rsidR="0078113D" w:rsidRPr="00633FD7" w:rsidRDefault="004E419B" w:rsidP="00633FD7">
            <w:pPr>
              <w:pStyle w:val="ListParagraph"/>
              <w:numPr>
                <w:ilvl w:val="0"/>
                <w:numId w:val="32"/>
              </w:numPr>
              <w:spacing w:before="120" w:after="120"/>
              <w:ind w:left="470" w:right="57" w:hanging="357"/>
              <w:contextualSpacing w:val="0"/>
              <w:rPr>
                <w:b/>
                <w:bCs/>
              </w:rPr>
            </w:pPr>
            <w:r w:rsidRPr="001E62F5">
              <w:rPr>
                <w:rFonts w:ascii="Arial" w:hAnsi="Arial" w:cs="Arial"/>
                <w:sz w:val="22"/>
                <w:szCs w:val="22"/>
              </w:rPr>
              <w:t>Currently</w:t>
            </w:r>
            <w:r w:rsidR="00E52143" w:rsidRPr="001E62F5">
              <w:rPr>
                <w:rFonts w:ascii="Arial" w:hAnsi="Arial" w:cs="Arial"/>
                <w:sz w:val="22"/>
                <w:szCs w:val="22"/>
              </w:rPr>
              <w:t xml:space="preserve"> not all States Parties to the 2003 Convention are States Parties to the other </w:t>
            </w:r>
            <w:r w:rsidR="001E62F5">
              <w:rPr>
                <w:rFonts w:ascii="Arial" w:hAnsi="Arial" w:cs="Arial"/>
                <w:sz w:val="22"/>
                <w:szCs w:val="22"/>
              </w:rPr>
              <w:t>culture</w:t>
            </w:r>
            <w:r w:rsidR="001E62F5" w:rsidRPr="001E62F5">
              <w:rPr>
                <w:rFonts w:ascii="Arial" w:hAnsi="Arial" w:cs="Arial"/>
                <w:sz w:val="22"/>
                <w:szCs w:val="22"/>
              </w:rPr>
              <w:t xml:space="preserve"> </w:t>
            </w:r>
            <w:r w:rsidR="00E52143" w:rsidRPr="001E62F5">
              <w:rPr>
                <w:rFonts w:ascii="Arial" w:hAnsi="Arial" w:cs="Arial"/>
                <w:sz w:val="22"/>
                <w:szCs w:val="22"/>
              </w:rPr>
              <w:t>conventions</w:t>
            </w:r>
            <w:r w:rsidR="001E62F5">
              <w:rPr>
                <w:rFonts w:ascii="Arial" w:hAnsi="Arial" w:cs="Arial"/>
                <w:sz w:val="22"/>
                <w:szCs w:val="22"/>
              </w:rPr>
              <w:t xml:space="preserve"> and vice versa not all States Parties to other </w:t>
            </w:r>
            <w:r w:rsidR="00C81BED">
              <w:rPr>
                <w:rFonts w:ascii="Arial" w:hAnsi="Arial" w:cs="Arial"/>
                <w:sz w:val="22"/>
                <w:szCs w:val="22"/>
              </w:rPr>
              <w:t>c</w:t>
            </w:r>
            <w:r w:rsidR="001E62F5">
              <w:rPr>
                <w:rFonts w:ascii="Arial" w:hAnsi="Arial" w:cs="Arial"/>
                <w:sz w:val="22"/>
                <w:szCs w:val="22"/>
              </w:rPr>
              <w:t>onvention</w:t>
            </w:r>
            <w:r w:rsidR="009B61D5">
              <w:rPr>
                <w:rFonts w:ascii="Arial" w:hAnsi="Arial" w:cs="Arial"/>
                <w:sz w:val="22"/>
                <w:szCs w:val="22"/>
              </w:rPr>
              <w:t>s</w:t>
            </w:r>
            <w:r w:rsidR="001E62F5">
              <w:rPr>
                <w:rFonts w:ascii="Arial" w:hAnsi="Arial" w:cs="Arial"/>
                <w:sz w:val="22"/>
                <w:szCs w:val="22"/>
              </w:rPr>
              <w:t xml:space="preserve"> are Parties to the 2003 Convention</w:t>
            </w:r>
            <w:r w:rsidR="00E52143" w:rsidRPr="001E62F5">
              <w:rPr>
                <w:rFonts w:ascii="Arial" w:hAnsi="Arial" w:cs="Arial"/>
                <w:sz w:val="22"/>
                <w:szCs w:val="22"/>
              </w:rPr>
              <w:t xml:space="preserve">. Therefore, implementing part (i) of recommendation 5 may </w:t>
            </w:r>
            <w:r w:rsidRPr="001E62F5">
              <w:rPr>
                <w:rFonts w:ascii="Arial" w:hAnsi="Arial" w:cs="Arial"/>
                <w:sz w:val="22"/>
                <w:szCs w:val="22"/>
              </w:rPr>
              <w:t>prove impossible</w:t>
            </w:r>
            <w:r w:rsidR="00E52143" w:rsidRPr="001E62F5">
              <w:rPr>
                <w:rFonts w:ascii="Arial" w:hAnsi="Arial" w:cs="Arial"/>
                <w:sz w:val="22"/>
                <w:szCs w:val="22"/>
              </w:rPr>
              <w:t xml:space="preserve"> as it entails </w:t>
            </w:r>
            <w:r w:rsidR="0078113D" w:rsidRPr="001E62F5">
              <w:rPr>
                <w:rFonts w:ascii="Arial" w:hAnsi="Arial" w:cs="Arial"/>
                <w:sz w:val="22"/>
                <w:szCs w:val="22"/>
              </w:rPr>
              <w:t xml:space="preserve">excluding </w:t>
            </w:r>
            <w:r w:rsidR="00E52143" w:rsidRPr="001E62F5">
              <w:rPr>
                <w:rFonts w:ascii="Arial" w:hAnsi="Arial" w:cs="Arial"/>
                <w:sz w:val="22"/>
                <w:szCs w:val="22"/>
              </w:rPr>
              <w:t xml:space="preserve">States </w:t>
            </w:r>
            <w:r w:rsidR="0078113D" w:rsidRPr="001E62F5">
              <w:rPr>
                <w:rFonts w:ascii="Arial" w:hAnsi="Arial" w:cs="Arial"/>
                <w:sz w:val="22"/>
                <w:szCs w:val="22"/>
              </w:rPr>
              <w:t xml:space="preserve">that are not Parties to all </w:t>
            </w:r>
            <w:r w:rsidR="001E62F5">
              <w:rPr>
                <w:rFonts w:ascii="Arial" w:hAnsi="Arial" w:cs="Arial"/>
                <w:sz w:val="22"/>
                <w:szCs w:val="22"/>
              </w:rPr>
              <w:t>culture</w:t>
            </w:r>
            <w:r w:rsidR="0078113D" w:rsidRPr="001E62F5">
              <w:rPr>
                <w:rFonts w:ascii="Arial" w:hAnsi="Arial" w:cs="Arial"/>
                <w:sz w:val="22"/>
                <w:szCs w:val="22"/>
              </w:rPr>
              <w:t xml:space="preserve"> conventions</w:t>
            </w:r>
            <w:r w:rsidRPr="001E62F5">
              <w:rPr>
                <w:rFonts w:ascii="Arial" w:hAnsi="Arial" w:cs="Arial"/>
                <w:sz w:val="22"/>
                <w:szCs w:val="22"/>
              </w:rPr>
              <w:t xml:space="preserve"> </w:t>
            </w:r>
            <w:r w:rsidR="004D6B50" w:rsidRPr="001E62F5">
              <w:rPr>
                <w:rFonts w:ascii="Arial" w:hAnsi="Arial" w:cs="Arial"/>
                <w:sz w:val="22"/>
                <w:szCs w:val="22"/>
              </w:rPr>
              <w:t xml:space="preserve">from </w:t>
            </w:r>
            <w:r w:rsidR="00E52143" w:rsidRPr="001E62F5">
              <w:rPr>
                <w:rFonts w:ascii="Arial" w:hAnsi="Arial" w:cs="Arial"/>
                <w:sz w:val="22"/>
                <w:szCs w:val="22"/>
              </w:rPr>
              <w:t>becom</w:t>
            </w:r>
            <w:r w:rsidR="0078113D" w:rsidRPr="001E62F5">
              <w:rPr>
                <w:rFonts w:ascii="Arial" w:hAnsi="Arial" w:cs="Arial"/>
                <w:sz w:val="22"/>
                <w:szCs w:val="22"/>
              </w:rPr>
              <w:t>ing</w:t>
            </w:r>
            <w:r w:rsidR="000D5C59" w:rsidRPr="001E62F5">
              <w:rPr>
                <w:rFonts w:ascii="Arial" w:hAnsi="Arial" w:cs="Arial"/>
                <w:sz w:val="22"/>
                <w:szCs w:val="22"/>
              </w:rPr>
              <w:t xml:space="preserve"> members of </w:t>
            </w:r>
            <w:r w:rsidR="004D6B50" w:rsidRPr="001E62F5">
              <w:rPr>
                <w:rFonts w:ascii="Arial" w:hAnsi="Arial" w:cs="Arial"/>
                <w:sz w:val="22"/>
                <w:szCs w:val="22"/>
              </w:rPr>
              <w:t xml:space="preserve">the </w:t>
            </w:r>
            <w:r w:rsidR="000D5C59" w:rsidRPr="001E62F5">
              <w:rPr>
                <w:rFonts w:ascii="Arial" w:hAnsi="Arial" w:cs="Arial"/>
                <w:sz w:val="22"/>
                <w:szCs w:val="22"/>
              </w:rPr>
              <w:t>Commi</w:t>
            </w:r>
            <w:r w:rsidR="00AF70A0">
              <w:rPr>
                <w:rFonts w:ascii="Arial" w:hAnsi="Arial" w:cs="Arial"/>
                <w:sz w:val="22"/>
                <w:szCs w:val="22"/>
              </w:rPr>
              <w:t>ttee.</w:t>
            </w:r>
          </w:p>
          <w:p w14:paraId="7737DB09" w14:textId="125D9E60" w:rsidR="00D9226D" w:rsidRDefault="0078113D" w:rsidP="00633FD7">
            <w:pPr>
              <w:pStyle w:val="ListParagraph"/>
              <w:numPr>
                <w:ilvl w:val="0"/>
                <w:numId w:val="32"/>
              </w:numPr>
              <w:spacing w:before="120" w:after="120"/>
              <w:ind w:left="470" w:right="57" w:hanging="357"/>
              <w:contextualSpacing w:val="0"/>
              <w:rPr>
                <w:b/>
                <w:bCs/>
              </w:rPr>
            </w:pPr>
            <w:r>
              <w:rPr>
                <w:rFonts w:ascii="Arial" w:hAnsi="Arial" w:cs="Arial"/>
                <w:sz w:val="22"/>
                <w:szCs w:val="22"/>
              </w:rPr>
              <w:t xml:space="preserve">Furthermore </w:t>
            </w:r>
            <w:r w:rsidR="004D6B50">
              <w:rPr>
                <w:rFonts w:ascii="Arial" w:hAnsi="Arial" w:cs="Arial"/>
                <w:sz w:val="22"/>
                <w:szCs w:val="22"/>
              </w:rPr>
              <w:t>i</w:t>
            </w:r>
            <w:r w:rsidR="00E52143">
              <w:rPr>
                <w:rFonts w:ascii="Arial" w:hAnsi="Arial" w:cs="Arial"/>
                <w:sz w:val="22"/>
                <w:szCs w:val="22"/>
              </w:rPr>
              <w:t xml:space="preserve">mplementing </w:t>
            </w:r>
            <w:r w:rsidR="00B26566">
              <w:rPr>
                <w:rFonts w:ascii="Arial" w:hAnsi="Arial" w:cs="Arial"/>
                <w:sz w:val="22"/>
                <w:szCs w:val="22"/>
              </w:rPr>
              <w:t>th</w:t>
            </w:r>
            <w:r w:rsidR="00EF2504">
              <w:rPr>
                <w:rFonts w:ascii="Arial" w:hAnsi="Arial" w:cs="Arial"/>
                <w:sz w:val="22"/>
                <w:szCs w:val="22"/>
              </w:rPr>
              <w:t>e</w:t>
            </w:r>
            <w:r>
              <w:rPr>
                <w:rFonts w:ascii="Arial" w:hAnsi="Arial" w:cs="Arial"/>
                <w:sz w:val="22"/>
                <w:szCs w:val="22"/>
              </w:rPr>
              <w:t>s</w:t>
            </w:r>
            <w:r w:rsidR="00EF2504">
              <w:rPr>
                <w:rFonts w:ascii="Arial" w:hAnsi="Arial" w:cs="Arial"/>
                <w:sz w:val="22"/>
                <w:szCs w:val="22"/>
              </w:rPr>
              <w:t>e</w:t>
            </w:r>
            <w:r w:rsidR="00B26566">
              <w:rPr>
                <w:rFonts w:ascii="Arial" w:hAnsi="Arial" w:cs="Arial"/>
                <w:sz w:val="22"/>
                <w:szCs w:val="22"/>
              </w:rPr>
              <w:t xml:space="preserve"> recommendations</w:t>
            </w:r>
            <w:r w:rsidR="00E52143">
              <w:rPr>
                <w:rFonts w:ascii="Arial" w:hAnsi="Arial" w:cs="Arial"/>
                <w:sz w:val="22"/>
                <w:szCs w:val="22"/>
              </w:rPr>
              <w:t xml:space="preserve"> </w:t>
            </w:r>
            <w:r w:rsidR="000D5C59">
              <w:rPr>
                <w:rFonts w:ascii="Arial" w:hAnsi="Arial" w:cs="Arial"/>
                <w:sz w:val="22"/>
                <w:szCs w:val="22"/>
              </w:rPr>
              <w:t>requires amendment</w:t>
            </w:r>
            <w:r w:rsidR="007B2AC8">
              <w:rPr>
                <w:rFonts w:ascii="Arial" w:hAnsi="Arial" w:cs="Arial"/>
                <w:sz w:val="22"/>
                <w:szCs w:val="22"/>
              </w:rPr>
              <w:t>s</w:t>
            </w:r>
            <w:r w:rsidR="000D5C59">
              <w:rPr>
                <w:rFonts w:ascii="Arial" w:hAnsi="Arial" w:cs="Arial"/>
                <w:sz w:val="22"/>
                <w:szCs w:val="22"/>
              </w:rPr>
              <w:t xml:space="preserve"> to the text of the Convention </w:t>
            </w:r>
            <w:r w:rsidR="00B26566">
              <w:rPr>
                <w:rFonts w:ascii="Arial" w:hAnsi="Arial" w:cs="Arial"/>
                <w:sz w:val="22"/>
                <w:szCs w:val="22"/>
              </w:rPr>
              <w:t>as regards</w:t>
            </w:r>
            <w:r w:rsidR="000D5C59">
              <w:rPr>
                <w:rFonts w:ascii="Arial" w:hAnsi="Arial" w:cs="Arial"/>
                <w:sz w:val="22"/>
                <w:szCs w:val="22"/>
              </w:rPr>
              <w:t xml:space="preserve"> </w:t>
            </w:r>
            <w:r w:rsidR="00B26566">
              <w:rPr>
                <w:rFonts w:ascii="Arial" w:hAnsi="Arial" w:cs="Arial"/>
                <w:sz w:val="22"/>
                <w:szCs w:val="22"/>
              </w:rPr>
              <w:t>A</w:t>
            </w:r>
            <w:r w:rsidR="000D5C59">
              <w:rPr>
                <w:rFonts w:ascii="Arial" w:hAnsi="Arial" w:cs="Arial"/>
                <w:sz w:val="22"/>
                <w:szCs w:val="22"/>
              </w:rPr>
              <w:t>rticle 38</w:t>
            </w:r>
            <w:r w:rsidR="004E419B">
              <w:rPr>
                <w:rFonts w:ascii="Arial" w:hAnsi="Arial" w:cs="Arial"/>
                <w:sz w:val="22"/>
                <w:szCs w:val="22"/>
              </w:rPr>
              <w:t xml:space="preserve"> </w:t>
            </w:r>
            <w:r>
              <w:rPr>
                <w:rFonts w:ascii="Arial" w:hAnsi="Arial" w:cs="Arial"/>
                <w:sz w:val="22"/>
                <w:szCs w:val="22"/>
              </w:rPr>
              <w:t xml:space="preserve">and Rule 3 of the Rules of Procedure </w:t>
            </w:r>
            <w:r w:rsidR="004E419B">
              <w:rPr>
                <w:rFonts w:ascii="Arial" w:hAnsi="Arial" w:cs="Arial"/>
                <w:sz w:val="22"/>
                <w:szCs w:val="22"/>
              </w:rPr>
              <w:t xml:space="preserve">as well as </w:t>
            </w:r>
            <w:r w:rsidR="004D6B50">
              <w:rPr>
                <w:rFonts w:ascii="Arial" w:hAnsi="Arial" w:cs="Arial"/>
                <w:sz w:val="22"/>
                <w:szCs w:val="22"/>
              </w:rPr>
              <w:t xml:space="preserve">to </w:t>
            </w:r>
            <w:r w:rsidR="004E419B">
              <w:rPr>
                <w:rFonts w:ascii="Arial" w:hAnsi="Arial" w:cs="Arial"/>
                <w:sz w:val="22"/>
                <w:szCs w:val="22"/>
              </w:rPr>
              <w:t xml:space="preserve">the corresponding articles in the other </w:t>
            </w:r>
            <w:r w:rsidR="001E62F5">
              <w:rPr>
                <w:rFonts w:ascii="Arial" w:hAnsi="Arial" w:cs="Arial"/>
                <w:sz w:val="22"/>
                <w:szCs w:val="22"/>
              </w:rPr>
              <w:t>culture</w:t>
            </w:r>
            <w:r w:rsidR="004E419B">
              <w:rPr>
                <w:rFonts w:ascii="Arial" w:hAnsi="Arial" w:cs="Arial"/>
                <w:sz w:val="22"/>
                <w:szCs w:val="22"/>
              </w:rPr>
              <w:t xml:space="preserve"> conventions or/and</w:t>
            </w:r>
            <w:r w:rsidR="003E70D6">
              <w:rPr>
                <w:rFonts w:ascii="Arial" w:hAnsi="Arial" w:cs="Arial"/>
                <w:sz w:val="22"/>
                <w:szCs w:val="22"/>
              </w:rPr>
              <w:t xml:space="preserve"> their Rules of P</w:t>
            </w:r>
            <w:r w:rsidR="004E419B">
              <w:rPr>
                <w:rFonts w:ascii="Arial" w:hAnsi="Arial" w:cs="Arial"/>
                <w:sz w:val="22"/>
                <w:szCs w:val="22"/>
              </w:rPr>
              <w:t>rocedure</w:t>
            </w:r>
            <w:r w:rsidR="000D5C59">
              <w:rPr>
                <w:rFonts w:ascii="Arial" w:hAnsi="Arial" w:cs="Arial"/>
                <w:sz w:val="22"/>
                <w:szCs w:val="22"/>
              </w:rPr>
              <w:t>.</w:t>
            </w:r>
          </w:p>
        </w:tc>
      </w:tr>
      <w:tr w:rsidR="008F0692" w:rsidRPr="008A300B" w14:paraId="0E26ABBB" w14:textId="77777777" w:rsidTr="00E52143">
        <w:tc>
          <w:tcPr>
            <w:tcW w:w="13916" w:type="dxa"/>
            <w:gridSpan w:val="2"/>
            <w:shd w:val="clear" w:color="auto" w:fill="D9D9D9" w:themeFill="background1" w:themeFillShade="D9"/>
          </w:tcPr>
          <w:p w14:paraId="4E5CECF6" w14:textId="77777777" w:rsidR="008F0692" w:rsidRDefault="008F0692" w:rsidP="00F54386">
            <w:pPr>
              <w:pStyle w:val="Default"/>
              <w:keepNext/>
              <w:rPr>
                <w:sz w:val="22"/>
                <w:szCs w:val="22"/>
                <w:lang w:val="en-US"/>
              </w:rPr>
            </w:pPr>
            <w:r w:rsidRPr="008F0692">
              <w:rPr>
                <w:b/>
                <w:bCs/>
                <w:sz w:val="22"/>
                <w:szCs w:val="22"/>
                <w:lang w:val="en-US"/>
              </w:rPr>
              <w:lastRenderedPageBreak/>
              <w:t>Recommendation No. 7</w:t>
            </w:r>
            <w:r w:rsidRPr="008F0692">
              <w:rPr>
                <w:sz w:val="22"/>
                <w:szCs w:val="22"/>
                <w:lang w:val="en-US"/>
              </w:rPr>
              <w:t>. The External Auditor recommends:</w:t>
            </w:r>
          </w:p>
          <w:p w14:paraId="5DFB7048" w14:textId="77777777" w:rsidR="008F0692" w:rsidRPr="00C50000" w:rsidRDefault="008F0692" w:rsidP="008F0692">
            <w:pPr>
              <w:pStyle w:val="COMPara"/>
              <w:numPr>
                <w:ilvl w:val="0"/>
                <w:numId w:val="31"/>
              </w:numPr>
              <w:spacing w:before="120"/>
            </w:pPr>
            <w:r w:rsidRPr="00C50000">
              <w:t>drawing up a draft governance code in 2016, under the supervision of the Bureau of the Executive Board, that harmonizes and systematizes the rules of procedure, texts and practices of the governing bodies of all UNESCO universe entities;</w:t>
            </w:r>
          </w:p>
          <w:p w14:paraId="120F6EF9" w14:textId="77777777" w:rsidR="00C50000" w:rsidRDefault="008F0692" w:rsidP="00C50000">
            <w:pPr>
              <w:pStyle w:val="COMPara"/>
              <w:numPr>
                <w:ilvl w:val="0"/>
                <w:numId w:val="31"/>
              </w:numPr>
              <w:spacing w:before="120"/>
            </w:pPr>
            <w:r w:rsidRPr="00C50000">
              <w:t>ensuring that this document is regularly updated through a repertoire of practice prepared by the Secretariat and submitted for approval to the Executive Board;</w:t>
            </w:r>
          </w:p>
          <w:p w14:paraId="752100C0" w14:textId="77777777" w:rsidR="008F0692" w:rsidRPr="00C50000" w:rsidRDefault="008F0692" w:rsidP="00C50000">
            <w:pPr>
              <w:pStyle w:val="COMPara"/>
              <w:numPr>
                <w:ilvl w:val="0"/>
                <w:numId w:val="31"/>
              </w:numPr>
              <w:spacing w:before="120"/>
            </w:pPr>
            <w:r w:rsidRPr="00C50000">
              <w:t>adopting the decisions needed to implement this system at the 39th session of the General Conference.</w:t>
            </w:r>
          </w:p>
        </w:tc>
      </w:tr>
      <w:tr w:rsidR="00CC7D3B" w:rsidRPr="004F5B67" w14:paraId="6BA27C49" w14:textId="77777777" w:rsidTr="00CC7D3B">
        <w:tc>
          <w:tcPr>
            <w:tcW w:w="6958" w:type="dxa"/>
            <w:shd w:val="clear" w:color="auto" w:fill="F2F2F2" w:themeFill="background1" w:themeFillShade="F2"/>
          </w:tcPr>
          <w:p w14:paraId="7C96E0A6" w14:textId="77777777" w:rsidR="00CC7D3B" w:rsidRPr="00E52143" w:rsidRDefault="00CC7D3B" w:rsidP="00CC7D3B">
            <w:pPr>
              <w:pStyle w:val="COMPara"/>
              <w:keepNext/>
              <w:spacing w:before="120"/>
              <w:jc w:val="center"/>
            </w:pPr>
            <w:r w:rsidRPr="00E52143">
              <w:t>Action</w:t>
            </w:r>
          </w:p>
        </w:tc>
        <w:tc>
          <w:tcPr>
            <w:tcW w:w="6958" w:type="dxa"/>
            <w:shd w:val="clear" w:color="auto" w:fill="F2F2F2" w:themeFill="background1" w:themeFillShade="F2"/>
          </w:tcPr>
          <w:p w14:paraId="43353797" w14:textId="77777777" w:rsidR="00CC7D3B" w:rsidRPr="00E52143" w:rsidRDefault="00CC7D3B" w:rsidP="00CC7D3B">
            <w:pPr>
              <w:spacing w:before="120" w:after="120"/>
              <w:ind w:right="57"/>
              <w:jc w:val="center"/>
              <w:rPr>
                <w:rFonts w:ascii="Arial" w:hAnsi="Arial" w:cs="Arial"/>
                <w:sz w:val="22"/>
                <w:szCs w:val="22"/>
                <w:lang w:val="en-GB"/>
              </w:rPr>
            </w:pPr>
            <w:r w:rsidRPr="00E52143">
              <w:rPr>
                <w:rFonts w:ascii="Arial" w:hAnsi="Arial" w:cs="Arial"/>
                <w:sz w:val="22"/>
                <w:szCs w:val="22"/>
                <w:lang w:val="en-GB"/>
              </w:rPr>
              <w:t>Status</w:t>
            </w:r>
          </w:p>
        </w:tc>
      </w:tr>
      <w:tr w:rsidR="00284A37" w:rsidRPr="008A300B" w14:paraId="64BBB6BD" w14:textId="77777777" w:rsidTr="008B2782">
        <w:tc>
          <w:tcPr>
            <w:tcW w:w="6958" w:type="dxa"/>
          </w:tcPr>
          <w:p w14:paraId="7B49C628" w14:textId="2B6D0A4B" w:rsidR="00284A37" w:rsidRPr="00AF70A0" w:rsidRDefault="00C50000" w:rsidP="00431B92">
            <w:pPr>
              <w:pStyle w:val="COMPara"/>
              <w:keepNext/>
              <w:numPr>
                <w:ilvl w:val="0"/>
                <w:numId w:val="33"/>
              </w:numPr>
              <w:spacing w:before="120"/>
              <w:ind w:left="714" w:hanging="357"/>
            </w:pPr>
            <w:r w:rsidRPr="00C50000">
              <w:t>drawing up a draft governance code in 2016, under the supervision of the Bureau of the Executive Board, that harmonizes and systematizes the rules of procedure, texts and practices of the governing bodies of all UNESCO universe entities;</w:t>
            </w:r>
          </w:p>
        </w:tc>
        <w:tc>
          <w:tcPr>
            <w:tcW w:w="6958" w:type="dxa"/>
          </w:tcPr>
          <w:p w14:paraId="4067DF6C" w14:textId="28316E54" w:rsidR="00C50000" w:rsidRPr="00961DAF" w:rsidRDefault="00546594" w:rsidP="00961DAF">
            <w:pPr>
              <w:pStyle w:val="ListParagraph"/>
              <w:numPr>
                <w:ilvl w:val="0"/>
                <w:numId w:val="32"/>
              </w:numPr>
              <w:spacing w:before="120" w:after="120"/>
              <w:ind w:left="470" w:right="57" w:hanging="357"/>
              <w:contextualSpacing w:val="0"/>
              <w:rPr>
                <w:rFonts w:ascii="Arial" w:hAnsi="Arial" w:cs="Arial"/>
                <w:sz w:val="22"/>
                <w:szCs w:val="22"/>
                <w:lang w:val="en-US"/>
              </w:rPr>
            </w:pPr>
            <w:r>
              <w:rPr>
                <w:rFonts w:ascii="Arial" w:hAnsi="Arial" w:cs="Arial"/>
                <w:sz w:val="22"/>
                <w:szCs w:val="22"/>
                <w:lang w:val="en-US"/>
              </w:rPr>
              <w:t>At</w:t>
            </w:r>
            <w:r w:rsidRPr="001B0BAE">
              <w:rPr>
                <w:rFonts w:ascii="Arial" w:hAnsi="Arial" w:cs="Arial"/>
                <w:sz w:val="22"/>
                <w:szCs w:val="22"/>
                <w:lang w:val="en-US"/>
              </w:rPr>
              <w:t xml:space="preserve"> </w:t>
            </w:r>
            <w:r w:rsidR="00C50000" w:rsidRPr="00C50000">
              <w:rPr>
                <w:rFonts w:ascii="Arial" w:hAnsi="Arial" w:cs="Arial"/>
                <w:sz w:val="22"/>
                <w:szCs w:val="22"/>
                <w:lang w:val="en-US"/>
              </w:rPr>
              <w:t>its sixth session the General Assembly</w:t>
            </w:r>
            <w:r w:rsidR="00C50000">
              <w:rPr>
                <w:rFonts w:ascii="Arial" w:hAnsi="Arial" w:cs="Arial"/>
                <w:sz w:val="22"/>
                <w:szCs w:val="22"/>
                <w:lang w:val="en-US"/>
              </w:rPr>
              <w:t xml:space="preserve"> noted </w:t>
            </w:r>
            <w:r w:rsidR="00C50000" w:rsidRPr="00C50000">
              <w:rPr>
                <w:rFonts w:ascii="Arial" w:hAnsi="Arial" w:cs="Arial"/>
                <w:sz w:val="22"/>
                <w:szCs w:val="22"/>
                <w:lang w:val="en-US"/>
              </w:rPr>
              <w:t xml:space="preserve">the disparity of the rules of procedure of the different </w:t>
            </w:r>
            <w:r w:rsidR="00961DAF">
              <w:rPr>
                <w:rFonts w:ascii="Arial" w:hAnsi="Arial" w:cs="Arial"/>
                <w:sz w:val="22"/>
                <w:szCs w:val="22"/>
                <w:lang w:val="en-US"/>
              </w:rPr>
              <w:t>organs</w:t>
            </w:r>
            <w:r w:rsidR="00394B62">
              <w:rPr>
                <w:rFonts w:ascii="Arial" w:hAnsi="Arial" w:cs="Arial"/>
                <w:sz w:val="22"/>
                <w:szCs w:val="22"/>
                <w:lang w:val="en-US"/>
              </w:rPr>
              <w:t xml:space="preserve"> </w:t>
            </w:r>
            <w:r w:rsidR="00C50000" w:rsidRPr="00C50000">
              <w:rPr>
                <w:rFonts w:ascii="Arial" w:hAnsi="Arial" w:cs="Arial"/>
                <w:sz w:val="22"/>
                <w:szCs w:val="22"/>
                <w:lang w:val="en-US"/>
              </w:rPr>
              <w:t>of the UNESCO cultural conventions</w:t>
            </w:r>
            <w:r w:rsidR="001B0BAE">
              <w:rPr>
                <w:rFonts w:ascii="Arial" w:hAnsi="Arial" w:cs="Arial"/>
                <w:sz w:val="22"/>
                <w:szCs w:val="22"/>
                <w:lang w:val="en-US"/>
              </w:rPr>
              <w:t>. W</w:t>
            </w:r>
            <w:r w:rsidR="001B0BAE" w:rsidRPr="001B0BAE">
              <w:rPr>
                <w:rFonts w:ascii="Arial" w:hAnsi="Arial" w:cs="Arial"/>
                <w:sz w:val="22"/>
                <w:szCs w:val="22"/>
                <w:lang w:val="en-US"/>
              </w:rPr>
              <w:t>ith the aim to improve coherence in the procedures of the above</w:t>
            </w:r>
            <w:r w:rsidR="007853CE">
              <w:rPr>
                <w:rFonts w:ascii="Arial" w:hAnsi="Arial" w:cs="Arial"/>
                <w:sz w:val="22"/>
                <w:szCs w:val="22"/>
                <w:lang w:val="en-US"/>
              </w:rPr>
              <w:t>-</w:t>
            </w:r>
            <w:r w:rsidR="008A77CD">
              <w:rPr>
                <w:rFonts w:ascii="Arial" w:hAnsi="Arial" w:cs="Arial"/>
                <w:sz w:val="22"/>
                <w:szCs w:val="22"/>
                <w:lang w:val="en-US"/>
              </w:rPr>
              <w:t>mentioned</w:t>
            </w:r>
            <w:r w:rsidR="001B0BAE" w:rsidRPr="001B0BAE">
              <w:rPr>
                <w:rFonts w:ascii="Arial" w:hAnsi="Arial" w:cs="Arial"/>
                <w:sz w:val="22"/>
                <w:szCs w:val="22"/>
                <w:lang w:val="en-US"/>
              </w:rPr>
              <w:t xml:space="preserve"> </w:t>
            </w:r>
            <w:r w:rsidR="00961DAF">
              <w:rPr>
                <w:rFonts w:ascii="Arial" w:hAnsi="Arial" w:cs="Arial"/>
                <w:sz w:val="22"/>
                <w:szCs w:val="22"/>
                <w:lang w:val="en-US"/>
              </w:rPr>
              <w:t>organs</w:t>
            </w:r>
            <w:r w:rsidR="001B0BAE" w:rsidRPr="00961DAF">
              <w:rPr>
                <w:rFonts w:ascii="Arial" w:hAnsi="Arial" w:cs="Arial"/>
                <w:sz w:val="22"/>
                <w:szCs w:val="22"/>
                <w:lang w:val="en-US"/>
              </w:rPr>
              <w:t xml:space="preserve"> in order to bring closer their conduct of business, the General Assembly invited States Parties to communicate to the Secretariat by 30 November 2016 proposals for the modification of its Rules of Procedure. It also requested the Secretariat to prepare a working document reflecting the proposals received and to present it at the seventh session of the General Assembly.</w:t>
            </w:r>
            <w:r w:rsidR="00D9226D" w:rsidRPr="00961DAF">
              <w:rPr>
                <w:rFonts w:ascii="Arial" w:hAnsi="Arial" w:cs="Arial"/>
                <w:sz w:val="22"/>
                <w:szCs w:val="22"/>
                <w:lang w:val="en-US"/>
              </w:rPr>
              <w:t xml:space="preserve"> </w:t>
            </w:r>
            <w:r w:rsidR="00FF2342" w:rsidRPr="00961DAF">
              <w:rPr>
                <w:rFonts w:ascii="Arial" w:hAnsi="Arial" w:cs="Arial"/>
                <w:sz w:val="22"/>
                <w:szCs w:val="22"/>
                <w:lang w:val="en-US"/>
              </w:rPr>
              <w:t>(</w:t>
            </w:r>
            <w:hyperlink r:id="rId30" w:history="1">
              <w:r w:rsidR="00FF2342" w:rsidRPr="00961DAF">
                <w:rPr>
                  <w:rStyle w:val="Hyperlink"/>
                  <w:rFonts w:ascii="Arial" w:hAnsi="Arial" w:cs="Arial"/>
                  <w:sz w:val="22"/>
                  <w:szCs w:val="22"/>
                  <w:lang w:val="en-US"/>
                </w:rPr>
                <w:t>Resolution 6</w:t>
              </w:r>
              <w:r w:rsidR="002103F3">
                <w:rPr>
                  <w:rStyle w:val="Hyperlink"/>
                  <w:rFonts w:ascii="Arial" w:eastAsia="Malgun Gothic" w:hAnsi="Arial" w:cs="Arial" w:hint="eastAsia"/>
                  <w:sz w:val="22"/>
                  <w:szCs w:val="22"/>
                  <w:lang w:val="en-US" w:eastAsia="ko-KR"/>
                </w:rPr>
                <w:t>.</w:t>
              </w:r>
              <w:r w:rsidR="00FF2342" w:rsidRPr="00961DAF">
                <w:rPr>
                  <w:rStyle w:val="Hyperlink"/>
                  <w:rFonts w:ascii="Arial" w:hAnsi="Arial" w:cs="Arial"/>
                  <w:sz w:val="22"/>
                  <w:szCs w:val="22"/>
                  <w:lang w:val="en-US"/>
                </w:rPr>
                <w:t>GA 11</w:t>
              </w:r>
            </w:hyperlink>
            <w:r w:rsidR="00D9226D" w:rsidRPr="00961DAF">
              <w:rPr>
                <w:rFonts w:ascii="Arial" w:hAnsi="Arial" w:cs="Arial"/>
                <w:sz w:val="22"/>
                <w:szCs w:val="22"/>
                <w:lang w:val="en-US"/>
              </w:rPr>
              <w:t>).</w:t>
            </w:r>
            <w:r w:rsidR="001B0BAE" w:rsidRPr="00961DAF">
              <w:rPr>
                <w:rFonts w:ascii="Arial" w:hAnsi="Arial" w:cs="Arial"/>
                <w:sz w:val="22"/>
                <w:szCs w:val="22"/>
                <w:lang w:val="en-US"/>
              </w:rPr>
              <w:t xml:space="preserve"> The Secretariat sent a letter to all States Parties of the Convention </w:t>
            </w:r>
            <w:r w:rsidR="001B0BAE" w:rsidRPr="00E03DD1">
              <w:rPr>
                <w:rFonts w:ascii="Arial" w:hAnsi="Arial" w:cs="Arial"/>
                <w:sz w:val="22"/>
                <w:szCs w:val="22"/>
                <w:lang w:val="en-US"/>
              </w:rPr>
              <w:t>(</w:t>
            </w:r>
            <w:r w:rsidR="0078113D" w:rsidRPr="00633FD7">
              <w:rPr>
                <w:rFonts w:ascii="Arial" w:hAnsi="Arial" w:cs="Arial"/>
                <w:sz w:val="22"/>
                <w:szCs w:val="22"/>
                <w:lang w:val="en-US"/>
              </w:rPr>
              <w:t>15 September 2016</w:t>
            </w:r>
            <w:r w:rsidR="001B0BAE" w:rsidRPr="00E03DD1">
              <w:rPr>
                <w:rFonts w:ascii="Arial" w:hAnsi="Arial" w:cs="Arial"/>
                <w:sz w:val="22"/>
                <w:szCs w:val="22"/>
                <w:lang w:val="en-US"/>
              </w:rPr>
              <w:t>)</w:t>
            </w:r>
            <w:r w:rsidR="001B0BAE" w:rsidRPr="00961DAF">
              <w:rPr>
                <w:rFonts w:ascii="Arial" w:hAnsi="Arial" w:cs="Arial"/>
                <w:sz w:val="22"/>
                <w:szCs w:val="22"/>
                <w:lang w:val="en-US"/>
              </w:rPr>
              <w:t xml:space="preserve"> reminding them </w:t>
            </w:r>
            <w:r w:rsidR="001D79EF">
              <w:rPr>
                <w:rFonts w:ascii="Arial" w:hAnsi="Arial" w:cs="Arial"/>
                <w:sz w:val="22"/>
                <w:szCs w:val="22"/>
                <w:lang w:val="en-US"/>
              </w:rPr>
              <w:t xml:space="preserve">of </w:t>
            </w:r>
            <w:r w:rsidR="001B0BAE" w:rsidRPr="00961DAF">
              <w:rPr>
                <w:rFonts w:ascii="Arial" w:hAnsi="Arial" w:cs="Arial"/>
                <w:sz w:val="22"/>
                <w:szCs w:val="22"/>
                <w:lang w:val="en-US"/>
              </w:rPr>
              <w:t xml:space="preserve">this </w:t>
            </w:r>
            <w:r w:rsidR="00D9226D" w:rsidRPr="00961DAF">
              <w:rPr>
                <w:rFonts w:ascii="Arial" w:hAnsi="Arial" w:cs="Arial"/>
                <w:sz w:val="22"/>
                <w:szCs w:val="22"/>
                <w:lang w:val="en-US"/>
              </w:rPr>
              <w:t>resolution</w:t>
            </w:r>
            <w:r w:rsidR="001B0BAE" w:rsidRPr="00961DAF">
              <w:rPr>
                <w:rFonts w:ascii="Arial" w:hAnsi="Arial" w:cs="Arial"/>
                <w:sz w:val="22"/>
                <w:szCs w:val="22"/>
                <w:lang w:val="en-US"/>
              </w:rPr>
              <w:t>.</w:t>
            </w:r>
          </w:p>
          <w:p w14:paraId="6BF302B4" w14:textId="11B90B48" w:rsidR="00D9226D" w:rsidRPr="00D9226D" w:rsidRDefault="00220EF1" w:rsidP="001666B2">
            <w:pPr>
              <w:pStyle w:val="ListParagraph"/>
              <w:numPr>
                <w:ilvl w:val="0"/>
                <w:numId w:val="32"/>
              </w:numPr>
              <w:spacing w:before="120" w:after="120"/>
              <w:ind w:left="470" w:right="57" w:hanging="357"/>
              <w:contextualSpacing w:val="0"/>
              <w:rPr>
                <w:rFonts w:ascii="Arial" w:hAnsi="Arial" w:cs="Arial"/>
                <w:sz w:val="22"/>
                <w:szCs w:val="22"/>
                <w:lang w:val="en-US"/>
              </w:rPr>
            </w:pPr>
            <w:r>
              <w:rPr>
                <w:rFonts w:ascii="Arial" w:hAnsi="Arial" w:cs="Arial"/>
                <w:sz w:val="22"/>
                <w:szCs w:val="22"/>
                <w:lang w:val="en-US"/>
              </w:rPr>
              <w:t>The decision to amend the Rule</w:t>
            </w:r>
            <w:r w:rsidR="00577521">
              <w:rPr>
                <w:rFonts w:ascii="Arial" w:hAnsi="Arial" w:cs="Arial"/>
                <w:sz w:val="22"/>
                <w:szCs w:val="22"/>
                <w:lang w:val="en-US"/>
              </w:rPr>
              <w:t>s</w:t>
            </w:r>
            <w:r>
              <w:rPr>
                <w:rFonts w:ascii="Arial" w:hAnsi="Arial" w:cs="Arial"/>
                <w:sz w:val="22"/>
                <w:szCs w:val="22"/>
                <w:lang w:val="en-US"/>
              </w:rPr>
              <w:t xml:space="preserve"> lies with States Parties and members of the Committee. </w:t>
            </w:r>
            <w:r w:rsidR="001666B2">
              <w:rPr>
                <w:rFonts w:ascii="Arial" w:hAnsi="Arial" w:cs="Arial"/>
                <w:sz w:val="22"/>
                <w:szCs w:val="22"/>
                <w:lang w:val="en-US"/>
              </w:rPr>
              <w:t>In a</w:t>
            </w:r>
            <w:r>
              <w:rPr>
                <w:rFonts w:ascii="Arial" w:hAnsi="Arial" w:cs="Arial"/>
                <w:sz w:val="22"/>
                <w:szCs w:val="22"/>
                <w:lang w:val="en-US"/>
              </w:rPr>
              <w:t>ccord</w:t>
            </w:r>
            <w:r w:rsidR="001666B2">
              <w:rPr>
                <w:rFonts w:ascii="Arial" w:hAnsi="Arial" w:cs="Arial"/>
                <w:sz w:val="22"/>
                <w:szCs w:val="22"/>
                <w:lang w:val="en-US"/>
              </w:rPr>
              <w:t xml:space="preserve">ance with </w:t>
            </w:r>
            <w:r>
              <w:rPr>
                <w:rFonts w:ascii="Arial" w:hAnsi="Arial" w:cs="Arial"/>
                <w:sz w:val="22"/>
                <w:szCs w:val="22"/>
                <w:lang w:val="en-US"/>
              </w:rPr>
              <w:t xml:space="preserve">Rule 18 of the Rules of Procedure of the General Assembly and Rule 48 of the Rules of Procedure of the Committee such decision shall be taken </w:t>
            </w:r>
            <w:r w:rsidR="00577521">
              <w:rPr>
                <w:rFonts w:ascii="Arial" w:hAnsi="Arial" w:cs="Arial"/>
                <w:sz w:val="22"/>
                <w:szCs w:val="22"/>
                <w:lang w:val="en-US"/>
              </w:rPr>
              <w:t xml:space="preserve">by </w:t>
            </w:r>
            <w:r w:rsidR="007853CE">
              <w:rPr>
                <w:rFonts w:ascii="Arial" w:hAnsi="Arial" w:cs="Arial"/>
                <w:sz w:val="22"/>
                <w:szCs w:val="22"/>
                <w:lang w:val="en-US"/>
              </w:rPr>
              <w:t xml:space="preserve">a </w:t>
            </w:r>
            <w:r>
              <w:rPr>
                <w:rFonts w:ascii="Arial" w:hAnsi="Arial" w:cs="Arial"/>
                <w:sz w:val="22"/>
                <w:szCs w:val="22"/>
                <w:lang w:val="en-US"/>
              </w:rPr>
              <w:t>two-thirds majority.</w:t>
            </w:r>
          </w:p>
        </w:tc>
      </w:tr>
      <w:tr w:rsidR="00431B92" w:rsidRPr="008A300B" w14:paraId="6BD8DB8E" w14:textId="77777777" w:rsidTr="00BD5AA4">
        <w:tc>
          <w:tcPr>
            <w:tcW w:w="13916" w:type="dxa"/>
            <w:gridSpan w:val="2"/>
            <w:shd w:val="clear" w:color="auto" w:fill="D9D9D9" w:themeFill="background1" w:themeFillShade="D9"/>
          </w:tcPr>
          <w:p w14:paraId="105E5A89" w14:textId="77777777" w:rsidR="00431B92" w:rsidRPr="00431B92" w:rsidRDefault="00431B92" w:rsidP="00633FD7">
            <w:pPr>
              <w:pStyle w:val="Default"/>
              <w:keepNext/>
              <w:pageBreakBefore/>
              <w:rPr>
                <w:sz w:val="22"/>
                <w:szCs w:val="22"/>
                <w:lang w:val="en-US"/>
              </w:rPr>
            </w:pPr>
            <w:r w:rsidRPr="00431B92">
              <w:rPr>
                <w:b/>
                <w:bCs/>
                <w:sz w:val="22"/>
                <w:szCs w:val="22"/>
                <w:lang w:val="en-US"/>
              </w:rPr>
              <w:lastRenderedPageBreak/>
              <w:t>Recommendation No. 8</w:t>
            </w:r>
            <w:r w:rsidRPr="00431B92">
              <w:rPr>
                <w:sz w:val="22"/>
                <w:szCs w:val="22"/>
                <w:lang w:val="en-US"/>
              </w:rPr>
              <w:t>. The External Auditor recommends:</w:t>
            </w:r>
          </w:p>
          <w:p w14:paraId="0EC40680" w14:textId="77777777" w:rsidR="00431B92" w:rsidRPr="00431B92" w:rsidRDefault="00431B92">
            <w:pPr>
              <w:pStyle w:val="COMPara"/>
              <w:keepNext/>
              <w:numPr>
                <w:ilvl w:val="0"/>
                <w:numId w:val="30"/>
              </w:numPr>
              <w:spacing w:before="120"/>
              <w:ind w:left="714" w:hanging="357"/>
            </w:pPr>
            <w:r w:rsidRPr="00431B92">
              <w:t>examining means of introducing a screening system for individual candidates for the offices of chair and vice-chair of governing bodies, based on robust and transparent criteria of competence;</w:t>
            </w:r>
          </w:p>
          <w:p w14:paraId="113A0FFB" w14:textId="77777777" w:rsidR="00431B92" w:rsidRDefault="004E341F" w:rsidP="00633FD7">
            <w:pPr>
              <w:pStyle w:val="COMPara"/>
              <w:keepNext/>
              <w:numPr>
                <w:ilvl w:val="0"/>
                <w:numId w:val="30"/>
              </w:numPr>
              <w:spacing w:before="120"/>
            </w:pPr>
            <w:r>
              <w:t>a</w:t>
            </w:r>
            <w:r w:rsidR="00431B92" w:rsidRPr="00431B92">
              <w:t>dopting a resolution to limit the total length of consecutive terms of office (e.g. to four years) for the same delegate in a governing body so that delegates can gain sufficient experience but the bodies can at the same time be periodically renewed;</w:t>
            </w:r>
          </w:p>
          <w:p w14:paraId="7B83BB7D" w14:textId="77777777" w:rsidR="00431B92" w:rsidRDefault="00431B92" w:rsidP="00633FD7">
            <w:pPr>
              <w:pStyle w:val="COMPara"/>
              <w:keepNext/>
              <w:numPr>
                <w:ilvl w:val="0"/>
                <w:numId w:val="30"/>
              </w:numPr>
              <w:spacing w:before="120"/>
            </w:pPr>
            <w:r>
              <w:t>t</w:t>
            </w:r>
            <w:r w:rsidRPr="00431B92">
              <w:t>hat Member States candidates for a seat on a governing body undertake to nominate a full member or alternate with sufficient experience in that body’s field;</w:t>
            </w:r>
          </w:p>
          <w:p w14:paraId="07BCAA2B" w14:textId="1516D438" w:rsidR="00431B92" w:rsidRDefault="00431B92" w:rsidP="00633FD7">
            <w:pPr>
              <w:pStyle w:val="COMPara"/>
              <w:keepNext/>
              <w:numPr>
                <w:ilvl w:val="0"/>
                <w:numId w:val="30"/>
              </w:numPr>
              <w:spacing w:before="120"/>
            </w:pPr>
            <w:r>
              <w:t xml:space="preserve">introducing mandatory training for the offices of chair and vice-chair of a governing body, tailored to the </w:t>
            </w:r>
            <w:r w:rsidR="00AF70A0">
              <w:t>experience of the new officers.</w:t>
            </w:r>
          </w:p>
        </w:tc>
      </w:tr>
      <w:tr w:rsidR="00CC7D3B" w:rsidRPr="008A300B" w14:paraId="3C455A27" w14:textId="77777777" w:rsidTr="008B2782">
        <w:tc>
          <w:tcPr>
            <w:tcW w:w="6958" w:type="dxa"/>
          </w:tcPr>
          <w:p w14:paraId="796BCFAB" w14:textId="2A484699" w:rsidR="00CC7D3B" w:rsidRPr="00BD5AA4" w:rsidRDefault="00BD5AA4" w:rsidP="00BD5AA4">
            <w:pPr>
              <w:pStyle w:val="COMPara"/>
              <w:keepNext/>
              <w:numPr>
                <w:ilvl w:val="0"/>
                <w:numId w:val="36"/>
              </w:numPr>
              <w:spacing w:before="120"/>
            </w:pPr>
            <w:r w:rsidRPr="00431B92">
              <w:t>examining means of introducing a screening system for individual candidates for the offices of chair and vice-chair of governing bodies, based on robust and tran</w:t>
            </w:r>
            <w:r w:rsidR="00AF70A0">
              <w:t>sparent criteria of competence;</w:t>
            </w:r>
          </w:p>
        </w:tc>
        <w:tc>
          <w:tcPr>
            <w:tcW w:w="6958" w:type="dxa"/>
          </w:tcPr>
          <w:p w14:paraId="380AC157" w14:textId="77777777" w:rsidR="00CC7D3B" w:rsidRDefault="00BD5AA4" w:rsidP="00BD5AA4">
            <w:pPr>
              <w:pStyle w:val="ListParagraph"/>
              <w:numPr>
                <w:ilvl w:val="0"/>
                <w:numId w:val="32"/>
              </w:numPr>
              <w:spacing w:before="120" w:after="120"/>
              <w:ind w:left="470" w:right="57" w:hanging="357"/>
              <w:contextualSpacing w:val="0"/>
              <w:rPr>
                <w:b/>
                <w:bCs/>
                <w:sz w:val="22"/>
                <w:szCs w:val="22"/>
              </w:rPr>
            </w:pPr>
            <w:r w:rsidRPr="00BD5AA4">
              <w:rPr>
                <w:rFonts w:ascii="Arial" w:hAnsi="Arial" w:cs="Arial"/>
                <w:sz w:val="22"/>
                <w:szCs w:val="22"/>
                <w:lang w:val="en-US"/>
              </w:rPr>
              <w:t xml:space="preserve">Neither the Rules of Procedure of the General Assembly nor </w:t>
            </w:r>
            <w:r w:rsidR="001D79EF">
              <w:rPr>
                <w:rFonts w:ascii="Arial" w:hAnsi="Arial" w:cs="Arial"/>
                <w:sz w:val="22"/>
                <w:szCs w:val="22"/>
                <w:lang w:val="en-US"/>
              </w:rPr>
              <w:t>t</w:t>
            </w:r>
            <w:r w:rsidR="001D79EF" w:rsidRPr="00BD5AA4">
              <w:rPr>
                <w:rFonts w:ascii="Arial" w:hAnsi="Arial" w:cs="Arial"/>
                <w:sz w:val="22"/>
                <w:szCs w:val="22"/>
                <w:lang w:val="en-US"/>
              </w:rPr>
              <w:t>hose of the Committee foresee</w:t>
            </w:r>
            <w:r>
              <w:rPr>
                <w:rFonts w:ascii="Arial" w:hAnsi="Arial" w:cs="Arial"/>
                <w:sz w:val="22"/>
                <w:szCs w:val="22"/>
                <w:lang w:val="en-US"/>
              </w:rPr>
              <w:t xml:space="preserve"> any screening system</w:t>
            </w:r>
            <w:r w:rsidR="00FF2342">
              <w:rPr>
                <w:rFonts w:ascii="Arial" w:hAnsi="Arial" w:cs="Arial"/>
                <w:sz w:val="22"/>
                <w:szCs w:val="22"/>
                <w:lang w:val="en-US"/>
              </w:rPr>
              <w:t xml:space="preserve"> for the Chairperson and Vice-Chairpersons</w:t>
            </w:r>
            <w:r>
              <w:rPr>
                <w:rFonts w:ascii="Arial" w:hAnsi="Arial" w:cs="Arial"/>
                <w:sz w:val="22"/>
                <w:szCs w:val="22"/>
                <w:lang w:val="en-US"/>
              </w:rPr>
              <w:t>.</w:t>
            </w:r>
            <w:r w:rsidR="00FF2342">
              <w:rPr>
                <w:rFonts w:ascii="Arial" w:hAnsi="Arial" w:cs="Arial"/>
                <w:sz w:val="22"/>
                <w:szCs w:val="22"/>
                <w:lang w:val="en-US"/>
              </w:rPr>
              <w:t xml:space="preserve"> </w:t>
            </w:r>
            <w:r>
              <w:rPr>
                <w:rFonts w:ascii="Arial" w:hAnsi="Arial" w:cs="Arial"/>
                <w:sz w:val="22"/>
                <w:szCs w:val="22"/>
                <w:lang w:val="en-US"/>
              </w:rPr>
              <w:t xml:space="preserve">Implementation of this recommendation will require amendments to the Rules of Procedure of both </w:t>
            </w:r>
            <w:r w:rsidR="002562D6">
              <w:rPr>
                <w:rFonts w:ascii="Arial" w:hAnsi="Arial" w:cs="Arial"/>
                <w:sz w:val="22"/>
                <w:szCs w:val="22"/>
                <w:lang w:val="en-US"/>
              </w:rPr>
              <w:t>organs of the Convention</w:t>
            </w:r>
            <w:r>
              <w:rPr>
                <w:rFonts w:ascii="Arial" w:hAnsi="Arial" w:cs="Arial"/>
                <w:sz w:val="22"/>
                <w:szCs w:val="22"/>
                <w:lang w:val="en-US"/>
              </w:rPr>
              <w:t>.</w:t>
            </w:r>
          </w:p>
          <w:p w14:paraId="0FA807F1" w14:textId="0A4CC593" w:rsidR="00BD5AA4" w:rsidRPr="00BD5AA4" w:rsidRDefault="00BD5AA4" w:rsidP="00D658CD">
            <w:pPr>
              <w:pStyle w:val="ListParagraph"/>
              <w:numPr>
                <w:ilvl w:val="0"/>
                <w:numId w:val="32"/>
              </w:numPr>
              <w:spacing w:before="120" w:after="120"/>
              <w:ind w:left="470" w:right="57" w:hanging="357"/>
              <w:contextualSpacing w:val="0"/>
              <w:rPr>
                <w:b/>
                <w:bCs/>
                <w:sz w:val="22"/>
                <w:szCs w:val="22"/>
              </w:rPr>
            </w:pPr>
            <w:r>
              <w:rPr>
                <w:rFonts w:ascii="Arial" w:hAnsi="Arial" w:cs="Arial"/>
                <w:sz w:val="22"/>
                <w:szCs w:val="22"/>
                <w:lang w:val="en-US"/>
              </w:rPr>
              <w:t xml:space="preserve">The decision to </w:t>
            </w:r>
            <w:r w:rsidR="00ED7D96">
              <w:rPr>
                <w:rFonts w:ascii="Arial" w:hAnsi="Arial" w:cs="Arial"/>
                <w:sz w:val="22"/>
                <w:szCs w:val="22"/>
                <w:lang w:val="en-US"/>
              </w:rPr>
              <w:t>amend the</w:t>
            </w:r>
            <w:r>
              <w:rPr>
                <w:rFonts w:ascii="Arial" w:hAnsi="Arial" w:cs="Arial"/>
                <w:sz w:val="22"/>
                <w:szCs w:val="22"/>
                <w:lang w:val="en-US"/>
              </w:rPr>
              <w:t xml:space="preserve"> Rule lies with States Parties and members of the Committee. In accord</w:t>
            </w:r>
            <w:r w:rsidR="007853CE">
              <w:rPr>
                <w:rFonts w:ascii="Arial" w:hAnsi="Arial" w:cs="Arial"/>
                <w:sz w:val="22"/>
                <w:szCs w:val="22"/>
                <w:lang w:val="en-US"/>
              </w:rPr>
              <w:t>ance with</w:t>
            </w:r>
            <w:r>
              <w:rPr>
                <w:rFonts w:ascii="Arial" w:hAnsi="Arial" w:cs="Arial"/>
                <w:sz w:val="22"/>
                <w:szCs w:val="22"/>
                <w:lang w:val="en-US"/>
              </w:rPr>
              <w:t xml:space="preserve"> Rule 18 of the Rules of Procedure of the General Assembly and Rule 48 of the Rules of Procedure of the Committee such decision shall be taken </w:t>
            </w:r>
            <w:r w:rsidR="00D658CD">
              <w:rPr>
                <w:rFonts w:ascii="Arial" w:hAnsi="Arial" w:cs="Arial"/>
                <w:sz w:val="22"/>
                <w:szCs w:val="22"/>
                <w:lang w:val="en-US"/>
              </w:rPr>
              <w:t xml:space="preserve">by </w:t>
            </w:r>
            <w:r w:rsidR="007853CE">
              <w:rPr>
                <w:rFonts w:ascii="Arial" w:hAnsi="Arial" w:cs="Arial"/>
                <w:sz w:val="22"/>
                <w:szCs w:val="22"/>
                <w:lang w:val="en-US"/>
              </w:rPr>
              <w:t xml:space="preserve">a </w:t>
            </w:r>
            <w:r>
              <w:rPr>
                <w:rFonts w:ascii="Arial" w:hAnsi="Arial" w:cs="Arial"/>
                <w:sz w:val="22"/>
                <w:szCs w:val="22"/>
                <w:lang w:val="en-US"/>
              </w:rPr>
              <w:t>two-thirds majority.</w:t>
            </w:r>
          </w:p>
        </w:tc>
      </w:tr>
      <w:tr w:rsidR="00CC7D3B" w:rsidRPr="008A300B" w14:paraId="0EBEAAAC" w14:textId="77777777" w:rsidTr="008B2782">
        <w:tc>
          <w:tcPr>
            <w:tcW w:w="6958" w:type="dxa"/>
          </w:tcPr>
          <w:p w14:paraId="4BA06D73" w14:textId="5B6BF98A" w:rsidR="00CC7D3B" w:rsidRPr="00F60E4C" w:rsidRDefault="00BD5AA4" w:rsidP="00F60E4C">
            <w:pPr>
              <w:pStyle w:val="COMPara"/>
              <w:numPr>
                <w:ilvl w:val="0"/>
                <w:numId w:val="36"/>
              </w:numPr>
              <w:spacing w:before="120"/>
            </w:pPr>
            <w:r>
              <w:t>a</w:t>
            </w:r>
            <w:r w:rsidRPr="00431B92">
              <w:t>dopting a resolution to limit the total length of consecutive terms of office (e.g. to four years) for the same delegate in a governing body so that delegates can gain sufficient experience but the bodies can at the sam</w:t>
            </w:r>
            <w:r w:rsidR="00AF70A0">
              <w:t>e time be periodically renewed;</w:t>
            </w:r>
          </w:p>
        </w:tc>
        <w:tc>
          <w:tcPr>
            <w:tcW w:w="6958" w:type="dxa"/>
          </w:tcPr>
          <w:p w14:paraId="6493A21A" w14:textId="31C92B3B" w:rsidR="00CC7D3B" w:rsidRPr="00431B92" w:rsidRDefault="00BD5AA4" w:rsidP="00A12756">
            <w:pPr>
              <w:pStyle w:val="ListParagraph"/>
              <w:numPr>
                <w:ilvl w:val="0"/>
                <w:numId w:val="32"/>
              </w:numPr>
              <w:spacing w:before="120" w:after="120"/>
              <w:ind w:left="470" w:right="57" w:hanging="357"/>
              <w:contextualSpacing w:val="0"/>
              <w:rPr>
                <w:b/>
                <w:bCs/>
                <w:sz w:val="22"/>
                <w:szCs w:val="22"/>
                <w:lang w:val="en-US"/>
              </w:rPr>
            </w:pPr>
            <w:r w:rsidRPr="00BD5AA4">
              <w:rPr>
                <w:rFonts w:ascii="Arial" w:hAnsi="Arial" w:cs="Arial"/>
                <w:sz w:val="22"/>
                <w:szCs w:val="22"/>
                <w:lang w:val="en-US"/>
              </w:rPr>
              <w:t xml:space="preserve">In accordance </w:t>
            </w:r>
            <w:r w:rsidR="00A12756">
              <w:rPr>
                <w:rFonts w:ascii="Arial" w:hAnsi="Arial" w:cs="Arial"/>
                <w:sz w:val="22"/>
                <w:szCs w:val="22"/>
                <w:lang w:val="en-US"/>
              </w:rPr>
              <w:t>with</w:t>
            </w:r>
            <w:r w:rsidR="00A12756" w:rsidRPr="00BD5AA4">
              <w:rPr>
                <w:rFonts w:ascii="Arial" w:hAnsi="Arial" w:cs="Arial"/>
                <w:sz w:val="22"/>
                <w:szCs w:val="22"/>
                <w:lang w:val="en-US"/>
              </w:rPr>
              <w:t xml:space="preserve"> </w:t>
            </w:r>
            <w:r w:rsidRPr="00BD5AA4">
              <w:rPr>
                <w:rFonts w:ascii="Arial" w:hAnsi="Arial" w:cs="Arial"/>
                <w:sz w:val="22"/>
                <w:szCs w:val="22"/>
                <w:lang w:val="en-US"/>
              </w:rPr>
              <w:t>Article 6</w:t>
            </w:r>
            <w:r>
              <w:rPr>
                <w:rFonts w:ascii="Arial" w:hAnsi="Arial" w:cs="Arial"/>
                <w:sz w:val="22"/>
                <w:szCs w:val="22"/>
                <w:lang w:val="en-US"/>
              </w:rPr>
              <w:t xml:space="preserve"> of the Convention, States Members of the Committee are elected for a term of four years and may not be elected for two consecutive </w:t>
            </w:r>
            <w:r w:rsidR="00ED7D96">
              <w:rPr>
                <w:rFonts w:ascii="Arial" w:hAnsi="Arial" w:cs="Arial"/>
                <w:sz w:val="22"/>
                <w:szCs w:val="22"/>
                <w:lang w:val="en-US"/>
              </w:rPr>
              <w:t>terms.</w:t>
            </w:r>
          </w:p>
        </w:tc>
      </w:tr>
      <w:tr w:rsidR="00CC7D3B" w:rsidRPr="008A300B" w14:paraId="00FEFFE8" w14:textId="77777777" w:rsidTr="008B2782">
        <w:tc>
          <w:tcPr>
            <w:tcW w:w="6958" w:type="dxa"/>
          </w:tcPr>
          <w:p w14:paraId="5AECC2D3" w14:textId="37DD48CA" w:rsidR="00CC7D3B" w:rsidRPr="00AF70A0" w:rsidRDefault="00BD5AA4" w:rsidP="00AF70A0">
            <w:pPr>
              <w:pStyle w:val="COMPara"/>
              <w:numPr>
                <w:ilvl w:val="0"/>
                <w:numId w:val="36"/>
              </w:numPr>
              <w:spacing w:before="120"/>
            </w:pPr>
            <w:r>
              <w:t>t</w:t>
            </w:r>
            <w:r w:rsidRPr="00431B92">
              <w:t>hat Member States candidates for a seat on a governing body undertake to nominate a full member or alternate with sufficient experience in that body’s field;</w:t>
            </w:r>
          </w:p>
        </w:tc>
        <w:tc>
          <w:tcPr>
            <w:tcW w:w="6958" w:type="dxa"/>
          </w:tcPr>
          <w:p w14:paraId="47FAF111" w14:textId="77777777" w:rsidR="00CC7D3B" w:rsidRPr="00431B92" w:rsidRDefault="00BD5AA4" w:rsidP="00ED7D96">
            <w:pPr>
              <w:pStyle w:val="ListParagraph"/>
              <w:numPr>
                <w:ilvl w:val="0"/>
                <w:numId w:val="32"/>
              </w:numPr>
              <w:spacing w:before="120" w:after="120"/>
              <w:ind w:left="470" w:right="57" w:hanging="357"/>
              <w:contextualSpacing w:val="0"/>
              <w:rPr>
                <w:b/>
                <w:bCs/>
                <w:sz w:val="22"/>
                <w:szCs w:val="22"/>
                <w:lang w:val="en-US"/>
              </w:rPr>
            </w:pPr>
            <w:r w:rsidRPr="00BD5AA4">
              <w:rPr>
                <w:rFonts w:ascii="Arial" w:hAnsi="Arial" w:cs="Arial"/>
                <w:sz w:val="22"/>
                <w:szCs w:val="22"/>
                <w:lang w:val="en-US"/>
              </w:rPr>
              <w:t xml:space="preserve">In accordance </w:t>
            </w:r>
            <w:r w:rsidR="00A12756">
              <w:rPr>
                <w:rFonts w:ascii="Arial" w:hAnsi="Arial" w:cs="Arial"/>
                <w:sz w:val="22"/>
                <w:szCs w:val="22"/>
                <w:lang w:val="en-US"/>
              </w:rPr>
              <w:t xml:space="preserve">with </w:t>
            </w:r>
            <w:r w:rsidR="00ED7D96">
              <w:rPr>
                <w:rFonts w:ascii="Arial" w:hAnsi="Arial" w:cs="Arial"/>
                <w:sz w:val="22"/>
                <w:szCs w:val="22"/>
                <w:lang w:val="en-US"/>
              </w:rPr>
              <w:t>A</w:t>
            </w:r>
            <w:r w:rsidRPr="00BD5AA4">
              <w:rPr>
                <w:rFonts w:ascii="Arial" w:hAnsi="Arial" w:cs="Arial"/>
                <w:sz w:val="22"/>
                <w:szCs w:val="22"/>
                <w:lang w:val="en-US"/>
              </w:rPr>
              <w:t>rticle</w:t>
            </w:r>
            <w:r w:rsidRPr="00ED7D96">
              <w:rPr>
                <w:rFonts w:ascii="Arial" w:hAnsi="Arial" w:cs="Arial"/>
                <w:sz w:val="22"/>
                <w:szCs w:val="22"/>
                <w:lang w:val="en-US"/>
              </w:rPr>
              <w:t xml:space="preserve"> </w:t>
            </w:r>
            <w:r w:rsidR="00ED7D96" w:rsidRPr="00ED7D96">
              <w:rPr>
                <w:rFonts w:ascii="Arial" w:hAnsi="Arial" w:cs="Arial"/>
                <w:sz w:val="22"/>
                <w:szCs w:val="22"/>
                <w:lang w:val="en-US"/>
              </w:rPr>
              <w:t>6</w:t>
            </w:r>
            <w:r w:rsidR="00ED7D96">
              <w:rPr>
                <w:rFonts w:ascii="Arial" w:hAnsi="Arial" w:cs="Arial"/>
                <w:sz w:val="22"/>
                <w:szCs w:val="22"/>
                <w:lang w:val="en-US"/>
              </w:rPr>
              <w:t>.7 of the Convention ‘States Members of the Committee shall choose as their representatives persons who are qualified in the various fields of intangible cultural heritage</w:t>
            </w:r>
            <w:r w:rsidR="008A77CD">
              <w:rPr>
                <w:rFonts w:ascii="Arial" w:hAnsi="Arial" w:cs="Arial"/>
                <w:sz w:val="22"/>
                <w:szCs w:val="22"/>
                <w:lang w:val="en-US"/>
              </w:rPr>
              <w:t>’</w:t>
            </w:r>
            <w:r w:rsidR="00ED7D96">
              <w:rPr>
                <w:rFonts w:ascii="Arial" w:hAnsi="Arial" w:cs="Arial"/>
                <w:sz w:val="22"/>
                <w:szCs w:val="22"/>
                <w:lang w:val="en-US"/>
              </w:rPr>
              <w:t>.</w:t>
            </w:r>
          </w:p>
        </w:tc>
      </w:tr>
    </w:tbl>
    <w:p w14:paraId="51AC1BE1" w14:textId="77777777" w:rsidR="00EE49F4" w:rsidRPr="007D43FA" w:rsidRDefault="00EE49F4" w:rsidP="00F60E4C">
      <w:pPr>
        <w:pStyle w:val="COMPara"/>
        <w:jc w:val="both"/>
      </w:pPr>
    </w:p>
    <w:sectPr w:rsidR="00EE49F4" w:rsidRPr="007D43FA" w:rsidSect="00633FD7">
      <w:headerReference w:type="first" r:id="rId31"/>
      <w:pgSz w:w="16838" w:h="11906" w:orient="landscape" w:code="9"/>
      <w:pgMar w:top="851" w:right="1134" w:bottom="709"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36FCF" w14:textId="77777777" w:rsidR="00BF2B58" w:rsidRDefault="00BF2B58" w:rsidP="00655736">
      <w:r>
        <w:separator/>
      </w:r>
    </w:p>
  </w:endnote>
  <w:endnote w:type="continuationSeparator" w:id="0">
    <w:p w14:paraId="41B0D34E" w14:textId="77777777" w:rsidR="00BF2B58" w:rsidRDefault="00BF2B5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59708" w14:textId="77777777" w:rsidR="00BF2B58" w:rsidRDefault="00BF2B58" w:rsidP="00655736">
      <w:r>
        <w:separator/>
      </w:r>
    </w:p>
  </w:footnote>
  <w:footnote w:type="continuationSeparator" w:id="0">
    <w:p w14:paraId="2657F892" w14:textId="77777777" w:rsidR="00BF2B58" w:rsidRDefault="00BF2B58" w:rsidP="00655736">
      <w:r>
        <w:continuationSeparator/>
      </w:r>
    </w:p>
  </w:footnote>
  <w:footnote w:id="1">
    <w:p w14:paraId="46506216" w14:textId="77777777" w:rsidR="00BF2B58" w:rsidRPr="00DA7318" w:rsidRDefault="00BF2B58">
      <w:pPr>
        <w:pStyle w:val="FootnoteText"/>
        <w:rPr>
          <w:lang w:val="en-US"/>
        </w:rPr>
      </w:pPr>
      <w:r>
        <w:rPr>
          <w:rStyle w:val="FootnoteReference"/>
        </w:rPr>
        <w:footnoteRef/>
      </w:r>
      <w:r w:rsidRPr="00DA7318">
        <w:rPr>
          <w:lang w:val="en-US"/>
        </w:rPr>
        <w:t xml:space="preserve"> </w:t>
      </w:r>
      <w:r w:rsidRPr="00DA7318">
        <w:rPr>
          <w:rFonts w:ascii="Arial" w:hAnsi="Arial" w:cs="Arial"/>
          <w:snapToGrid w:val="0"/>
          <w:sz w:val="18"/>
          <w:szCs w:val="18"/>
          <w:lang w:val="en-GB" w:eastAsia="en-US"/>
        </w:rPr>
        <w:t xml:space="preserve">For the Mandate of the Working group, see: </w:t>
      </w:r>
      <w:hyperlink r:id="rId1" w:history="1">
        <w:r w:rsidRPr="00DA7318">
          <w:rPr>
            <w:rFonts w:ascii="Arial" w:hAnsi="Arial" w:cs="Arial"/>
            <w:snapToGrid w:val="0"/>
            <w:sz w:val="18"/>
            <w:szCs w:val="18"/>
            <w:lang w:val="en-GB" w:eastAsia="en-US"/>
          </w:rPr>
          <w:t>http://www.unesco.org/new/en/general-conference-38th/working-group-on-governance/</w:t>
        </w:r>
      </w:hyperlink>
      <w:r w:rsidRPr="00DA7318">
        <w:rPr>
          <w:rFonts w:ascii="Arial" w:hAnsi="Arial" w:cs="Arial"/>
          <w:snapToGrid w:val="0"/>
          <w:sz w:val="18"/>
          <w:szCs w:val="18"/>
          <w:lang w:val="en-GB" w:eastAsia="en-US"/>
        </w:rPr>
        <w:t xml:space="preserve"> (last accessed on 14 September 2016).</w:t>
      </w:r>
      <w:r w:rsidRPr="00DA7318">
        <w:rPr>
          <w:lang w:val="en-US"/>
        </w:rPr>
        <w:t xml:space="preserve"> </w:t>
      </w:r>
    </w:p>
  </w:footnote>
  <w:footnote w:id="2">
    <w:p w14:paraId="14CFCD19" w14:textId="77777777" w:rsidR="00BF2B58" w:rsidRPr="00DA7318" w:rsidRDefault="00BF2B58">
      <w:pPr>
        <w:pStyle w:val="FootnoteText"/>
        <w:rPr>
          <w:lang w:val="en-US"/>
        </w:rPr>
      </w:pPr>
      <w:r w:rsidRPr="00DA7318">
        <w:rPr>
          <w:rStyle w:val="FootnoteReference"/>
        </w:rPr>
        <w:footnoteRef/>
      </w:r>
      <w:r w:rsidRPr="00DA7318">
        <w:rPr>
          <w:lang w:val="en-US"/>
        </w:rPr>
        <w:t xml:space="preserve"> </w:t>
      </w:r>
      <w:r w:rsidRPr="00DA7318">
        <w:rPr>
          <w:rFonts w:ascii="Arial" w:hAnsi="Arial" w:cs="Arial"/>
          <w:snapToGrid w:val="0"/>
          <w:sz w:val="18"/>
          <w:szCs w:val="18"/>
          <w:lang w:val="en-GB" w:eastAsia="en-US"/>
        </w:rPr>
        <w:t>The Working Group held two meetings, respectively on 17 February and 1 April 2016.</w:t>
      </w:r>
      <w:r w:rsidRPr="00DA7318">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5E00" w14:textId="7D691FF5" w:rsidR="00BF2B58" w:rsidRPr="00C23A97" w:rsidRDefault="00BF2B58">
    <w:pPr>
      <w:pStyle w:val="Header"/>
      <w:rPr>
        <w:rFonts w:ascii="Arial" w:hAnsi="Arial" w:cs="Arial"/>
        <w:lang w:val="en-GB"/>
      </w:rPr>
    </w:pPr>
    <w:r w:rsidRPr="00DC152C">
      <w:rPr>
        <w:rFonts w:ascii="Arial" w:hAnsi="Arial" w:cs="Arial"/>
        <w:sz w:val="20"/>
        <w:szCs w:val="20"/>
        <w:lang w:val="en-GB"/>
      </w:rPr>
      <w:t>ITH/16/11.COM/7</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935A06">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75C6" w14:textId="0FB24C7D" w:rsidR="00BF2B58" w:rsidRPr="0063300C" w:rsidRDefault="00BF2B58" w:rsidP="0063300C">
    <w:pPr>
      <w:pStyle w:val="Header"/>
      <w:jc w:val="right"/>
      <w:rPr>
        <w:rFonts w:ascii="Arial" w:hAnsi="Arial" w:cs="Arial"/>
        <w:lang w:val="en-GB"/>
      </w:rPr>
    </w:pPr>
    <w:r w:rsidRPr="00DC152C">
      <w:rPr>
        <w:rFonts w:ascii="Arial" w:hAnsi="Arial" w:cs="Arial"/>
        <w:sz w:val="20"/>
        <w:szCs w:val="20"/>
        <w:lang w:val="en-GB"/>
      </w:rPr>
      <w:t>ITH/16/11.COM/7</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935A06">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AE285" w14:textId="77777777" w:rsidR="00BF2B58" w:rsidRPr="00F32C23" w:rsidRDefault="00BF2B58">
    <w:pPr>
      <w:pStyle w:val="Header"/>
      <w:rPr>
        <w:lang w:val="en-GB"/>
      </w:rPr>
    </w:pPr>
    <w:r>
      <w:rPr>
        <w:noProof/>
      </w:rPr>
      <w:drawing>
        <wp:anchor distT="0" distB="0" distL="114300" distR="114300" simplePos="0" relativeHeight="251657728" behindDoc="0" locked="0" layoutInCell="1" allowOverlap="1" wp14:anchorId="6F18706B" wp14:editId="727D86EC">
          <wp:simplePos x="0" y="0"/>
          <wp:positionH relativeFrom="column">
            <wp:posOffset>-567690</wp:posOffset>
          </wp:positionH>
          <wp:positionV relativeFrom="page">
            <wp:posOffset>255905</wp:posOffset>
          </wp:positionV>
          <wp:extent cx="2228400" cy="136800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0FE41" w14:textId="77777777" w:rsidR="00BF2B58" w:rsidRPr="00F30DC6" w:rsidRDefault="00BF2B58" w:rsidP="00655736">
    <w:pPr>
      <w:pStyle w:val="Header"/>
      <w:spacing w:after="520"/>
      <w:jc w:val="right"/>
      <w:rPr>
        <w:rFonts w:ascii="Arial" w:hAnsi="Arial" w:cs="Arial"/>
        <w:b/>
        <w:sz w:val="44"/>
        <w:szCs w:val="44"/>
        <w:lang w:val="en-GB"/>
      </w:rPr>
    </w:pPr>
    <w:r>
      <w:rPr>
        <w:rFonts w:ascii="Arial" w:hAnsi="Arial" w:cs="Arial"/>
        <w:b/>
        <w:sz w:val="44"/>
        <w:szCs w:val="44"/>
        <w:lang w:val="en-GB"/>
      </w:rPr>
      <w:t>11</w:t>
    </w:r>
    <w:r w:rsidRPr="00F30DC6">
      <w:rPr>
        <w:rFonts w:ascii="Arial" w:hAnsi="Arial" w:cs="Arial"/>
        <w:b/>
        <w:sz w:val="44"/>
        <w:szCs w:val="44"/>
        <w:lang w:val="en-GB"/>
      </w:rPr>
      <w:t xml:space="preserve"> COM</w:t>
    </w:r>
  </w:p>
  <w:p w14:paraId="09B6D9B6" w14:textId="77777777" w:rsidR="00BF2B58" w:rsidRPr="009D5428" w:rsidRDefault="00BF2B58"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7</w:t>
    </w:r>
  </w:p>
  <w:p w14:paraId="46CAC347" w14:textId="3A7B3962" w:rsidR="00BF2B58" w:rsidRPr="00F32C23" w:rsidRDefault="00BF2B58" w:rsidP="00655736">
    <w:pPr>
      <w:jc w:val="right"/>
      <w:rPr>
        <w:rFonts w:ascii="Arial" w:hAnsi="Arial" w:cs="Arial"/>
        <w:b/>
        <w:sz w:val="22"/>
        <w:szCs w:val="22"/>
        <w:lang w:val="en-GB"/>
      </w:rPr>
    </w:pPr>
    <w:r w:rsidRPr="009D5428">
      <w:rPr>
        <w:rFonts w:ascii="Arial" w:hAnsi="Arial" w:cs="Arial"/>
        <w:b/>
        <w:sz w:val="22"/>
        <w:szCs w:val="22"/>
        <w:lang w:val="en-GB"/>
      </w:rPr>
      <w:t xml:space="preserve">Paris, </w:t>
    </w:r>
    <w:r w:rsidR="00AF70A0">
      <w:rPr>
        <w:rFonts w:ascii="Arial" w:eastAsia="Malgun Gothic" w:hAnsi="Arial" w:cs="Arial" w:hint="eastAsia"/>
        <w:b/>
        <w:sz w:val="22"/>
        <w:szCs w:val="22"/>
        <w:lang w:val="en-GB" w:eastAsia="ko-KR"/>
      </w:rPr>
      <w:t>31 October</w:t>
    </w:r>
    <w:r w:rsidRPr="00F32C23">
      <w:rPr>
        <w:rFonts w:ascii="Arial" w:hAnsi="Arial" w:cs="Arial"/>
        <w:b/>
        <w:sz w:val="22"/>
        <w:szCs w:val="22"/>
        <w:lang w:val="en-GB"/>
      </w:rPr>
      <w:t xml:space="preserve"> </w:t>
    </w:r>
    <w:r>
      <w:rPr>
        <w:rFonts w:ascii="Arial" w:hAnsi="Arial" w:cs="Arial"/>
        <w:b/>
        <w:sz w:val="22"/>
        <w:szCs w:val="22"/>
        <w:lang w:val="en-GB"/>
      </w:rPr>
      <w:t>2016</w:t>
    </w:r>
  </w:p>
  <w:p w14:paraId="357684BA" w14:textId="24552BC9" w:rsidR="00BF2B58" w:rsidRPr="00AF70A0" w:rsidRDefault="00BF2B58" w:rsidP="00AF70A0">
    <w:pPr>
      <w:jc w:val="right"/>
      <w:rPr>
        <w:rFonts w:ascii="Arial" w:eastAsia="Malgun Gothic" w:hAnsi="Arial" w:cs="Arial"/>
        <w:b/>
        <w:sz w:val="22"/>
        <w:szCs w:val="22"/>
        <w:lang w:val="en-GB" w:eastAsia="ko-KR"/>
      </w:rPr>
    </w:pPr>
    <w:r w:rsidRPr="00F32C23">
      <w:rPr>
        <w:rFonts w:ascii="Arial" w:hAnsi="Arial" w:cs="Arial"/>
        <w:b/>
        <w:sz w:val="22"/>
        <w:szCs w:val="22"/>
        <w:lang w:val="en-GB"/>
      </w:rPr>
      <w:t xml:space="preserve">Original: </w:t>
    </w:r>
    <w:r>
      <w:rPr>
        <w:rFonts w:ascii="Arial" w:hAnsi="Arial" w:cs="Arial"/>
        <w:b/>
        <w:sz w:val="22"/>
        <w:szCs w:val="22"/>
        <w:lang w:val="en-GB"/>
      </w:rPr>
      <w:t>English</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D7D0" w14:textId="77777777" w:rsidR="00BF2B58" w:rsidRPr="00F32C23" w:rsidRDefault="00BF2B58">
    <w:pPr>
      <w:pStyle w:val="Header"/>
      <w:rPr>
        <w:lang w:val="en-GB"/>
      </w:rPr>
    </w:pPr>
    <w:r>
      <w:rPr>
        <w:noProof/>
      </w:rPr>
      <w:drawing>
        <wp:anchor distT="0" distB="0" distL="114300" distR="114300" simplePos="0" relativeHeight="251658240" behindDoc="0" locked="0" layoutInCell="1" allowOverlap="1" wp14:anchorId="15AD03DD" wp14:editId="2979F247">
          <wp:simplePos x="0" y="0"/>
          <wp:positionH relativeFrom="column">
            <wp:posOffset>-567690</wp:posOffset>
          </wp:positionH>
          <wp:positionV relativeFrom="paragraph">
            <wp:posOffset>3810</wp:posOffset>
          </wp:positionV>
          <wp:extent cx="2228215" cy="1367790"/>
          <wp:effectExtent l="0" t="0" r="635" b="3810"/>
          <wp:wrapNone/>
          <wp:docPr id="7" name="Picture 7"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034A3" w14:textId="77777777" w:rsidR="00BF2B58" w:rsidRPr="00F30DC6" w:rsidRDefault="00BF2B58" w:rsidP="00655736">
    <w:pPr>
      <w:pStyle w:val="Header"/>
      <w:spacing w:after="520"/>
      <w:jc w:val="right"/>
      <w:rPr>
        <w:rFonts w:ascii="Arial" w:hAnsi="Arial" w:cs="Arial"/>
        <w:b/>
        <w:sz w:val="44"/>
        <w:szCs w:val="44"/>
        <w:lang w:val="en-GB"/>
      </w:rPr>
    </w:pPr>
    <w:r>
      <w:rPr>
        <w:rFonts w:ascii="Arial" w:hAnsi="Arial" w:cs="Arial"/>
        <w:b/>
        <w:sz w:val="44"/>
        <w:szCs w:val="44"/>
        <w:lang w:val="en-GB"/>
      </w:rPr>
      <w:t>11</w:t>
    </w:r>
    <w:r w:rsidRPr="00F30DC6">
      <w:rPr>
        <w:rFonts w:ascii="Arial" w:hAnsi="Arial" w:cs="Arial"/>
        <w:b/>
        <w:sz w:val="44"/>
        <w:szCs w:val="44"/>
        <w:lang w:val="en-GB"/>
      </w:rPr>
      <w:t xml:space="preserve"> COM</w:t>
    </w:r>
  </w:p>
  <w:p w14:paraId="3FCFFE3F" w14:textId="77777777" w:rsidR="00BF2B58" w:rsidRPr="009D5428" w:rsidRDefault="00BF2B58"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7</w:t>
    </w:r>
  </w:p>
  <w:p w14:paraId="29599719" w14:textId="77777777" w:rsidR="00BF2B58" w:rsidRPr="00F32C23" w:rsidRDefault="00BF2B58" w:rsidP="00655736">
    <w:pPr>
      <w:jc w:val="right"/>
      <w:rPr>
        <w:rFonts w:ascii="Arial" w:hAnsi="Arial" w:cs="Arial"/>
        <w:b/>
        <w:sz w:val="22"/>
        <w:szCs w:val="22"/>
        <w:lang w:val="en-GB"/>
      </w:rPr>
    </w:pPr>
    <w:r w:rsidRPr="009D5428">
      <w:rPr>
        <w:rFonts w:ascii="Arial" w:hAnsi="Arial" w:cs="Arial"/>
        <w:b/>
        <w:sz w:val="22"/>
        <w:szCs w:val="22"/>
        <w:lang w:val="en-GB"/>
      </w:rPr>
      <w:t xml:space="preserve">Paris, </w:t>
    </w:r>
    <w:r w:rsidRPr="00F32C23">
      <w:rPr>
        <w:rFonts w:ascii="Arial" w:hAnsi="Arial" w:cs="Arial"/>
        <w:b/>
        <w:sz w:val="22"/>
        <w:szCs w:val="22"/>
        <w:highlight w:val="yellow"/>
        <w:lang w:val="en-GB"/>
      </w:rPr>
      <w:t>xxx xxx</w:t>
    </w:r>
    <w:r w:rsidRPr="00F32C23">
      <w:rPr>
        <w:rFonts w:ascii="Arial" w:hAnsi="Arial" w:cs="Arial"/>
        <w:b/>
        <w:sz w:val="22"/>
        <w:szCs w:val="22"/>
        <w:lang w:val="en-GB"/>
      </w:rPr>
      <w:t xml:space="preserve"> </w:t>
    </w:r>
    <w:r>
      <w:rPr>
        <w:rFonts w:ascii="Arial" w:hAnsi="Arial" w:cs="Arial"/>
        <w:b/>
        <w:sz w:val="22"/>
        <w:szCs w:val="22"/>
        <w:lang w:val="en-GB"/>
      </w:rPr>
      <w:t>2016</w:t>
    </w:r>
  </w:p>
  <w:p w14:paraId="6D066D40" w14:textId="77777777" w:rsidR="00BF2B58" w:rsidRPr="00F32C23" w:rsidRDefault="00BF2B58"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2A9A21EB" w14:textId="77777777" w:rsidR="00BF2B58" w:rsidRPr="00F32C23" w:rsidRDefault="00BF2B5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40F"/>
    <w:multiLevelType w:val="hybridMultilevel"/>
    <w:tmpl w:val="5D1A4160"/>
    <w:lvl w:ilvl="0" w:tplc="3FC01D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7B49B3"/>
    <w:multiLevelType w:val="hybridMultilevel"/>
    <w:tmpl w:val="5D1A4160"/>
    <w:lvl w:ilvl="0" w:tplc="3FC01D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B24A0C"/>
    <w:multiLevelType w:val="hybridMultilevel"/>
    <w:tmpl w:val="D624D15E"/>
    <w:lvl w:ilvl="0" w:tplc="3782FB6A">
      <w:start w:val="1"/>
      <w:numFmt w:val="decimal"/>
      <w:lvlText w:val="%1."/>
      <w:lvlJc w:val="left"/>
      <w:pPr>
        <w:ind w:left="360" w:hanging="360"/>
      </w:pPr>
      <w:rPr>
        <w:rFonts w:hint="default"/>
      </w:rPr>
    </w:lvl>
    <w:lvl w:ilvl="1" w:tplc="2DB626BA">
      <w:start w:val="1"/>
      <w:numFmt w:val="lowerRoman"/>
      <w:lvlText w:val="(%2)"/>
      <w:lvlJc w:val="left"/>
      <w:pPr>
        <w:ind w:left="1080" w:hanging="360"/>
      </w:pPr>
      <w:rPr>
        <w:rFonts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1A28FAEA">
      <w:start w:val="1"/>
      <w:numFmt w:val="lowerRoman"/>
      <w:lvlText w:val="(%6)"/>
      <w:lvlJc w:val="left"/>
      <w:pPr>
        <w:ind w:left="4500" w:hanging="720"/>
      </w:pPr>
      <w:rPr>
        <w:rFonts w:hint="default"/>
      </w:r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2893EDA"/>
    <w:multiLevelType w:val="hybridMultilevel"/>
    <w:tmpl w:val="311C69E0"/>
    <w:lvl w:ilvl="0" w:tplc="3FC01D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302DE1"/>
    <w:multiLevelType w:val="hybridMultilevel"/>
    <w:tmpl w:val="04825BAE"/>
    <w:lvl w:ilvl="0" w:tplc="3782FB6A">
      <w:start w:val="1"/>
      <w:numFmt w:val="decimal"/>
      <w:lvlText w:val="%1."/>
      <w:lvlJc w:val="left"/>
      <w:pPr>
        <w:ind w:left="360" w:hanging="360"/>
      </w:pPr>
      <w:rPr>
        <w:rFonts w:hint="default"/>
      </w:rPr>
    </w:lvl>
    <w:lvl w:ilvl="1" w:tplc="A5D42ED6">
      <w:start w:val="1"/>
      <w:numFmt w:val="lowerRoman"/>
      <w:lvlText w:val="%2)"/>
      <w:lvlJc w:val="left"/>
      <w:pPr>
        <w:ind w:left="1080" w:hanging="360"/>
      </w:pPr>
      <w:rPr>
        <w:rFonts w:ascii="Arial" w:eastAsia="Times New Roman" w:hAnsi="Arial" w:cs="Arial"/>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1A28FAEA">
      <w:start w:val="1"/>
      <w:numFmt w:val="lowerRoman"/>
      <w:lvlText w:val="(%6)"/>
      <w:lvlJc w:val="left"/>
      <w:pPr>
        <w:ind w:left="4500" w:hanging="720"/>
      </w:pPr>
      <w:rPr>
        <w:rFonts w:hint="default"/>
      </w:rPr>
    </w:lvl>
    <w:lvl w:ilvl="6" w:tplc="73B4378E">
      <w:start w:val="1"/>
      <w:numFmt w:val="lowerLetter"/>
      <w:lvlText w:val="(%7)"/>
      <w:lvlJc w:val="left"/>
      <w:pPr>
        <w:ind w:left="4680" w:hanging="360"/>
      </w:pPr>
      <w:rPr>
        <w:rFonts w:hint="default"/>
        <w:b w:val="0"/>
      </w:r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1382925"/>
    <w:multiLevelType w:val="hybridMultilevel"/>
    <w:tmpl w:val="2C2CEF42"/>
    <w:lvl w:ilvl="0" w:tplc="98B6FD9E">
      <w:start w:val="1"/>
      <w:numFmt w:val="decimal"/>
      <w:lvlText w:val="%1."/>
      <w:lvlJc w:val="left"/>
      <w:pPr>
        <w:ind w:left="927" w:hanging="360"/>
      </w:pPr>
      <w:rPr>
        <w:rFonts w:eastAsia="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22A36CEC"/>
    <w:multiLevelType w:val="hybridMultilevel"/>
    <w:tmpl w:val="55424760"/>
    <w:lvl w:ilvl="0" w:tplc="2DB626B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EA485922"/>
    <w:lvl w:ilvl="0" w:tplc="2DB626BA">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7851524"/>
    <w:multiLevelType w:val="hybridMultilevel"/>
    <w:tmpl w:val="5D1A4160"/>
    <w:lvl w:ilvl="0" w:tplc="3FC01D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F0232C"/>
    <w:multiLevelType w:val="hybridMultilevel"/>
    <w:tmpl w:val="0720CA9E"/>
    <w:lvl w:ilvl="0" w:tplc="230000D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54A62D0"/>
    <w:multiLevelType w:val="hybridMultilevel"/>
    <w:tmpl w:val="06BC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44EE"/>
    <w:multiLevelType w:val="hybridMultilevel"/>
    <w:tmpl w:val="55424760"/>
    <w:lvl w:ilvl="0" w:tplc="2DB626B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15:restartNumberingAfterBreak="0">
    <w:nsid w:val="6675680C"/>
    <w:multiLevelType w:val="hybridMultilevel"/>
    <w:tmpl w:val="0720CA9E"/>
    <w:lvl w:ilvl="0" w:tplc="230000D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D71E58"/>
    <w:multiLevelType w:val="multilevel"/>
    <w:tmpl w:val="02C461E2"/>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lang w:val="en-GB"/>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756EDD"/>
    <w:multiLevelType w:val="hybridMultilevel"/>
    <w:tmpl w:val="884C7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5"/>
  </w:num>
  <w:num w:numId="4">
    <w:abstractNumId w:val="24"/>
  </w:num>
  <w:num w:numId="5">
    <w:abstractNumId w:val="22"/>
  </w:num>
  <w:num w:numId="6">
    <w:abstractNumId w:val="3"/>
  </w:num>
  <w:num w:numId="7">
    <w:abstractNumId w:val="6"/>
  </w:num>
  <w:num w:numId="8">
    <w:abstractNumId w:val="17"/>
  </w:num>
  <w:num w:numId="9">
    <w:abstractNumId w:val="10"/>
  </w:num>
  <w:num w:numId="10">
    <w:abstractNumId w:val="14"/>
  </w:num>
  <w:num w:numId="11">
    <w:abstractNumId w:val="16"/>
  </w:num>
  <w:num w:numId="12">
    <w:abstractNumId w:val="15"/>
  </w:num>
  <w:num w:numId="13">
    <w:abstractNumId w:val="18"/>
  </w:num>
  <w:num w:numId="14">
    <w:abstractNumId w:val="23"/>
  </w:num>
  <w:num w:numId="15">
    <w:abstractNumId w:val="10"/>
    <w:lvlOverride w:ilvl="0">
      <w:startOverride w:val="1"/>
    </w:lvlOverride>
  </w:num>
  <w:num w:numId="16">
    <w:abstractNumId w:val="10"/>
  </w:num>
  <w:num w:numId="17">
    <w:abstractNumId w:val="10"/>
    <w:lvlOverride w:ilvl="0">
      <w:startOverride w:val="1"/>
    </w:lvlOverride>
  </w:num>
  <w:num w:numId="18">
    <w:abstractNumId w:val="10"/>
  </w:num>
  <w:num w:numId="19">
    <w:abstractNumId w:val="10"/>
  </w:num>
  <w:num w:numId="20">
    <w:abstractNumId w:val="10"/>
  </w:num>
  <w:num w:numId="21">
    <w:abstractNumId w:val="7"/>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
  </w:num>
  <w:num w:numId="29">
    <w:abstractNumId w:val="19"/>
  </w:num>
  <w:num w:numId="30">
    <w:abstractNumId w:val="12"/>
  </w:num>
  <w:num w:numId="31">
    <w:abstractNumId w:val="13"/>
  </w:num>
  <w:num w:numId="32">
    <w:abstractNumId w:val="25"/>
  </w:num>
  <w:num w:numId="33">
    <w:abstractNumId w:val="21"/>
  </w:num>
  <w:num w:numId="34">
    <w:abstractNumId w:val="8"/>
  </w:num>
  <w:num w:numId="35">
    <w:abstractNumId w:val="9"/>
  </w:num>
  <w:num w:numId="36">
    <w:abstractNumId w:val="4"/>
  </w:num>
  <w:num w:numId="37">
    <w:abstractNumId w:val="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48ED"/>
    <w:rsid w:val="00022834"/>
    <w:rsid w:val="00041A66"/>
    <w:rsid w:val="00046097"/>
    <w:rsid w:val="0005176E"/>
    <w:rsid w:val="000765F7"/>
    <w:rsid w:val="00077AB7"/>
    <w:rsid w:val="00081CD8"/>
    <w:rsid w:val="000A7F0E"/>
    <w:rsid w:val="000B1C8F"/>
    <w:rsid w:val="000C0D61"/>
    <w:rsid w:val="000C31D5"/>
    <w:rsid w:val="000D5C59"/>
    <w:rsid w:val="000D7724"/>
    <w:rsid w:val="000E06CC"/>
    <w:rsid w:val="000E4A33"/>
    <w:rsid w:val="000F3A3F"/>
    <w:rsid w:val="000F440C"/>
    <w:rsid w:val="00102557"/>
    <w:rsid w:val="00107C68"/>
    <w:rsid w:val="00110324"/>
    <w:rsid w:val="0011149B"/>
    <w:rsid w:val="0011444A"/>
    <w:rsid w:val="00132FB1"/>
    <w:rsid w:val="00151AD1"/>
    <w:rsid w:val="00164D56"/>
    <w:rsid w:val="001666B2"/>
    <w:rsid w:val="00167B10"/>
    <w:rsid w:val="00171469"/>
    <w:rsid w:val="0017402F"/>
    <w:rsid w:val="00176EDD"/>
    <w:rsid w:val="00192922"/>
    <w:rsid w:val="00193A75"/>
    <w:rsid w:val="00196C1B"/>
    <w:rsid w:val="00197CFF"/>
    <w:rsid w:val="001A0D84"/>
    <w:rsid w:val="001B0BAE"/>
    <w:rsid w:val="001B0F73"/>
    <w:rsid w:val="001C126F"/>
    <w:rsid w:val="001C2DB7"/>
    <w:rsid w:val="001D5C04"/>
    <w:rsid w:val="001D79EF"/>
    <w:rsid w:val="001E07A1"/>
    <w:rsid w:val="001E358A"/>
    <w:rsid w:val="001E62F5"/>
    <w:rsid w:val="001F26CF"/>
    <w:rsid w:val="002103F3"/>
    <w:rsid w:val="00220EF1"/>
    <w:rsid w:val="002213BE"/>
    <w:rsid w:val="00222A2D"/>
    <w:rsid w:val="00223029"/>
    <w:rsid w:val="00234745"/>
    <w:rsid w:val="0023514B"/>
    <w:rsid w:val="002407AF"/>
    <w:rsid w:val="0025485D"/>
    <w:rsid w:val="002562D6"/>
    <w:rsid w:val="0027466B"/>
    <w:rsid w:val="002838A5"/>
    <w:rsid w:val="00284A37"/>
    <w:rsid w:val="00285BB4"/>
    <w:rsid w:val="002B689B"/>
    <w:rsid w:val="002C09E3"/>
    <w:rsid w:val="002C4861"/>
    <w:rsid w:val="003002AE"/>
    <w:rsid w:val="00330480"/>
    <w:rsid w:val="003444F0"/>
    <w:rsid w:val="00344B58"/>
    <w:rsid w:val="0034539A"/>
    <w:rsid w:val="00345CB4"/>
    <w:rsid w:val="00357A86"/>
    <w:rsid w:val="00375D42"/>
    <w:rsid w:val="00375F53"/>
    <w:rsid w:val="00377E36"/>
    <w:rsid w:val="00383967"/>
    <w:rsid w:val="00394B62"/>
    <w:rsid w:val="003D069C"/>
    <w:rsid w:val="003D6AD8"/>
    <w:rsid w:val="003D7646"/>
    <w:rsid w:val="003E70D6"/>
    <w:rsid w:val="003F113A"/>
    <w:rsid w:val="003F3E63"/>
    <w:rsid w:val="00407480"/>
    <w:rsid w:val="00414643"/>
    <w:rsid w:val="00431A60"/>
    <w:rsid w:val="00431B92"/>
    <w:rsid w:val="004421E5"/>
    <w:rsid w:val="00447A43"/>
    <w:rsid w:val="00452284"/>
    <w:rsid w:val="00454D21"/>
    <w:rsid w:val="00457C8E"/>
    <w:rsid w:val="0046580F"/>
    <w:rsid w:val="00465A1A"/>
    <w:rsid w:val="004744BE"/>
    <w:rsid w:val="00481141"/>
    <w:rsid w:val="004849DB"/>
    <w:rsid w:val="004856CA"/>
    <w:rsid w:val="00487E67"/>
    <w:rsid w:val="0049705E"/>
    <w:rsid w:val="004A34A0"/>
    <w:rsid w:val="004B3644"/>
    <w:rsid w:val="004C5AD3"/>
    <w:rsid w:val="004D6B50"/>
    <w:rsid w:val="004E341F"/>
    <w:rsid w:val="004E419B"/>
    <w:rsid w:val="004F5B67"/>
    <w:rsid w:val="00500224"/>
    <w:rsid w:val="005008A8"/>
    <w:rsid w:val="0051264E"/>
    <w:rsid w:val="00526B7B"/>
    <w:rsid w:val="005308CE"/>
    <w:rsid w:val="00546594"/>
    <w:rsid w:val="00556880"/>
    <w:rsid w:val="00560C58"/>
    <w:rsid w:val="00571492"/>
    <w:rsid w:val="0057439C"/>
    <w:rsid w:val="00577521"/>
    <w:rsid w:val="00591DD3"/>
    <w:rsid w:val="0059676B"/>
    <w:rsid w:val="005A13F3"/>
    <w:rsid w:val="005A55A7"/>
    <w:rsid w:val="005A66CF"/>
    <w:rsid w:val="005B0127"/>
    <w:rsid w:val="005B11BB"/>
    <w:rsid w:val="005B7A35"/>
    <w:rsid w:val="005C4B73"/>
    <w:rsid w:val="005E1D2B"/>
    <w:rsid w:val="005E7074"/>
    <w:rsid w:val="005F2BAF"/>
    <w:rsid w:val="00600D93"/>
    <w:rsid w:val="00601315"/>
    <w:rsid w:val="00604D8F"/>
    <w:rsid w:val="00606004"/>
    <w:rsid w:val="006147BC"/>
    <w:rsid w:val="00624026"/>
    <w:rsid w:val="0063300C"/>
    <w:rsid w:val="00633FD7"/>
    <w:rsid w:val="00655736"/>
    <w:rsid w:val="00663B8D"/>
    <w:rsid w:val="00673D2E"/>
    <w:rsid w:val="00696C8D"/>
    <w:rsid w:val="006A2AC2"/>
    <w:rsid w:val="006A3617"/>
    <w:rsid w:val="006A7FCD"/>
    <w:rsid w:val="006C7B75"/>
    <w:rsid w:val="006D11F0"/>
    <w:rsid w:val="006E46E4"/>
    <w:rsid w:val="006F7B4D"/>
    <w:rsid w:val="00717DA5"/>
    <w:rsid w:val="00744484"/>
    <w:rsid w:val="00747566"/>
    <w:rsid w:val="0076446B"/>
    <w:rsid w:val="00773188"/>
    <w:rsid w:val="0078113D"/>
    <w:rsid w:val="00783782"/>
    <w:rsid w:val="00784B8C"/>
    <w:rsid w:val="007853CE"/>
    <w:rsid w:val="0078720D"/>
    <w:rsid w:val="007879E1"/>
    <w:rsid w:val="00792F70"/>
    <w:rsid w:val="007B2AC8"/>
    <w:rsid w:val="007B6A1E"/>
    <w:rsid w:val="007D43FA"/>
    <w:rsid w:val="00800175"/>
    <w:rsid w:val="008212D0"/>
    <w:rsid w:val="00823A11"/>
    <w:rsid w:val="0085405E"/>
    <w:rsid w:val="0085414A"/>
    <w:rsid w:val="0086269D"/>
    <w:rsid w:val="00862914"/>
    <w:rsid w:val="0086543A"/>
    <w:rsid w:val="008705D7"/>
    <w:rsid w:val="008724E5"/>
    <w:rsid w:val="00884A9D"/>
    <w:rsid w:val="0088512B"/>
    <w:rsid w:val="008A2B2D"/>
    <w:rsid w:val="008A300B"/>
    <w:rsid w:val="008A4E1E"/>
    <w:rsid w:val="008A77CD"/>
    <w:rsid w:val="008A7E88"/>
    <w:rsid w:val="008B2782"/>
    <w:rsid w:val="008C296C"/>
    <w:rsid w:val="008D4305"/>
    <w:rsid w:val="008E1A85"/>
    <w:rsid w:val="008E4985"/>
    <w:rsid w:val="008F0692"/>
    <w:rsid w:val="009012DE"/>
    <w:rsid w:val="009163A7"/>
    <w:rsid w:val="0092642D"/>
    <w:rsid w:val="00935A06"/>
    <w:rsid w:val="00936421"/>
    <w:rsid w:val="00943551"/>
    <w:rsid w:val="00946D0B"/>
    <w:rsid w:val="00955877"/>
    <w:rsid w:val="00961DAF"/>
    <w:rsid w:val="00964322"/>
    <w:rsid w:val="009648D3"/>
    <w:rsid w:val="009A18CD"/>
    <w:rsid w:val="009B61D5"/>
    <w:rsid w:val="009D5428"/>
    <w:rsid w:val="009F4D20"/>
    <w:rsid w:val="00A00DC9"/>
    <w:rsid w:val="00A0166E"/>
    <w:rsid w:val="00A05293"/>
    <w:rsid w:val="00A12558"/>
    <w:rsid w:val="00A12756"/>
    <w:rsid w:val="00A13903"/>
    <w:rsid w:val="00A27E32"/>
    <w:rsid w:val="00A34ED5"/>
    <w:rsid w:val="00A37EEB"/>
    <w:rsid w:val="00A43D0E"/>
    <w:rsid w:val="00A45DBF"/>
    <w:rsid w:val="00A555C8"/>
    <w:rsid w:val="00A67BDA"/>
    <w:rsid w:val="00A755A2"/>
    <w:rsid w:val="00A918C3"/>
    <w:rsid w:val="00AA6660"/>
    <w:rsid w:val="00AB2C36"/>
    <w:rsid w:val="00AB6DDE"/>
    <w:rsid w:val="00AB70B6"/>
    <w:rsid w:val="00AD1A86"/>
    <w:rsid w:val="00AE103E"/>
    <w:rsid w:val="00AE5FD1"/>
    <w:rsid w:val="00AF0A07"/>
    <w:rsid w:val="00AF2A8D"/>
    <w:rsid w:val="00AF4AEC"/>
    <w:rsid w:val="00AF625E"/>
    <w:rsid w:val="00AF70A0"/>
    <w:rsid w:val="00B01FB3"/>
    <w:rsid w:val="00B12C11"/>
    <w:rsid w:val="00B26566"/>
    <w:rsid w:val="00B44F44"/>
    <w:rsid w:val="00B61D9B"/>
    <w:rsid w:val="00B70538"/>
    <w:rsid w:val="00BB04AF"/>
    <w:rsid w:val="00BB62EC"/>
    <w:rsid w:val="00BD52C9"/>
    <w:rsid w:val="00BD5AA4"/>
    <w:rsid w:val="00BE6354"/>
    <w:rsid w:val="00BF061F"/>
    <w:rsid w:val="00BF2B58"/>
    <w:rsid w:val="00C0195F"/>
    <w:rsid w:val="00C138D1"/>
    <w:rsid w:val="00C14C1B"/>
    <w:rsid w:val="00C23A97"/>
    <w:rsid w:val="00C50000"/>
    <w:rsid w:val="00C529AA"/>
    <w:rsid w:val="00C57750"/>
    <w:rsid w:val="00C60F84"/>
    <w:rsid w:val="00C614CB"/>
    <w:rsid w:val="00C64855"/>
    <w:rsid w:val="00C70EA7"/>
    <w:rsid w:val="00C73EEF"/>
    <w:rsid w:val="00C7516E"/>
    <w:rsid w:val="00C75770"/>
    <w:rsid w:val="00C760D6"/>
    <w:rsid w:val="00C77208"/>
    <w:rsid w:val="00C81BED"/>
    <w:rsid w:val="00C8655E"/>
    <w:rsid w:val="00C9584D"/>
    <w:rsid w:val="00CA56BB"/>
    <w:rsid w:val="00CA5EE0"/>
    <w:rsid w:val="00CB0542"/>
    <w:rsid w:val="00CC5CF6"/>
    <w:rsid w:val="00CC7D3B"/>
    <w:rsid w:val="00CE6680"/>
    <w:rsid w:val="00D00B2B"/>
    <w:rsid w:val="00D21523"/>
    <w:rsid w:val="00D24877"/>
    <w:rsid w:val="00D33F16"/>
    <w:rsid w:val="00D41884"/>
    <w:rsid w:val="00D658CD"/>
    <w:rsid w:val="00D8250F"/>
    <w:rsid w:val="00D9226D"/>
    <w:rsid w:val="00D93743"/>
    <w:rsid w:val="00D95C4C"/>
    <w:rsid w:val="00DA36ED"/>
    <w:rsid w:val="00DA4BEB"/>
    <w:rsid w:val="00DA7318"/>
    <w:rsid w:val="00DC152C"/>
    <w:rsid w:val="00DE34F1"/>
    <w:rsid w:val="00DE6160"/>
    <w:rsid w:val="00DF4942"/>
    <w:rsid w:val="00E03DD1"/>
    <w:rsid w:val="00E17960"/>
    <w:rsid w:val="00E244E1"/>
    <w:rsid w:val="00E246AC"/>
    <w:rsid w:val="00E252C5"/>
    <w:rsid w:val="00E27A52"/>
    <w:rsid w:val="00E42EFB"/>
    <w:rsid w:val="00E52143"/>
    <w:rsid w:val="00E5664D"/>
    <w:rsid w:val="00E627B1"/>
    <w:rsid w:val="00E70169"/>
    <w:rsid w:val="00E9376C"/>
    <w:rsid w:val="00EA335E"/>
    <w:rsid w:val="00EA528C"/>
    <w:rsid w:val="00EA580C"/>
    <w:rsid w:val="00EC19CD"/>
    <w:rsid w:val="00EC6F8D"/>
    <w:rsid w:val="00ED1FFF"/>
    <w:rsid w:val="00ED3793"/>
    <w:rsid w:val="00ED7D96"/>
    <w:rsid w:val="00EE49F4"/>
    <w:rsid w:val="00EF2504"/>
    <w:rsid w:val="00EF34E2"/>
    <w:rsid w:val="00F04B2B"/>
    <w:rsid w:val="00F11FA0"/>
    <w:rsid w:val="00F15DA0"/>
    <w:rsid w:val="00F303D6"/>
    <w:rsid w:val="00F30DC6"/>
    <w:rsid w:val="00F32C23"/>
    <w:rsid w:val="00F37F2A"/>
    <w:rsid w:val="00F53DE9"/>
    <w:rsid w:val="00F54386"/>
    <w:rsid w:val="00F576CB"/>
    <w:rsid w:val="00F60E4C"/>
    <w:rsid w:val="00F7035D"/>
    <w:rsid w:val="00F71A02"/>
    <w:rsid w:val="00FA0D63"/>
    <w:rsid w:val="00FC5CD3"/>
    <w:rsid w:val="00FC7015"/>
    <w:rsid w:val="00FD1226"/>
    <w:rsid w:val="00FF2342"/>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C6CD6A6"/>
  <w15:docId w15:val="{B61F5F74-FEC8-4747-A7B4-EAA8F6DC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styleId="ListParagraph">
    <w:name w:val="List Paragraph"/>
    <w:basedOn w:val="Normal"/>
    <w:uiPriority w:val="34"/>
    <w:qFormat/>
    <w:rsid w:val="00DC152C"/>
    <w:pPr>
      <w:ind w:left="720"/>
      <w:contextualSpacing/>
    </w:pPr>
    <w:rPr>
      <w:rFonts w:eastAsia="SimSun"/>
      <w:lang w:val="en-GB"/>
    </w:rPr>
  </w:style>
  <w:style w:type="paragraph" w:customStyle="1" w:styleId="Paragraph1WorkingDocument123">
    <w:name w:val="Paragraph 1: Working Document 1.2.3..."/>
    <w:basedOn w:val="Normal"/>
    <w:qFormat/>
    <w:rsid w:val="00DC152C"/>
    <w:pPr>
      <w:numPr>
        <w:ilvl w:val="4"/>
        <w:numId w:val="14"/>
      </w:numPr>
      <w:spacing w:before="120" w:after="120"/>
      <w:jc w:val="both"/>
      <w:outlineLvl w:val="4"/>
    </w:pPr>
    <w:rPr>
      <w:rFonts w:ascii="Arial" w:hAnsi="Arial"/>
      <w:bCs/>
      <w:color w:val="000000"/>
      <w:kern w:val="18"/>
      <w:sz w:val="22"/>
      <w:szCs w:val="22"/>
      <w:lang w:val="en-GB" w:eastAsia="en-US"/>
    </w:rPr>
  </w:style>
  <w:style w:type="paragraph" w:customStyle="1" w:styleId="Paragraph2WorkingDocumentab">
    <w:name w:val="Paragraph 2: Working Document a) b)"/>
    <w:basedOn w:val="Paragraph1WorkingDocument123"/>
    <w:qFormat/>
    <w:rsid w:val="00DC152C"/>
    <w:pPr>
      <w:numPr>
        <w:ilvl w:val="5"/>
      </w:numPr>
      <w:outlineLvl w:val="5"/>
    </w:pPr>
  </w:style>
  <w:style w:type="paragraph" w:customStyle="1" w:styleId="Paragraph3WorkingDocumentiiiiii">
    <w:name w:val="Paragraph 3: Working Document i) ii) iii)..."/>
    <w:basedOn w:val="Paragraph1WorkingDocument123"/>
    <w:qFormat/>
    <w:rsid w:val="00DC152C"/>
    <w:pPr>
      <w:numPr>
        <w:ilvl w:val="6"/>
      </w:numPr>
      <w:outlineLvl w:val="6"/>
    </w:pPr>
  </w:style>
  <w:style w:type="character" w:styleId="Hyperlink">
    <w:name w:val="Hyperlink"/>
    <w:uiPriority w:val="99"/>
    <w:unhideWhenUsed/>
    <w:rsid w:val="00C60F84"/>
    <w:rPr>
      <w:color w:val="0000FF"/>
      <w:u w:val="single"/>
    </w:rPr>
  </w:style>
  <w:style w:type="paragraph" w:customStyle="1" w:styleId="Default">
    <w:name w:val="Default"/>
    <w:rsid w:val="0080017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84A37"/>
    <w:rPr>
      <w:sz w:val="16"/>
      <w:szCs w:val="16"/>
    </w:rPr>
  </w:style>
  <w:style w:type="paragraph" w:customStyle="1" w:styleId="GAPreambulaResolution">
    <w:name w:val="GA Preambula Resolution"/>
    <w:basedOn w:val="Normal"/>
    <w:qFormat/>
    <w:rsid w:val="001B0BAE"/>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0E4A33"/>
    <w:rPr>
      <w:sz w:val="20"/>
      <w:szCs w:val="20"/>
    </w:rPr>
  </w:style>
  <w:style w:type="character" w:customStyle="1" w:styleId="FootnoteTextChar">
    <w:name w:val="Footnote Text Char"/>
    <w:basedOn w:val="DefaultParagraphFont"/>
    <w:link w:val="FootnoteText"/>
    <w:uiPriority w:val="99"/>
    <w:semiHidden/>
    <w:rsid w:val="000E4A33"/>
    <w:rPr>
      <w:rFonts w:ascii="Times New Roman" w:eastAsia="Times New Roman" w:hAnsi="Times New Roman"/>
    </w:rPr>
  </w:style>
  <w:style w:type="character" w:styleId="FootnoteReference">
    <w:name w:val="footnote reference"/>
    <w:basedOn w:val="DefaultParagraphFont"/>
    <w:uiPriority w:val="99"/>
    <w:semiHidden/>
    <w:unhideWhenUsed/>
    <w:rsid w:val="000E4A33"/>
    <w:rPr>
      <w:vertAlign w:val="superscript"/>
    </w:rPr>
  </w:style>
  <w:style w:type="character" w:styleId="FollowedHyperlink">
    <w:name w:val="FollowedHyperlink"/>
    <w:basedOn w:val="DefaultParagraphFont"/>
    <w:uiPriority w:val="99"/>
    <w:semiHidden/>
    <w:unhideWhenUsed/>
    <w:rsid w:val="002C4861"/>
    <w:rPr>
      <w:color w:val="800080" w:themeColor="followedHyperlink"/>
      <w:u w:val="single"/>
    </w:rPr>
  </w:style>
  <w:style w:type="paragraph" w:styleId="CommentText">
    <w:name w:val="annotation text"/>
    <w:basedOn w:val="Normal"/>
    <w:link w:val="CommentTextChar"/>
    <w:uiPriority w:val="99"/>
    <w:semiHidden/>
    <w:unhideWhenUsed/>
    <w:rsid w:val="008B2782"/>
  </w:style>
  <w:style w:type="character" w:customStyle="1" w:styleId="CommentTextChar">
    <w:name w:val="Comment Text Char"/>
    <w:basedOn w:val="DefaultParagraphFont"/>
    <w:link w:val="CommentText"/>
    <w:uiPriority w:val="99"/>
    <w:semiHidden/>
    <w:rsid w:val="008B2782"/>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B2782"/>
    <w:rPr>
      <w:b/>
      <w:bCs/>
      <w:sz w:val="20"/>
      <w:szCs w:val="20"/>
    </w:rPr>
  </w:style>
  <w:style w:type="character" w:customStyle="1" w:styleId="CommentSubjectChar">
    <w:name w:val="Comment Subject Char"/>
    <w:basedOn w:val="CommentTextChar"/>
    <w:link w:val="CommentSubject"/>
    <w:uiPriority w:val="99"/>
    <w:semiHidden/>
    <w:rsid w:val="008B2782"/>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doc/src/ITH-14-9.COM-8-EN.doc" TargetMode="External"/><Relationship Id="rId13" Type="http://schemas.openxmlformats.org/officeDocument/2006/relationships/hyperlink" Target="http://www.unesco.org/culture/ich/en/Decisions/8.COM/5.c.2" TargetMode="External"/><Relationship Id="rId18" Type="http://schemas.openxmlformats.org/officeDocument/2006/relationships/hyperlink" Target="http://www.unesco.org/culture/ich/en/Resolutions/6.GA/1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nesco.org/culture/ich/en/Decisions/9.COM/13.g" TargetMode="External"/><Relationship Id="rId7" Type="http://schemas.openxmlformats.org/officeDocument/2006/relationships/endnotes" Target="endnotes.xml"/><Relationship Id="rId12" Type="http://schemas.openxmlformats.org/officeDocument/2006/relationships/hyperlink" Target="http://www.unesco.org/culture/ich/en/Decisions/8.COM/5.c.1" TargetMode="External"/><Relationship Id="rId17" Type="http://schemas.openxmlformats.org/officeDocument/2006/relationships/hyperlink" Target="http://www.unesco.org/culture/ich/doc/src/ITH-16-11.COM-5-EN.docx"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esco.org/culture/ich/en/Resolutions/5.GA/4.1" TargetMode="External"/><Relationship Id="rId20" Type="http://schemas.openxmlformats.org/officeDocument/2006/relationships/hyperlink" Target="http://www.unesco.org/culture/ich/en/Decisions/8.COM/5.c.2" TargetMode="External"/><Relationship Id="rId29" Type="http://schemas.openxmlformats.org/officeDocument/2006/relationships/hyperlink" Target="http://www.unesco.org/culture/ich/en/Resolutions/6.GA/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3/002352/235207e.pdf"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esco.org/culture/ich/en/Decisions/10.COM/15.c" TargetMode="External"/><Relationship Id="rId23" Type="http://schemas.openxmlformats.org/officeDocument/2006/relationships/hyperlink" Target="http://www.unesco.org/culture/ich/en/Resolutions/6.GA/11" TargetMode="External"/><Relationship Id="rId28" Type="http://schemas.openxmlformats.org/officeDocument/2006/relationships/hyperlink" Target="http://www.unesco.org/culture/ich/en/Resolutions/6.GA/7" TargetMode="External"/><Relationship Id="rId10" Type="http://schemas.openxmlformats.org/officeDocument/2006/relationships/hyperlink" Target="http://unesdoc.unesco.org/images/0023/002352/235207e.pdf" TargetMode="External"/><Relationship Id="rId19" Type="http://schemas.openxmlformats.org/officeDocument/2006/relationships/hyperlink" Target="http://www.unesco.org/culture/ich/en/Decisions/8.COM/5.c.1"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unesdoc.unesco.org/images/0023/002352/235207e.pdf" TargetMode="External"/><Relationship Id="rId14" Type="http://schemas.openxmlformats.org/officeDocument/2006/relationships/hyperlink" Target="http://www.unesco.org/culture/ich/en/Decisions/9.COM/13.g" TargetMode="External"/><Relationship Id="rId22" Type="http://schemas.openxmlformats.org/officeDocument/2006/relationships/hyperlink" Target="http://www.unesco.org/culture/ich/en/Decisions/10.COM/15.c" TargetMode="External"/><Relationship Id="rId27" Type="http://schemas.openxmlformats.org/officeDocument/2006/relationships/hyperlink" Target="http://www.unesco.org/culture/ich/en/Decisions/9.COM/13.g" TargetMode="External"/><Relationship Id="rId30" Type="http://schemas.openxmlformats.org/officeDocument/2006/relationships/hyperlink" Target="http://www.unesco.org/culture/ich/en/Resolutions/6.GA/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new/en/general-conference-38th/working-group-on-govern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FE8F-31CD-4732-AD01-673E562C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216</TotalTime>
  <Pages>9</Pages>
  <Words>3429</Words>
  <Characters>18864</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Delsol, Christine</dc:creator>
  <cp:lastModifiedBy>Constantinou, Elena</cp:lastModifiedBy>
  <cp:revision>11</cp:revision>
  <cp:lastPrinted>2016-09-19T06:53:00Z</cp:lastPrinted>
  <dcterms:created xsi:type="dcterms:W3CDTF">2016-09-19T08:22:00Z</dcterms:created>
  <dcterms:modified xsi:type="dcterms:W3CDTF">2016-10-28T14:33:00Z</dcterms:modified>
</cp:coreProperties>
</file>