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F8D" w:rsidRPr="00293C60" w:rsidRDefault="00EC6F8D" w:rsidP="00EC6F8D">
      <w:pPr>
        <w:spacing w:before="1440"/>
        <w:jc w:val="center"/>
        <w:rPr>
          <w:rFonts w:ascii="Arial" w:hAnsi="Arial" w:cs="Arial"/>
          <w:b/>
          <w:sz w:val="22"/>
          <w:szCs w:val="22"/>
        </w:rPr>
      </w:pPr>
      <w:r>
        <w:rPr>
          <w:rFonts w:ascii="Arial" w:hAnsi="Arial"/>
          <w:b/>
          <w:sz w:val="22"/>
        </w:rPr>
        <w:t>CONVENTION POUR LA SAUVEGARDE</w:t>
      </w:r>
      <w:r>
        <w:rPr>
          <w:rFonts w:ascii="Arial" w:hAnsi="Arial" w:cs="Arial"/>
          <w:b/>
          <w:sz w:val="22"/>
          <w:szCs w:val="22"/>
        </w:rPr>
        <w:br/>
      </w:r>
      <w:r>
        <w:rPr>
          <w:rFonts w:ascii="Arial" w:hAnsi="Arial"/>
          <w:b/>
          <w:sz w:val="22"/>
        </w:rPr>
        <w:t>DU PATRIMOINE CULTUREL IMMATÉRIEL</w:t>
      </w:r>
    </w:p>
    <w:p w:rsidR="00EC6F8D" w:rsidRPr="00293C60" w:rsidRDefault="00265B1E" w:rsidP="00EC6F8D">
      <w:pPr>
        <w:spacing w:before="1200"/>
        <w:jc w:val="center"/>
        <w:rPr>
          <w:rFonts w:ascii="Arial" w:hAnsi="Arial" w:cs="Arial"/>
          <w:b/>
          <w:sz w:val="22"/>
          <w:szCs w:val="22"/>
        </w:rPr>
      </w:pPr>
      <w:r>
        <w:rPr>
          <w:rFonts w:ascii="Arial" w:hAnsi="Arial"/>
          <w:b/>
          <w:sz w:val="22"/>
        </w:rPr>
        <w:t>COMITÉ INTERGOUVERNEMENTAL DE</w:t>
      </w:r>
      <w:r w:rsidR="00EC6F8D">
        <w:rPr>
          <w:rFonts w:ascii="Arial" w:hAnsi="Arial" w:cs="Arial"/>
          <w:b/>
          <w:sz w:val="22"/>
          <w:szCs w:val="22"/>
        </w:rPr>
        <w:br/>
      </w:r>
      <w:r w:rsidR="00EC6F8D">
        <w:rPr>
          <w:rFonts w:ascii="Arial" w:hAnsi="Arial"/>
          <w:b/>
          <w:sz w:val="22"/>
        </w:rPr>
        <w:t>SAUVEGARDE DU PATRIMOINE CULTUREL IMMATÉRIEL</w:t>
      </w:r>
    </w:p>
    <w:p w:rsidR="00EC6F8D" w:rsidRPr="00293C60" w:rsidRDefault="00CB0542" w:rsidP="00EC6F8D">
      <w:pPr>
        <w:spacing w:before="840"/>
        <w:jc w:val="center"/>
        <w:rPr>
          <w:rFonts w:ascii="Arial" w:hAnsi="Arial" w:cs="Arial"/>
          <w:b/>
          <w:sz w:val="22"/>
          <w:szCs w:val="22"/>
        </w:rPr>
      </w:pPr>
      <w:r>
        <w:rPr>
          <w:rFonts w:ascii="Arial" w:hAnsi="Arial"/>
          <w:b/>
          <w:sz w:val="22"/>
        </w:rPr>
        <w:t>Onzième session</w:t>
      </w:r>
    </w:p>
    <w:p w:rsidR="009D5428" w:rsidRDefault="00CB0542" w:rsidP="005E7074">
      <w:pPr>
        <w:jc w:val="center"/>
        <w:rPr>
          <w:rFonts w:ascii="Arial" w:hAnsi="Arial" w:cs="Arial"/>
          <w:b/>
          <w:sz w:val="22"/>
          <w:szCs w:val="22"/>
        </w:rPr>
      </w:pPr>
      <w:r>
        <w:rPr>
          <w:rFonts w:ascii="Arial" w:hAnsi="Arial"/>
          <w:b/>
          <w:sz w:val="22"/>
        </w:rPr>
        <w:t>Addis-Abeba, Éthiopie</w:t>
      </w:r>
    </w:p>
    <w:p w:rsidR="00EC6F8D" w:rsidRPr="00293C60" w:rsidRDefault="00CB0542" w:rsidP="00EC6F8D">
      <w:pPr>
        <w:jc w:val="center"/>
        <w:rPr>
          <w:rFonts w:ascii="Arial" w:hAnsi="Arial" w:cs="Arial"/>
          <w:b/>
          <w:sz w:val="22"/>
          <w:szCs w:val="22"/>
        </w:rPr>
      </w:pPr>
      <w:r>
        <w:rPr>
          <w:rFonts w:ascii="Arial" w:hAnsi="Arial"/>
          <w:b/>
          <w:sz w:val="22"/>
        </w:rPr>
        <w:t>28 novembre – 2 décembre 2016</w:t>
      </w:r>
    </w:p>
    <w:p w:rsidR="00EC6F8D" w:rsidRPr="00293C60" w:rsidRDefault="00EC6F8D" w:rsidP="00EC6F8D">
      <w:pPr>
        <w:pStyle w:val="Sansinterligne2"/>
        <w:spacing w:before="1200"/>
        <w:jc w:val="center"/>
        <w:rPr>
          <w:rFonts w:ascii="Arial" w:hAnsi="Arial" w:cs="Arial"/>
          <w:b/>
          <w:sz w:val="22"/>
          <w:szCs w:val="22"/>
        </w:rPr>
      </w:pPr>
      <w:r>
        <w:rPr>
          <w:rFonts w:ascii="Arial" w:hAnsi="Arial"/>
          <w:b/>
          <w:sz w:val="22"/>
          <w:u w:val="single"/>
        </w:rPr>
        <w:t>Point 7 de l</w:t>
      </w:r>
      <w:r w:rsidR="00443556">
        <w:rPr>
          <w:rFonts w:ascii="Arial" w:hAnsi="Arial"/>
          <w:b/>
          <w:sz w:val="22"/>
          <w:u w:val="single"/>
        </w:rPr>
        <w:t>’</w:t>
      </w:r>
      <w:r>
        <w:rPr>
          <w:rFonts w:ascii="Arial" w:hAnsi="Arial"/>
          <w:b/>
          <w:sz w:val="22"/>
          <w:u w:val="single"/>
        </w:rPr>
        <w:t>ordre du jour provisoire</w:t>
      </w:r>
      <w:r>
        <w:rPr>
          <w:rFonts w:ascii="Arial" w:hAnsi="Arial"/>
          <w:b/>
          <w:sz w:val="22"/>
        </w:rPr>
        <w:t> :</w:t>
      </w:r>
    </w:p>
    <w:p w:rsidR="00EC6F8D" w:rsidRPr="00293C60" w:rsidRDefault="00330480" w:rsidP="00EC6F8D">
      <w:pPr>
        <w:pStyle w:val="Sansinterligne2"/>
        <w:spacing w:after="1200"/>
        <w:jc w:val="center"/>
        <w:rPr>
          <w:rFonts w:ascii="Arial" w:hAnsi="Arial" w:cs="Arial"/>
          <w:b/>
          <w:sz w:val="22"/>
          <w:szCs w:val="22"/>
        </w:rPr>
      </w:pPr>
      <w:r>
        <w:rPr>
          <w:rFonts w:ascii="Arial" w:hAnsi="Arial"/>
          <w:b/>
          <w:sz w:val="22"/>
        </w:rPr>
        <w:t>Suivi des recommandations du rapport du Commissaire aux comptes « Rapport d</w:t>
      </w:r>
      <w:r w:rsidR="00443556">
        <w:rPr>
          <w:rFonts w:ascii="Arial" w:hAnsi="Arial"/>
          <w:b/>
          <w:sz w:val="22"/>
        </w:rPr>
        <w:t>’</w:t>
      </w:r>
      <w:r>
        <w:rPr>
          <w:rFonts w:ascii="Arial" w:hAnsi="Arial"/>
          <w:b/>
          <w:sz w:val="22"/>
        </w:rPr>
        <w:t>audit de la gouvernance de l</w:t>
      </w:r>
      <w:r w:rsidR="00443556">
        <w:rPr>
          <w:rFonts w:ascii="Arial" w:hAnsi="Arial"/>
          <w:b/>
          <w:sz w:val="22"/>
        </w:rPr>
        <w:t>’</w:t>
      </w:r>
      <w:r>
        <w:rPr>
          <w:rFonts w:ascii="Arial" w:hAnsi="Arial"/>
          <w:b/>
          <w:sz w:val="22"/>
        </w:rPr>
        <w:t>UNESCO et des entités, fonds et programmes rattachés » (Document 38C/23)</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4F5B67" w:rsidTr="00EC6F8D">
        <w:trPr>
          <w:jc w:val="center"/>
        </w:trPr>
        <w:tc>
          <w:tcPr>
            <w:tcW w:w="5670" w:type="dxa"/>
            <w:vAlign w:val="center"/>
          </w:tcPr>
          <w:p w:rsidR="00EC6F8D" w:rsidRPr="00DA7318" w:rsidRDefault="00EC6F8D" w:rsidP="00CA56BB">
            <w:pPr>
              <w:pStyle w:val="Sansinterligne1"/>
              <w:spacing w:before="200" w:after="200"/>
              <w:jc w:val="center"/>
              <w:rPr>
                <w:rFonts w:ascii="Arial" w:hAnsi="Arial" w:cs="Arial"/>
                <w:b/>
                <w:sz w:val="22"/>
                <w:szCs w:val="22"/>
              </w:rPr>
            </w:pPr>
            <w:r>
              <w:rPr>
                <w:rFonts w:ascii="Arial" w:hAnsi="Arial"/>
                <w:b/>
                <w:sz w:val="22"/>
              </w:rPr>
              <w:t>Résumé</w:t>
            </w:r>
          </w:p>
          <w:p w:rsidR="00862914" w:rsidRDefault="009648D3" w:rsidP="00EC19CD">
            <w:pPr>
              <w:pStyle w:val="Sansinterligne1"/>
              <w:spacing w:before="200" w:after="200"/>
              <w:jc w:val="both"/>
              <w:rPr>
                <w:rFonts w:ascii="Arial" w:hAnsi="Arial" w:cs="Arial"/>
                <w:sz w:val="22"/>
                <w:szCs w:val="22"/>
              </w:rPr>
            </w:pPr>
            <w:r>
              <w:rPr>
                <w:rFonts w:ascii="Arial" w:hAnsi="Arial"/>
                <w:sz w:val="22"/>
              </w:rPr>
              <w:t>La trente-huitième Conférence générale de l</w:t>
            </w:r>
            <w:r w:rsidR="00443556">
              <w:rPr>
                <w:rFonts w:ascii="Arial" w:hAnsi="Arial"/>
                <w:sz w:val="22"/>
              </w:rPr>
              <w:t>’</w:t>
            </w:r>
            <w:r>
              <w:rPr>
                <w:rFonts w:ascii="Arial" w:hAnsi="Arial"/>
                <w:sz w:val="22"/>
              </w:rPr>
              <w:t>UNESCO, dans sa résolution 38C/101, a invité tous les programmes intergouvernementaux, comités et organes des conventions à inscrire à leur ordre du jour, si possible en 2016, un point relatif au suivi des recommandations du rapport du Commissaire aux comptes « Rapport d</w:t>
            </w:r>
            <w:r w:rsidR="00443556">
              <w:rPr>
                <w:rFonts w:ascii="Arial" w:hAnsi="Arial"/>
                <w:sz w:val="22"/>
              </w:rPr>
              <w:t>’</w:t>
            </w:r>
            <w:r>
              <w:rPr>
                <w:rFonts w:ascii="Arial" w:hAnsi="Arial"/>
                <w:sz w:val="22"/>
              </w:rPr>
              <w:t>audit de la gouvernance de l</w:t>
            </w:r>
            <w:r w:rsidR="00443556">
              <w:rPr>
                <w:rFonts w:ascii="Arial" w:hAnsi="Arial"/>
                <w:sz w:val="22"/>
              </w:rPr>
              <w:t>’</w:t>
            </w:r>
            <w:r>
              <w:rPr>
                <w:rFonts w:ascii="Arial" w:hAnsi="Arial"/>
                <w:sz w:val="22"/>
              </w:rPr>
              <w:t>UNESCO et des entités, fonds et programmes rattachés » contenu dans le document 38C/23. Le présent document fait le point sur les recommandations du rapport d</w:t>
            </w:r>
            <w:r w:rsidR="00443556">
              <w:rPr>
                <w:rFonts w:ascii="Arial" w:hAnsi="Arial"/>
                <w:sz w:val="22"/>
              </w:rPr>
              <w:t>’</w:t>
            </w:r>
            <w:r>
              <w:rPr>
                <w:rFonts w:ascii="Arial" w:hAnsi="Arial"/>
                <w:sz w:val="22"/>
              </w:rPr>
              <w:t>audit, concernant directement les organes directeurs de la Convention de 2003.</w:t>
            </w:r>
          </w:p>
          <w:p w:rsidR="00EC6F8D" w:rsidRPr="00293C60" w:rsidRDefault="00EC6F8D" w:rsidP="00DC152C">
            <w:pPr>
              <w:pStyle w:val="Sansinterligne1"/>
              <w:spacing w:before="200" w:after="200"/>
              <w:jc w:val="both"/>
              <w:rPr>
                <w:rFonts w:ascii="Arial" w:hAnsi="Arial" w:cs="Arial"/>
                <w:b/>
                <w:sz w:val="22"/>
                <w:szCs w:val="22"/>
              </w:rPr>
            </w:pPr>
            <w:r>
              <w:rPr>
                <w:rFonts w:ascii="Arial" w:hAnsi="Arial"/>
                <w:b/>
                <w:sz w:val="22"/>
              </w:rPr>
              <w:t xml:space="preserve">Décision requise : </w:t>
            </w:r>
            <w:r>
              <w:rPr>
                <w:rFonts w:ascii="Arial" w:hAnsi="Arial"/>
                <w:sz w:val="22"/>
              </w:rPr>
              <w:t>paragraphe 10</w:t>
            </w:r>
          </w:p>
        </w:tc>
      </w:tr>
    </w:tbl>
    <w:p w:rsidR="00CC5CF6" w:rsidRDefault="007253B6" w:rsidP="00B74F73">
      <w:pPr>
        <w:pStyle w:val="COMPara"/>
        <w:numPr>
          <w:ilvl w:val="0"/>
          <w:numId w:val="17"/>
        </w:numPr>
        <w:jc w:val="both"/>
      </w:pPr>
      <w:r>
        <w:lastRenderedPageBreak/>
        <w:t xml:space="preserve">En 2013, </w:t>
      </w:r>
      <w:r w:rsidR="0003255C">
        <w:t xml:space="preserve">à </w:t>
      </w:r>
      <w:proofErr w:type="gramStart"/>
      <w:r w:rsidR="0003255C">
        <w:t>sa trente septième session</w:t>
      </w:r>
      <w:proofErr w:type="gramEnd"/>
      <w:r w:rsidR="0003255C">
        <w:t xml:space="preserve">, </w:t>
      </w:r>
      <w:r>
        <w:t>l</w:t>
      </w:r>
      <w:r w:rsidR="009648D3">
        <w:t>a Conférence générale</w:t>
      </w:r>
      <w:r w:rsidR="003E0508">
        <w:t xml:space="preserve"> de l</w:t>
      </w:r>
      <w:r w:rsidR="00443556">
        <w:t>’</w:t>
      </w:r>
      <w:r w:rsidR="003E0508">
        <w:t>UNESCO</w:t>
      </w:r>
      <w:r w:rsidR="00B74F73">
        <w:t xml:space="preserve"> </w:t>
      </w:r>
      <w:r w:rsidR="009648D3">
        <w:t>a prié le Commissaire aux comptes de réaliser un audit de la gouvernance de l</w:t>
      </w:r>
      <w:r w:rsidR="00443556">
        <w:t>’</w:t>
      </w:r>
      <w:r w:rsidR="009648D3">
        <w:t>UNESCO, dans le cadre de sa résolution 37C/96, à titre de suivi des recommandations du Corps commun d</w:t>
      </w:r>
      <w:r w:rsidR="00443556">
        <w:t>’</w:t>
      </w:r>
      <w:r w:rsidR="009648D3">
        <w:t>inspection (CCI) des Nations Unies relatives aux méthodes de travail des organes intergouvernementaux de l</w:t>
      </w:r>
      <w:r w:rsidR="00443556">
        <w:t>’</w:t>
      </w:r>
      <w:r w:rsidR="009648D3">
        <w:t xml:space="preserve">UNESCO. </w:t>
      </w:r>
      <w:r w:rsidR="00B74F73">
        <w:t>Dans cette résolution, l</w:t>
      </w:r>
      <w:r w:rsidR="009648D3">
        <w:t>a Conférence générale a invité tous les organes directeurs, programmes intergouvernementaux, comités et organes des conventions « à procéder à une auto-évaluation portant sur la pertinence globale de leurs travaux eu égard à leur mandat spécifique ainsi que sur l</w:t>
      </w:r>
      <w:r w:rsidR="00443556">
        <w:t>’</w:t>
      </w:r>
      <w:r w:rsidR="009648D3">
        <w:t>efficience et l</w:t>
      </w:r>
      <w:r w:rsidR="00443556">
        <w:t>’</w:t>
      </w:r>
      <w:r w:rsidR="009648D3">
        <w:t>efficacité de leurs réunions, notamment l</w:t>
      </w:r>
      <w:r w:rsidR="00443556">
        <w:t>’</w:t>
      </w:r>
      <w:r w:rsidR="009648D3">
        <w:t>impact et l</w:t>
      </w:r>
      <w:r w:rsidR="00443556">
        <w:t>’</w:t>
      </w:r>
      <w:r w:rsidR="009648D3">
        <w:t>utilité du temps d</w:t>
      </w:r>
      <w:r w:rsidR="00443556">
        <w:t>’</w:t>
      </w:r>
      <w:r w:rsidR="009648D3">
        <w:t>experts. » La Conférence générale a également invité « le Commissaire aux comptes à faciliter l</w:t>
      </w:r>
      <w:r w:rsidR="00443556">
        <w:t>’</w:t>
      </w:r>
      <w:r w:rsidR="009648D3">
        <w:t>auto-évaluation des organes directeurs en mettant à la disposition de ces derniers un cadre d</w:t>
      </w:r>
      <w:r w:rsidR="00443556">
        <w:t>’</w:t>
      </w:r>
      <w:r w:rsidR="009648D3">
        <w:t>évaluation commun ».</w:t>
      </w:r>
    </w:p>
    <w:p w:rsidR="001B0BAE" w:rsidRDefault="00FC5CD3" w:rsidP="00C57622">
      <w:pPr>
        <w:pStyle w:val="COMPara"/>
        <w:numPr>
          <w:ilvl w:val="0"/>
          <w:numId w:val="17"/>
        </w:numPr>
        <w:jc w:val="both"/>
      </w:pPr>
      <w:r>
        <w:t xml:space="preserve">En avril 2014, le Commissaire aux comptes a envoyé aux </w:t>
      </w:r>
      <w:r w:rsidR="00C57622">
        <w:t xml:space="preserve">présidents </w:t>
      </w:r>
      <w:r>
        <w:t>de tous les organes directeurs de l</w:t>
      </w:r>
      <w:r w:rsidR="00443556">
        <w:t>’</w:t>
      </w:r>
      <w:r>
        <w:t>UNESCO et des fonds, programmes et entités rattachés deux questionnaires constituant ledit cadre d</w:t>
      </w:r>
      <w:r w:rsidR="00443556">
        <w:t>’</w:t>
      </w:r>
      <w:r>
        <w:t>auto-évaluation. Le Secrétariat de la Convention pour la sauvegarde du patrimoine culturel immatériel (« Convention de 2003 ») a envoyé les questionnaires au</w:t>
      </w:r>
      <w:r w:rsidR="00C57622">
        <w:t>x</w:t>
      </w:r>
      <w:r>
        <w:t xml:space="preserve"> président</w:t>
      </w:r>
      <w:r w:rsidR="00C57622">
        <w:t>s</w:t>
      </w:r>
      <w:r>
        <w:t xml:space="preserve"> des organes directeurs de la Convention de 2003 en juin 2014, en copie du message du Commissaire aux comptes. Les présidents de la cinquième session de l</w:t>
      </w:r>
      <w:r w:rsidR="00443556">
        <w:t>’</w:t>
      </w:r>
      <w:r>
        <w:t>Assemblée générale et de la neuvième session du Comité intergouvernemental ont ainsi coordonné les commentaires des États parties et des membres du Comité respectivement. À la demande du Commissaire aux comptes, le Secrétariat a échangé avec les deux présidents sur les questions factuelles ou techniques soulevées par les questionnaires et fourni les informations demandées. Un document de travail (</w:t>
      </w:r>
      <w:hyperlink r:id="rId9">
        <w:r>
          <w:rPr>
            <w:rStyle w:val="Hyperlink"/>
          </w:rPr>
          <w:t>ITH/14/9.COM/8</w:t>
        </w:r>
      </w:hyperlink>
      <w:r>
        <w:t>) sur l</w:t>
      </w:r>
      <w:r w:rsidR="00443556">
        <w:t>’</w:t>
      </w:r>
      <w:r>
        <w:t xml:space="preserve">audit a été </w:t>
      </w:r>
      <w:r w:rsidR="00C57622">
        <w:t>examiné par le</w:t>
      </w:r>
      <w:r w:rsidR="00D26FBC">
        <w:t xml:space="preserve"> Comité </w:t>
      </w:r>
      <w:r>
        <w:t>à l</w:t>
      </w:r>
      <w:r w:rsidR="00443556">
        <w:t>’</w:t>
      </w:r>
      <w:r>
        <w:t>occasion de sa neuvième session.</w:t>
      </w:r>
    </w:p>
    <w:p w:rsidR="00132FB1" w:rsidRDefault="00800175" w:rsidP="008B2782">
      <w:pPr>
        <w:pStyle w:val="COMPara"/>
        <w:numPr>
          <w:ilvl w:val="0"/>
          <w:numId w:val="17"/>
        </w:numPr>
        <w:jc w:val="both"/>
      </w:pPr>
      <w:r>
        <w:t>À l</w:t>
      </w:r>
      <w:r w:rsidR="00443556">
        <w:t>’</w:t>
      </w:r>
      <w:r>
        <w:t>occasion de sa 197e session en 2015, le Conseil exécutif a étudié le rapport d</w:t>
      </w:r>
      <w:r w:rsidR="00443556">
        <w:t>’</w:t>
      </w:r>
      <w:r>
        <w:t>audit définitif sur la gouvernance de l</w:t>
      </w:r>
      <w:r w:rsidR="00443556">
        <w:t>’</w:t>
      </w:r>
      <w:r>
        <w:t xml:space="preserve">UNESCO et </w:t>
      </w:r>
      <w:r w:rsidR="00F23278">
        <w:t>sur les</w:t>
      </w:r>
      <w:r>
        <w:t xml:space="preserve"> fonds et programmes </w:t>
      </w:r>
      <w:r w:rsidR="007253B6">
        <w:t>rattachés</w:t>
      </w:r>
      <w:r>
        <w:t xml:space="preserve">, </w:t>
      </w:r>
      <w:r w:rsidR="00F23278">
        <w:t xml:space="preserve">notamment </w:t>
      </w:r>
      <w:r>
        <w:t>les résultats des questionnaires d</w:t>
      </w:r>
      <w:r w:rsidR="00443556">
        <w:t>’</w:t>
      </w:r>
      <w:r>
        <w:t xml:space="preserve">auto-évaluation, et </w:t>
      </w:r>
      <w:r w:rsidR="00F23278">
        <w:t xml:space="preserve">a </w:t>
      </w:r>
      <w:r>
        <w:t xml:space="preserve">recommandé </w:t>
      </w:r>
      <w:r w:rsidR="00F23278">
        <w:t xml:space="preserve">lors de </w:t>
      </w:r>
      <w:r>
        <w:t>la Conférence générale :</w:t>
      </w:r>
    </w:p>
    <w:p w:rsidR="00132FB1" w:rsidRDefault="007253B6" w:rsidP="00C57622">
      <w:pPr>
        <w:pStyle w:val="COMPara"/>
        <w:numPr>
          <w:ilvl w:val="1"/>
          <w:numId w:val="17"/>
        </w:numPr>
        <w:jc w:val="both"/>
      </w:pPr>
      <w:r>
        <w:t>d</w:t>
      </w:r>
      <w:r w:rsidR="00443556">
        <w:t>’</w:t>
      </w:r>
      <w:r>
        <w:t>établir</w:t>
      </w:r>
      <w:r w:rsidR="00151AD1">
        <w:t xml:space="preserve"> un groupe de travail </w:t>
      </w:r>
      <w:r w:rsidR="00C57622">
        <w:t>ouvert</w:t>
      </w:r>
      <w:r w:rsidR="00151AD1">
        <w:t xml:space="preserve"> pour discuter des recommandations du rapport d</w:t>
      </w:r>
      <w:r w:rsidR="00443556">
        <w:t>’</w:t>
      </w:r>
      <w:r w:rsidR="00151AD1">
        <w:t>audit et</w:t>
      </w:r>
    </w:p>
    <w:p w:rsidR="001B0BAE" w:rsidRDefault="004849DB" w:rsidP="00132FB1">
      <w:pPr>
        <w:pStyle w:val="COMPara"/>
        <w:numPr>
          <w:ilvl w:val="1"/>
          <w:numId w:val="17"/>
        </w:numPr>
        <w:jc w:val="both"/>
      </w:pPr>
      <w:r>
        <w:t>prié la Directrice générale de lancer la mise en œuvre des recommandations 1, 11 et 13 du rapport du Commissaire aux comptes (197 EX/Décision 28 et 44).</w:t>
      </w:r>
    </w:p>
    <w:p w:rsidR="001B0BAE" w:rsidRDefault="0003255C" w:rsidP="0029152F">
      <w:pPr>
        <w:pStyle w:val="COMPara"/>
        <w:numPr>
          <w:ilvl w:val="0"/>
          <w:numId w:val="17"/>
        </w:numPr>
        <w:jc w:val="both"/>
      </w:pPr>
      <w:r>
        <w:t xml:space="preserve">À sa </w:t>
      </w:r>
      <w:r w:rsidR="001C126F">
        <w:t>trente-huitième</w:t>
      </w:r>
      <w:r>
        <w:t xml:space="preserve"> session, en 2015, la</w:t>
      </w:r>
      <w:r w:rsidR="001C126F">
        <w:t xml:space="preserve"> Conférence générale a examiné</w:t>
      </w:r>
      <w:r w:rsidR="00790588">
        <w:t xml:space="preserve"> </w:t>
      </w:r>
      <w:r w:rsidR="001C126F">
        <w:t>le rapport d</w:t>
      </w:r>
      <w:r w:rsidR="00443556">
        <w:t>’</w:t>
      </w:r>
      <w:r w:rsidR="001C126F">
        <w:t>audit (</w:t>
      </w:r>
      <w:hyperlink r:id="rId10">
        <w:r w:rsidR="001C126F">
          <w:rPr>
            <w:rStyle w:val="Hyperlink"/>
          </w:rPr>
          <w:t>document 38 C/23</w:t>
        </w:r>
      </w:hyperlink>
      <w:r w:rsidR="001C126F">
        <w:t>) et les recommandations du Conseil exécutif. Dans sa résolution 38 C/101, elle a réaffirmé la « nécessité d</w:t>
      </w:r>
      <w:r w:rsidR="00443556">
        <w:t>’</w:t>
      </w:r>
      <w:r w:rsidR="001C126F">
        <w:t>optimiser la gouvernance des programmes intergouvernementaux, comités et conventions en exploitant les possibilités de renforcer la synergie, l</w:t>
      </w:r>
      <w:r w:rsidR="00443556">
        <w:t>’</w:t>
      </w:r>
      <w:r w:rsidR="001C126F">
        <w:t>harmonisation, l</w:t>
      </w:r>
      <w:r w:rsidR="00443556">
        <w:t>’</w:t>
      </w:r>
      <w:r w:rsidR="001C126F">
        <w:t>efficacité et l</w:t>
      </w:r>
      <w:r w:rsidR="00443556">
        <w:t>’</w:t>
      </w:r>
      <w:r w:rsidR="001C126F">
        <w:t>impact, tout en gardant à l</w:t>
      </w:r>
      <w:r w:rsidR="00443556">
        <w:t>’</w:t>
      </w:r>
      <w:r w:rsidR="001C126F">
        <w:t xml:space="preserve">esprit les exigences en termes de qualité de travail ainsi que les spécificités du mandat, de la composition et du fonctionnement des différents organes directeurs » et </w:t>
      </w:r>
      <w:r>
        <w:t xml:space="preserve">a </w:t>
      </w:r>
      <w:r w:rsidR="001C126F">
        <w:t>adopté les deux recommandations ci-</w:t>
      </w:r>
      <w:r w:rsidR="0029152F">
        <w:t xml:space="preserve">dessus </w:t>
      </w:r>
      <w:r w:rsidR="001C126F">
        <w:t>du Conseil exécutif.</w:t>
      </w:r>
    </w:p>
    <w:p w:rsidR="001B0BAE" w:rsidRDefault="00CE6680" w:rsidP="007B6A1E">
      <w:pPr>
        <w:pStyle w:val="COMPara"/>
        <w:numPr>
          <w:ilvl w:val="0"/>
          <w:numId w:val="17"/>
        </w:numPr>
        <w:jc w:val="both"/>
      </w:pPr>
      <w:r>
        <w:t>Conformément à la résolution 38 C/101, le mandat</w:t>
      </w:r>
      <w:r>
        <w:rPr>
          <w:rStyle w:val="FootnoteReference"/>
        </w:rPr>
        <w:footnoteReference w:id="1"/>
      </w:r>
      <w:r>
        <w:t xml:space="preserve"> du groupe de travail</w:t>
      </w:r>
      <w:r>
        <w:rPr>
          <w:rStyle w:val="FootnoteReference"/>
        </w:rPr>
        <w:footnoteReference w:id="2"/>
      </w:r>
      <w:r>
        <w:t xml:space="preserve"> consiste à examiner la gouvernance, les procédures et les méthodes de travail des organes directeurs de l</w:t>
      </w:r>
      <w:r w:rsidR="00443556">
        <w:t>’</w:t>
      </w:r>
      <w:r>
        <w:t>UNESCO, sur la base des avis et des propositions émanant des États membres, du rapport d</w:t>
      </w:r>
      <w:r w:rsidR="00443556">
        <w:t>’</w:t>
      </w:r>
      <w:r>
        <w:t>audit du Commissaire aux comptes sur la gouvernance de l</w:t>
      </w:r>
      <w:r w:rsidR="00443556">
        <w:t>’</w:t>
      </w:r>
      <w:r>
        <w:t>UNESCO, des évaluations et audits pertinents menés par le Service d</w:t>
      </w:r>
      <w:r w:rsidR="00443556">
        <w:t>’</w:t>
      </w:r>
      <w:r>
        <w:t>évaluation et d</w:t>
      </w:r>
      <w:r w:rsidR="00443556">
        <w:t>’</w:t>
      </w:r>
      <w:r>
        <w:t>audit (IOS), ainsi que des décisions et résolutions antérieures en rapport avec la gouvernance. Le groupe de travail soumettra ses recommandations au Conseil exécutif, à l</w:t>
      </w:r>
      <w:r w:rsidR="00443556">
        <w:t>’</w:t>
      </w:r>
      <w:r>
        <w:t>occasion de sa 202e session en 2017, qui proposera, à son tour, ses recommandations à la trente-neuvième Conférence générale.</w:t>
      </w:r>
    </w:p>
    <w:p w:rsidR="001B0BAE" w:rsidRDefault="00C60F84" w:rsidP="0029152F">
      <w:pPr>
        <w:pStyle w:val="COMPara"/>
        <w:numPr>
          <w:ilvl w:val="0"/>
          <w:numId w:val="17"/>
        </w:numPr>
        <w:jc w:val="both"/>
      </w:pPr>
      <w:r>
        <w:t xml:space="preserve">Dans sa résolution 38 C/101, la Conférence générale a également invité tous les programmes intergouvernementaux, comités et organes des conventions à inscrire à leur ordre du jour, si </w:t>
      </w:r>
      <w:r>
        <w:lastRenderedPageBreak/>
        <w:t xml:space="preserve">possible en 2016, un point relatif au suivi des recommandations du rapport du Commissaire aux comptes reproduit dans le </w:t>
      </w:r>
      <w:hyperlink r:id="rId11">
        <w:r w:rsidR="0040763E">
          <w:rPr>
            <w:rStyle w:val="Hyperlink"/>
          </w:rPr>
          <w:t>document</w:t>
        </w:r>
        <w:r w:rsidR="0040763E" w:rsidRPr="0040763E">
          <w:rPr>
            <w:rStyle w:val="Hyperlink"/>
          </w:rPr>
          <w:t> </w:t>
        </w:r>
        <w:r w:rsidR="0040763E">
          <w:rPr>
            <w:rStyle w:val="Hyperlink"/>
          </w:rPr>
          <w:t>38</w:t>
        </w:r>
        <w:r w:rsidR="0040763E" w:rsidRPr="0040763E">
          <w:rPr>
            <w:rStyle w:val="Hyperlink"/>
          </w:rPr>
          <w:t> </w:t>
        </w:r>
        <w:r>
          <w:rPr>
            <w:rStyle w:val="Hyperlink"/>
          </w:rPr>
          <w:t>C/23</w:t>
        </w:r>
      </w:hyperlink>
      <w:r>
        <w:t>, à prendre des mesures concrètes pour améliorer leur gouvernance, et à rendre compte des propositions qu</w:t>
      </w:r>
      <w:r w:rsidR="00443556">
        <w:t>’</w:t>
      </w:r>
      <w:r>
        <w:t xml:space="preserve">ils auront formulées au président du groupe de travail </w:t>
      </w:r>
      <w:r w:rsidR="0029152F">
        <w:t>ouvert</w:t>
      </w:r>
      <w:r>
        <w:t>. La présente session du Comité intergouvernemental de la Convention 2003 doit donc examiner ce point de l</w:t>
      </w:r>
      <w:r w:rsidR="00443556">
        <w:t>’</w:t>
      </w:r>
      <w:r>
        <w:t>ordre du jour.</w:t>
      </w:r>
    </w:p>
    <w:p w:rsidR="007B6A1E" w:rsidRPr="00DA7318" w:rsidRDefault="00383967" w:rsidP="00132FB1">
      <w:pPr>
        <w:pStyle w:val="COMPara"/>
        <w:numPr>
          <w:ilvl w:val="0"/>
          <w:numId w:val="17"/>
        </w:numPr>
        <w:jc w:val="both"/>
      </w:pPr>
      <w:r>
        <w:t xml:space="preserve">Certaines des recommandations du Commissaire aux comptes, indiquées dans le </w:t>
      </w:r>
      <w:hyperlink r:id="rId12">
        <w:r w:rsidR="0040763E">
          <w:rPr>
            <w:rStyle w:val="Hyperlink"/>
          </w:rPr>
          <w:t>document 38</w:t>
        </w:r>
        <w:r w:rsidR="0040763E" w:rsidRPr="0040763E">
          <w:rPr>
            <w:rStyle w:val="Hyperlink"/>
          </w:rPr>
          <w:t> </w:t>
        </w:r>
        <w:r>
          <w:rPr>
            <w:rStyle w:val="Hyperlink"/>
          </w:rPr>
          <w:t>C/23</w:t>
        </w:r>
      </w:hyperlink>
      <w:r>
        <w:rPr>
          <w:rStyle w:val="Hyperlink"/>
        </w:rPr>
        <w:t xml:space="preserve">, </w:t>
      </w:r>
      <w:r>
        <w:t>ont déjà été examinées par le Comité et/ou l</w:t>
      </w:r>
      <w:r w:rsidR="00443556">
        <w:t>’</w:t>
      </w:r>
      <w:r>
        <w:t xml:space="preserve">Assemblée générale des États parties (à savoir la </w:t>
      </w:r>
      <w:hyperlink r:id="rId13">
        <w:r>
          <w:rPr>
            <w:rStyle w:val="Hyperlink"/>
          </w:rPr>
          <w:t>décision</w:t>
        </w:r>
        <w:r w:rsidR="0040763E" w:rsidRPr="0040763E">
          <w:rPr>
            <w:rStyle w:val="Hyperlink"/>
          </w:rPr>
          <w:t> </w:t>
        </w:r>
        <w:r>
          <w:rPr>
            <w:rStyle w:val="Hyperlink"/>
          </w:rPr>
          <w:t>8.COM</w:t>
        </w:r>
        <w:r w:rsidR="0040763E" w:rsidRPr="0040763E">
          <w:rPr>
            <w:rStyle w:val="Hyperlink"/>
          </w:rPr>
          <w:t> </w:t>
        </w:r>
        <w:r>
          <w:rPr>
            <w:rStyle w:val="Hyperlink"/>
          </w:rPr>
          <w:t>5.c.1</w:t>
        </w:r>
      </w:hyperlink>
      <w:r>
        <w:t xml:space="preserve">, la </w:t>
      </w:r>
      <w:hyperlink r:id="rId14">
        <w:r>
          <w:rPr>
            <w:rStyle w:val="Hyperlink"/>
          </w:rPr>
          <w:t>décision</w:t>
        </w:r>
        <w:r w:rsidR="0040763E" w:rsidRPr="0040763E">
          <w:rPr>
            <w:rStyle w:val="Hyperlink"/>
          </w:rPr>
          <w:t> </w:t>
        </w:r>
        <w:r>
          <w:rPr>
            <w:rStyle w:val="Hyperlink"/>
          </w:rPr>
          <w:t>8.COM</w:t>
        </w:r>
        <w:r w:rsidR="0040763E" w:rsidRPr="0040763E">
          <w:rPr>
            <w:rStyle w:val="Hyperlink"/>
          </w:rPr>
          <w:t> </w:t>
        </w:r>
        <w:r>
          <w:rPr>
            <w:rStyle w:val="Hyperlink"/>
          </w:rPr>
          <w:t>5.c.2</w:t>
        </w:r>
      </w:hyperlink>
      <w:r>
        <w:t xml:space="preserve">, la </w:t>
      </w:r>
      <w:hyperlink r:id="rId15">
        <w:r>
          <w:rPr>
            <w:rStyle w:val="Hyperlink"/>
          </w:rPr>
          <w:t>décision 9.COM 13.g</w:t>
        </w:r>
      </w:hyperlink>
      <w:r>
        <w:t xml:space="preserve"> et la </w:t>
      </w:r>
      <w:hyperlink r:id="rId16">
        <w:r w:rsidR="0040763E">
          <w:rPr>
            <w:rStyle w:val="Hyperlink"/>
          </w:rPr>
          <w:t>décision</w:t>
        </w:r>
        <w:r w:rsidR="0040763E" w:rsidRPr="0040763E">
          <w:rPr>
            <w:rStyle w:val="Hyperlink"/>
          </w:rPr>
          <w:t> </w:t>
        </w:r>
        <w:r>
          <w:rPr>
            <w:rStyle w:val="Hyperlink"/>
          </w:rPr>
          <w:t>10.COM</w:t>
        </w:r>
        <w:r w:rsidR="0040763E" w:rsidRPr="0040763E">
          <w:rPr>
            <w:rStyle w:val="Hyperlink"/>
          </w:rPr>
          <w:t> </w:t>
        </w:r>
        <w:r>
          <w:rPr>
            <w:rStyle w:val="Hyperlink"/>
          </w:rPr>
          <w:t>15.c</w:t>
        </w:r>
      </w:hyperlink>
      <w:r>
        <w:t xml:space="preserve"> du Comité et la </w:t>
      </w:r>
      <w:hyperlink r:id="rId17">
        <w:r>
          <w:rPr>
            <w:rStyle w:val="Hyperlink"/>
          </w:rPr>
          <w:t>résolution</w:t>
        </w:r>
        <w:r w:rsidR="0040763E" w:rsidRPr="0040763E">
          <w:rPr>
            <w:rStyle w:val="Hyperlink"/>
          </w:rPr>
          <w:t> </w:t>
        </w:r>
        <w:r>
          <w:rPr>
            <w:rStyle w:val="Hyperlink"/>
          </w:rPr>
          <w:t>5.GA</w:t>
        </w:r>
        <w:r w:rsidR="0040763E" w:rsidRPr="0040763E">
          <w:rPr>
            <w:rStyle w:val="Hyperlink"/>
          </w:rPr>
          <w:t> </w:t>
        </w:r>
        <w:r>
          <w:rPr>
            <w:rStyle w:val="Hyperlink"/>
          </w:rPr>
          <w:t>4.1</w:t>
        </w:r>
      </w:hyperlink>
      <w:r>
        <w:t xml:space="preserve"> de l</w:t>
      </w:r>
      <w:r w:rsidR="00443556">
        <w:t>’</w:t>
      </w:r>
      <w:r>
        <w:t>Assemblée générale), sous le prisme de la gouvernance et notamment des méthodes de travail des organes directeurs de la Convention de 2003, concernant particulièrement :</w:t>
      </w:r>
    </w:p>
    <w:p w:rsidR="00C60F84" w:rsidRPr="00DA7318" w:rsidRDefault="00C60F84" w:rsidP="0029152F">
      <w:pPr>
        <w:pStyle w:val="COMPara"/>
        <w:numPr>
          <w:ilvl w:val="1"/>
          <w:numId w:val="21"/>
        </w:numPr>
        <w:jc w:val="both"/>
      </w:pPr>
      <w:r>
        <w:t>l</w:t>
      </w:r>
      <w:r w:rsidR="00443556">
        <w:t>’</w:t>
      </w:r>
      <w:r>
        <w:t>évaluation du travail normatif de l</w:t>
      </w:r>
      <w:r w:rsidR="00443556">
        <w:t>’</w:t>
      </w:r>
      <w:r>
        <w:t xml:space="preserve">UNESCO </w:t>
      </w:r>
      <w:r w:rsidR="0029152F">
        <w:t>du Secteur</w:t>
      </w:r>
      <w:r>
        <w:t xml:space="preserve"> de la culture, Partie I : Convention de 2003 pour la sauvegarde du patrimoine culturel immatériel, par le Service d</w:t>
      </w:r>
      <w:r w:rsidR="00443556">
        <w:t>’</w:t>
      </w:r>
      <w:r>
        <w:t>évaluation et d</w:t>
      </w:r>
      <w:r w:rsidR="00443556">
        <w:t>’</w:t>
      </w:r>
      <w:r>
        <w:t>audit (IOS), finalisée en 2013 et</w:t>
      </w:r>
    </w:p>
    <w:p w:rsidR="00C60F84" w:rsidRPr="00DA7318" w:rsidRDefault="00F60E4C" w:rsidP="0029152F">
      <w:pPr>
        <w:pStyle w:val="COMPara"/>
        <w:numPr>
          <w:ilvl w:val="1"/>
          <w:numId w:val="21"/>
        </w:numPr>
        <w:jc w:val="both"/>
      </w:pPr>
      <w:r>
        <w:t>l</w:t>
      </w:r>
      <w:r w:rsidR="00443556">
        <w:t>’</w:t>
      </w:r>
      <w:r>
        <w:t>audit par l</w:t>
      </w:r>
      <w:r w:rsidR="00443556">
        <w:t>’</w:t>
      </w:r>
      <w:r>
        <w:t>IOS, en 2013, des méthodes de travail des six conventions culturelles pour évaluer la pertinence et l</w:t>
      </w:r>
      <w:r w:rsidR="00443556">
        <w:t>’</w:t>
      </w:r>
      <w:r>
        <w:t>efficacité du travail normatif de l</w:t>
      </w:r>
      <w:r w:rsidR="00443556">
        <w:t>’</w:t>
      </w:r>
      <w:r>
        <w:t xml:space="preserve">UNESCO </w:t>
      </w:r>
      <w:r w:rsidR="0029152F">
        <w:t>du Secteur</w:t>
      </w:r>
      <w:r>
        <w:t xml:space="preserve"> de la culture.</w:t>
      </w:r>
    </w:p>
    <w:p w:rsidR="009012DE" w:rsidRPr="00DA7318" w:rsidRDefault="00F60E4C" w:rsidP="00383967">
      <w:pPr>
        <w:pStyle w:val="COMPara"/>
        <w:numPr>
          <w:ilvl w:val="0"/>
          <w:numId w:val="9"/>
        </w:numPr>
        <w:jc w:val="both"/>
      </w:pPr>
      <w:r>
        <w:t>L</w:t>
      </w:r>
      <w:r w:rsidR="00443556">
        <w:t>’</w:t>
      </w:r>
      <w:r>
        <w:t>annexe au présent document résume les recommandations concernant directement les organes directeurs de la Convention de 2003 ainsi que les décisions ou actions entreprises le cas échéant.</w:t>
      </w:r>
    </w:p>
    <w:p w:rsidR="00C57750" w:rsidRPr="00DA7318" w:rsidRDefault="00383967" w:rsidP="000F463B">
      <w:pPr>
        <w:pStyle w:val="COMPara"/>
        <w:numPr>
          <w:ilvl w:val="0"/>
          <w:numId w:val="9"/>
        </w:numPr>
        <w:jc w:val="both"/>
      </w:pPr>
      <w:r>
        <w:t>Par ailleurs, l</w:t>
      </w:r>
      <w:r w:rsidR="00443556">
        <w:t>’</w:t>
      </w:r>
      <w:r>
        <w:t xml:space="preserve">annexe I du rapport du Secrétariat sur ses activités (document ITH/16/11.COM/5) présente </w:t>
      </w:r>
      <w:r w:rsidR="0029152F">
        <w:t>l’état</w:t>
      </w:r>
      <w:r>
        <w:t xml:space="preserve"> de </w:t>
      </w:r>
      <w:r w:rsidR="0029152F">
        <w:t xml:space="preserve">la </w:t>
      </w:r>
      <w:r>
        <w:t>mise en œuvre des vingt-quatre recommandations de l</w:t>
      </w:r>
      <w:r w:rsidR="00443556">
        <w:t>’</w:t>
      </w:r>
      <w:r>
        <w:t>évaluation et des quatre recommandations du rapport d</w:t>
      </w:r>
      <w:r w:rsidR="00443556">
        <w:t>’</w:t>
      </w:r>
      <w:r>
        <w:t>audit des méthodes de travail des six conventions culturelles. Il convient également de noter que la sixième session de l</w:t>
      </w:r>
      <w:r w:rsidR="00443556">
        <w:t>’</w:t>
      </w:r>
      <w:r>
        <w:t xml:space="preserve">Assemblée générale a souligné </w:t>
      </w:r>
      <w:r w:rsidR="0029152F">
        <w:t>la nécessité d’accroître l</w:t>
      </w:r>
      <w:r>
        <w:t xml:space="preserve">es synergies et la cohérence de certains aspects </w:t>
      </w:r>
      <w:r w:rsidR="000F463B">
        <w:t xml:space="preserve">de son </w:t>
      </w:r>
      <w:r>
        <w:t xml:space="preserve">travail </w:t>
      </w:r>
      <w:r w:rsidR="000F463B">
        <w:t xml:space="preserve">avec d’autres </w:t>
      </w:r>
      <w:r>
        <w:t>conventions culturelles, concernant notamment le Règlement intérieur et la conduite des débats (</w:t>
      </w:r>
      <w:hyperlink r:id="rId18">
        <w:r w:rsidR="00DB0CBC">
          <w:rPr>
            <w:rStyle w:val="Hyperlink"/>
          </w:rPr>
          <w:t>résolution 6.GA 11</w:t>
        </w:r>
      </w:hyperlink>
      <w:r w:rsidR="00B4668C" w:rsidRPr="00B4668C">
        <w:rPr>
          <w:rStyle w:val="Hyperlink"/>
          <w:color w:val="auto"/>
          <w:u w:val="none"/>
        </w:rPr>
        <w:t>)</w:t>
      </w:r>
      <w:r w:rsidRPr="00B4668C">
        <w:rPr>
          <w:rStyle w:val="Hyperlink"/>
          <w:color w:val="auto"/>
          <w:u w:val="none"/>
        </w:rPr>
        <w:t>.</w:t>
      </w:r>
    </w:p>
    <w:p w:rsidR="00F60E4C" w:rsidRPr="00EA528C" w:rsidRDefault="00F60E4C" w:rsidP="00F60E4C">
      <w:pPr>
        <w:pStyle w:val="COMPara"/>
        <w:numPr>
          <w:ilvl w:val="0"/>
          <w:numId w:val="9"/>
        </w:numPr>
        <w:jc w:val="both"/>
      </w:pPr>
      <w:r>
        <w:t>Le Comité souhaitera peut-être adopter la décision suivante :</w:t>
      </w:r>
    </w:p>
    <w:p w:rsidR="00F60E4C" w:rsidRPr="00FD624F" w:rsidRDefault="00F60E4C" w:rsidP="00F60E4C">
      <w:pPr>
        <w:pStyle w:val="COMTitleDecision"/>
        <w:rPr>
          <w:rFonts w:eastAsia="SimSun"/>
        </w:rPr>
      </w:pPr>
      <w:r>
        <w:t>PROJET DE DÉCISION 11.COM 7</w:t>
      </w:r>
    </w:p>
    <w:p w:rsidR="00F60E4C" w:rsidRPr="00454D21" w:rsidRDefault="00F60E4C" w:rsidP="00F60E4C">
      <w:pPr>
        <w:pStyle w:val="COMPreambulaDecisions"/>
        <w:rPr>
          <w:rFonts w:eastAsia="SimSun"/>
        </w:rPr>
      </w:pPr>
      <w:r>
        <w:t>Le Comité,</w:t>
      </w:r>
    </w:p>
    <w:p w:rsidR="00F60E4C" w:rsidRPr="00DA7318" w:rsidRDefault="00F60E4C" w:rsidP="00F60E4C">
      <w:pPr>
        <w:pStyle w:val="COMParaDecision"/>
        <w:jc w:val="left"/>
      </w:pPr>
      <w:r>
        <w:t>Ayant examiné</w:t>
      </w:r>
      <w:r>
        <w:rPr>
          <w:u w:val="none"/>
        </w:rPr>
        <w:t xml:space="preserve"> le document ITH/16/11.COM/7,</w:t>
      </w:r>
    </w:p>
    <w:p w:rsidR="00220EF1" w:rsidRPr="00DA7318" w:rsidRDefault="00220EF1" w:rsidP="00F60E4C">
      <w:pPr>
        <w:pStyle w:val="COMParaDecision"/>
      </w:pPr>
      <w:r>
        <w:t>Rappelant</w:t>
      </w:r>
      <w:r w:rsidR="00DE2573">
        <w:rPr>
          <w:u w:val="none"/>
        </w:rPr>
        <w:t xml:space="preserve"> l</w:t>
      </w:r>
      <w:r w:rsidR="00DE2573">
        <w:rPr>
          <w:rFonts w:eastAsiaTheme="minorEastAsia" w:hint="eastAsia"/>
          <w:u w:val="none"/>
          <w:lang w:eastAsia="ko-KR"/>
        </w:rPr>
        <w:t>a</w:t>
      </w:r>
      <w:r>
        <w:rPr>
          <w:u w:val="none"/>
        </w:rPr>
        <w:t xml:space="preserve"> </w:t>
      </w:r>
      <w:hyperlink r:id="rId19">
        <w:r>
          <w:rPr>
            <w:rStyle w:val="Hyperlink"/>
          </w:rPr>
          <w:t>décision 8.COM 5.c.1</w:t>
        </w:r>
      </w:hyperlink>
      <w:r>
        <w:rPr>
          <w:u w:val="none"/>
        </w:rPr>
        <w:t>, l</w:t>
      </w:r>
      <w:r w:rsidR="00DE2573">
        <w:rPr>
          <w:rFonts w:eastAsiaTheme="minorEastAsia" w:hint="eastAsia"/>
          <w:u w:val="none"/>
          <w:lang w:eastAsia="ko-KR"/>
        </w:rPr>
        <w:t>a</w:t>
      </w:r>
      <w:r>
        <w:rPr>
          <w:u w:val="none"/>
        </w:rPr>
        <w:t xml:space="preserve"> </w:t>
      </w:r>
      <w:hyperlink r:id="rId20">
        <w:r>
          <w:rPr>
            <w:rStyle w:val="Hyperlink"/>
          </w:rPr>
          <w:t>décision 8.COM 5.c.2</w:t>
        </w:r>
      </w:hyperlink>
      <w:r>
        <w:rPr>
          <w:u w:val="none"/>
        </w:rPr>
        <w:t xml:space="preserve">, la </w:t>
      </w:r>
      <w:hyperlink r:id="rId21">
        <w:r>
          <w:rPr>
            <w:rStyle w:val="Hyperlink"/>
          </w:rPr>
          <w:t>décision 9.COM 13.g</w:t>
        </w:r>
      </w:hyperlink>
      <w:r w:rsidRPr="00265B1E">
        <w:rPr>
          <w:rStyle w:val="Hyperlink"/>
          <w:color w:val="auto"/>
          <w:u w:val="none"/>
        </w:rPr>
        <w:t xml:space="preserve">, la </w:t>
      </w:r>
      <w:hyperlink r:id="rId22">
        <w:r w:rsidR="0040763E">
          <w:rPr>
            <w:rStyle w:val="Hyperlink"/>
          </w:rPr>
          <w:t>décision</w:t>
        </w:r>
        <w:r w:rsidR="0040763E" w:rsidRPr="0040763E">
          <w:rPr>
            <w:rStyle w:val="Hyperlink"/>
          </w:rPr>
          <w:t> </w:t>
        </w:r>
        <w:r>
          <w:rPr>
            <w:rStyle w:val="Hyperlink"/>
          </w:rPr>
          <w:t>10.COM</w:t>
        </w:r>
        <w:r w:rsidR="0040763E" w:rsidRPr="0040763E">
          <w:rPr>
            <w:rStyle w:val="Hyperlink"/>
          </w:rPr>
          <w:t> </w:t>
        </w:r>
        <w:r>
          <w:rPr>
            <w:rStyle w:val="Hyperlink"/>
          </w:rPr>
          <w:t>15.c</w:t>
        </w:r>
      </w:hyperlink>
      <w:r w:rsidRPr="00265B1E">
        <w:rPr>
          <w:u w:val="none"/>
        </w:rPr>
        <w:t>,</w:t>
      </w:r>
      <w:r w:rsidRPr="00265B1E">
        <w:rPr>
          <w:rStyle w:val="Hyperlink"/>
          <w:color w:val="auto"/>
          <w:u w:val="none"/>
        </w:rPr>
        <w:t xml:space="preserve"> la </w:t>
      </w:r>
      <w:hyperlink r:id="rId23">
        <w:r w:rsidR="00DB0CBC">
          <w:rPr>
            <w:rStyle w:val="Hyperlink"/>
          </w:rPr>
          <w:t>résolution</w:t>
        </w:r>
        <w:r w:rsidR="0040763E" w:rsidRPr="0040763E">
          <w:rPr>
            <w:rStyle w:val="Hyperlink"/>
          </w:rPr>
          <w:t> </w:t>
        </w:r>
        <w:r w:rsidR="00DB0CBC">
          <w:rPr>
            <w:rStyle w:val="Hyperlink"/>
          </w:rPr>
          <w:t>6.GA</w:t>
        </w:r>
        <w:r w:rsidR="0040763E" w:rsidRPr="0040763E">
          <w:rPr>
            <w:rStyle w:val="Hyperlink"/>
          </w:rPr>
          <w:t> </w:t>
        </w:r>
        <w:r w:rsidR="00DB0CBC">
          <w:rPr>
            <w:rStyle w:val="Hyperlink"/>
          </w:rPr>
          <w:t>7</w:t>
        </w:r>
      </w:hyperlink>
      <w:r>
        <w:rPr>
          <w:u w:val="none"/>
        </w:rPr>
        <w:t xml:space="preserve"> et la </w:t>
      </w:r>
      <w:hyperlink r:id="rId24">
        <w:r w:rsidR="00DB0CBC">
          <w:rPr>
            <w:rStyle w:val="Hyperlink"/>
          </w:rPr>
          <w:t>résolution 6.GA 11</w:t>
        </w:r>
      </w:hyperlink>
      <w:r>
        <w:rPr>
          <w:u w:val="none"/>
        </w:rPr>
        <w:t>,</w:t>
      </w:r>
    </w:p>
    <w:p w:rsidR="00F60E4C" w:rsidRPr="00DA7318" w:rsidRDefault="00220EF1" w:rsidP="000F463B">
      <w:pPr>
        <w:pStyle w:val="COMParaDecision"/>
      </w:pPr>
      <w:r>
        <w:t>Rappelant également</w:t>
      </w:r>
      <w:r>
        <w:rPr>
          <w:u w:val="none"/>
        </w:rPr>
        <w:t xml:space="preserve"> l</w:t>
      </w:r>
      <w:r w:rsidR="00443556">
        <w:rPr>
          <w:u w:val="none"/>
        </w:rPr>
        <w:t>’</w:t>
      </w:r>
      <w:r>
        <w:rPr>
          <w:u w:val="none"/>
        </w:rPr>
        <w:t>audit des méthodes de travail des conventions culturelles et l</w:t>
      </w:r>
      <w:r w:rsidR="00443556">
        <w:rPr>
          <w:u w:val="none"/>
        </w:rPr>
        <w:t>’</w:t>
      </w:r>
      <w:r>
        <w:rPr>
          <w:u w:val="none"/>
        </w:rPr>
        <w:t>évaluation du travail normatif de l</w:t>
      </w:r>
      <w:r w:rsidR="00443556">
        <w:rPr>
          <w:u w:val="none"/>
        </w:rPr>
        <w:t>’</w:t>
      </w:r>
      <w:r>
        <w:rPr>
          <w:u w:val="none"/>
        </w:rPr>
        <w:t xml:space="preserve">UNESCO </w:t>
      </w:r>
      <w:r w:rsidR="000F463B">
        <w:rPr>
          <w:u w:val="none"/>
        </w:rPr>
        <w:t>du Secteur</w:t>
      </w:r>
      <w:r>
        <w:rPr>
          <w:u w:val="none"/>
        </w:rPr>
        <w:t xml:space="preserve"> de la culture, </w:t>
      </w:r>
      <w:r w:rsidR="000F463B">
        <w:rPr>
          <w:u w:val="none"/>
        </w:rPr>
        <w:t xml:space="preserve">effectué </w:t>
      </w:r>
      <w:r>
        <w:rPr>
          <w:u w:val="none"/>
        </w:rPr>
        <w:t xml:space="preserve">par </w:t>
      </w:r>
      <w:r w:rsidR="00265B1E">
        <w:rPr>
          <w:u w:val="none"/>
        </w:rPr>
        <w:t>IOS,</w:t>
      </w:r>
    </w:p>
    <w:p w:rsidR="00357A86" w:rsidRPr="00DA7318" w:rsidRDefault="00F60E4C" w:rsidP="000F463B">
      <w:pPr>
        <w:pStyle w:val="COMParaDecision"/>
      </w:pPr>
      <w:r>
        <w:t>Prend note</w:t>
      </w:r>
      <w:r>
        <w:rPr>
          <w:u w:val="none"/>
        </w:rPr>
        <w:t xml:space="preserve"> des efforts et </w:t>
      </w:r>
      <w:bookmarkStart w:id="0" w:name="_GoBack"/>
      <w:bookmarkEnd w:id="0"/>
      <w:r>
        <w:rPr>
          <w:u w:val="none"/>
        </w:rPr>
        <w:t xml:space="preserve">des mesures prises pour améliorer et rationaliser les méthodes de travail des organes directeurs de la Convention de 2003 conformément aux recommandations du Commissaire aux comptes et </w:t>
      </w:r>
      <w:r w:rsidR="000F463B">
        <w:rPr>
          <w:u w:val="none"/>
        </w:rPr>
        <w:t>d’</w:t>
      </w:r>
      <w:r>
        <w:rPr>
          <w:u w:val="none"/>
        </w:rPr>
        <w:t>IOS en la matière ;</w:t>
      </w:r>
    </w:p>
    <w:p w:rsidR="00F60E4C" w:rsidRPr="00DA7318" w:rsidRDefault="00357A86" w:rsidP="00F60E4C">
      <w:pPr>
        <w:pStyle w:val="COMParaDecision"/>
        <w:rPr>
          <w:u w:val="none"/>
        </w:rPr>
      </w:pPr>
      <w:r>
        <w:t>Prend également note</w:t>
      </w:r>
      <w:r>
        <w:rPr>
          <w:u w:val="none"/>
        </w:rPr>
        <w:t xml:space="preserve"> de l</w:t>
      </w:r>
      <w:r w:rsidR="00443556">
        <w:rPr>
          <w:u w:val="none"/>
        </w:rPr>
        <w:t>’</w:t>
      </w:r>
      <w:r>
        <w:rPr>
          <w:u w:val="none"/>
        </w:rPr>
        <w:t xml:space="preserve">état des recommandations </w:t>
      </w:r>
      <w:r w:rsidR="000F463B">
        <w:rPr>
          <w:u w:val="none"/>
        </w:rPr>
        <w:t xml:space="preserve">récentes </w:t>
      </w:r>
      <w:r>
        <w:rPr>
          <w:u w:val="none"/>
        </w:rPr>
        <w:t>du rapport du Commissaire aux comptes, concernant directement les organes directeurs de la Convention de 2003 ;</w:t>
      </w:r>
    </w:p>
    <w:p w:rsidR="00F60E4C" w:rsidRPr="007D43FA" w:rsidRDefault="00F60E4C" w:rsidP="000F463B">
      <w:pPr>
        <w:pStyle w:val="COMParaDecision"/>
        <w:rPr>
          <w:u w:val="none"/>
        </w:rPr>
      </w:pPr>
      <w:r>
        <w:t>Décide</w:t>
      </w:r>
      <w:r>
        <w:rPr>
          <w:u w:val="none"/>
        </w:rPr>
        <w:t xml:space="preserve"> de transmettre, comme il a été demandé, le document ITH/16/11.COM/7 et la décision correspondante au président du groupe de travail </w:t>
      </w:r>
      <w:r w:rsidR="000F463B">
        <w:rPr>
          <w:u w:val="none"/>
        </w:rPr>
        <w:t>ouvert</w:t>
      </w:r>
      <w:r>
        <w:rPr>
          <w:u w:val="none"/>
        </w:rPr>
        <w:t xml:space="preserve"> sur la gouvernance, les procédures et les méthodes de travail des organes directeurs.</w:t>
      </w:r>
    </w:p>
    <w:p w:rsidR="00F60E4C" w:rsidRDefault="00F60E4C" w:rsidP="00171469">
      <w:pPr>
        <w:pStyle w:val="COMPara"/>
        <w:ind w:left="360"/>
        <w:sectPr w:rsidR="00F60E4C" w:rsidSect="008A7E88">
          <w:headerReference w:type="even" r:id="rId25"/>
          <w:headerReference w:type="default" r:id="rId26"/>
          <w:headerReference w:type="first" r:id="rId27"/>
          <w:pgSz w:w="11906" w:h="16838" w:code="9"/>
          <w:pgMar w:top="1418" w:right="1134" w:bottom="1134" w:left="1134" w:header="397" w:footer="284" w:gutter="0"/>
          <w:cols w:space="708"/>
          <w:titlePg/>
          <w:docGrid w:linePitch="360"/>
        </w:sectPr>
      </w:pPr>
    </w:p>
    <w:p w:rsidR="00447A43" w:rsidRPr="00F60E4C" w:rsidRDefault="00F60E4C" w:rsidP="00F60E4C">
      <w:pPr>
        <w:pStyle w:val="COMPara"/>
        <w:spacing w:before="120" w:after="240"/>
        <w:ind w:left="357"/>
        <w:jc w:val="center"/>
        <w:rPr>
          <w:b/>
        </w:rPr>
      </w:pPr>
      <w:r>
        <w:rPr>
          <w:b/>
        </w:rPr>
        <w:lastRenderedPageBreak/>
        <w:t>ANNEXE</w:t>
      </w:r>
    </w:p>
    <w:tbl>
      <w:tblPr>
        <w:tblStyle w:val="TableGrid"/>
        <w:tblW w:w="0" w:type="auto"/>
        <w:tblInd w:w="360" w:type="dxa"/>
        <w:tblLook w:val="04A0" w:firstRow="1" w:lastRow="0" w:firstColumn="1" w:lastColumn="0" w:noHBand="0" w:noVBand="1"/>
      </w:tblPr>
      <w:tblGrid>
        <w:gridCol w:w="6958"/>
        <w:gridCol w:w="6958"/>
      </w:tblGrid>
      <w:tr w:rsidR="00447A43" w:rsidRPr="00961DAF" w:rsidTr="00DA4BEB">
        <w:tc>
          <w:tcPr>
            <w:tcW w:w="13916" w:type="dxa"/>
            <w:gridSpan w:val="2"/>
            <w:shd w:val="clear" w:color="auto" w:fill="D9D9D9" w:themeFill="background1" w:themeFillShade="D9"/>
          </w:tcPr>
          <w:p w:rsidR="00447A43" w:rsidRPr="00447A43" w:rsidRDefault="00447A43" w:rsidP="00447A43">
            <w:pPr>
              <w:pStyle w:val="Default"/>
              <w:spacing w:before="120" w:after="120"/>
              <w:rPr>
                <w:sz w:val="22"/>
                <w:szCs w:val="22"/>
              </w:rPr>
            </w:pPr>
            <w:r>
              <w:rPr>
                <w:b/>
                <w:sz w:val="22"/>
              </w:rPr>
              <w:t>Recommandation n° 3</w:t>
            </w:r>
            <w:r>
              <w:rPr>
                <w:sz w:val="22"/>
              </w:rPr>
              <w:t>. L</w:t>
            </w:r>
            <w:r w:rsidR="00443556">
              <w:rPr>
                <w:sz w:val="22"/>
              </w:rPr>
              <w:t>’</w:t>
            </w:r>
            <w:r>
              <w:rPr>
                <w:sz w:val="22"/>
              </w:rPr>
              <w:t>auditeur externe recommande à la Conférence générale :</w:t>
            </w:r>
          </w:p>
          <w:p w:rsidR="00447A43" w:rsidRPr="00447A43" w:rsidRDefault="00447A43" w:rsidP="00447A43">
            <w:pPr>
              <w:pStyle w:val="Default"/>
              <w:spacing w:before="120" w:after="120"/>
              <w:rPr>
                <w:sz w:val="22"/>
                <w:szCs w:val="22"/>
              </w:rPr>
            </w:pPr>
            <w:r>
              <w:rPr>
                <w:sz w:val="22"/>
              </w:rPr>
              <w:t>(i) de déléguer le pilotage et la conduite des 10 actions ci-après au Bureau du Conseil exécutif ;</w:t>
            </w:r>
          </w:p>
          <w:p w:rsidR="00447A43" w:rsidRPr="00447A43" w:rsidRDefault="00447A43" w:rsidP="00447A43">
            <w:pPr>
              <w:pStyle w:val="Default"/>
              <w:spacing w:before="120" w:after="120"/>
              <w:rPr>
                <w:sz w:val="22"/>
                <w:szCs w:val="22"/>
              </w:rPr>
            </w:pPr>
            <w:r>
              <w:rPr>
                <w:sz w:val="22"/>
              </w:rPr>
              <w:t>(ii) à cette fin, de doter le Conseil de moyens appropriés pour aboutir, après avis de chacun des organes directeurs, sollicités en tant que de besoin et selon les formes les plus efficientes, à l</w:t>
            </w:r>
            <w:r w:rsidR="00443556">
              <w:rPr>
                <w:sz w:val="22"/>
              </w:rPr>
              <w:t>’</w:t>
            </w:r>
            <w:r>
              <w:rPr>
                <w:sz w:val="22"/>
              </w:rPr>
              <w:t>adoption par la 39e Conférence générale d</w:t>
            </w:r>
            <w:r w:rsidR="00443556">
              <w:rPr>
                <w:sz w:val="22"/>
              </w:rPr>
              <w:t>’</w:t>
            </w:r>
            <w:r>
              <w:rPr>
                <w:sz w:val="22"/>
              </w:rPr>
              <w:t>un guide de bonnes pratiques applicable à l</w:t>
            </w:r>
            <w:r w:rsidR="00443556">
              <w:rPr>
                <w:sz w:val="22"/>
              </w:rPr>
              <w:t>’</w:t>
            </w:r>
            <w:r>
              <w:rPr>
                <w:sz w:val="22"/>
              </w:rPr>
              <w:t>ensemble de l</w:t>
            </w:r>
            <w:r w:rsidR="00443556">
              <w:rPr>
                <w:sz w:val="22"/>
              </w:rPr>
              <w:t>’</w:t>
            </w:r>
            <w:r>
              <w:rPr>
                <w:sz w:val="22"/>
              </w:rPr>
              <w:t>UNESCO et des fonds, programmes et entités qui lui sont rattachés :</w:t>
            </w:r>
          </w:p>
          <w:p w:rsidR="00447A43" w:rsidRPr="00447A43" w:rsidRDefault="00447A43" w:rsidP="00447A43">
            <w:pPr>
              <w:pStyle w:val="Default"/>
              <w:spacing w:before="60" w:after="60"/>
              <w:rPr>
                <w:sz w:val="22"/>
                <w:szCs w:val="22"/>
              </w:rPr>
            </w:pPr>
            <w:r>
              <w:rPr>
                <w:sz w:val="22"/>
              </w:rPr>
              <w:t>– accélérer la réduction de la durée des sessions</w:t>
            </w:r>
          </w:p>
          <w:p w:rsidR="00447A43" w:rsidRPr="00447A43" w:rsidRDefault="00447A43" w:rsidP="00447A43">
            <w:pPr>
              <w:pStyle w:val="Default"/>
              <w:spacing w:before="60" w:after="60"/>
              <w:rPr>
                <w:sz w:val="22"/>
                <w:szCs w:val="22"/>
              </w:rPr>
            </w:pPr>
            <w:r>
              <w:rPr>
                <w:sz w:val="22"/>
              </w:rPr>
              <w:t>– grouper les sessions</w:t>
            </w:r>
          </w:p>
          <w:p w:rsidR="00447A43" w:rsidRPr="00447A43" w:rsidRDefault="00447A43" w:rsidP="00447A43">
            <w:pPr>
              <w:pStyle w:val="Default"/>
              <w:spacing w:before="60" w:after="60"/>
              <w:rPr>
                <w:sz w:val="22"/>
                <w:szCs w:val="22"/>
              </w:rPr>
            </w:pPr>
            <w:r>
              <w:rPr>
                <w:sz w:val="22"/>
              </w:rPr>
              <w:t xml:space="preserve">– </w:t>
            </w:r>
            <w:r w:rsidR="00BA153E">
              <w:rPr>
                <w:sz w:val="22"/>
              </w:rPr>
              <w:t xml:space="preserve">faire </w:t>
            </w:r>
            <w:r>
              <w:rPr>
                <w:sz w:val="22"/>
              </w:rPr>
              <w:t>des sessions biennales plutôt qu</w:t>
            </w:r>
            <w:r w:rsidR="00443556">
              <w:rPr>
                <w:sz w:val="22"/>
              </w:rPr>
              <w:t>’</w:t>
            </w:r>
            <w:r>
              <w:rPr>
                <w:sz w:val="22"/>
              </w:rPr>
              <w:t>annuelles, quadriennales plutôt que biennales</w:t>
            </w:r>
          </w:p>
          <w:p w:rsidR="00447A43" w:rsidRPr="00447A43" w:rsidRDefault="00447A43" w:rsidP="00447A43">
            <w:pPr>
              <w:pStyle w:val="Default"/>
              <w:spacing w:before="60" w:after="60"/>
              <w:rPr>
                <w:sz w:val="22"/>
                <w:szCs w:val="22"/>
              </w:rPr>
            </w:pPr>
            <w:r>
              <w:rPr>
                <w:sz w:val="22"/>
              </w:rPr>
              <w:t>– généraliser l</w:t>
            </w:r>
            <w:r w:rsidR="00443556">
              <w:rPr>
                <w:sz w:val="22"/>
              </w:rPr>
              <w:t>’</w:t>
            </w:r>
            <w:r>
              <w:rPr>
                <w:sz w:val="22"/>
              </w:rPr>
              <w:t>usage de la téléconférence</w:t>
            </w:r>
          </w:p>
          <w:p w:rsidR="00447A43" w:rsidRPr="00447A43" w:rsidRDefault="00447A43" w:rsidP="00447A43">
            <w:pPr>
              <w:pStyle w:val="Default"/>
              <w:spacing w:before="60" w:after="60"/>
              <w:rPr>
                <w:sz w:val="22"/>
                <w:szCs w:val="22"/>
              </w:rPr>
            </w:pPr>
            <w:r>
              <w:rPr>
                <w:sz w:val="22"/>
              </w:rPr>
              <w:t>– ne convoquer que des sessions indispensables et financées sur budget ordinaire</w:t>
            </w:r>
          </w:p>
          <w:p w:rsidR="00447A43" w:rsidRPr="00447A43" w:rsidRDefault="00447A43" w:rsidP="00447A43">
            <w:pPr>
              <w:pStyle w:val="Default"/>
              <w:spacing w:before="60" w:after="60"/>
              <w:rPr>
                <w:sz w:val="22"/>
                <w:szCs w:val="22"/>
              </w:rPr>
            </w:pPr>
            <w:r>
              <w:rPr>
                <w:sz w:val="22"/>
              </w:rPr>
              <w:t>– réduire le nombre de participants aux réunions</w:t>
            </w:r>
          </w:p>
          <w:p w:rsidR="00447A43" w:rsidRPr="00447A43" w:rsidRDefault="00447A43" w:rsidP="00447A43">
            <w:pPr>
              <w:pStyle w:val="Default"/>
              <w:spacing w:before="60" w:after="60"/>
              <w:rPr>
                <w:sz w:val="22"/>
                <w:szCs w:val="22"/>
              </w:rPr>
            </w:pPr>
            <w:r>
              <w:rPr>
                <w:sz w:val="22"/>
              </w:rPr>
              <w:t>– alléger les ordres du jour en sériant les priorités et déléguant les décisions mineures</w:t>
            </w:r>
          </w:p>
          <w:p w:rsidR="00447A43" w:rsidRPr="00447A43" w:rsidRDefault="00447A43" w:rsidP="00447A43">
            <w:pPr>
              <w:pStyle w:val="Default"/>
              <w:spacing w:before="60" w:after="60"/>
              <w:rPr>
                <w:sz w:val="22"/>
                <w:szCs w:val="22"/>
              </w:rPr>
            </w:pPr>
            <w:r>
              <w:rPr>
                <w:sz w:val="22"/>
              </w:rPr>
              <w:t>– augmenter les délégations de pouvoir aux bureaux</w:t>
            </w:r>
          </w:p>
          <w:p w:rsidR="00447A43" w:rsidRPr="00447A43" w:rsidRDefault="00447A43" w:rsidP="00447A43">
            <w:pPr>
              <w:pStyle w:val="Default"/>
              <w:spacing w:before="60" w:after="60"/>
              <w:rPr>
                <w:sz w:val="22"/>
                <w:szCs w:val="22"/>
              </w:rPr>
            </w:pPr>
            <w:r>
              <w:rPr>
                <w:sz w:val="22"/>
              </w:rPr>
              <w:t>– simplifier et améliorer la diffusion des résultats</w:t>
            </w:r>
          </w:p>
          <w:p w:rsidR="00447A43" w:rsidRPr="00265B1E" w:rsidRDefault="00447A43" w:rsidP="00447A43">
            <w:pPr>
              <w:pStyle w:val="COMPara"/>
              <w:spacing w:before="60" w:after="60"/>
              <w:rPr>
                <w:rFonts w:eastAsiaTheme="minorEastAsia"/>
                <w:lang w:eastAsia="ko-KR"/>
              </w:rPr>
            </w:pPr>
            <w:r>
              <w:t>–</w:t>
            </w:r>
            <w:r w:rsidR="00265B1E">
              <w:t xml:space="preserve"> valoriser les bonnes pratiques</w:t>
            </w:r>
          </w:p>
        </w:tc>
      </w:tr>
      <w:tr w:rsidR="001B0BAE" w:rsidRPr="00447A43" w:rsidTr="00DA4BEB">
        <w:tc>
          <w:tcPr>
            <w:tcW w:w="6958" w:type="dxa"/>
            <w:shd w:val="clear" w:color="auto" w:fill="F2F2F2" w:themeFill="background1" w:themeFillShade="F2"/>
          </w:tcPr>
          <w:p w:rsidR="001B0BAE" w:rsidRPr="00265B1E" w:rsidRDefault="00265B1E" w:rsidP="00B01FB3">
            <w:pPr>
              <w:pStyle w:val="Default"/>
              <w:spacing w:before="120" w:after="120"/>
              <w:jc w:val="center"/>
              <w:rPr>
                <w:rFonts w:eastAsiaTheme="minorEastAsia"/>
                <w:sz w:val="22"/>
                <w:szCs w:val="22"/>
                <w:lang w:eastAsia="ko-KR"/>
              </w:rPr>
            </w:pPr>
            <w:r>
              <w:rPr>
                <w:sz w:val="22"/>
              </w:rPr>
              <w:t>Action</w:t>
            </w:r>
          </w:p>
        </w:tc>
        <w:tc>
          <w:tcPr>
            <w:tcW w:w="6958" w:type="dxa"/>
            <w:shd w:val="clear" w:color="auto" w:fill="F2F2F2" w:themeFill="background1" w:themeFillShade="F2"/>
          </w:tcPr>
          <w:p w:rsidR="001B0BAE" w:rsidRPr="001B0BAE" w:rsidRDefault="001B0BAE" w:rsidP="001B0BAE">
            <w:pPr>
              <w:spacing w:before="120" w:after="120"/>
              <w:ind w:right="57"/>
              <w:jc w:val="center"/>
              <w:rPr>
                <w:rFonts w:ascii="Arial" w:hAnsi="Arial" w:cs="Arial"/>
                <w:sz w:val="22"/>
                <w:szCs w:val="22"/>
              </w:rPr>
            </w:pPr>
            <w:r>
              <w:rPr>
                <w:rFonts w:ascii="Arial" w:hAnsi="Arial"/>
                <w:sz w:val="22"/>
              </w:rPr>
              <w:t>État</w:t>
            </w:r>
          </w:p>
        </w:tc>
      </w:tr>
      <w:tr w:rsidR="004E341F" w:rsidRPr="00F129F5" w:rsidTr="008B2782">
        <w:tc>
          <w:tcPr>
            <w:tcW w:w="6958" w:type="dxa"/>
          </w:tcPr>
          <w:p w:rsidR="004E341F" w:rsidRPr="00633FD7" w:rsidRDefault="004E341F" w:rsidP="004E341F">
            <w:pPr>
              <w:pStyle w:val="Default"/>
              <w:numPr>
                <w:ilvl w:val="1"/>
                <w:numId w:val="21"/>
              </w:numPr>
              <w:spacing w:before="120" w:after="120"/>
              <w:rPr>
                <w:bCs/>
                <w:sz w:val="22"/>
                <w:szCs w:val="22"/>
              </w:rPr>
            </w:pPr>
            <w:r>
              <w:rPr>
                <w:sz w:val="22"/>
              </w:rPr>
              <w:t>accélérer la réduction de la durée des sessions</w:t>
            </w:r>
          </w:p>
        </w:tc>
        <w:tc>
          <w:tcPr>
            <w:tcW w:w="6958" w:type="dxa"/>
          </w:tcPr>
          <w:p w:rsidR="004E341F" w:rsidRDefault="004E341F" w:rsidP="001B0BAE">
            <w:pPr>
              <w:pStyle w:val="ListParagraph"/>
              <w:numPr>
                <w:ilvl w:val="0"/>
                <w:numId w:val="32"/>
              </w:numPr>
              <w:spacing w:before="120" w:after="120"/>
              <w:ind w:left="470" w:right="57" w:hanging="357"/>
              <w:contextualSpacing w:val="0"/>
              <w:rPr>
                <w:rFonts w:ascii="Arial" w:hAnsi="Arial" w:cs="Arial"/>
                <w:sz w:val="22"/>
                <w:szCs w:val="22"/>
              </w:rPr>
            </w:pPr>
            <w:r>
              <w:rPr>
                <w:rFonts w:ascii="Arial" w:hAnsi="Arial"/>
                <w:sz w:val="22"/>
              </w:rPr>
              <w:t>Les neuvième et dixième sessions du Comité ont duré cinq jours au lieu de six pour la huitième session.</w:t>
            </w:r>
          </w:p>
          <w:p w:rsidR="004E341F" w:rsidRPr="004E341F" w:rsidRDefault="004E341F" w:rsidP="001B0BAE">
            <w:pPr>
              <w:pStyle w:val="ListParagraph"/>
              <w:numPr>
                <w:ilvl w:val="0"/>
                <w:numId w:val="32"/>
              </w:numPr>
              <w:spacing w:before="120" w:after="120"/>
              <w:ind w:left="470" w:right="57" w:hanging="357"/>
              <w:contextualSpacing w:val="0"/>
              <w:rPr>
                <w:rFonts w:ascii="Arial" w:hAnsi="Arial" w:cs="Arial"/>
                <w:sz w:val="22"/>
                <w:szCs w:val="22"/>
              </w:rPr>
            </w:pPr>
            <w:r>
              <w:rPr>
                <w:rFonts w:ascii="Arial" w:hAnsi="Arial"/>
                <w:sz w:val="22"/>
              </w:rPr>
              <w:t>La sixième session de l</w:t>
            </w:r>
            <w:r w:rsidR="00443556">
              <w:rPr>
                <w:rFonts w:ascii="Arial" w:hAnsi="Arial"/>
                <w:sz w:val="22"/>
              </w:rPr>
              <w:t>’</w:t>
            </w:r>
            <w:r>
              <w:rPr>
                <w:rFonts w:ascii="Arial" w:hAnsi="Arial"/>
                <w:sz w:val="22"/>
              </w:rPr>
              <w:t>Assemblée générale a duré trois jours, soit un jour de moins que la cinquième session et deux jours de moins que la quatrième session.</w:t>
            </w:r>
          </w:p>
        </w:tc>
      </w:tr>
      <w:tr w:rsidR="004E341F" w:rsidRPr="00F129F5" w:rsidTr="008B2782">
        <w:tc>
          <w:tcPr>
            <w:tcW w:w="6958" w:type="dxa"/>
          </w:tcPr>
          <w:p w:rsidR="004E341F" w:rsidRPr="004E341F" w:rsidRDefault="00265B1E" w:rsidP="00447A43">
            <w:pPr>
              <w:pStyle w:val="Default"/>
              <w:numPr>
                <w:ilvl w:val="1"/>
                <w:numId w:val="21"/>
              </w:numPr>
              <w:spacing w:before="120" w:after="120"/>
              <w:rPr>
                <w:sz w:val="22"/>
                <w:szCs w:val="22"/>
              </w:rPr>
            </w:pPr>
            <w:r>
              <w:rPr>
                <w:sz w:val="22"/>
              </w:rPr>
              <w:t>grouper les sessions</w:t>
            </w:r>
          </w:p>
        </w:tc>
        <w:tc>
          <w:tcPr>
            <w:tcW w:w="6958" w:type="dxa"/>
          </w:tcPr>
          <w:p w:rsidR="004E341F" w:rsidRPr="004E341F" w:rsidRDefault="0023514B" w:rsidP="00265B1E">
            <w:pPr>
              <w:pStyle w:val="ListParagraph"/>
              <w:numPr>
                <w:ilvl w:val="0"/>
                <w:numId w:val="32"/>
              </w:numPr>
              <w:spacing w:before="120" w:after="120"/>
              <w:ind w:left="470" w:right="57" w:hanging="357"/>
              <w:contextualSpacing w:val="0"/>
              <w:rPr>
                <w:rFonts w:ascii="Arial" w:hAnsi="Arial" w:cs="Arial"/>
                <w:sz w:val="22"/>
                <w:szCs w:val="22"/>
              </w:rPr>
            </w:pPr>
            <w:r>
              <w:rPr>
                <w:rFonts w:ascii="Arial" w:hAnsi="Arial"/>
                <w:sz w:val="22"/>
              </w:rPr>
              <w:t>À l</w:t>
            </w:r>
            <w:r w:rsidR="00443556">
              <w:rPr>
                <w:rFonts w:ascii="Arial" w:hAnsi="Arial"/>
                <w:sz w:val="22"/>
              </w:rPr>
              <w:t>’</w:t>
            </w:r>
            <w:r>
              <w:rPr>
                <w:rFonts w:ascii="Arial" w:hAnsi="Arial"/>
                <w:sz w:val="22"/>
              </w:rPr>
              <w:t xml:space="preserve">occasion de sa neuvième session, le Comité a encouragé le Secrétariat à </w:t>
            </w:r>
            <w:r w:rsidR="00371E40">
              <w:rPr>
                <w:rFonts w:ascii="Arial" w:hAnsi="Arial"/>
                <w:sz w:val="22"/>
              </w:rPr>
              <w:t xml:space="preserve">renforcer ses efforts pour </w:t>
            </w:r>
            <w:r>
              <w:rPr>
                <w:rFonts w:ascii="Arial" w:hAnsi="Arial"/>
                <w:sz w:val="22"/>
              </w:rPr>
              <w:t>coordonner les réunions des États parties des différentes conventions, en</w:t>
            </w:r>
            <w:r w:rsidR="00371E40">
              <w:rPr>
                <w:rFonts w:ascii="Arial" w:hAnsi="Arial"/>
                <w:sz w:val="22"/>
              </w:rPr>
              <w:t xml:space="preserve"> prenant particulièrement soin de</w:t>
            </w:r>
            <w:r>
              <w:rPr>
                <w:rFonts w:ascii="Arial" w:hAnsi="Arial"/>
                <w:sz w:val="22"/>
              </w:rPr>
              <w:t xml:space="preserve"> les </w:t>
            </w:r>
            <w:r w:rsidR="00371E40">
              <w:rPr>
                <w:rFonts w:ascii="Arial" w:hAnsi="Arial"/>
                <w:sz w:val="22"/>
              </w:rPr>
              <w:t xml:space="preserve">programmer </w:t>
            </w:r>
            <w:r>
              <w:rPr>
                <w:rFonts w:ascii="Arial" w:hAnsi="Arial"/>
                <w:sz w:val="22"/>
              </w:rPr>
              <w:t>le plus longtemps possible en amont et en les étalant suffisamment (</w:t>
            </w:r>
            <w:hyperlink r:id="rId28">
              <w:r>
                <w:rPr>
                  <w:rStyle w:val="Hyperlink"/>
                  <w:rFonts w:ascii="Arial" w:hAnsi="Arial"/>
                  <w:sz w:val="22"/>
                </w:rPr>
                <w:t>décision 9.COM 13.g</w:t>
              </w:r>
            </w:hyperlink>
            <w:r w:rsidRPr="00265B1E">
              <w:rPr>
                <w:rStyle w:val="Hyperlink"/>
                <w:rFonts w:ascii="Arial" w:hAnsi="Arial"/>
                <w:color w:val="auto"/>
                <w:sz w:val="22"/>
                <w:u w:val="none"/>
              </w:rPr>
              <w:t>).</w:t>
            </w:r>
            <w:r w:rsidR="00265B1E" w:rsidRPr="00265B1E">
              <w:rPr>
                <w:rStyle w:val="Hyperlink"/>
                <w:rFonts w:ascii="Arial" w:hAnsi="Arial"/>
                <w:color w:val="auto"/>
                <w:sz w:val="22"/>
                <w:u w:val="none"/>
              </w:rPr>
              <w:t xml:space="preserve"> </w:t>
            </w:r>
            <w:r>
              <w:rPr>
                <w:rFonts w:ascii="Arial" w:hAnsi="Arial"/>
                <w:sz w:val="22"/>
              </w:rPr>
              <w:t xml:space="preserve">Cette décision fait suite à une recommandation </w:t>
            </w:r>
            <w:r w:rsidR="00371E40">
              <w:rPr>
                <w:rFonts w:ascii="Arial" w:hAnsi="Arial"/>
                <w:sz w:val="22"/>
              </w:rPr>
              <w:t>d</w:t>
            </w:r>
            <w:r w:rsidR="00443556">
              <w:rPr>
                <w:rFonts w:ascii="Arial" w:hAnsi="Arial"/>
                <w:sz w:val="22"/>
              </w:rPr>
              <w:t>’</w:t>
            </w:r>
            <w:r>
              <w:rPr>
                <w:rFonts w:ascii="Arial" w:hAnsi="Arial"/>
                <w:sz w:val="22"/>
              </w:rPr>
              <w:t>IOS suite à l</w:t>
            </w:r>
            <w:r w:rsidR="00443556">
              <w:rPr>
                <w:rFonts w:ascii="Arial" w:hAnsi="Arial"/>
                <w:sz w:val="22"/>
              </w:rPr>
              <w:t>’</w:t>
            </w:r>
            <w:r>
              <w:rPr>
                <w:rFonts w:ascii="Arial" w:hAnsi="Arial"/>
                <w:sz w:val="22"/>
              </w:rPr>
              <w:t>audit des méthodes de travail des six conventions culturelles et non aux recommandations du Commissaire aux comptes.</w:t>
            </w:r>
          </w:p>
        </w:tc>
      </w:tr>
      <w:tr w:rsidR="00ED1FFF" w:rsidRPr="00F129F5" w:rsidTr="008B2782">
        <w:tc>
          <w:tcPr>
            <w:tcW w:w="6958" w:type="dxa"/>
          </w:tcPr>
          <w:p w:rsidR="00ED1FFF" w:rsidRPr="00447A43" w:rsidRDefault="00B70538" w:rsidP="004E341F">
            <w:pPr>
              <w:pStyle w:val="Default"/>
              <w:numPr>
                <w:ilvl w:val="1"/>
                <w:numId w:val="21"/>
              </w:numPr>
              <w:spacing w:before="120" w:after="120"/>
              <w:rPr>
                <w:sz w:val="22"/>
                <w:szCs w:val="22"/>
              </w:rPr>
            </w:pPr>
            <w:r>
              <w:rPr>
                <w:sz w:val="22"/>
              </w:rPr>
              <w:lastRenderedPageBreak/>
              <w:t>des sessions biennales plutôt qu</w:t>
            </w:r>
            <w:r w:rsidR="00443556">
              <w:rPr>
                <w:sz w:val="22"/>
              </w:rPr>
              <w:t>’</w:t>
            </w:r>
            <w:r>
              <w:rPr>
                <w:sz w:val="22"/>
              </w:rPr>
              <w:t>annuelles, quadriennales plutôt que biennales</w:t>
            </w:r>
          </w:p>
        </w:tc>
        <w:tc>
          <w:tcPr>
            <w:tcW w:w="6958" w:type="dxa"/>
          </w:tcPr>
          <w:p w:rsidR="00ED1FFF" w:rsidRDefault="00B70538" w:rsidP="00371E40">
            <w:pPr>
              <w:pStyle w:val="ListParagraph"/>
              <w:numPr>
                <w:ilvl w:val="0"/>
                <w:numId w:val="32"/>
              </w:numPr>
              <w:spacing w:before="120" w:after="120"/>
              <w:ind w:left="470" w:right="57" w:hanging="357"/>
              <w:contextualSpacing w:val="0"/>
              <w:rPr>
                <w:rFonts w:ascii="Arial" w:hAnsi="Arial" w:cs="Arial"/>
                <w:sz w:val="22"/>
                <w:szCs w:val="22"/>
              </w:rPr>
            </w:pPr>
            <w:r>
              <w:rPr>
                <w:rFonts w:ascii="Arial" w:hAnsi="Arial"/>
                <w:sz w:val="22"/>
              </w:rPr>
              <w:t>L</w:t>
            </w:r>
            <w:r w:rsidR="00443556">
              <w:rPr>
                <w:rFonts w:ascii="Arial" w:hAnsi="Arial"/>
                <w:sz w:val="22"/>
              </w:rPr>
              <w:t>’</w:t>
            </w:r>
            <w:r>
              <w:rPr>
                <w:rFonts w:ascii="Arial" w:hAnsi="Arial"/>
                <w:sz w:val="22"/>
              </w:rPr>
              <w:t>alinéa 2 de l</w:t>
            </w:r>
            <w:r w:rsidR="00443556">
              <w:rPr>
                <w:rFonts w:ascii="Arial" w:hAnsi="Arial"/>
                <w:sz w:val="22"/>
              </w:rPr>
              <w:t>’</w:t>
            </w:r>
            <w:r>
              <w:rPr>
                <w:rFonts w:ascii="Arial" w:hAnsi="Arial"/>
                <w:sz w:val="22"/>
              </w:rPr>
              <w:t>article 4 de la Convention de 2003 stipule que « L</w:t>
            </w:r>
            <w:r w:rsidR="00443556">
              <w:rPr>
                <w:rFonts w:ascii="Arial" w:hAnsi="Arial"/>
                <w:sz w:val="22"/>
              </w:rPr>
              <w:t>’</w:t>
            </w:r>
            <w:r>
              <w:rPr>
                <w:rFonts w:ascii="Arial" w:hAnsi="Arial"/>
                <w:sz w:val="22"/>
              </w:rPr>
              <w:t xml:space="preserve">Assemblée générale se réunit en session ordinaire tous les deux ans ». Une modification de la fréquence des réunions </w:t>
            </w:r>
            <w:r w:rsidR="00371E40">
              <w:rPr>
                <w:rFonts w:ascii="Arial" w:hAnsi="Arial"/>
                <w:sz w:val="22"/>
              </w:rPr>
              <w:t xml:space="preserve">de l’Assemblée générale </w:t>
            </w:r>
            <w:r>
              <w:rPr>
                <w:rFonts w:ascii="Arial" w:hAnsi="Arial"/>
                <w:sz w:val="22"/>
              </w:rPr>
              <w:t>suppose de réviser le texte de la Convention de 2003. L</w:t>
            </w:r>
            <w:r w:rsidR="00443556">
              <w:rPr>
                <w:rFonts w:ascii="Arial" w:hAnsi="Arial"/>
                <w:sz w:val="22"/>
              </w:rPr>
              <w:t>’</w:t>
            </w:r>
            <w:r>
              <w:rPr>
                <w:rFonts w:ascii="Arial" w:hAnsi="Arial"/>
                <w:sz w:val="22"/>
              </w:rPr>
              <w:t xml:space="preserve">article 38 de la Convention </w:t>
            </w:r>
            <w:r w:rsidR="00371E40">
              <w:rPr>
                <w:rFonts w:ascii="Arial" w:hAnsi="Arial"/>
                <w:sz w:val="22"/>
              </w:rPr>
              <w:t xml:space="preserve">établit </w:t>
            </w:r>
            <w:r>
              <w:rPr>
                <w:rFonts w:ascii="Arial" w:hAnsi="Arial"/>
                <w:sz w:val="22"/>
              </w:rPr>
              <w:t>comment les amendements</w:t>
            </w:r>
            <w:r w:rsidR="00371E40">
              <w:rPr>
                <w:rFonts w:ascii="Arial" w:hAnsi="Arial"/>
                <w:sz w:val="22"/>
              </w:rPr>
              <w:t xml:space="preserve"> peuvent être </w:t>
            </w:r>
            <w:proofErr w:type="gramStart"/>
            <w:r w:rsidR="00371E40">
              <w:rPr>
                <w:rFonts w:ascii="Arial" w:hAnsi="Arial"/>
                <w:sz w:val="22"/>
              </w:rPr>
              <w:t>adoptées</w:t>
            </w:r>
            <w:proofErr w:type="gramEnd"/>
            <w:r w:rsidR="00371E40">
              <w:rPr>
                <w:rFonts w:ascii="Arial" w:hAnsi="Arial"/>
                <w:sz w:val="22"/>
              </w:rPr>
              <w:t xml:space="preserve"> et comment ils peuvent entrer en vigueur</w:t>
            </w:r>
            <w:r>
              <w:rPr>
                <w:rFonts w:ascii="Arial" w:hAnsi="Arial"/>
                <w:sz w:val="22"/>
              </w:rPr>
              <w:t>.</w:t>
            </w:r>
          </w:p>
          <w:p w:rsidR="00B70538" w:rsidRPr="00B70538" w:rsidRDefault="0025485D" w:rsidP="00371E40">
            <w:pPr>
              <w:pStyle w:val="ListParagraph"/>
              <w:numPr>
                <w:ilvl w:val="0"/>
                <w:numId w:val="32"/>
              </w:numPr>
              <w:spacing w:before="120" w:after="120"/>
              <w:ind w:left="470" w:right="57" w:hanging="357"/>
              <w:contextualSpacing w:val="0"/>
              <w:rPr>
                <w:rFonts w:ascii="Arial" w:hAnsi="Arial" w:cs="Arial"/>
                <w:sz w:val="22"/>
                <w:szCs w:val="22"/>
              </w:rPr>
            </w:pPr>
            <w:r>
              <w:rPr>
                <w:rFonts w:ascii="Arial" w:hAnsi="Arial"/>
                <w:sz w:val="22"/>
              </w:rPr>
              <w:t>L</w:t>
            </w:r>
            <w:r w:rsidR="00443556">
              <w:rPr>
                <w:rFonts w:ascii="Arial" w:hAnsi="Arial"/>
                <w:sz w:val="22"/>
              </w:rPr>
              <w:t>’</w:t>
            </w:r>
            <w:r>
              <w:rPr>
                <w:rFonts w:ascii="Arial" w:hAnsi="Arial"/>
                <w:sz w:val="22"/>
              </w:rPr>
              <w:t xml:space="preserve">article 2.1 du Règlement intérieur du Comité stipule que « Le Comité se réunit en session ordinaire au moins une fois par an ». La décision de modifier </w:t>
            </w:r>
            <w:r w:rsidR="00371E40">
              <w:rPr>
                <w:rFonts w:ascii="Arial" w:hAnsi="Arial"/>
                <w:sz w:val="22"/>
              </w:rPr>
              <w:t>ce règlement</w:t>
            </w:r>
            <w:r>
              <w:rPr>
                <w:rFonts w:ascii="Arial" w:hAnsi="Arial"/>
                <w:sz w:val="22"/>
              </w:rPr>
              <w:t xml:space="preserve"> appartient aux membres du Comité. Elle doit être prise à la majorité des deux tiers conformément à l</w:t>
            </w:r>
            <w:r w:rsidR="00443556">
              <w:rPr>
                <w:rFonts w:ascii="Arial" w:hAnsi="Arial"/>
                <w:sz w:val="22"/>
              </w:rPr>
              <w:t>’</w:t>
            </w:r>
            <w:r>
              <w:rPr>
                <w:rFonts w:ascii="Arial" w:hAnsi="Arial"/>
                <w:sz w:val="22"/>
              </w:rPr>
              <w:t>article 48 du Règlement intérieur.</w:t>
            </w:r>
          </w:p>
        </w:tc>
      </w:tr>
      <w:tr w:rsidR="004E341F" w:rsidRPr="00F129F5" w:rsidTr="008B2782">
        <w:tc>
          <w:tcPr>
            <w:tcW w:w="6958" w:type="dxa"/>
          </w:tcPr>
          <w:p w:rsidR="004E341F" w:rsidRPr="00964322" w:rsidRDefault="004E341F" w:rsidP="004E341F">
            <w:pPr>
              <w:pStyle w:val="Default"/>
              <w:numPr>
                <w:ilvl w:val="1"/>
                <w:numId w:val="21"/>
              </w:numPr>
              <w:spacing w:before="120" w:after="120"/>
              <w:rPr>
                <w:bCs/>
                <w:sz w:val="22"/>
                <w:szCs w:val="22"/>
              </w:rPr>
            </w:pPr>
            <w:r>
              <w:rPr>
                <w:sz w:val="22"/>
              </w:rPr>
              <w:t>généraliser l</w:t>
            </w:r>
            <w:r w:rsidR="00443556">
              <w:rPr>
                <w:sz w:val="22"/>
              </w:rPr>
              <w:t>’</w:t>
            </w:r>
            <w:r>
              <w:rPr>
                <w:sz w:val="22"/>
              </w:rPr>
              <w:t>usage de la téléconférence</w:t>
            </w:r>
          </w:p>
        </w:tc>
        <w:tc>
          <w:tcPr>
            <w:tcW w:w="6958" w:type="dxa"/>
          </w:tcPr>
          <w:p w:rsidR="004E341F" w:rsidRPr="00447A43" w:rsidRDefault="00284A37" w:rsidP="00F073F5">
            <w:pPr>
              <w:pStyle w:val="ListParagraph"/>
              <w:numPr>
                <w:ilvl w:val="0"/>
                <w:numId w:val="32"/>
              </w:numPr>
              <w:spacing w:before="120" w:after="120"/>
              <w:ind w:left="470" w:right="57" w:hanging="357"/>
              <w:contextualSpacing w:val="0"/>
              <w:rPr>
                <w:b/>
                <w:bCs/>
                <w:sz w:val="22"/>
                <w:szCs w:val="22"/>
              </w:rPr>
            </w:pPr>
            <w:r>
              <w:rPr>
                <w:rFonts w:ascii="Arial" w:hAnsi="Arial"/>
                <w:sz w:val="22"/>
              </w:rPr>
              <w:t>Conformément à l</w:t>
            </w:r>
            <w:r w:rsidR="00443556">
              <w:rPr>
                <w:rFonts w:ascii="Arial" w:hAnsi="Arial"/>
                <w:sz w:val="22"/>
              </w:rPr>
              <w:t>’</w:t>
            </w:r>
            <w:r>
              <w:rPr>
                <w:rFonts w:ascii="Arial" w:hAnsi="Arial"/>
                <w:sz w:val="22"/>
              </w:rPr>
              <w:t xml:space="preserve">article 12.3 du Règlement intérieur du Comité, le Bureau </w:t>
            </w:r>
            <w:r w:rsidR="00371E40">
              <w:rPr>
                <w:rFonts w:ascii="Arial" w:hAnsi="Arial"/>
                <w:sz w:val="22"/>
              </w:rPr>
              <w:t xml:space="preserve">du Comité </w:t>
            </w:r>
            <w:r>
              <w:rPr>
                <w:rFonts w:ascii="Arial" w:hAnsi="Arial"/>
                <w:sz w:val="22"/>
              </w:rPr>
              <w:t>est consulté par voie électronique tous les ans (deux consultations en 2014, une en 2015 et deux en 2016). Il adopte, à cette occasion, des décisions telles que l</w:t>
            </w:r>
            <w:r w:rsidR="00443556">
              <w:rPr>
                <w:rFonts w:ascii="Arial" w:hAnsi="Arial"/>
                <w:sz w:val="22"/>
              </w:rPr>
              <w:t>’</w:t>
            </w:r>
            <w:r>
              <w:rPr>
                <w:rFonts w:ascii="Arial" w:hAnsi="Arial"/>
                <w:sz w:val="22"/>
              </w:rPr>
              <w:t>octroi d</w:t>
            </w:r>
            <w:r w:rsidR="00443556">
              <w:rPr>
                <w:rFonts w:ascii="Arial" w:hAnsi="Arial"/>
                <w:sz w:val="22"/>
              </w:rPr>
              <w:t>’</w:t>
            </w:r>
            <w:r>
              <w:rPr>
                <w:rFonts w:ascii="Arial" w:hAnsi="Arial"/>
                <w:sz w:val="22"/>
              </w:rPr>
              <w:t>une assistance internationale jusqu</w:t>
            </w:r>
            <w:r w:rsidR="00443556">
              <w:rPr>
                <w:rFonts w:ascii="Arial" w:hAnsi="Arial"/>
                <w:sz w:val="22"/>
              </w:rPr>
              <w:t>’</w:t>
            </w:r>
            <w:r>
              <w:rPr>
                <w:rFonts w:ascii="Arial" w:hAnsi="Arial"/>
                <w:sz w:val="22"/>
              </w:rPr>
              <w:t xml:space="preserve">à 100 000 dollars </w:t>
            </w:r>
            <w:r w:rsidR="00BA153E">
              <w:rPr>
                <w:rFonts w:ascii="Arial" w:hAnsi="Arial"/>
                <w:sz w:val="22"/>
              </w:rPr>
              <w:t>des États-Unis</w:t>
            </w:r>
            <w:r>
              <w:rPr>
                <w:rFonts w:ascii="Arial" w:hAnsi="Arial"/>
                <w:sz w:val="22"/>
              </w:rPr>
              <w:t xml:space="preserve">, </w:t>
            </w:r>
            <w:r w:rsidR="00F073F5">
              <w:rPr>
                <w:rFonts w:ascii="Arial" w:hAnsi="Arial"/>
                <w:sz w:val="22"/>
              </w:rPr>
              <w:t xml:space="preserve">l’octroi </w:t>
            </w:r>
            <w:r>
              <w:rPr>
                <w:rFonts w:ascii="Arial" w:hAnsi="Arial"/>
                <w:sz w:val="22"/>
              </w:rPr>
              <w:t>des demandes d</w:t>
            </w:r>
            <w:r w:rsidR="00443556">
              <w:rPr>
                <w:rFonts w:ascii="Arial" w:hAnsi="Arial"/>
                <w:sz w:val="22"/>
              </w:rPr>
              <w:t>’</w:t>
            </w:r>
            <w:r>
              <w:rPr>
                <w:rFonts w:ascii="Arial" w:hAnsi="Arial"/>
                <w:sz w:val="22"/>
              </w:rPr>
              <w:t>assistance d</w:t>
            </w:r>
            <w:r w:rsidR="00443556">
              <w:rPr>
                <w:rFonts w:ascii="Arial" w:hAnsi="Arial"/>
                <w:sz w:val="22"/>
              </w:rPr>
              <w:t>’</w:t>
            </w:r>
            <w:r>
              <w:rPr>
                <w:rFonts w:ascii="Arial" w:hAnsi="Arial"/>
                <w:sz w:val="22"/>
              </w:rPr>
              <w:t>urgence indépendamment du montant, l</w:t>
            </w:r>
            <w:r w:rsidR="00443556">
              <w:rPr>
                <w:rFonts w:ascii="Arial" w:hAnsi="Arial"/>
                <w:sz w:val="22"/>
              </w:rPr>
              <w:t>’</w:t>
            </w:r>
            <w:r>
              <w:rPr>
                <w:rFonts w:ascii="Arial" w:hAnsi="Arial"/>
                <w:sz w:val="22"/>
              </w:rPr>
              <w:t>adoption de son rapport final à destination de l</w:t>
            </w:r>
            <w:r w:rsidR="00443556">
              <w:rPr>
                <w:rFonts w:ascii="Arial" w:hAnsi="Arial"/>
                <w:sz w:val="22"/>
              </w:rPr>
              <w:t>’</w:t>
            </w:r>
            <w:r>
              <w:rPr>
                <w:rFonts w:ascii="Arial" w:hAnsi="Arial"/>
                <w:sz w:val="22"/>
              </w:rPr>
              <w:t>Assemblée générale et l</w:t>
            </w:r>
            <w:r w:rsidR="00443556">
              <w:rPr>
                <w:rFonts w:ascii="Arial" w:hAnsi="Arial"/>
                <w:sz w:val="22"/>
              </w:rPr>
              <w:t>’</w:t>
            </w:r>
            <w:r>
              <w:rPr>
                <w:rFonts w:ascii="Arial" w:hAnsi="Arial"/>
                <w:sz w:val="22"/>
              </w:rPr>
              <w:t>approbation de l</w:t>
            </w:r>
            <w:r w:rsidR="00443556">
              <w:rPr>
                <w:rFonts w:ascii="Arial" w:hAnsi="Arial"/>
                <w:sz w:val="22"/>
              </w:rPr>
              <w:t>’</w:t>
            </w:r>
            <w:r>
              <w:rPr>
                <w:rFonts w:ascii="Arial" w:hAnsi="Arial"/>
                <w:sz w:val="22"/>
              </w:rPr>
              <w:t>utilisation de</w:t>
            </w:r>
            <w:r w:rsidR="001E693B">
              <w:rPr>
                <w:rFonts w:ascii="Arial" w:hAnsi="Arial"/>
                <w:sz w:val="22"/>
              </w:rPr>
              <w:t>s</w:t>
            </w:r>
            <w:r>
              <w:rPr>
                <w:rFonts w:ascii="Arial" w:hAnsi="Arial"/>
                <w:sz w:val="22"/>
              </w:rPr>
              <w:t xml:space="preserve"> 20 % des ressources du Fonds du patrimoine culturel immatériel alloué</w:t>
            </w:r>
            <w:r w:rsidR="001E693B">
              <w:rPr>
                <w:rFonts w:ascii="Arial" w:hAnsi="Arial"/>
                <w:sz w:val="22"/>
              </w:rPr>
              <w:t>s</w:t>
            </w:r>
            <w:r>
              <w:rPr>
                <w:rFonts w:ascii="Arial" w:hAnsi="Arial"/>
                <w:sz w:val="22"/>
              </w:rPr>
              <w:t xml:space="preserve"> au titre des « autres fonctions du Comité ».</w:t>
            </w:r>
          </w:p>
        </w:tc>
      </w:tr>
      <w:tr w:rsidR="00A67BDA" w:rsidRPr="00F129F5" w:rsidTr="008B2782">
        <w:tc>
          <w:tcPr>
            <w:tcW w:w="6958" w:type="dxa"/>
          </w:tcPr>
          <w:p w:rsidR="00A67BDA" w:rsidRPr="00431A60" w:rsidRDefault="00431A60" w:rsidP="00431A60">
            <w:pPr>
              <w:pStyle w:val="Default"/>
              <w:numPr>
                <w:ilvl w:val="1"/>
                <w:numId w:val="21"/>
              </w:numPr>
              <w:spacing w:before="120" w:after="120"/>
              <w:rPr>
                <w:sz w:val="22"/>
                <w:szCs w:val="22"/>
              </w:rPr>
            </w:pPr>
            <w:r>
              <w:rPr>
                <w:sz w:val="22"/>
              </w:rPr>
              <w:t>ne convoquer que des sessions indispensables et</w:t>
            </w:r>
            <w:r w:rsidR="00265B1E">
              <w:rPr>
                <w:sz w:val="22"/>
              </w:rPr>
              <w:t xml:space="preserve"> financées sur budget ordinaire</w:t>
            </w:r>
          </w:p>
        </w:tc>
        <w:tc>
          <w:tcPr>
            <w:tcW w:w="6958" w:type="dxa"/>
          </w:tcPr>
          <w:p w:rsidR="00A67BDA" w:rsidRPr="00B70538" w:rsidRDefault="0051264E" w:rsidP="00431A60">
            <w:pPr>
              <w:pStyle w:val="ListParagraph"/>
              <w:numPr>
                <w:ilvl w:val="0"/>
                <w:numId w:val="32"/>
              </w:numPr>
              <w:spacing w:before="120" w:after="120"/>
              <w:ind w:left="470" w:right="57" w:hanging="357"/>
              <w:contextualSpacing w:val="0"/>
              <w:rPr>
                <w:rFonts w:ascii="Arial" w:hAnsi="Arial" w:cs="Arial"/>
                <w:sz w:val="22"/>
                <w:szCs w:val="22"/>
              </w:rPr>
            </w:pPr>
            <w:r>
              <w:rPr>
                <w:rFonts w:ascii="Arial" w:hAnsi="Arial"/>
                <w:sz w:val="22"/>
              </w:rPr>
              <w:t xml:space="preserve">Les réunions statutaires ont été établies par les États parties, </w:t>
            </w:r>
            <w:r w:rsidR="00F073F5">
              <w:rPr>
                <w:rFonts w:ascii="Arial" w:hAnsi="Arial"/>
                <w:sz w:val="22"/>
              </w:rPr>
              <w:t xml:space="preserve">soit </w:t>
            </w:r>
            <w:r>
              <w:rPr>
                <w:rFonts w:ascii="Arial" w:hAnsi="Arial"/>
                <w:sz w:val="22"/>
              </w:rPr>
              <w:t>à travers l</w:t>
            </w:r>
            <w:r w:rsidR="00443556">
              <w:rPr>
                <w:rFonts w:ascii="Arial" w:hAnsi="Arial"/>
                <w:sz w:val="22"/>
              </w:rPr>
              <w:t>’</w:t>
            </w:r>
            <w:r>
              <w:rPr>
                <w:rFonts w:ascii="Arial" w:hAnsi="Arial"/>
                <w:sz w:val="22"/>
              </w:rPr>
              <w:t>adoption du texte de la Convention ou du Règlement intérieur des organes de la Convention. Elles sont donc obligatoires.</w:t>
            </w:r>
          </w:p>
          <w:p w:rsidR="00431A60" w:rsidRPr="006723C8" w:rsidRDefault="00431A60" w:rsidP="0076446B">
            <w:pPr>
              <w:pStyle w:val="ListParagraph"/>
              <w:numPr>
                <w:ilvl w:val="0"/>
                <w:numId w:val="32"/>
              </w:numPr>
              <w:spacing w:before="120" w:after="120"/>
              <w:ind w:left="470" w:right="57" w:hanging="357"/>
              <w:contextualSpacing w:val="0"/>
              <w:rPr>
                <w:rFonts w:ascii="Arial" w:hAnsi="Arial" w:cs="Arial"/>
                <w:sz w:val="22"/>
                <w:szCs w:val="22"/>
              </w:rPr>
            </w:pPr>
            <w:r>
              <w:rPr>
                <w:rFonts w:ascii="Arial" w:hAnsi="Arial"/>
                <w:sz w:val="22"/>
              </w:rPr>
              <w:t>Les réunions statutaires sont financées par le programme ordinaire. Lorsqu</w:t>
            </w:r>
            <w:r w:rsidR="00443556">
              <w:rPr>
                <w:rFonts w:ascii="Arial" w:hAnsi="Arial"/>
                <w:sz w:val="22"/>
              </w:rPr>
              <w:t>’</w:t>
            </w:r>
            <w:r>
              <w:rPr>
                <w:rFonts w:ascii="Arial" w:hAnsi="Arial"/>
                <w:sz w:val="22"/>
              </w:rPr>
              <w:t>elles sont organisées à l</w:t>
            </w:r>
            <w:r w:rsidR="00443556">
              <w:rPr>
                <w:rFonts w:ascii="Arial" w:hAnsi="Arial"/>
                <w:sz w:val="22"/>
              </w:rPr>
              <w:t>’</w:t>
            </w:r>
            <w:r>
              <w:rPr>
                <w:rFonts w:ascii="Arial" w:hAnsi="Arial"/>
                <w:sz w:val="22"/>
              </w:rPr>
              <w:t>étranger, les frais de base sont financés par le programme ordinaire, le pays hôte prenant en charge le surcoût lié à la tenue de la réunion à l</w:t>
            </w:r>
            <w:r w:rsidR="00443556">
              <w:rPr>
                <w:rFonts w:ascii="Arial" w:hAnsi="Arial"/>
                <w:sz w:val="22"/>
              </w:rPr>
              <w:t>’</w:t>
            </w:r>
            <w:r>
              <w:rPr>
                <w:rFonts w:ascii="Arial" w:hAnsi="Arial"/>
                <w:sz w:val="22"/>
              </w:rPr>
              <w:t>extérieur du siège de l</w:t>
            </w:r>
            <w:r w:rsidR="00443556">
              <w:rPr>
                <w:rFonts w:ascii="Arial" w:hAnsi="Arial"/>
                <w:sz w:val="22"/>
              </w:rPr>
              <w:t>’</w:t>
            </w:r>
            <w:r>
              <w:rPr>
                <w:rFonts w:ascii="Arial" w:hAnsi="Arial"/>
                <w:sz w:val="22"/>
              </w:rPr>
              <w:t>UNESCO.</w:t>
            </w:r>
          </w:p>
        </w:tc>
      </w:tr>
      <w:tr w:rsidR="00431A60" w:rsidRPr="00F129F5" w:rsidTr="008B2782">
        <w:tc>
          <w:tcPr>
            <w:tcW w:w="6958" w:type="dxa"/>
          </w:tcPr>
          <w:p w:rsidR="00431A60" w:rsidRPr="00447A43" w:rsidRDefault="00431A60" w:rsidP="00284A37">
            <w:pPr>
              <w:pStyle w:val="Default"/>
              <w:numPr>
                <w:ilvl w:val="1"/>
                <w:numId w:val="21"/>
              </w:numPr>
              <w:spacing w:before="120" w:after="120"/>
              <w:rPr>
                <w:sz w:val="22"/>
                <w:szCs w:val="22"/>
              </w:rPr>
            </w:pPr>
            <w:r>
              <w:rPr>
                <w:sz w:val="22"/>
              </w:rPr>
              <w:t>réduire le nombre de participants aux réunions</w:t>
            </w:r>
          </w:p>
        </w:tc>
        <w:tc>
          <w:tcPr>
            <w:tcW w:w="6958" w:type="dxa"/>
          </w:tcPr>
          <w:p w:rsidR="00431A60" w:rsidRPr="007853CE" w:rsidRDefault="0046580F" w:rsidP="00265B1E">
            <w:pPr>
              <w:pStyle w:val="ListParagraph"/>
              <w:numPr>
                <w:ilvl w:val="0"/>
                <w:numId w:val="32"/>
              </w:numPr>
              <w:spacing w:before="120" w:after="120"/>
              <w:ind w:left="470" w:right="57" w:hanging="357"/>
              <w:contextualSpacing w:val="0"/>
              <w:rPr>
                <w:rFonts w:ascii="Arial" w:hAnsi="Arial" w:cs="Arial"/>
                <w:sz w:val="22"/>
                <w:szCs w:val="22"/>
              </w:rPr>
            </w:pPr>
            <w:r>
              <w:rPr>
                <w:rFonts w:ascii="Arial" w:hAnsi="Arial"/>
                <w:sz w:val="22"/>
              </w:rPr>
              <w:t>Les Règlements intérieurs de l</w:t>
            </w:r>
            <w:r w:rsidR="00443556">
              <w:rPr>
                <w:rFonts w:ascii="Arial" w:hAnsi="Arial"/>
                <w:sz w:val="22"/>
              </w:rPr>
              <w:t>’</w:t>
            </w:r>
            <w:r>
              <w:rPr>
                <w:rFonts w:ascii="Arial" w:hAnsi="Arial"/>
                <w:sz w:val="22"/>
              </w:rPr>
              <w:t xml:space="preserve">Assemblée générale et du Comité déterminent </w:t>
            </w:r>
            <w:r w:rsidR="00F073F5">
              <w:rPr>
                <w:rFonts w:ascii="Arial" w:hAnsi="Arial"/>
                <w:sz w:val="22"/>
              </w:rPr>
              <w:t>qui peut participer</w:t>
            </w:r>
            <w:r>
              <w:rPr>
                <w:rFonts w:ascii="Arial" w:hAnsi="Arial"/>
                <w:sz w:val="22"/>
              </w:rPr>
              <w:t xml:space="preserve"> </w:t>
            </w:r>
            <w:r w:rsidR="00F073F5">
              <w:rPr>
                <w:rFonts w:ascii="Arial" w:hAnsi="Arial"/>
                <w:sz w:val="22"/>
              </w:rPr>
              <w:t xml:space="preserve">à leurs </w:t>
            </w:r>
            <w:r>
              <w:rPr>
                <w:rFonts w:ascii="Arial" w:hAnsi="Arial"/>
                <w:sz w:val="22"/>
              </w:rPr>
              <w:t xml:space="preserve">réunions. La révision de ces règles ou la réduction du nombre de représentants </w:t>
            </w:r>
            <w:r w:rsidR="00F073F5">
              <w:rPr>
                <w:rFonts w:ascii="Arial" w:hAnsi="Arial"/>
                <w:sz w:val="22"/>
              </w:rPr>
              <w:t xml:space="preserve">aux réunions statutaires </w:t>
            </w:r>
            <w:r>
              <w:rPr>
                <w:rFonts w:ascii="Arial" w:hAnsi="Arial"/>
                <w:sz w:val="22"/>
              </w:rPr>
              <w:t xml:space="preserve">relève de la </w:t>
            </w:r>
            <w:r>
              <w:rPr>
                <w:rFonts w:ascii="Arial" w:hAnsi="Arial"/>
                <w:sz w:val="22"/>
              </w:rPr>
              <w:lastRenderedPageBreak/>
              <w:t>responsabilité des États parties et des membres du Comité.</w:t>
            </w:r>
          </w:p>
        </w:tc>
      </w:tr>
      <w:tr w:rsidR="004E341F" w:rsidRPr="00F129F5" w:rsidTr="008B2782">
        <w:tc>
          <w:tcPr>
            <w:tcW w:w="6958" w:type="dxa"/>
          </w:tcPr>
          <w:p w:rsidR="004E341F" w:rsidRPr="00ED3793" w:rsidRDefault="00284A37" w:rsidP="00284A37">
            <w:pPr>
              <w:pStyle w:val="Default"/>
              <w:numPr>
                <w:ilvl w:val="1"/>
                <w:numId w:val="21"/>
              </w:numPr>
              <w:spacing w:before="120" w:after="120"/>
              <w:rPr>
                <w:bCs/>
                <w:sz w:val="22"/>
                <w:szCs w:val="22"/>
              </w:rPr>
            </w:pPr>
            <w:r>
              <w:rPr>
                <w:sz w:val="22"/>
              </w:rPr>
              <w:lastRenderedPageBreak/>
              <w:t>alléger les ordres du jour en sériant les priorités et déléguant les décisions mineures</w:t>
            </w:r>
          </w:p>
        </w:tc>
        <w:tc>
          <w:tcPr>
            <w:tcW w:w="6958" w:type="dxa"/>
          </w:tcPr>
          <w:p w:rsidR="004E341F" w:rsidRPr="00633FD7" w:rsidRDefault="00606004" w:rsidP="00E0693B">
            <w:pPr>
              <w:pStyle w:val="ListParagraph"/>
              <w:numPr>
                <w:ilvl w:val="0"/>
                <w:numId w:val="32"/>
              </w:numPr>
              <w:spacing w:before="120" w:after="120"/>
              <w:ind w:left="470" w:right="57" w:hanging="357"/>
              <w:contextualSpacing w:val="0"/>
              <w:rPr>
                <w:b/>
                <w:bCs/>
                <w:sz w:val="22"/>
                <w:szCs w:val="22"/>
              </w:rPr>
            </w:pPr>
            <w:r>
              <w:rPr>
                <w:rFonts w:ascii="Arial" w:hAnsi="Arial"/>
                <w:sz w:val="22"/>
              </w:rPr>
              <w:t>À l</w:t>
            </w:r>
            <w:r w:rsidR="00443556">
              <w:rPr>
                <w:rFonts w:ascii="Arial" w:hAnsi="Arial"/>
                <w:sz w:val="22"/>
              </w:rPr>
              <w:t>’</w:t>
            </w:r>
            <w:r>
              <w:rPr>
                <w:rFonts w:ascii="Arial" w:hAnsi="Arial"/>
                <w:sz w:val="22"/>
              </w:rPr>
              <w:t>occasion de sa cinquième session, l</w:t>
            </w:r>
            <w:r w:rsidR="00443556">
              <w:rPr>
                <w:rFonts w:ascii="Arial" w:hAnsi="Arial"/>
                <w:sz w:val="22"/>
              </w:rPr>
              <w:t>’</w:t>
            </w:r>
            <w:r>
              <w:rPr>
                <w:rFonts w:ascii="Arial" w:hAnsi="Arial"/>
                <w:sz w:val="22"/>
              </w:rPr>
              <w:t xml:space="preserve">Assemblée générale a </w:t>
            </w:r>
            <w:r w:rsidR="008E4F74">
              <w:rPr>
                <w:rFonts w:ascii="Arial" w:hAnsi="Arial"/>
                <w:sz w:val="22"/>
              </w:rPr>
              <w:t xml:space="preserve">adopté </w:t>
            </w:r>
            <w:r w:rsidR="00E0693B">
              <w:rPr>
                <w:rFonts w:ascii="Arial" w:hAnsi="Arial"/>
                <w:sz w:val="22"/>
              </w:rPr>
              <w:t>les</w:t>
            </w:r>
            <w:r w:rsidR="008E4F74">
              <w:rPr>
                <w:rFonts w:ascii="Arial" w:hAnsi="Arial"/>
                <w:sz w:val="22"/>
              </w:rPr>
              <w:t xml:space="preserve"> </w:t>
            </w:r>
            <w:r>
              <w:rPr>
                <w:rFonts w:ascii="Arial" w:hAnsi="Arial"/>
                <w:sz w:val="22"/>
              </w:rPr>
              <w:t>révis</w:t>
            </w:r>
            <w:r w:rsidR="008E4F74">
              <w:rPr>
                <w:rFonts w:ascii="Arial" w:hAnsi="Arial"/>
                <w:sz w:val="22"/>
              </w:rPr>
              <w:t>ion</w:t>
            </w:r>
            <w:r w:rsidR="00E0693B">
              <w:rPr>
                <w:rFonts w:ascii="Arial" w:hAnsi="Arial"/>
                <w:sz w:val="22"/>
              </w:rPr>
              <w:t>s apportées aux</w:t>
            </w:r>
            <w:r>
              <w:rPr>
                <w:rFonts w:ascii="Arial" w:hAnsi="Arial"/>
                <w:sz w:val="22"/>
              </w:rPr>
              <w:t xml:space="preserve"> Directives opérationnelles concernant le calendrier d</w:t>
            </w:r>
            <w:r w:rsidR="00443556">
              <w:rPr>
                <w:rFonts w:ascii="Arial" w:hAnsi="Arial"/>
                <w:sz w:val="22"/>
              </w:rPr>
              <w:t>’</w:t>
            </w:r>
            <w:r>
              <w:rPr>
                <w:rFonts w:ascii="Arial" w:hAnsi="Arial"/>
                <w:sz w:val="22"/>
              </w:rPr>
              <w:t>accréditation des organisations non gouvernementales. Suite à ces révisions, les demandes seront reçues par le Secrétariat et examinées par le Comité les années impaires et non plus tous les ans (</w:t>
            </w:r>
            <w:hyperlink r:id="rId29">
              <w:r>
                <w:rPr>
                  <w:rStyle w:val="Hyperlink"/>
                  <w:rFonts w:ascii="Arial" w:hAnsi="Arial"/>
                  <w:sz w:val="22"/>
                </w:rPr>
                <w:t>résolution</w:t>
              </w:r>
              <w:r w:rsidR="0040763E" w:rsidRPr="0040763E">
                <w:rPr>
                  <w:rStyle w:val="Hyperlink"/>
                  <w:rFonts w:ascii="Arial" w:hAnsi="Arial"/>
                  <w:sz w:val="22"/>
                </w:rPr>
                <w:t> </w:t>
              </w:r>
              <w:r>
                <w:rPr>
                  <w:rStyle w:val="Hyperlink"/>
                  <w:rFonts w:ascii="Arial" w:hAnsi="Arial"/>
                  <w:sz w:val="22"/>
                </w:rPr>
                <w:t>6.GA 7</w:t>
              </w:r>
            </w:hyperlink>
            <w:r>
              <w:rPr>
                <w:rFonts w:ascii="Arial" w:hAnsi="Arial"/>
                <w:sz w:val="22"/>
              </w:rPr>
              <w:t>).</w:t>
            </w:r>
          </w:p>
          <w:p w:rsidR="00ED3793" w:rsidRPr="00633FD7" w:rsidRDefault="00E0693B" w:rsidP="00E0693B">
            <w:pPr>
              <w:pStyle w:val="ListParagraph"/>
              <w:numPr>
                <w:ilvl w:val="0"/>
                <w:numId w:val="32"/>
              </w:numPr>
              <w:spacing w:before="120" w:after="120"/>
              <w:ind w:left="470" w:right="57" w:hanging="357"/>
              <w:contextualSpacing w:val="0"/>
              <w:rPr>
                <w:b/>
                <w:bCs/>
                <w:sz w:val="22"/>
                <w:szCs w:val="22"/>
              </w:rPr>
            </w:pPr>
            <w:r>
              <w:rPr>
                <w:rFonts w:ascii="Arial" w:hAnsi="Arial"/>
                <w:sz w:val="22"/>
              </w:rPr>
              <w:t>En outre, p</w:t>
            </w:r>
            <w:r w:rsidR="00ED3793">
              <w:rPr>
                <w:rFonts w:ascii="Arial" w:hAnsi="Arial"/>
                <w:sz w:val="22"/>
              </w:rPr>
              <w:t>our laisser plus de temps à l</w:t>
            </w:r>
            <w:r w:rsidR="00443556">
              <w:rPr>
                <w:rFonts w:ascii="Arial" w:hAnsi="Arial"/>
                <w:sz w:val="22"/>
              </w:rPr>
              <w:t>’</w:t>
            </w:r>
            <w:r w:rsidR="00ED3793">
              <w:rPr>
                <w:rFonts w:ascii="Arial" w:hAnsi="Arial"/>
                <w:sz w:val="22"/>
              </w:rPr>
              <w:t>examen des autres points de l</w:t>
            </w:r>
            <w:r w:rsidR="00443556">
              <w:rPr>
                <w:rFonts w:ascii="Arial" w:hAnsi="Arial"/>
                <w:sz w:val="22"/>
              </w:rPr>
              <w:t>’</w:t>
            </w:r>
            <w:r w:rsidR="00ED3793">
              <w:rPr>
                <w:rFonts w:ascii="Arial" w:hAnsi="Arial"/>
                <w:sz w:val="22"/>
              </w:rPr>
              <w:t xml:space="preserve">ordre du jour, le Comité délègue </w:t>
            </w:r>
            <w:r>
              <w:rPr>
                <w:rFonts w:ascii="Arial" w:hAnsi="Arial"/>
                <w:sz w:val="22"/>
              </w:rPr>
              <w:t xml:space="preserve">à son </w:t>
            </w:r>
            <w:r w:rsidR="00ED3793">
              <w:rPr>
                <w:rFonts w:ascii="Arial" w:hAnsi="Arial"/>
                <w:sz w:val="22"/>
              </w:rPr>
              <w:t>Bureau un certain nombre de décisions telles que l</w:t>
            </w:r>
            <w:r w:rsidR="00443556">
              <w:rPr>
                <w:rFonts w:ascii="Arial" w:hAnsi="Arial"/>
                <w:sz w:val="22"/>
              </w:rPr>
              <w:t>’</w:t>
            </w:r>
            <w:r w:rsidR="00ED3793">
              <w:rPr>
                <w:rFonts w:ascii="Arial" w:hAnsi="Arial"/>
                <w:sz w:val="22"/>
              </w:rPr>
              <w:t>approbation des demandes d</w:t>
            </w:r>
            <w:r w:rsidR="00443556">
              <w:rPr>
                <w:rFonts w:ascii="Arial" w:hAnsi="Arial"/>
                <w:sz w:val="22"/>
              </w:rPr>
              <w:t>’</w:t>
            </w:r>
            <w:r w:rsidR="00ED3793">
              <w:rPr>
                <w:rFonts w:ascii="Arial" w:hAnsi="Arial"/>
                <w:sz w:val="22"/>
              </w:rPr>
              <w:t>assistance internationale jusqu</w:t>
            </w:r>
            <w:r w:rsidR="00443556">
              <w:rPr>
                <w:rFonts w:ascii="Arial" w:hAnsi="Arial"/>
                <w:sz w:val="22"/>
              </w:rPr>
              <w:t>’</w:t>
            </w:r>
            <w:r w:rsidR="00ED3793">
              <w:rPr>
                <w:rFonts w:ascii="Arial" w:hAnsi="Arial"/>
                <w:sz w:val="22"/>
              </w:rPr>
              <w:t>à 100 000 dollars</w:t>
            </w:r>
            <w:r w:rsidR="00BE3C36">
              <w:rPr>
                <w:rFonts w:ascii="Arial" w:hAnsi="Arial"/>
                <w:sz w:val="22"/>
              </w:rPr>
              <w:t xml:space="preserve"> </w:t>
            </w:r>
            <w:r w:rsidR="00781419">
              <w:rPr>
                <w:rFonts w:ascii="Arial" w:hAnsi="Arial"/>
                <w:sz w:val="22"/>
              </w:rPr>
              <w:t xml:space="preserve">des États-Unis </w:t>
            </w:r>
            <w:r w:rsidR="00ED3793">
              <w:rPr>
                <w:rFonts w:ascii="Arial" w:hAnsi="Arial"/>
                <w:sz w:val="22"/>
              </w:rPr>
              <w:t>et l</w:t>
            </w:r>
            <w:r w:rsidR="00443556">
              <w:rPr>
                <w:rFonts w:ascii="Arial" w:hAnsi="Arial"/>
                <w:sz w:val="22"/>
              </w:rPr>
              <w:t>’</w:t>
            </w:r>
            <w:r w:rsidR="00ED3793">
              <w:rPr>
                <w:rFonts w:ascii="Arial" w:hAnsi="Arial"/>
                <w:sz w:val="22"/>
              </w:rPr>
              <w:t>utilisation de</w:t>
            </w:r>
            <w:r>
              <w:rPr>
                <w:rFonts w:ascii="Arial" w:hAnsi="Arial"/>
                <w:sz w:val="22"/>
              </w:rPr>
              <w:t>s</w:t>
            </w:r>
            <w:r w:rsidR="00ED3793">
              <w:rPr>
                <w:rFonts w:ascii="Arial" w:hAnsi="Arial"/>
                <w:sz w:val="22"/>
              </w:rPr>
              <w:t xml:space="preserve"> 20 % des ressources du Fonds du patrimoine culturel immatériel alloué</w:t>
            </w:r>
            <w:r>
              <w:rPr>
                <w:rFonts w:ascii="Arial" w:hAnsi="Arial"/>
                <w:sz w:val="22"/>
              </w:rPr>
              <w:t>s</w:t>
            </w:r>
            <w:r w:rsidR="00ED3793">
              <w:rPr>
                <w:rFonts w:ascii="Arial" w:hAnsi="Arial"/>
                <w:sz w:val="22"/>
              </w:rPr>
              <w:t xml:space="preserve"> au titre des « autres fonctions du Comité ».</w:t>
            </w:r>
          </w:p>
          <w:p w:rsidR="00ED3793" w:rsidRPr="00447A43" w:rsidRDefault="00176EDD" w:rsidP="00265B1E">
            <w:pPr>
              <w:pStyle w:val="ListParagraph"/>
              <w:numPr>
                <w:ilvl w:val="0"/>
                <w:numId w:val="32"/>
              </w:numPr>
              <w:spacing w:before="120" w:after="120"/>
              <w:ind w:left="470" w:right="57" w:hanging="357"/>
              <w:contextualSpacing w:val="0"/>
              <w:rPr>
                <w:b/>
                <w:bCs/>
                <w:sz w:val="22"/>
                <w:szCs w:val="22"/>
              </w:rPr>
            </w:pPr>
            <w:r>
              <w:rPr>
                <w:rFonts w:ascii="Arial" w:hAnsi="Arial"/>
                <w:sz w:val="22"/>
              </w:rPr>
              <w:t>À l</w:t>
            </w:r>
            <w:r w:rsidR="00443556">
              <w:rPr>
                <w:rFonts w:ascii="Arial" w:hAnsi="Arial"/>
                <w:sz w:val="22"/>
              </w:rPr>
              <w:t>’</w:t>
            </w:r>
            <w:r>
              <w:rPr>
                <w:rFonts w:ascii="Arial" w:hAnsi="Arial"/>
                <w:sz w:val="22"/>
              </w:rPr>
              <w:t xml:space="preserve">occasion de sa dixième session, le Comité a adopté une nouvelle méthode de travail </w:t>
            </w:r>
            <w:r w:rsidR="00E0693B">
              <w:rPr>
                <w:rFonts w:ascii="Arial" w:hAnsi="Arial"/>
                <w:sz w:val="22"/>
              </w:rPr>
              <w:t xml:space="preserve">par laquelle les </w:t>
            </w:r>
            <w:r>
              <w:rPr>
                <w:rFonts w:ascii="Arial" w:hAnsi="Arial"/>
                <w:sz w:val="22"/>
              </w:rPr>
              <w:t xml:space="preserve">décisions relatives aux candidatures, propositions et demandes </w:t>
            </w:r>
            <w:r w:rsidR="00E0693B">
              <w:rPr>
                <w:rFonts w:ascii="Arial" w:hAnsi="Arial"/>
                <w:sz w:val="22"/>
              </w:rPr>
              <w:t xml:space="preserve">sont adoptées dans leur ensemble </w:t>
            </w:r>
            <w:r>
              <w:rPr>
                <w:rFonts w:ascii="Arial" w:hAnsi="Arial"/>
                <w:sz w:val="22"/>
              </w:rPr>
              <w:t>sans débat</w:t>
            </w:r>
            <w:r w:rsidR="00E0693B">
              <w:rPr>
                <w:rFonts w:ascii="Arial" w:hAnsi="Arial"/>
                <w:sz w:val="22"/>
              </w:rPr>
              <w:t>s</w:t>
            </w:r>
            <w:r>
              <w:rPr>
                <w:rFonts w:ascii="Arial" w:hAnsi="Arial"/>
                <w:sz w:val="22"/>
              </w:rPr>
              <w:t>, suivant la recommandation de l</w:t>
            </w:r>
            <w:r w:rsidR="00443556">
              <w:rPr>
                <w:rFonts w:ascii="Arial" w:hAnsi="Arial"/>
                <w:sz w:val="22"/>
              </w:rPr>
              <w:t>’</w:t>
            </w:r>
            <w:r>
              <w:rPr>
                <w:rFonts w:ascii="Arial" w:hAnsi="Arial"/>
                <w:sz w:val="22"/>
              </w:rPr>
              <w:t>Organe d</w:t>
            </w:r>
            <w:r w:rsidR="00443556">
              <w:rPr>
                <w:rFonts w:ascii="Arial" w:hAnsi="Arial"/>
                <w:sz w:val="22"/>
              </w:rPr>
              <w:t>’</w:t>
            </w:r>
            <w:r>
              <w:rPr>
                <w:rFonts w:ascii="Arial" w:hAnsi="Arial"/>
                <w:sz w:val="22"/>
              </w:rPr>
              <w:t xml:space="preserve">évaluation, et non paragraphe par paragraphe, </w:t>
            </w:r>
            <w:r w:rsidR="00E0693B">
              <w:rPr>
                <w:rFonts w:ascii="Arial" w:hAnsi="Arial"/>
                <w:sz w:val="22"/>
              </w:rPr>
              <w:t>à l’exception des</w:t>
            </w:r>
            <w:r>
              <w:rPr>
                <w:rFonts w:ascii="Arial" w:hAnsi="Arial"/>
                <w:sz w:val="22"/>
              </w:rPr>
              <w:t xml:space="preserve"> décisions pour lesquelles un membre du Comité demande spécifiquement </w:t>
            </w:r>
            <w:r w:rsidR="00E0693B">
              <w:rPr>
                <w:rFonts w:ascii="Arial" w:hAnsi="Arial"/>
                <w:sz w:val="22"/>
              </w:rPr>
              <w:t xml:space="preserve">d’ouvrir le </w:t>
            </w:r>
            <w:r>
              <w:rPr>
                <w:rFonts w:ascii="Arial" w:hAnsi="Arial"/>
                <w:sz w:val="22"/>
              </w:rPr>
              <w:t>débat.</w:t>
            </w:r>
          </w:p>
        </w:tc>
      </w:tr>
      <w:tr w:rsidR="004E341F" w:rsidRPr="00F129F5" w:rsidTr="008B2782">
        <w:tc>
          <w:tcPr>
            <w:tcW w:w="6958" w:type="dxa"/>
          </w:tcPr>
          <w:p w:rsidR="004E341F" w:rsidRPr="00ED3793" w:rsidRDefault="00284A37" w:rsidP="00284A37">
            <w:pPr>
              <w:pStyle w:val="Default"/>
              <w:numPr>
                <w:ilvl w:val="1"/>
                <w:numId w:val="21"/>
              </w:numPr>
              <w:spacing w:before="120" w:after="120"/>
              <w:rPr>
                <w:bCs/>
                <w:sz w:val="22"/>
                <w:szCs w:val="22"/>
              </w:rPr>
            </w:pPr>
            <w:r>
              <w:rPr>
                <w:sz w:val="22"/>
              </w:rPr>
              <w:t>augmenter les délégations de pouvoir aux bureaux</w:t>
            </w:r>
          </w:p>
        </w:tc>
        <w:tc>
          <w:tcPr>
            <w:tcW w:w="6958" w:type="dxa"/>
          </w:tcPr>
          <w:p w:rsidR="004E341F" w:rsidRPr="00633FD7" w:rsidRDefault="00F11FA0" w:rsidP="00916EFF">
            <w:pPr>
              <w:pStyle w:val="ListParagraph"/>
              <w:numPr>
                <w:ilvl w:val="0"/>
                <w:numId w:val="32"/>
              </w:numPr>
              <w:spacing w:before="120" w:after="120"/>
              <w:ind w:left="470" w:right="57" w:hanging="357"/>
              <w:rPr>
                <w:b/>
                <w:bCs/>
                <w:sz w:val="22"/>
                <w:szCs w:val="22"/>
              </w:rPr>
            </w:pPr>
            <w:r>
              <w:rPr>
                <w:rFonts w:ascii="Arial" w:hAnsi="Arial"/>
                <w:sz w:val="22"/>
              </w:rPr>
              <w:t>À l</w:t>
            </w:r>
            <w:r w:rsidR="00443556">
              <w:rPr>
                <w:rFonts w:ascii="Arial" w:hAnsi="Arial"/>
                <w:sz w:val="22"/>
              </w:rPr>
              <w:t>’</w:t>
            </w:r>
            <w:r>
              <w:rPr>
                <w:rFonts w:ascii="Arial" w:hAnsi="Arial"/>
                <w:sz w:val="22"/>
              </w:rPr>
              <w:t>occasion de sa sixième session en 2016, l</w:t>
            </w:r>
            <w:r w:rsidR="00443556">
              <w:rPr>
                <w:rFonts w:ascii="Arial" w:hAnsi="Arial"/>
                <w:sz w:val="22"/>
              </w:rPr>
              <w:t>’</w:t>
            </w:r>
            <w:r>
              <w:rPr>
                <w:rFonts w:ascii="Arial" w:hAnsi="Arial"/>
                <w:sz w:val="22"/>
              </w:rPr>
              <w:t xml:space="preserve">Assemblée générale </w:t>
            </w:r>
            <w:r w:rsidR="00E0693B">
              <w:rPr>
                <w:rFonts w:ascii="Arial" w:hAnsi="Arial"/>
                <w:sz w:val="22"/>
              </w:rPr>
              <w:t>approuvé les amendements aux</w:t>
            </w:r>
            <w:r>
              <w:rPr>
                <w:rFonts w:ascii="Arial" w:hAnsi="Arial"/>
                <w:sz w:val="22"/>
              </w:rPr>
              <w:t xml:space="preserve"> Directives opérationnelles (chapitres I.8, I.10, I.14 et I.15) pour </w:t>
            </w:r>
            <w:r w:rsidR="00E0693B">
              <w:rPr>
                <w:rFonts w:ascii="Arial" w:hAnsi="Arial"/>
                <w:sz w:val="22"/>
              </w:rPr>
              <w:t>augmenter le plafond des demandes d’assistance internationale qui peuvent être approuvées par le Bureau</w:t>
            </w:r>
            <w:r w:rsidR="00916EFF">
              <w:rPr>
                <w:rFonts w:ascii="Arial" w:hAnsi="Arial"/>
                <w:sz w:val="22"/>
              </w:rPr>
              <w:t>,</w:t>
            </w:r>
            <w:r w:rsidR="00E0693B">
              <w:rPr>
                <w:rFonts w:ascii="Arial" w:hAnsi="Arial"/>
                <w:sz w:val="22"/>
              </w:rPr>
              <w:t xml:space="preserve"> de 25</w:t>
            </w:r>
            <w:r w:rsidR="00916EFF">
              <w:rPr>
                <w:rFonts w:ascii="Arial" w:hAnsi="Arial"/>
                <w:sz w:val="22"/>
              </w:rPr>
              <w:t xml:space="preserve"> 000 dollars des </w:t>
            </w:r>
            <w:r w:rsidR="00916EFF">
              <w:rPr>
                <w:rFonts w:ascii="Arial" w:hAnsi="Arial" w:cs="Arial"/>
                <w:sz w:val="22"/>
              </w:rPr>
              <w:t>É</w:t>
            </w:r>
            <w:r w:rsidR="00916EFF">
              <w:rPr>
                <w:rFonts w:ascii="Arial" w:hAnsi="Arial"/>
                <w:sz w:val="22"/>
              </w:rPr>
              <w:t xml:space="preserve">tats-Unis </w:t>
            </w:r>
            <w:r>
              <w:rPr>
                <w:rFonts w:ascii="Arial" w:hAnsi="Arial"/>
                <w:sz w:val="22"/>
              </w:rPr>
              <w:t>à 100 000 dollars</w:t>
            </w:r>
            <w:r w:rsidR="00BE3C36">
              <w:rPr>
                <w:rFonts w:ascii="Arial" w:hAnsi="Arial"/>
                <w:sz w:val="22"/>
              </w:rPr>
              <w:t xml:space="preserve"> </w:t>
            </w:r>
            <w:r w:rsidR="00311512">
              <w:rPr>
                <w:rFonts w:ascii="Arial" w:hAnsi="Arial"/>
                <w:sz w:val="22"/>
              </w:rPr>
              <w:t xml:space="preserve">des États-Unis </w:t>
            </w:r>
            <w:r>
              <w:rPr>
                <w:rFonts w:ascii="Arial" w:hAnsi="Arial"/>
                <w:sz w:val="22"/>
              </w:rPr>
              <w:t>(</w:t>
            </w:r>
            <w:hyperlink r:id="rId30">
              <w:r>
                <w:rPr>
                  <w:rStyle w:val="Hyperlink"/>
                  <w:rFonts w:ascii="Arial" w:hAnsi="Arial"/>
                  <w:sz w:val="22"/>
                </w:rPr>
                <w:t>résolution 6.GA 7</w:t>
              </w:r>
            </w:hyperlink>
            <w:r>
              <w:rPr>
                <w:rFonts w:ascii="Arial" w:hAnsi="Arial"/>
                <w:sz w:val="22"/>
              </w:rPr>
              <w:t>). Le Bureau est également chargé d</w:t>
            </w:r>
            <w:r w:rsidR="00443556">
              <w:rPr>
                <w:rFonts w:ascii="Arial" w:hAnsi="Arial"/>
                <w:sz w:val="22"/>
              </w:rPr>
              <w:t>’</w:t>
            </w:r>
            <w:r>
              <w:rPr>
                <w:rFonts w:ascii="Arial" w:hAnsi="Arial"/>
                <w:sz w:val="22"/>
              </w:rPr>
              <w:t>approuver les demandes d</w:t>
            </w:r>
            <w:r w:rsidR="00443556">
              <w:rPr>
                <w:rFonts w:ascii="Arial" w:hAnsi="Arial"/>
                <w:sz w:val="22"/>
              </w:rPr>
              <w:t>’</w:t>
            </w:r>
            <w:r>
              <w:rPr>
                <w:rFonts w:ascii="Arial" w:hAnsi="Arial"/>
                <w:sz w:val="22"/>
              </w:rPr>
              <w:t>assistance d</w:t>
            </w:r>
            <w:r w:rsidR="00443556">
              <w:rPr>
                <w:rFonts w:ascii="Arial" w:hAnsi="Arial"/>
                <w:sz w:val="22"/>
              </w:rPr>
              <w:t>’</w:t>
            </w:r>
            <w:r>
              <w:rPr>
                <w:rFonts w:ascii="Arial" w:hAnsi="Arial"/>
                <w:sz w:val="22"/>
              </w:rPr>
              <w:t xml:space="preserve">urgence indépendamment du montant et </w:t>
            </w:r>
            <w:r w:rsidR="00916EFF">
              <w:rPr>
                <w:rFonts w:ascii="Arial" w:hAnsi="Arial"/>
                <w:sz w:val="22"/>
              </w:rPr>
              <w:t xml:space="preserve">de l’approbation de </w:t>
            </w:r>
            <w:r>
              <w:rPr>
                <w:rFonts w:ascii="Arial" w:hAnsi="Arial"/>
                <w:sz w:val="22"/>
              </w:rPr>
              <w:t>l</w:t>
            </w:r>
            <w:r w:rsidR="00443556">
              <w:rPr>
                <w:rFonts w:ascii="Arial" w:hAnsi="Arial"/>
                <w:sz w:val="22"/>
              </w:rPr>
              <w:t>’</w:t>
            </w:r>
            <w:r>
              <w:rPr>
                <w:rFonts w:ascii="Arial" w:hAnsi="Arial"/>
                <w:sz w:val="22"/>
              </w:rPr>
              <w:t>utilisation de</w:t>
            </w:r>
            <w:r w:rsidR="00916EFF">
              <w:rPr>
                <w:rFonts w:ascii="Arial" w:hAnsi="Arial"/>
                <w:sz w:val="22"/>
              </w:rPr>
              <w:t>s</w:t>
            </w:r>
            <w:r>
              <w:rPr>
                <w:rFonts w:ascii="Arial" w:hAnsi="Arial"/>
                <w:sz w:val="22"/>
              </w:rPr>
              <w:t xml:space="preserve"> 20 % des ressources du Fonds du patrimoine culturel immatériel alloué</w:t>
            </w:r>
            <w:r w:rsidR="00916EFF">
              <w:rPr>
                <w:rFonts w:ascii="Arial" w:hAnsi="Arial"/>
                <w:sz w:val="22"/>
              </w:rPr>
              <w:t>s</w:t>
            </w:r>
            <w:r>
              <w:rPr>
                <w:rFonts w:ascii="Arial" w:hAnsi="Arial"/>
                <w:sz w:val="22"/>
              </w:rPr>
              <w:t xml:space="preserve"> au titre des </w:t>
            </w:r>
            <w:r w:rsidR="00265B1E">
              <w:rPr>
                <w:rFonts w:ascii="Arial" w:hAnsi="Arial"/>
                <w:sz w:val="22"/>
              </w:rPr>
              <w:t>« autres fonctions du Comité ».</w:t>
            </w:r>
          </w:p>
          <w:p w:rsidR="00E03DD1" w:rsidRPr="00633FD7" w:rsidRDefault="00F11FA0" w:rsidP="00916EFF">
            <w:pPr>
              <w:pStyle w:val="ListParagraph"/>
              <w:numPr>
                <w:ilvl w:val="0"/>
                <w:numId w:val="32"/>
              </w:numPr>
              <w:spacing w:before="120" w:after="120"/>
              <w:ind w:left="470" w:right="57" w:hanging="357"/>
              <w:rPr>
                <w:b/>
                <w:bCs/>
                <w:sz w:val="22"/>
                <w:szCs w:val="22"/>
              </w:rPr>
            </w:pPr>
            <w:r>
              <w:rPr>
                <w:rFonts w:ascii="Arial" w:hAnsi="Arial"/>
                <w:sz w:val="22"/>
              </w:rPr>
              <w:t>Depuis 2010, le Comité a chargé cinq fois le Bureau de se prononcer sur les demandes d</w:t>
            </w:r>
            <w:r w:rsidR="00443556">
              <w:rPr>
                <w:rFonts w:ascii="Arial" w:hAnsi="Arial"/>
                <w:sz w:val="22"/>
              </w:rPr>
              <w:t>’</w:t>
            </w:r>
            <w:r>
              <w:rPr>
                <w:rFonts w:ascii="Arial" w:hAnsi="Arial"/>
                <w:sz w:val="22"/>
              </w:rPr>
              <w:t xml:space="preserve">assistance internationale qui devaient être </w:t>
            </w:r>
            <w:r w:rsidR="00916EFF">
              <w:rPr>
                <w:rFonts w:ascii="Arial" w:hAnsi="Arial"/>
                <w:sz w:val="22"/>
              </w:rPr>
              <w:t>révisées</w:t>
            </w:r>
            <w:r>
              <w:rPr>
                <w:rFonts w:ascii="Arial" w:hAnsi="Arial"/>
                <w:sz w:val="22"/>
              </w:rPr>
              <w:t>.</w:t>
            </w:r>
          </w:p>
        </w:tc>
      </w:tr>
      <w:tr w:rsidR="004E341F" w:rsidRPr="00F129F5" w:rsidTr="008B2782">
        <w:tc>
          <w:tcPr>
            <w:tcW w:w="6958" w:type="dxa"/>
          </w:tcPr>
          <w:p w:rsidR="004E341F" w:rsidRPr="00ED3793" w:rsidRDefault="00284A37" w:rsidP="00284A37">
            <w:pPr>
              <w:pStyle w:val="Default"/>
              <w:numPr>
                <w:ilvl w:val="1"/>
                <w:numId w:val="21"/>
              </w:numPr>
              <w:spacing w:before="120" w:after="120"/>
              <w:rPr>
                <w:bCs/>
                <w:sz w:val="22"/>
                <w:szCs w:val="22"/>
              </w:rPr>
            </w:pPr>
            <w:r>
              <w:rPr>
                <w:sz w:val="22"/>
              </w:rPr>
              <w:t>simplifier et améliorer la diffusion des résultats</w:t>
            </w:r>
          </w:p>
        </w:tc>
        <w:tc>
          <w:tcPr>
            <w:tcW w:w="6958" w:type="dxa"/>
          </w:tcPr>
          <w:p w:rsidR="004E341F" w:rsidRPr="00447A43" w:rsidRDefault="00284A37" w:rsidP="00265B1E">
            <w:pPr>
              <w:pStyle w:val="ListParagraph"/>
              <w:numPr>
                <w:ilvl w:val="0"/>
                <w:numId w:val="32"/>
              </w:numPr>
              <w:spacing w:before="120" w:after="120"/>
              <w:ind w:left="470" w:right="57" w:hanging="357"/>
              <w:rPr>
                <w:b/>
                <w:bCs/>
                <w:sz w:val="22"/>
                <w:szCs w:val="22"/>
              </w:rPr>
            </w:pPr>
            <w:r>
              <w:rPr>
                <w:rFonts w:ascii="Arial" w:hAnsi="Arial"/>
                <w:sz w:val="22"/>
              </w:rPr>
              <w:t>Les documents de travail et d</w:t>
            </w:r>
            <w:r w:rsidR="00443556">
              <w:rPr>
                <w:rFonts w:ascii="Arial" w:hAnsi="Arial"/>
                <w:sz w:val="22"/>
              </w:rPr>
              <w:t>’</w:t>
            </w:r>
            <w:r>
              <w:rPr>
                <w:rFonts w:ascii="Arial" w:hAnsi="Arial"/>
                <w:sz w:val="22"/>
              </w:rPr>
              <w:t xml:space="preserve">information, </w:t>
            </w:r>
            <w:r w:rsidR="00916EFF">
              <w:rPr>
                <w:rFonts w:ascii="Arial" w:hAnsi="Arial"/>
                <w:sz w:val="22"/>
              </w:rPr>
              <w:t xml:space="preserve">les comptes rendus </w:t>
            </w:r>
            <w:r w:rsidR="00916EFF">
              <w:rPr>
                <w:rFonts w:ascii="Arial" w:hAnsi="Arial"/>
                <w:sz w:val="22"/>
              </w:rPr>
              <w:lastRenderedPageBreak/>
              <w:t>analytiques</w:t>
            </w:r>
            <w:r>
              <w:rPr>
                <w:rFonts w:ascii="Arial" w:hAnsi="Arial"/>
                <w:sz w:val="22"/>
              </w:rPr>
              <w:t xml:space="preserve"> et </w:t>
            </w:r>
            <w:r w:rsidR="00916EFF">
              <w:rPr>
                <w:rFonts w:ascii="Arial" w:hAnsi="Arial"/>
                <w:sz w:val="22"/>
              </w:rPr>
              <w:t xml:space="preserve">les </w:t>
            </w:r>
            <w:r>
              <w:rPr>
                <w:rFonts w:ascii="Arial" w:hAnsi="Arial"/>
                <w:sz w:val="22"/>
              </w:rPr>
              <w:t xml:space="preserve">décisions du Comité </w:t>
            </w:r>
            <w:r w:rsidR="00916EFF">
              <w:rPr>
                <w:rFonts w:ascii="Arial" w:hAnsi="Arial"/>
                <w:sz w:val="22"/>
              </w:rPr>
              <w:t xml:space="preserve">ainsi que </w:t>
            </w:r>
            <w:r>
              <w:rPr>
                <w:rFonts w:ascii="Arial" w:hAnsi="Arial"/>
                <w:sz w:val="22"/>
              </w:rPr>
              <w:t>les résolutions de l</w:t>
            </w:r>
            <w:r w:rsidR="00443556">
              <w:rPr>
                <w:rFonts w:ascii="Arial" w:hAnsi="Arial"/>
                <w:sz w:val="22"/>
              </w:rPr>
              <w:t>’</w:t>
            </w:r>
            <w:r>
              <w:rPr>
                <w:rFonts w:ascii="Arial" w:hAnsi="Arial"/>
                <w:sz w:val="22"/>
              </w:rPr>
              <w:t xml:space="preserve">Assemblée générale sont diffusés en </w:t>
            </w:r>
            <w:r w:rsidR="00916EFF">
              <w:rPr>
                <w:rFonts w:ascii="Arial" w:hAnsi="Arial"/>
                <w:sz w:val="22"/>
              </w:rPr>
              <w:t xml:space="preserve">étant mis en </w:t>
            </w:r>
            <w:r>
              <w:rPr>
                <w:rFonts w:ascii="Arial" w:hAnsi="Arial"/>
                <w:sz w:val="22"/>
              </w:rPr>
              <w:t>ligne sur le site Internet de la Convention.</w:t>
            </w:r>
          </w:p>
        </w:tc>
      </w:tr>
      <w:tr w:rsidR="00431A60" w:rsidRPr="00F129F5" w:rsidTr="008B2782">
        <w:tc>
          <w:tcPr>
            <w:tcW w:w="6958" w:type="dxa"/>
          </w:tcPr>
          <w:p w:rsidR="00431A60" w:rsidRPr="00447A43" w:rsidRDefault="00ED1FFF" w:rsidP="00284A37">
            <w:pPr>
              <w:pStyle w:val="Default"/>
              <w:numPr>
                <w:ilvl w:val="1"/>
                <w:numId w:val="21"/>
              </w:numPr>
              <w:spacing w:before="120" w:after="120"/>
              <w:rPr>
                <w:sz w:val="22"/>
                <w:szCs w:val="22"/>
              </w:rPr>
            </w:pPr>
            <w:r>
              <w:rPr>
                <w:sz w:val="22"/>
              </w:rPr>
              <w:lastRenderedPageBreak/>
              <w:t>valoriser les bonnes pratiques</w:t>
            </w:r>
          </w:p>
        </w:tc>
        <w:tc>
          <w:tcPr>
            <w:tcW w:w="6958" w:type="dxa"/>
          </w:tcPr>
          <w:p w:rsidR="00431A60" w:rsidRPr="00284A37" w:rsidRDefault="00ED1FFF" w:rsidP="00265B1E">
            <w:pPr>
              <w:pStyle w:val="ListParagraph"/>
              <w:numPr>
                <w:ilvl w:val="0"/>
                <w:numId w:val="32"/>
              </w:numPr>
              <w:spacing w:before="120" w:after="120"/>
              <w:ind w:left="470" w:right="57" w:hanging="357"/>
              <w:rPr>
                <w:rFonts w:ascii="Arial" w:hAnsi="Arial" w:cs="Arial"/>
                <w:sz w:val="22"/>
                <w:szCs w:val="22"/>
              </w:rPr>
            </w:pPr>
            <w:r>
              <w:rPr>
                <w:rFonts w:ascii="Arial" w:hAnsi="Arial"/>
                <w:sz w:val="22"/>
              </w:rPr>
              <w:t xml:space="preserve">Une enquête de satisfaction est distribuée à tous les participants </w:t>
            </w:r>
            <w:r w:rsidR="0046167D">
              <w:rPr>
                <w:rFonts w:ascii="Arial" w:hAnsi="Arial"/>
                <w:sz w:val="22"/>
              </w:rPr>
              <w:t xml:space="preserve">lors des </w:t>
            </w:r>
            <w:r>
              <w:rPr>
                <w:rFonts w:ascii="Arial" w:hAnsi="Arial"/>
                <w:sz w:val="22"/>
              </w:rPr>
              <w:t xml:space="preserve">réunions statutaires </w:t>
            </w:r>
            <w:r w:rsidR="0046167D">
              <w:rPr>
                <w:rFonts w:ascii="Arial" w:hAnsi="Arial"/>
                <w:sz w:val="22"/>
              </w:rPr>
              <w:t>à la fin</w:t>
            </w:r>
            <w:r>
              <w:rPr>
                <w:rFonts w:ascii="Arial" w:hAnsi="Arial"/>
                <w:sz w:val="22"/>
              </w:rPr>
              <w:t xml:space="preserve"> de </w:t>
            </w:r>
            <w:r w:rsidR="0046167D">
              <w:rPr>
                <w:rFonts w:ascii="Arial" w:hAnsi="Arial"/>
                <w:sz w:val="22"/>
              </w:rPr>
              <w:t xml:space="preserve">chaque </w:t>
            </w:r>
            <w:r>
              <w:rPr>
                <w:rFonts w:ascii="Arial" w:hAnsi="Arial"/>
                <w:sz w:val="22"/>
              </w:rPr>
              <w:t xml:space="preserve">session. </w:t>
            </w:r>
            <w:r w:rsidR="0046167D">
              <w:rPr>
                <w:rFonts w:ascii="Arial" w:hAnsi="Arial"/>
                <w:sz w:val="22"/>
              </w:rPr>
              <w:t>Même si l</w:t>
            </w:r>
            <w:r>
              <w:rPr>
                <w:rFonts w:ascii="Arial" w:hAnsi="Arial"/>
                <w:sz w:val="22"/>
              </w:rPr>
              <w:t>e taux de réponse est faible</w:t>
            </w:r>
            <w:r w:rsidR="0046167D">
              <w:rPr>
                <w:rFonts w:ascii="Arial" w:hAnsi="Arial"/>
                <w:sz w:val="22"/>
              </w:rPr>
              <w:t>,</w:t>
            </w:r>
            <w:r>
              <w:rPr>
                <w:rFonts w:ascii="Arial" w:hAnsi="Arial"/>
                <w:sz w:val="22"/>
              </w:rPr>
              <w:t xml:space="preserve"> le Secrétariat analyse </w:t>
            </w:r>
            <w:r w:rsidR="0046167D">
              <w:rPr>
                <w:rFonts w:ascii="Arial" w:hAnsi="Arial"/>
                <w:sz w:val="22"/>
              </w:rPr>
              <w:t xml:space="preserve">ces </w:t>
            </w:r>
            <w:r>
              <w:rPr>
                <w:rFonts w:ascii="Arial" w:hAnsi="Arial"/>
                <w:sz w:val="22"/>
              </w:rPr>
              <w:t xml:space="preserve">résultats </w:t>
            </w:r>
            <w:r w:rsidR="0046167D">
              <w:rPr>
                <w:rFonts w:ascii="Arial" w:hAnsi="Arial"/>
                <w:sz w:val="22"/>
              </w:rPr>
              <w:t xml:space="preserve">et s’efforce de </w:t>
            </w:r>
            <w:r>
              <w:rPr>
                <w:rFonts w:ascii="Arial" w:hAnsi="Arial"/>
                <w:sz w:val="22"/>
              </w:rPr>
              <w:t xml:space="preserve">maintenir les pratiques appréciées </w:t>
            </w:r>
            <w:r w:rsidR="0046167D">
              <w:rPr>
                <w:rFonts w:ascii="Arial" w:hAnsi="Arial"/>
                <w:sz w:val="22"/>
              </w:rPr>
              <w:t xml:space="preserve">par les </w:t>
            </w:r>
            <w:r>
              <w:rPr>
                <w:rFonts w:ascii="Arial" w:hAnsi="Arial"/>
                <w:sz w:val="22"/>
              </w:rPr>
              <w:t xml:space="preserve">participants et </w:t>
            </w:r>
            <w:r w:rsidR="0046167D">
              <w:rPr>
                <w:rFonts w:ascii="Arial" w:hAnsi="Arial"/>
                <w:sz w:val="22"/>
              </w:rPr>
              <w:t>d’</w:t>
            </w:r>
            <w:r>
              <w:rPr>
                <w:rFonts w:ascii="Arial" w:hAnsi="Arial"/>
                <w:sz w:val="22"/>
              </w:rPr>
              <w:t xml:space="preserve">améliorer celles </w:t>
            </w:r>
            <w:r w:rsidR="0046167D">
              <w:rPr>
                <w:rFonts w:ascii="Arial" w:hAnsi="Arial"/>
                <w:sz w:val="22"/>
              </w:rPr>
              <w:t>qui étaient considérées comme insatisfaisantes</w:t>
            </w:r>
            <w:r>
              <w:rPr>
                <w:rFonts w:ascii="Arial" w:hAnsi="Arial"/>
                <w:sz w:val="22"/>
              </w:rPr>
              <w:t>.</w:t>
            </w:r>
          </w:p>
        </w:tc>
      </w:tr>
      <w:tr w:rsidR="00431B92" w:rsidRPr="00F129F5" w:rsidTr="00E52143">
        <w:tc>
          <w:tcPr>
            <w:tcW w:w="13916" w:type="dxa"/>
            <w:gridSpan w:val="2"/>
            <w:shd w:val="clear" w:color="auto" w:fill="D9D9D9" w:themeFill="background1" w:themeFillShade="D9"/>
          </w:tcPr>
          <w:p w:rsidR="00431B92" w:rsidRDefault="00431B92" w:rsidP="00E52143">
            <w:pPr>
              <w:pStyle w:val="COMPara"/>
              <w:keepNext/>
              <w:spacing w:before="120"/>
            </w:pPr>
            <w:r>
              <w:rPr>
                <w:b/>
              </w:rPr>
              <w:t>Recommandation n° 5</w:t>
            </w:r>
            <w:r>
              <w:t>. À titre transitoire et expérimental, l</w:t>
            </w:r>
            <w:r w:rsidR="00443556">
              <w:t>’</w:t>
            </w:r>
            <w:r>
              <w:t>auditeur externe recommande à la Conférence générale :</w:t>
            </w:r>
          </w:p>
          <w:p w:rsidR="00431B92" w:rsidRDefault="00431B92" w:rsidP="00E52143">
            <w:pPr>
              <w:pStyle w:val="COMPara"/>
              <w:keepNext/>
              <w:numPr>
                <w:ilvl w:val="0"/>
                <w:numId w:val="29"/>
              </w:numPr>
              <w:spacing w:before="120"/>
              <w:ind w:left="714" w:hanging="357"/>
            </w:pPr>
            <w:r>
              <w:t>de décider d</w:t>
            </w:r>
            <w:r w:rsidR="00443556">
              <w:t>’</w:t>
            </w:r>
            <w:r>
              <w:t>élire, à partir de 2016, les mêmes États parties aux organes directeurs des conventions relatives au patrimoine, et que les organes directeurs ainsi composés tiendront leurs sessions respectives au sein d</w:t>
            </w:r>
            <w:r w:rsidR="00443556">
              <w:t>’</w:t>
            </w:r>
            <w:r>
              <w:t>une unique session commune, selon des modalités juridiques appropriées ;</w:t>
            </w:r>
          </w:p>
          <w:p w:rsidR="00431B92" w:rsidRDefault="00431B92" w:rsidP="00E52143">
            <w:pPr>
              <w:pStyle w:val="COMPara"/>
              <w:keepNext/>
              <w:numPr>
                <w:ilvl w:val="0"/>
                <w:numId w:val="29"/>
              </w:numPr>
              <w:spacing w:before="120"/>
            </w:pPr>
            <w:r>
              <w:t>de charger le Conseil exécutif d</w:t>
            </w:r>
            <w:r w:rsidR="00443556">
              <w:t>’</w:t>
            </w:r>
            <w:r>
              <w:t>organiser d</w:t>
            </w:r>
            <w:r w:rsidR="00443556">
              <w:t>’</w:t>
            </w:r>
            <w:r>
              <w:t>ici sa session d</w:t>
            </w:r>
            <w:r w:rsidR="00443556">
              <w:t>’</w:t>
            </w:r>
            <w:r>
              <w:t>automne 2016 la mise en œuvre de ce dispositif et de le doter des moyens appropriés ;</w:t>
            </w:r>
          </w:p>
          <w:p w:rsidR="00431B92" w:rsidRDefault="00431B92" w:rsidP="00E52143">
            <w:pPr>
              <w:pStyle w:val="COMPara"/>
              <w:keepNext/>
              <w:numPr>
                <w:ilvl w:val="0"/>
                <w:numId w:val="29"/>
              </w:numPr>
              <w:spacing w:before="120"/>
            </w:pPr>
            <w:r>
              <w:t>de demander au Secrétariat d</w:t>
            </w:r>
            <w:r w:rsidR="00443556">
              <w:t>’</w:t>
            </w:r>
            <w:r>
              <w:t>unifier en conséquence les secrétariats de ces conventions d</w:t>
            </w:r>
            <w:r w:rsidR="00443556">
              <w:t>’</w:t>
            </w:r>
            <w:r>
              <w:t>ici le 1er septembre 2016.</w:t>
            </w:r>
          </w:p>
        </w:tc>
      </w:tr>
      <w:tr w:rsidR="00E52143" w:rsidRPr="000D5C59" w:rsidTr="00E52143">
        <w:tc>
          <w:tcPr>
            <w:tcW w:w="6958" w:type="dxa"/>
            <w:shd w:val="clear" w:color="auto" w:fill="F2F2F2" w:themeFill="background1" w:themeFillShade="F2"/>
          </w:tcPr>
          <w:p w:rsidR="00E52143" w:rsidRPr="00E52143" w:rsidRDefault="00E52143" w:rsidP="00E52143">
            <w:pPr>
              <w:pStyle w:val="COMPara"/>
              <w:keepNext/>
              <w:spacing w:before="120"/>
              <w:jc w:val="center"/>
            </w:pPr>
            <w:r>
              <w:t>Action</w:t>
            </w:r>
          </w:p>
        </w:tc>
        <w:tc>
          <w:tcPr>
            <w:tcW w:w="6958" w:type="dxa"/>
            <w:shd w:val="clear" w:color="auto" w:fill="F2F2F2" w:themeFill="background1" w:themeFillShade="F2"/>
          </w:tcPr>
          <w:p w:rsidR="00E52143" w:rsidRPr="00E52143" w:rsidRDefault="00E52143" w:rsidP="00E52143">
            <w:pPr>
              <w:spacing w:before="120" w:after="120"/>
              <w:ind w:right="57"/>
              <w:jc w:val="center"/>
              <w:rPr>
                <w:rFonts w:ascii="Arial" w:hAnsi="Arial" w:cs="Arial"/>
                <w:sz w:val="22"/>
                <w:szCs w:val="22"/>
              </w:rPr>
            </w:pPr>
            <w:r>
              <w:rPr>
                <w:rFonts w:ascii="Arial" w:hAnsi="Arial"/>
                <w:sz w:val="22"/>
              </w:rPr>
              <w:t>État</w:t>
            </w:r>
          </w:p>
        </w:tc>
      </w:tr>
      <w:tr w:rsidR="00D9226D" w:rsidRPr="00F129F5" w:rsidTr="008B2782">
        <w:tc>
          <w:tcPr>
            <w:tcW w:w="6958" w:type="dxa"/>
          </w:tcPr>
          <w:p w:rsidR="00D9226D" w:rsidRPr="00D9226D" w:rsidRDefault="00D9226D" w:rsidP="00D9226D">
            <w:pPr>
              <w:pStyle w:val="COMPara"/>
              <w:numPr>
                <w:ilvl w:val="0"/>
                <w:numId w:val="35"/>
              </w:numPr>
              <w:spacing w:before="120"/>
            </w:pPr>
            <w:r>
              <w:t>décider d</w:t>
            </w:r>
            <w:r w:rsidR="00443556">
              <w:t>’</w:t>
            </w:r>
            <w:r>
              <w:t>élire, à partir de 2016, les mêmes États parties aux organes directeurs des conventions relatives au patrimoine, et que les organes directeurs ainsi composés tiendront leurs sessions respectives au sein d</w:t>
            </w:r>
            <w:r w:rsidR="00443556">
              <w:t>’</w:t>
            </w:r>
            <w:r>
              <w:t>une unique session commune, selon des m</w:t>
            </w:r>
            <w:r w:rsidR="00265B1E">
              <w:t>odalités juridiques appropriées</w:t>
            </w:r>
          </w:p>
        </w:tc>
        <w:tc>
          <w:tcPr>
            <w:tcW w:w="6958" w:type="dxa"/>
          </w:tcPr>
          <w:p w:rsidR="001E62F5" w:rsidRPr="00633FD7" w:rsidRDefault="000D5C59" w:rsidP="006E5415">
            <w:pPr>
              <w:pStyle w:val="ListParagraph"/>
              <w:numPr>
                <w:ilvl w:val="0"/>
                <w:numId w:val="32"/>
              </w:numPr>
              <w:spacing w:before="120" w:after="120"/>
              <w:ind w:left="470" w:right="57" w:hanging="357"/>
              <w:contextualSpacing w:val="0"/>
              <w:rPr>
                <w:b/>
                <w:bCs/>
              </w:rPr>
            </w:pPr>
            <w:r>
              <w:rPr>
                <w:rFonts w:ascii="Arial" w:hAnsi="Arial"/>
                <w:sz w:val="22"/>
              </w:rPr>
              <w:t>Conformément à l</w:t>
            </w:r>
            <w:r w:rsidR="00443556">
              <w:rPr>
                <w:rFonts w:ascii="Arial" w:hAnsi="Arial"/>
                <w:sz w:val="22"/>
              </w:rPr>
              <w:t>’</w:t>
            </w:r>
            <w:r>
              <w:rPr>
                <w:rFonts w:ascii="Arial" w:hAnsi="Arial"/>
                <w:sz w:val="22"/>
              </w:rPr>
              <w:t xml:space="preserve">article 5 de la Convention de 2003, le Comité est </w:t>
            </w:r>
            <w:r w:rsidR="0051379B">
              <w:rPr>
                <w:rFonts w:ascii="Arial" w:hAnsi="Arial"/>
                <w:sz w:val="22"/>
              </w:rPr>
              <w:t xml:space="preserve">composé </w:t>
            </w:r>
            <w:r>
              <w:rPr>
                <w:rFonts w:ascii="Arial" w:hAnsi="Arial"/>
                <w:sz w:val="22"/>
              </w:rPr>
              <w:t xml:space="preserve">de </w:t>
            </w:r>
            <w:r w:rsidR="0051379B">
              <w:rPr>
                <w:rFonts w:ascii="Arial" w:hAnsi="Arial"/>
                <w:sz w:val="22"/>
              </w:rPr>
              <w:t xml:space="preserve">représentants de </w:t>
            </w:r>
            <w:r>
              <w:rPr>
                <w:rFonts w:ascii="Arial" w:hAnsi="Arial"/>
                <w:sz w:val="22"/>
              </w:rPr>
              <w:t xml:space="preserve">24 États </w:t>
            </w:r>
            <w:r w:rsidR="0051379B">
              <w:rPr>
                <w:rFonts w:ascii="Arial" w:hAnsi="Arial"/>
                <w:sz w:val="22"/>
              </w:rPr>
              <w:t xml:space="preserve">parties </w:t>
            </w:r>
            <w:r>
              <w:rPr>
                <w:rFonts w:ascii="Arial" w:hAnsi="Arial"/>
                <w:sz w:val="22"/>
              </w:rPr>
              <w:t xml:space="preserve">élus par les États parties réunis en Assemblée générale. Les Comités </w:t>
            </w:r>
            <w:r w:rsidR="0051379B">
              <w:rPr>
                <w:rFonts w:ascii="Arial" w:hAnsi="Arial"/>
                <w:sz w:val="22"/>
              </w:rPr>
              <w:t>d’</w:t>
            </w:r>
            <w:r>
              <w:rPr>
                <w:rFonts w:ascii="Arial" w:hAnsi="Arial"/>
                <w:sz w:val="22"/>
              </w:rPr>
              <w:t>autres Conventions ont des structures différentes</w:t>
            </w:r>
            <w:r w:rsidR="0051379B">
              <w:rPr>
                <w:rFonts w:ascii="Arial" w:hAnsi="Arial"/>
                <w:sz w:val="22"/>
              </w:rPr>
              <w:t>, par exemple,</w:t>
            </w:r>
            <w:r>
              <w:rPr>
                <w:rFonts w:ascii="Arial" w:hAnsi="Arial"/>
                <w:sz w:val="22"/>
              </w:rPr>
              <w:t xml:space="preserve"> </w:t>
            </w:r>
            <w:r w:rsidR="0051379B">
              <w:rPr>
                <w:rFonts w:ascii="Arial" w:hAnsi="Arial"/>
                <w:sz w:val="22"/>
              </w:rPr>
              <w:t>Alors que l</w:t>
            </w:r>
            <w:r>
              <w:rPr>
                <w:rFonts w:ascii="Arial" w:hAnsi="Arial"/>
                <w:sz w:val="22"/>
              </w:rPr>
              <w:t xml:space="preserve">e Comité de la Convention de 2005 est également </w:t>
            </w:r>
            <w:r w:rsidR="0051379B">
              <w:rPr>
                <w:rFonts w:ascii="Arial" w:hAnsi="Arial"/>
                <w:sz w:val="22"/>
              </w:rPr>
              <w:t xml:space="preserve">composé </w:t>
            </w:r>
            <w:r>
              <w:rPr>
                <w:rFonts w:ascii="Arial" w:hAnsi="Arial"/>
                <w:sz w:val="22"/>
              </w:rPr>
              <w:t xml:space="preserve">de 24 </w:t>
            </w:r>
            <w:r w:rsidR="006E5415">
              <w:rPr>
                <w:rFonts w:ascii="Arial" w:hAnsi="Arial"/>
                <w:sz w:val="22"/>
              </w:rPr>
              <w:t xml:space="preserve">représentants des </w:t>
            </w:r>
            <w:r>
              <w:rPr>
                <w:rFonts w:ascii="Arial" w:hAnsi="Arial"/>
                <w:sz w:val="22"/>
              </w:rPr>
              <w:t xml:space="preserve">États </w:t>
            </w:r>
            <w:r w:rsidR="006E5415">
              <w:rPr>
                <w:rFonts w:ascii="Arial" w:hAnsi="Arial"/>
                <w:sz w:val="22"/>
              </w:rPr>
              <w:t>parties</w:t>
            </w:r>
            <w:r>
              <w:rPr>
                <w:rFonts w:ascii="Arial" w:hAnsi="Arial"/>
                <w:sz w:val="22"/>
              </w:rPr>
              <w:t xml:space="preserve">, les Comités des Conventions de 1972, 1970 et 1954 (deuxième protocole) sont respectivement </w:t>
            </w:r>
            <w:r w:rsidR="006E5415">
              <w:rPr>
                <w:rFonts w:ascii="Arial" w:hAnsi="Arial"/>
                <w:sz w:val="22"/>
              </w:rPr>
              <w:t xml:space="preserve">composés </w:t>
            </w:r>
            <w:r>
              <w:rPr>
                <w:rFonts w:ascii="Arial" w:hAnsi="Arial"/>
                <w:sz w:val="22"/>
              </w:rPr>
              <w:t xml:space="preserve">de 21, 18 et 12 </w:t>
            </w:r>
            <w:r w:rsidR="006E5415">
              <w:rPr>
                <w:rFonts w:ascii="Arial" w:hAnsi="Arial"/>
                <w:sz w:val="22"/>
              </w:rPr>
              <w:t>représentants d’</w:t>
            </w:r>
            <w:r>
              <w:rPr>
                <w:rFonts w:ascii="Arial" w:hAnsi="Arial"/>
                <w:sz w:val="22"/>
              </w:rPr>
              <w:t xml:space="preserve">États </w:t>
            </w:r>
            <w:r w:rsidR="006E5415">
              <w:rPr>
                <w:rFonts w:ascii="Arial" w:hAnsi="Arial"/>
                <w:sz w:val="22"/>
              </w:rPr>
              <w:t>parties</w:t>
            </w:r>
            <w:r w:rsidR="00265B1E">
              <w:rPr>
                <w:rFonts w:ascii="Arial" w:hAnsi="Arial"/>
                <w:sz w:val="22"/>
              </w:rPr>
              <w:t>.</w:t>
            </w:r>
          </w:p>
          <w:p w:rsidR="0078113D" w:rsidRPr="00633FD7" w:rsidRDefault="004E419B" w:rsidP="00633FD7">
            <w:pPr>
              <w:pStyle w:val="ListParagraph"/>
              <w:numPr>
                <w:ilvl w:val="0"/>
                <w:numId w:val="32"/>
              </w:numPr>
              <w:spacing w:before="120" w:after="120"/>
              <w:ind w:left="470" w:right="57" w:hanging="357"/>
              <w:contextualSpacing w:val="0"/>
              <w:rPr>
                <w:b/>
                <w:bCs/>
              </w:rPr>
            </w:pPr>
            <w:r>
              <w:rPr>
                <w:rFonts w:ascii="Arial" w:hAnsi="Arial"/>
                <w:sz w:val="22"/>
              </w:rPr>
              <w:t>À ce jour, tous les États parties à la Convention de 2003 ne sont pas forcément parties aux autres conventions culturelles. Inversement, tous les États parties aux autres conventions ne sont pas forcément parties à la Convention de 2003. La mise en œuvre de l</w:t>
            </w:r>
            <w:r w:rsidR="00443556">
              <w:rPr>
                <w:rFonts w:ascii="Arial" w:hAnsi="Arial"/>
                <w:sz w:val="22"/>
              </w:rPr>
              <w:t>’</w:t>
            </w:r>
            <w:r>
              <w:rPr>
                <w:rFonts w:ascii="Arial" w:hAnsi="Arial"/>
                <w:sz w:val="22"/>
              </w:rPr>
              <w:t>alinéa (i) de la recommandation 5 peut donc s</w:t>
            </w:r>
            <w:r w:rsidR="00443556">
              <w:rPr>
                <w:rFonts w:ascii="Arial" w:hAnsi="Arial"/>
                <w:sz w:val="22"/>
              </w:rPr>
              <w:t>’</w:t>
            </w:r>
            <w:r>
              <w:rPr>
                <w:rFonts w:ascii="Arial" w:hAnsi="Arial"/>
                <w:sz w:val="22"/>
              </w:rPr>
              <w:t>avérer impossible puisqu</w:t>
            </w:r>
            <w:r w:rsidR="00443556">
              <w:rPr>
                <w:rFonts w:ascii="Arial" w:hAnsi="Arial"/>
                <w:sz w:val="22"/>
              </w:rPr>
              <w:t>’</w:t>
            </w:r>
            <w:r>
              <w:rPr>
                <w:rFonts w:ascii="Arial" w:hAnsi="Arial"/>
                <w:sz w:val="22"/>
              </w:rPr>
              <w:t>elle suppose d</w:t>
            </w:r>
            <w:r w:rsidR="00443556">
              <w:rPr>
                <w:rFonts w:ascii="Arial" w:hAnsi="Arial"/>
                <w:sz w:val="22"/>
              </w:rPr>
              <w:t>’</w:t>
            </w:r>
            <w:r>
              <w:rPr>
                <w:rFonts w:ascii="Arial" w:hAnsi="Arial"/>
                <w:sz w:val="22"/>
              </w:rPr>
              <w:t>exclure du Comité les États qui ne sont pas parties à tout</w:t>
            </w:r>
            <w:r w:rsidR="00265B1E">
              <w:rPr>
                <w:rFonts w:ascii="Arial" w:hAnsi="Arial"/>
                <w:sz w:val="22"/>
              </w:rPr>
              <w:t>es les conventions culturelles.</w:t>
            </w:r>
          </w:p>
          <w:p w:rsidR="00D9226D" w:rsidRDefault="0078113D" w:rsidP="00FA6D2D">
            <w:pPr>
              <w:pStyle w:val="ListParagraph"/>
              <w:numPr>
                <w:ilvl w:val="0"/>
                <w:numId w:val="32"/>
              </w:numPr>
              <w:spacing w:before="120" w:after="120"/>
              <w:ind w:left="470" w:right="57" w:hanging="357"/>
              <w:contextualSpacing w:val="0"/>
              <w:rPr>
                <w:b/>
                <w:bCs/>
              </w:rPr>
            </w:pPr>
            <w:r>
              <w:rPr>
                <w:rFonts w:ascii="Arial" w:hAnsi="Arial"/>
                <w:sz w:val="22"/>
              </w:rPr>
              <w:lastRenderedPageBreak/>
              <w:t xml:space="preserve">Par ailleurs, la mise en œuvre de ces recommandations suppose </w:t>
            </w:r>
            <w:r w:rsidR="00FA6D2D">
              <w:rPr>
                <w:rFonts w:ascii="Arial" w:hAnsi="Arial"/>
                <w:sz w:val="22"/>
              </w:rPr>
              <w:t>d’amender</w:t>
            </w:r>
            <w:r>
              <w:rPr>
                <w:rFonts w:ascii="Arial" w:hAnsi="Arial"/>
                <w:sz w:val="22"/>
              </w:rPr>
              <w:t xml:space="preserve"> l</w:t>
            </w:r>
            <w:r w:rsidR="00443556">
              <w:rPr>
                <w:rFonts w:ascii="Arial" w:hAnsi="Arial"/>
                <w:sz w:val="22"/>
              </w:rPr>
              <w:t>’</w:t>
            </w:r>
            <w:r>
              <w:rPr>
                <w:rFonts w:ascii="Arial" w:hAnsi="Arial"/>
                <w:sz w:val="22"/>
              </w:rPr>
              <w:t>article 38 de la Convention et l</w:t>
            </w:r>
            <w:r w:rsidR="00443556">
              <w:rPr>
                <w:rFonts w:ascii="Arial" w:hAnsi="Arial"/>
                <w:sz w:val="22"/>
              </w:rPr>
              <w:t>’</w:t>
            </w:r>
            <w:r>
              <w:rPr>
                <w:rFonts w:ascii="Arial" w:hAnsi="Arial"/>
                <w:sz w:val="22"/>
              </w:rPr>
              <w:t>article 3 du Règlement intérieur ainsi que les articles correspondants des autres conventions culturelles et/ou de leur Règlement intérieur.</w:t>
            </w:r>
          </w:p>
        </w:tc>
      </w:tr>
      <w:tr w:rsidR="008F0692" w:rsidRPr="00F129F5" w:rsidTr="00E52143">
        <w:tc>
          <w:tcPr>
            <w:tcW w:w="13916" w:type="dxa"/>
            <w:gridSpan w:val="2"/>
            <w:shd w:val="clear" w:color="auto" w:fill="D9D9D9" w:themeFill="background1" w:themeFillShade="D9"/>
          </w:tcPr>
          <w:p w:rsidR="008F0692" w:rsidRDefault="008F0692" w:rsidP="00F54386">
            <w:pPr>
              <w:pStyle w:val="Default"/>
              <w:keepNext/>
              <w:rPr>
                <w:sz w:val="22"/>
                <w:szCs w:val="22"/>
              </w:rPr>
            </w:pPr>
            <w:r>
              <w:rPr>
                <w:b/>
                <w:sz w:val="22"/>
              </w:rPr>
              <w:lastRenderedPageBreak/>
              <w:t>Recommandation n° 7</w:t>
            </w:r>
            <w:r>
              <w:rPr>
                <w:sz w:val="22"/>
              </w:rPr>
              <w:t>. L</w:t>
            </w:r>
            <w:r w:rsidR="00443556">
              <w:rPr>
                <w:sz w:val="22"/>
              </w:rPr>
              <w:t>’</w:t>
            </w:r>
            <w:r>
              <w:rPr>
                <w:sz w:val="22"/>
              </w:rPr>
              <w:t>auditeur externe recommande :</w:t>
            </w:r>
          </w:p>
          <w:p w:rsidR="008F0692" w:rsidRPr="00C50000" w:rsidRDefault="008F0692" w:rsidP="008F0692">
            <w:pPr>
              <w:pStyle w:val="COMPara"/>
              <w:numPr>
                <w:ilvl w:val="0"/>
                <w:numId w:val="31"/>
              </w:numPr>
              <w:spacing w:before="120"/>
            </w:pPr>
            <w:r>
              <w:t>d</w:t>
            </w:r>
            <w:r w:rsidR="00443556">
              <w:t>’</w:t>
            </w:r>
            <w:r>
              <w:t>entreprendre en 2016, sous la supervision du Bureau du Conseil exécutif, la rédaction d</w:t>
            </w:r>
            <w:r w:rsidR="00443556">
              <w:t>’</w:t>
            </w:r>
            <w:r>
              <w:t>un projet de code de la gouvernance, harmonisant et codifiant les règlements intérieurs, textes et pratiques des organes directeurs de l</w:t>
            </w:r>
            <w:r w:rsidR="00443556">
              <w:t>’</w:t>
            </w:r>
            <w:r>
              <w:t>ensemble des entités de l</w:t>
            </w:r>
            <w:r w:rsidR="00443556">
              <w:t>’</w:t>
            </w:r>
            <w:r>
              <w:t>univers UNESCO ;</w:t>
            </w:r>
          </w:p>
          <w:p w:rsidR="00C50000" w:rsidRDefault="008F0692" w:rsidP="00C50000">
            <w:pPr>
              <w:pStyle w:val="COMPara"/>
              <w:numPr>
                <w:ilvl w:val="0"/>
                <w:numId w:val="31"/>
              </w:numPr>
              <w:spacing w:before="120"/>
            </w:pPr>
            <w:r>
              <w:t>d</w:t>
            </w:r>
            <w:r w:rsidR="00443556">
              <w:t>’</w:t>
            </w:r>
            <w:r>
              <w:t>assurer l</w:t>
            </w:r>
            <w:r w:rsidR="00443556">
              <w:t>’</w:t>
            </w:r>
            <w:r>
              <w:t>actualisation permanente de ce document dans un répertoire de la pratique préparé par le Secrétariat et soumis pour approbation au Conseil exécutif ;</w:t>
            </w:r>
          </w:p>
          <w:p w:rsidR="008F0692" w:rsidRPr="00C50000" w:rsidRDefault="008F0692" w:rsidP="00C50000">
            <w:pPr>
              <w:pStyle w:val="COMPara"/>
              <w:numPr>
                <w:ilvl w:val="0"/>
                <w:numId w:val="31"/>
              </w:numPr>
              <w:spacing w:before="120"/>
            </w:pPr>
            <w:r>
              <w:t>d</w:t>
            </w:r>
            <w:r w:rsidR="00443556">
              <w:t>’</w:t>
            </w:r>
            <w:r>
              <w:t>adopter les décisions nécessaires à la mise en œuvre de ce dispositif lors de la 39e Conférence générale.</w:t>
            </w:r>
          </w:p>
        </w:tc>
      </w:tr>
      <w:tr w:rsidR="00CC7D3B" w:rsidRPr="004F5B67" w:rsidTr="00CC7D3B">
        <w:tc>
          <w:tcPr>
            <w:tcW w:w="6958" w:type="dxa"/>
            <w:shd w:val="clear" w:color="auto" w:fill="F2F2F2" w:themeFill="background1" w:themeFillShade="F2"/>
          </w:tcPr>
          <w:p w:rsidR="00CC7D3B" w:rsidRPr="00E52143" w:rsidRDefault="00CC7D3B" w:rsidP="00CC7D3B">
            <w:pPr>
              <w:pStyle w:val="COMPara"/>
              <w:keepNext/>
              <w:spacing w:before="120"/>
              <w:jc w:val="center"/>
            </w:pPr>
            <w:r>
              <w:t>Action</w:t>
            </w:r>
          </w:p>
        </w:tc>
        <w:tc>
          <w:tcPr>
            <w:tcW w:w="6958" w:type="dxa"/>
            <w:shd w:val="clear" w:color="auto" w:fill="F2F2F2" w:themeFill="background1" w:themeFillShade="F2"/>
          </w:tcPr>
          <w:p w:rsidR="00CC7D3B" w:rsidRPr="00E52143" w:rsidRDefault="00CC7D3B" w:rsidP="00CC7D3B">
            <w:pPr>
              <w:spacing w:before="120" w:after="120"/>
              <w:ind w:right="57"/>
              <w:jc w:val="center"/>
              <w:rPr>
                <w:rFonts w:ascii="Arial" w:hAnsi="Arial" w:cs="Arial"/>
                <w:sz w:val="22"/>
                <w:szCs w:val="22"/>
              </w:rPr>
            </w:pPr>
            <w:r>
              <w:rPr>
                <w:rFonts w:ascii="Arial" w:hAnsi="Arial"/>
                <w:sz w:val="22"/>
              </w:rPr>
              <w:t>État</w:t>
            </w:r>
          </w:p>
        </w:tc>
      </w:tr>
      <w:tr w:rsidR="00284A37" w:rsidRPr="00F129F5" w:rsidTr="008B2782">
        <w:tc>
          <w:tcPr>
            <w:tcW w:w="6958" w:type="dxa"/>
          </w:tcPr>
          <w:p w:rsidR="00284A37" w:rsidRPr="00B4668C" w:rsidRDefault="00C50000" w:rsidP="00431B92">
            <w:pPr>
              <w:pStyle w:val="COMPara"/>
              <w:keepNext/>
              <w:numPr>
                <w:ilvl w:val="0"/>
                <w:numId w:val="33"/>
              </w:numPr>
              <w:spacing w:before="120"/>
              <w:ind w:left="714" w:hanging="357"/>
            </w:pPr>
            <w:r>
              <w:t>entreprendre en 2016, sous la supervision du Bureau du Conseil exécutif, la rédaction d</w:t>
            </w:r>
            <w:r w:rsidR="00443556">
              <w:t>’</w:t>
            </w:r>
            <w:r>
              <w:t>un projet de code de la gouvernance, harmonisant et codifiant les règlements intérieurs, textes et pratiques des organes directeurs de l</w:t>
            </w:r>
            <w:r w:rsidR="00443556">
              <w:t>’</w:t>
            </w:r>
            <w:r>
              <w:t>ensemble des entités de l</w:t>
            </w:r>
            <w:r w:rsidR="00443556">
              <w:t>’</w:t>
            </w:r>
            <w:r>
              <w:t>univers UNESCO</w:t>
            </w:r>
          </w:p>
        </w:tc>
        <w:tc>
          <w:tcPr>
            <w:tcW w:w="6958" w:type="dxa"/>
          </w:tcPr>
          <w:p w:rsidR="0016236E" w:rsidRPr="00265B1E" w:rsidRDefault="00546594" w:rsidP="00265B1E">
            <w:pPr>
              <w:pStyle w:val="ListParagraph"/>
              <w:numPr>
                <w:ilvl w:val="0"/>
                <w:numId w:val="39"/>
              </w:numPr>
              <w:spacing w:before="120" w:after="120"/>
              <w:ind w:right="57"/>
              <w:rPr>
                <w:rFonts w:ascii="Arial" w:hAnsi="Arial" w:cs="Arial"/>
                <w:sz w:val="22"/>
                <w:szCs w:val="22"/>
              </w:rPr>
            </w:pPr>
            <w:r w:rsidRPr="00265B1E">
              <w:rPr>
                <w:rFonts w:ascii="Arial" w:hAnsi="Arial"/>
                <w:sz w:val="22"/>
              </w:rPr>
              <w:t>À l</w:t>
            </w:r>
            <w:r w:rsidR="00443556" w:rsidRPr="00265B1E">
              <w:rPr>
                <w:rFonts w:ascii="Arial" w:hAnsi="Arial"/>
                <w:sz w:val="22"/>
              </w:rPr>
              <w:t>’</w:t>
            </w:r>
            <w:r w:rsidRPr="00265B1E">
              <w:rPr>
                <w:rFonts w:ascii="Arial" w:hAnsi="Arial"/>
                <w:sz w:val="22"/>
              </w:rPr>
              <w:t>occasion de sa sixième session, l</w:t>
            </w:r>
            <w:r w:rsidR="00443556" w:rsidRPr="00265B1E">
              <w:rPr>
                <w:rFonts w:ascii="Arial" w:hAnsi="Arial"/>
                <w:sz w:val="22"/>
              </w:rPr>
              <w:t>’</w:t>
            </w:r>
            <w:r w:rsidRPr="00265B1E">
              <w:rPr>
                <w:rFonts w:ascii="Arial" w:hAnsi="Arial"/>
                <w:sz w:val="22"/>
              </w:rPr>
              <w:t>Assemblée générale a noté la disparité des règlements intérieurs des différents organes des conventions culturelles de l</w:t>
            </w:r>
            <w:r w:rsidR="00443556" w:rsidRPr="00265B1E">
              <w:rPr>
                <w:rFonts w:ascii="Arial" w:hAnsi="Arial"/>
                <w:sz w:val="22"/>
              </w:rPr>
              <w:t>’</w:t>
            </w:r>
            <w:r w:rsidRPr="00265B1E">
              <w:rPr>
                <w:rFonts w:ascii="Arial" w:hAnsi="Arial"/>
                <w:sz w:val="22"/>
              </w:rPr>
              <w:t>UNESCO. Pour homogénéiser les procédures desdits organes et rapprocher la conduite des débats, l</w:t>
            </w:r>
            <w:r w:rsidR="00443556" w:rsidRPr="00265B1E">
              <w:rPr>
                <w:rFonts w:ascii="Arial" w:hAnsi="Arial"/>
                <w:sz w:val="22"/>
              </w:rPr>
              <w:t>’</w:t>
            </w:r>
            <w:r w:rsidRPr="00265B1E">
              <w:rPr>
                <w:rFonts w:ascii="Arial" w:hAnsi="Arial"/>
                <w:sz w:val="22"/>
              </w:rPr>
              <w:t xml:space="preserve">Assemblée générale a invité les États parties à soumettre au Secrétariat des propositions de modification de </w:t>
            </w:r>
            <w:r w:rsidR="00BB7797" w:rsidRPr="00265B1E">
              <w:rPr>
                <w:rFonts w:ascii="Arial" w:hAnsi="Arial"/>
                <w:sz w:val="22"/>
              </w:rPr>
              <w:t xml:space="preserve">son </w:t>
            </w:r>
            <w:r w:rsidRPr="00265B1E">
              <w:rPr>
                <w:rFonts w:ascii="Arial" w:hAnsi="Arial"/>
                <w:sz w:val="22"/>
              </w:rPr>
              <w:t xml:space="preserve">Règlement intérieur avant le 30 novembre 2016. Elle a également demandé au Secrétariat de préparer un document de travail </w:t>
            </w:r>
            <w:r w:rsidR="00BB7797" w:rsidRPr="00265B1E">
              <w:rPr>
                <w:rFonts w:ascii="Arial" w:hAnsi="Arial"/>
                <w:sz w:val="22"/>
              </w:rPr>
              <w:t xml:space="preserve">reflétant </w:t>
            </w:r>
            <w:r w:rsidRPr="00265B1E">
              <w:rPr>
                <w:rFonts w:ascii="Arial" w:hAnsi="Arial"/>
                <w:sz w:val="22"/>
              </w:rPr>
              <w:t xml:space="preserve">les propositions reçues pour les soumettre à la septième </w:t>
            </w:r>
            <w:r w:rsidR="00BB7797" w:rsidRPr="00265B1E">
              <w:rPr>
                <w:rFonts w:ascii="Arial" w:hAnsi="Arial"/>
                <w:sz w:val="22"/>
              </w:rPr>
              <w:t>session de l’</w:t>
            </w:r>
            <w:r w:rsidRPr="00265B1E">
              <w:rPr>
                <w:rFonts w:ascii="Arial" w:hAnsi="Arial"/>
                <w:sz w:val="22"/>
              </w:rPr>
              <w:t>Assemblée générale (</w:t>
            </w:r>
            <w:hyperlink r:id="rId31">
              <w:r w:rsidR="00DB0CBC">
                <w:rPr>
                  <w:rStyle w:val="Hyperlink"/>
                  <w:rFonts w:ascii="Arial" w:hAnsi="Arial"/>
                  <w:sz w:val="22"/>
                </w:rPr>
                <w:t>résolution 6.GA 11</w:t>
              </w:r>
            </w:hyperlink>
            <w:r w:rsidRPr="00265B1E">
              <w:rPr>
                <w:rFonts w:ascii="Arial" w:hAnsi="Arial"/>
                <w:sz w:val="22"/>
              </w:rPr>
              <w:t>). Le Secrétariat a envoyé un courrier à tous les États parties à la Convention (le 15 septembre 2016) pour leur rappeler cette résolution.</w:t>
            </w:r>
          </w:p>
          <w:p w:rsidR="00D9226D" w:rsidRPr="00D9226D" w:rsidRDefault="00220EF1" w:rsidP="00265B1E">
            <w:pPr>
              <w:pStyle w:val="ListParagraph"/>
              <w:numPr>
                <w:ilvl w:val="0"/>
                <w:numId w:val="32"/>
              </w:numPr>
              <w:spacing w:before="240" w:after="120"/>
              <w:ind w:left="726" w:right="57" w:hanging="363"/>
              <w:contextualSpacing w:val="0"/>
              <w:rPr>
                <w:rFonts w:ascii="Arial" w:hAnsi="Arial" w:cs="Arial"/>
                <w:sz w:val="22"/>
                <w:szCs w:val="22"/>
              </w:rPr>
            </w:pPr>
            <w:r>
              <w:rPr>
                <w:rFonts w:ascii="Arial" w:hAnsi="Arial"/>
                <w:sz w:val="22"/>
              </w:rPr>
              <w:t xml:space="preserve">La décision </w:t>
            </w:r>
            <w:r w:rsidR="00BB7797">
              <w:rPr>
                <w:rFonts w:ascii="Arial" w:hAnsi="Arial"/>
                <w:sz w:val="22"/>
              </w:rPr>
              <w:t>d’amender</w:t>
            </w:r>
            <w:r>
              <w:rPr>
                <w:rFonts w:ascii="Arial" w:hAnsi="Arial"/>
                <w:sz w:val="22"/>
              </w:rPr>
              <w:t xml:space="preserve"> le règlement appartient aux États parties et membres du Comité. Conformément à l</w:t>
            </w:r>
            <w:r w:rsidR="00443556">
              <w:rPr>
                <w:rFonts w:ascii="Arial" w:hAnsi="Arial"/>
                <w:sz w:val="22"/>
              </w:rPr>
              <w:t>’</w:t>
            </w:r>
            <w:r>
              <w:rPr>
                <w:rFonts w:ascii="Arial" w:hAnsi="Arial"/>
                <w:sz w:val="22"/>
              </w:rPr>
              <w:t>article 18 du Règlement intérieur de l</w:t>
            </w:r>
            <w:r w:rsidR="00443556">
              <w:rPr>
                <w:rFonts w:ascii="Arial" w:hAnsi="Arial"/>
                <w:sz w:val="22"/>
              </w:rPr>
              <w:t>’</w:t>
            </w:r>
            <w:r>
              <w:rPr>
                <w:rFonts w:ascii="Arial" w:hAnsi="Arial"/>
                <w:sz w:val="22"/>
              </w:rPr>
              <w:t>Assemblée générale et à l</w:t>
            </w:r>
            <w:r w:rsidR="00443556">
              <w:rPr>
                <w:rFonts w:ascii="Arial" w:hAnsi="Arial"/>
                <w:sz w:val="22"/>
              </w:rPr>
              <w:t>’</w:t>
            </w:r>
            <w:r>
              <w:rPr>
                <w:rFonts w:ascii="Arial" w:hAnsi="Arial"/>
                <w:sz w:val="22"/>
              </w:rPr>
              <w:t>article 48 du Règlement intérieur du Comité, cette décision doit être prise à la majorité des deux tiers.</w:t>
            </w:r>
          </w:p>
        </w:tc>
      </w:tr>
      <w:tr w:rsidR="00431B92" w:rsidRPr="00633FD7" w:rsidTr="00BD5AA4">
        <w:tc>
          <w:tcPr>
            <w:tcW w:w="13916" w:type="dxa"/>
            <w:gridSpan w:val="2"/>
            <w:shd w:val="clear" w:color="auto" w:fill="D9D9D9" w:themeFill="background1" w:themeFillShade="D9"/>
          </w:tcPr>
          <w:p w:rsidR="00431B92" w:rsidRPr="00431B92" w:rsidRDefault="00431B92" w:rsidP="00633FD7">
            <w:pPr>
              <w:pStyle w:val="Default"/>
              <w:keepNext/>
              <w:pageBreakBefore/>
              <w:rPr>
                <w:sz w:val="22"/>
                <w:szCs w:val="22"/>
              </w:rPr>
            </w:pPr>
            <w:r>
              <w:rPr>
                <w:b/>
                <w:sz w:val="22"/>
              </w:rPr>
              <w:lastRenderedPageBreak/>
              <w:t>Recommandation n° 8</w:t>
            </w:r>
            <w:r>
              <w:rPr>
                <w:sz w:val="22"/>
              </w:rPr>
              <w:t>. L</w:t>
            </w:r>
            <w:r w:rsidR="00443556">
              <w:rPr>
                <w:sz w:val="22"/>
              </w:rPr>
              <w:t>’</w:t>
            </w:r>
            <w:r>
              <w:rPr>
                <w:sz w:val="22"/>
              </w:rPr>
              <w:t>auditeur externe recommande :</w:t>
            </w:r>
          </w:p>
          <w:p w:rsidR="00431B92" w:rsidRPr="00431B92" w:rsidRDefault="00431B92">
            <w:pPr>
              <w:pStyle w:val="COMPara"/>
              <w:keepNext/>
              <w:numPr>
                <w:ilvl w:val="0"/>
                <w:numId w:val="30"/>
              </w:numPr>
              <w:spacing w:before="120"/>
              <w:ind w:left="714" w:hanging="357"/>
            </w:pPr>
            <w:r>
              <w:t>d</w:t>
            </w:r>
            <w:r w:rsidR="00443556">
              <w:t>’</w:t>
            </w:r>
            <w:r>
              <w:t>examiner les moyens d</w:t>
            </w:r>
            <w:r w:rsidR="00443556">
              <w:t>’</w:t>
            </w:r>
            <w:r>
              <w:t>instaurer un dispositif de présélection de candidatures nominatives aux fonctions de présidence et de vice-présidence d</w:t>
            </w:r>
            <w:r w:rsidR="00443556">
              <w:t>’</w:t>
            </w:r>
            <w:r>
              <w:t>organes directeurs, sur la base de critères de compétence transparents et robustes ;</w:t>
            </w:r>
          </w:p>
          <w:p w:rsidR="00431B92" w:rsidRDefault="004E341F" w:rsidP="00633FD7">
            <w:pPr>
              <w:pStyle w:val="COMPara"/>
              <w:keepNext/>
              <w:numPr>
                <w:ilvl w:val="0"/>
                <w:numId w:val="30"/>
              </w:numPr>
              <w:spacing w:before="120"/>
            </w:pPr>
            <w:r>
              <w:t>de limiter la durée totale de mandats consécutifs d</w:t>
            </w:r>
            <w:r w:rsidR="00443556">
              <w:t>’</w:t>
            </w:r>
            <w:r>
              <w:t>un même délégué au sein d</w:t>
            </w:r>
            <w:r w:rsidR="00443556">
              <w:t>’</w:t>
            </w:r>
            <w:r>
              <w:t>un organe directeur (par exemple à quatre ans), de façon à permettre à la fois l</w:t>
            </w:r>
            <w:r w:rsidR="00443556">
              <w:t>’</w:t>
            </w:r>
            <w:r>
              <w:t>acquisition d</w:t>
            </w:r>
            <w:r w:rsidR="00443556">
              <w:t>’</w:t>
            </w:r>
            <w:r>
              <w:t>une expérience suffisante par les délégués et leur renouvellement périodique ;</w:t>
            </w:r>
          </w:p>
          <w:p w:rsidR="00431B92" w:rsidRDefault="00431B92" w:rsidP="00633FD7">
            <w:pPr>
              <w:pStyle w:val="COMPara"/>
              <w:keepNext/>
              <w:numPr>
                <w:ilvl w:val="0"/>
                <w:numId w:val="30"/>
              </w:numPr>
              <w:spacing w:before="120"/>
            </w:pPr>
            <w:r>
              <w:t>de préconiser que les États membres candidats à un siège au sein d</w:t>
            </w:r>
            <w:r w:rsidR="00443556">
              <w:t>’</w:t>
            </w:r>
            <w:r>
              <w:t>un organe directeur s</w:t>
            </w:r>
            <w:r w:rsidR="00443556">
              <w:t>’</w:t>
            </w:r>
            <w:r>
              <w:t>engagent à y affecter un membre titulaire ou suppléant disposant d</w:t>
            </w:r>
            <w:r w:rsidR="00443556">
              <w:t>’</w:t>
            </w:r>
            <w:r>
              <w:t>une expérience suffisante dans le champ propre à cet organe ;</w:t>
            </w:r>
          </w:p>
          <w:p w:rsidR="00431B92" w:rsidRDefault="00431B92" w:rsidP="00633FD7">
            <w:pPr>
              <w:pStyle w:val="COMPara"/>
              <w:keepNext/>
              <w:numPr>
                <w:ilvl w:val="0"/>
                <w:numId w:val="30"/>
              </w:numPr>
              <w:spacing w:before="120"/>
            </w:pPr>
            <w:r>
              <w:t>d</w:t>
            </w:r>
            <w:r w:rsidR="00443556">
              <w:t>’</w:t>
            </w:r>
            <w:r>
              <w:t>instaurer une formation obligatoire à l</w:t>
            </w:r>
            <w:r w:rsidR="00443556">
              <w:t>’</w:t>
            </w:r>
            <w:r>
              <w:t>exercice de fonctions de présidence et de vice-présidence d</w:t>
            </w:r>
            <w:r w:rsidR="00443556">
              <w:t>’</w:t>
            </w:r>
            <w:r>
              <w:t>organe directeur, modulée selon l</w:t>
            </w:r>
            <w:r w:rsidR="00443556">
              <w:t>’</w:t>
            </w:r>
            <w:r>
              <w:t>expérience des nou</w:t>
            </w:r>
            <w:r w:rsidR="00265B1E">
              <w:t>veaux élus.</w:t>
            </w:r>
          </w:p>
        </w:tc>
      </w:tr>
      <w:tr w:rsidR="00CC7D3B" w:rsidRPr="00633FD7" w:rsidTr="008B2782">
        <w:tc>
          <w:tcPr>
            <w:tcW w:w="6958" w:type="dxa"/>
          </w:tcPr>
          <w:p w:rsidR="00CC7D3B" w:rsidRPr="00BD5AA4" w:rsidRDefault="00BD5AA4" w:rsidP="00BD5AA4">
            <w:pPr>
              <w:pStyle w:val="COMPara"/>
              <w:keepNext/>
              <w:numPr>
                <w:ilvl w:val="0"/>
                <w:numId w:val="36"/>
              </w:numPr>
              <w:spacing w:before="120"/>
            </w:pPr>
            <w:r>
              <w:t>examiner les moyens d</w:t>
            </w:r>
            <w:r w:rsidR="00443556">
              <w:t>’</w:t>
            </w:r>
            <w:r>
              <w:t>instaurer un dispositif de présélection de candidatures nominatives aux fonctions de présidence et de vice-présidence d</w:t>
            </w:r>
            <w:r w:rsidR="00443556">
              <w:t>’</w:t>
            </w:r>
            <w:r>
              <w:t>organes directeurs, sur la base de critères de comp</w:t>
            </w:r>
            <w:r w:rsidR="00265B1E">
              <w:t>étence transparents et robustes</w:t>
            </w:r>
          </w:p>
        </w:tc>
        <w:tc>
          <w:tcPr>
            <w:tcW w:w="6958" w:type="dxa"/>
          </w:tcPr>
          <w:p w:rsidR="00CC7D3B" w:rsidRDefault="00BB7797" w:rsidP="00BB7797">
            <w:pPr>
              <w:pStyle w:val="ListParagraph"/>
              <w:numPr>
                <w:ilvl w:val="0"/>
                <w:numId w:val="32"/>
              </w:numPr>
              <w:spacing w:before="120" w:after="120"/>
              <w:ind w:left="470" w:right="57" w:hanging="357"/>
              <w:contextualSpacing w:val="0"/>
              <w:rPr>
                <w:b/>
                <w:bCs/>
                <w:sz w:val="22"/>
                <w:szCs w:val="22"/>
              </w:rPr>
            </w:pPr>
            <w:r>
              <w:rPr>
                <w:rFonts w:ascii="Arial" w:hAnsi="Arial"/>
                <w:sz w:val="22"/>
              </w:rPr>
              <w:t>Ni l</w:t>
            </w:r>
            <w:r w:rsidR="00BD5AA4">
              <w:rPr>
                <w:rFonts w:ascii="Arial" w:hAnsi="Arial"/>
                <w:sz w:val="22"/>
              </w:rPr>
              <w:t>e Règlement intérieur de l</w:t>
            </w:r>
            <w:r w:rsidR="00443556">
              <w:rPr>
                <w:rFonts w:ascii="Arial" w:hAnsi="Arial"/>
                <w:sz w:val="22"/>
              </w:rPr>
              <w:t>’</w:t>
            </w:r>
            <w:r w:rsidR="00BD5AA4">
              <w:rPr>
                <w:rFonts w:ascii="Arial" w:hAnsi="Arial"/>
                <w:sz w:val="22"/>
              </w:rPr>
              <w:t xml:space="preserve">Assemblée générale </w:t>
            </w:r>
            <w:r>
              <w:rPr>
                <w:rFonts w:ascii="Arial" w:hAnsi="Arial"/>
                <w:sz w:val="22"/>
              </w:rPr>
              <w:t xml:space="preserve">ni celui </w:t>
            </w:r>
            <w:r w:rsidR="00BD5AA4">
              <w:rPr>
                <w:rFonts w:ascii="Arial" w:hAnsi="Arial"/>
                <w:sz w:val="22"/>
              </w:rPr>
              <w:t xml:space="preserve">du Comité ne prévoient </w:t>
            </w:r>
            <w:r>
              <w:rPr>
                <w:rFonts w:ascii="Arial" w:hAnsi="Arial"/>
                <w:sz w:val="22"/>
              </w:rPr>
              <w:t>un</w:t>
            </w:r>
            <w:r w:rsidR="00BD5AA4">
              <w:rPr>
                <w:rFonts w:ascii="Arial" w:hAnsi="Arial"/>
                <w:sz w:val="22"/>
              </w:rPr>
              <w:t xml:space="preserve"> dispositif de présélection pour les fonctions de présidence et de vice-présidence. La mise en œuvre de cette recommandation suppose</w:t>
            </w:r>
            <w:r>
              <w:rPr>
                <w:rFonts w:ascii="Arial" w:hAnsi="Arial"/>
                <w:sz w:val="22"/>
              </w:rPr>
              <w:t>ra</w:t>
            </w:r>
            <w:r w:rsidR="00BD5AA4">
              <w:rPr>
                <w:rFonts w:ascii="Arial" w:hAnsi="Arial"/>
                <w:sz w:val="22"/>
              </w:rPr>
              <w:t xml:space="preserve"> donc </w:t>
            </w:r>
            <w:r>
              <w:rPr>
                <w:rFonts w:ascii="Arial" w:hAnsi="Arial"/>
                <w:sz w:val="22"/>
              </w:rPr>
              <w:t>des amendements</w:t>
            </w:r>
            <w:r w:rsidR="00BD5AA4">
              <w:rPr>
                <w:rFonts w:ascii="Arial" w:hAnsi="Arial"/>
                <w:sz w:val="22"/>
              </w:rPr>
              <w:t xml:space="preserve"> </w:t>
            </w:r>
            <w:r>
              <w:rPr>
                <w:rFonts w:ascii="Arial" w:hAnsi="Arial"/>
                <w:sz w:val="22"/>
              </w:rPr>
              <w:t>aux</w:t>
            </w:r>
            <w:r w:rsidR="00BD5AA4">
              <w:rPr>
                <w:rFonts w:ascii="Arial" w:hAnsi="Arial"/>
                <w:sz w:val="22"/>
              </w:rPr>
              <w:t xml:space="preserve"> Règlements intérieurs des deux organes de la Convention.</w:t>
            </w:r>
          </w:p>
          <w:p w:rsidR="00BD5AA4" w:rsidRPr="00BD5AA4" w:rsidRDefault="00BB7797" w:rsidP="00D658CD">
            <w:pPr>
              <w:pStyle w:val="ListParagraph"/>
              <w:numPr>
                <w:ilvl w:val="0"/>
                <w:numId w:val="32"/>
              </w:numPr>
              <w:spacing w:before="120" w:after="120"/>
              <w:ind w:left="470" w:right="57" w:hanging="357"/>
              <w:contextualSpacing w:val="0"/>
              <w:rPr>
                <w:b/>
                <w:bCs/>
                <w:sz w:val="22"/>
                <w:szCs w:val="22"/>
              </w:rPr>
            </w:pPr>
            <w:r>
              <w:rPr>
                <w:rFonts w:ascii="Arial" w:hAnsi="Arial"/>
                <w:sz w:val="22"/>
              </w:rPr>
              <w:t>La</w:t>
            </w:r>
            <w:r w:rsidR="00BD5AA4">
              <w:rPr>
                <w:rFonts w:ascii="Arial" w:hAnsi="Arial"/>
                <w:sz w:val="22"/>
              </w:rPr>
              <w:t xml:space="preserve"> décision </w:t>
            </w:r>
            <w:r>
              <w:rPr>
                <w:rFonts w:ascii="Arial" w:hAnsi="Arial"/>
                <w:sz w:val="22"/>
              </w:rPr>
              <w:t xml:space="preserve">d’amender le règlement </w:t>
            </w:r>
            <w:r w:rsidR="00BD5AA4">
              <w:rPr>
                <w:rFonts w:ascii="Arial" w:hAnsi="Arial"/>
                <w:sz w:val="22"/>
              </w:rPr>
              <w:t>appartient aux États parties et membres du Comité. Conformément à l</w:t>
            </w:r>
            <w:r w:rsidR="00443556">
              <w:rPr>
                <w:rFonts w:ascii="Arial" w:hAnsi="Arial"/>
                <w:sz w:val="22"/>
              </w:rPr>
              <w:t>’</w:t>
            </w:r>
            <w:r w:rsidR="00BD5AA4">
              <w:rPr>
                <w:rFonts w:ascii="Arial" w:hAnsi="Arial"/>
                <w:sz w:val="22"/>
              </w:rPr>
              <w:t>article 18 du Règlement intérieur de l</w:t>
            </w:r>
            <w:r w:rsidR="00443556">
              <w:rPr>
                <w:rFonts w:ascii="Arial" w:hAnsi="Arial"/>
                <w:sz w:val="22"/>
              </w:rPr>
              <w:t>’</w:t>
            </w:r>
            <w:r w:rsidR="00BD5AA4">
              <w:rPr>
                <w:rFonts w:ascii="Arial" w:hAnsi="Arial"/>
                <w:sz w:val="22"/>
              </w:rPr>
              <w:t>Assemblée générale et à l</w:t>
            </w:r>
            <w:r w:rsidR="00443556">
              <w:rPr>
                <w:rFonts w:ascii="Arial" w:hAnsi="Arial"/>
                <w:sz w:val="22"/>
              </w:rPr>
              <w:t>’</w:t>
            </w:r>
            <w:r w:rsidR="00BD5AA4">
              <w:rPr>
                <w:rFonts w:ascii="Arial" w:hAnsi="Arial"/>
                <w:sz w:val="22"/>
              </w:rPr>
              <w:t>article 48 du Règlement intérieur du Comité, cette décision doit être prise à la majorité des deux tiers.</w:t>
            </w:r>
          </w:p>
        </w:tc>
      </w:tr>
      <w:tr w:rsidR="00CC7D3B" w:rsidRPr="00633FD7" w:rsidTr="008B2782">
        <w:tc>
          <w:tcPr>
            <w:tcW w:w="6958" w:type="dxa"/>
          </w:tcPr>
          <w:p w:rsidR="00CC7D3B" w:rsidRPr="00F60E4C" w:rsidRDefault="00BD5AA4" w:rsidP="00F60E4C">
            <w:pPr>
              <w:pStyle w:val="COMPara"/>
              <w:numPr>
                <w:ilvl w:val="0"/>
                <w:numId w:val="36"/>
              </w:numPr>
              <w:spacing w:before="120"/>
            </w:pPr>
            <w:r>
              <w:t>limiter la durée totale de mandats consécutifs d</w:t>
            </w:r>
            <w:r w:rsidR="00443556">
              <w:t>’</w:t>
            </w:r>
            <w:r>
              <w:t>un même délégué au sein d</w:t>
            </w:r>
            <w:r w:rsidR="00443556">
              <w:t>’</w:t>
            </w:r>
            <w:r>
              <w:t>un organe directeur (par exemple à quatre ans), de façon à permettre à la fois l</w:t>
            </w:r>
            <w:r w:rsidR="00443556">
              <w:t>’</w:t>
            </w:r>
            <w:r>
              <w:t>acquisition d</w:t>
            </w:r>
            <w:r w:rsidR="00443556">
              <w:t>’</w:t>
            </w:r>
            <w:r>
              <w:t>une expérience suffisante par les délégués et</w:t>
            </w:r>
            <w:r w:rsidR="00265B1E">
              <w:t xml:space="preserve"> leur renouvellement périodique</w:t>
            </w:r>
          </w:p>
        </w:tc>
        <w:tc>
          <w:tcPr>
            <w:tcW w:w="6958" w:type="dxa"/>
          </w:tcPr>
          <w:p w:rsidR="00CC7D3B" w:rsidRPr="00431B92" w:rsidRDefault="00BD5AA4" w:rsidP="00A12756">
            <w:pPr>
              <w:pStyle w:val="ListParagraph"/>
              <w:numPr>
                <w:ilvl w:val="0"/>
                <w:numId w:val="32"/>
              </w:numPr>
              <w:spacing w:before="120" w:after="120"/>
              <w:ind w:left="470" w:right="57" w:hanging="357"/>
              <w:contextualSpacing w:val="0"/>
              <w:rPr>
                <w:b/>
                <w:bCs/>
                <w:sz w:val="22"/>
                <w:szCs w:val="22"/>
              </w:rPr>
            </w:pPr>
            <w:r>
              <w:rPr>
                <w:rFonts w:ascii="Arial" w:hAnsi="Arial"/>
                <w:sz w:val="22"/>
              </w:rPr>
              <w:t>Conformément à l</w:t>
            </w:r>
            <w:r w:rsidR="00443556">
              <w:rPr>
                <w:rFonts w:ascii="Arial" w:hAnsi="Arial"/>
                <w:sz w:val="22"/>
              </w:rPr>
              <w:t>’</w:t>
            </w:r>
            <w:r>
              <w:rPr>
                <w:rFonts w:ascii="Arial" w:hAnsi="Arial"/>
                <w:sz w:val="22"/>
              </w:rPr>
              <w:t xml:space="preserve">article 6 de la Convention, les États membres du Comité sont élus pour </w:t>
            </w:r>
            <w:r w:rsidR="00BB7797">
              <w:rPr>
                <w:rFonts w:ascii="Arial" w:hAnsi="Arial"/>
                <w:sz w:val="22"/>
              </w:rPr>
              <w:t xml:space="preserve">un mandat </w:t>
            </w:r>
            <w:r>
              <w:rPr>
                <w:rFonts w:ascii="Arial" w:hAnsi="Arial"/>
                <w:sz w:val="22"/>
              </w:rPr>
              <w:t>quatre ans. Ils ne peuvent être élus pour deux mandats consécutifs.</w:t>
            </w:r>
          </w:p>
        </w:tc>
      </w:tr>
      <w:tr w:rsidR="00CC7D3B" w:rsidRPr="00633FD7" w:rsidTr="008B2782">
        <w:tc>
          <w:tcPr>
            <w:tcW w:w="6958" w:type="dxa"/>
          </w:tcPr>
          <w:p w:rsidR="00CC7D3B" w:rsidRPr="00B4668C" w:rsidRDefault="00BD5AA4" w:rsidP="00B4668C">
            <w:pPr>
              <w:pStyle w:val="COMPara"/>
              <w:numPr>
                <w:ilvl w:val="0"/>
                <w:numId w:val="36"/>
              </w:numPr>
              <w:spacing w:before="120"/>
            </w:pPr>
            <w:proofErr w:type="gramStart"/>
            <w:r>
              <w:t>préconiser</w:t>
            </w:r>
            <w:proofErr w:type="gramEnd"/>
            <w:r>
              <w:t xml:space="preserve"> que les États membres candidats à un siège au sein d</w:t>
            </w:r>
            <w:r w:rsidR="00443556">
              <w:t>’</w:t>
            </w:r>
            <w:r>
              <w:t>un organe directeur s</w:t>
            </w:r>
            <w:r w:rsidR="00443556">
              <w:t>’</w:t>
            </w:r>
            <w:r>
              <w:t>engagent à y affecter un membre titulaire ou suppléant disposant d</w:t>
            </w:r>
            <w:r w:rsidR="00443556">
              <w:t>’</w:t>
            </w:r>
            <w:r>
              <w:t>une expérience suffisante dans le champ propre à cet organe</w:t>
            </w:r>
          </w:p>
        </w:tc>
        <w:tc>
          <w:tcPr>
            <w:tcW w:w="6958" w:type="dxa"/>
          </w:tcPr>
          <w:p w:rsidR="00CC7D3B" w:rsidRPr="00431B92" w:rsidRDefault="00BD5AA4" w:rsidP="00ED7D96">
            <w:pPr>
              <w:pStyle w:val="ListParagraph"/>
              <w:numPr>
                <w:ilvl w:val="0"/>
                <w:numId w:val="32"/>
              </w:numPr>
              <w:spacing w:before="120" w:after="120"/>
              <w:ind w:left="470" w:right="57" w:hanging="357"/>
              <w:contextualSpacing w:val="0"/>
              <w:rPr>
                <w:b/>
                <w:bCs/>
                <w:sz w:val="22"/>
                <w:szCs w:val="22"/>
              </w:rPr>
            </w:pPr>
            <w:r>
              <w:rPr>
                <w:rFonts w:ascii="Arial" w:hAnsi="Arial"/>
                <w:sz w:val="22"/>
              </w:rPr>
              <w:t>Conformément à l</w:t>
            </w:r>
            <w:r w:rsidR="00443556">
              <w:rPr>
                <w:rFonts w:ascii="Arial" w:hAnsi="Arial"/>
                <w:sz w:val="22"/>
              </w:rPr>
              <w:t>’</w:t>
            </w:r>
            <w:r>
              <w:rPr>
                <w:rFonts w:ascii="Arial" w:hAnsi="Arial"/>
                <w:sz w:val="22"/>
              </w:rPr>
              <w:t>article 6.7 de la Convention, « Les États membres du Comité choisissent pour les représenter des personnes qualifiées dans les divers domaines du patrimoine culturel immatériel ».</w:t>
            </w:r>
          </w:p>
        </w:tc>
      </w:tr>
    </w:tbl>
    <w:p w:rsidR="00EE49F4" w:rsidRPr="00B056B9" w:rsidRDefault="00EE49F4" w:rsidP="00F60E4C">
      <w:pPr>
        <w:pStyle w:val="COMPara"/>
        <w:jc w:val="both"/>
        <w:rPr>
          <w:rFonts w:eastAsiaTheme="minorEastAsia"/>
          <w:lang w:eastAsia="ko-KR"/>
        </w:rPr>
      </w:pPr>
    </w:p>
    <w:sectPr w:rsidR="00EE49F4" w:rsidRPr="00B056B9" w:rsidSect="00633FD7">
      <w:headerReference w:type="first" r:id="rId32"/>
      <w:pgSz w:w="16838" w:h="11906" w:orient="landscape" w:code="9"/>
      <w:pgMar w:top="851" w:right="1134" w:bottom="709" w:left="1418" w:header="39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F73" w:rsidRDefault="00B74F73" w:rsidP="00655736">
      <w:r>
        <w:separator/>
      </w:r>
    </w:p>
  </w:endnote>
  <w:endnote w:type="continuationSeparator" w:id="0">
    <w:p w:rsidR="00B74F73" w:rsidRDefault="00B74F73"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F73" w:rsidRDefault="00B74F73" w:rsidP="00655736">
      <w:r>
        <w:separator/>
      </w:r>
    </w:p>
  </w:footnote>
  <w:footnote w:type="continuationSeparator" w:id="0">
    <w:p w:rsidR="00B74F73" w:rsidRDefault="00B74F73" w:rsidP="00655736">
      <w:r>
        <w:continuationSeparator/>
      </w:r>
    </w:p>
  </w:footnote>
  <w:footnote w:id="1">
    <w:p w:rsidR="00B74F73" w:rsidRPr="00D26FBC" w:rsidRDefault="00B74F73">
      <w:pPr>
        <w:pStyle w:val="FootnoteText"/>
      </w:pPr>
      <w:r>
        <w:rPr>
          <w:rStyle w:val="FootnoteReference"/>
        </w:rPr>
        <w:footnoteRef/>
      </w:r>
      <w:r>
        <w:rPr>
          <w:rFonts w:ascii="Arial" w:hAnsi="Arial"/>
          <w:snapToGrid w:val="0"/>
          <w:sz w:val="18"/>
        </w:rPr>
        <w:t xml:space="preserve">Pour connaître le mandat du groupe de travail, consulter : </w:t>
      </w:r>
      <w:hyperlink r:id="rId1">
        <w:r>
          <w:rPr>
            <w:rFonts w:ascii="Arial" w:hAnsi="Arial"/>
            <w:snapToGrid w:val="0"/>
            <w:sz w:val="18"/>
          </w:rPr>
          <w:t>http://www.unesco.org/new/fr/general-conference-38th/working-group-on-governance/</w:t>
        </w:r>
      </w:hyperlink>
      <w:r>
        <w:rPr>
          <w:rFonts w:ascii="Arial" w:hAnsi="Arial"/>
          <w:snapToGrid w:val="0"/>
          <w:sz w:val="18"/>
        </w:rPr>
        <w:t xml:space="preserve"> (dernier accès le 14 septembre 2016).</w:t>
      </w:r>
    </w:p>
  </w:footnote>
  <w:footnote w:id="2">
    <w:p w:rsidR="00B74F73" w:rsidRPr="00D26FBC" w:rsidRDefault="00B74F73">
      <w:pPr>
        <w:pStyle w:val="FootnoteText"/>
      </w:pPr>
      <w:r>
        <w:rPr>
          <w:rStyle w:val="FootnoteReference"/>
        </w:rPr>
        <w:footnoteRef/>
      </w:r>
      <w:r w:rsidR="0040763E">
        <w:rPr>
          <w:rFonts w:ascii="Arial" w:hAnsi="Arial"/>
          <w:snapToGrid w:val="0"/>
          <w:sz w:val="18"/>
        </w:rPr>
        <w:t>Le groupe de travail s</w:t>
      </w:r>
      <w:r w:rsidR="0040763E">
        <w:rPr>
          <w:rFonts w:ascii="Arial" w:eastAsiaTheme="minorEastAsia" w:hAnsi="Arial"/>
          <w:snapToGrid w:val="0"/>
          <w:sz w:val="18"/>
          <w:lang w:eastAsia="ko-KR"/>
        </w:rPr>
        <w:t>’</w:t>
      </w:r>
      <w:r>
        <w:rPr>
          <w:rFonts w:ascii="Arial" w:hAnsi="Arial"/>
          <w:snapToGrid w:val="0"/>
          <w:sz w:val="18"/>
        </w:rPr>
        <w:t>est réuni deux fois, le 17 février et le 1er avril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F73" w:rsidRPr="00C23A97" w:rsidRDefault="00B74F73">
    <w:pPr>
      <w:pStyle w:val="Header"/>
      <w:rPr>
        <w:rFonts w:ascii="Arial" w:hAnsi="Arial" w:cs="Arial"/>
      </w:rPr>
    </w:pPr>
    <w:r>
      <w:rPr>
        <w:rFonts w:ascii="Arial" w:hAnsi="Arial"/>
        <w:sz w:val="20"/>
      </w:rPr>
      <w:t xml:space="preserve">ITH/16/11.COM/7 – page </w:t>
    </w:r>
    <w:r w:rsidRPr="00C23A97">
      <w:rPr>
        <w:rStyle w:val="PageNumber"/>
        <w:rFonts w:ascii="Arial" w:hAnsi="Arial" w:cs="Arial"/>
        <w:sz w:val="20"/>
        <w:szCs w:val="20"/>
      </w:rPr>
      <w:fldChar w:fldCharType="begin"/>
    </w:r>
    <w:r w:rsidRPr="00C23A97">
      <w:rPr>
        <w:rStyle w:val="PageNumber"/>
        <w:rFonts w:ascii="Arial" w:hAnsi="Arial" w:cs="Arial"/>
        <w:sz w:val="20"/>
        <w:szCs w:val="20"/>
      </w:rPr>
      <w:instrText xml:space="preserve"> PAGE </w:instrText>
    </w:r>
    <w:r w:rsidRPr="00C23A97">
      <w:rPr>
        <w:rStyle w:val="PageNumber"/>
        <w:rFonts w:ascii="Arial" w:hAnsi="Arial" w:cs="Arial"/>
        <w:sz w:val="20"/>
        <w:szCs w:val="20"/>
      </w:rPr>
      <w:fldChar w:fldCharType="separate"/>
    </w:r>
    <w:r w:rsidR="00DE2573">
      <w:rPr>
        <w:rStyle w:val="PageNumber"/>
        <w:rFonts w:ascii="Arial" w:hAnsi="Arial" w:cs="Arial"/>
        <w:noProof/>
        <w:sz w:val="20"/>
        <w:szCs w:val="20"/>
      </w:rPr>
      <w:t>4</w:t>
    </w:r>
    <w:r w:rsidRPr="00C23A97">
      <w:rPr>
        <w:rStyle w:val="PageNumber"/>
        <w:rFonts w:ascii="Arial" w:hAnsi="Arial" w:cs="Arial"/>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F73" w:rsidRPr="0063300C" w:rsidRDefault="00B74F73" w:rsidP="0063300C">
    <w:pPr>
      <w:pStyle w:val="Header"/>
      <w:jc w:val="right"/>
      <w:rPr>
        <w:rFonts w:ascii="Arial" w:hAnsi="Arial" w:cs="Arial"/>
      </w:rPr>
    </w:pPr>
    <w:r>
      <w:rPr>
        <w:rFonts w:ascii="Arial" w:hAnsi="Arial"/>
        <w:sz w:val="20"/>
      </w:rPr>
      <w:t xml:space="preserve">ITH/16/11.COM/7 – page </w:t>
    </w:r>
    <w:r w:rsidRPr="0063300C">
      <w:rPr>
        <w:rStyle w:val="PageNumber"/>
        <w:rFonts w:ascii="Arial" w:hAnsi="Arial" w:cs="Arial"/>
        <w:sz w:val="20"/>
        <w:szCs w:val="20"/>
      </w:rPr>
      <w:fldChar w:fldCharType="begin"/>
    </w:r>
    <w:r w:rsidRPr="0063300C">
      <w:rPr>
        <w:rStyle w:val="PageNumber"/>
        <w:rFonts w:ascii="Arial" w:hAnsi="Arial" w:cs="Arial"/>
        <w:sz w:val="20"/>
        <w:szCs w:val="20"/>
      </w:rPr>
      <w:instrText xml:space="preserve"> PAGE </w:instrText>
    </w:r>
    <w:r w:rsidRPr="0063300C">
      <w:rPr>
        <w:rStyle w:val="PageNumber"/>
        <w:rFonts w:ascii="Arial" w:hAnsi="Arial" w:cs="Arial"/>
        <w:sz w:val="20"/>
        <w:szCs w:val="20"/>
      </w:rPr>
      <w:fldChar w:fldCharType="separate"/>
    </w:r>
    <w:r w:rsidR="00DE2573">
      <w:rPr>
        <w:rStyle w:val="PageNumber"/>
        <w:rFonts w:ascii="Arial" w:hAnsi="Arial" w:cs="Arial"/>
        <w:noProof/>
        <w:sz w:val="20"/>
        <w:szCs w:val="20"/>
      </w:rPr>
      <w:t>3</w:t>
    </w:r>
    <w:r w:rsidRPr="0063300C">
      <w:rPr>
        <w:rStyle w:val="PageNumber"/>
        <w:rFonts w:ascii="Arial" w:hAnsi="Arial"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F73" w:rsidRPr="00F32C23" w:rsidRDefault="00B74F73">
    <w:pPr>
      <w:pStyle w:val="Header"/>
    </w:pPr>
    <w:r>
      <w:rPr>
        <w:noProof/>
        <w:lang w:eastAsia="ko-KR" w:bidi="ar-SA"/>
      </w:rPr>
      <w:drawing>
        <wp:anchor distT="0" distB="0" distL="114300" distR="114300" simplePos="0" relativeHeight="251660288" behindDoc="0" locked="0" layoutInCell="1" allowOverlap="1" wp14:anchorId="53396AD9" wp14:editId="5CC4EED5">
          <wp:simplePos x="0" y="0"/>
          <wp:positionH relativeFrom="column">
            <wp:posOffset>-377825</wp:posOffset>
          </wp:positionH>
          <wp:positionV relativeFrom="page">
            <wp:posOffset>255905</wp:posOffset>
          </wp:positionV>
          <wp:extent cx="2037600" cy="1530000"/>
          <wp:effectExtent l="0" t="0" r="1270" b="0"/>
          <wp:wrapNone/>
          <wp:docPr id="2" name="Picture 11"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4F73" w:rsidRPr="00D26FBC" w:rsidRDefault="00B74F73" w:rsidP="00655736">
    <w:pPr>
      <w:pStyle w:val="Header"/>
      <w:spacing w:after="520"/>
      <w:jc w:val="right"/>
      <w:rPr>
        <w:rFonts w:ascii="Arial" w:hAnsi="Arial" w:cs="Arial"/>
        <w:b/>
        <w:sz w:val="44"/>
        <w:szCs w:val="44"/>
        <w:lang w:val="pt-BR"/>
      </w:rPr>
    </w:pPr>
    <w:r w:rsidRPr="00D26FBC">
      <w:rPr>
        <w:rFonts w:ascii="Arial" w:hAnsi="Arial"/>
        <w:b/>
        <w:sz w:val="44"/>
        <w:lang w:val="pt-BR"/>
      </w:rPr>
      <w:t>11 COM</w:t>
    </w:r>
  </w:p>
  <w:p w:rsidR="00B74F73" w:rsidRPr="00D26FBC" w:rsidRDefault="00B74F73" w:rsidP="00655736">
    <w:pPr>
      <w:jc w:val="right"/>
      <w:rPr>
        <w:rFonts w:ascii="Arial" w:hAnsi="Arial" w:cs="Arial"/>
        <w:b/>
        <w:sz w:val="22"/>
        <w:szCs w:val="22"/>
        <w:lang w:val="pt-BR"/>
      </w:rPr>
    </w:pPr>
    <w:r w:rsidRPr="00D26FBC">
      <w:rPr>
        <w:rFonts w:ascii="Arial" w:hAnsi="Arial"/>
        <w:b/>
        <w:sz w:val="22"/>
        <w:lang w:val="pt-BR"/>
      </w:rPr>
      <w:t>ITH/16/11.COM/7</w:t>
    </w:r>
  </w:p>
  <w:p w:rsidR="00B74F73" w:rsidRPr="00D26FBC" w:rsidRDefault="00B74F73" w:rsidP="00655736">
    <w:pPr>
      <w:jc w:val="right"/>
      <w:rPr>
        <w:rFonts w:ascii="Arial" w:hAnsi="Arial" w:cs="Arial"/>
        <w:b/>
        <w:sz w:val="22"/>
        <w:szCs w:val="22"/>
        <w:lang w:val="pt-BR"/>
      </w:rPr>
    </w:pPr>
    <w:r w:rsidRPr="00D26FBC">
      <w:rPr>
        <w:rFonts w:ascii="Arial" w:hAnsi="Arial"/>
        <w:b/>
        <w:sz w:val="22"/>
        <w:lang w:val="pt-BR"/>
      </w:rPr>
      <w:t xml:space="preserve">Paris, </w:t>
    </w:r>
    <w:proofErr w:type="spellStart"/>
    <w:proofErr w:type="gramStart"/>
    <w:r w:rsidRPr="00D26FBC">
      <w:rPr>
        <w:rFonts w:ascii="Arial" w:hAnsi="Arial"/>
        <w:b/>
        <w:sz w:val="22"/>
        <w:lang w:val="pt-BR"/>
      </w:rPr>
      <w:t>le</w:t>
    </w:r>
    <w:proofErr w:type="spellEnd"/>
    <w:proofErr w:type="gramEnd"/>
    <w:r w:rsidRPr="00D26FBC">
      <w:rPr>
        <w:rFonts w:ascii="Arial" w:hAnsi="Arial"/>
        <w:b/>
        <w:sz w:val="22"/>
        <w:lang w:val="pt-BR"/>
      </w:rPr>
      <w:t xml:space="preserve"> </w:t>
    </w:r>
    <w:r w:rsidR="00265B1E">
      <w:rPr>
        <w:rFonts w:ascii="Arial" w:eastAsiaTheme="minorEastAsia" w:hAnsi="Arial" w:hint="eastAsia"/>
        <w:b/>
        <w:sz w:val="22"/>
        <w:lang w:val="pt-BR" w:eastAsia="ko-KR"/>
      </w:rPr>
      <w:t xml:space="preserve">31 </w:t>
    </w:r>
    <w:proofErr w:type="spellStart"/>
    <w:r w:rsidR="00265B1E">
      <w:rPr>
        <w:rFonts w:ascii="Arial" w:eastAsiaTheme="minorEastAsia" w:hAnsi="Arial" w:hint="eastAsia"/>
        <w:b/>
        <w:sz w:val="22"/>
        <w:lang w:val="pt-BR" w:eastAsia="ko-KR"/>
      </w:rPr>
      <w:t>octobre</w:t>
    </w:r>
    <w:proofErr w:type="spellEnd"/>
    <w:r w:rsidRPr="00D26FBC">
      <w:rPr>
        <w:rFonts w:ascii="Arial" w:hAnsi="Arial"/>
        <w:b/>
        <w:sz w:val="22"/>
        <w:lang w:val="pt-BR"/>
      </w:rPr>
      <w:t> 2016</w:t>
    </w:r>
  </w:p>
  <w:p w:rsidR="00B74F73" w:rsidRPr="00265B1E" w:rsidRDefault="00B74F73" w:rsidP="00265B1E">
    <w:pPr>
      <w:jc w:val="right"/>
      <w:rPr>
        <w:rFonts w:ascii="Arial" w:eastAsiaTheme="minorEastAsia" w:hAnsi="Arial" w:cs="Arial"/>
        <w:b/>
        <w:sz w:val="22"/>
        <w:szCs w:val="22"/>
        <w:lang w:eastAsia="ko-KR"/>
      </w:rPr>
    </w:pPr>
    <w:r>
      <w:rPr>
        <w:rFonts w:ascii="Arial" w:hAnsi="Arial"/>
        <w:b/>
        <w:sz w:val="22"/>
      </w:rPr>
      <w:t>Original : anglais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F73" w:rsidRPr="00F32C23" w:rsidRDefault="00B74F73">
    <w:pPr>
      <w:pStyle w:val="Header"/>
    </w:pPr>
    <w:r>
      <w:rPr>
        <w:noProof/>
        <w:lang w:eastAsia="ko-KR" w:bidi="ar-SA"/>
      </w:rPr>
      <w:drawing>
        <wp:anchor distT="0" distB="0" distL="114300" distR="114300" simplePos="0" relativeHeight="251658240" behindDoc="0" locked="0" layoutInCell="1" allowOverlap="1">
          <wp:simplePos x="0" y="0"/>
          <wp:positionH relativeFrom="column">
            <wp:posOffset>-567690</wp:posOffset>
          </wp:positionH>
          <wp:positionV relativeFrom="paragraph">
            <wp:posOffset>3810</wp:posOffset>
          </wp:positionV>
          <wp:extent cx="2228215" cy="1367790"/>
          <wp:effectExtent l="0" t="0" r="635" b="3810"/>
          <wp:wrapNone/>
          <wp:docPr id="7" name="Picture 7"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anchor>
      </w:drawing>
    </w:r>
  </w:p>
  <w:p w:rsidR="00B74F73" w:rsidRPr="00D26FBC" w:rsidRDefault="00B74F73" w:rsidP="00655736">
    <w:pPr>
      <w:pStyle w:val="Header"/>
      <w:spacing w:after="520"/>
      <w:jc w:val="right"/>
      <w:rPr>
        <w:rFonts w:ascii="Arial" w:hAnsi="Arial" w:cs="Arial"/>
        <w:b/>
        <w:sz w:val="44"/>
        <w:szCs w:val="44"/>
        <w:lang w:val="pt-BR"/>
      </w:rPr>
    </w:pPr>
    <w:r w:rsidRPr="00D26FBC">
      <w:rPr>
        <w:rFonts w:ascii="Arial" w:hAnsi="Arial"/>
        <w:b/>
        <w:sz w:val="44"/>
        <w:lang w:val="pt-BR"/>
      </w:rPr>
      <w:t>11 COM</w:t>
    </w:r>
  </w:p>
  <w:p w:rsidR="00B74F73" w:rsidRPr="00D26FBC" w:rsidRDefault="00B74F73" w:rsidP="00655736">
    <w:pPr>
      <w:jc w:val="right"/>
      <w:rPr>
        <w:rFonts w:ascii="Arial" w:hAnsi="Arial" w:cs="Arial"/>
        <w:b/>
        <w:sz w:val="22"/>
        <w:szCs w:val="22"/>
        <w:lang w:val="pt-BR"/>
      </w:rPr>
    </w:pPr>
    <w:r w:rsidRPr="00D26FBC">
      <w:rPr>
        <w:rFonts w:ascii="Arial" w:hAnsi="Arial"/>
        <w:b/>
        <w:sz w:val="22"/>
        <w:lang w:val="pt-BR"/>
      </w:rPr>
      <w:t>ITH/16/11.COM/7</w:t>
    </w:r>
  </w:p>
  <w:p w:rsidR="00B74F73" w:rsidRPr="00D26FBC" w:rsidRDefault="00B74F73" w:rsidP="00655736">
    <w:pPr>
      <w:jc w:val="right"/>
      <w:rPr>
        <w:rFonts w:ascii="Arial" w:hAnsi="Arial" w:cs="Arial"/>
        <w:b/>
        <w:sz w:val="22"/>
        <w:szCs w:val="22"/>
        <w:lang w:val="pt-BR"/>
      </w:rPr>
    </w:pPr>
    <w:r w:rsidRPr="00D26FBC">
      <w:rPr>
        <w:rFonts w:ascii="Arial" w:hAnsi="Arial"/>
        <w:b/>
        <w:sz w:val="22"/>
        <w:lang w:val="pt-BR"/>
      </w:rPr>
      <w:t xml:space="preserve">Paris, le </w:t>
    </w:r>
    <w:r w:rsidRPr="00D26FBC">
      <w:rPr>
        <w:rFonts w:ascii="Arial" w:hAnsi="Arial"/>
        <w:b/>
        <w:sz w:val="22"/>
        <w:highlight w:val="yellow"/>
        <w:lang w:val="pt-BR"/>
      </w:rPr>
      <w:t>xxx xxx</w:t>
    </w:r>
    <w:r w:rsidRPr="00D26FBC">
      <w:rPr>
        <w:rFonts w:ascii="Arial" w:hAnsi="Arial"/>
        <w:b/>
        <w:sz w:val="22"/>
        <w:lang w:val="pt-BR"/>
      </w:rPr>
      <w:t> 2016</w:t>
    </w:r>
  </w:p>
  <w:p w:rsidR="00B74F73" w:rsidRPr="00F32C23" w:rsidRDefault="00B74F73" w:rsidP="000048ED">
    <w:pPr>
      <w:jc w:val="right"/>
      <w:rPr>
        <w:rFonts w:ascii="Arial" w:hAnsi="Arial" w:cs="Arial"/>
        <w:b/>
        <w:sz w:val="22"/>
        <w:szCs w:val="22"/>
      </w:rPr>
    </w:pPr>
    <w:r>
      <w:rPr>
        <w:rFonts w:ascii="Arial" w:hAnsi="Arial"/>
        <w:b/>
        <w:sz w:val="22"/>
      </w:rPr>
      <w:t>Original : anglais</w:t>
    </w:r>
  </w:p>
  <w:p w:rsidR="00B74F73" w:rsidRPr="00F32C23" w:rsidRDefault="00B74F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140F"/>
    <w:multiLevelType w:val="hybridMultilevel"/>
    <w:tmpl w:val="5D1A4160"/>
    <w:lvl w:ilvl="0" w:tplc="3FC01DE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7B49B3"/>
    <w:multiLevelType w:val="hybridMultilevel"/>
    <w:tmpl w:val="5D1A4160"/>
    <w:lvl w:ilvl="0" w:tplc="3FC01DE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FB24A0C"/>
    <w:multiLevelType w:val="hybridMultilevel"/>
    <w:tmpl w:val="D624D15E"/>
    <w:lvl w:ilvl="0" w:tplc="3782FB6A">
      <w:start w:val="1"/>
      <w:numFmt w:val="decimal"/>
      <w:lvlText w:val="%1."/>
      <w:lvlJc w:val="left"/>
      <w:pPr>
        <w:ind w:left="360" w:hanging="360"/>
      </w:pPr>
      <w:rPr>
        <w:rFonts w:hint="default"/>
      </w:rPr>
    </w:lvl>
    <w:lvl w:ilvl="1" w:tplc="2DB626BA">
      <w:start w:val="1"/>
      <w:numFmt w:val="lowerRoman"/>
      <w:lvlText w:val="(%2)"/>
      <w:lvlJc w:val="left"/>
      <w:pPr>
        <w:ind w:left="1080" w:hanging="360"/>
      </w:pPr>
      <w:rPr>
        <w:rFonts w:hint="default"/>
      </w:r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1A28FAEA">
      <w:start w:val="1"/>
      <w:numFmt w:val="lowerRoman"/>
      <w:lvlText w:val="(%6)"/>
      <w:lvlJc w:val="left"/>
      <w:pPr>
        <w:ind w:left="4500" w:hanging="720"/>
      </w:pPr>
      <w:rPr>
        <w:rFonts w:hint="default"/>
      </w:r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nsid w:val="12893EDA"/>
    <w:multiLevelType w:val="hybridMultilevel"/>
    <w:tmpl w:val="311C69E0"/>
    <w:lvl w:ilvl="0" w:tplc="3FC01DE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F302DE1"/>
    <w:multiLevelType w:val="hybridMultilevel"/>
    <w:tmpl w:val="04825BAE"/>
    <w:lvl w:ilvl="0" w:tplc="3782FB6A">
      <w:start w:val="1"/>
      <w:numFmt w:val="decimal"/>
      <w:lvlText w:val="%1."/>
      <w:lvlJc w:val="left"/>
      <w:pPr>
        <w:ind w:left="360" w:hanging="360"/>
      </w:pPr>
      <w:rPr>
        <w:rFonts w:hint="default"/>
      </w:rPr>
    </w:lvl>
    <w:lvl w:ilvl="1" w:tplc="A5D42ED6">
      <w:start w:val="1"/>
      <w:numFmt w:val="lowerRoman"/>
      <w:lvlText w:val="%2)"/>
      <w:lvlJc w:val="left"/>
      <w:pPr>
        <w:ind w:left="1080" w:hanging="360"/>
      </w:pPr>
      <w:rPr>
        <w:rFonts w:ascii="Arial" w:eastAsia="Times New Roman" w:hAnsi="Arial" w:cs="Arial"/>
      </w:r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1A28FAEA">
      <w:start w:val="1"/>
      <w:numFmt w:val="lowerRoman"/>
      <w:lvlText w:val="(%6)"/>
      <w:lvlJc w:val="left"/>
      <w:pPr>
        <w:ind w:left="4500" w:hanging="720"/>
      </w:pPr>
      <w:rPr>
        <w:rFonts w:hint="default"/>
      </w:rPr>
    </w:lvl>
    <w:lvl w:ilvl="6" w:tplc="73B4378E">
      <w:start w:val="1"/>
      <w:numFmt w:val="lowerLetter"/>
      <w:lvlText w:val="(%7)"/>
      <w:lvlJc w:val="left"/>
      <w:pPr>
        <w:ind w:left="4680" w:hanging="360"/>
      </w:pPr>
      <w:rPr>
        <w:rFonts w:hint="default"/>
        <w:b w:val="0"/>
      </w:r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21382925"/>
    <w:multiLevelType w:val="hybridMultilevel"/>
    <w:tmpl w:val="2C2CEF42"/>
    <w:lvl w:ilvl="0" w:tplc="98B6FD9E">
      <w:start w:val="1"/>
      <w:numFmt w:val="decimal"/>
      <w:lvlText w:val="%1."/>
      <w:lvlJc w:val="left"/>
      <w:pPr>
        <w:ind w:left="927" w:hanging="360"/>
      </w:pPr>
      <w:rPr>
        <w:rFonts w:eastAsia="Times New Roman"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
    <w:nsid w:val="22A36CEC"/>
    <w:multiLevelType w:val="hybridMultilevel"/>
    <w:tmpl w:val="55424760"/>
    <w:lvl w:ilvl="0" w:tplc="2DB626BA">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5F07BFE"/>
    <w:multiLevelType w:val="hybridMultilevel"/>
    <w:tmpl w:val="EA485922"/>
    <w:lvl w:ilvl="0" w:tplc="2DB626BA">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nsid w:val="37851524"/>
    <w:multiLevelType w:val="hybridMultilevel"/>
    <w:tmpl w:val="5D1A4160"/>
    <w:lvl w:ilvl="0" w:tplc="3FC01DE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7F0232C"/>
    <w:multiLevelType w:val="hybridMultilevel"/>
    <w:tmpl w:val="0720CA9E"/>
    <w:lvl w:ilvl="0" w:tplc="230000D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5">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7">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8">
    <w:nsid w:val="454A62D0"/>
    <w:multiLevelType w:val="hybridMultilevel"/>
    <w:tmpl w:val="06BC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9B44EE"/>
    <w:multiLevelType w:val="hybridMultilevel"/>
    <w:tmpl w:val="55424760"/>
    <w:lvl w:ilvl="0" w:tplc="2DB626BA">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1">
    <w:nsid w:val="6675680C"/>
    <w:multiLevelType w:val="hybridMultilevel"/>
    <w:tmpl w:val="0720CA9E"/>
    <w:lvl w:ilvl="0" w:tplc="230000D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C251940"/>
    <w:multiLevelType w:val="hybridMultilevel"/>
    <w:tmpl w:val="E0DAA1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DD71E58"/>
    <w:multiLevelType w:val="multilevel"/>
    <w:tmpl w:val="02C461E2"/>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pStyle w:val="Paragraph1WorkingDocument123"/>
      <w:lvlText w:val="%5."/>
      <w:lvlJc w:val="left"/>
      <w:pPr>
        <w:tabs>
          <w:tab w:val="num" w:pos="567"/>
        </w:tabs>
        <w:ind w:left="567" w:hanging="567"/>
      </w:pPr>
      <w:rPr>
        <w:rFonts w:hint="default"/>
        <w:lang w:val="en-GB"/>
      </w:rPr>
    </w:lvl>
    <w:lvl w:ilvl="5">
      <w:start w:val="1"/>
      <w:numFmt w:val="lowerLetter"/>
      <w:pStyle w:val="Paragraph2WorkingDocumentab"/>
      <w:lvlText w:val="%6)"/>
      <w:lvlJc w:val="left"/>
      <w:pPr>
        <w:tabs>
          <w:tab w:val="num" w:pos="1134"/>
        </w:tabs>
        <w:ind w:left="1134" w:hanging="567"/>
      </w:pPr>
      <w:rPr>
        <w:rFonts w:hint="default"/>
      </w:rPr>
    </w:lvl>
    <w:lvl w:ilvl="6">
      <w:start w:val="1"/>
      <w:numFmt w:val="lowerRoman"/>
      <w:pStyle w:val="Paragraph3WorkingDocumentiiiiii"/>
      <w:lvlText w:val="%7)"/>
      <w:lvlJc w:val="left"/>
      <w:pPr>
        <w:tabs>
          <w:tab w:val="num" w:pos="1701"/>
        </w:tabs>
        <w:ind w:left="1701" w:hanging="567"/>
      </w:pPr>
      <w:rPr>
        <w:rFonts w:hint="default"/>
        <w:b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C756EDD"/>
    <w:multiLevelType w:val="hybridMultilevel"/>
    <w:tmpl w:val="884C76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5"/>
  </w:num>
  <w:num w:numId="4">
    <w:abstractNumId w:val="25"/>
  </w:num>
  <w:num w:numId="5">
    <w:abstractNumId w:val="22"/>
  </w:num>
  <w:num w:numId="6">
    <w:abstractNumId w:val="3"/>
  </w:num>
  <w:num w:numId="7">
    <w:abstractNumId w:val="6"/>
  </w:num>
  <w:num w:numId="8">
    <w:abstractNumId w:val="17"/>
  </w:num>
  <w:num w:numId="9">
    <w:abstractNumId w:val="10"/>
  </w:num>
  <w:num w:numId="10">
    <w:abstractNumId w:val="14"/>
  </w:num>
  <w:num w:numId="11">
    <w:abstractNumId w:val="16"/>
  </w:num>
  <w:num w:numId="12">
    <w:abstractNumId w:val="15"/>
  </w:num>
  <w:num w:numId="13">
    <w:abstractNumId w:val="18"/>
  </w:num>
  <w:num w:numId="14">
    <w:abstractNumId w:val="24"/>
  </w:num>
  <w:num w:numId="15">
    <w:abstractNumId w:val="10"/>
    <w:lvlOverride w:ilvl="0">
      <w:startOverride w:val="1"/>
    </w:lvlOverride>
  </w:num>
  <w:num w:numId="16">
    <w:abstractNumId w:val="10"/>
  </w:num>
  <w:num w:numId="17">
    <w:abstractNumId w:val="10"/>
    <w:lvlOverride w:ilvl="0">
      <w:startOverride w:val="1"/>
    </w:lvlOverride>
  </w:num>
  <w:num w:numId="18">
    <w:abstractNumId w:val="10"/>
  </w:num>
  <w:num w:numId="19">
    <w:abstractNumId w:val="10"/>
  </w:num>
  <w:num w:numId="20">
    <w:abstractNumId w:val="10"/>
  </w:num>
  <w:num w:numId="21">
    <w:abstractNumId w:val="7"/>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2"/>
  </w:num>
  <w:num w:numId="29">
    <w:abstractNumId w:val="19"/>
  </w:num>
  <w:num w:numId="30">
    <w:abstractNumId w:val="12"/>
  </w:num>
  <w:num w:numId="31">
    <w:abstractNumId w:val="13"/>
  </w:num>
  <w:num w:numId="32">
    <w:abstractNumId w:val="26"/>
  </w:num>
  <w:num w:numId="33">
    <w:abstractNumId w:val="21"/>
  </w:num>
  <w:num w:numId="34">
    <w:abstractNumId w:val="8"/>
  </w:num>
  <w:num w:numId="35">
    <w:abstractNumId w:val="9"/>
  </w:num>
  <w:num w:numId="36">
    <w:abstractNumId w:val="4"/>
  </w:num>
  <w:num w:numId="37">
    <w:abstractNumId w:val="0"/>
  </w:num>
  <w:num w:numId="38">
    <w:abstractNumId w:val="1"/>
  </w:num>
  <w:num w:numId="39">
    <w:abstractNumId w:val="2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ivre, Josiane">
    <w15:presenceInfo w15:providerId="AD" w15:userId="S-1-5-21-1606980848-1958367476-725345543-32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542"/>
    <w:rsid w:val="000048ED"/>
    <w:rsid w:val="00022834"/>
    <w:rsid w:val="0003255C"/>
    <w:rsid w:val="00041A66"/>
    <w:rsid w:val="00046097"/>
    <w:rsid w:val="0005176E"/>
    <w:rsid w:val="000765F7"/>
    <w:rsid w:val="00077AB7"/>
    <w:rsid w:val="00081CD8"/>
    <w:rsid w:val="000A7F0E"/>
    <w:rsid w:val="000B1C8F"/>
    <w:rsid w:val="000C0D61"/>
    <w:rsid w:val="000C31D5"/>
    <w:rsid w:val="000D1031"/>
    <w:rsid w:val="000D5C59"/>
    <w:rsid w:val="000D7724"/>
    <w:rsid w:val="000E06CC"/>
    <w:rsid w:val="000E4A33"/>
    <w:rsid w:val="000F3A3F"/>
    <w:rsid w:val="000F440C"/>
    <w:rsid w:val="000F463B"/>
    <w:rsid w:val="00102557"/>
    <w:rsid w:val="00107C68"/>
    <w:rsid w:val="0011149B"/>
    <w:rsid w:val="0011444A"/>
    <w:rsid w:val="00132FB1"/>
    <w:rsid w:val="00151AD1"/>
    <w:rsid w:val="0016236E"/>
    <w:rsid w:val="00164D56"/>
    <w:rsid w:val="001666B2"/>
    <w:rsid w:val="00167B10"/>
    <w:rsid w:val="00171469"/>
    <w:rsid w:val="0017402F"/>
    <w:rsid w:val="00176EDD"/>
    <w:rsid w:val="00192922"/>
    <w:rsid w:val="00193A75"/>
    <w:rsid w:val="00196C1B"/>
    <w:rsid w:val="00197CFF"/>
    <w:rsid w:val="001A0D84"/>
    <w:rsid w:val="001B0BAE"/>
    <w:rsid w:val="001B0F73"/>
    <w:rsid w:val="001C126F"/>
    <w:rsid w:val="001C2DB7"/>
    <w:rsid w:val="001D5C04"/>
    <w:rsid w:val="001D79EF"/>
    <w:rsid w:val="001E07A1"/>
    <w:rsid w:val="001E358A"/>
    <w:rsid w:val="001E62F5"/>
    <w:rsid w:val="001E693B"/>
    <w:rsid w:val="001F26CF"/>
    <w:rsid w:val="00220EF1"/>
    <w:rsid w:val="002213BE"/>
    <w:rsid w:val="00222A2D"/>
    <w:rsid w:val="00223029"/>
    <w:rsid w:val="00234745"/>
    <w:rsid w:val="0023514B"/>
    <w:rsid w:val="002407AF"/>
    <w:rsid w:val="0025485D"/>
    <w:rsid w:val="002562D6"/>
    <w:rsid w:val="00265B1E"/>
    <w:rsid w:val="0027466B"/>
    <w:rsid w:val="002838A5"/>
    <w:rsid w:val="00284A37"/>
    <w:rsid w:val="00285BB4"/>
    <w:rsid w:val="0029152F"/>
    <w:rsid w:val="002B689B"/>
    <w:rsid w:val="002C09E3"/>
    <w:rsid w:val="002C4861"/>
    <w:rsid w:val="002E50D6"/>
    <w:rsid w:val="003002AE"/>
    <w:rsid w:val="00302BE0"/>
    <w:rsid w:val="00302C15"/>
    <w:rsid w:val="00311512"/>
    <w:rsid w:val="00330480"/>
    <w:rsid w:val="00344B58"/>
    <w:rsid w:val="0034539A"/>
    <w:rsid w:val="00345CB4"/>
    <w:rsid w:val="00357A86"/>
    <w:rsid w:val="00371E40"/>
    <w:rsid w:val="00375D42"/>
    <w:rsid w:val="00375F53"/>
    <w:rsid w:val="00377E36"/>
    <w:rsid w:val="00383967"/>
    <w:rsid w:val="00394B62"/>
    <w:rsid w:val="003D069C"/>
    <w:rsid w:val="003D6AD8"/>
    <w:rsid w:val="003D7646"/>
    <w:rsid w:val="003E0508"/>
    <w:rsid w:val="003E70D6"/>
    <w:rsid w:val="003F113A"/>
    <w:rsid w:val="003F3E63"/>
    <w:rsid w:val="00407480"/>
    <w:rsid w:val="0040763E"/>
    <w:rsid w:val="00414643"/>
    <w:rsid w:val="00431A60"/>
    <w:rsid w:val="00431B92"/>
    <w:rsid w:val="00434233"/>
    <w:rsid w:val="004421E5"/>
    <w:rsid w:val="00443556"/>
    <w:rsid w:val="00447A43"/>
    <w:rsid w:val="00452284"/>
    <w:rsid w:val="00454D21"/>
    <w:rsid w:val="00457C8E"/>
    <w:rsid w:val="0046167D"/>
    <w:rsid w:val="0046580F"/>
    <w:rsid w:val="00465A1A"/>
    <w:rsid w:val="004744BE"/>
    <w:rsid w:val="004849DB"/>
    <w:rsid w:val="004856CA"/>
    <w:rsid w:val="00487E67"/>
    <w:rsid w:val="0049705E"/>
    <w:rsid w:val="004A34A0"/>
    <w:rsid w:val="004B3644"/>
    <w:rsid w:val="004C5AD3"/>
    <w:rsid w:val="004D6B50"/>
    <w:rsid w:val="004E341F"/>
    <w:rsid w:val="004E419B"/>
    <w:rsid w:val="004F5B67"/>
    <w:rsid w:val="00500224"/>
    <w:rsid w:val="005008A8"/>
    <w:rsid w:val="0051264E"/>
    <w:rsid w:val="0051379B"/>
    <w:rsid w:val="00526B7B"/>
    <w:rsid w:val="005308CE"/>
    <w:rsid w:val="00546594"/>
    <w:rsid w:val="00556880"/>
    <w:rsid w:val="00571492"/>
    <w:rsid w:val="0057439C"/>
    <w:rsid w:val="00577521"/>
    <w:rsid w:val="00591DD3"/>
    <w:rsid w:val="0059676B"/>
    <w:rsid w:val="005A13F3"/>
    <w:rsid w:val="005A55A7"/>
    <w:rsid w:val="005A66CF"/>
    <w:rsid w:val="005B0127"/>
    <w:rsid w:val="005B7A35"/>
    <w:rsid w:val="005C4B73"/>
    <w:rsid w:val="005E1D2B"/>
    <w:rsid w:val="005E7074"/>
    <w:rsid w:val="005F2BAF"/>
    <w:rsid w:val="00600D93"/>
    <w:rsid w:val="00601315"/>
    <w:rsid w:val="00604D8F"/>
    <w:rsid w:val="00606004"/>
    <w:rsid w:val="00612046"/>
    <w:rsid w:val="006147BC"/>
    <w:rsid w:val="00624026"/>
    <w:rsid w:val="0063300C"/>
    <w:rsid w:val="00633FD7"/>
    <w:rsid w:val="00655736"/>
    <w:rsid w:val="00663B8D"/>
    <w:rsid w:val="00673D2E"/>
    <w:rsid w:val="00696C8D"/>
    <w:rsid w:val="006A2AC2"/>
    <w:rsid w:val="006A3617"/>
    <w:rsid w:val="006A7FCD"/>
    <w:rsid w:val="006C7B75"/>
    <w:rsid w:val="006D11F0"/>
    <w:rsid w:val="006E46E4"/>
    <w:rsid w:val="006E5415"/>
    <w:rsid w:val="006F7B4D"/>
    <w:rsid w:val="00717DA5"/>
    <w:rsid w:val="007253B6"/>
    <w:rsid w:val="00744484"/>
    <w:rsid w:val="00747566"/>
    <w:rsid w:val="0076446B"/>
    <w:rsid w:val="00773188"/>
    <w:rsid w:val="0078113D"/>
    <w:rsid w:val="00781419"/>
    <w:rsid w:val="00783782"/>
    <w:rsid w:val="00784B8C"/>
    <w:rsid w:val="007853CE"/>
    <w:rsid w:val="0078720D"/>
    <w:rsid w:val="007879E1"/>
    <w:rsid w:val="00790588"/>
    <w:rsid w:val="00792F70"/>
    <w:rsid w:val="007B2AC8"/>
    <w:rsid w:val="007B6A1E"/>
    <w:rsid w:val="007C5A4D"/>
    <w:rsid w:val="007D43FA"/>
    <w:rsid w:val="00800175"/>
    <w:rsid w:val="008212D0"/>
    <w:rsid w:val="00823A11"/>
    <w:rsid w:val="0085405E"/>
    <w:rsid w:val="0085414A"/>
    <w:rsid w:val="0086269D"/>
    <w:rsid w:val="00862914"/>
    <w:rsid w:val="0086543A"/>
    <w:rsid w:val="008705D7"/>
    <w:rsid w:val="008724E5"/>
    <w:rsid w:val="00884A9D"/>
    <w:rsid w:val="0088512B"/>
    <w:rsid w:val="008A2B2D"/>
    <w:rsid w:val="008A4E1E"/>
    <w:rsid w:val="008A77CD"/>
    <w:rsid w:val="008A7E88"/>
    <w:rsid w:val="008B2782"/>
    <w:rsid w:val="008C296C"/>
    <w:rsid w:val="008D4305"/>
    <w:rsid w:val="008E1A85"/>
    <w:rsid w:val="008E4F74"/>
    <w:rsid w:val="008F0692"/>
    <w:rsid w:val="009012DE"/>
    <w:rsid w:val="009163A7"/>
    <w:rsid w:val="00916EFF"/>
    <w:rsid w:val="0092642D"/>
    <w:rsid w:val="00936421"/>
    <w:rsid w:val="00943551"/>
    <w:rsid w:val="00946D0B"/>
    <w:rsid w:val="00955877"/>
    <w:rsid w:val="00961DAF"/>
    <w:rsid w:val="00964322"/>
    <w:rsid w:val="009648D3"/>
    <w:rsid w:val="009A18CD"/>
    <w:rsid w:val="009B61D5"/>
    <w:rsid w:val="009D5428"/>
    <w:rsid w:val="009F4D20"/>
    <w:rsid w:val="00A00DC9"/>
    <w:rsid w:val="00A0166E"/>
    <w:rsid w:val="00A05293"/>
    <w:rsid w:val="00A12558"/>
    <w:rsid w:val="00A12756"/>
    <w:rsid w:val="00A13903"/>
    <w:rsid w:val="00A21A8B"/>
    <w:rsid w:val="00A27E32"/>
    <w:rsid w:val="00A34ED5"/>
    <w:rsid w:val="00A37EEB"/>
    <w:rsid w:val="00A43D0E"/>
    <w:rsid w:val="00A45DBF"/>
    <w:rsid w:val="00A555C8"/>
    <w:rsid w:val="00A67BDA"/>
    <w:rsid w:val="00A755A2"/>
    <w:rsid w:val="00A84503"/>
    <w:rsid w:val="00A918C3"/>
    <w:rsid w:val="00AA6660"/>
    <w:rsid w:val="00AB2C36"/>
    <w:rsid w:val="00AB6DDE"/>
    <w:rsid w:val="00AB70B6"/>
    <w:rsid w:val="00AD1A86"/>
    <w:rsid w:val="00AE103E"/>
    <w:rsid w:val="00AE5FD1"/>
    <w:rsid w:val="00AF0A07"/>
    <w:rsid w:val="00AF2A8D"/>
    <w:rsid w:val="00AF4AEC"/>
    <w:rsid w:val="00AF625E"/>
    <w:rsid w:val="00B01FB3"/>
    <w:rsid w:val="00B056B9"/>
    <w:rsid w:val="00B12C11"/>
    <w:rsid w:val="00B26566"/>
    <w:rsid w:val="00B336B2"/>
    <w:rsid w:val="00B4668C"/>
    <w:rsid w:val="00B61D9B"/>
    <w:rsid w:val="00B70538"/>
    <w:rsid w:val="00B74F73"/>
    <w:rsid w:val="00BA153E"/>
    <w:rsid w:val="00BB02D6"/>
    <w:rsid w:val="00BB04AF"/>
    <w:rsid w:val="00BB62EC"/>
    <w:rsid w:val="00BB7797"/>
    <w:rsid w:val="00BD52C9"/>
    <w:rsid w:val="00BD5AA4"/>
    <w:rsid w:val="00BE3C36"/>
    <w:rsid w:val="00BE6354"/>
    <w:rsid w:val="00BF061F"/>
    <w:rsid w:val="00BF2B58"/>
    <w:rsid w:val="00C0195F"/>
    <w:rsid w:val="00C138D1"/>
    <w:rsid w:val="00C14C1B"/>
    <w:rsid w:val="00C23A97"/>
    <w:rsid w:val="00C50000"/>
    <w:rsid w:val="00C529AA"/>
    <w:rsid w:val="00C57622"/>
    <w:rsid w:val="00C57750"/>
    <w:rsid w:val="00C60F84"/>
    <w:rsid w:val="00C64855"/>
    <w:rsid w:val="00C70EA7"/>
    <w:rsid w:val="00C73EEF"/>
    <w:rsid w:val="00C7516E"/>
    <w:rsid w:val="00C75770"/>
    <w:rsid w:val="00C760D6"/>
    <w:rsid w:val="00C77208"/>
    <w:rsid w:val="00C8655E"/>
    <w:rsid w:val="00C9584D"/>
    <w:rsid w:val="00CA56BB"/>
    <w:rsid w:val="00CA5EE0"/>
    <w:rsid w:val="00CB0542"/>
    <w:rsid w:val="00CC5CF6"/>
    <w:rsid w:val="00CC7D3B"/>
    <w:rsid w:val="00CE6680"/>
    <w:rsid w:val="00D00B2B"/>
    <w:rsid w:val="00D21523"/>
    <w:rsid w:val="00D24877"/>
    <w:rsid w:val="00D26FBC"/>
    <w:rsid w:val="00D31F79"/>
    <w:rsid w:val="00D33F16"/>
    <w:rsid w:val="00D41884"/>
    <w:rsid w:val="00D658CD"/>
    <w:rsid w:val="00D74191"/>
    <w:rsid w:val="00D8250F"/>
    <w:rsid w:val="00D9226D"/>
    <w:rsid w:val="00D93743"/>
    <w:rsid w:val="00D95C4C"/>
    <w:rsid w:val="00DA36ED"/>
    <w:rsid w:val="00DA4BEB"/>
    <w:rsid w:val="00DA7318"/>
    <w:rsid w:val="00DB0CBC"/>
    <w:rsid w:val="00DC152C"/>
    <w:rsid w:val="00DE2573"/>
    <w:rsid w:val="00DE34F1"/>
    <w:rsid w:val="00DE6160"/>
    <w:rsid w:val="00DF4942"/>
    <w:rsid w:val="00E03DD1"/>
    <w:rsid w:val="00E0693B"/>
    <w:rsid w:val="00E244E1"/>
    <w:rsid w:val="00E246AC"/>
    <w:rsid w:val="00E252C5"/>
    <w:rsid w:val="00E27A52"/>
    <w:rsid w:val="00E42EFB"/>
    <w:rsid w:val="00E52143"/>
    <w:rsid w:val="00E53999"/>
    <w:rsid w:val="00E5664D"/>
    <w:rsid w:val="00E627B1"/>
    <w:rsid w:val="00E70169"/>
    <w:rsid w:val="00E9376C"/>
    <w:rsid w:val="00EA335E"/>
    <w:rsid w:val="00EA528C"/>
    <w:rsid w:val="00EA580C"/>
    <w:rsid w:val="00EC19CD"/>
    <w:rsid w:val="00EC6F8D"/>
    <w:rsid w:val="00ED1FFF"/>
    <w:rsid w:val="00ED3793"/>
    <w:rsid w:val="00ED7D96"/>
    <w:rsid w:val="00EE49F4"/>
    <w:rsid w:val="00EF2504"/>
    <w:rsid w:val="00EF34E2"/>
    <w:rsid w:val="00F04B2B"/>
    <w:rsid w:val="00F073F5"/>
    <w:rsid w:val="00F11FA0"/>
    <w:rsid w:val="00F129F5"/>
    <w:rsid w:val="00F15DA0"/>
    <w:rsid w:val="00F23278"/>
    <w:rsid w:val="00F303D6"/>
    <w:rsid w:val="00F30DC6"/>
    <w:rsid w:val="00F32C23"/>
    <w:rsid w:val="00F37F2A"/>
    <w:rsid w:val="00F53DE9"/>
    <w:rsid w:val="00F54386"/>
    <w:rsid w:val="00F576CB"/>
    <w:rsid w:val="00F60E4C"/>
    <w:rsid w:val="00F7035D"/>
    <w:rsid w:val="00F71A02"/>
    <w:rsid w:val="00FA0D63"/>
    <w:rsid w:val="00FA5C0F"/>
    <w:rsid w:val="00FA6D2D"/>
    <w:rsid w:val="00FC5CD3"/>
    <w:rsid w:val="00FC7015"/>
    <w:rsid w:val="00FD1226"/>
    <w:rsid w:val="00FF2342"/>
    <w:rsid w:val="00FF4830"/>
  </w:rsids>
  <m:mathPr>
    <m:mathFont m:val="Cambria Math"/>
    <m:brkBin m:val="before"/>
    <m:brkBinSub m:val="--"/>
    <m:smallFrac/>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fr-FR"/>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spacing w:after="120"/>
    </w:pPr>
    <w:rPr>
      <w:rFonts w:ascii="Arial" w:eastAsia="Times New Roman" w:hAnsi="Arial" w:cs="Arial"/>
      <w:snapToGrid w:val="0"/>
      <w:sz w:val="22"/>
      <w:szCs w:val="22"/>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rPr>
  </w:style>
  <w:style w:type="paragraph" w:styleId="ListParagraph">
    <w:name w:val="List Paragraph"/>
    <w:basedOn w:val="Normal"/>
    <w:uiPriority w:val="34"/>
    <w:qFormat/>
    <w:rsid w:val="00DC152C"/>
    <w:pPr>
      <w:ind w:left="720"/>
      <w:contextualSpacing/>
    </w:pPr>
    <w:rPr>
      <w:rFonts w:eastAsia="SimSun"/>
    </w:rPr>
  </w:style>
  <w:style w:type="paragraph" w:customStyle="1" w:styleId="Paragraph1WorkingDocument123">
    <w:name w:val="Paragraph 1: Working Document 1.2.3..."/>
    <w:basedOn w:val="Normal"/>
    <w:qFormat/>
    <w:rsid w:val="00DC152C"/>
    <w:pPr>
      <w:numPr>
        <w:ilvl w:val="4"/>
        <w:numId w:val="14"/>
      </w:numPr>
      <w:spacing w:before="120" w:after="120"/>
      <w:jc w:val="both"/>
      <w:outlineLvl w:val="4"/>
    </w:pPr>
    <w:rPr>
      <w:rFonts w:ascii="Arial" w:hAnsi="Arial"/>
      <w:bCs/>
      <w:color w:val="000000"/>
      <w:kern w:val="18"/>
      <w:sz w:val="22"/>
      <w:szCs w:val="22"/>
    </w:rPr>
  </w:style>
  <w:style w:type="paragraph" w:customStyle="1" w:styleId="Paragraph2WorkingDocumentab">
    <w:name w:val="Paragraph 2: Working Document a) b)"/>
    <w:basedOn w:val="Paragraph1WorkingDocument123"/>
    <w:qFormat/>
    <w:rsid w:val="00DC152C"/>
    <w:pPr>
      <w:numPr>
        <w:ilvl w:val="5"/>
      </w:numPr>
      <w:outlineLvl w:val="5"/>
    </w:pPr>
  </w:style>
  <w:style w:type="paragraph" w:customStyle="1" w:styleId="Paragraph3WorkingDocumentiiiiii">
    <w:name w:val="Paragraph 3: Working Document i) ii) iii)..."/>
    <w:basedOn w:val="Paragraph1WorkingDocument123"/>
    <w:qFormat/>
    <w:rsid w:val="00DC152C"/>
    <w:pPr>
      <w:numPr>
        <w:ilvl w:val="6"/>
      </w:numPr>
      <w:outlineLvl w:val="6"/>
    </w:pPr>
  </w:style>
  <w:style w:type="character" w:styleId="Hyperlink">
    <w:name w:val="Hyperlink"/>
    <w:uiPriority w:val="99"/>
    <w:unhideWhenUsed/>
    <w:rsid w:val="00C60F84"/>
    <w:rPr>
      <w:color w:val="0000FF"/>
      <w:u w:val="single"/>
    </w:rPr>
  </w:style>
  <w:style w:type="paragraph" w:customStyle="1" w:styleId="Default">
    <w:name w:val="Default"/>
    <w:rsid w:val="0080017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284A37"/>
    <w:rPr>
      <w:sz w:val="16"/>
      <w:szCs w:val="16"/>
    </w:rPr>
  </w:style>
  <w:style w:type="paragraph" w:customStyle="1" w:styleId="GAPreambulaResolution">
    <w:name w:val="GA Preambula Resolution"/>
    <w:basedOn w:val="Normal"/>
    <w:qFormat/>
    <w:rsid w:val="001B0BAE"/>
    <w:pPr>
      <w:keepNext/>
      <w:spacing w:after="120"/>
      <w:ind w:left="567"/>
      <w:jc w:val="both"/>
    </w:pPr>
    <w:rPr>
      <w:rFonts w:ascii="Arial" w:hAnsi="Arial" w:cs="Arial"/>
      <w:sz w:val="22"/>
      <w:szCs w:val="22"/>
    </w:rPr>
  </w:style>
  <w:style w:type="paragraph" w:styleId="FootnoteText">
    <w:name w:val="footnote text"/>
    <w:basedOn w:val="Normal"/>
    <w:link w:val="FootnoteTextChar"/>
    <w:uiPriority w:val="99"/>
    <w:semiHidden/>
    <w:unhideWhenUsed/>
    <w:rsid w:val="000E4A33"/>
    <w:rPr>
      <w:sz w:val="20"/>
      <w:szCs w:val="20"/>
    </w:rPr>
  </w:style>
  <w:style w:type="character" w:customStyle="1" w:styleId="FootnoteTextChar">
    <w:name w:val="Footnote Text Char"/>
    <w:basedOn w:val="DefaultParagraphFont"/>
    <w:link w:val="FootnoteText"/>
    <w:uiPriority w:val="99"/>
    <w:semiHidden/>
    <w:rsid w:val="000E4A33"/>
    <w:rPr>
      <w:rFonts w:ascii="Times New Roman" w:eastAsia="Times New Roman" w:hAnsi="Times New Roman"/>
    </w:rPr>
  </w:style>
  <w:style w:type="character" w:styleId="FootnoteReference">
    <w:name w:val="footnote reference"/>
    <w:basedOn w:val="DefaultParagraphFont"/>
    <w:uiPriority w:val="99"/>
    <w:semiHidden/>
    <w:unhideWhenUsed/>
    <w:rsid w:val="000E4A33"/>
    <w:rPr>
      <w:vertAlign w:val="superscript"/>
    </w:rPr>
  </w:style>
  <w:style w:type="character" w:styleId="FollowedHyperlink">
    <w:name w:val="FollowedHyperlink"/>
    <w:basedOn w:val="DefaultParagraphFont"/>
    <w:uiPriority w:val="99"/>
    <w:semiHidden/>
    <w:unhideWhenUsed/>
    <w:rsid w:val="002C4861"/>
    <w:rPr>
      <w:color w:val="800080" w:themeColor="followedHyperlink"/>
      <w:u w:val="single"/>
    </w:rPr>
  </w:style>
  <w:style w:type="paragraph" w:styleId="CommentText">
    <w:name w:val="annotation text"/>
    <w:basedOn w:val="Normal"/>
    <w:link w:val="CommentTextChar"/>
    <w:uiPriority w:val="99"/>
    <w:semiHidden/>
    <w:unhideWhenUsed/>
    <w:rsid w:val="008B2782"/>
  </w:style>
  <w:style w:type="character" w:customStyle="1" w:styleId="CommentTextChar">
    <w:name w:val="Comment Text Char"/>
    <w:basedOn w:val="DefaultParagraphFont"/>
    <w:link w:val="CommentText"/>
    <w:uiPriority w:val="99"/>
    <w:semiHidden/>
    <w:rsid w:val="008B2782"/>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B2782"/>
    <w:rPr>
      <w:b/>
      <w:bCs/>
      <w:sz w:val="20"/>
      <w:szCs w:val="20"/>
    </w:rPr>
  </w:style>
  <w:style w:type="character" w:customStyle="1" w:styleId="CommentSubjectChar">
    <w:name w:val="Comment Subject Char"/>
    <w:basedOn w:val="CommentTextChar"/>
    <w:link w:val="CommentSubject"/>
    <w:uiPriority w:val="99"/>
    <w:semiHidden/>
    <w:rsid w:val="008B2782"/>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fr-FR"/>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spacing w:after="120"/>
    </w:pPr>
    <w:rPr>
      <w:rFonts w:ascii="Arial" w:eastAsia="Times New Roman" w:hAnsi="Arial" w:cs="Arial"/>
      <w:snapToGrid w:val="0"/>
      <w:sz w:val="22"/>
      <w:szCs w:val="22"/>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rPr>
  </w:style>
  <w:style w:type="paragraph" w:styleId="ListParagraph">
    <w:name w:val="List Paragraph"/>
    <w:basedOn w:val="Normal"/>
    <w:uiPriority w:val="34"/>
    <w:qFormat/>
    <w:rsid w:val="00DC152C"/>
    <w:pPr>
      <w:ind w:left="720"/>
      <w:contextualSpacing/>
    </w:pPr>
    <w:rPr>
      <w:rFonts w:eastAsia="SimSun"/>
    </w:rPr>
  </w:style>
  <w:style w:type="paragraph" w:customStyle="1" w:styleId="Paragraph1WorkingDocument123">
    <w:name w:val="Paragraph 1: Working Document 1.2.3..."/>
    <w:basedOn w:val="Normal"/>
    <w:qFormat/>
    <w:rsid w:val="00DC152C"/>
    <w:pPr>
      <w:numPr>
        <w:ilvl w:val="4"/>
        <w:numId w:val="14"/>
      </w:numPr>
      <w:spacing w:before="120" w:after="120"/>
      <w:jc w:val="both"/>
      <w:outlineLvl w:val="4"/>
    </w:pPr>
    <w:rPr>
      <w:rFonts w:ascii="Arial" w:hAnsi="Arial"/>
      <w:bCs/>
      <w:color w:val="000000"/>
      <w:kern w:val="18"/>
      <w:sz w:val="22"/>
      <w:szCs w:val="22"/>
    </w:rPr>
  </w:style>
  <w:style w:type="paragraph" w:customStyle="1" w:styleId="Paragraph2WorkingDocumentab">
    <w:name w:val="Paragraph 2: Working Document a) b)"/>
    <w:basedOn w:val="Paragraph1WorkingDocument123"/>
    <w:qFormat/>
    <w:rsid w:val="00DC152C"/>
    <w:pPr>
      <w:numPr>
        <w:ilvl w:val="5"/>
      </w:numPr>
      <w:outlineLvl w:val="5"/>
    </w:pPr>
  </w:style>
  <w:style w:type="paragraph" w:customStyle="1" w:styleId="Paragraph3WorkingDocumentiiiiii">
    <w:name w:val="Paragraph 3: Working Document i) ii) iii)..."/>
    <w:basedOn w:val="Paragraph1WorkingDocument123"/>
    <w:qFormat/>
    <w:rsid w:val="00DC152C"/>
    <w:pPr>
      <w:numPr>
        <w:ilvl w:val="6"/>
      </w:numPr>
      <w:outlineLvl w:val="6"/>
    </w:pPr>
  </w:style>
  <w:style w:type="character" w:styleId="Hyperlink">
    <w:name w:val="Hyperlink"/>
    <w:uiPriority w:val="99"/>
    <w:unhideWhenUsed/>
    <w:rsid w:val="00C60F84"/>
    <w:rPr>
      <w:color w:val="0000FF"/>
      <w:u w:val="single"/>
    </w:rPr>
  </w:style>
  <w:style w:type="paragraph" w:customStyle="1" w:styleId="Default">
    <w:name w:val="Default"/>
    <w:rsid w:val="0080017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284A37"/>
    <w:rPr>
      <w:sz w:val="16"/>
      <w:szCs w:val="16"/>
    </w:rPr>
  </w:style>
  <w:style w:type="paragraph" w:customStyle="1" w:styleId="GAPreambulaResolution">
    <w:name w:val="GA Preambula Resolution"/>
    <w:basedOn w:val="Normal"/>
    <w:qFormat/>
    <w:rsid w:val="001B0BAE"/>
    <w:pPr>
      <w:keepNext/>
      <w:spacing w:after="120"/>
      <w:ind w:left="567"/>
      <w:jc w:val="both"/>
    </w:pPr>
    <w:rPr>
      <w:rFonts w:ascii="Arial" w:hAnsi="Arial" w:cs="Arial"/>
      <w:sz w:val="22"/>
      <w:szCs w:val="22"/>
    </w:rPr>
  </w:style>
  <w:style w:type="paragraph" w:styleId="FootnoteText">
    <w:name w:val="footnote text"/>
    <w:basedOn w:val="Normal"/>
    <w:link w:val="FootnoteTextChar"/>
    <w:uiPriority w:val="99"/>
    <w:semiHidden/>
    <w:unhideWhenUsed/>
    <w:rsid w:val="000E4A33"/>
    <w:rPr>
      <w:sz w:val="20"/>
      <w:szCs w:val="20"/>
    </w:rPr>
  </w:style>
  <w:style w:type="character" w:customStyle="1" w:styleId="FootnoteTextChar">
    <w:name w:val="Footnote Text Char"/>
    <w:basedOn w:val="DefaultParagraphFont"/>
    <w:link w:val="FootnoteText"/>
    <w:uiPriority w:val="99"/>
    <w:semiHidden/>
    <w:rsid w:val="000E4A33"/>
    <w:rPr>
      <w:rFonts w:ascii="Times New Roman" w:eastAsia="Times New Roman" w:hAnsi="Times New Roman"/>
    </w:rPr>
  </w:style>
  <w:style w:type="character" w:styleId="FootnoteReference">
    <w:name w:val="footnote reference"/>
    <w:basedOn w:val="DefaultParagraphFont"/>
    <w:uiPriority w:val="99"/>
    <w:semiHidden/>
    <w:unhideWhenUsed/>
    <w:rsid w:val="000E4A33"/>
    <w:rPr>
      <w:vertAlign w:val="superscript"/>
    </w:rPr>
  </w:style>
  <w:style w:type="character" w:styleId="FollowedHyperlink">
    <w:name w:val="FollowedHyperlink"/>
    <w:basedOn w:val="DefaultParagraphFont"/>
    <w:uiPriority w:val="99"/>
    <w:semiHidden/>
    <w:unhideWhenUsed/>
    <w:rsid w:val="002C4861"/>
    <w:rPr>
      <w:color w:val="800080" w:themeColor="followedHyperlink"/>
      <w:u w:val="single"/>
    </w:rPr>
  </w:style>
  <w:style w:type="paragraph" w:styleId="CommentText">
    <w:name w:val="annotation text"/>
    <w:basedOn w:val="Normal"/>
    <w:link w:val="CommentTextChar"/>
    <w:uiPriority w:val="99"/>
    <w:semiHidden/>
    <w:unhideWhenUsed/>
    <w:rsid w:val="008B2782"/>
  </w:style>
  <w:style w:type="character" w:customStyle="1" w:styleId="CommentTextChar">
    <w:name w:val="Comment Text Char"/>
    <w:basedOn w:val="DefaultParagraphFont"/>
    <w:link w:val="CommentText"/>
    <w:uiPriority w:val="99"/>
    <w:semiHidden/>
    <w:rsid w:val="008B2782"/>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B2782"/>
    <w:rPr>
      <w:b/>
      <w:bCs/>
      <w:sz w:val="20"/>
      <w:szCs w:val="20"/>
    </w:rPr>
  </w:style>
  <w:style w:type="character" w:customStyle="1" w:styleId="CommentSubjectChar">
    <w:name w:val="Comment Subject Char"/>
    <w:basedOn w:val="CommentTextChar"/>
    <w:link w:val="CommentSubject"/>
    <w:uiPriority w:val="99"/>
    <w:semiHidden/>
    <w:rsid w:val="008B2782"/>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nesco.org/culture/ich/fr/Decisions/8.COM/5.c.1" TargetMode="External"/><Relationship Id="rId18" Type="http://schemas.openxmlformats.org/officeDocument/2006/relationships/hyperlink" Target="http://www.unesco.org/culture/ich/fr/Resolutions/6.GA/1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unesco.org/culture/ich/fr/Decisions/9.COM/13.g"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unesdoc.unesco.org/images/0023/002352/235207f.pdf" TargetMode="External"/><Relationship Id="rId17" Type="http://schemas.openxmlformats.org/officeDocument/2006/relationships/hyperlink" Target="http://www.unesco.org/culture/ich/fr/Resolutions/5.GA/4.1"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nesco.org/culture/ich/fr/Decisions/10.COM/15.c" TargetMode="External"/><Relationship Id="rId20" Type="http://schemas.openxmlformats.org/officeDocument/2006/relationships/hyperlink" Target="http://www.unesco.org/culture/ich/fr/Decisions/8.COM/5.c.2" TargetMode="External"/><Relationship Id="rId29" Type="http://schemas.openxmlformats.org/officeDocument/2006/relationships/hyperlink" Target="http://www.unesco.org/culture/ich/fr/Resolutions/6.GA/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nesdoc.unesco.org/images/0023/002352/235207f.pdf" TargetMode="External"/><Relationship Id="rId24" Type="http://schemas.openxmlformats.org/officeDocument/2006/relationships/hyperlink" Target="http://www.unesco.org/culture/ich/fr/Resolutions/6.GA/11" TargetMode="External"/><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www.unesco.org/culture/ich/fr/Decisions/9.COM/13.g" TargetMode="External"/><Relationship Id="rId23" Type="http://schemas.openxmlformats.org/officeDocument/2006/relationships/hyperlink" Target="http://www.unesco.org/culture/ich/fr/Resolutions/6.GA/7" TargetMode="External"/><Relationship Id="rId28" Type="http://schemas.openxmlformats.org/officeDocument/2006/relationships/hyperlink" Target="http://www.unesco.org/culture/ich/fr/Decisions/9.COM/13.g" TargetMode="External"/><Relationship Id="rId10" Type="http://schemas.openxmlformats.org/officeDocument/2006/relationships/hyperlink" Target="http://unesdoc.unesco.org/images/0023/002352/235207f.pdf" TargetMode="External"/><Relationship Id="rId19" Type="http://schemas.openxmlformats.org/officeDocument/2006/relationships/hyperlink" Target="http://www.unesco.org/culture/ich/fr/Decisions/8.COM/5.c.1" TargetMode="External"/><Relationship Id="rId31" Type="http://schemas.openxmlformats.org/officeDocument/2006/relationships/hyperlink" Target="http://www.unesco.org/culture/ich/fr/Resolutions/6.GA/11" TargetMode="External"/><Relationship Id="rId4" Type="http://schemas.microsoft.com/office/2007/relationships/stylesWithEffects" Target="stylesWithEffects.xml"/><Relationship Id="rId9" Type="http://schemas.openxmlformats.org/officeDocument/2006/relationships/hyperlink" Target="http://www.unesco.org/culture/ich/doc/src/ITH-14-9.COM-8-FR.doc" TargetMode="External"/><Relationship Id="rId14" Type="http://schemas.openxmlformats.org/officeDocument/2006/relationships/hyperlink" Target="http://www.unesco.org/culture/ich/fr/Decisions/8.COM/5.c.2" TargetMode="External"/><Relationship Id="rId22" Type="http://schemas.openxmlformats.org/officeDocument/2006/relationships/hyperlink" Target="http://www.unesco.org/culture/ich/fr/Decisions/10.COM/15.c" TargetMode="External"/><Relationship Id="rId27" Type="http://schemas.openxmlformats.org/officeDocument/2006/relationships/header" Target="header3.xml"/><Relationship Id="rId30" Type="http://schemas.openxmlformats.org/officeDocument/2006/relationships/hyperlink" Target="http://www.unesco.org/culture/ich/fr/Resolutions/6.GA/7" TargetMode="External"/><Relationship Id="rId35" Type="http://schemas.microsoft.com/office/2011/relationships/people" Target="peop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unesco.org/new/fr/general-conference-38th/working-group-on-governanc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0F478-6723-4F9D-B2C3-337CA9544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189</TotalTime>
  <Pages>9</Pages>
  <Words>3363</Words>
  <Characters>20087</Characters>
  <Application>Microsoft Office Word</Application>
  <DocSecurity>0</DocSecurity>
  <Lines>167</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Delsol, Christine</dc:creator>
  <cp:lastModifiedBy>Shin, Eunkyung</cp:lastModifiedBy>
  <cp:revision>16</cp:revision>
  <cp:lastPrinted>2016-09-19T06:53:00Z</cp:lastPrinted>
  <dcterms:created xsi:type="dcterms:W3CDTF">2016-10-24T13:54:00Z</dcterms:created>
  <dcterms:modified xsi:type="dcterms:W3CDTF">2016-10-27T17:05:00Z</dcterms:modified>
</cp:coreProperties>
</file>