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31973" w14:textId="473A75F3" w:rsidR="00E4008F" w:rsidRPr="00E4008F" w:rsidRDefault="00E4008F" w:rsidP="00E4008F">
      <w:pPr>
        <w:spacing w:before="1440"/>
        <w:jc w:val="center"/>
        <w:rPr>
          <w:rFonts w:ascii="Arial" w:hAnsi="Arial" w:cs="Arial"/>
          <w:b/>
          <w:sz w:val="22"/>
          <w:szCs w:val="22"/>
        </w:rPr>
      </w:pPr>
      <w:r w:rsidRPr="00E4008F">
        <w:rPr>
          <w:rFonts w:ascii="Arial" w:hAnsi="Arial"/>
          <w:b/>
          <w:sz w:val="22"/>
        </w:rPr>
        <w:t>CONVENTION POUR LA SAUVEGARDE DU</w:t>
      </w:r>
      <w:r w:rsidRPr="00E4008F">
        <w:br/>
      </w:r>
      <w:r w:rsidRPr="00E4008F">
        <w:rPr>
          <w:rFonts w:ascii="Arial" w:hAnsi="Arial"/>
          <w:b/>
          <w:sz w:val="22"/>
        </w:rPr>
        <w:t>PATRIMOINE CULTUREL IMMATÉRIEL</w:t>
      </w:r>
    </w:p>
    <w:p w14:paraId="52C41509" w14:textId="77777777" w:rsidR="00EC6F8D" w:rsidRPr="00E4008F" w:rsidRDefault="00E4008F" w:rsidP="00E4008F">
      <w:pPr>
        <w:spacing w:before="1200"/>
        <w:jc w:val="center"/>
        <w:rPr>
          <w:rFonts w:ascii="Arial" w:hAnsi="Arial" w:cs="Arial"/>
          <w:b/>
          <w:sz w:val="22"/>
          <w:szCs w:val="22"/>
        </w:rPr>
      </w:pPr>
      <w:r w:rsidRPr="00E4008F">
        <w:rPr>
          <w:rFonts w:ascii="Arial" w:eastAsia="SimSun" w:hAnsi="Arial" w:cs="Arial"/>
          <w:b/>
          <w:sz w:val="22"/>
          <w:szCs w:val="22"/>
        </w:rPr>
        <w:t>COMITÉ INTERGOUVERNEMENTAL DE SAUVEGARDE</w:t>
      </w:r>
      <w:r w:rsidRPr="00E4008F">
        <w:rPr>
          <w:rFonts w:ascii="Arial" w:eastAsia="SimSun" w:hAnsi="Arial" w:cs="Arial"/>
          <w:b/>
          <w:sz w:val="22"/>
          <w:szCs w:val="22"/>
        </w:rPr>
        <w:br/>
        <w:t>DU PATRIMOINE CULTUREL IMMATÉRIEL</w:t>
      </w:r>
    </w:p>
    <w:p w14:paraId="4767E651" w14:textId="77777777" w:rsidR="00EC6F8D" w:rsidRPr="00E4008F" w:rsidRDefault="00E4008F" w:rsidP="00EC6F8D">
      <w:pPr>
        <w:spacing w:before="840"/>
        <w:jc w:val="center"/>
        <w:rPr>
          <w:rFonts w:ascii="Arial" w:hAnsi="Arial" w:cs="Arial"/>
          <w:b/>
          <w:sz w:val="22"/>
          <w:szCs w:val="22"/>
        </w:rPr>
      </w:pPr>
      <w:r w:rsidRPr="00E4008F">
        <w:rPr>
          <w:rFonts w:ascii="Arial" w:hAnsi="Arial" w:cs="Arial"/>
          <w:b/>
          <w:sz w:val="22"/>
          <w:szCs w:val="22"/>
        </w:rPr>
        <w:t>Onzième session</w:t>
      </w:r>
    </w:p>
    <w:p w14:paraId="77FB886A" w14:textId="2A27CD3E" w:rsidR="009D5428" w:rsidRPr="00F43449" w:rsidRDefault="007D6D65" w:rsidP="005E7074">
      <w:pPr>
        <w:jc w:val="center"/>
        <w:rPr>
          <w:rFonts w:ascii="Arial" w:eastAsia="Malgun Gothic" w:hAnsi="Arial" w:cs="Arial"/>
          <w:b/>
          <w:sz w:val="22"/>
          <w:szCs w:val="22"/>
          <w:lang w:eastAsia="ko-KR"/>
        </w:rPr>
      </w:pPr>
      <w:r>
        <w:rPr>
          <w:rFonts w:ascii="Arial" w:hAnsi="Arial" w:cs="Arial"/>
          <w:b/>
          <w:sz w:val="22"/>
          <w:szCs w:val="22"/>
        </w:rPr>
        <w:t>Addis-</w:t>
      </w:r>
      <w:r w:rsidR="007C2855">
        <w:rPr>
          <w:rFonts w:ascii="Arial" w:hAnsi="Arial" w:cs="Arial"/>
          <w:b/>
          <w:sz w:val="22"/>
          <w:szCs w:val="22"/>
        </w:rPr>
        <w:t>Abe</w:t>
      </w:r>
      <w:r w:rsidR="00F43449">
        <w:rPr>
          <w:rFonts w:ascii="Arial" w:hAnsi="Arial" w:cs="Arial"/>
          <w:b/>
          <w:sz w:val="22"/>
          <w:szCs w:val="22"/>
        </w:rPr>
        <w:t>ba, Éthiopie</w:t>
      </w:r>
    </w:p>
    <w:p w14:paraId="07AD464B" w14:textId="5C878159" w:rsidR="00EC6F8D" w:rsidRPr="00E4008F" w:rsidRDefault="00CB0542" w:rsidP="00EC6F8D">
      <w:pPr>
        <w:jc w:val="center"/>
        <w:rPr>
          <w:rFonts w:ascii="Arial" w:hAnsi="Arial" w:cs="Arial"/>
          <w:b/>
          <w:sz w:val="22"/>
          <w:szCs w:val="22"/>
        </w:rPr>
      </w:pPr>
      <w:r w:rsidRPr="00E4008F">
        <w:rPr>
          <w:rFonts w:ascii="Arial" w:hAnsi="Arial" w:cs="Arial"/>
          <w:b/>
          <w:sz w:val="22"/>
          <w:szCs w:val="22"/>
        </w:rPr>
        <w:t>28</w:t>
      </w:r>
      <w:r w:rsidR="00393C90">
        <w:rPr>
          <w:rFonts w:ascii="Arial" w:hAnsi="Arial" w:cs="Arial"/>
          <w:b/>
          <w:sz w:val="22"/>
          <w:szCs w:val="22"/>
        </w:rPr>
        <w:t xml:space="preserve"> novembre </w:t>
      </w:r>
      <w:r w:rsidR="001B6057">
        <w:rPr>
          <w:rFonts w:ascii="Arial" w:hAnsi="Arial" w:cs="Arial"/>
          <w:b/>
          <w:sz w:val="22"/>
          <w:szCs w:val="22"/>
        </w:rPr>
        <w:t>–</w:t>
      </w:r>
      <w:r w:rsidR="00393C90">
        <w:rPr>
          <w:rFonts w:ascii="Arial" w:hAnsi="Arial" w:cs="Arial"/>
          <w:b/>
          <w:sz w:val="22"/>
          <w:szCs w:val="22"/>
        </w:rPr>
        <w:t xml:space="preserve"> </w:t>
      </w:r>
      <w:r w:rsidR="00E4008F" w:rsidRPr="00E4008F">
        <w:rPr>
          <w:rFonts w:ascii="Arial" w:hAnsi="Arial" w:cs="Arial"/>
          <w:b/>
          <w:sz w:val="22"/>
          <w:szCs w:val="22"/>
        </w:rPr>
        <w:t>2</w:t>
      </w:r>
      <w:r w:rsidR="001B6057">
        <w:rPr>
          <w:rFonts w:ascii="Arial" w:eastAsia="Malgun Gothic" w:hAnsi="Arial" w:cs="Arial" w:hint="eastAsia"/>
          <w:b/>
          <w:sz w:val="22"/>
          <w:szCs w:val="22"/>
          <w:lang w:eastAsia="ko-KR"/>
        </w:rPr>
        <w:t xml:space="preserve"> </w:t>
      </w:r>
      <w:r w:rsidR="00E4008F" w:rsidRPr="00E4008F">
        <w:rPr>
          <w:rFonts w:ascii="Arial" w:hAnsi="Arial" w:cs="Arial"/>
          <w:b/>
          <w:sz w:val="22"/>
          <w:szCs w:val="22"/>
        </w:rPr>
        <w:t>décembre</w:t>
      </w:r>
      <w:r w:rsidRPr="00E4008F">
        <w:rPr>
          <w:rFonts w:ascii="Arial" w:hAnsi="Arial" w:cs="Arial"/>
          <w:b/>
          <w:sz w:val="22"/>
          <w:szCs w:val="22"/>
        </w:rPr>
        <w:t xml:space="preserve"> 2016</w:t>
      </w:r>
    </w:p>
    <w:p w14:paraId="1D6E616C" w14:textId="77777777" w:rsidR="00EC6F8D" w:rsidRPr="00E4008F" w:rsidRDefault="00E4008F" w:rsidP="00EC6F8D">
      <w:pPr>
        <w:pStyle w:val="Sansinterligne2"/>
        <w:spacing w:before="1200"/>
        <w:jc w:val="center"/>
        <w:rPr>
          <w:rFonts w:ascii="Arial" w:hAnsi="Arial" w:cs="Arial"/>
          <w:b/>
          <w:sz w:val="22"/>
          <w:szCs w:val="22"/>
        </w:rPr>
      </w:pPr>
      <w:r>
        <w:rPr>
          <w:rFonts w:ascii="Arial" w:hAnsi="Arial" w:cs="Arial"/>
          <w:b/>
          <w:sz w:val="22"/>
          <w:szCs w:val="22"/>
          <w:u w:val="single"/>
        </w:rPr>
        <w:t>Point 9.a de l’</w:t>
      </w:r>
      <w:r w:rsidRPr="00E4008F">
        <w:rPr>
          <w:rFonts w:ascii="Arial" w:hAnsi="Arial" w:cs="Arial"/>
          <w:b/>
          <w:sz w:val="22"/>
          <w:szCs w:val="22"/>
          <w:u w:val="single"/>
        </w:rPr>
        <w:t>ordre du jour</w:t>
      </w:r>
      <w:r>
        <w:rPr>
          <w:rFonts w:ascii="Arial" w:hAnsi="Arial" w:cs="Arial"/>
          <w:b/>
          <w:sz w:val="22"/>
          <w:szCs w:val="22"/>
          <w:u w:val="single"/>
        </w:rPr>
        <w:t xml:space="preserve"> provisoire</w:t>
      </w:r>
      <w:r w:rsidRPr="00D4732D">
        <w:rPr>
          <w:rFonts w:ascii="Arial" w:hAnsi="Arial" w:cs="Arial"/>
          <w:b/>
          <w:sz w:val="22"/>
          <w:szCs w:val="22"/>
        </w:rPr>
        <w:t xml:space="preserve"> </w:t>
      </w:r>
      <w:r w:rsidR="00EC6F8D" w:rsidRPr="00E4008F">
        <w:rPr>
          <w:rFonts w:ascii="Arial" w:hAnsi="Arial" w:cs="Arial"/>
          <w:b/>
          <w:sz w:val="22"/>
          <w:szCs w:val="22"/>
        </w:rPr>
        <w:t>:</w:t>
      </w:r>
    </w:p>
    <w:p w14:paraId="2E9C2C39" w14:textId="16CDAD4E" w:rsidR="00EC6F8D" w:rsidRPr="00E4008F" w:rsidRDefault="00FB2680" w:rsidP="00FB2680">
      <w:pPr>
        <w:pStyle w:val="Sansinterligne2"/>
        <w:spacing w:after="1200"/>
        <w:jc w:val="center"/>
        <w:rPr>
          <w:rFonts w:ascii="Arial" w:hAnsi="Arial" w:cs="Arial"/>
          <w:b/>
          <w:sz w:val="22"/>
          <w:szCs w:val="22"/>
        </w:rPr>
      </w:pPr>
      <w:r>
        <w:rPr>
          <w:rFonts w:ascii="Arial" w:hAnsi="Arial" w:cs="Arial"/>
          <w:b/>
          <w:sz w:val="22"/>
          <w:szCs w:val="22"/>
        </w:rPr>
        <w:t xml:space="preserve">Examen des rapports des États parties sur la mise en œuvre de la </w:t>
      </w:r>
      <w:r w:rsidRPr="00FB2680">
        <w:rPr>
          <w:rFonts w:ascii="Arial" w:hAnsi="Arial" w:cs="Arial"/>
          <w:b/>
          <w:sz w:val="22"/>
          <w:szCs w:val="22"/>
        </w:rPr>
        <w:t>Convention</w:t>
      </w:r>
      <w:r>
        <w:rPr>
          <w:rFonts w:ascii="Arial" w:hAnsi="Arial" w:cs="Arial"/>
          <w:b/>
          <w:sz w:val="22"/>
          <w:szCs w:val="22"/>
        </w:rPr>
        <w:br/>
        <w:t xml:space="preserve">et </w:t>
      </w:r>
      <w:bookmarkStart w:id="0" w:name="_GoBack"/>
      <w:bookmarkEnd w:id="0"/>
      <w:r>
        <w:rPr>
          <w:rFonts w:ascii="Arial" w:hAnsi="Arial" w:cs="Arial"/>
          <w:b/>
          <w:sz w:val="22"/>
          <w:szCs w:val="22"/>
        </w:rPr>
        <w:t>l’état ac</w:t>
      </w:r>
      <w:r w:rsidR="00F43449">
        <w:rPr>
          <w:rFonts w:ascii="Arial" w:hAnsi="Arial" w:cs="Arial"/>
          <w:b/>
          <w:sz w:val="22"/>
          <w:szCs w:val="22"/>
        </w:rPr>
        <w:t>tuel d’éléments inscrits sur la</w:t>
      </w:r>
      <w:r>
        <w:rPr>
          <w:rFonts w:ascii="Arial" w:hAnsi="Arial" w:cs="Arial"/>
          <w:b/>
          <w:sz w:val="22"/>
          <w:szCs w:val="22"/>
        </w:rPr>
        <w:br/>
        <w:t>Liste représentative du patrimoine culturel immatériel de l’humanité</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5"/>
      </w:tblGrid>
      <w:tr w:rsidR="00EC6F8D" w:rsidRPr="00EE49F4" w14:paraId="3338EAE8" w14:textId="77777777" w:rsidTr="00866B14">
        <w:trPr>
          <w:jc w:val="center"/>
        </w:trPr>
        <w:tc>
          <w:tcPr>
            <w:tcW w:w="8585" w:type="dxa"/>
            <w:vAlign w:val="center"/>
          </w:tcPr>
          <w:p w14:paraId="38596531" w14:textId="1D56C1D4" w:rsidR="00EC6F8D" w:rsidRPr="009863FE" w:rsidRDefault="009863FE" w:rsidP="00CA56BB">
            <w:pPr>
              <w:pStyle w:val="Sansinterligne1"/>
              <w:spacing w:before="200" w:after="200"/>
              <w:jc w:val="center"/>
              <w:rPr>
                <w:rFonts w:ascii="Arial" w:hAnsi="Arial" w:cs="Arial"/>
                <w:b/>
                <w:sz w:val="22"/>
                <w:szCs w:val="22"/>
              </w:rPr>
            </w:pPr>
            <w:r w:rsidRPr="009863FE">
              <w:rPr>
                <w:rFonts w:ascii="Arial" w:hAnsi="Arial" w:cs="Arial"/>
                <w:b/>
                <w:sz w:val="22"/>
                <w:szCs w:val="22"/>
              </w:rPr>
              <w:t>Résumé</w:t>
            </w:r>
          </w:p>
          <w:p w14:paraId="5F3F601A" w14:textId="2E6B8904" w:rsidR="009863FE" w:rsidRPr="00F43449" w:rsidRDefault="009863FE" w:rsidP="008A074E">
            <w:pPr>
              <w:pStyle w:val="Sansinterligne2"/>
              <w:spacing w:before="200" w:after="200"/>
              <w:jc w:val="both"/>
              <w:rPr>
                <w:rFonts w:ascii="Arial" w:eastAsia="Malgun Gothic" w:hAnsi="Arial" w:cs="Arial"/>
                <w:sz w:val="22"/>
                <w:szCs w:val="22"/>
                <w:lang w:eastAsia="ko-KR"/>
              </w:rPr>
            </w:pPr>
            <w:r w:rsidRPr="009863FE">
              <w:rPr>
                <w:rFonts w:ascii="Arial" w:hAnsi="Arial" w:cs="Arial"/>
                <w:sz w:val="22"/>
                <w:szCs w:val="22"/>
              </w:rPr>
              <w:t xml:space="preserve">Ce document </w:t>
            </w:r>
            <w:r>
              <w:rPr>
                <w:rFonts w:ascii="Arial" w:hAnsi="Arial" w:cs="Arial"/>
                <w:sz w:val="22"/>
                <w:szCs w:val="22"/>
              </w:rPr>
              <w:t xml:space="preserve">concerne les rapports périodiques soumis par les États parties dans le cadre du cycle de rapports 2016 sur la mise en œuvre de la </w:t>
            </w:r>
            <w:r w:rsidRPr="009863FE">
              <w:rPr>
                <w:rFonts w:ascii="Arial" w:hAnsi="Arial" w:cs="Arial"/>
                <w:sz w:val="22"/>
                <w:szCs w:val="22"/>
              </w:rPr>
              <w:t>Convention</w:t>
            </w:r>
            <w:r>
              <w:rPr>
                <w:rFonts w:ascii="Arial" w:hAnsi="Arial" w:cs="Arial"/>
                <w:sz w:val="22"/>
                <w:szCs w:val="22"/>
              </w:rPr>
              <w:t xml:space="preserve"> et l’état actuel d’éléments inscrits sur la Liste représentative. L’annexe du document présente un aperçu de</w:t>
            </w:r>
            <w:r w:rsidR="007D6D65">
              <w:rPr>
                <w:rFonts w:ascii="Arial" w:hAnsi="Arial" w:cs="Arial"/>
                <w:sz w:val="22"/>
                <w:szCs w:val="22"/>
              </w:rPr>
              <w:t>s</w:t>
            </w:r>
            <w:r>
              <w:rPr>
                <w:rFonts w:ascii="Arial" w:hAnsi="Arial" w:cs="Arial"/>
                <w:sz w:val="22"/>
                <w:szCs w:val="22"/>
              </w:rPr>
              <w:t xml:space="preserve"> six rapports périodiques ainsi qu’un résumé de chacun d’entre eux. Les rapports soumis par les États parties sont consultables en ligne sur le </w:t>
            </w:r>
            <w:r w:rsidRPr="00DF00C4">
              <w:rPr>
                <w:rFonts w:ascii="Arial" w:hAnsi="Arial" w:cs="Arial"/>
                <w:sz w:val="22"/>
                <w:szCs w:val="22"/>
              </w:rPr>
              <w:t>site web de</w:t>
            </w:r>
            <w:r>
              <w:rPr>
                <w:rFonts w:ascii="Arial" w:hAnsi="Arial" w:cs="Arial"/>
                <w:sz w:val="22"/>
                <w:szCs w:val="22"/>
              </w:rPr>
              <w:t xml:space="preserve"> la </w:t>
            </w:r>
            <w:r w:rsidRPr="009863FE">
              <w:rPr>
                <w:rFonts w:ascii="Arial" w:hAnsi="Arial" w:cs="Arial"/>
                <w:sz w:val="22"/>
                <w:szCs w:val="22"/>
              </w:rPr>
              <w:t>Convention</w:t>
            </w:r>
            <w:r>
              <w:rPr>
                <w:rFonts w:ascii="Arial" w:hAnsi="Arial" w:cs="Arial"/>
                <w:sz w:val="22"/>
                <w:szCs w:val="22"/>
              </w:rPr>
              <w:t xml:space="preserve">. À la demande du Comité, l’aperçu présente également une étude approfondie des mesures prises par </w:t>
            </w:r>
            <w:r w:rsidRPr="00DF00C4">
              <w:rPr>
                <w:rFonts w:ascii="Arial" w:hAnsi="Arial" w:cs="Arial"/>
                <w:sz w:val="22"/>
                <w:szCs w:val="22"/>
              </w:rPr>
              <w:t xml:space="preserve">les États parties pour intégrer le patrimoine culturel immatériel et sa sauvegarde aux politiques culturelles et </w:t>
            </w:r>
            <w:r w:rsidR="00DF00C4" w:rsidRPr="00D4732D">
              <w:rPr>
                <w:rFonts w:ascii="Arial" w:hAnsi="Arial" w:cs="Arial"/>
                <w:sz w:val="22"/>
                <w:szCs w:val="22"/>
              </w:rPr>
              <w:t xml:space="preserve">aux </w:t>
            </w:r>
            <w:r w:rsidRPr="00DF00C4">
              <w:rPr>
                <w:rFonts w:ascii="Arial" w:hAnsi="Arial" w:cs="Arial"/>
                <w:sz w:val="22"/>
                <w:szCs w:val="22"/>
              </w:rPr>
              <w:t>autres</w:t>
            </w:r>
            <w:r w:rsidR="00DF00C4" w:rsidRPr="00DF00C4">
              <w:rPr>
                <w:rFonts w:ascii="Arial" w:hAnsi="Arial" w:cs="Arial"/>
                <w:sz w:val="22"/>
                <w:szCs w:val="22"/>
              </w:rPr>
              <w:t xml:space="preserve"> politiques</w:t>
            </w:r>
            <w:r w:rsidRPr="00DF00C4">
              <w:rPr>
                <w:rFonts w:ascii="Arial" w:hAnsi="Arial" w:cs="Arial"/>
                <w:sz w:val="22"/>
                <w:szCs w:val="22"/>
              </w:rPr>
              <w:t>.</w:t>
            </w:r>
          </w:p>
          <w:p w14:paraId="09CA5C05" w14:textId="0DC908A5" w:rsidR="00EC6F8D" w:rsidRPr="00293C60" w:rsidRDefault="009863FE" w:rsidP="008A074E">
            <w:pPr>
              <w:pStyle w:val="Sansinterligne2"/>
              <w:spacing w:before="200" w:after="200"/>
              <w:jc w:val="both"/>
              <w:rPr>
                <w:rFonts w:ascii="Arial" w:hAnsi="Arial" w:cs="Arial"/>
                <w:b/>
                <w:sz w:val="22"/>
                <w:szCs w:val="22"/>
                <w:lang w:val="en-GB"/>
              </w:rPr>
            </w:pPr>
            <w:r>
              <w:rPr>
                <w:rFonts w:ascii="Arial" w:hAnsi="Arial" w:cs="Arial"/>
                <w:b/>
                <w:sz w:val="22"/>
                <w:szCs w:val="22"/>
              </w:rPr>
              <w:t xml:space="preserve">Décision requise </w:t>
            </w:r>
            <w:r w:rsidR="00EC6F8D" w:rsidRPr="009863FE">
              <w:rPr>
                <w:rFonts w:ascii="Arial" w:hAnsi="Arial" w:cs="Arial"/>
                <w:b/>
                <w:sz w:val="22"/>
                <w:szCs w:val="22"/>
              </w:rPr>
              <w:t xml:space="preserve">: </w:t>
            </w:r>
            <w:r w:rsidR="00EC6F8D" w:rsidRPr="009863FE">
              <w:rPr>
                <w:rFonts w:ascii="Arial" w:hAnsi="Arial" w:cs="Arial"/>
                <w:bCs/>
                <w:sz w:val="22"/>
                <w:szCs w:val="22"/>
              </w:rPr>
              <w:t>paragraph</w:t>
            </w:r>
            <w:r>
              <w:rPr>
                <w:rFonts w:ascii="Arial" w:hAnsi="Arial" w:cs="Arial"/>
                <w:bCs/>
                <w:sz w:val="22"/>
                <w:szCs w:val="22"/>
              </w:rPr>
              <w:t>e</w:t>
            </w:r>
            <w:r w:rsidR="00EC6F8D" w:rsidRPr="009863FE">
              <w:rPr>
                <w:rFonts w:ascii="Arial" w:hAnsi="Arial" w:cs="Arial"/>
                <w:bCs/>
                <w:sz w:val="22"/>
                <w:szCs w:val="22"/>
              </w:rPr>
              <w:t xml:space="preserve"> </w:t>
            </w:r>
            <w:r w:rsidR="008A074E" w:rsidRPr="00393C90">
              <w:rPr>
                <w:rFonts w:ascii="Arial" w:hAnsi="Arial" w:cs="Arial"/>
                <w:bCs/>
                <w:sz w:val="22"/>
                <w:szCs w:val="22"/>
              </w:rPr>
              <w:t>6</w:t>
            </w:r>
          </w:p>
        </w:tc>
      </w:tr>
    </w:tbl>
    <w:p w14:paraId="29989DE0" w14:textId="07C6EF4B" w:rsidR="00866B14" w:rsidRPr="009863FE" w:rsidRDefault="00655736" w:rsidP="00866B14">
      <w:pPr>
        <w:pStyle w:val="Marge"/>
        <w:numPr>
          <w:ilvl w:val="0"/>
          <w:numId w:val="9"/>
        </w:numPr>
        <w:spacing w:after="120"/>
        <w:ind w:left="567" w:hanging="567"/>
      </w:pPr>
      <w:r w:rsidRPr="00EE1B2F">
        <w:br w:type="page"/>
      </w:r>
      <w:r w:rsidR="009863FE" w:rsidRPr="009863FE">
        <w:lastRenderedPageBreak/>
        <w:t>L’</w:t>
      </w:r>
      <w:r w:rsidR="009863FE">
        <w:t>a</w:t>
      </w:r>
      <w:r w:rsidR="009863FE" w:rsidRPr="009863FE">
        <w:t xml:space="preserve">rticle 29 </w:t>
      </w:r>
      <w:r w:rsidR="009863FE" w:rsidRPr="009863FE">
        <w:rPr>
          <w:snapToGrid/>
          <w:szCs w:val="22"/>
        </w:rPr>
        <w:t xml:space="preserve">de la Convention stipule que les États parties à la Convention doivent « présente[r] au Comité, dans les formes et selon la périodicité prescrites par ce dernier, des rapports sur les dispositions législatives, réglementaires ou autres prises pour la mise en œuvre de la présente Convention ». L’article 7 (f) prévoit que </w:t>
      </w:r>
      <w:r w:rsidR="009863FE">
        <w:rPr>
          <w:snapToGrid/>
          <w:szCs w:val="22"/>
        </w:rPr>
        <w:t xml:space="preserve">le </w:t>
      </w:r>
      <w:r w:rsidR="009863FE" w:rsidRPr="009863FE">
        <w:rPr>
          <w:snapToGrid/>
          <w:szCs w:val="22"/>
        </w:rPr>
        <w:t xml:space="preserve">Comité </w:t>
      </w:r>
      <w:r w:rsidR="009863FE">
        <w:rPr>
          <w:snapToGrid/>
          <w:szCs w:val="22"/>
        </w:rPr>
        <w:t xml:space="preserve">doit </w:t>
      </w:r>
      <w:r w:rsidR="009863FE" w:rsidRPr="009863FE">
        <w:rPr>
          <w:snapToGrid/>
          <w:szCs w:val="22"/>
        </w:rPr>
        <w:t xml:space="preserve">« examiner [...] </w:t>
      </w:r>
      <w:r w:rsidR="009863FE" w:rsidRPr="00F9051C">
        <w:rPr>
          <w:snapToGrid/>
          <w:szCs w:val="22"/>
        </w:rPr>
        <w:t>les rapports des États parties, et en faire un résumé à l</w:t>
      </w:r>
      <w:r w:rsidR="009863FE" w:rsidRPr="00F9051C">
        <w:rPr>
          <w:rFonts w:cs="Arial"/>
          <w:snapToGrid/>
          <w:szCs w:val="22"/>
        </w:rPr>
        <w:t>’</w:t>
      </w:r>
      <w:r w:rsidR="009863FE" w:rsidRPr="00F9051C">
        <w:rPr>
          <w:snapToGrid/>
          <w:szCs w:val="22"/>
        </w:rPr>
        <w:t>intention de l</w:t>
      </w:r>
      <w:r w:rsidR="009863FE" w:rsidRPr="00F9051C">
        <w:rPr>
          <w:rFonts w:cs="Arial"/>
          <w:snapToGrid/>
          <w:szCs w:val="22"/>
        </w:rPr>
        <w:t>’</w:t>
      </w:r>
      <w:r w:rsidR="009863FE" w:rsidRPr="00F9051C">
        <w:rPr>
          <w:snapToGrid/>
          <w:szCs w:val="22"/>
        </w:rPr>
        <w:t>Assemblée générale ». En s’appuyant</w:t>
      </w:r>
      <w:r w:rsidR="009863FE" w:rsidRPr="009863FE">
        <w:rPr>
          <w:snapToGrid/>
          <w:szCs w:val="22"/>
        </w:rPr>
        <w:t xml:space="preserve"> en partie sur ces rapports, le Comité soumet ensuite son rapport à l’</w:t>
      </w:r>
      <w:r w:rsidR="009863FE">
        <w:rPr>
          <w:snapToGrid/>
          <w:szCs w:val="22"/>
        </w:rPr>
        <w:t xml:space="preserve">Assemblée générale </w:t>
      </w:r>
      <w:r w:rsidR="009863FE" w:rsidRPr="009863FE">
        <w:rPr>
          <w:snapToGrid/>
          <w:szCs w:val="22"/>
        </w:rPr>
        <w:t>conformément</w:t>
      </w:r>
      <w:r w:rsidR="009863FE">
        <w:rPr>
          <w:snapToGrid/>
          <w:szCs w:val="22"/>
        </w:rPr>
        <w:t xml:space="preserve"> à </w:t>
      </w:r>
      <w:r w:rsidR="00393C90">
        <w:rPr>
          <w:snapToGrid/>
          <w:szCs w:val="22"/>
        </w:rPr>
        <w:t>l’</w:t>
      </w:r>
      <w:r w:rsidR="009863FE">
        <w:rPr>
          <w:snapToGrid/>
          <w:szCs w:val="22"/>
        </w:rPr>
        <w:t>a</w:t>
      </w:r>
      <w:r w:rsidR="009863FE" w:rsidRPr="009863FE">
        <w:rPr>
          <w:snapToGrid/>
          <w:szCs w:val="22"/>
        </w:rPr>
        <w:t>rticle 30</w:t>
      </w:r>
      <w:r w:rsidR="009863FE">
        <w:rPr>
          <w:snapToGrid/>
          <w:szCs w:val="22"/>
        </w:rPr>
        <w:t xml:space="preserve"> de la </w:t>
      </w:r>
      <w:r w:rsidR="009863FE" w:rsidRPr="009863FE">
        <w:rPr>
          <w:snapToGrid/>
          <w:szCs w:val="22"/>
        </w:rPr>
        <w:t>Convention.</w:t>
      </w:r>
    </w:p>
    <w:p w14:paraId="62B62E4C" w14:textId="33105214" w:rsidR="009863FE" w:rsidRPr="00F9051C" w:rsidRDefault="009863FE" w:rsidP="009863FE">
      <w:pPr>
        <w:pStyle w:val="Marge"/>
        <w:numPr>
          <w:ilvl w:val="0"/>
          <w:numId w:val="9"/>
        </w:numPr>
        <w:spacing w:after="120"/>
        <w:ind w:left="567" w:hanging="567"/>
      </w:pPr>
      <w:r>
        <w:t xml:space="preserve">Les </w:t>
      </w:r>
      <w:r w:rsidR="008059EE">
        <w:t>modalités de la soumission de ces rapports périodiques sont précisé</w:t>
      </w:r>
      <w:r w:rsidR="00393C90">
        <w:t>e</w:t>
      </w:r>
      <w:r w:rsidR="008059EE">
        <w:t>s dans le c</w:t>
      </w:r>
      <w:r w:rsidR="00393C90">
        <w:t>h</w:t>
      </w:r>
      <w:r w:rsidR="008059EE">
        <w:t>apitre</w:t>
      </w:r>
      <w:r w:rsidR="007D6D65">
        <w:t> </w:t>
      </w:r>
      <w:r w:rsidR="008059EE">
        <w:t xml:space="preserve">V.1 des Directives opérationnelles pour la mise en œuvre de la Convention (paragraphes 151-159), tandis que le </w:t>
      </w:r>
      <w:r w:rsidR="00A23EDA">
        <w:t>chapitre </w:t>
      </w:r>
      <w:r w:rsidR="008059EE">
        <w:t xml:space="preserve">V.3 (paragraphes 165-167) décrit la réception et le traitement des rapports. </w:t>
      </w:r>
      <w:r w:rsidR="008059EE" w:rsidRPr="00410C26">
        <w:t>Conformément au paragraphe 166, le Secrétariat transmet au Comité un aperçu de tous les rapports reçus</w:t>
      </w:r>
      <w:r w:rsidR="00A23EDA">
        <w:t xml:space="preserve"> pendant ce cycle</w:t>
      </w:r>
      <w:r w:rsidR="008059EE" w:rsidRPr="00410C26">
        <w:t>.</w:t>
      </w:r>
      <w:r w:rsidR="008059EE" w:rsidRPr="008059EE">
        <w:t xml:space="preserve"> </w:t>
      </w:r>
      <w:r w:rsidR="008059EE" w:rsidRPr="00410C26">
        <w:t>Cet aperçu, qui peut également constituer le résumé à soumettre par le Comité à l</w:t>
      </w:r>
      <w:r w:rsidR="008059EE">
        <w:t>’</w:t>
      </w:r>
      <w:r w:rsidR="008059EE" w:rsidRPr="00410C26">
        <w:t>Assemblée générale, est inclus dans l</w:t>
      </w:r>
      <w:r w:rsidR="008059EE">
        <w:t xml:space="preserve">’annexe </w:t>
      </w:r>
      <w:r w:rsidR="008059EE" w:rsidRPr="00410C26">
        <w:t>de ce document avec les résumés de tous les rapports soumis pour le cycle en cours</w:t>
      </w:r>
      <w:r w:rsidR="008059EE">
        <w:t xml:space="preserve">. </w:t>
      </w:r>
      <w:r w:rsidR="008059EE" w:rsidRPr="00410C26">
        <w:t xml:space="preserve">Les rapports complets sont disponibles en anglais </w:t>
      </w:r>
      <w:r w:rsidR="008059EE">
        <w:t>ou</w:t>
      </w:r>
      <w:r w:rsidR="008059EE" w:rsidRPr="00410C26">
        <w:t xml:space="preserve"> en français, tels que soumis par </w:t>
      </w:r>
      <w:r w:rsidR="008059EE" w:rsidRPr="00F9051C">
        <w:t xml:space="preserve">les États parties concernés, sur le </w:t>
      </w:r>
      <w:hyperlink r:id="rId8" w:history="1">
        <w:r w:rsidR="008059EE" w:rsidRPr="00F9051C">
          <w:rPr>
            <w:rStyle w:val="Hyperlink"/>
            <w:rFonts w:cs="Arial"/>
            <w:szCs w:val="22"/>
          </w:rPr>
          <w:t>site de la Convention</w:t>
        </w:r>
      </w:hyperlink>
      <w:r w:rsidR="008059EE" w:rsidRPr="00F9051C">
        <w:rPr>
          <w:rStyle w:val="FootnoteReference"/>
          <w:rFonts w:cs="Arial"/>
          <w:szCs w:val="22"/>
          <w:lang w:val="en-GB"/>
        </w:rPr>
        <w:footnoteReference w:id="1"/>
      </w:r>
      <w:r w:rsidR="008059EE" w:rsidRPr="00F9051C">
        <w:rPr>
          <w:rStyle w:val="Hyperlink"/>
          <w:rFonts w:cs="Arial"/>
          <w:color w:val="auto"/>
          <w:szCs w:val="22"/>
          <w:u w:val="none"/>
        </w:rPr>
        <w:t>.</w:t>
      </w:r>
    </w:p>
    <w:p w14:paraId="6BC0F477" w14:textId="7B4D0AAA" w:rsidR="008059EE" w:rsidRPr="00F9051C" w:rsidRDefault="008059EE" w:rsidP="008059EE">
      <w:pPr>
        <w:pStyle w:val="Marge"/>
        <w:numPr>
          <w:ilvl w:val="0"/>
          <w:numId w:val="9"/>
        </w:numPr>
        <w:spacing w:after="120"/>
        <w:ind w:left="567" w:hanging="567"/>
      </w:pPr>
      <w:r w:rsidRPr="00F9051C">
        <w:t>Comme lors des cycles précédents, le Secrétariat a fait parvenir aux États devant soumettre un rapport, un document intitulé «</w:t>
      </w:r>
      <w:r w:rsidRPr="00F9051C">
        <w:rPr>
          <w:rFonts w:cs="Arial"/>
          <w:szCs w:val="22"/>
        </w:rPr>
        <w:t> </w:t>
      </w:r>
      <w:hyperlink r:id="rId9" w:history="1">
        <w:r w:rsidRPr="00F9051C">
          <w:rPr>
            <w:rStyle w:val="Hyperlink"/>
            <w:rFonts w:cs="Arial"/>
            <w:szCs w:val="22"/>
          </w:rPr>
          <w:t>Orientations additionnelles pour compléter le formulaire ICH-10</w:t>
        </w:r>
      </w:hyperlink>
      <w:r w:rsidRPr="00F9051C">
        <w:rPr>
          <w:rFonts w:cs="Arial"/>
          <w:szCs w:val="22"/>
        </w:rPr>
        <w:t xml:space="preserve"> », </w:t>
      </w:r>
      <w:r w:rsidR="00A23EDA" w:rsidRPr="00F9051C">
        <w:rPr>
          <w:rFonts w:cs="Arial"/>
          <w:szCs w:val="22"/>
        </w:rPr>
        <w:t>afin d’</w:t>
      </w:r>
      <w:r w:rsidR="00A23EDA" w:rsidRPr="00F9051C">
        <w:rPr>
          <w:rFonts w:eastAsiaTheme="minorEastAsia" w:cs="Arial"/>
          <w:color w:val="1A1A1A"/>
          <w:szCs w:val="22"/>
        </w:rPr>
        <w:t xml:space="preserve">aider les États à se concentrer sur </w:t>
      </w:r>
      <w:r w:rsidR="00F9051C" w:rsidRPr="00D4732D">
        <w:rPr>
          <w:rFonts w:eastAsiaTheme="minorEastAsia" w:cs="Arial"/>
          <w:color w:val="1A1A1A"/>
          <w:szCs w:val="22"/>
        </w:rPr>
        <w:t>d</w:t>
      </w:r>
      <w:r w:rsidR="00A23EDA" w:rsidRPr="00F9051C">
        <w:rPr>
          <w:rFonts w:eastAsiaTheme="minorEastAsia" w:cs="Arial"/>
          <w:color w:val="1A1A1A"/>
          <w:szCs w:val="22"/>
        </w:rPr>
        <w:t>es questions pertinentes. Ce document est le</w:t>
      </w:r>
      <w:r w:rsidR="00A23EDA" w:rsidRPr="00F9051C">
        <w:rPr>
          <w:rFonts w:cs="Arial"/>
          <w:szCs w:val="22"/>
        </w:rPr>
        <w:t xml:space="preserve"> </w:t>
      </w:r>
      <w:r w:rsidRPr="00F9051C">
        <w:rPr>
          <w:rFonts w:cs="Arial"/>
          <w:szCs w:val="22"/>
        </w:rPr>
        <w:t xml:space="preserve">fruit de l’expérience acquise par les États parties ayant déjà soumis </w:t>
      </w:r>
      <w:r w:rsidRPr="00F9051C">
        <w:rPr>
          <w:rFonts w:eastAsiaTheme="minorEastAsia" w:cs="Arial"/>
          <w:color w:val="1A1A1A"/>
          <w:szCs w:val="22"/>
        </w:rPr>
        <w:t>leur</w:t>
      </w:r>
      <w:r w:rsidR="00F9051C">
        <w:rPr>
          <w:rFonts w:eastAsiaTheme="minorEastAsia" w:cs="Arial"/>
          <w:color w:val="1A1A1A"/>
          <w:szCs w:val="22"/>
        </w:rPr>
        <w:t>s</w:t>
      </w:r>
      <w:r w:rsidRPr="00F9051C">
        <w:rPr>
          <w:rFonts w:eastAsiaTheme="minorEastAsia" w:cs="Arial"/>
          <w:color w:val="1A1A1A"/>
          <w:szCs w:val="22"/>
        </w:rPr>
        <w:t xml:space="preserve"> rapport</w:t>
      </w:r>
      <w:r w:rsidR="00F9051C">
        <w:rPr>
          <w:rFonts w:eastAsiaTheme="minorEastAsia" w:cs="Arial"/>
          <w:color w:val="1A1A1A"/>
          <w:szCs w:val="22"/>
        </w:rPr>
        <w:t>s</w:t>
      </w:r>
      <w:r w:rsidRPr="00F9051C">
        <w:rPr>
          <w:rFonts w:eastAsiaTheme="minorEastAsia" w:cs="Arial"/>
          <w:color w:val="1A1A1A"/>
          <w:szCs w:val="22"/>
        </w:rPr>
        <w:t xml:space="preserve"> périodique</w:t>
      </w:r>
      <w:r w:rsidR="00F9051C">
        <w:rPr>
          <w:rFonts w:eastAsiaTheme="minorEastAsia" w:cs="Arial"/>
          <w:color w:val="1A1A1A"/>
          <w:szCs w:val="22"/>
        </w:rPr>
        <w:t>s</w:t>
      </w:r>
      <w:r w:rsidR="00F9051C" w:rsidRPr="00D4732D">
        <w:rPr>
          <w:rFonts w:eastAsiaTheme="minorEastAsia" w:cs="Arial"/>
          <w:color w:val="1A1A1A"/>
          <w:szCs w:val="22"/>
        </w:rPr>
        <w:t xml:space="preserve"> </w:t>
      </w:r>
      <w:r w:rsidR="00A23EDA" w:rsidRPr="00F9051C">
        <w:rPr>
          <w:rFonts w:eastAsiaTheme="minorEastAsia" w:cs="Arial"/>
          <w:color w:val="1A1A1A"/>
          <w:szCs w:val="22"/>
        </w:rPr>
        <w:t>et</w:t>
      </w:r>
      <w:r w:rsidRPr="00F9051C">
        <w:rPr>
          <w:rFonts w:eastAsiaTheme="minorEastAsia" w:cs="Arial"/>
          <w:color w:val="1A1A1A"/>
          <w:szCs w:val="22"/>
        </w:rPr>
        <w:t xml:space="preserve"> présente les problèmes les plus fréquemment rencontrés par les États soumissionnaires dans la rédaction de leur</w:t>
      </w:r>
      <w:r w:rsidR="002C1761" w:rsidRPr="00F9051C">
        <w:rPr>
          <w:rFonts w:eastAsiaTheme="minorEastAsia" w:cs="Arial"/>
          <w:color w:val="1A1A1A"/>
          <w:szCs w:val="22"/>
        </w:rPr>
        <w:t>s</w:t>
      </w:r>
      <w:r w:rsidRPr="00F9051C">
        <w:rPr>
          <w:rFonts w:eastAsiaTheme="minorEastAsia" w:cs="Arial"/>
          <w:color w:val="1A1A1A"/>
          <w:szCs w:val="22"/>
        </w:rPr>
        <w:t xml:space="preserve"> rapport</w:t>
      </w:r>
      <w:r w:rsidR="002C1761" w:rsidRPr="00F9051C">
        <w:rPr>
          <w:rFonts w:eastAsiaTheme="minorEastAsia" w:cs="Arial"/>
          <w:color w:val="1A1A1A"/>
          <w:szCs w:val="22"/>
        </w:rPr>
        <w:t>s</w:t>
      </w:r>
      <w:r w:rsidR="00F43449">
        <w:rPr>
          <w:rFonts w:eastAsiaTheme="minorEastAsia" w:cs="Arial"/>
          <w:color w:val="1A1A1A"/>
          <w:szCs w:val="22"/>
        </w:rPr>
        <w:t>.</w:t>
      </w:r>
    </w:p>
    <w:p w14:paraId="6C5A18A7" w14:textId="0443FAEE" w:rsidR="00B5778C" w:rsidRPr="00B5778C" w:rsidRDefault="0020704C" w:rsidP="00E1646F">
      <w:pPr>
        <w:pStyle w:val="Marge"/>
        <w:numPr>
          <w:ilvl w:val="0"/>
          <w:numId w:val="9"/>
        </w:numPr>
        <w:spacing w:after="120"/>
        <w:ind w:left="567" w:hanging="567"/>
      </w:pPr>
      <w:r>
        <w:t>Dans le présent cycle de rapports</w:t>
      </w:r>
      <w:r w:rsidR="00B61412">
        <w:t>, l</w:t>
      </w:r>
      <w:r w:rsidR="008059EE">
        <w:t>e Comité</w:t>
      </w:r>
      <w:r w:rsidR="00B61412">
        <w:t xml:space="preserve"> </w:t>
      </w:r>
      <w:r>
        <w:t>continue à</w:t>
      </w:r>
      <w:r w:rsidR="00B61412">
        <w:t xml:space="preserve"> </w:t>
      </w:r>
      <w:r>
        <w:t xml:space="preserve">être </w:t>
      </w:r>
      <w:r w:rsidR="00B61412">
        <w:t xml:space="preserve">confronté à un grand nombre d’États parties dont les rapports sont en retard : 31 États parties, ce qui représente 84% des rapports attendus pour </w:t>
      </w:r>
      <w:r w:rsidR="00B61412" w:rsidRPr="00E75D33">
        <w:t>ce cycle, sont en retard d’un à cinq ans pour la soumission de leur premier rapport périodique. Afin de tenter de résoudre cette situation</w:t>
      </w:r>
      <w:r w:rsidR="00E75D33" w:rsidRPr="00E75D33">
        <w:t xml:space="preserve"> et </w:t>
      </w:r>
      <w:r w:rsidR="00E75D33" w:rsidRPr="00D4732D">
        <w:t>pour la première fois lors de sa dixième session en 2015,</w:t>
      </w:r>
      <w:r w:rsidR="00B61412" w:rsidRPr="00E75D33">
        <w:t xml:space="preserve"> </w:t>
      </w:r>
      <w:r w:rsidR="00B5778C" w:rsidRPr="00E75D33">
        <w:t>le Comité a inclus</w:t>
      </w:r>
      <w:r w:rsidR="00B61412" w:rsidRPr="00E75D33">
        <w:t xml:space="preserve"> dans ses décisions relatives aux rapports périodiques (</w:t>
      </w:r>
      <w:hyperlink r:id="rId10" w:history="1">
        <w:r w:rsidR="0016216A">
          <w:rPr>
            <w:rStyle w:val="Hyperlink"/>
            <w:rFonts w:cs="Arial"/>
            <w:szCs w:val="22"/>
          </w:rPr>
          <w:t>décision</w:t>
        </w:r>
        <w:r w:rsidR="0016216A" w:rsidRPr="0016216A">
          <w:rPr>
            <w:rStyle w:val="Hyperlink"/>
            <w:rFonts w:cs="Arial"/>
            <w:szCs w:val="22"/>
          </w:rPr>
          <w:t> </w:t>
        </w:r>
        <w:r w:rsidR="00B61412" w:rsidRPr="00E75D33">
          <w:rPr>
            <w:rStyle w:val="Hyperlink"/>
            <w:rFonts w:cs="Arial"/>
            <w:szCs w:val="22"/>
          </w:rPr>
          <w:t>10.COM 6.a</w:t>
        </w:r>
      </w:hyperlink>
      <w:r w:rsidR="00B61412" w:rsidRPr="00E75D33">
        <w:rPr>
          <w:rStyle w:val="Hyperlink"/>
          <w:rFonts w:cs="Arial"/>
          <w:color w:val="auto"/>
          <w:szCs w:val="22"/>
          <w:u w:val="none"/>
        </w:rPr>
        <w:t xml:space="preserve"> et </w:t>
      </w:r>
      <w:hyperlink r:id="rId11" w:history="1">
        <w:r w:rsidR="00B61412" w:rsidRPr="00E75D33">
          <w:rPr>
            <w:rStyle w:val="Hyperlink"/>
          </w:rPr>
          <w:t>décision</w:t>
        </w:r>
        <w:r w:rsidR="0016216A" w:rsidRPr="0016216A">
          <w:rPr>
            <w:rStyle w:val="Hyperlink"/>
          </w:rPr>
          <w:t> </w:t>
        </w:r>
        <w:r w:rsidR="00B61412" w:rsidRPr="00E75D33">
          <w:rPr>
            <w:rStyle w:val="Hyperlink"/>
          </w:rPr>
          <w:t>10.COM 6.b</w:t>
        </w:r>
      </w:hyperlink>
      <w:r w:rsidR="00B61412" w:rsidRPr="00E75D33">
        <w:rPr>
          <w:rStyle w:val="Hyperlink"/>
          <w:color w:val="auto"/>
          <w:u w:val="none"/>
        </w:rPr>
        <w:t>)</w:t>
      </w:r>
      <w:r w:rsidR="00F9051C">
        <w:rPr>
          <w:rStyle w:val="Hyperlink"/>
          <w:color w:val="auto"/>
          <w:u w:val="none"/>
        </w:rPr>
        <w:t>,</w:t>
      </w:r>
      <w:r w:rsidR="00B5778C" w:rsidRPr="00E75D33">
        <w:rPr>
          <w:rStyle w:val="Hyperlink"/>
          <w:color w:val="auto"/>
          <w:u w:val="none"/>
        </w:rPr>
        <w:t xml:space="preserve"> un encouragement aux États parties </w:t>
      </w:r>
      <w:r w:rsidR="00E75D33" w:rsidRPr="00E75D33">
        <w:rPr>
          <w:rStyle w:val="Hyperlink"/>
          <w:color w:val="auto"/>
          <w:u w:val="none"/>
        </w:rPr>
        <w:t>à</w:t>
      </w:r>
      <w:r w:rsidR="00B5778C" w:rsidRPr="00E75D33">
        <w:rPr>
          <w:rStyle w:val="Hyperlink"/>
          <w:color w:val="auto"/>
          <w:u w:val="none"/>
        </w:rPr>
        <w:t xml:space="preserve"> rempli</w:t>
      </w:r>
      <w:r w:rsidR="00E75D33" w:rsidRPr="00E75D33">
        <w:rPr>
          <w:rStyle w:val="Hyperlink"/>
          <w:color w:val="auto"/>
          <w:u w:val="none"/>
        </w:rPr>
        <w:t>r</w:t>
      </w:r>
      <w:r w:rsidR="00B5778C" w:rsidRPr="00E75D33">
        <w:rPr>
          <w:rStyle w:val="Hyperlink"/>
          <w:color w:val="auto"/>
          <w:u w:val="none"/>
        </w:rPr>
        <w:t xml:space="preserve"> leurs obligations de faire rapport avant de</w:t>
      </w:r>
      <w:r w:rsidR="00B5778C" w:rsidRPr="00E1646F">
        <w:rPr>
          <w:rStyle w:val="Hyperlink"/>
          <w:color w:val="auto"/>
          <w:u w:val="none"/>
        </w:rPr>
        <w:t xml:space="preserve"> soumettre de nouvelles candidatures. En outre, le Secrétariat a pris les mesures suivant</w:t>
      </w:r>
      <w:r w:rsidR="00E1646F">
        <w:rPr>
          <w:rStyle w:val="Hyperlink"/>
          <w:color w:val="auto"/>
          <w:u w:val="none"/>
        </w:rPr>
        <w:t>e</w:t>
      </w:r>
      <w:r w:rsidR="00B5778C" w:rsidRPr="00E1646F">
        <w:rPr>
          <w:rStyle w:val="Hyperlink"/>
          <w:color w:val="auto"/>
          <w:u w:val="none"/>
        </w:rPr>
        <w:t xml:space="preserve">s afin d’aider les États à remplir leurs obligations de faire rapport </w:t>
      </w:r>
      <w:r w:rsidR="000425FC">
        <w:rPr>
          <w:rStyle w:val="Hyperlink"/>
          <w:color w:val="auto"/>
          <w:u w:val="none"/>
        </w:rPr>
        <w:t>dans le cadre</w:t>
      </w:r>
      <w:r w:rsidR="00B5778C" w:rsidRPr="00E1646F">
        <w:rPr>
          <w:rStyle w:val="Hyperlink"/>
          <w:color w:val="auto"/>
          <w:u w:val="none"/>
        </w:rPr>
        <w:t xml:space="preserve"> de la Convention de 2003 :</w:t>
      </w:r>
    </w:p>
    <w:p w14:paraId="6AA8319F" w14:textId="49F9A8B8" w:rsidR="00C934D1" w:rsidRDefault="00C934D1" w:rsidP="009426F4">
      <w:pPr>
        <w:pStyle w:val="COMPara"/>
        <w:numPr>
          <w:ilvl w:val="0"/>
          <w:numId w:val="23"/>
        </w:numPr>
        <w:ind w:left="1276" w:hanging="567"/>
        <w:jc w:val="both"/>
        <w:rPr>
          <w:lang w:val="fr-FR"/>
        </w:rPr>
      </w:pPr>
      <w:r>
        <w:rPr>
          <w:lang w:val="fr-FR"/>
        </w:rPr>
        <w:t xml:space="preserve">La page du site </w:t>
      </w:r>
      <w:r w:rsidR="00E1646F">
        <w:rPr>
          <w:lang w:val="fr-FR"/>
        </w:rPr>
        <w:t xml:space="preserve">web </w:t>
      </w:r>
      <w:r>
        <w:rPr>
          <w:lang w:val="fr-FR"/>
        </w:rPr>
        <w:t xml:space="preserve">de la </w:t>
      </w:r>
      <w:r w:rsidRPr="00C934D1">
        <w:rPr>
          <w:lang w:val="fr-FR"/>
        </w:rPr>
        <w:t>Convention</w:t>
      </w:r>
      <w:r>
        <w:rPr>
          <w:lang w:val="fr-FR"/>
        </w:rPr>
        <w:t xml:space="preserve"> consacrée aux rapports périodiques a </w:t>
      </w:r>
      <w:r w:rsidR="000425FC">
        <w:rPr>
          <w:lang w:val="fr-FR"/>
        </w:rPr>
        <w:t>continué à être</w:t>
      </w:r>
      <w:r>
        <w:rPr>
          <w:lang w:val="fr-FR"/>
        </w:rPr>
        <w:t xml:space="preserve"> développée afin de présenter la situation de tous les États partie</w:t>
      </w:r>
      <w:r w:rsidR="00E1646F">
        <w:rPr>
          <w:lang w:val="fr-FR"/>
        </w:rPr>
        <w:t>s quant à la soumission de leur</w:t>
      </w:r>
      <w:r w:rsidR="002C1761">
        <w:rPr>
          <w:lang w:val="fr-FR"/>
        </w:rPr>
        <w:t>s</w:t>
      </w:r>
      <w:r w:rsidR="00E1646F">
        <w:rPr>
          <w:lang w:val="fr-FR"/>
        </w:rPr>
        <w:t xml:space="preserve"> rapport</w:t>
      </w:r>
      <w:r w:rsidR="002C1761">
        <w:rPr>
          <w:lang w:val="fr-FR"/>
        </w:rPr>
        <w:t>s</w:t>
      </w:r>
      <w:r w:rsidR="00E1646F">
        <w:rPr>
          <w:lang w:val="fr-FR"/>
        </w:rPr>
        <w:t xml:space="preserve"> périodique</w:t>
      </w:r>
      <w:r w:rsidR="002C1761">
        <w:rPr>
          <w:lang w:val="fr-FR"/>
        </w:rPr>
        <w:t>s</w:t>
      </w:r>
      <w:r w:rsidR="000425FC">
        <w:rPr>
          <w:lang w:val="fr-FR"/>
        </w:rPr>
        <w:t> ;</w:t>
      </w:r>
      <w:r>
        <w:rPr>
          <w:lang w:val="fr-FR"/>
        </w:rPr>
        <w:t xml:space="preserve"> il est possible de filtrer la recherche par type de rapport, situation vis-à-vis des rapports et groupe électoral ;</w:t>
      </w:r>
    </w:p>
    <w:p w14:paraId="02FCCEBC" w14:textId="09CA72BD" w:rsidR="00C934D1" w:rsidRDefault="00C934D1" w:rsidP="009426F4">
      <w:pPr>
        <w:pStyle w:val="COMPara"/>
        <w:numPr>
          <w:ilvl w:val="0"/>
          <w:numId w:val="23"/>
        </w:numPr>
        <w:ind w:left="1276" w:hanging="567"/>
        <w:jc w:val="both"/>
        <w:rPr>
          <w:lang w:val="fr-FR"/>
        </w:rPr>
      </w:pPr>
      <w:r>
        <w:rPr>
          <w:lang w:val="fr-FR"/>
        </w:rPr>
        <w:t>Une page supplémentaire consacrée</w:t>
      </w:r>
      <w:r w:rsidR="00E1646F">
        <w:rPr>
          <w:lang w:val="fr-FR"/>
        </w:rPr>
        <w:t xml:space="preserve"> au</w:t>
      </w:r>
      <w:r w:rsidR="002C1761">
        <w:rPr>
          <w:lang w:val="fr-FR"/>
        </w:rPr>
        <w:t>x</w:t>
      </w:r>
      <w:r w:rsidR="00E1646F">
        <w:rPr>
          <w:lang w:val="fr-FR"/>
        </w:rPr>
        <w:t xml:space="preserve"> rapport</w:t>
      </w:r>
      <w:r w:rsidR="002C1761">
        <w:rPr>
          <w:lang w:val="fr-FR"/>
        </w:rPr>
        <w:t>s</w:t>
      </w:r>
      <w:r w:rsidR="00E1646F">
        <w:rPr>
          <w:lang w:val="fr-FR"/>
        </w:rPr>
        <w:t xml:space="preserve"> périodique</w:t>
      </w:r>
      <w:r w:rsidR="002C1761">
        <w:rPr>
          <w:lang w:val="fr-FR"/>
        </w:rPr>
        <w:t>s</w:t>
      </w:r>
      <w:r>
        <w:rPr>
          <w:lang w:val="fr-FR"/>
        </w:rPr>
        <w:t xml:space="preserve"> de chaque </w:t>
      </w:r>
      <w:r w:rsidRPr="00C934D1">
        <w:rPr>
          <w:lang w:val="fr-FR"/>
        </w:rPr>
        <w:t>État partie</w:t>
      </w:r>
      <w:r>
        <w:rPr>
          <w:lang w:val="fr-FR"/>
        </w:rPr>
        <w:t xml:space="preserve"> a été créée, elle offre la possibilité d’obtenir non seulement des </w:t>
      </w:r>
      <w:r w:rsidRPr="00C934D1">
        <w:rPr>
          <w:lang w:val="fr-FR"/>
        </w:rPr>
        <w:t>informations</w:t>
      </w:r>
      <w:r>
        <w:rPr>
          <w:lang w:val="fr-FR"/>
        </w:rPr>
        <w:t xml:space="preserve"> sur les dates de </w:t>
      </w:r>
      <w:r w:rsidRPr="00E75D33">
        <w:rPr>
          <w:lang w:val="fr-FR"/>
        </w:rPr>
        <w:t>soumission en cours et à venir mais également de tél</w:t>
      </w:r>
      <w:r w:rsidR="00173DA9" w:rsidRPr="00E75D33">
        <w:rPr>
          <w:lang w:val="fr-FR"/>
        </w:rPr>
        <w:t>écharg</w:t>
      </w:r>
      <w:r w:rsidR="00BA3F8F" w:rsidRPr="00E75D33">
        <w:rPr>
          <w:lang w:val="fr-FR"/>
        </w:rPr>
        <w:t xml:space="preserve">er des formulaires </w:t>
      </w:r>
      <w:r w:rsidR="000425FC" w:rsidRPr="00E75D33">
        <w:rPr>
          <w:lang w:val="fr-FR"/>
        </w:rPr>
        <w:t>personnalisés</w:t>
      </w:r>
      <w:r w:rsidR="00173DA9" w:rsidRPr="00E75D33">
        <w:rPr>
          <w:lang w:val="fr-FR"/>
        </w:rPr>
        <w:t xml:space="preserve"> pour</w:t>
      </w:r>
      <w:r>
        <w:rPr>
          <w:lang w:val="fr-FR"/>
        </w:rPr>
        <w:t xml:space="preserve"> chaque pays ainsi que les instructions et des </w:t>
      </w:r>
      <w:r w:rsidRPr="00C934D1">
        <w:rPr>
          <w:lang w:val="fr-FR"/>
        </w:rPr>
        <w:t>orientations</w:t>
      </w:r>
      <w:r>
        <w:rPr>
          <w:lang w:val="fr-FR"/>
        </w:rPr>
        <w:t xml:space="preserve"> additionnelles pour les remplir ;</w:t>
      </w:r>
    </w:p>
    <w:p w14:paraId="28C7C133" w14:textId="36A0729C" w:rsidR="00C934D1" w:rsidRPr="00C934D1" w:rsidRDefault="00BA3F8F" w:rsidP="009426F4">
      <w:pPr>
        <w:pStyle w:val="COMPara"/>
        <w:numPr>
          <w:ilvl w:val="0"/>
          <w:numId w:val="23"/>
        </w:numPr>
        <w:ind w:left="1276" w:hanging="567"/>
        <w:jc w:val="both"/>
        <w:rPr>
          <w:lang w:val="fr-FR"/>
        </w:rPr>
      </w:pPr>
      <w:r>
        <w:rPr>
          <w:lang w:val="fr-FR"/>
        </w:rPr>
        <w:t>En mai 2016, des courriers de rappel ont été envoyé</w:t>
      </w:r>
      <w:r w:rsidR="00C934D1">
        <w:rPr>
          <w:lang w:val="fr-FR"/>
        </w:rPr>
        <w:t xml:space="preserve">s à tous les États dont les </w:t>
      </w:r>
      <w:r w:rsidR="00173DA9">
        <w:rPr>
          <w:lang w:val="fr-FR"/>
        </w:rPr>
        <w:t>rapp</w:t>
      </w:r>
      <w:r>
        <w:rPr>
          <w:lang w:val="fr-FR"/>
        </w:rPr>
        <w:t>orts étaient en retard</w:t>
      </w:r>
      <w:r w:rsidR="00173DA9">
        <w:rPr>
          <w:lang w:val="fr-FR"/>
        </w:rPr>
        <w:t xml:space="preserve"> avec, en pièce jointe, </w:t>
      </w:r>
      <w:r w:rsidR="00C934D1">
        <w:rPr>
          <w:lang w:val="fr-FR"/>
        </w:rPr>
        <w:t>une version mise à jour du formulaire</w:t>
      </w:r>
      <w:r w:rsidR="00173DA9">
        <w:rPr>
          <w:lang w:val="fr-FR"/>
        </w:rPr>
        <w:t xml:space="preserve"> </w:t>
      </w:r>
      <w:r w:rsidR="000425FC">
        <w:rPr>
          <w:lang w:val="fr-FR"/>
        </w:rPr>
        <w:t>personnalisé</w:t>
      </w:r>
      <w:r>
        <w:rPr>
          <w:lang w:val="fr-FR"/>
        </w:rPr>
        <w:t xml:space="preserve"> </w:t>
      </w:r>
      <w:r w:rsidR="00173DA9">
        <w:rPr>
          <w:lang w:val="fr-FR"/>
        </w:rPr>
        <w:t>pour chaque pays ;</w:t>
      </w:r>
    </w:p>
    <w:p w14:paraId="7159FEC7" w14:textId="247932EC" w:rsidR="00173DA9" w:rsidRDefault="00173DA9" w:rsidP="009426F4">
      <w:pPr>
        <w:pStyle w:val="COMPara"/>
        <w:numPr>
          <w:ilvl w:val="0"/>
          <w:numId w:val="23"/>
        </w:numPr>
        <w:ind w:left="1276" w:hanging="567"/>
        <w:jc w:val="both"/>
        <w:rPr>
          <w:rStyle w:val="Hyperlink"/>
          <w:color w:val="auto"/>
          <w:u w:val="none"/>
          <w:lang w:val="fr-FR"/>
        </w:rPr>
      </w:pPr>
      <w:r w:rsidRPr="00173DA9">
        <w:rPr>
          <w:lang w:val="fr-FR"/>
        </w:rPr>
        <w:t xml:space="preserve">Un point sur la procédure de rapports périodiques a été fait au cours de la </w:t>
      </w:r>
      <w:hyperlink r:id="rId12" w:history="1">
        <w:r w:rsidRPr="00173DA9">
          <w:rPr>
            <w:rStyle w:val="Hyperlink"/>
            <w:lang w:val="fr-FR"/>
          </w:rPr>
          <w:t>sixième session de l</w:t>
        </w:r>
        <w:r w:rsidR="00F43449">
          <w:rPr>
            <w:rStyle w:val="Hyperlink"/>
            <w:rFonts w:eastAsia="Malgun Gothic"/>
            <w:lang w:val="fr-FR" w:eastAsia="ko-KR"/>
          </w:rPr>
          <w:t>’</w:t>
        </w:r>
        <w:r w:rsidRPr="00173DA9">
          <w:rPr>
            <w:rStyle w:val="Hyperlink"/>
            <w:lang w:val="fr-FR"/>
          </w:rPr>
          <w:t>Assemblée générale</w:t>
        </w:r>
      </w:hyperlink>
      <w:r w:rsidRPr="00173DA9">
        <w:rPr>
          <w:rStyle w:val="Hyperlink"/>
          <w:u w:val="none"/>
          <w:lang w:val="fr-FR"/>
        </w:rPr>
        <w:t xml:space="preserve"> </w:t>
      </w:r>
      <w:r w:rsidRPr="00173DA9">
        <w:rPr>
          <w:rStyle w:val="Hyperlink"/>
          <w:color w:val="auto"/>
          <w:u w:val="none"/>
          <w:lang w:val="fr-FR"/>
        </w:rPr>
        <w:t xml:space="preserve">afin de sensibiliser les </w:t>
      </w:r>
      <w:r>
        <w:rPr>
          <w:rStyle w:val="Hyperlink"/>
          <w:color w:val="auto"/>
          <w:u w:val="none"/>
          <w:lang w:val="fr-FR"/>
        </w:rPr>
        <w:t xml:space="preserve">États parties à leurs obligations de </w:t>
      </w:r>
      <w:r w:rsidR="00BA3F8F">
        <w:rPr>
          <w:rStyle w:val="Hyperlink"/>
          <w:color w:val="auto"/>
          <w:u w:val="none"/>
          <w:lang w:val="fr-FR"/>
        </w:rPr>
        <w:t xml:space="preserve">faire </w:t>
      </w:r>
      <w:r>
        <w:rPr>
          <w:rStyle w:val="Hyperlink"/>
          <w:color w:val="auto"/>
          <w:u w:val="none"/>
          <w:lang w:val="fr-FR"/>
        </w:rPr>
        <w:t>rapport</w:t>
      </w:r>
      <w:r w:rsidR="00BA3F8F">
        <w:rPr>
          <w:rStyle w:val="Hyperlink"/>
          <w:color w:val="auto"/>
          <w:u w:val="none"/>
          <w:lang w:val="fr-FR"/>
        </w:rPr>
        <w:t> ;</w:t>
      </w:r>
    </w:p>
    <w:p w14:paraId="79D129DE" w14:textId="3A661DFB" w:rsidR="00BA3F8F" w:rsidRPr="00BA3F8F" w:rsidRDefault="00BA3F8F" w:rsidP="00D4732D">
      <w:pPr>
        <w:pStyle w:val="COMPara"/>
        <w:numPr>
          <w:ilvl w:val="0"/>
          <w:numId w:val="23"/>
        </w:numPr>
        <w:ind w:left="1276" w:hanging="567"/>
        <w:jc w:val="both"/>
        <w:rPr>
          <w:lang w:val="fr-FR"/>
        </w:rPr>
      </w:pPr>
      <w:r w:rsidRPr="00BA3F8F">
        <w:rPr>
          <w:lang w:val="fr-FR"/>
        </w:rPr>
        <w:t xml:space="preserve">Les </w:t>
      </w:r>
      <w:hyperlink r:id="rId13" w:history="1">
        <w:r w:rsidRPr="00BA3F8F">
          <w:rPr>
            <w:rStyle w:val="Hyperlink"/>
            <w:lang w:val="fr-FR"/>
          </w:rPr>
          <w:t>Orientations additionnelles pour compléter le formulaire ICH-10</w:t>
        </w:r>
      </w:hyperlink>
      <w:r w:rsidRPr="00BA3F8F">
        <w:rPr>
          <w:rStyle w:val="Hyperlink"/>
          <w:lang w:val="fr-FR"/>
        </w:rPr>
        <w:t xml:space="preserve"> </w:t>
      </w:r>
      <w:r w:rsidRPr="00BA3F8F">
        <w:rPr>
          <w:rStyle w:val="Hyperlink"/>
          <w:color w:val="auto"/>
          <w:u w:val="none"/>
          <w:lang w:val="fr-FR"/>
        </w:rPr>
        <w:t xml:space="preserve">ont été mises à jour et seront bientôt disponibles sur le site de la Convention, il s’agit d’un outil destiné à aider les </w:t>
      </w:r>
      <w:r>
        <w:rPr>
          <w:rStyle w:val="Hyperlink"/>
          <w:color w:val="auto"/>
          <w:u w:val="none"/>
          <w:lang w:val="fr-FR"/>
        </w:rPr>
        <w:t>États faisant rapport.</w:t>
      </w:r>
    </w:p>
    <w:p w14:paraId="5AA151EF" w14:textId="495B7C2E" w:rsidR="00BA3F8F" w:rsidRDefault="00BA3F8F" w:rsidP="009426F4">
      <w:pPr>
        <w:pStyle w:val="Marge"/>
        <w:numPr>
          <w:ilvl w:val="0"/>
          <w:numId w:val="9"/>
        </w:numPr>
        <w:spacing w:after="120"/>
        <w:ind w:left="567" w:hanging="567"/>
      </w:pPr>
      <w:r>
        <w:lastRenderedPageBreak/>
        <w:t xml:space="preserve">Comme mentionné dans le </w:t>
      </w:r>
      <w:hyperlink r:id="rId14" w:history="1">
        <w:r w:rsidRPr="0016216A">
          <w:rPr>
            <w:rStyle w:val="Hyperlink"/>
          </w:rPr>
          <w:t>document ITH/16/11.COM/6</w:t>
        </w:r>
      </w:hyperlink>
      <w:r>
        <w:t>, la Républiq</w:t>
      </w:r>
      <w:r w:rsidR="005161F2">
        <w:t>ue de Corée a généreusement offert</w:t>
      </w:r>
      <w:r>
        <w:t xml:space="preserve"> une contribution volontaire supplémentaire d’un montant de 300</w:t>
      </w:r>
      <w:r w:rsidR="000425FC">
        <w:t> </w:t>
      </w:r>
      <w:r>
        <w:t>000</w:t>
      </w:r>
      <w:r w:rsidR="000425FC">
        <w:t> </w:t>
      </w:r>
      <w:r>
        <w:rPr>
          <w:szCs w:val="22"/>
        </w:rPr>
        <w:t>dollars des États-Unis</w:t>
      </w:r>
      <w:r>
        <w:t xml:space="preserve"> au Fonds du patrimoine culturel immatériel afin d’aider le Secrétariat à améliorer le mécanisme de</w:t>
      </w:r>
      <w:r w:rsidR="000425FC">
        <w:t>s</w:t>
      </w:r>
      <w:r>
        <w:t xml:space="preserve"> rapport</w:t>
      </w:r>
      <w:r w:rsidR="00DF00C4">
        <w:t>s</w:t>
      </w:r>
      <w:r>
        <w:t xml:space="preserve"> périodique</w:t>
      </w:r>
      <w:r w:rsidR="00DF00C4">
        <w:t>s</w:t>
      </w:r>
      <w:r>
        <w:t xml:space="preserve"> de la Convention</w:t>
      </w:r>
      <w:r w:rsidR="005161F2">
        <w:t xml:space="preserve">. Si le Comité approuve le but spécifique de </w:t>
      </w:r>
      <w:r w:rsidR="002C1761">
        <w:t>cette contribution, le Secrétariat devrait pouvoir</w:t>
      </w:r>
      <w:r w:rsidR="005161F2">
        <w:t xml:space="preserve"> pren</w:t>
      </w:r>
      <w:r w:rsidR="00E1646F">
        <w:t>dre des mesures destinées à</w:t>
      </w:r>
      <w:r w:rsidR="005161F2">
        <w:t xml:space="preserve"> renforcer la visibilité et la mise en œuvre de ce mécanisme.</w:t>
      </w:r>
    </w:p>
    <w:p w14:paraId="38043959" w14:textId="1AAB3384" w:rsidR="00D95C4C" w:rsidRPr="009863FE" w:rsidRDefault="005161F2" w:rsidP="009426F4">
      <w:pPr>
        <w:pStyle w:val="Marge"/>
        <w:numPr>
          <w:ilvl w:val="0"/>
          <w:numId w:val="9"/>
        </w:numPr>
        <w:spacing w:after="120"/>
        <w:ind w:left="567" w:hanging="567"/>
      </w:pPr>
      <w:r>
        <w:t>Le Comité souhaitera peut-être adopter la décision suivante :</w:t>
      </w:r>
    </w:p>
    <w:p w14:paraId="1518ED57" w14:textId="5C0F9CB5" w:rsidR="00D95C4C" w:rsidRPr="009863FE" w:rsidRDefault="005161F2" w:rsidP="00041A66">
      <w:pPr>
        <w:pStyle w:val="COMTitleDecision"/>
        <w:rPr>
          <w:rFonts w:eastAsia="SimSun"/>
          <w:lang w:val="fr-FR"/>
        </w:rPr>
      </w:pPr>
      <w:r>
        <w:rPr>
          <w:lang w:val="fr-FR"/>
        </w:rPr>
        <w:t xml:space="preserve">PROJET DE </w:t>
      </w:r>
      <w:r w:rsidRPr="005161F2">
        <w:rPr>
          <w:lang w:val="fr-FR"/>
        </w:rPr>
        <w:t>DÉCISION</w:t>
      </w:r>
      <w:r w:rsidR="00E1646F">
        <w:rPr>
          <w:lang w:val="fr-FR"/>
        </w:rPr>
        <w:t xml:space="preserve"> 11.COM 9.a</w:t>
      </w:r>
    </w:p>
    <w:p w14:paraId="7855EC8E" w14:textId="060A73A8" w:rsidR="00D95C4C" w:rsidRPr="009863FE" w:rsidRDefault="005161F2" w:rsidP="005161F2">
      <w:pPr>
        <w:pStyle w:val="COMPreambulaDecisions"/>
        <w:ind w:left="0" w:firstLine="567"/>
        <w:rPr>
          <w:rFonts w:eastAsia="SimSun"/>
          <w:lang w:val="fr-FR"/>
        </w:rPr>
      </w:pPr>
      <w:r>
        <w:rPr>
          <w:lang w:val="fr-FR"/>
        </w:rPr>
        <w:t>Le Comité,</w:t>
      </w:r>
    </w:p>
    <w:p w14:paraId="5A03A5C8" w14:textId="698627E8" w:rsidR="005161F2" w:rsidRDefault="005161F2" w:rsidP="0027466B">
      <w:pPr>
        <w:pStyle w:val="COMParaDecision"/>
        <w:jc w:val="left"/>
        <w:rPr>
          <w:lang w:val="fr-FR"/>
        </w:rPr>
      </w:pPr>
      <w:r>
        <w:rPr>
          <w:lang w:val="fr-FR"/>
        </w:rPr>
        <w:t>Ayant examiné</w:t>
      </w:r>
      <w:r>
        <w:rPr>
          <w:u w:val="none"/>
          <w:lang w:val="fr-FR"/>
        </w:rPr>
        <w:t xml:space="preserve"> le document ITH/16/11.COM/9.a,</w:t>
      </w:r>
    </w:p>
    <w:p w14:paraId="31857FD7" w14:textId="298B5E27" w:rsidR="005161F2" w:rsidRDefault="00AF2F7E" w:rsidP="00866B14">
      <w:pPr>
        <w:pStyle w:val="COMParaDecision"/>
        <w:rPr>
          <w:lang w:val="fr-FR"/>
        </w:rPr>
      </w:pPr>
      <w:r w:rsidRPr="00AF2F7E">
        <w:rPr>
          <w:lang w:val="fr-FR"/>
        </w:rPr>
        <w:t>Rappelant</w:t>
      </w:r>
      <w:r>
        <w:rPr>
          <w:u w:val="none"/>
          <w:lang w:val="fr-FR"/>
        </w:rPr>
        <w:t xml:space="preserve"> les a</w:t>
      </w:r>
      <w:r w:rsidRPr="00D66A35">
        <w:rPr>
          <w:u w:val="none"/>
          <w:lang w:val="fr-FR"/>
        </w:rPr>
        <w:t>rticles 7, 29</w:t>
      </w:r>
      <w:r>
        <w:rPr>
          <w:u w:val="none"/>
          <w:lang w:val="fr-FR"/>
        </w:rPr>
        <w:t xml:space="preserve"> et 30 de la</w:t>
      </w:r>
      <w:r w:rsidRPr="00D66A35">
        <w:rPr>
          <w:u w:val="none"/>
          <w:lang w:val="fr-FR"/>
        </w:rPr>
        <w:t xml:space="preserve"> Convention </w:t>
      </w:r>
      <w:r>
        <w:rPr>
          <w:u w:val="none"/>
          <w:lang w:val="fr-FR"/>
        </w:rPr>
        <w:t>consacrés aux rap</w:t>
      </w:r>
      <w:r w:rsidRPr="00D66A35">
        <w:rPr>
          <w:u w:val="none"/>
          <w:lang w:val="fr-FR"/>
        </w:rPr>
        <w:t>ports</w:t>
      </w:r>
      <w:r>
        <w:rPr>
          <w:u w:val="none"/>
          <w:lang w:val="fr-FR"/>
        </w:rPr>
        <w:t xml:space="preserve"> à soumettre par les États parties et le </w:t>
      </w:r>
      <w:r w:rsidR="003223B7">
        <w:rPr>
          <w:u w:val="none"/>
          <w:lang w:val="fr-FR"/>
        </w:rPr>
        <w:t>chapitre </w:t>
      </w:r>
      <w:r>
        <w:rPr>
          <w:u w:val="none"/>
          <w:lang w:val="fr-FR"/>
        </w:rPr>
        <w:t>V des Directives opérationnelles</w:t>
      </w:r>
      <w:r w:rsidRPr="00D66A35">
        <w:rPr>
          <w:u w:val="none"/>
          <w:lang w:val="fr-FR"/>
        </w:rPr>
        <w:t xml:space="preserve">, </w:t>
      </w:r>
      <w:r>
        <w:rPr>
          <w:u w:val="none"/>
          <w:lang w:val="fr-FR"/>
        </w:rPr>
        <w:t xml:space="preserve">ainsi que sa </w:t>
      </w:r>
      <w:hyperlink r:id="rId15" w:history="1">
        <w:r w:rsidRPr="00736354">
          <w:rPr>
            <w:rStyle w:val="Hyperlink"/>
            <w:lang w:val="fr-FR"/>
          </w:rPr>
          <w:t>décision 10.COM 6.a</w:t>
        </w:r>
      </w:hyperlink>
      <w:r>
        <w:rPr>
          <w:u w:val="none"/>
          <w:lang w:val="fr-FR"/>
        </w:rPr>
        <w:t>,</w:t>
      </w:r>
    </w:p>
    <w:p w14:paraId="176BFE20" w14:textId="0C052D00" w:rsidR="00AF2F7E" w:rsidRPr="008367B9" w:rsidRDefault="00AF2F7E" w:rsidP="00866B14">
      <w:pPr>
        <w:pStyle w:val="COMParaDecision"/>
        <w:spacing w:after="100"/>
        <w:rPr>
          <w:lang w:val="fr-FR"/>
        </w:rPr>
      </w:pPr>
      <w:r>
        <w:rPr>
          <w:lang w:val="fr-FR"/>
        </w:rPr>
        <w:t>Exprime sa sincère satisfaction</w:t>
      </w:r>
      <w:r>
        <w:rPr>
          <w:u w:val="none"/>
          <w:lang w:val="fr-FR"/>
        </w:rPr>
        <w:t xml:space="preserve"> aux six États parties qui ont dûment soumis leur rapport périodique pour le cycle de rapports 2016 et </w:t>
      </w:r>
      <w:r w:rsidRPr="00BD56C0">
        <w:rPr>
          <w:lang w:val="fr-FR"/>
        </w:rPr>
        <w:t>demande</w:t>
      </w:r>
      <w:r>
        <w:rPr>
          <w:u w:val="none"/>
          <w:lang w:val="fr-FR"/>
        </w:rPr>
        <w:t xml:space="preserve"> au Secrétariat d’informer</w:t>
      </w:r>
      <w:r w:rsidR="009F624A" w:rsidRPr="009F624A">
        <w:rPr>
          <w:highlight w:val="yellow"/>
          <w:u w:val="none"/>
          <w:lang w:val="fr-FR"/>
        </w:rPr>
        <w:t xml:space="preserve"> </w:t>
      </w:r>
      <w:r w:rsidR="009F624A" w:rsidRPr="00D4732D">
        <w:rPr>
          <w:u w:val="none"/>
          <w:lang w:val="fr-FR"/>
        </w:rPr>
        <w:t>les États parties concernés par le cycle 2018</w:t>
      </w:r>
      <w:r w:rsidRPr="008367B9">
        <w:rPr>
          <w:u w:val="none"/>
          <w:lang w:val="fr-FR"/>
        </w:rPr>
        <w:t xml:space="preserve">, au minimum </w:t>
      </w:r>
      <w:r w:rsidR="00657539" w:rsidRPr="00D4732D">
        <w:rPr>
          <w:u w:val="none"/>
          <w:lang w:val="fr-FR"/>
        </w:rPr>
        <w:t>neuf</w:t>
      </w:r>
      <w:r w:rsidR="00657539" w:rsidRPr="008367B9">
        <w:rPr>
          <w:u w:val="none"/>
          <w:lang w:val="fr-FR"/>
        </w:rPr>
        <w:t xml:space="preserve"> </w:t>
      </w:r>
      <w:r w:rsidRPr="008367B9">
        <w:rPr>
          <w:u w:val="none"/>
          <w:lang w:val="fr-FR"/>
        </w:rPr>
        <w:t xml:space="preserve">mois </w:t>
      </w:r>
      <w:r w:rsidR="003223B7" w:rsidRPr="008367B9">
        <w:rPr>
          <w:u w:val="none"/>
          <w:lang w:val="fr-FR"/>
        </w:rPr>
        <w:t xml:space="preserve">avant </w:t>
      </w:r>
      <w:r w:rsidR="009F624A" w:rsidRPr="00D4732D">
        <w:rPr>
          <w:u w:val="none"/>
          <w:lang w:val="fr-FR"/>
        </w:rPr>
        <w:t>la date limite du</w:t>
      </w:r>
      <w:r w:rsidR="003223B7" w:rsidRPr="008367B9">
        <w:rPr>
          <w:u w:val="none"/>
          <w:lang w:val="fr-FR"/>
        </w:rPr>
        <w:t xml:space="preserve"> 15 décembre 2017</w:t>
      </w:r>
      <w:r w:rsidRPr="008367B9">
        <w:rPr>
          <w:u w:val="none"/>
          <w:lang w:val="fr-FR"/>
        </w:rPr>
        <w:t>, de</w:t>
      </w:r>
      <w:r w:rsidR="008367B9" w:rsidRPr="00D4732D">
        <w:rPr>
          <w:u w:val="none"/>
          <w:lang w:val="fr-FR"/>
        </w:rPr>
        <w:t xml:space="preserve"> la soumission requise de</w:t>
      </w:r>
      <w:r w:rsidRPr="008367B9">
        <w:rPr>
          <w:u w:val="none"/>
          <w:lang w:val="fr-FR"/>
        </w:rPr>
        <w:t xml:space="preserve"> leur rapport périodique dans l’une des deux langues de travail du Comité ou, si possible, dans les deux langues ainsi que dans d’autres langues ;</w:t>
      </w:r>
    </w:p>
    <w:p w14:paraId="7DC4600D" w14:textId="27804B85" w:rsidR="00AF2F7E" w:rsidRPr="00D66A35" w:rsidRDefault="00AF2F7E" w:rsidP="00AF2F7E">
      <w:pPr>
        <w:pStyle w:val="COMParaDecision"/>
        <w:spacing w:after="100"/>
        <w:rPr>
          <w:lang w:val="fr-FR"/>
        </w:rPr>
      </w:pPr>
      <w:r>
        <w:rPr>
          <w:lang w:val="fr-FR"/>
        </w:rPr>
        <w:t>Regrette</w:t>
      </w:r>
      <w:r>
        <w:rPr>
          <w:u w:val="none"/>
          <w:lang w:val="fr-FR"/>
        </w:rPr>
        <w:t xml:space="preserve"> de n’avoir </w:t>
      </w:r>
      <w:r w:rsidR="00722298">
        <w:rPr>
          <w:u w:val="none"/>
          <w:lang w:val="fr-FR"/>
        </w:rPr>
        <w:t xml:space="preserve">pu </w:t>
      </w:r>
      <w:r>
        <w:rPr>
          <w:u w:val="none"/>
          <w:lang w:val="fr-FR"/>
        </w:rPr>
        <w:t>examiner que six rapports pour</w:t>
      </w:r>
      <w:r w:rsidRPr="00693FBB">
        <w:rPr>
          <w:u w:val="none"/>
          <w:lang w:val="fr-FR"/>
        </w:rPr>
        <w:t xml:space="preserve"> le cycle </w:t>
      </w:r>
      <w:r>
        <w:rPr>
          <w:u w:val="none"/>
          <w:lang w:val="fr-FR"/>
        </w:rPr>
        <w:t xml:space="preserve">en cours </w:t>
      </w:r>
      <w:r w:rsidRPr="00693FBB">
        <w:rPr>
          <w:u w:val="none"/>
          <w:lang w:val="fr-FR"/>
        </w:rPr>
        <w:t xml:space="preserve">et </w:t>
      </w:r>
      <w:r>
        <w:rPr>
          <w:lang w:val="fr-FR"/>
        </w:rPr>
        <w:t>encourage</w:t>
      </w:r>
      <w:r w:rsidRPr="00693FBB">
        <w:rPr>
          <w:u w:val="none"/>
          <w:lang w:val="fr-FR"/>
        </w:rPr>
        <w:t xml:space="preserve"> les </w:t>
      </w:r>
      <w:r>
        <w:rPr>
          <w:u w:val="none"/>
          <w:lang w:val="fr-FR"/>
        </w:rPr>
        <w:t xml:space="preserve">31 </w:t>
      </w:r>
      <w:r w:rsidRPr="00693FBB">
        <w:rPr>
          <w:u w:val="none"/>
          <w:lang w:val="fr-FR"/>
        </w:rPr>
        <w:t>États parties qui n</w:t>
      </w:r>
      <w:r>
        <w:rPr>
          <w:u w:val="none"/>
          <w:lang w:val="fr-FR"/>
        </w:rPr>
        <w:t>’</w:t>
      </w:r>
      <w:r w:rsidRPr="00693FBB">
        <w:rPr>
          <w:u w:val="none"/>
          <w:lang w:val="fr-FR"/>
        </w:rPr>
        <w:t xml:space="preserve">ont </w:t>
      </w:r>
      <w:r>
        <w:rPr>
          <w:u w:val="none"/>
          <w:lang w:val="fr-FR"/>
        </w:rPr>
        <w:t xml:space="preserve">pas encore soumis </w:t>
      </w:r>
      <w:r w:rsidR="00722298">
        <w:rPr>
          <w:u w:val="none"/>
          <w:lang w:val="fr-FR"/>
        </w:rPr>
        <w:t>leur rapport à</w:t>
      </w:r>
      <w:r w:rsidRPr="00693FBB">
        <w:rPr>
          <w:u w:val="none"/>
          <w:lang w:val="fr-FR"/>
        </w:rPr>
        <w:t xml:space="preserve"> dûment</w:t>
      </w:r>
      <w:r>
        <w:rPr>
          <w:u w:val="none"/>
          <w:lang w:val="fr-FR"/>
        </w:rPr>
        <w:t xml:space="preserve"> les soumettre dans les meilleurs délais</w:t>
      </w:r>
      <w:r w:rsidR="00722298">
        <w:rPr>
          <w:u w:val="none"/>
          <w:lang w:val="fr-FR"/>
        </w:rPr>
        <w:t>, si possible avant la date du 15 décembre 2016 afin qu’ils soient examinés à sa douzième session en 2017 ;</w:t>
      </w:r>
    </w:p>
    <w:p w14:paraId="7DE6A077" w14:textId="0D6F766F" w:rsidR="00AF2F7E" w:rsidRDefault="00722298" w:rsidP="00866B14">
      <w:pPr>
        <w:pStyle w:val="COMParaDecision"/>
        <w:rPr>
          <w:lang w:val="fr-FR"/>
        </w:rPr>
      </w:pPr>
      <w:r>
        <w:rPr>
          <w:lang w:val="fr-FR"/>
        </w:rPr>
        <w:t>Rappelle</w:t>
      </w:r>
      <w:r>
        <w:rPr>
          <w:u w:val="none"/>
          <w:lang w:val="fr-FR"/>
        </w:rPr>
        <w:t xml:space="preserve"> </w:t>
      </w:r>
      <w:r w:rsidR="003223B7">
        <w:rPr>
          <w:u w:val="none"/>
          <w:lang w:val="fr-FR"/>
        </w:rPr>
        <w:t xml:space="preserve">l’importance </w:t>
      </w:r>
      <w:r w:rsidR="00AE6FBD">
        <w:rPr>
          <w:u w:val="none"/>
          <w:lang w:val="fr-FR"/>
        </w:rPr>
        <w:t>du mécanisme</w:t>
      </w:r>
      <w:r>
        <w:rPr>
          <w:u w:val="none"/>
          <w:lang w:val="fr-FR"/>
        </w:rPr>
        <w:t xml:space="preserve"> de</w:t>
      </w:r>
      <w:r w:rsidR="003223B7">
        <w:rPr>
          <w:u w:val="none"/>
          <w:lang w:val="fr-FR"/>
        </w:rPr>
        <w:t>s</w:t>
      </w:r>
      <w:r>
        <w:rPr>
          <w:u w:val="none"/>
          <w:lang w:val="fr-FR"/>
        </w:rPr>
        <w:t xml:space="preserve"> rapports </w:t>
      </w:r>
      <w:r w:rsidRPr="009F624A">
        <w:rPr>
          <w:u w:val="none"/>
          <w:lang w:val="fr-FR"/>
        </w:rPr>
        <w:t xml:space="preserve">périodiques </w:t>
      </w:r>
      <w:r w:rsidR="003223B7" w:rsidRPr="009F624A">
        <w:rPr>
          <w:u w:val="none"/>
          <w:lang w:val="fr-FR"/>
        </w:rPr>
        <w:t xml:space="preserve">et </w:t>
      </w:r>
      <w:r w:rsidR="00AE6FBD" w:rsidRPr="00D4732D">
        <w:rPr>
          <w:lang w:val="fr-FR"/>
        </w:rPr>
        <w:t>rappelle en outre</w:t>
      </w:r>
      <w:r w:rsidR="00AE6FBD" w:rsidRPr="00D4732D">
        <w:rPr>
          <w:u w:val="none"/>
          <w:lang w:val="fr-FR"/>
        </w:rPr>
        <w:t xml:space="preserve"> </w:t>
      </w:r>
      <w:r w:rsidR="003223B7" w:rsidRPr="009F624A">
        <w:rPr>
          <w:u w:val="none"/>
          <w:lang w:val="fr-FR"/>
        </w:rPr>
        <w:t xml:space="preserve">que </w:t>
      </w:r>
      <w:r w:rsidRPr="009F624A">
        <w:rPr>
          <w:u w:val="none"/>
          <w:lang w:val="fr-FR"/>
        </w:rPr>
        <w:t>les États parties sont vivement encouragés à remplir leurs</w:t>
      </w:r>
      <w:r>
        <w:rPr>
          <w:u w:val="none"/>
          <w:lang w:val="fr-FR"/>
        </w:rPr>
        <w:t xml:space="preserve"> obligations de faire rapport avant de soumettre de nouvelles candidatures ;</w:t>
      </w:r>
    </w:p>
    <w:p w14:paraId="58B4D954" w14:textId="33716A59" w:rsidR="00722298" w:rsidRPr="00722298" w:rsidRDefault="00722298" w:rsidP="000D21E3">
      <w:pPr>
        <w:numPr>
          <w:ilvl w:val="0"/>
          <w:numId w:val="10"/>
        </w:numPr>
        <w:autoSpaceDE w:val="0"/>
        <w:autoSpaceDN w:val="0"/>
        <w:adjustRightInd w:val="0"/>
        <w:spacing w:after="100"/>
        <w:ind w:left="1134" w:hanging="567"/>
        <w:jc w:val="both"/>
        <w:rPr>
          <w:rFonts w:ascii="Arial" w:eastAsia="Arial" w:hAnsi="Arial" w:cs="Arial"/>
          <w:sz w:val="22"/>
          <w:szCs w:val="22"/>
        </w:rPr>
      </w:pPr>
      <w:r w:rsidRPr="00722298">
        <w:rPr>
          <w:rFonts w:ascii="Arial" w:eastAsia="Arial" w:hAnsi="Arial" w:cs="Arial"/>
          <w:sz w:val="22"/>
          <w:szCs w:val="22"/>
          <w:u w:val="single"/>
        </w:rPr>
        <w:t>Encourage</w:t>
      </w:r>
      <w:r w:rsidR="003223B7">
        <w:rPr>
          <w:rFonts w:ascii="Arial" w:eastAsia="Arial" w:hAnsi="Arial" w:cs="Arial"/>
          <w:sz w:val="22"/>
          <w:szCs w:val="22"/>
          <w:u w:val="single"/>
        </w:rPr>
        <w:t xml:space="preserve"> en outre</w:t>
      </w:r>
      <w:r>
        <w:rPr>
          <w:rFonts w:ascii="Arial" w:eastAsia="Arial" w:hAnsi="Arial" w:cs="Arial"/>
          <w:sz w:val="22"/>
          <w:szCs w:val="22"/>
        </w:rPr>
        <w:t xml:space="preserve"> les États parties à impliquer activement les communautés dans la </w:t>
      </w:r>
      <w:r w:rsidRPr="00722298">
        <w:rPr>
          <w:rFonts w:ascii="Arial" w:eastAsia="Arial" w:hAnsi="Arial" w:cs="Arial"/>
          <w:sz w:val="22"/>
          <w:szCs w:val="22"/>
        </w:rPr>
        <w:t>préparation</w:t>
      </w:r>
      <w:r>
        <w:rPr>
          <w:rFonts w:ascii="Arial" w:eastAsia="Arial" w:hAnsi="Arial" w:cs="Arial"/>
          <w:sz w:val="22"/>
          <w:szCs w:val="22"/>
        </w:rPr>
        <w:t xml:space="preserve"> de leurs rapports périodiques et à y inclure les </w:t>
      </w:r>
      <w:r w:rsidRPr="00722298">
        <w:rPr>
          <w:rFonts w:ascii="Arial" w:eastAsia="Arial" w:hAnsi="Arial" w:cs="Arial"/>
          <w:sz w:val="22"/>
          <w:szCs w:val="22"/>
        </w:rPr>
        <w:t>informations</w:t>
      </w:r>
      <w:r>
        <w:rPr>
          <w:rFonts w:ascii="Arial" w:eastAsia="Arial" w:hAnsi="Arial" w:cs="Arial"/>
          <w:sz w:val="22"/>
          <w:szCs w:val="22"/>
        </w:rPr>
        <w:t xml:space="preserve"> pertinentes soumises par les organisations non gouvernementales, les instituts de </w:t>
      </w:r>
      <w:r w:rsidRPr="00722298">
        <w:rPr>
          <w:rFonts w:ascii="Arial" w:eastAsia="Arial" w:hAnsi="Arial" w:cs="Arial"/>
          <w:sz w:val="22"/>
          <w:szCs w:val="22"/>
        </w:rPr>
        <w:t>recherche</w:t>
      </w:r>
      <w:r w:rsidR="002C1761">
        <w:rPr>
          <w:rFonts w:ascii="Arial" w:eastAsia="Arial" w:hAnsi="Arial" w:cs="Arial"/>
          <w:sz w:val="22"/>
          <w:szCs w:val="22"/>
        </w:rPr>
        <w:t xml:space="preserve"> et les centres </w:t>
      </w:r>
      <w:r w:rsidR="003223B7">
        <w:rPr>
          <w:rFonts w:ascii="Arial" w:eastAsia="Arial" w:hAnsi="Arial" w:cs="Arial"/>
          <w:sz w:val="22"/>
          <w:szCs w:val="22"/>
        </w:rPr>
        <w:t>d’expertise </w:t>
      </w:r>
      <w:r>
        <w:rPr>
          <w:rFonts w:ascii="Arial" w:eastAsia="Arial" w:hAnsi="Arial" w:cs="Arial"/>
          <w:sz w:val="22"/>
          <w:szCs w:val="22"/>
        </w:rPr>
        <w:t>;</w:t>
      </w:r>
    </w:p>
    <w:p w14:paraId="5A23F4B9" w14:textId="641C171B" w:rsidR="00722298" w:rsidRPr="00722298" w:rsidRDefault="00722298" w:rsidP="00866B14">
      <w:pPr>
        <w:pStyle w:val="COMParaDecision"/>
        <w:rPr>
          <w:u w:val="none"/>
          <w:lang w:val="fr-FR"/>
        </w:rPr>
      </w:pPr>
      <w:r w:rsidRPr="00722298">
        <w:rPr>
          <w:lang w:val="fr-FR"/>
        </w:rPr>
        <w:t>Accueille avec satisfaction</w:t>
      </w:r>
      <w:r w:rsidRPr="00722298">
        <w:rPr>
          <w:u w:val="none"/>
          <w:lang w:val="fr-FR"/>
        </w:rPr>
        <w:t xml:space="preserve"> l’aperçu et les résumé</w:t>
      </w:r>
      <w:r>
        <w:rPr>
          <w:u w:val="none"/>
          <w:lang w:val="fr-FR"/>
        </w:rPr>
        <w:t>s</w:t>
      </w:r>
      <w:r w:rsidRPr="00722298">
        <w:rPr>
          <w:u w:val="none"/>
          <w:lang w:val="fr-FR"/>
        </w:rPr>
        <w:t xml:space="preserve"> des rapports 2016</w:t>
      </w:r>
      <w:r w:rsidR="00383104">
        <w:rPr>
          <w:u w:val="none"/>
          <w:lang w:val="fr-FR"/>
        </w:rPr>
        <w:t xml:space="preserve"> tels que présentés dans l’annexe du document ITH/16/11.COM/9.a, </w:t>
      </w:r>
      <w:r w:rsidR="00383104" w:rsidRPr="00383104">
        <w:rPr>
          <w:lang w:val="fr-FR"/>
        </w:rPr>
        <w:t>apprécie</w:t>
      </w:r>
      <w:r w:rsidR="00383104">
        <w:rPr>
          <w:u w:val="none"/>
          <w:lang w:val="fr-FR"/>
        </w:rPr>
        <w:t xml:space="preserve"> l’étude approfondie sur les mesures prises par les États parties afin d’intégrer le patrimoine culturel immatériel et sa </w:t>
      </w:r>
      <w:r w:rsidR="00383104" w:rsidRPr="009F624A">
        <w:rPr>
          <w:u w:val="none"/>
          <w:lang w:val="fr-FR"/>
        </w:rPr>
        <w:t>sauvegarde à leurs politiques culturelles et autres</w:t>
      </w:r>
      <w:r w:rsidR="00AE6FBD" w:rsidRPr="009F624A">
        <w:rPr>
          <w:u w:val="none"/>
          <w:lang w:val="fr-FR"/>
        </w:rPr>
        <w:t xml:space="preserve"> politiques</w:t>
      </w:r>
      <w:r w:rsidR="00383104">
        <w:rPr>
          <w:u w:val="none"/>
          <w:lang w:val="fr-FR"/>
        </w:rPr>
        <w:t xml:space="preserve">, et </w:t>
      </w:r>
      <w:r w:rsidR="00383104" w:rsidRPr="000F5428">
        <w:rPr>
          <w:lang w:val="fr-FR"/>
        </w:rPr>
        <w:t>invite</w:t>
      </w:r>
      <w:r w:rsidR="00383104">
        <w:rPr>
          <w:u w:val="none"/>
          <w:lang w:val="fr-FR"/>
        </w:rPr>
        <w:t xml:space="preserve"> les États parties à diffuser le plus largement possible l’annexe auprès de tou</w:t>
      </w:r>
      <w:r w:rsidR="000F5428">
        <w:rPr>
          <w:u w:val="none"/>
          <w:lang w:val="fr-FR"/>
        </w:rPr>
        <w:t>te</w:t>
      </w:r>
      <w:r w:rsidR="00383104">
        <w:rPr>
          <w:u w:val="none"/>
          <w:lang w:val="fr-FR"/>
        </w:rPr>
        <w:t xml:space="preserve">s les </w:t>
      </w:r>
      <w:r w:rsidR="00383104" w:rsidRPr="00383104">
        <w:rPr>
          <w:u w:val="none"/>
          <w:lang w:val="fr-FR"/>
        </w:rPr>
        <w:t>parties prenantes</w:t>
      </w:r>
      <w:r w:rsidR="00383104">
        <w:rPr>
          <w:u w:val="none"/>
          <w:lang w:val="fr-FR"/>
        </w:rPr>
        <w:t xml:space="preserve"> concernées, y compris les organisations non gouvernementales ;</w:t>
      </w:r>
    </w:p>
    <w:p w14:paraId="40C3B9E3" w14:textId="1DC11F37" w:rsidR="00383104" w:rsidRPr="00383104" w:rsidRDefault="00383104" w:rsidP="000D21E3">
      <w:pPr>
        <w:numPr>
          <w:ilvl w:val="0"/>
          <w:numId w:val="10"/>
        </w:numPr>
        <w:autoSpaceDE w:val="0"/>
        <w:autoSpaceDN w:val="0"/>
        <w:adjustRightInd w:val="0"/>
        <w:spacing w:after="100"/>
        <w:ind w:left="1134" w:hanging="567"/>
        <w:jc w:val="both"/>
        <w:rPr>
          <w:rFonts w:ascii="Arial" w:eastAsia="Arial" w:hAnsi="Arial" w:cs="Arial"/>
          <w:sz w:val="22"/>
          <w:szCs w:val="22"/>
        </w:rPr>
      </w:pPr>
      <w:r w:rsidRPr="00383104">
        <w:rPr>
          <w:rFonts w:ascii="Arial" w:eastAsia="Arial" w:hAnsi="Arial" w:cs="Arial"/>
          <w:sz w:val="22"/>
          <w:szCs w:val="22"/>
          <w:u w:val="single"/>
        </w:rPr>
        <w:t>Prend note</w:t>
      </w:r>
      <w:r w:rsidR="00703A45">
        <w:rPr>
          <w:rFonts w:ascii="Arial" w:eastAsia="Arial" w:hAnsi="Arial" w:cs="Arial"/>
          <w:sz w:val="22"/>
          <w:szCs w:val="22"/>
        </w:rPr>
        <w:t xml:space="preserve"> des différents défis rencontrés, </w:t>
      </w:r>
      <w:r w:rsidR="00E1646F">
        <w:rPr>
          <w:rFonts w:ascii="Arial" w:eastAsia="Arial" w:hAnsi="Arial" w:cs="Arial"/>
          <w:sz w:val="22"/>
          <w:szCs w:val="22"/>
        </w:rPr>
        <w:t>expériences vécues</w:t>
      </w:r>
      <w:r>
        <w:rPr>
          <w:rFonts w:ascii="Arial" w:eastAsia="Arial" w:hAnsi="Arial" w:cs="Arial"/>
          <w:sz w:val="22"/>
          <w:szCs w:val="22"/>
        </w:rPr>
        <w:t xml:space="preserve"> </w:t>
      </w:r>
      <w:r w:rsidR="00703A45">
        <w:rPr>
          <w:rFonts w:ascii="Arial" w:eastAsia="Arial" w:hAnsi="Arial" w:cs="Arial"/>
          <w:sz w:val="22"/>
          <w:szCs w:val="22"/>
        </w:rPr>
        <w:t>et</w:t>
      </w:r>
      <w:r>
        <w:rPr>
          <w:rFonts w:ascii="Arial" w:eastAsia="Arial" w:hAnsi="Arial" w:cs="Arial"/>
          <w:sz w:val="22"/>
          <w:szCs w:val="22"/>
        </w:rPr>
        <w:t xml:space="preserve"> leçons tirées par les États parties dans l’intégration du patrimoine culturel immatériel et de sa </w:t>
      </w:r>
      <w:r w:rsidRPr="00383104">
        <w:rPr>
          <w:rFonts w:ascii="Arial" w:eastAsia="Arial" w:hAnsi="Arial" w:cs="Arial"/>
          <w:sz w:val="22"/>
          <w:szCs w:val="22"/>
        </w:rPr>
        <w:t>sauvegarde</w:t>
      </w:r>
      <w:r>
        <w:rPr>
          <w:rFonts w:ascii="Arial" w:eastAsia="Arial" w:hAnsi="Arial" w:cs="Arial"/>
          <w:sz w:val="22"/>
          <w:szCs w:val="22"/>
        </w:rPr>
        <w:t xml:space="preserve"> aux politiques culturelles et autres et </w:t>
      </w:r>
      <w:r w:rsidRPr="00383104">
        <w:rPr>
          <w:rFonts w:ascii="Arial" w:eastAsia="Arial" w:hAnsi="Arial" w:cs="Arial"/>
          <w:sz w:val="22"/>
          <w:szCs w:val="22"/>
          <w:u w:val="single"/>
        </w:rPr>
        <w:t>encourage</w:t>
      </w:r>
      <w:r>
        <w:rPr>
          <w:rFonts w:ascii="Arial" w:eastAsia="Arial" w:hAnsi="Arial" w:cs="Arial"/>
          <w:sz w:val="22"/>
          <w:szCs w:val="22"/>
        </w:rPr>
        <w:t xml:space="preserve"> tous les États parties </w:t>
      </w:r>
      <w:r w:rsidR="00703A45">
        <w:rPr>
          <w:rFonts w:ascii="Arial" w:eastAsia="Arial" w:hAnsi="Arial" w:cs="Arial"/>
          <w:sz w:val="22"/>
          <w:szCs w:val="22"/>
        </w:rPr>
        <w:t>à faire le bilan de ces expériences et à s’en inspirer pour améliorer leur propre approche politique et leur méthodologie en matière de patrimoine culturel immatériel ;</w:t>
      </w:r>
    </w:p>
    <w:p w14:paraId="6A486761" w14:textId="35E720E5" w:rsidR="00703A45" w:rsidRDefault="00703A45" w:rsidP="00C157C1">
      <w:pPr>
        <w:pStyle w:val="COMParaDecision"/>
        <w:rPr>
          <w:lang w:val="fr-FR"/>
        </w:rPr>
      </w:pPr>
      <w:r>
        <w:rPr>
          <w:lang w:val="fr-FR"/>
        </w:rPr>
        <w:t>Invite</w:t>
      </w:r>
      <w:r>
        <w:rPr>
          <w:u w:val="none"/>
          <w:lang w:val="fr-FR"/>
        </w:rPr>
        <w:t xml:space="preserve"> les États parties à accorder une attention toute particulière aux questions de genre et à inclure dans leurs rapports des informations quant au rôle du genre dans les pratiques du patrimoine culturel immatériel ;</w:t>
      </w:r>
    </w:p>
    <w:p w14:paraId="7EE5BD64" w14:textId="0AA66370" w:rsidR="00703A45" w:rsidRPr="00703A45" w:rsidRDefault="00703A45" w:rsidP="00FF70AD">
      <w:pPr>
        <w:numPr>
          <w:ilvl w:val="0"/>
          <w:numId w:val="10"/>
        </w:numPr>
        <w:autoSpaceDE w:val="0"/>
        <w:autoSpaceDN w:val="0"/>
        <w:adjustRightInd w:val="0"/>
        <w:spacing w:after="100"/>
        <w:ind w:left="1134" w:hanging="567"/>
        <w:jc w:val="both"/>
        <w:rPr>
          <w:rFonts w:ascii="Arial" w:eastAsia="Arial" w:hAnsi="Arial" w:cs="Arial"/>
          <w:sz w:val="22"/>
          <w:szCs w:val="22"/>
        </w:rPr>
      </w:pPr>
      <w:r w:rsidRPr="00703A45">
        <w:rPr>
          <w:rFonts w:ascii="Arial" w:eastAsia="Arial" w:hAnsi="Arial" w:cs="Arial"/>
          <w:sz w:val="22"/>
          <w:szCs w:val="22"/>
          <w:u w:val="single"/>
        </w:rPr>
        <w:t>Demande</w:t>
      </w:r>
      <w:r w:rsidR="003223B7">
        <w:rPr>
          <w:rFonts w:ascii="Arial" w:eastAsia="Arial" w:hAnsi="Arial" w:cs="Arial"/>
          <w:sz w:val="22"/>
          <w:szCs w:val="22"/>
          <w:u w:val="single"/>
        </w:rPr>
        <w:t xml:space="preserve"> aussi</w:t>
      </w:r>
      <w:r>
        <w:rPr>
          <w:rFonts w:ascii="Arial" w:eastAsia="Arial" w:hAnsi="Arial" w:cs="Arial"/>
          <w:sz w:val="22"/>
          <w:szCs w:val="22"/>
        </w:rPr>
        <w:t xml:space="preserve"> au Secrétariat de préparer une </w:t>
      </w:r>
      <w:r w:rsidR="003223B7">
        <w:rPr>
          <w:rFonts w:ascii="Arial" w:eastAsia="Arial" w:hAnsi="Arial" w:cs="Arial"/>
          <w:sz w:val="22"/>
          <w:szCs w:val="22"/>
        </w:rPr>
        <w:t>analyse</w:t>
      </w:r>
      <w:r>
        <w:rPr>
          <w:rFonts w:ascii="Arial" w:eastAsia="Arial" w:hAnsi="Arial" w:cs="Arial"/>
          <w:sz w:val="22"/>
          <w:szCs w:val="22"/>
        </w:rPr>
        <w:t xml:space="preserve"> </w:t>
      </w:r>
      <w:r w:rsidR="00EB60E1">
        <w:rPr>
          <w:rFonts w:ascii="Arial" w:eastAsia="Arial" w:hAnsi="Arial" w:cs="Arial"/>
          <w:sz w:val="22"/>
          <w:szCs w:val="22"/>
        </w:rPr>
        <w:t xml:space="preserve">avec une étude </w:t>
      </w:r>
      <w:r>
        <w:rPr>
          <w:rFonts w:ascii="Arial" w:eastAsia="Arial" w:hAnsi="Arial" w:cs="Arial"/>
          <w:sz w:val="22"/>
          <w:szCs w:val="22"/>
        </w:rPr>
        <w:t>approfondie sur les mesures prises par les États parties</w:t>
      </w:r>
      <w:r w:rsidR="00840D35">
        <w:rPr>
          <w:rFonts w:ascii="Arial" w:eastAsia="Arial" w:hAnsi="Arial" w:cs="Arial"/>
          <w:sz w:val="22"/>
          <w:szCs w:val="22"/>
        </w:rPr>
        <w:t xml:space="preserve"> afin d’établir et </w:t>
      </w:r>
      <w:r w:rsidR="00E1646F">
        <w:rPr>
          <w:rFonts w:ascii="Arial" w:eastAsia="Arial" w:hAnsi="Arial" w:cs="Arial"/>
          <w:sz w:val="22"/>
          <w:szCs w:val="22"/>
        </w:rPr>
        <w:t xml:space="preserve">de </w:t>
      </w:r>
      <w:r w:rsidR="00840D35">
        <w:rPr>
          <w:rFonts w:ascii="Arial" w:eastAsia="Arial" w:hAnsi="Arial" w:cs="Arial"/>
          <w:sz w:val="22"/>
          <w:szCs w:val="22"/>
        </w:rPr>
        <w:t>renforcer, dans</w:t>
      </w:r>
      <w:r>
        <w:rPr>
          <w:rFonts w:ascii="Arial" w:eastAsia="Arial" w:hAnsi="Arial" w:cs="Arial"/>
          <w:sz w:val="22"/>
          <w:szCs w:val="22"/>
        </w:rPr>
        <w:t xml:space="preserve"> leurs </w:t>
      </w:r>
      <w:r w:rsidRPr="00703A45">
        <w:rPr>
          <w:rFonts w:ascii="Arial" w:eastAsia="Arial" w:hAnsi="Arial" w:cs="Arial"/>
          <w:sz w:val="22"/>
          <w:szCs w:val="22"/>
        </w:rPr>
        <w:t>territoire</w:t>
      </w:r>
      <w:r>
        <w:rPr>
          <w:rFonts w:ascii="Arial" w:eastAsia="Arial" w:hAnsi="Arial" w:cs="Arial"/>
          <w:sz w:val="22"/>
          <w:szCs w:val="22"/>
        </w:rPr>
        <w:t>s respectifs</w:t>
      </w:r>
      <w:r w:rsidR="00E1646F">
        <w:rPr>
          <w:rFonts w:ascii="Arial" w:eastAsia="Arial" w:hAnsi="Arial" w:cs="Arial"/>
          <w:sz w:val="22"/>
          <w:szCs w:val="22"/>
        </w:rPr>
        <w:t>, l</w:t>
      </w:r>
      <w:r>
        <w:rPr>
          <w:rFonts w:ascii="Arial" w:eastAsia="Arial" w:hAnsi="Arial" w:cs="Arial"/>
          <w:sz w:val="22"/>
          <w:szCs w:val="22"/>
        </w:rPr>
        <w:t xml:space="preserve">es </w:t>
      </w:r>
      <w:r w:rsidRPr="00703A45">
        <w:rPr>
          <w:rFonts w:ascii="Arial" w:eastAsia="Arial" w:hAnsi="Arial" w:cs="Arial"/>
          <w:sz w:val="22"/>
          <w:szCs w:val="22"/>
        </w:rPr>
        <w:t>capacités</w:t>
      </w:r>
      <w:r>
        <w:rPr>
          <w:rFonts w:ascii="Arial" w:eastAsia="Arial" w:hAnsi="Arial" w:cs="Arial"/>
          <w:sz w:val="22"/>
          <w:szCs w:val="22"/>
        </w:rPr>
        <w:t xml:space="preserve"> dans le domaine de la </w:t>
      </w:r>
      <w:r w:rsidRPr="00703A45">
        <w:rPr>
          <w:rFonts w:ascii="Arial" w:eastAsia="Arial" w:hAnsi="Arial" w:cs="Arial"/>
          <w:sz w:val="22"/>
          <w:szCs w:val="22"/>
        </w:rPr>
        <w:t>sauvegarde</w:t>
      </w:r>
      <w:r>
        <w:rPr>
          <w:rFonts w:ascii="Arial" w:eastAsia="Arial" w:hAnsi="Arial" w:cs="Arial"/>
          <w:sz w:val="22"/>
          <w:szCs w:val="22"/>
        </w:rPr>
        <w:t xml:space="preserve"> du patrimoine </w:t>
      </w:r>
      <w:r>
        <w:rPr>
          <w:rFonts w:ascii="Arial" w:eastAsia="Arial" w:hAnsi="Arial" w:cs="Arial"/>
          <w:sz w:val="22"/>
          <w:szCs w:val="22"/>
        </w:rPr>
        <w:lastRenderedPageBreak/>
        <w:t>culturel immatériel</w:t>
      </w:r>
      <w:r w:rsidR="00840D35">
        <w:rPr>
          <w:rFonts w:ascii="Arial" w:eastAsia="Arial" w:hAnsi="Arial" w:cs="Arial"/>
          <w:sz w:val="22"/>
          <w:szCs w:val="22"/>
        </w:rPr>
        <w:t xml:space="preserve">, ainsi qu’un résumé de chaque rapport soumis à l’occasion du cycle 2017 et </w:t>
      </w:r>
      <w:r w:rsidR="000F5428">
        <w:rPr>
          <w:rFonts w:ascii="Arial" w:eastAsia="Arial" w:hAnsi="Arial" w:cs="Arial"/>
          <w:sz w:val="22"/>
          <w:szCs w:val="22"/>
        </w:rPr>
        <w:t>d’intégrer ces éléments dans l’</w:t>
      </w:r>
      <w:r w:rsidR="00EB60E1">
        <w:rPr>
          <w:rFonts w:ascii="Arial" w:eastAsia="Arial" w:hAnsi="Arial" w:cs="Arial"/>
          <w:sz w:val="22"/>
          <w:szCs w:val="22"/>
        </w:rPr>
        <w:t>a</w:t>
      </w:r>
      <w:r w:rsidR="00840D35">
        <w:rPr>
          <w:rFonts w:ascii="Arial" w:eastAsia="Arial" w:hAnsi="Arial" w:cs="Arial"/>
          <w:sz w:val="22"/>
          <w:szCs w:val="22"/>
        </w:rPr>
        <w:t>perçu et les résumés des rapports 2017 ;</w:t>
      </w:r>
    </w:p>
    <w:p w14:paraId="17337DDF" w14:textId="3EBE4416" w:rsidR="00840D35" w:rsidRDefault="004C6F03" w:rsidP="00866B14">
      <w:pPr>
        <w:pStyle w:val="COMParaDecision"/>
        <w:rPr>
          <w:lang w:val="fr-FR"/>
        </w:rPr>
      </w:pPr>
      <w:r>
        <w:rPr>
          <w:lang w:val="fr-FR"/>
        </w:rPr>
        <w:t>Décide</w:t>
      </w:r>
      <w:r>
        <w:rPr>
          <w:u w:val="none"/>
          <w:lang w:val="fr-FR"/>
        </w:rPr>
        <w:t xml:space="preserve"> de soumett</w:t>
      </w:r>
      <w:r w:rsidR="000F5428">
        <w:rPr>
          <w:u w:val="none"/>
          <w:lang w:val="fr-FR"/>
        </w:rPr>
        <w:t>re à l’Assemblée générale l’ « A</w:t>
      </w:r>
      <w:r>
        <w:rPr>
          <w:u w:val="none"/>
          <w:lang w:val="fr-FR"/>
        </w:rPr>
        <w:t xml:space="preserve">perçu et les résumés des rapports 2016 des États parties sur la mise en œuvre de la </w:t>
      </w:r>
      <w:r w:rsidRPr="004C6F03">
        <w:rPr>
          <w:u w:val="none"/>
          <w:lang w:val="fr-FR"/>
        </w:rPr>
        <w:t>Convention</w:t>
      </w:r>
      <w:r>
        <w:rPr>
          <w:u w:val="none"/>
          <w:lang w:val="fr-FR"/>
        </w:rPr>
        <w:t xml:space="preserve"> et sur l’état actuel des éléments inscrits sur la Liste représentative ».</w:t>
      </w:r>
    </w:p>
    <w:p w14:paraId="3C2D7BE0" w14:textId="4CE21C0A" w:rsidR="00866B14" w:rsidRPr="00FB2680" w:rsidRDefault="00866B14" w:rsidP="00866B14">
      <w:pPr>
        <w:pageBreakBefore/>
        <w:autoSpaceDE w:val="0"/>
        <w:autoSpaceDN w:val="0"/>
        <w:adjustRightInd w:val="0"/>
        <w:spacing w:after="120"/>
        <w:ind w:left="567"/>
        <w:jc w:val="center"/>
        <w:rPr>
          <w:rFonts w:ascii="Arial" w:hAnsi="Arial" w:cs="Arial"/>
          <w:b/>
          <w:sz w:val="22"/>
          <w:szCs w:val="22"/>
        </w:rPr>
      </w:pPr>
      <w:r w:rsidRPr="00FB2680">
        <w:rPr>
          <w:rFonts w:ascii="Arial" w:hAnsi="Arial" w:cs="Arial"/>
          <w:b/>
          <w:sz w:val="22"/>
          <w:szCs w:val="22"/>
        </w:rPr>
        <w:lastRenderedPageBreak/>
        <w:t>ANNEX</w:t>
      </w:r>
      <w:r w:rsidR="00FB2680" w:rsidRPr="00FB2680">
        <w:rPr>
          <w:rFonts w:ascii="Arial" w:hAnsi="Arial" w:cs="Arial"/>
          <w:b/>
          <w:sz w:val="22"/>
          <w:szCs w:val="22"/>
        </w:rPr>
        <w:t>E</w:t>
      </w:r>
    </w:p>
    <w:p w14:paraId="37F6090E" w14:textId="12035966" w:rsidR="00866B14" w:rsidRPr="00FB2680" w:rsidRDefault="00FB2680" w:rsidP="00866B14">
      <w:pPr>
        <w:autoSpaceDE w:val="0"/>
        <w:autoSpaceDN w:val="0"/>
        <w:adjustRightInd w:val="0"/>
        <w:spacing w:before="120" w:after="120"/>
        <w:ind w:left="567"/>
        <w:jc w:val="center"/>
        <w:rPr>
          <w:rFonts w:ascii="Arial" w:hAnsi="Arial" w:cs="Arial"/>
          <w:b/>
          <w:sz w:val="22"/>
          <w:szCs w:val="22"/>
        </w:rPr>
      </w:pPr>
      <w:r w:rsidRPr="00FB2680">
        <w:rPr>
          <w:rFonts w:ascii="Arial" w:hAnsi="Arial" w:cs="Arial"/>
          <w:b/>
          <w:sz w:val="22"/>
          <w:szCs w:val="22"/>
        </w:rPr>
        <w:t xml:space="preserve">Aperçu et résumés </w:t>
      </w:r>
      <w:r>
        <w:rPr>
          <w:rFonts w:ascii="Arial" w:hAnsi="Arial" w:cs="Arial"/>
          <w:b/>
          <w:sz w:val="22"/>
          <w:szCs w:val="22"/>
        </w:rPr>
        <w:t xml:space="preserve">des rapports 2016 des États parties </w:t>
      </w:r>
      <w:r>
        <w:rPr>
          <w:rFonts w:ascii="Arial" w:hAnsi="Arial" w:cs="Arial"/>
          <w:b/>
          <w:sz w:val="22"/>
          <w:szCs w:val="22"/>
        </w:rPr>
        <w:br/>
        <w:t xml:space="preserve">sur la mise en œuvre de la </w:t>
      </w:r>
      <w:r w:rsidRPr="00FB2680">
        <w:rPr>
          <w:rFonts w:ascii="Arial" w:hAnsi="Arial" w:cs="Arial"/>
          <w:b/>
          <w:sz w:val="22"/>
          <w:szCs w:val="22"/>
        </w:rPr>
        <w:t>Convention</w:t>
      </w:r>
      <w:r w:rsidR="00840D35">
        <w:rPr>
          <w:rFonts w:ascii="Arial" w:hAnsi="Arial" w:cs="Arial"/>
          <w:b/>
          <w:sz w:val="22"/>
          <w:szCs w:val="22"/>
        </w:rPr>
        <w:t xml:space="preserve"> </w:t>
      </w:r>
      <w:r w:rsidR="00840D35">
        <w:rPr>
          <w:rFonts w:ascii="Arial" w:hAnsi="Arial" w:cs="Arial"/>
          <w:b/>
          <w:sz w:val="22"/>
          <w:szCs w:val="22"/>
        </w:rPr>
        <w:br/>
        <w:t>et sur l’état actuel des éléments inscrits sur la</w:t>
      </w:r>
      <w:r>
        <w:rPr>
          <w:rFonts w:ascii="Arial" w:hAnsi="Arial" w:cs="Arial"/>
          <w:b/>
          <w:sz w:val="22"/>
          <w:szCs w:val="22"/>
        </w:rPr>
        <w:t xml:space="preserve"> Liste représentative</w:t>
      </w:r>
    </w:p>
    <w:p w14:paraId="74C63F44" w14:textId="77777777" w:rsidR="00866B14" w:rsidRPr="00FF15CC" w:rsidRDefault="00866B14" w:rsidP="00866B14">
      <w:pPr>
        <w:keepNext/>
        <w:numPr>
          <w:ilvl w:val="0"/>
          <w:numId w:val="13"/>
        </w:numPr>
        <w:autoSpaceDE w:val="0"/>
        <w:autoSpaceDN w:val="0"/>
        <w:adjustRightInd w:val="0"/>
        <w:spacing w:before="360" w:after="120"/>
        <w:ind w:left="567" w:hanging="567"/>
        <w:jc w:val="both"/>
        <w:rPr>
          <w:rFonts w:ascii="Arial" w:hAnsi="Arial" w:cs="Arial"/>
          <w:b/>
          <w:bCs/>
          <w:sz w:val="22"/>
          <w:szCs w:val="22"/>
          <w:lang w:val="en-GB"/>
        </w:rPr>
      </w:pPr>
      <w:r w:rsidRPr="00FF15CC">
        <w:rPr>
          <w:rFonts w:ascii="Arial" w:hAnsi="Arial" w:cs="Arial"/>
          <w:b/>
          <w:bCs/>
          <w:sz w:val="22"/>
          <w:szCs w:val="22"/>
          <w:lang w:val="en-GB"/>
        </w:rPr>
        <w:t>Introduction</w:t>
      </w:r>
    </w:p>
    <w:p w14:paraId="13286EB7" w14:textId="53E7B650" w:rsidR="00FB2680" w:rsidRPr="00CA34BC" w:rsidRDefault="00FB2680" w:rsidP="00FB2680">
      <w:pPr>
        <w:pStyle w:val="Marge"/>
        <w:numPr>
          <w:ilvl w:val="0"/>
          <w:numId w:val="14"/>
        </w:numPr>
        <w:spacing w:after="120"/>
        <w:ind w:left="567" w:hanging="567"/>
        <w:rPr>
          <w:rFonts w:cs="Arial"/>
          <w:szCs w:val="22"/>
        </w:rPr>
      </w:pPr>
      <w:r w:rsidRPr="00CA34BC">
        <w:rPr>
          <w:snapToGrid/>
          <w:szCs w:val="22"/>
        </w:rPr>
        <w:t>Les rapports périodiques permettent d’évaluer la mise en œuvre au niveau national de la Convention de 2003 pour la sauvegarde du patrimoine culturel immatériel, de rendre compte des différentes expériences des États parties dans la sauvegarde d</w:t>
      </w:r>
      <w:r w:rsidR="00596C79">
        <w:rPr>
          <w:snapToGrid/>
          <w:szCs w:val="22"/>
        </w:rPr>
        <w:t>e le</w:t>
      </w:r>
      <w:r w:rsidRPr="00CA34BC">
        <w:rPr>
          <w:snapToGrid/>
          <w:szCs w:val="22"/>
        </w:rPr>
        <w:t>u</w:t>
      </w:r>
      <w:r w:rsidR="00596C79">
        <w:rPr>
          <w:snapToGrid/>
          <w:szCs w:val="22"/>
        </w:rPr>
        <w:t>r</w:t>
      </w:r>
      <w:r w:rsidRPr="00CA34BC">
        <w:rPr>
          <w:snapToGrid/>
          <w:szCs w:val="22"/>
        </w:rPr>
        <w:t xml:space="preserve"> patrimoine culturel immatériel, d’étudier l’état des éléments inscrits sur la Liste représentative</w:t>
      </w:r>
      <w:r w:rsidR="00596C79">
        <w:rPr>
          <w:snapToGrid/>
          <w:szCs w:val="22"/>
        </w:rPr>
        <w:t xml:space="preserve"> du patrimoine culturel immatériel de l’humanité (ci-après la « Liste représentative »)</w:t>
      </w:r>
      <w:r w:rsidRPr="00CA34BC">
        <w:rPr>
          <w:snapToGrid/>
          <w:szCs w:val="22"/>
        </w:rPr>
        <w:t xml:space="preserve"> et les éventuelles conséquences de leur</w:t>
      </w:r>
      <w:r w:rsidR="000F5428">
        <w:rPr>
          <w:snapToGrid/>
          <w:szCs w:val="22"/>
        </w:rPr>
        <w:t xml:space="preserve"> inscription sur leur viabilité</w:t>
      </w:r>
      <w:r w:rsidRPr="00CA34BC">
        <w:rPr>
          <w:snapToGrid/>
          <w:szCs w:val="22"/>
        </w:rPr>
        <w:t>, de mettre à jour les informations sur les inventaires du patrimoine culturel immatériel, et de faciliter les échanges d’informations sur les politiques et les cadres institutionnels nationaux. Comme les précédents cycles en témoignent, l</w:t>
      </w:r>
      <w:r w:rsidR="009B5B52">
        <w:rPr>
          <w:snapToGrid/>
          <w:szCs w:val="22"/>
        </w:rPr>
        <w:t>a préparation d</w:t>
      </w:r>
      <w:r w:rsidRPr="00CA34BC">
        <w:rPr>
          <w:snapToGrid/>
          <w:szCs w:val="22"/>
        </w:rPr>
        <w:t xml:space="preserve">es rapports peut également offrir une opportunité importante aux États parties d’identifier les problèmes courants rencontrés dans la mise en œuvre de la Convention et de définir des stratégies spécifiques afin de résoudre ces problèmes. </w:t>
      </w:r>
      <w:r w:rsidR="009B5B52">
        <w:rPr>
          <w:snapToGrid/>
          <w:szCs w:val="22"/>
        </w:rPr>
        <w:t>La pertinence</w:t>
      </w:r>
      <w:r w:rsidR="009B5B52" w:rsidRPr="00CA34BC">
        <w:rPr>
          <w:snapToGrid/>
          <w:szCs w:val="22"/>
        </w:rPr>
        <w:t xml:space="preserve"> </w:t>
      </w:r>
      <w:r w:rsidRPr="00CA34BC">
        <w:rPr>
          <w:snapToGrid/>
          <w:szCs w:val="22"/>
        </w:rPr>
        <w:t xml:space="preserve">des rapports périodiques a été soulignée dans les débats et les décisions de l’Assemblée générale et du Comité intergouvernemental, </w:t>
      </w:r>
      <w:r w:rsidRPr="00CA34BC">
        <w:rPr>
          <w:rFonts w:cs="Arial"/>
          <w:snapToGrid/>
          <w:szCs w:val="22"/>
        </w:rPr>
        <w:t xml:space="preserve">en particulier par les décisions relatives à ce sujet </w:t>
      </w:r>
      <w:r w:rsidRPr="00CA34BC">
        <w:rPr>
          <w:snapToGrid/>
          <w:szCs w:val="22"/>
        </w:rPr>
        <w:t>(</w:t>
      </w:r>
      <w:hyperlink r:id="rId16" w:history="1">
        <w:r w:rsidR="00F43449">
          <w:rPr>
            <w:rStyle w:val="Hyperlink"/>
            <w:snapToGrid/>
            <w:szCs w:val="22"/>
          </w:rPr>
          <w:t>décision</w:t>
        </w:r>
        <w:r w:rsidR="00F43449" w:rsidRPr="00F43449">
          <w:rPr>
            <w:rStyle w:val="Hyperlink"/>
            <w:snapToGrid/>
            <w:szCs w:val="22"/>
          </w:rPr>
          <w:t> </w:t>
        </w:r>
        <w:r w:rsidRPr="00CA34BC">
          <w:rPr>
            <w:rStyle w:val="Hyperlink"/>
            <w:snapToGrid/>
            <w:szCs w:val="22"/>
          </w:rPr>
          <w:t>6.COM</w:t>
        </w:r>
        <w:r w:rsidR="00F43449" w:rsidRPr="00F43449">
          <w:rPr>
            <w:rStyle w:val="Hyperlink"/>
            <w:snapToGrid/>
            <w:szCs w:val="22"/>
          </w:rPr>
          <w:t> </w:t>
        </w:r>
        <w:r w:rsidRPr="00CA34BC">
          <w:rPr>
            <w:rStyle w:val="Hyperlink"/>
            <w:snapToGrid/>
            <w:szCs w:val="22"/>
          </w:rPr>
          <w:t>6</w:t>
        </w:r>
      </w:hyperlink>
      <w:r w:rsidRPr="00CA34BC">
        <w:rPr>
          <w:snapToGrid/>
          <w:szCs w:val="22"/>
        </w:rPr>
        <w:t xml:space="preserve"> en 2011, </w:t>
      </w:r>
      <w:hyperlink r:id="rId17" w:history="1">
        <w:r w:rsidRPr="00CA34BC">
          <w:rPr>
            <w:rStyle w:val="Hyperlink"/>
            <w:snapToGrid/>
            <w:szCs w:val="22"/>
          </w:rPr>
          <w:t>décision</w:t>
        </w:r>
        <w:r w:rsidR="00F43449" w:rsidRPr="00F43449">
          <w:rPr>
            <w:rStyle w:val="Hyperlink"/>
            <w:snapToGrid/>
            <w:szCs w:val="22"/>
          </w:rPr>
          <w:t> </w:t>
        </w:r>
        <w:r w:rsidRPr="00CA34BC">
          <w:rPr>
            <w:rStyle w:val="Hyperlink"/>
            <w:snapToGrid/>
            <w:szCs w:val="22"/>
          </w:rPr>
          <w:t>7.COM</w:t>
        </w:r>
        <w:r w:rsidR="00F43449" w:rsidRPr="00F43449">
          <w:rPr>
            <w:rStyle w:val="Hyperlink"/>
            <w:snapToGrid/>
            <w:szCs w:val="22"/>
          </w:rPr>
          <w:t> </w:t>
        </w:r>
        <w:r w:rsidRPr="00CA34BC">
          <w:rPr>
            <w:rStyle w:val="Hyperlink"/>
            <w:snapToGrid/>
            <w:szCs w:val="22"/>
          </w:rPr>
          <w:t>6</w:t>
        </w:r>
      </w:hyperlink>
      <w:r w:rsidRPr="00CA34BC">
        <w:rPr>
          <w:snapToGrid/>
          <w:szCs w:val="22"/>
        </w:rPr>
        <w:t xml:space="preserve"> en 2012, </w:t>
      </w:r>
      <w:hyperlink r:id="rId18" w:history="1">
        <w:r w:rsidRPr="00CA34BC">
          <w:rPr>
            <w:rStyle w:val="Hyperlink"/>
            <w:snapToGrid/>
            <w:szCs w:val="22"/>
          </w:rPr>
          <w:t>décision</w:t>
        </w:r>
        <w:r w:rsidR="00F43449" w:rsidRPr="00F43449">
          <w:rPr>
            <w:rStyle w:val="Hyperlink"/>
            <w:snapToGrid/>
            <w:szCs w:val="22"/>
          </w:rPr>
          <w:t> </w:t>
        </w:r>
        <w:r w:rsidRPr="00CA34BC">
          <w:rPr>
            <w:rStyle w:val="Hyperlink"/>
            <w:snapToGrid/>
            <w:szCs w:val="22"/>
          </w:rPr>
          <w:t>8.COM</w:t>
        </w:r>
        <w:r w:rsidR="009B5B52">
          <w:rPr>
            <w:rStyle w:val="Hyperlink"/>
            <w:snapToGrid/>
            <w:szCs w:val="22"/>
          </w:rPr>
          <w:t> </w:t>
        </w:r>
        <w:r w:rsidRPr="00CA34BC">
          <w:rPr>
            <w:rStyle w:val="Hyperlink"/>
            <w:snapToGrid/>
            <w:szCs w:val="22"/>
          </w:rPr>
          <w:t>6.a</w:t>
        </w:r>
      </w:hyperlink>
      <w:r w:rsidR="00F43449">
        <w:rPr>
          <w:snapToGrid/>
          <w:szCs w:val="22"/>
        </w:rPr>
        <w:t xml:space="preserve"> en 2013,</w:t>
      </w:r>
      <w:r w:rsidRPr="00CA34BC">
        <w:rPr>
          <w:snapToGrid/>
          <w:szCs w:val="22"/>
        </w:rPr>
        <w:t xml:space="preserve"> </w:t>
      </w:r>
      <w:hyperlink r:id="rId19" w:history="1">
        <w:r w:rsidRPr="00CA34BC">
          <w:rPr>
            <w:rStyle w:val="Hyperlink"/>
            <w:snapToGrid/>
            <w:szCs w:val="22"/>
          </w:rPr>
          <w:t>décision</w:t>
        </w:r>
        <w:r w:rsidR="00F43449" w:rsidRPr="00F43449">
          <w:rPr>
            <w:rStyle w:val="Hyperlink"/>
            <w:snapToGrid/>
            <w:szCs w:val="22"/>
          </w:rPr>
          <w:t> </w:t>
        </w:r>
        <w:r w:rsidRPr="00CA34BC">
          <w:rPr>
            <w:rStyle w:val="Hyperlink"/>
            <w:snapToGrid/>
            <w:szCs w:val="22"/>
          </w:rPr>
          <w:t>9.COM</w:t>
        </w:r>
        <w:r w:rsidR="00F43449" w:rsidRPr="00F43449">
          <w:rPr>
            <w:rStyle w:val="Hyperlink"/>
            <w:snapToGrid/>
            <w:szCs w:val="22"/>
          </w:rPr>
          <w:t> </w:t>
        </w:r>
        <w:r w:rsidRPr="00CA34BC">
          <w:rPr>
            <w:rStyle w:val="Hyperlink"/>
            <w:snapToGrid/>
            <w:szCs w:val="22"/>
          </w:rPr>
          <w:t>5.a</w:t>
        </w:r>
      </w:hyperlink>
      <w:r w:rsidRPr="00CA34BC">
        <w:rPr>
          <w:rStyle w:val="Hyperlink"/>
          <w:snapToGrid/>
          <w:color w:val="auto"/>
          <w:szCs w:val="22"/>
          <w:u w:val="none"/>
        </w:rPr>
        <w:t xml:space="preserve"> en 2014 et </w:t>
      </w:r>
      <w:hyperlink r:id="rId20" w:history="1">
        <w:r w:rsidR="00CA34BC" w:rsidRPr="00CA34BC">
          <w:rPr>
            <w:rStyle w:val="Hyperlink"/>
            <w:rFonts w:cs="Arial"/>
            <w:szCs w:val="22"/>
          </w:rPr>
          <w:t>décision</w:t>
        </w:r>
        <w:r w:rsidR="00F43449">
          <w:rPr>
            <w:rStyle w:val="Hyperlink"/>
            <w:rFonts w:eastAsia="Malgun Gothic" w:cs="Arial" w:hint="eastAsia"/>
            <w:szCs w:val="22"/>
            <w:lang w:eastAsia="ko-KR"/>
          </w:rPr>
          <w:t> </w:t>
        </w:r>
        <w:r w:rsidR="00CA34BC" w:rsidRPr="00CA34BC">
          <w:rPr>
            <w:rStyle w:val="Hyperlink"/>
            <w:rFonts w:cs="Arial"/>
            <w:szCs w:val="22"/>
          </w:rPr>
          <w:t>10.COM 6.a</w:t>
        </w:r>
      </w:hyperlink>
      <w:r w:rsidR="00CA34BC" w:rsidRPr="00CA34BC">
        <w:rPr>
          <w:rStyle w:val="Hyperlink"/>
          <w:rFonts w:cs="Arial"/>
          <w:szCs w:val="22"/>
          <w:u w:val="none"/>
        </w:rPr>
        <w:t xml:space="preserve"> </w:t>
      </w:r>
      <w:r w:rsidR="00CA34BC" w:rsidRPr="00CA34BC">
        <w:rPr>
          <w:rStyle w:val="Hyperlink"/>
          <w:rFonts w:cs="Arial"/>
          <w:color w:val="auto"/>
          <w:szCs w:val="22"/>
          <w:u w:val="none"/>
        </w:rPr>
        <w:t>en 2015</w:t>
      </w:r>
      <w:r w:rsidRPr="00CA34BC">
        <w:rPr>
          <w:snapToGrid/>
          <w:szCs w:val="22"/>
        </w:rPr>
        <w:t>).</w:t>
      </w:r>
    </w:p>
    <w:p w14:paraId="74760418" w14:textId="7C1ECFDE" w:rsidR="00866B14" w:rsidRPr="007F0CB8" w:rsidRDefault="00CA34BC" w:rsidP="00866B14">
      <w:pPr>
        <w:pStyle w:val="Marge"/>
        <w:numPr>
          <w:ilvl w:val="0"/>
          <w:numId w:val="14"/>
        </w:numPr>
        <w:spacing w:after="120"/>
        <w:ind w:left="567" w:hanging="567"/>
        <w:rPr>
          <w:rStyle w:val="Hyperlink"/>
          <w:rFonts w:cs="Arial"/>
          <w:color w:val="auto"/>
          <w:szCs w:val="22"/>
          <w:u w:val="none"/>
        </w:rPr>
      </w:pPr>
      <w:r w:rsidRPr="00CA34BC">
        <w:rPr>
          <w:rFonts w:cs="Arial"/>
          <w:szCs w:val="22"/>
        </w:rPr>
        <w:t>À ce jour, il y a eu cinq cycles de rapports périodiques (2011</w:t>
      </w:r>
      <w:r w:rsidR="00F43449" w:rsidRPr="00F43449">
        <w:rPr>
          <w:rFonts w:cs="Arial"/>
          <w:szCs w:val="22"/>
        </w:rPr>
        <w:t xml:space="preserve"> </w:t>
      </w:r>
      <w:r w:rsidRPr="00CA34BC">
        <w:rPr>
          <w:rFonts w:cs="Arial"/>
          <w:szCs w:val="22"/>
        </w:rPr>
        <w:t xml:space="preserve">– 2015). Les aperçus de tous les rapports soumis jusqu’alors ont </w:t>
      </w:r>
      <w:r w:rsidR="009B5B52">
        <w:rPr>
          <w:rFonts w:cs="Arial"/>
          <w:szCs w:val="22"/>
        </w:rPr>
        <w:t xml:space="preserve">déjà </w:t>
      </w:r>
      <w:r w:rsidRPr="00CA34BC">
        <w:rPr>
          <w:rFonts w:cs="Arial"/>
          <w:szCs w:val="22"/>
        </w:rPr>
        <w:t xml:space="preserve">été présentés à l’Assemblée générale, comme ce fut le cas récemment pour les cycles de rapports 2014 et 2015 examinés lors de la sixième session de l’Assemblée générale en mai/juin 2016 (Section V. du </w:t>
      </w:r>
      <w:hyperlink r:id="rId21" w:history="1">
        <w:r w:rsidRPr="00CA34BC">
          <w:rPr>
            <w:rStyle w:val="Hyperlink"/>
          </w:rPr>
          <w:t>Rapport du Comité à l</w:t>
        </w:r>
        <w:r w:rsidR="00F43449">
          <w:rPr>
            <w:rStyle w:val="Hyperlink"/>
            <w:rFonts w:eastAsia="Malgun Gothic"/>
            <w:lang w:eastAsia="ko-KR"/>
          </w:rPr>
          <w:t>’</w:t>
        </w:r>
        <w:r w:rsidRPr="00CA34BC">
          <w:rPr>
            <w:rStyle w:val="Hyperlink"/>
          </w:rPr>
          <w:t>Assemblée générale</w:t>
        </w:r>
      </w:hyperlink>
      <w:r w:rsidRPr="00CA34BC">
        <w:rPr>
          <w:rStyle w:val="Hyperlink"/>
          <w:color w:val="auto"/>
          <w:u w:val="none"/>
        </w:rPr>
        <w:t xml:space="preserve">). Cette année, à la demande du </w:t>
      </w:r>
      <w:r>
        <w:rPr>
          <w:rStyle w:val="Hyperlink"/>
          <w:color w:val="auto"/>
          <w:u w:val="none"/>
        </w:rPr>
        <w:t xml:space="preserve">Comité, </w:t>
      </w:r>
      <w:r w:rsidR="009B5B52">
        <w:rPr>
          <w:rStyle w:val="Hyperlink"/>
          <w:color w:val="auto"/>
          <w:u w:val="none"/>
        </w:rPr>
        <w:t>l</w:t>
      </w:r>
      <w:r w:rsidR="007F0CB8">
        <w:rPr>
          <w:rStyle w:val="Hyperlink"/>
          <w:color w:val="auto"/>
          <w:u w:val="none"/>
        </w:rPr>
        <w:t>’étude</w:t>
      </w:r>
      <w:r w:rsidR="009B5B52">
        <w:rPr>
          <w:rStyle w:val="Hyperlink"/>
          <w:color w:val="auto"/>
          <w:u w:val="none"/>
        </w:rPr>
        <w:t xml:space="preserve"> approfondie</w:t>
      </w:r>
      <w:r w:rsidR="007F0CB8">
        <w:rPr>
          <w:rStyle w:val="Hyperlink"/>
          <w:color w:val="auto"/>
          <w:u w:val="none"/>
        </w:rPr>
        <w:t xml:space="preserve"> </w:t>
      </w:r>
      <w:r w:rsidR="009B5B52">
        <w:rPr>
          <w:rStyle w:val="Hyperlink"/>
          <w:color w:val="auto"/>
          <w:u w:val="none"/>
        </w:rPr>
        <w:t xml:space="preserve">a été </w:t>
      </w:r>
      <w:r w:rsidR="007F0CB8">
        <w:rPr>
          <w:rStyle w:val="Hyperlink"/>
          <w:color w:val="auto"/>
          <w:u w:val="none"/>
        </w:rPr>
        <w:t>consacré</w:t>
      </w:r>
      <w:r w:rsidR="009B5B52">
        <w:rPr>
          <w:rStyle w:val="Hyperlink"/>
          <w:color w:val="auto"/>
          <w:u w:val="none"/>
        </w:rPr>
        <w:t>e</w:t>
      </w:r>
      <w:r w:rsidR="007F0CB8">
        <w:rPr>
          <w:rStyle w:val="Hyperlink"/>
          <w:color w:val="auto"/>
          <w:u w:val="none"/>
        </w:rPr>
        <w:t xml:space="preserve"> aux mesures prises par les États parties afin d’intégrer le patrimoine culturel immatériel et sa </w:t>
      </w:r>
      <w:r w:rsidR="007F0CB8" w:rsidRPr="007F0CB8">
        <w:rPr>
          <w:rStyle w:val="Hyperlink"/>
          <w:color w:val="auto"/>
          <w:u w:val="none"/>
        </w:rPr>
        <w:t>sauvegarde</w:t>
      </w:r>
      <w:r w:rsidR="007F0CB8">
        <w:rPr>
          <w:rStyle w:val="Hyperlink"/>
          <w:color w:val="auto"/>
          <w:u w:val="none"/>
        </w:rPr>
        <w:t xml:space="preserve"> aux politiques culturelles et autres</w:t>
      </w:r>
      <w:r w:rsidR="009B5B52">
        <w:rPr>
          <w:rStyle w:val="Hyperlink"/>
          <w:color w:val="auto"/>
          <w:u w:val="none"/>
        </w:rPr>
        <w:t xml:space="preserve"> politiques</w:t>
      </w:r>
      <w:r w:rsidR="007F0CB8">
        <w:rPr>
          <w:rStyle w:val="Hyperlink"/>
          <w:color w:val="auto"/>
          <w:u w:val="none"/>
        </w:rPr>
        <w:t xml:space="preserve">. Comme au cours des deux dernières années, l’analyse ne s’intéresse pas uniquement aux rapports soumis pour le présent cycle mais également aux </w:t>
      </w:r>
      <w:r w:rsidR="007F0CB8" w:rsidRPr="007F0CB8">
        <w:rPr>
          <w:rStyle w:val="Hyperlink"/>
          <w:color w:val="auto"/>
          <w:u w:val="none"/>
        </w:rPr>
        <w:t>informations</w:t>
      </w:r>
      <w:r w:rsidR="007F0CB8">
        <w:rPr>
          <w:rStyle w:val="Hyperlink"/>
          <w:color w:val="auto"/>
          <w:u w:val="none"/>
        </w:rPr>
        <w:t xml:space="preserve"> recueill</w:t>
      </w:r>
      <w:r w:rsidR="00F43449">
        <w:rPr>
          <w:rStyle w:val="Hyperlink"/>
          <w:color w:val="auto"/>
          <w:u w:val="none"/>
        </w:rPr>
        <w:t>ies lors des cycles précédents.</w:t>
      </w:r>
    </w:p>
    <w:p w14:paraId="0ACE8B2B" w14:textId="26DBB560" w:rsidR="007F0CB8" w:rsidRPr="00163B86" w:rsidRDefault="007F0CB8" w:rsidP="00866B14">
      <w:pPr>
        <w:pStyle w:val="Marge"/>
        <w:numPr>
          <w:ilvl w:val="0"/>
          <w:numId w:val="14"/>
        </w:numPr>
        <w:spacing w:after="120"/>
        <w:ind w:left="567" w:hanging="567"/>
        <w:rPr>
          <w:rFonts w:cs="Arial"/>
          <w:szCs w:val="22"/>
        </w:rPr>
      </w:pPr>
      <w:r w:rsidRPr="00163B86">
        <w:rPr>
          <w:rFonts w:cs="Arial"/>
          <w:szCs w:val="22"/>
        </w:rPr>
        <w:t>En 2015, afin de rendre les informations plus facilement accessibles aux États parties, le Secrétariat</w:t>
      </w:r>
      <w:r w:rsidR="00DE731D" w:rsidRPr="00163B86">
        <w:rPr>
          <w:rFonts w:cs="Arial"/>
          <w:szCs w:val="22"/>
        </w:rPr>
        <w:t xml:space="preserve"> a rédigé</w:t>
      </w:r>
      <w:r w:rsidRPr="00163B86">
        <w:rPr>
          <w:rFonts w:cs="Arial"/>
          <w:szCs w:val="22"/>
        </w:rPr>
        <w:t xml:space="preserve"> un résumé de chaque rapport soumis au cours du cycle. À sa dixième session, le Comité salu</w:t>
      </w:r>
      <w:r w:rsidR="009B5B52">
        <w:rPr>
          <w:rFonts w:cs="Arial"/>
          <w:szCs w:val="22"/>
        </w:rPr>
        <w:t>a</w:t>
      </w:r>
      <w:r w:rsidRPr="00163B86">
        <w:rPr>
          <w:rFonts w:cs="Arial"/>
          <w:szCs w:val="22"/>
        </w:rPr>
        <w:t xml:space="preserve"> cette initiative et demand</w:t>
      </w:r>
      <w:r w:rsidR="009B5B52">
        <w:rPr>
          <w:rFonts w:cs="Arial"/>
          <w:szCs w:val="22"/>
        </w:rPr>
        <w:t>a</w:t>
      </w:r>
      <w:r w:rsidRPr="00163B86">
        <w:rPr>
          <w:rFonts w:cs="Arial"/>
          <w:szCs w:val="22"/>
        </w:rPr>
        <w:t xml:space="preserve"> au Secrétariat de la poursuivre pour le présent cycle de rapports. Un fois examinés par le Comité, ces résumés sero</w:t>
      </w:r>
      <w:r w:rsidR="00DE731D" w:rsidRPr="00163B86">
        <w:rPr>
          <w:rFonts w:cs="Arial"/>
          <w:szCs w:val="22"/>
        </w:rPr>
        <w:t xml:space="preserve">nt publiés dans la page </w:t>
      </w:r>
      <w:r w:rsidR="0018552E">
        <w:rPr>
          <w:rFonts w:cs="Arial"/>
          <w:szCs w:val="22"/>
        </w:rPr>
        <w:t>pays</w:t>
      </w:r>
      <w:r w:rsidR="00DE731D" w:rsidRPr="00163B86">
        <w:rPr>
          <w:rFonts w:cs="Arial"/>
          <w:szCs w:val="22"/>
        </w:rPr>
        <w:t xml:space="preserve"> de cha</w:t>
      </w:r>
      <w:r w:rsidRPr="00163B86">
        <w:rPr>
          <w:rFonts w:cs="Arial"/>
          <w:szCs w:val="22"/>
        </w:rPr>
        <w:t>que État partie</w:t>
      </w:r>
      <w:r w:rsidR="00DE731D" w:rsidRPr="00163B86">
        <w:rPr>
          <w:rFonts w:cs="Arial"/>
          <w:szCs w:val="22"/>
        </w:rPr>
        <w:t xml:space="preserve"> et pourront être consultés en ligne sur le site de la Convention avec les 58 autres résumés des rapports soumis entre 2011 et 2014 qui ont également été rédigés par le Secrétariat, comme demandé par le Comité (paragraphe 16 de la </w:t>
      </w:r>
      <w:hyperlink r:id="rId22" w:history="1">
        <w:r w:rsidR="00F43449">
          <w:rPr>
            <w:rStyle w:val="Hyperlink"/>
            <w:rFonts w:cs="Arial"/>
            <w:szCs w:val="22"/>
          </w:rPr>
          <w:t>décision</w:t>
        </w:r>
        <w:r w:rsidR="00F43449" w:rsidRPr="00F43449">
          <w:rPr>
            <w:rStyle w:val="Hyperlink"/>
            <w:rFonts w:cs="Arial"/>
            <w:szCs w:val="22"/>
          </w:rPr>
          <w:t> </w:t>
        </w:r>
        <w:r w:rsidR="00DE731D" w:rsidRPr="00163B86">
          <w:rPr>
            <w:rStyle w:val="Hyperlink"/>
            <w:rFonts w:cs="Arial"/>
            <w:szCs w:val="22"/>
          </w:rPr>
          <w:t>10.COM 6.a</w:t>
        </w:r>
      </w:hyperlink>
      <w:r w:rsidR="00DE731D" w:rsidRPr="00163B86">
        <w:rPr>
          <w:rStyle w:val="Hyperlink"/>
          <w:rFonts w:cs="Arial"/>
          <w:color w:val="auto"/>
          <w:szCs w:val="22"/>
          <w:u w:val="none"/>
        </w:rPr>
        <w:t>).</w:t>
      </w:r>
    </w:p>
    <w:p w14:paraId="6C5DA44A" w14:textId="5387751B" w:rsidR="00866B14" w:rsidRPr="006D7B8D" w:rsidRDefault="00DE731D" w:rsidP="00726B34">
      <w:pPr>
        <w:keepNext/>
        <w:autoSpaceDE w:val="0"/>
        <w:autoSpaceDN w:val="0"/>
        <w:adjustRightInd w:val="0"/>
        <w:spacing w:before="360" w:after="120"/>
        <w:ind w:firstLine="567"/>
        <w:jc w:val="both"/>
        <w:rPr>
          <w:rFonts w:ascii="Arial" w:eastAsia="Malgun Gothic" w:hAnsi="Arial" w:cs="Arial"/>
          <w:b/>
          <w:sz w:val="22"/>
          <w:szCs w:val="22"/>
          <w:lang w:eastAsia="ko-KR"/>
        </w:rPr>
      </w:pPr>
      <w:r w:rsidRPr="00DE731D">
        <w:rPr>
          <w:rFonts w:ascii="Arial" w:hAnsi="Arial" w:cs="Arial"/>
          <w:b/>
          <w:sz w:val="22"/>
          <w:szCs w:val="22"/>
        </w:rPr>
        <w:t xml:space="preserve">Méthodes de travail et aperçu des </w:t>
      </w:r>
      <w:r w:rsidR="006D7B8D">
        <w:rPr>
          <w:rFonts w:ascii="Arial" w:hAnsi="Arial" w:cs="Arial"/>
          <w:b/>
          <w:sz w:val="22"/>
          <w:szCs w:val="22"/>
        </w:rPr>
        <w:t>rapports périodiques 2016</w:t>
      </w:r>
    </w:p>
    <w:p w14:paraId="484E51D9" w14:textId="7EAFE593" w:rsidR="00DE731D" w:rsidRPr="00DE731D" w:rsidRDefault="00DE731D" w:rsidP="00DE731D">
      <w:pPr>
        <w:pStyle w:val="Marge"/>
        <w:numPr>
          <w:ilvl w:val="0"/>
          <w:numId w:val="14"/>
        </w:numPr>
        <w:spacing w:after="120"/>
        <w:ind w:left="567" w:hanging="567"/>
        <w:rPr>
          <w:rFonts w:cs="Arial"/>
          <w:szCs w:val="22"/>
        </w:rPr>
      </w:pPr>
      <w:r w:rsidRPr="00DE731D">
        <w:rPr>
          <w:rFonts w:cs="Arial"/>
          <w:szCs w:val="22"/>
        </w:rPr>
        <w:t xml:space="preserve">Conformément aux Directives opérationnelles et </w:t>
      </w:r>
      <w:r>
        <w:rPr>
          <w:rFonts w:cs="Arial"/>
          <w:szCs w:val="22"/>
        </w:rPr>
        <w:t xml:space="preserve">aux décisions adoptées par le Comité </w:t>
      </w:r>
      <w:r w:rsidRPr="00DE731D">
        <w:rPr>
          <w:rFonts w:cs="Arial"/>
          <w:szCs w:val="22"/>
        </w:rPr>
        <w:t>intergouvernemental</w:t>
      </w:r>
      <w:r w:rsidR="00113A45">
        <w:rPr>
          <w:rFonts w:cs="Arial"/>
          <w:szCs w:val="22"/>
        </w:rPr>
        <w:t xml:space="preserve">, le 15 décembre 2014 </w:t>
      </w:r>
      <w:r>
        <w:rPr>
          <w:rFonts w:cs="Arial"/>
          <w:szCs w:val="22"/>
        </w:rPr>
        <w:t>le Secrétariat a informé les 13 États parties</w:t>
      </w:r>
      <w:r w:rsidR="00113A45">
        <w:rPr>
          <w:rFonts w:cs="Arial"/>
          <w:szCs w:val="22"/>
        </w:rPr>
        <w:t xml:space="preserve"> ayant</w:t>
      </w:r>
      <w:r>
        <w:rPr>
          <w:rFonts w:cs="Arial"/>
          <w:szCs w:val="22"/>
        </w:rPr>
        <w:t xml:space="preserve"> ratifié la </w:t>
      </w:r>
      <w:r w:rsidRPr="00DE731D">
        <w:rPr>
          <w:rFonts w:cs="Arial"/>
          <w:szCs w:val="22"/>
        </w:rPr>
        <w:t>Convention</w:t>
      </w:r>
      <w:r w:rsidR="00113A45">
        <w:rPr>
          <w:rFonts w:cs="Arial"/>
          <w:szCs w:val="22"/>
        </w:rPr>
        <w:t xml:space="preserve"> en 2009</w:t>
      </w:r>
      <w:r>
        <w:rPr>
          <w:rFonts w:cs="Arial"/>
          <w:szCs w:val="22"/>
        </w:rPr>
        <w:t xml:space="preserve"> que la date limite de soumission de leur</w:t>
      </w:r>
      <w:r w:rsidR="00113A45">
        <w:rPr>
          <w:rFonts w:cs="Arial"/>
          <w:szCs w:val="22"/>
        </w:rPr>
        <w:t>s</w:t>
      </w:r>
      <w:r>
        <w:rPr>
          <w:rFonts w:cs="Arial"/>
          <w:szCs w:val="22"/>
        </w:rPr>
        <w:t xml:space="preserve"> rapports périodiques</w:t>
      </w:r>
      <w:r w:rsidR="00113A45">
        <w:rPr>
          <w:rFonts w:cs="Arial"/>
          <w:szCs w:val="22"/>
        </w:rPr>
        <w:t xml:space="preserve"> étai</w:t>
      </w:r>
      <w:r>
        <w:rPr>
          <w:rFonts w:cs="Arial"/>
          <w:szCs w:val="22"/>
        </w:rPr>
        <w:t xml:space="preserve">t le 15 décembre 2015. </w:t>
      </w:r>
      <w:r w:rsidR="00113A45">
        <w:rPr>
          <w:rFonts w:cs="Arial"/>
          <w:szCs w:val="22"/>
        </w:rPr>
        <w:t xml:space="preserve">À ces 13 États, il convient d’ajouter 24 autres États qui, pour diverses raisons, n’avaient pas soumis leurs rapports au cours des cycles précédents. Parmi </w:t>
      </w:r>
      <w:r w:rsidR="0018552E">
        <w:rPr>
          <w:rFonts w:cs="Arial"/>
          <w:szCs w:val="22"/>
        </w:rPr>
        <w:t>c</w:t>
      </w:r>
      <w:r w:rsidR="00113A45">
        <w:rPr>
          <w:rFonts w:cs="Arial"/>
          <w:szCs w:val="22"/>
        </w:rPr>
        <w:t xml:space="preserve">es 37 États parties dont le rapport devait être examiné au cours du cycle 2016, seuls six ont soumis un rapport (Autriche, Bosnie-Herzégovine, </w:t>
      </w:r>
      <w:r w:rsidR="0018552E">
        <w:rPr>
          <w:rFonts w:cs="Arial"/>
          <w:szCs w:val="22"/>
        </w:rPr>
        <w:t>Tchéquie</w:t>
      </w:r>
      <w:r w:rsidR="0018552E">
        <w:rPr>
          <w:rStyle w:val="FootnoteReference"/>
          <w:rFonts w:cs="Arial"/>
          <w:szCs w:val="22"/>
        </w:rPr>
        <w:footnoteReference w:id="2"/>
      </w:r>
      <w:r w:rsidR="0018552E">
        <w:rPr>
          <w:rFonts w:cs="Arial"/>
          <w:szCs w:val="22"/>
        </w:rPr>
        <w:t xml:space="preserve">, </w:t>
      </w:r>
      <w:r w:rsidR="00F43449">
        <w:rPr>
          <w:rFonts w:cs="Arial"/>
          <w:szCs w:val="22"/>
        </w:rPr>
        <w:t>Grèce, Panama et Ukraine).</w:t>
      </w:r>
    </w:p>
    <w:p w14:paraId="0B37BD19" w14:textId="0EA46C92" w:rsidR="00BD4C69" w:rsidRPr="00D97269" w:rsidRDefault="00113A45" w:rsidP="00BD4C69">
      <w:pPr>
        <w:pStyle w:val="Marge"/>
        <w:numPr>
          <w:ilvl w:val="0"/>
          <w:numId w:val="14"/>
        </w:numPr>
        <w:spacing w:after="120"/>
        <w:ind w:left="567" w:hanging="567"/>
        <w:rPr>
          <w:rFonts w:cs="Arial"/>
          <w:b/>
          <w:szCs w:val="22"/>
        </w:rPr>
      </w:pPr>
      <w:r w:rsidRPr="008F67E1">
        <w:rPr>
          <w:rFonts w:cs="Arial"/>
          <w:szCs w:val="22"/>
        </w:rPr>
        <w:lastRenderedPageBreak/>
        <w:t xml:space="preserve">Le </w:t>
      </w:r>
      <w:r w:rsidR="008F67E1">
        <w:rPr>
          <w:rFonts w:cs="Arial"/>
          <w:szCs w:val="22"/>
        </w:rPr>
        <w:t xml:space="preserve">Secrétariat a enregistré les six rapports reçus et </w:t>
      </w:r>
      <w:r w:rsidR="00BD4C69">
        <w:rPr>
          <w:rFonts w:cs="Arial"/>
          <w:szCs w:val="22"/>
        </w:rPr>
        <w:t xml:space="preserve">en a accusé réception. </w:t>
      </w:r>
      <w:r w:rsidR="00BD4C69" w:rsidRPr="0094746A">
        <w:rPr>
          <w:rFonts w:cs="Arial"/>
          <w:szCs w:val="22"/>
        </w:rPr>
        <w:t>Conformément</w:t>
      </w:r>
      <w:r w:rsidR="00BD4C69">
        <w:rPr>
          <w:rFonts w:cs="Arial"/>
          <w:szCs w:val="22"/>
        </w:rPr>
        <w:t xml:space="preserve"> au </w:t>
      </w:r>
      <w:r w:rsidR="00392B69" w:rsidRPr="00C76B03">
        <w:rPr>
          <w:rFonts w:cs="Arial"/>
          <w:szCs w:val="22"/>
        </w:rPr>
        <w:t>paragraphe</w:t>
      </w:r>
      <w:r w:rsidR="00392B69">
        <w:rPr>
          <w:rFonts w:cs="Arial"/>
          <w:szCs w:val="22"/>
        </w:rPr>
        <w:t> </w:t>
      </w:r>
      <w:r w:rsidR="00BD4C69">
        <w:rPr>
          <w:rFonts w:cs="Arial"/>
          <w:szCs w:val="22"/>
        </w:rPr>
        <w:t xml:space="preserve">165 des Directives opérationnelles, le Secrétariat a contacté </w:t>
      </w:r>
      <w:r w:rsidR="00392B69">
        <w:rPr>
          <w:rFonts w:cs="Arial"/>
          <w:szCs w:val="22"/>
        </w:rPr>
        <w:t xml:space="preserve">les </w:t>
      </w:r>
      <w:r w:rsidR="00BD4C69">
        <w:rPr>
          <w:rFonts w:cs="Arial"/>
          <w:szCs w:val="22"/>
        </w:rPr>
        <w:t xml:space="preserve">États parties </w:t>
      </w:r>
      <w:r w:rsidR="00B7100D">
        <w:rPr>
          <w:rFonts w:cs="Arial"/>
          <w:szCs w:val="22"/>
        </w:rPr>
        <w:t>dont le rapport</w:t>
      </w:r>
      <w:r w:rsidR="00392B69">
        <w:rPr>
          <w:rFonts w:cs="Arial"/>
          <w:szCs w:val="22"/>
        </w:rPr>
        <w:t xml:space="preserve"> était incomplet </w:t>
      </w:r>
      <w:r w:rsidR="00163B86">
        <w:rPr>
          <w:rFonts w:cs="Arial"/>
          <w:szCs w:val="22"/>
        </w:rPr>
        <w:t xml:space="preserve">et les a conseillés afin qu’ils </w:t>
      </w:r>
      <w:r w:rsidR="00B7100D">
        <w:rPr>
          <w:rFonts w:cs="Arial"/>
          <w:szCs w:val="22"/>
        </w:rPr>
        <w:t xml:space="preserve">finalisent </w:t>
      </w:r>
      <w:r w:rsidR="00163B86">
        <w:rPr>
          <w:rFonts w:cs="Arial"/>
          <w:szCs w:val="22"/>
        </w:rPr>
        <w:t>leur rapport</w:t>
      </w:r>
      <w:r w:rsidR="00BD4C69">
        <w:rPr>
          <w:rFonts w:cs="Arial"/>
          <w:szCs w:val="22"/>
        </w:rPr>
        <w:t xml:space="preserve">. Tous les États ont été en mesure de soumettre </w:t>
      </w:r>
      <w:r w:rsidR="00BD4C69" w:rsidRPr="009F624A">
        <w:rPr>
          <w:rFonts w:cs="Arial"/>
          <w:szCs w:val="22"/>
        </w:rPr>
        <w:t>leur rapport final.</w:t>
      </w:r>
    </w:p>
    <w:p w14:paraId="3E142BC9" w14:textId="76774DCB" w:rsidR="00C03513" w:rsidRPr="00C03513" w:rsidRDefault="00BD4C69" w:rsidP="00C03513">
      <w:pPr>
        <w:pStyle w:val="Marge"/>
        <w:numPr>
          <w:ilvl w:val="0"/>
          <w:numId w:val="14"/>
        </w:numPr>
        <w:ind w:left="567" w:hanging="567"/>
        <w:rPr>
          <w:rFonts w:cs="Arial"/>
          <w:b/>
          <w:szCs w:val="22"/>
        </w:rPr>
      </w:pPr>
      <w:r>
        <w:rPr>
          <w:rFonts w:cs="Arial"/>
          <w:szCs w:val="22"/>
        </w:rPr>
        <w:t xml:space="preserve">Parmi les 31 États actuellement en retard pour la soumission de leur rapport, dix sont en retard </w:t>
      </w:r>
      <w:r w:rsidR="00657539">
        <w:rPr>
          <w:rFonts w:cs="Arial"/>
          <w:szCs w:val="22"/>
        </w:rPr>
        <w:t xml:space="preserve">d’un </w:t>
      </w:r>
      <w:r>
        <w:rPr>
          <w:rFonts w:cs="Arial"/>
          <w:szCs w:val="22"/>
        </w:rPr>
        <w:t xml:space="preserve">an, huit de </w:t>
      </w:r>
      <w:r w:rsidR="00657539">
        <w:rPr>
          <w:rFonts w:cs="Arial"/>
          <w:szCs w:val="22"/>
        </w:rPr>
        <w:t xml:space="preserve">deux </w:t>
      </w:r>
      <w:r>
        <w:rPr>
          <w:rFonts w:cs="Arial"/>
          <w:szCs w:val="22"/>
        </w:rPr>
        <w:t xml:space="preserve">ans, cinq de </w:t>
      </w:r>
      <w:r w:rsidR="00657539">
        <w:rPr>
          <w:rFonts w:cs="Arial"/>
          <w:szCs w:val="22"/>
        </w:rPr>
        <w:t xml:space="preserve">trois </w:t>
      </w:r>
      <w:r>
        <w:rPr>
          <w:rFonts w:cs="Arial"/>
          <w:szCs w:val="22"/>
        </w:rPr>
        <w:t xml:space="preserve">ans, sept de </w:t>
      </w:r>
      <w:r w:rsidR="00657539">
        <w:rPr>
          <w:rFonts w:cs="Arial"/>
          <w:szCs w:val="22"/>
        </w:rPr>
        <w:t xml:space="preserve">quatre </w:t>
      </w:r>
      <w:r>
        <w:rPr>
          <w:rFonts w:cs="Arial"/>
          <w:szCs w:val="22"/>
        </w:rPr>
        <w:t xml:space="preserve">ans et, enfin un État est en retard de </w:t>
      </w:r>
      <w:r w:rsidR="00657539">
        <w:rPr>
          <w:rFonts w:cs="Arial"/>
          <w:szCs w:val="22"/>
        </w:rPr>
        <w:t xml:space="preserve">cinq </w:t>
      </w:r>
      <w:r>
        <w:rPr>
          <w:rFonts w:cs="Arial"/>
          <w:szCs w:val="22"/>
        </w:rPr>
        <w:t>ans. Un résumé de la situation générale est présenté dans le tableau ci-dessous</w:t>
      </w:r>
      <w:r w:rsidR="00966B65">
        <w:rPr>
          <w:rStyle w:val="FootnoteReference"/>
          <w:rFonts w:cs="Arial"/>
          <w:szCs w:val="22"/>
        </w:rPr>
        <w:footnoteReference w:id="3"/>
      </w:r>
      <w:r>
        <w:rPr>
          <w:rFonts w:cs="Arial"/>
          <w:szCs w:val="22"/>
        </w:rPr>
        <w:t> :</w:t>
      </w:r>
    </w:p>
    <w:tbl>
      <w:tblPr>
        <w:tblW w:w="9047"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8"/>
        <w:gridCol w:w="1417"/>
        <w:gridCol w:w="1276"/>
        <w:gridCol w:w="2126"/>
      </w:tblGrid>
      <w:tr w:rsidR="00FE5C1A" w:rsidRPr="001D5A37" w14:paraId="75D5C549" w14:textId="77777777" w:rsidTr="00D4732D">
        <w:trPr>
          <w:cantSplit/>
          <w:trHeight w:val="868"/>
          <w:tblHeader/>
        </w:trPr>
        <w:tc>
          <w:tcPr>
            <w:tcW w:w="4228" w:type="dxa"/>
            <w:shd w:val="clear" w:color="auto" w:fill="D9D9D9"/>
            <w:vAlign w:val="center"/>
          </w:tcPr>
          <w:p w14:paraId="5672B508" w14:textId="263A4075" w:rsidR="00FE5C1A" w:rsidRPr="00BD4C69" w:rsidRDefault="00BD4C69" w:rsidP="00866B14">
            <w:pPr>
              <w:pStyle w:val="Marge"/>
              <w:spacing w:before="60" w:after="60"/>
              <w:jc w:val="center"/>
              <w:rPr>
                <w:b/>
                <w:bCs/>
                <w:sz w:val="18"/>
                <w:szCs w:val="18"/>
              </w:rPr>
            </w:pPr>
            <w:r w:rsidRPr="00BD4C69">
              <w:rPr>
                <w:b/>
                <w:bCs/>
                <w:sz w:val="18"/>
                <w:szCs w:val="18"/>
              </w:rPr>
              <w:t>État partie</w:t>
            </w:r>
          </w:p>
        </w:tc>
        <w:tc>
          <w:tcPr>
            <w:tcW w:w="1417" w:type="dxa"/>
            <w:shd w:val="clear" w:color="auto" w:fill="D9D9D9"/>
            <w:vAlign w:val="center"/>
          </w:tcPr>
          <w:p w14:paraId="0997CCA0" w14:textId="59F05477" w:rsidR="00BD4C69" w:rsidRPr="00BD4C69" w:rsidRDefault="00BD4C69" w:rsidP="009F624A">
            <w:pPr>
              <w:pStyle w:val="Marge"/>
              <w:spacing w:before="60" w:after="60"/>
              <w:jc w:val="center"/>
              <w:rPr>
                <w:b/>
                <w:bCs/>
                <w:sz w:val="18"/>
                <w:szCs w:val="18"/>
              </w:rPr>
            </w:pPr>
            <w:r>
              <w:rPr>
                <w:b/>
                <w:bCs/>
                <w:sz w:val="18"/>
                <w:szCs w:val="18"/>
              </w:rPr>
              <w:t>Cycle de rapport prévu</w:t>
            </w:r>
          </w:p>
        </w:tc>
        <w:tc>
          <w:tcPr>
            <w:tcW w:w="1276" w:type="dxa"/>
            <w:shd w:val="clear" w:color="auto" w:fill="D9D9D9"/>
            <w:vAlign w:val="center"/>
          </w:tcPr>
          <w:p w14:paraId="1F91CC00" w14:textId="2734D57C" w:rsidR="00FE5C1A" w:rsidRPr="00BD4C69" w:rsidRDefault="00BD4C69" w:rsidP="00866B14">
            <w:pPr>
              <w:pStyle w:val="Marge"/>
              <w:spacing w:before="60" w:after="60"/>
              <w:jc w:val="center"/>
              <w:rPr>
                <w:b/>
                <w:bCs/>
                <w:sz w:val="18"/>
                <w:szCs w:val="18"/>
              </w:rPr>
            </w:pPr>
            <w:r>
              <w:rPr>
                <w:b/>
                <w:bCs/>
                <w:sz w:val="18"/>
                <w:szCs w:val="18"/>
              </w:rPr>
              <w:t>Année d’examen du rapport</w:t>
            </w:r>
          </w:p>
        </w:tc>
        <w:tc>
          <w:tcPr>
            <w:tcW w:w="2126" w:type="dxa"/>
            <w:shd w:val="clear" w:color="auto" w:fill="D9D9D9"/>
            <w:vAlign w:val="center"/>
          </w:tcPr>
          <w:p w14:paraId="374BE67B" w14:textId="507139C3" w:rsidR="00FE5C1A" w:rsidRPr="00BD4C69" w:rsidRDefault="00BD4C69" w:rsidP="00866B14">
            <w:pPr>
              <w:pStyle w:val="Marge"/>
              <w:spacing w:before="60" w:after="60"/>
              <w:jc w:val="center"/>
              <w:rPr>
                <w:b/>
                <w:bCs/>
                <w:sz w:val="18"/>
                <w:szCs w:val="18"/>
              </w:rPr>
            </w:pPr>
            <w:r>
              <w:rPr>
                <w:b/>
                <w:bCs/>
                <w:sz w:val="18"/>
                <w:szCs w:val="18"/>
              </w:rPr>
              <w:t>Commentaires</w:t>
            </w:r>
          </w:p>
        </w:tc>
      </w:tr>
      <w:tr w:rsidR="00FE5C1A" w:rsidRPr="001D5A37" w14:paraId="4711DA94" w14:textId="77777777" w:rsidTr="00DC1626">
        <w:trPr>
          <w:cantSplit/>
        </w:trPr>
        <w:tc>
          <w:tcPr>
            <w:tcW w:w="4228" w:type="dxa"/>
            <w:shd w:val="clear" w:color="auto" w:fill="auto"/>
            <w:vAlign w:val="center"/>
          </w:tcPr>
          <w:p w14:paraId="24FE8219" w14:textId="77777777" w:rsidR="00FE5C1A" w:rsidRPr="00BD4C69" w:rsidRDefault="00FE5C1A" w:rsidP="00866B14">
            <w:pPr>
              <w:pStyle w:val="Marge"/>
              <w:spacing w:before="60" w:after="60"/>
              <w:jc w:val="left"/>
              <w:rPr>
                <w:rFonts w:cs="Arial"/>
                <w:sz w:val="20"/>
                <w:szCs w:val="20"/>
              </w:rPr>
            </w:pPr>
            <w:r w:rsidRPr="00BD4C69">
              <w:rPr>
                <w:rFonts w:cs="Arial"/>
                <w:sz w:val="20"/>
                <w:szCs w:val="20"/>
              </w:rPr>
              <w:t>Afghanistan</w:t>
            </w:r>
          </w:p>
        </w:tc>
        <w:tc>
          <w:tcPr>
            <w:tcW w:w="1417" w:type="dxa"/>
            <w:shd w:val="clear" w:color="auto" w:fill="auto"/>
            <w:vAlign w:val="center"/>
          </w:tcPr>
          <w:p w14:paraId="52D1C73B" w14:textId="77777777" w:rsidR="00FE5C1A" w:rsidRPr="00BD4C69" w:rsidRDefault="00FE5C1A" w:rsidP="00866B14">
            <w:pPr>
              <w:pStyle w:val="Marge"/>
              <w:spacing w:before="60" w:after="60"/>
              <w:jc w:val="center"/>
              <w:rPr>
                <w:rFonts w:cs="Arial"/>
                <w:sz w:val="20"/>
                <w:szCs w:val="20"/>
              </w:rPr>
            </w:pPr>
            <w:r w:rsidRPr="00BD4C69">
              <w:rPr>
                <w:rFonts w:cs="Arial"/>
                <w:sz w:val="20"/>
                <w:szCs w:val="20"/>
              </w:rPr>
              <w:t>2016</w:t>
            </w:r>
          </w:p>
        </w:tc>
        <w:tc>
          <w:tcPr>
            <w:tcW w:w="1276" w:type="dxa"/>
            <w:shd w:val="clear" w:color="auto" w:fill="auto"/>
            <w:vAlign w:val="center"/>
          </w:tcPr>
          <w:p w14:paraId="54D50D95" w14:textId="77777777" w:rsidR="00FE5C1A" w:rsidRPr="00BD4C69" w:rsidRDefault="00FE5C1A"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0C76DD3B" w14:textId="1EE18917" w:rsidR="00FE5C1A" w:rsidRPr="00BD4C69" w:rsidRDefault="00BD4C69" w:rsidP="00866B14">
            <w:pPr>
              <w:pStyle w:val="Marge"/>
              <w:spacing w:before="60" w:after="60"/>
              <w:jc w:val="left"/>
              <w:rPr>
                <w:rFonts w:cs="Arial"/>
                <w:sz w:val="20"/>
                <w:szCs w:val="20"/>
              </w:rPr>
            </w:pPr>
            <w:r>
              <w:rPr>
                <w:rFonts w:cs="Arial"/>
                <w:sz w:val="20"/>
                <w:szCs w:val="20"/>
              </w:rPr>
              <w:t>Un an de retard</w:t>
            </w:r>
          </w:p>
        </w:tc>
      </w:tr>
      <w:tr w:rsidR="002B25B0" w:rsidRPr="001D5A37" w:rsidDel="00B7100D" w14:paraId="1D678263" w14:textId="5D46C023" w:rsidTr="00DC1626">
        <w:trPr>
          <w:cantSplit/>
        </w:trPr>
        <w:tc>
          <w:tcPr>
            <w:tcW w:w="4228" w:type="dxa"/>
            <w:shd w:val="clear" w:color="auto" w:fill="auto"/>
            <w:vAlign w:val="center"/>
          </w:tcPr>
          <w:p w14:paraId="12FB37CF" w14:textId="24F13532" w:rsidR="002B25B0" w:rsidRPr="00BD4C69" w:rsidDel="00B7100D" w:rsidRDefault="002B25B0" w:rsidP="00866B14">
            <w:pPr>
              <w:pStyle w:val="Marge"/>
              <w:spacing w:before="60" w:after="60"/>
              <w:jc w:val="left"/>
              <w:rPr>
                <w:rFonts w:cs="Arial"/>
                <w:b/>
                <w:sz w:val="20"/>
                <w:szCs w:val="20"/>
              </w:rPr>
            </w:pPr>
            <w:r w:rsidDel="00B7100D">
              <w:rPr>
                <w:rFonts w:cs="Arial"/>
                <w:iCs/>
                <w:sz w:val="20"/>
                <w:szCs w:val="20"/>
              </w:rPr>
              <w:t>Arabie saoudite</w:t>
            </w:r>
          </w:p>
        </w:tc>
        <w:tc>
          <w:tcPr>
            <w:tcW w:w="1417" w:type="dxa"/>
            <w:shd w:val="clear" w:color="auto" w:fill="auto"/>
            <w:vAlign w:val="center"/>
          </w:tcPr>
          <w:p w14:paraId="4A98C415" w14:textId="54928645" w:rsidR="002B25B0" w:rsidRPr="00BD4C69" w:rsidDel="00B7100D" w:rsidRDefault="002B25B0" w:rsidP="00866B14">
            <w:pPr>
              <w:pStyle w:val="Marge"/>
              <w:spacing w:before="60" w:after="60"/>
              <w:jc w:val="center"/>
              <w:rPr>
                <w:rFonts w:cs="Arial"/>
                <w:sz w:val="20"/>
                <w:szCs w:val="20"/>
              </w:rPr>
            </w:pPr>
            <w:r w:rsidRPr="00BD4C69" w:rsidDel="00B7100D">
              <w:rPr>
                <w:rFonts w:cs="Arial"/>
                <w:sz w:val="20"/>
                <w:szCs w:val="20"/>
              </w:rPr>
              <w:t>2015</w:t>
            </w:r>
          </w:p>
        </w:tc>
        <w:tc>
          <w:tcPr>
            <w:tcW w:w="1276" w:type="dxa"/>
            <w:shd w:val="clear" w:color="auto" w:fill="auto"/>
            <w:vAlign w:val="center"/>
          </w:tcPr>
          <w:p w14:paraId="61A74932" w14:textId="73E002FE" w:rsidR="002B25B0" w:rsidRPr="00BD4C69" w:rsidDel="00B7100D" w:rsidRDefault="002B25B0" w:rsidP="00866B14">
            <w:pPr>
              <w:pStyle w:val="Marge"/>
              <w:spacing w:before="60" w:after="60"/>
              <w:jc w:val="center"/>
              <w:rPr>
                <w:rFonts w:cs="Arial"/>
                <w:b/>
                <w:sz w:val="20"/>
                <w:szCs w:val="20"/>
              </w:rPr>
            </w:pPr>
            <w:r w:rsidRPr="00BD4C69" w:rsidDel="00B7100D">
              <w:rPr>
                <w:rFonts w:cs="Arial"/>
                <w:sz w:val="20"/>
                <w:szCs w:val="20"/>
              </w:rPr>
              <w:t>-</w:t>
            </w:r>
          </w:p>
        </w:tc>
        <w:tc>
          <w:tcPr>
            <w:tcW w:w="2126" w:type="dxa"/>
            <w:shd w:val="clear" w:color="auto" w:fill="auto"/>
            <w:vAlign w:val="center"/>
          </w:tcPr>
          <w:p w14:paraId="69AFEEC2" w14:textId="67204D6A" w:rsidR="002B25B0" w:rsidRPr="00BD4C69" w:rsidDel="00B7100D" w:rsidRDefault="002B25B0" w:rsidP="00866B14">
            <w:pPr>
              <w:pStyle w:val="Marge"/>
              <w:spacing w:before="60" w:after="60"/>
              <w:jc w:val="left"/>
              <w:rPr>
                <w:rFonts w:cs="Arial"/>
                <w:sz w:val="20"/>
                <w:szCs w:val="20"/>
              </w:rPr>
            </w:pPr>
            <w:r w:rsidDel="00B7100D">
              <w:rPr>
                <w:rFonts w:cs="Arial"/>
                <w:sz w:val="20"/>
                <w:szCs w:val="20"/>
              </w:rPr>
              <w:t>Deux ans de retard</w:t>
            </w:r>
          </w:p>
        </w:tc>
      </w:tr>
      <w:tr w:rsidR="002B25B0" w:rsidRPr="001D5A37" w:rsidDel="00B7100D" w14:paraId="714B51F2" w14:textId="105E0DA0" w:rsidTr="00DC1626">
        <w:trPr>
          <w:cantSplit/>
        </w:trPr>
        <w:tc>
          <w:tcPr>
            <w:tcW w:w="4228" w:type="dxa"/>
            <w:shd w:val="clear" w:color="auto" w:fill="auto"/>
            <w:vAlign w:val="center"/>
          </w:tcPr>
          <w:p w14:paraId="2701D7BF" w14:textId="370B2BED" w:rsidR="002B25B0" w:rsidRPr="002C00C0" w:rsidDel="00B7100D" w:rsidRDefault="002C00C0" w:rsidP="00866B14">
            <w:pPr>
              <w:pStyle w:val="Marge"/>
              <w:spacing w:before="60" w:after="60"/>
              <w:jc w:val="left"/>
              <w:rPr>
                <w:rFonts w:cs="Arial"/>
                <w:b/>
                <w:sz w:val="20"/>
                <w:szCs w:val="20"/>
              </w:rPr>
            </w:pPr>
            <w:r w:rsidRPr="002C00C0" w:rsidDel="00B7100D">
              <w:rPr>
                <w:rFonts w:cs="Arial"/>
                <w:b/>
                <w:sz w:val="20"/>
                <w:szCs w:val="20"/>
              </w:rPr>
              <w:t>Autriche</w:t>
            </w:r>
          </w:p>
        </w:tc>
        <w:tc>
          <w:tcPr>
            <w:tcW w:w="1417" w:type="dxa"/>
            <w:shd w:val="clear" w:color="auto" w:fill="auto"/>
            <w:vAlign w:val="center"/>
          </w:tcPr>
          <w:p w14:paraId="0CBE94AE" w14:textId="42A101CF" w:rsidR="002B25B0" w:rsidRPr="00BD4C69" w:rsidDel="00B7100D" w:rsidRDefault="002B25B0" w:rsidP="007B5725">
            <w:pPr>
              <w:pStyle w:val="Marge"/>
              <w:spacing w:before="60" w:after="60"/>
              <w:jc w:val="center"/>
              <w:rPr>
                <w:rFonts w:cs="Arial"/>
                <w:sz w:val="20"/>
                <w:szCs w:val="20"/>
              </w:rPr>
            </w:pPr>
            <w:r w:rsidRPr="00BD4C69" w:rsidDel="00B7100D">
              <w:rPr>
                <w:rFonts w:cs="Arial"/>
                <w:sz w:val="20"/>
                <w:szCs w:val="20"/>
              </w:rPr>
              <w:t>2016</w:t>
            </w:r>
          </w:p>
        </w:tc>
        <w:tc>
          <w:tcPr>
            <w:tcW w:w="1276" w:type="dxa"/>
            <w:shd w:val="clear" w:color="auto" w:fill="auto"/>
            <w:vAlign w:val="center"/>
          </w:tcPr>
          <w:p w14:paraId="065A85F8" w14:textId="67E93834" w:rsidR="002B25B0" w:rsidRPr="002C00C0" w:rsidDel="00B7100D" w:rsidRDefault="002C00C0" w:rsidP="007B5725">
            <w:pPr>
              <w:pStyle w:val="Marge"/>
              <w:spacing w:before="60" w:after="60"/>
              <w:jc w:val="center"/>
              <w:rPr>
                <w:rFonts w:cs="Arial"/>
                <w:b/>
                <w:sz w:val="20"/>
                <w:szCs w:val="20"/>
              </w:rPr>
            </w:pPr>
            <w:r w:rsidRPr="002C00C0" w:rsidDel="00B7100D">
              <w:rPr>
                <w:rFonts w:cs="Arial"/>
                <w:b/>
                <w:sz w:val="20"/>
                <w:szCs w:val="20"/>
              </w:rPr>
              <w:t xml:space="preserve">2016 </w:t>
            </w:r>
          </w:p>
        </w:tc>
        <w:tc>
          <w:tcPr>
            <w:tcW w:w="2126" w:type="dxa"/>
            <w:shd w:val="clear" w:color="auto" w:fill="auto"/>
            <w:vAlign w:val="center"/>
          </w:tcPr>
          <w:p w14:paraId="59D23BC1" w14:textId="53E5C529" w:rsidR="002B25B0" w:rsidRPr="00BD4C69" w:rsidDel="00B7100D" w:rsidRDefault="00064425" w:rsidP="007B5725">
            <w:pPr>
              <w:pStyle w:val="Marge"/>
              <w:spacing w:before="60" w:after="60"/>
              <w:jc w:val="left"/>
              <w:rPr>
                <w:rFonts w:cs="Arial"/>
                <w:sz w:val="20"/>
                <w:szCs w:val="20"/>
              </w:rPr>
            </w:pPr>
            <w:r>
              <w:rPr>
                <w:rFonts w:cs="Arial"/>
                <w:sz w:val="20"/>
                <w:szCs w:val="20"/>
              </w:rPr>
              <w:t>-</w:t>
            </w:r>
          </w:p>
        </w:tc>
      </w:tr>
      <w:tr w:rsidR="002B25B0" w:rsidRPr="001D5A37" w14:paraId="50E109C8" w14:textId="77777777" w:rsidTr="00DC1626">
        <w:trPr>
          <w:cantSplit/>
        </w:trPr>
        <w:tc>
          <w:tcPr>
            <w:tcW w:w="4228" w:type="dxa"/>
            <w:shd w:val="clear" w:color="auto" w:fill="auto"/>
            <w:vAlign w:val="center"/>
          </w:tcPr>
          <w:p w14:paraId="7193B443" w14:textId="3377B5D3" w:rsidR="002B25B0" w:rsidRPr="00BD4C69" w:rsidRDefault="002C00C0" w:rsidP="00866B14">
            <w:pPr>
              <w:autoSpaceDE w:val="0"/>
              <w:autoSpaceDN w:val="0"/>
              <w:adjustRightInd w:val="0"/>
              <w:spacing w:before="60" w:after="60"/>
              <w:rPr>
                <w:rFonts w:ascii="Arial" w:hAnsi="Arial" w:cs="Arial"/>
                <w:iCs/>
                <w:sz w:val="20"/>
                <w:szCs w:val="20"/>
              </w:rPr>
            </w:pPr>
            <w:r w:rsidRPr="002C00C0">
              <w:rPr>
                <w:rFonts w:ascii="Arial" w:hAnsi="Arial" w:cs="Arial"/>
                <w:iCs/>
                <w:sz w:val="20"/>
                <w:szCs w:val="20"/>
              </w:rPr>
              <w:t>Bangladesh</w:t>
            </w:r>
          </w:p>
        </w:tc>
        <w:tc>
          <w:tcPr>
            <w:tcW w:w="1417" w:type="dxa"/>
            <w:shd w:val="clear" w:color="auto" w:fill="auto"/>
            <w:vAlign w:val="center"/>
          </w:tcPr>
          <w:p w14:paraId="4A775837" w14:textId="65F24842" w:rsidR="002B25B0" w:rsidRPr="00BD4C69" w:rsidRDefault="002C00C0" w:rsidP="00866B14">
            <w:pPr>
              <w:pStyle w:val="Marge"/>
              <w:spacing w:before="60" w:after="60"/>
              <w:jc w:val="center"/>
              <w:rPr>
                <w:rFonts w:cs="Arial"/>
                <w:sz w:val="20"/>
                <w:szCs w:val="20"/>
              </w:rPr>
            </w:pPr>
            <w:r>
              <w:rPr>
                <w:rFonts w:cs="Arial"/>
                <w:sz w:val="20"/>
                <w:szCs w:val="20"/>
              </w:rPr>
              <w:t>2016</w:t>
            </w:r>
          </w:p>
        </w:tc>
        <w:tc>
          <w:tcPr>
            <w:tcW w:w="1276" w:type="dxa"/>
            <w:shd w:val="clear" w:color="auto" w:fill="auto"/>
            <w:vAlign w:val="center"/>
          </w:tcPr>
          <w:p w14:paraId="5F8002C8" w14:textId="77777777" w:rsidR="002B25B0" w:rsidRPr="00BD4C69" w:rsidRDefault="002B25B0"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4CF79377" w14:textId="52246BBE" w:rsidR="002B25B0" w:rsidRPr="00BD4C69" w:rsidRDefault="002C00C0" w:rsidP="00866B14">
            <w:pPr>
              <w:pStyle w:val="Marge"/>
              <w:spacing w:before="60" w:after="60"/>
              <w:jc w:val="left"/>
              <w:rPr>
                <w:rFonts w:cs="Arial"/>
                <w:sz w:val="20"/>
                <w:szCs w:val="20"/>
              </w:rPr>
            </w:pPr>
            <w:r>
              <w:rPr>
                <w:rFonts w:cs="Arial"/>
                <w:sz w:val="20"/>
                <w:szCs w:val="20"/>
              </w:rPr>
              <w:t xml:space="preserve">Un an </w:t>
            </w:r>
            <w:r w:rsidR="002B25B0">
              <w:rPr>
                <w:rFonts w:cs="Arial"/>
                <w:sz w:val="20"/>
                <w:szCs w:val="20"/>
              </w:rPr>
              <w:t>de retard</w:t>
            </w:r>
          </w:p>
        </w:tc>
      </w:tr>
      <w:tr w:rsidR="002B25B0" w:rsidRPr="001D5A37" w14:paraId="3AABBF03" w14:textId="77777777" w:rsidTr="00DC1626">
        <w:trPr>
          <w:cantSplit/>
        </w:trPr>
        <w:tc>
          <w:tcPr>
            <w:tcW w:w="4228" w:type="dxa"/>
            <w:shd w:val="clear" w:color="auto" w:fill="auto"/>
            <w:vAlign w:val="center"/>
          </w:tcPr>
          <w:p w14:paraId="6441176B" w14:textId="692C8341" w:rsidR="002B25B0" w:rsidRPr="002C00C0" w:rsidRDefault="002C00C0" w:rsidP="00866B14">
            <w:pPr>
              <w:autoSpaceDE w:val="0"/>
              <w:autoSpaceDN w:val="0"/>
              <w:adjustRightInd w:val="0"/>
              <w:spacing w:before="60" w:after="60"/>
              <w:rPr>
                <w:rFonts w:ascii="Arial" w:hAnsi="Arial" w:cs="Arial"/>
                <w:iCs/>
                <w:sz w:val="20"/>
                <w:szCs w:val="20"/>
              </w:rPr>
            </w:pPr>
            <w:r w:rsidRPr="002C00C0">
              <w:rPr>
                <w:rFonts w:ascii="Arial" w:hAnsi="Arial" w:cs="Arial"/>
                <w:iCs/>
                <w:sz w:val="20"/>
                <w:szCs w:val="20"/>
              </w:rPr>
              <w:t>Barbade</w:t>
            </w:r>
          </w:p>
        </w:tc>
        <w:tc>
          <w:tcPr>
            <w:tcW w:w="1417" w:type="dxa"/>
            <w:shd w:val="clear" w:color="auto" w:fill="auto"/>
            <w:vAlign w:val="center"/>
          </w:tcPr>
          <w:p w14:paraId="302C54F0" w14:textId="7F353275" w:rsidR="002B25B0" w:rsidRPr="00BD4C69" w:rsidRDefault="002C00C0" w:rsidP="00866B14">
            <w:pPr>
              <w:pStyle w:val="Marge"/>
              <w:spacing w:before="60" w:after="60"/>
              <w:jc w:val="center"/>
              <w:rPr>
                <w:rFonts w:cs="Arial"/>
                <w:sz w:val="20"/>
                <w:szCs w:val="20"/>
              </w:rPr>
            </w:pPr>
            <w:r>
              <w:rPr>
                <w:rFonts w:cs="Arial"/>
                <w:sz w:val="20"/>
                <w:szCs w:val="20"/>
              </w:rPr>
              <w:t>2015</w:t>
            </w:r>
          </w:p>
        </w:tc>
        <w:tc>
          <w:tcPr>
            <w:tcW w:w="1276" w:type="dxa"/>
            <w:shd w:val="clear" w:color="auto" w:fill="auto"/>
            <w:vAlign w:val="center"/>
          </w:tcPr>
          <w:p w14:paraId="2FC358B3" w14:textId="30C98638" w:rsidR="002B25B0" w:rsidRPr="00966B65" w:rsidRDefault="00064425" w:rsidP="00866B14">
            <w:pPr>
              <w:pStyle w:val="Marge"/>
              <w:spacing w:before="60" w:after="60"/>
              <w:jc w:val="center"/>
              <w:rPr>
                <w:rFonts w:cs="Arial"/>
                <w:b/>
                <w:sz w:val="20"/>
                <w:szCs w:val="20"/>
              </w:rPr>
            </w:pPr>
            <w:r>
              <w:rPr>
                <w:rFonts w:cs="Arial"/>
                <w:b/>
                <w:sz w:val="20"/>
                <w:szCs w:val="20"/>
              </w:rPr>
              <w:t>-</w:t>
            </w:r>
          </w:p>
        </w:tc>
        <w:tc>
          <w:tcPr>
            <w:tcW w:w="2126" w:type="dxa"/>
            <w:shd w:val="clear" w:color="auto" w:fill="auto"/>
            <w:vAlign w:val="center"/>
          </w:tcPr>
          <w:p w14:paraId="742E98E0" w14:textId="2789AB5F" w:rsidR="002B25B0" w:rsidRPr="00BD4C69" w:rsidRDefault="00064425" w:rsidP="00866B14">
            <w:pPr>
              <w:pStyle w:val="Marge"/>
              <w:spacing w:before="60" w:after="60"/>
              <w:jc w:val="left"/>
              <w:rPr>
                <w:rFonts w:cs="Arial"/>
                <w:sz w:val="20"/>
                <w:szCs w:val="20"/>
              </w:rPr>
            </w:pPr>
            <w:r>
              <w:rPr>
                <w:rFonts w:cs="Arial"/>
                <w:sz w:val="20"/>
                <w:szCs w:val="20"/>
              </w:rPr>
              <w:t>Deux ans de retard</w:t>
            </w:r>
          </w:p>
        </w:tc>
      </w:tr>
      <w:tr w:rsidR="002C00C0" w:rsidRPr="001D5A37" w14:paraId="19F517F4" w14:textId="77777777" w:rsidTr="00DC1626">
        <w:trPr>
          <w:cantSplit/>
        </w:trPr>
        <w:tc>
          <w:tcPr>
            <w:tcW w:w="4228" w:type="dxa"/>
            <w:shd w:val="clear" w:color="auto" w:fill="auto"/>
            <w:vAlign w:val="center"/>
          </w:tcPr>
          <w:p w14:paraId="69CBB6D2" w14:textId="3D4AADC2" w:rsidR="002C00C0" w:rsidRPr="00BD4C69" w:rsidRDefault="002C00C0" w:rsidP="00866B14">
            <w:pPr>
              <w:autoSpaceDE w:val="0"/>
              <w:autoSpaceDN w:val="0"/>
              <w:adjustRightInd w:val="0"/>
              <w:spacing w:before="60" w:after="60"/>
              <w:rPr>
                <w:rFonts w:ascii="Arial" w:hAnsi="Arial" w:cs="Arial"/>
                <w:iCs/>
                <w:sz w:val="20"/>
                <w:szCs w:val="20"/>
              </w:rPr>
            </w:pPr>
            <w:r w:rsidRPr="002C00C0">
              <w:rPr>
                <w:rFonts w:ascii="Arial" w:hAnsi="Arial" w:cs="Arial"/>
                <w:b/>
                <w:iCs/>
                <w:sz w:val="20"/>
                <w:szCs w:val="20"/>
              </w:rPr>
              <w:t>Bosnie-Herzégovine</w:t>
            </w:r>
          </w:p>
        </w:tc>
        <w:tc>
          <w:tcPr>
            <w:tcW w:w="1417" w:type="dxa"/>
            <w:shd w:val="clear" w:color="auto" w:fill="auto"/>
            <w:vAlign w:val="center"/>
          </w:tcPr>
          <w:p w14:paraId="4731833C" w14:textId="039A49ED" w:rsidR="002C00C0" w:rsidRPr="00BD4C69" w:rsidRDefault="002C00C0" w:rsidP="00866B14">
            <w:pPr>
              <w:pStyle w:val="Marge"/>
              <w:spacing w:before="60" w:after="60"/>
              <w:jc w:val="center"/>
              <w:rPr>
                <w:rFonts w:cs="Arial"/>
                <w:sz w:val="20"/>
                <w:szCs w:val="20"/>
              </w:rPr>
            </w:pPr>
            <w:r>
              <w:rPr>
                <w:rFonts w:cs="Arial"/>
                <w:sz w:val="20"/>
                <w:szCs w:val="20"/>
              </w:rPr>
              <w:t>2016</w:t>
            </w:r>
          </w:p>
        </w:tc>
        <w:tc>
          <w:tcPr>
            <w:tcW w:w="1276" w:type="dxa"/>
            <w:shd w:val="clear" w:color="auto" w:fill="auto"/>
            <w:vAlign w:val="center"/>
          </w:tcPr>
          <w:p w14:paraId="518472AE" w14:textId="556375E3" w:rsidR="002C00C0" w:rsidRPr="00A00469" w:rsidRDefault="002C00C0" w:rsidP="00866B14">
            <w:pPr>
              <w:pStyle w:val="Marge"/>
              <w:spacing w:before="60" w:after="60"/>
              <w:jc w:val="center"/>
              <w:rPr>
                <w:rFonts w:cs="Arial"/>
                <w:b/>
                <w:sz w:val="20"/>
                <w:szCs w:val="20"/>
              </w:rPr>
            </w:pPr>
            <w:r w:rsidRPr="00A00469">
              <w:rPr>
                <w:rFonts w:cs="Arial"/>
                <w:b/>
                <w:sz w:val="20"/>
                <w:szCs w:val="20"/>
              </w:rPr>
              <w:t>2016</w:t>
            </w:r>
          </w:p>
        </w:tc>
        <w:tc>
          <w:tcPr>
            <w:tcW w:w="2126" w:type="dxa"/>
            <w:shd w:val="clear" w:color="auto" w:fill="auto"/>
            <w:vAlign w:val="center"/>
          </w:tcPr>
          <w:p w14:paraId="61306DE7" w14:textId="396C7352" w:rsidR="002C00C0" w:rsidRPr="00BD4C69" w:rsidRDefault="00064425" w:rsidP="007B5725">
            <w:pPr>
              <w:pStyle w:val="Marge"/>
              <w:spacing w:before="60" w:after="60"/>
              <w:jc w:val="left"/>
              <w:rPr>
                <w:rFonts w:cs="Arial"/>
                <w:sz w:val="20"/>
                <w:szCs w:val="20"/>
              </w:rPr>
            </w:pPr>
            <w:r>
              <w:rPr>
                <w:rFonts w:cs="Arial"/>
                <w:sz w:val="20"/>
                <w:szCs w:val="20"/>
              </w:rPr>
              <w:t>-</w:t>
            </w:r>
          </w:p>
        </w:tc>
      </w:tr>
      <w:tr w:rsidR="002C00C0" w:rsidRPr="001D5A37" w14:paraId="29C007B3" w14:textId="77777777" w:rsidTr="00DC1626">
        <w:trPr>
          <w:cantSplit/>
        </w:trPr>
        <w:tc>
          <w:tcPr>
            <w:tcW w:w="4228" w:type="dxa"/>
            <w:shd w:val="clear" w:color="auto" w:fill="auto"/>
            <w:vAlign w:val="center"/>
          </w:tcPr>
          <w:p w14:paraId="6AA4A7BB" w14:textId="20407035" w:rsidR="002C00C0" w:rsidRPr="00BD4C69" w:rsidRDefault="002C00C0" w:rsidP="00B92F36">
            <w:pPr>
              <w:autoSpaceDE w:val="0"/>
              <w:autoSpaceDN w:val="0"/>
              <w:adjustRightInd w:val="0"/>
              <w:spacing w:before="60" w:after="60"/>
              <w:rPr>
                <w:rFonts w:ascii="Arial" w:hAnsi="Arial" w:cs="Arial"/>
                <w:b/>
                <w:iCs/>
                <w:sz w:val="20"/>
                <w:szCs w:val="20"/>
              </w:rPr>
            </w:pPr>
            <w:r>
              <w:rPr>
                <w:rFonts w:ascii="Arial" w:hAnsi="Arial" w:cs="Arial"/>
                <w:iCs/>
                <w:sz w:val="20"/>
                <w:szCs w:val="20"/>
              </w:rPr>
              <w:t>Danemark</w:t>
            </w:r>
          </w:p>
        </w:tc>
        <w:tc>
          <w:tcPr>
            <w:tcW w:w="1417" w:type="dxa"/>
            <w:shd w:val="clear" w:color="auto" w:fill="auto"/>
            <w:vAlign w:val="center"/>
          </w:tcPr>
          <w:p w14:paraId="49C3A4B3" w14:textId="3297E13E" w:rsidR="002C00C0" w:rsidRPr="00BD4C69" w:rsidRDefault="002C00C0" w:rsidP="00866B14">
            <w:pPr>
              <w:pStyle w:val="Marge"/>
              <w:spacing w:before="60" w:after="60"/>
              <w:jc w:val="center"/>
              <w:rPr>
                <w:rFonts w:cs="Arial"/>
                <w:sz w:val="20"/>
                <w:szCs w:val="20"/>
              </w:rPr>
            </w:pPr>
            <w:r w:rsidRPr="00BD4C69">
              <w:rPr>
                <w:rFonts w:cs="Arial"/>
                <w:sz w:val="20"/>
                <w:szCs w:val="20"/>
              </w:rPr>
              <w:t>2016</w:t>
            </w:r>
          </w:p>
        </w:tc>
        <w:tc>
          <w:tcPr>
            <w:tcW w:w="1276" w:type="dxa"/>
            <w:shd w:val="clear" w:color="auto" w:fill="auto"/>
            <w:vAlign w:val="center"/>
          </w:tcPr>
          <w:p w14:paraId="719232DA" w14:textId="2CAE3F00" w:rsidR="002C00C0" w:rsidRPr="00BD4C69" w:rsidRDefault="002C00C0" w:rsidP="00866B14">
            <w:pPr>
              <w:pStyle w:val="Marge"/>
              <w:spacing w:before="60" w:after="60"/>
              <w:jc w:val="center"/>
              <w:rPr>
                <w:rFonts w:cs="Arial"/>
                <w:b/>
                <w:sz w:val="20"/>
                <w:szCs w:val="20"/>
              </w:rPr>
            </w:pPr>
            <w:r>
              <w:rPr>
                <w:rFonts w:cs="Arial"/>
                <w:b/>
                <w:sz w:val="20"/>
                <w:szCs w:val="20"/>
              </w:rPr>
              <w:t>-</w:t>
            </w:r>
          </w:p>
        </w:tc>
        <w:tc>
          <w:tcPr>
            <w:tcW w:w="2126" w:type="dxa"/>
            <w:shd w:val="clear" w:color="auto" w:fill="auto"/>
            <w:vAlign w:val="center"/>
          </w:tcPr>
          <w:p w14:paraId="10B5CE82" w14:textId="7A15AD82" w:rsidR="002C00C0" w:rsidRPr="00BD4C69" w:rsidRDefault="002C00C0" w:rsidP="007B5725">
            <w:pPr>
              <w:pStyle w:val="Marge"/>
              <w:spacing w:before="60" w:after="60"/>
              <w:jc w:val="left"/>
              <w:rPr>
                <w:rFonts w:cs="Arial"/>
                <w:sz w:val="20"/>
                <w:szCs w:val="20"/>
              </w:rPr>
            </w:pPr>
            <w:r>
              <w:rPr>
                <w:rFonts w:cs="Arial"/>
                <w:sz w:val="20"/>
                <w:szCs w:val="20"/>
              </w:rPr>
              <w:t>Un an de retard</w:t>
            </w:r>
          </w:p>
        </w:tc>
      </w:tr>
      <w:tr w:rsidR="002C00C0" w:rsidRPr="001D5A37" w14:paraId="3DE6F3FA" w14:textId="77777777" w:rsidTr="00DC1626">
        <w:trPr>
          <w:cantSplit/>
        </w:trPr>
        <w:tc>
          <w:tcPr>
            <w:tcW w:w="4228" w:type="dxa"/>
            <w:shd w:val="clear" w:color="auto" w:fill="auto"/>
            <w:vAlign w:val="center"/>
          </w:tcPr>
          <w:p w14:paraId="46F439E4" w14:textId="7EB3A46B" w:rsidR="002C00C0" w:rsidRPr="00BD4C69" w:rsidRDefault="002C00C0" w:rsidP="00866B14">
            <w:pPr>
              <w:autoSpaceDE w:val="0"/>
              <w:autoSpaceDN w:val="0"/>
              <w:adjustRightInd w:val="0"/>
              <w:spacing w:before="60" w:after="60"/>
              <w:rPr>
                <w:rFonts w:ascii="Arial" w:hAnsi="Arial" w:cs="Arial"/>
                <w:iCs/>
                <w:sz w:val="20"/>
                <w:szCs w:val="20"/>
              </w:rPr>
            </w:pPr>
            <w:r w:rsidRPr="00BD4C69">
              <w:rPr>
                <w:rFonts w:ascii="Arial" w:hAnsi="Arial" w:cs="Arial"/>
                <w:iCs/>
                <w:sz w:val="20"/>
                <w:szCs w:val="20"/>
              </w:rPr>
              <w:t>Djibouti</w:t>
            </w:r>
          </w:p>
        </w:tc>
        <w:tc>
          <w:tcPr>
            <w:tcW w:w="1417" w:type="dxa"/>
            <w:shd w:val="clear" w:color="auto" w:fill="auto"/>
            <w:vAlign w:val="center"/>
          </w:tcPr>
          <w:p w14:paraId="225DADD5" w14:textId="4CB78A0B" w:rsidR="002C00C0" w:rsidRPr="00BD4C69" w:rsidRDefault="002C00C0" w:rsidP="00866B14">
            <w:pPr>
              <w:pStyle w:val="Marge"/>
              <w:spacing w:before="60" w:after="60"/>
              <w:jc w:val="center"/>
              <w:rPr>
                <w:rFonts w:cs="Arial"/>
                <w:sz w:val="20"/>
                <w:szCs w:val="20"/>
              </w:rPr>
            </w:pPr>
            <w:r>
              <w:rPr>
                <w:rFonts w:cs="Arial"/>
                <w:sz w:val="20"/>
                <w:szCs w:val="20"/>
              </w:rPr>
              <w:t>2014</w:t>
            </w:r>
          </w:p>
        </w:tc>
        <w:tc>
          <w:tcPr>
            <w:tcW w:w="1276" w:type="dxa"/>
            <w:shd w:val="clear" w:color="auto" w:fill="auto"/>
            <w:vAlign w:val="center"/>
          </w:tcPr>
          <w:p w14:paraId="7EE27B39" w14:textId="77777777" w:rsidR="002C00C0" w:rsidRPr="00BD4C69" w:rsidRDefault="002C00C0"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519E3869" w14:textId="4748B76F" w:rsidR="002C00C0" w:rsidRPr="00BD4C69" w:rsidRDefault="002C00C0" w:rsidP="007B5725">
            <w:pPr>
              <w:pStyle w:val="Marge"/>
              <w:spacing w:before="60" w:after="60"/>
              <w:jc w:val="left"/>
              <w:rPr>
                <w:rFonts w:cs="Arial"/>
                <w:sz w:val="20"/>
                <w:szCs w:val="20"/>
              </w:rPr>
            </w:pPr>
            <w:r>
              <w:rPr>
                <w:rFonts w:cs="Arial"/>
                <w:sz w:val="20"/>
                <w:szCs w:val="20"/>
              </w:rPr>
              <w:t>Trois ans de retard</w:t>
            </w:r>
          </w:p>
        </w:tc>
      </w:tr>
      <w:tr w:rsidR="002C00C0" w:rsidRPr="001D5A37" w14:paraId="20283FE5" w14:textId="77777777" w:rsidTr="00DC1626">
        <w:trPr>
          <w:cantSplit/>
        </w:trPr>
        <w:tc>
          <w:tcPr>
            <w:tcW w:w="4228" w:type="dxa"/>
            <w:shd w:val="clear" w:color="auto" w:fill="auto"/>
            <w:vAlign w:val="center"/>
          </w:tcPr>
          <w:p w14:paraId="602AA3DF" w14:textId="4BB1FB5C" w:rsidR="002C00C0" w:rsidRPr="00BD4C69" w:rsidRDefault="002C00C0" w:rsidP="00866B14">
            <w:pPr>
              <w:autoSpaceDE w:val="0"/>
              <w:autoSpaceDN w:val="0"/>
              <w:adjustRightInd w:val="0"/>
              <w:spacing w:before="60" w:after="60"/>
              <w:rPr>
                <w:rFonts w:ascii="Arial" w:hAnsi="Arial" w:cs="Arial"/>
                <w:iCs/>
                <w:sz w:val="20"/>
                <w:szCs w:val="20"/>
              </w:rPr>
            </w:pPr>
            <w:r>
              <w:rPr>
                <w:rFonts w:ascii="Arial" w:hAnsi="Arial" w:cs="Arial"/>
                <w:iCs/>
                <w:sz w:val="20"/>
                <w:szCs w:val="20"/>
              </w:rPr>
              <w:t>Dominique</w:t>
            </w:r>
          </w:p>
        </w:tc>
        <w:tc>
          <w:tcPr>
            <w:tcW w:w="1417" w:type="dxa"/>
            <w:shd w:val="clear" w:color="auto" w:fill="auto"/>
            <w:vAlign w:val="center"/>
          </w:tcPr>
          <w:p w14:paraId="5EDD8AFC" w14:textId="01C6C8BB" w:rsidR="002C00C0" w:rsidRPr="00BD4C69" w:rsidRDefault="002C00C0" w:rsidP="00866B14">
            <w:pPr>
              <w:pStyle w:val="Marge"/>
              <w:spacing w:before="60" w:after="60"/>
              <w:jc w:val="center"/>
              <w:rPr>
                <w:rFonts w:cs="Arial"/>
                <w:sz w:val="20"/>
                <w:szCs w:val="20"/>
              </w:rPr>
            </w:pPr>
            <w:r>
              <w:rPr>
                <w:rFonts w:cs="Arial"/>
                <w:sz w:val="20"/>
                <w:szCs w:val="20"/>
              </w:rPr>
              <w:t>2012</w:t>
            </w:r>
          </w:p>
        </w:tc>
        <w:tc>
          <w:tcPr>
            <w:tcW w:w="1276" w:type="dxa"/>
            <w:shd w:val="clear" w:color="auto" w:fill="auto"/>
            <w:vAlign w:val="center"/>
          </w:tcPr>
          <w:p w14:paraId="7429D1BE" w14:textId="77777777" w:rsidR="002C00C0" w:rsidRPr="00BD4C69" w:rsidRDefault="002C00C0"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03604AF5" w14:textId="79D4CC4A" w:rsidR="002C00C0" w:rsidRPr="00BD4C69" w:rsidRDefault="000E647F" w:rsidP="00866B14">
            <w:pPr>
              <w:pStyle w:val="Marge"/>
              <w:spacing w:before="60" w:after="60"/>
              <w:jc w:val="left"/>
              <w:rPr>
                <w:rFonts w:cs="Arial"/>
                <w:sz w:val="20"/>
                <w:szCs w:val="20"/>
              </w:rPr>
            </w:pPr>
            <w:r>
              <w:rPr>
                <w:rFonts w:cs="Arial"/>
                <w:sz w:val="20"/>
                <w:szCs w:val="20"/>
              </w:rPr>
              <w:t>Cinq</w:t>
            </w:r>
            <w:r w:rsidR="002C00C0">
              <w:rPr>
                <w:rFonts w:cs="Arial"/>
                <w:sz w:val="20"/>
                <w:szCs w:val="20"/>
              </w:rPr>
              <w:t xml:space="preserve"> ans de retard</w:t>
            </w:r>
          </w:p>
        </w:tc>
      </w:tr>
      <w:tr w:rsidR="002C00C0" w:rsidRPr="001D5A37" w14:paraId="6E532E97" w14:textId="77777777" w:rsidTr="00DC1626">
        <w:trPr>
          <w:cantSplit/>
        </w:trPr>
        <w:tc>
          <w:tcPr>
            <w:tcW w:w="4228" w:type="dxa"/>
            <w:shd w:val="clear" w:color="auto" w:fill="auto"/>
            <w:vAlign w:val="center"/>
          </w:tcPr>
          <w:p w14:paraId="4327F215" w14:textId="026A1E8A" w:rsidR="002C00C0" w:rsidRPr="000E647F" w:rsidRDefault="000E647F" w:rsidP="00866B14">
            <w:pPr>
              <w:autoSpaceDE w:val="0"/>
              <w:autoSpaceDN w:val="0"/>
              <w:adjustRightInd w:val="0"/>
              <w:spacing w:before="60" w:after="60"/>
              <w:rPr>
                <w:rFonts w:ascii="Arial" w:hAnsi="Arial" w:cs="Arial"/>
                <w:iCs/>
                <w:sz w:val="20"/>
                <w:szCs w:val="20"/>
              </w:rPr>
            </w:pPr>
            <w:r>
              <w:rPr>
                <w:rFonts w:ascii="Arial" w:hAnsi="Arial" w:cs="Arial"/>
                <w:iCs/>
                <w:sz w:val="20"/>
                <w:szCs w:val="20"/>
              </w:rPr>
              <w:t>ex-République yougoslave de Macédoine</w:t>
            </w:r>
          </w:p>
        </w:tc>
        <w:tc>
          <w:tcPr>
            <w:tcW w:w="1417" w:type="dxa"/>
            <w:shd w:val="clear" w:color="auto" w:fill="auto"/>
            <w:vAlign w:val="center"/>
          </w:tcPr>
          <w:p w14:paraId="6E7EEAD0" w14:textId="08EB8B51" w:rsidR="002C00C0" w:rsidRPr="00BD4C69" w:rsidRDefault="000E647F" w:rsidP="00866B14">
            <w:pPr>
              <w:pStyle w:val="Marge"/>
              <w:spacing w:before="60" w:after="60"/>
              <w:jc w:val="center"/>
              <w:rPr>
                <w:rFonts w:cs="Arial"/>
                <w:sz w:val="20"/>
                <w:szCs w:val="20"/>
              </w:rPr>
            </w:pPr>
            <w:r>
              <w:rPr>
                <w:rFonts w:cs="Arial"/>
                <w:sz w:val="20"/>
                <w:szCs w:val="20"/>
              </w:rPr>
              <w:t>2013</w:t>
            </w:r>
          </w:p>
        </w:tc>
        <w:tc>
          <w:tcPr>
            <w:tcW w:w="1276" w:type="dxa"/>
            <w:shd w:val="clear" w:color="auto" w:fill="auto"/>
            <w:vAlign w:val="center"/>
          </w:tcPr>
          <w:p w14:paraId="16032FF1" w14:textId="6F87FC14" w:rsidR="002C00C0" w:rsidRPr="000E647F" w:rsidRDefault="000E647F" w:rsidP="00866B14">
            <w:pPr>
              <w:pStyle w:val="Marge"/>
              <w:spacing w:before="60" w:after="60"/>
              <w:jc w:val="center"/>
              <w:rPr>
                <w:rFonts w:cs="Arial"/>
                <w:sz w:val="20"/>
                <w:szCs w:val="20"/>
              </w:rPr>
            </w:pPr>
            <w:r w:rsidRPr="000E647F">
              <w:rPr>
                <w:rFonts w:cs="Arial"/>
                <w:sz w:val="20"/>
                <w:szCs w:val="20"/>
              </w:rPr>
              <w:t>-</w:t>
            </w:r>
          </w:p>
        </w:tc>
        <w:tc>
          <w:tcPr>
            <w:tcW w:w="2126" w:type="dxa"/>
            <w:shd w:val="clear" w:color="auto" w:fill="auto"/>
            <w:vAlign w:val="center"/>
          </w:tcPr>
          <w:p w14:paraId="1352E621" w14:textId="4EDE79C9" w:rsidR="002C00C0" w:rsidRPr="00BD4C69" w:rsidRDefault="000E647F" w:rsidP="000E647F">
            <w:pPr>
              <w:pStyle w:val="Marge"/>
              <w:spacing w:before="60" w:after="60"/>
              <w:jc w:val="left"/>
              <w:rPr>
                <w:rFonts w:cs="Arial"/>
                <w:sz w:val="20"/>
                <w:szCs w:val="20"/>
              </w:rPr>
            </w:pPr>
            <w:r>
              <w:rPr>
                <w:rFonts w:cs="Arial"/>
                <w:sz w:val="20"/>
                <w:szCs w:val="20"/>
              </w:rPr>
              <w:t>Quatre ans de retard</w:t>
            </w:r>
          </w:p>
        </w:tc>
      </w:tr>
      <w:tr w:rsidR="002C00C0" w:rsidRPr="001D5A37" w14:paraId="6D655174" w14:textId="77777777" w:rsidTr="00DC1626">
        <w:trPr>
          <w:cantSplit/>
        </w:trPr>
        <w:tc>
          <w:tcPr>
            <w:tcW w:w="4228" w:type="dxa"/>
            <w:shd w:val="clear" w:color="auto" w:fill="auto"/>
            <w:vAlign w:val="center"/>
          </w:tcPr>
          <w:p w14:paraId="082F5650" w14:textId="177D456C" w:rsidR="002C00C0" w:rsidRPr="00A00469" w:rsidRDefault="000E647F" w:rsidP="00866B14">
            <w:pPr>
              <w:autoSpaceDE w:val="0"/>
              <w:autoSpaceDN w:val="0"/>
              <w:adjustRightInd w:val="0"/>
              <w:spacing w:before="60" w:after="60"/>
              <w:rPr>
                <w:rFonts w:ascii="Arial" w:hAnsi="Arial" w:cs="Arial"/>
                <w:b/>
                <w:iCs/>
                <w:sz w:val="20"/>
                <w:szCs w:val="20"/>
              </w:rPr>
            </w:pPr>
            <w:r w:rsidRPr="00A00469">
              <w:rPr>
                <w:rFonts w:ascii="Arial" w:hAnsi="Arial" w:cs="Arial"/>
                <w:b/>
                <w:iCs/>
                <w:sz w:val="20"/>
                <w:szCs w:val="20"/>
              </w:rPr>
              <w:t>Grèce</w:t>
            </w:r>
          </w:p>
        </w:tc>
        <w:tc>
          <w:tcPr>
            <w:tcW w:w="1417" w:type="dxa"/>
            <w:shd w:val="clear" w:color="auto" w:fill="auto"/>
            <w:vAlign w:val="center"/>
          </w:tcPr>
          <w:p w14:paraId="1B0EED7E" w14:textId="27D18F88" w:rsidR="002C00C0" w:rsidRPr="00BD4C69" w:rsidRDefault="000E647F" w:rsidP="00866B14">
            <w:pPr>
              <w:pStyle w:val="Marge"/>
              <w:spacing w:before="60" w:after="60"/>
              <w:jc w:val="center"/>
              <w:rPr>
                <w:rFonts w:cs="Arial"/>
                <w:sz w:val="20"/>
                <w:szCs w:val="20"/>
              </w:rPr>
            </w:pPr>
            <w:r>
              <w:rPr>
                <w:rFonts w:cs="Arial"/>
                <w:sz w:val="20"/>
                <w:szCs w:val="20"/>
              </w:rPr>
              <w:t>2014</w:t>
            </w:r>
          </w:p>
        </w:tc>
        <w:tc>
          <w:tcPr>
            <w:tcW w:w="1276" w:type="dxa"/>
            <w:shd w:val="clear" w:color="auto" w:fill="auto"/>
            <w:vAlign w:val="center"/>
          </w:tcPr>
          <w:p w14:paraId="26B9B79E" w14:textId="2D7C13DF" w:rsidR="002C00C0" w:rsidRPr="00BD4C69" w:rsidRDefault="000E647F" w:rsidP="00866B14">
            <w:pPr>
              <w:pStyle w:val="Marge"/>
              <w:spacing w:before="60" w:after="60"/>
              <w:jc w:val="center"/>
              <w:rPr>
                <w:rFonts w:cs="Arial"/>
                <w:b/>
                <w:sz w:val="20"/>
                <w:szCs w:val="20"/>
              </w:rPr>
            </w:pPr>
            <w:r>
              <w:rPr>
                <w:rFonts w:cs="Arial"/>
                <w:b/>
                <w:sz w:val="20"/>
                <w:szCs w:val="20"/>
              </w:rPr>
              <w:t>2016</w:t>
            </w:r>
          </w:p>
        </w:tc>
        <w:tc>
          <w:tcPr>
            <w:tcW w:w="2126" w:type="dxa"/>
            <w:shd w:val="clear" w:color="auto" w:fill="auto"/>
            <w:vAlign w:val="center"/>
          </w:tcPr>
          <w:p w14:paraId="3DC5EEC2" w14:textId="67802085" w:rsidR="002C00C0" w:rsidRPr="00BD4C69" w:rsidRDefault="00064425" w:rsidP="00866B14">
            <w:pPr>
              <w:pStyle w:val="Marge"/>
              <w:spacing w:before="60" w:after="60"/>
              <w:jc w:val="left"/>
              <w:rPr>
                <w:rFonts w:cs="Arial"/>
                <w:sz w:val="20"/>
                <w:szCs w:val="20"/>
              </w:rPr>
            </w:pPr>
            <w:r>
              <w:rPr>
                <w:rFonts w:cs="Arial"/>
                <w:sz w:val="20"/>
                <w:szCs w:val="20"/>
              </w:rPr>
              <w:t>-</w:t>
            </w:r>
          </w:p>
        </w:tc>
      </w:tr>
      <w:tr w:rsidR="002C00C0" w:rsidRPr="001D5A37" w14:paraId="5DE4F83F" w14:textId="77777777" w:rsidTr="00DC1626">
        <w:trPr>
          <w:cantSplit/>
        </w:trPr>
        <w:tc>
          <w:tcPr>
            <w:tcW w:w="4228" w:type="dxa"/>
            <w:shd w:val="clear" w:color="auto" w:fill="auto"/>
            <w:vAlign w:val="center"/>
          </w:tcPr>
          <w:p w14:paraId="62F2CC32" w14:textId="03FDDC8B" w:rsidR="002C00C0"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Grenade</w:t>
            </w:r>
          </w:p>
        </w:tc>
        <w:tc>
          <w:tcPr>
            <w:tcW w:w="1417" w:type="dxa"/>
            <w:shd w:val="clear" w:color="auto" w:fill="auto"/>
            <w:vAlign w:val="center"/>
          </w:tcPr>
          <w:p w14:paraId="17907A26" w14:textId="3D0262D0" w:rsidR="002C00C0" w:rsidRPr="00BD4C69" w:rsidRDefault="00A00469" w:rsidP="00866B14">
            <w:pPr>
              <w:pStyle w:val="Marge"/>
              <w:spacing w:before="60" w:after="60"/>
              <w:jc w:val="center"/>
              <w:rPr>
                <w:rFonts w:cs="Arial"/>
                <w:sz w:val="20"/>
                <w:szCs w:val="20"/>
              </w:rPr>
            </w:pPr>
            <w:r>
              <w:rPr>
                <w:rFonts w:cs="Arial"/>
                <w:sz w:val="20"/>
                <w:szCs w:val="20"/>
              </w:rPr>
              <w:t>2016</w:t>
            </w:r>
          </w:p>
        </w:tc>
        <w:tc>
          <w:tcPr>
            <w:tcW w:w="1276" w:type="dxa"/>
            <w:shd w:val="clear" w:color="auto" w:fill="auto"/>
            <w:vAlign w:val="center"/>
          </w:tcPr>
          <w:p w14:paraId="1CAAD16F" w14:textId="1F95A6BF" w:rsidR="002C00C0" w:rsidRPr="00BD4C69" w:rsidRDefault="00A00469" w:rsidP="00866B14">
            <w:pPr>
              <w:pStyle w:val="Marge"/>
              <w:spacing w:before="60" w:after="60"/>
              <w:jc w:val="center"/>
              <w:rPr>
                <w:rFonts w:cs="Arial"/>
                <w:sz w:val="20"/>
                <w:szCs w:val="20"/>
              </w:rPr>
            </w:pPr>
            <w:r>
              <w:rPr>
                <w:rFonts w:cs="Arial"/>
                <w:sz w:val="20"/>
                <w:szCs w:val="20"/>
              </w:rPr>
              <w:t>-</w:t>
            </w:r>
          </w:p>
        </w:tc>
        <w:tc>
          <w:tcPr>
            <w:tcW w:w="2126" w:type="dxa"/>
            <w:shd w:val="clear" w:color="auto" w:fill="auto"/>
            <w:vAlign w:val="center"/>
          </w:tcPr>
          <w:p w14:paraId="603149B1" w14:textId="4B2AB76A" w:rsidR="002C00C0" w:rsidRPr="00BD4C69" w:rsidRDefault="00A00469" w:rsidP="00866B14">
            <w:pPr>
              <w:pStyle w:val="Marge"/>
              <w:spacing w:before="60" w:after="60"/>
              <w:jc w:val="left"/>
              <w:rPr>
                <w:rFonts w:cs="Arial"/>
                <w:sz w:val="20"/>
                <w:szCs w:val="20"/>
              </w:rPr>
            </w:pPr>
            <w:r>
              <w:rPr>
                <w:rFonts w:cs="Arial"/>
                <w:sz w:val="20"/>
                <w:szCs w:val="20"/>
              </w:rPr>
              <w:t>Un an de retard</w:t>
            </w:r>
          </w:p>
        </w:tc>
      </w:tr>
      <w:tr w:rsidR="00A00469" w:rsidRPr="001D5A37" w14:paraId="62DF2C79" w14:textId="77777777" w:rsidTr="00DC1626">
        <w:trPr>
          <w:cantSplit/>
        </w:trPr>
        <w:tc>
          <w:tcPr>
            <w:tcW w:w="4228" w:type="dxa"/>
            <w:shd w:val="clear" w:color="auto" w:fill="auto"/>
            <w:vAlign w:val="center"/>
          </w:tcPr>
          <w:p w14:paraId="341466C6" w14:textId="05C0CCD2"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Guinée</w:t>
            </w:r>
          </w:p>
        </w:tc>
        <w:tc>
          <w:tcPr>
            <w:tcW w:w="1417" w:type="dxa"/>
            <w:shd w:val="clear" w:color="auto" w:fill="auto"/>
            <w:vAlign w:val="center"/>
          </w:tcPr>
          <w:p w14:paraId="0DB78443" w14:textId="507E522E" w:rsidR="00A00469" w:rsidRPr="00BD4C69" w:rsidRDefault="00A00469" w:rsidP="00866B14">
            <w:pPr>
              <w:pStyle w:val="Marge"/>
              <w:spacing w:before="60" w:after="60"/>
              <w:jc w:val="center"/>
              <w:rPr>
                <w:rFonts w:cs="Arial"/>
                <w:sz w:val="20"/>
                <w:szCs w:val="20"/>
              </w:rPr>
            </w:pPr>
            <w:r>
              <w:rPr>
                <w:rFonts w:cs="Arial"/>
                <w:sz w:val="20"/>
                <w:szCs w:val="20"/>
              </w:rPr>
              <w:t>2015</w:t>
            </w:r>
          </w:p>
        </w:tc>
        <w:tc>
          <w:tcPr>
            <w:tcW w:w="1276" w:type="dxa"/>
            <w:shd w:val="clear" w:color="auto" w:fill="auto"/>
            <w:vAlign w:val="center"/>
          </w:tcPr>
          <w:p w14:paraId="5459B902" w14:textId="192389E7"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111B642F" w14:textId="036E1892" w:rsidR="00A00469" w:rsidRPr="00BD4C69" w:rsidRDefault="00A00469" w:rsidP="00866B14">
            <w:pPr>
              <w:pStyle w:val="Marge"/>
              <w:spacing w:before="60" w:after="60"/>
              <w:jc w:val="left"/>
              <w:rPr>
                <w:rFonts w:cs="Arial"/>
                <w:sz w:val="20"/>
                <w:szCs w:val="20"/>
              </w:rPr>
            </w:pPr>
            <w:r>
              <w:rPr>
                <w:rFonts w:cs="Arial"/>
                <w:sz w:val="20"/>
                <w:szCs w:val="20"/>
              </w:rPr>
              <w:t>Deux ans de retard</w:t>
            </w:r>
          </w:p>
        </w:tc>
      </w:tr>
      <w:tr w:rsidR="00A00469" w:rsidRPr="001D5A37" w14:paraId="7A8C1B2A" w14:textId="77777777" w:rsidTr="00DC1626">
        <w:trPr>
          <w:cantSplit/>
        </w:trPr>
        <w:tc>
          <w:tcPr>
            <w:tcW w:w="4228" w:type="dxa"/>
            <w:shd w:val="clear" w:color="auto" w:fill="auto"/>
            <w:vAlign w:val="center"/>
          </w:tcPr>
          <w:p w14:paraId="26BA1026" w14:textId="31B14E9D"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Haïti</w:t>
            </w:r>
          </w:p>
        </w:tc>
        <w:tc>
          <w:tcPr>
            <w:tcW w:w="1417" w:type="dxa"/>
            <w:shd w:val="clear" w:color="auto" w:fill="auto"/>
            <w:vAlign w:val="center"/>
          </w:tcPr>
          <w:p w14:paraId="4B0A54C0" w14:textId="7A21B200" w:rsidR="00A00469" w:rsidRPr="00BD4C69" w:rsidRDefault="00A00469" w:rsidP="00866B14">
            <w:pPr>
              <w:pStyle w:val="Marge"/>
              <w:spacing w:before="60" w:after="60"/>
              <w:jc w:val="center"/>
              <w:rPr>
                <w:rFonts w:cs="Arial"/>
                <w:sz w:val="20"/>
                <w:szCs w:val="20"/>
              </w:rPr>
            </w:pPr>
            <w:r>
              <w:rPr>
                <w:rFonts w:cs="Arial"/>
                <w:sz w:val="20"/>
                <w:szCs w:val="20"/>
              </w:rPr>
              <w:t>2016</w:t>
            </w:r>
          </w:p>
        </w:tc>
        <w:tc>
          <w:tcPr>
            <w:tcW w:w="1276" w:type="dxa"/>
            <w:shd w:val="clear" w:color="auto" w:fill="auto"/>
            <w:vAlign w:val="center"/>
          </w:tcPr>
          <w:p w14:paraId="66622682" w14:textId="79B6A973"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5E6C447B" w14:textId="6F8F9FEE" w:rsidR="00A00469" w:rsidRPr="00BD4C69" w:rsidRDefault="00A00469" w:rsidP="00866B14">
            <w:pPr>
              <w:pStyle w:val="Marge"/>
              <w:spacing w:before="60" w:after="60"/>
              <w:jc w:val="left"/>
              <w:rPr>
                <w:rFonts w:cs="Arial"/>
                <w:sz w:val="20"/>
                <w:szCs w:val="20"/>
              </w:rPr>
            </w:pPr>
            <w:r>
              <w:rPr>
                <w:rFonts w:cs="Arial"/>
                <w:sz w:val="20"/>
                <w:szCs w:val="20"/>
              </w:rPr>
              <w:t>Un an de retard</w:t>
            </w:r>
          </w:p>
        </w:tc>
      </w:tr>
      <w:tr w:rsidR="00A00469" w:rsidRPr="001D5A37" w14:paraId="646EC3E3" w14:textId="77777777" w:rsidTr="00DC1626">
        <w:trPr>
          <w:cantSplit/>
        </w:trPr>
        <w:tc>
          <w:tcPr>
            <w:tcW w:w="4228" w:type="dxa"/>
            <w:shd w:val="clear" w:color="auto" w:fill="auto"/>
            <w:vAlign w:val="center"/>
          </w:tcPr>
          <w:p w14:paraId="6BFB1D74" w14:textId="73F750BD"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Liban</w:t>
            </w:r>
          </w:p>
        </w:tc>
        <w:tc>
          <w:tcPr>
            <w:tcW w:w="1417" w:type="dxa"/>
            <w:shd w:val="clear" w:color="auto" w:fill="auto"/>
            <w:vAlign w:val="center"/>
          </w:tcPr>
          <w:p w14:paraId="1BA5ED72" w14:textId="71E1566C" w:rsidR="00A00469" w:rsidRPr="00BD4C69" w:rsidRDefault="00A00469" w:rsidP="00866B14">
            <w:pPr>
              <w:pStyle w:val="Marge"/>
              <w:spacing w:before="60" w:after="60"/>
              <w:jc w:val="center"/>
              <w:rPr>
                <w:rFonts w:cs="Arial"/>
                <w:sz w:val="20"/>
                <w:szCs w:val="20"/>
              </w:rPr>
            </w:pPr>
            <w:r>
              <w:rPr>
                <w:rFonts w:cs="Arial"/>
                <w:sz w:val="20"/>
                <w:szCs w:val="20"/>
              </w:rPr>
              <w:t>2014</w:t>
            </w:r>
          </w:p>
        </w:tc>
        <w:tc>
          <w:tcPr>
            <w:tcW w:w="1276" w:type="dxa"/>
            <w:shd w:val="clear" w:color="auto" w:fill="auto"/>
            <w:vAlign w:val="center"/>
          </w:tcPr>
          <w:p w14:paraId="4792DD18" w14:textId="6CBD5F7F"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6838C1C6" w14:textId="38058B7D" w:rsidR="00A00469" w:rsidRPr="00BD4C69" w:rsidRDefault="00A00469" w:rsidP="00866B14">
            <w:pPr>
              <w:pStyle w:val="Marge"/>
              <w:spacing w:before="60" w:after="60"/>
              <w:jc w:val="left"/>
              <w:rPr>
                <w:rFonts w:cs="Arial"/>
                <w:sz w:val="20"/>
                <w:szCs w:val="20"/>
              </w:rPr>
            </w:pPr>
            <w:r>
              <w:rPr>
                <w:rFonts w:cs="Arial"/>
                <w:sz w:val="20"/>
                <w:szCs w:val="20"/>
              </w:rPr>
              <w:t>Trois ans de retard</w:t>
            </w:r>
          </w:p>
        </w:tc>
      </w:tr>
      <w:tr w:rsidR="00A00469" w:rsidRPr="001D5A37" w14:paraId="3EC6D608" w14:textId="77777777" w:rsidTr="00DC1626">
        <w:trPr>
          <w:cantSplit/>
        </w:trPr>
        <w:tc>
          <w:tcPr>
            <w:tcW w:w="4228" w:type="dxa"/>
            <w:shd w:val="clear" w:color="auto" w:fill="auto"/>
            <w:vAlign w:val="center"/>
          </w:tcPr>
          <w:p w14:paraId="085DB814" w14:textId="47C51A18"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Lesotho</w:t>
            </w:r>
          </w:p>
        </w:tc>
        <w:tc>
          <w:tcPr>
            <w:tcW w:w="1417" w:type="dxa"/>
            <w:shd w:val="clear" w:color="auto" w:fill="auto"/>
            <w:vAlign w:val="center"/>
          </w:tcPr>
          <w:p w14:paraId="0E6B9E3A" w14:textId="6F86E2D5" w:rsidR="00A00469" w:rsidRPr="00BD4C69" w:rsidRDefault="00A00469" w:rsidP="00866B14">
            <w:pPr>
              <w:pStyle w:val="Marge"/>
              <w:spacing w:before="60" w:after="60"/>
              <w:jc w:val="center"/>
              <w:rPr>
                <w:rFonts w:cs="Arial"/>
                <w:sz w:val="20"/>
                <w:szCs w:val="20"/>
              </w:rPr>
            </w:pPr>
            <w:r>
              <w:rPr>
                <w:rFonts w:cs="Arial"/>
                <w:sz w:val="20"/>
                <w:szCs w:val="20"/>
              </w:rPr>
              <w:t>2015</w:t>
            </w:r>
          </w:p>
        </w:tc>
        <w:tc>
          <w:tcPr>
            <w:tcW w:w="1276" w:type="dxa"/>
            <w:shd w:val="clear" w:color="auto" w:fill="auto"/>
            <w:vAlign w:val="center"/>
          </w:tcPr>
          <w:p w14:paraId="51A1CB12" w14:textId="24B8F699"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46F84DA0" w14:textId="66D910BD" w:rsidR="00A00469" w:rsidRPr="00BD4C69" w:rsidRDefault="00A00469" w:rsidP="00866B14">
            <w:pPr>
              <w:pStyle w:val="Marge"/>
              <w:spacing w:before="60" w:after="60"/>
              <w:jc w:val="left"/>
              <w:rPr>
                <w:rFonts w:cs="Arial"/>
                <w:sz w:val="20"/>
                <w:szCs w:val="20"/>
              </w:rPr>
            </w:pPr>
            <w:r>
              <w:rPr>
                <w:rFonts w:cs="Arial"/>
                <w:sz w:val="20"/>
                <w:szCs w:val="20"/>
              </w:rPr>
              <w:t>Deux ans de retard</w:t>
            </w:r>
          </w:p>
        </w:tc>
      </w:tr>
      <w:tr w:rsidR="00A00469" w:rsidRPr="001D5A37" w14:paraId="15B18D49" w14:textId="77777777" w:rsidTr="00DC1626">
        <w:trPr>
          <w:cantSplit/>
        </w:trPr>
        <w:tc>
          <w:tcPr>
            <w:tcW w:w="4228" w:type="dxa"/>
            <w:shd w:val="clear" w:color="auto" w:fill="auto"/>
            <w:vAlign w:val="center"/>
          </w:tcPr>
          <w:p w14:paraId="6D0DC1C0" w14:textId="3064159A"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Mauritanie</w:t>
            </w:r>
          </w:p>
        </w:tc>
        <w:tc>
          <w:tcPr>
            <w:tcW w:w="1417" w:type="dxa"/>
            <w:shd w:val="clear" w:color="auto" w:fill="auto"/>
            <w:vAlign w:val="center"/>
          </w:tcPr>
          <w:p w14:paraId="43CEE294" w14:textId="0A9D80DA" w:rsidR="00A00469" w:rsidRPr="00BD4C69" w:rsidRDefault="00A00469" w:rsidP="00866B14">
            <w:pPr>
              <w:pStyle w:val="Marge"/>
              <w:spacing w:before="60" w:after="60"/>
              <w:jc w:val="center"/>
              <w:rPr>
                <w:rFonts w:cs="Arial"/>
                <w:sz w:val="20"/>
                <w:szCs w:val="20"/>
              </w:rPr>
            </w:pPr>
            <w:r>
              <w:rPr>
                <w:rFonts w:cs="Arial"/>
                <w:sz w:val="20"/>
                <w:szCs w:val="20"/>
              </w:rPr>
              <w:t>2013</w:t>
            </w:r>
          </w:p>
        </w:tc>
        <w:tc>
          <w:tcPr>
            <w:tcW w:w="1276" w:type="dxa"/>
            <w:shd w:val="clear" w:color="auto" w:fill="auto"/>
            <w:vAlign w:val="center"/>
          </w:tcPr>
          <w:p w14:paraId="72D71D1B" w14:textId="5764DEBF"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418490BD" w14:textId="53C21E07" w:rsidR="00A00469" w:rsidRPr="00BD4C69" w:rsidRDefault="00A00469" w:rsidP="00DD32CF">
            <w:pPr>
              <w:pStyle w:val="Marge"/>
              <w:spacing w:before="60" w:after="60"/>
              <w:jc w:val="left"/>
              <w:rPr>
                <w:rFonts w:cs="Arial"/>
                <w:sz w:val="20"/>
                <w:szCs w:val="20"/>
              </w:rPr>
            </w:pPr>
            <w:r>
              <w:rPr>
                <w:rFonts w:cs="Arial"/>
                <w:sz w:val="20"/>
                <w:szCs w:val="20"/>
              </w:rPr>
              <w:t>Quatre ans de retard</w:t>
            </w:r>
          </w:p>
        </w:tc>
      </w:tr>
      <w:tr w:rsidR="00A00469" w:rsidRPr="001D5A37" w14:paraId="4294C29F" w14:textId="77777777" w:rsidTr="00DC1626">
        <w:trPr>
          <w:cantSplit/>
        </w:trPr>
        <w:tc>
          <w:tcPr>
            <w:tcW w:w="4228" w:type="dxa"/>
            <w:shd w:val="clear" w:color="auto" w:fill="auto"/>
            <w:vAlign w:val="center"/>
          </w:tcPr>
          <w:p w14:paraId="5785EF34" w14:textId="5906C7CF"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Monténégro</w:t>
            </w:r>
          </w:p>
        </w:tc>
        <w:tc>
          <w:tcPr>
            <w:tcW w:w="1417" w:type="dxa"/>
            <w:shd w:val="clear" w:color="auto" w:fill="auto"/>
            <w:vAlign w:val="center"/>
          </w:tcPr>
          <w:p w14:paraId="483674E2" w14:textId="742C4529" w:rsidR="00A00469" w:rsidRPr="00BD4C69" w:rsidRDefault="00A00469" w:rsidP="00866B14">
            <w:pPr>
              <w:pStyle w:val="Marge"/>
              <w:spacing w:before="60" w:after="60"/>
              <w:jc w:val="center"/>
              <w:rPr>
                <w:rFonts w:cs="Arial"/>
                <w:sz w:val="20"/>
                <w:szCs w:val="20"/>
              </w:rPr>
            </w:pPr>
            <w:r>
              <w:rPr>
                <w:rFonts w:cs="Arial"/>
                <w:sz w:val="20"/>
                <w:szCs w:val="20"/>
              </w:rPr>
              <w:t>2016</w:t>
            </w:r>
          </w:p>
        </w:tc>
        <w:tc>
          <w:tcPr>
            <w:tcW w:w="1276" w:type="dxa"/>
            <w:shd w:val="clear" w:color="auto" w:fill="auto"/>
            <w:vAlign w:val="center"/>
          </w:tcPr>
          <w:p w14:paraId="6C2ED784" w14:textId="6166247D"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5C0EE5DA" w14:textId="2692AD26" w:rsidR="00A00469" w:rsidRPr="00BD4C69" w:rsidRDefault="00A00469" w:rsidP="00866B14">
            <w:pPr>
              <w:pStyle w:val="Marge"/>
              <w:spacing w:before="60" w:after="60"/>
              <w:jc w:val="left"/>
              <w:rPr>
                <w:rFonts w:cs="Arial"/>
                <w:sz w:val="20"/>
                <w:szCs w:val="20"/>
              </w:rPr>
            </w:pPr>
            <w:r>
              <w:rPr>
                <w:rFonts w:cs="Arial"/>
                <w:sz w:val="20"/>
                <w:szCs w:val="20"/>
              </w:rPr>
              <w:t>Un an de retard</w:t>
            </w:r>
          </w:p>
        </w:tc>
      </w:tr>
      <w:tr w:rsidR="00A00469" w:rsidRPr="001D5A37" w14:paraId="3CF0FFB2" w14:textId="77777777" w:rsidTr="00DC1626">
        <w:trPr>
          <w:cantSplit/>
        </w:trPr>
        <w:tc>
          <w:tcPr>
            <w:tcW w:w="4228" w:type="dxa"/>
            <w:shd w:val="clear" w:color="auto" w:fill="auto"/>
            <w:vAlign w:val="center"/>
          </w:tcPr>
          <w:p w14:paraId="5FFB3337" w14:textId="64094732"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Niger</w:t>
            </w:r>
          </w:p>
        </w:tc>
        <w:tc>
          <w:tcPr>
            <w:tcW w:w="1417" w:type="dxa"/>
            <w:shd w:val="clear" w:color="auto" w:fill="auto"/>
            <w:vAlign w:val="center"/>
          </w:tcPr>
          <w:p w14:paraId="42E89C92" w14:textId="52FD3270" w:rsidR="00A00469" w:rsidRPr="00BD4C69" w:rsidRDefault="00A00469" w:rsidP="00866B14">
            <w:pPr>
              <w:pStyle w:val="Marge"/>
              <w:spacing w:before="60" w:after="60"/>
              <w:jc w:val="center"/>
              <w:rPr>
                <w:rFonts w:cs="Arial"/>
                <w:sz w:val="20"/>
                <w:szCs w:val="20"/>
              </w:rPr>
            </w:pPr>
            <w:r>
              <w:rPr>
                <w:rFonts w:cs="Arial"/>
                <w:sz w:val="20"/>
                <w:szCs w:val="20"/>
              </w:rPr>
              <w:t>2014</w:t>
            </w:r>
          </w:p>
        </w:tc>
        <w:tc>
          <w:tcPr>
            <w:tcW w:w="1276" w:type="dxa"/>
            <w:shd w:val="clear" w:color="auto" w:fill="auto"/>
            <w:vAlign w:val="center"/>
          </w:tcPr>
          <w:p w14:paraId="70CB73D7" w14:textId="5684D465"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4827E109" w14:textId="40D4FB23" w:rsidR="00A00469" w:rsidRPr="00BD4C69" w:rsidRDefault="00A00469" w:rsidP="00866B14">
            <w:pPr>
              <w:pStyle w:val="Marge"/>
              <w:spacing w:before="60" w:after="60"/>
              <w:jc w:val="left"/>
              <w:rPr>
                <w:rFonts w:cs="Arial"/>
                <w:sz w:val="20"/>
                <w:szCs w:val="20"/>
              </w:rPr>
            </w:pPr>
            <w:r>
              <w:rPr>
                <w:rFonts w:cs="Arial"/>
                <w:sz w:val="20"/>
                <w:szCs w:val="20"/>
              </w:rPr>
              <w:t>Trois ans de retard</w:t>
            </w:r>
          </w:p>
        </w:tc>
      </w:tr>
      <w:tr w:rsidR="00A00469" w:rsidRPr="001D5A37" w14:paraId="5ADD2B77" w14:textId="77777777" w:rsidTr="00DC1626">
        <w:trPr>
          <w:cantSplit/>
        </w:trPr>
        <w:tc>
          <w:tcPr>
            <w:tcW w:w="4228" w:type="dxa"/>
            <w:shd w:val="clear" w:color="auto" w:fill="auto"/>
            <w:vAlign w:val="center"/>
          </w:tcPr>
          <w:p w14:paraId="048E18F3" w14:textId="45B33C64"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Ouganda</w:t>
            </w:r>
          </w:p>
        </w:tc>
        <w:tc>
          <w:tcPr>
            <w:tcW w:w="1417" w:type="dxa"/>
            <w:shd w:val="clear" w:color="auto" w:fill="auto"/>
            <w:vAlign w:val="center"/>
          </w:tcPr>
          <w:p w14:paraId="5A5FC81D" w14:textId="08209788" w:rsidR="00A00469" w:rsidRPr="00BD4C69" w:rsidRDefault="00A00469" w:rsidP="00DD32CF">
            <w:pPr>
              <w:pStyle w:val="Marge"/>
              <w:spacing w:before="60" w:after="60"/>
              <w:jc w:val="center"/>
              <w:rPr>
                <w:rFonts w:cs="Arial"/>
                <w:sz w:val="20"/>
                <w:szCs w:val="20"/>
              </w:rPr>
            </w:pPr>
            <w:r>
              <w:rPr>
                <w:rFonts w:cs="Arial"/>
                <w:sz w:val="20"/>
                <w:szCs w:val="20"/>
              </w:rPr>
              <w:t>2016</w:t>
            </w:r>
          </w:p>
        </w:tc>
        <w:tc>
          <w:tcPr>
            <w:tcW w:w="1276" w:type="dxa"/>
            <w:shd w:val="clear" w:color="auto" w:fill="auto"/>
            <w:vAlign w:val="center"/>
          </w:tcPr>
          <w:p w14:paraId="278CF653" w14:textId="6561EFA8" w:rsidR="00A00469" w:rsidRPr="00BD4C69" w:rsidRDefault="00A00469" w:rsidP="00866B14">
            <w:pPr>
              <w:pStyle w:val="Marge"/>
              <w:spacing w:before="60" w:after="60"/>
              <w:jc w:val="center"/>
              <w:rPr>
                <w:rFonts w:cs="Arial"/>
                <w:sz w:val="20"/>
                <w:szCs w:val="20"/>
              </w:rPr>
            </w:pPr>
            <w:r>
              <w:rPr>
                <w:rFonts w:cs="Arial"/>
                <w:sz w:val="20"/>
                <w:szCs w:val="20"/>
              </w:rPr>
              <w:t>-</w:t>
            </w:r>
          </w:p>
        </w:tc>
        <w:tc>
          <w:tcPr>
            <w:tcW w:w="2126" w:type="dxa"/>
            <w:shd w:val="clear" w:color="auto" w:fill="auto"/>
            <w:vAlign w:val="center"/>
          </w:tcPr>
          <w:p w14:paraId="65D2964E" w14:textId="7933E329" w:rsidR="00A00469" w:rsidRPr="00BD4C69" w:rsidRDefault="00A00469" w:rsidP="000E647F">
            <w:pPr>
              <w:pStyle w:val="Marge"/>
              <w:spacing w:before="60" w:after="60"/>
              <w:jc w:val="left"/>
              <w:rPr>
                <w:rFonts w:cs="Arial"/>
                <w:sz w:val="20"/>
                <w:szCs w:val="20"/>
              </w:rPr>
            </w:pPr>
            <w:r>
              <w:rPr>
                <w:rFonts w:cs="Arial"/>
                <w:sz w:val="20"/>
                <w:szCs w:val="20"/>
              </w:rPr>
              <w:t>Un an de retard</w:t>
            </w:r>
          </w:p>
        </w:tc>
      </w:tr>
      <w:tr w:rsidR="00A00469" w:rsidRPr="001D5A37" w14:paraId="7DB8AB98" w14:textId="77777777" w:rsidTr="00DC1626">
        <w:trPr>
          <w:cantSplit/>
        </w:trPr>
        <w:tc>
          <w:tcPr>
            <w:tcW w:w="4228" w:type="dxa"/>
            <w:shd w:val="clear" w:color="auto" w:fill="auto"/>
            <w:vAlign w:val="center"/>
          </w:tcPr>
          <w:p w14:paraId="71D95B1B" w14:textId="569E81A5" w:rsidR="00A00469" w:rsidRPr="00A00469" w:rsidRDefault="00A00469" w:rsidP="00866B14">
            <w:pPr>
              <w:autoSpaceDE w:val="0"/>
              <w:autoSpaceDN w:val="0"/>
              <w:adjustRightInd w:val="0"/>
              <w:spacing w:before="60" w:after="60"/>
              <w:rPr>
                <w:rFonts w:ascii="Arial" w:hAnsi="Arial" w:cs="Arial"/>
                <w:b/>
                <w:iCs/>
                <w:sz w:val="20"/>
                <w:szCs w:val="20"/>
              </w:rPr>
            </w:pPr>
            <w:r w:rsidRPr="00A00469">
              <w:rPr>
                <w:rFonts w:ascii="Arial" w:hAnsi="Arial" w:cs="Arial"/>
                <w:b/>
                <w:iCs/>
                <w:sz w:val="20"/>
                <w:szCs w:val="20"/>
              </w:rPr>
              <w:t>Panama</w:t>
            </w:r>
          </w:p>
        </w:tc>
        <w:tc>
          <w:tcPr>
            <w:tcW w:w="1417" w:type="dxa"/>
            <w:shd w:val="clear" w:color="auto" w:fill="auto"/>
            <w:vAlign w:val="center"/>
          </w:tcPr>
          <w:p w14:paraId="3A8903B5" w14:textId="19E08A8F" w:rsidR="00A00469" w:rsidRPr="00BD4C69" w:rsidRDefault="00A00469" w:rsidP="00866B14">
            <w:pPr>
              <w:pStyle w:val="Marge"/>
              <w:spacing w:before="60" w:after="60"/>
              <w:jc w:val="center"/>
              <w:rPr>
                <w:rFonts w:cs="Arial"/>
                <w:sz w:val="20"/>
                <w:szCs w:val="20"/>
              </w:rPr>
            </w:pPr>
            <w:r>
              <w:rPr>
                <w:rFonts w:cs="Arial"/>
                <w:sz w:val="20"/>
                <w:szCs w:val="20"/>
              </w:rPr>
              <w:t>2011</w:t>
            </w:r>
          </w:p>
        </w:tc>
        <w:tc>
          <w:tcPr>
            <w:tcW w:w="1276" w:type="dxa"/>
            <w:shd w:val="clear" w:color="auto" w:fill="auto"/>
            <w:vAlign w:val="center"/>
          </w:tcPr>
          <w:p w14:paraId="35601BFC" w14:textId="56304DD7" w:rsidR="00A00469" w:rsidRPr="00A00469" w:rsidRDefault="00A00469" w:rsidP="00866B14">
            <w:pPr>
              <w:pStyle w:val="Marge"/>
              <w:spacing w:before="60" w:after="60"/>
              <w:jc w:val="center"/>
              <w:rPr>
                <w:rFonts w:cs="Arial"/>
                <w:b/>
                <w:sz w:val="20"/>
                <w:szCs w:val="20"/>
              </w:rPr>
            </w:pPr>
            <w:r w:rsidRPr="00A00469">
              <w:rPr>
                <w:rFonts w:cs="Arial"/>
                <w:b/>
                <w:sz w:val="20"/>
                <w:szCs w:val="20"/>
              </w:rPr>
              <w:t>2016</w:t>
            </w:r>
          </w:p>
        </w:tc>
        <w:tc>
          <w:tcPr>
            <w:tcW w:w="2126" w:type="dxa"/>
            <w:shd w:val="clear" w:color="auto" w:fill="auto"/>
            <w:vAlign w:val="center"/>
          </w:tcPr>
          <w:p w14:paraId="431E553C" w14:textId="44DC1E7B" w:rsidR="00A00469" w:rsidRPr="00BD4C69" w:rsidRDefault="00C34CDF" w:rsidP="00866B14">
            <w:pPr>
              <w:pStyle w:val="Marge"/>
              <w:spacing w:before="60" w:after="60"/>
              <w:jc w:val="left"/>
              <w:rPr>
                <w:rFonts w:cs="Arial"/>
                <w:sz w:val="20"/>
                <w:szCs w:val="20"/>
              </w:rPr>
            </w:pPr>
            <w:r>
              <w:rPr>
                <w:rFonts w:cs="Arial"/>
                <w:sz w:val="20"/>
                <w:szCs w:val="20"/>
              </w:rPr>
              <w:t>-</w:t>
            </w:r>
          </w:p>
        </w:tc>
      </w:tr>
      <w:tr w:rsidR="00A00469" w:rsidRPr="001D5A37" w14:paraId="153F1E30" w14:textId="77777777" w:rsidTr="00DC1626">
        <w:trPr>
          <w:cantSplit/>
        </w:trPr>
        <w:tc>
          <w:tcPr>
            <w:tcW w:w="4228" w:type="dxa"/>
            <w:shd w:val="clear" w:color="auto" w:fill="auto"/>
            <w:vAlign w:val="center"/>
          </w:tcPr>
          <w:p w14:paraId="309BED64" w14:textId="16270C4C" w:rsidR="00A00469" w:rsidRPr="00BD4C69" w:rsidRDefault="00A00469" w:rsidP="00866B14">
            <w:pPr>
              <w:autoSpaceDE w:val="0"/>
              <w:autoSpaceDN w:val="0"/>
              <w:adjustRightInd w:val="0"/>
              <w:spacing w:before="60" w:after="60"/>
              <w:rPr>
                <w:rFonts w:ascii="Arial" w:hAnsi="Arial" w:cs="Arial"/>
                <w:b/>
                <w:iCs/>
                <w:sz w:val="20"/>
                <w:szCs w:val="20"/>
              </w:rPr>
            </w:pPr>
            <w:r>
              <w:rPr>
                <w:rFonts w:ascii="Arial" w:hAnsi="Arial" w:cs="Arial"/>
                <w:iCs/>
                <w:sz w:val="20"/>
                <w:szCs w:val="20"/>
              </w:rPr>
              <w:t>Papouasie-Nouvelle-Guinée</w:t>
            </w:r>
          </w:p>
        </w:tc>
        <w:tc>
          <w:tcPr>
            <w:tcW w:w="1417" w:type="dxa"/>
            <w:shd w:val="clear" w:color="auto" w:fill="auto"/>
            <w:vAlign w:val="center"/>
          </w:tcPr>
          <w:p w14:paraId="68EEE2E0" w14:textId="730F7541" w:rsidR="00A00469" w:rsidRPr="00BD4C69" w:rsidRDefault="00A00469" w:rsidP="00866B14">
            <w:pPr>
              <w:pStyle w:val="Marge"/>
              <w:spacing w:before="60" w:after="60"/>
              <w:jc w:val="center"/>
              <w:rPr>
                <w:rFonts w:cs="Arial"/>
                <w:sz w:val="20"/>
                <w:szCs w:val="20"/>
              </w:rPr>
            </w:pPr>
            <w:r>
              <w:rPr>
                <w:rFonts w:cs="Arial"/>
                <w:sz w:val="20"/>
                <w:szCs w:val="20"/>
              </w:rPr>
              <w:t>2015</w:t>
            </w:r>
          </w:p>
        </w:tc>
        <w:tc>
          <w:tcPr>
            <w:tcW w:w="1276" w:type="dxa"/>
            <w:shd w:val="clear" w:color="auto" w:fill="auto"/>
            <w:vAlign w:val="center"/>
          </w:tcPr>
          <w:p w14:paraId="2F82AB81" w14:textId="331240EA" w:rsidR="00A00469" w:rsidRPr="00BD4C69" w:rsidRDefault="00A00469" w:rsidP="00866B14">
            <w:pPr>
              <w:pStyle w:val="Marge"/>
              <w:spacing w:before="60" w:after="60"/>
              <w:jc w:val="center"/>
              <w:rPr>
                <w:rFonts w:cs="Arial"/>
                <w:b/>
                <w:sz w:val="20"/>
                <w:szCs w:val="20"/>
              </w:rPr>
            </w:pPr>
            <w:r w:rsidRPr="00BD4C69">
              <w:rPr>
                <w:rFonts w:cs="Arial"/>
                <w:sz w:val="20"/>
                <w:szCs w:val="20"/>
              </w:rPr>
              <w:t>-</w:t>
            </w:r>
          </w:p>
        </w:tc>
        <w:tc>
          <w:tcPr>
            <w:tcW w:w="2126" w:type="dxa"/>
            <w:shd w:val="clear" w:color="auto" w:fill="auto"/>
            <w:vAlign w:val="center"/>
          </w:tcPr>
          <w:p w14:paraId="42FA3E91" w14:textId="5E51260D" w:rsidR="00A00469" w:rsidRPr="00BD4C69" w:rsidRDefault="00A00469" w:rsidP="00866B14">
            <w:pPr>
              <w:pStyle w:val="Marge"/>
              <w:spacing w:before="60" w:after="60"/>
              <w:jc w:val="left"/>
              <w:rPr>
                <w:rFonts w:cs="Arial"/>
                <w:sz w:val="20"/>
                <w:szCs w:val="20"/>
              </w:rPr>
            </w:pPr>
            <w:r>
              <w:rPr>
                <w:rFonts w:cs="Arial"/>
                <w:sz w:val="20"/>
                <w:szCs w:val="20"/>
              </w:rPr>
              <w:t>Deux ans de retard</w:t>
            </w:r>
          </w:p>
        </w:tc>
      </w:tr>
      <w:tr w:rsidR="00A00469" w:rsidRPr="001D5A37" w14:paraId="458B3FA0" w14:textId="77777777" w:rsidTr="00DC1626">
        <w:trPr>
          <w:cantSplit/>
        </w:trPr>
        <w:tc>
          <w:tcPr>
            <w:tcW w:w="4228" w:type="dxa"/>
            <w:shd w:val="clear" w:color="auto" w:fill="auto"/>
            <w:vAlign w:val="center"/>
          </w:tcPr>
          <w:p w14:paraId="3175E54A" w14:textId="6A2DA0C7" w:rsidR="00A00469" w:rsidRPr="00A00469" w:rsidRDefault="00A00469" w:rsidP="00866B14">
            <w:pPr>
              <w:autoSpaceDE w:val="0"/>
              <w:autoSpaceDN w:val="0"/>
              <w:adjustRightInd w:val="0"/>
              <w:spacing w:before="60" w:after="60"/>
              <w:rPr>
                <w:rFonts w:ascii="Arial" w:hAnsi="Arial" w:cs="Arial"/>
                <w:iCs/>
                <w:sz w:val="20"/>
                <w:szCs w:val="20"/>
              </w:rPr>
            </w:pPr>
            <w:r w:rsidRPr="00A00469">
              <w:rPr>
                <w:rFonts w:ascii="Arial" w:hAnsi="Arial" w:cs="Arial"/>
                <w:iCs/>
                <w:sz w:val="20"/>
                <w:szCs w:val="20"/>
              </w:rPr>
              <w:t>Paraguay</w:t>
            </w:r>
          </w:p>
        </w:tc>
        <w:tc>
          <w:tcPr>
            <w:tcW w:w="1417" w:type="dxa"/>
            <w:shd w:val="clear" w:color="auto" w:fill="auto"/>
            <w:vAlign w:val="center"/>
          </w:tcPr>
          <w:p w14:paraId="12EA1729" w14:textId="737DED3F" w:rsidR="00A00469" w:rsidRPr="00BD4C69" w:rsidRDefault="00A00469" w:rsidP="00866B14">
            <w:pPr>
              <w:pStyle w:val="Marge"/>
              <w:spacing w:before="60" w:after="60"/>
              <w:jc w:val="center"/>
              <w:rPr>
                <w:rFonts w:cs="Arial"/>
                <w:sz w:val="20"/>
                <w:szCs w:val="20"/>
              </w:rPr>
            </w:pPr>
            <w:r>
              <w:rPr>
                <w:rFonts w:cs="Arial"/>
                <w:sz w:val="20"/>
                <w:szCs w:val="20"/>
              </w:rPr>
              <w:t>2013</w:t>
            </w:r>
          </w:p>
        </w:tc>
        <w:tc>
          <w:tcPr>
            <w:tcW w:w="1276" w:type="dxa"/>
            <w:shd w:val="clear" w:color="auto" w:fill="auto"/>
            <w:vAlign w:val="center"/>
          </w:tcPr>
          <w:p w14:paraId="39873A1D" w14:textId="41038CDD" w:rsidR="00A00469" w:rsidRPr="00BD4C69" w:rsidRDefault="00A00469" w:rsidP="00866B14">
            <w:pPr>
              <w:pStyle w:val="Marge"/>
              <w:spacing w:before="60" w:after="60"/>
              <w:jc w:val="center"/>
              <w:rPr>
                <w:rFonts w:cs="Arial"/>
                <w:sz w:val="20"/>
                <w:szCs w:val="20"/>
              </w:rPr>
            </w:pPr>
            <w:r>
              <w:rPr>
                <w:rFonts w:cs="Arial"/>
                <w:b/>
                <w:sz w:val="20"/>
                <w:szCs w:val="20"/>
              </w:rPr>
              <w:t>-</w:t>
            </w:r>
          </w:p>
        </w:tc>
        <w:tc>
          <w:tcPr>
            <w:tcW w:w="2126" w:type="dxa"/>
            <w:shd w:val="clear" w:color="auto" w:fill="auto"/>
            <w:vAlign w:val="center"/>
          </w:tcPr>
          <w:p w14:paraId="13CD498C" w14:textId="4101E464" w:rsidR="00A00469" w:rsidRPr="00BD4C69" w:rsidRDefault="00175567" w:rsidP="00866B14">
            <w:pPr>
              <w:pStyle w:val="Marge"/>
              <w:spacing w:before="60" w:after="60"/>
              <w:jc w:val="left"/>
              <w:rPr>
                <w:rFonts w:cs="Arial"/>
                <w:sz w:val="20"/>
                <w:szCs w:val="20"/>
              </w:rPr>
            </w:pPr>
            <w:r>
              <w:rPr>
                <w:rFonts w:cs="Arial"/>
                <w:sz w:val="20"/>
                <w:szCs w:val="20"/>
              </w:rPr>
              <w:t>Quatre</w:t>
            </w:r>
            <w:r w:rsidR="00A00469">
              <w:rPr>
                <w:rFonts w:cs="Arial"/>
                <w:sz w:val="20"/>
                <w:szCs w:val="20"/>
              </w:rPr>
              <w:t xml:space="preserve"> ans de retard</w:t>
            </w:r>
          </w:p>
        </w:tc>
      </w:tr>
      <w:tr w:rsidR="00A00469" w:rsidRPr="001D5A37" w14:paraId="14E48048" w14:textId="77777777" w:rsidTr="00DC1626">
        <w:trPr>
          <w:cantSplit/>
        </w:trPr>
        <w:tc>
          <w:tcPr>
            <w:tcW w:w="4228" w:type="dxa"/>
            <w:shd w:val="clear" w:color="auto" w:fill="auto"/>
            <w:vAlign w:val="center"/>
          </w:tcPr>
          <w:p w14:paraId="0A14A6B5" w14:textId="68E541E3"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Qatar</w:t>
            </w:r>
          </w:p>
        </w:tc>
        <w:tc>
          <w:tcPr>
            <w:tcW w:w="1417" w:type="dxa"/>
            <w:shd w:val="clear" w:color="auto" w:fill="auto"/>
            <w:vAlign w:val="center"/>
          </w:tcPr>
          <w:p w14:paraId="554C2F77" w14:textId="3E1D7D8D" w:rsidR="00A00469" w:rsidRPr="00BD4C69" w:rsidRDefault="00A00469" w:rsidP="00866B14">
            <w:pPr>
              <w:pStyle w:val="Marge"/>
              <w:spacing w:before="60" w:after="60"/>
              <w:jc w:val="center"/>
              <w:rPr>
                <w:rFonts w:cs="Arial"/>
                <w:sz w:val="20"/>
                <w:szCs w:val="20"/>
              </w:rPr>
            </w:pPr>
            <w:r w:rsidRPr="00BD4C69">
              <w:rPr>
                <w:rFonts w:cs="Arial"/>
                <w:sz w:val="20"/>
                <w:szCs w:val="20"/>
              </w:rPr>
              <w:t>2015</w:t>
            </w:r>
          </w:p>
        </w:tc>
        <w:tc>
          <w:tcPr>
            <w:tcW w:w="1276" w:type="dxa"/>
            <w:shd w:val="clear" w:color="auto" w:fill="auto"/>
            <w:vAlign w:val="center"/>
          </w:tcPr>
          <w:p w14:paraId="66C5CD88" w14:textId="0C666D22"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4D6ACA6C" w14:textId="50755BD6" w:rsidR="00A00469" w:rsidRPr="00BD4C69" w:rsidRDefault="00A00469" w:rsidP="00866B14">
            <w:pPr>
              <w:pStyle w:val="Marge"/>
              <w:spacing w:before="60" w:after="60"/>
              <w:jc w:val="left"/>
              <w:rPr>
                <w:rFonts w:cs="Arial"/>
                <w:sz w:val="20"/>
                <w:szCs w:val="20"/>
              </w:rPr>
            </w:pPr>
            <w:r>
              <w:rPr>
                <w:rFonts w:cs="Arial"/>
                <w:sz w:val="20"/>
                <w:szCs w:val="20"/>
              </w:rPr>
              <w:t>Deux ans de retard</w:t>
            </w:r>
          </w:p>
        </w:tc>
      </w:tr>
      <w:tr w:rsidR="00A00469" w:rsidRPr="001D5A37" w14:paraId="166B0045" w14:textId="77777777" w:rsidTr="00DC1626">
        <w:trPr>
          <w:cantSplit/>
        </w:trPr>
        <w:tc>
          <w:tcPr>
            <w:tcW w:w="4228" w:type="dxa"/>
            <w:shd w:val="clear" w:color="auto" w:fill="auto"/>
            <w:vAlign w:val="center"/>
          </w:tcPr>
          <w:p w14:paraId="1D1A04FA" w14:textId="4150FA35"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République de Moldova</w:t>
            </w:r>
          </w:p>
        </w:tc>
        <w:tc>
          <w:tcPr>
            <w:tcW w:w="1417" w:type="dxa"/>
            <w:shd w:val="clear" w:color="auto" w:fill="auto"/>
            <w:vAlign w:val="center"/>
          </w:tcPr>
          <w:p w14:paraId="0A3DB4DA" w14:textId="5A9B9872" w:rsidR="00A00469" w:rsidRPr="00BD4C69" w:rsidRDefault="00A00469" w:rsidP="00866B14">
            <w:pPr>
              <w:pStyle w:val="Marge"/>
              <w:spacing w:before="60" w:after="60"/>
              <w:jc w:val="center"/>
              <w:rPr>
                <w:rFonts w:cs="Arial"/>
                <w:sz w:val="20"/>
                <w:szCs w:val="20"/>
              </w:rPr>
            </w:pPr>
            <w:r w:rsidRPr="00BD4C69">
              <w:rPr>
                <w:rFonts w:cs="Arial"/>
                <w:sz w:val="20"/>
                <w:szCs w:val="20"/>
              </w:rPr>
              <w:t>2013</w:t>
            </w:r>
          </w:p>
        </w:tc>
        <w:tc>
          <w:tcPr>
            <w:tcW w:w="1276" w:type="dxa"/>
            <w:shd w:val="clear" w:color="auto" w:fill="auto"/>
            <w:vAlign w:val="center"/>
          </w:tcPr>
          <w:p w14:paraId="7C4FD45A" w14:textId="1E343B69"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1D9273A3" w14:textId="54D7F77F" w:rsidR="00A00469" w:rsidRPr="00BD4C69" w:rsidRDefault="00A00469" w:rsidP="00866B14">
            <w:pPr>
              <w:pStyle w:val="Marge"/>
              <w:spacing w:before="60" w:after="60"/>
              <w:jc w:val="left"/>
              <w:rPr>
                <w:rFonts w:cs="Arial"/>
                <w:sz w:val="20"/>
                <w:szCs w:val="20"/>
              </w:rPr>
            </w:pPr>
            <w:r>
              <w:rPr>
                <w:rFonts w:cs="Arial"/>
                <w:sz w:val="20"/>
                <w:szCs w:val="20"/>
              </w:rPr>
              <w:t>Quatre ans de retard</w:t>
            </w:r>
          </w:p>
        </w:tc>
      </w:tr>
      <w:tr w:rsidR="00A00469" w:rsidRPr="001D5A37" w14:paraId="4ECE292E" w14:textId="77777777" w:rsidTr="00DC1626">
        <w:trPr>
          <w:cantSplit/>
        </w:trPr>
        <w:tc>
          <w:tcPr>
            <w:tcW w:w="4228" w:type="dxa"/>
            <w:shd w:val="clear" w:color="auto" w:fill="auto"/>
            <w:vAlign w:val="center"/>
          </w:tcPr>
          <w:p w14:paraId="21F6188E" w14:textId="7C3EA07E" w:rsidR="00A00469" w:rsidRPr="00BD4C69" w:rsidRDefault="00A00469" w:rsidP="00866B14">
            <w:pPr>
              <w:autoSpaceDE w:val="0"/>
              <w:autoSpaceDN w:val="0"/>
              <w:adjustRightInd w:val="0"/>
              <w:spacing w:before="60" w:after="60"/>
              <w:rPr>
                <w:rFonts w:ascii="Arial" w:hAnsi="Arial" w:cs="Arial"/>
                <w:iCs/>
                <w:sz w:val="20"/>
                <w:szCs w:val="20"/>
              </w:rPr>
            </w:pPr>
            <w:r w:rsidRPr="000E647F">
              <w:rPr>
                <w:rFonts w:ascii="Arial" w:hAnsi="Arial" w:cs="Arial"/>
                <w:iCs/>
                <w:sz w:val="20"/>
                <w:szCs w:val="20"/>
              </w:rPr>
              <w:t>République</w:t>
            </w:r>
            <w:r>
              <w:rPr>
                <w:rFonts w:ascii="Arial" w:hAnsi="Arial" w:cs="Arial"/>
                <w:iCs/>
                <w:sz w:val="20"/>
                <w:szCs w:val="20"/>
              </w:rPr>
              <w:t xml:space="preserve"> démocratique populaire lao</w:t>
            </w:r>
          </w:p>
        </w:tc>
        <w:tc>
          <w:tcPr>
            <w:tcW w:w="1417" w:type="dxa"/>
            <w:shd w:val="clear" w:color="auto" w:fill="auto"/>
            <w:vAlign w:val="center"/>
          </w:tcPr>
          <w:p w14:paraId="7918CFFB" w14:textId="09A00E6B" w:rsidR="00A00469" w:rsidRPr="00BD4C69" w:rsidRDefault="00A00469" w:rsidP="00866B14">
            <w:pPr>
              <w:pStyle w:val="Marge"/>
              <w:spacing w:before="60" w:after="60"/>
              <w:jc w:val="center"/>
              <w:rPr>
                <w:rFonts w:cs="Arial"/>
                <w:sz w:val="20"/>
                <w:szCs w:val="20"/>
              </w:rPr>
            </w:pPr>
            <w:r>
              <w:rPr>
                <w:rFonts w:cs="Arial"/>
                <w:sz w:val="20"/>
                <w:szCs w:val="20"/>
              </w:rPr>
              <w:t>2016</w:t>
            </w:r>
          </w:p>
        </w:tc>
        <w:tc>
          <w:tcPr>
            <w:tcW w:w="1276" w:type="dxa"/>
            <w:shd w:val="clear" w:color="auto" w:fill="auto"/>
            <w:vAlign w:val="center"/>
          </w:tcPr>
          <w:p w14:paraId="47EFCC90" w14:textId="5C55D019"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55879E3B" w14:textId="631D35E2" w:rsidR="00A00469" w:rsidRPr="00BD4C69" w:rsidRDefault="00A00469" w:rsidP="00866B14">
            <w:pPr>
              <w:pStyle w:val="Marge"/>
              <w:spacing w:before="60" w:after="60"/>
              <w:jc w:val="left"/>
              <w:rPr>
                <w:rFonts w:cs="Arial"/>
                <w:sz w:val="20"/>
                <w:szCs w:val="20"/>
              </w:rPr>
            </w:pPr>
            <w:r>
              <w:rPr>
                <w:rFonts w:cs="Arial"/>
                <w:sz w:val="20"/>
                <w:szCs w:val="20"/>
              </w:rPr>
              <w:t>Un an de retard</w:t>
            </w:r>
          </w:p>
        </w:tc>
      </w:tr>
      <w:tr w:rsidR="00A00469" w:rsidRPr="001D5A37" w14:paraId="5A4B5F99" w14:textId="77777777" w:rsidTr="00DC1626">
        <w:trPr>
          <w:cantSplit/>
        </w:trPr>
        <w:tc>
          <w:tcPr>
            <w:tcW w:w="4228" w:type="dxa"/>
            <w:shd w:val="clear" w:color="auto" w:fill="auto"/>
            <w:vAlign w:val="center"/>
          </w:tcPr>
          <w:p w14:paraId="560EAB31" w14:textId="72A90108" w:rsidR="00A00469" w:rsidRPr="00BD4C69" w:rsidRDefault="00A00469" w:rsidP="00866B14">
            <w:pPr>
              <w:autoSpaceDE w:val="0"/>
              <w:autoSpaceDN w:val="0"/>
              <w:adjustRightInd w:val="0"/>
              <w:spacing w:before="60" w:after="60"/>
              <w:rPr>
                <w:rFonts w:ascii="Arial" w:hAnsi="Arial" w:cs="Arial"/>
                <w:iCs/>
                <w:sz w:val="20"/>
                <w:szCs w:val="20"/>
              </w:rPr>
            </w:pPr>
            <w:r w:rsidRPr="002B25B0">
              <w:rPr>
                <w:rFonts w:ascii="Arial" w:hAnsi="Arial" w:cs="Arial"/>
                <w:iCs/>
                <w:sz w:val="20"/>
                <w:szCs w:val="20"/>
              </w:rPr>
              <w:t>République</w:t>
            </w:r>
            <w:r>
              <w:rPr>
                <w:rFonts w:ascii="Arial" w:hAnsi="Arial" w:cs="Arial"/>
                <w:iCs/>
                <w:sz w:val="20"/>
                <w:szCs w:val="20"/>
              </w:rPr>
              <w:t xml:space="preserve"> islamique d’Iran</w:t>
            </w:r>
          </w:p>
        </w:tc>
        <w:tc>
          <w:tcPr>
            <w:tcW w:w="1417" w:type="dxa"/>
            <w:shd w:val="clear" w:color="auto" w:fill="auto"/>
            <w:vAlign w:val="center"/>
          </w:tcPr>
          <w:p w14:paraId="0BCA5CB5" w14:textId="58997941" w:rsidR="00A00469" w:rsidRPr="00BD4C69" w:rsidRDefault="00A00469" w:rsidP="00866B14">
            <w:pPr>
              <w:pStyle w:val="Marge"/>
              <w:spacing w:before="60" w:after="60"/>
              <w:jc w:val="center"/>
              <w:rPr>
                <w:rFonts w:cs="Arial"/>
                <w:sz w:val="20"/>
                <w:szCs w:val="20"/>
              </w:rPr>
            </w:pPr>
            <w:r w:rsidRPr="00BD4C69">
              <w:rPr>
                <w:rFonts w:cs="Arial"/>
                <w:sz w:val="20"/>
                <w:szCs w:val="20"/>
              </w:rPr>
              <w:t>2013</w:t>
            </w:r>
          </w:p>
        </w:tc>
        <w:tc>
          <w:tcPr>
            <w:tcW w:w="1276" w:type="dxa"/>
            <w:shd w:val="clear" w:color="auto" w:fill="auto"/>
            <w:vAlign w:val="center"/>
          </w:tcPr>
          <w:p w14:paraId="6D53406D" w14:textId="12CD9B71"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2DDB8A0A" w14:textId="74D0F5F2" w:rsidR="00A00469" w:rsidRPr="00BD4C69" w:rsidRDefault="00A00469" w:rsidP="00866B14">
            <w:pPr>
              <w:pStyle w:val="Marge"/>
              <w:spacing w:before="60" w:after="60"/>
              <w:jc w:val="left"/>
              <w:rPr>
                <w:rFonts w:cs="Arial"/>
                <w:sz w:val="20"/>
                <w:szCs w:val="20"/>
              </w:rPr>
            </w:pPr>
            <w:r>
              <w:rPr>
                <w:rFonts w:cs="Arial"/>
                <w:sz w:val="20"/>
                <w:szCs w:val="20"/>
              </w:rPr>
              <w:t>Quatre ans de retard</w:t>
            </w:r>
          </w:p>
        </w:tc>
      </w:tr>
      <w:tr w:rsidR="00A00469" w:rsidRPr="001D5A37" w14:paraId="548EE6D4" w14:textId="77777777" w:rsidTr="00DC1626">
        <w:trPr>
          <w:cantSplit/>
        </w:trPr>
        <w:tc>
          <w:tcPr>
            <w:tcW w:w="4228" w:type="dxa"/>
            <w:shd w:val="clear" w:color="auto" w:fill="auto"/>
            <w:vAlign w:val="center"/>
          </w:tcPr>
          <w:p w14:paraId="189F52BE" w14:textId="0F783216"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Sainte-Lucie</w:t>
            </w:r>
          </w:p>
        </w:tc>
        <w:tc>
          <w:tcPr>
            <w:tcW w:w="1417" w:type="dxa"/>
            <w:shd w:val="clear" w:color="auto" w:fill="auto"/>
            <w:vAlign w:val="center"/>
          </w:tcPr>
          <w:p w14:paraId="3335F48D" w14:textId="1126427F" w:rsidR="00A00469" w:rsidRPr="00BD4C69" w:rsidRDefault="00A00469" w:rsidP="00866B14">
            <w:pPr>
              <w:pStyle w:val="Marge"/>
              <w:spacing w:before="60" w:after="60"/>
              <w:jc w:val="center"/>
              <w:rPr>
                <w:rFonts w:cs="Arial"/>
                <w:sz w:val="20"/>
                <w:szCs w:val="20"/>
              </w:rPr>
            </w:pPr>
            <w:r w:rsidRPr="00BD4C69">
              <w:rPr>
                <w:rFonts w:cs="Arial"/>
                <w:sz w:val="20"/>
                <w:szCs w:val="20"/>
              </w:rPr>
              <w:t>2014</w:t>
            </w:r>
          </w:p>
        </w:tc>
        <w:tc>
          <w:tcPr>
            <w:tcW w:w="1276" w:type="dxa"/>
            <w:shd w:val="clear" w:color="auto" w:fill="auto"/>
            <w:vAlign w:val="center"/>
          </w:tcPr>
          <w:p w14:paraId="37F3A189" w14:textId="03D1C713"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1888D638" w14:textId="21CEDB94" w:rsidR="00A00469" w:rsidRPr="00BD4C69" w:rsidRDefault="00A00469" w:rsidP="00866B14">
            <w:pPr>
              <w:pStyle w:val="Marge"/>
              <w:spacing w:before="60" w:after="60"/>
              <w:jc w:val="left"/>
              <w:rPr>
                <w:rFonts w:cs="Arial"/>
                <w:sz w:val="20"/>
                <w:szCs w:val="20"/>
              </w:rPr>
            </w:pPr>
            <w:r>
              <w:rPr>
                <w:rFonts w:cs="Arial"/>
                <w:sz w:val="20"/>
                <w:szCs w:val="20"/>
              </w:rPr>
              <w:t>Trois ans de retard</w:t>
            </w:r>
          </w:p>
        </w:tc>
      </w:tr>
      <w:tr w:rsidR="00A00469" w:rsidRPr="001D5A37" w14:paraId="6407742E" w14:textId="77777777" w:rsidTr="00DC1626">
        <w:trPr>
          <w:cantSplit/>
        </w:trPr>
        <w:tc>
          <w:tcPr>
            <w:tcW w:w="4228" w:type="dxa"/>
            <w:shd w:val="clear" w:color="auto" w:fill="auto"/>
            <w:vAlign w:val="center"/>
          </w:tcPr>
          <w:p w14:paraId="093A2D9C" w14:textId="17CA6EAC"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lastRenderedPageBreak/>
              <w:t>Saint-Vincent-et-les-</w:t>
            </w:r>
            <w:r w:rsidRPr="00BD4C69">
              <w:rPr>
                <w:rFonts w:ascii="Arial" w:hAnsi="Arial" w:cs="Arial"/>
                <w:iCs/>
                <w:sz w:val="20"/>
                <w:szCs w:val="20"/>
              </w:rPr>
              <w:t>Grenadines</w:t>
            </w:r>
          </w:p>
        </w:tc>
        <w:tc>
          <w:tcPr>
            <w:tcW w:w="1417" w:type="dxa"/>
            <w:shd w:val="clear" w:color="auto" w:fill="auto"/>
            <w:vAlign w:val="center"/>
          </w:tcPr>
          <w:p w14:paraId="17F45DF1" w14:textId="4C046EE9" w:rsidR="00A00469" w:rsidRPr="00BD4C69" w:rsidRDefault="00A00469" w:rsidP="00866B14">
            <w:pPr>
              <w:pStyle w:val="Marge"/>
              <w:spacing w:before="60" w:after="60"/>
              <w:jc w:val="center"/>
              <w:rPr>
                <w:rFonts w:cs="Arial"/>
                <w:sz w:val="20"/>
                <w:szCs w:val="20"/>
              </w:rPr>
            </w:pPr>
            <w:r w:rsidRPr="00BD4C69">
              <w:rPr>
                <w:rFonts w:cs="Arial"/>
                <w:sz w:val="20"/>
                <w:szCs w:val="20"/>
              </w:rPr>
              <w:t>2016</w:t>
            </w:r>
          </w:p>
        </w:tc>
        <w:tc>
          <w:tcPr>
            <w:tcW w:w="1276" w:type="dxa"/>
            <w:shd w:val="clear" w:color="auto" w:fill="auto"/>
            <w:vAlign w:val="center"/>
          </w:tcPr>
          <w:p w14:paraId="14C496BC" w14:textId="611FC3D9"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54D755E7" w14:textId="1AA9488E" w:rsidR="00A00469" w:rsidRPr="00BD4C69" w:rsidRDefault="00A00469" w:rsidP="00866B14">
            <w:pPr>
              <w:pStyle w:val="Marge"/>
              <w:spacing w:before="60" w:after="60"/>
              <w:jc w:val="left"/>
              <w:rPr>
                <w:rFonts w:cs="Arial"/>
                <w:sz w:val="20"/>
                <w:szCs w:val="20"/>
              </w:rPr>
            </w:pPr>
            <w:r>
              <w:rPr>
                <w:rFonts w:cs="Arial"/>
                <w:sz w:val="20"/>
                <w:szCs w:val="20"/>
              </w:rPr>
              <w:t>Un an de retard</w:t>
            </w:r>
          </w:p>
        </w:tc>
      </w:tr>
      <w:tr w:rsidR="00A00469" w:rsidRPr="001D5A37" w14:paraId="756D002D" w14:textId="77777777" w:rsidTr="00DC1626">
        <w:trPr>
          <w:cantSplit/>
        </w:trPr>
        <w:tc>
          <w:tcPr>
            <w:tcW w:w="4228" w:type="dxa"/>
            <w:shd w:val="clear" w:color="auto" w:fill="auto"/>
            <w:vAlign w:val="center"/>
          </w:tcPr>
          <w:p w14:paraId="0D00ECD2" w14:textId="6B513890"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Sao Tomé-et-</w:t>
            </w:r>
            <w:r w:rsidRPr="00BD4C69">
              <w:rPr>
                <w:rFonts w:ascii="Arial" w:hAnsi="Arial" w:cs="Arial"/>
                <w:iCs/>
                <w:sz w:val="20"/>
                <w:szCs w:val="20"/>
              </w:rPr>
              <w:t>Principe</w:t>
            </w:r>
          </w:p>
        </w:tc>
        <w:tc>
          <w:tcPr>
            <w:tcW w:w="1417" w:type="dxa"/>
            <w:shd w:val="clear" w:color="auto" w:fill="auto"/>
            <w:vAlign w:val="center"/>
          </w:tcPr>
          <w:p w14:paraId="7789DB2C" w14:textId="25F3E95F" w:rsidR="00A00469" w:rsidRPr="00BD4C69" w:rsidRDefault="00A00469" w:rsidP="00866B14">
            <w:pPr>
              <w:pStyle w:val="Marge"/>
              <w:spacing w:before="60" w:after="60"/>
              <w:jc w:val="center"/>
              <w:rPr>
                <w:rFonts w:cs="Arial"/>
                <w:sz w:val="20"/>
                <w:szCs w:val="20"/>
              </w:rPr>
            </w:pPr>
            <w:r w:rsidRPr="00BD4C69">
              <w:rPr>
                <w:rFonts w:cs="Arial"/>
                <w:sz w:val="20"/>
                <w:szCs w:val="20"/>
              </w:rPr>
              <w:t>2013</w:t>
            </w:r>
          </w:p>
        </w:tc>
        <w:tc>
          <w:tcPr>
            <w:tcW w:w="1276" w:type="dxa"/>
            <w:shd w:val="clear" w:color="auto" w:fill="auto"/>
            <w:vAlign w:val="center"/>
          </w:tcPr>
          <w:p w14:paraId="7EAA3199" w14:textId="194C9B22"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623DBC48" w14:textId="2AE834FB" w:rsidR="00A00469" w:rsidRPr="00BD4C69" w:rsidRDefault="00A00469" w:rsidP="00866B14">
            <w:pPr>
              <w:pStyle w:val="Marge"/>
              <w:spacing w:before="60" w:after="60"/>
              <w:jc w:val="left"/>
              <w:rPr>
                <w:rFonts w:cs="Arial"/>
                <w:sz w:val="20"/>
                <w:szCs w:val="20"/>
              </w:rPr>
            </w:pPr>
            <w:r>
              <w:rPr>
                <w:rFonts w:cs="Arial"/>
                <w:sz w:val="20"/>
                <w:szCs w:val="20"/>
              </w:rPr>
              <w:t>Quatre ans de retard</w:t>
            </w:r>
          </w:p>
        </w:tc>
      </w:tr>
      <w:tr w:rsidR="00A00469" w:rsidRPr="001D5A37" w14:paraId="7CEEE62A" w14:textId="77777777" w:rsidTr="00DC1626">
        <w:trPr>
          <w:cantSplit/>
        </w:trPr>
        <w:tc>
          <w:tcPr>
            <w:tcW w:w="4228" w:type="dxa"/>
            <w:shd w:val="clear" w:color="auto" w:fill="auto"/>
            <w:vAlign w:val="center"/>
          </w:tcPr>
          <w:p w14:paraId="71ACBF5F" w14:textId="29453B8E"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Soudan</w:t>
            </w:r>
          </w:p>
        </w:tc>
        <w:tc>
          <w:tcPr>
            <w:tcW w:w="1417" w:type="dxa"/>
            <w:shd w:val="clear" w:color="auto" w:fill="auto"/>
            <w:vAlign w:val="center"/>
          </w:tcPr>
          <w:p w14:paraId="0B3697A0" w14:textId="600A7D2B" w:rsidR="00A00469" w:rsidRPr="00BD4C69" w:rsidRDefault="00A00469" w:rsidP="00866B14">
            <w:pPr>
              <w:pStyle w:val="Marge"/>
              <w:spacing w:before="60" w:after="60"/>
              <w:jc w:val="center"/>
              <w:rPr>
                <w:rFonts w:cs="Arial"/>
                <w:sz w:val="20"/>
                <w:szCs w:val="20"/>
              </w:rPr>
            </w:pPr>
            <w:r>
              <w:rPr>
                <w:rFonts w:cs="Arial"/>
                <w:sz w:val="20"/>
                <w:szCs w:val="20"/>
              </w:rPr>
              <w:t>2015</w:t>
            </w:r>
          </w:p>
        </w:tc>
        <w:tc>
          <w:tcPr>
            <w:tcW w:w="1276" w:type="dxa"/>
            <w:shd w:val="clear" w:color="auto" w:fill="auto"/>
            <w:vAlign w:val="center"/>
          </w:tcPr>
          <w:p w14:paraId="48638F32" w14:textId="0D70B882" w:rsidR="00A00469" w:rsidRPr="00BD4C69" w:rsidRDefault="00A00469" w:rsidP="00866B14">
            <w:pPr>
              <w:pStyle w:val="Marge"/>
              <w:spacing w:before="60" w:after="60"/>
              <w:jc w:val="center"/>
              <w:rPr>
                <w:rFonts w:cs="Arial"/>
                <w:sz w:val="20"/>
                <w:szCs w:val="20"/>
              </w:rPr>
            </w:pPr>
            <w:r>
              <w:rPr>
                <w:rFonts w:cs="Arial"/>
                <w:sz w:val="20"/>
                <w:szCs w:val="20"/>
              </w:rPr>
              <w:t>-</w:t>
            </w:r>
          </w:p>
        </w:tc>
        <w:tc>
          <w:tcPr>
            <w:tcW w:w="2126" w:type="dxa"/>
            <w:shd w:val="clear" w:color="auto" w:fill="auto"/>
            <w:vAlign w:val="center"/>
          </w:tcPr>
          <w:p w14:paraId="2E79423D" w14:textId="38631D8E" w:rsidR="00A00469" w:rsidRPr="00BD4C69" w:rsidRDefault="00A00469" w:rsidP="00866B14">
            <w:pPr>
              <w:pStyle w:val="Marge"/>
              <w:spacing w:before="60" w:after="60"/>
              <w:jc w:val="left"/>
              <w:rPr>
                <w:rFonts w:cs="Arial"/>
                <w:sz w:val="20"/>
                <w:szCs w:val="20"/>
              </w:rPr>
            </w:pPr>
            <w:r>
              <w:rPr>
                <w:rFonts w:cs="Arial"/>
                <w:sz w:val="20"/>
                <w:szCs w:val="20"/>
              </w:rPr>
              <w:t>Deux ans de retard</w:t>
            </w:r>
          </w:p>
        </w:tc>
      </w:tr>
      <w:tr w:rsidR="00A00469" w:rsidRPr="001D5A37" w:rsidDel="00E162DF" w14:paraId="33EBC32A" w14:textId="6005287B" w:rsidTr="00DC1626">
        <w:trPr>
          <w:cantSplit/>
        </w:trPr>
        <w:tc>
          <w:tcPr>
            <w:tcW w:w="4228" w:type="dxa"/>
            <w:shd w:val="clear" w:color="auto" w:fill="auto"/>
            <w:vAlign w:val="center"/>
          </w:tcPr>
          <w:p w14:paraId="7400C873" w14:textId="7E1553CA" w:rsidR="00A00469" w:rsidRPr="00BD4C69" w:rsidDel="00E162DF" w:rsidRDefault="00A00469" w:rsidP="002B25B0">
            <w:pPr>
              <w:autoSpaceDE w:val="0"/>
              <w:autoSpaceDN w:val="0"/>
              <w:adjustRightInd w:val="0"/>
              <w:spacing w:before="60" w:after="60"/>
              <w:rPr>
                <w:rFonts w:ascii="Arial" w:hAnsi="Arial" w:cs="Arial"/>
                <w:iCs/>
                <w:sz w:val="20"/>
                <w:szCs w:val="20"/>
              </w:rPr>
            </w:pPr>
            <w:r w:rsidDel="00E162DF">
              <w:rPr>
                <w:rFonts w:ascii="Arial" w:hAnsi="Arial" w:cs="Arial"/>
                <w:iCs/>
                <w:sz w:val="20"/>
                <w:szCs w:val="20"/>
              </w:rPr>
              <w:t>Tchad</w:t>
            </w:r>
          </w:p>
        </w:tc>
        <w:tc>
          <w:tcPr>
            <w:tcW w:w="1417" w:type="dxa"/>
            <w:shd w:val="clear" w:color="auto" w:fill="auto"/>
            <w:vAlign w:val="center"/>
          </w:tcPr>
          <w:p w14:paraId="5D16D2E5" w14:textId="0E32FE48" w:rsidR="00A00469" w:rsidRPr="00BD4C69" w:rsidDel="00E162DF" w:rsidRDefault="00A00469" w:rsidP="00866B14">
            <w:pPr>
              <w:pStyle w:val="Marge"/>
              <w:spacing w:before="60" w:after="60"/>
              <w:jc w:val="center"/>
              <w:rPr>
                <w:rFonts w:cs="Arial"/>
                <w:sz w:val="20"/>
                <w:szCs w:val="20"/>
              </w:rPr>
            </w:pPr>
            <w:r w:rsidDel="00E162DF">
              <w:rPr>
                <w:rFonts w:cs="Arial"/>
                <w:sz w:val="20"/>
                <w:szCs w:val="20"/>
              </w:rPr>
              <w:t>2015</w:t>
            </w:r>
          </w:p>
        </w:tc>
        <w:tc>
          <w:tcPr>
            <w:tcW w:w="1276" w:type="dxa"/>
            <w:shd w:val="clear" w:color="auto" w:fill="auto"/>
            <w:vAlign w:val="center"/>
          </w:tcPr>
          <w:p w14:paraId="4FA5836B" w14:textId="3ED8F7DB" w:rsidR="00A00469" w:rsidRPr="00BD4C69" w:rsidDel="00E162DF" w:rsidRDefault="00A00469" w:rsidP="00866B14">
            <w:pPr>
              <w:pStyle w:val="Marge"/>
              <w:spacing w:before="60" w:after="60"/>
              <w:jc w:val="center"/>
              <w:rPr>
                <w:rFonts w:cs="Arial"/>
                <w:sz w:val="20"/>
                <w:szCs w:val="20"/>
              </w:rPr>
            </w:pPr>
            <w:r w:rsidDel="00E162DF">
              <w:rPr>
                <w:rFonts w:cs="Arial"/>
                <w:sz w:val="20"/>
                <w:szCs w:val="20"/>
              </w:rPr>
              <w:t>-</w:t>
            </w:r>
          </w:p>
        </w:tc>
        <w:tc>
          <w:tcPr>
            <w:tcW w:w="2126" w:type="dxa"/>
            <w:shd w:val="clear" w:color="auto" w:fill="auto"/>
            <w:vAlign w:val="center"/>
          </w:tcPr>
          <w:p w14:paraId="1BAF6CC0" w14:textId="13AFF2E0" w:rsidR="00A00469" w:rsidRPr="00BD4C69" w:rsidDel="00E162DF" w:rsidRDefault="00A00469" w:rsidP="00A00469">
            <w:pPr>
              <w:pStyle w:val="Marge"/>
              <w:spacing w:before="60" w:after="60"/>
              <w:jc w:val="left"/>
              <w:rPr>
                <w:rFonts w:cs="Arial"/>
                <w:sz w:val="20"/>
                <w:szCs w:val="20"/>
              </w:rPr>
            </w:pPr>
            <w:r w:rsidDel="00E162DF">
              <w:rPr>
                <w:rFonts w:cs="Arial"/>
                <w:sz w:val="20"/>
                <w:szCs w:val="20"/>
              </w:rPr>
              <w:t>Deux ans de retard</w:t>
            </w:r>
          </w:p>
        </w:tc>
      </w:tr>
      <w:tr w:rsidR="00A00469" w:rsidRPr="001D5A37" w14:paraId="77A85A56" w14:textId="77777777" w:rsidTr="00DC1626">
        <w:trPr>
          <w:cantSplit/>
        </w:trPr>
        <w:tc>
          <w:tcPr>
            <w:tcW w:w="4228" w:type="dxa"/>
            <w:shd w:val="clear" w:color="auto" w:fill="auto"/>
            <w:vAlign w:val="center"/>
          </w:tcPr>
          <w:p w14:paraId="76AAEBAF" w14:textId="4E23101C" w:rsidR="00A00469" w:rsidRPr="00A00469" w:rsidRDefault="00A00469" w:rsidP="00866B14">
            <w:pPr>
              <w:autoSpaceDE w:val="0"/>
              <w:autoSpaceDN w:val="0"/>
              <w:adjustRightInd w:val="0"/>
              <w:spacing w:before="60" w:after="60"/>
              <w:rPr>
                <w:rFonts w:ascii="Arial" w:hAnsi="Arial" w:cs="Arial"/>
                <w:b/>
                <w:iCs/>
                <w:sz w:val="20"/>
                <w:szCs w:val="20"/>
              </w:rPr>
            </w:pPr>
            <w:r w:rsidRPr="00A00469">
              <w:rPr>
                <w:rFonts w:ascii="Arial" w:hAnsi="Arial" w:cs="Arial"/>
                <w:b/>
                <w:iCs/>
                <w:sz w:val="20"/>
                <w:szCs w:val="20"/>
              </w:rPr>
              <w:t>Tchéquie</w:t>
            </w:r>
          </w:p>
        </w:tc>
        <w:tc>
          <w:tcPr>
            <w:tcW w:w="1417" w:type="dxa"/>
            <w:shd w:val="clear" w:color="auto" w:fill="auto"/>
            <w:vAlign w:val="center"/>
          </w:tcPr>
          <w:p w14:paraId="16209914" w14:textId="322DDF02" w:rsidR="00A00469" w:rsidRPr="00BD4C69" w:rsidRDefault="00A00469" w:rsidP="00866B14">
            <w:pPr>
              <w:pStyle w:val="Marge"/>
              <w:spacing w:before="60" w:after="60"/>
              <w:jc w:val="center"/>
              <w:rPr>
                <w:rFonts w:cs="Arial"/>
                <w:sz w:val="20"/>
                <w:szCs w:val="20"/>
              </w:rPr>
            </w:pPr>
            <w:r>
              <w:rPr>
                <w:rFonts w:cs="Arial"/>
                <w:sz w:val="20"/>
                <w:szCs w:val="20"/>
              </w:rPr>
              <w:t>2016</w:t>
            </w:r>
          </w:p>
        </w:tc>
        <w:tc>
          <w:tcPr>
            <w:tcW w:w="1276" w:type="dxa"/>
            <w:shd w:val="clear" w:color="auto" w:fill="auto"/>
            <w:vAlign w:val="center"/>
          </w:tcPr>
          <w:p w14:paraId="7B9D5B85" w14:textId="24D12B97" w:rsidR="00A00469" w:rsidRPr="00A00469" w:rsidRDefault="00A00469" w:rsidP="00866B14">
            <w:pPr>
              <w:pStyle w:val="Marge"/>
              <w:spacing w:before="60" w:after="60"/>
              <w:jc w:val="center"/>
              <w:rPr>
                <w:rFonts w:cs="Arial"/>
                <w:b/>
                <w:sz w:val="20"/>
                <w:szCs w:val="20"/>
              </w:rPr>
            </w:pPr>
            <w:r w:rsidRPr="00A00469">
              <w:rPr>
                <w:rFonts w:cs="Arial"/>
                <w:b/>
                <w:sz w:val="20"/>
                <w:szCs w:val="20"/>
              </w:rPr>
              <w:t>2016</w:t>
            </w:r>
          </w:p>
        </w:tc>
        <w:tc>
          <w:tcPr>
            <w:tcW w:w="2126" w:type="dxa"/>
            <w:shd w:val="clear" w:color="auto" w:fill="auto"/>
            <w:vAlign w:val="center"/>
          </w:tcPr>
          <w:p w14:paraId="5ECCF38D" w14:textId="4B8A3DBC" w:rsidR="00A00469" w:rsidRPr="00BD4C69" w:rsidRDefault="00C34CDF" w:rsidP="007B5725">
            <w:pPr>
              <w:pStyle w:val="Marge"/>
              <w:spacing w:before="60" w:after="60"/>
              <w:jc w:val="left"/>
              <w:rPr>
                <w:rFonts w:cs="Arial"/>
                <w:sz w:val="20"/>
                <w:szCs w:val="20"/>
              </w:rPr>
            </w:pPr>
            <w:r>
              <w:rPr>
                <w:rFonts w:cs="Arial"/>
                <w:sz w:val="20"/>
                <w:szCs w:val="20"/>
              </w:rPr>
              <w:t>-</w:t>
            </w:r>
          </w:p>
        </w:tc>
      </w:tr>
      <w:tr w:rsidR="00A00469" w:rsidRPr="001D5A37" w14:paraId="538A2BFC" w14:textId="77777777" w:rsidTr="00DC1626">
        <w:trPr>
          <w:cantSplit/>
        </w:trPr>
        <w:tc>
          <w:tcPr>
            <w:tcW w:w="4228" w:type="dxa"/>
            <w:shd w:val="clear" w:color="auto" w:fill="auto"/>
            <w:vAlign w:val="center"/>
          </w:tcPr>
          <w:p w14:paraId="109E8796" w14:textId="07820DDC" w:rsidR="00A00469" w:rsidRPr="00BD4C69" w:rsidRDefault="00A00469" w:rsidP="00866B14">
            <w:pPr>
              <w:autoSpaceDE w:val="0"/>
              <w:autoSpaceDN w:val="0"/>
              <w:adjustRightInd w:val="0"/>
              <w:spacing w:before="60" w:after="60"/>
              <w:rPr>
                <w:rFonts w:ascii="Arial" w:hAnsi="Arial" w:cs="Arial"/>
                <w:iCs/>
                <w:sz w:val="20"/>
                <w:szCs w:val="20"/>
              </w:rPr>
            </w:pPr>
            <w:r w:rsidRPr="00BD4C69">
              <w:rPr>
                <w:rFonts w:ascii="Arial" w:hAnsi="Arial" w:cs="Arial"/>
                <w:iCs/>
                <w:sz w:val="20"/>
                <w:szCs w:val="20"/>
              </w:rPr>
              <w:t>Togo</w:t>
            </w:r>
          </w:p>
        </w:tc>
        <w:tc>
          <w:tcPr>
            <w:tcW w:w="1417" w:type="dxa"/>
            <w:shd w:val="clear" w:color="auto" w:fill="auto"/>
            <w:vAlign w:val="center"/>
          </w:tcPr>
          <w:p w14:paraId="2CC4402A" w14:textId="235A67C5" w:rsidR="00A00469" w:rsidRPr="00BD4C69" w:rsidRDefault="00A00469" w:rsidP="00866B14">
            <w:pPr>
              <w:pStyle w:val="Marge"/>
              <w:spacing w:before="60" w:after="60"/>
              <w:jc w:val="center"/>
              <w:rPr>
                <w:rFonts w:cs="Arial"/>
                <w:sz w:val="20"/>
                <w:szCs w:val="20"/>
              </w:rPr>
            </w:pPr>
            <w:r w:rsidRPr="00BD4C69">
              <w:rPr>
                <w:rFonts w:cs="Arial"/>
                <w:sz w:val="20"/>
                <w:szCs w:val="20"/>
              </w:rPr>
              <w:t>2016</w:t>
            </w:r>
          </w:p>
        </w:tc>
        <w:tc>
          <w:tcPr>
            <w:tcW w:w="1276" w:type="dxa"/>
            <w:shd w:val="clear" w:color="auto" w:fill="auto"/>
            <w:vAlign w:val="center"/>
          </w:tcPr>
          <w:p w14:paraId="7FDE4759" w14:textId="5E4BC8E8"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0D64151A" w14:textId="1C674C0B" w:rsidR="00A00469" w:rsidRPr="00BD4C69" w:rsidRDefault="00A00469" w:rsidP="00866B14">
            <w:pPr>
              <w:pStyle w:val="Marge"/>
              <w:spacing w:before="60" w:after="60"/>
              <w:jc w:val="left"/>
              <w:rPr>
                <w:rFonts w:cs="Arial"/>
                <w:sz w:val="20"/>
                <w:szCs w:val="20"/>
              </w:rPr>
            </w:pPr>
            <w:r>
              <w:rPr>
                <w:rFonts w:cs="Arial"/>
                <w:sz w:val="20"/>
                <w:szCs w:val="20"/>
              </w:rPr>
              <w:t>Un an de retard</w:t>
            </w:r>
          </w:p>
        </w:tc>
      </w:tr>
      <w:tr w:rsidR="00A00469" w:rsidRPr="001D5A37" w14:paraId="553EB1C8" w14:textId="77777777" w:rsidTr="00DC1626">
        <w:trPr>
          <w:cantSplit/>
        </w:trPr>
        <w:tc>
          <w:tcPr>
            <w:tcW w:w="4228" w:type="dxa"/>
            <w:shd w:val="clear" w:color="auto" w:fill="auto"/>
            <w:vAlign w:val="center"/>
          </w:tcPr>
          <w:p w14:paraId="76C63C75" w14:textId="41DCFAB8"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Tunisie</w:t>
            </w:r>
          </w:p>
        </w:tc>
        <w:tc>
          <w:tcPr>
            <w:tcW w:w="1417" w:type="dxa"/>
            <w:shd w:val="clear" w:color="auto" w:fill="auto"/>
            <w:vAlign w:val="center"/>
          </w:tcPr>
          <w:p w14:paraId="2E0A5382" w14:textId="558B2B93" w:rsidR="00A00469" w:rsidRPr="00BD4C69" w:rsidRDefault="00A00469" w:rsidP="00866B14">
            <w:pPr>
              <w:pStyle w:val="Marge"/>
              <w:spacing w:before="60" w:after="60"/>
              <w:jc w:val="center"/>
              <w:rPr>
                <w:rFonts w:cs="Arial"/>
                <w:sz w:val="20"/>
                <w:szCs w:val="20"/>
              </w:rPr>
            </w:pPr>
            <w:r w:rsidRPr="00BD4C69">
              <w:rPr>
                <w:rFonts w:cs="Arial"/>
                <w:sz w:val="20"/>
                <w:szCs w:val="20"/>
              </w:rPr>
              <w:t>2013</w:t>
            </w:r>
          </w:p>
        </w:tc>
        <w:tc>
          <w:tcPr>
            <w:tcW w:w="1276" w:type="dxa"/>
            <w:shd w:val="clear" w:color="auto" w:fill="auto"/>
            <w:vAlign w:val="center"/>
          </w:tcPr>
          <w:p w14:paraId="5D327792" w14:textId="57139239"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7421F19B" w14:textId="24DD7D29" w:rsidR="00A00469" w:rsidRPr="00BD4C69" w:rsidRDefault="00A00469" w:rsidP="007B5725">
            <w:pPr>
              <w:pStyle w:val="Marge"/>
              <w:spacing w:before="60" w:after="60"/>
              <w:jc w:val="left"/>
              <w:rPr>
                <w:rFonts w:cs="Arial"/>
                <w:sz w:val="20"/>
                <w:szCs w:val="20"/>
              </w:rPr>
            </w:pPr>
            <w:r>
              <w:rPr>
                <w:rFonts w:cs="Arial"/>
                <w:sz w:val="20"/>
                <w:szCs w:val="20"/>
              </w:rPr>
              <w:t>Quatre ans de retard</w:t>
            </w:r>
          </w:p>
        </w:tc>
      </w:tr>
      <w:tr w:rsidR="00A00469" w:rsidRPr="001D5A37" w14:paraId="43D1E9C9" w14:textId="77777777" w:rsidTr="00DC1626">
        <w:trPr>
          <w:cantSplit/>
        </w:trPr>
        <w:tc>
          <w:tcPr>
            <w:tcW w:w="4228" w:type="dxa"/>
            <w:shd w:val="clear" w:color="auto" w:fill="auto"/>
            <w:vAlign w:val="center"/>
          </w:tcPr>
          <w:p w14:paraId="613723D7" w14:textId="60174950" w:rsidR="00A00469" w:rsidRPr="00BD4C69" w:rsidRDefault="00A00469" w:rsidP="00866B14">
            <w:pPr>
              <w:autoSpaceDE w:val="0"/>
              <w:autoSpaceDN w:val="0"/>
              <w:adjustRightInd w:val="0"/>
              <w:spacing w:before="60" w:after="60"/>
              <w:rPr>
                <w:rFonts w:ascii="Arial" w:hAnsi="Arial" w:cs="Arial"/>
                <w:b/>
                <w:iCs/>
                <w:sz w:val="20"/>
                <w:szCs w:val="20"/>
              </w:rPr>
            </w:pPr>
            <w:r w:rsidRPr="00BD4C69">
              <w:rPr>
                <w:rFonts w:ascii="Arial" w:hAnsi="Arial" w:cs="Arial"/>
                <w:b/>
                <w:iCs/>
                <w:sz w:val="20"/>
                <w:szCs w:val="20"/>
              </w:rPr>
              <w:t>Ukraine</w:t>
            </w:r>
          </w:p>
        </w:tc>
        <w:tc>
          <w:tcPr>
            <w:tcW w:w="1417" w:type="dxa"/>
            <w:shd w:val="clear" w:color="auto" w:fill="auto"/>
            <w:vAlign w:val="center"/>
          </w:tcPr>
          <w:p w14:paraId="1B66D54F" w14:textId="78645D79" w:rsidR="00A00469" w:rsidRPr="00BD4C69" w:rsidRDefault="00A00469" w:rsidP="00866B14">
            <w:pPr>
              <w:pStyle w:val="Marge"/>
              <w:spacing w:before="60" w:after="60"/>
              <w:jc w:val="center"/>
              <w:rPr>
                <w:rFonts w:cs="Arial"/>
                <w:sz w:val="20"/>
                <w:szCs w:val="20"/>
              </w:rPr>
            </w:pPr>
            <w:r w:rsidRPr="00BD4C69">
              <w:rPr>
                <w:rFonts w:cs="Arial"/>
                <w:sz w:val="20"/>
                <w:szCs w:val="20"/>
              </w:rPr>
              <w:t>2015</w:t>
            </w:r>
          </w:p>
        </w:tc>
        <w:tc>
          <w:tcPr>
            <w:tcW w:w="1276" w:type="dxa"/>
            <w:shd w:val="clear" w:color="auto" w:fill="auto"/>
            <w:vAlign w:val="center"/>
          </w:tcPr>
          <w:p w14:paraId="5312083F" w14:textId="3D62DBE0" w:rsidR="00A00469" w:rsidRPr="00BD4C69" w:rsidRDefault="00A00469" w:rsidP="00866B14">
            <w:pPr>
              <w:pStyle w:val="Marge"/>
              <w:spacing w:before="60" w:after="60"/>
              <w:jc w:val="center"/>
              <w:rPr>
                <w:rFonts w:cs="Arial"/>
                <w:b/>
                <w:sz w:val="20"/>
                <w:szCs w:val="20"/>
              </w:rPr>
            </w:pPr>
            <w:r w:rsidRPr="00BD4C69">
              <w:rPr>
                <w:rFonts w:cs="Arial"/>
                <w:b/>
                <w:sz w:val="20"/>
                <w:szCs w:val="20"/>
              </w:rPr>
              <w:t>2016</w:t>
            </w:r>
          </w:p>
        </w:tc>
        <w:tc>
          <w:tcPr>
            <w:tcW w:w="2126" w:type="dxa"/>
            <w:shd w:val="clear" w:color="auto" w:fill="auto"/>
            <w:vAlign w:val="center"/>
          </w:tcPr>
          <w:p w14:paraId="75D33CD7" w14:textId="1499F007" w:rsidR="00A00469" w:rsidRPr="00BD4C69" w:rsidRDefault="00A00469" w:rsidP="00866B14">
            <w:pPr>
              <w:pStyle w:val="Marge"/>
              <w:spacing w:before="60" w:after="60"/>
              <w:jc w:val="left"/>
              <w:rPr>
                <w:rFonts w:cs="Arial"/>
                <w:sz w:val="20"/>
                <w:szCs w:val="20"/>
              </w:rPr>
            </w:pPr>
            <w:r w:rsidRPr="00BD4C69">
              <w:rPr>
                <w:rFonts w:cs="Arial"/>
                <w:sz w:val="20"/>
                <w:szCs w:val="20"/>
              </w:rPr>
              <w:t>-</w:t>
            </w:r>
          </w:p>
        </w:tc>
      </w:tr>
      <w:tr w:rsidR="00A00469" w:rsidRPr="001D5A37" w14:paraId="47DE48A1" w14:textId="77777777" w:rsidTr="00DC1626">
        <w:trPr>
          <w:cantSplit/>
        </w:trPr>
        <w:tc>
          <w:tcPr>
            <w:tcW w:w="4228" w:type="dxa"/>
            <w:shd w:val="clear" w:color="auto" w:fill="auto"/>
            <w:vAlign w:val="center"/>
          </w:tcPr>
          <w:p w14:paraId="67028A3A" w14:textId="7099F33D" w:rsidR="00A00469" w:rsidRPr="00BD4C69" w:rsidRDefault="00A00469" w:rsidP="00866B14">
            <w:pPr>
              <w:autoSpaceDE w:val="0"/>
              <w:autoSpaceDN w:val="0"/>
              <w:adjustRightInd w:val="0"/>
              <w:spacing w:before="60" w:after="60"/>
              <w:rPr>
                <w:rFonts w:ascii="Arial" w:hAnsi="Arial" w:cs="Arial"/>
                <w:iCs/>
                <w:sz w:val="20"/>
                <w:szCs w:val="20"/>
              </w:rPr>
            </w:pPr>
            <w:r>
              <w:rPr>
                <w:rFonts w:ascii="Arial" w:hAnsi="Arial" w:cs="Arial"/>
                <w:iCs/>
                <w:sz w:val="20"/>
                <w:szCs w:val="20"/>
              </w:rPr>
              <w:t>Yé</w:t>
            </w:r>
            <w:r w:rsidRPr="00BD4C69">
              <w:rPr>
                <w:rFonts w:ascii="Arial" w:hAnsi="Arial" w:cs="Arial"/>
                <w:iCs/>
                <w:sz w:val="20"/>
                <w:szCs w:val="20"/>
              </w:rPr>
              <w:t>men</w:t>
            </w:r>
          </w:p>
        </w:tc>
        <w:tc>
          <w:tcPr>
            <w:tcW w:w="1417" w:type="dxa"/>
            <w:shd w:val="clear" w:color="auto" w:fill="auto"/>
            <w:vAlign w:val="center"/>
          </w:tcPr>
          <w:p w14:paraId="677DB47A" w14:textId="5D155BED" w:rsidR="00A00469" w:rsidRPr="00BD4C69" w:rsidRDefault="00A00469" w:rsidP="00866B14">
            <w:pPr>
              <w:pStyle w:val="Marge"/>
              <w:spacing w:before="60" w:after="60"/>
              <w:jc w:val="center"/>
              <w:rPr>
                <w:rFonts w:cs="Arial"/>
                <w:sz w:val="20"/>
                <w:szCs w:val="20"/>
              </w:rPr>
            </w:pPr>
            <w:r w:rsidRPr="00BD4C69">
              <w:rPr>
                <w:rFonts w:cs="Arial"/>
                <w:sz w:val="20"/>
                <w:szCs w:val="20"/>
              </w:rPr>
              <w:t>2014</w:t>
            </w:r>
          </w:p>
        </w:tc>
        <w:tc>
          <w:tcPr>
            <w:tcW w:w="1276" w:type="dxa"/>
            <w:shd w:val="clear" w:color="auto" w:fill="auto"/>
            <w:vAlign w:val="center"/>
          </w:tcPr>
          <w:p w14:paraId="5C818B41" w14:textId="17747B2D" w:rsidR="00A00469" w:rsidRPr="00BD4C69" w:rsidRDefault="00A00469" w:rsidP="00866B14">
            <w:pPr>
              <w:pStyle w:val="Marge"/>
              <w:spacing w:before="60" w:after="60"/>
              <w:jc w:val="center"/>
              <w:rPr>
                <w:rFonts w:cs="Arial"/>
                <w:sz w:val="20"/>
                <w:szCs w:val="20"/>
              </w:rPr>
            </w:pPr>
            <w:r w:rsidRPr="00BD4C69">
              <w:rPr>
                <w:rFonts w:cs="Arial"/>
                <w:sz w:val="20"/>
                <w:szCs w:val="20"/>
              </w:rPr>
              <w:t>-</w:t>
            </w:r>
          </w:p>
        </w:tc>
        <w:tc>
          <w:tcPr>
            <w:tcW w:w="2126" w:type="dxa"/>
            <w:shd w:val="clear" w:color="auto" w:fill="auto"/>
            <w:vAlign w:val="center"/>
          </w:tcPr>
          <w:p w14:paraId="70C81BC5" w14:textId="6AA62C49" w:rsidR="00A00469" w:rsidRPr="00BD4C69" w:rsidRDefault="00A00469" w:rsidP="00866B14">
            <w:pPr>
              <w:pStyle w:val="Marge"/>
              <w:spacing w:before="60" w:after="60"/>
              <w:jc w:val="left"/>
              <w:rPr>
                <w:rFonts w:cs="Arial"/>
                <w:sz w:val="20"/>
                <w:szCs w:val="20"/>
              </w:rPr>
            </w:pPr>
            <w:r>
              <w:rPr>
                <w:rFonts w:cs="Arial"/>
                <w:sz w:val="20"/>
                <w:szCs w:val="20"/>
              </w:rPr>
              <w:t>Trois ans de retard</w:t>
            </w:r>
          </w:p>
        </w:tc>
      </w:tr>
    </w:tbl>
    <w:p w14:paraId="74B4924A" w14:textId="55C9F386" w:rsidR="00175567" w:rsidRPr="00EE1B2F" w:rsidRDefault="00C03513" w:rsidP="00C03513">
      <w:pPr>
        <w:numPr>
          <w:ilvl w:val="0"/>
          <w:numId w:val="14"/>
        </w:numPr>
        <w:autoSpaceDE w:val="0"/>
        <w:autoSpaceDN w:val="0"/>
        <w:adjustRightInd w:val="0"/>
        <w:spacing w:before="240" w:after="120"/>
        <w:ind w:left="567" w:hanging="567"/>
        <w:jc w:val="both"/>
        <w:rPr>
          <w:rFonts w:ascii="Arial" w:hAnsi="Arial" w:cs="Arial"/>
          <w:sz w:val="22"/>
          <w:szCs w:val="22"/>
        </w:rPr>
      </w:pPr>
      <w:r w:rsidRPr="00C03513">
        <w:rPr>
          <w:rFonts w:ascii="Arial" w:hAnsi="Arial" w:cs="Arial"/>
          <w:sz w:val="22"/>
          <w:szCs w:val="22"/>
        </w:rPr>
        <w:t xml:space="preserve">Il s’agit </w:t>
      </w:r>
      <w:r>
        <w:rPr>
          <w:rFonts w:ascii="Arial" w:hAnsi="Arial"/>
          <w:sz w:val="22"/>
          <w:szCs w:val="22"/>
        </w:rPr>
        <w:t>du sixième</w:t>
      </w:r>
      <w:r w:rsidRPr="00C03513">
        <w:rPr>
          <w:rFonts w:ascii="Arial" w:hAnsi="Arial"/>
          <w:sz w:val="22"/>
          <w:szCs w:val="22"/>
        </w:rPr>
        <w:t xml:space="preserve"> cycle de rapports périodiques sur la mise en œuvre de la Convention et l</w:t>
      </w:r>
      <w:r w:rsidRPr="00C03513">
        <w:rPr>
          <w:rFonts w:ascii="Arial" w:hAnsi="Arial" w:cs="Arial"/>
          <w:sz w:val="22"/>
          <w:szCs w:val="22"/>
          <w:cs/>
        </w:rPr>
        <w:t>’</w:t>
      </w:r>
      <w:r w:rsidRPr="00C03513">
        <w:rPr>
          <w:rFonts w:ascii="Arial" w:hAnsi="Arial"/>
          <w:sz w:val="22"/>
          <w:szCs w:val="22"/>
        </w:rPr>
        <w:t xml:space="preserve">état actuel d’éléments du patrimoine culturel immatériel inscrits sur la Liste représentative. </w:t>
      </w:r>
      <w:r w:rsidRPr="00EE1B2F">
        <w:rPr>
          <w:rFonts w:ascii="Arial" w:hAnsi="Arial" w:cs="Arial"/>
          <w:sz w:val="22"/>
          <w:szCs w:val="22"/>
        </w:rPr>
        <w:t xml:space="preserve">Les </w:t>
      </w:r>
      <w:r>
        <w:rPr>
          <w:rFonts w:ascii="Arial" w:hAnsi="Arial"/>
          <w:sz w:val="22"/>
          <w:szCs w:val="22"/>
        </w:rPr>
        <w:t xml:space="preserve">six rapports soumis pour le présent cycle représentent </w:t>
      </w:r>
      <w:r w:rsidR="00064425">
        <w:rPr>
          <w:rFonts w:ascii="Arial" w:hAnsi="Arial"/>
          <w:sz w:val="22"/>
          <w:szCs w:val="22"/>
        </w:rPr>
        <w:t xml:space="preserve">dix </w:t>
      </w:r>
      <w:r>
        <w:rPr>
          <w:rFonts w:ascii="Arial" w:hAnsi="Arial"/>
          <w:sz w:val="22"/>
          <w:szCs w:val="22"/>
        </w:rPr>
        <w:t>éléments inscrits sur la Liste représentative</w:t>
      </w:r>
      <w:r w:rsidRPr="009F624A">
        <w:rPr>
          <w:rFonts w:ascii="Arial" w:hAnsi="Arial"/>
          <w:sz w:val="22"/>
          <w:szCs w:val="22"/>
        </w:rPr>
        <w:t xml:space="preserve">. Aucun des États faisant rapport n’a d’élément inscrit sur la Liste du patrimoine </w:t>
      </w:r>
      <w:r w:rsidR="00956698" w:rsidRPr="009F624A">
        <w:rPr>
          <w:rFonts w:ascii="Arial" w:hAnsi="Arial"/>
          <w:sz w:val="22"/>
          <w:szCs w:val="22"/>
        </w:rPr>
        <w:t xml:space="preserve">culturel immatériel </w:t>
      </w:r>
      <w:r w:rsidRPr="009F624A">
        <w:rPr>
          <w:rFonts w:ascii="Arial" w:hAnsi="Arial"/>
          <w:sz w:val="22"/>
          <w:szCs w:val="22"/>
        </w:rPr>
        <w:t>nécessitant une sauvegarde urgente</w:t>
      </w:r>
      <w:r w:rsidR="00956698" w:rsidRPr="009F624A">
        <w:rPr>
          <w:rFonts w:ascii="Arial" w:hAnsi="Arial"/>
          <w:sz w:val="22"/>
          <w:szCs w:val="22"/>
        </w:rPr>
        <w:t xml:space="preserve"> (ci-après la « Liste de sauvegarde urgente »)</w:t>
      </w:r>
      <w:r w:rsidRPr="009F624A">
        <w:rPr>
          <w:rFonts w:ascii="Arial" w:hAnsi="Arial"/>
          <w:sz w:val="22"/>
          <w:szCs w:val="22"/>
        </w:rPr>
        <w:t xml:space="preserve"> ou de </w:t>
      </w:r>
      <w:r w:rsidRPr="009F624A">
        <w:rPr>
          <w:rFonts w:ascii="Arial" w:hAnsi="Arial" w:cs="Arial"/>
          <w:sz w:val="22"/>
          <w:szCs w:val="22"/>
        </w:rPr>
        <w:t xml:space="preserve">programme </w:t>
      </w:r>
      <w:r w:rsidRPr="009F624A">
        <w:rPr>
          <w:rFonts w:ascii="Arial" w:hAnsi="Arial"/>
          <w:sz w:val="22"/>
          <w:szCs w:val="22"/>
        </w:rPr>
        <w:t>sélectionné pour le Registre des meilleures pratiques de sauvegarde.</w:t>
      </w:r>
    </w:p>
    <w:p w14:paraId="37696A22" w14:textId="69C6726F" w:rsidR="00866B14" w:rsidRPr="009B03C6" w:rsidRDefault="009B03C6" w:rsidP="009B03C6">
      <w:pPr>
        <w:keepNext/>
        <w:numPr>
          <w:ilvl w:val="0"/>
          <w:numId w:val="13"/>
        </w:numPr>
        <w:tabs>
          <w:tab w:val="left" w:pos="3828"/>
        </w:tabs>
        <w:autoSpaceDE w:val="0"/>
        <w:autoSpaceDN w:val="0"/>
        <w:adjustRightInd w:val="0"/>
        <w:spacing w:before="360" w:after="120"/>
        <w:ind w:left="567" w:hanging="567"/>
        <w:rPr>
          <w:rFonts w:ascii="Arial" w:hAnsi="Arial" w:cs="Arial"/>
          <w:b/>
          <w:bCs/>
          <w:sz w:val="22"/>
          <w:szCs w:val="22"/>
        </w:rPr>
      </w:pPr>
      <w:r>
        <w:rPr>
          <w:rFonts w:ascii="Arial" w:hAnsi="Arial" w:cs="Arial"/>
          <w:b/>
          <w:bCs/>
          <w:sz w:val="22"/>
          <w:szCs w:val="22"/>
        </w:rPr>
        <w:t>Aperçu du</w:t>
      </w:r>
      <w:r w:rsidR="00C03513" w:rsidRPr="009B03C6">
        <w:rPr>
          <w:rFonts w:ascii="Arial" w:hAnsi="Arial" w:cs="Arial"/>
          <w:b/>
          <w:bCs/>
          <w:sz w:val="22"/>
          <w:szCs w:val="22"/>
        </w:rPr>
        <w:t xml:space="preserve"> cadre de sauvegarde</w:t>
      </w:r>
      <w:r w:rsidRPr="009B03C6">
        <w:rPr>
          <w:rFonts w:ascii="Arial" w:hAnsi="Arial" w:cs="Arial"/>
          <w:b/>
          <w:bCs/>
          <w:sz w:val="22"/>
          <w:szCs w:val="22"/>
        </w:rPr>
        <w:t xml:space="preserve"> et des mesu</w:t>
      </w:r>
      <w:r>
        <w:rPr>
          <w:rFonts w:ascii="Arial" w:hAnsi="Arial" w:cs="Arial"/>
          <w:b/>
          <w:bCs/>
          <w:sz w:val="22"/>
          <w:szCs w:val="22"/>
        </w:rPr>
        <w:t>res prises pour mettre en œuvre</w:t>
      </w:r>
      <w:r w:rsidRPr="009B03C6">
        <w:rPr>
          <w:rFonts w:ascii="Arial" w:hAnsi="Arial" w:cs="Arial"/>
          <w:b/>
          <w:bCs/>
          <w:sz w:val="22"/>
          <w:szCs w:val="22"/>
        </w:rPr>
        <w:t xml:space="preserve"> la Convention pendant le cycle de rapports 2016</w:t>
      </w:r>
    </w:p>
    <w:p w14:paraId="130FEFEB" w14:textId="26BB3503" w:rsidR="009B03C6" w:rsidRPr="009B03C6" w:rsidRDefault="009B03C6" w:rsidP="009B03C6">
      <w:pPr>
        <w:keepNext/>
        <w:numPr>
          <w:ilvl w:val="0"/>
          <w:numId w:val="16"/>
        </w:numPr>
        <w:autoSpaceDE w:val="0"/>
        <w:autoSpaceDN w:val="0"/>
        <w:adjustRightInd w:val="0"/>
        <w:spacing w:after="120"/>
        <w:ind w:left="1134" w:hanging="567"/>
        <w:rPr>
          <w:rFonts w:ascii="Arial" w:hAnsi="Arial" w:cs="Arial"/>
          <w:b/>
          <w:sz w:val="22"/>
          <w:szCs w:val="22"/>
        </w:rPr>
      </w:pPr>
      <w:r w:rsidRPr="009B03C6">
        <w:rPr>
          <w:rFonts w:ascii="Arial" w:hAnsi="Arial" w:cs="Arial"/>
          <w:b/>
          <w:sz w:val="22"/>
          <w:szCs w:val="22"/>
        </w:rPr>
        <w:t xml:space="preserve">Cadre </w:t>
      </w:r>
      <w:r>
        <w:rPr>
          <w:rFonts w:ascii="Arial" w:hAnsi="Arial" w:cs="Arial"/>
          <w:b/>
          <w:sz w:val="22"/>
          <w:szCs w:val="22"/>
        </w:rPr>
        <w:t xml:space="preserve">institutionnel de </w:t>
      </w:r>
      <w:r w:rsidRPr="009B03C6">
        <w:rPr>
          <w:rFonts w:ascii="Arial" w:hAnsi="Arial" w:cs="Arial"/>
          <w:b/>
          <w:sz w:val="22"/>
          <w:szCs w:val="22"/>
        </w:rPr>
        <w:t xml:space="preserve">la sauvegarde du </w:t>
      </w:r>
      <w:r>
        <w:rPr>
          <w:rFonts w:ascii="Arial" w:hAnsi="Arial" w:cs="Arial"/>
          <w:b/>
          <w:sz w:val="22"/>
          <w:szCs w:val="22"/>
        </w:rPr>
        <w:t>patrimoine culturel immatériel</w:t>
      </w:r>
    </w:p>
    <w:p w14:paraId="65F720F1" w14:textId="1ADD9B6E" w:rsidR="009B03C6" w:rsidRDefault="009B03C6" w:rsidP="00866B1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Le </w:t>
      </w:r>
      <w:r w:rsidRPr="009B03C6">
        <w:rPr>
          <w:rFonts w:ascii="Arial" w:hAnsi="Arial" w:cs="Arial"/>
          <w:sz w:val="22"/>
          <w:szCs w:val="22"/>
        </w:rPr>
        <w:t>Ministère</w:t>
      </w:r>
      <w:r>
        <w:rPr>
          <w:rFonts w:ascii="Arial" w:hAnsi="Arial" w:cs="Arial"/>
          <w:sz w:val="22"/>
          <w:szCs w:val="22"/>
        </w:rPr>
        <w:t xml:space="preserve"> de la culture est l</w:t>
      </w:r>
      <w:r w:rsidR="003C655C">
        <w:rPr>
          <w:rFonts w:ascii="Arial" w:hAnsi="Arial" w:cs="Arial"/>
          <w:sz w:val="22"/>
          <w:szCs w:val="22"/>
        </w:rPr>
        <w:t>e principal</w:t>
      </w:r>
      <w:r w:rsidR="00470662">
        <w:rPr>
          <w:rFonts w:ascii="Arial" w:hAnsi="Arial" w:cs="Arial"/>
          <w:sz w:val="22"/>
          <w:szCs w:val="22"/>
        </w:rPr>
        <w:t xml:space="preserve"> </w:t>
      </w:r>
      <w:r w:rsidR="003C655C">
        <w:rPr>
          <w:rFonts w:ascii="Arial" w:hAnsi="Arial" w:cs="Arial"/>
          <w:b/>
          <w:sz w:val="22"/>
          <w:szCs w:val="22"/>
        </w:rPr>
        <w:t>organe</w:t>
      </w:r>
      <w:r w:rsidRPr="00470662">
        <w:rPr>
          <w:rFonts w:ascii="Arial" w:hAnsi="Arial" w:cs="Arial"/>
          <w:b/>
          <w:sz w:val="22"/>
          <w:szCs w:val="22"/>
        </w:rPr>
        <w:t xml:space="preserve"> compétent</w:t>
      </w:r>
      <w:r>
        <w:rPr>
          <w:rFonts w:ascii="Arial" w:hAnsi="Arial" w:cs="Arial"/>
          <w:sz w:val="22"/>
          <w:szCs w:val="22"/>
        </w:rPr>
        <w:t xml:space="preserve"> pour la mise en œuvre de la </w:t>
      </w:r>
      <w:r w:rsidRPr="009B03C6">
        <w:rPr>
          <w:rFonts w:ascii="Arial" w:hAnsi="Arial" w:cs="Arial"/>
          <w:sz w:val="22"/>
          <w:szCs w:val="22"/>
        </w:rPr>
        <w:t>Convention</w:t>
      </w:r>
      <w:r>
        <w:rPr>
          <w:rFonts w:ascii="Arial" w:hAnsi="Arial" w:cs="Arial"/>
          <w:sz w:val="22"/>
          <w:szCs w:val="22"/>
        </w:rPr>
        <w:t xml:space="preserve"> de 2003 en Ukraine, Tchéquie et Grèce</w:t>
      </w:r>
      <w:r w:rsidR="00956698">
        <w:rPr>
          <w:rFonts w:ascii="Arial" w:hAnsi="Arial" w:cs="Arial"/>
          <w:sz w:val="22"/>
          <w:szCs w:val="22"/>
        </w:rPr>
        <w:t>. Alors que ce dernier a</w:t>
      </w:r>
      <w:r>
        <w:rPr>
          <w:rFonts w:ascii="Arial" w:hAnsi="Arial" w:cs="Arial"/>
          <w:sz w:val="22"/>
          <w:szCs w:val="22"/>
        </w:rPr>
        <w:t xml:space="preserve"> établi </w:t>
      </w:r>
      <w:r w:rsidR="00470662">
        <w:rPr>
          <w:rFonts w:ascii="Arial" w:hAnsi="Arial" w:cs="Arial"/>
          <w:sz w:val="22"/>
          <w:szCs w:val="22"/>
        </w:rPr>
        <w:t>une unité spécialisée</w:t>
      </w:r>
      <w:r w:rsidR="00956698">
        <w:rPr>
          <w:rFonts w:ascii="Arial" w:hAnsi="Arial" w:cs="Arial"/>
          <w:sz w:val="22"/>
          <w:szCs w:val="22"/>
        </w:rPr>
        <w:t xml:space="preserve"> pour la sauvegarde du patrimoine culturel immatériel</w:t>
      </w:r>
      <w:r w:rsidR="00470662">
        <w:rPr>
          <w:rFonts w:ascii="Arial" w:hAnsi="Arial" w:cs="Arial"/>
          <w:sz w:val="22"/>
          <w:szCs w:val="22"/>
        </w:rPr>
        <w:t xml:space="preserve"> au sein du ministère</w:t>
      </w:r>
      <w:r w:rsidR="00956698">
        <w:rPr>
          <w:rFonts w:ascii="Arial" w:hAnsi="Arial" w:cs="Arial"/>
          <w:sz w:val="22"/>
          <w:szCs w:val="22"/>
        </w:rPr>
        <w:t>,</w:t>
      </w:r>
      <w:r w:rsidR="00470662">
        <w:rPr>
          <w:rFonts w:ascii="Arial" w:hAnsi="Arial" w:cs="Arial"/>
          <w:sz w:val="22"/>
          <w:szCs w:val="22"/>
        </w:rPr>
        <w:t xml:space="preserve"> les deux autres États parties ont confié ce</w:t>
      </w:r>
      <w:r w:rsidR="00956698">
        <w:rPr>
          <w:rFonts w:ascii="Arial" w:hAnsi="Arial" w:cs="Arial"/>
          <w:sz w:val="22"/>
          <w:szCs w:val="22"/>
        </w:rPr>
        <w:t xml:space="preserve"> mandat</w:t>
      </w:r>
      <w:r w:rsidR="00470662">
        <w:rPr>
          <w:rFonts w:ascii="Arial" w:hAnsi="Arial" w:cs="Arial"/>
          <w:sz w:val="22"/>
          <w:szCs w:val="22"/>
        </w:rPr>
        <w:t xml:space="preserve"> à des instituts de folklore préexistants. En Grèce, un comité d’experts a </w:t>
      </w:r>
      <w:r w:rsidR="00470662" w:rsidRPr="00470662">
        <w:rPr>
          <w:rFonts w:ascii="Arial" w:hAnsi="Arial" w:cs="Arial"/>
          <w:sz w:val="22"/>
          <w:szCs w:val="22"/>
        </w:rPr>
        <w:t>également</w:t>
      </w:r>
      <w:r w:rsidR="00470662">
        <w:rPr>
          <w:rFonts w:ascii="Arial" w:hAnsi="Arial" w:cs="Arial"/>
          <w:sz w:val="22"/>
          <w:szCs w:val="22"/>
        </w:rPr>
        <w:t xml:space="preserve"> été établi afin </w:t>
      </w:r>
      <w:r w:rsidR="00956698">
        <w:rPr>
          <w:rFonts w:ascii="Arial" w:hAnsi="Arial" w:cs="Arial"/>
          <w:sz w:val="22"/>
          <w:szCs w:val="22"/>
        </w:rPr>
        <w:t xml:space="preserve">de </w:t>
      </w:r>
      <w:r w:rsidR="00470662">
        <w:rPr>
          <w:rFonts w:ascii="Arial" w:hAnsi="Arial" w:cs="Arial"/>
          <w:sz w:val="22"/>
          <w:szCs w:val="22"/>
        </w:rPr>
        <w:t xml:space="preserve">recommander et de prendre des </w:t>
      </w:r>
      <w:r w:rsidR="00470662" w:rsidRPr="009F624A">
        <w:rPr>
          <w:rFonts w:ascii="Arial" w:hAnsi="Arial" w:cs="Arial"/>
          <w:sz w:val="22"/>
          <w:szCs w:val="22"/>
        </w:rPr>
        <w:t>mesures de mise en œuvre de la Convention, alors</w:t>
      </w:r>
      <w:r w:rsidR="00470662">
        <w:rPr>
          <w:rFonts w:ascii="Arial" w:hAnsi="Arial" w:cs="Arial"/>
          <w:sz w:val="22"/>
          <w:szCs w:val="22"/>
        </w:rPr>
        <w:t xml:space="preserve"> qu’au Panama un Conseil inter-agences a été créé afin de coordonner les différentes actions ministérielles</w:t>
      </w:r>
      <w:r w:rsidR="00FC1F85">
        <w:rPr>
          <w:rFonts w:ascii="Arial" w:hAnsi="Arial" w:cs="Arial"/>
          <w:sz w:val="22"/>
          <w:szCs w:val="22"/>
        </w:rPr>
        <w:t xml:space="preserve"> et qu’en Ukraine, 11</w:t>
      </w:r>
      <w:r w:rsidR="00956698" w:rsidRPr="00D4732D">
        <w:rPr>
          <w:rFonts w:ascii="Arial" w:eastAsia="SimSun" w:hAnsi="Arial" w:cs="Arial"/>
          <w:sz w:val="22"/>
          <w:szCs w:val="22"/>
          <w:lang w:eastAsia="zh-CN"/>
        </w:rPr>
        <w:t> </w:t>
      </w:r>
      <w:r w:rsidR="00FC1F85">
        <w:rPr>
          <w:rFonts w:ascii="Arial" w:hAnsi="Arial" w:cs="Arial"/>
          <w:sz w:val="22"/>
          <w:szCs w:val="22"/>
        </w:rPr>
        <w:t xml:space="preserve">commissions régionales ont été créées. En Autriche et en Bosnie-Herzégovine, comme on peut s’y attendre dans des états fédéraux, la </w:t>
      </w:r>
      <w:r w:rsidR="00FC1F85" w:rsidRPr="00FC1F85">
        <w:rPr>
          <w:rFonts w:ascii="Arial" w:hAnsi="Arial" w:cs="Arial"/>
          <w:sz w:val="22"/>
          <w:szCs w:val="22"/>
        </w:rPr>
        <w:t>structure</w:t>
      </w:r>
      <w:r w:rsidR="00FC1F85">
        <w:rPr>
          <w:rFonts w:ascii="Arial" w:hAnsi="Arial" w:cs="Arial"/>
          <w:sz w:val="22"/>
          <w:szCs w:val="22"/>
        </w:rPr>
        <w:t xml:space="preserve"> est plus complexe : en Autriche, les gouvernements provinciaux sont compétents pour mettre en œuvre la </w:t>
      </w:r>
      <w:r w:rsidR="00FC1F85" w:rsidRPr="00FC1F85">
        <w:rPr>
          <w:rFonts w:ascii="Arial" w:hAnsi="Arial" w:cs="Arial"/>
          <w:sz w:val="22"/>
          <w:szCs w:val="22"/>
        </w:rPr>
        <w:t>Convention</w:t>
      </w:r>
      <w:r w:rsidR="00FC1F85">
        <w:rPr>
          <w:rFonts w:ascii="Arial" w:hAnsi="Arial" w:cs="Arial"/>
          <w:sz w:val="22"/>
          <w:szCs w:val="22"/>
        </w:rPr>
        <w:t xml:space="preserve"> et les autorités fédérales ont délégué la </w:t>
      </w:r>
      <w:r w:rsidR="00FC1F85" w:rsidRPr="00FC1F85">
        <w:rPr>
          <w:rFonts w:ascii="Arial" w:hAnsi="Arial" w:cs="Arial"/>
          <w:sz w:val="22"/>
          <w:szCs w:val="22"/>
          <w:lang w:eastAsia="en-US"/>
        </w:rPr>
        <w:t>responsabilité</w:t>
      </w:r>
      <w:r w:rsidR="00FC1F85">
        <w:rPr>
          <w:rFonts w:ascii="Arial" w:hAnsi="Arial" w:cs="Arial"/>
          <w:sz w:val="22"/>
          <w:szCs w:val="22"/>
        </w:rPr>
        <w:t xml:space="preserve"> </w:t>
      </w:r>
      <w:r w:rsidR="00FC1F85" w:rsidRPr="009F624A">
        <w:rPr>
          <w:rFonts w:ascii="Arial" w:hAnsi="Arial" w:cs="Arial"/>
          <w:sz w:val="22"/>
          <w:szCs w:val="22"/>
        </w:rPr>
        <w:t>générale à la Commission autrichienne pour l’UNESCO tandis que les ministères fédéraux participent à des actions transversales. La Bosnie-Herzégovine sépare ses activités selon ses deux principales régio</w:t>
      </w:r>
      <w:r w:rsidR="0006741E" w:rsidRPr="009F624A">
        <w:rPr>
          <w:rFonts w:ascii="Arial" w:hAnsi="Arial" w:cs="Arial"/>
          <w:sz w:val="22"/>
          <w:szCs w:val="22"/>
        </w:rPr>
        <w:t xml:space="preserve">ns géographiques (la République serbe de Bosnie </w:t>
      </w:r>
      <w:r w:rsidR="00FC1F85" w:rsidRPr="009F624A">
        <w:rPr>
          <w:rFonts w:ascii="Arial" w:hAnsi="Arial" w:cs="Arial"/>
          <w:sz w:val="22"/>
          <w:szCs w:val="22"/>
        </w:rPr>
        <w:t>et la Fédération de Bosnie-</w:t>
      </w:r>
      <w:r w:rsidR="003C655C" w:rsidRPr="009F624A">
        <w:rPr>
          <w:rFonts w:ascii="Arial" w:hAnsi="Arial" w:cs="Arial"/>
          <w:sz w:val="22"/>
          <w:szCs w:val="22"/>
        </w:rPr>
        <w:t>et-</w:t>
      </w:r>
      <w:r w:rsidR="00FC1F85" w:rsidRPr="009F624A">
        <w:rPr>
          <w:rFonts w:ascii="Arial" w:hAnsi="Arial" w:cs="Arial"/>
          <w:sz w:val="22"/>
          <w:szCs w:val="22"/>
        </w:rPr>
        <w:t xml:space="preserve">Herzégovine) : dans la première région, le Ministère de la culture </w:t>
      </w:r>
      <w:r w:rsidR="000427A2" w:rsidRPr="009F624A">
        <w:rPr>
          <w:rFonts w:ascii="Arial" w:hAnsi="Arial" w:cs="Arial"/>
          <w:sz w:val="22"/>
          <w:szCs w:val="22"/>
        </w:rPr>
        <w:t>est compétent</w:t>
      </w:r>
      <w:r w:rsidR="000427A2">
        <w:rPr>
          <w:rFonts w:ascii="Arial" w:hAnsi="Arial" w:cs="Arial"/>
          <w:sz w:val="22"/>
          <w:szCs w:val="22"/>
        </w:rPr>
        <w:t xml:space="preserve"> </w:t>
      </w:r>
      <w:r w:rsidR="00FC1F85">
        <w:rPr>
          <w:rFonts w:ascii="Arial" w:hAnsi="Arial" w:cs="Arial"/>
          <w:sz w:val="22"/>
          <w:szCs w:val="22"/>
        </w:rPr>
        <w:t xml:space="preserve">avec le soutien </w:t>
      </w:r>
      <w:r w:rsidR="000427A2">
        <w:rPr>
          <w:rFonts w:ascii="Arial" w:hAnsi="Arial" w:cs="Arial"/>
          <w:sz w:val="22"/>
          <w:szCs w:val="22"/>
        </w:rPr>
        <w:t>d’</w:t>
      </w:r>
      <w:r w:rsidR="00FC1F85">
        <w:rPr>
          <w:rFonts w:ascii="Arial" w:hAnsi="Arial" w:cs="Arial"/>
          <w:sz w:val="22"/>
          <w:szCs w:val="22"/>
        </w:rPr>
        <w:t xml:space="preserve">une </w:t>
      </w:r>
      <w:r w:rsidR="00FC1F85" w:rsidRPr="00FC1F85">
        <w:rPr>
          <w:rFonts w:ascii="Arial" w:hAnsi="Arial" w:cs="Arial"/>
          <w:sz w:val="22"/>
          <w:szCs w:val="22"/>
        </w:rPr>
        <w:t>commission</w:t>
      </w:r>
      <w:r w:rsidR="000427A2">
        <w:rPr>
          <w:rFonts w:ascii="Arial" w:hAnsi="Arial" w:cs="Arial"/>
          <w:sz w:val="22"/>
          <w:szCs w:val="22"/>
        </w:rPr>
        <w:t xml:space="preserve"> d’experts et du</w:t>
      </w:r>
      <w:r w:rsidR="00FC1F85">
        <w:rPr>
          <w:rFonts w:ascii="Arial" w:hAnsi="Arial" w:cs="Arial"/>
          <w:sz w:val="22"/>
          <w:szCs w:val="22"/>
        </w:rPr>
        <w:t xml:space="preserve"> musée fédéral ; dans la seconde région</w:t>
      </w:r>
      <w:r w:rsidR="000427A2">
        <w:rPr>
          <w:rFonts w:ascii="Arial" w:hAnsi="Arial" w:cs="Arial"/>
          <w:sz w:val="22"/>
          <w:szCs w:val="22"/>
        </w:rPr>
        <w:t>,</w:t>
      </w:r>
      <w:r w:rsidR="00FC1F85">
        <w:rPr>
          <w:rFonts w:ascii="Arial" w:hAnsi="Arial" w:cs="Arial"/>
          <w:sz w:val="22"/>
          <w:szCs w:val="22"/>
        </w:rPr>
        <w:t xml:space="preserve"> les ministères cantonaux de la culture </w:t>
      </w:r>
      <w:r w:rsidR="000427A2">
        <w:rPr>
          <w:rFonts w:ascii="Arial" w:hAnsi="Arial" w:cs="Arial"/>
          <w:sz w:val="22"/>
          <w:szCs w:val="22"/>
        </w:rPr>
        <w:t xml:space="preserve">ont la </w:t>
      </w:r>
      <w:r w:rsidR="000427A2" w:rsidRPr="000427A2">
        <w:rPr>
          <w:rFonts w:ascii="Arial" w:hAnsi="Arial" w:cs="Arial"/>
          <w:sz w:val="22"/>
          <w:szCs w:val="22"/>
          <w:lang w:eastAsia="en-US"/>
        </w:rPr>
        <w:t>responsabilité</w:t>
      </w:r>
      <w:r w:rsidR="000427A2">
        <w:rPr>
          <w:rFonts w:ascii="Arial" w:hAnsi="Arial" w:cs="Arial"/>
          <w:sz w:val="22"/>
          <w:szCs w:val="22"/>
        </w:rPr>
        <w:t xml:space="preserve"> générale de la mise en œuvre et l’Institut </w:t>
      </w:r>
      <w:r w:rsidR="00956698">
        <w:rPr>
          <w:rFonts w:ascii="Arial" w:hAnsi="Arial" w:cs="Arial"/>
          <w:sz w:val="22"/>
          <w:szCs w:val="22"/>
        </w:rPr>
        <w:t>pour</w:t>
      </w:r>
      <w:r w:rsidR="000427A2">
        <w:rPr>
          <w:rFonts w:ascii="Arial" w:hAnsi="Arial" w:cs="Arial"/>
          <w:sz w:val="22"/>
          <w:szCs w:val="22"/>
        </w:rPr>
        <w:t xml:space="preserve"> la protection des monuments entreprend les travaux de </w:t>
      </w:r>
      <w:r w:rsidR="000427A2" w:rsidRPr="000427A2">
        <w:rPr>
          <w:rFonts w:ascii="Arial" w:hAnsi="Arial" w:cs="Arial"/>
          <w:sz w:val="22"/>
          <w:szCs w:val="22"/>
        </w:rPr>
        <w:t>recherche</w:t>
      </w:r>
      <w:r w:rsidR="000427A2">
        <w:rPr>
          <w:rFonts w:ascii="Arial" w:hAnsi="Arial" w:cs="Arial"/>
          <w:sz w:val="22"/>
          <w:szCs w:val="22"/>
        </w:rPr>
        <w:t xml:space="preserve"> et de </w:t>
      </w:r>
      <w:r w:rsidR="000427A2" w:rsidRPr="000427A2">
        <w:rPr>
          <w:rFonts w:ascii="Arial" w:hAnsi="Arial" w:cs="Arial"/>
          <w:sz w:val="22"/>
          <w:szCs w:val="22"/>
        </w:rPr>
        <w:t>documentation</w:t>
      </w:r>
      <w:r w:rsidR="000427A2">
        <w:rPr>
          <w:rFonts w:ascii="Arial" w:hAnsi="Arial" w:cs="Arial"/>
          <w:sz w:val="22"/>
          <w:szCs w:val="22"/>
        </w:rPr>
        <w:t xml:space="preserve"> ; il est à noter que la conséquence de cette </w:t>
      </w:r>
      <w:r w:rsidR="000427A2" w:rsidRPr="000427A2">
        <w:rPr>
          <w:rFonts w:ascii="Arial" w:hAnsi="Arial" w:cs="Arial"/>
          <w:sz w:val="22"/>
          <w:szCs w:val="22"/>
        </w:rPr>
        <w:t>organisation</w:t>
      </w:r>
      <w:r w:rsidR="000427A2">
        <w:rPr>
          <w:rFonts w:ascii="Arial" w:hAnsi="Arial" w:cs="Arial"/>
          <w:sz w:val="22"/>
          <w:szCs w:val="22"/>
        </w:rPr>
        <w:t xml:space="preserve"> complexe est que les musées et autres </w:t>
      </w:r>
      <w:r w:rsidR="000427A2" w:rsidRPr="000427A2">
        <w:rPr>
          <w:rFonts w:ascii="Arial" w:hAnsi="Arial" w:cs="Arial"/>
          <w:sz w:val="22"/>
          <w:szCs w:val="22"/>
        </w:rPr>
        <w:t>institutions</w:t>
      </w:r>
      <w:r w:rsidR="000427A2">
        <w:rPr>
          <w:rFonts w:ascii="Arial" w:hAnsi="Arial" w:cs="Arial"/>
          <w:sz w:val="22"/>
          <w:szCs w:val="22"/>
        </w:rPr>
        <w:t xml:space="preserve"> culturelles ainsi que les organisations non gouvernementales sont </w:t>
      </w:r>
      <w:r w:rsidR="000427A2" w:rsidRPr="00D4732D">
        <w:rPr>
          <w:rFonts w:ascii="Arial" w:hAnsi="Arial" w:cs="Arial"/>
          <w:i/>
          <w:sz w:val="22"/>
          <w:szCs w:val="22"/>
        </w:rPr>
        <w:t>de facto</w:t>
      </w:r>
      <w:r w:rsidR="000427A2">
        <w:rPr>
          <w:rFonts w:ascii="Arial" w:hAnsi="Arial" w:cs="Arial"/>
          <w:sz w:val="22"/>
          <w:szCs w:val="22"/>
        </w:rPr>
        <w:t xml:space="preserve"> les organes en charge de la mise en œuvre de la </w:t>
      </w:r>
      <w:r w:rsidR="000427A2" w:rsidRPr="000427A2">
        <w:rPr>
          <w:rFonts w:ascii="Arial" w:hAnsi="Arial" w:cs="Arial"/>
          <w:sz w:val="22"/>
          <w:szCs w:val="22"/>
        </w:rPr>
        <w:t>Convention</w:t>
      </w:r>
      <w:r w:rsidR="00F43449">
        <w:rPr>
          <w:rFonts w:ascii="Arial" w:hAnsi="Arial" w:cs="Arial"/>
          <w:sz w:val="22"/>
          <w:szCs w:val="22"/>
        </w:rPr>
        <w:t xml:space="preserve"> sur le terrain.</w:t>
      </w:r>
    </w:p>
    <w:p w14:paraId="5070C6EC" w14:textId="759299A2" w:rsidR="000427A2" w:rsidRDefault="001E28DD" w:rsidP="00866B1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Un autre aspect notable des </w:t>
      </w:r>
      <w:r w:rsidRPr="001E28DD">
        <w:rPr>
          <w:rFonts w:ascii="Arial" w:hAnsi="Arial" w:cs="Arial"/>
          <w:sz w:val="22"/>
          <w:szCs w:val="22"/>
        </w:rPr>
        <w:t>dispositions</w:t>
      </w:r>
      <w:r>
        <w:rPr>
          <w:rFonts w:ascii="Arial" w:hAnsi="Arial" w:cs="Arial"/>
          <w:sz w:val="22"/>
          <w:szCs w:val="22"/>
        </w:rPr>
        <w:t xml:space="preserve"> décrites ci-dessus est la </w:t>
      </w:r>
      <w:r w:rsidRPr="001E28DD">
        <w:rPr>
          <w:rFonts w:ascii="Arial" w:hAnsi="Arial" w:cs="Arial"/>
          <w:sz w:val="22"/>
          <w:szCs w:val="22"/>
        </w:rPr>
        <w:t>participation</w:t>
      </w:r>
      <w:r>
        <w:rPr>
          <w:rFonts w:ascii="Arial" w:hAnsi="Arial" w:cs="Arial"/>
          <w:sz w:val="22"/>
          <w:szCs w:val="22"/>
        </w:rPr>
        <w:t xml:space="preserve"> directe, en Autriche et au Panama, de ministères autres que celui de la culture à la mise en œuvre </w:t>
      </w:r>
      <w:r w:rsidR="00DD1856">
        <w:rPr>
          <w:rFonts w:ascii="Arial" w:hAnsi="Arial" w:cs="Arial"/>
          <w:sz w:val="22"/>
          <w:szCs w:val="22"/>
        </w:rPr>
        <w:t xml:space="preserve">de la </w:t>
      </w:r>
      <w:r w:rsidR="00DD1856" w:rsidRPr="00DD1856">
        <w:rPr>
          <w:rFonts w:ascii="Arial" w:hAnsi="Arial" w:cs="Arial"/>
          <w:sz w:val="22"/>
          <w:szCs w:val="22"/>
        </w:rPr>
        <w:t>Convention</w:t>
      </w:r>
      <w:r w:rsidR="00DD1856">
        <w:rPr>
          <w:rFonts w:ascii="Arial" w:hAnsi="Arial" w:cs="Arial"/>
          <w:sz w:val="22"/>
          <w:szCs w:val="22"/>
        </w:rPr>
        <w:t>, y compris les ministères œuvrant dans les domaines liés à l’agriculture, la gestion forestière, la santé, l’</w:t>
      </w:r>
      <w:r w:rsidR="00DD1856" w:rsidRPr="00DD1856">
        <w:rPr>
          <w:rFonts w:ascii="Arial" w:hAnsi="Arial" w:cs="Arial"/>
          <w:sz w:val="22"/>
          <w:szCs w:val="22"/>
        </w:rPr>
        <w:t>éducation</w:t>
      </w:r>
      <w:r w:rsidR="00DD1856">
        <w:rPr>
          <w:rFonts w:ascii="Arial" w:hAnsi="Arial" w:cs="Arial"/>
          <w:sz w:val="22"/>
          <w:szCs w:val="22"/>
        </w:rPr>
        <w:t xml:space="preserve"> bilingue, l’</w:t>
      </w:r>
      <w:r w:rsidR="00DD1856" w:rsidRPr="00DD1856">
        <w:rPr>
          <w:rFonts w:ascii="Arial" w:hAnsi="Arial" w:cs="Arial"/>
          <w:sz w:val="22"/>
          <w:szCs w:val="22"/>
        </w:rPr>
        <w:t>environnement</w:t>
      </w:r>
      <w:r w:rsidR="00DD1856">
        <w:rPr>
          <w:rFonts w:ascii="Arial" w:hAnsi="Arial" w:cs="Arial"/>
          <w:sz w:val="22"/>
          <w:szCs w:val="22"/>
        </w:rPr>
        <w:t xml:space="preserve"> et ses ressources, les affaires </w:t>
      </w:r>
      <w:r w:rsidR="00DD1856" w:rsidRPr="00DD1856">
        <w:rPr>
          <w:rFonts w:ascii="Arial" w:hAnsi="Arial" w:cs="Arial"/>
          <w:sz w:val="22"/>
          <w:szCs w:val="22"/>
        </w:rPr>
        <w:t>autochtones</w:t>
      </w:r>
      <w:r w:rsidR="00DD1856">
        <w:rPr>
          <w:rFonts w:ascii="Arial" w:hAnsi="Arial" w:cs="Arial"/>
          <w:sz w:val="22"/>
          <w:szCs w:val="22"/>
        </w:rPr>
        <w:t xml:space="preserve"> et le </w:t>
      </w:r>
      <w:r w:rsidR="00DD1856" w:rsidRPr="00DD1856">
        <w:rPr>
          <w:rFonts w:ascii="Arial" w:hAnsi="Arial" w:cs="Arial"/>
          <w:sz w:val="22"/>
          <w:szCs w:val="22"/>
        </w:rPr>
        <w:t>développement</w:t>
      </w:r>
      <w:r w:rsidR="00DD1856">
        <w:rPr>
          <w:rFonts w:ascii="Arial" w:hAnsi="Arial" w:cs="Arial"/>
          <w:sz w:val="22"/>
          <w:szCs w:val="22"/>
        </w:rPr>
        <w:t xml:space="preserve"> social ; ce qui dém</w:t>
      </w:r>
      <w:r w:rsidR="00795E3B">
        <w:rPr>
          <w:rFonts w:ascii="Arial" w:hAnsi="Arial" w:cs="Arial"/>
          <w:sz w:val="22"/>
          <w:szCs w:val="22"/>
        </w:rPr>
        <w:t xml:space="preserve">ontre que, s’agissant de la prise </w:t>
      </w:r>
      <w:r w:rsidR="00795E3B">
        <w:rPr>
          <w:rFonts w:ascii="Arial" w:hAnsi="Arial" w:cs="Arial"/>
          <w:sz w:val="22"/>
          <w:szCs w:val="22"/>
        </w:rPr>
        <w:lastRenderedPageBreak/>
        <w:t xml:space="preserve">de décision et de la </w:t>
      </w:r>
      <w:r w:rsidR="00795E3B" w:rsidRPr="00DD1856">
        <w:rPr>
          <w:rFonts w:ascii="Arial" w:hAnsi="Arial" w:cs="Arial"/>
          <w:sz w:val="22"/>
          <w:szCs w:val="22"/>
        </w:rPr>
        <w:t>réglementation</w:t>
      </w:r>
      <w:r w:rsidR="00795E3B">
        <w:rPr>
          <w:rFonts w:ascii="Arial" w:hAnsi="Arial" w:cs="Arial"/>
          <w:sz w:val="22"/>
          <w:szCs w:val="22"/>
        </w:rPr>
        <w:t xml:space="preserve"> en matière de patrimoine culturel immatériel, </w:t>
      </w:r>
      <w:r w:rsidR="00DD1856">
        <w:rPr>
          <w:rFonts w:ascii="Arial" w:hAnsi="Arial" w:cs="Arial"/>
          <w:sz w:val="22"/>
          <w:szCs w:val="22"/>
        </w:rPr>
        <w:t xml:space="preserve">certains acteurs tentent d’accroitre la </w:t>
      </w:r>
      <w:r w:rsidR="00DD1856" w:rsidRPr="00771A2D">
        <w:rPr>
          <w:rFonts w:ascii="Arial" w:hAnsi="Arial" w:cs="Arial"/>
          <w:b/>
          <w:sz w:val="22"/>
          <w:szCs w:val="22"/>
        </w:rPr>
        <w:t>coopération intersectorielle des organes gouvernementaux</w:t>
      </w:r>
      <w:r w:rsidR="00795E3B">
        <w:rPr>
          <w:rFonts w:ascii="Arial" w:hAnsi="Arial" w:cs="Arial"/>
          <w:sz w:val="22"/>
          <w:szCs w:val="22"/>
        </w:rPr>
        <w:t>.</w:t>
      </w:r>
    </w:p>
    <w:p w14:paraId="36323513" w14:textId="3D9B53EF" w:rsidR="00DD1856" w:rsidRPr="009F624A" w:rsidRDefault="00795E3B" w:rsidP="00866B1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En ce qui concerne</w:t>
      </w:r>
      <w:r w:rsidR="00DD1856">
        <w:rPr>
          <w:rFonts w:ascii="Arial" w:hAnsi="Arial" w:cs="Arial"/>
          <w:sz w:val="22"/>
          <w:szCs w:val="22"/>
        </w:rPr>
        <w:t xml:space="preserve"> la </w:t>
      </w:r>
      <w:r w:rsidR="00DD1856" w:rsidRPr="00DD1856">
        <w:rPr>
          <w:rFonts w:ascii="Arial" w:hAnsi="Arial" w:cs="Arial"/>
          <w:b/>
          <w:sz w:val="22"/>
          <w:szCs w:val="22"/>
        </w:rPr>
        <w:t>formation à la gestion du patrimoine culturel immatériel</w:t>
      </w:r>
      <w:r w:rsidR="00DD1856">
        <w:rPr>
          <w:rFonts w:ascii="Arial" w:hAnsi="Arial" w:cs="Arial"/>
          <w:sz w:val="22"/>
          <w:szCs w:val="22"/>
        </w:rPr>
        <w:t xml:space="preserve">, </w:t>
      </w:r>
      <w:r w:rsidR="002063C1">
        <w:rPr>
          <w:rFonts w:ascii="Arial" w:hAnsi="Arial" w:cs="Arial"/>
          <w:sz w:val="22"/>
          <w:szCs w:val="22"/>
        </w:rPr>
        <w:t xml:space="preserve">aucun des États parties faisant rapport ne dispose à ce jour d’organe spécifique dédié à cette tâche. </w:t>
      </w:r>
      <w:r w:rsidR="002063C1" w:rsidRPr="002063C1">
        <w:rPr>
          <w:rFonts w:ascii="Arial" w:hAnsi="Arial" w:cs="Arial"/>
          <w:sz w:val="22"/>
          <w:szCs w:val="22"/>
        </w:rPr>
        <w:t>Toutefois</w:t>
      </w:r>
      <w:r w:rsidR="002063C1">
        <w:rPr>
          <w:rFonts w:ascii="Arial" w:hAnsi="Arial" w:cs="Arial"/>
          <w:sz w:val="22"/>
          <w:szCs w:val="22"/>
        </w:rPr>
        <w:t xml:space="preserve">, les instances en charge de la mise en œuvre de la </w:t>
      </w:r>
      <w:r w:rsidR="002063C1" w:rsidRPr="002063C1">
        <w:rPr>
          <w:rFonts w:ascii="Arial" w:hAnsi="Arial" w:cs="Arial"/>
          <w:sz w:val="22"/>
          <w:szCs w:val="22"/>
        </w:rPr>
        <w:t>Convention</w:t>
      </w:r>
      <w:r w:rsidR="002063C1">
        <w:rPr>
          <w:rFonts w:ascii="Arial" w:hAnsi="Arial" w:cs="Arial"/>
          <w:sz w:val="22"/>
          <w:szCs w:val="22"/>
        </w:rPr>
        <w:t xml:space="preserve">, les bureaux de l’UNESCO et les commissions nationales ont soit financé soit organisé des actions de renforcement des capacités sur la </w:t>
      </w:r>
      <w:r w:rsidR="002063C1" w:rsidRPr="002063C1">
        <w:rPr>
          <w:rFonts w:ascii="Arial" w:hAnsi="Arial" w:cs="Arial"/>
          <w:sz w:val="22"/>
          <w:szCs w:val="22"/>
        </w:rPr>
        <w:t>Convention</w:t>
      </w:r>
      <w:r w:rsidR="002063C1">
        <w:rPr>
          <w:rFonts w:ascii="Arial" w:hAnsi="Arial" w:cs="Arial"/>
          <w:sz w:val="22"/>
          <w:szCs w:val="22"/>
        </w:rPr>
        <w:t xml:space="preserve"> de 2003 à destination des agents du </w:t>
      </w:r>
      <w:r w:rsidR="002063C1" w:rsidRPr="002063C1">
        <w:rPr>
          <w:rFonts w:ascii="Arial" w:hAnsi="Arial" w:cs="Arial"/>
          <w:sz w:val="22"/>
          <w:szCs w:val="22"/>
        </w:rPr>
        <w:t>gouvernement</w:t>
      </w:r>
      <w:r w:rsidR="002063C1">
        <w:rPr>
          <w:rFonts w:ascii="Arial" w:hAnsi="Arial" w:cs="Arial"/>
          <w:sz w:val="22"/>
          <w:szCs w:val="22"/>
        </w:rPr>
        <w:t xml:space="preserve">, des personnels universitaires, des chercheurs, des praticiens, des détenteurs, des membres des organisations non gouvernementales, des communautés locales et d’autres acteurs. Dans certains cas, ces actions s’insèrent dans le cadre de la </w:t>
      </w:r>
      <w:r w:rsidR="002063C1" w:rsidRPr="002063C1">
        <w:rPr>
          <w:rFonts w:ascii="Arial" w:hAnsi="Arial" w:cs="Arial"/>
          <w:sz w:val="22"/>
          <w:szCs w:val="22"/>
        </w:rPr>
        <w:t>stratégie</w:t>
      </w:r>
      <w:r w:rsidR="002063C1">
        <w:rPr>
          <w:rFonts w:ascii="Arial" w:hAnsi="Arial" w:cs="Arial"/>
          <w:sz w:val="22"/>
          <w:szCs w:val="22"/>
        </w:rPr>
        <w:t xml:space="preserve"> globale de renforcement des capacités de l’UNESCO (en Bosnie-Herzégovine et au Panama), tandis que dans d’autres cas (comme </w:t>
      </w:r>
      <w:r w:rsidR="002063C1" w:rsidRPr="002063C1">
        <w:rPr>
          <w:rFonts w:ascii="Arial" w:hAnsi="Arial" w:cs="Arial"/>
          <w:sz w:val="22"/>
          <w:szCs w:val="22"/>
        </w:rPr>
        <w:t>par exemple</w:t>
      </w:r>
      <w:r w:rsidR="002063C1">
        <w:rPr>
          <w:rFonts w:ascii="Arial" w:hAnsi="Arial" w:cs="Arial"/>
          <w:sz w:val="22"/>
          <w:szCs w:val="22"/>
        </w:rPr>
        <w:t xml:space="preserve"> en Autriche, en Grèce et en Ukraine)</w:t>
      </w:r>
      <w:r w:rsidR="00015983">
        <w:rPr>
          <w:rFonts w:ascii="Arial" w:hAnsi="Arial" w:cs="Arial"/>
          <w:sz w:val="22"/>
          <w:szCs w:val="22"/>
        </w:rPr>
        <w:t>,</w:t>
      </w:r>
      <w:r w:rsidR="002063C1">
        <w:rPr>
          <w:rFonts w:ascii="Arial" w:hAnsi="Arial" w:cs="Arial"/>
          <w:sz w:val="22"/>
          <w:szCs w:val="22"/>
        </w:rPr>
        <w:t xml:space="preserve"> elles sont d’inspiration locale. Elles semblent être essentiellement destinées à former le personnel local et régional qui sera ensuite en mesure de diffuser ses nouvelles </w:t>
      </w:r>
      <w:r w:rsidR="002063C1" w:rsidRPr="009F624A">
        <w:rPr>
          <w:rFonts w:ascii="Arial" w:hAnsi="Arial" w:cs="Arial"/>
          <w:sz w:val="22"/>
          <w:szCs w:val="22"/>
        </w:rPr>
        <w:t>connaissances au niveau local. Les universités commencent également à intégrer l’enseignement du patrimoine culture</w:t>
      </w:r>
      <w:r w:rsidRPr="009F624A">
        <w:rPr>
          <w:rFonts w:ascii="Arial" w:hAnsi="Arial" w:cs="Arial"/>
          <w:sz w:val="22"/>
          <w:szCs w:val="22"/>
        </w:rPr>
        <w:t>l immatériel aux cours concernés</w:t>
      </w:r>
      <w:r w:rsidR="002063C1" w:rsidRPr="009F624A">
        <w:rPr>
          <w:rFonts w:ascii="Arial" w:hAnsi="Arial" w:cs="Arial"/>
          <w:sz w:val="22"/>
          <w:szCs w:val="22"/>
        </w:rPr>
        <w:t xml:space="preserve"> et un cours spécialisé a récemment été créé par l’Uni</w:t>
      </w:r>
      <w:r w:rsidR="00F43449">
        <w:rPr>
          <w:rFonts w:ascii="Arial" w:hAnsi="Arial" w:cs="Arial"/>
          <w:sz w:val="22"/>
          <w:szCs w:val="22"/>
        </w:rPr>
        <w:t>versité de Vienne en Autriche.</w:t>
      </w:r>
    </w:p>
    <w:p w14:paraId="4028345B" w14:textId="10466093" w:rsidR="00953229" w:rsidRPr="009F624A" w:rsidRDefault="00294EB0" w:rsidP="00953229">
      <w:pPr>
        <w:numPr>
          <w:ilvl w:val="0"/>
          <w:numId w:val="14"/>
        </w:numPr>
        <w:autoSpaceDE w:val="0"/>
        <w:autoSpaceDN w:val="0"/>
        <w:adjustRightInd w:val="0"/>
        <w:spacing w:after="120"/>
        <w:ind w:left="567" w:hanging="567"/>
        <w:jc w:val="both"/>
        <w:rPr>
          <w:rFonts w:ascii="Arial" w:hAnsi="Arial" w:cs="Arial"/>
          <w:sz w:val="22"/>
          <w:szCs w:val="22"/>
        </w:rPr>
      </w:pPr>
      <w:r w:rsidRPr="009F624A">
        <w:rPr>
          <w:rFonts w:ascii="Arial" w:hAnsi="Arial" w:cs="Arial"/>
          <w:sz w:val="22"/>
          <w:szCs w:val="22"/>
        </w:rPr>
        <w:t xml:space="preserve">S’agissant de la </w:t>
      </w:r>
      <w:r w:rsidRPr="009F624A">
        <w:rPr>
          <w:rFonts w:ascii="Arial" w:hAnsi="Arial" w:cs="Arial"/>
          <w:b/>
          <w:sz w:val="22"/>
          <w:szCs w:val="22"/>
        </w:rPr>
        <w:t>documentation</w:t>
      </w:r>
      <w:r w:rsidRPr="009F624A">
        <w:rPr>
          <w:rFonts w:ascii="Arial" w:hAnsi="Arial" w:cs="Arial"/>
          <w:sz w:val="22"/>
          <w:szCs w:val="22"/>
        </w:rPr>
        <w:t xml:space="preserve"> liée au patrimoine culturel immatériel, la situation est assez contrastée entre des pays comme la Bosnie-Herzég</w:t>
      </w:r>
      <w:r w:rsidR="0006741E" w:rsidRPr="009F624A">
        <w:rPr>
          <w:rFonts w:ascii="Arial" w:hAnsi="Arial" w:cs="Arial"/>
          <w:sz w:val="22"/>
          <w:szCs w:val="22"/>
        </w:rPr>
        <w:t>ovine (pour la République serbe de Bosnie</w:t>
      </w:r>
      <w:r w:rsidRPr="009F624A">
        <w:rPr>
          <w:rFonts w:ascii="Arial" w:hAnsi="Arial" w:cs="Arial"/>
          <w:sz w:val="22"/>
          <w:szCs w:val="22"/>
        </w:rPr>
        <w:t>) et la Grèce, qui mentionnent des institutions dédiées à la collecte et/ou à la conservation</w:t>
      </w:r>
      <w:r w:rsidR="00795E3B" w:rsidRPr="009F624A">
        <w:rPr>
          <w:rFonts w:ascii="Arial" w:hAnsi="Arial" w:cs="Arial"/>
          <w:sz w:val="22"/>
          <w:szCs w:val="22"/>
        </w:rPr>
        <w:t xml:space="preserve"> de matériels</w:t>
      </w:r>
      <w:r w:rsidRPr="009F624A">
        <w:rPr>
          <w:rFonts w:ascii="Arial" w:hAnsi="Arial" w:cs="Arial"/>
          <w:sz w:val="22"/>
          <w:szCs w:val="22"/>
        </w:rPr>
        <w:t xml:space="preserve"> </w:t>
      </w:r>
      <w:r w:rsidR="00795E3B" w:rsidRPr="009F624A">
        <w:rPr>
          <w:rFonts w:ascii="Arial" w:hAnsi="Arial" w:cs="Arial"/>
          <w:sz w:val="22"/>
          <w:szCs w:val="22"/>
        </w:rPr>
        <w:t>documentaires</w:t>
      </w:r>
      <w:r w:rsidRPr="009F624A">
        <w:rPr>
          <w:rFonts w:ascii="Arial" w:hAnsi="Arial" w:cs="Arial"/>
          <w:sz w:val="22"/>
          <w:szCs w:val="22"/>
        </w:rPr>
        <w:t xml:space="preserve"> sur le patrimoine culturel immatériel (telles que le musée national ou le principal institut de fo</w:t>
      </w:r>
      <w:r w:rsidR="00795E3B" w:rsidRPr="009F624A">
        <w:rPr>
          <w:rFonts w:ascii="Arial" w:hAnsi="Arial" w:cs="Arial"/>
          <w:sz w:val="22"/>
          <w:szCs w:val="22"/>
        </w:rPr>
        <w:t>lklore), et l’Ukraine où</w:t>
      </w:r>
      <w:r w:rsidRPr="009F624A">
        <w:rPr>
          <w:rFonts w:ascii="Arial" w:hAnsi="Arial" w:cs="Arial"/>
          <w:sz w:val="22"/>
          <w:szCs w:val="22"/>
        </w:rPr>
        <w:t xml:space="preserve"> un centre </w:t>
      </w:r>
      <w:r w:rsidR="00795E3B" w:rsidRPr="009F624A">
        <w:rPr>
          <w:rFonts w:ascii="Arial" w:hAnsi="Arial" w:cs="Arial"/>
          <w:sz w:val="22"/>
          <w:szCs w:val="22"/>
        </w:rPr>
        <w:t xml:space="preserve">national </w:t>
      </w:r>
      <w:r w:rsidRPr="009F624A">
        <w:rPr>
          <w:rFonts w:ascii="Arial" w:hAnsi="Arial" w:cs="Arial"/>
          <w:sz w:val="22"/>
          <w:szCs w:val="22"/>
        </w:rPr>
        <w:t xml:space="preserve">des études culturelles accorde également un soutien scientifique et méthodologique à l’instance en charge de la mise en œuvre de la Convention dans le pays. En Autriche et en Bosnie-Herzégovine (pour la </w:t>
      </w:r>
      <w:r w:rsidR="003C655C" w:rsidRPr="009F624A">
        <w:rPr>
          <w:rFonts w:ascii="Arial" w:hAnsi="Arial" w:cs="Arial"/>
          <w:sz w:val="22"/>
          <w:szCs w:val="22"/>
        </w:rPr>
        <w:t>Fédération</w:t>
      </w:r>
      <w:r w:rsidRPr="009F624A">
        <w:rPr>
          <w:rFonts w:ascii="Arial" w:hAnsi="Arial" w:cs="Arial"/>
          <w:sz w:val="22"/>
          <w:szCs w:val="22"/>
        </w:rPr>
        <w:t xml:space="preserve"> de Bosnie-</w:t>
      </w:r>
      <w:r w:rsidR="003C655C" w:rsidRPr="009F624A">
        <w:rPr>
          <w:rFonts w:ascii="Arial" w:hAnsi="Arial" w:cs="Arial"/>
          <w:sz w:val="22"/>
          <w:szCs w:val="22"/>
        </w:rPr>
        <w:t>et-</w:t>
      </w:r>
      <w:r w:rsidRPr="009F624A">
        <w:rPr>
          <w:rFonts w:ascii="Arial" w:hAnsi="Arial" w:cs="Arial"/>
          <w:sz w:val="22"/>
          <w:szCs w:val="22"/>
        </w:rPr>
        <w:t>Herzégovine), il est fait état d’un certain nombre d’institutions qui conservent la documentation sur le patrimoine culturel immatériel</w:t>
      </w:r>
      <w:r w:rsidR="00015983" w:rsidRPr="009F624A">
        <w:rPr>
          <w:rFonts w:ascii="Arial" w:hAnsi="Arial" w:cs="Arial"/>
          <w:sz w:val="22"/>
          <w:szCs w:val="22"/>
        </w:rPr>
        <w:t> :</w:t>
      </w:r>
      <w:r w:rsidRPr="009F624A">
        <w:rPr>
          <w:rFonts w:ascii="Arial" w:hAnsi="Arial" w:cs="Arial"/>
          <w:sz w:val="22"/>
          <w:szCs w:val="22"/>
        </w:rPr>
        <w:t xml:space="preserve"> dans la plupart des cas il s’agit d’instituts </w:t>
      </w:r>
      <w:r w:rsidR="00795E3B" w:rsidRPr="009F624A">
        <w:rPr>
          <w:rFonts w:ascii="Arial" w:hAnsi="Arial" w:cs="Arial"/>
          <w:sz w:val="22"/>
          <w:szCs w:val="22"/>
        </w:rPr>
        <w:t>ethnographiques nationaux</w:t>
      </w:r>
      <w:r w:rsidRPr="009F624A">
        <w:rPr>
          <w:rFonts w:ascii="Arial" w:hAnsi="Arial" w:cs="Arial"/>
          <w:sz w:val="22"/>
          <w:szCs w:val="22"/>
        </w:rPr>
        <w:t xml:space="preserve"> ou d’instituts de fo</w:t>
      </w:r>
      <w:r w:rsidR="00953229" w:rsidRPr="009F624A">
        <w:rPr>
          <w:rFonts w:ascii="Arial" w:hAnsi="Arial" w:cs="Arial"/>
          <w:sz w:val="22"/>
          <w:szCs w:val="22"/>
        </w:rPr>
        <w:t>lklore, de centres folkloriques</w:t>
      </w:r>
      <w:r w:rsidRPr="009F624A">
        <w:rPr>
          <w:rFonts w:ascii="Arial" w:hAnsi="Arial" w:cs="Arial"/>
          <w:sz w:val="22"/>
          <w:szCs w:val="22"/>
        </w:rPr>
        <w:t xml:space="preserve"> </w:t>
      </w:r>
      <w:r w:rsidR="00953229" w:rsidRPr="009F624A">
        <w:rPr>
          <w:rFonts w:ascii="Arial" w:hAnsi="Arial" w:cs="Arial"/>
          <w:sz w:val="22"/>
          <w:szCs w:val="22"/>
        </w:rPr>
        <w:t xml:space="preserve">et </w:t>
      </w:r>
      <w:r w:rsidRPr="009F624A">
        <w:rPr>
          <w:rFonts w:ascii="Arial" w:hAnsi="Arial" w:cs="Arial"/>
          <w:sz w:val="22"/>
          <w:szCs w:val="22"/>
        </w:rPr>
        <w:t xml:space="preserve">d’archives et de musées spécialisés mais cette tâche revient également à des associations culturelles, à des centres consacrés à des formes particulières de patrimoine (p. ex. </w:t>
      </w:r>
      <w:r w:rsidR="00953229" w:rsidRPr="009F624A">
        <w:rPr>
          <w:rFonts w:ascii="Arial" w:hAnsi="Arial" w:cs="Arial"/>
          <w:sz w:val="22"/>
          <w:szCs w:val="22"/>
        </w:rPr>
        <w:t xml:space="preserve">la guérison traditionnelle) et à des institutions de niveau provincial dans un état fédéral. Les informations détenues sont en grande partie mises à disposition du public et, à cette fin, ont été numérisées en Autriche, en Bosnie-Herzégovine et en Grèce. Il est précisé par le Panama que l’instrument créé pour sauvegarder le patrimoine culturel immatériel, à savoir le Projet de sauvegarde du patrimoine culturel immatériel, a le potentiel de devenir un organe de documentation dédié. </w:t>
      </w:r>
      <w:r w:rsidR="00015983" w:rsidRPr="009F624A">
        <w:rPr>
          <w:rFonts w:ascii="Arial" w:hAnsi="Arial" w:cs="Arial"/>
          <w:sz w:val="22"/>
          <w:szCs w:val="22"/>
        </w:rPr>
        <w:t xml:space="preserve">Comme mentionné par le Panama dans son rapport, </w:t>
      </w:r>
      <w:r w:rsidR="00953229" w:rsidRPr="009F624A">
        <w:rPr>
          <w:rFonts w:ascii="Arial" w:hAnsi="Arial" w:cs="Arial"/>
          <w:sz w:val="22"/>
          <w:szCs w:val="22"/>
        </w:rPr>
        <w:t>il convient de relever l’absence de protocole global pour la collecte et la conservation de la documentation</w:t>
      </w:r>
      <w:r w:rsidR="00B277C4" w:rsidRPr="009F624A">
        <w:rPr>
          <w:rFonts w:ascii="Arial" w:hAnsi="Arial" w:cs="Arial"/>
          <w:sz w:val="22"/>
          <w:szCs w:val="22"/>
        </w:rPr>
        <w:t xml:space="preserve"> existante. I</w:t>
      </w:r>
      <w:r w:rsidR="00953229" w:rsidRPr="009F624A">
        <w:rPr>
          <w:rFonts w:ascii="Arial" w:hAnsi="Arial" w:cs="Arial"/>
          <w:sz w:val="22"/>
          <w:szCs w:val="22"/>
        </w:rPr>
        <w:t xml:space="preserve">l semble, au vu du nombre et de </w:t>
      </w:r>
      <w:r w:rsidR="00B277C4" w:rsidRPr="009F624A">
        <w:rPr>
          <w:rFonts w:ascii="Arial" w:hAnsi="Arial" w:cs="Arial"/>
          <w:sz w:val="22"/>
          <w:szCs w:val="22"/>
        </w:rPr>
        <w:t>la diversité d’organes concernés par la tâche</w:t>
      </w:r>
      <w:r w:rsidR="00953229" w:rsidRPr="009F624A">
        <w:rPr>
          <w:rFonts w:ascii="Arial" w:hAnsi="Arial" w:cs="Arial"/>
          <w:sz w:val="22"/>
          <w:szCs w:val="22"/>
        </w:rPr>
        <w:t xml:space="preserve"> dans les différents pays, qu’un grand nomb</w:t>
      </w:r>
      <w:r w:rsidR="00B277C4" w:rsidRPr="009F624A">
        <w:rPr>
          <w:rFonts w:ascii="Arial" w:hAnsi="Arial" w:cs="Arial"/>
          <w:sz w:val="22"/>
          <w:szCs w:val="22"/>
        </w:rPr>
        <w:t>re d’approches soit envisagé</w:t>
      </w:r>
      <w:r w:rsidR="00953229" w:rsidRPr="009F624A">
        <w:rPr>
          <w:rFonts w:ascii="Arial" w:hAnsi="Arial" w:cs="Arial"/>
          <w:sz w:val="22"/>
          <w:szCs w:val="22"/>
        </w:rPr>
        <w:t xml:space="preserve"> sans qu’une méthodologie </w:t>
      </w:r>
      <w:r w:rsidR="007B3ADB" w:rsidRPr="009F624A">
        <w:rPr>
          <w:rFonts w:ascii="Arial" w:hAnsi="Arial" w:cs="Arial"/>
          <w:sz w:val="22"/>
          <w:szCs w:val="22"/>
        </w:rPr>
        <w:t xml:space="preserve">globale </w:t>
      </w:r>
      <w:r w:rsidR="00015983" w:rsidRPr="009F624A">
        <w:rPr>
          <w:rFonts w:ascii="Arial" w:hAnsi="Arial" w:cs="Arial"/>
          <w:sz w:val="22"/>
          <w:szCs w:val="22"/>
        </w:rPr>
        <w:t>n’</w:t>
      </w:r>
      <w:r w:rsidR="006D7B8D">
        <w:rPr>
          <w:rFonts w:ascii="Arial" w:hAnsi="Arial" w:cs="Arial"/>
          <w:sz w:val="22"/>
          <w:szCs w:val="22"/>
        </w:rPr>
        <w:t>ait été définie.</w:t>
      </w:r>
    </w:p>
    <w:p w14:paraId="6C278DFE" w14:textId="6CCFD944" w:rsidR="00866B14" w:rsidRPr="00AA2462" w:rsidRDefault="00AA2462" w:rsidP="00866B14">
      <w:pPr>
        <w:keepNext/>
        <w:numPr>
          <w:ilvl w:val="0"/>
          <w:numId w:val="16"/>
        </w:numPr>
        <w:autoSpaceDE w:val="0"/>
        <w:autoSpaceDN w:val="0"/>
        <w:adjustRightInd w:val="0"/>
        <w:spacing w:before="240" w:after="120"/>
        <w:ind w:left="1134" w:hanging="567"/>
        <w:rPr>
          <w:rFonts w:ascii="Arial" w:hAnsi="Arial" w:cs="Arial"/>
          <w:sz w:val="22"/>
          <w:szCs w:val="22"/>
        </w:rPr>
      </w:pPr>
      <w:r w:rsidRPr="00AA2462">
        <w:rPr>
          <w:rFonts w:ascii="Arial" w:hAnsi="Arial" w:cs="Arial"/>
          <w:b/>
          <w:sz w:val="22"/>
          <w:szCs w:val="22"/>
        </w:rPr>
        <w:t>Réalisation</w:t>
      </w:r>
      <w:r>
        <w:rPr>
          <w:rFonts w:ascii="Arial" w:hAnsi="Arial" w:cs="Arial"/>
          <w:b/>
          <w:sz w:val="22"/>
          <w:szCs w:val="22"/>
        </w:rPr>
        <w:t xml:space="preserve"> d’inventaires</w:t>
      </w:r>
    </w:p>
    <w:p w14:paraId="67D650C5" w14:textId="7D89134D" w:rsidR="003C655C" w:rsidRPr="003C655C" w:rsidRDefault="00AA2462" w:rsidP="003C655C">
      <w:pPr>
        <w:numPr>
          <w:ilvl w:val="0"/>
          <w:numId w:val="14"/>
        </w:numPr>
        <w:autoSpaceDE w:val="0"/>
        <w:autoSpaceDN w:val="0"/>
        <w:adjustRightInd w:val="0"/>
        <w:spacing w:after="120"/>
        <w:ind w:left="567" w:hanging="567"/>
        <w:jc w:val="both"/>
        <w:rPr>
          <w:rFonts w:ascii="Arial" w:hAnsi="Arial" w:cs="Arial"/>
          <w:sz w:val="22"/>
          <w:szCs w:val="22"/>
        </w:rPr>
      </w:pPr>
      <w:r w:rsidRPr="00AA2462">
        <w:rPr>
          <w:rFonts w:ascii="Arial" w:hAnsi="Arial" w:cs="Arial"/>
          <w:sz w:val="22"/>
          <w:szCs w:val="22"/>
        </w:rPr>
        <w:t xml:space="preserve">L’Autriche, la </w:t>
      </w:r>
      <w:r>
        <w:rPr>
          <w:rFonts w:ascii="Arial" w:hAnsi="Arial" w:cs="Arial"/>
          <w:sz w:val="22"/>
          <w:szCs w:val="22"/>
        </w:rPr>
        <w:t xml:space="preserve">Grèce et l’Ukraine ont toutes réalisé un </w:t>
      </w:r>
      <w:r w:rsidRPr="00842BFF">
        <w:rPr>
          <w:rFonts w:ascii="Arial" w:hAnsi="Arial" w:cs="Arial"/>
          <w:b/>
          <w:sz w:val="22"/>
          <w:szCs w:val="22"/>
        </w:rPr>
        <w:t>inventaire</w:t>
      </w:r>
      <w:r>
        <w:rPr>
          <w:rFonts w:ascii="Arial" w:hAnsi="Arial" w:cs="Arial"/>
          <w:sz w:val="22"/>
          <w:szCs w:val="22"/>
        </w:rPr>
        <w:t xml:space="preserve"> unique </w:t>
      </w:r>
      <w:r w:rsidRPr="00842BFF">
        <w:rPr>
          <w:rFonts w:ascii="Arial" w:hAnsi="Arial" w:cs="Arial"/>
          <w:b/>
          <w:sz w:val="22"/>
          <w:szCs w:val="22"/>
        </w:rPr>
        <w:t>au niveau national</w:t>
      </w:r>
      <w:r>
        <w:rPr>
          <w:rFonts w:ascii="Arial" w:hAnsi="Arial" w:cs="Arial"/>
          <w:sz w:val="22"/>
          <w:szCs w:val="22"/>
        </w:rPr>
        <w:t xml:space="preserve">. </w:t>
      </w:r>
      <w:r w:rsidR="00842BFF">
        <w:rPr>
          <w:rFonts w:ascii="Arial" w:hAnsi="Arial" w:cs="Arial"/>
          <w:sz w:val="22"/>
          <w:szCs w:val="22"/>
        </w:rPr>
        <w:t xml:space="preserve">La </w:t>
      </w:r>
      <w:r w:rsidR="00842BFF" w:rsidRPr="00842BFF">
        <w:rPr>
          <w:rFonts w:ascii="Arial" w:hAnsi="Arial" w:cs="Arial"/>
          <w:sz w:val="22"/>
          <w:szCs w:val="22"/>
        </w:rPr>
        <w:t>Bosnie-Herzégovine</w:t>
      </w:r>
      <w:r w:rsidR="00842BFF">
        <w:rPr>
          <w:rFonts w:ascii="Arial" w:hAnsi="Arial" w:cs="Arial"/>
          <w:sz w:val="22"/>
          <w:szCs w:val="22"/>
        </w:rPr>
        <w:t xml:space="preserve"> a deux listes préliminaires, une pour chacune de ses deux grandes zones </w:t>
      </w:r>
      <w:r w:rsidR="007B3ADB">
        <w:rPr>
          <w:rFonts w:ascii="Arial" w:hAnsi="Arial" w:cs="Arial"/>
          <w:sz w:val="22"/>
          <w:szCs w:val="22"/>
        </w:rPr>
        <w:t>géographiques ; la liste pour la</w:t>
      </w:r>
      <w:r w:rsidR="00842BFF">
        <w:rPr>
          <w:rFonts w:ascii="Arial" w:hAnsi="Arial" w:cs="Arial"/>
          <w:sz w:val="22"/>
          <w:szCs w:val="22"/>
        </w:rPr>
        <w:t xml:space="preserve"> Fédération de </w:t>
      </w:r>
      <w:r w:rsidR="00842BFF" w:rsidRPr="00842BFF">
        <w:rPr>
          <w:rFonts w:ascii="Arial" w:hAnsi="Arial" w:cs="Arial"/>
          <w:sz w:val="22"/>
          <w:szCs w:val="22"/>
        </w:rPr>
        <w:t>Bosnie-</w:t>
      </w:r>
      <w:r w:rsidR="003C655C">
        <w:rPr>
          <w:rFonts w:ascii="Arial" w:hAnsi="Arial" w:cs="Arial"/>
          <w:sz w:val="22"/>
          <w:szCs w:val="22"/>
        </w:rPr>
        <w:t>et-</w:t>
      </w:r>
      <w:r w:rsidR="00842BFF" w:rsidRPr="00842BFF">
        <w:rPr>
          <w:rFonts w:ascii="Arial" w:hAnsi="Arial" w:cs="Arial"/>
          <w:sz w:val="22"/>
          <w:szCs w:val="22"/>
        </w:rPr>
        <w:t>Herzégovine</w:t>
      </w:r>
      <w:r w:rsidR="00842BFF">
        <w:rPr>
          <w:rFonts w:ascii="Arial" w:hAnsi="Arial" w:cs="Arial"/>
          <w:sz w:val="22"/>
          <w:szCs w:val="22"/>
        </w:rPr>
        <w:t xml:space="preserve"> est constamment mise à jour avec la </w:t>
      </w:r>
      <w:r w:rsidR="00842BFF" w:rsidRPr="00842BFF">
        <w:rPr>
          <w:rFonts w:ascii="Arial" w:hAnsi="Arial" w:cs="Arial"/>
          <w:sz w:val="22"/>
          <w:szCs w:val="22"/>
        </w:rPr>
        <w:t>coopération</w:t>
      </w:r>
      <w:r w:rsidR="00842BFF">
        <w:rPr>
          <w:rFonts w:ascii="Arial" w:hAnsi="Arial" w:cs="Arial"/>
          <w:sz w:val="22"/>
          <w:szCs w:val="22"/>
        </w:rPr>
        <w:t xml:space="preserve"> des autorités cantonales et deux cantons ont lancé leur propre procédure d’</w:t>
      </w:r>
      <w:r w:rsidR="00842BFF" w:rsidRPr="00842BFF">
        <w:rPr>
          <w:rFonts w:ascii="Arial" w:hAnsi="Arial" w:cs="Arial"/>
          <w:sz w:val="22"/>
          <w:szCs w:val="22"/>
        </w:rPr>
        <w:t>inventaire</w:t>
      </w:r>
      <w:r w:rsidR="00842BFF">
        <w:rPr>
          <w:rFonts w:ascii="Arial" w:hAnsi="Arial" w:cs="Arial"/>
          <w:sz w:val="22"/>
          <w:szCs w:val="22"/>
        </w:rPr>
        <w:t xml:space="preserve"> au niveau provincial. La Tchéquie a établi, d’une part, une liste nationale des éléments du </w:t>
      </w:r>
      <w:r w:rsidR="00842BFF" w:rsidRPr="00842BFF">
        <w:rPr>
          <w:rFonts w:ascii="Arial" w:hAnsi="Arial" w:cs="Arial"/>
          <w:sz w:val="22"/>
          <w:szCs w:val="22"/>
        </w:rPr>
        <w:t>patrimoine</w:t>
      </w:r>
      <w:r w:rsidR="00842BFF">
        <w:rPr>
          <w:rFonts w:ascii="Arial" w:hAnsi="Arial" w:cs="Arial"/>
          <w:sz w:val="22"/>
          <w:szCs w:val="22"/>
        </w:rPr>
        <w:t xml:space="preserve"> </w:t>
      </w:r>
      <w:r w:rsidR="00842BFF" w:rsidRPr="00842BFF">
        <w:rPr>
          <w:rFonts w:ascii="Arial" w:hAnsi="Arial" w:cs="Arial"/>
          <w:sz w:val="22"/>
          <w:szCs w:val="22"/>
        </w:rPr>
        <w:t>immatériel</w:t>
      </w:r>
      <w:r w:rsidR="00842BFF">
        <w:rPr>
          <w:rFonts w:ascii="Arial" w:hAnsi="Arial" w:cs="Arial"/>
          <w:sz w:val="22"/>
          <w:szCs w:val="22"/>
        </w:rPr>
        <w:t xml:space="preserve"> et, d’autre part, une liste des </w:t>
      </w:r>
      <w:r w:rsidR="00842BFF" w:rsidRPr="00842BFF">
        <w:rPr>
          <w:rFonts w:ascii="Arial" w:hAnsi="Arial" w:cs="Arial"/>
          <w:sz w:val="22"/>
          <w:szCs w:val="22"/>
        </w:rPr>
        <w:t xml:space="preserve">détenteurs </w:t>
      </w:r>
      <w:r w:rsidR="00842BFF">
        <w:rPr>
          <w:rFonts w:ascii="Arial" w:hAnsi="Arial" w:cs="Arial"/>
          <w:sz w:val="22"/>
          <w:szCs w:val="22"/>
        </w:rPr>
        <w:t xml:space="preserve">qui sont des représentants d’artisanats et d’autres traditions et qui transmettent leurs connaissances et </w:t>
      </w:r>
      <w:r w:rsidR="00842BFF" w:rsidRPr="00842BFF">
        <w:rPr>
          <w:rFonts w:ascii="Arial" w:hAnsi="Arial" w:cs="Arial"/>
          <w:sz w:val="22"/>
          <w:szCs w:val="22"/>
        </w:rPr>
        <w:t>savoir-faire</w:t>
      </w:r>
      <w:r w:rsidR="007B3ADB">
        <w:rPr>
          <w:rFonts w:ascii="Arial" w:hAnsi="Arial" w:cs="Arial"/>
          <w:sz w:val="22"/>
          <w:szCs w:val="22"/>
        </w:rPr>
        <w:t xml:space="preserve"> de génération en génération</w:t>
      </w:r>
      <w:r w:rsidR="003C655C">
        <w:rPr>
          <w:rFonts w:ascii="Arial" w:hAnsi="Arial" w:cs="Arial"/>
          <w:sz w:val="22"/>
          <w:szCs w:val="22"/>
        </w:rPr>
        <w:t xml:space="preserve">. En </w:t>
      </w:r>
      <w:r w:rsidR="003C655C" w:rsidRPr="003C655C">
        <w:rPr>
          <w:rFonts w:ascii="Arial" w:hAnsi="Arial" w:cs="Arial"/>
          <w:sz w:val="22"/>
          <w:szCs w:val="22"/>
        </w:rPr>
        <w:t>Bosnie-Herzégovine</w:t>
      </w:r>
      <w:r w:rsidR="003C655C">
        <w:rPr>
          <w:rFonts w:ascii="Arial" w:hAnsi="Arial" w:cs="Arial"/>
          <w:sz w:val="22"/>
          <w:szCs w:val="22"/>
        </w:rPr>
        <w:t xml:space="preserve">, en Tchéquie et en Ukraine, il existe </w:t>
      </w:r>
      <w:r w:rsidR="003C655C" w:rsidRPr="003C655C">
        <w:rPr>
          <w:rFonts w:ascii="Arial" w:hAnsi="Arial" w:cs="Arial"/>
          <w:sz w:val="22"/>
          <w:szCs w:val="22"/>
        </w:rPr>
        <w:t>également</w:t>
      </w:r>
      <w:r w:rsidR="003C655C">
        <w:rPr>
          <w:rFonts w:ascii="Arial" w:hAnsi="Arial" w:cs="Arial"/>
          <w:sz w:val="22"/>
          <w:szCs w:val="22"/>
        </w:rPr>
        <w:t xml:space="preserve"> deux listes de niveau régional ou cantonal dont les éléments pourront à l’avenir être ajoutés à l’</w:t>
      </w:r>
      <w:r w:rsidR="003C655C" w:rsidRPr="003C655C">
        <w:rPr>
          <w:rFonts w:ascii="Arial" w:hAnsi="Arial" w:cs="Arial"/>
          <w:sz w:val="22"/>
          <w:szCs w:val="22"/>
        </w:rPr>
        <w:t>inventaire</w:t>
      </w:r>
      <w:r w:rsidR="003C655C">
        <w:rPr>
          <w:rFonts w:ascii="Arial" w:hAnsi="Arial" w:cs="Arial"/>
          <w:sz w:val="22"/>
          <w:szCs w:val="22"/>
        </w:rPr>
        <w:t xml:space="preserve"> national. Le Panama n’a pas encore dressé d’inventaire général mais dispose de cinq Répertoires du patrimoine culturel immatériel (trois liés aux groupes ethniques et deux aux éléments particuliers)</w:t>
      </w:r>
      <w:r w:rsidR="00A1410F">
        <w:rPr>
          <w:rFonts w:ascii="Arial" w:hAnsi="Arial" w:cs="Arial"/>
          <w:sz w:val="22"/>
          <w:szCs w:val="22"/>
        </w:rPr>
        <w:t> ;</w:t>
      </w:r>
      <w:r w:rsidR="003C655C">
        <w:rPr>
          <w:rFonts w:ascii="Arial" w:hAnsi="Arial" w:cs="Arial"/>
          <w:sz w:val="22"/>
          <w:szCs w:val="22"/>
        </w:rPr>
        <w:t xml:space="preserve"> il convient de noter qu’en ce qui concerne les éléments décrits, les communautés détentrices demandent </w:t>
      </w:r>
      <w:r w:rsidR="003C655C">
        <w:rPr>
          <w:rFonts w:ascii="Arial" w:hAnsi="Arial" w:cs="Arial"/>
          <w:sz w:val="22"/>
          <w:szCs w:val="22"/>
        </w:rPr>
        <w:lastRenderedPageBreak/>
        <w:t>un renforcement de</w:t>
      </w:r>
      <w:r w:rsidR="00A1410F">
        <w:rPr>
          <w:rFonts w:ascii="Arial" w:hAnsi="Arial" w:cs="Arial"/>
          <w:sz w:val="22"/>
          <w:szCs w:val="22"/>
        </w:rPr>
        <w:t xml:space="preserve"> leurs</w:t>
      </w:r>
      <w:r w:rsidR="003C655C">
        <w:rPr>
          <w:rFonts w:ascii="Arial" w:hAnsi="Arial" w:cs="Arial"/>
          <w:sz w:val="22"/>
          <w:szCs w:val="22"/>
        </w:rPr>
        <w:t xml:space="preserve"> capacités afin de documenter et de sauvegarder leur patrimoine culturel immatériel.</w:t>
      </w:r>
    </w:p>
    <w:p w14:paraId="491CBD01" w14:textId="04DF5814" w:rsidR="003C655C" w:rsidRDefault="003C655C" w:rsidP="00866B1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Parmi les </w:t>
      </w:r>
      <w:r w:rsidRPr="003C655C">
        <w:rPr>
          <w:rFonts w:ascii="Arial" w:hAnsi="Arial" w:cs="Arial"/>
          <w:b/>
          <w:sz w:val="22"/>
          <w:szCs w:val="22"/>
        </w:rPr>
        <w:t xml:space="preserve">principes </w:t>
      </w:r>
      <w:r w:rsidR="007B3ADB" w:rsidRPr="007B3ADB">
        <w:rPr>
          <w:rFonts w:ascii="Arial" w:hAnsi="Arial" w:cs="Arial"/>
          <w:b/>
          <w:sz w:val="22"/>
          <w:szCs w:val="22"/>
        </w:rPr>
        <w:t>qui régissent</w:t>
      </w:r>
      <w:r w:rsidR="007B3ADB">
        <w:rPr>
          <w:rFonts w:ascii="Arial" w:hAnsi="Arial" w:cs="Arial"/>
          <w:b/>
          <w:sz w:val="22"/>
          <w:szCs w:val="22"/>
        </w:rPr>
        <w:t xml:space="preserve"> l’</w:t>
      </w:r>
      <w:r w:rsidRPr="003C655C">
        <w:rPr>
          <w:rFonts w:ascii="Arial" w:hAnsi="Arial" w:cs="Arial"/>
          <w:b/>
          <w:sz w:val="22"/>
          <w:szCs w:val="22"/>
        </w:rPr>
        <w:t>organisation</w:t>
      </w:r>
      <w:r w:rsidR="007B3ADB">
        <w:rPr>
          <w:rFonts w:ascii="Arial" w:hAnsi="Arial" w:cs="Arial"/>
          <w:b/>
          <w:sz w:val="22"/>
          <w:szCs w:val="22"/>
        </w:rPr>
        <w:t xml:space="preserve"> des </w:t>
      </w:r>
      <w:r>
        <w:rPr>
          <w:rFonts w:ascii="Arial" w:hAnsi="Arial" w:cs="Arial"/>
          <w:b/>
          <w:sz w:val="22"/>
          <w:szCs w:val="22"/>
        </w:rPr>
        <w:t xml:space="preserve">inventaires, </w:t>
      </w:r>
      <w:r>
        <w:rPr>
          <w:rFonts w:ascii="Arial" w:hAnsi="Arial" w:cs="Arial"/>
          <w:sz w:val="22"/>
          <w:szCs w:val="22"/>
        </w:rPr>
        <w:t xml:space="preserve">on citera : les cinq domaines de la </w:t>
      </w:r>
      <w:r w:rsidRPr="003C655C">
        <w:rPr>
          <w:rFonts w:ascii="Arial" w:hAnsi="Arial" w:cs="Arial"/>
          <w:sz w:val="22"/>
          <w:szCs w:val="22"/>
        </w:rPr>
        <w:t>Convention</w:t>
      </w:r>
      <w:r>
        <w:rPr>
          <w:rFonts w:ascii="Arial" w:hAnsi="Arial" w:cs="Arial"/>
          <w:sz w:val="22"/>
          <w:szCs w:val="22"/>
        </w:rPr>
        <w:t xml:space="preserve"> (Autriche, Tchéquie et Grèce), les différentes communautés et groupes ethniques (</w:t>
      </w:r>
      <w:r w:rsidRPr="003C655C">
        <w:rPr>
          <w:rFonts w:ascii="Arial" w:hAnsi="Arial" w:cs="Arial"/>
          <w:sz w:val="22"/>
          <w:szCs w:val="22"/>
        </w:rPr>
        <w:t>Bosnie-Herzégovine</w:t>
      </w:r>
      <w:r>
        <w:rPr>
          <w:rFonts w:ascii="Arial" w:hAnsi="Arial" w:cs="Arial"/>
          <w:sz w:val="22"/>
          <w:szCs w:val="22"/>
        </w:rPr>
        <w:t xml:space="preserve">) et les </w:t>
      </w:r>
      <w:r w:rsidR="0005700D">
        <w:rPr>
          <w:rFonts w:ascii="Arial" w:hAnsi="Arial" w:cs="Arial"/>
          <w:sz w:val="22"/>
          <w:szCs w:val="22"/>
        </w:rPr>
        <w:t xml:space="preserve">détenteurs </w:t>
      </w:r>
      <w:r>
        <w:rPr>
          <w:rFonts w:ascii="Arial" w:hAnsi="Arial" w:cs="Arial"/>
          <w:sz w:val="22"/>
          <w:szCs w:val="22"/>
        </w:rPr>
        <w:t xml:space="preserve">du </w:t>
      </w:r>
      <w:r w:rsidRPr="003C655C">
        <w:rPr>
          <w:rFonts w:ascii="Arial" w:hAnsi="Arial" w:cs="Arial"/>
          <w:sz w:val="22"/>
          <w:szCs w:val="22"/>
        </w:rPr>
        <w:t>patrimoine</w:t>
      </w:r>
      <w:r>
        <w:rPr>
          <w:rFonts w:ascii="Arial" w:hAnsi="Arial" w:cs="Arial"/>
          <w:sz w:val="22"/>
          <w:szCs w:val="22"/>
        </w:rPr>
        <w:t xml:space="preserve"> (Tchéquie, pour sa deuxième liste nationale). Les </w:t>
      </w:r>
      <w:r w:rsidRPr="003C655C">
        <w:rPr>
          <w:rFonts w:ascii="Arial" w:hAnsi="Arial" w:cs="Arial"/>
          <w:b/>
          <w:sz w:val="22"/>
          <w:szCs w:val="22"/>
        </w:rPr>
        <w:t>critères d’inscription</w:t>
      </w:r>
      <w:r>
        <w:rPr>
          <w:rFonts w:ascii="Arial" w:hAnsi="Arial" w:cs="Arial"/>
          <w:sz w:val="22"/>
          <w:szCs w:val="22"/>
        </w:rPr>
        <w:t xml:space="preserve"> incluent : la définition du patrimoine culturel immatériel </w:t>
      </w:r>
      <w:r w:rsidRPr="003C655C">
        <w:rPr>
          <w:rFonts w:ascii="Arial" w:hAnsi="Arial" w:cs="Arial"/>
          <w:sz w:val="22"/>
          <w:szCs w:val="22"/>
        </w:rPr>
        <w:t>conformément</w:t>
      </w:r>
      <w:r>
        <w:rPr>
          <w:rFonts w:ascii="Arial" w:hAnsi="Arial" w:cs="Arial"/>
          <w:sz w:val="22"/>
          <w:szCs w:val="22"/>
        </w:rPr>
        <w:t xml:space="preserve"> à l’article 2 de la </w:t>
      </w:r>
      <w:r w:rsidRPr="003C655C">
        <w:rPr>
          <w:rFonts w:ascii="Arial" w:hAnsi="Arial" w:cs="Arial"/>
          <w:sz w:val="22"/>
          <w:szCs w:val="22"/>
        </w:rPr>
        <w:t>Convention</w:t>
      </w:r>
      <w:r>
        <w:rPr>
          <w:rFonts w:ascii="Arial" w:hAnsi="Arial" w:cs="Arial"/>
          <w:sz w:val="22"/>
          <w:szCs w:val="22"/>
        </w:rPr>
        <w:t xml:space="preserve"> (Autriche, </w:t>
      </w:r>
      <w:r w:rsidRPr="003C655C">
        <w:rPr>
          <w:rFonts w:ascii="Arial" w:hAnsi="Arial" w:cs="Arial"/>
          <w:sz w:val="22"/>
          <w:szCs w:val="22"/>
        </w:rPr>
        <w:t>Bosnie-Herzégovine</w:t>
      </w:r>
      <w:r>
        <w:rPr>
          <w:rFonts w:ascii="Arial" w:hAnsi="Arial" w:cs="Arial"/>
          <w:sz w:val="22"/>
          <w:szCs w:val="22"/>
        </w:rPr>
        <w:t xml:space="preserve">, Grèce et Ukraine), les champs du formulaire de </w:t>
      </w:r>
      <w:r w:rsidRPr="003C655C">
        <w:rPr>
          <w:rFonts w:ascii="Arial" w:hAnsi="Arial" w:cs="Arial"/>
          <w:sz w:val="22"/>
          <w:szCs w:val="22"/>
        </w:rPr>
        <w:t>candidature</w:t>
      </w:r>
      <w:r>
        <w:rPr>
          <w:rFonts w:ascii="Arial" w:hAnsi="Arial" w:cs="Arial"/>
          <w:sz w:val="22"/>
          <w:szCs w:val="22"/>
        </w:rPr>
        <w:t xml:space="preserve"> à la Liste représentative (Autriche), la </w:t>
      </w:r>
      <w:r w:rsidRPr="003C655C">
        <w:rPr>
          <w:rFonts w:ascii="Arial" w:hAnsi="Arial" w:cs="Arial"/>
          <w:sz w:val="22"/>
          <w:szCs w:val="22"/>
        </w:rPr>
        <w:t>viabilité</w:t>
      </w:r>
      <w:r>
        <w:rPr>
          <w:rFonts w:ascii="Arial" w:hAnsi="Arial" w:cs="Arial"/>
          <w:sz w:val="22"/>
          <w:szCs w:val="22"/>
        </w:rPr>
        <w:t xml:space="preserve"> de l’</w:t>
      </w:r>
      <w:r w:rsidRPr="003C655C">
        <w:rPr>
          <w:rFonts w:ascii="Arial" w:hAnsi="Arial" w:cs="Arial"/>
          <w:sz w:val="22"/>
          <w:szCs w:val="22"/>
        </w:rPr>
        <w:t>élément</w:t>
      </w:r>
      <w:r>
        <w:rPr>
          <w:rFonts w:ascii="Arial" w:hAnsi="Arial" w:cs="Arial"/>
          <w:sz w:val="22"/>
          <w:szCs w:val="22"/>
        </w:rPr>
        <w:t xml:space="preserve"> (</w:t>
      </w:r>
      <w:r w:rsidRPr="003C655C">
        <w:rPr>
          <w:rFonts w:ascii="Arial" w:hAnsi="Arial" w:cs="Arial"/>
          <w:sz w:val="22"/>
          <w:szCs w:val="22"/>
        </w:rPr>
        <w:t>Bosnie-Herzégovine</w:t>
      </w:r>
      <w:r>
        <w:rPr>
          <w:rFonts w:ascii="Arial" w:hAnsi="Arial" w:cs="Arial"/>
          <w:sz w:val="22"/>
          <w:szCs w:val="22"/>
        </w:rPr>
        <w:t xml:space="preserve"> et Tchéquie), la continuité intergénérationnelle de l’</w:t>
      </w:r>
      <w:r w:rsidRPr="003C655C">
        <w:rPr>
          <w:rFonts w:ascii="Arial" w:hAnsi="Arial" w:cs="Arial"/>
          <w:sz w:val="22"/>
          <w:szCs w:val="22"/>
        </w:rPr>
        <w:t>élément</w:t>
      </w:r>
      <w:r>
        <w:rPr>
          <w:rFonts w:ascii="Arial" w:hAnsi="Arial" w:cs="Arial"/>
          <w:sz w:val="22"/>
          <w:szCs w:val="22"/>
        </w:rPr>
        <w:t xml:space="preserve"> (Tchéquie) et la volonté active des </w:t>
      </w:r>
      <w:r w:rsidRPr="003C655C">
        <w:rPr>
          <w:rFonts w:ascii="Arial" w:hAnsi="Arial" w:cs="Arial"/>
          <w:sz w:val="22"/>
          <w:szCs w:val="22"/>
        </w:rPr>
        <w:t xml:space="preserve">détenteurs </w:t>
      </w:r>
      <w:r>
        <w:rPr>
          <w:rFonts w:ascii="Arial" w:hAnsi="Arial" w:cs="Arial"/>
          <w:sz w:val="22"/>
          <w:szCs w:val="22"/>
        </w:rPr>
        <w:t>de sauvegarder l’</w:t>
      </w:r>
      <w:r w:rsidRPr="003C655C">
        <w:rPr>
          <w:rFonts w:ascii="Arial" w:hAnsi="Arial" w:cs="Arial"/>
          <w:sz w:val="22"/>
          <w:szCs w:val="22"/>
        </w:rPr>
        <w:t>élément</w:t>
      </w:r>
      <w:r w:rsidR="00C121D3">
        <w:rPr>
          <w:rFonts w:ascii="Arial" w:hAnsi="Arial" w:cs="Arial"/>
          <w:sz w:val="22"/>
          <w:szCs w:val="22"/>
        </w:rPr>
        <w:t xml:space="preserve"> (Grèce).</w:t>
      </w:r>
    </w:p>
    <w:p w14:paraId="1B278307" w14:textId="213E87FC" w:rsidR="003C655C" w:rsidRDefault="003C655C" w:rsidP="00866B1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L’Autriche, la </w:t>
      </w:r>
      <w:r w:rsidRPr="003C655C">
        <w:rPr>
          <w:rFonts w:ascii="Arial" w:hAnsi="Arial" w:cs="Arial"/>
          <w:sz w:val="22"/>
          <w:szCs w:val="22"/>
        </w:rPr>
        <w:t>Bosnie-Herzégovine</w:t>
      </w:r>
      <w:r>
        <w:rPr>
          <w:rFonts w:ascii="Arial" w:hAnsi="Arial" w:cs="Arial"/>
          <w:sz w:val="22"/>
          <w:szCs w:val="22"/>
        </w:rPr>
        <w:t xml:space="preserve"> et la Grèce </w:t>
      </w:r>
      <w:r w:rsidR="00D748AE">
        <w:rPr>
          <w:rFonts w:ascii="Arial" w:hAnsi="Arial" w:cs="Arial"/>
          <w:sz w:val="22"/>
          <w:szCs w:val="22"/>
        </w:rPr>
        <w:t xml:space="preserve">mentionnent de façon explicite que la </w:t>
      </w:r>
      <w:r w:rsidR="00D748AE" w:rsidRPr="00D748AE">
        <w:rPr>
          <w:rFonts w:ascii="Arial" w:hAnsi="Arial" w:cs="Arial"/>
          <w:b/>
          <w:sz w:val="22"/>
          <w:szCs w:val="22"/>
        </w:rPr>
        <w:t>viabilité</w:t>
      </w:r>
      <w:r w:rsidR="00D748AE">
        <w:rPr>
          <w:rFonts w:ascii="Arial" w:hAnsi="Arial" w:cs="Arial"/>
          <w:sz w:val="22"/>
          <w:szCs w:val="22"/>
        </w:rPr>
        <w:t xml:space="preserve"> de l’</w:t>
      </w:r>
      <w:r w:rsidR="00D748AE" w:rsidRPr="00D748AE">
        <w:rPr>
          <w:rFonts w:ascii="Arial" w:hAnsi="Arial" w:cs="Arial"/>
          <w:sz w:val="22"/>
          <w:szCs w:val="22"/>
        </w:rPr>
        <w:t>élément</w:t>
      </w:r>
      <w:r w:rsidR="00D748AE">
        <w:rPr>
          <w:rFonts w:ascii="Arial" w:hAnsi="Arial" w:cs="Arial"/>
          <w:sz w:val="22"/>
          <w:szCs w:val="22"/>
        </w:rPr>
        <w:t xml:space="preserve"> est prise en compte pour l’inclusion d’un élément dans leurs inventaires (en </w:t>
      </w:r>
      <w:r w:rsidR="00D748AE" w:rsidRPr="00D748AE">
        <w:rPr>
          <w:rFonts w:ascii="Arial" w:hAnsi="Arial" w:cs="Arial"/>
          <w:sz w:val="22"/>
          <w:szCs w:val="22"/>
        </w:rPr>
        <w:t>Bosnie-Herzégovine</w:t>
      </w:r>
      <w:r w:rsidR="00D748AE">
        <w:rPr>
          <w:rFonts w:ascii="Arial" w:hAnsi="Arial" w:cs="Arial"/>
          <w:sz w:val="22"/>
          <w:szCs w:val="22"/>
        </w:rPr>
        <w:t>, c’est un critère d’</w:t>
      </w:r>
      <w:r w:rsidR="00D748AE" w:rsidRPr="00D748AE">
        <w:rPr>
          <w:rFonts w:ascii="Arial" w:hAnsi="Arial" w:cs="Arial"/>
          <w:sz w:val="22"/>
          <w:szCs w:val="22"/>
        </w:rPr>
        <w:t>inscription</w:t>
      </w:r>
      <w:r w:rsidR="00D748AE">
        <w:rPr>
          <w:rFonts w:ascii="Arial" w:hAnsi="Arial" w:cs="Arial"/>
          <w:sz w:val="22"/>
          <w:szCs w:val="22"/>
        </w:rPr>
        <w:t xml:space="preserve"> et, en Grèce, la </w:t>
      </w:r>
      <w:r w:rsidR="00D748AE" w:rsidRPr="00D748AE">
        <w:rPr>
          <w:rFonts w:ascii="Arial" w:hAnsi="Arial" w:cs="Arial"/>
          <w:sz w:val="22"/>
          <w:szCs w:val="22"/>
        </w:rPr>
        <w:t>viabilité</w:t>
      </w:r>
      <w:r w:rsidR="00D748AE">
        <w:rPr>
          <w:rFonts w:ascii="Arial" w:hAnsi="Arial" w:cs="Arial"/>
          <w:sz w:val="22"/>
          <w:szCs w:val="22"/>
        </w:rPr>
        <w:t xml:space="preserve"> actuelle et future</w:t>
      </w:r>
      <w:r w:rsidR="0005700D">
        <w:rPr>
          <w:rFonts w:ascii="Arial" w:hAnsi="Arial" w:cs="Arial"/>
          <w:sz w:val="22"/>
          <w:szCs w:val="22"/>
        </w:rPr>
        <w:t xml:space="preserve"> est prise en considération</w:t>
      </w:r>
      <w:r w:rsidR="00D748AE">
        <w:rPr>
          <w:rFonts w:ascii="Arial" w:hAnsi="Arial" w:cs="Arial"/>
          <w:sz w:val="22"/>
          <w:szCs w:val="22"/>
        </w:rPr>
        <w:t>). Les inventaires sont mis à jour à des rythm</w:t>
      </w:r>
      <w:r w:rsidR="00AF7DBA">
        <w:rPr>
          <w:rFonts w:ascii="Arial" w:hAnsi="Arial" w:cs="Arial"/>
          <w:sz w:val="22"/>
          <w:szCs w:val="22"/>
        </w:rPr>
        <w:t xml:space="preserve">es différents : en permanence </w:t>
      </w:r>
      <w:r w:rsidR="00D748AE">
        <w:rPr>
          <w:rFonts w:ascii="Arial" w:hAnsi="Arial" w:cs="Arial"/>
          <w:sz w:val="22"/>
          <w:szCs w:val="22"/>
        </w:rPr>
        <w:t xml:space="preserve">en </w:t>
      </w:r>
      <w:r w:rsidR="00D748AE" w:rsidRPr="00D748AE">
        <w:rPr>
          <w:rFonts w:ascii="Arial" w:hAnsi="Arial" w:cs="Arial"/>
          <w:sz w:val="22"/>
          <w:szCs w:val="22"/>
        </w:rPr>
        <w:t>Bosnie-Herzégovine</w:t>
      </w:r>
      <w:r w:rsidR="00D748AE">
        <w:rPr>
          <w:rFonts w:ascii="Arial" w:hAnsi="Arial" w:cs="Arial"/>
          <w:sz w:val="22"/>
          <w:szCs w:val="22"/>
        </w:rPr>
        <w:t xml:space="preserve">, régulièrement en Tchéquie (tous les sept ans en ce qui concerne la </w:t>
      </w:r>
      <w:r w:rsidR="00D748AE" w:rsidRPr="00D748AE">
        <w:rPr>
          <w:rFonts w:ascii="Arial" w:hAnsi="Arial" w:cs="Arial"/>
          <w:sz w:val="22"/>
          <w:szCs w:val="22"/>
        </w:rPr>
        <w:t>documentation</w:t>
      </w:r>
      <w:r w:rsidR="00D748AE">
        <w:rPr>
          <w:rFonts w:ascii="Arial" w:hAnsi="Arial" w:cs="Arial"/>
          <w:sz w:val="22"/>
          <w:szCs w:val="22"/>
        </w:rPr>
        <w:t xml:space="preserve">) et tous les cinq ans en Grèce. </w:t>
      </w:r>
      <w:r w:rsidR="0005700D">
        <w:rPr>
          <w:rFonts w:ascii="Arial" w:hAnsi="Arial" w:cs="Arial"/>
          <w:sz w:val="22"/>
          <w:szCs w:val="22"/>
        </w:rPr>
        <w:t>Au moment</w:t>
      </w:r>
      <w:r w:rsidR="00AF7DBA">
        <w:rPr>
          <w:rFonts w:ascii="Arial" w:hAnsi="Arial" w:cs="Arial"/>
          <w:sz w:val="22"/>
          <w:szCs w:val="22"/>
        </w:rPr>
        <w:t xml:space="preserve"> de la</w:t>
      </w:r>
      <w:r w:rsidR="00D748AE">
        <w:rPr>
          <w:rFonts w:ascii="Arial" w:hAnsi="Arial" w:cs="Arial"/>
          <w:sz w:val="22"/>
          <w:szCs w:val="22"/>
        </w:rPr>
        <w:t xml:space="preserve"> rédaction de son rapport, l’Ukraine était en train de mettre au point sa méthode de mise à jour de l’inventaire. L</w:t>
      </w:r>
      <w:r w:rsidR="00D748AE" w:rsidRPr="00D748AE">
        <w:rPr>
          <w:rFonts w:ascii="Arial" w:hAnsi="Arial" w:cs="Arial"/>
          <w:sz w:val="22"/>
          <w:szCs w:val="22"/>
        </w:rPr>
        <w:t>a plupart des</w:t>
      </w:r>
      <w:r w:rsidR="00D748AE">
        <w:rPr>
          <w:rFonts w:ascii="Arial" w:hAnsi="Arial" w:cs="Arial"/>
          <w:sz w:val="22"/>
          <w:szCs w:val="22"/>
        </w:rPr>
        <w:t xml:space="preserve"> rapports évoquent les efforts entrepris afin de garantir la </w:t>
      </w:r>
      <w:r w:rsidR="00D748AE" w:rsidRPr="00AF7DBA">
        <w:rPr>
          <w:rFonts w:ascii="Arial" w:hAnsi="Arial" w:cs="Arial"/>
          <w:b/>
          <w:sz w:val="22"/>
          <w:szCs w:val="22"/>
        </w:rPr>
        <w:t>participation des communautés</w:t>
      </w:r>
      <w:r w:rsidR="00D748AE">
        <w:rPr>
          <w:rFonts w:ascii="Arial" w:hAnsi="Arial" w:cs="Arial"/>
          <w:sz w:val="22"/>
          <w:szCs w:val="22"/>
        </w:rPr>
        <w:t xml:space="preserve"> </w:t>
      </w:r>
      <w:r w:rsidR="005E1C03">
        <w:rPr>
          <w:rFonts w:ascii="Arial" w:hAnsi="Arial" w:cs="Arial"/>
          <w:sz w:val="22"/>
          <w:szCs w:val="22"/>
        </w:rPr>
        <w:t>au processus</w:t>
      </w:r>
      <w:r w:rsidR="00D748AE">
        <w:rPr>
          <w:rFonts w:ascii="Arial" w:hAnsi="Arial" w:cs="Arial"/>
          <w:sz w:val="22"/>
          <w:szCs w:val="22"/>
        </w:rPr>
        <w:t xml:space="preserve"> d’</w:t>
      </w:r>
      <w:r w:rsidR="00D748AE" w:rsidRPr="00D748AE">
        <w:rPr>
          <w:rFonts w:ascii="Arial" w:hAnsi="Arial" w:cs="Arial"/>
          <w:sz w:val="22"/>
          <w:szCs w:val="22"/>
        </w:rPr>
        <w:t>inventaire</w:t>
      </w:r>
      <w:r w:rsidR="007B3ADB">
        <w:rPr>
          <w:rFonts w:ascii="Arial" w:hAnsi="Arial" w:cs="Arial"/>
          <w:sz w:val="22"/>
          <w:szCs w:val="22"/>
        </w:rPr>
        <w:t xml:space="preserve">, </w:t>
      </w:r>
      <w:r w:rsidR="00D748AE">
        <w:rPr>
          <w:rFonts w:ascii="Arial" w:hAnsi="Arial" w:cs="Arial"/>
          <w:sz w:val="22"/>
          <w:szCs w:val="22"/>
        </w:rPr>
        <w:t>général</w:t>
      </w:r>
      <w:r w:rsidR="007B3ADB">
        <w:rPr>
          <w:rFonts w:ascii="Arial" w:hAnsi="Arial" w:cs="Arial"/>
          <w:sz w:val="22"/>
          <w:szCs w:val="22"/>
        </w:rPr>
        <w:t>ement</w:t>
      </w:r>
      <w:r w:rsidR="00D748AE">
        <w:rPr>
          <w:rFonts w:ascii="Arial" w:hAnsi="Arial" w:cs="Arial"/>
          <w:sz w:val="22"/>
          <w:szCs w:val="22"/>
        </w:rPr>
        <w:t xml:space="preserve"> en demandant que leur </w:t>
      </w:r>
      <w:r w:rsidR="00D748AE" w:rsidRPr="00D748AE">
        <w:rPr>
          <w:rFonts w:ascii="Arial" w:hAnsi="Arial" w:cs="Arial"/>
          <w:sz w:val="22"/>
          <w:szCs w:val="22"/>
        </w:rPr>
        <w:t>consentement</w:t>
      </w:r>
      <w:r w:rsidR="00D748AE">
        <w:rPr>
          <w:rFonts w:ascii="Arial" w:hAnsi="Arial" w:cs="Arial"/>
          <w:sz w:val="22"/>
          <w:szCs w:val="22"/>
        </w:rPr>
        <w:t xml:space="preserve"> soit </w:t>
      </w:r>
      <w:r w:rsidR="00D748AE" w:rsidRPr="009F624A">
        <w:rPr>
          <w:rFonts w:ascii="Arial" w:hAnsi="Arial" w:cs="Arial"/>
          <w:sz w:val="22"/>
          <w:szCs w:val="22"/>
        </w:rPr>
        <w:t>démontré et, comme en Autriche et en Grèce, en ayant recours à une approche ascendante dans laquelle l’</w:t>
      </w:r>
      <w:r w:rsidR="00D748AE" w:rsidRPr="009F624A">
        <w:rPr>
          <w:rFonts w:ascii="Arial" w:hAnsi="Arial" w:cs="Arial"/>
          <w:sz w:val="22"/>
          <w:szCs w:val="22"/>
          <w:lang w:eastAsia="en-US"/>
        </w:rPr>
        <w:t>initiative</w:t>
      </w:r>
      <w:r w:rsidR="00D748AE" w:rsidRPr="009F624A">
        <w:rPr>
          <w:rFonts w:ascii="Arial" w:hAnsi="Arial" w:cs="Arial"/>
          <w:sz w:val="22"/>
          <w:szCs w:val="22"/>
        </w:rPr>
        <w:t xml:space="preserve"> de </w:t>
      </w:r>
      <w:r w:rsidR="005E1C03" w:rsidRPr="009F624A">
        <w:rPr>
          <w:rFonts w:ascii="Arial" w:hAnsi="Arial" w:cs="Arial"/>
          <w:sz w:val="22"/>
          <w:szCs w:val="22"/>
        </w:rPr>
        <w:t xml:space="preserve">l’inclusion </w:t>
      </w:r>
      <w:r w:rsidR="00D748AE" w:rsidRPr="009F624A">
        <w:rPr>
          <w:rFonts w:ascii="Arial" w:hAnsi="Arial" w:cs="Arial"/>
          <w:sz w:val="22"/>
          <w:szCs w:val="22"/>
        </w:rPr>
        <w:t xml:space="preserve">d’un élément à un inventaire </w:t>
      </w:r>
      <w:r w:rsidR="00872977" w:rsidRPr="009F624A">
        <w:rPr>
          <w:rFonts w:ascii="Arial" w:hAnsi="Arial" w:cs="Arial"/>
          <w:sz w:val="22"/>
          <w:szCs w:val="22"/>
        </w:rPr>
        <w:t>revient à</w:t>
      </w:r>
      <w:r w:rsidR="00D748AE" w:rsidRPr="009F624A">
        <w:rPr>
          <w:rFonts w:ascii="Arial" w:hAnsi="Arial" w:cs="Arial"/>
          <w:sz w:val="22"/>
          <w:szCs w:val="22"/>
        </w:rPr>
        <w:t xml:space="preserve"> la communauté elle-même, à laquelle on peut accorder</w:t>
      </w:r>
      <w:r w:rsidR="005E1C03" w:rsidRPr="009F624A">
        <w:rPr>
          <w:rFonts w:ascii="Arial" w:hAnsi="Arial" w:cs="Arial"/>
          <w:sz w:val="22"/>
          <w:szCs w:val="22"/>
        </w:rPr>
        <w:t>,</w:t>
      </w:r>
      <w:r w:rsidR="00D748AE" w:rsidRPr="009F624A">
        <w:rPr>
          <w:rFonts w:ascii="Arial" w:hAnsi="Arial" w:cs="Arial"/>
          <w:sz w:val="22"/>
          <w:szCs w:val="22"/>
        </w:rPr>
        <w:t xml:space="preserve"> </w:t>
      </w:r>
      <w:r w:rsidR="0005700D" w:rsidRPr="009F624A">
        <w:rPr>
          <w:rFonts w:ascii="Arial" w:hAnsi="Arial" w:cs="Arial"/>
          <w:sz w:val="22"/>
          <w:szCs w:val="22"/>
        </w:rPr>
        <w:t>à un stade ultérieur</w:t>
      </w:r>
      <w:r w:rsidR="005E1C03" w:rsidRPr="009F624A">
        <w:rPr>
          <w:rFonts w:ascii="Arial" w:hAnsi="Arial" w:cs="Arial"/>
          <w:sz w:val="22"/>
          <w:szCs w:val="22"/>
        </w:rPr>
        <w:t>,</w:t>
      </w:r>
      <w:r w:rsidR="0005700D" w:rsidRPr="009F624A">
        <w:rPr>
          <w:rFonts w:ascii="Arial" w:hAnsi="Arial" w:cs="Arial"/>
          <w:sz w:val="22"/>
          <w:szCs w:val="22"/>
        </w:rPr>
        <w:t xml:space="preserve"> </w:t>
      </w:r>
      <w:r w:rsidR="00D748AE" w:rsidRPr="009F624A">
        <w:rPr>
          <w:rFonts w:ascii="Arial" w:hAnsi="Arial" w:cs="Arial"/>
          <w:sz w:val="22"/>
          <w:szCs w:val="22"/>
        </w:rPr>
        <w:t xml:space="preserve">l’aide d’un expert </w:t>
      </w:r>
      <w:r w:rsidR="005E1C03" w:rsidRPr="009F624A">
        <w:rPr>
          <w:rFonts w:ascii="Arial" w:hAnsi="Arial" w:cs="Arial"/>
          <w:sz w:val="22"/>
          <w:szCs w:val="22"/>
        </w:rPr>
        <w:t>pour</w:t>
      </w:r>
      <w:r w:rsidR="00D748AE" w:rsidRPr="009F624A">
        <w:rPr>
          <w:rFonts w:ascii="Arial" w:hAnsi="Arial" w:cs="Arial"/>
          <w:sz w:val="22"/>
          <w:szCs w:val="22"/>
        </w:rPr>
        <w:t xml:space="preserve"> préparer les dossiers </w:t>
      </w:r>
      <w:r w:rsidR="005E1C03" w:rsidRPr="009F624A">
        <w:rPr>
          <w:rFonts w:ascii="Arial" w:hAnsi="Arial" w:cs="Arial"/>
          <w:sz w:val="22"/>
          <w:szCs w:val="22"/>
        </w:rPr>
        <w:t>de candidature pour</w:t>
      </w:r>
      <w:r w:rsidR="0005700D" w:rsidRPr="009F624A">
        <w:rPr>
          <w:rFonts w:ascii="Arial" w:hAnsi="Arial" w:cs="Arial"/>
          <w:sz w:val="22"/>
          <w:szCs w:val="22"/>
        </w:rPr>
        <w:t xml:space="preserve"> les listes de l’UNESCO</w:t>
      </w:r>
      <w:r w:rsidR="00D748AE" w:rsidRPr="009F624A">
        <w:rPr>
          <w:rFonts w:ascii="Arial" w:hAnsi="Arial" w:cs="Arial"/>
          <w:sz w:val="22"/>
          <w:szCs w:val="22"/>
        </w:rPr>
        <w:t>.</w:t>
      </w:r>
      <w:r w:rsidR="00D748AE">
        <w:rPr>
          <w:rFonts w:ascii="Arial" w:hAnsi="Arial" w:cs="Arial"/>
          <w:sz w:val="22"/>
          <w:szCs w:val="22"/>
        </w:rPr>
        <w:t xml:space="preserve"> </w:t>
      </w:r>
      <w:r w:rsidR="00872977">
        <w:rPr>
          <w:rFonts w:ascii="Arial" w:hAnsi="Arial" w:cs="Arial"/>
          <w:sz w:val="22"/>
          <w:szCs w:val="22"/>
        </w:rPr>
        <w:t xml:space="preserve">La </w:t>
      </w:r>
      <w:r w:rsidR="00872977" w:rsidRPr="00872977">
        <w:rPr>
          <w:rFonts w:ascii="Arial" w:hAnsi="Arial" w:cs="Arial"/>
          <w:sz w:val="22"/>
          <w:szCs w:val="22"/>
        </w:rPr>
        <w:t>Bosnie-Herzégovine</w:t>
      </w:r>
      <w:r w:rsidR="00872977">
        <w:rPr>
          <w:rFonts w:ascii="Arial" w:hAnsi="Arial" w:cs="Arial"/>
          <w:sz w:val="22"/>
          <w:szCs w:val="22"/>
        </w:rPr>
        <w:t xml:space="preserve"> fait </w:t>
      </w:r>
      <w:r w:rsidR="00872977" w:rsidRPr="00872977">
        <w:rPr>
          <w:rFonts w:ascii="Arial" w:hAnsi="Arial" w:cs="Arial"/>
          <w:sz w:val="22"/>
          <w:szCs w:val="22"/>
        </w:rPr>
        <w:t>également</w:t>
      </w:r>
      <w:r w:rsidR="00872977">
        <w:rPr>
          <w:rFonts w:ascii="Arial" w:hAnsi="Arial" w:cs="Arial"/>
          <w:sz w:val="22"/>
          <w:szCs w:val="22"/>
        </w:rPr>
        <w:t xml:space="preserve"> état de la </w:t>
      </w:r>
      <w:r w:rsidR="00872977" w:rsidRPr="00872977">
        <w:rPr>
          <w:rFonts w:ascii="Arial" w:hAnsi="Arial" w:cs="Arial"/>
          <w:sz w:val="22"/>
          <w:szCs w:val="22"/>
        </w:rPr>
        <w:t>participation</w:t>
      </w:r>
      <w:r w:rsidR="00872977">
        <w:rPr>
          <w:rFonts w:ascii="Arial" w:hAnsi="Arial" w:cs="Arial"/>
          <w:sz w:val="22"/>
          <w:szCs w:val="22"/>
        </w:rPr>
        <w:t xml:space="preserve"> d’organisations non gouvernementales à la procédure d’</w:t>
      </w:r>
      <w:r w:rsidR="00872977" w:rsidRPr="00872977">
        <w:rPr>
          <w:rFonts w:ascii="Arial" w:hAnsi="Arial" w:cs="Arial"/>
          <w:sz w:val="22"/>
          <w:szCs w:val="22"/>
        </w:rPr>
        <w:t>inscription</w:t>
      </w:r>
      <w:r w:rsidR="00872977">
        <w:rPr>
          <w:rFonts w:ascii="Arial" w:hAnsi="Arial" w:cs="Arial"/>
          <w:sz w:val="22"/>
          <w:szCs w:val="22"/>
        </w:rPr>
        <w:t>, et la Grèce mentionne des réunions d’information, organisées par l’organe en charge de la mise en œuvre</w:t>
      </w:r>
      <w:r w:rsidR="007B3ADB">
        <w:rPr>
          <w:rFonts w:ascii="Arial" w:hAnsi="Arial" w:cs="Arial"/>
          <w:sz w:val="22"/>
          <w:szCs w:val="22"/>
        </w:rPr>
        <w:t xml:space="preserve"> de la </w:t>
      </w:r>
      <w:r w:rsidR="007B3ADB" w:rsidRPr="007B3ADB">
        <w:rPr>
          <w:rFonts w:ascii="Arial" w:hAnsi="Arial" w:cs="Arial"/>
          <w:sz w:val="22"/>
          <w:szCs w:val="22"/>
        </w:rPr>
        <w:t>Convention</w:t>
      </w:r>
      <w:r w:rsidR="00AF7DBA">
        <w:rPr>
          <w:rFonts w:ascii="Arial" w:hAnsi="Arial" w:cs="Arial"/>
          <w:sz w:val="22"/>
          <w:szCs w:val="22"/>
        </w:rPr>
        <w:t xml:space="preserve"> et </w:t>
      </w:r>
      <w:r w:rsidR="00872977">
        <w:rPr>
          <w:rFonts w:ascii="Arial" w:hAnsi="Arial" w:cs="Arial"/>
          <w:sz w:val="22"/>
          <w:szCs w:val="22"/>
        </w:rPr>
        <w:t>destinées aux détenteurs, aux associations culturelles, aux musées, aux autorités municipales, aux syndicats, aux chercheurs indépendants et à d’autres acteurs</w:t>
      </w:r>
      <w:r w:rsidR="00AF7DBA">
        <w:rPr>
          <w:rFonts w:ascii="Arial" w:hAnsi="Arial" w:cs="Arial"/>
          <w:sz w:val="22"/>
          <w:szCs w:val="22"/>
        </w:rPr>
        <w:t xml:space="preserve">. L’Ukraine a </w:t>
      </w:r>
      <w:r w:rsidR="00AF7DBA" w:rsidRPr="00AF7DBA">
        <w:rPr>
          <w:rFonts w:ascii="Arial" w:hAnsi="Arial" w:cs="Arial"/>
          <w:sz w:val="22"/>
          <w:szCs w:val="22"/>
        </w:rPr>
        <w:t>également</w:t>
      </w:r>
      <w:r w:rsidR="00AF7DBA">
        <w:rPr>
          <w:rFonts w:ascii="Arial" w:hAnsi="Arial" w:cs="Arial"/>
          <w:sz w:val="22"/>
          <w:szCs w:val="22"/>
        </w:rPr>
        <w:t xml:space="preserve"> préparé des recommandations méthodologiques pour la </w:t>
      </w:r>
      <w:r w:rsidR="00AF7DBA" w:rsidRPr="00AF7DBA">
        <w:rPr>
          <w:rFonts w:ascii="Arial" w:hAnsi="Arial" w:cs="Arial"/>
          <w:sz w:val="22"/>
          <w:szCs w:val="22"/>
        </w:rPr>
        <w:t>préparation</w:t>
      </w:r>
      <w:r w:rsidR="00AF7DBA">
        <w:rPr>
          <w:rFonts w:ascii="Arial" w:hAnsi="Arial" w:cs="Arial"/>
          <w:sz w:val="22"/>
          <w:szCs w:val="22"/>
        </w:rPr>
        <w:t xml:space="preserve"> et l’</w:t>
      </w:r>
      <w:r w:rsidR="00AF7DBA" w:rsidRPr="00AF7DBA">
        <w:rPr>
          <w:rFonts w:ascii="Arial" w:hAnsi="Arial" w:cs="Arial"/>
          <w:sz w:val="22"/>
          <w:szCs w:val="22"/>
        </w:rPr>
        <w:t>utilisation</w:t>
      </w:r>
      <w:r w:rsidR="00C121D3">
        <w:rPr>
          <w:rFonts w:ascii="Arial" w:hAnsi="Arial" w:cs="Arial"/>
          <w:sz w:val="22"/>
          <w:szCs w:val="22"/>
        </w:rPr>
        <w:t xml:space="preserve"> des formulaires d’inventaire.</w:t>
      </w:r>
    </w:p>
    <w:p w14:paraId="3B19C465" w14:textId="3B96C52D" w:rsidR="00866B14" w:rsidRPr="00AF7DBA" w:rsidRDefault="00AF7DBA" w:rsidP="00866B14">
      <w:pPr>
        <w:keepNext/>
        <w:numPr>
          <w:ilvl w:val="0"/>
          <w:numId w:val="16"/>
        </w:numPr>
        <w:autoSpaceDE w:val="0"/>
        <w:autoSpaceDN w:val="0"/>
        <w:adjustRightInd w:val="0"/>
        <w:spacing w:before="240" w:after="120"/>
        <w:ind w:left="1134" w:hanging="567"/>
        <w:rPr>
          <w:rFonts w:ascii="Arial" w:hAnsi="Arial" w:cs="Arial"/>
          <w:sz w:val="22"/>
          <w:szCs w:val="22"/>
        </w:rPr>
      </w:pPr>
      <w:r>
        <w:rPr>
          <w:rFonts w:ascii="Arial" w:hAnsi="Arial" w:cs="Arial"/>
          <w:b/>
          <w:sz w:val="22"/>
          <w:szCs w:val="22"/>
        </w:rPr>
        <w:t>Mesures de sauvegarde au niveau national</w:t>
      </w:r>
    </w:p>
    <w:p w14:paraId="1E07170D" w14:textId="7A92E686" w:rsidR="00FB4816" w:rsidRPr="00200297" w:rsidRDefault="00FB4816" w:rsidP="00200297">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Les travaux de</w:t>
      </w:r>
      <w:r w:rsidR="004C4577">
        <w:rPr>
          <w:rFonts w:ascii="Arial" w:hAnsi="Arial" w:cs="Arial"/>
          <w:sz w:val="22"/>
          <w:szCs w:val="22"/>
        </w:rPr>
        <w:t xml:space="preserve"> </w:t>
      </w:r>
      <w:r w:rsidR="004C4577" w:rsidRPr="004C4577">
        <w:rPr>
          <w:rFonts w:ascii="Arial" w:hAnsi="Arial" w:cs="Arial"/>
          <w:b/>
          <w:sz w:val="22"/>
          <w:szCs w:val="22"/>
        </w:rPr>
        <w:t>recherche</w:t>
      </w:r>
      <w:r w:rsidR="004C4577">
        <w:rPr>
          <w:rFonts w:ascii="Arial" w:hAnsi="Arial" w:cs="Arial"/>
          <w:sz w:val="22"/>
          <w:szCs w:val="22"/>
        </w:rPr>
        <w:t xml:space="preserve"> sur le patrimoine culturel immatériel </w:t>
      </w:r>
      <w:r>
        <w:rPr>
          <w:rFonts w:ascii="Arial" w:hAnsi="Arial" w:cs="Arial"/>
          <w:sz w:val="22"/>
          <w:szCs w:val="22"/>
        </w:rPr>
        <w:t xml:space="preserve">sont menés par les tous États parties faisant rapport à différents niveaux et avec des objectifs divers. Dans deux cas, la </w:t>
      </w:r>
      <w:r w:rsidRPr="00FB4816">
        <w:rPr>
          <w:rFonts w:ascii="Arial" w:hAnsi="Arial" w:cs="Arial"/>
          <w:sz w:val="22"/>
          <w:szCs w:val="22"/>
        </w:rPr>
        <w:t>recherche</w:t>
      </w:r>
      <w:r>
        <w:rPr>
          <w:rFonts w:ascii="Arial" w:hAnsi="Arial" w:cs="Arial"/>
          <w:sz w:val="22"/>
          <w:szCs w:val="22"/>
        </w:rPr>
        <w:t xml:space="preserve"> en est encore à ses balbutiements avec l’</w:t>
      </w:r>
      <w:r w:rsidRPr="00FB4816">
        <w:rPr>
          <w:rFonts w:ascii="Arial" w:hAnsi="Arial" w:cs="Arial"/>
          <w:sz w:val="22"/>
          <w:szCs w:val="22"/>
        </w:rPr>
        <w:t>établissement</w:t>
      </w:r>
      <w:r>
        <w:rPr>
          <w:rFonts w:ascii="Arial" w:hAnsi="Arial" w:cs="Arial"/>
          <w:sz w:val="22"/>
          <w:szCs w:val="22"/>
        </w:rPr>
        <w:t xml:space="preserve"> en cours d’une </w:t>
      </w:r>
      <w:r w:rsidRPr="00FB4816">
        <w:rPr>
          <w:rFonts w:ascii="Arial" w:hAnsi="Arial" w:cs="Arial"/>
          <w:sz w:val="22"/>
          <w:szCs w:val="22"/>
        </w:rPr>
        <w:t>structure</w:t>
      </w:r>
      <w:r>
        <w:rPr>
          <w:rFonts w:ascii="Arial" w:hAnsi="Arial" w:cs="Arial"/>
          <w:sz w:val="22"/>
          <w:szCs w:val="22"/>
        </w:rPr>
        <w:t xml:space="preserve"> regroupant des spécialistes capables de conduire des travaux de </w:t>
      </w:r>
      <w:r w:rsidR="007B3ADB">
        <w:rPr>
          <w:rFonts w:ascii="Arial" w:hAnsi="Arial" w:cs="Arial"/>
          <w:sz w:val="22"/>
          <w:szCs w:val="22"/>
        </w:rPr>
        <w:t xml:space="preserve">recherche ciblés et la création </w:t>
      </w:r>
      <w:r>
        <w:rPr>
          <w:rFonts w:ascii="Arial" w:hAnsi="Arial" w:cs="Arial"/>
          <w:sz w:val="22"/>
          <w:szCs w:val="22"/>
        </w:rPr>
        <w:t xml:space="preserve">de </w:t>
      </w:r>
      <w:r w:rsidR="007B3ADB">
        <w:rPr>
          <w:rFonts w:ascii="Arial" w:hAnsi="Arial" w:cs="Arial"/>
          <w:sz w:val="22"/>
          <w:szCs w:val="22"/>
        </w:rPr>
        <w:t xml:space="preserve">cours de </w:t>
      </w:r>
      <w:r>
        <w:rPr>
          <w:rFonts w:ascii="Arial" w:hAnsi="Arial" w:cs="Arial"/>
          <w:sz w:val="22"/>
          <w:szCs w:val="22"/>
        </w:rPr>
        <w:t xml:space="preserve">troisième cycle universitaire afin de pouvoir créer une base de </w:t>
      </w:r>
      <w:r w:rsidRPr="00FB4816">
        <w:rPr>
          <w:rFonts w:ascii="Arial" w:hAnsi="Arial" w:cs="Arial"/>
          <w:sz w:val="22"/>
          <w:szCs w:val="22"/>
        </w:rPr>
        <w:t>recherche</w:t>
      </w:r>
      <w:r>
        <w:rPr>
          <w:rFonts w:ascii="Arial" w:hAnsi="Arial" w:cs="Arial"/>
          <w:sz w:val="22"/>
          <w:szCs w:val="22"/>
        </w:rPr>
        <w:t xml:space="preserve"> au Panama, et la création de manuels de méthodologie sur la </w:t>
      </w:r>
      <w:r w:rsidRPr="00FB4816">
        <w:rPr>
          <w:rFonts w:ascii="Arial" w:hAnsi="Arial" w:cs="Arial"/>
          <w:sz w:val="22"/>
          <w:szCs w:val="22"/>
        </w:rPr>
        <w:t>documentation</w:t>
      </w:r>
      <w:r>
        <w:rPr>
          <w:rFonts w:ascii="Arial" w:hAnsi="Arial" w:cs="Arial"/>
          <w:sz w:val="22"/>
          <w:szCs w:val="22"/>
        </w:rPr>
        <w:t xml:space="preserve">, la collecte et la </w:t>
      </w:r>
      <w:r w:rsidRPr="00FB4816">
        <w:rPr>
          <w:rFonts w:ascii="Arial" w:hAnsi="Arial" w:cs="Arial"/>
          <w:sz w:val="22"/>
          <w:szCs w:val="22"/>
        </w:rPr>
        <w:t>conservation</w:t>
      </w:r>
      <w:r>
        <w:rPr>
          <w:rFonts w:ascii="Arial" w:hAnsi="Arial" w:cs="Arial"/>
          <w:sz w:val="22"/>
          <w:szCs w:val="22"/>
        </w:rPr>
        <w:t xml:space="preserve"> d’éléments et d’un glossaire des termes essentiels en Ukraine. Cette dernière approche démontre</w:t>
      </w:r>
      <w:r w:rsidR="007B3ADB">
        <w:rPr>
          <w:rFonts w:ascii="Arial" w:hAnsi="Arial" w:cs="Arial"/>
          <w:sz w:val="22"/>
          <w:szCs w:val="22"/>
        </w:rPr>
        <w:t xml:space="preserve"> que</w:t>
      </w:r>
      <w:r>
        <w:rPr>
          <w:rFonts w:ascii="Arial" w:hAnsi="Arial" w:cs="Arial"/>
          <w:sz w:val="22"/>
          <w:szCs w:val="22"/>
        </w:rPr>
        <w:t xml:space="preserve">, dans un certain nombre de pays, le patrimoine culturel immatériel en tant que domaine de </w:t>
      </w:r>
      <w:r w:rsidRPr="00FB4816">
        <w:rPr>
          <w:rFonts w:ascii="Arial" w:hAnsi="Arial" w:cs="Arial"/>
          <w:sz w:val="22"/>
          <w:szCs w:val="22"/>
        </w:rPr>
        <w:t>recherche</w:t>
      </w:r>
      <w:r>
        <w:rPr>
          <w:rFonts w:ascii="Arial" w:hAnsi="Arial" w:cs="Arial"/>
          <w:sz w:val="22"/>
          <w:szCs w:val="22"/>
        </w:rPr>
        <w:t xml:space="preserve"> demeure relativement inconnu. En Autriche et en Tchéquie, la </w:t>
      </w:r>
      <w:r w:rsidRPr="00FB4816">
        <w:rPr>
          <w:rFonts w:ascii="Arial" w:hAnsi="Arial" w:cs="Arial"/>
          <w:sz w:val="22"/>
          <w:szCs w:val="22"/>
        </w:rPr>
        <w:t>recherche</w:t>
      </w:r>
      <w:r w:rsidR="007B3ADB">
        <w:rPr>
          <w:rFonts w:ascii="Arial" w:hAnsi="Arial" w:cs="Arial"/>
          <w:sz w:val="22"/>
          <w:szCs w:val="22"/>
        </w:rPr>
        <w:t xml:space="preserve"> ne s’intéresse pas tellement</w:t>
      </w:r>
      <w:r>
        <w:rPr>
          <w:rFonts w:ascii="Arial" w:hAnsi="Arial" w:cs="Arial"/>
          <w:sz w:val="22"/>
          <w:szCs w:val="22"/>
        </w:rPr>
        <w:t xml:space="preserve"> à la </w:t>
      </w:r>
      <w:r w:rsidRPr="00FB4816">
        <w:rPr>
          <w:rFonts w:ascii="Arial" w:hAnsi="Arial" w:cs="Arial"/>
          <w:sz w:val="22"/>
          <w:szCs w:val="22"/>
        </w:rPr>
        <w:t>compréhension</w:t>
      </w:r>
      <w:r>
        <w:rPr>
          <w:rFonts w:ascii="Arial" w:hAnsi="Arial" w:cs="Arial"/>
          <w:sz w:val="22"/>
          <w:szCs w:val="22"/>
        </w:rPr>
        <w:t xml:space="preserve"> du patrimoine culture</w:t>
      </w:r>
      <w:r w:rsidR="007B3ADB">
        <w:rPr>
          <w:rFonts w:ascii="Arial" w:hAnsi="Arial" w:cs="Arial"/>
          <w:sz w:val="22"/>
          <w:szCs w:val="22"/>
        </w:rPr>
        <w:t>l immatériel mais plutôt aux</w:t>
      </w:r>
      <w:r>
        <w:rPr>
          <w:rFonts w:ascii="Arial" w:hAnsi="Arial" w:cs="Arial"/>
          <w:sz w:val="22"/>
          <w:szCs w:val="22"/>
        </w:rPr>
        <w:t xml:space="preserve"> impacts </w:t>
      </w:r>
      <w:r w:rsidR="00200297">
        <w:rPr>
          <w:rFonts w:ascii="Arial" w:hAnsi="Arial" w:cs="Arial"/>
          <w:sz w:val="22"/>
          <w:szCs w:val="22"/>
        </w:rPr>
        <w:t xml:space="preserve">de la </w:t>
      </w:r>
      <w:r w:rsidR="00200297" w:rsidRPr="00200297">
        <w:rPr>
          <w:rFonts w:ascii="Arial" w:hAnsi="Arial" w:cs="Arial"/>
          <w:sz w:val="22"/>
          <w:szCs w:val="22"/>
        </w:rPr>
        <w:t>ratification</w:t>
      </w:r>
      <w:r w:rsidR="00200297">
        <w:rPr>
          <w:rFonts w:ascii="Arial" w:hAnsi="Arial" w:cs="Arial"/>
          <w:sz w:val="22"/>
          <w:szCs w:val="22"/>
        </w:rPr>
        <w:t xml:space="preserve"> de la </w:t>
      </w:r>
      <w:r w:rsidR="00200297" w:rsidRPr="00200297">
        <w:rPr>
          <w:rFonts w:ascii="Arial" w:hAnsi="Arial" w:cs="Arial"/>
          <w:sz w:val="22"/>
          <w:szCs w:val="22"/>
        </w:rPr>
        <w:t>Convention</w:t>
      </w:r>
      <w:r w:rsidR="007B3ADB">
        <w:rPr>
          <w:rFonts w:ascii="Arial" w:hAnsi="Arial" w:cs="Arial"/>
          <w:sz w:val="22"/>
          <w:szCs w:val="22"/>
        </w:rPr>
        <w:t xml:space="preserve"> de 2003 en général, </w:t>
      </w:r>
      <w:r w:rsidR="00200297">
        <w:rPr>
          <w:rFonts w:ascii="Arial" w:hAnsi="Arial" w:cs="Arial"/>
          <w:sz w:val="22"/>
          <w:szCs w:val="22"/>
        </w:rPr>
        <w:t xml:space="preserve">à l’inclusion </w:t>
      </w:r>
      <w:r w:rsidR="008E35AC">
        <w:rPr>
          <w:rFonts w:ascii="Arial" w:hAnsi="Arial" w:cs="Arial"/>
          <w:sz w:val="22"/>
          <w:szCs w:val="22"/>
        </w:rPr>
        <w:t xml:space="preserve">d’éléments </w:t>
      </w:r>
      <w:r w:rsidR="00200297">
        <w:rPr>
          <w:rFonts w:ascii="Arial" w:hAnsi="Arial" w:cs="Arial"/>
          <w:sz w:val="22"/>
          <w:szCs w:val="22"/>
        </w:rPr>
        <w:t xml:space="preserve">dans les inventaires et </w:t>
      </w:r>
      <w:r w:rsidR="007B3ADB">
        <w:rPr>
          <w:rFonts w:ascii="Arial" w:hAnsi="Arial" w:cs="Arial"/>
          <w:sz w:val="22"/>
          <w:szCs w:val="22"/>
        </w:rPr>
        <w:t xml:space="preserve">à </w:t>
      </w:r>
      <w:r w:rsidR="00200297">
        <w:rPr>
          <w:rFonts w:ascii="Arial" w:hAnsi="Arial" w:cs="Arial"/>
          <w:sz w:val="22"/>
          <w:szCs w:val="22"/>
        </w:rPr>
        <w:t>l</w:t>
      </w:r>
      <w:r w:rsidR="008E35AC">
        <w:rPr>
          <w:rFonts w:ascii="Arial" w:hAnsi="Arial" w:cs="Arial"/>
          <w:sz w:val="22"/>
          <w:szCs w:val="22"/>
        </w:rPr>
        <w:t xml:space="preserve">eur </w:t>
      </w:r>
      <w:r w:rsidR="00200297" w:rsidRPr="00200297">
        <w:rPr>
          <w:rFonts w:ascii="Arial" w:hAnsi="Arial" w:cs="Arial"/>
          <w:sz w:val="22"/>
          <w:szCs w:val="22"/>
        </w:rPr>
        <w:t>inscription</w:t>
      </w:r>
      <w:r w:rsidR="008E35AC">
        <w:rPr>
          <w:rFonts w:ascii="Arial" w:hAnsi="Arial" w:cs="Arial"/>
          <w:sz w:val="22"/>
          <w:szCs w:val="22"/>
        </w:rPr>
        <w:t xml:space="preserve"> sur les listes</w:t>
      </w:r>
      <w:r w:rsidR="00200297">
        <w:rPr>
          <w:rFonts w:ascii="Arial" w:hAnsi="Arial" w:cs="Arial"/>
          <w:sz w:val="22"/>
          <w:szCs w:val="22"/>
        </w:rPr>
        <w:t xml:space="preserve"> </w:t>
      </w:r>
      <w:r w:rsidR="00200297" w:rsidRPr="00200297">
        <w:rPr>
          <w:rFonts w:ascii="Arial" w:hAnsi="Arial" w:cs="Arial"/>
          <w:sz w:val="22"/>
          <w:szCs w:val="22"/>
        </w:rPr>
        <w:t>internationale</w:t>
      </w:r>
      <w:r w:rsidR="008E35AC">
        <w:rPr>
          <w:rFonts w:ascii="Arial" w:hAnsi="Arial" w:cs="Arial"/>
          <w:sz w:val="22"/>
          <w:szCs w:val="22"/>
        </w:rPr>
        <w:t>s</w:t>
      </w:r>
      <w:r w:rsidR="00200297">
        <w:rPr>
          <w:rFonts w:ascii="Arial" w:hAnsi="Arial" w:cs="Arial"/>
          <w:sz w:val="22"/>
          <w:szCs w:val="22"/>
        </w:rPr>
        <w:t xml:space="preserve">. En revanche, en </w:t>
      </w:r>
      <w:r w:rsidR="00200297" w:rsidRPr="00200297">
        <w:rPr>
          <w:rFonts w:ascii="Arial" w:hAnsi="Arial" w:cs="Arial"/>
          <w:sz w:val="22"/>
          <w:szCs w:val="22"/>
        </w:rPr>
        <w:t>Bosnie-Herzégovine</w:t>
      </w:r>
      <w:r w:rsidR="00200297">
        <w:rPr>
          <w:rFonts w:ascii="Arial" w:hAnsi="Arial" w:cs="Arial"/>
          <w:sz w:val="22"/>
          <w:szCs w:val="22"/>
        </w:rPr>
        <w:t xml:space="preserve"> et en Grèce, il semble que les projets de </w:t>
      </w:r>
      <w:r w:rsidR="00200297" w:rsidRPr="00200297">
        <w:rPr>
          <w:rFonts w:ascii="Arial" w:hAnsi="Arial" w:cs="Arial"/>
          <w:sz w:val="22"/>
          <w:szCs w:val="22"/>
        </w:rPr>
        <w:t>recherche</w:t>
      </w:r>
      <w:r w:rsidR="00200297">
        <w:rPr>
          <w:rFonts w:ascii="Arial" w:hAnsi="Arial" w:cs="Arial"/>
          <w:sz w:val="22"/>
          <w:szCs w:val="22"/>
        </w:rPr>
        <w:t xml:space="preserve"> s’intéressent plus à des éléments particuliers (dans certains cas pour des</w:t>
      </w:r>
      <w:r w:rsidR="00555358">
        <w:rPr>
          <w:rFonts w:ascii="Arial" w:hAnsi="Arial" w:cs="Arial"/>
          <w:sz w:val="22"/>
          <w:szCs w:val="22"/>
        </w:rPr>
        <w:t xml:space="preserve"> candidatures à l’inclusion à</w:t>
      </w:r>
      <w:r w:rsidR="00200297">
        <w:rPr>
          <w:rFonts w:ascii="Arial" w:hAnsi="Arial" w:cs="Arial"/>
          <w:sz w:val="22"/>
          <w:szCs w:val="22"/>
        </w:rPr>
        <w:t xml:space="preserve"> l’</w:t>
      </w:r>
      <w:r w:rsidR="00200297" w:rsidRPr="00200297">
        <w:rPr>
          <w:rFonts w:ascii="Arial" w:hAnsi="Arial" w:cs="Arial"/>
          <w:sz w:val="22"/>
          <w:szCs w:val="22"/>
        </w:rPr>
        <w:t>inventaire</w:t>
      </w:r>
      <w:r w:rsidR="00555358">
        <w:rPr>
          <w:rFonts w:ascii="Arial" w:hAnsi="Arial" w:cs="Arial"/>
          <w:sz w:val="22"/>
          <w:szCs w:val="22"/>
        </w:rPr>
        <w:t xml:space="preserve"> ou</w:t>
      </w:r>
      <w:r w:rsidR="008E35AC">
        <w:rPr>
          <w:rFonts w:ascii="Arial" w:hAnsi="Arial" w:cs="Arial"/>
          <w:sz w:val="22"/>
          <w:szCs w:val="22"/>
        </w:rPr>
        <w:t xml:space="preserve"> à</w:t>
      </w:r>
      <w:r w:rsidR="00555358">
        <w:rPr>
          <w:rFonts w:ascii="Arial" w:hAnsi="Arial" w:cs="Arial"/>
          <w:sz w:val="22"/>
          <w:szCs w:val="22"/>
        </w:rPr>
        <w:t xml:space="preserve"> la liste national</w:t>
      </w:r>
      <w:r w:rsidR="008E35AC">
        <w:rPr>
          <w:rFonts w:ascii="Arial" w:hAnsi="Arial" w:cs="Arial"/>
          <w:sz w:val="22"/>
          <w:szCs w:val="22"/>
        </w:rPr>
        <w:t>(e)</w:t>
      </w:r>
      <w:r w:rsidR="00200297">
        <w:rPr>
          <w:rFonts w:ascii="Arial" w:hAnsi="Arial" w:cs="Arial"/>
          <w:sz w:val="22"/>
          <w:szCs w:val="22"/>
        </w:rPr>
        <w:t xml:space="preserve">) et sont plus descriptifs. La </w:t>
      </w:r>
      <w:r w:rsidR="00200297" w:rsidRPr="00200297">
        <w:rPr>
          <w:rFonts w:ascii="Arial" w:hAnsi="Arial" w:cs="Arial"/>
          <w:sz w:val="22"/>
          <w:szCs w:val="22"/>
        </w:rPr>
        <w:t>recherche</w:t>
      </w:r>
      <w:r w:rsidR="00200297">
        <w:rPr>
          <w:rFonts w:ascii="Arial" w:hAnsi="Arial" w:cs="Arial"/>
          <w:sz w:val="22"/>
          <w:szCs w:val="22"/>
        </w:rPr>
        <w:t xml:space="preserve"> est en général financée par le </w:t>
      </w:r>
      <w:r w:rsidR="00200297" w:rsidRPr="00200297">
        <w:rPr>
          <w:rFonts w:ascii="Arial" w:hAnsi="Arial" w:cs="Arial"/>
          <w:sz w:val="22"/>
          <w:szCs w:val="22"/>
        </w:rPr>
        <w:t>Ministère</w:t>
      </w:r>
      <w:r w:rsidR="00200297">
        <w:rPr>
          <w:rFonts w:ascii="Arial" w:hAnsi="Arial" w:cs="Arial"/>
          <w:sz w:val="22"/>
          <w:szCs w:val="22"/>
        </w:rPr>
        <w:t xml:space="preserve"> de la culture, l’agence en charge de la mise en œuvre de la </w:t>
      </w:r>
      <w:r w:rsidR="00200297" w:rsidRPr="00200297">
        <w:rPr>
          <w:rFonts w:ascii="Arial" w:hAnsi="Arial" w:cs="Arial"/>
          <w:sz w:val="22"/>
          <w:szCs w:val="22"/>
        </w:rPr>
        <w:t>Convention</w:t>
      </w:r>
      <w:r w:rsidR="00200297">
        <w:rPr>
          <w:rFonts w:ascii="Arial" w:hAnsi="Arial" w:cs="Arial"/>
          <w:sz w:val="22"/>
          <w:szCs w:val="22"/>
        </w:rPr>
        <w:t xml:space="preserve"> ou les </w:t>
      </w:r>
      <w:r w:rsidR="00200297" w:rsidRPr="00200297">
        <w:rPr>
          <w:rFonts w:ascii="Arial" w:hAnsi="Arial" w:cs="Arial"/>
          <w:sz w:val="22"/>
          <w:szCs w:val="22"/>
        </w:rPr>
        <w:t>institutions</w:t>
      </w:r>
      <w:r w:rsidR="00200297">
        <w:rPr>
          <w:rFonts w:ascii="Arial" w:hAnsi="Arial" w:cs="Arial"/>
          <w:sz w:val="22"/>
          <w:szCs w:val="22"/>
        </w:rPr>
        <w:t xml:space="preserve"> scientifiques elles-mêmes. Outre les </w:t>
      </w:r>
      <w:r w:rsidR="00200297" w:rsidRPr="00200297">
        <w:rPr>
          <w:rFonts w:ascii="Arial" w:hAnsi="Arial" w:cs="Arial"/>
          <w:sz w:val="22"/>
          <w:szCs w:val="22"/>
        </w:rPr>
        <w:t>autorités</w:t>
      </w:r>
      <w:r w:rsidR="00200297">
        <w:rPr>
          <w:rFonts w:ascii="Arial" w:hAnsi="Arial" w:cs="Arial"/>
          <w:sz w:val="22"/>
          <w:szCs w:val="22"/>
        </w:rPr>
        <w:t xml:space="preserve"> culturelles, les instituts de </w:t>
      </w:r>
      <w:r w:rsidR="00200297" w:rsidRPr="00200297">
        <w:rPr>
          <w:rFonts w:ascii="Arial" w:hAnsi="Arial" w:cs="Arial"/>
          <w:sz w:val="22"/>
          <w:szCs w:val="22"/>
        </w:rPr>
        <w:t>recherche</w:t>
      </w:r>
      <w:r w:rsidR="00200297">
        <w:rPr>
          <w:rFonts w:ascii="Arial" w:hAnsi="Arial" w:cs="Arial"/>
          <w:sz w:val="22"/>
          <w:szCs w:val="22"/>
        </w:rPr>
        <w:t xml:space="preserve"> et les universités, d’autres entités telles que des chercheurs indépendants, des organisations non gouvernementales et des </w:t>
      </w:r>
      <w:r w:rsidR="00200297" w:rsidRPr="00200297">
        <w:rPr>
          <w:rFonts w:ascii="Arial" w:hAnsi="Arial" w:cs="Arial"/>
          <w:sz w:val="22"/>
          <w:szCs w:val="22"/>
        </w:rPr>
        <w:t>institutions</w:t>
      </w:r>
      <w:r w:rsidR="00200297">
        <w:rPr>
          <w:rFonts w:ascii="Arial" w:hAnsi="Arial" w:cs="Arial"/>
          <w:sz w:val="22"/>
          <w:szCs w:val="22"/>
        </w:rPr>
        <w:t xml:space="preserve"> privées mènent </w:t>
      </w:r>
      <w:r w:rsidR="00200297" w:rsidRPr="00200297">
        <w:rPr>
          <w:rFonts w:ascii="Arial" w:hAnsi="Arial" w:cs="Arial"/>
          <w:sz w:val="22"/>
          <w:szCs w:val="22"/>
        </w:rPr>
        <w:t>également</w:t>
      </w:r>
      <w:r w:rsidR="00200297">
        <w:rPr>
          <w:rFonts w:ascii="Arial" w:hAnsi="Arial" w:cs="Arial"/>
          <w:sz w:val="22"/>
          <w:szCs w:val="22"/>
        </w:rPr>
        <w:t xml:space="preserve"> des travaux de </w:t>
      </w:r>
      <w:r w:rsidR="00200297" w:rsidRPr="00200297">
        <w:rPr>
          <w:rFonts w:ascii="Arial" w:hAnsi="Arial" w:cs="Arial"/>
          <w:sz w:val="22"/>
          <w:szCs w:val="22"/>
        </w:rPr>
        <w:t>recherche</w:t>
      </w:r>
      <w:r w:rsidR="00C121D3">
        <w:rPr>
          <w:rFonts w:ascii="Arial" w:hAnsi="Arial" w:cs="Arial"/>
          <w:sz w:val="22"/>
          <w:szCs w:val="22"/>
        </w:rPr>
        <w:t>.</w:t>
      </w:r>
    </w:p>
    <w:p w14:paraId="49F8DC6A" w14:textId="45E0659E" w:rsidR="00200297" w:rsidRDefault="00200297" w:rsidP="00866B1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lastRenderedPageBreak/>
        <w:t xml:space="preserve">La </w:t>
      </w:r>
      <w:r w:rsidRPr="006E5AC5">
        <w:rPr>
          <w:rFonts w:ascii="Arial" w:hAnsi="Arial" w:cs="Arial"/>
          <w:b/>
          <w:sz w:val="22"/>
          <w:szCs w:val="22"/>
        </w:rPr>
        <w:t>promotion et la sensibilisation</w:t>
      </w:r>
      <w:r w:rsidRPr="00200297">
        <w:rPr>
          <w:rFonts w:ascii="Arial" w:hAnsi="Arial" w:cs="Arial"/>
          <w:sz w:val="22"/>
          <w:szCs w:val="22"/>
        </w:rPr>
        <w:t xml:space="preserve"> </w:t>
      </w:r>
      <w:r>
        <w:rPr>
          <w:rFonts w:ascii="Arial" w:hAnsi="Arial" w:cs="Arial"/>
          <w:sz w:val="22"/>
          <w:szCs w:val="22"/>
        </w:rPr>
        <w:t xml:space="preserve">au patrimoine culturel immatériel </w:t>
      </w:r>
      <w:r w:rsidR="006E5AC5">
        <w:rPr>
          <w:rFonts w:ascii="Arial" w:hAnsi="Arial" w:cs="Arial"/>
          <w:sz w:val="22"/>
          <w:szCs w:val="22"/>
        </w:rPr>
        <w:t xml:space="preserve">constituent toujours d’importantes actions de </w:t>
      </w:r>
      <w:r w:rsidR="006E5AC5" w:rsidRPr="006E5AC5">
        <w:rPr>
          <w:rFonts w:ascii="Arial" w:hAnsi="Arial" w:cs="Arial"/>
          <w:sz w:val="22"/>
          <w:szCs w:val="22"/>
        </w:rPr>
        <w:t>sauvegarde</w:t>
      </w:r>
      <w:r w:rsidR="006E5AC5">
        <w:rPr>
          <w:rFonts w:ascii="Arial" w:hAnsi="Arial" w:cs="Arial"/>
          <w:sz w:val="22"/>
          <w:szCs w:val="22"/>
        </w:rPr>
        <w:t xml:space="preserve">, comme </w:t>
      </w:r>
      <w:r w:rsidR="006E5AC5" w:rsidRPr="006E5AC5">
        <w:rPr>
          <w:rFonts w:ascii="Arial" w:hAnsi="Arial" w:cs="Arial"/>
          <w:sz w:val="22"/>
          <w:szCs w:val="22"/>
        </w:rPr>
        <w:t>par exemple</w:t>
      </w:r>
      <w:r w:rsidR="006E5AC5">
        <w:rPr>
          <w:rFonts w:ascii="Arial" w:hAnsi="Arial" w:cs="Arial"/>
          <w:sz w:val="22"/>
          <w:szCs w:val="22"/>
        </w:rPr>
        <w:t xml:space="preserve"> au Panama, et se concrétisent souvent par des actions dans les médias, des festivals, des foires, des réunions d’information, des cérémonies de remise de prix, des conférences de presse, des séminaires</w:t>
      </w:r>
      <w:r w:rsidR="00F22C85">
        <w:rPr>
          <w:rFonts w:ascii="Arial" w:hAnsi="Arial" w:cs="Arial"/>
          <w:sz w:val="22"/>
          <w:szCs w:val="22"/>
        </w:rPr>
        <w:t>,</w:t>
      </w:r>
      <w:r w:rsidR="006E5AC5">
        <w:rPr>
          <w:rFonts w:ascii="Arial" w:hAnsi="Arial" w:cs="Arial"/>
          <w:sz w:val="22"/>
          <w:szCs w:val="22"/>
        </w:rPr>
        <w:t xml:space="preserve"> d</w:t>
      </w:r>
      <w:r w:rsidR="00555358">
        <w:rPr>
          <w:rFonts w:ascii="Arial" w:hAnsi="Arial" w:cs="Arial"/>
          <w:sz w:val="22"/>
          <w:szCs w:val="22"/>
        </w:rPr>
        <w:t xml:space="preserve">es tables rondes et </w:t>
      </w:r>
      <w:r w:rsidR="00A14BD0">
        <w:rPr>
          <w:rFonts w:ascii="Arial" w:hAnsi="Arial" w:cs="Arial"/>
          <w:sz w:val="22"/>
          <w:szCs w:val="22"/>
        </w:rPr>
        <w:t xml:space="preserve">une </w:t>
      </w:r>
      <w:r w:rsidR="00A14BD0" w:rsidRPr="00A14BD0">
        <w:rPr>
          <w:rFonts w:ascii="Arial" w:hAnsi="Arial" w:cs="Arial"/>
          <w:sz w:val="22"/>
          <w:szCs w:val="22"/>
        </w:rPr>
        <w:t>participation</w:t>
      </w:r>
      <w:r w:rsidR="00A14BD0">
        <w:rPr>
          <w:rFonts w:ascii="Arial" w:hAnsi="Arial" w:cs="Arial"/>
          <w:sz w:val="22"/>
          <w:szCs w:val="22"/>
        </w:rPr>
        <w:t xml:space="preserve"> aux</w:t>
      </w:r>
      <w:r w:rsidR="006E5AC5">
        <w:rPr>
          <w:rFonts w:ascii="Arial" w:hAnsi="Arial" w:cs="Arial"/>
          <w:sz w:val="22"/>
          <w:szCs w:val="22"/>
        </w:rPr>
        <w:t xml:space="preserve"> Journées européennes du </w:t>
      </w:r>
      <w:r w:rsidR="006E5AC5" w:rsidRPr="006E5AC5">
        <w:rPr>
          <w:rFonts w:ascii="Arial" w:hAnsi="Arial" w:cs="Arial"/>
          <w:sz w:val="22"/>
          <w:szCs w:val="22"/>
        </w:rPr>
        <w:t>patrimoine</w:t>
      </w:r>
      <w:r w:rsidR="006E5AC5">
        <w:rPr>
          <w:rFonts w:ascii="Arial" w:hAnsi="Arial" w:cs="Arial"/>
          <w:sz w:val="22"/>
          <w:szCs w:val="22"/>
        </w:rPr>
        <w:t xml:space="preserve"> (ces actions sont mentionnées </w:t>
      </w:r>
      <w:r w:rsidR="00F22C85">
        <w:rPr>
          <w:rFonts w:ascii="Arial" w:hAnsi="Arial" w:cs="Arial"/>
          <w:sz w:val="22"/>
          <w:szCs w:val="22"/>
        </w:rPr>
        <w:t>de diverses façons par</w:t>
      </w:r>
      <w:r w:rsidR="006E5AC5">
        <w:rPr>
          <w:rFonts w:ascii="Arial" w:hAnsi="Arial" w:cs="Arial"/>
          <w:sz w:val="22"/>
          <w:szCs w:val="22"/>
        </w:rPr>
        <w:t xml:space="preserve"> l’Autriche, la </w:t>
      </w:r>
      <w:r w:rsidR="006E5AC5" w:rsidRPr="006E5AC5">
        <w:rPr>
          <w:rFonts w:ascii="Arial" w:hAnsi="Arial" w:cs="Arial"/>
          <w:sz w:val="22"/>
          <w:szCs w:val="22"/>
        </w:rPr>
        <w:t>Bosnie-Herzégovine</w:t>
      </w:r>
      <w:r w:rsidR="006E5AC5">
        <w:rPr>
          <w:rFonts w:ascii="Arial" w:hAnsi="Arial" w:cs="Arial"/>
          <w:sz w:val="22"/>
          <w:szCs w:val="22"/>
        </w:rPr>
        <w:t xml:space="preserve">, la Grèce, le Panama et l’Ukraine). Les </w:t>
      </w:r>
      <w:r w:rsidR="006E5AC5" w:rsidRPr="006E5AC5">
        <w:rPr>
          <w:rFonts w:ascii="Arial" w:hAnsi="Arial" w:cs="Arial"/>
          <w:sz w:val="22"/>
          <w:szCs w:val="22"/>
        </w:rPr>
        <w:t>informations</w:t>
      </w:r>
      <w:r w:rsidR="006E5AC5">
        <w:rPr>
          <w:rFonts w:ascii="Arial" w:hAnsi="Arial" w:cs="Arial"/>
          <w:sz w:val="22"/>
          <w:szCs w:val="22"/>
        </w:rPr>
        <w:t xml:space="preserve"> relatives aux éléments du patrimoine culturel immatériel semblent être assez facilement accessibles par le grand public (surtout au moyen de sites web dédiés mais </w:t>
      </w:r>
      <w:r w:rsidR="006E5AC5" w:rsidRPr="006E5AC5">
        <w:rPr>
          <w:rFonts w:ascii="Arial" w:hAnsi="Arial" w:cs="Arial"/>
          <w:sz w:val="22"/>
          <w:szCs w:val="22"/>
        </w:rPr>
        <w:t>également</w:t>
      </w:r>
      <w:r w:rsidR="006E5AC5">
        <w:rPr>
          <w:rFonts w:ascii="Arial" w:hAnsi="Arial" w:cs="Arial"/>
          <w:sz w:val="22"/>
          <w:szCs w:val="22"/>
        </w:rPr>
        <w:t xml:space="preserve"> grâce à la presse, la </w:t>
      </w:r>
      <w:r w:rsidR="006E5AC5" w:rsidRPr="006E5AC5">
        <w:rPr>
          <w:rFonts w:ascii="Arial" w:hAnsi="Arial" w:cs="Arial"/>
          <w:sz w:val="22"/>
          <w:szCs w:val="22"/>
          <w:lang w:eastAsia="en-US"/>
        </w:rPr>
        <w:t>télévision</w:t>
      </w:r>
      <w:r w:rsidR="006E5AC5">
        <w:rPr>
          <w:rFonts w:ascii="Arial" w:hAnsi="Arial" w:cs="Arial"/>
          <w:sz w:val="22"/>
          <w:szCs w:val="22"/>
        </w:rPr>
        <w:t xml:space="preserve"> et la radio) et il n’est pas fait </w:t>
      </w:r>
      <w:r w:rsidR="00E4057A">
        <w:rPr>
          <w:rFonts w:ascii="Arial" w:hAnsi="Arial" w:cs="Arial"/>
          <w:sz w:val="22"/>
          <w:szCs w:val="22"/>
        </w:rPr>
        <w:t>é</w:t>
      </w:r>
      <w:r w:rsidR="006E5AC5">
        <w:rPr>
          <w:rFonts w:ascii="Arial" w:hAnsi="Arial" w:cs="Arial"/>
          <w:sz w:val="22"/>
          <w:szCs w:val="22"/>
        </w:rPr>
        <w:t>tat d</w:t>
      </w:r>
      <w:r w:rsidR="00F22C85">
        <w:rPr>
          <w:rFonts w:ascii="Arial" w:hAnsi="Arial" w:cs="Arial"/>
          <w:sz w:val="22"/>
          <w:szCs w:val="22"/>
        </w:rPr>
        <w:t>e communauté</w:t>
      </w:r>
      <w:r w:rsidR="00E4057A">
        <w:rPr>
          <w:rFonts w:ascii="Arial" w:hAnsi="Arial" w:cs="Arial"/>
          <w:sz w:val="22"/>
          <w:szCs w:val="22"/>
        </w:rPr>
        <w:t xml:space="preserve"> de détenteurs s’</w:t>
      </w:r>
      <w:r w:rsidR="00F22C85">
        <w:rPr>
          <w:rFonts w:ascii="Arial" w:hAnsi="Arial" w:cs="Arial"/>
          <w:sz w:val="22"/>
          <w:szCs w:val="22"/>
        </w:rPr>
        <w:t>étant opposée</w:t>
      </w:r>
      <w:r w:rsidR="006E5AC5">
        <w:rPr>
          <w:rFonts w:ascii="Arial" w:hAnsi="Arial" w:cs="Arial"/>
          <w:sz w:val="22"/>
          <w:szCs w:val="22"/>
        </w:rPr>
        <w:t xml:space="preserve"> à un tel partage d’</w:t>
      </w:r>
      <w:r w:rsidR="006E5AC5" w:rsidRPr="006E5AC5">
        <w:rPr>
          <w:rFonts w:ascii="Arial" w:hAnsi="Arial" w:cs="Arial"/>
          <w:sz w:val="22"/>
          <w:szCs w:val="22"/>
        </w:rPr>
        <w:t>informations</w:t>
      </w:r>
      <w:r w:rsidR="006E5AC5">
        <w:rPr>
          <w:rFonts w:ascii="Arial" w:hAnsi="Arial" w:cs="Arial"/>
          <w:sz w:val="22"/>
          <w:szCs w:val="22"/>
        </w:rPr>
        <w:t xml:space="preserve">. </w:t>
      </w:r>
      <w:r w:rsidR="00E4057A">
        <w:rPr>
          <w:rFonts w:ascii="Arial" w:hAnsi="Arial" w:cs="Arial"/>
          <w:sz w:val="22"/>
          <w:szCs w:val="22"/>
        </w:rPr>
        <w:t>Parmi les groupes cibles (mentionnés par l’Autriche</w:t>
      </w:r>
      <w:r w:rsidR="00F22C85">
        <w:rPr>
          <w:rFonts w:ascii="Arial" w:hAnsi="Arial" w:cs="Arial"/>
          <w:sz w:val="22"/>
          <w:szCs w:val="22"/>
        </w:rPr>
        <w:t xml:space="preserve"> et la Grèce)</w:t>
      </w:r>
      <w:r w:rsidR="00E4057A">
        <w:rPr>
          <w:rFonts w:ascii="Arial" w:hAnsi="Arial" w:cs="Arial"/>
          <w:sz w:val="22"/>
          <w:szCs w:val="22"/>
        </w:rPr>
        <w:t xml:space="preserve"> de telles </w:t>
      </w:r>
      <w:r w:rsidR="00E4057A" w:rsidRPr="00E4057A">
        <w:rPr>
          <w:rFonts w:ascii="Arial" w:hAnsi="Arial" w:cs="Arial"/>
          <w:sz w:val="22"/>
          <w:szCs w:val="22"/>
        </w:rPr>
        <w:t>informations</w:t>
      </w:r>
      <w:r w:rsidR="00E4057A">
        <w:rPr>
          <w:rFonts w:ascii="Arial" w:hAnsi="Arial" w:cs="Arial"/>
          <w:sz w:val="22"/>
          <w:szCs w:val="22"/>
        </w:rPr>
        <w:t xml:space="preserve">, on citera les communautés locales et de </w:t>
      </w:r>
      <w:r w:rsidR="00E4057A" w:rsidRPr="00E4057A">
        <w:rPr>
          <w:rFonts w:ascii="Arial" w:hAnsi="Arial" w:cs="Arial"/>
          <w:sz w:val="22"/>
          <w:szCs w:val="22"/>
        </w:rPr>
        <w:t xml:space="preserve">détenteurs </w:t>
      </w:r>
      <w:r w:rsidR="00E4057A">
        <w:rPr>
          <w:rFonts w:ascii="Arial" w:hAnsi="Arial" w:cs="Arial"/>
          <w:sz w:val="22"/>
          <w:szCs w:val="22"/>
        </w:rPr>
        <w:t xml:space="preserve">(sans distinction d’âge ou de genre), les chercheurs indépendants, les </w:t>
      </w:r>
      <w:r w:rsidR="00E4057A" w:rsidRPr="00E4057A">
        <w:rPr>
          <w:rFonts w:ascii="Arial" w:hAnsi="Arial" w:cs="Arial"/>
          <w:sz w:val="22"/>
          <w:szCs w:val="22"/>
        </w:rPr>
        <w:t>institutions</w:t>
      </w:r>
      <w:r w:rsidR="00E4057A">
        <w:rPr>
          <w:rFonts w:ascii="Arial" w:hAnsi="Arial" w:cs="Arial"/>
          <w:sz w:val="22"/>
          <w:szCs w:val="22"/>
        </w:rPr>
        <w:t xml:space="preserve"> de </w:t>
      </w:r>
      <w:r w:rsidR="00E4057A" w:rsidRPr="00E4057A">
        <w:rPr>
          <w:rFonts w:ascii="Arial" w:hAnsi="Arial" w:cs="Arial"/>
          <w:sz w:val="22"/>
          <w:szCs w:val="22"/>
        </w:rPr>
        <w:t>recherche</w:t>
      </w:r>
      <w:r w:rsidR="00E4057A">
        <w:rPr>
          <w:rFonts w:ascii="Arial" w:hAnsi="Arial" w:cs="Arial"/>
          <w:sz w:val="22"/>
          <w:szCs w:val="22"/>
        </w:rPr>
        <w:t xml:space="preserve">, le personnel des musées, les organisations </w:t>
      </w:r>
      <w:r w:rsidR="00E4057A" w:rsidRPr="00E4057A">
        <w:rPr>
          <w:rFonts w:ascii="Arial" w:hAnsi="Arial" w:cs="Arial"/>
          <w:sz w:val="22"/>
          <w:szCs w:val="22"/>
          <w:lang w:eastAsia="en-US"/>
        </w:rPr>
        <w:t>touristique</w:t>
      </w:r>
      <w:r w:rsidR="00E4057A">
        <w:rPr>
          <w:rFonts w:ascii="Arial" w:hAnsi="Arial" w:cs="Arial"/>
          <w:sz w:val="22"/>
          <w:szCs w:val="22"/>
          <w:lang w:eastAsia="en-US"/>
        </w:rPr>
        <w:t>s</w:t>
      </w:r>
      <w:r w:rsidR="00E4057A">
        <w:rPr>
          <w:rFonts w:ascii="Arial" w:hAnsi="Arial" w:cs="Arial"/>
          <w:sz w:val="22"/>
          <w:szCs w:val="22"/>
        </w:rPr>
        <w:t xml:space="preserve"> et les étudiants, dans le but non seulement de promouvoir la </w:t>
      </w:r>
      <w:r w:rsidR="00E4057A" w:rsidRPr="00E4057A">
        <w:rPr>
          <w:rFonts w:ascii="Arial" w:hAnsi="Arial" w:cs="Arial"/>
          <w:sz w:val="22"/>
          <w:szCs w:val="22"/>
        </w:rPr>
        <w:t>Convention</w:t>
      </w:r>
      <w:r w:rsidR="00E4057A">
        <w:rPr>
          <w:rFonts w:ascii="Arial" w:hAnsi="Arial" w:cs="Arial"/>
          <w:sz w:val="22"/>
          <w:szCs w:val="22"/>
        </w:rPr>
        <w:t xml:space="preserve"> et de </w:t>
      </w:r>
      <w:r w:rsidR="00E4057A" w:rsidRPr="00E4057A">
        <w:rPr>
          <w:rFonts w:ascii="Arial" w:hAnsi="Arial" w:cs="Arial"/>
          <w:sz w:val="22"/>
          <w:szCs w:val="22"/>
        </w:rPr>
        <w:t>sensib</w:t>
      </w:r>
      <w:r w:rsidR="00E4057A">
        <w:rPr>
          <w:rFonts w:ascii="Arial" w:hAnsi="Arial" w:cs="Arial"/>
          <w:sz w:val="22"/>
          <w:szCs w:val="22"/>
        </w:rPr>
        <w:t xml:space="preserve">iliser au patrimoine culturel immatériel mais </w:t>
      </w:r>
      <w:r w:rsidR="00E4057A" w:rsidRPr="00E4057A">
        <w:rPr>
          <w:rFonts w:ascii="Arial" w:hAnsi="Arial" w:cs="Arial"/>
          <w:sz w:val="22"/>
          <w:szCs w:val="22"/>
        </w:rPr>
        <w:t>également</w:t>
      </w:r>
      <w:r w:rsidR="00E4057A">
        <w:rPr>
          <w:rFonts w:ascii="Arial" w:hAnsi="Arial" w:cs="Arial"/>
          <w:sz w:val="22"/>
          <w:szCs w:val="22"/>
        </w:rPr>
        <w:t xml:space="preserve"> de constituer des réseaux de facilitateurs au niveau local. Les festivals d’art populaire et l’</w:t>
      </w:r>
      <w:r w:rsidR="00E4057A" w:rsidRPr="00E4057A">
        <w:rPr>
          <w:rFonts w:ascii="Arial" w:hAnsi="Arial" w:cs="Arial"/>
          <w:sz w:val="22"/>
          <w:szCs w:val="22"/>
        </w:rPr>
        <w:t>organisation</w:t>
      </w:r>
      <w:r w:rsidR="00E4057A">
        <w:rPr>
          <w:rFonts w:ascii="Arial" w:hAnsi="Arial" w:cs="Arial"/>
          <w:sz w:val="22"/>
          <w:szCs w:val="22"/>
        </w:rPr>
        <w:t xml:space="preserve"> d’événements traditionnels dans leur cadre d’origine sont </w:t>
      </w:r>
      <w:r w:rsidR="00E4057A" w:rsidRPr="00E4057A">
        <w:rPr>
          <w:rFonts w:ascii="Arial" w:hAnsi="Arial" w:cs="Arial"/>
          <w:sz w:val="22"/>
          <w:szCs w:val="22"/>
        </w:rPr>
        <w:t>également</w:t>
      </w:r>
      <w:r w:rsidR="00E4057A">
        <w:rPr>
          <w:rFonts w:ascii="Arial" w:hAnsi="Arial" w:cs="Arial"/>
          <w:sz w:val="22"/>
          <w:szCs w:val="22"/>
        </w:rPr>
        <w:t xml:space="preserve"> envisagés comme des moyens de promotion du patrimoine culturel</w:t>
      </w:r>
      <w:r w:rsidR="00F22C85">
        <w:rPr>
          <w:rFonts w:ascii="Arial" w:hAnsi="Arial" w:cs="Arial"/>
          <w:sz w:val="22"/>
          <w:szCs w:val="22"/>
        </w:rPr>
        <w:t xml:space="preserve"> immatériel (en Tchéquie et au Panama), tandis qu’en Tchéquie</w:t>
      </w:r>
      <w:r w:rsidR="00E4057A">
        <w:rPr>
          <w:rFonts w:ascii="Arial" w:hAnsi="Arial" w:cs="Arial"/>
          <w:sz w:val="22"/>
          <w:szCs w:val="22"/>
        </w:rPr>
        <w:t xml:space="preserve"> les musées locaux et en plein air sont considérés comme ayant un fort potentiel dans ce domaine. Au Panama, des timbres-poste </w:t>
      </w:r>
      <w:r w:rsidR="00E4057A" w:rsidRPr="00E4057A">
        <w:rPr>
          <w:rFonts w:ascii="Arial" w:hAnsi="Arial" w:cs="Arial"/>
          <w:sz w:val="22"/>
          <w:szCs w:val="22"/>
        </w:rPr>
        <w:t>représentant</w:t>
      </w:r>
      <w:r w:rsidR="00E4057A">
        <w:rPr>
          <w:rFonts w:ascii="Arial" w:hAnsi="Arial" w:cs="Arial"/>
          <w:sz w:val="22"/>
          <w:szCs w:val="22"/>
        </w:rPr>
        <w:t xml:space="preserve"> des éléments du patrimoine culturel immatériel ont été émis et, en Tchéquie, </w:t>
      </w:r>
      <w:r w:rsidR="00F22C85">
        <w:rPr>
          <w:rFonts w:ascii="Arial" w:hAnsi="Arial" w:cs="Arial"/>
          <w:sz w:val="22"/>
          <w:szCs w:val="22"/>
        </w:rPr>
        <w:t>des</w:t>
      </w:r>
      <w:r w:rsidR="00555358">
        <w:rPr>
          <w:rFonts w:ascii="Arial" w:hAnsi="Arial" w:cs="Arial"/>
          <w:sz w:val="22"/>
          <w:szCs w:val="22"/>
        </w:rPr>
        <w:t xml:space="preserve"> marques spécifiques (dont une regroupant</w:t>
      </w:r>
      <w:r w:rsidR="00F22C85">
        <w:rPr>
          <w:rFonts w:ascii="Arial" w:hAnsi="Arial" w:cs="Arial"/>
          <w:sz w:val="22"/>
          <w:szCs w:val="22"/>
        </w:rPr>
        <w:t xml:space="preserve"> 250 artisans) ont été créées afin de promouvoir le </w:t>
      </w:r>
      <w:r w:rsidR="00F465C2">
        <w:rPr>
          <w:rFonts w:ascii="Arial" w:hAnsi="Arial" w:cs="Arial"/>
          <w:sz w:val="22"/>
          <w:szCs w:val="22"/>
        </w:rPr>
        <w:t>patrimoine culturel immatériel.</w:t>
      </w:r>
    </w:p>
    <w:p w14:paraId="075D3FFD" w14:textId="4425B051" w:rsidR="00F22C85" w:rsidRPr="00200297" w:rsidRDefault="00F22C85" w:rsidP="00866B1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Les </w:t>
      </w:r>
      <w:r w:rsidRPr="00F22C85">
        <w:rPr>
          <w:rFonts w:ascii="Arial" w:hAnsi="Arial" w:cs="Arial"/>
          <w:b/>
          <w:sz w:val="22"/>
          <w:szCs w:val="22"/>
        </w:rPr>
        <w:t xml:space="preserve">programmes </w:t>
      </w:r>
      <w:r>
        <w:rPr>
          <w:rFonts w:ascii="Arial" w:hAnsi="Arial" w:cs="Arial"/>
          <w:b/>
          <w:sz w:val="22"/>
          <w:szCs w:val="22"/>
        </w:rPr>
        <w:t>d’</w:t>
      </w:r>
      <w:r w:rsidRPr="00F22C85">
        <w:rPr>
          <w:rFonts w:ascii="Arial" w:hAnsi="Arial" w:cs="Arial"/>
          <w:b/>
          <w:sz w:val="22"/>
          <w:szCs w:val="22"/>
        </w:rPr>
        <w:t>éducati</w:t>
      </w:r>
      <w:r>
        <w:rPr>
          <w:rFonts w:ascii="Arial" w:hAnsi="Arial" w:cs="Arial"/>
          <w:b/>
          <w:sz w:val="22"/>
          <w:szCs w:val="22"/>
        </w:rPr>
        <w:t>on</w:t>
      </w:r>
      <w:r>
        <w:rPr>
          <w:rFonts w:ascii="Arial" w:hAnsi="Arial" w:cs="Arial"/>
          <w:sz w:val="22"/>
          <w:szCs w:val="22"/>
        </w:rPr>
        <w:t xml:space="preserve">, tant formelle qu’informelle, sont une autre approche courante de la </w:t>
      </w:r>
      <w:r w:rsidRPr="00F22C85">
        <w:rPr>
          <w:rFonts w:ascii="Arial" w:hAnsi="Arial" w:cs="Arial"/>
          <w:sz w:val="22"/>
          <w:szCs w:val="22"/>
        </w:rPr>
        <w:t>sauvegarde</w:t>
      </w:r>
      <w:r>
        <w:rPr>
          <w:rFonts w:ascii="Arial" w:hAnsi="Arial" w:cs="Arial"/>
          <w:sz w:val="22"/>
          <w:szCs w:val="22"/>
        </w:rPr>
        <w:t xml:space="preserve">. S’agissant de l’enseignement formel, la </w:t>
      </w:r>
      <w:r w:rsidRPr="00F22C85">
        <w:rPr>
          <w:rFonts w:ascii="Arial" w:hAnsi="Arial" w:cs="Arial"/>
          <w:sz w:val="22"/>
          <w:szCs w:val="22"/>
        </w:rPr>
        <w:t>sauvegarde</w:t>
      </w:r>
      <w:r>
        <w:rPr>
          <w:rFonts w:ascii="Arial" w:hAnsi="Arial" w:cs="Arial"/>
          <w:sz w:val="22"/>
          <w:szCs w:val="22"/>
        </w:rPr>
        <w:t xml:space="preserve"> du </w:t>
      </w:r>
      <w:r w:rsidRPr="00F22C85">
        <w:rPr>
          <w:rFonts w:ascii="Arial" w:hAnsi="Arial" w:cs="Arial"/>
          <w:sz w:val="22"/>
          <w:szCs w:val="22"/>
        </w:rPr>
        <w:t>patrimoine</w:t>
      </w:r>
      <w:r>
        <w:rPr>
          <w:rFonts w:ascii="Arial" w:hAnsi="Arial" w:cs="Arial"/>
          <w:sz w:val="22"/>
          <w:szCs w:val="22"/>
        </w:rPr>
        <w:t xml:space="preserve"> </w:t>
      </w:r>
      <w:r w:rsidRPr="00F22C85">
        <w:rPr>
          <w:rFonts w:ascii="Arial" w:hAnsi="Arial" w:cs="Arial"/>
          <w:sz w:val="22"/>
          <w:szCs w:val="22"/>
        </w:rPr>
        <w:t>culturel</w:t>
      </w:r>
      <w:r>
        <w:rPr>
          <w:rFonts w:ascii="Arial" w:hAnsi="Arial" w:cs="Arial"/>
          <w:sz w:val="22"/>
          <w:szCs w:val="22"/>
        </w:rPr>
        <w:t xml:space="preserve"> </w:t>
      </w:r>
      <w:r w:rsidRPr="00F22C85">
        <w:rPr>
          <w:rFonts w:ascii="Arial" w:hAnsi="Arial" w:cs="Arial"/>
          <w:sz w:val="22"/>
          <w:szCs w:val="22"/>
        </w:rPr>
        <w:t>immatériel</w:t>
      </w:r>
      <w:r>
        <w:rPr>
          <w:rFonts w:ascii="Arial" w:hAnsi="Arial" w:cs="Arial"/>
          <w:sz w:val="22"/>
          <w:szCs w:val="22"/>
        </w:rPr>
        <w:t xml:space="preserve"> est un sujet du programme scolaire (Tchéquie, Grèce, Panama et Ukraine) au primaire et au secondaire et peut être associé</w:t>
      </w:r>
      <w:r w:rsidR="00AC67CD">
        <w:rPr>
          <w:rFonts w:ascii="Arial" w:hAnsi="Arial" w:cs="Arial"/>
          <w:sz w:val="22"/>
          <w:szCs w:val="22"/>
        </w:rPr>
        <w:t>e</w:t>
      </w:r>
      <w:r>
        <w:rPr>
          <w:rFonts w:ascii="Arial" w:hAnsi="Arial" w:cs="Arial"/>
          <w:sz w:val="22"/>
          <w:szCs w:val="22"/>
        </w:rPr>
        <w:t xml:space="preserve"> à des éléments particuliers comme la musique </w:t>
      </w:r>
      <w:r w:rsidR="004753A1">
        <w:rPr>
          <w:rFonts w:ascii="Arial" w:hAnsi="Arial" w:cs="Arial"/>
          <w:sz w:val="22"/>
          <w:szCs w:val="22"/>
        </w:rPr>
        <w:t xml:space="preserve">qui accompagne les marionnettes du théâtre d’ombres en Grèce. Un enseignement associé à des éléments particuliers du </w:t>
      </w:r>
      <w:r w:rsidR="004753A1" w:rsidRPr="004753A1">
        <w:rPr>
          <w:rFonts w:ascii="Arial" w:hAnsi="Arial" w:cs="Arial"/>
          <w:sz w:val="22"/>
          <w:szCs w:val="22"/>
        </w:rPr>
        <w:t>patrimoine</w:t>
      </w:r>
      <w:r w:rsidR="004753A1">
        <w:rPr>
          <w:rFonts w:ascii="Arial" w:hAnsi="Arial" w:cs="Arial"/>
          <w:sz w:val="22"/>
          <w:szCs w:val="22"/>
        </w:rPr>
        <w:t xml:space="preserve"> peut </w:t>
      </w:r>
      <w:r w:rsidR="004753A1" w:rsidRPr="004753A1">
        <w:rPr>
          <w:rFonts w:ascii="Arial" w:hAnsi="Arial" w:cs="Arial"/>
          <w:sz w:val="22"/>
          <w:szCs w:val="22"/>
        </w:rPr>
        <w:t>également</w:t>
      </w:r>
      <w:r w:rsidR="004753A1">
        <w:rPr>
          <w:rFonts w:ascii="Arial" w:hAnsi="Arial" w:cs="Arial"/>
          <w:sz w:val="22"/>
          <w:szCs w:val="22"/>
        </w:rPr>
        <w:t xml:space="preserve"> être dispensé dans des localités spécif</w:t>
      </w:r>
      <w:r w:rsidR="00555358">
        <w:rPr>
          <w:rFonts w:ascii="Arial" w:hAnsi="Arial" w:cs="Arial"/>
          <w:sz w:val="22"/>
          <w:szCs w:val="22"/>
        </w:rPr>
        <w:t>iques, comme c’est le cas à Kon</w:t>
      </w:r>
      <w:r w:rsidR="004753A1">
        <w:rPr>
          <w:rFonts w:ascii="Arial" w:hAnsi="Arial" w:cs="Arial"/>
          <w:sz w:val="22"/>
          <w:szCs w:val="22"/>
        </w:rPr>
        <w:t>j</w:t>
      </w:r>
      <w:r w:rsidR="00555358">
        <w:rPr>
          <w:rFonts w:ascii="Arial" w:hAnsi="Arial" w:cs="Arial"/>
          <w:sz w:val="22"/>
          <w:szCs w:val="22"/>
        </w:rPr>
        <w:t>ic</w:t>
      </w:r>
      <w:r w:rsidR="004753A1">
        <w:rPr>
          <w:rFonts w:ascii="Arial" w:hAnsi="Arial" w:cs="Arial"/>
          <w:sz w:val="22"/>
          <w:szCs w:val="22"/>
        </w:rPr>
        <w:t xml:space="preserve"> (</w:t>
      </w:r>
      <w:r w:rsidR="004753A1" w:rsidRPr="004753A1">
        <w:rPr>
          <w:rFonts w:ascii="Arial" w:hAnsi="Arial" w:cs="Arial"/>
          <w:sz w:val="22"/>
          <w:szCs w:val="22"/>
        </w:rPr>
        <w:t>Bosnie-Herzégovine</w:t>
      </w:r>
      <w:r w:rsidR="004753A1">
        <w:rPr>
          <w:rFonts w:ascii="Arial" w:hAnsi="Arial" w:cs="Arial"/>
          <w:sz w:val="22"/>
          <w:szCs w:val="22"/>
        </w:rPr>
        <w:t xml:space="preserve">) où l’on enseigne aux enfants la sculpture traditionnelle du bois. À défaut, le patrimoine culturel immatériel est intégré à des matières existantes telles que l’histoire, la musique et les arts comme </w:t>
      </w:r>
      <w:r w:rsidR="004753A1" w:rsidRPr="004753A1">
        <w:rPr>
          <w:rFonts w:ascii="Arial" w:hAnsi="Arial" w:cs="Arial"/>
          <w:sz w:val="22"/>
          <w:szCs w:val="22"/>
        </w:rPr>
        <w:t>par exemple</w:t>
      </w:r>
      <w:r w:rsidR="004753A1">
        <w:rPr>
          <w:rFonts w:ascii="Arial" w:hAnsi="Arial" w:cs="Arial"/>
          <w:sz w:val="22"/>
          <w:szCs w:val="22"/>
        </w:rPr>
        <w:t xml:space="preserve"> en Autriche et en </w:t>
      </w:r>
      <w:r w:rsidR="004753A1" w:rsidRPr="004753A1">
        <w:rPr>
          <w:rFonts w:ascii="Arial" w:hAnsi="Arial" w:cs="Arial"/>
          <w:sz w:val="22"/>
          <w:szCs w:val="22"/>
        </w:rPr>
        <w:t>Bosnie-Herzégovine</w:t>
      </w:r>
      <w:r w:rsidR="004753A1">
        <w:rPr>
          <w:rFonts w:ascii="Arial" w:hAnsi="Arial" w:cs="Arial"/>
          <w:sz w:val="22"/>
          <w:szCs w:val="22"/>
        </w:rPr>
        <w:t xml:space="preserve"> ou est proposé en tant qu’activité extrascolaire </w:t>
      </w:r>
      <w:r w:rsidR="00AC67CD">
        <w:rPr>
          <w:rFonts w:ascii="Arial" w:hAnsi="Arial" w:cs="Arial"/>
          <w:sz w:val="22"/>
          <w:szCs w:val="22"/>
        </w:rPr>
        <w:t xml:space="preserve">soit </w:t>
      </w:r>
      <w:r w:rsidR="004753A1">
        <w:rPr>
          <w:rFonts w:ascii="Arial" w:hAnsi="Arial" w:cs="Arial"/>
          <w:sz w:val="22"/>
          <w:szCs w:val="22"/>
        </w:rPr>
        <w:t xml:space="preserve">par des clubs organisés au sein des écoles comme c’est le cas </w:t>
      </w:r>
      <w:r w:rsidR="004753A1" w:rsidRPr="004753A1">
        <w:rPr>
          <w:rFonts w:ascii="Arial" w:hAnsi="Arial" w:cs="Arial"/>
          <w:sz w:val="22"/>
          <w:szCs w:val="22"/>
        </w:rPr>
        <w:t>par exemple</w:t>
      </w:r>
      <w:r w:rsidR="004753A1">
        <w:rPr>
          <w:rFonts w:ascii="Arial" w:hAnsi="Arial" w:cs="Arial"/>
          <w:sz w:val="22"/>
          <w:szCs w:val="22"/>
        </w:rPr>
        <w:t xml:space="preserve"> en </w:t>
      </w:r>
      <w:r w:rsidR="004753A1" w:rsidRPr="004753A1">
        <w:rPr>
          <w:rFonts w:ascii="Arial" w:hAnsi="Arial" w:cs="Arial"/>
          <w:sz w:val="22"/>
          <w:szCs w:val="22"/>
        </w:rPr>
        <w:t>Bosnie-Herzégovine</w:t>
      </w:r>
      <w:r w:rsidR="00555358">
        <w:rPr>
          <w:rFonts w:ascii="Arial" w:hAnsi="Arial" w:cs="Arial"/>
          <w:sz w:val="22"/>
          <w:szCs w:val="22"/>
        </w:rPr>
        <w:t>,</w:t>
      </w:r>
      <w:r w:rsidR="00AC67CD">
        <w:rPr>
          <w:rFonts w:ascii="Arial" w:hAnsi="Arial" w:cs="Arial"/>
          <w:sz w:val="22"/>
          <w:szCs w:val="22"/>
        </w:rPr>
        <w:t xml:space="preserve"> soit par</w:t>
      </w:r>
      <w:r w:rsidR="004753A1">
        <w:rPr>
          <w:rFonts w:ascii="Arial" w:hAnsi="Arial" w:cs="Arial"/>
          <w:sz w:val="22"/>
          <w:szCs w:val="22"/>
        </w:rPr>
        <w:t xml:space="preserve"> des associations culturelles de </w:t>
      </w:r>
      <w:r w:rsidR="004753A1" w:rsidRPr="004753A1">
        <w:rPr>
          <w:rFonts w:ascii="Arial" w:hAnsi="Arial" w:cs="Arial"/>
          <w:sz w:val="22"/>
          <w:szCs w:val="22"/>
        </w:rPr>
        <w:t xml:space="preserve">détenteurs </w:t>
      </w:r>
      <w:r w:rsidR="004753A1">
        <w:rPr>
          <w:rFonts w:ascii="Arial" w:hAnsi="Arial" w:cs="Arial"/>
          <w:sz w:val="22"/>
          <w:szCs w:val="22"/>
        </w:rPr>
        <w:t>comme au Panama, en Grèce et en Ukraine. En T</w:t>
      </w:r>
      <w:r w:rsidR="00AC67CD">
        <w:rPr>
          <w:rFonts w:ascii="Arial" w:hAnsi="Arial" w:cs="Arial"/>
          <w:sz w:val="22"/>
          <w:szCs w:val="22"/>
        </w:rPr>
        <w:t>chéquie, un manuel a été rédigé</w:t>
      </w:r>
      <w:r w:rsidR="004753A1">
        <w:rPr>
          <w:rFonts w:ascii="Arial" w:hAnsi="Arial" w:cs="Arial"/>
          <w:sz w:val="22"/>
          <w:szCs w:val="22"/>
        </w:rPr>
        <w:t xml:space="preserve"> afin d’aider les enseignants à présenter le patrimoine culturel immatériel en classe. </w:t>
      </w:r>
      <w:r w:rsidR="00AC67CD">
        <w:rPr>
          <w:rFonts w:ascii="Arial" w:hAnsi="Arial" w:cs="Arial"/>
          <w:sz w:val="22"/>
          <w:szCs w:val="22"/>
        </w:rPr>
        <w:t>La Tchéquie et le Panama élaborent actuellement un programme de</w:t>
      </w:r>
      <w:r w:rsidR="004753A1">
        <w:rPr>
          <w:rFonts w:ascii="Arial" w:hAnsi="Arial" w:cs="Arial"/>
          <w:sz w:val="22"/>
          <w:szCs w:val="22"/>
        </w:rPr>
        <w:t xml:space="preserve"> cours universitaires sur le patrimoine culturel immatériel</w:t>
      </w:r>
      <w:r w:rsidR="00F465C2">
        <w:rPr>
          <w:rFonts w:ascii="Arial" w:hAnsi="Arial" w:cs="Arial"/>
          <w:sz w:val="22"/>
          <w:szCs w:val="22"/>
        </w:rPr>
        <w:t>.</w:t>
      </w:r>
    </w:p>
    <w:p w14:paraId="53C21BF5" w14:textId="4CAD81F8" w:rsidR="00AC67CD" w:rsidRPr="00AC67CD" w:rsidRDefault="00AC67CD" w:rsidP="00477D8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L’</w:t>
      </w:r>
      <w:r w:rsidRPr="00AC67CD">
        <w:rPr>
          <w:rFonts w:ascii="Arial" w:hAnsi="Arial" w:cs="Arial"/>
          <w:b/>
          <w:sz w:val="22"/>
          <w:szCs w:val="22"/>
        </w:rPr>
        <w:t>éducation non formelle</w:t>
      </w:r>
      <w:r>
        <w:rPr>
          <w:rFonts w:ascii="Arial" w:hAnsi="Arial" w:cs="Arial"/>
          <w:sz w:val="22"/>
          <w:szCs w:val="22"/>
        </w:rPr>
        <w:t>, considérée comme un moyen de transmett</w:t>
      </w:r>
      <w:r w:rsidR="0053706D">
        <w:rPr>
          <w:rFonts w:ascii="Arial" w:hAnsi="Arial" w:cs="Arial"/>
          <w:sz w:val="22"/>
          <w:szCs w:val="22"/>
        </w:rPr>
        <w:t>r</w:t>
      </w:r>
      <w:r>
        <w:rPr>
          <w:rFonts w:ascii="Arial" w:hAnsi="Arial" w:cs="Arial"/>
          <w:sz w:val="22"/>
          <w:szCs w:val="22"/>
        </w:rPr>
        <w:t>e des connaissances, est étroitement liée aux structures sociales. Les associations culturelles (regroupant souvent des détenteurs) jouent donc un rôle central dans cette démarche</w:t>
      </w:r>
      <w:r w:rsidR="0053706D">
        <w:rPr>
          <w:rFonts w:ascii="Arial" w:hAnsi="Arial" w:cs="Arial"/>
          <w:sz w:val="22"/>
          <w:szCs w:val="22"/>
        </w:rPr>
        <w:t> ;</w:t>
      </w:r>
      <w:r>
        <w:rPr>
          <w:rFonts w:ascii="Arial" w:hAnsi="Arial" w:cs="Arial"/>
          <w:sz w:val="22"/>
          <w:szCs w:val="22"/>
        </w:rPr>
        <w:t xml:space="preserve"> elles agissent soit spontanément</w:t>
      </w:r>
      <w:r w:rsidR="00414D84">
        <w:rPr>
          <w:rFonts w:ascii="Arial" w:hAnsi="Arial" w:cs="Arial"/>
          <w:sz w:val="22"/>
          <w:szCs w:val="22"/>
        </w:rPr>
        <w:t>,</w:t>
      </w:r>
      <w:r>
        <w:rPr>
          <w:rFonts w:ascii="Arial" w:hAnsi="Arial" w:cs="Arial"/>
          <w:sz w:val="22"/>
          <w:szCs w:val="22"/>
        </w:rPr>
        <w:t xml:space="preserve"> soit avec le soutien et l’encouragement des organes en charge de la mise en œuvre de la </w:t>
      </w:r>
      <w:r w:rsidRPr="00AC67CD">
        <w:rPr>
          <w:rFonts w:ascii="Arial" w:hAnsi="Arial" w:cs="Arial"/>
          <w:sz w:val="22"/>
          <w:szCs w:val="22"/>
        </w:rPr>
        <w:t>Convention</w:t>
      </w:r>
      <w:r>
        <w:rPr>
          <w:rFonts w:ascii="Arial" w:hAnsi="Arial" w:cs="Arial"/>
          <w:sz w:val="22"/>
          <w:szCs w:val="22"/>
        </w:rPr>
        <w:t xml:space="preserve">. Les foires, les festivals, les centres culturels et les maisons des jeunes sont </w:t>
      </w:r>
      <w:r w:rsidRPr="00AC67CD">
        <w:rPr>
          <w:rFonts w:ascii="Arial" w:hAnsi="Arial" w:cs="Arial"/>
          <w:sz w:val="22"/>
          <w:szCs w:val="22"/>
        </w:rPr>
        <w:t>également</w:t>
      </w:r>
      <w:r>
        <w:rPr>
          <w:rFonts w:ascii="Arial" w:hAnsi="Arial" w:cs="Arial"/>
          <w:sz w:val="22"/>
          <w:szCs w:val="22"/>
        </w:rPr>
        <w:t xml:space="preserve"> envisagés comme des espaces privilégiés qui constituent des espac</w:t>
      </w:r>
      <w:r w:rsidR="00C8209A">
        <w:rPr>
          <w:rFonts w:ascii="Arial" w:hAnsi="Arial" w:cs="Arial"/>
          <w:sz w:val="22"/>
          <w:szCs w:val="22"/>
        </w:rPr>
        <w:t xml:space="preserve">es non formels pour la formation des jeunes et des autres visiteurs aux éléments du patrimoine culturel immatériel. Il est précisé que les communautés </w:t>
      </w:r>
      <w:r w:rsidR="00C8209A" w:rsidRPr="00C8209A">
        <w:rPr>
          <w:rFonts w:ascii="Arial" w:hAnsi="Arial" w:cs="Arial"/>
          <w:sz w:val="22"/>
          <w:szCs w:val="22"/>
        </w:rPr>
        <w:t>autochtones</w:t>
      </w:r>
      <w:r w:rsidR="00C8209A">
        <w:rPr>
          <w:rFonts w:ascii="Arial" w:hAnsi="Arial" w:cs="Arial"/>
          <w:sz w:val="22"/>
          <w:szCs w:val="22"/>
        </w:rPr>
        <w:t xml:space="preserve"> et leurs </w:t>
      </w:r>
      <w:r w:rsidR="00C8209A" w:rsidRPr="00C8209A">
        <w:rPr>
          <w:rFonts w:ascii="Arial" w:hAnsi="Arial" w:cs="Arial"/>
          <w:sz w:val="22"/>
          <w:szCs w:val="22"/>
        </w:rPr>
        <w:t>autorités</w:t>
      </w:r>
      <w:r w:rsidR="00C8209A">
        <w:rPr>
          <w:rFonts w:ascii="Arial" w:hAnsi="Arial" w:cs="Arial"/>
          <w:sz w:val="22"/>
          <w:szCs w:val="22"/>
        </w:rPr>
        <w:t xml:space="preserve"> accordent une imp</w:t>
      </w:r>
      <w:r w:rsidR="00414D84">
        <w:rPr>
          <w:rFonts w:ascii="Arial" w:hAnsi="Arial" w:cs="Arial"/>
          <w:sz w:val="22"/>
          <w:szCs w:val="22"/>
        </w:rPr>
        <w:t>ortance toute particulière à l’</w:t>
      </w:r>
      <w:r w:rsidR="00C8209A" w:rsidRPr="00C8209A">
        <w:rPr>
          <w:rFonts w:ascii="Arial" w:hAnsi="Arial" w:cs="Arial"/>
          <w:sz w:val="22"/>
          <w:szCs w:val="22"/>
        </w:rPr>
        <w:t>enseignement</w:t>
      </w:r>
      <w:r w:rsidR="00C8209A">
        <w:rPr>
          <w:rFonts w:ascii="Arial" w:hAnsi="Arial" w:cs="Arial"/>
          <w:sz w:val="22"/>
          <w:szCs w:val="22"/>
        </w:rPr>
        <w:t xml:space="preserve"> du patrimoine culturel immatériel, dispensé par les </w:t>
      </w:r>
      <w:r w:rsidR="00C8209A" w:rsidRPr="00C8209A">
        <w:rPr>
          <w:rFonts w:ascii="Arial" w:hAnsi="Arial" w:cs="Arial"/>
          <w:sz w:val="22"/>
          <w:szCs w:val="22"/>
        </w:rPr>
        <w:t xml:space="preserve">détenteurs </w:t>
      </w:r>
      <w:r w:rsidR="00C8209A">
        <w:rPr>
          <w:rFonts w:ascii="Arial" w:hAnsi="Arial" w:cs="Arial"/>
          <w:sz w:val="22"/>
          <w:szCs w:val="22"/>
        </w:rPr>
        <w:t xml:space="preserve">de la tradition aux enfants. Parmi les actions éducatives organisées au sein des communautés, on citera l’enseignement des techniques traditionnelles d’accouchement aux sages-femmes en Autriche. Par ailleurs, le grand succès de la transmission informelle au sein des communautés en </w:t>
      </w:r>
      <w:r w:rsidR="00C8209A" w:rsidRPr="00C8209A">
        <w:rPr>
          <w:rFonts w:ascii="Arial" w:hAnsi="Arial" w:cs="Arial"/>
          <w:sz w:val="22"/>
          <w:szCs w:val="22"/>
        </w:rPr>
        <w:t>Bosnie-Herzégovine</w:t>
      </w:r>
      <w:r w:rsidR="00C8209A">
        <w:rPr>
          <w:rFonts w:ascii="Arial" w:hAnsi="Arial" w:cs="Arial"/>
          <w:sz w:val="22"/>
          <w:szCs w:val="22"/>
        </w:rPr>
        <w:t xml:space="preserve"> a conduit à la mise en œuvre d’un plan destiné à créer des centres du patrimoine culturel immatériel dans quatre musées locaux. L’</w:t>
      </w:r>
      <w:r w:rsidR="00C8209A" w:rsidRPr="00C8209A">
        <w:rPr>
          <w:rFonts w:ascii="Arial" w:hAnsi="Arial" w:cs="Arial"/>
          <w:sz w:val="22"/>
          <w:szCs w:val="22"/>
        </w:rPr>
        <w:t>apprentissage</w:t>
      </w:r>
      <w:r w:rsidR="00C8209A">
        <w:rPr>
          <w:rFonts w:ascii="Arial" w:hAnsi="Arial" w:cs="Arial"/>
          <w:sz w:val="22"/>
          <w:szCs w:val="22"/>
        </w:rPr>
        <w:t xml:space="preserve"> a connu un certain déclin en Autriche et les autorités </w:t>
      </w:r>
      <w:r w:rsidR="00414D84">
        <w:rPr>
          <w:rFonts w:ascii="Arial" w:hAnsi="Arial" w:cs="Arial"/>
          <w:sz w:val="22"/>
          <w:szCs w:val="22"/>
        </w:rPr>
        <w:t xml:space="preserve">entreprennent </w:t>
      </w:r>
      <w:r w:rsidR="00555358">
        <w:rPr>
          <w:rFonts w:ascii="Arial" w:hAnsi="Arial" w:cs="Arial"/>
          <w:sz w:val="22"/>
          <w:szCs w:val="22"/>
        </w:rPr>
        <w:t>actuellement de grands</w:t>
      </w:r>
      <w:r w:rsidR="00C8209A">
        <w:rPr>
          <w:rFonts w:ascii="Arial" w:hAnsi="Arial" w:cs="Arial"/>
          <w:sz w:val="22"/>
          <w:szCs w:val="22"/>
        </w:rPr>
        <w:t xml:space="preserve"> efforts pour assurer la transmission </w:t>
      </w:r>
      <w:r w:rsidR="00C8209A">
        <w:rPr>
          <w:rFonts w:ascii="Arial" w:hAnsi="Arial" w:cs="Arial"/>
          <w:sz w:val="22"/>
          <w:szCs w:val="22"/>
        </w:rPr>
        <w:lastRenderedPageBreak/>
        <w:t xml:space="preserve">traditionnelle des </w:t>
      </w:r>
      <w:r w:rsidR="00C8209A" w:rsidRPr="00C8209A">
        <w:rPr>
          <w:rFonts w:ascii="Arial" w:hAnsi="Arial" w:cs="Arial"/>
          <w:sz w:val="22"/>
          <w:szCs w:val="22"/>
        </w:rPr>
        <w:t xml:space="preserve">compétences </w:t>
      </w:r>
      <w:r w:rsidR="00C8209A">
        <w:rPr>
          <w:rFonts w:ascii="Arial" w:hAnsi="Arial" w:cs="Arial"/>
          <w:sz w:val="22"/>
          <w:szCs w:val="22"/>
        </w:rPr>
        <w:t>liées à l’artisanat. L’</w:t>
      </w:r>
      <w:r w:rsidR="00C8209A" w:rsidRPr="00C8209A">
        <w:rPr>
          <w:rFonts w:ascii="Arial" w:hAnsi="Arial" w:cs="Arial"/>
          <w:sz w:val="22"/>
          <w:szCs w:val="22"/>
        </w:rPr>
        <w:t>éducation</w:t>
      </w:r>
      <w:r w:rsidR="00C8209A">
        <w:rPr>
          <w:rFonts w:ascii="Arial" w:hAnsi="Arial" w:cs="Arial"/>
          <w:sz w:val="22"/>
          <w:szCs w:val="22"/>
        </w:rPr>
        <w:t xml:space="preserve"> à la protection des espaces naturels et des lieux de mémoire associés au patrimoine culturel immatériel a été évoquée dans le rappor</w:t>
      </w:r>
      <w:r w:rsidR="007D7D69">
        <w:rPr>
          <w:rFonts w:ascii="Arial" w:hAnsi="Arial" w:cs="Arial"/>
          <w:sz w:val="22"/>
          <w:szCs w:val="22"/>
        </w:rPr>
        <w:t>t de la Grèce à propos des bosquets sacré</w:t>
      </w:r>
      <w:r w:rsidR="00414D84">
        <w:rPr>
          <w:rFonts w:ascii="Arial" w:hAnsi="Arial" w:cs="Arial"/>
          <w:sz w:val="22"/>
          <w:szCs w:val="22"/>
        </w:rPr>
        <w:t xml:space="preserve">s. En Ukraine, cette </w:t>
      </w:r>
      <w:r w:rsidR="00414D84" w:rsidRPr="00414D84">
        <w:rPr>
          <w:rFonts w:ascii="Arial" w:hAnsi="Arial" w:cs="Arial"/>
          <w:sz w:val="22"/>
          <w:szCs w:val="22"/>
          <w:lang w:eastAsia="en-US"/>
        </w:rPr>
        <w:t>initiative</w:t>
      </w:r>
      <w:r w:rsidR="00414D84">
        <w:rPr>
          <w:rFonts w:ascii="Arial" w:hAnsi="Arial" w:cs="Arial"/>
          <w:sz w:val="22"/>
          <w:szCs w:val="22"/>
        </w:rPr>
        <w:t xml:space="preserve"> s’inscrit dans le cadre de programmes d’</w:t>
      </w:r>
      <w:r w:rsidR="00414D84" w:rsidRPr="00414D84">
        <w:rPr>
          <w:rFonts w:ascii="Arial" w:hAnsi="Arial" w:cs="Arial"/>
          <w:sz w:val="22"/>
          <w:szCs w:val="22"/>
        </w:rPr>
        <w:t>éducation</w:t>
      </w:r>
      <w:r w:rsidR="00414D84">
        <w:rPr>
          <w:rFonts w:ascii="Arial" w:hAnsi="Arial" w:cs="Arial"/>
          <w:sz w:val="22"/>
          <w:szCs w:val="22"/>
        </w:rPr>
        <w:t xml:space="preserve"> </w:t>
      </w:r>
      <w:r w:rsidR="00414D84" w:rsidRPr="00414D84">
        <w:rPr>
          <w:rFonts w:ascii="Arial" w:hAnsi="Arial" w:cs="Arial"/>
          <w:sz w:val="22"/>
          <w:szCs w:val="22"/>
          <w:lang w:eastAsia="en-US"/>
        </w:rPr>
        <w:t>touristique</w:t>
      </w:r>
      <w:r w:rsidR="00F465C2">
        <w:rPr>
          <w:rFonts w:ascii="Arial" w:hAnsi="Arial" w:cs="Arial"/>
          <w:sz w:val="22"/>
          <w:szCs w:val="22"/>
        </w:rPr>
        <w:t>.</w:t>
      </w:r>
    </w:p>
    <w:p w14:paraId="412B235D" w14:textId="76F6E374" w:rsidR="00866B14" w:rsidRPr="00414D84" w:rsidRDefault="00414D84" w:rsidP="00D355F0">
      <w:pPr>
        <w:keepNext/>
        <w:numPr>
          <w:ilvl w:val="0"/>
          <w:numId w:val="16"/>
        </w:numPr>
        <w:autoSpaceDE w:val="0"/>
        <w:autoSpaceDN w:val="0"/>
        <w:adjustRightInd w:val="0"/>
        <w:spacing w:before="240" w:after="240"/>
        <w:ind w:left="1134" w:hanging="567"/>
        <w:rPr>
          <w:rFonts w:ascii="Arial" w:hAnsi="Arial" w:cs="Arial"/>
          <w:sz w:val="22"/>
          <w:szCs w:val="22"/>
        </w:rPr>
      </w:pPr>
      <w:r w:rsidRPr="00414D84">
        <w:rPr>
          <w:rFonts w:ascii="Arial" w:hAnsi="Arial" w:cs="Arial"/>
          <w:b/>
          <w:sz w:val="22"/>
          <w:szCs w:val="22"/>
        </w:rPr>
        <w:t xml:space="preserve">Coopération bilatérale, </w:t>
      </w:r>
      <w:r>
        <w:rPr>
          <w:rFonts w:ascii="Arial" w:hAnsi="Arial" w:cs="Arial"/>
          <w:b/>
          <w:sz w:val="22"/>
          <w:szCs w:val="22"/>
        </w:rPr>
        <w:t xml:space="preserve">sous-régionale, régionale et </w:t>
      </w:r>
      <w:r w:rsidR="00F465C2">
        <w:rPr>
          <w:rFonts w:ascii="Arial" w:hAnsi="Arial" w:cs="Arial"/>
          <w:b/>
          <w:sz w:val="22"/>
          <w:szCs w:val="22"/>
        </w:rPr>
        <w:t>internationale</w:t>
      </w:r>
    </w:p>
    <w:p w14:paraId="55C74B7A" w14:textId="7C46B13B" w:rsidR="00414D84" w:rsidRDefault="004956E1" w:rsidP="00866B14">
      <w:pPr>
        <w:numPr>
          <w:ilvl w:val="0"/>
          <w:numId w:val="14"/>
        </w:numPr>
        <w:autoSpaceDE w:val="0"/>
        <w:autoSpaceDN w:val="0"/>
        <w:adjustRightInd w:val="0"/>
        <w:spacing w:after="120"/>
        <w:ind w:left="567" w:hanging="567"/>
        <w:jc w:val="both"/>
        <w:rPr>
          <w:rFonts w:ascii="Arial" w:hAnsi="Arial" w:cs="Arial"/>
          <w:bCs/>
          <w:sz w:val="22"/>
          <w:szCs w:val="22"/>
        </w:rPr>
      </w:pPr>
      <w:r w:rsidRPr="004956E1">
        <w:rPr>
          <w:rFonts w:ascii="Arial" w:hAnsi="Arial" w:cs="Arial"/>
          <w:bCs/>
          <w:sz w:val="22"/>
          <w:szCs w:val="22"/>
        </w:rPr>
        <w:t>S’agissant</w:t>
      </w:r>
      <w:r>
        <w:rPr>
          <w:rFonts w:ascii="Arial" w:hAnsi="Arial" w:cs="Arial"/>
          <w:bCs/>
          <w:sz w:val="22"/>
          <w:szCs w:val="22"/>
        </w:rPr>
        <w:t xml:space="preserve"> de la </w:t>
      </w:r>
      <w:r w:rsidRPr="004956E1">
        <w:rPr>
          <w:rFonts w:ascii="Arial" w:hAnsi="Arial" w:cs="Arial"/>
          <w:b/>
          <w:bCs/>
          <w:sz w:val="22"/>
          <w:szCs w:val="22"/>
        </w:rPr>
        <w:t>coopération bilatérale, sous-régionale, régionale et internationale</w:t>
      </w:r>
      <w:r>
        <w:rPr>
          <w:rFonts w:ascii="Arial" w:hAnsi="Arial" w:cs="Arial"/>
          <w:bCs/>
          <w:sz w:val="22"/>
          <w:szCs w:val="22"/>
        </w:rPr>
        <w:t>, un certain nombre d’approches communes peu</w:t>
      </w:r>
      <w:r w:rsidR="00C93AF4">
        <w:rPr>
          <w:rFonts w:ascii="Arial" w:hAnsi="Arial" w:cs="Arial"/>
          <w:bCs/>
          <w:sz w:val="22"/>
          <w:szCs w:val="22"/>
        </w:rPr>
        <w:t>ven</w:t>
      </w:r>
      <w:r>
        <w:rPr>
          <w:rFonts w:ascii="Arial" w:hAnsi="Arial" w:cs="Arial"/>
          <w:bCs/>
          <w:sz w:val="22"/>
          <w:szCs w:val="22"/>
        </w:rPr>
        <w:t>t être identifié</w:t>
      </w:r>
      <w:r w:rsidR="00C93AF4">
        <w:rPr>
          <w:rFonts w:ascii="Arial" w:hAnsi="Arial" w:cs="Arial"/>
          <w:bCs/>
          <w:sz w:val="22"/>
          <w:szCs w:val="22"/>
        </w:rPr>
        <w:t>es</w:t>
      </w:r>
      <w:r>
        <w:rPr>
          <w:rFonts w:ascii="Arial" w:hAnsi="Arial" w:cs="Arial"/>
          <w:bCs/>
          <w:sz w:val="22"/>
          <w:szCs w:val="22"/>
        </w:rPr>
        <w:t xml:space="preserve">. </w:t>
      </w:r>
      <w:r w:rsidR="00C93AF4">
        <w:rPr>
          <w:rFonts w:ascii="Arial" w:hAnsi="Arial" w:cs="Arial"/>
          <w:bCs/>
          <w:sz w:val="22"/>
          <w:szCs w:val="22"/>
        </w:rPr>
        <w:t xml:space="preserve">On observe un haut niveau de </w:t>
      </w:r>
      <w:r w:rsidR="00C93AF4" w:rsidRPr="00C93AF4">
        <w:rPr>
          <w:rFonts w:ascii="Arial" w:hAnsi="Arial" w:cs="Arial"/>
          <w:bCs/>
          <w:sz w:val="22"/>
          <w:szCs w:val="22"/>
        </w:rPr>
        <w:t>coopération</w:t>
      </w:r>
      <w:r w:rsidR="00C93AF4">
        <w:rPr>
          <w:rFonts w:ascii="Arial" w:hAnsi="Arial" w:cs="Arial"/>
          <w:bCs/>
          <w:sz w:val="22"/>
          <w:szCs w:val="22"/>
        </w:rPr>
        <w:t xml:space="preserve"> avec les pays voisins (principalement sur une base sous-régionale) tant au niveau gouvernemental qu’entre experts. Un bon exemple est le projet ETNOFOLK qui rassemble quatre pays d’Europe centrale (dont la Tchéquie et l’Autriche) et qui propose un site web multilingue qui relie la </w:t>
      </w:r>
      <w:r w:rsidR="00C93AF4" w:rsidRPr="00C93AF4">
        <w:rPr>
          <w:rFonts w:ascii="Arial" w:hAnsi="Arial" w:cs="Arial"/>
          <w:bCs/>
          <w:sz w:val="22"/>
          <w:szCs w:val="22"/>
        </w:rPr>
        <w:t>documentation</w:t>
      </w:r>
      <w:r w:rsidR="00C93AF4">
        <w:rPr>
          <w:rFonts w:ascii="Arial" w:hAnsi="Arial" w:cs="Arial"/>
          <w:bCs/>
          <w:sz w:val="22"/>
          <w:szCs w:val="22"/>
        </w:rPr>
        <w:t xml:space="preserve"> de différentes bases de données. </w:t>
      </w:r>
      <w:r w:rsidR="00090E1C">
        <w:rPr>
          <w:rFonts w:ascii="Arial" w:hAnsi="Arial" w:cs="Arial"/>
          <w:bCs/>
          <w:sz w:val="22"/>
          <w:szCs w:val="22"/>
        </w:rPr>
        <w:t xml:space="preserve">On observe </w:t>
      </w:r>
      <w:r w:rsidR="00090E1C" w:rsidRPr="00090E1C">
        <w:rPr>
          <w:rFonts w:ascii="Arial" w:hAnsi="Arial" w:cs="Arial"/>
          <w:bCs/>
          <w:sz w:val="22"/>
          <w:szCs w:val="22"/>
        </w:rPr>
        <w:t>également</w:t>
      </w:r>
      <w:r w:rsidR="00090E1C">
        <w:rPr>
          <w:rFonts w:ascii="Arial" w:hAnsi="Arial" w:cs="Arial"/>
          <w:bCs/>
          <w:sz w:val="22"/>
          <w:szCs w:val="22"/>
        </w:rPr>
        <w:t xml:space="preserve"> le </w:t>
      </w:r>
      <w:r w:rsidR="00090E1C" w:rsidRPr="00090E1C">
        <w:rPr>
          <w:rFonts w:ascii="Arial" w:hAnsi="Arial" w:cs="Arial"/>
          <w:bCs/>
          <w:sz w:val="22"/>
          <w:szCs w:val="22"/>
        </w:rPr>
        <w:t>développement</w:t>
      </w:r>
      <w:r w:rsidR="00090E1C">
        <w:rPr>
          <w:rFonts w:ascii="Arial" w:hAnsi="Arial" w:cs="Arial"/>
          <w:bCs/>
          <w:sz w:val="22"/>
          <w:szCs w:val="22"/>
        </w:rPr>
        <w:t xml:space="preserve"> du travail d’experts en réseau, qu’il soit spontané ou encouragé par des actions gouvernementales telles que </w:t>
      </w:r>
      <w:r w:rsidR="0053706D">
        <w:rPr>
          <w:rFonts w:ascii="Arial" w:hAnsi="Arial" w:cs="Arial"/>
          <w:bCs/>
          <w:sz w:val="22"/>
          <w:szCs w:val="22"/>
        </w:rPr>
        <w:t xml:space="preserve">l’organisation </w:t>
      </w:r>
      <w:r w:rsidR="00090E1C">
        <w:rPr>
          <w:rFonts w:ascii="Arial" w:hAnsi="Arial" w:cs="Arial"/>
          <w:bCs/>
          <w:sz w:val="22"/>
          <w:szCs w:val="22"/>
        </w:rPr>
        <w:t xml:space="preserve">de conférences régionales destinées à identifier des problématiques communes et les réponses à y apporter (Autriche, </w:t>
      </w:r>
      <w:r w:rsidR="00090E1C" w:rsidRPr="00090E1C">
        <w:rPr>
          <w:rFonts w:ascii="Arial" w:hAnsi="Arial" w:cs="Arial"/>
          <w:bCs/>
          <w:sz w:val="22"/>
          <w:szCs w:val="22"/>
        </w:rPr>
        <w:t>Bosnie-Herzégovine</w:t>
      </w:r>
      <w:r w:rsidR="00090E1C">
        <w:rPr>
          <w:rFonts w:ascii="Arial" w:hAnsi="Arial" w:cs="Arial"/>
          <w:bCs/>
          <w:sz w:val="22"/>
          <w:szCs w:val="22"/>
        </w:rPr>
        <w:t>, Tchéquie, Grèce et Ukraine).</w:t>
      </w:r>
    </w:p>
    <w:p w14:paraId="3232766B" w14:textId="034F8903" w:rsidR="00090E1C" w:rsidRDefault="00090E1C" w:rsidP="00866B14">
      <w:pPr>
        <w:numPr>
          <w:ilvl w:val="0"/>
          <w:numId w:val="14"/>
        </w:numPr>
        <w:autoSpaceDE w:val="0"/>
        <w:autoSpaceDN w:val="0"/>
        <w:adjustRightInd w:val="0"/>
        <w:spacing w:after="120"/>
        <w:ind w:left="567" w:hanging="567"/>
        <w:jc w:val="both"/>
        <w:rPr>
          <w:rFonts w:ascii="Arial" w:hAnsi="Arial" w:cs="Arial"/>
          <w:bCs/>
          <w:sz w:val="22"/>
          <w:szCs w:val="22"/>
        </w:rPr>
      </w:pPr>
      <w:r>
        <w:rPr>
          <w:rFonts w:ascii="Arial" w:hAnsi="Arial" w:cs="Arial"/>
          <w:bCs/>
          <w:sz w:val="22"/>
          <w:szCs w:val="22"/>
        </w:rPr>
        <w:t xml:space="preserve">Comme auparavant, les </w:t>
      </w:r>
      <w:r w:rsidRPr="00090E1C">
        <w:rPr>
          <w:rFonts w:ascii="Arial" w:hAnsi="Arial" w:cs="Arial"/>
          <w:b/>
          <w:bCs/>
          <w:sz w:val="22"/>
          <w:szCs w:val="22"/>
        </w:rPr>
        <w:t>éléments partagés du patrimoine culturel immatériel</w:t>
      </w:r>
      <w:r>
        <w:rPr>
          <w:rFonts w:ascii="Arial" w:hAnsi="Arial" w:cs="Arial"/>
          <w:bCs/>
          <w:sz w:val="22"/>
          <w:szCs w:val="22"/>
        </w:rPr>
        <w:t xml:space="preserve"> constituent un socle important pour la </w:t>
      </w:r>
      <w:r w:rsidRPr="00090E1C">
        <w:rPr>
          <w:rFonts w:ascii="Arial" w:hAnsi="Arial" w:cs="Arial"/>
          <w:bCs/>
          <w:sz w:val="22"/>
          <w:szCs w:val="22"/>
        </w:rPr>
        <w:t>coopération</w:t>
      </w:r>
      <w:r>
        <w:rPr>
          <w:rFonts w:ascii="Arial" w:hAnsi="Arial" w:cs="Arial"/>
          <w:bCs/>
          <w:sz w:val="22"/>
          <w:szCs w:val="22"/>
        </w:rPr>
        <w:t xml:space="preserve"> bilatérale, sous-régionale et régionale et les éléments tels que le </w:t>
      </w:r>
      <w:r w:rsidRPr="00537DF0">
        <w:rPr>
          <w:rFonts w:ascii="Arial" w:hAnsi="Arial" w:cs="Arial"/>
          <w:bCs/>
          <w:i/>
          <w:sz w:val="22"/>
          <w:szCs w:val="22"/>
        </w:rPr>
        <w:t>mola</w:t>
      </w:r>
      <w:r>
        <w:rPr>
          <w:rFonts w:ascii="Arial" w:hAnsi="Arial" w:cs="Arial"/>
          <w:bCs/>
          <w:sz w:val="22"/>
          <w:szCs w:val="22"/>
        </w:rPr>
        <w:t xml:space="preserve"> (Panama), la diète méditerranéenne (Grèce) et la fauconnerie (Autriche et Tchéquie) sont tous présentés à titre d’exemple. Il est à noter que les candidatures multinationales ont </w:t>
      </w:r>
      <w:r w:rsidRPr="00090E1C">
        <w:rPr>
          <w:rFonts w:ascii="Arial" w:hAnsi="Arial" w:cs="Arial"/>
          <w:bCs/>
          <w:sz w:val="22"/>
          <w:szCs w:val="22"/>
        </w:rPr>
        <w:t>également</w:t>
      </w:r>
      <w:r>
        <w:rPr>
          <w:rFonts w:ascii="Arial" w:hAnsi="Arial" w:cs="Arial"/>
          <w:bCs/>
          <w:sz w:val="22"/>
          <w:szCs w:val="22"/>
        </w:rPr>
        <w:t xml:space="preserve"> permis aux détenteurs, aux organisations non gouvernementales et aux experts de développer et d’entretenir des réseaux transfrontaliers (p.</w:t>
      </w:r>
      <w:r w:rsidR="00AC24B9">
        <w:rPr>
          <w:rFonts w:ascii="Arial" w:hAnsi="Arial" w:cs="Arial"/>
          <w:bCs/>
          <w:sz w:val="22"/>
          <w:szCs w:val="22"/>
        </w:rPr>
        <w:t xml:space="preserve"> </w:t>
      </w:r>
      <w:r>
        <w:rPr>
          <w:rFonts w:ascii="Arial" w:hAnsi="Arial" w:cs="Arial"/>
          <w:bCs/>
          <w:sz w:val="22"/>
          <w:szCs w:val="22"/>
        </w:rPr>
        <w:t xml:space="preserve">ex. le travail du bois en Autriche ou la </w:t>
      </w:r>
      <w:r w:rsidRPr="00090E1C">
        <w:rPr>
          <w:rFonts w:ascii="Arial" w:hAnsi="Arial" w:cs="Arial"/>
          <w:bCs/>
          <w:sz w:val="22"/>
          <w:szCs w:val="22"/>
        </w:rPr>
        <w:t>construction</w:t>
      </w:r>
      <w:r>
        <w:rPr>
          <w:rFonts w:ascii="Arial" w:hAnsi="Arial" w:cs="Arial"/>
          <w:bCs/>
          <w:sz w:val="22"/>
          <w:szCs w:val="22"/>
        </w:rPr>
        <w:t xml:space="preserve"> en pierre sèche en Grèce). Deux </w:t>
      </w:r>
      <w:r w:rsidRPr="00966B65">
        <w:rPr>
          <w:rFonts w:ascii="Arial" w:hAnsi="Arial" w:cs="Arial"/>
          <w:bCs/>
          <w:sz w:val="22"/>
          <w:szCs w:val="22"/>
        </w:rPr>
        <w:t xml:space="preserve">centres de catégorie 2 </w:t>
      </w:r>
      <w:r w:rsidR="00F717FD" w:rsidRPr="00966B65">
        <w:rPr>
          <w:rFonts w:ascii="Arial" w:hAnsi="Arial" w:cs="Arial"/>
          <w:bCs/>
          <w:sz w:val="22"/>
          <w:szCs w:val="22"/>
        </w:rPr>
        <w:t xml:space="preserve">sous </w:t>
      </w:r>
      <w:r w:rsidR="0053706D" w:rsidRPr="00966B65">
        <w:rPr>
          <w:rFonts w:ascii="Arial" w:hAnsi="Arial" w:cs="Arial"/>
          <w:bCs/>
          <w:sz w:val="22"/>
          <w:szCs w:val="22"/>
        </w:rPr>
        <w:t xml:space="preserve">les auspices </w:t>
      </w:r>
      <w:r w:rsidR="00F717FD" w:rsidRPr="00966B65">
        <w:rPr>
          <w:rFonts w:ascii="Arial" w:hAnsi="Arial" w:cs="Arial"/>
          <w:bCs/>
          <w:sz w:val="22"/>
          <w:szCs w:val="22"/>
        </w:rPr>
        <w:t>de l’UNESCO</w:t>
      </w:r>
      <w:r w:rsidR="00F717FD">
        <w:rPr>
          <w:rFonts w:ascii="Arial" w:hAnsi="Arial" w:cs="Arial"/>
          <w:bCs/>
          <w:sz w:val="22"/>
          <w:szCs w:val="22"/>
        </w:rPr>
        <w:t xml:space="preserve"> (l’un en Bulgarie, l’autre au Pérou) sont évoqués par l’Autriche, la </w:t>
      </w:r>
      <w:r w:rsidR="00F717FD" w:rsidRPr="00F717FD">
        <w:rPr>
          <w:rFonts w:ascii="Arial" w:hAnsi="Arial" w:cs="Arial"/>
          <w:bCs/>
          <w:sz w:val="22"/>
          <w:szCs w:val="22"/>
        </w:rPr>
        <w:t>Bosnie-Herzégovine</w:t>
      </w:r>
      <w:r w:rsidR="00F717FD">
        <w:rPr>
          <w:rFonts w:ascii="Arial" w:hAnsi="Arial" w:cs="Arial"/>
          <w:bCs/>
          <w:sz w:val="22"/>
          <w:szCs w:val="22"/>
        </w:rPr>
        <w:t xml:space="preserve">, la Tchéquie, la Grèce et le Panama comme jouant un rôle important et </w:t>
      </w:r>
      <w:r w:rsidR="00F717FD" w:rsidRPr="00F717FD">
        <w:rPr>
          <w:rFonts w:ascii="Arial" w:hAnsi="Arial" w:cs="Arial"/>
          <w:bCs/>
          <w:sz w:val="22"/>
          <w:szCs w:val="22"/>
        </w:rPr>
        <w:t>facilitateur</w:t>
      </w:r>
      <w:r w:rsidR="00F717FD">
        <w:rPr>
          <w:rFonts w:ascii="Arial" w:hAnsi="Arial" w:cs="Arial"/>
          <w:bCs/>
          <w:sz w:val="22"/>
          <w:szCs w:val="22"/>
        </w:rPr>
        <w:t xml:space="preserve"> dans le partage d’expériences, </w:t>
      </w:r>
      <w:r w:rsidR="00F717FD" w:rsidRPr="00F717FD">
        <w:rPr>
          <w:rFonts w:ascii="Arial" w:hAnsi="Arial" w:cs="Arial"/>
          <w:bCs/>
          <w:sz w:val="22"/>
          <w:szCs w:val="22"/>
          <w:lang w:eastAsia="en-US"/>
        </w:rPr>
        <w:t>en particulier</w:t>
      </w:r>
      <w:r w:rsidR="00F717FD">
        <w:rPr>
          <w:rFonts w:ascii="Arial" w:hAnsi="Arial" w:cs="Arial"/>
          <w:bCs/>
          <w:sz w:val="22"/>
          <w:szCs w:val="22"/>
        </w:rPr>
        <w:t xml:space="preserve"> par l’</w:t>
      </w:r>
      <w:r w:rsidR="00F717FD" w:rsidRPr="00F717FD">
        <w:rPr>
          <w:rFonts w:ascii="Arial" w:hAnsi="Arial" w:cs="Arial"/>
          <w:bCs/>
          <w:sz w:val="22"/>
          <w:szCs w:val="22"/>
        </w:rPr>
        <w:t>organisation</w:t>
      </w:r>
      <w:r w:rsidR="00F717FD">
        <w:rPr>
          <w:rFonts w:ascii="Arial" w:hAnsi="Arial" w:cs="Arial"/>
          <w:bCs/>
          <w:sz w:val="22"/>
          <w:szCs w:val="22"/>
        </w:rPr>
        <w:t xml:space="preserve"> de réunions et de conférences d’experts mais </w:t>
      </w:r>
      <w:r w:rsidR="00F717FD" w:rsidRPr="00F717FD">
        <w:rPr>
          <w:rFonts w:ascii="Arial" w:hAnsi="Arial" w:cs="Arial"/>
          <w:bCs/>
          <w:sz w:val="22"/>
          <w:szCs w:val="22"/>
        </w:rPr>
        <w:t>également</w:t>
      </w:r>
      <w:r w:rsidR="00F717FD">
        <w:rPr>
          <w:rFonts w:ascii="Arial" w:hAnsi="Arial" w:cs="Arial"/>
          <w:bCs/>
          <w:sz w:val="22"/>
          <w:szCs w:val="22"/>
        </w:rPr>
        <w:t xml:space="preserve"> en tant que forum de discussion et d’</w:t>
      </w:r>
      <w:r w:rsidR="00F717FD" w:rsidRPr="00F717FD">
        <w:rPr>
          <w:rFonts w:ascii="Arial" w:hAnsi="Arial" w:cs="Arial"/>
          <w:bCs/>
          <w:sz w:val="22"/>
          <w:szCs w:val="22"/>
        </w:rPr>
        <w:t>identification</w:t>
      </w:r>
      <w:r w:rsidR="00F717FD">
        <w:rPr>
          <w:rFonts w:ascii="Arial" w:hAnsi="Arial" w:cs="Arial"/>
          <w:bCs/>
          <w:sz w:val="22"/>
          <w:szCs w:val="22"/>
        </w:rPr>
        <w:t xml:space="preserve"> de stratégies régionales communes. Les bureaux hors Siège de l’UNESCO sont </w:t>
      </w:r>
      <w:r w:rsidR="00F717FD" w:rsidRPr="00F717FD">
        <w:rPr>
          <w:rFonts w:ascii="Arial" w:hAnsi="Arial" w:cs="Arial"/>
          <w:bCs/>
          <w:sz w:val="22"/>
          <w:szCs w:val="22"/>
        </w:rPr>
        <w:t>également</w:t>
      </w:r>
      <w:r w:rsidR="00F717FD">
        <w:rPr>
          <w:rFonts w:ascii="Arial" w:hAnsi="Arial" w:cs="Arial"/>
          <w:bCs/>
          <w:sz w:val="22"/>
          <w:szCs w:val="22"/>
        </w:rPr>
        <w:t xml:space="preserve"> mentionnés dans les rapports comme étant des partenaires essentiels qui accordent aide et soutien aux États parties, </w:t>
      </w:r>
      <w:r w:rsidR="00F717FD" w:rsidRPr="00F717FD">
        <w:rPr>
          <w:rFonts w:ascii="Arial" w:hAnsi="Arial" w:cs="Arial"/>
          <w:bCs/>
          <w:sz w:val="22"/>
          <w:szCs w:val="22"/>
          <w:lang w:eastAsia="en-US"/>
        </w:rPr>
        <w:t>en particulier</w:t>
      </w:r>
      <w:r w:rsidR="00730C7A">
        <w:rPr>
          <w:rFonts w:ascii="Arial" w:hAnsi="Arial" w:cs="Arial"/>
          <w:bCs/>
          <w:sz w:val="22"/>
          <w:szCs w:val="22"/>
        </w:rPr>
        <w:t xml:space="preserve"> parce qu’ils organisent des </w:t>
      </w:r>
      <w:r w:rsidR="00F717FD">
        <w:rPr>
          <w:rFonts w:ascii="Arial" w:hAnsi="Arial" w:cs="Arial"/>
          <w:bCs/>
          <w:sz w:val="22"/>
          <w:szCs w:val="22"/>
        </w:rPr>
        <w:t>actions de renforcement des capacités et qu’ils constituent</w:t>
      </w:r>
      <w:r w:rsidR="00730C7A">
        <w:rPr>
          <w:rFonts w:ascii="Arial" w:hAnsi="Arial" w:cs="Arial"/>
          <w:bCs/>
          <w:sz w:val="22"/>
          <w:szCs w:val="22"/>
        </w:rPr>
        <w:t xml:space="preserve"> un moyen de communication </w:t>
      </w:r>
      <w:r w:rsidR="00730C7A" w:rsidRPr="00730C7A">
        <w:rPr>
          <w:rFonts w:ascii="Arial" w:hAnsi="Arial" w:cs="Arial"/>
          <w:bCs/>
          <w:sz w:val="22"/>
          <w:szCs w:val="22"/>
        </w:rPr>
        <w:t>supplémentaire</w:t>
      </w:r>
      <w:r w:rsidR="00F717FD">
        <w:rPr>
          <w:rFonts w:ascii="Arial" w:hAnsi="Arial" w:cs="Arial"/>
          <w:bCs/>
          <w:sz w:val="22"/>
          <w:szCs w:val="22"/>
        </w:rPr>
        <w:t>. En outre, l’UNESCO et l’</w:t>
      </w:r>
      <w:r w:rsidR="002E2529">
        <w:rPr>
          <w:rFonts w:ascii="Arial" w:hAnsi="Arial" w:cs="Arial"/>
          <w:bCs/>
          <w:sz w:val="22"/>
          <w:szCs w:val="22"/>
        </w:rPr>
        <w:t>Organisation mondiale de la propriété intellectuelle (</w:t>
      </w:r>
      <w:r w:rsidR="00F717FD">
        <w:rPr>
          <w:rFonts w:ascii="Arial" w:hAnsi="Arial" w:cs="Arial"/>
          <w:bCs/>
          <w:sz w:val="22"/>
          <w:szCs w:val="22"/>
        </w:rPr>
        <w:t>OMPI</w:t>
      </w:r>
      <w:r w:rsidR="002E2529">
        <w:rPr>
          <w:rFonts w:ascii="Arial" w:hAnsi="Arial" w:cs="Arial"/>
          <w:bCs/>
          <w:sz w:val="22"/>
          <w:szCs w:val="22"/>
        </w:rPr>
        <w:t>)</w:t>
      </w:r>
      <w:r w:rsidR="00F717FD">
        <w:rPr>
          <w:rFonts w:ascii="Arial" w:hAnsi="Arial" w:cs="Arial"/>
          <w:bCs/>
          <w:sz w:val="22"/>
          <w:szCs w:val="22"/>
        </w:rPr>
        <w:t xml:space="preserve"> ont participé à un congrès </w:t>
      </w:r>
      <w:r w:rsidR="00730C7A">
        <w:rPr>
          <w:rFonts w:ascii="Arial" w:hAnsi="Arial" w:cs="Arial"/>
          <w:bCs/>
          <w:sz w:val="22"/>
          <w:szCs w:val="22"/>
        </w:rPr>
        <w:t>international</w:t>
      </w:r>
      <w:r w:rsidR="00F465C2">
        <w:rPr>
          <w:rFonts w:ascii="Arial" w:hAnsi="Arial" w:cs="Arial"/>
          <w:bCs/>
          <w:sz w:val="22"/>
          <w:szCs w:val="22"/>
        </w:rPr>
        <w:t xml:space="preserve"> au Panama.</w:t>
      </w:r>
    </w:p>
    <w:p w14:paraId="6289B619" w14:textId="47F0A560" w:rsidR="00866B14" w:rsidRPr="001F5CF2" w:rsidRDefault="001F5CF2" w:rsidP="0037752D">
      <w:pPr>
        <w:keepNext/>
        <w:numPr>
          <w:ilvl w:val="0"/>
          <w:numId w:val="13"/>
        </w:numPr>
        <w:autoSpaceDE w:val="0"/>
        <w:autoSpaceDN w:val="0"/>
        <w:adjustRightInd w:val="0"/>
        <w:spacing w:before="360" w:after="120"/>
        <w:ind w:left="567" w:hanging="567"/>
        <w:rPr>
          <w:rFonts w:ascii="Arial" w:hAnsi="Arial" w:cs="Arial"/>
          <w:b/>
          <w:bCs/>
          <w:sz w:val="22"/>
          <w:szCs w:val="22"/>
        </w:rPr>
      </w:pPr>
      <w:r>
        <w:rPr>
          <w:rFonts w:ascii="Arial" w:hAnsi="Arial" w:cs="Arial"/>
          <w:b/>
          <w:bCs/>
          <w:sz w:val="22"/>
          <w:szCs w:val="22"/>
        </w:rPr>
        <w:t xml:space="preserve">Intégration du patrimoine culturel immatériel et de sa </w:t>
      </w:r>
      <w:r w:rsidRPr="001F5CF2">
        <w:rPr>
          <w:rFonts w:ascii="Arial" w:hAnsi="Arial" w:cs="Arial"/>
          <w:b/>
          <w:bCs/>
          <w:sz w:val="22"/>
          <w:szCs w:val="22"/>
        </w:rPr>
        <w:t>sauvegarde</w:t>
      </w:r>
      <w:r>
        <w:rPr>
          <w:rFonts w:ascii="Arial" w:hAnsi="Arial" w:cs="Arial"/>
          <w:b/>
          <w:bCs/>
          <w:sz w:val="22"/>
          <w:szCs w:val="22"/>
        </w:rPr>
        <w:t xml:space="preserve"> dans les politiques culturelles et </w:t>
      </w:r>
      <w:r w:rsidR="00E573D1">
        <w:rPr>
          <w:rFonts w:ascii="Arial" w:hAnsi="Arial" w:cs="Arial"/>
          <w:b/>
          <w:bCs/>
          <w:sz w:val="22"/>
          <w:szCs w:val="22"/>
        </w:rPr>
        <w:t>autres</w:t>
      </w:r>
      <w:r w:rsidR="00F8377C">
        <w:rPr>
          <w:rFonts w:ascii="Arial" w:hAnsi="Arial" w:cs="Arial"/>
          <w:b/>
          <w:bCs/>
          <w:sz w:val="22"/>
          <w:szCs w:val="22"/>
        </w:rPr>
        <w:t xml:space="preserve"> politiques</w:t>
      </w:r>
      <w:r w:rsidR="00E573D1">
        <w:rPr>
          <w:rFonts w:ascii="Arial" w:hAnsi="Arial" w:cs="Arial"/>
          <w:b/>
          <w:bCs/>
          <w:sz w:val="22"/>
          <w:szCs w:val="22"/>
        </w:rPr>
        <w:t> : une étude approfondie</w:t>
      </w:r>
    </w:p>
    <w:p w14:paraId="581BBD24" w14:textId="62288C19" w:rsidR="005F0831" w:rsidRPr="001F5CF2" w:rsidRDefault="00E573D1" w:rsidP="005F0831">
      <w:pPr>
        <w:pStyle w:val="ListParagraph"/>
        <w:keepNext/>
        <w:numPr>
          <w:ilvl w:val="0"/>
          <w:numId w:val="21"/>
        </w:numPr>
        <w:autoSpaceDE w:val="0"/>
        <w:autoSpaceDN w:val="0"/>
        <w:adjustRightInd w:val="0"/>
        <w:spacing w:before="360" w:after="120"/>
        <w:ind w:left="1134" w:hanging="567"/>
        <w:jc w:val="both"/>
        <w:rPr>
          <w:rFonts w:ascii="Arial" w:hAnsi="Arial" w:cs="Arial"/>
          <w:b/>
          <w:bCs/>
          <w:sz w:val="22"/>
          <w:szCs w:val="22"/>
        </w:rPr>
      </w:pPr>
      <w:r>
        <w:rPr>
          <w:rFonts w:ascii="Arial" w:hAnsi="Arial" w:cs="Arial"/>
          <w:b/>
          <w:bCs/>
          <w:sz w:val="22"/>
          <w:szCs w:val="22"/>
        </w:rPr>
        <w:t>Remarque</w:t>
      </w:r>
      <w:r w:rsidR="00C43C4E">
        <w:rPr>
          <w:rFonts w:ascii="Arial" w:hAnsi="Arial" w:cs="Arial"/>
          <w:b/>
          <w:bCs/>
          <w:sz w:val="22"/>
          <w:szCs w:val="22"/>
        </w:rPr>
        <w:t>s</w:t>
      </w:r>
      <w:r>
        <w:rPr>
          <w:rFonts w:ascii="Arial" w:hAnsi="Arial" w:cs="Arial"/>
          <w:b/>
          <w:bCs/>
          <w:sz w:val="22"/>
          <w:szCs w:val="22"/>
        </w:rPr>
        <w:t xml:space="preserve"> d’ordre général</w:t>
      </w:r>
    </w:p>
    <w:p w14:paraId="57C47E2D" w14:textId="69E8B993" w:rsidR="00E573D1" w:rsidRPr="00FF5F80" w:rsidRDefault="00E573D1" w:rsidP="00FF5F80">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Les États parties mettent en œuvre la </w:t>
      </w:r>
      <w:r w:rsidRPr="00E573D1">
        <w:rPr>
          <w:rFonts w:ascii="Arial" w:hAnsi="Arial" w:cs="Arial"/>
          <w:sz w:val="22"/>
          <w:szCs w:val="22"/>
        </w:rPr>
        <w:t>Convention</w:t>
      </w:r>
      <w:r>
        <w:rPr>
          <w:rFonts w:ascii="Arial" w:hAnsi="Arial" w:cs="Arial"/>
          <w:sz w:val="22"/>
          <w:szCs w:val="22"/>
        </w:rPr>
        <w:t xml:space="preserve"> dans une grande variété de contextes, où les différences sont liées aux structures politiques, aux réalités sociales, aux facteurs géographiques et environnementaux et à d’autres problèmes. Au vu de leur</w:t>
      </w:r>
      <w:r w:rsidR="00FF5F80">
        <w:rPr>
          <w:rFonts w:ascii="Arial" w:hAnsi="Arial" w:cs="Arial"/>
          <w:sz w:val="22"/>
          <w:szCs w:val="22"/>
        </w:rPr>
        <w:t>s</w:t>
      </w:r>
      <w:r>
        <w:rPr>
          <w:rFonts w:ascii="Arial" w:hAnsi="Arial" w:cs="Arial"/>
          <w:sz w:val="22"/>
          <w:szCs w:val="22"/>
        </w:rPr>
        <w:t xml:space="preserve"> différents niveaux de </w:t>
      </w:r>
      <w:r w:rsidRPr="00E573D1">
        <w:rPr>
          <w:rFonts w:ascii="Arial" w:hAnsi="Arial" w:cs="Arial"/>
          <w:sz w:val="22"/>
          <w:szCs w:val="22"/>
        </w:rPr>
        <w:t>gouvernement</w:t>
      </w:r>
      <w:r>
        <w:rPr>
          <w:rFonts w:ascii="Arial" w:hAnsi="Arial" w:cs="Arial"/>
          <w:sz w:val="22"/>
          <w:szCs w:val="22"/>
        </w:rPr>
        <w:t>, les états fédéraux, tels que l’Argentine et les Émirats arabes unis, doivent relever un défi très particulier lorsqu’ils élaborent une approche institu</w:t>
      </w:r>
      <w:r w:rsidR="00FF5F80">
        <w:rPr>
          <w:rFonts w:ascii="Arial" w:hAnsi="Arial" w:cs="Arial"/>
          <w:sz w:val="22"/>
          <w:szCs w:val="22"/>
        </w:rPr>
        <w:t>tionnelle cohérente et uniforme</w:t>
      </w:r>
      <w:r w:rsidR="00C43C4E" w:rsidRPr="00C43C4E">
        <w:rPr>
          <w:rFonts w:ascii="Arial" w:hAnsi="Arial" w:cs="Arial"/>
          <w:sz w:val="22"/>
          <w:szCs w:val="22"/>
        </w:rPr>
        <w:t xml:space="preserve"> </w:t>
      </w:r>
      <w:r w:rsidR="00C43C4E">
        <w:rPr>
          <w:rFonts w:ascii="Arial" w:hAnsi="Arial" w:cs="Arial"/>
          <w:sz w:val="22"/>
          <w:szCs w:val="22"/>
        </w:rPr>
        <w:t xml:space="preserve">pour la </w:t>
      </w:r>
      <w:r w:rsidR="00C43C4E" w:rsidRPr="00FF5F80">
        <w:rPr>
          <w:rFonts w:ascii="Arial" w:hAnsi="Arial" w:cs="Arial"/>
          <w:sz w:val="22"/>
          <w:szCs w:val="22"/>
        </w:rPr>
        <w:t>sauvegarde</w:t>
      </w:r>
      <w:r w:rsidR="00C43C4E">
        <w:rPr>
          <w:rFonts w:ascii="Arial" w:hAnsi="Arial" w:cs="Arial"/>
          <w:sz w:val="22"/>
          <w:szCs w:val="22"/>
        </w:rPr>
        <w:t xml:space="preserve"> du patrimoine culturel immatériel</w:t>
      </w:r>
      <w:r w:rsidR="00FF5F80">
        <w:rPr>
          <w:rFonts w:ascii="Arial" w:hAnsi="Arial" w:cs="Arial"/>
          <w:sz w:val="22"/>
          <w:szCs w:val="22"/>
        </w:rPr>
        <w:t xml:space="preserve">. </w:t>
      </w:r>
      <w:r w:rsidR="00FF5F80" w:rsidRPr="00FF5F80">
        <w:rPr>
          <w:rFonts w:ascii="Arial" w:hAnsi="Arial" w:cs="Arial"/>
          <w:sz w:val="22"/>
          <w:szCs w:val="22"/>
        </w:rPr>
        <w:t>En conséquence</w:t>
      </w:r>
      <w:r w:rsidR="00FF5F80">
        <w:rPr>
          <w:rFonts w:ascii="Arial" w:hAnsi="Arial" w:cs="Arial"/>
          <w:sz w:val="22"/>
          <w:szCs w:val="22"/>
        </w:rPr>
        <w:t xml:space="preserve">, il existe une très grande diversité de réponses au défi que représente la mise en œuvre de la </w:t>
      </w:r>
      <w:r w:rsidR="00FF5F80" w:rsidRPr="00FF5F80">
        <w:rPr>
          <w:rFonts w:ascii="Arial" w:hAnsi="Arial" w:cs="Arial"/>
          <w:sz w:val="22"/>
          <w:szCs w:val="22"/>
        </w:rPr>
        <w:t>Convention</w:t>
      </w:r>
      <w:r w:rsidR="00FF5F80">
        <w:rPr>
          <w:rFonts w:ascii="Arial" w:hAnsi="Arial" w:cs="Arial"/>
          <w:sz w:val="22"/>
          <w:szCs w:val="22"/>
        </w:rPr>
        <w:t xml:space="preserve"> au niveau national. Si l’on s’attache à l’</w:t>
      </w:r>
      <w:r w:rsidR="00FF5F80" w:rsidRPr="00FF5F80">
        <w:rPr>
          <w:rFonts w:ascii="Arial" w:hAnsi="Arial" w:cs="Arial"/>
          <w:sz w:val="22"/>
          <w:szCs w:val="22"/>
        </w:rPr>
        <w:t>environnement</w:t>
      </w:r>
      <w:r w:rsidR="00FF5F80">
        <w:rPr>
          <w:rFonts w:ascii="Arial" w:hAnsi="Arial" w:cs="Arial"/>
          <w:sz w:val="22"/>
          <w:szCs w:val="22"/>
        </w:rPr>
        <w:t xml:space="preserve"> politique national, on peut observer qu’au cours des dix dernières années, le patrimoine culturel immatériel est devenu, dans plusieurs États parties, une ligne d’action prioritaire au sein de la </w:t>
      </w:r>
      <w:r w:rsidR="00FF5F80" w:rsidRPr="00FF5F80">
        <w:rPr>
          <w:rFonts w:ascii="Arial" w:hAnsi="Arial" w:cs="Arial"/>
          <w:sz w:val="22"/>
          <w:szCs w:val="22"/>
        </w:rPr>
        <w:t>planification</w:t>
      </w:r>
      <w:r w:rsidR="00FF5F80">
        <w:rPr>
          <w:rFonts w:ascii="Arial" w:hAnsi="Arial" w:cs="Arial"/>
          <w:sz w:val="22"/>
          <w:szCs w:val="22"/>
        </w:rPr>
        <w:t xml:space="preserve"> du </w:t>
      </w:r>
      <w:r w:rsidR="00FF5F80" w:rsidRPr="00FF5F80">
        <w:rPr>
          <w:rFonts w:ascii="Arial" w:hAnsi="Arial" w:cs="Arial"/>
          <w:sz w:val="22"/>
          <w:szCs w:val="22"/>
        </w:rPr>
        <w:t>développement</w:t>
      </w:r>
      <w:r w:rsidR="00FF5F80">
        <w:rPr>
          <w:rFonts w:ascii="Arial" w:hAnsi="Arial" w:cs="Arial"/>
          <w:sz w:val="22"/>
          <w:szCs w:val="22"/>
        </w:rPr>
        <w:t xml:space="preserve"> national. Les cinq cycles de rapports précédents ont démontré qu</w:t>
      </w:r>
      <w:r w:rsidR="00F8377C">
        <w:rPr>
          <w:rFonts w:ascii="Arial" w:hAnsi="Arial" w:cs="Arial"/>
          <w:sz w:val="22"/>
          <w:szCs w:val="22"/>
        </w:rPr>
        <w:t>e presque</w:t>
      </w:r>
      <w:r w:rsidR="00FF5F80">
        <w:rPr>
          <w:rFonts w:ascii="Arial" w:hAnsi="Arial" w:cs="Arial"/>
          <w:sz w:val="22"/>
          <w:szCs w:val="22"/>
        </w:rPr>
        <w:t xml:space="preserve"> 75% des États faisant rapport avaient défini, d’une manière ou d’une autre, de nouvelles politiques en matière de </w:t>
      </w:r>
      <w:r w:rsidR="00FF5F80" w:rsidRPr="00FF5F80">
        <w:rPr>
          <w:rFonts w:ascii="Arial" w:hAnsi="Arial" w:cs="Arial"/>
          <w:sz w:val="22"/>
          <w:szCs w:val="22"/>
        </w:rPr>
        <w:t>sauvegarde</w:t>
      </w:r>
      <w:r w:rsidR="00FF5F80">
        <w:rPr>
          <w:rFonts w:ascii="Arial" w:hAnsi="Arial" w:cs="Arial"/>
          <w:sz w:val="22"/>
          <w:szCs w:val="22"/>
        </w:rPr>
        <w:t xml:space="preserve"> du patrimoine culturel immatériel, et de nombreux États ont </w:t>
      </w:r>
      <w:r w:rsidR="00FF5F80" w:rsidRPr="00FF5F80">
        <w:rPr>
          <w:rFonts w:ascii="Arial" w:hAnsi="Arial" w:cs="Arial"/>
          <w:sz w:val="22"/>
          <w:szCs w:val="22"/>
        </w:rPr>
        <w:t>également</w:t>
      </w:r>
      <w:r w:rsidR="00FF5F80">
        <w:rPr>
          <w:rFonts w:ascii="Arial" w:hAnsi="Arial" w:cs="Arial"/>
          <w:sz w:val="22"/>
          <w:szCs w:val="22"/>
        </w:rPr>
        <w:t xml:space="preserve"> mentionné </w:t>
      </w:r>
      <w:r w:rsidR="00FF5F80" w:rsidRPr="00FF5F80">
        <w:rPr>
          <w:rFonts w:ascii="Arial" w:hAnsi="Arial" w:cs="Arial"/>
          <w:sz w:val="22"/>
          <w:szCs w:val="22"/>
        </w:rPr>
        <w:t xml:space="preserve">l’intégration de cette sauvegarde dans d’autres domaines politiques. </w:t>
      </w:r>
      <w:r w:rsidR="0064169E">
        <w:rPr>
          <w:rFonts w:ascii="Arial" w:hAnsi="Arial" w:cs="Arial"/>
          <w:sz w:val="22"/>
          <w:szCs w:val="22"/>
        </w:rPr>
        <w:t xml:space="preserve">D’autres États avaient mis au point, ou étaient en train de le faire, une </w:t>
      </w:r>
      <w:r w:rsidR="0064169E">
        <w:rPr>
          <w:rFonts w:ascii="Arial" w:hAnsi="Arial" w:cs="Arial"/>
          <w:sz w:val="22"/>
          <w:szCs w:val="22"/>
        </w:rPr>
        <w:lastRenderedPageBreak/>
        <w:t>nouvelle législation (Argentine, Géorgie, Luxembourg, Monaco et Émirat</w:t>
      </w:r>
      <w:r w:rsidR="00C43C4E">
        <w:rPr>
          <w:rFonts w:ascii="Arial" w:hAnsi="Arial" w:cs="Arial"/>
          <w:sz w:val="22"/>
          <w:szCs w:val="22"/>
        </w:rPr>
        <w:t>s arabes unis) qui s’intégrait dans</w:t>
      </w:r>
      <w:r w:rsidR="0064169E">
        <w:rPr>
          <w:rFonts w:ascii="Arial" w:hAnsi="Arial" w:cs="Arial"/>
          <w:sz w:val="22"/>
          <w:szCs w:val="22"/>
        </w:rPr>
        <w:t xml:space="preserve"> un cadre politique </w:t>
      </w:r>
      <w:r w:rsidR="00C43C4E">
        <w:rPr>
          <w:rFonts w:ascii="Arial" w:hAnsi="Arial" w:cs="Arial"/>
          <w:sz w:val="22"/>
          <w:szCs w:val="22"/>
        </w:rPr>
        <w:t xml:space="preserve">déjà </w:t>
      </w:r>
      <w:r w:rsidR="00F465C2">
        <w:rPr>
          <w:rFonts w:ascii="Arial" w:hAnsi="Arial" w:cs="Arial"/>
          <w:sz w:val="22"/>
          <w:szCs w:val="22"/>
        </w:rPr>
        <w:t>en place.</w:t>
      </w:r>
    </w:p>
    <w:p w14:paraId="391B0F1F" w14:textId="25C91F6D" w:rsidR="0064169E" w:rsidRDefault="00C43C4E" w:rsidP="00866B1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L</w:t>
      </w:r>
      <w:r w:rsidR="0064169E">
        <w:rPr>
          <w:rFonts w:ascii="Arial" w:hAnsi="Arial" w:cs="Arial"/>
          <w:sz w:val="22"/>
          <w:szCs w:val="22"/>
        </w:rPr>
        <w:t>a diversité des approches en matière d’</w:t>
      </w:r>
      <w:r w:rsidR="0064169E" w:rsidRPr="0064169E">
        <w:rPr>
          <w:rFonts w:ascii="Arial" w:hAnsi="Arial" w:cs="Arial"/>
          <w:sz w:val="22"/>
          <w:szCs w:val="22"/>
          <w:lang w:eastAsia="en-US"/>
        </w:rPr>
        <w:t>élaboration</w:t>
      </w:r>
      <w:r w:rsidR="0064169E">
        <w:rPr>
          <w:rFonts w:ascii="Arial" w:hAnsi="Arial" w:cs="Arial"/>
          <w:sz w:val="22"/>
          <w:szCs w:val="22"/>
        </w:rPr>
        <w:t xml:space="preserve"> de politiques de </w:t>
      </w:r>
      <w:r w:rsidR="0064169E" w:rsidRPr="0064169E">
        <w:rPr>
          <w:rFonts w:ascii="Arial" w:hAnsi="Arial" w:cs="Arial"/>
          <w:sz w:val="22"/>
          <w:szCs w:val="22"/>
        </w:rPr>
        <w:t>sauvegarde</w:t>
      </w:r>
      <w:r w:rsidR="0064169E">
        <w:rPr>
          <w:rFonts w:ascii="Arial" w:hAnsi="Arial" w:cs="Arial"/>
          <w:sz w:val="22"/>
          <w:szCs w:val="22"/>
        </w:rPr>
        <w:t xml:space="preserve"> du patrimoine culturel immatériel</w:t>
      </w:r>
      <w:r>
        <w:rPr>
          <w:rFonts w:ascii="Arial" w:hAnsi="Arial" w:cs="Arial"/>
          <w:sz w:val="22"/>
          <w:szCs w:val="22"/>
        </w:rPr>
        <w:t xml:space="preserve"> et</w:t>
      </w:r>
      <w:r w:rsidR="00C460C1">
        <w:rPr>
          <w:rFonts w:ascii="Arial" w:hAnsi="Arial" w:cs="Arial"/>
          <w:sz w:val="22"/>
          <w:szCs w:val="22"/>
        </w:rPr>
        <w:t xml:space="preserve"> le niveau de décentralisation de </w:t>
      </w:r>
      <w:r w:rsidR="0064169E">
        <w:rPr>
          <w:rFonts w:ascii="Arial" w:hAnsi="Arial" w:cs="Arial"/>
          <w:sz w:val="22"/>
          <w:szCs w:val="22"/>
        </w:rPr>
        <w:t>ces pol</w:t>
      </w:r>
      <w:r w:rsidR="0082143E">
        <w:rPr>
          <w:rFonts w:ascii="Arial" w:hAnsi="Arial" w:cs="Arial"/>
          <w:sz w:val="22"/>
          <w:szCs w:val="22"/>
        </w:rPr>
        <w:t>i</w:t>
      </w:r>
      <w:r w:rsidR="0064169E">
        <w:rPr>
          <w:rFonts w:ascii="Arial" w:hAnsi="Arial" w:cs="Arial"/>
          <w:sz w:val="22"/>
          <w:szCs w:val="22"/>
        </w:rPr>
        <w:t xml:space="preserve">tiques à des </w:t>
      </w:r>
      <w:r w:rsidR="0082143E">
        <w:rPr>
          <w:rFonts w:ascii="Arial" w:hAnsi="Arial" w:cs="Arial"/>
          <w:sz w:val="22"/>
          <w:szCs w:val="22"/>
        </w:rPr>
        <w:t xml:space="preserve">échelons </w:t>
      </w:r>
      <w:r w:rsidR="00C460C1">
        <w:rPr>
          <w:rFonts w:ascii="Arial" w:hAnsi="Arial" w:cs="Arial"/>
          <w:sz w:val="22"/>
          <w:szCs w:val="22"/>
        </w:rPr>
        <w:t xml:space="preserve">politiques « inférieurs » </w:t>
      </w:r>
      <w:r w:rsidR="0064169E">
        <w:rPr>
          <w:rFonts w:ascii="Arial" w:hAnsi="Arial" w:cs="Arial"/>
          <w:sz w:val="22"/>
          <w:szCs w:val="22"/>
        </w:rPr>
        <w:t xml:space="preserve">(comme </w:t>
      </w:r>
      <w:r w:rsidR="0064169E" w:rsidRPr="0064169E">
        <w:rPr>
          <w:rFonts w:ascii="Arial" w:hAnsi="Arial" w:cs="Arial"/>
          <w:sz w:val="22"/>
          <w:szCs w:val="22"/>
        </w:rPr>
        <w:t>par exemple</w:t>
      </w:r>
      <w:r w:rsidR="0082143E">
        <w:rPr>
          <w:rFonts w:ascii="Arial" w:hAnsi="Arial" w:cs="Arial"/>
          <w:sz w:val="22"/>
          <w:szCs w:val="22"/>
        </w:rPr>
        <w:t xml:space="preserve"> en</w:t>
      </w:r>
      <w:r w:rsidR="00C460C1">
        <w:rPr>
          <w:rFonts w:ascii="Arial" w:hAnsi="Arial" w:cs="Arial"/>
          <w:sz w:val="22"/>
          <w:szCs w:val="22"/>
        </w:rPr>
        <w:t xml:space="preserve"> Flandre</w:t>
      </w:r>
      <w:r w:rsidR="0064169E">
        <w:rPr>
          <w:rFonts w:ascii="Arial" w:hAnsi="Arial" w:cs="Arial"/>
          <w:sz w:val="22"/>
          <w:szCs w:val="22"/>
        </w:rPr>
        <w:t xml:space="preserve">) </w:t>
      </w:r>
      <w:r w:rsidR="0064169E" w:rsidRPr="0064169E">
        <w:rPr>
          <w:rFonts w:ascii="Arial" w:hAnsi="Arial" w:cs="Arial"/>
          <w:sz w:val="22"/>
          <w:szCs w:val="22"/>
        </w:rPr>
        <w:t>constitue</w:t>
      </w:r>
      <w:r w:rsidR="0064169E">
        <w:rPr>
          <w:rFonts w:ascii="Arial" w:hAnsi="Arial" w:cs="Arial"/>
          <w:sz w:val="22"/>
          <w:szCs w:val="22"/>
        </w:rPr>
        <w:t xml:space="preserve">nt </w:t>
      </w:r>
      <w:r w:rsidR="0082143E">
        <w:rPr>
          <w:rFonts w:ascii="Arial" w:hAnsi="Arial" w:cs="Arial"/>
          <w:sz w:val="22"/>
          <w:szCs w:val="22"/>
        </w:rPr>
        <w:t xml:space="preserve">des aspects </w:t>
      </w:r>
      <w:r w:rsidR="00AC24B9">
        <w:rPr>
          <w:rFonts w:ascii="Arial" w:hAnsi="Arial" w:cs="Arial"/>
          <w:sz w:val="22"/>
          <w:szCs w:val="22"/>
        </w:rPr>
        <w:t xml:space="preserve">caractéristiques </w:t>
      </w:r>
      <w:r w:rsidR="0082143E">
        <w:rPr>
          <w:rFonts w:ascii="Arial" w:hAnsi="Arial" w:cs="Arial"/>
          <w:sz w:val="22"/>
          <w:szCs w:val="22"/>
        </w:rPr>
        <w:t xml:space="preserve">de la mise en œuvre de la </w:t>
      </w:r>
      <w:r w:rsidR="0082143E" w:rsidRPr="0082143E">
        <w:rPr>
          <w:rFonts w:ascii="Arial" w:hAnsi="Arial" w:cs="Arial"/>
          <w:sz w:val="22"/>
          <w:szCs w:val="22"/>
        </w:rPr>
        <w:t>Convention</w:t>
      </w:r>
      <w:r w:rsidR="0082143E">
        <w:rPr>
          <w:rFonts w:ascii="Arial" w:hAnsi="Arial" w:cs="Arial"/>
          <w:sz w:val="22"/>
          <w:szCs w:val="22"/>
        </w:rPr>
        <w:t xml:space="preserve"> dans un certain nombre d’États parties</w:t>
      </w:r>
      <w:r w:rsidR="0082143E" w:rsidRPr="00AC24B9">
        <w:rPr>
          <w:rFonts w:ascii="Arial" w:hAnsi="Arial" w:cs="Arial"/>
          <w:sz w:val="22"/>
          <w:szCs w:val="22"/>
        </w:rPr>
        <w:t xml:space="preserve">. </w:t>
      </w:r>
      <w:r w:rsidR="00F8377C" w:rsidRPr="00AC24B9">
        <w:rPr>
          <w:rFonts w:ascii="Arial" w:hAnsi="Arial" w:cs="Arial"/>
          <w:sz w:val="22"/>
          <w:szCs w:val="22"/>
        </w:rPr>
        <w:t xml:space="preserve">L’accent mis sur </w:t>
      </w:r>
      <w:r w:rsidR="00F8377C" w:rsidRPr="00D4732D">
        <w:rPr>
          <w:rFonts w:ascii="Arial" w:hAnsi="Arial" w:cs="Arial"/>
          <w:sz w:val="22"/>
          <w:szCs w:val="22"/>
        </w:rPr>
        <w:t>cette</w:t>
      </w:r>
      <w:r w:rsidR="00F8377C" w:rsidRPr="00AC24B9">
        <w:rPr>
          <w:rFonts w:ascii="Arial" w:hAnsi="Arial" w:cs="Arial"/>
          <w:sz w:val="22"/>
          <w:szCs w:val="22"/>
        </w:rPr>
        <w:t xml:space="preserve"> décentralisation et l</w:t>
      </w:r>
      <w:r w:rsidR="0082143E" w:rsidRPr="00AC24B9">
        <w:rPr>
          <w:rFonts w:ascii="Arial" w:hAnsi="Arial" w:cs="Arial"/>
          <w:sz w:val="22"/>
          <w:szCs w:val="22"/>
        </w:rPr>
        <w:t>e caractère transversal du patrimoine culturel immatériel a eu des conséquences de taille sur le</w:t>
      </w:r>
      <w:r w:rsidR="007F007D" w:rsidRPr="00AC24B9">
        <w:rPr>
          <w:rFonts w:ascii="Arial" w:hAnsi="Arial" w:cs="Arial"/>
          <w:sz w:val="22"/>
          <w:szCs w:val="22"/>
        </w:rPr>
        <w:t>s</w:t>
      </w:r>
      <w:r w:rsidR="0082143E" w:rsidRPr="00AC24B9">
        <w:rPr>
          <w:rFonts w:ascii="Arial" w:hAnsi="Arial" w:cs="Arial"/>
          <w:sz w:val="22"/>
          <w:szCs w:val="22"/>
        </w:rPr>
        <w:t xml:space="preserve"> modalités </w:t>
      </w:r>
      <w:r w:rsidR="000C08BA" w:rsidRPr="00AC24B9">
        <w:rPr>
          <w:rFonts w:ascii="Arial" w:hAnsi="Arial" w:cs="Arial"/>
          <w:sz w:val="22"/>
          <w:szCs w:val="22"/>
        </w:rPr>
        <w:t>du</w:t>
      </w:r>
      <w:r w:rsidR="007F007D" w:rsidRPr="00AC24B9">
        <w:rPr>
          <w:rFonts w:ascii="Arial" w:hAnsi="Arial" w:cs="Arial"/>
          <w:sz w:val="22"/>
          <w:szCs w:val="22"/>
        </w:rPr>
        <w:t xml:space="preserve"> traitement de sa sauvegarde par les États</w:t>
      </w:r>
      <w:r w:rsidR="007F007D">
        <w:rPr>
          <w:rFonts w:ascii="Arial" w:hAnsi="Arial" w:cs="Arial"/>
          <w:sz w:val="22"/>
          <w:szCs w:val="22"/>
        </w:rPr>
        <w:t xml:space="preserve"> parties</w:t>
      </w:r>
      <w:r w:rsidR="00F8377C">
        <w:rPr>
          <w:rFonts w:ascii="Arial" w:hAnsi="Arial" w:cs="Arial"/>
          <w:sz w:val="22"/>
          <w:szCs w:val="22"/>
        </w:rPr>
        <w:t>.</w:t>
      </w:r>
      <w:r w:rsidR="007F007D">
        <w:rPr>
          <w:rFonts w:ascii="Arial" w:hAnsi="Arial" w:cs="Arial"/>
          <w:sz w:val="22"/>
          <w:szCs w:val="22"/>
        </w:rPr>
        <w:t xml:space="preserve"> </w:t>
      </w:r>
      <w:r w:rsidR="00F8377C">
        <w:rPr>
          <w:rFonts w:ascii="Arial" w:hAnsi="Arial" w:cs="Arial"/>
          <w:sz w:val="22"/>
          <w:szCs w:val="22"/>
        </w:rPr>
        <w:t>L</w:t>
      </w:r>
      <w:r w:rsidR="007F007D">
        <w:rPr>
          <w:rFonts w:ascii="Arial" w:hAnsi="Arial" w:cs="Arial"/>
          <w:sz w:val="22"/>
          <w:szCs w:val="22"/>
        </w:rPr>
        <w:t xml:space="preserve">es expériences ci-dessous présentées suggèrent qu’il est </w:t>
      </w:r>
      <w:r w:rsidR="007F007D" w:rsidRPr="007F007D">
        <w:rPr>
          <w:rFonts w:ascii="Arial" w:hAnsi="Arial" w:cs="Arial"/>
          <w:sz w:val="22"/>
          <w:szCs w:val="22"/>
        </w:rPr>
        <w:t>extrêmement</w:t>
      </w:r>
      <w:r w:rsidR="007F007D">
        <w:rPr>
          <w:rFonts w:ascii="Arial" w:hAnsi="Arial" w:cs="Arial"/>
          <w:sz w:val="22"/>
          <w:szCs w:val="22"/>
        </w:rPr>
        <w:t xml:space="preserve"> difficile de confiner les politiques en matière de patrimoine culturel immatérie</w:t>
      </w:r>
      <w:r w:rsidR="00F465C2">
        <w:rPr>
          <w:rFonts w:ascii="Arial" w:hAnsi="Arial" w:cs="Arial"/>
          <w:sz w:val="22"/>
          <w:szCs w:val="22"/>
        </w:rPr>
        <w:t>l à un cadre purement culturel.</w:t>
      </w:r>
    </w:p>
    <w:p w14:paraId="132E81B5" w14:textId="1010F4C9" w:rsidR="000C08BA" w:rsidRPr="000C08BA" w:rsidRDefault="000C08BA" w:rsidP="000C08BA">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Dans certains cas, encore peu nombreux à ce jour, tels que le Brésil, le patrimoine culturel</w:t>
      </w:r>
      <w:r w:rsidR="00C43C4E">
        <w:rPr>
          <w:rFonts w:ascii="Arial" w:hAnsi="Arial" w:cs="Arial"/>
          <w:sz w:val="22"/>
          <w:szCs w:val="22"/>
        </w:rPr>
        <w:t xml:space="preserve"> immatériel a été bien intégré à</w:t>
      </w:r>
      <w:r>
        <w:rPr>
          <w:rFonts w:ascii="Arial" w:hAnsi="Arial" w:cs="Arial"/>
          <w:sz w:val="22"/>
          <w:szCs w:val="22"/>
        </w:rPr>
        <w:t xml:space="preserve"> d’autres domaines politiques tels que l’</w:t>
      </w:r>
      <w:r w:rsidRPr="000C08BA">
        <w:rPr>
          <w:rFonts w:ascii="Arial" w:hAnsi="Arial" w:cs="Arial"/>
          <w:sz w:val="22"/>
          <w:szCs w:val="22"/>
        </w:rPr>
        <w:t>environnement</w:t>
      </w:r>
      <w:r>
        <w:rPr>
          <w:rFonts w:ascii="Arial" w:hAnsi="Arial" w:cs="Arial"/>
          <w:sz w:val="22"/>
          <w:szCs w:val="22"/>
        </w:rPr>
        <w:t xml:space="preserve">, le </w:t>
      </w:r>
      <w:r w:rsidRPr="000C08BA">
        <w:rPr>
          <w:rFonts w:ascii="Arial" w:hAnsi="Arial" w:cs="Arial"/>
          <w:sz w:val="22"/>
          <w:szCs w:val="22"/>
        </w:rPr>
        <w:t>développement</w:t>
      </w:r>
      <w:r>
        <w:rPr>
          <w:rFonts w:ascii="Arial" w:hAnsi="Arial" w:cs="Arial"/>
          <w:sz w:val="22"/>
          <w:szCs w:val="22"/>
        </w:rPr>
        <w:t xml:space="preserve"> social, l’agriculture, la gestion des ressources génétiques et le </w:t>
      </w:r>
      <w:r w:rsidRPr="000C08BA">
        <w:rPr>
          <w:rFonts w:ascii="Arial" w:hAnsi="Arial" w:cs="Arial"/>
          <w:sz w:val="22"/>
          <w:szCs w:val="22"/>
        </w:rPr>
        <w:t>développement</w:t>
      </w:r>
      <w:r>
        <w:rPr>
          <w:rFonts w:ascii="Arial" w:hAnsi="Arial" w:cs="Arial"/>
          <w:sz w:val="22"/>
          <w:szCs w:val="22"/>
        </w:rPr>
        <w:t xml:space="preserve"> </w:t>
      </w:r>
      <w:r w:rsidRPr="000C08BA">
        <w:rPr>
          <w:rFonts w:ascii="Arial" w:hAnsi="Arial" w:cs="Arial"/>
          <w:sz w:val="22"/>
          <w:szCs w:val="22"/>
        </w:rPr>
        <w:t>économique</w:t>
      </w:r>
      <w:r>
        <w:rPr>
          <w:rFonts w:ascii="Arial" w:hAnsi="Arial" w:cs="Arial"/>
          <w:sz w:val="22"/>
          <w:szCs w:val="22"/>
        </w:rPr>
        <w:t xml:space="preserve"> local. Cela s’est concrétisé dans un ou deux pays par des </w:t>
      </w:r>
      <w:r w:rsidRPr="00D4732D">
        <w:rPr>
          <w:rFonts w:ascii="Arial" w:hAnsi="Arial" w:cs="Arial"/>
          <w:b/>
          <w:sz w:val="22"/>
          <w:szCs w:val="22"/>
          <w:lang w:eastAsia="en-US"/>
        </w:rPr>
        <w:t>initiatives inter-agences</w:t>
      </w:r>
      <w:r>
        <w:rPr>
          <w:rFonts w:ascii="Arial" w:hAnsi="Arial" w:cs="Arial"/>
          <w:sz w:val="22"/>
          <w:szCs w:val="22"/>
          <w:lang w:eastAsia="en-US"/>
        </w:rPr>
        <w:t>, comme au Brésil et à Panama, en général entre les Ministères de la culture, de l’</w:t>
      </w:r>
      <w:r w:rsidRPr="000C08BA">
        <w:rPr>
          <w:rFonts w:ascii="Arial" w:hAnsi="Arial" w:cs="Arial"/>
          <w:sz w:val="22"/>
          <w:szCs w:val="22"/>
          <w:lang w:eastAsia="en-US"/>
        </w:rPr>
        <w:t>éducation</w:t>
      </w:r>
      <w:r>
        <w:rPr>
          <w:rFonts w:ascii="Arial" w:hAnsi="Arial" w:cs="Arial"/>
          <w:sz w:val="22"/>
          <w:szCs w:val="22"/>
          <w:lang w:eastAsia="en-US"/>
        </w:rPr>
        <w:t xml:space="preserve">, du </w:t>
      </w:r>
      <w:r w:rsidRPr="000C08BA">
        <w:rPr>
          <w:rFonts w:ascii="Arial" w:hAnsi="Arial" w:cs="Arial"/>
          <w:sz w:val="22"/>
          <w:szCs w:val="22"/>
          <w:lang w:eastAsia="en-US"/>
        </w:rPr>
        <w:t>développement</w:t>
      </w:r>
      <w:r>
        <w:rPr>
          <w:rFonts w:ascii="Arial" w:hAnsi="Arial" w:cs="Arial"/>
          <w:sz w:val="22"/>
          <w:szCs w:val="22"/>
          <w:lang w:eastAsia="en-US"/>
        </w:rPr>
        <w:t xml:space="preserve"> social, des affaires </w:t>
      </w:r>
      <w:r w:rsidRPr="000C08BA">
        <w:rPr>
          <w:rFonts w:ascii="Arial" w:hAnsi="Arial" w:cs="Arial"/>
          <w:sz w:val="22"/>
          <w:szCs w:val="22"/>
          <w:lang w:eastAsia="en-US"/>
        </w:rPr>
        <w:t>autochtones</w:t>
      </w:r>
      <w:r>
        <w:rPr>
          <w:rFonts w:ascii="Arial" w:hAnsi="Arial" w:cs="Arial"/>
          <w:sz w:val="22"/>
          <w:szCs w:val="22"/>
          <w:lang w:eastAsia="en-US"/>
        </w:rPr>
        <w:t>, de l’</w:t>
      </w:r>
      <w:r w:rsidRPr="000C08BA">
        <w:rPr>
          <w:rFonts w:ascii="Arial" w:hAnsi="Arial" w:cs="Arial"/>
          <w:sz w:val="22"/>
          <w:szCs w:val="22"/>
          <w:lang w:eastAsia="en-US"/>
        </w:rPr>
        <w:t>environnement</w:t>
      </w:r>
      <w:r>
        <w:rPr>
          <w:rFonts w:ascii="Arial" w:hAnsi="Arial" w:cs="Arial"/>
          <w:sz w:val="22"/>
          <w:szCs w:val="22"/>
          <w:lang w:eastAsia="en-US"/>
        </w:rPr>
        <w:t xml:space="preserve">, de l’agriculture, du tourisme et de la santé (p. ex. accord de prêts de micro-crédit à des femmes en zone rurale ou </w:t>
      </w:r>
      <w:r w:rsidRPr="000C08BA">
        <w:rPr>
          <w:rFonts w:ascii="Arial" w:hAnsi="Arial" w:cs="Arial"/>
          <w:sz w:val="22"/>
          <w:szCs w:val="22"/>
          <w:lang w:eastAsia="en-US"/>
        </w:rPr>
        <w:t>commercialisation</w:t>
      </w:r>
      <w:r w:rsidR="00904AFB">
        <w:rPr>
          <w:rFonts w:ascii="Arial" w:hAnsi="Arial" w:cs="Arial"/>
          <w:sz w:val="22"/>
          <w:szCs w:val="22"/>
          <w:lang w:eastAsia="en-US"/>
        </w:rPr>
        <w:t xml:space="preserve"> et promotion de produits artisanaux</w:t>
      </w:r>
      <w:r>
        <w:rPr>
          <w:rFonts w:ascii="Arial" w:hAnsi="Arial" w:cs="Arial"/>
          <w:sz w:val="22"/>
          <w:szCs w:val="22"/>
          <w:lang w:eastAsia="en-US"/>
        </w:rPr>
        <w:t xml:space="preserve"> </w:t>
      </w:r>
      <w:r w:rsidRPr="000C08BA">
        <w:rPr>
          <w:rFonts w:ascii="Arial" w:hAnsi="Arial" w:cs="Arial"/>
          <w:sz w:val="22"/>
          <w:szCs w:val="22"/>
          <w:lang w:eastAsia="en-US"/>
        </w:rPr>
        <w:t>traditionnels</w:t>
      </w:r>
      <w:r>
        <w:rPr>
          <w:rFonts w:ascii="Arial" w:hAnsi="Arial" w:cs="Arial"/>
          <w:sz w:val="22"/>
          <w:szCs w:val="22"/>
          <w:lang w:eastAsia="en-US"/>
        </w:rPr>
        <w:t xml:space="preserve"> et </w:t>
      </w:r>
      <w:r w:rsidRPr="000C08BA">
        <w:rPr>
          <w:rFonts w:ascii="Arial" w:hAnsi="Arial" w:cs="Arial"/>
          <w:sz w:val="22"/>
          <w:szCs w:val="22"/>
          <w:lang w:eastAsia="en-US"/>
        </w:rPr>
        <w:t>organisation</w:t>
      </w:r>
      <w:r>
        <w:rPr>
          <w:rFonts w:ascii="Arial" w:hAnsi="Arial" w:cs="Arial"/>
          <w:sz w:val="22"/>
          <w:szCs w:val="22"/>
          <w:lang w:eastAsia="en-US"/>
        </w:rPr>
        <w:t xml:space="preserve"> de festivals). Toutefois, ce type d’accord</w:t>
      </w:r>
      <w:r w:rsidR="00C43C4E">
        <w:rPr>
          <w:rFonts w:ascii="Arial" w:hAnsi="Arial" w:cs="Arial"/>
          <w:sz w:val="22"/>
          <w:szCs w:val="22"/>
          <w:lang w:eastAsia="en-US"/>
        </w:rPr>
        <w:t>s</w:t>
      </w:r>
      <w:r>
        <w:rPr>
          <w:rFonts w:ascii="Arial" w:hAnsi="Arial" w:cs="Arial"/>
          <w:sz w:val="22"/>
          <w:szCs w:val="22"/>
          <w:lang w:eastAsia="en-US"/>
        </w:rPr>
        <w:t xml:space="preserve"> intersectoriel</w:t>
      </w:r>
      <w:r w:rsidR="00C43C4E">
        <w:rPr>
          <w:rFonts w:ascii="Arial" w:hAnsi="Arial" w:cs="Arial"/>
          <w:sz w:val="22"/>
          <w:szCs w:val="22"/>
          <w:lang w:eastAsia="en-US"/>
        </w:rPr>
        <w:t>s</w:t>
      </w:r>
      <w:r>
        <w:rPr>
          <w:rFonts w:ascii="Arial" w:hAnsi="Arial" w:cs="Arial"/>
          <w:sz w:val="22"/>
          <w:szCs w:val="22"/>
          <w:lang w:eastAsia="en-US"/>
        </w:rPr>
        <w:t xml:space="preserve"> </w:t>
      </w:r>
      <w:r w:rsidR="002E1B78">
        <w:rPr>
          <w:rFonts w:ascii="Arial" w:hAnsi="Arial" w:cs="Arial"/>
          <w:sz w:val="22"/>
          <w:szCs w:val="22"/>
          <w:lang w:eastAsia="en-US"/>
        </w:rPr>
        <w:t xml:space="preserve">reste </w:t>
      </w:r>
      <w:r>
        <w:rPr>
          <w:rFonts w:ascii="Arial" w:hAnsi="Arial" w:cs="Arial"/>
          <w:sz w:val="22"/>
          <w:szCs w:val="22"/>
          <w:lang w:eastAsia="en-US"/>
        </w:rPr>
        <w:t xml:space="preserve">très </w:t>
      </w:r>
      <w:r w:rsidR="002E1B78">
        <w:rPr>
          <w:rFonts w:ascii="Arial" w:hAnsi="Arial" w:cs="Arial"/>
          <w:sz w:val="22"/>
          <w:szCs w:val="22"/>
          <w:lang w:eastAsia="en-US"/>
        </w:rPr>
        <w:t xml:space="preserve">difficile à mettre en place </w:t>
      </w:r>
      <w:r>
        <w:rPr>
          <w:rFonts w:ascii="Arial" w:hAnsi="Arial" w:cs="Arial"/>
          <w:sz w:val="22"/>
          <w:szCs w:val="22"/>
          <w:lang w:eastAsia="en-US"/>
        </w:rPr>
        <w:t xml:space="preserve">dans de nombreux pays qui </w:t>
      </w:r>
      <w:r w:rsidR="002E1B78">
        <w:rPr>
          <w:rFonts w:ascii="Arial" w:hAnsi="Arial" w:cs="Arial"/>
          <w:sz w:val="22"/>
          <w:szCs w:val="22"/>
          <w:lang w:eastAsia="en-US"/>
        </w:rPr>
        <w:t xml:space="preserve">ont </w:t>
      </w:r>
      <w:r>
        <w:rPr>
          <w:rFonts w:ascii="Arial" w:hAnsi="Arial" w:cs="Arial"/>
          <w:sz w:val="22"/>
          <w:szCs w:val="22"/>
          <w:lang w:eastAsia="en-US"/>
        </w:rPr>
        <w:t>de</w:t>
      </w:r>
      <w:r w:rsidR="002E1B78">
        <w:rPr>
          <w:rFonts w:ascii="Arial" w:hAnsi="Arial" w:cs="Arial"/>
          <w:sz w:val="22"/>
          <w:szCs w:val="22"/>
          <w:lang w:eastAsia="en-US"/>
        </w:rPr>
        <w:t>s</w:t>
      </w:r>
      <w:r>
        <w:rPr>
          <w:rFonts w:ascii="Arial" w:hAnsi="Arial" w:cs="Arial"/>
          <w:sz w:val="22"/>
          <w:szCs w:val="22"/>
          <w:lang w:eastAsia="en-US"/>
        </w:rPr>
        <w:t xml:space="preserve"> systèmes </w:t>
      </w:r>
      <w:r w:rsidR="002E1B78">
        <w:rPr>
          <w:rFonts w:ascii="Arial" w:hAnsi="Arial" w:cs="Arial"/>
          <w:sz w:val="22"/>
          <w:szCs w:val="22"/>
          <w:lang w:eastAsia="en-US"/>
        </w:rPr>
        <w:t xml:space="preserve">très </w:t>
      </w:r>
      <w:r w:rsidR="00F465C2">
        <w:rPr>
          <w:rFonts w:ascii="Arial" w:hAnsi="Arial" w:cs="Arial"/>
          <w:sz w:val="22"/>
          <w:szCs w:val="22"/>
          <w:lang w:eastAsia="en-US"/>
        </w:rPr>
        <w:t>différents.</w:t>
      </w:r>
    </w:p>
    <w:p w14:paraId="5B98DE35" w14:textId="758B8EB2" w:rsidR="002E1B78" w:rsidRDefault="002E1B78" w:rsidP="000A160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Un autre aspect important de </w:t>
      </w:r>
      <w:r w:rsidRPr="002E1B78">
        <w:rPr>
          <w:rFonts w:ascii="Arial" w:hAnsi="Arial" w:cs="Arial"/>
          <w:sz w:val="22"/>
          <w:szCs w:val="22"/>
          <w:lang w:eastAsia="en-US"/>
        </w:rPr>
        <w:t>l’élaboration</w:t>
      </w:r>
      <w:r>
        <w:rPr>
          <w:rFonts w:ascii="Arial" w:hAnsi="Arial" w:cs="Arial"/>
          <w:sz w:val="22"/>
          <w:szCs w:val="22"/>
        </w:rPr>
        <w:t xml:space="preserve"> de politiques dans le domaine du patrimoine culturel immatériel a été sa </w:t>
      </w:r>
      <w:r w:rsidRPr="002E1B78">
        <w:rPr>
          <w:rFonts w:ascii="Arial" w:hAnsi="Arial" w:cs="Arial"/>
          <w:b/>
          <w:sz w:val="22"/>
          <w:szCs w:val="22"/>
        </w:rPr>
        <w:t xml:space="preserve">décentralisation </w:t>
      </w:r>
      <w:r w:rsidR="0078214D">
        <w:rPr>
          <w:rFonts w:ascii="Arial" w:hAnsi="Arial" w:cs="Arial"/>
          <w:b/>
          <w:sz w:val="22"/>
          <w:szCs w:val="22"/>
        </w:rPr>
        <w:t>aux</w:t>
      </w:r>
      <w:r>
        <w:rPr>
          <w:rFonts w:ascii="Arial" w:hAnsi="Arial" w:cs="Arial"/>
          <w:sz w:val="22"/>
          <w:szCs w:val="22"/>
        </w:rPr>
        <w:t xml:space="preserve"> </w:t>
      </w:r>
      <w:r w:rsidRPr="00D4732D">
        <w:rPr>
          <w:rFonts w:ascii="Arial" w:hAnsi="Arial" w:cs="Arial"/>
          <w:b/>
          <w:sz w:val="22"/>
          <w:szCs w:val="22"/>
        </w:rPr>
        <w:t xml:space="preserve">autorités régionales et municipales étant en charge de </w:t>
      </w:r>
      <w:r w:rsidRPr="00D4732D">
        <w:rPr>
          <w:rFonts w:ascii="Arial" w:hAnsi="Arial" w:cs="Arial"/>
          <w:b/>
          <w:sz w:val="22"/>
          <w:szCs w:val="22"/>
          <w:lang w:eastAsia="en-US"/>
        </w:rPr>
        <w:t>l’élaboration</w:t>
      </w:r>
      <w:r w:rsidRPr="00D4732D">
        <w:rPr>
          <w:rFonts w:ascii="Arial" w:hAnsi="Arial" w:cs="Arial"/>
          <w:b/>
          <w:sz w:val="22"/>
          <w:szCs w:val="22"/>
        </w:rPr>
        <w:t xml:space="preserve"> de ces politiques</w:t>
      </w:r>
      <w:r>
        <w:rPr>
          <w:rFonts w:ascii="Arial" w:hAnsi="Arial" w:cs="Arial"/>
          <w:sz w:val="22"/>
          <w:szCs w:val="22"/>
        </w:rPr>
        <w:t xml:space="preserve">. Ce mouvement s’est souvent inscrit dans le cadre d’une stratégie plus vaste de </w:t>
      </w:r>
      <w:r w:rsidRPr="002E1B78">
        <w:rPr>
          <w:rFonts w:ascii="Arial" w:hAnsi="Arial" w:cs="Arial"/>
          <w:sz w:val="22"/>
          <w:szCs w:val="22"/>
        </w:rPr>
        <w:t>développement</w:t>
      </w:r>
      <w:r>
        <w:rPr>
          <w:rFonts w:ascii="Arial" w:hAnsi="Arial" w:cs="Arial"/>
          <w:sz w:val="22"/>
          <w:szCs w:val="22"/>
        </w:rPr>
        <w:t xml:space="preserve"> (social et </w:t>
      </w:r>
      <w:r w:rsidRPr="002E1B78">
        <w:rPr>
          <w:rFonts w:ascii="Arial" w:hAnsi="Arial" w:cs="Arial"/>
          <w:sz w:val="22"/>
          <w:szCs w:val="22"/>
        </w:rPr>
        <w:t>économique</w:t>
      </w:r>
      <w:r w:rsidR="00CF7E85">
        <w:rPr>
          <w:rFonts w:ascii="Arial" w:hAnsi="Arial" w:cs="Arial"/>
          <w:sz w:val="22"/>
          <w:szCs w:val="22"/>
        </w:rPr>
        <w:t>) régional et local</w:t>
      </w:r>
      <w:r w:rsidR="00A56780">
        <w:rPr>
          <w:rFonts w:ascii="Arial" w:hAnsi="Arial" w:cs="Arial"/>
          <w:sz w:val="22"/>
          <w:szCs w:val="22"/>
        </w:rPr>
        <w:t xml:space="preserve"> dans</w:t>
      </w:r>
      <w:r>
        <w:rPr>
          <w:rFonts w:ascii="Arial" w:hAnsi="Arial" w:cs="Arial"/>
          <w:sz w:val="22"/>
          <w:szCs w:val="22"/>
        </w:rPr>
        <w:t xml:space="preserve"> laquelle </w:t>
      </w:r>
      <w:r w:rsidR="00CF7E85">
        <w:rPr>
          <w:rFonts w:ascii="Arial" w:hAnsi="Arial" w:cs="Arial"/>
          <w:sz w:val="22"/>
          <w:szCs w:val="22"/>
        </w:rPr>
        <w:t xml:space="preserve">la </w:t>
      </w:r>
      <w:r w:rsidR="0078214D">
        <w:rPr>
          <w:rFonts w:ascii="Arial" w:hAnsi="Arial" w:cs="Arial"/>
          <w:sz w:val="22"/>
          <w:szCs w:val="22"/>
        </w:rPr>
        <w:t xml:space="preserve">stratégie suivie pour la </w:t>
      </w:r>
      <w:r w:rsidR="00CF7E85" w:rsidRPr="00CF7E85">
        <w:rPr>
          <w:rFonts w:ascii="Arial" w:hAnsi="Arial" w:cs="Arial"/>
          <w:sz w:val="22"/>
          <w:szCs w:val="22"/>
        </w:rPr>
        <w:t>sauvegarde</w:t>
      </w:r>
      <w:r w:rsidR="00CF7E85">
        <w:rPr>
          <w:rFonts w:ascii="Arial" w:hAnsi="Arial" w:cs="Arial"/>
          <w:sz w:val="22"/>
          <w:szCs w:val="22"/>
        </w:rPr>
        <w:t xml:space="preserve"> du patrimoine culturel immatériel a été ouvertement associée à des </w:t>
      </w:r>
      <w:r w:rsidR="00CF7E85">
        <w:rPr>
          <w:rFonts w:ascii="Arial" w:hAnsi="Arial" w:cs="Arial"/>
          <w:sz w:val="22"/>
          <w:szCs w:val="22"/>
          <w:lang w:eastAsia="en-US"/>
        </w:rPr>
        <w:t xml:space="preserve">initiatives de </w:t>
      </w:r>
      <w:r w:rsidR="00CF7E85" w:rsidRPr="00CF7E85">
        <w:rPr>
          <w:rFonts w:ascii="Arial" w:hAnsi="Arial" w:cs="Arial"/>
          <w:sz w:val="22"/>
          <w:szCs w:val="22"/>
          <w:lang w:eastAsia="en-US"/>
        </w:rPr>
        <w:t>développement</w:t>
      </w:r>
      <w:r w:rsidR="00CF7E85">
        <w:rPr>
          <w:rFonts w:ascii="Arial" w:hAnsi="Arial" w:cs="Arial"/>
          <w:sz w:val="22"/>
          <w:szCs w:val="22"/>
          <w:lang w:eastAsia="en-US"/>
        </w:rPr>
        <w:t xml:space="preserve"> local, comme</w:t>
      </w:r>
      <w:r w:rsidR="00C43C4E">
        <w:rPr>
          <w:rFonts w:ascii="Arial" w:hAnsi="Arial" w:cs="Arial"/>
          <w:sz w:val="22"/>
          <w:szCs w:val="22"/>
          <w:lang w:eastAsia="en-US"/>
        </w:rPr>
        <w:t>,</w:t>
      </w:r>
      <w:r w:rsidR="00CF7E85">
        <w:rPr>
          <w:rFonts w:ascii="Arial" w:hAnsi="Arial" w:cs="Arial"/>
          <w:sz w:val="22"/>
          <w:szCs w:val="22"/>
          <w:lang w:eastAsia="en-US"/>
        </w:rPr>
        <w:t xml:space="preserve"> </w:t>
      </w:r>
      <w:r w:rsidR="00CF7E85" w:rsidRPr="00CF7E85">
        <w:rPr>
          <w:rFonts w:ascii="Arial" w:hAnsi="Arial" w:cs="Arial"/>
          <w:sz w:val="22"/>
          <w:szCs w:val="22"/>
          <w:lang w:eastAsia="en-US"/>
        </w:rPr>
        <w:t>par exemple</w:t>
      </w:r>
      <w:r w:rsidR="00C43C4E">
        <w:rPr>
          <w:rFonts w:ascii="Arial" w:hAnsi="Arial" w:cs="Arial"/>
          <w:sz w:val="22"/>
          <w:szCs w:val="22"/>
          <w:lang w:eastAsia="en-US"/>
        </w:rPr>
        <w:t>,</w:t>
      </w:r>
      <w:r w:rsidR="00CF7E85">
        <w:rPr>
          <w:rFonts w:ascii="Arial" w:hAnsi="Arial" w:cs="Arial"/>
          <w:sz w:val="22"/>
          <w:szCs w:val="22"/>
          <w:lang w:eastAsia="en-US"/>
        </w:rPr>
        <w:t xml:space="preserve"> en Grèce. </w:t>
      </w:r>
      <w:r w:rsidR="00AC24B9">
        <w:rPr>
          <w:rFonts w:ascii="Arial" w:hAnsi="Arial" w:cs="Arial"/>
          <w:sz w:val="22"/>
          <w:szCs w:val="22"/>
          <w:lang w:eastAsia="en-US"/>
        </w:rPr>
        <w:t>L’encouragement</w:t>
      </w:r>
      <w:r w:rsidR="0078214D">
        <w:rPr>
          <w:rFonts w:ascii="Arial" w:hAnsi="Arial" w:cs="Arial"/>
          <w:sz w:val="22"/>
          <w:szCs w:val="22"/>
          <w:lang w:eastAsia="en-US"/>
        </w:rPr>
        <w:t xml:space="preserve"> à la</w:t>
      </w:r>
      <w:r w:rsidR="00CF7E85">
        <w:rPr>
          <w:rFonts w:ascii="Arial" w:hAnsi="Arial" w:cs="Arial"/>
          <w:sz w:val="22"/>
          <w:szCs w:val="22"/>
          <w:lang w:eastAsia="en-US"/>
        </w:rPr>
        <w:t xml:space="preserve"> collaboration interdisciplinaire </w:t>
      </w:r>
      <w:r w:rsidR="0078214D">
        <w:rPr>
          <w:rFonts w:ascii="Arial" w:hAnsi="Arial" w:cs="Arial"/>
          <w:sz w:val="22"/>
          <w:szCs w:val="22"/>
          <w:lang w:eastAsia="en-US"/>
        </w:rPr>
        <w:t>concernant</w:t>
      </w:r>
      <w:r w:rsidR="00F958B5">
        <w:rPr>
          <w:rFonts w:ascii="Arial" w:hAnsi="Arial" w:cs="Arial"/>
          <w:sz w:val="22"/>
          <w:szCs w:val="22"/>
          <w:lang w:eastAsia="en-US"/>
        </w:rPr>
        <w:t xml:space="preserve"> </w:t>
      </w:r>
      <w:r w:rsidR="00CF7E85">
        <w:rPr>
          <w:rFonts w:ascii="Arial" w:hAnsi="Arial" w:cs="Arial"/>
          <w:sz w:val="22"/>
          <w:szCs w:val="22"/>
          <w:lang w:eastAsia="en-US"/>
        </w:rPr>
        <w:t xml:space="preserve">les connaissances traditionnelles liées aux ressources et aux risques </w:t>
      </w:r>
      <w:r w:rsidR="00CF7E85" w:rsidRPr="00AC24B9">
        <w:rPr>
          <w:rFonts w:ascii="Arial" w:hAnsi="Arial" w:cs="Arial"/>
          <w:sz w:val="22"/>
          <w:szCs w:val="22"/>
          <w:lang w:eastAsia="en-US"/>
        </w:rPr>
        <w:t xml:space="preserve">naturels en </w:t>
      </w:r>
      <w:r w:rsidR="00915CCD" w:rsidRPr="00AC24B9">
        <w:rPr>
          <w:rFonts w:ascii="Arial" w:hAnsi="Arial" w:cs="Arial"/>
          <w:sz w:val="22"/>
          <w:szCs w:val="22"/>
          <w:lang w:eastAsia="en-US"/>
        </w:rPr>
        <w:t>Autriche,</w:t>
      </w:r>
      <w:r w:rsidR="00C43C4E" w:rsidRPr="00AC24B9">
        <w:rPr>
          <w:rFonts w:ascii="Arial" w:hAnsi="Arial" w:cs="Arial"/>
          <w:sz w:val="22"/>
          <w:szCs w:val="22"/>
          <w:lang w:eastAsia="en-US"/>
        </w:rPr>
        <w:t xml:space="preserve"> </w:t>
      </w:r>
      <w:r w:rsidR="0078214D" w:rsidRPr="00AC24B9">
        <w:rPr>
          <w:rFonts w:ascii="Arial" w:hAnsi="Arial" w:cs="Arial"/>
          <w:sz w:val="22"/>
          <w:szCs w:val="22"/>
          <w:lang w:eastAsia="en-US"/>
        </w:rPr>
        <w:t xml:space="preserve">la découverte </w:t>
      </w:r>
      <w:r w:rsidR="00CF7E85" w:rsidRPr="00AC24B9">
        <w:rPr>
          <w:rFonts w:ascii="Arial" w:hAnsi="Arial" w:cs="Arial"/>
          <w:sz w:val="22"/>
          <w:szCs w:val="22"/>
          <w:lang w:eastAsia="en-US"/>
        </w:rPr>
        <w:t>de nouvelles approches dans la ges</w:t>
      </w:r>
      <w:r w:rsidR="00C43C4E" w:rsidRPr="00AC24B9">
        <w:rPr>
          <w:rFonts w:ascii="Arial" w:hAnsi="Arial" w:cs="Arial"/>
          <w:sz w:val="22"/>
          <w:szCs w:val="22"/>
          <w:lang w:eastAsia="en-US"/>
        </w:rPr>
        <w:t xml:space="preserve">tion </w:t>
      </w:r>
      <w:r w:rsidR="00AC24B9" w:rsidRPr="00D4732D">
        <w:rPr>
          <w:rFonts w:ascii="Arial" w:hAnsi="Arial" w:cs="Arial"/>
          <w:sz w:val="22"/>
          <w:szCs w:val="22"/>
          <w:lang w:eastAsia="en-US"/>
        </w:rPr>
        <w:t xml:space="preserve">durable </w:t>
      </w:r>
      <w:r w:rsidR="00C43C4E" w:rsidRPr="00AC24B9">
        <w:rPr>
          <w:rFonts w:ascii="Arial" w:hAnsi="Arial" w:cs="Arial"/>
          <w:sz w:val="22"/>
          <w:szCs w:val="22"/>
          <w:lang w:eastAsia="en-US"/>
        </w:rPr>
        <w:t xml:space="preserve">des ressources </w:t>
      </w:r>
      <w:r w:rsidR="00AC24B9" w:rsidRPr="00AC24B9">
        <w:rPr>
          <w:rFonts w:ascii="Arial" w:hAnsi="Arial" w:cs="Arial"/>
          <w:sz w:val="22"/>
          <w:szCs w:val="22"/>
          <w:lang w:eastAsia="en-US"/>
        </w:rPr>
        <w:t>et</w:t>
      </w:r>
      <w:r w:rsidR="00CF7E85" w:rsidRPr="00AC24B9">
        <w:rPr>
          <w:rFonts w:ascii="Arial" w:hAnsi="Arial" w:cs="Arial"/>
          <w:sz w:val="22"/>
          <w:szCs w:val="22"/>
          <w:lang w:eastAsia="en-US"/>
        </w:rPr>
        <w:t xml:space="preserve"> </w:t>
      </w:r>
      <w:r w:rsidR="0078214D" w:rsidRPr="00AC24B9">
        <w:rPr>
          <w:rFonts w:ascii="Arial" w:hAnsi="Arial" w:cs="Arial"/>
          <w:sz w:val="22"/>
          <w:szCs w:val="22"/>
          <w:lang w:eastAsia="en-US"/>
        </w:rPr>
        <w:t>le soutien à</w:t>
      </w:r>
      <w:r w:rsidR="00CF7E85" w:rsidRPr="00AC24B9">
        <w:rPr>
          <w:rFonts w:ascii="Arial" w:hAnsi="Arial" w:cs="Arial"/>
          <w:sz w:val="22"/>
          <w:szCs w:val="22"/>
          <w:lang w:eastAsia="en-US"/>
        </w:rPr>
        <w:t xml:space="preserve"> des petites entreprises de tourisme culturel au Maroc</w:t>
      </w:r>
      <w:r w:rsidR="0078214D" w:rsidRPr="00AC24B9">
        <w:rPr>
          <w:rFonts w:ascii="Arial" w:hAnsi="Arial" w:cs="Arial"/>
          <w:sz w:val="22"/>
          <w:szCs w:val="22"/>
          <w:lang w:eastAsia="en-US"/>
        </w:rPr>
        <w:t xml:space="preserve"> sont parmi les exemples décrits dans les rapports</w:t>
      </w:r>
      <w:r w:rsidR="00CF7E85" w:rsidRPr="00AC24B9">
        <w:rPr>
          <w:rFonts w:ascii="Arial" w:hAnsi="Arial" w:cs="Arial"/>
          <w:sz w:val="22"/>
          <w:szCs w:val="22"/>
          <w:lang w:eastAsia="en-US"/>
        </w:rPr>
        <w:t>. La décentralisation de l’élaboration de politiques a également permis</w:t>
      </w:r>
      <w:r w:rsidR="00CF7E85">
        <w:rPr>
          <w:rFonts w:ascii="Arial" w:hAnsi="Arial" w:cs="Arial"/>
          <w:sz w:val="22"/>
          <w:szCs w:val="22"/>
          <w:lang w:eastAsia="en-US"/>
        </w:rPr>
        <w:t xml:space="preserve"> à des communautés local</w:t>
      </w:r>
      <w:r w:rsidR="00F958B5">
        <w:rPr>
          <w:rFonts w:ascii="Arial" w:hAnsi="Arial" w:cs="Arial"/>
          <w:sz w:val="22"/>
          <w:szCs w:val="22"/>
          <w:lang w:eastAsia="en-US"/>
        </w:rPr>
        <w:t>e</w:t>
      </w:r>
      <w:r w:rsidR="00CF7E85">
        <w:rPr>
          <w:rFonts w:ascii="Arial" w:hAnsi="Arial" w:cs="Arial"/>
          <w:sz w:val="22"/>
          <w:szCs w:val="22"/>
          <w:lang w:eastAsia="en-US"/>
        </w:rPr>
        <w:t xml:space="preserve">s, des associations culturelles et d’autres organes non gouvernementaux </w:t>
      </w:r>
      <w:r w:rsidR="00F958B5">
        <w:rPr>
          <w:rFonts w:ascii="Arial" w:hAnsi="Arial" w:cs="Arial"/>
          <w:sz w:val="22"/>
          <w:szCs w:val="22"/>
          <w:lang w:eastAsia="en-US"/>
        </w:rPr>
        <w:t xml:space="preserve">d’être plus étroitement associés à ce processus. Cette approche met </w:t>
      </w:r>
      <w:r w:rsidR="00F958B5" w:rsidRPr="00F958B5">
        <w:rPr>
          <w:rFonts w:ascii="Arial" w:hAnsi="Arial" w:cs="Arial"/>
          <w:sz w:val="22"/>
          <w:szCs w:val="22"/>
          <w:lang w:eastAsia="en-US"/>
        </w:rPr>
        <w:t>également</w:t>
      </w:r>
      <w:r w:rsidR="00F958B5">
        <w:rPr>
          <w:rFonts w:ascii="Arial" w:hAnsi="Arial" w:cs="Arial"/>
          <w:sz w:val="22"/>
          <w:szCs w:val="22"/>
          <w:lang w:eastAsia="en-US"/>
        </w:rPr>
        <w:t xml:space="preserve"> en évidence le fait que, pour un certain nombre de pays dans diverses régions, le patrimoine culturel immatériel est un vecteur important de dialogue interne interculturel entre différents groupes ethniques (comme, </w:t>
      </w:r>
      <w:r w:rsidR="00F958B5" w:rsidRPr="00F958B5">
        <w:rPr>
          <w:rFonts w:ascii="Arial" w:hAnsi="Arial" w:cs="Arial"/>
          <w:sz w:val="22"/>
          <w:szCs w:val="22"/>
          <w:lang w:eastAsia="en-US"/>
        </w:rPr>
        <w:t>par exemple</w:t>
      </w:r>
      <w:r w:rsidR="00F958B5">
        <w:rPr>
          <w:rFonts w:ascii="Arial" w:hAnsi="Arial" w:cs="Arial"/>
          <w:sz w:val="22"/>
          <w:szCs w:val="22"/>
          <w:lang w:eastAsia="en-US"/>
        </w:rPr>
        <w:t>, au Mexique et au Pérou) et un moyen d’améliorer la visibilité et le statut des minorités ethniques (</w:t>
      </w:r>
      <w:r w:rsidR="00C43C4E">
        <w:rPr>
          <w:rFonts w:ascii="Arial" w:hAnsi="Arial" w:cs="Arial"/>
          <w:sz w:val="22"/>
          <w:szCs w:val="22"/>
          <w:lang w:eastAsia="en-US"/>
        </w:rPr>
        <w:t xml:space="preserve">comme, </w:t>
      </w:r>
      <w:r w:rsidR="00C43C4E" w:rsidRPr="00C43C4E">
        <w:rPr>
          <w:rFonts w:ascii="Arial" w:hAnsi="Arial" w:cs="Arial"/>
          <w:sz w:val="22"/>
          <w:szCs w:val="22"/>
          <w:lang w:eastAsia="en-US"/>
        </w:rPr>
        <w:t>par exemple</w:t>
      </w:r>
      <w:r w:rsidR="00C43C4E">
        <w:rPr>
          <w:rFonts w:ascii="Arial" w:hAnsi="Arial" w:cs="Arial"/>
          <w:sz w:val="22"/>
          <w:szCs w:val="22"/>
          <w:lang w:eastAsia="en-US"/>
        </w:rPr>
        <w:t xml:space="preserve">, en </w:t>
      </w:r>
      <w:r w:rsidR="00F958B5">
        <w:rPr>
          <w:rFonts w:ascii="Arial" w:hAnsi="Arial" w:cs="Arial"/>
          <w:sz w:val="22"/>
          <w:szCs w:val="22"/>
          <w:lang w:eastAsia="en-US"/>
        </w:rPr>
        <w:t xml:space="preserve">Arménie). Les politiques peuvent faire du patrimoine culturel immatériel la base de l’identité et, comme au Guatemala, viser à renforcer la cohésion sociale en reconnaissant et en accordant une certaine importance à la diversité exprimée par ce </w:t>
      </w:r>
      <w:r w:rsidR="00F958B5" w:rsidRPr="00F958B5">
        <w:rPr>
          <w:rFonts w:ascii="Arial" w:hAnsi="Arial" w:cs="Arial"/>
          <w:sz w:val="22"/>
          <w:szCs w:val="22"/>
          <w:lang w:eastAsia="en-US"/>
        </w:rPr>
        <w:t>patrimoine</w:t>
      </w:r>
      <w:r w:rsidR="00F958B5">
        <w:rPr>
          <w:rFonts w:ascii="Arial" w:hAnsi="Arial" w:cs="Arial"/>
          <w:sz w:val="22"/>
          <w:szCs w:val="22"/>
          <w:lang w:eastAsia="en-US"/>
        </w:rPr>
        <w:t>.</w:t>
      </w:r>
    </w:p>
    <w:p w14:paraId="62B883F2" w14:textId="1D68F45A" w:rsidR="00C43C4E" w:rsidRDefault="00AA424B" w:rsidP="000A160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Le patrimoine culturel immatériel est généralement considéré comme une ressource économique, sociale et culturelle et il est admis que les éléments du patrimoine culturel immatériel peuvent être essentiels pour atteindre les objectifs de </w:t>
      </w:r>
      <w:r w:rsidRPr="00AA424B">
        <w:rPr>
          <w:rFonts w:ascii="Arial" w:hAnsi="Arial" w:cs="Arial"/>
          <w:b/>
          <w:sz w:val="22"/>
          <w:szCs w:val="22"/>
        </w:rPr>
        <w:t>croissance économique et de développement durable</w:t>
      </w:r>
      <w:r>
        <w:rPr>
          <w:rFonts w:ascii="Arial" w:hAnsi="Arial" w:cs="Arial"/>
          <w:sz w:val="22"/>
          <w:szCs w:val="22"/>
        </w:rPr>
        <w:t>. Au Niger</w:t>
      </w:r>
      <w:r w:rsidR="000C6D61">
        <w:rPr>
          <w:rFonts w:ascii="Arial" w:hAnsi="Arial" w:cs="Arial"/>
          <w:sz w:val="22"/>
          <w:szCs w:val="22"/>
        </w:rPr>
        <w:t>ia, des industries culturelles, mises en place</w:t>
      </w:r>
      <w:r>
        <w:rPr>
          <w:rFonts w:ascii="Arial" w:hAnsi="Arial" w:cs="Arial"/>
          <w:sz w:val="22"/>
          <w:szCs w:val="22"/>
        </w:rPr>
        <w:t xml:space="preserve"> par le </w:t>
      </w:r>
      <w:r w:rsidRPr="00AA424B">
        <w:rPr>
          <w:rFonts w:ascii="Arial" w:hAnsi="Arial" w:cs="Arial"/>
          <w:sz w:val="22"/>
          <w:szCs w:val="22"/>
        </w:rPr>
        <w:t>gouvernement</w:t>
      </w:r>
      <w:r w:rsidR="000C6D61">
        <w:rPr>
          <w:rFonts w:ascii="Arial" w:hAnsi="Arial" w:cs="Arial"/>
          <w:sz w:val="22"/>
          <w:szCs w:val="22"/>
        </w:rPr>
        <w:t xml:space="preserve"> central, ont été </w:t>
      </w:r>
      <w:r>
        <w:rPr>
          <w:rFonts w:ascii="Arial" w:hAnsi="Arial" w:cs="Arial"/>
          <w:sz w:val="22"/>
          <w:szCs w:val="22"/>
        </w:rPr>
        <w:t xml:space="preserve">confiées aux gouvernements régionaux et locaux afin </w:t>
      </w:r>
      <w:r w:rsidR="00BC1C79">
        <w:rPr>
          <w:rFonts w:ascii="Arial" w:hAnsi="Arial" w:cs="Arial"/>
          <w:sz w:val="22"/>
          <w:szCs w:val="22"/>
        </w:rPr>
        <w:t xml:space="preserve">de </w:t>
      </w:r>
      <w:r>
        <w:rPr>
          <w:rFonts w:ascii="Arial" w:hAnsi="Arial" w:cs="Arial"/>
          <w:sz w:val="22"/>
          <w:szCs w:val="22"/>
        </w:rPr>
        <w:t>créer un environnement favorable à l’</w:t>
      </w:r>
      <w:r w:rsidRPr="00AA424B">
        <w:rPr>
          <w:rFonts w:ascii="Arial" w:hAnsi="Arial" w:cs="Arial"/>
          <w:sz w:val="22"/>
          <w:szCs w:val="22"/>
        </w:rPr>
        <w:t>apprentissage</w:t>
      </w:r>
      <w:r>
        <w:rPr>
          <w:rFonts w:ascii="Arial" w:hAnsi="Arial" w:cs="Arial"/>
          <w:sz w:val="22"/>
          <w:szCs w:val="22"/>
        </w:rPr>
        <w:t xml:space="preserve"> et la pratique des éléments du patrimoine culturel immatériel. </w:t>
      </w:r>
      <w:r w:rsidR="000C6D61">
        <w:rPr>
          <w:rFonts w:ascii="Arial" w:hAnsi="Arial" w:cs="Arial"/>
          <w:sz w:val="22"/>
          <w:szCs w:val="22"/>
        </w:rPr>
        <w:t>En raison de son importance en tant qu’activité économique et de ses fonctions sociales et culturelles, l’artisanat (souvent associé au tourisme) est considéré par de nombreux pays comme un point d’accès stratégique. Les politique</w:t>
      </w:r>
      <w:r w:rsidR="00531995">
        <w:rPr>
          <w:rFonts w:ascii="Arial" w:hAnsi="Arial" w:cs="Arial"/>
          <w:sz w:val="22"/>
          <w:szCs w:val="22"/>
        </w:rPr>
        <w:t>s visent souvent à associer les aspects</w:t>
      </w:r>
      <w:r w:rsidR="000C6D61">
        <w:rPr>
          <w:rFonts w:ascii="Arial" w:hAnsi="Arial" w:cs="Arial"/>
          <w:sz w:val="22"/>
          <w:szCs w:val="22"/>
        </w:rPr>
        <w:t xml:space="preserve"> économique</w:t>
      </w:r>
      <w:r w:rsidR="00531995">
        <w:rPr>
          <w:rFonts w:ascii="Arial" w:hAnsi="Arial" w:cs="Arial"/>
          <w:sz w:val="22"/>
          <w:szCs w:val="22"/>
        </w:rPr>
        <w:t>s</w:t>
      </w:r>
      <w:r w:rsidR="000C6D61">
        <w:rPr>
          <w:rFonts w:ascii="Arial" w:hAnsi="Arial" w:cs="Arial"/>
          <w:sz w:val="22"/>
          <w:szCs w:val="22"/>
        </w:rPr>
        <w:t xml:space="preserve"> et culturel</w:t>
      </w:r>
      <w:r w:rsidR="00531995">
        <w:rPr>
          <w:rFonts w:ascii="Arial" w:hAnsi="Arial" w:cs="Arial"/>
          <w:sz w:val="22"/>
          <w:szCs w:val="22"/>
        </w:rPr>
        <w:t>s</w:t>
      </w:r>
      <w:r w:rsidR="000C6D61">
        <w:rPr>
          <w:rFonts w:ascii="Arial" w:hAnsi="Arial" w:cs="Arial"/>
          <w:sz w:val="22"/>
          <w:szCs w:val="22"/>
        </w:rPr>
        <w:t xml:space="preserve"> de ce patrimoine et peuvent, comme aux Philippines, promouvoir le patrimoine culturel immatériel parmi les différents groupe</w:t>
      </w:r>
      <w:r w:rsidR="00A56780">
        <w:rPr>
          <w:rFonts w:ascii="Arial" w:hAnsi="Arial" w:cs="Arial"/>
          <w:sz w:val="22"/>
          <w:szCs w:val="22"/>
        </w:rPr>
        <w:t>s ethnolinguistiques et niveaux économiques</w:t>
      </w:r>
      <w:r w:rsidR="000C6D61">
        <w:rPr>
          <w:rFonts w:ascii="Arial" w:hAnsi="Arial" w:cs="Arial"/>
          <w:sz w:val="22"/>
          <w:szCs w:val="22"/>
        </w:rPr>
        <w:t xml:space="preserve">. </w:t>
      </w:r>
      <w:r w:rsidR="00531995">
        <w:rPr>
          <w:rFonts w:ascii="Arial" w:hAnsi="Arial" w:cs="Arial"/>
          <w:sz w:val="22"/>
          <w:szCs w:val="22"/>
        </w:rPr>
        <w:t xml:space="preserve">Parmi les autres approches politiques fondées </w:t>
      </w:r>
      <w:r w:rsidR="00531995">
        <w:rPr>
          <w:rFonts w:ascii="Arial" w:hAnsi="Arial" w:cs="Arial"/>
          <w:sz w:val="22"/>
          <w:szCs w:val="22"/>
        </w:rPr>
        <w:lastRenderedPageBreak/>
        <w:t xml:space="preserve">sur l’économie ou orientées vers celle-ci, on citera la création de partenariats avec le </w:t>
      </w:r>
      <w:r w:rsidR="00531995" w:rsidRPr="00531995">
        <w:rPr>
          <w:rFonts w:ascii="Arial" w:hAnsi="Arial" w:cs="Arial"/>
          <w:b/>
          <w:sz w:val="22"/>
          <w:szCs w:val="22"/>
        </w:rPr>
        <w:t>secteur privé</w:t>
      </w:r>
      <w:r w:rsidR="00531995">
        <w:rPr>
          <w:rFonts w:ascii="Arial" w:hAnsi="Arial" w:cs="Arial"/>
          <w:sz w:val="22"/>
          <w:szCs w:val="22"/>
        </w:rPr>
        <w:t xml:space="preserve"> (en Espagne et en Turquie) destinés à accroitre l’accès du public aux services culturels, et </w:t>
      </w:r>
      <w:r w:rsidR="00333691">
        <w:rPr>
          <w:rFonts w:ascii="Arial" w:hAnsi="Arial" w:cs="Arial"/>
          <w:sz w:val="22"/>
          <w:szCs w:val="22"/>
        </w:rPr>
        <w:t xml:space="preserve">l’exploitation du </w:t>
      </w:r>
      <w:r w:rsidR="00333691" w:rsidRPr="00333691">
        <w:rPr>
          <w:rFonts w:ascii="Arial" w:hAnsi="Arial" w:cs="Arial"/>
          <w:sz w:val="22"/>
          <w:szCs w:val="22"/>
        </w:rPr>
        <w:t>développement</w:t>
      </w:r>
      <w:r w:rsidR="00333691">
        <w:rPr>
          <w:rFonts w:ascii="Arial" w:hAnsi="Arial" w:cs="Arial"/>
          <w:sz w:val="22"/>
          <w:szCs w:val="22"/>
        </w:rPr>
        <w:t xml:space="preserve"> des infrastructures nécessaires au patrimoine culturel immatériel et de son potentiel de contribution aux programmes de </w:t>
      </w:r>
      <w:r w:rsidR="00333691" w:rsidRPr="00333691">
        <w:rPr>
          <w:rFonts w:ascii="Arial" w:hAnsi="Arial" w:cs="Arial"/>
          <w:sz w:val="22"/>
          <w:szCs w:val="22"/>
        </w:rPr>
        <w:t>développement</w:t>
      </w:r>
      <w:r w:rsidR="00F465C2">
        <w:rPr>
          <w:rFonts w:ascii="Arial" w:hAnsi="Arial" w:cs="Arial"/>
          <w:sz w:val="22"/>
          <w:szCs w:val="22"/>
        </w:rPr>
        <w:t>.</w:t>
      </w:r>
    </w:p>
    <w:p w14:paraId="4B7DF21D" w14:textId="76734B74" w:rsidR="005F0831" w:rsidRPr="00333691" w:rsidRDefault="00F465C2" w:rsidP="005F0831">
      <w:pPr>
        <w:pStyle w:val="ListParagraph"/>
        <w:keepNext/>
        <w:numPr>
          <w:ilvl w:val="0"/>
          <w:numId w:val="21"/>
        </w:numPr>
        <w:autoSpaceDE w:val="0"/>
        <w:autoSpaceDN w:val="0"/>
        <w:adjustRightInd w:val="0"/>
        <w:spacing w:before="360" w:after="120"/>
        <w:ind w:left="1134" w:hanging="567"/>
        <w:jc w:val="both"/>
        <w:rPr>
          <w:rFonts w:ascii="Arial" w:hAnsi="Arial" w:cs="Arial"/>
          <w:b/>
          <w:sz w:val="22"/>
          <w:szCs w:val="22"/>
        </w:rPr>
      </w:pPr>
      <w:r>
        <w:rPr>
          <w:rFonts w:ascii="Arial" w:hAnsi="Arial" w:cs="Arial"/>
          <w:b/>
          <w:sz w:val="22"/>
          <w:szCs w:val="22"/>
        </w:rPr>
        <w:t>Politiques culturelles</w:t>
      </w:r>
    </w:p>
    <w:p w14:paraId="10C2C7E8" w14:textId="6137CC68" w:rsidR="00333691" w:rsidRDefault="00333691" w:rsidP="000A160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Les points suivants sont les </w:t>
      </w:r>
      <w:r w:rsidRPr="00333691">
        <w:rPr>
          <w:rFonts w:ascii="Arial" w:hAnsi="Arial" w:cs="Arial"/>
          <w:b/>
          <w:sz w:val="22"/>
          <w:szCs w:val="22"/>
        </w:rPr>
        <w:t>priorités communes</w:t>
      </w:r>
      <w:r>
        <w:rPr>
          <w:rFonts w:ascii="Arial" w:hAnsi="Arial" w:cs="Arial"/>
          <w:sz w:val="22"/>
          <w:szCs w:val="22"/>
        </w:rPr>
        <w:t xml:space="preserve"> de la mise en œuvre de la </w:t>
      </w:r>
      <w:r w:rsidRPr="00333691">
        <w:rPr>
          <w:rFonts w:ascii="Arial" w:hAnsi="Arial" w:cs="Arial"/>
          <w:sz w:val="22"/>
          <w:szCs w:val="22"/>
        </w:rPr>
        <w:t>Convention</w:t>
      </w:r>
      <w:r>
        <w:rPr>
          <w:rFonts w:ascii="Arial" w:hAnsi="Arial" w:cs="Arial"/>
          <w:sz w:val="22"/>
          <w:szCs w:val="22"/>
        </w:rPr>
        <w:t xml:space="preserve"> telles qu’exprimées par les États parties dans les cycles de rapports 2011-2016 :</w:t>
      </w:r>
    </w:p>
    <w:p w14:paraId="312E4C03" w14:textId="7559B930" w:rsidR="00333691" w:rsidRDefault="00333691" w:rsidP="00A92651">
      <w:pPr>
        <w:pStyle w:val="ListParagraph"/>
        <w:numPr>
          <w:ilvl w:val="0"/>
          <w:numId w:val="27"/>
        </w:numPr>
        <w:autoSpaceDE w:val="0"/>
        <w:autoSpaceDN w:val="0"/>
        <w:adjustRightInd w:val="0"/>
        <w:spacing w:before="120" w:after="120"/>
        <w:ind w:left="1208" w:hanging="357"/>
        <w:contextualSpacing w:val="0"/>
        <w:jc w:val="both"/>
        <w:rPr>
          <w:rFonts w:ascii="Arial" w:hAnsi="Arial" w:cs="Arial"/>
          <w:sz w:val="22"/>
          <w:szCs w:val="22"/>
        </w:rPr>
      </w:pPr>
      <w:r>
        <w:rPr>
          <w:rFonts w:ascii="Arial" w:hAnsi="Arial" w:cs="Arial"/>
          <w:sz w:val="22"/>
          <w:szCs w:val="22"/>
        </w:rPr>
        <w:t>L’</w:t>
      </w:r>
      <w:r w:rsidRPr="00333691">
        <w:rPr>
          <w:rFonts w:ascii="Arial" w:hAnsi="Arial" w:cs="Arial"/>
          <w:sz w:val="22"/>
          <w:szCs w:val="22"/>
        </w:rPr>
        <w:t>identification</w:t>
      </w:r>
      <w:r>
        <w:rPr>
          <w:rFonts w:ascii="Arial" w:hAnsi="Arial" w:cs="Arial"/>
          <w:sz w:val="22"/>
          <w:szCs w:val="22"/>
        </w:rPr>
        <w:t xml:space="preserve"> et l</w:t>
      </w:r>
      <w:r w:rsidR="00BC1C79">
        <w:rPr>
          <w:rFonts w:ascii="Arial" w:hAnsi="Arial" w:cs="Arial"/>
          <w:sz w:val="22"/>
          <w:szCs w:val="22"/>
        </w:rPr>
        <w:t>e processus d</w:t>
      </w:r>
      <w:r>
        <w:rPr>
          <w:rFonts w:ascii="Arial" w:hAnsi="Arial" w:cs="Arial"/>
          <w:sz w:val="22"/>
          <w:szCs w:val="22"/>
        </w:rPr>
        <w:t>’</w:t>
      </w:r>
      <w:r w:rsidRPr="00333691">
        <w:rPr>
          <w:rFonts w:ascii="Arial" w:hAnsi="Arial" w:cs="Arial"/>
          <w:sz w:val="22"/>
          <w:szCs w:val="22"/>
        </w:rPr>
        <w:t>inventaire</w:t>
      </w:r>
      <w:r>
        <w:rPr>
          <w:rFonts w:ascii="Arial" w:hAnsi="Arial" w:cs="Arial"/>
          <w:sz w:val="22"/>
          <w:szCs w:val="22"/>
        </w:rPr>
        <w:t xml:space="preserve"> du patrimoine culturel immatériel sont considérés par </w:t>
      </w:r>
      <w:r w:rsidRPr="00333691">
        <w:rPr>
          <w:rFonts w:ascii="Arial" w:hAnsi="Arial" w:cs="Arial"/>
          <w:sz w:val="22"/>
          <w:szCs w:val="22"/>
        </w:rPr>
        <w:t>la plupart des</w:t>
      </w:r>
      <w:r>
        <w:rPr>
          <w:rFonts w:ascii="Arial" w:hAnsi="Arial" w:cs="Arial"/>
          <w:sz w:val="22"/>
          <w:szCs w:val="22"/>
        </w:rPr>
        <w:t xml:space="preserve"> États parties comme la première étape essentielle de toute </w:t>
      </w:r>
      <w:r w:rsidRPr="00333691">
        <w:rPr>
          <w:rFonts w:ascii="Arial" w:hAnsi="Arial" w:cs="Arial"/>
          <w:sz w:val="22"/>
          <w:szCs w:val="22"/>
        </w:rPr>
        <w:t>sauvegarde</w:t>
      </w:r>
      <w:r>
        <w:rPr>
          <w:rFonts w:ascii="Arial" w:hAnsi="Arial" w:cs="Arial"/>
          <w:sz w:val="22"/>
          <w:szCs w:val="22"/>
        </w:rPr>
        <w:t xml:space="preserve"> à venir.</w:t>
      </w:r>
    </w:p>
    <w:p w14:paraId="41084DE0" w14:textId="65576418" w:rsidR="00A92651" w:rsidRPr="00A92651" w:rsidRDefault="00333691" w:rsidP="00A92651">
      <w:pPr>
        <w:pStyle w:val="ListParagraph"/>
        <w:numPr>
          <w:ilvl w:val="0"/>
          <w:numId w:val="27"/>
        </w:numPr>
        <w:autoSpaceDE w:val="0"/>
        <w:autoSpaceDN w:val="0"/>
        <w:adjustRightInd w:val="0"/>
        <w:spacing w:before="120" w:after="120"/>
        <w:ind w:left="1208" w:hanging="357"/>
        <w:contextualSpacing w:val="0"/>
        <w:jc w:val="both"/>
        <w:rPr>
          <w:rFonts w:ascii="Arial" w:hAnsi="Arial" w:cs="Arial"/>
          <w:sz w:val="22"/>
          <w:szCs w:val="22"/>
        </w:rPr>
      </w:pPr>
      <w:r>
        <w:rPr>
          <w:rFonts w:ascii="Arial" w:hAnsi="Arial" w:cs="Arial"/>
          <w:sz w:val="22"/>
          <w:szCs w:val="22"/>
        </w:rPr>
        <w:t xml:space="preserve">La </w:t>
      </w:r>
      <w:r w:rsidR="00A92651">
        <w:rPr>
          <w:rFonts w:ascii="Arial" w:hAnsi="Arial" w:cs="Arial"/>
          <w:sz w:val="22"/>
          <w:szCs w:val="22"/>
        </w:rPr>
        <w:t>sensibilisation</w:t>
      </w:r>
      <w:r>
        <w:rPr>
          <w:rFonts w:ascii="Arial" w:hAnsi="Arial" w:cs="Arial"/>
          <w:sz w:val="22"/>
          <w:szCs w:val="22"/>
        </w:rPr>
        <w:t xml:space="preserve"> et la promotion du patrimoine culturel immatériel sont </w:t>
      </w:r>
      <w:r w:rsidRPr="00333691">
        <w:rPr>
          <w:rFonts w:ascii="Arial" w:hAnsi="Arial" w:cs="Arial"/>
          <w:sz w:val="22"/>
          <w:szCs w:val="22"/>
        </w:rPr>
        <w:t>également</w:t>
      </w:r>
      <w:r>
        <w:rPr>
          <w:rFonts w:ascii="Arial" w:hAnsi="Arial" w:cs="Arial"/>
          <w:sz w:val="22"/>
          <w:szCs w:val="22"/>
        </w:rPr>
        <w:t xml:space="preserve"> des priorités, souvent </w:t>
      </w:r>
      <w:r w:rsidR="00A92651">
        <w:rPr>
          <w:rFonts w:ascii="Arial" w:hAnsi="Arial" w:cs="Arial"/>
          <w:sz w:val="22"/>
          <w:szCs w:val="22"/>
        </w:rPr>
        <w:t xml:space="preserve">associées à des programmes </w:t>
      </w:r>
      <w:r w:rsidR="008B382A">
        <w:rPr>
          <w:rFonts w:ascii="Arial" w:hAnsi="Arial" w:cs="Arial"/>
          <w:sz w:val="22"/>
          <w:szCs w:val="22"/>
        </w:rPr>
        <w:t>d’éducation formelle et non-formelle</w:t>
      </w:r>
      <w:r w:rsidR="00A92651">
        <w:rPr>
          <w:rFonts w:ascii="Arial" w:hAnsi="Arial" w:cs="Arial"/>
          <w:sz w:val="22"/>
          <w:szCs w:val="22"/>
        </w:rPr>
        <w:t>.</w:t>
      </w:r>
    </w:p>
    <w:p w14:paraId="64D6C2C3" w14:textId="00854676" w:rsidR="00A92651" w:rsidRDefault="00A92651" w:rsidP="00A92651">
      <w:pPr>
        <w:pStyle w:val="ListParagraph"/>
        <w:numPr>
          <w:ilvl w:val="0"/>
          <w:numId w:val="27"/>
        </w:numPr>
        <w:autoSpaceDE w:val="0"/>
        <w:autoSpaceDN w:val="0"/>
        <w:adjustRightInd w:val="0"/>
        <w:spacing w:before="120" w:after="120"/>
        <w:ind w:left="1208" w:hanging="357"/>
        <w:contextualSpacing w:val="0"/>
        <w:jc w:val="both"/>
        <w:rPr>
          <w:rFonts w:ascii="Arial" w:hAnsi="Arial" w:cs="Arial"/>
          <w:sz w:val="22"/>
          <w:szCs w:val="22"/>
        </w:rPr>
      </w:pPr>
      <w:r>
        <w:rPr>
          <w:rFonts w:ascii="Arial" w:hAnsi="Arial" w:cs="Arial"/>
          <w:sz w:val="22"/>
          <w:szCs w:val="22"/>
        </w:rPr>
        <w:t xml:space="preserve">La </w:t>
      </w:r>
      <w:r w:rsidRPr="00A92651">
        <w:rPr>
          <w:rFonts w:ascii="Arial" w:hAnsi="Arial" w:cs="Arial"/>
          <w:sz w:val="22"/>
          <w:szCs w:val="22"/>
        </w:rPr>
        <w:t>recherche</w:t>
      </w:r>
      <w:r>
        <w:rPr>
          <w:rFonts w:ascii="Arial" w:hAnsi="Arial" w:cs="Arial"/>
          <w:sz w:val="22"/>
          <w:szCs w:val="22"/>
        </w:rPr>
        <w:t xml:space="preserve"> et la </w:t>
      </w:r>
      <w:r w:rsidRPr="00A92651">
        <w:rPr>
          <w:rFonts w:ascii="Arial" w:hAnsi="Arial" w:cs="Arial"/>
          <w:sz w:val="22"/>
          <w:szCs w:val="22"/>
        </w:rPr>
        <w:t>documentation</w:t>
      </w:r>
      <w:r>
        <w:rPr>
          <w:rFonts w:ascii="Arial" w:hAnsi="Arial" w:cs="Arial"/>
          <w:sz w:val="22"/>
          <w:szCs w:val="22"/>
        </w:rPr>
        <w:t xml:space="preserve"> continuent d’être des activités importantes qui contribuent à l’</w:t>
      </w:r>
      <w:r w:rsidRPr="00A92651">
        <w:rPr>
          <w:rFonts w:ascii="Arial" w:hAnsi="Arial" w:cs="Arial"/>
          <w:sz w:val="22"/>
          <w:szCs w:val="22"/>
        </w:rPr>
        <w:t>identification</w:t>
      </w:r>
      <w:r>
        <w:rPr>
          <w:rFonts w:ascii="Arial" w:hAnsi="Arial" w:cs="Arial"/>
          <w:sz w:val="22"/>
          <w:szCs w:val="22"/>
        </w:rPr>
        <w:t xml:space="preserve"> et aux mesures de sauvegarde.</w:t>
      </w:r>
    </w:p>
    <w:p w14:paraId="4EC17C3F" w14:textId="0E225B1B" w:rsidR="00A92651" w:rsidRDefault="00A92651" w:rsidP="00A92651">
      <w:pPr>
        <w:pStyle w:val="ListParagraph"/>
        <w:numPr>
          <w:ilvl w:val="0"/>
          <w:numId w:val="27"/>
        </w:numPr>
        <w:autoSpaceDE w:val="0"/>
        <w:autoSpaceDN w:val="0"/>
        <w:adjustRightInd w:val="0"/>
        <w:spacing w:before="120" w:after="120"/>
        <w:ind w:left="1208" w:hanging="357"/>
        <w:contextualSpacing w:val="0"/>
        <w:jc w:val="both"/>
        <w:rPr>
          <w:rFonts w:ascii="Arial" w:hAnsi="Arial" w:cs="Arial"/>
          <w:sz w:val="22"/>
          <w:szCs w:val="22"/>
        </w:rPr>
      </w:pPr>
      <w:r>
        <w:rPr>
          <w:rFonts w:ascii="Arial" w:hAnsi="Arial" w:cs="Arial"/>
          <w:sz w:val="22"/>
          <w:szCs w:val="22"/>
        </w:rPr>
        <w:t>L’</w:t>
      </w:r>
      <w:r w:rsidRPr="00A92651">
        <w:rPr>
          <w:rFonts w:ascii="Arial" w:hAnsi="Arial" w:cs="Arial"/>
          <w:sz w:val="22"/>
          <w:szCs w:val="22"/>
        </w:rPr>
        <w:t>éducation</w:t>
      </w:r>
      <w:r>
        <w:rPr>
          <w:rFonts w:ascii="Arial" w:hAnsi="Arial" w:cs="Arial"/>
          <w:sz w:val="22"/>
          <w:szCs w:val="22"/>
        </w:rPr>
        <w:t xml:space="preserve"> (formelle et non-formelle) et la formation sont considérées comme des moyens de renforcer les </w:t>
      </w:r>
      <w:r w:rsidRPr="00A92651">
        <w:rPr>
          <w:rFonts w:ascii="Arial" w:hAnsi="Arial" w:cs="Arial"/>
          <w:sz w:val="22"/>
          <w:szCs w:val="22"/>
        </w:rPr>
        <w:t>capacités</w:t>
      </w:r>
      <w:r w:rsidR="009C1206">
        <w:rPr>
          <w:rFonts w:ascii="Arial" w:hAnsi="Arial" w:cs="Arial"/>
          <w:sz w:val="22"/>
          <w:szCs w:val="22"/>
        </w:rPr>
        <w:t>,</w:t>
      </w:r>
      <w:r>
        <w:rPr>
          <w:rFonts w:ascii="Arial" w:hAnsi="Arial" w:cs="Arial"/>
          <w:sz w:val="22"/>
          <w:szCs w:val="22"/>
        </w:rPr>
        <w:t xml:space="preserve"> de promouvoir et de transmettre le patrimoine culturel immatériel, avec la </w:t>
      </w:r>
      <w:r w:rsidRPr="00A92651">
        <w:rPr>
          <w:rFonts w:ascii="Arial" w:hAnsi="Arial" w:cs="Arial"/>
          <w:sz w:val="22"/>
          <w:szCs w:val="22"/>
        </w:rPr>
        <w:t>participation</w:t>
      </w:r>
      <w:r>
        <w:rPr>
          <w:rFonts w:ascii="Arial" w:hAnsi="Arial" w:cs="Arial"/>
          <w:sz w:val="22"/>
          <w:szCs w:val="22"/>
        </w:rPr>
        <w:t xml:space="preserve"> directe, plus ou moins</w:t>
      </w:r>
      <w:r w:rsidR="008B382A">
        <w:rPr>
          <w:rFonts w:ascii="Arial" w:hAnsi="Arial" w:cs="Arial"/>
          <w:sz w:val="22"/>
          <w:szCs w:val="22"/>
        </w:rPr>
        <w:t xml:space="preserve"> importante</w:t>
      </w:r>
      <w:r>
        <w:rPr>
          <w:rFonts w:ascii="Arial" w:hAnsi="Arial" w:cs="Arial"/>
          <w:sz w:val="22"/>
          <w:szCs w:val="22"/>
        </w:rPr>
        <w:t>, des communautés détentrices.</w:t>
      </w:r>
    </w:p>
    <w:p w14:paraId="394E3FAD" w14:textId="570DC73D" w:rsidR="00A92651" w:rsidRPr="00333691" w:rsidRDefault="00A92651" w:rsidP="00A92651">
      <w:pPr>
        <w:pStyle w:val="ListParagraph"/>
        <w:numPr>
          <w:ilvl w:val="0"/>
          <w:numId w:val="27"/>
        </w:numPr>
        <w:autoSpaceDE w:val="0"/>
        <w:autoSpaceDN w:val="0"/>
        <w:adjustRightInd w:val="0"/>
        <w:spacing w:before="120" w:after="120"/>
        <w:ind w:left="1208" w:hanging="357"/>
        <w:contextualSpacing w:val="0"/>
        <w:jc w:val="both"/>
        <w:rPr>
          <w:rFonts w:ascii="Arial" w:hAnsi="Arial" w:cs="Arial"/>
          <w:sz w:val="22"/>
          <w:szCs w:val="22"/>
        </w:rPr>
      </w:pPr>
      <w:r>
        <w:rPr>
          <w:rFonts w:ascii="Arial" w:hAnsi="Arial" w:cs="Arial"/>
          <w:sz w:val="22"/>
          <w:szCs w:val="22"/>
        </w:rPr>
        <w:t xml:space="preserve">La </w:t>
      </w:r>
      <w:r w:rsidRPr="00A92651">
        <w:rPr>
          <w:rFonts w:ascii="Arial" w:hAnsi="Arial" w:cs="Arial"/>
          <w:sz w:val="22"/>
          <w:szCs w:val="22"/>
        </w:rPr>
        <w:t>reconnaissance</w:t>
      </w:r>
      <w:r>
        <w:rPr>
          <w:rFonts w:ascii="Arial" w:hAnsi="Arial" w:cs="Arial"/>
          <w:sz w:val="22"/>
          <w:szCs w:val="22"/>
        </w:rPr>
        <w:t xml:space="preserve"> et/ou le soutien des « Trésors humains vivants » (les </w:t>
      </w:r>
      <w:r w:rsidR="009C1206">
        <w:rPr>
          <w:rFonts w:ascii="Arial" w:hAnsi="Arial" w:cs="Arial"/>
          <w:sz w:val="22"/>
          <w:szCs w:val="22"/>
        </w:rPr>
        <w:t xml:space="preserve">détenteurs </w:t>
      </w:r>
      <w:r w:rsidR="00AA5A7B">
        <w:rPr>
          <w:rFonts w:ascii="Arial" w:hAnsi="Arial" w:cs="Arial"/>
          <w:sz w:val="22"/>
          <w:szCs w:val="22"/>
        </w:rPr>
        <w:t>les plus éminents d’</w:t>
      </w:r>
      <w:r>
        <w:rPr>
          <w:rFonts w:ascii="Arial" w:hAnsi="Arial" w:cs="Arial"/>
          <w:sz w:val="22"/>
          <w:szCs w:val="22"/>
        </w:rPr>
        <w:t xml:space="preserve">éléments du patrimoine culturel immatériel) </w:t>
      </w:r>
      <w:r w:rsidR="00AA5A7B">
        <w:rPr>
          <w:rFonts w:ascii="Arial" w:hAnsi="Arial" w:cs="Arial"/>
          <w:sz w:val="22"/>
          <w:szCs w:val="22"/>
        </w:rPr>
        <w:t xml:space="preserve">est une approche qui recueille un grand succès dans plusieurs États parties (p. ex. </w:t>
      </w:r>
      <w:r w:rsidR="008B382A">
        <w:rPr>
          <w:rFonts w:ascii="Arial" w:hAnsi="Arial" w:cs="Arial"/>
          <w:sz w:val="22"/>
          <w:szCs w:val="22"/>
        </w:rPr>
        <w:t xml:space="preserve">au </w:t>
      </w:r>
      <w:r w:rsidR="00AA5A7B">
        <w:rPr>
          <w:rFonts w:ascii="Arial" w:hAnsi="Arial" w:cs="Arial"/>
          <w:sz w:val="22"/>
          <w:szCs w:val="22"/>
        </w:rPr>
        <w:t xml:space="preserve">Cambodge, </w:t>
      </w:r>
      <w:r w:rsidR="008B382A">
        <w:rPr>
          <w:rFonts w:ascii="Arial" w:hAnsi="Arial" w:cs="Arial"/>
          <w:sz w:val="22"/>
          <w:szCs w:val="22"/>
        </w:rPr>
        <w:t xml:space="preserve">en </w:t>
      </w:r>
      <w:r w:rsidR="00AA5A7B">
        <w:rPr>
          <w:rFonts w:ascii="Arial" w:hAnsi="Arial" w:cs="Arial"/>
          <w:sz w:val="22"/>
          <w:szCs w:val="22"/>
        </w:rPr>
        <w:t xml:space="preserve">Côte d’Ivoire et </w:t>
      </w:r>
      <w:r w:rsidR="008B382A">
        <w:rPr>
          <w:rFonts w:ascii="Arial" w:hAnsi="Arial" w:cs="Arial"/>
          <w:sz w:val="22"/>
          <w:szCs w:val="22"/>
        </w:rPr>
        <w:t xml:space="preserve">en </w:t>
      </w:r>
      <w:r w:rsidR="00AA5A7B">
        <w:rPr>
          <w:rFonts w:ascii="Arial" w:hAnsi="Arial" w:cs="Arial"/>
          <w:sz w:val="22"/>
          <w:szCs w:val="22"/>
        </w:rPr>
        <w:t>Turquie).</w:t>
      </w:r>
    </w:p>
    <w:p w14:paraId="30CE8BBE" w14:textId="0C83140F" w:rsidR="00AA5A7B" w:rsidRDefault="00AA5A7B" w:rsidP="000A160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Dans certains États parties, </w:t>
      </w:r>
      <w:r w:rsidRPr="00AA5A7B">
        <w:rPr>
          <w:rFonts w:ascii="Arial" w:hAnsi="Arial" w:cs="Arial"/>
          <w:sz w:val="22"/>
          <w:szCs w:val="22"/>
          <w:lang w:eastAsia="en-US"/>
        </w:rPr>
        <w:t>l’élaboration</w:t>
      </w:r>
      <w:r>
        <w:rPr>
          <w:rFonts w:ascii="Arial" w:hAnsi="Arial" w:cs="Arial"/>
          <w:sz w:val="22"/>
          <w:szCs w:val="22"/>
        </w:rPr>
        <w:t xml:space="preserve"> de politiques culturelles en faveur de la </w:t>
      </w:r>
      <w:r w:rsidRPr="00AA5A7B">
        <w:rPr>
          <w:rFonts w:ascii="Arial" w:hAnsi="Arial" w:cs="Arial"/>
          <w:sz w:val="22"/>
          <w:szCs w:val="22"/>
        </w:rPr>
        <w:t>sauvegarde</w:t>
      </w:r>
      <w:r>
        <w:rPr>
          <w:rFonts w:ascii="Arial" w:hAnsi="Arial" w:cs="Arial"/>
          <w:sz w:val="22"/>
          <w:szCs w:val="22"/>
        </w:rPr>
        <w:t xml:space="preserve"> du patrimoine culturel immatériel a conduit à une réflexion approfondie sur des concepts fondamentaux, notamment les notions de « </w:t>
      </w:r>
      <w:r w:rsidRPr="00AA5A7B">
        <w:rPr>
          <w:rFonts w:ascii="Arial" w:hAnsi="Arial" w:cs="Arial"/>
          <w:sz w:val="22"/>
          <w:szCs w:val="22"/>
        </w:rPr>
        <w:t>sauvegarde</w:t>
      </w:r>
      <w:r>
        <w:rPr>
          <w:rFonts w:ascii="Arial" w:hAnsi="Arial" w:cs="Arial"/>
          <w:sz w:val="22"/>
          <w:szCs w:val="22"/>
        </w:rPr>
        <w:t xml:space="preserve"> » et de « patrimoine culturel immatériel », comme ce fut le cas en France, et à une volonté de développer de </w:t>
      </w:r>
      <w:r w:rsidRPr="00AA5A7B">
        <w:rPr>
          <w:rFonts w:ascii="Arial" w:hAnsi="Arial" w:cs="Arial"/>
          <w:b/>
          <w:sz w:val="22"/>
          <w:szCs w:val="22"/>
        </w:rPr>
        <w:t>nouvelles approches méthodologiques</w:t>
      </w:r>
      <w:r>
        <w:rPr>
          <w:rFonts w:ascii="Arial" w:hAnsi="Arial" w:cs="Arial"/>
          <w:sz w:val="22"/>
          <w:szCs w:val="22"/>
        </w:rPr>
        <w:t xml:space="preserve"> et de nouveaux critères pour l’</w:t>
      </w:r>
      <w:r w:rsidRPr="00AA5A7B">
        <w:rPr>
          <w:rFonts w:ascii="Arial" w:hAnsi="Arial" w:cs="Arial"/>
          <w:sz w:val="22"/>
          <w:szCs w:val="22"/>
        </w:rPr>
        <w:t>identification</w:t>
      </w:r>
      <w:r>
        <w:rPr>
          <w:rFonts w:ascii="Arial" w:hAnsi="Arial" w:cs="Arial"/>
          <w:sz w:val="22"/>
          <w:szCs w:val="22"/>
        </w:rPr>
        <w:t xml:space="preserve"> et la </w:t>
      </w:r>
      <w:r w:rsidRPr="00AA5A7B">
        <w:rPr>
          <w:rFonts w:ascii="Arial" w:hAnsi="Arial" w:cs="Arial"/>
          <w:sz w:val="22"/>
          <w:szCs w:val="22"/>
        </w:rPr>
        <w:t>sauvegarde</w:t>
      </w:r>
      <w:r>
        <w:rPr>
          <w:rFonts w:ascii="Arial" w:hAnsi="Arial" w:cs="Arial"/>
          <w:sz w:val="22"/>
          <w:szCs w:val="22"/>
        </w:rPr>
        <w:t xml:space="preserve">. Les nouvelles approches élaborées tendent à associer les méthodes existantes déjà en application et de nouvelles, </w:t>
      </w:r>
      <w:r w:rsidR="008B382A">
        <w:rPr>
          <w:rFonts w:ascii="Arial" w:hAnsi="Arial" w:cs="Arial"/>
          <w:sz w:val="22"/>
          <w:szCs w:val="22"/>
        </w:rPr>
        <w:t xml:space="preserve">propres </w:t>
      </w:r>
      <w:r>
        <w:rPr>
          <w:rFonts w:ascii="Arial" w:hAnsi="Arial" w:cs="Arial"/>
          <w:sz w:val="22"/>
          <w:szCs w:val="22"/>
        </w:rPr>
        <w:t xml:space="preserve">aux exigences du patrimoine culturel immatériel. Cet aspect du </w:t>
      </w:r>
      <w:r w:rsidRPr="00AA5A7B">
        <w:rPr>
          <w:rFonts w:ascii="Arial" w:hAnsi="Arial" w:cs="Arial"/>
          <w:sz w:val="22"/>
          <w:szCs w:val="22"/>
        </w:rPr>
        <w:t>patrimoine</w:t>
      </w:r>
      <w:r w:rsidR="00414C23">
        <w:rPr>
          <w:rFonts w:ascii="Arial" w:hAnsi="Arial" w:cs="Arial"/>
          <w:sz w:val="22"/>
          <w:szCs w:val="22"/>
        </w:rPr>
        <w:t xml:space="preserve"> a conduit </w:t>
      </w:r>
      <w:r w:rsidR="00414C23" w:rsidRPr="00414C23">
        <w:rPr>
          <w:rFonts w:ascii="Arial" w:hAnsi="Arial" w:cs="Arial"/>
          <w:sz w:val="22"/>
          <w:szCs w:val="22"/>
        </w:rPr>
        <w:t>la plupart des</w:t>
      </w:r>
      <w:r w:rsidR="00414C23">
        <w:rPr>
          <w:rFonts w:ascii="Arial" w:hAnsi="Arial" w:cs="Arial"/>
          <w:sz w:val="22"/>
          <w:szCs w:val="22"/>
        </w:rPr>
        <w:t xml:space="preserve"> États parties à fournir un cadre méthodologique pour la réalisation des actions mises en œuvre par l’</w:t>
      </w:r>
      <w:r w:rsidR="00414C23" w:rsidRPr="00414C23">
        <w:rPr>
          <w:rFonts w:ascii="Arial" w:hAnsi="Arial" w:cs="Arial"/>
          <w:sz w:val="22"/>
          <w:szCs w:val="22"/>
        </w:rPr>
        <w:t>administration</w:t>
      </w:r>
      <w:r w:rsidR="00414C23">
        <w:rPr>
          <w:rFonts w:ascii="Arial" w:hAnsi="Arial" w:cs="Arial"/>
          <w:sz w:val="22"/>
          <w:szCs w:val="22"/>
        </w:rPr>
        <w:t xml:space="preserve"> publique, les entités privées et la société en gén</w:t>
      </w:r>
      <w:r w:rsidR="00D400FA">
        <w:rPr>
          <w:rFonts w:ascii="Arial" w:hAnsi="Arial" w:cs="Arial"/>
          <w:sz w:val="22"/>
          <w:szCs w:val="22"/>
        </w:rPr>
        <w:t>éral, une approche bien développée</w:t>
      </w:r>
      <w:r w:rsidR="00414C23">
        <w:rPr>
          <w:rFonts w:ascii="Arial" w:hAnsi="Arial" w:cs="Arial"/>
          <w:sz w:val="22"/>
          <w:szCs w:val="22"/>
        </w:rPr>
        <w:t xml:space="preserve"> en Espagne. L’Islande, </w:t>
      </w:r>
      <w:r w:rsidR="00414C23" w:rsidRPr="00414C23">
        <w:rPr>
          <w:rFonts w:ascii="Arial" w:hAnsi="Arial" w:cs="Arial"/>
          <w:sz w:val="22"/>
          <w:szCs w:val="22"/>
        </w:rPr>
        <w:t>par exemple</w:t>
      </w:r>
      <w:r w:rsidR="00414C23">
        <w:rPr>
          <w:rFonts w:ascii="Arial" w:hAnsi="Arial" w:cs="Arial"/>
          <w:sz w:val="22"/>
          <w:szCs w:val="22"/>
        </w:rPr>
        <w:t xml:space="preserve">, n’a pas encore élaboré de cadre politique spécifique, ayant toujours recours au cadre </w:t>
      </w:r>
      <w:r w:rsidR="00414C23" w:rsidRPr="00414C23">
        <w:rPr>
          <w:rFonts w:ascii="Arial" w:hAnsi="Arial" w:cs="Arial"/>
          <w:sz w:val="22"/>
          <w:szCs w:val="22"/>
        </w:rPr>
        <w:t>législatif</w:t>
      </w:r>
      <w:r w:rsidR="00414C23">
        <w:rPr>
          <w:rFonts w:ascii="Arial" w:hAnsi="Arial" w:cs="Arial"/>
          <w:sz w:val="22"/>
          <w:szCs w:val="22"/>
        </w:rPr>
        <w:t xml:space="preserve"> existant, alors que la grande majorité des États</w:t>
      </w:r>
      <w:r w:rsidR="009C1206">
        <w:rPr>
          <w:rFonts w:ascii="Arial" w:hAnsi="Arial" w:cs="Arial"/>
          <w:sz w:val="22"/>
          <w:szCs w:val="22"/>
        </w:rPr>
        <w:t xml:space="preserve"> parties</w:t>
      </w:r>
      <w:r w:rsidR="00414C23">
        <w:rPr>
          <w:rFonts w:ascii="Arial" w:hAnsi="Arial" w:cs="Arial"/>
          <w:sz w:val="22"/>
          <w:szCs w:val="22"/>
        </w:rPr>
        <w:t xml:space="preserve"> ont</w:t>
      </w:r>
      <w:r w:rsidR="00D400FA">
        <w:rPr>
          <w:rFonts w:ascii="Arial" w:hAnsi="Arial" w:cs="Arial"/>
          <w:sz w:val="22"/>
          <w:szCs w:val="22"/>
        </w:rPr>
        <w:t xml:space="preserve"> développé</w:t>
      </w:r>
      <w:r w:rsidR="00D400FA" w:rsidRPr="00915CCD">
        <w:rPr>
          <w:rFonts w:ascii="Arial" w:hAnsi="Arial" w:cs="Arial"/>
          <w:sz w:val="22"/>
          <w:szCs w:val="22"/>
        </w:rPr>
        <w:t>, quelle qu’en soit la forme, une</w:t>
      </w:r>
      <w:r w:rsidR="00D400FA">
        <w:rPr>
          <w:rFonts w:ascii="Arial" w:hAnsi="Arial" w:cs="Arial"/>
          <w:sz w:val="22"/>
          <w:szCs w:val="22"/>
        </w:rPr>
        <w:t xml:space="preserve"> a</w:t>
      </w:r>
      <w:r w:rsidR="00F465C2">
        <w:rPr>
          <w:rFonts w:ascii="Arial" w:hAnsi="Arial" w:cs="Arial"/>
          <w:sz w:val="22"/>
          <w:szCs w:val="22"/>
        </w:rPr>
        <w:t>pproche politique particulière.</w:t>
      </w:r>
    </w:p>
    <w:p w14:paraId="5A980EB5" w14:textId="2EB9F6EE" w:rsidR="00D400FA" w:rsidRDefault="00D400FA" w:rsidP="000A160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Dans certains pays, comme le Luxembourg, </w:t>
      </w:r>
      <w:r w:rsidRPr="00D400FA">
        <w:rPr>
          <w:rFonts w:ascii="Arial" w:hAnsi="Arial" w:cs="Arial"/>
          <w:sz w:val="22"/>
          <w:szCs w:val="22"/>
          <w:lang w:eastAsia="en-US"/>
        </w:rPr>
        <w:t>l’élaboration</w:t>
      </w:r>
      <w:r>
        <w:rPr>
          <w:rFonts w:ascii="Arial" w:hAnsi="Arial" w:cs="Arial"/>
          <w:sz w:val="22"/>
          <w:szCs w:val="22"/>
        </w:rPr>
        <w:t xml:space="preserve"> de politiques a visé exclusivement, ou </w:t>
      </w:r>
      <w:r w:rsidRPr="00D400FA">
        <w:rPr>
          <w:rFonts w:ascii="Arial" w:hAnsi="Arial" w:cs="Arial"/>
          <w:sz w:val="22"/>
          <w:szCs w:val="22"/>
          <w:lang w:eastAsia="en-US"/>
        </w:rPr>
        <w:t>principalement</w:t>
      </w:r>
      <w:r>
        <w:rPr>
          <w:rFonts w:ascii="Arial" w:hAnsi="Arial" w:cs="Arial"/>
          <w:sz w:val="22"/>
          <w:szCs w:val="22"/>
        </w:rPr>
        <w:t xml:space="preserve">, les éléments inscrits au niveau national et/ou international. Le patrimoine culturel immatériel a </w:t>
      </w:r>
      <w:r w:rsidRPr="00D400FA">
        <w:rPr>
          <w:rFonts w:ascii="Arial" w:hAnsi="Arial" w:cs="Arial"/>
          <w:sz w:val="22"/>
          <w:szCs w:val="22"/>
        </w:rPr>
        <w:t>également</w:t>
      </w:r>
      <w:r>
        <w:rPr>
          <w:rFonts w:ascii="Arial" w:hAnsi="Arial" w:cs="Arial"/>
          <w:sz w:val="22"/>
          <w:szCs w:val="22"/>
        </w:rPr>
        <w:t xml:space="preserve"> donné aux États multiethniques une occasion de mettre en évidence les éléments du </w:t>
      </w:r>
      <w:r w:rsidRPr="00D400FA">
        <w:rPr>
          <w:rFonts w:ascii="Arial" w:hAnsi="Arial" w:cs="Arial"/>
          <w:sz w:val="22"/>
          <w:szCs w:val="22"/>
        </w:rPr>
        <w:t>patrimoine</w:t>
      </w:r>
      <w:r>
        <w:rPr>
          <w:rFonts w:ascii="Arial" w:hAnsi="Arial" w:cs="Arial"/>
          <w:sz w:val="22"/>
          <w:szCs w:val="22"/>
        </w:rPr>
        <w:t xml:space="preserve"> des minorités et d’accorder un rôle essentiel à la diversité interethnique et interculturelle de leur politique culturelle, comme au Pérou</w:t>
      </w:r>
      <w:r w:rsidR="00E83D04">
        <w:rPr>
          <w:rFonts w:ascii="Arial" w:hAnsi="Arial" w:cs="Arial"/>
          <w:sz w:val="22"/>
          <w:szCs w:val="22"/>
        </w:rPr>
        <w:t>,</w:t>
      </w:r>
      <w:r>
        <w:rPr>
          <w:rFonts w:ascii="Arial" w:hAnsi="Arial" w:cs="Arial"/>
          <w:sz w:val="22"/>
          <w:szCs w:val="22"/>
        </w:rPr>
        <w:t xml:space="preserve"> </w:t>
      </w:r>
      <w:r w:rsidRPr="00D400FA">
        <w:rPr>
          <w:rFonts w:ascii="Arial" w:hAnsi="Arial" w:cs="Arial"/>
          <w:sz w:val="22"/>
          <w:szCs w:val="22"/>
          <w:lang w:eastAsia="en-US"/>
        </w:rPr>
        <w:t>en particulier</w:t>
      </w:r>
      <w:r>
        <w:rPr>
          <w:rFonts w:ascii="Arial" w:hAnsi="Arial" w:cs="Arial"/>
          <w:sz w:val="22"/>
          <w:szCs w:val="22"/>
        </w:rPr>
        <w:t xml:space="preserve"> s’agissant des communautés </w:t>
      </w:r>
      <w:r w:rsidRPr="00D400FA">
        <w:rPr>
          <w:rFonts w:ascii="Arial" w:hAnsi="Arial" w:cs="Arial"/>
          <w:sz w:val="22"/>
          <w:szCs w:val="22"/>
        </w:rPr>
        <w:t>autochtones</w:t>
      </w:r>
      <w:r>
        <w:rPr>
          <w:rFonts w:ascii="Arial" w:hAnsi="Arial" w:cs="Arial"/>
          <w:sz w:val="22"/>
          <w:szCs w:val="22"/>
        </w:rPr>
        <w:t xml:space="preserve"> ; en Hongrie, l’accent a </w:t>
      </w:r>
      <w:r w:rsidRPr="00D400FA">
        <w:rPr>
          <w:rFonts w:ascii="Arial" w:hAnsi="Arial" w:cs="Arial"/>
          <w:sz w:val="22"/>
          <w:szCs w:val="22"/>
        </w:rPr>
        <w:t>également</w:t>
      </w:r>
      <w:r>
        <w:rPr>
          <w:rFonts w:ascii="Arial" w:hAnsi="Arial" w:cs="Arial"/>
          <w:sz w:val="22"/>
          <w:szCs w:val="22"/>
        </w:rPr>
        <w:t xml:space="preserve"> été mis sur le patrimoine culturel immatériel des communautés hongroises de l’étranger. Les politiques culturelles </w:t>
      </w:r>
      <w:r w:rsidR="002D2EE9">
        <w:rPr>
          <w:rFonts w:ascii="Arial" w:hAnsi="Arial" w:cs="Arial"/>
          <w:sz w:val="22"/>
          <w:szCs w:val="22"/>
        </w:rPr>
        <w:t>consacrées au patrimoine culturel immatériel peuvent être vues</w:t>
      </w:r>
      <w:r w:rsidR="00807EAD">
        <w:rPr>
          <w:rFonts w:ascii="Arial" w:hAnsi="Arial" w:cs="Arial"/>
          <w:sz w:val="22"/>
          <w:szCs w:val="22"/>
        </w:rPr>
        <w:t xml:space="preserve"> comme une défense d’</w:t>
      </w:r>
      <w:r w:rsidR="002D2EE9">
        <w:rPr>
          <w:rFonts w:ascii="Arial" w:hAnsi="Arial" w:cs="Arial"/>
          <w:sz w:val="22"/>
          <w:szCs w:val="22"/>
        </w:rPr>
        <w:t>une identité culturelle nationale face à d’autres influences culturelles dominantes (p.</w:t>
      </w:r>
      <w:r w:rsidR="00AC24B9">
        <w:rPr>
          <w:rFonts w:ascii="Arial" w:hAnsi="Arial" w:cs="Arial"/>
          <w:sz w:val="22"/>
          <w:szCs w:val="22"/>
        </w:rPr>
        <w:t xml:space="preserve"> </w:t>
      </w:r>
      <w:r w:rsidR="002D2EE9">
        <w:rPr>
          <w:rFonts w:ascii="Arial" w:hAnsi="Arial" w:cs="Arial"/>
          <w:sz w:val="22"/>
          <w:szCs w:val="22"/>
        </w:rPr>
        <w:t xml:space="preserve">ex. </w:t>
      </w:r>
      <w:r w:rsidR="008B382A">
        <w:rPr>
          <w:rFonts w:ascii="Arial" w:hAnsi="Arial" w:cs="Arial"/>
          <w:sz w:val="22"/>
          <w:szCs w:val="22"/>
        </w:rPr>
        <w:t>en</w:t>
      </w:r>
      <w:r w:rsidR="00E83D04">
        <w:rPr>
          <w:rFonts w:ascii="Arial" w:hAnsi="Arial" w:cs="Arial"/>
          <w:sz w:val="22"/>
          <w:szCs w:val="22"/>
        </w:rPr>
        <w:t xml:space="preserve"> </w:t>
      </w:r>
      <w:r w:rsidR="002D2EE9">
        <w:rPr>
          <w:rFonts w:ascii="Arial" w:hAnsi="Arial" w:cs="Arial"/>
          <w:sz w:val="22"/>
          <w:szCs w:val="22"/>
        </w:rPr>
        <w:t xml:space="preserve">Mongolie). Elles mettent souvent l’accent sur le patrimoine culturel immatériel lié aux minorités, souvent des langues </w:t>
      </w:r>
      <w:r w:rsidR="002D2EE9" w:rsidRPr="002D2EE9">
        <w:rPr>
          <w:rFonts w:ascii="Arial" w:hAnsi="Arial" w:cs="Arial"/>
          <w:sz w:val="22"/>
          <w:szCs w:val="22"/>
        </w:rPr>
        <w:t>autochtones</w:t>
      </w:r>
      <w:r w:rsidR="002D2EE9">
        <w:rPr>
          <w:rFonts w:ascii="Arial" w:hAnsi="Arial" w:cs="Arial"/>
          <w:sz w:val="22"/>
          <w:szCs w:val="22"/>
        </w:rPr>
        <w:t>, comme au Guatemala et au Zimbabwe. Dans tous les domaines liés à l’</w:t>
      </w:r>
      <w:r w:rsidR="002D2EE9" w:rsidRPr="002D2EE9">
        <w:rPr>
          <w:rFonts w:ascii="Arial" w:hAnsi="Arial" w:cs="Arial"/>
          <w:sz w:val="22"/>
          <w:szCs w:val="22"/>
          <w:lang w:eastAsia="en-US"/>
        </w:rPr>
        <w:t>élaboration</w:t>
      </w:r>
      <w:r w:rsidR="002D2EE9">
        <w:rPr>
          <w:rFonts w:ascii="Arial" w:hAnsi="Arial" w:cs="Arial"/>
          <w:sz w:val="22"/>
          <w:szCs w:val="22"/>
        </w:rPr>
        <w:t xml:space="preserve"> de politiques culturelles, on observe une tentative </w:t>
      </w:r>
      <w:r w:rsidR="002D2EE9" w:rsidRPr="00D4732D">
        <w:rPr>
          <w:rFonts w:ascii="Arial" w:hAnsi="Arial" w:cs="Arial"/>
          <w:sz w:val="22"/>
          <w:szCs w:val="22"/>
        </w:rPr>
        <w:t>d’</w:t>
      </w:r>
      <w:r w:rsidR="002D2EE9" w:rsidRPr="002D2EE9">
        <w:rPr>
          <w:rFonts w:ascii="Arial" w:hAnsi="Arial" w:cs="Arial"/>
          <w:b/>
          <w:sz w:val="22"/>
          <w:szCs w:val="22"/>
        </w:rPr>
        <w:t>intégrer étroitement l’éducation à la culture</w:t>
      </w:r>
      <w:r w:rsidR="002D2EE9">
        <w:rPr>
          <w:rFonts w:ascii="Arial" w:hAnsi="Arial" w:cs="Arial"/>
          <w:sz w:val="22"/>
          <w:szCs w:val="22"/>
        </w:rPr>
        <w:t xml:space="preserve">, </w:t>
      </w:r>
      <w:r w:rsidR="002D2EE9" w:rsidRPr="002D2EE9">
        <w:rPr>
          <w:rFonts w:ascii="Arial" w:hAnsi="Arial" w:cs="Arial"/>
          <w:sz w:val="22"/>
          <w:szCs w:val="22"/>
          <w:lang w:eastAsia="en-US"/>
        </w:rPr>
        <w:t>en particulier</w:t>
      </w:r>
      <w:r w:rsidR="002D2EE9">
        <w:rPr>
          <w:rFonts w:ascii="Arial" w:hAnsi="Arial" w:cs="Arial"/>
          <w:sz w:val="22"/>
          <w:szCs w:val="22"/>
        </w:rPr>
        <w:t xml:space="preserve"> s’agissant des enfants. Cette volonté se concrétise parfois par une im</w:t>
      </w:r>
      <w:r w:rsidR="00E83D04">
        <w:rPr>
          <w:rFonts w:ascii="Arial" w:hAnsi="Arial" w:cs="Arial"/>
          <w:sz w:val="22"/>
          <w:szCs w:val="22"/>
        </w:rPr>
        <w:t>p</w:t>
      </w:r>
      <w:r w:rsidR="002D2EE9">
        <w:rPr>
          <w:rFonts w:ascii="Arial" w:hAnsi="Arial" w:cs="Arial"/>
          <w:sz w:val="22"/>
          <w:szCs w:val="22"/>
        </w:rPr>
        <w:t xml:space="preserve">ortante </w:t>
      </w:r>
      <w:r w:rsidR="002D2EE9" w:rsidRPr="002D2EE9">
        <w:rPr>
          <w:rFonts w:ascii="Arial" w:hAnsi="Arial" w:cs="Arial"/>
          <w:sz w:val="22"/>
          <w:szCs w:val="22"/>
        </w:rPr>
        <w:t>participation</w:t>
      </w:r>
      <w:r w:rsidR="002D2EE9">
        <w:rPr>
          <w:rFonts w:ascii="Arial" w:hAnsi="Arial" w:cs="Arial"/>
          <w:sz w:val="22"/>
          <w:szCs w:val="22"/>
        </w:rPr>
        <w:t xml:space="preserve"> du </w:t>
      </w:r>
      <w:r w:rsidR="002D2EE9" w:rsidRPr="002D2EE9">
        <w:rPr>
          <w:rFonts w:ascii="Arial" w:hAnsi="Arial" w:cs="Arial"/>
          <w:sz w:val="22"/>
          <w:szCs w:val="22"/>
        </w:rPr>
        <w:t>Ministère</w:t>
      </w:r>
      <w:r w:rsidR="002D2EE9">
        <w:rPr>
          <w:rFonts w:ascii="Arial" w:hAnsi="Arial" w:cs="Arial"/>
          <w:sz w:val="22"/>
          <w:szCs w:val="22"/>
        </w:rPr>
        <w:t xml:space="preserve"> de l’</w:t>
      </w:r>
      <w:r w:rsidR="002D2EE9" w:rsidRPr="002D2EE9">
        <w:rPr>
          <w:rFonts w:ascii="Arial" w:hAnsi="Arial" w:cs="Arial"/>
          <w:sz w:val="22"/>
          <w:szCs w:val="22"/>
        </w:rPr>
        <w:t>éducation</w:t>
      </w:r>
      <w:r w:rsidR="002D2EE9">
        <w:rPr>
          <w:rFonts w:ascii="Arial" w:hAnsi="Arial" w:cs="Arial"/>
          <w:sz w:val="22"/>
          <w:szCs w:val="22"/>
        </w:rPr>
        <w:t xml:space="preserve"> (</w:t>
      </w:r>
      <w:r w:rsidR="002D2EE9" w:rsidRPr="002D2EE9">
        <w:rPr>
          <w:rFonts w:ascii="Arial" w:hAnsi="Arial" w:cs="Arial"/>
          <w:sz w:val="22"/>
          <w:szCs w:val="22"/>
        </w:rPr>
        <w:t>éventuellement</w:t>
      </w:r>
      <w:r w:rsidR="002D2EE9">
        <w:rPr>
          <w:rFonts w:ascii="Arial" w:hAnsi="Arial" w:cs="Arial"/>
          <w:sz w:val="22"/>
          <w:szCs w:val="22"/>
        </w:rPr>
        <w:t xml:space="preserve"> en </w:t>
      </w:r>
      <w:r w:rsidR="002D2EE9" w:rsidRPr="002D2EE9">
        <w:rPr>
          <w:rFonts w:ascii="Arial" w:hAnsi="Arial" w:cs="Arial"/>
          <w:sz w:val="22"/>
          <w:szCs w:val="22"/>
        </w:rPr>
        <w:t>collaboration</w:t>
      </w:r>
      <w:r w:rsidR="002312D0">
        <w:rPr>
          <w:rFonts w:ascii="Arial" w:hAnsi="Arial" w:cs="Arial"/>
          <w:sz w:val="22"/>
          <w:szCs w:val="22"/>
        </w:rPr>
        <w:t xml:space="preserve"> avec d’autres ministères), d’</w:t>
      </w:r>
      <w:r w:rsidR="002D2EE9" w:rsidRPr="002D2EE9">
        <w:rPr>
          <w:rFonts w:ascii="Arial" w:hAnsi="Arial" w:cs="Arial"/>
          <w:sz w:val="22"/>
          <w:szCs w:val="22"/>
        </w:rPr>
        <w:t>institutions</w:t>
      </w:r>
      <w:r w:rsidR="002D2EE9">
        <w:rPr>
          <w:rFonts w:ascii="Arial" w:hAnsi="Arial" w:cs="Arial"/>
          <w:sz w:val="22"/>
          <w:szCs w:val="22"/>
        </w:rPr>
        <w:t xml:space="preserve"> </w:t>
      </w:r>
      <w:r w:rsidR="009C1206">
        <w:rPr>
          <w:rFonts w:ascii="Arial" w:hAnsi="Arial" w:cs="Arial"/>
          <w:sz w:val="22"/>
          <w:szCs w:val="22"/>
        </w:rPr>
        <w:lastRenderedPageBreak/>
        <w:t xml:space="preserve">gouvernementales </w:t>
      </w:r>
      <w:r w:rsidR="002312D0">
        <w:rPr>
          <w:rFonts w:ascii="Arial" w:hAnsi="Arial" w:cs="Arial"/>
          <w:sz w:val="22"/>
          <w:szCs w:val="22"/>
        </w:rPr>
        <w:t>et universitaires, d’</w:t>
      </w:r>
      <w:r w:rsidR="002D2EE9">
        <w:rPr>
          <w:rFonts w:ascii="Arial" w:hAnsi="Arial" w:cs="Arial"/>
          <w:sz w:val="22"/>
          <w:szCs w:val="22"/>
        </w:rPr>
        <w:t xml:space="preserve">associations de la société civile et d’experts à titre individuel, elle ne vise pas uniquement l’éducation mais </w:t>
      </w:r>
      <w:r w:rsidR="002D2EE9" w:rsidRPr="002D2EE9">
        <w:rPr>
          <w:rFonts w:ascii="Arial" w:hAnsi="Arial" w:cs="Arial"/>
          <w:sz w:val="22"/>
          <w:szCs w:val="22"/>
        </w:rPr>
        <w:t>également</w:t>
      </w:r>
      <w:r w:rsidR="002D2EE9">
        <w:rPr>
          <w:rFonts w:ascii="Arial" w:hAnsi="Arial" w:cs="Arial"/>
          <w:sz w:val="22"/>
          <w:szCs w:val="22"/>
        </w:rPr>
        <w:t xml:space="preserve"> la transmission des traditions culturelles parmi les jeunes et les enf</w:t>
      </w:r>
      <w:r w:rsidR="00E83D04">
        <w:rPr>
          <w:rFonts w:ascii="Arial" w:hAnsi="Arial" w:cs="Arial"/>
          <w:sz w:val="22"/>
          <w:szCs w:val="22"/>
        </w:rPr>
        <w:t>ants d’</w:t>
      </w:r>
      <w:r w:rsidR="002D2EE9">
        <w:rPr>
          <w:rFonts w:ascii="Arial" w:hAnsi="Arial" w:cs="Arial"/>
          <w:sz w:val="22"/>
          <w:szCs w:val="22"/>
        </w:rPr>
        <w:t>âge</w:t>
      </w:r>
      <w:r w:rsidR="00E83D04">
        <w:rPr>
          <w:rFonts w:ascii="Arial" w:hAnsi="Arial" w:cs="Arial"/>
          <w:sz w:val="22"/>
          <w:szCs w:val="22"/>
        </w:rPr>
        <w:t xml:space="preserve"> scolaire</w:t>
      </w:r>
      <w:r w:rsidR="00F465C2">
        <w:rPr>
          <w:rFonts w:ascii="Arial" w:hAnsi="Arial" w:cs="Arial"/>
          <w:sz w:val="22"/>
          <w:szCs w:val="22"/>
        </w:rPr>
        <w:t>.</w:t>
      </w:r>
    </w:p>
    <w:p w14:paraId="703983EF" w14:textId="34215372" w:rsidR="00E83D04" w:rsidRDefault="00E83D04" w:rsidP="000A160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L’objectif princip</w:t>
      </w:r>
      <w:r w:rsidR="002312D0">
        <w:rPr>
          <w:rFonts w:ascii="Arial" w:hAnsi="Arial" w:cs="Arial"/>
          <w:sz w:val="22"/>
          <w:szCs w:val="22"/>
        </w:rPr>
        <w:t xml:space="preserve">al des politiques culturelles a, </w:t>
      </w:r>
      <w:r>
        <w:rPr>
          <w:rFonts w:ascii="Arial" w:hAnsi="Arial" w:cs="Arial"/>
          <w:sz w:val="22"/>
          <w:szCs w:val="22"/>
        </w:rPr>
        <w:t>d’une certaine manière</w:t>
      </w:r>
      <w:r w:rsidR="002312D0">
        <w:rPr>
          <w:rFonts w:ascii="Arial" w:hAnsi="Arial" w:cs="Arial"/>
          <w:sz w:val="22"/>
          <w:szCs w:val="22"/>
        </w:rPr>
        <w:t>,</w:t>
      </w:r>
      <w:r>
        <w:rPr>
          <w:rFonts w:ascii="Arial" w:hAnsi="Arial" w:cs="Arial"/>
          <w:sz w:val="22"/>
          <w:szCs w:val="22"/>
        </w:rPr>
        <w:t xml:space="preserve"> évolué, ainsi les efforts entrepris pour mettre en œuvre la </w:t>
      </w:r>
      <w:r w:rsidRPr="00E83D04">
        <w:rPr>
          <w:rFonts w:ascii="Arial" w:hAnsi="Arial" w:cs="Arial"/>
          <w:sz w:val="22"/>
          <w:szCs w:val="22"/>
        </w:rPr>
        <w:t>Convention</w:t>
      </w:r>
      <w:r>
        <w:rPr>
          <w:rFonts w:ascii="Arial" w:hAnsi="Arial" w:cs="Arial"/>
          <w:sz w:val="22"/>
          <w:szCs w:val="22"/>
        </w:rPr>
        <w:t xml:space="preserve"> qui visaient dans un premier temps à définir les valeurs culturelles et veiller à leur viabilité s’orientent désormais vers les populations ell</w:t>
      </w:r>
      <w:r w:rsidR="00BC0F3A">
        <w:rPr>
          <w:rFonts w:ascii="Arial" w:hAnsi="Arial" w:cs="Arial"/>
          <w:sz w:val="22"/>
          <w:szCs w:val="22"/>
        </w:rPr>
        <w:t xml:space="preserve">es-mêmes qui entretiennent la </w:t>
      </w:r>
      <w:r w:rsidRPr="00915CCD">
        <w:rPr>
          <w:rFonts w:ascii="Arial" w:hAnsi="Arial" w:cs="Arial"/>
          <w:sz w:val="22"/>
          <w:szCs w:val="22"/>
        </w:rPr>
        <w:t xml:space="preserve">culture. </w:t>
      </w:r>
      <w:r w:rsidR="00BC0F3A" w:rsidRPr="00915CCD">
        <w:rPr>
          <w:rFonts w:ascii="Arial" w:hAnsi="Arial" w:cs="Arial"/>
          <w:sz w:val="22"/>
          <w:szCs w:val="22"/>
        </w:rPr>
        <w:t xml:space="preserve">Cela conduit à des politiques auxquelles </w:t>
      </w:r>
      <w:r w:rsidR="00BC0F3A" w:rsidRPr="00D4732D">
        <w:rPr>
          <w:rFonts w:ascii="Arial" w:hAnsi="Arial" w:cs="Arial"/>
          <w:b/>
          <w:sz w:val="22"/>
          <w:szCs w:val="22"/>
        </w:rPr>
        <w:t>les citoyens participent en tant qu’acteurs essentiels</w:t>
      </w:r>
      <w:r w:rsidR="00BC0F3A" w:rsidRPr="00915CCD">
        <w:rPr>
          <w:rFonts w:ascii="Arial" w:hAnsi="Arial" w:cs="Arial"/>
          <w:sz w:val="22"/>
          <w:szCs w:val="22"/>
        </w:rPr>
        <w:t>, passant du statut d’objet de la politique à celui de principal sujet. Malgré cette évolution majeure de</w:t>
      </w:r>
      <w:r w:rsidR="00BC0F3A">
        <w:rPr>
          <w:rFonts w:ascii="Arial" w:hAnsi="Arial" w:cs="Arial"/>
          <w:sz w:val="22"/>
          <w:szCs w:val="22"/>
        </w:rPr>
        <w:t xml:space="preserve"> l’objectif des politiques, certaines approches tendent encore à se fonder sur la </w:t>
      </w:r>
      <w:r w:rsidR="00BC0F3A" w:rsidRPr="00BC0F3A">
        <w:rPr>
          <w:rFonts w:ascii="Arial" w:hAnsi="Arial" w:cs="Arial"/>
          <w:sz w:val="22"/>
          <w:szCs w:val="22"/>
        </w:rPr>
        <w:t>recherche</w:t>
      </w:r>
      <w:r w:rsidR="00BC0F3A">
        <w:rPr>
          <w:rFonts w:ascii="Arial" w:hAnsi="Arial" w:cs="Arial"/>
          <w:sz w:val="22"/>
          <w:szCs w:val="22"/>
        </w:rPr>
        <w:t xml:space="preserve"> ethnographique et à accorder une très grande importance à la </w:t>
      </w:r>
      <w:r w:rsidR="00BC0F3A" w:rsidRPr="00BC0F3A">
        <w:rPr>
          <w:rFonts w:ascii="Arial" w:hAnsi="Arial" w:cs="Arial"/>
          <w:sz w:val="22"/>
          <w:szCs w:val="22"/>
        </w:rPr>
        <w:t>documentation</w:t>
      </w:r>
      <w:r w:rsidR="00BC0F3A">
        <w:rPr>
          <w:rFonts w:ascii="Arial" w:hAnsi="Arial" w:cs="Arial"/>
          <w:sz w:val="22"/>
          <w:szCs w:val="22"/>
        </w:rPr>
        <w:t xml:space="preserve"> et à l’</w:t>
      </w:r>
      <w:r w:rsidR="00BC0F3A" w:rsidRPr="00BC0F3A">
        <w:rPr>
          <w:rFonts w:ascii="Arial" w:hAnsi="Arial" w:cs="Arial"/>
          <w:sz w:val="22"/>
          <w:szCs w:val="22"/>
        </w:rPr>
        <w:t>enregistrement</w:t>
      </w:r>
      <w:r w:rsidR="00BC0F3A">
        <w:rPr>
          <w:rFonts w:ascii="Arial" w:hAnsi="Arial" w:cs="Arial"/>
          <w:sz w:val="22"/>
          <w:szCs w:val="22"/>
        </w:rPr>
        <w:t xml:space="preserve"> plutôt que de mettre en évidence les dimensions sociales et culturelles du patrimoine culturel immatériel dans la </w:t>
      </w:r>
      <w:r w:rsidR="00BC0F3A" w:rsidRPr="00BC0F3A">
        <w:rPr>
          <w:rFonts w:ascii="Arial" w:hAnsi="Arial" w:cs="Arial"/>
          <w:sz w:val="22"/>
          <w:szCs w:val="22"/>
        </w:rPr>
        <w:t>communauté</w:t>
      </w:r>
      <w:r w:rsidR="00F465C2">
        <w:rPr>
          <w:rFonts w:ascii="Arial" w:hAnsi="Arial" w:cs="Arial"/>
          <w:sz w:val="22"/>
          <w:szCs w:val="22"/>
        </w:rPr>
        <w:t>.</w:t>
      </w:r>
    </w:p>
    <w:p w14:paraId="5205E569" w14:textId="5CD0228D" w:rsidR="00BC0F3A" w:rsidRDefault="00BC0F3A" w:rsidP="000A160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Il convient de souligner que les États parties ont </w:t>
      </w:r>
      <w:r w:rsidRPr="00BC0F3A">
        <w:rPr>
          <w:rFonts w:ascii="Arial" w:hAnsi="Arial" w:cs="Arial"/>
          <w:sz w:val="22"/>
          <w:szCs w:val="22"/>
        </w:rPr>
        <w:t>également</w:t>
      </w:r>
      <w:r>
        <w:rPr>
          <w:rFonts w:ascii="Arial" w:hAnsi="Arial" w:cs="Arial"/>
          <w:sz w:val="22"/>
          <w:szCs w:val="22"/>
        </w:rPr>
        <w:t xml:space="preserve"> souhaité intégrer le patrimoine culturel immatériel à l’</w:t>
      </w:r>
      <w:r w:rsidRPr="00BC0F3A">
        <w:rPr>
          <w:rFonts w:ascii="Arial" w:hAnsi="Arial" w:cs="Arial"/>
          <w:sz w:val="22"/>
          <w:szCs w:val="22"/>
          <w:lang w:eastAsia="en-US"/>
        </w:rPr>
        <w:t>élaboration</w:t>
      </w:r>
      <w:r>
        <w:rPr>
          <w:rFonts w:ascii="Arial" w:hAnsi="Arial" w:cs="Arial"/>
          <w:sz w:val="22"/>
          <w:szCs w:val="22"/>
        </w:rPr>
        <w:t xml:space="preserve"> de politiques culturelles même lorsqu’il s’agit de </w:t>
      </w:r>
      <w:r w:rsidRPr="00F84B4E">
        <w:rPr>
          <w:rFonts w:ascii="Arial" w:hAnsi="Arial" w:cs="Arial"/>
          <w:b/>
          <w:sz w:val="22"/>
          <w:szCs w:val="22"/>
        </w:rPr>
        <w:t xml:space="preserve">questions qui ne sont pas </w:t>
      </w:r>
      <w:r w:rsidR="00F84B4E">
        <w:rPr>
          <w:rFonts w:ascii="Arial" w:hAnsi="Arial" w:cs="Arial"/>
          <w:b/>
          <w:sz w:val="22"/>
          <w:szCs w:val="22"/>
        </w:rPr>
        <w:t xml:space="preserve">explicitement abordées </w:t>
      </w:r>
      <w:r w:rsidRPr="00F84B4E">
        <w:rPr>
          <w:rFonts w:ascii="Arial" w:hAnsi="Arial" w:cs="Arial"/>
          <w:b/>
          <w:sz w:val="22"/>
          <w:szCs w:val="22"/>
        </w:rPr>
        <w:t>par le texte de la Convention</w:t>
      </w:r>
      <w:r>
        <w:rPr>
          <w:rFonts w:ascii="Arial" w:hAnsi="Arial" w:cs="Arial"/>
          <w:sz w:val="22"/>
          <w:szCs w:val="22"/>
        </w:rPr>
        <w:t xml:space="preserve">. </w:t>
      </w:r>
      <w:r w:rsidR="00F84B4E">
        <w:rPr>
          <w:rFonts w:ascii="Arial" w:hAnsi="Arial" w:cs="Arial"/>
          <w:sz w:val="22"/>
          <w:szCs w:val="22"/>
        </w:rPr>
        <w:t xml:space="preserve">À titre d’exemple, on peut citer les politiques élaborées en faveur de la promotion des langues </w:t>
      </w:r>
      <w:r w:rsidR="00F84B4E" w:rsidRPr="00F84B4E">
        <w:rPr>
          <w:rFonts w:ascii="Arial" w:hAnsi="Arial" w:cs="Arial"/>
          <w:sz w:val="22"/>
          <w:szCs w:val="22"/>
        </w:rPr>
        <w:t>autochtones</w:t>
      </w:r>
      <w:r w:rsidR="00F84B4E">
        <w:rPr>
          <w:rFonts w:ascii="Arial" w:hAnsi="Arial" w:cs="Arial"/>
          <w:sz w:val="22"/>
          <w:szCs w:val="22"/>
        </w:rPr>
        <w:t xml:space="preserve"> et minoritaires, considérées comme une forme de patrimoine culturel immatériel en soi (ce qui va </w:t>
      </w:r>
      <w:r w:rsidR="00917FAD">
        <w:rPr>
          <w:rFonts w:ascii="Arial" w:hAnsi="Arial" w:cs="Arial"/>
          <w:sz w:val="22"/>
          <w:szCs w:val="22"/>
        </w:rPr>
        <w:t>au-delà</w:t>
      </w:r>
      <w:r w:rsidR="00F84B4E">
        <w:rPr>
          <w:rFonts w:ascii="Arial" w:hAnsi="Arial" w:cs="Arial"/>
          <w:sz w:val="22"/>
          <w:szCs w:val="22"/>
        </w:rPr>
        <w:t xml:space="preserve"> de l’approche envisagée par la </w:t>
      </w:r>
      <w:r w:rsidR="00F84B4E" w:rsidRPr="00F84B4E">
        <w:rPr>
          <w:rFonts w:ascii="Arial" w:hAnsi="Arial" w:cs="Arial"/>
          <w:sz w:val="22"/>
          <w:szCs w:val="22"/>
        </w:rPr>
        <w:t>Convention</w:t>
      </w:r>
      <w:r w:rsidR="00F84B4E">
        <w:rPr>
          <w:rFonts w:ascii="Arial" w:hAnsi="Arial" w:cs="Arial"/>
          <w:sz w:val="22"/>
          <w:szCs w:val="22"/>
        </w:rPr>
        <w:t xml:space="preserve"> qui fait référence aux « expressions orales</w:t>
      </w:r>
      <w:r w:rsidR="00600E8F">
        <w:rPr>
          <w:rFonts w:ascii="Arial" w:hAnsi="Arial" w:cs="Arial"/>
          <w:sz w:val="22"/>
          <w:szCs w:val="22"/>
        </w:rPr>
        <w:t>, y compris</w:t>
      </w:r>
      <w:r w:rsidR="00F84B4E">
        <w:rPr>
          <w:rFonts w:ascii="Arial" w:hAnsi="Arial" w:cs="Arial"/>
          <w:sz w:val="22"/>
          <w:szCs w:val="22"/>
        </w:rPr>
        <w:t xml:space="preserve"> la langue comme vecteur du patrimoine culturel immatériel »), et du </w:t>
      </w:r>
      <w:r w:rsidR="00F84B4E" w:rsidRPr="00F84B4E">
        <w:rPr>
          <w:rFonts w:ascii="Arial" w:hAnsi="Arial" w:cs="Arial"/>
          <w:sz w:val="22"/>
          <w:szCs w:val="22"/>
        </w:rPr>
        <w:t>patrimoine</w:t>
      </w:r>
      <w:r w:rsidR="00F84B4E">
        <w:rPr>
          <w:rFonts w:ascii="Arial" w:hAnsi="Arial" w:cs="Arial"/>
          <w:sz w:val="22"/>
          <w:szCs w:val="22"/>
        </w:rPr>
        <w:t xml:space="preserve"> religieux, comme c’est le cas respectivement au Pérou et au Zimbabwe. Un autre domaine </w:t>
      </w:r>
      <w:r w:rsidR="004A3619">
        <w:rPr>
          <w:rFonts w:ascii="Arial" w:hAnsi="Arial" w:cs="Arial"/>
          <w:sz w:val="22"/>
          <w:szCs w:val="22"/>
        </w:rPr>
        <w:t xml:space="preserve">pour </w:t>
      </w:r>
      <w:r w:rsidR="00F84B4E">
        <w:rPr>
          <w:rFonts w:ascii="Arial" w:hAnsi="Arial" w:cs="Arial"/>
          <w:sz w:val="22"/>
          <w:szCs w:val="22"/>
        </w:rPr>
        <w:t xml:space="preserve">lequel de nombreux États parties, notamment les Seychelles, ont élaboré des politiques (et des législations) est la protection de la </w:t>
      </w:r>
      <w:r w:rsidR="00F84B4E" w:rsidRPr="00F84B4E">
        <w:rPr>
          <w:rFonts w:ascii="Arial" w:hAnsi="Arial" w:cs="Arial"/>
          <w:sz w:val="22"/>
          <w:szCs w:val="22"/>
        </w:rPr>
        <w:t>propriété</w:t>
      </w:r>
      <w:r w:rsidR="00F84B4E">
        <w:rPr>
          <w:rFonts w:ascii="Arial" w:hAnsi="Arial" w:cs="Arial"/>
          <w:sz w:val="22"/>
          <w:szCs w:val="22"/>
        </w:rPr>
        <w:t xml:space="preserve"> </w:t>
      </w:r>
      <w:r w:rsidR="00F84B4E" w:rsidRPr="00F84B4E">
        <w:rPr>
          <w:rFonts w:ascii="Arial" w:hAnsi="Arial" w:cs="Arial"/>
          <w:sz w:val="22"/>
          <w:szCs w:val="22"/>
        </w:rPr>
        <w:t>intellectuelle</w:t>
      </w:r>
      <w:r w:rsidR="00F84B4E">
        <w:rPr>
          <w:rFonts w:ascii="Arial" w:hAnsi="Arial" w:cs="Arial"/>
          <w:sz w:val="22"/>
          <w:szCs w:val="22"/>
        </w:rPr>
        <w:t xml:space="preserve"> pour les créations artistiques et les connaissances traditionnelles qui font partie du patrimoine culturel immatériel. </w:t>
      </w:r>
      <w:r w:rsidR="004A3619">
        <w:rPr>
          <w:rFonts w:ascii="Arial" w:hAnsi="Arial" w:cs="Arial"/>
          <w:sz w:val="22"/>
          <w:szCs w:val="22"/>
        </w:rPr>
        <w:t xml:space="preserve">Certains États incluent </w:t>
      </w:r>
      <w:r w:rsidR="004A3619" w:rsidRPr="004A3619">
        <w:rPr>
          <w:rFonts w:ascii="Arial" w:hAnsi="Arial" w:cs="Arial"/>
          <w:sz w:val="22"/>
          <w:szCs w:val="22"/>
        </w:rPr>
        <w:t>également</w:t>
      </w:r>
      <w:r w:rsidR="004A3619">
        <w:rPr>
          <w:rFonts w:ascii="Arial" w:hAnsi="Arial" w:cs="Arial"/>
          <w:sz w:val="22"/>
          <w:szCs w:val="22"/>
        </w:rPr>
        <w:t xml:space="preserve"> dans leur définition du « patrimoine culturel immatériel » des éléments qui ne sont plus pratiqués ou dont la transmission a été </w:t>
      </w:r>
      <w:r w:rsidR="00F465C2">
        <w:rPr>
          <w:rFonts w:ascii="Arial" w:hAnsi="Arial" w:cs="Arial"/>
          <w:sz w:val="22"/>
          <w:szCs w:val="22"/>
        </w:rPr>
        <w:t>interrompue (comme au Bélarus).</w:t>
      </w:r>
    </w:p>
    <w:p w14:paraId="1A108B6E" w14:textId="689B5391" w:rsidR="000A1604" w:rsidRPr="00AC459E" w:rsidRDefault="00AC459E" w:rsidP="005F0831">
      <w:pPr>
        <w:pStyle w:val="ListParagraph"/>
        <w:keepNext/>
        <w:numPr>
          <w:ilvl w:val="0"/>
          <w:numId w:val="21"/>
        </w:numPr>
        <w:autoSpaceDE w:val="0"/>
        <w:autoSpaceDN w:val="0"/>
        <w:adjustRightInd w:val="0"/>
        <w:spacing w:before="360" w:after="120"/>
        <w:ind w:left="1134" w:hanging="567"/>
        <w:jc w:val="both"/>
        <w:rPr>
          <w:rFonts w:ascii="Arial" w:hAnsi="Arial" w:cs="Arial"/>
          <w:b/>
          <w:sz w:val="22"/>
          <w:szCs w:val="22"/>
        </w:rPr>
      </w:pPr>
      <w:r w:rsidRPr="00D4732D">
        <w:rPr>
          <w:rFonts w:ascii="Arial" w:hAnsi="Arial" w:cs="Arial"/>
          <w:b/>
          <w:sz w:val="22"/>
          <w:szCs w:val="22"/>
        </w:rPr>
        <w:t>É</w:t>
      </w:r>
      <w:r w:rsidR="004A3619" w:rsidRPr="00AC459E">
        <w:rPr>
          <w:rFonts w:ascii="Arial" w:hAnsi="Arial" w:cs="Arial"/>
          <w:b/>
          <w:sz w:val="22"/>
          <w:szCs w:val="22"/>
          <w:lang w:eastAsia="en-US"/>
        </w:rPr>
        <w:t>laboration</w:t>
      </w:r>
      <w:r w:rsidR="004A3619" w:rsidRPr="00AC459E">
        <w:rPr>
          <w:rFonts w:ascii="Arial" w:hAnsi="Arial" w:cs="Arial"/>
          <w:b/>
          <w:sz w:val="22"/>
          <w:szCs w:val="22"/>
        </w:rPr>
        <w:t xml:space="preserve"> d</w:t>
      </w:r>
      <w:r w:rsidRPr="00D4732D">
        <w:rPr>
          <w:rFonts w:ascii="Arial" w:hAnsi="Arial" w:cs="Arial"/>
          <w:b/>
          <w:sz w:val="22"/>
          <w:szCs w:val="22"/>
        </w:rPr>
        <w:t>’autr</w:t>
      </w:r>
      <w:r w:rsidR="004A3619" w:rsidRPr="00AC459E">
        <w:rPr>
          <w:rFonts w:ascii="Arial" w:hAnsi="Arial" w:cs="Arial"/>
          <w:b/>
          <w:sz w:val="22"/>
          <w:szCs w:val="22"/>
        </w:rPr>
        <w:t>e</w:t>
      </w:r>
      <w:r w:rsidRPr="00D4732D">
        <w:rPr>
          <w:rFonts w:ascii="Arial" w:hAnsi="Arial" w:cs="Arial"/>
          <w:b/>
          <w:sz w:val="22"/>
          <w:szCs w:val="22"/>
        </w:rPr>
        <w:t>s</w:t>
      </w:r>
      <w:r w:rsidR="00F465C2">
        <w:rPr>
          <w:rFonts w:ascii="Arial" w:hAnsi="Arial" w:cs="Arial"/>
          <w:b/>
          <w:sz w:val="22"/>
          <w:szCs w:val="22"/>
        </w:rPr>
        <w:t xml:space="preserve"> politiques</w:t>
      </w:r>
    </w:p>
    <w:p w14:paraId="1518D256" w14:textId="59194C9E" w:rsidR="004A3619" w:rsidRDefault="00495385" w:rsidP="000A160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Un aspect significatif de </w:t>
      </w:r>
      <w:r w:rsidRPr="00495385">
        <w:rPr>
          <w:rFonts w:ascii="Arial" w:hAnsi="Arial" w:cs="Arial"/>
          <w:sz w:val="22"/>
          <w:szCs w:val="22"/>
          <w:lang w:eastAsia="en-US"/>
        </w:rPr>
        <w:t>l’élaboration</w:t>
      </w:r>
      <w:r>
        <w:rPr>
          <w:rFonts w:ascii="Arial" w:hAnsi="Arial" w:cs="Arial"/>
          <w:sz w:val="22"/>
          <w:szCs w:val="22"/>
        </w:rPr>
        <w:t xml:space="preserve"> des politiques liées à la </w:t>
      </w:r>
      <w:r w:rsidRPr="00495385">
        <w:rPr>
          <w:rFonts w:ascii="Arial" w:hAnsi="Arial" w:cs="Arial"/>
          <w:sz w:val="22"/>
          <w:szCs w:val="22"/>
        </w:rPr>
        <w:t>sauvegarde</w:t>
      </w:r>
      <w:r>
        <w:rPr>
          <w:rFonts w:ascii="Arial" w:hAnsi="Arial" w:cs="Arial"/>
          <w:sz w:val="22"/>
          <w:szCs w:val="22"/>
        </w:rPr>
        <w:t xml:space="preserve"> du patrimoine culturel immatériel est son intégration à des domaines de l’action gouvernementale</w:t>
      </w:r>
      <w:r w:rsidR="00E605F4">
        <w:rPr>
          <w:rFonts w:ascii="Arial" w:hAnsi="Arial" w:cs="Arial"/>
          <w:sz w:val="22"/>
          <w:szCs w:val="22"/>
        </w:rPr>
        <w:t xml:space="preserve"> qui vont au-delà du domaine culturel</w:t>
      </w:r>
      <w:r>
        <w:rPr>
          <w:rFonts w:ascii="Arial" w:hAnsi="Arial" w:cs="Arial"/>
          <w:sz w:val="22"/>
          <w:szCs w:val="22"/>
        </w:rPr>
        <w:t xml:space="preserve">, principalement ceux consacrés au </w:t>
      </w:r>
      <w:r w:rsidRPr="00495385">
        <w:rPr>
          <w:rFonts w:ascii="Arial" w:hAnsi="Arial" w:cs="Arial"/>
          <w:sz w:val="22"/>
          <w:szCs w:val="22"/>
        </w:rPr>
        <w:t>développement</w:t>
      </w:r>
      <w:r>
        <w:rPr>
          <w:rFonts w:ascii="Arial" w:hAnsi="Arial" w:cs="Arial"/>
          <w:sz w:val="22"/>
          <w:szCs w:val="22"/>
        </w:rPr>
        <w:t xml:space="preserve">. Ainsi, le </w:t>
      </w:r>
      <w:r w:rsidRPr="00495385">
        <w:rPr>
          <w:rFonts w:ascii="Arial" w:hAnsi="Arial" w:cs="Arial"/>
          <w:sz w:val="22"/>
          <w:szCs w:val="22"/>
        </w:rPr>
        <w:t>développement</w:t>
      </w:r>
      <w:r>
        <w:rPr>
          <w:rFonts w:ascii="Arial" w:hAnsi="Arial" w:cs="Arial"/>
          <w:sz w:val="22"/>
          <w:szCs w:val="22"/>
        </w:rPr>
        <w:t xml:space="preserve"> culturel peut être envisagé comme faisant partie d’une </w:t>
      </w:r>
      <w:r w:rsidRPr="00495385">
        <w:rPr>
          <w:rFonts w:ascii="Arial" w:hAnsi="Arial" w:cs="Arial"/>
          <w:b/>
          <w:sz w:val="22"/>
          <w:szCs w:val="22"/>
        </w:rPr>
        <w:t>approche intégrée ayant pour objectif le développement durable</w:t>
      </w:r>
      <w:r>
        <w:rPr>
          <w:rFonts w:ascii="Arial" w:hAnsi="Arial" w:cs="Arial"/>
          <w:sz w:val="22"/>
          <w:szCs w:val="22"/>
        </w:rPr>
        <w:t xml:space="preserve"> et de meilleures conditions de vie, </w:t>
      </w:r>
      <w:r w:rsidRPr="00495385">
        <w:rPr>
          <w:rFonts w:ascii="Arial" w:hAnsi="Arial" w:cs="Arial"/>
          <w:sz w:val="22"/>
          <w:szCs w:val="22"/>
          <w:lang w:eastAsia="en-US"/>
        </w:rPr>
        <w:t>en particulier</w:t>
      </w:r>
      <w:r>
        <w:rPr>
          <w:rFonts w:ascii="Arial" w:hAnsi="Arial" w:cs="Arial"/>
          <w:sz w:val="22"/>
          <w:szCs w:val="22"/>
        </w:rPr>
        <w:t xml:space="preserve"> pour les communautés marginalisées. P</w:t>
      </w:r>
      <w:r w:rsidRPr="00495385">
        <w:rPr>
          <w:rFonts w:ascii="Arial" w:hAnsi="Arial" w:cs="Arial"/>
          <w:sz w:val="22"/>
          <w:szCs w:val="22"/>
        </w:rPr>
        <w:t>ar exemple</w:t>
      </w:r>
      <w:r>
        <w:rPr>
          <w:rFonts w:ascii="Arial" w:hAnsi="Arial" w:cs="Arial"/>
          <w:sz w:val="22"/>
          <w:szCs w:val="22"/>
        </w:rPr>
        <w:t xml:space="preserve">, le Panama a mis en place </w:t>
      </w:r>
      <w:r w:rsidR="00375BB9">
        <w:rPr>
          <w:rFonts w:ascii="Arial" w:hAnsi="Arial" w:cs="Arial"/>
          <w:sz w:val="22"/>
          <w:szCs w:val="22"/>
        </w:rPr>
        <w:t xml:space="preserve">un « dialogue national » afin de contribuer au </w:t>
      </w:r>
      <w:r w:rsidR="00375BB9" w:rsidRPr="00375BB9">
        <w:rPr>
          <w:rFonts w:ascii="Arial" w:hAnsi="Arial" w:cs="Arial"/>
          <w:sz w:val="22"/>
          <w:szCs w:val="22"/>
        </w:rPr>
        <w:t>développement</w:t>
      </w:r>
      <w:r w:rsidR="00375BB9">
        <w:rPr>
          <w:rFonts w:ascii="Arial" w:hAnsi="Arial" w:cs="Arial"/>
          <w:sz w:val="22"/>
          <w:szCs w:val="22"/>
        </w:rPr>
        <w:t xml:space="preserve"> socio-culturel, </w:t>
      </w:r>
      <w:r w:rsidR="00375BB9" w:rsidRPr="00375BB9">
        <w:rPr>
          <w:rFonts w:ascii="Arial" w:hAnsi="Arial" w:cs="Arial"/>
          <w:sz w:val="22"/>
          <w:szCs w:val="22"/>
        </w:rPr>
        <w:t>économique</w:t>
      </w:r>
      <w:r w:rsidR="00375BB9">
        <w:rPr>
          <w:rFonts w:ascii="Arial" w:hAnsi="Arial" w:cs="Arial"/>
          <w:sz w:val="22"/>
          <w:szCs w:val="22"/>
        </w:rPr>
        <w:t>, politique, spirituel et opérationnel tandis qu’en Norvège, un certain nombre d’</w:t>
      </w:r>
      <w:r w:rsidR="00375BB9" w:rsidRPr="00375BB9">
        <w:rPr>
          <w:rFonts w:ascii="Arial" w:hAnsi="Arial" w:cs="Arial"/>
          <w:sz w:val="22"/>
          <w:szCs w:val="22"/>
        </w:rPr>
        <w:t>institutions</w:t>
      </w:r>
      <w:r w:rsidR="00375BB9">
        <w:rPr>
          <w:rFonts w:ascii="Arial" w:hAnsi="Arial" w:cs="Arial"/>
          <w:sz w:val="22"/>
          <w:szCs w:val="22"/>
        </w:rPr>
        <w:t xml:space="preserve"> et d’organisations reçoivent des fonds publics pour la </w:t>
      </w:r>
      <w:r w:rsidR="00375BB9" w:rsidRPr="00375BB9">
        <w:rPr>
          <w:rFonts w:ascii="Arial" w:hAnsi="Arial" w:cs="Arial"/>
          <w:sz w:val="22"/>
          <w:szCs w:val="22"/>
        </w:rPr>
        <w:t>sauvegarde</w:t>
      </w:r>
      <w:r w:rsidR="00375BB9">
        <w:rPr>
          <w:rFonts w:ascii="Arial" w:hAnsi="Arial" w:cs="Arial"/>
          <w:sz w:val="22"/>
          <w:szCs w:val="22"/>
        </w:rPr>
        <w:t xml:space="preserve"> du patrimoine culturel immatériel. Quelques rares États parties, </w:t>
      </w:r>
      <w:r w:rsidR="00375BB9" w:rsidRPr="00375BB9">
        <w:rPr>
          <w:rFonts w:ascii="Arial" w:hAnsi="Arial" w:cs="Arial"/>
          <w:sz w:val="22"/>
          <w:szCs w:val="22"/>
          <w:lang w:eastAsia="en-US"/>
        </w:rPr>
        <w:t>en particulier</w:t>
      </w:r>
      <w:r w:rsidR="00D56EFC">
        <w:rPr>
          <w:rFonts w:ascii="Arial" w:hAnsi="Arial" w:cs="Arial"/>
          <w:sz w:val="22"/>
          <w:szCs w:val="22"/>
        </w:rPr>
        <w:t xml:space="preserve"> le Brésil, ont mis en œuvre</w:t>
      </w:r>
      <w:r w:rsidR="00375BB9">
        <w:rPr>
          <w:rFonts w:ascii="Arial" w:hAnsi="Arial" w:cs="Arial"/>
          <w:sz w:val="22"/>
          <w:szCs w:val="22"/>
        </w:rPr>
        <w:t xml:space="preserve"> une approche assez large dans laquelle le patrimoine culturel immatériel est intégré à plusieurs domaines de </w:t>
      </w:r>
      <w:r w:rsidR="00D56EFC">
        <w:rPr>
          <w:rFonts w:ascii="Arial" w:hAnsi="Arial" w:cs="Arial"/>
          <w:sz w:val="22"/>
          <w:szCs w:val="22"/>
          <w:lang w:eastAsia="en-US"/>
        </w:rPr>
        <w:t>la politique publique</w:t>
      </w:r>
      <w:r w:rsidR="00375BB9">
        <w:rPr>
          <w:rFonts w:ascii="Arial" w:hAnsi="Arial" w:cs="Arial"/>
          <w:sz w:val="22"/>
          <w:szCs w:val="22"/>
          <w:lang w:eastAsia="en-US"/>
        </w:rPr>
        <w:t xml:space="preserve"> (tels que la </w:t>
      </w:r>
      <w:r w:rsidR="00375BB9" w:rsidRPr="00375BB9">
        <w:rPr>
          <w:rFonts w:ascii="Arial" w:hAnsi="Arial" w:cs="Arial"/>
          <w:sz w:val="22"/>
          <w:szCs w:val="22"/>
          <w:lang w:eastAsia="en-US"/>
        </w:rPr>
        <w:t>protection</w:t>
      </w:r>
      <w:r w:rsidR="00375BB9">
        <w:rPr>
          <w:rFonts w:ascii="Arial" w:hAnsi="Arial" w:cs="Arial"/>
          <w:sz w:val="22"/>
          <w:szCs w:val="22"/>
          <w:lang w:eastAsia="en-US"/>
        </w:rPr>
        <w:t xml:space="preserve"> de l’</w:t>
      </w:r>
      <w:r w:rsidR="00375BB9" w:rsidRPr="00375BB9">
        <w:rPr>
          <w:rFonts w:ascii="Arial" w:hAnsi="Arial" w:cs="Arial"/>
          <w:sz w:val="22"/>
          <w:szCs w:val="22"/>
          <w:lang w:eastAsia="en-US"/>
        </w:rPr>
        <w:t>environnement</w:t>
      </w:r>
      <w:r w:rsidR="00375BB9">
        <w:rPr>
          <w:rFonts w:ascii="Arial" w:hAnsi="Arial" w:cs="Arial"/>
          <w:sz w:val="22"/>
          <w:szCs w:val="22"/>
          <w:lang w:eastAsia="en-US"/>
        </w:rPr>
        <w:t>, le tourisme et la santé</w:t>
      </w:r>
      <w:r w:rsidR="00D56EFC">
        <w:rPr>
          <w:rFonts w:ascii="Arial" w:hAnsi="Arial" w:cs="Arial"/>
          <w:sz w:val="22"/>
          <w:szCs w:val="22"/>
          <w:lang w:eastAsia="en-US"/>
        </w:rPr>
        <w:t>)</w:t>
      </w:r>
      <w:r w:rsidR="00375BB9">
        <w:rPr>
          <w:rFonts w:ascii="Arial" w:hAnsi="Arial" w:cs="Arial"/>
          <w:sz w:val="22"/>
          <w:szCs w:val="22"/>
          <w:lang w:eastAsia="en-US"/>
        </w:rPr>
        <w:t xml:space="preserve"> et ont même créé des</w:t>
      </w:r>
      <w:r w:rsidR="00D56EFC">
        <w:rPr>
          <w:rFonts w:ascii="Arial" w:hAnsi="Arial" w:cs="Arial"/>
          <w:sz w:val="22"/>
          <w:szCs w:val="22"/>
          <w:lang w:eastAsia="en-US"/>
        </w:rPr>
        <w:t xml:space="preserve"> structures interministérielles à cette fin. Cette approche est une bonne réponse </w:t>
      </w:r>
      <w:r w:rsidR="00EB75AA">
        <w:rPr>
          <w:rFonts w:ascii="Arial" w:hAnsi="Arial" w:cs="Arial"/>
          <w:sz w:val="22"/>
          <w:szCs w:val="22"/>
          <w:lang w:eastAsia="en-US"/>
        </w:rPr>
        <w:t xml:space="preserve">à l’exigence </w:t>
      </w:r>
      <w:r w:rsidR="00D56EFC">
        <w:rPr>
          <w:rFonts w:ascii="Arial" w:hAnsi="Arial" w:cs="Arial"/>
          <w:sz w:val="22"/>
          <w:szCs w:val="22"/>
          <w:lang w:eastAsia="en-US"/>
        </w:rPr>
        <w:t xml:space="preserve">de </w:t>
      </w:r>
      <w:r w:rsidR="00EB75AA">
        <w:rPr>
          <w:rFonts w:ascii="Arial" w:hAnsi="Arial" w:cs="Arial"/>
          <w:sz w:val="22"/>
          <w:szCs w:val="22"/>
          <w:lang w:eastAsia="en-US"/>
        </w:rPr>
        <w:t>renforcement de la</w:t>
      </w:r>
      <w:r w:rsidR="00D56EFC">
        <w:rPr>
          <w:rFonts w:ascii="Arial" w:hAnsi="Arial" w:cs="Arial"/>
          <w:sz w:val="22"/>
          <w:szCs w:val="22"/>
          <w:lang w:eastAsia="en-US"/>
        </w:rPr>
        <w:t xml:space="preserve"> </w:t>
      </w:r>
      <w:r w:rsidR="00D56EFC" w:rsidRPr="00D56EFC">
        <w:rPr>
          <w:rFonts w:ascii="Arial" w:hAnsi="Arial" w:cs="Arial"/>
          <w:sz w:val="22"/>
          <w:szCs w:val="22"/>
          <w:lang w:eastAsia="en-US"/>
        </w:rPr>
        <w:t>coopération</w:t>
      </w:r>
      <w:r w:rsidR="00D56EFC">
        <w:rPr>
          <w:rFonts w:ascii="Arial" w:hAnsi="Arial" w:cs="Arial"/>
          <w:sz w:val="22"/>
          <w:szCs w:val="22"/>
          <w:lang w:eastAsia="en-US"/>
        </w:rPr>
        <w:t xml:space="preserve"> horizontale entre les différents secteurs du </w:t>
      </w:r>
      <w:r w:rsidR="00D56EFC" w:rsidRPr="00D56EFC">
        <w:rPr>
          <w:rFonts w:ascii="Arial" w:hAnsi="Arial" w:cs="Arial"/>
          <w:sz w:val="22"/>
          <w:szCs w:val="22"/>
          <w:lang w:eastAsia="en-US"/>
        </w:rPr>
        <w:t>gouvernement</w:t>
      </w:r>
      <w:r w:rsidR="00EB75AA">
        <w:rPr>
          <w:rFonts w:ascii="Arial" w:hAnsi="Arial" w:cs="Arial"/>
          <w:sz w:val="22"/>
          <w:szCs w:val="22"/>
          <w:lang w:eastAsia="en-US"/>
        </w:rPr>
        <w:t>, conformément aux objectifs de développement durable</w:t>
      </w:r>
      <w:r w:rsidR="00F465C2">
        <w:rPr>
          <w:rFonts w:ascii="Arial" w:hAnsi="Arial" w:cs="Arial"/>
          <w:sz w:val="22"/>
          <w:szCs w:val="22"/>
          <w:lang w:eastAsia="en-US"/>
        </w:rPr>
        <w:t>.</w:t>
      </w:r>
    </w:p>
    <w:p w14:paraId="14C51F55" w14:textId="3A326343" w:rsidR="00665880" w:rsidRDefault="00665880" w:rsidP="00665880">
      <w:pPr>
        <w:numPr>
          <w:ilvl w:val="0"/>
          <w:numId w:val="14"/>
        </w:numPr>
        <w:autoSpaceDE w:val="0"/>
        <w:autoSpaceDN w:val="0"/>
        <w:adjustRightInd w:val="0"/>
        <w:spacing w:after="120"/>
        <w:ind w:left="567" w:hanging="567"/>
        <w:jc w:val="both"/>
        <w:rPr>
          <w:rFonts w:ascii="Arial" w:hAnsi="Arial" w:cs="Arial"/>
          <w:sz w:val="22"/>
          <w:szCs w:val="22"/>
        </w:rPr>
      </w:pPr>
      <w:r w:rsidRPr="00AC24B9">
        <w:rPr>
          <w:rFonts w:ascii="Arial" w:hAnsi="Arial" w:cs="Arial"/>
          <w:sz w:val="22"/>
          <w:szCs w:val="22"/>
        </w:rPr>
        <w:t>U</w:t>
      </w:r>
      <w:r w:rsidR="0055651F" w:rsidRPr="00AC24B9">
        <w:rPr>
          <w:rFonts w:ascii="Arial" w:hAnsi="Arial" w:cs="Arial"/>
          <w:sz w:val="22"/>
          <w:szCs w:val="22"/>
        </w:rPr>
        <w:t xml:space="preserve">ne place </w:t>
      </w:r>
      <w:r w:rsidR="00E20610" w:rsidRPr="00AC24B9">
        <w:rPr>
          <w:rFonts w:ascii="Arial" w:hAnsi="Arial" w:cs="Arial"/>
          <w:sz w:val="22"/>
          <w:szCs w:val="22"/>
        </w:rPr>
        <w:t>prépondérante</w:t>
      </w:r>
      <w:r w:rsidRPr="00AC24B9">
        <w:rPr>
          <w:rFonts w:ascii="Arial" w:hAnsi="Arial" w:cs="Arial"/>
          <w:sz w:val="22"/>
          <w:szCs w:val="22"/>
        </w:rPr>
        <w:t xml:space="preserve"> est </w:t>
      </w:r>
      <w:r w:rsidR="00E20610" w:rsidRPr="00AC24B9">
        <w:rPr>
          <w:rFonts w:ascii="Arial" w:hAnsi="Arial" w:cs="Arial"/>
          <w:sz w:val="22"/>
          <w:szCs w:val="22"/>
        </w:rPr>
        <w:t>donnée</w:t>
      </w:r>
      <w:r w:rsidRPr="00AC24B9">
        <w:rPr>
          <w:rFonts w:ascii="Arial" w:hAnsi="Arial" w:cs="Arial"/>
          <w:sz w:val="22"/>
          <w:szCs w:val="22"/>
        </w:rPr>
        <w:t xml:space="preserve"> à l</w:t>
      </w:r>
      <w:r w:rsidR="0055651F" w:rsidRPr="00AC24B9">
        <w:rPr>
          <w:rFonts w:ascii="Arial" w:hAnsi="Arial" w:cs="Arial"/>
          <w:sz w:val="22"/>
          <w:szCs w:val="22"/>
        </w:rPr>
        <w:t>a mobilisation du patrimoine culturel immatériel à des fins de développement</w:t>
      </w:r>
      <w:r w:rsidR="00DD4BF9" w:rsidRPr="00AC24B9">
        <w:rPr>
          <w:rFonts w:ascii="Arial" w:hAnsi="Arial" w:cs="Arial"/>
          <w:sz w:val="22"/>
          <w:szCs w:val="22"/>
        </w:rPr>
        <w:t>.</w:t>
      </w:r>
      <w:r w:rsidR="00EB75AA" w:rsidRPr="00AC24B9">
        <w:rPr>
          <w:rFonts w:ascii="Arial" w:hAnsi="Arial" w:cs="Arial"/>
          <w:sz w:val="22"/>
          <w:szCs w:val="22"/>
        </w:rPr>
        <w:t xml:space="preserve"> Ainsi,</w:t>
      </w:r>
      <w:r w:rsidR="00DD4BF9" w:rsidRPr="00AC24B9">
        <w:rPr>
          <w:rFonts w:ascii="Arial" w:hAnsi="Arial" w:cs="Arial"/>
          <w:sz w:val="22"/>
          <w:szCs w:val="22"/>
        </w:rPr>
        <w:t xml:space="preserve"> </w:t>
      </w:r>
      <w:r w:rsidR="00EB75AA" w:rsidRPr="00AC24B9">
        <w:rPr>
          <w:rFonts w:ascii="Arial" w:hAnsi="Arial" w:cs="Arial"/>
          <w:sz w:val="22"/>
          <w:szCs w:val="22"/>
        </w:rPr>
        <w:t>l</w:t>
      </w:r>
      <w:r w:rsidR="00DD4BF9" w:rsidRPr="00AC24B9">
        <w:rPr>
          <w:rFonts w:ascii="Arial" w:hAnsi="Arial" w:cs="Arial"/>
          <w:sz w:val="22"/>
          <w:szCs w:val="22"/>
        </w:rPr>
        <w:t>e patrimoine culturel immatériel</w:t>
      </w:r>
      <w:r w:rsidRPr="00AC24B9">
        <w:rPr>
          <w:rFonts w:ascii="Arial" w:hAnsi="Arial" w:cs="Arial"/>
          <w:sz w:val="22"/>
          <w:szCs w:val="22"/>
        </w:rPr>
        <w:t xml:space="preserve"> fait désormais partie des </w:t>
      </w:r>
      <w:r w:rsidRPr="00AC24B9">
        <w:rPr>
          <w:rFonts w:ascii="Arial" w:hAnsi="Arial" w:cs="Arial"/>
          <w:b/>
          <w:sz w:val="22"/>
          <w:szCs w:val="22"/>
        </w:rPr>
        <w:t>stratégies nationales de développement des États parties</w:t>
      </w:r>
      <w:r w:rsidRPr="00AC24B9">
        <w:rPr>
          <w:rFonts w:ascii="Arial" w:hAnsi="Arial" w:cs="Arial"/>
          <w:sz w:val="22"/>
          <w:szCs w:val="22"/>
        </w:rPr>
        <w:t xml:space="preserve"> (comme en Bulgarie et en Mongolie) où il peut être considéré comme un vecteur de développement</w:t>
      </w:r>
      <w:r>
        <w:rPr>
          <w:rFonts w:ascii="Arial" w:hAnsi="Arial" w:cs="Arial"/>
          <w:sz w:val="22"/>
          <w:szCs w:val="22"/>
        </w:rPr>
        <w:t xml:space="preserve"> durable au niveau </w:t>
      </w:r>
      <w:r w:rsidR="00EB75AA">
        <w:rPr>
          <w:rFonts w:ascii="Arial" w:hAnsi="Arial" w:cs="Arial"/>
          <w:sz w:val="22"/>
          <w:szCs w:val="22"/>
        </w:rPr>
        <w:t xml:space="preserve">des communautés </w:t>
      </w:r>
      <w:r>
        <w:rPr>
          <w:rFonts w:ascii="Arial" w:hAnsi="Arial" w:cs="Arial"/>
          <w:sz w:val="22"/>
          <w:szCs w:val="22"/>
        </w:rPr>
        <w:t xml:space="preserve">ou </w:t>
      </w:r>
      <w:r w:rsidR="00EB75AA">
        <w:rPr>
          <w:rFonts w:ascii="Arial" w:hAnsi="Arial" w:cs="Arial"/>
          <w:sz w:val="22"/>
          <w:szCs w:val="22"/>
        </w:rPr>
        <w:t>des régions</w:t>
      </w:r>
      <w:r>
        <w:rPr>
          <w:rFonts w:ascii="Arial" w:hAnsi="Arial" w:cs="Arial"/>
          <w:sz w:val="22"/>
          <w:szCs w:val="22"/>
        </w:rPr>
        <w:t xml:space="preserve">. En conséquence, une des principales priorités de la mise en œuvre de la </w:t>
      </w:r>
      <w:r w:rsidRPr="00665880">
        <w:rPr>
          <w:rFonts w:ascii="Arial" w:hAnsi="Arial" w:cs="Arial"/>
          <w:sz w:val="22"/>
          <w:szCs w:val="22"/>
        </w:rPr>
        <w:t>Convention</w:t>
      </w:r>
      <w:r>
        <w:rPr>
          <w:rFonts w:ascii="Arial" w:hAnsi="Arial" w:cs="Arial"/>
          <w:sz w:val="22"/>
          <w:szCs w:val="22"/>
        </w:rPr>
        <w:t xml:space="preserve"> est désormais la recherche de possibles synergies entre patrimoine culturel immatériel et développement durable. À titre d’exemple, on peut citer l’Autriche </w:t>
      </w:r>
      <w:r w:rsidR="00DD4BF9">
        <w:rPr>
          <w:rFonts w:ascii="Arial" w:hAnsi="Arial" w:cs="Arial"/>
          <w:sz w:val="22"/>
          <w:szCs w:val="22"/>
        </w:rPr>
        <w:t xml:space="preserve">où un réseau regroupant experts du tourisme et communautés locales a été mis en place afin d’élaborer une </w:t>
      </w:r>
      <w:r w:rsidR="00DD4BF9" w:rsidRPr="00DD4BF9">
        <w:rPr>
          <w:rFonts w:ascii="Arial" w:hAnsi="Arial" w:cs="Arial"/>
          <w:sz w:val="22"/>
          <w:szCs w:val="22"/>
        </w:rPr>
        <w:t>stratégie</w:t>
      </w:r>
      <w:r w:rsidR="00DD4BF9">
        <w:rPr>
          <w:rFonts w:ascii="Arial" w:hAnsi="Arial" w:cs="Arial"/>
          <w:sz w:val="22"/>
          <w:szCs w:val="22"/>
        </w:rPr>
        <w:t xml:space="preserve"> de tourisme durable autour du patrimoine culturel </w:t>
      </w:r>
      <w:r w:rsidR="00DD4BF9">
        <w:rPr>
          <w:rFonts w:ascii="Arial" w:hAnsi="Arial" w:cs="Arial"/>
          <w:sz w:val="22"/>
          <w:szCs w:val="22"/>
        </w:rPr>
        <w:lastRenderedPageBreak/>
        <w:t>immatériel. Un autre exemple est le Programme de formation des gardiens culturels au Honduras, proposé aux gardes forestiers, qui met l’accent sur le patrimoine culturel immatériel et qui procure des emplois dans une région désavantagée ainsi qu’une protection de l’</w:t>
      </w:r>
      <w:r w:rsidR="00DD4BF9" w:rsidRPr="00DD4BF9">
        <w:rPr>
          <w:rFonts w:ascii="Arial" w:hAnsi="Arial" w:cs="Arial"/>
          <w:sz w:val="22"/>
          <w:szCs w:val="22"/>
        </w:rPr>
        <w:t>environnement</w:t>
      </w:r>
      <w:r w:rsidR="00F465C2">
        <w:rPr>
          <w:rFonts w:ascii="Arial" w:hAnsi="Arial" w:cs="Arial"/>
          <w:sz w:val="22"/>
          <w:szCs w:val="22"/>
        </w:rPr>
        <w:t>.</w:t>
      </w:r>
    </w:p>
    <w:p w14:paraId="6AD3B2A4" w14:textId="579EE7A5" w:rsidR="004F58C6" w:rsidRPr="004F58C6" w:rsidRDefault="004A66B9" w:rsidP="004F58C6">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Les mesures de sauvegarde du patrimoine culturel immatériel sont généralement associées aux </w:t>
      </w:r>
      <w:r w:rsidRPr="004A66B9">
        <w:rPr>
          <w:rFonts w:ascii="Arial" w:hAnsi="Arial" w:cs="Arial"/>
          <w:b/>
          <w:sz w:val="22"/>
          <w:szCs w:val="22"/>
        </w:rPr>
        <w:t>politiques de développement rural</w:t>
      </w:r>
      <w:r>
        <w:rPr>
          <w:rFonts w:ascii="Arial" w:hAnsi="Arial" w:cs="Arial"/>
          <w:sz w:val="22"/>
          <w:szCs w:val="22"/>
        </w:rPr>
        <w:t>.</w:t>
      </w:r>
      <w:r w:rsidR="003B5E8B">
        <w:rPr>
          <w:rFonts w:ascii="Arial" w:hAnsi="Arial" w:cs="Arial"/>
          <w:sz w:val="22"/>
          <w:szCs w:val="22"/>
        </w:rPr>
        <w:t xml:space="preserve"> Cela se concrétise par l’allocation de fonds à des communautés rurales, des villages et des petites villes qui ont des éléments du patrimoine culturel immatériel (au Bélarus, à Chypre et en Hongrie). Parmi les actions concernées, on citera l’encouragement des communautés rurales à pratiquer et montrer leur patrimoine culturel immatériel lors de festivals et de foires et, en Lituanie, afin de </w:t>
      </w:r>
      <w:r w:rsidR="003B5E8B" w:rsidRPr="003B5E8B">
        <w:rPr>
          <w:rFonts w:ascii="Arial" w:hAnsi="Arial" w:cs="Arial"/>
          <w:sz w:val="22"/>
          <w:szCs w:val="22"/>
        </w:rPr>
        <w:t>sauvegarde</w:t>
      </w:r>
      <w:r w:rsidR="003B5E8B">
        <w:rPr>
          <w:rFonts w:ascii="Arial" w:hAnsi="Arial" w:cs="Arial"/>
          <w:sz w:val="22"/>
          <w:szCs w:val="22"/>
        </w:rPr>
        <w:t xml:space="preserve">r les droits des paysans et des communautés rurales, la création d’une base de données des produits traditionnels agricoles ou autres. En général, la </w:t>
      </w:r>
      <w:r w:rsidR="004F58C6">
        <w:rPr>
          <w:rFonts w:ascii="Arial" w:hAnsi="Arial" w:cs="Arial"/>
          <w:sz w:val="22"/>
          <w:szCs w:val="22"/>
        </w:rPr>
        <w:t>contribution</w:t>
      </w:r>
      <w:r w:rsidR="003B5E8B">
        <w:rPr>
          <w:rFonts w:ascii="Arial" w:hAnsi="Arial" w:cs="Arial"/>
          <w:sz w:val="22"/>
          <w:szCs w:val="22"/>
        </w:rPr>
        <w:t xml:space="preserve"> potentielle </w:t>
      </w:r>
      <w:r w:rsidR="004F58C6">
        <w:rPr>
          <w:rFonts w:ascii="Arial" w:hAnsi="Arial" w:cs="Arial"/>
          <w:sz w:val="22"/>
          <w:szCs w:val="22"/>
        </w:rPr>
        <w:t xml:space="preserve">du patrimoine culturel </w:t>
      </w:r>
      <w:r w:rsidR="004F58C6" w:rsidRPr="00AC24B9">
        <w:rPr>
          <w:rFonts w:ascii="Arial" w:hAnsi="Arial" w:cs="Arial"/>
          <w:sz w:val="22"/>
          <w:szCs w:val="22"/>
        </w:rPr>
        <w:t xml:space="preserve">immatériel aux économies locales, </w:t>
      </w:r>
      <w:r w:rsidR="004F58C6" w:rsidRPr="00AC24B9">
        <w:rPr>
          <w:rFonts w:ascii="Arial" w:hAnsi="Arial" w:cs="Arial"/>
          <w:sz w:val="22"/>
          <w:szCs w:val="22"/>
          <w:lang w:eastAsia="en-US"/>
        </w:rPr>
        <w:t>en particulier</w:t>
      </w:r>
      <w:r w:rsidR="004F58C6" w:rsidRPr="00AC24B9">
        <w:rPr>
          <w:rFonts w:ascii="Arial" w:hAnsi="Arial" w:cs="Arial"/>
          <w:sz w:val="22"/>
          <w:szCs w:val="22"/>
        </w:rPr>
        <w:t xml:space="preserve"> par la production artisanale et le tourisme, constitue la base de l’</w:t>
      </w:r>
      <w:r w:rsidR="004F58C6" w:rsidRPr="00AC24B9">
        <w:rPr>
          <w:rFonts w:ascii="Arial" w:hAnsi="Arial" w:cs="Arial"/>
          <w:sz w:val="22"/>
          <w:szCs w:val="22"/>
          <w:lang w:eastAsia="en-US"/>
        </w:rPr>
        <w:t>élaboration</w:t>
      </w:r>
      <w:r w:rsidR="004F58C6" w:rsidRPr="00AC24B9">
        <w:rPr>
          <w:rFonts w:ascii="Arial" w:hAnsi="Arial" w:cs="Arial"/>
          <w:sz w:val="22"/>
          <w:szCs w:val="22"/>
        </w:rPr>
        <w:t xml:space="preserve"> des politiques de développement rural dans de nombreux pa</w:t>
      </w:r>
      <w:r w:rsidR="009C594F" w:rsidRPr="00AC24B9">
        <w:rPr>
          <w:rFonts w:ascii="Arial" w:hAnsi="Arial" w:cs="Arial"/>
          <w:sz w:val="22"/>
          <w:szCs w:val="22"/>
        </w:rPr>
        <w:t xml:space="preserve">ys. Il convient de noter que </w:t>
      </w:r>
      <w:r w:rsidR="00181497" w:rsidRPr="00AC24B9">
        <w:rPr>
          <w:rFonts w:ascii="Arial" w:hAnsi="Arial" w:cs="Arial"/>
          <w:sz w:val="22"/>
          <w:szCs w:val="22"/>
        </w:rPr>
        <w:t xml:space="preserve">le fort </w:t>
      </w:r>
      <w:r w:rsidR="009C594F" w:rsidRPr="00AC24B9">
        <w:rPr>
          <w:rFonts w:ascii="Arial" w:hAnsi="Arial" w:cs="Arial"/>
          <w:sz w:val="22"/>
          <w:szCs w:val="22"/>
        </w:rPr>
        <w:t>accent mis sur le</w:t>
      </w:r>
      <w:r w:rsidR="004F58C6" w:rsidRPr="00AC24B9">
        <w:rPr>
          <w:rFonts w:ascii="Arial" w:hAnsi="Arial" w:cs="Arial"/>
          <w:sz w:val="22"/>
          <w:szCs w:val="22"/>
        </w:rPr>
        <w:t xml:space="preserve"> patrimoine </w:t>
      </w:r>
      <w:r w:rsidR="009C594F" w:rsidRPr="00AC24B9">
        <w:rPr>
          <w:rFonts w:ascii="Arial" w:hAnsi="Arial" w:cs="Arial"/>
          <w:sz w:val="22"/>
          <w:szCs w:val="22"/>
        </w:rPr>
        <w:t xml:space="preserve">culturel immatériel en milieu </w:t>
      </w:r>
      <w:r w:rsidR="004F58C6" w:rsidRPr="00AC24B9">
        <w:rPr>
          <w:rFonts w:ascii="Arial" w:hAnsi="Arial" w:cs="Arial"/>
          <w:sz w:val="22"/>
          <w:szCs w:val="22"/>
        </w:rPr>
        <w:t>rural n</w:t>
      </w:r>
      <w:r w:rsidR="009C594F" w:rsidRPr="00AC24B9">
        <w:rPr>
          <w:rFonts w:ascii="Arial" w:hAnsi="Arial" w:cs="Arial"/>
          <w:sz w:val="22"/>
          <w:szCs w:val="22"/>
        </w:rPr>
        <w:t>e semble pas encore avoir trouvé d’équivalent</w:t>
      </w:r>
      <w:r w:rsidR="004F58C6" w:rsidRPr="00AC24B9">
        <w:rPr>
          <w:rFonts w:ascii="Arial" w:hAnsi="Arial" w:cs="Arial"/>
          <w:sz w:val="22"/>
          <w:szCs w:val="22"/>
        </w:rPr>
        <w:t xml:space="preserve"> dans les politiques </w:t>
      </w:r>
      <w:r w:rsidR="00181497" w:rsidRPr="00AC24B9">
        <w:rPr>
          <w:rFonts w:ascii="Arial" w:hAnsi="Arial" w:cs="Arial"/>
          <w:sz w:val="22"/>
          <w:szCs w:val="22"/>
        </w:rPr>
        <w:t>visant à mobiliser le patrimoine culturel immatériel pour la</w:t>
      </w:r>
      <w:r w:rsidR="004F58C6" w:rsidRPr="00AC24B9">
        <w:rPr>
          <w:rFonts w:ascii="Arial" w:hAnsi="Arial" w:cs="Arial"/>
          <w:sz w:val="22"/>
          <w:szCs w:val="22"/>
        </w:rPr>
        <w:t xml:space="preserve"> régénération</w:t>
      </w:r>
      <w:r w:rsidR="009C594F" w:rsidRPr="00AC24B9">
        <w:rPr>
          <w:rFonts w:ascii="Arial" w:hAnsi="Arial" w:cs="Arial"/>
          <w:sz w:val="22"/>
          <w:szCs w:val="22"/>
        </w:rPr>
        <w:t xml:space="preserve"> urbaine et </w:t>
      </w:r>
      <w:r w:rsidR="00181497" w:rsidRPr="00AC24B9">
        <w:rPr>
          <w:rFonts w:ascii="Arial" w:hAnsi="Arial" w:cs="Arial"/>
          <w:sz w:val="22"/>
          <w:szCs w:val="22"/>
        </w:rPr>
        <w:t>la</w:t>
      </w:r>
      <w:r w:rsidR="009C594F" w:rsidRPr="00AC24B9">
        <w:rPr>
          <w:rFonts w:ascii="Arial" w:hAnsi="Arial" w:cs="Arial"/>
          <w:sz w:val="22"/>
          <w:szCs w:val="22"/>
        </w:rPr>
        <w:t xml:space="preserve"> cohésion sociale.</w:t>
      </w:r>
    </w:p>
    <w:p w14:paraId="48098C73" w14:textId="3A16DCAE" w:rsidR="00BF0001" w:rsidRDefault="00BB1645" w:rsidP="00BF0001">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Dans de nombreux pays, le </w:t>
      </w:r>
      <w:r w:rsidR="004F58C6" w:rsidRPr="009055F5">
        <w:rPr>
          <w:rFonts w:ascii="Arial" w:hAnsi="Arial" w:cs="Arial"/>
          <w:b/>
          <w:sz w:val="22"/>
          <w:szCs w:val="22"/>
        </w:rPr>
        <w:t>potentiel de développement économique</w:t>
      </w:r>
      <w:r w:rsidR="003D6C1F">
        <w:rPr>
          <w:rFonts w:ascii="Arial" w:hAnsi="Arial" w:cs="Arial"/>
          <w:sz w:val="22"/>
          <w:szCs w:val="22"/>
        </w:rPr>
        <w:t xml:space="preserve">, </w:t>
      </w:r>
      <w:r w:rsidR="004F58C6">
        <w:rPr>
          <w:rFonts w:ascii="Arial" w:hAnsi="Arial" w:cs="Arial"/>
          <w:sz w:val="22"/>
          <w:szCs w:val="22"/>
        </w:rPr>
        <w:t xml:space="preserve">un des piliers essentiels du développement durable, </w:t>
      </w:r>
      <w:r>
        <w:rPr>
          <w:rFonts w:ascii="Arial" w:hAnsi="Arial" w:cs="Arial"/>
          <w:sz w:val="22"/>
          <w:szCs w:val="22"/>
        </w:rPr>
        <w:t xml:space="preserve">du patrimoine culturel immatériel </w:t>
      </w:r>
      <w:r w:rsidR="009055F5">
        <w:rPr>
          <w:rFonts w:ascii="Arial" w:hAnsi="Arial" w:cs="Arial"/>
          <w:sz w:val="22"/>
          <w:szCs w:val="22"/>
        </w:rPr>
        <w:t xml:space="preserve">a été au cœur de </w:t>
      </w:r>
      <w:r w:rsidR="009055F5" w:rsidRPr="009055F5">
        <w:rPr>
          <w:rFonts w:ascii="Arial" w:hAnsi="Arial" w:cs="Arial"/>
          <w:sz w:val="22"/>
          <w:szCs w:val="22"/>
          <w:lang w:eastAsia="en-US"/>
        </w:rPr>
        <w:t>l’élaboration</w:t>
      </w:r>
      <w:r w:rsidR="009055F5">
        <w:rPr>
          <w:rFonts w:ascii="Arial" w:hAnsi="Arial" w:cs="Arial"/>
          <w:sz w:val="22"/>
          <w:szCs w:val="22"/>
          <w:lang w:eastAsia="en-US"/>
        </w:rPr>
        <w:t xml:space="preserve"> des politiques. Parmi les approches choisies, on peut citer </w:t>
      </w:r>
      <w:r w:rsidR="009055F5" w:rsidRPr="00AC24B9">
        <w:rPr>
          <w:rFonts w:ascii="Arial" w:hAnsi="Arial" w:cs="Arial"/>
          <w:sz w:val="22"/>
          <w:szCs w:val="22"/>
          <w:lang w:eastAsia="en-US"/>
        </w:rPr>
        <w:t xml:space="preserve">le soutien à la production, la distribution et la commercialisation des produits des métiers artisanaux (p. ex. en Turquie) et la formation d’artisans aux tendances du marché, à la conception de produits, au packaging et </w:t>
      </w:r>
      <w:r w:rsidR="005F4FCF" w:rsidRPr="00AC24B9">
        <w:rPr>
          <w:rFonts w:ascii="Arial" w:hAnsi="Arial" w:cs="Arial"/>
          <w:sz w:val="22"/>
          <w:szCs w:val="22"/>
          <w:lang w:eastAsia="en-US"/>
        </w:rPr>
        <w:t xml:space="preserve">à </w:t>
      </w:r>
      <w:r w:rsidR="009055F5" w:rsidRPr="00AC24B9">
        <w:rPr>
          <w:rFonts w:ascii="Arial" w:hAnsi="Arial" w:cs="Arial"/>
          <w:sz w:val="22"/>
          <w:szCs w:val="22"/>
          <w:lang w:eastAsia="en-US"/>
        </w:rPr>
        <w:t>un meilleur accès au marché (p. ex. au Pakistan)</w:t>
      </w:r>
      <w:r w:rsidR="005F4FCF" w:rsidRPr="00AC24B9">
        <w:rPr>
          <w:rFonts w:ascii="Arial" w:hAnsi="Arial" w:cs="Arial"/>
          <w:sz w:val="22"/>
          <w:szCs w:val="22"/>
          <w:lang w:eastAsia="en-US"/>
        </w:rPr>
        <w:t>. La Turquie a intégré le</w:t>
      </w:r>
      <w:r w:rsidR="005F4FCF">
        <w:rPr>
          <w:rFonts w:ascii="Arial" w:hAnsi="Arial" w:cs="Arial"/>
          <w:sz w:val="22"/>
          <w:szCs w:val="22"/>
          <w:lang w:eastAsia="en-US"/>
        </w:rPr>
        <w:t xml:space="preserve"> patrimoine culturel immatériel à son </w:t>
      </w:r>
      <w:r w:rsidR="005F4FCF" w:rsidRPr="005F4FCF">
        <w:rPr>
          <w:rFonts w:ascii="Arial" w:hAnsi="Arial" w:cs="Arial"/>
          <w:sz w:val="22"/>
          <w:szCs w:val="22"/>
          <w:lang w:eastAsia="en-US"/>
        </w:rPr>
        <w:t>enseignement</w:t>
      </w:r>
      <w:r w:rsidR="005F4FCF">
        <w:rPr>
          <w:rFonts w:ascii="Arial" w:hAnsi="Arial" w:cs="Arial"/>
          <w:sz w:val="22"/>
          <w:szCs w:val="22"/>
          <w:lang w:eastAsia="en-US"/>
        </w:rPr>
        <w:t xml:space="preserve"> professionnel certifié (pour les compétences </w:t>
      </w:r>
      <w:r w:rsidR="006C36B5">
        <w:rPr>
          <w:rFonts w:ascii="Arial" w:hAnsi="Arial" w:cs="Arial"/>
          <w:sz w:val="22"/>
          <w:szCs w:val="22"/>
          <w:lang w:eastAsia="en-US"/>
        </w:rPr>
        <w:t>liées à l’</w:t>
      </w:r>
      <w:r w:rsidR="005F4FCF">
        <w:rPr>
          <w:rFonts w:ascii="Arial" w:hAnsi="Arial" w:cs="Arial"/>
          <w:sz w:val="22"/>
          <w:szCs w:val="22"/>
          <w:lang w:eastAsia="en-US"/>
        </w:rPr>
        <w:t>artisana</w:t>
      </w:r>
      <w:r w:rsidR="006C36B5">
        <w:rPr>
          <w:rFonts w:ascii="Arial" w:hAnsi="Arial" w:cs="Arial"/>
          <w:sz w:val="22"/>
          <w:szCs w:val="22"/>
          <w:lang w:eastAsia="en-US"/>
        </w:rPr>
        <w:t>t</w:t>
      </w:r>
      <w:r w:rsidR="005F4FCF">
        <w:rPr>
          <w:rFonts w:ascii="Arial" w:hAnsi="Arial" w:cs="Arial"/>
          <w:sz w:val="22"/>
          <w:szCs w:val="22"/>
          <w:lang w:eastAsia="en-US"/>
        </w:rPr>
        <w:t xml:space="preserve">, la </w:t>
      </w:r>
      <w:r w:rsidR="005F4FCF" w:rsidRPr="00910A74">
        <w:rPr>
          <w:rFonts w:ascii="Arial" w:hAnsi="Arial" w:cs="Arial"/>
          <w:sz w:val="22"/>
          <w:szCs w:val="22"/>
          <w:lang w:eastAsia="en-US"/>
        </w:rPr>
        <w:t xml:space="preserve">cuisine, l’agriculture, l’architecture d’intérieur, la mode, la conception textile, etc.) destiné à différents groupes sociaux, y compris, en Arménie, les personnes </w:t>
      </w:r>
      <w:r w:rsidRPr="00910A74">
        <w:rPr>
          <w:rFonts w:ascii="Arial" w:hAnsi="Arial" w:cs="Arial"/>
          <w:sz w:val="22"/>
          <w:szCs w:val="22"/>
          <w:lang w:eastAsia="en-US"/>
        </w:rPr>
        <w:t>vulnérables et le</w:t>
      </w:r>
      <w:r w:rsidR="00910A74" w:rsidRPr="00910A74">
        <w:rPr>
          <w:rFonts w:ascii="Arial" w:hAnsi="Arial" w:cs="Arial"/>
          <w:sz w:val="22"/>
          <w:szCs w:val="22"/>
          <w:lang w:eastAsia="en-US"/>
        </w:rPr>
        <w:t>s personnes</w:t>
      </w:r>
      <w:r w:rsidRPr="00910A74">
        <w:rPr>
          <w:rFonts w:ascii="Arial" w:hAnsi="Arial" w:cs="Arial"/>
          <w:sz w:val="22"/>
          <w:szCs w:val="22"/>
          <w:lang w:eastAsia="en-US"/>
        </w:rPr>
        <w:t xml:space="preserve"> handicapé</w:t>
      </w:r>
      <w:r w:rsidR="00910A74" w:rsidRPr="00D4732D">
        <w:rPr>
          <w:rFonts w:ascii="Arial" w:hAnsi="Arial" w:cs="Arial"/>
          <w:sz w:val="22"/>
          <w:szCs w:val="22"/>
          <w:lang w:eastAsia="en-US"/>
        </w:rPr>
        <w:t>e</w:t>
      </w:r>
      <w:r w:rsidRPr="00910A74">
        <w:rPr>
          <w:rFonts w:ascii="Arial" w:hAnsi="Arial" w:cs="Arial"/>
          <w:sz w:val="22"/>
          <w:szCs w:val="22"/>
          <w:lang w:eastAsia="en-US"/>
        </w:rPr>
        <w:t>s.</w:t>
      </w:r>
    </w:p>
    <w:p w14:paraId="1E1FFE0D" w14:textId="5C69DFCE" w:rsidR="00B95E36" w:rsidRPr="00B95E36" w:rsidRDefault="00BF0001" w:rsidP="00B95E36">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C</w:t>
      </w:r>
      <w:r w:rsidRPr="00BF0001">
        <w:rPr>
          <w:rFonts w:ascii="Arial" w:hAnsi="Arial" w:cs="Arial"/>
          <w:sz w:val="22"/>
          <w:szCs w:val="22"/>
        </w:rPr>
        <w:t xml:space="preserve">omme en Côte d’Ivoire et en Suisse, </w:t>
      </w:r>
      <w:r>
        <w:rPr>
          <w:rFonts w:ascii="Arial" w:hAnsi="Arial" w:cs="Arial"/>
          <w:sz w:val="22"/>
          <w:szCs w:val="22"/>
        </w:rPr>
        <w:t>certaines approches politiques démontrent une compréhension du lien entre le patrimoine culturel immatériel et l’</w:t>
      </w:r>
      <w:r w:rsidRPr="00BF0001">
        <w:rPr>
          <w:rFonts w:ascii="Arial" w:hAnsi="Arial" w:cs="Arial"/>
          <w:sz w:val="22"/>
          <w:szCs w:val="22"/>
        </w:rPr>
        <w:t>environnement</w:t>
      </w:r>
      <w:r>
        <w:rPr>
          <w:rFonts w:ascii="Arial" w:hAnsi="Arial" w:cs="Arial"/>
          <w:sz w:val="22"/>
          <w:szCs w:val="22"/>
        </w:rPr>
        <w:t xml:space="preserve"> naturel</w:t>
      </w:r>
      <w:r w:rsidR="007C4224">
        <w:rPr>
          <w:rFonts w:ascii="Arial" w:hAnsi="Arial" w:cs="Arial"/>
          <w:sz w:val="22"/>
          <w:szCs w:val="22"/>
        </w:rPr>
        <w:t xml:space="preserve"> et</w:t>
      </w:r>
      <w:r>
        <w:rPr>
          <w:rFonts w:ascii="Arial" w:hAnsi="Arial" w:cs="Arial"/>
          <w:sz w:val="22"/>
          <w:szCs w:val="22"/>
        </w:rPr>
        <w:t xml:space="preserve"> ses ressources</w:t>
      </w:r>
      <w:r w:rsidR="007C4224">
        <w:rPr>
          <w:rFonts w:ascii="Arial" w:hAnsi="Arial" w:cs="Arial"/>
          <w:sz w:val="22"/>
          <w:szCs w:val="22"/>
        </w:rPr>
        <w:t>. Dans ce contexte</w:t>
      </w:r>
      <w:r>
        <w:rPr>
          <w:rFonts w:ascii="Arial" w:hAnsi="Arial" w:cs="Arial"/>
          <w:sz w:val="22"/>
          <w:szCs w:val="22"/>
        </w:rPr>
        <w:t xml:space="preserve">, </w:t>
      </w:r>
      <w:r w:rsidRPr="00910A74">
        <w:rPr>
          <w:rFonts w:ascii="Arial" w:hAnsi="Arial" w:cs="Arial"/>
          <w:sz w:val="22"/>
          <w:szCs w:val="22"/>
        </w:rPr>
        <w:t>l’importance des savoirs traditionnels</w:t>
      </w:r>
      <w:r w:rsidR="00B95E36" w:rsidRPr="00910A74">
        <w:rPr>
          <w:rFonts w:ascii="Arial" w:hAnsi="Arial" w:cs="Arial"/>
          <w:sz w:val="22"/>
          <w:szCs w:val="22"/>
        </w:rPr>
        <w:t xml:space="preserve"> relatifs</w:t>
      </w:r>
      <w:r w:rsidRPr="00910A74">
        <w:rPr>
          <w:rFonts w:ascii="Arial" w:hAnsi="Arial" w:cs="Arial"/>
          <w:sz w:val="22"/>
          <w:szCs w:val="22"/>
        </w:rPr>
        <w:t xml:space="preserve"> aux ressources et aléas naturels, et la recherche de </w:t>
      </w:r>
      <w:r w:rsidRPr="00910A74">
        <w:rPr>
          <w:rFonts w:ascii="Arial" w:hAnsi="Arial" w:cs="Arial"/>
          <w:b/>
          <w:sz w:val="22"/>
          <w:szCs w:val="22"/>
        </w:rPr>
        <w:t xml:space="preserve">nouvelles approches </w:t>
      </w:r>
      <w:r w:rsidR="00B95E36" w:rsidRPr="00910A74">
        <w:rPr>
          <w:rFonts w:ascii="Arial" w:hAnsi="Arial" w:cs="Arial"/>
          <w:b/>
          <w:sz w:val="22"/>
          <w:szCs w:val="22"/>
        </w:rPr>
        <w:t xml:space="preserve">ayant pour objectif la gestion </w:t>
      </w:r>
      <w:r w:rsidR="00910A74" w:rsidRPr="00D4732D">
        <w:rPr>
          <w:rFonts w:ascii="Arial" w:hAnsi="Arial" w:cs="Arial"/>
          <w:b/>
          <w:sz w:val="22"/>
          <w:szCs w:val="22"/>
        </w:rPr>
        <w:t xml:space="preserve">durable </w:t>
      </w:r>
      <w:r w:rsidR="00B95E36" w:rsidRPr="00910A74">
        <w:rPr>
          <w:rFonts w:ascii="Arial" w:hAnsi="Arial" w:cs="Arial"/>
          <w:b/>
          <w:sz w:val="22"/>
          <w:szCs w:val="22"/>
        </w:rPr>
        <w:t>des ressources</w:t>
      </w:r>
      <w:r w:rsidR="00B95E36" w:rsidRPr="00910A74">
        <w:rPr>
          <w:rFonts w:ascii="Arial" w:hAnsi="Arial" w:cs="Arial"/>
          <w:sz w:val="22"/>
          <w:szCs w:val="22"/>
        </w:rPr>
        <w:t xml:space="preserve"> peut être une</w:t>
      </w:r>
      <w:r w:rsidR="00B95E36">
        <w:rPr>
          <w:rFonts w:ascii="Arial" w:hAnsi="Arial" w:cs="Arial"/>
          <w:sz w:val="22"/>
          <w:szCs w:val="22"/>
        </w:rPr>
        <w:t xml:space="preserve"> priorité pour la politique de </w:t>
      </w:r>
      <w:r w:rsidR="00B95E36" w:rsidRPr="00B95E36">
        <w:rPr>
          <w:rFonts w:ascii="Arial" w:hAnsi="Arial" w:cs="Arial"/>
          <w:sz w:val="22"/>
          <w:szCs w:val="22"/>
        </w:rPr>
        <w:t>sauvegarde</w:t>
      </w:r>
      <w:r w:rsidR="00B95E36">
        <w:rPr>
          <w:rFonts w:ascii="Arial" w:hAnsi="Arial" w:cs="Arial"/>
          <w:sz w:val="22"/>
          <w:szCs w:val="22"/>
        </w:rPr>
        <w:t xml:space="preserve">. Cela peut se concrétiser, </w:t>
      </w:r>
      <w:r w:rsidR="00B95E36" w:rsidRPr="00B95E36">
        <w:rPr>
          <w:rFonts w:ascii="Arial" w:hAnsi="Arial" w:cs="Arial"/>
          <w:sz w:val="22"/>
          <w:szCs w:val="22"/>
        </w:rPr>
        <w:t>par exemple</w:t>
      </w:r>
      <w:r w:rsidR="00B95E36">
        <w:rPr>
          <w:rFonts w:ascii="Arial" w:hAnsi="Arial" w:cs="Arial"/>
          <w:sz w:val="22"/>
          <w:szCs w:val="22"/>
        </w:rPr>
        <w:t xml:space="preserve">, par la </w:t>
      </w:r>
      <w:r w:rsidR="00B95E36" w:rsidRPr="00B95E36">
        <w:rPr>
          <w:rFonts w:ascii="Arial" w:hAnsi="Arial" w:cs="Arial"/>
          <w:sz w:val="22"/>
          <w:szCs w:val="22"/>
        </w:rPr>
        <w:t>sauvegarde</w:t>
      </w:r>
      <w:r w:rsidR="00B95E36">
        <w:rPr>
          <w:rFonts w:ascii="Arial" w:hAnsi="Arial" w:cs="Arial"/>
          <w:sz w:val="22"/>
          <w:szCs w:val="22"/>
        </w:rPr>
        <w:t xml:space="preserve"> des savoirs traditionnels dans le domaine des plantes médicinales au Panama et l’accent mis sur les connaissances traditionnelles des bergers et nomades de Mongolie</w:t>
      </w:r>
      <w:r w:rsidR="00B95E36" w:rsidRPr="00B95E36">
        <w:rPr>
          <w:rFonts w:ascii="Arial" w:hAnsi="Arial" w:cs="Arial"/>
          <w:sz w:val="22"/>
          <w:szCs w:val="22"/>
        </w:rPr>
        <w:t xml:space="preserve"> </w:t>
      </w:r>
      <w:r w:rsidR="00B95E36">
        <w:rPr>
          <w:rFonts w:ascii="Arial" w:hAnsi="Arial" w:cs="Arial"/>
          <w:sz w:val="22"/>
          <w:szCs w:val="22"/>
        </w:rPr>
        <w:t xml:space="preserve">en matière d’écologie. D’autres </w:t>
      </w:r>
      <w:r w:rsidR="00B95E36">
        <w:rPr>
          <w:rFonts w:ascii="Arial" w:hAnsi="Arial" w:cs="Arial"/>
          <w:sz w:val="22"/>
          <w:szCs w:val="22"/>
          <w:lang w:eastAsia="en-US"/>
        </w:rPr>
        <w:t xml:space="preserve">initiatives proposent des programmes de </w:t>
      </w:r>
      <w:r w:rsidR="00B95E36" w:rsidRPr="00B95E36">
        <w:rPr>
          <w:rFonts w:ascii="Arial" w:hAnsi="Arial" w:cs="Arial"/>
          <w:sz w:val="22"/>
          <w:szCs w:val="22"/>
          <w:lang w:eastAsia="en-US"/>
        </w:rPr>
        <w:t>revitalisation</w:t>
      </w:r>
      <w:r w:rsidR="00B95E36">
        <w:rPr>
          <w:rFonts w:ascii="Arial" w:hAnsi="Arial" w:cs="Arial"/>
          <w:sz w:val="22"/>
          <w:szCs w:val="22"/>
          <w:lang w:eastAsia="en-US"/>
        </w:rPr>
        <w:t xml:space="preserve"> des artisanats </w:t>
      </w:r>
      <w:r w:rsidR="00B95E36" w:rsidRPr="00B95E36">
        <w:rPr>
          <w:rFonts w:ascii="Arial" w:hAnsi="Arial" w:cs="Arial"/>
          <w:sz w:val="22"/>
          <w:szCs w:val="22"/>
          <w:lang w:eastAsia="en-US"/>
        </w:rPr>
        <w:t>traditionnels</w:t>
      </w:r>
      <w:r w:rsidR="00B95E36">
        <w:rPr>
          <w:rFonts w:ascii="Arial" w:hAnsi="Arial" w:cs="Arial"/>
          <w:sz w:val="22"/>
          <w:szCs w:val="22"/>
          <w:lang w:eastAsia="en-US"/>
        </w:rPr>
        <w:t xml:space="preserve"> et </w:t>
      </w:r>
      <w:r w:rsidR="00E82CF9">
        <w:rPr>
          <w:rFonts w:ascii="Arial" w:hAnsi="Arial" w:cs="Arial"/>
          <w:sz w:val="22"/>
          <w:szCs w:val="22"/>
          <w:lang w:eastAsia="en-US"/>
        </w:rPr>
        <w:t>d’identification</w:t>
      </w:r>
      <w:r w:rsidR="00B95E36">
        <w:rPr>
          <w:rFonts w:ascii="Arial" w:hAnsi="Arial" w:cs="Arial"/>
          <w:sz w:val="22"/>
          <w:szCs w:val="22"/>
          <w:lang w:eastAsia="en-US"/>
        </w:rPr>
        <w:t xml:space="preserve"> du patrimoine culturel immatériel dans les parcs nationaux (en Suisse), </w:t>
      </w:r>
      <w:r w:rsidR="00B95E36" w:rsidRPr="00910A74">
        <w:rPr>
          <w:rFonts w:ascii="Arial" w:hAnsi="Arial" w:cs="Arial"/>
          <w:sz w:val="22"/>
          <w:szCs w:val="22"/>
          <w:lang w:eastAsia="en-US"/>
        </w:rPr>
        <w:t xml:space="preserve">et d’encouragement des communautés rurales à montrer et pratiquer leur patrimoine. </w:t>
      </w:r>
      <w:r w:rsidR="00DB3526" w:rsidRPr="00910A74">
        <w:rPr>
          <w:rFonts w:ascii="Arial" w:hAnsi="Arial" w:cs="Arial"/>
          <w:sz w:val="22"/>
          <w:szCs w:val="22"/>
          <w:lang w:eastAsia="en-US"/>
        </w:rPr>
        <w:t>Les</w:t>
      </w:r>
      <w:r w:rsidR="00DB3526">
        <w:rPr>
          <w:rFonts w:ascii="Arial" w:hAnsi="Arial" w:cs="Arial"/>
          <w:sz w:val="22"/>
          <w:szCs w:val="22"/>
          <w:lang w:eastAsia="en-US"/>
        </w:rPr>
        <w:t xml:space="preserve"> efforts entrepris par certains États parties (p. ex. la Lituanie) pour constituer des bases de données des produits agricoles </w:t>
      </w:r>
      <w:r w:rsidR="00DB3526" w:rsidRPr="00DB3526">
        <w:rPr>
          <w:rFonts w:ascii="Arial" w:hAnsi="Arial" w:cs="Arial"/>
          <w:sz w:val="22"/>
          <w:szCs w:val="22"/>
          <w:lang w:eastAsia="en-US"/>
        </w:rPr>
        <w:t>traditionnels</w:t>
      </w:r>
      <w:r w:rsidR="00DB3526">
        <w:rPr>
          <w:rFonts w:ascii="Arial" w:hAnsi="Arial" w:cs="Arial"/>
          <w:sz w:val="22"/>
          <w:szCs w:val="22"/>
          <w:lang w:eastAsia="en-US"/>
        </w:rPr>
        <w:t xml:space="preserve"> suggèrent que la valeur économique de ceux-ci est </w:t>
      </w:r>
      <w:r w:rsidR="00DB3526" w:rsidRPr="00DB3526">
        <w:rPr>
          <w:rFonts w:ascii="Arial" w:hAnsi="Arial" w:cs="Arial"/>
          <w:sz w:val="22"/>
          <w:szCs w:val="22"/>
          <w:lang w:eastAsia="en-US"/>
        </w:rPr>
        <w:t>également</w:t>
      </w:r>
      <w:r w:rsidR="00DB3526">
        <w:rPr>
          <w:rFonts w:ascii="Arial" w:hAnsi="Arial" w:cs="Arial"/>
          <w:sz w:val="22"/>
          <w:szCs w:val="22"/>
          <w:lang w:eastAsia="en-US"/>
        </w:rPr>
        <w:t xml:space="preserve"> envisagée comme un aspect important de leur </w:t>
      </w:r>
      <w:r w:rsidR="00DB3526" w:rsidRPr="00DB3526">
        <w:rPr>
          <w:rFonts w:ascii="Arial" w:hAnsi="Arial" w:cs="Arial"/>
          <w:sz w:val="22"/>
          <w:szCs w:val="22"/>
          <w:lang w:eastAsia="en-US"/>
        </w:rPr>
        <w:t>sauvegarde</w:t>
      </w:r>
      <w:r w:rsidR="00F465C2">
        <w:rPr>
          <w:rFonts w:ascii="Arial" w:hAnsi="Arial" w:cs="Arial"/>
          <w:sz w:val="22"/>
          <w:szCs w:val="22"/>
          <w:lang w:eastAsia="en-US"/>
        </w:rPr>
        <w:t>.</w:t>
      </w:r>
    </w:p>
    <w:p w14:paraId="5007C8D4" w14:textId="107D94A3" w:rsidR="00960D2A" w:rsidRDefault="00960D2A" w:rsidP="00C85867">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Le potentiel de contribution du patrimoine culturel immatériel aux </w:t>
      </w:r>
      <w:r w:rsidRPr="00960D2A">
        <w:rPr>
          <w:rFonts w:ascii="Arial" w:hAnsi="Arial" w:cs="Arial"/>
          <w:b/>
          <w:sz w:val="22"/>
          <w:szCs w:val="22"/>
        </w:rPr>
        <w:t xml:space="preserve">politiques de </w:t>
      </w:r>
      <w:r w:rsidRPr="00910A74">
        <w:rPr>
          <w:rFonts w:ascii="Arial" w:hAnsi="Arial" w:cs="Arial"/>
          <w:b/>
          <w:sz w:val="22"/>
          <w:szCs w:val="22"/>
        </w:rPr>
        <w:t xml:space="preserve">développement social </w:t>
      </w:r>
      <w:r w:rsidR="00910A74" w:rsidRPr="00D4732D">
        <w:rPr>
          <w:rFonts w:ascii="Arial" w:hAnsi="Arial" w:cs="Arial"/>
          <w:b/>
          <w:sz w:val="22"/>
          <w:szCs w:val="22"/>
        </w:rPr>
        <w:t>pour les</w:t>
      </w:r>
      <w:r w:rsidR="00C50F52" w:rsidRPr="00910A74">
        <w:rPr>
          <w:rFonts w:ascii="Arial" w:hAnsi="Arial" w:cs="Arial"/>
          <w:b/>
          <w:sz w:val="22"/>
          <w:szCs w:val="22"/>
        </w:rPr>
        <w:t xml:space="preserve"> communautés</w:t>
      </w:r>
      <w:r w:rsidR="00C50F52" w:rsidRPr="00910A74">
        <w:rPr>
          <w:rFonts w:ascii="Arial" w:hAnsi="Arial" w:cs="Arial"/>
          <w:sz w:val="22"/>
          <w:szCs w:val="22"/>
        </w:rPr>
        <w:t xml:space="preserve"> </w:t>
      </w:r>
      <w:r w:rsidRPr="00910A74">
        <w:rPr>
          <w:rFonts w:ascii="Arial" w:hAnsi="Arial" w:cs="Arial"/>
          <w:sz w:val="22"/>
          <w:szCs w:val="22"/>
        </w:rPr>
        <w:t>a également été reconnu et, en Côte d’Ivoire, le patrimoine culturel immatériel</w:t>
      </w:r>
      <w:r>
        <w:rPr>
          <w:rFonts w:ascii="Arial" w:hAnsi="Arial" w:cs="Arial"/>
          <w:sz w:val="22"/>
          <w:szCs w:val="22"/>
        </w:rPr>
        <w:t xml:space="preserve"> constitue une importante ressource sociale dans des domaines aussi variés que la médecine traditionnelle, l’</w:t>
      </w:r>
      <w:r w:rsidR="0091386A">
        <w:rPr>
          <w:rFonts w:ascii="Arial" w:hAnsi="Arial" w:cs="Arial"/>
          <w:sz w:val="22"/>
          <w:szCs w:val="22"/>
        </w:rPr>
        <w:t>agricult</w:t>
      </w:r>
      <w:r w:rsidRPr="00960D2A">
        <w:rPr>
          <w:rFonts w:ascii="Arial" w:hAnsi="Arial" w:cs="Arial"/>
          <w:sz w:val="22"/>
          <w:szCs w:val="22"/>
        </w:rPr>
        <w:t>ur</w:t>
      </w:r>
      <w:r w:rsidR="0091386A">
        <w:rPr>
          <w:rFonts w:ascii="Arial" w:hAnsi="Arial" w:cs="Arial"/>
          <w:sz w:val="22"/>
          <w:szCs w:val="22"/>
        </w:rPr>
        <w:t>e</w:t>
      </w:r>
      <w:r>
        <w:rPr>
          <w:rFonts w:ascii="Arial" w:hAnsi="Arial" w:cs="Arial"/>
          <w:sz w:val="22"/>
          <w:szCs w:val="22"/>
        </w:rPr>
        <w:t xml:space="preserve"> et la métallurgie. Parmi les </w:t>
      </w:r>
      <w:r>
        <w:rPr>
          <w:rFonts w:ascii="Arial" w:hAnsi="Arial" w:cs="Arial"/>
          <w:sz w:val="22"/>
          <w:szCs w:val="22"/>
          <w:lang w:eastAsia="en-US"/>
        </w:rPr>
        <w:t>initiatives</w:t>
      </w:r>
      <w:r w:rsidR="0091386A">
        <w:rPr>
          <w:rFonts w:ascii="Arial" w:hAnsi="Arial" w:cs="Arial"/>
          <w:sz w:val="22"/>
          <w:szCs w:val="22"/>
          <w:lang w:eastAsia="en-US"/>
        </w:rPr>
        <w:t xml:space="preserve"> concernées</w:t>
      </w:r>
      <w:r>
        <w:rPr>
          <w:rFonts w:ascii="Arial" w:hAnsi="Arial" w:cs="Arial"/>
          <w:sz w:val="22"/>
          <w:szCs w:val="22"/>
          <w:lang w:eastAsia="en-US"/>
        </w:rPr>
        <w:t xml:space="preserve">, on citera l’encouragement à la </w:t>
      </w:r>
      <w:r w:rsidRPr="00960D2A">
        <w:rPr>
          <w:rFonts w:ascii="Arial" w:hAnsi="Arial" w:cs="Arial"/>
          <w:sz w:val="22"/>
          <w:szCs w:val="22"/>
          <w:lang w:eastAsia="en-US"/>
        </w:rPr>
        <w:t>participation</w:t>
      </w:r>
      <w:r>
        <w:rPr>
          <w:rFonts w:ascii="Arial" w:hAnsi="Arial" w:cs="Arial"/>
          <w:sz w:val="22"/>
          <w:szCs w:val="22"/>
          <w:lang w:eastAsia="en-US"/>
        </w:rPr>
        <w:t xml:space="preserve"> de la société et un projet de </w:t>
      </w:r>
      <w:r w:rsidRPr="00960D2A">
        <w:rPr>
          <w:rFonts w:ascii="Arial" w:hAnsi="Arial" w:cs="Arial"/>
          <w:sz w:val="22"/>
          <w:szCs w:val="22"/>
          <w:lang w:eastAsia="en-US"/>
        </w:rPr>
        <w:t>développement</w:t>
      </w:r>
      <w:r>
        <w:rPr>
          <w:rFonts w:ascii="Arial" w:hAnsi="Arial" w:cs="Arial"/>
          <w:sz w:val="22"/>
          <w:szCs w:val="22"/>
          <w:lang w:eastAsia="en-US"/>
        </w:rPr>
        <w:t xml:space="preserve"> </w:t>
      </w:r>
      <w:r w:rsidR="00910A74">
        <w:rPr>
          <w:rFonts w:ascii="Arial" w:hAnsi="Arial" w:cs="Arial"/>
          <w:sz w:val="22"/>
          <w:szCs w:val="22"/>
          <w:lang w:eastAsia="en-US"/>
        </w:rPr>
        <w:t xml:space="preserve">pour les communautés </w:t>
      </w:r>
      <w:r>
        <w:rPr>
          <w:rFonts w:ascii="Arial" w:hAnsi="Arial" w:cs="Arial"/>
          <w:sz w:val="22"/>
          <w:szCs w:val="22"/>
          <w:lang w:eastAsia="en-US"/>
        </w:rPr>
        <w:t xml:space="preserve">en </w:t>
      </w:r>
      <w:r w:rsidRPr="00960D2A">
        <w:rPr>
          <w:rFonts w:ascii="Arial" w:hAnsi="Arial" w:cs="Arial"/>
          <w:sz w:val="22"/>
          <w:szCs w:val="22"/>
          <w:lang w:eastAsia="en-US"/>
        </w:rPr>
        <w:t>République</w:t>
      </w:r>
      <w:r>
        <w:rPr>
          <w:rFonts w:ascii="Arial" w:hAnsi="Arial" w:cs="Arial"/>
          <w:sz w:val="22"/>
          <w:szCs w:val="22"/>
          <w:lang w:eastAsia="en-US"/>
        </w:rPr>
        <w:t xml:space="preserve"> arabe syrienne conçu autour de l’</w:t>
      </w:r>
      <w:r w:rsidRPr="00960D2A">
        <w:rPr>
          <w:rFonts w:ascii="Arial" w:hAnsi="Arial" w:cs="Arial"/>
          <w:sz w:val="22"/>
          <w:szCs w:val="22"/>
          <w:lang w:eastAsia="en-US"/>
        </w:rPr>
        <w:t>utilisation</w:t>
      </w:r>
      <w:r>
        <w:rPr>
          <w:rFonts w:ascii="Arial" w:hAnsi="Arial" w:cs="Arial"/>
          <w:sz w:val="22"/>
          <w:szCs w:val="22"/>
          <w:lang w:eastAsia="en-US"/>
        </w:rPr>
        <w:t xml:space="preserve"> du patrimoine culturel immatériel en faveur du </w:t>
      </w:r>
      <w:r w:rsidRPr="00960D2A">
        <w:rPr>
          <w:rFonts w:ascii="Arial" w:hAnsi="Arial" w:cs="Arial"/>
          <w:sz w:val="22"/>
          <w:szCs w:val="22"/>
          <w:lang w:eastAsia="en-US"/>
        </w:rPr>
        <w:t>développement</w:t>
      </w:r>
      <w:r>
        <w:rPr>
          <w:rFonts w:ascii="Arial" w:hAnsi="Arial" w:cs="Arial"/>
          <w:sz w:val="22"/>
          <w:szCs w:val="22"/>
          <w:lang w:eastAsia="en-US"/>
        </w:rPr>
        <w:t xml:space="preserve"> socioéconomique de la </w:t>
      </w:r>
      <w:r w:rsidRPr="00960D2A">
        <w:rPr>
          <w:rFonts w:ascii="Arial" w:hAnsi="Arial" w:cs="Arial"/>
          <w:sz w:val="22"/>
          <w:szCs w:val="22"/>
          <w:lang w:eastAsia="en-US"/>
        </w:rPr>
        <w:t>communauté</w:t>
      </w:r>
      <w:r>
        <w:rPr>
          <w:rFonts w:ascii="Arial" w:hAnsi="Arial" w:cs="Arial"/>
          <w:sz w:val="22"/>
          <w:szCs w:val="22"/>
          <w:lang w:eastAsia="en-US"/>
        </w:rPr>
        <w:t xml:space="preserve"> locale. En général, la </w:t>
      </w:r>
      <w:r w:rsidRPr="00960D2A">
        <w:rPr>
          <w:rFonts w:ascii="Arial" w:hAnsi="Arial" w:cs="Arial"/>
          <w:sz w:val="22"/>
          <w:szCs w:val="22"/>
          <w:lang w:eastAsia="en-US"/>
        </w:rPr>
        <w:t>participation</w:t>
      </w:r>
      <w:r>
        <w:rPr>
          <w:rFonts w:ascii="Arial" w:hAnsi="Arial" w:cs="Arial"/>
          <w:sz w:val="22"/>
          <w:szCs w:val="22"/>
          <w:lang w:eastAsia="en-US"/>
        </w:rPr>
        <w:t xml:space="preserve"> des communautés est reconnue comme un des principes </w:t>
      </w:r>
      <w:r w:rsidR="0091386A">
        <w:rPr>
          <w:rFonts w:ascii="Arial" w:hAnsi="Arial" w:cs="Arial"/>
          <w:sz w:val="22"/>
          <w:szCs w:val="22"/>
          <w:lang w:eastAsia="en-US"/>
        </w:rPr>
        <w:t xml:space="preserve">généraux </w:t>
      </w:r>
      <w:r>
        <w:rPr>
          <w:rFonts w:ascii="Arial" w:hAnsi="Arial" w:cs="Arial"/>
          <w:sz w:val="22"/>
          <w:szCs w:val="22"/>
          <w:lang w:eastAsia="en-US"/>
        </w:rPr>
        <w:t xml:space="preserve">de </w:t>
      </w:r>
      <w:r w:rsidRPr="00960D2A">
        <w:rPr>
          <w:rFonts w:ascii="Arial" w:hAnsi="Arial" w:cs="Arial"/>
          <w:sz w:val="22"/>
          <w:szCs w:val="22"/>
          <w:lang w:eastAsia="en-US"/>
        </w:rPr>
        <w:t>l’élaboration</w:t>
      </w:r>
      <w:r>
        <w:rPr>
          <w:rFonts w:ascii="Arial" w:hAnsi="Arial" w:cs="Arial"/>
          <w:sz w:val="22"/>
          <w:szCs w:val="22"/>
          <w:lang w:eastAsia="en-US"/>
        </w:rPr>
        <w:t xml:space="preserve"> et de la mise en œuvre des politiques</w:t>
      </w:r>
      <w:r w:rsidR="0091386A">
        <w:rPr>
          <w:rFonts w:ascii="Arial" w:hAnsi="Arial" w:cs="Arial"/>
          <w:sz w:val="22"/>
          <w:szCs w:val="22"/>
          <w:lang w:eastAsia="en-US"/>
        </w:rPr>
        <w:t xml:space="preserve"> relatives au patrimoine culturel immatériel. Toutefois, le niveau de </w:t>
      </w:r>
      <w:r w:rsidR="0091386A" w:rsidRPr="0091386A">
        <w:rPr>
          <w:rFonts w:ascii="Arial" w:hAnsi="Arial" w:cs="Arial"/>
          <w:sz w:val="22"/>
          <w:szCs w:val="22"/>
          <w:lang w:eastAsia="en-US"/>
        </w:rPr>
        <w:t>participation</w:t>
      </w:r>
      <w:r w:rsidR="0091386A">
        <w:rPr>
          <w:rFonts w:ascii="Arial" w:hAnsi="Arial" w:cs="Arial"/>
          <w:sz w:val="22"/>
          <w:szCs w:val="22"/>
          <w:lang w:eastAsia="en-US"/>
        </w:rPr>
        <w:t xml:space="preserve"> direct</w:t>
      </w:r>
      <w:r w:rsidR="00F465C2">
        <w:rPr>
          <w:rFonts w:ascii="Arial" w:hAnsi="Arial" w:cs="Arial"/>
          <w:sz w:val="22"/>
          <w:szCs w:val="22"/>
          <w:lang w:eastAsia="en-US"/>
        </w:rPr>
        <w:t>e des communautés est variable.</w:t>
      </w:r>
    </w:p>
    <w:p w14:paraId="7CA01B4C" w14:textId="0EA8D2D5" w:rsidR="0091386A" w:rsidRPr="00910A74" w:rsidRDefault="0091386A" w:rsidP="000A1604">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lastRenderedPageBreak/>
        <w:t xml:space="preserve">En outre, le patrimoine culturel immatériel joue un rôle central dans </w:t>
      </w:r>
      <w:r w:rsidRPr="00D4732D">
        <w:rPr>
          <w:rFonts w:ascii="Arial" w:hAnsi="Arial" w:cs="Arial"/>
          <w:sz w:val="22"/>
          <w:szCs w:val="22"/>
        </w:rPr>
        <w:t xml:space="preserve">la </w:t>
      </w:r>
      <w:r w:rsidRPr="0091386A">
        <w:rPr>
          <w:rFonts w:ascii="Arial" w:hAnsi="Arial" w:cs="Arial"/>
          <w:b/>
          <w:sz w:val="22"/>
          <w:szCs w:val="22"/>
        </w:rPr>
        <w:t>résolution des con</w:t>
      </w:r>
      <w:r w:rsidR="00502BD7">
        <w:rPr>
          <w:rFonts w:ascii="Arial" w:hAnsi="Arial" w:cs="Arial"/>
          <w:b/>
          <w:sz w:val="22"/>
          <w:szCs w:val="22"/>
        </w:rPr>
        <w:t>flits sociaux et la création</w:t>
      </w:r>
      <w:r w:rsidRPr="0091386A">
        <w:rPr>
          <w:rFonts w:ascii="Arial" w:hAnsi="Arial" w:cs="Arial"/>
          <w:b/>
          <w:sz w:val="22"/>
          <w:szCs w:val="22"/>
        </w:rPr>
        <w:t xml:space="preserve"> de l’harmonie sociale</w:t>
      </w:r>
      <w:r>
        <w:rPr>
          <w:rFonts w:ascii="Arial" w:hAnsi="Arial" w:cs="Arial"/>
          <w:sz w:val="22"/>
          <w:szCs w:val="22"/>
        </w:rPr>
        <w:t xml:space="preserve">, comme on a pu le constater au </w:t>
      </w:r>
      <w:r w:rsidRPr="0091386A">
        <w:rPr>
          <w:rFonts w:ascii="Arial" w:eastAsiaTheme="minorEastAsia" w:hAnsi="Arial" w:cs="Arial"/>
          <w:color w:val="1A1A1A"/>
          <w:sz w:val="22"/>
          <w:szCs w:val="22"/>
        </w:rPr>
        <w:t>Kirghizistan</w:t>
      </w:r>
      <w:r>
        <w:rPr>
          <w:rFonts w:ascii="Arial" w:hAnsi="Arial" w:cs="Arial"/>
          <w:sz w:val="22"/>
          <w:szCs w:val="22"/>
        </w:rPr>
        <w:t xml:space="preserve">. Les méthodes de prévention et de </w:t>
      </w:r>
      <w:r w:rsidRPr="0091386A">
        <w:rPr>
          <w:rFonts w:ascii="Arial" w:hAnsi="Arial" w:cs="Arial"/>
          <w:sz w:val="22"/>
          <w:szCs w:val="22"/>
        </w:rPr>
        <w:t>résolution</w:t>
      </w:r>
      <w:r>
        <w:rPr>
          <w:rFonts w:ascii="Arial" w:hAnsi="Arial" w:cs="Arial"/>
          <w:sz w:val="22"/>
          <w:szCs w:val="22"/>
        </w:rPr>
        <w:t xml:space="preserve"> des conflits qui sont utilisées traditionnellement par différents groupes ethniques vivant sur le même territoire depuis de nombreux siècles sont reconnues au Burkina Faso et considérées comme faisant partie du </w:t>
      </w:r>
      <w:r w:rsidRPr="00910A74">
        <w:rPr>
          <w:rFonts w:ascii="Arial" w:hAnsi="Arial" w:cs="Arial"/>
          <w:sz w:val="22"/>
          <w:szCs w:val="22"/>
        </w:rPr>
        <w:t>patrimoine culturel immatériel. Les autorités</w:t>
      </w:r>
      <w:r w:rsidR="003A4AE6" w:rsidRPr="00910A74">
        <w:rPr>
          <w:rFonts w:ascii="Arial" w:hAnsi="Arial" w:cs="Arial"/>
          <w:sz w:val="22"/>
          <w:szCs w:val="22"/>
        </w:rPr>
        <w:t xml:space="preserve"> étatiques</w:t>
      </w:r>
      <w:r w:rsidRPr="00910A74">
        <w:rPr>
          <w:rFonts w:ascii="Arial" w:hAnsi="Arial" w:cs="Arial"/>
          <w:sz w:val="22"/>
          <w:szCs w:val="22"/>
        </w:rPr>
        <w:t xml:space="preserve"> peuvent même compter sur les détenteurs du patrimoine culturel immatériel, tels que les griots (les maîtres des mots) de l’Afrique de l’ouest</w:t>
      </w:r>
      <w:r w:rsidR="00502BD7" w:rsidRPr="00910A74">
        <w:rPr>
          <w:rFonts w:ascii="Arial" w:hAnsi="Arial" w:cs="Arial"/>
          <w:sz w:val="22"/>
          <w:szCs w:val="22"/>
        </w:rPr>
        <w:t>,</w:t>
      </w:r>
      <w:r w:rsidRPr="00910A74">
        <w:rPr>
          <w:rFonts w:ascii="Arial" w:hAnsi="Arial" w:cs="Arial"/>
          <w:sz w:val="22"/>
          <w:szCs w:val="22"/>
        </w:rPr>
        <w:t xml:space="preserve"> et les chefs religieux pour servir de médiateur</w:t>
      </w:r>
      <w:r w:rsidR="00502BD7" w:rsidRPr="00910A74">
        <w:rPr>
          <w:rFonts w:ascii="Arial" w:hAnsi="Arial" w:cs="Arial"/>
          <w:sz w:val="22"/>
          <w:szCs w:val="22"/>
        </w:rPr>
        <w:t>s</w:t>
      </w:r>
      <w:r w:rsidRPr="00910A74">
        <w:rPr>
          <w:rFonts w:ascii="Arial" w:hAnsi="Arial" w:cs="Arial"/>
          <w:sz w:val="22"/>
          <w:szCs w:val="22"/>
        </w:rPr>
        <w:t xml:space="preserve"> dans les conflits entre l’État, la société civile et les syndicats ou pour résoudre des conflits entre communautés voisines</w:t>
      </w:r>
      <w:r w:rsidR="00502BD7" w:rsidRPr="00910A74">
        <w:rPr>
          <w:rFonts w:ascii="Arial" w:hAnsi="Arial" w:cs="Arial"/>
          <w:sz w:val="22"/>
          <w:szCs w:val="22"/>
        </w:rPr>
        <w:t xml:space="preserve"> à pr</w:t>
      </w:r>
      <w:r w:rsidR="00F465C2">
        <w:rPr>
          <w:rFonts w:ascii="Arial" w:hAnsi="Arial" w:cs="Arial"/>
          <w:sz w:val="22"/>
          <w:szCs w:val="22"/>
        </w:rPr>
        <w:t>opos des ressources naturelles.</w:t>
      </w:r>
    </w:p>
    <w:p w14:paraId="40CD8DA4" w14:textId="3B959A07" w:rsidR="00502BD7" w:rsidRPr="00910A74" w:rsidRDefault="003A4AE6" w:rsidP="000A1604">
      <w:pPr>
        <w:numPr>
          <w:ilvl w:val="0"/>
          <w:numId w:val="14"/>
        </w:numPr>
        <w:autoSpaceDE w:val="0"/>
        <w:autoSpaceDN w:val="0"/>
        <w:adjustRightInd w:val="0"/>
        <w:spacing w:after="120"/>
        <w:ind w:left="567" w:hanging="567"/>
        <w:jc w:val="both"/>
        <w:rPr>
          <w:rFonts w:ascii="Arial" w:hAnsi="Arial" w:cs="Arial"/>
          <w:sz w:val="22"/>
          <w:szCs w:val="22"/>
        </w:rPr>
      </w:pPr>
      <w:r w:rsidRPr="00910A74">
        <w:rPr>
          <w:rFonts w:ascii="Arial" w:hAnsi="Arial" w:cs="Arial"/>
          <w:sz w:val="22"/>
          <w:szCs w:val="22"/>
        </w:rPr>
        <w:t>L</w:t>
      </w:r>
      <w:r w:rsidR="00502BD7" w:rsidRPr="00910A74">
        <w:rPr>
          <w:rFonts w:ascii="Arial" w:hAnsi="Arial" w:cs="Arial"/>
          <w:sz w:val="22"/>
          <w:szCs w:val="22"/>
        </w:rPr>
        <w:t xml:space="preserve">a </w:t>
      </w:r>
      <w:r w:rsidR="00502BD7" w:rsidRPr="00910A74">
        <w:rPr>
          <w:rFonts w:ascii="Arial" w:hAnsi="Arial" w:cs="Arial"/>
          <w:b/>
          <w:sz w:val="22"/>
          <w:szCs w:val="22"/>
        </w:rPr>
        <w:t>participation des communautés</w:t>
      </w:r>
      <w:r w:rsidR="00BD5999" w:rsidRPr="00910A74">
        <w:rPr>
          <w:rFonts w:ascii="Arial" w:hAnsi="Arial" w:cs="Arial"/>
          <w:sz w:val="22"/>
          <w:szCs w:val="22"/>
        </w:rPr>
        <w:t xml:space="preserve"> </w:t>
      </w:r>
      <w:r w:rsidRPr="00910A74">
        <w:rPr>
          <w:rFonts w:ascii="Arial" w:hAnsi="Arial" w:cs="Arial"/>
          <w:sz w:val="22"/>
          <w:szCs w:val="22"/>
        </w:rPr>
        <w:t xml:space="preserve">joue un rôle central dans la mise en œuvre de la Convention. </w:t>
      </w:r>
      <w:r w:rsidR="00502BD7" w:rsidRPr="00910A74">
        <w:rPr>
          <w:rFonts w:ascii="Arial" w:hAnsi="Arial" w:cs="Arial"/>
          <w:sz w:val="22"/>
          <w:szCs w:val="22"/>
        </w:rPr>
        <w:t xml:space="preserve">Pour que les organisations de la société civile soient en mesure de </w:t>
      </w:r>
      <w:r w:rsidRPr="00910A74">
        <w:rPr>
          <w:rFonts w:ascii="Arial" w:hAnsi="Arial" w:cs="Arial"/>
          <w:sz w:val="22"/>
          <w:szCs w:val="22"/>
        </w:rPr>
        <w:t>participer activement</w:t>
      </w:r>
      <w:r w:rsidR="00502BD7" w:rsidRPr="00910A74">
        <w:rPr>
          <w:rFonts w:ascii="Arial" w:hAnsi="Arial" w:cs="Arial"/>
          <w:sz w:val="22"/>
          <w:szCs w:val="22"/>
        </w:rPr>
        <w:t xml:space="preserve"> dans la conduite de </w:t>
      </w:r>
      <w:r w:rsidR="00502BD7" w:rsidRPr="00910A74">
        <w:rPr>
          <w:rFonts w:ascii="Arial" w:hAnsi="Arial" w:cs="Arial"/>
          <w:sz w:val="22"/>
          <w:szCs w:val="22"/>
          <w:lang w:eastAsia="en-US"/>
        </w:rPr>
        <w:t>l’élaboration</w:t>
      </w:r>
      <w:r w:rsidR="00502BD7" w:rsidRPr="00910A74">
        <w:rPr>
          <w:rFonts w:ascii="Arial" w:hAnsi="Arial" w:cs="Arial"/>
          <w:sz w:val="22"/>
          <w:szCs w:val="22"/>
        </w:rPr>
        <w:t xml:space="preserve"> de politiques ainsi que dans la mise en œuvre d’act</w:t>
      </w:r>
      <w:r w:rsidR="00C90D30" w:rsidRPr="00910A74">
        <w:rPr>
          <w:rFonts w:ascii="Arial" w:hAnsi="Arial" w:cs="Arial"/>
          <w:sz w:val="22"/>
          <w:szCs w:val="22"/>
        </w:rPr>
        <w:t xml:space="preserve">ions, un système </w:t>
      </w:r>
      <w:r w:rsidR="00910A74" w:rsidRPr="00910A74">
        <w:rPr>
          <w:rFonts w:ascii="Arial" w:hAnsi="Arial" w:cs="Arial"/>
          <w:sz w:val="22"/>
          <w:szCs w:val="22"/>
        </w:rPr>
        <w:t xml:space="preserve">de gouvernance </w:t>
      </w:r>
      <w:r w:rsidR="00C90D30" w:rsidRPr="00910A74">
        <w:rPr>
          <w:rFonts w:ascii="Arial" w:hAnsi="Arial" w:cs="Arial"/>
          <w:sz w:val="22"/>
          <w:szCs w:val="22"/>
        </w:rPr>
        <w:t>ouvert et pluraliste</w:t>
      </w:r>
      <w:r w:rsidR="00910A74" w:rsidRPr="00D4732D">
        <w:rPr>
          <w:rFonts w:ascii="Arial" w:hAnsi="Arial" w:cs="Arial"/>
          <w:sz w:val="22"/>
          <w:szCs w:val="22"/>
        </w:rPr>
        <w:t xml:space="preserve"> est nécessaire</w:t>
      </w:r>
      <w:r w:rsidR="00C90D30" w:rsidRPr="00910A74">
        <w:rPr>
          <w:rFonts w:ascii="Arial" w:hAnsi="Arial" w:cs="Arial"/>
          <w:sz w:val="22"/>
          <w:szCs w:val="22"/>
        </w:rPr>
        <w:t xml:space="preserve">. Les domaines dans lesquels la participation des communautés a été tout particulièrement observée sont </w:t>
      </w:r>
      <w:r w:rsidR="00BD5999" w:rsidRPr="00910A74">
        <w:rPr>
          <w:rFonts w:ascii="Arial" w:hAnsi="Arial" w:cs="Arial"/>
          <w:sz w:val="22"/>
          <w:szCs w:val="22"/>
        </w:rPr>
        <w:t>les actions d</w:t>
      </w:r>
      <w:r w:rsidR="00C90D30" w:rsidRPr="00910A74">
        <w:rPr>
          <w:rFonts w:ascii="Arial" w:hAnsi="Arial" w:cs="Arial"/>
          <w:sz w:val="22"/>
          <w:szCs w:val="22"/>
        </w:rPr>
        <w:t>’éducation</w:t>
      </w:r>
      <w:r w:rsidR="00BD5999" w:rsidRPr="00910A74">
        <w:rPr>
          <w:rFonts w:ascii="Arial" w:hAnsi="Arial" w:cs="Arial"/>
          <w:sz w:val="22"/>
          <w:szCs w:val="22"/>
        </w:rPr>
        <w:t xml:space="preserve">, </w:t>
      </w:r>
      <w:r w:rsidR="00C90D30" w:rsidRPr="00910A74">
        <w:rPr>
          <w:rFonts w:ascii="Arial" w:hAnsi="Arial" w:cs="Arial"/>
          <w:sz w:val="22"/>
          <w:szCs w:val="22"/>
        </w:rPr>
        <w:t xml:space="preserve">de formation et de promotion </w:t>
      </w:r>
      <w:r w:rsidR="00BD5999" w:rsidRPr="00910A74">
        <w:rPr>
          <w:rFonts w:ascii="Arial" w:hAnsi="Arial" w:cs="Arial"/>
          <w:sz w:val="22"/>
          <w:szCs w:val="22"/>
        </w:rPr>
        <w:t xml:space="preserve">organisées au niveau </w:t>
      </w:r>
      <w:r w:rsidRPr="00910A74">
        <w:rPr>
          <w:rFonts w:ascii="Arial" w:hAnsi="Arial" w:cs="Arial"/>
          <w:sz w:val="22"/>
          <w:szCs w:val="22"/>
        </w:rPr>
        <w:t xml:space="preserve">des communautés </w:t>
      </w:r>
      <w:r w:rsidR="00C90D30" w:rsidRPr="00910A74">
        <w:rPr>
          <w:rFonts w:ascii="Arial" w:hAnsi="Arial" w:cs="Arial"/>
          <w:sz w:val="22"/>
          <w:szCs w:val="22"/>
        </w:rPr>
        <w:t xml:space="preserve">et la participation des membres de la communauté à l’identification, l’inventaire, la recherche et la documentation sur le patrimoine culturel immatériel. À Chypre, un des moyens </w:t>
      </w:r>
      <w:r w:rsidR="00BD5999" w:rsidRPr="00910A74">
        <w:rPr>
          <w:rFonts w:ascii="Arial" w:hAnsi="Arial" w:cs="Arial"/>
          <w:sz w:val="22"/>
          <w:szCs w:val="22"/>
        </w:rPr>
        <w:t xml:space="preserve">mis en œuvre </w:t>
      </w:r>
      <w:r w:rsidR="00C90D30" w:rsidRPr="00910A74">
        <w:rPr>
          <w:rFonts w:ascii="Arial" w:hAnsi="Arial" w:cs="Arial"/>
          <w:sz w:val="22"/>
          <w:szCs w:val="22"/>
        </w:rPr>
        <w:t>pour atteindre cet objectif a été d’encourager les communautés à soumettre des propositions et des plans concrets de sauvegarde à financer (p. ex. organiser des fes</w:t>
      </w:r>
      <w:r w:rsidR="00BD5999" w:rsidRPr="00910A74">
        <w:rPr>
          <w:rFonts w:ascii="Arial" w:hAnsi="Arial" w:cs="Arial"/>
          <w:sz w:val="22"/>
          <w:szCs w:val="22"/>
        </w:rPr>
        <w:t>tivals, acquérir des équipements</w:t>
      </w:r>
      <w:r w:rsidR="00C90D30" w:rsidRPr="00910A74">
        <w:rPr>
          <w:rFonts w:ascii="Arial" w:hAnsi="Arial" w:cs="Arial"/>
          <w:sz w:val="22"/>
          <w:szCs w:val="22"/>
        </w:rPr>
        <w:t xml:space="preserve">) et d’accorder la priorité au financement </w:t>
      </w:r>
      <w:r w:rsidR="00BD5999" w:rsidRPr="00910A74">
        <w:rPr>
          <w:rFonts w:ascii="Arial" w:hAnsi="Arial" w:cs="Arial"/>
          <w:sz w:val="22"/>
          <w:szCs w:val="22"/>
        </w:rPr>
        <w:t xml:space="preserve">des projets soumis par des communautés dont le patrimoine culturel immatériel est reconnu. Au Panama, la participation des communautés a été encouragée par la mise en place d’un dialogue </w:t>
      </w:r>
      <w:r w:rsidR="00910A74" w:rsidRPr="00D4732D">
        <w:rPr>
          <w:rFonts w:ascii="Arial" w:hAnsi="Arial" w:cs="Arial"/>
          <w:sz w:val="22"/>
          <w:szCs w:val="22"/>
        </w:rPr>
        <w:t>avec</w:t>
      </w:r>
      <w:r w:rsidR="00910A74" w:rsidRPr="00910A74">
        <w:rPr>
          <w:rFonts w:ascii="Arial" w:hAnsi="Arial" w:cs="Arial"/>
          <w:sz w:val="22"/>
          <w:szCs w:val="22"/>
        </w:rPr>
        <w:t xml:space="preserve"> </w:t>
      </w:r>
      <w:r w:rsidR="00BD5999" w:rsidRPr="00910A74">
        <w:rPr>
          <w:rFonts w:ascii="Arial" w:hAnsi="Arial" w:cs="Arial"/>
          <w:sz w:val="22"/>
          <w:szCs w:val="22"/>
        </w:rPr>
        <w:t>les groupes et communautés</w:t>
      </w:r>
      <w:r w:rsidR="00910A74" w:rsidRPr="00D4732D">
        <w:rPr>
          <w:rFonts w:ascii="Arial" w:hAnsi="Arial" w:cs="Arial"/>
          <w:sz w:val="22"/>
          <w:szCs w:val="22"/>
        </w:rPr>
        <w:t>, ainsi que</w:t>
      </w:r>
      <w:r w:rsidR="00BD5999" w:rsidRPr="00910A74">
        <w:rPr>
          <w:rFonts w:ascii="Arial" w:hAnsi="Arial" w:cs="Arial"/>
          <w:sz w:val="22"/>
          <w:szCs w:val="22"/>
        </w:rPr>
        <w:t xml:space="preserve"> les organes de la société civile (</w:t>
      </w:r>
      <w:r w:rsidR="00BD5999" w:rsidRPr="00910A74">
        <w:rPr>
          <w:rFonts w:ascii="Arial" w:hAnsi="Arial" w:cs="Arial"/>
          <w:sz w:val="22"/>
          <w:szCs w:val="22"/>
          <w:lang w:eastAsia="en-US"/>
        </w:rPr>
        <w:t>en particulier</w:t>
      </w:r>
      <w:r w:rsidR="00BD5999" w:rsidRPr="00910A74">
        <w:rPr>
          <w:rFonts w:ascii="Arial" w:hAnsi="Arial" w:cs="Arial"/>
          <w:sz w:val="22"/>
          <w:szCs w:val="22"/>
        </w:rPr>
        <w:t xml:space="preserve"> les associations culturelles et les organisations non gouvernementales).</w:t>
      </w:r>
    </w:p>
    <w:p w14:paraId="088AAF81" w14:textId="6B99604F" w:rsidR="00BD5999" w:rsidRPr="00BD5999" w:rsidRDefault="00BD5999" w:rsidP="000A1604">
      <w:pPr>
        <w:numPr>
          <w:ilvl w:val="0"/>
          <w:numId w:val="14"/>
        </w:numPr>
        <w:autoSpaceDE w:val="0"/>
        <w:autoSpaceDN w:val="0"/>
        <w:adjustRightInd w:val="0"/>
        <w:spacing w:after="120"/>
        <w:ind w:left="567" w:hanging="567"/>
        <w:jc w:val="both"/>
        <w:rPr>
          <w:rFonts w:ascii="Arial" w:hAnsi="Arial" w:cs="Arial"/>
          <w:sz w:val="22"/>
          <w:szCs w:val="22"/>
        </w:rPr>
      </w:pPr>
      <w:r w:rsidRPr="00910A74">
        <w:rPr>
          <w:rFonts w:ascii="Arial" w:hAnsi="Arial" w:cs="Arial"/>
          <w:sz w:val="22"/>
          <w:szCs w:val="22"/>
        </w:rPr>
        <w:t xml:space="preserve">On a pu constater que les </w:t>
      </w:r>
      <w:r w:rsidRPr="00910A74">
        <w:rPr>
          <w:rFonts w:ascii="Arial" w:hAnsi="Arial" w:cs="Arial"/>
          <w:b/>
          <w:sz w:val="22"/>
          <w:szCs w:val="22"/>
        </w:rPr>
        <w:t>organisations non gouvernementales</w:t>
      </w:r>
      <w:r w:rsidRPr="00910A74">
        <w:rPr>
          <w:rFonts w:ascii="Arial" w:hAnsi="Arial" w:cs="Arial"/>
          <w:sz w:val="22"/>
          <w:szCs w:val="22"/>
        </w:rPr>
        <w:t xml:space="preserve"> sont un intermédiaire utile entre les autorités d</w:t>
      </w:r>
      <w:r w:rsidR="00E70857" w:rsidRPr="00910A74">
        <w:rPr>
          <w:rFonts w:ascii="Arial" w:hAnsi="Arial" w:cs="Arial"/>
          <w:sz w:val="22"/>
          <w:szCs w:val="22"/>
        </w:rPr>
        <w:t>e l’é</w:t>
      </w:r>
      <w:r w:rsidRPr="00910A74">
        <w:rPr>
          <w:rFonts w:ascii="Arial" w:hAnsi="Arial" w:cs="Arial"/>
          <w:sz w:val="22"/>
          <w:szCs w:val="22"/>
        </w:rPr>
        <w:t xml:space="preserve">tat et les détenteurs de patrimoine immatériel (tant </w:t>
      </w:r>
      <w:r w:rsidR="00E70857" w:rsidRPr="00910A74">
        <w:rPr>
          <w:rFonts w:ascii="Arial" w:hAnsi="Arial" w:cs="Arial"/>
          <w:sz w:val="22"/>
          <w:szCs w:val="22"/>
        </w:rPr>
        <w:t xml:space="preserve">en ce qui concerne l’instauration d’un </w:t>
      </w:r>
      <w:r w:rsidRPr="00910A74">
        <w:rPr>
          <w:rFonts w:ascii="Arial" w:hAnsi="Arial" w:cs="Arial"/>
          <w:sz w:val="22"/>
          <w:szCs w:val="22"/>
        </w:rPr>
        <w:t xml:space="preserve">dialogue que </w:t>
      </w:r>
      <w:r w:rsidR="00E70857" w:rsidRPr="00910A74">
        <w:rPr>
          <w:rFonts w:ascii="Arial" w:hAnsi="Arial" w:cs="Arial"/>
          <w:sz w:val="22"/>
          <w:szCs w:val="22"/>
        </w:rPr>
        <w:t>la mise en œuvre des actions). Il est intéressant de souligner que ces organisations sont désormais assez</w:t>
      </w:r>
      <w:r w:rsidR="00E70857">
        <w:rPr>
          <w:rFonts w:ascii="Arial" w:hAnsi="Arial" w:cs="Arial"/>
          <w:sz w:val="22"/>
          <w:szCs w:val="22"/>
        </w:rPr>
        <w:t xml:space="preserve"> souvent les dépositaires des connaissances et de l’expertise, ce qui leur permet de prodiguer soutien et conseils aux deux parties, à savoir les autorités gouvernementales et les communautés. Dans les pays, comme le Brésil, qui ont un </w:t>
      </w:r>
      <w:r w:rsidR="00E70857" w:rsidRPr="00E70857">
        <w:rPr>
          <w:rFonts w:ascii="Arial" w:hAnsi="Arial" w:cs="Arial"/>
          <w:sz w:val="22"/>
          <w:szCs w:val="22"/>
        </w:rPr>
        <w:t>Ministère</w:t>
      </w:r>
      <w:r w:rsidR="00E70857">
        <w:rPr>
          <w:rFonts w:ascii="Arial" w:hAnsi="Arial" w:cs="Arial"/>
          <w:sz w:val="22"/>
          <w:szCs w:val="22"/>
        </w:rPr>
        <w:t xml:space="preserve"> des affaires </w:t>
      </w:r>
      <w:r w:rsidR="00E70857" w:rsidRPr="00E70857">
        <w:rPr>
          <w:rFonts w:ascii="Arial" w:hAnsi="Arial" w:cs="Arial"/>
          <w:sz w:val="22"/>
          <w:szCs w:val="22"/>
        </w:rPr>
        <w:t>autochtones</w:t>
      </w:r>
      <w:r w:rsidR="00E70857">
        <w:rPr>
          <w:rFonts w:ascii="Arial" w:hAnsi="Arial" w:cs="Arial"/>
          <w:sz w:val="22"/>
          <w:szCs w:val="22"/>
        </w:rPr>
        <w:t xml:space="preserve">, ces ONG peuvent jouer un rôle très important de relais entre les agences culturelles et les communautés </w:t>
      </w:r>
      <w:r w:rsidR="00E70857" w:rsidRPr="00E70857">
        <w:rPr>
          <w:rFonts w:ascii="Arial" w:hAnsi="Arial" w:cs="Arial"/>
          <w:sz w:val="22"/>
          <w:szCs w:val="22"/>
        </w:rPr>
        <w:t>autochtones</w:t>
      </w:r>
      <w:r w:rsidR="00F465C2">
        <w:rPr>
          <w:rFonts w:ascii="Arial" w:hAnsi="Arial" w:cs="Arial"/>
          <w:sz w:val="22"/>
          <w:szCs w:val="22"/>
        </w:rPr>
        <w:t>.</w:t>
      </w:r>
    </w:p>
    <w:p w14:paraId="3E997227" w14:textId="7D3B5C5E" w:rsidR="00866B14" w:rsidRPr="00E70857" w:rsidRDefault="00E70857" w:rsidP="00866B14">
      <w:pPr>
        <w:keepNext/>
        <w:numPr>
          <w:ilvl w:val="0"/>
          <w:numId w:val="13"/>
        </w:numPr>
        <w:autoSpaceDE w:val="0"/>
        <w:autoSpaceDN w:val="0"/>
        <w:adjustRightInd w:val="0"/>
        <w:spacing w:before="360" w:after="120"/>
        <w:ind w:left="567" w:hanging="567"/>
        <w:jc w:val="both"/>
        <w:rPr>
          <w:rFonts w:ascii="Arial" w:hAnsi="Arial" w:cs="Arial"/>
          <w:b/>
          <w:bCs/>
          <w:sz w:val="22"/>
          <w:szCs w:val="22"/>
        </w:rPr>
      </w:pPr>
      <w:r w:rsidRPr="00E70857">
        <w:rPr>
          <w:rFonts w:ascii="Arial" w:hAnsi="Arial" w:cs="Arial"/>
          <w:b/>
          <w:sz w:val="22"/>
          <w:szCs w:val="22"/>
        </w:rPr>
        <w:t>Comme</w:t>
      </w:r>
      <w:r w:rsidR="006D7B8D">
        <w:rPr>
          <w:rFonts w:ascii="Arial" w:hAnsi="Arial" w:cs="Arial"/>
          <w:b/>
          <w:sz w:val="22"/>
          <w:szCs w:val="22"/>
        </w:rPr>
        <w:t>ntaires généraux et conclusions</w:t>
      </w:r>
    </w:p>
    <w:p w14:paraId="2B7DEF5C" w14:textId="3DF2161A" w:rsidR="00E70857" w:rsidRDefault="00316768" w:rsidP="000E59CE">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Au cours du présent cycle</w:t>
      </w:r>
      <w:r w:rsidR="00E70857">
        <w:rPr>
          <w:rFonts w:ascii="Arial" w:hAnsi="Arial" w:cs="Arial"/>
          <w:sz w:val="22"/>
          <w:szCs w:val="22"/>
        </w:rPr>
        <w:t xml:space="preserve">, seuls six rapports ont été reçus, ce qui ne représente qu’un faible pourcentage des États parties à la </w:t>
      </w:r>
      <w:r w:rsidR="00E70857" w:rsidRPr="00E70857">
        <w:rPr>
          <w:rFonts w:ascii="Arial" w:hAnsi="Arial" w:cs="Arial"/>
          <w:sz w:val="22"/>
          <w:szCs w:val="22"/>
        </w:rPr>
        <w:t>Convention</w:t>
      </w:r>
      <w:r w:rsidR="00E70857">
        <w:rPr>
          <w:rFonts w:ascii="Arial" w:hAnsi="Arial" w:cs="Arial"/>
          <w:sz w:val="22"/>
          <w:szCs w:val="22"/>
        </w:rPr>
        <w:t xml:space="preserve"> (environ 3,5%). Toutefois, cet exercice se révèle une fois de plus utile et indispensable afin d</w:t>
      </w:r>
      <w:r>
        <w:rPr>
          <w:rFonts w:ascii="Arial" w:hAnsi="Arial" w:cs="Arial"/>
          <w:sz w:val="22"/>
          <w:szCs w:val="22"/>
        </w:rPr>
        <w:t xml:space="preserve">e dresser un bilan des progrès accomplis par les États faisant rapport dans la mise en œuvre de la </w:t>
      </w:r>
      <w:r w:rsidRPr="00316768">
        <w:rPr>
          <w:rFonts w:ascii="Arial" w:hAnsi="Arial" w:cs="Arial"/>
          <w:sz w:val="22"/>
          <w:szCs w:val="22"/>
        </w:rPr>
        <w:t>Convention</w:t>
      </w:r>
      <w:r>
        <w:rPr>
          <w:rFonts w:ascii="Arial" w:hAnsi="Arial" w:cs="Arial"/>
          <w:sz w:val="22"/>
          <w:szCs w:val="22"/>
        </w:rPr>
        <w:t xml:space="preserve"> au niveau national, bilan qu’il convient de lire à la lumière des expériences passées des autres États parties.</w:t>
      </w:r>
    </w:p>
    <w:p w14:paraId="1B3C3267" w14:textId="7610A3B8" w:rsidR="00316768" w:rsidRDefault="00316768" w:rsidP="000E59CE">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Le nouveau chapitre VI des Directives opérationnelles</w:t>
      </w:r>
      <w:r w:rsidR="00F845F8">
        <w:rPr>
          <w:rFonts w:ascii="Arial" w:hAnsi="Arial" w:cs="Arial"/>
          <w:sz w:val="22"/>
          <w:szCs w:val="22"/>
        </w:rPr>
        <w:t xml:space="preserve"> « S</w:t>
      </w:r>
      <w:r w:rsidRPr="00316768">
        <w:rPr>
          <w:rFonts w:ascii="Arial" w:hAnsi="Arial" w:cs="Arial"/>
          <w:sz w:val="22"/>
          <w:szCs w:val="22"/>
        </w:rPr>
        <w:t>auvegarde</w:t>
      </w:r>
      <w:r>
        <w:rPr>
          <w:rFonts w:ascii="Arial" w:hAnsi="Arial" w:cs="Arial"/>
          <w:sz w:val="22"/>
          <w:szCs w:val="22"/>
        </w:rPr>
        <w:t xml:space="preserve"> du patrimoine culturel immatériel et </w:t>
      </w:r>
      <w:r w:rsidRPr="00EF7096">
        <w:rPr>
          <w:rFonts w:ascii="Arial" w:hAnsi="Arial" w:cs="Arial"/>
          <w:sz w:val="22"/>
          <w:szCs w:val="22"/>
        </w:rPr>
        <w:t>développement durable</w:t>
      </w:r>
      <w:r w:rsidR="00F845F8" w:rsidRPr="00EF7096">
        <w:rPr>
          <w:rFonts w:ascii="Arial" w:hAnsi="Arial" w:cs="Arial"/>
          <w:sz w:val="22"/>
          <w:szCs w:val="22"/>
        </w:rPr>
        <w:t xml:space="preserve"> à l’échelle nationale » </w:t>
      </w:r>
      <w:r w:rsidRPr="00EF7096">
        <w:rPr>
          <w:rFonts w:ascii="Arial" w:hAnsi="Arial" w:cs="Arial"/>
          <w:sz w:val="22"/>
          <w:szCs w:val="22"/>
        </w:rPr>
        <w:t xml:space="preserve">a été adopté par l’Assemblée générale à sa sixième session en mai/juin 2016. À l’avenir, il </w:t>
      </w:r>
      <w:r w:rsidR="00EF7096" w:rsidRPr="00EF7096">
        <w:rPr>
          <w:rFonts w:ascii="Arial" w:hAnsi="Arial" w:cs="Arial"/>
          <w:sz w:val="22"/>
          <w:szCs w:val="22"/>
        </w:rPr>
        <w:t>serait souhaitable</w:t>
      </w:r>
      <w:r w:rsidRPr="00EF7096">
        <w:rPr>
          <w:rFonts w:ascii="Arial" w:hAnsi="Arial" w:cs="Arial"/>
          <w:sz w:val="22"/>
          <w:szCs w:val="22"/>
        </w:rPr>
        <w:t xml:space="preserve"> de réfléchir sur les </w:t>
      </w:r>
      <w:r w:rsidR="00F845F8" w:rsidRPr="00EF7096">
        <w:rPr>
          <w:rFonts w:ascii="Arial" w:hAnsi="Arial" w:cs="Arial"/>
          <w:sz w:val="22"/>
          <w:szCs w:val="22"/>
        </w:rPr>
        <w:t>différentes options offertes aux États parties pour faire rapport de</w:t>
      </w:r>
      <w:r w:rsidRPr="00EF7096">
        <w:rPr>
          <w:rFonts w:ascii="Arial" w:hAnsi="Arial" w:cs="Arial"/>
          <w:sz w:val="22"/>
          <w:szCs w:val="22"/>
        </w:rPr>
        <w:t xml:space="preserve"> la contribution de leurs mesures </w:t>
      </w:r>
      <w:r w:rsidR="00EF7096" w:rsidRPr="00D4732D">
        <w:rPr>
          <w:rFonts w:ascii="Arial" w:hAnsi="Arial" w:cs="Arial"/>
          <w:sz w:val="22"/>
          <w:szCs w:val="22"/>
        </w:rPr>
        <w:t>à la</w:t>
      </w:r>
      <w:r w:rsidRPr="00EF7096">
        <w:rPr>
          <w:rFonts w:ascii="Arial" w:hAnsi="Arial" w:cs="Arial"/>
          <w:sz w:val="22"/>
          <w:szCs w:val="22"/>
        </w:rPr>
        <w:t xml:space="preserve"> sauvegarde du patrimoine culturel immatériel</w:t>
      </w:r>
      <w:r w:rsidR="00F845F8" w:rsidRPr="00EF7096">
        <w:rPr>
          <w:rFonts w:ascii="Arial" w:hAnsi="Arial" w:cs="Arial"/>
          <w:sz w:val="22"/>
          <w:szCs w:val="22"/>
        </w:rPr>
        <w:t xml:space="preserve"> </w:t>
      </w:r>
      <w:r w:rsidR="00EF7096" w:rsidRPr="00D4732D">
        <w:rPr>
          <w:rFonts w:ascii="Arial" w:hAnsi="Arial" w:cs="Arial"/>
          <w:sz w:val="22"/>
          <w:szCs w:val="22"/>
        </w:rPr>
        <w:t xml:space="preserve">et </w:t>
      </w:r>
      <w:r w:rsidR="00F845F8" w:rsidRPr="00EF7096">
        <w:rPr>
          <w:rFonts w:ascii="Arial" w:hAnsi="Arial" w:cs="Arial"/>
          <w:sz w:val="22"/>
          <w:szCs w:val="22"/>
        </w:rPr>
        <w:t>au développement durable</w:t>
      </w:r>
      <w:r w:rsidRPr="00EF7096">
        <w:rPr>
          <w:rFonts w:ascii="Arial" w:hAnsi="Arial" w:cs="Arial"/>
          <w:sz w:val="22"/>
          <w:szCs w:val="22"/>
        </w:rPr>
        <w:t xml:space="preserve">. </w:t>
      </w:r>
      <w:r w:rsidR="00EF7096" w:rsidRPr="00D4732D">
        <w:rPr>
          <w:rFonts w:ascii="Arial" w:hAnsi="Arial" w:cs="Arial"/>
          <w:sz w:val="22"/>
          <w:szCs w:val="22"/>
        </w:rPr>
        <w:t>Ceci est d’autant plus souhaitable</w:t>
      </w:r>
      <w:r w:rsidR="00F845F8" w:rsidRPr="00EF7096">
        <w:rPr>
          <w:rFonts w:ascii="Arial" w:hAnsi="Arial" w:cs="Arial"/>
          <w:sz w:val="22"/>
          <w:szCs w:val="22"/>
        </w:rPr>
        <w:t xml:space="preserve"> dans le contexte </w:t>
      </w:r>
      <w:r w:rsidR="00151FF1" w:rsidRPr="00EF7096">
        <w:rPr>
          <w:rFonts w:ascii="Arial" w:hAnsi="Arial" w:cs="Arial"/>
          <w:sz w:val="22"/>
          <w:szCs w:val="22"/>
        </w:rPr>
        <w:t xml:space="preserve">du rôle de la culture pour </w:t>
      </w:r>
      <w:r w:rsidR="00F845F8" w:rsidRPr="00EF7096">
        <w:rPr>
          <w:rFonts w:ascii="Arial" w:hAnsi="Arial" w:cs="Arial"/>
          <w:sz w:val="22"/>
          <w:szCs w:val="22"/>
        </w:rPr>
        <w:t>la réalisation des Objectifs du développement durable (ODD) et de l’Agenda</w:t>
      </w:r>
      <w:r w:rsidR="00151FF1" w:rsidRPr="00EF7096">
        <w:rPr>
          <w:rFonts w:ascii="Arial" w:hAnsi="Arial" w:cs="Arial"/>
          <w:sz w:val="22"/>
          <w:szCs w:val="22"/>
        </w:rPr>
        <w:t> </w:t>
      </w:r>
      <w:r w:rsidR="00F845F8" w:rsidRPr="00EF7096">
        <w:rPr>
          <w:rFonts w:ascii="Arial" w:hAnsi="Arial" w:cs="Arial"/>
          <w:sz w:val="22"/>
          <w:szCs w:val="22"/>
        </w:rPr>
        <w:t>2030.</w:t>
      </w:r>
    </w:p>
    <w:p w14:paraId="1BD0B7B8" w14:textId="0B672677" w:rsidR="00866B14" w:rsidRPr="00E15D38" w:rsidRDefault="00E15D38" w:rsidP="00866B14">
      <w:pPr>
        <w:keepNext/>
        <w:pageBreakBefore/>
        <w:numPr>
          <w:ilvl w:val="0"/>
          <w:numId w:val="13"/>
        </w:numPr>
        <w:autoSpaceDE w:val="0"/>
        <w:autoSpaceDN w:val="0"/>
        <w:adjustRightInd w:val="0"/>
        <w:spacing w:before="360" w:after="240"/>
        <w:ind w:left="567" w:hanging="567"/>
        <w:jc w:val="both"/>
        <w:rPr>
          <w:rFonts w:ascii="Arial" w:hAnsi="Arial" w:cs="Arial"/>
          <w:b/>
          <w:bCs/>
          <w:sz w:val="22"/>
          <w:szCs w:val="22"/>
        </w:rPr>
      </w:pPr>
      <w:r w:rsidRPr="00E15D38">
        <w:rPr>
          <w:rFonts w:ascii="Arial" w:hAnsi="Arial" w:cs="Arial"/>
          <w:b/>
          <w:sz w:val="22"/>
          <w:szCs w:val="22"/>
        </w:rPr>
        <w:lastRenderedPageBreak/>
        <w:t>Résumé des rapports</w:t>
      </w:r>
    </w:p>
    <w:p w14:paraId="3124BDA6" w14:textId="72A54D7C" w:rsidR="00745AFF" w:rsidRPr="00E15D38" w:rsidRDefault="00745AFF" w:rsidP="00745AFF">
      <w:pPr>
        <w:pStyle w:val="ListParagraph"/>
        <w:keepNext/>
        <w:numPr>
          <w:ilvl w:val="3"/>
          <w:numId w:val="13"/>
        </w:numPr>
        <w:tabs>
          <w:tab w:val="left" w:pos="1134"/>
        </w:tabs>
        <w:autoSpaceDE w:val="0"/>
        <w:autoSpaceDN w:val="0"/>
        <w:adjustRightInd w:val="0"/>
        <w:spacing w:after="360"/>
        <w:ind w:left="1134" w:hanging="567"/>
        <w:rPr>
          <w:rFonts w:ascii="Arial" w:hAnsi="Arial" w:cs="Arial"/>
          <w:b/>
          <w:caps/>
          <w:sz w:val="22"/>
          <w:szCs w:val="22"/>
        </w:rPr>
      </w:pPr>
      <w:r w:rsidRPr="00E15D38">
        <w:rPr>
          <w:rFonts w:ascii="Arial" w:hAnsi="Arial" w:cs="Arial"/>
          <w:b/>
          <w:caps/>
          <w:sz w:val="22"/>
          <w:szCs w:val="22"/>
        </w:rPr>
        <w:t>A</w:t>
      </w:r>
      <w:r w:rsidR="00E15D38" w:rsidRPr="00E15D38">
        <w:rPr>
          <w:rFonts w:ascii="Arial" w:hAnsi="Arial" w:cs="Arial"/>
          <w:b/>
          <w:caps/>
          <w:sz w:val="22"/>
          <w:szCs w:val="22"/>
        </w:rPr>
        <w:t>Utriche</w:t>
      </w:r>
    </w:p>
    <w:p w14:paraId="650BC0CB" w14:textId="7765AEC5" w:rsidR="00FD0ABB" w:rsidRPr="00F465C2" w:rsidRDefault="00E15D38" w:rsidP="00FD0ABB">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L’Autriche, qui a ratifié la </w:t>
      </w:r>
      <w:r w:rsidRPr="00E15D38">
        <w:rPr>
          <w:rFonts w:ascii="Arial" w:hAnsi="Arial" w:cs="Arial"/>
          <w:sz w:val="22"/>
          <w:szCs w:val="22"/>
        </w:rPr>
        <w:t>Convention</w:t>
      </w:r>
      <w:r>
        <w:rPr>
          <w:rFonts w:ascii="Arial" w:hAnsi="Arial" w:cs="Arial"/>
          <w:sz w:val="22"/>
          <w:szCs w:val="22"/>
        </w:rPr>
        <w:t xml:space="preserve"> de 2003 en 2009, est un État fédéral qui compte un certain nombre </w:t>
      </w:r>
      <w:r w:rsidRPr="00E15D38">
        <w:rPr>
          <w:rFonts w:ascii="Arial" w:hAnsi="Arial" w:cs="Arial"/>
          <w:sz w:val="22"/>
          <w:szCs w:val="22"/>
        </w:rPr>
        <w:t>d’</w:t>
      </w:r>
      <w:r w:rsidRPr="00E15D38">
        <w:rPr>
          <w:rFonts w:ascii="Arial" w:hAnsi="Arial" w:cs="Arial"/>
          <w:b/>
          <w:sz w:val="22"/>
          <w:szCs w:val="22"/>
        </w:rPr>
        <w:t>organes compétents</w:t>
      </w:r>
      <w:r>
        <w:rPr>
          <w:rFonts w:ascii="Arial" w:hAnsi="Arial" w:cs="Arial"/>
          <w:sz w:val="22"/>
          <w:szCs w:val="22"/>
        </w:rPr>
        <w:t xml:space="preserve"> à différents niveaux gouvernementaux. Les gouvernements des neuf Länder (provinces) sont compétents pour mettre en œuvre la </w:t>
      </w:r>
      <w:r w:rsidRPr="00E15D38">
        <w:rPr>
          <w:rFonts w:ascii="Arial" w:hAnsi="Arial" w:cs="Arial"/>
          <w:sz w:val="22"/>
          <w:szCs w:val="22"/>
        </w:rPr>
        <w:t>Convention</w:t>
      </w:r>
      <w:r>
        <w:rPr>
          <w:rFonts w:ascii="Arial" w:hAnsi="Arial" w:cs="Arial"/>
          <w:sz w:val="22"/>
          <w:szCs w:val="22"/>
        </w:rPr>
        <w:t xml:space="preserve"> de 2003 tandis que la Chancellerie fédérale joue un rôle de </w:t>
      </w:r>
      <w:r w:rsidRPr="00E15D38">
        <w:rPr>
          <w:rFonts w:ascii="Arial" w:hAnsi="Arial" w:cs="Arial"/>
          <w:sz w:val="22"/>
          <w:szCs w:val="22"/>
          <w:lang w:eastAsia="en-US"/>
        </w:rPr>
        <w:t>coordination</w:t>
      </w:r>
      <w:r>
        <w:rPr>
          <w:rFonts w:ascii="Arial" w:hAnsi="Arial" w:cs="Arial"/>
          <w:sz w:val="22"/>
          <w:szCs w:val="22"/>
          <w:lang w:eastAsia="en-US"/>
        </w:rPr>
        <w:t xml:space="preserve"> : elle a confié </w:t>
      </w:r>
      <w:r w:rsidR="00383986">
        <w:rPr>
          <w:rFonts w:ascii="Arial" w:hAnsi="Arial" w:cs="Arial"/>
          <w:sz w:val="22"/>
          <w:szCs w:val="22"/>
          <w:lang w:eastAsia="en-US"/>
        </w:rPr>
        <w:t xml:space="preserve">la mise en œuvre générale de la </w:t>
      </w:r>
      <w:r w:rsidR="00383986" w:rsidRPr="00E15D38">
        <w:rPr>
          <w:rFonts w:ascii="Arial" w:hAnsi="Arial" w:cs="Arial"/>
          <w:sz w:val="22"/>
          <w:szCs w:val="22"/>
          <w:lang w:eastAsia="en-US"/>
        </w:rPr>
        <w:t>Convention</w:t>
      </w:r>
      <w:r w:rsidR="00383986">
        <w:rPr>
          <w:rFonts w:ascii="Arial" w:hAnsi="Arial" w:cs="Arial"/>
          <w:sz w:val="22"/>
          <w:szCs w:val="22"/>
          <w:lang w:eastAsia="en-US"/>
        </w:rPr>
        <w:t xml:space="preserve"> </w:t>
      </w:r>
      <w:r>
        <w:rPr>
          <w:rFonts w:ascii="Arial" w:hAnsi="Arial" w:cs="Arial"/>
          <w:sz w:val="22"/>
          <w:szCs w:val="22"/>
          <w:lang w:eastAsia="en-US"/>
        </w:rPr>
        <w:t xml:space="preserve">à la Commission nationale autrichienne pour l’UNESCO (ÖUK) </w:t>
      </w:r>
      <w:r w:rsidR="000413AF">
        <w:rPr>
          <w:rFonts w:ascii="Arial" w:hAnsi="Arial" w:cs="Arial"/>
          <w:sz w:val="22"/>
          <w:szCs w:val="22"/>
          <w:lang w:eastAsia="en-US"/>
        </w:rPr>
        <w:t xml:space="preserve">qui a établi en 2009 un Conseil </w:t>
      </w:r>
      <w:r w:rsidR="000413AF" w:rsidRPr="000413AF">
        <w:rPr>
          <w:rFonts w:ascii="Arial" w:hAnsi="Arial" w:cs="Arial"/>
          <w:sz w:val="22"/>
          <w:szCs w:val="22"/>
          <w:lang w:eastAsia="en-US"/>
        </w:rPr>
        <w:t xml:space="preserve">consultatif </w:t>
      </w:r>
      <w:r w:rsidR="000413AF">
        <w:rPr>
          <w:rFonts w:ascii="Arial" w:hAnsi="Arial" w:cs="Arial"/>
          <w:sz w:val="22"/>
          <w:szCs w:val="22"/>
          <w:lang w:eastAsia="en-US"/>
        </w:rPr>
        <w:t xml:space="preserve">pour la </w:t>
      </w:r>
      <w:r w:rsidR="000413AF" w:rsidRPr="000413AF">
        <w:rPr>
          <w:rFonts w:ascii="Arial" w:hAnsi="Arial" w:cs="Arial"/>
          <w:sz w:val="22"/>
          <w:szCs w:val="22"/>
          <w:lang w:eastAsia="en-US"/>
        </w:rPr>
        <w:t>sauvegarde</w:t>
      </w:r>
      <w:r w:rsidR="000413AF">
        <w:rPr>
          <w:rFonts w:ascii="Arial" w:hAnsi="Arial" w:cs="Arial"/>
          <w:sz w:val="22"/>
          <w:szCs w:val="22"/>
          <w:lang w:eastAsia="en-US"/>
        </w:rPr>
        <w:t xml:space="preserve"> du patr</w:t>
      </w:r>
      <w:r w:rsidR="00383986">
        <w:rPr>
          <w:rFonts w:ascii="Arial" w:hAnsi="Arial" w:cs="Arial"/>
          <w:sz w:val="22"/>
          <w:szCs w:val="22"/>
          <w:lang w:eastAsia="en-US"/>
        </w:rPr>
        <w:t xml:space="preserve">imoine culturel immatériel. Le </w:t>
      </w:r>
      <w:r w:rsidR="00383986" w:rsidRPr="00BC6B53">
        <w:rPr>
          <w:rFonts w:ascii="Arial" w:hAnsi="Arial" w:cs="Arial"/>
          <w:sz w:val="22"/>
          <w:szCs w:val="22"/>
          <w:lang w:eastAsia="en-US"/>
        </w:rPr>
        <w:t>Ministère fédéral</w:t>
      </w:r>
      <w:r w:rsidR="000413AF" w:rsidRPr="00BC6B53">
        <w:rPr>
          <w:rFonts w:ascii="Arial" w:hAnsi="Arial" w:cs="Arial"/>
          <w:sz w:val="22"/>
          <w:szCs w:val="22"/>
          <w:lang w:eastAsia="en-US"/>
        </w:rPr>
        <w:t xml:space="preserve"> de la santé et </w:t>
      </w:r>
      <w:r w:rsidR="00383986" w:rsidRPr="00BC6B53">
        <w:rPr>
          <w:rFonts w:ascii="Arial" w:hAnsi="Arial" w:cs="Arial"/>
          <w:sz w:val="22"/>
          <w:szCs w:val="22"/>
          <w:lang w:eastAsia="en-US"/>
        </w:rPr>
        <w:t xml:space="preserve">le Ministère fédéral </w:t>
      </w:r>
      <w:r w:rsidR="000413AF" w:rsidRPr="00BC6B53">
        <w:rPr>
          <w:rFonts w:ascii="Arial" w:hAnsi="Arial" w:cs="Arial"/>
          <w:sz w:val="22"/>
          <w:szCs w:val="22"/>
          <w:lang w:eastAsia="en-US"/>
        </w:rPr>
        <w:t xml:space="preserve">de l’agriculture, de la forêt, de l’environnement et de la gestion de l’eau sont également impliqués dans </w:t>
      </w:r>
      <w:r w:rsidR="00FD0ABB" w:rsidRPr="00BC6B53">
        <w:rPr>
          <w:rFonts w:ascii="Arial" w:hAnsi="Arial" w:cs="Arial"/>
          <w:sz w:val="22"/>
          <w:szCs w:val="22"/>
          <w:lang w:eastAsia="en-US"/>
        </w:rPr>
        <w:t>des actions transversales de sauvegarde. En conséquence, une utile coordination, tant verticale qu’horizontale, est essentielle.</w:t>
      </w:r>
    </w:p>
    <w:p w14:paraId="7901B11B" w14:textId="51671299" w:rsidR="00FD0ABB" w:rsidRPr="00FD0ABB" w:rsidRDefault="00FD0ABB" w:rsidP="00745AFF">
      <w:pPr>
        <w:autoSpaceDE w:val="0"/>
        <w:autoSpaceDN w:val="0"/>
        <w:adjustRightInd w:val="0"/>
        <w:spacing w:after="120"/>
        <w:ind w:left="567"/>
        <w:jc w:val="both"/>
        <w:rPr>
          <w:rFonts w:ascii="Arial" w:hAnsi="Arial" w:cs="Arial"/>
          <w:sz w:val="22"/>
          <w:szCs w:val="22"/>
        </w:rPr>
      </w:pPr>
      <w:r w:rsidRPr="00FD0ABB">
        <w:rPr>
          <w:rFonts w:ascii="Arial" w:hAnsi="Arial" w:cs="Arial"/>
          <w:sz w:val="22"/>
          <w:szCs w:val="22"/>
        </w:rPr>
        <w:t xml:space="preserve">À ce jour, </w:t>
      </w:r>
      <w:r>
        <w:rPr>
          <w:rFonts w:ascii="Arial" w:hAnsi="Arial" w:cs="Arial"/>
          <w:sz w:val="22"/>
          <w:szCs w:val="22"/>
        </w:rPr>
        <w:t xml:space="preserve">aucune entité particulière n’a été créée pour assurer la </w:t>
      </w:r>
      <w:r w:rsidRPr="00FD0ABB">
        <w:rPr>
          <w:rFonts w:ascii="Arial" w:hAnsi="Arial" w:cs="Arial"/>
          <w:b/>
          <w:sz w:val="22"/>
          <w:szCs w:val="22"/>
        </w:rPr>
        <w:t>formation</w:t>
      </w:r>
      <w:r>
        <w:rPr>
          <w:rFonts w:ascii="Arial" w:hAnsi="Arial" w:cs="Arial"/>
          <w:sz w:val="22"/>
          <w:szCs w:val="22"/>
        </w:rPr>
        <w:t xml:space="preserve"> à la gestion du patrimoine culturel immatériel mais les deux ministères fédéraux ont financé des activités de formation</w:t>
      </w:r>
      <w:r w:rsidR="00455A1A">
        <w:rPr>
          <w:rFonts w:ascii="Arial" w:hAnsi="Arial" w:cs="Arial"/>
          <w:sz w:val="22"/>
          <w:szCs w:val="22"/>
        </w:rPr>
        <w:t xml:space="preserve"> organisées par des </w:t>
      </w:r>
      <w:r w:rsidR="00455A1A" w:rsidRPr="00455A1A">
        <w:rPr>
          <w:rFonts w:ascii="Arial" w:hAnsi="Arial" w:cs="Arial"/>
          <w:sz w:val="22"/>
          <w:szCs w:val="22"/>
        </w:rPr>
        <w:t>institutions</w:t>
      </w:r>
      <w:r>
        <w:rPr>
          <w:rFonts w:ascii="Arial" w:hAnsi="Arial" w:cs="Arial"/>
          <w:sz w:val="22"/>
          <w:szCs w:val="22"/>
        </w:rPr>
        <w:t xml:space="preserve">. Des actions de renforcement des capacités sont prévues au niveau des Länder. </w:t>
      </w:r>
      <w:r w:rsidR="00455A1A">
        <w:rPr>
          <w:rFonts w:ascii="Arial" w:hAnsi="Arial" w:cs="Arial"/>
          <w:sz w:val="22"/>
          <w:szCs w:val="22"/>
        </w:rPr>
        <w:t xml:space="preserve">L’Université de Vienne propose désormais aux étudiants en ethnographie et en anthropologie des cours sur le patrimoine culturel immatériel. Les musées et les archives </w:t>
      </w:r>
      <w:r w:rsidR="00455A1A" w:rsidRPr="00D4732D">
        <w:rPr>
          <w:rFonts w:ascii="Arial" w:hAnsi="Arial" w:cs="Arial"/>
          <w:b/>
          <w:sz w:val="22"/>
          <w:szCs w:val="22"/>
        </w:rPr>
        <w:t>documentent</w:t>
      </w:r>
      <w:r w:rsidR="00455A1A">
        <w:rPr>
          <w:rFonts w:ascii="Arial" w:hAnsi="Arial" w:cs="Arial"/>
          <w:sz w:val="22"/>
          <w:szCs w:val="22"/>
        </w:rPr>
        <w:t xml:space="preserve"> différents aspects du patrimoine culturel immatériel et il existe </w:t>
      </w:r>
      <w:r w:rsidR="00455A1A" w:rsidRPr="00455A1A">
        <w:rPr>
          <w:rFonts w:ascii="Arial" w:hAnsi="Arial" w:cs="Arial"/>
          <w:sz w:val="22"/>
          <w:szCs w:val="22"/>
        </w:rPr>
        <w:t>également</w:t>
      </w:r>
      <w:r w:rsidR="00455A1A">
        <w:rPr>
          <w:rFonts w:ascii="Arial" w:hAnsi="Arial" w:cs="Arial"/>
          <w:sz w:val="22"/>
          <w:szCs w:val="22"/>
        </w:rPr>
        <w:t xml:space="preserve"> des centres dédiés à la </w:t>
      </w:r>
      <w:r w:rsidR="00455A1A" w:rsidRPr="00455A1A">
        <w:rPr>
          <w:rFonts w:ascii="Arial" w:hAnsi="Arial" w:cs="Arial"/>
          <w:sz w:val="22"/>
          <w:szCs w:val="22"/>
        </w:rPr>
        <w:t>documentation</w:t>
      </w:r>
      <w:r w:rsidR="00455A1A">
        <w:rPr>
          <w:rFonts w:ascii="Arial" w:hAnsi="Arial" w:cs="Arial"/>
          <w:sz w:val="22"/>
          <w:szCs w:val="22"/>
        </w:rPr>
        <w:t xml:space="preserve"> des méthodes de guérison traditionnelles et complémentaires et du </w:t>
      </w:r>
      <w:r w:rsidR="00455A1A" w:rsidRPr="00455A1A">
        <w:rPr>
          <w:rFonts w:ascii="Arial" w:hAnsi="Arial" w:cs="Arial"/>
          <w:sz w:val="22"/>
          <w:szCs w:val="22"/>
        </w:rPr>
        <w:t>patrimoine</w:t>
      </w:r>
      <w:r w:rsidR="00455A1A">
        <w:rPr>
          <w:rFonts w:ascii="Arial" w:hAnsi="Arial" w:cs="Arial"/>
          <w:sz w:val="22"/>
          <w:szCs w:val="22"/>
        </w:rPr>
        <w:t xml:space="preserve"> </w:t>
      </w:r>
      <w:r w:rsidR="00455A1A" w:rsidRPr="00455A1A">
        <w:rPr>
          <w:rFonts w:ascii="Arial" w:hAnsi="Arial" w:cs="Arial"/>
          <w:sz w:val="22"/>
          <w:szCs w:val="22"/>
        </w:rPr>
        <w:t>culturel</w:t>
      </w:r>
      <w:r w:rsidR="00455A1A">
        <w:rPr>
          <w:rFonts w:ascii="Arial" w:hAnsi="Arial" w:cs="Arial"/>
          <w:sz w:val="22"/>
          <w:szCs w:val="22"/>
        </w:rPr>
        <w:t xml:space="preserve"> musical. L’ÖUK a </w:t>
      </w:r>
      <w:r w:rsidR="00455A1A" w:rsidRPr="00455A1A">
        <w:rPr>
          <w:rFonts w:ascii="Arial" w:hAnsi="Arial" w:cs="Arial"/>
          <w:sz w:val="22"/>
          <w:szCs w:val="22"/>
        </w:rPr>
        <w:t>également</w:t>
      </w:r>
      <w:r w:rsidR="00455A1A">
        <w:rPr>
          <w:rFonts w:ascii="Arial" w:hAnsi="Arial" w:cs="Arial"/>
          <w:sz w:val="22"/>
          <w:szCs w:val="22"/>
        </w:rPr>
        <w:t xml:space="preserve"> créé un site web, en libre accès, sur le patrimoine culturel immatériel de l’Autriche.</w:t>
      </w:r>
    </w:p>
    <w:p w14:paraId="7A414EA5" w14:textId="69C35C0A" w:rsidR="00455A1A" w:rsidRPr="00F465C2" w:rsidRDefault="000E33F1"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L’ÖUK gère l’</w:t>
      </w:r>
      <w:r w:rsidR="00FB31DA">
        <w:rPr>
          <w:rFonts w:ascii="Arial" w:hAnsi="Arial" w:cs="Arial"/>
          <w:b/>
          <w:sz w:val="22"/>
          <w:szCs w:val="22"/>
        </w:rPr>
        <w:t>I</w:t>
      </w:r>
      <w:r w:rsidRPr="000E33F1">
        <w:rPr>
          <w:rFonts w:ascii="Arial" w:hAnsi="Arial" w:cs="Arial"/>
          <w:b/>
          <w:sz w:val="22"/>
          <w:szCs w:val="22"/>
        </w:rPr>
        <w:t xml:space="preserve">nventaire national </w:t>
      </w:r>
      <w:r w:rsidR="00C92E10">
        <w:rPr>
          <w:rFonts w:ascii="Arial" w:hAnsi="Arial" w:cs="Arial"/>
          <w:sz w:val="22"/>
          <w:szCs w:val="22"/>
        </w:rPr>
        <w:t xml:space="preserve">(lancé en 2010) qui est dressé en suivant une procédure ascendante, le Conseil </w:t>
      </w:r>
      <w:r w:rsidR="00C92E10" w:rsidRPr="00C92E10">
        <w:rPr>
          <w:rFonts w:ascii="Arial" w:hAnsi="Arial" w:cs="Arial"/>
          <w:sz w:val="22"/>
          <w:szCs w:val="22"/>
        </w:rPr>
        <w:t xml:space="preserve">consultatif </w:t>
      </w:r>
      <w:r w:rsidR="00C92E10">
        <w:rPr>
          <w:rFonts w:ascii="Arial" w:hAnsi="Arial" w:cs="Arial"/>
          <w:sz w:val="22"/>
          <w:szCs w:val="22"/>
        </w:rPr>
        <w:t>se réunissant deux fois par an pour éval</w:t>
      </w:r>
      <w:r w:rsidR="0028210D">
        <w:rPr>
          <w:rFonts w:ascii="Arial" w:hAnsi="Arial" w:cs="Arial"/>
          <w:sz w:val="22"/>
          <w:szCs w:val="22"/>
        </w:rPr>
        <w:t>uer les éléments soumis à l’inclusion à</w:t>
      </w:r>
      <w:r w:rsidR="00C92E10">
        <w:rPr>
          <w:rFonts w:ascii="Arial" w:hAnsi="Arial" w:cs="Arial"/>
          <w:sz w:val="22"/>
          <w:szCs w:val="22"/>
        </w:rPr>
        <w:t xml:space="preserve"> l’inventaire. L’</w:t>
      </w:r>
      <w:r w:rsidR="00C92E10" w:rsidRPr="00C92E10">
        <w:rPr>
          <w:rFonts w:ascii="Arial" w:hAnsi="Arial" w:cs="Arial"/>
          <w:sz w:val="22"/>
          <w:szCs w:val="22"/>
        </w:rPr>
        <w:t>inventaire</w:t>
      </w:r>
      <w:r w:rsidR="00C92E10">
        <w:rPr>
          <w:rFonts w:ascii="Arial" w:hAnsi="Arial" w:cs="Arial"/>
          <w:sz w:val="22"/>
          <w:szCs w:val="22"/>
        </w:rPr>
        <w:t xml:space="preserve"> est structuré </w:t>
      </w:r>
      <w:r w:rsidR="0028210D">
        <w:rPr>
          <w:rFonts w:ascii="Arial" w:hAnsi="Arial" w:cs="Arial"/>
          <w:sz w:val="22"/>
          <w:szCs w:val="22"/>
        </w:rPr>
        <w:t xml:space="preserve">selon les </w:t>
      </w:r>
      <w:r w:rsidR="00C92E10">
        <w:rPr>
          <w:rFonts w:ascii="Arial" w:hAnsi="Arial" w:cs="Arial"/>
          <w:sz w:val="22"/>
          <w:szCs w:val="22"/>
        </w:rPr>
        <w:t xml:space="preserve">cinq domaines du patrimoine culturel immatériel identifiés par la </w:t>
      </w:r>
      <w:r w:rsidR="00C92E10" w:rsidRPr="00C92E10">
        <w:rPr>
          <w:rFonts w:ascii="Arial" w:hAnsi="Arial" w:cs="Arial"/>
          <w:sz w:val="22"/>
          <w:szCs w:val="22"/>
        </w:rPr>
        <w:t>Convention</w:t>
      </w:r>
      <w:r w:rsidR="00C92E10">
        <w:rPr>
          <w:rFonts w:ascii="Arial" w:hAnsi="Arial" w:cs="Arial"/>
          <w:sz w:val="22"/>
          <w:szCs w:val="22"/>
        </w:rPr>
        <w:t xml:space="preserve"> de 2003, une </w:t>
      </w:r>
      <w:r w:rsidR="00C92E10" w:rsidRPr="00C92E10">
        <w:rPr>
          <w:rFonts w:ascii="Arial" w:hAnsi="Arial" w:cs="Arial"/>
          <w:sz w:val="22"/>
          <w:szCs w:val="22"/>
        </w:rPr>
        <w:t>recherche</w:t>
      </w:r>
      <w:r w:rsidR="00C92E10">
        <w:rPr>
          <w:rFonts w:ascii="Arial" w:hAnsi="Arial" w:cs="Arial"/>
          <w:sz w:val="22"/>
          <w:szCs w:val="22"/>
        </w:rPr>
        <w:t xml:space="preserve"> peut </w:t>
      </w:r>
      <w:r w:rsidR="00C92E10" w:rsidRPr="00C92E10">
        <w:rPr>
          <w:rFonts w:ascii="Arial" w:hAnsi="Arial" w:cs="Arial"/>
          <w:sz w:val="22"/>
          <w:szCs w:val="22"/>
        </w:rPr>
        <w:t>également</w:t>
      </w:r>
      <w:r w:rsidR="00C92E10">
        <w:rPr>
          <w:rFonts w:ascii="Arial" w:hAnsi="Arial" w:cs="Arial"/>
          <w:sz w:val="22"/>
          <w:szCs w:val="22"/>
        </w:rPr>
        <w:t xml:space="preserve"> être faite par province ou par date d’inclusion. Les critères d’inclusion </w:t>
      </w:r>
      <w:r w:rsidR="0028210D">
        <w:rPr>
          <w:rFonts w:ascii="Arial" w:hAnsi="Arial" w:cs="Arial"/>
          <w:sz w:val="22"/>
          <w:szCs w:val="22"/>
        </w:rPr>
        <w:t xml:space="preserve">suivent étroitement l’article 2.1 de la </w:t>
      </w:r>
      <w:r w:rsidR="0028210D" w:rsidRPr="0028210D">
        <w:rPr>
          <w:rFonts w:ascii="Arial" w:hAnsi="Arial" w:cs="Arial"/>
          <w:sz w:val="22"/>
          <w:szCs w:val="22"/>
        </w:rPr>
        <w:t>Convention</w:t>
      </w:r>
      <w:r w:rsidR="0028210D">
        <w:rPr>
          <w:rFonts w:ascii="Arial" w:hAnsi="Arial" w:cs="Arial"/>
          <w:sz w:val="22"/>
          <w:szCs w:val="22"/>
        </w:rPr>
        <w:t xml:space="preserve"> auquel ont été ajoutées certaines clauses telles que</w:t>
      </w:r>
      <w:r w:rsidR="002202E6">
        <w:rPr>
          <w:rFonts w:ascii="Arial" w:hAnsi="Arial" w:cs="Arial"/>
          <w:sz w:val="22"/>
          <w:szCs w:val="22"/>
        </w:rPr>
        <w:t xml:space="preserve"> celle stipulant que l’élément n</w:t>
      </w:r>
      <w:r w:rsidR="0028210D">
        <w:rPr>
          <w:rFonts w:ascii="Arial" w:hAnsi="Arial" w:cs="Arial"/>
          <w:sz w:val="22"/>
          <w:szCs w:val="22"/>
        </w:rPr>
        <w:t xml:space="preserve">e doit pas </w:t>
      </w:r>
      <w:r w:rsidR="00383986">
        <w:rPr>
          <w:rFonts w:ascii="Arial" w:hAnsi="Arial" w:cs="Arial"/>
          <w:sz w:val="22"/>
          <w:szCs w:val="22"/>
        </w:rPr>
        <w:t xml:space="preserve">être </w:t>
      </w:r>
      <w:r w:rsidR="0028210D">
        <w:rPr>
          <w:rFonts w:ascii="Arial" w:hAnsi="Arial" w:cs="Arial"/>
          <w:sz w:val="22"/>
          <w:szCs w:val="22"/>
        </w:rPr>
        <w:t xml:space="preserve">détourné à des fins politiques ou exploité uniquement dans un but </w:t>
      </w:r>
      <w:r w:rsidR="0028210D" w:rsidRPr="0028210D">
        <w:rPr>
          <w:rFonts w:ascii="Arial" w:hAnsi="Arial" w:cs="Arial"/>
          <w:sz w:val="22"/>
          <w:szCs w:val="22"/>
          <w:lang w:eastAsia="en-US"/>
        </w:rPr>
        <w:t>touristique</w:t>
      </w:r>
      <w:r w:rsidR="0028210D">
        <w:rPr>
          <w:rFonts w:ascii="Arial" w:hAnsi="Arial" w:cs="Arial"/>
          <w:sz w:val="22"/>
          <w:szCs w:val="22"/>
        </w:rPr>
        <w:t xml:space="preserve"> ou économique. En outre, les éléments ne doivent pas avoir été </w:t>
      </w:r>
      <w:r w:rsidR="00DF00C4">
        <w:rPr>
          <w:rFonts w:ascii="Arial" w:hAnsi="Arial" w:cs="Arial"/>
          <w:sz w:val="22"/>
          <w:szCs w:val="22"/>
        </w:rPr>
        <w:t xml:space="preserve">revitalisés </w:t>
      </w:r>
      <w:r w:rsidR="0028210D">
        <w:rPr>
          <w:rFonts w:ascii="Arial" w:hAnsi="Arial" w:cs="Arial"/>
          <w:sz w:val="22"/>
          <w:szCs w:val="22"/>
        </w:rPr>
        <w:t>et doivent avoir été transmis directement de génération en génération sans interruption de longue durée. Le formulaire d’</w:t>
      </w:r>
      <w:r w:rsidR="0028210D" w:rsidRPr="0028210D">
        <w:rPr>
          <w:rFonts w:ascii="Arial" w:hAnsi="Arial" w:cs="Arial"/>
          <w:sz w:val="22"/>
          <w:szCs w:val="22"/>
        </w:rPr>
        <w:t>inscription</w:t>
      </w:r>
      <w:r w:rsidR="0028210D">
        <w:rPr>
          <w:rFonts w:ascii="Arial" w:hAnsi="Arial" w:cs="Arial"/>
          <w:sz w:val="22"/>
          <w:szCs w:val="22"/>
        </w:rPr>
        <w:t xml:space="preserve"> est conçu sur la base du formulaire de </w:t>
      </w:r>
      <w:r w:rsidR="0028210D" w:rsidRPr="0028210D">
        <w:rPr>
          <w:rFonts w:ascii="Arial" w:hAnsi="Arial" w:cs="Arial"/>
          <w:sz w:val="22"/>
          <w:szCs w:val="22"/>
        </w:rPr>
        <w:t>candidature</w:t>
      </w:r>
      <w:r w:rsidR="0028210D">
        <w:rPr>
          <w:rFonts w:ascii="Arial" w:hAnsi="Arial" w:cs="Arial"/>
          <w:sz w:val="22"/>
          <w:szCs w:val="22"/>
        </w:rPr>
        <w:t xml:space="preserve"> à la Liste représentative de la </w:t>
      </w:r>
      <w:r w:rsidR="0028210D" w:rsidRPr="0028210D">
        <w:rPr>
          <w:rFonts w:ascii="Arial" w:hAnsi="Arial" w:cs="Arial"/>
          <w:sz w:val="22"/>
          <w:szCs w:val="22"/>
        </w:rPr>
        <w:t>Convention</w:t>
      </w:r>
      <w:r w:rsidR="0028210D">
        <w:rPr>
          <w:rFonts w:ascii="Arial" w:hAnsi="Arial" w:cs="Arial"/>
          <w:sz w:val="22"/>
          <w:szCs w:val="22"/>
        </w:rPr>
        <w:t xml:space="preserve"> et la viabilité de l’</w:t>
      </w:r>
      <w:r w:rsidR="0028210D" w:rsidRPr="0028210D">
        <w:rPr>
          <w:rFonts w:ascii="Arial" w:hAnsi="Arial" w:cs="Arial"/>
          <w:sz w:val="22"/>
          <w:szCs w:val="22"/>
        </w:rPr>
        <w:t>élément</w:t>
      </w:r>
      <w:r w:rsidR="002202E6">
        <w:rPr>
          <w:rFonts w:ascii="Arial" w:hAnsi="Arial" w:cs="Arial"/>
          <w:sz w:val="22"/>
          <w:szCs w:val="22"/>
        </w:rPr>
        <w:t xml:space="preserve"> ainsi que </w:t>
      </w:r>
      <w:r w:rsidR="0028210D">
        <w:rPr>
          <w:rFonts w:ascii="Arial" w:hAnsi="Arial" w:cs="Arial"/>
          <w:sz w:val="22"/>
          <w:szCs w:val="22"/>
        </w:rPr>
        <w:t xml:space="preserve">les facteurs de risque </w:t>
      </w:r>
      <w:r w:rsidR="00C57D47">
        <w:rPr>
          <w:rFonts w:ascii="Arial" w:hAnsi="Arial" w:cs="Arial"/>
          <w:sz w:val="22"/>
          <w:szCs w:val="22"/>
        </w:rPr>
        <w:t>sont égal</w:t>
      </w:r>
      <w:r w:rsidR="002202E6">
        <w:rPr>
          <w:rFonts w:ascii="Arial" w:hAnsi="Arial" w:cs="Arial"/>
          <w:sz w:val="22"/>
          <w:szCs w:val="22"/>
        </w:rPr>
        <w:t>ement</w:t>
      </w:r>
      <w:r w:rsidR="00C57D47">
        <w:rPr>
          <w:rFonts w:ascii="Arial" w:hAnsi="Arial" w:cs="Arial"/>
          <w:sz w:val="22"/>
          <w:szCs w:val="22"/>
        </w:rPr>
        <w:t xml:space="preserve"> pris en </w:t>
      </w:r>
      <w:r w:rsidR="00C57D47" w:rsidRPr="00C57D47">
        <w:rPr>
          <w:rFonts w:ascii="Arial" w:hAnsi="Arial" w:cs="Arial"/>
          <w:sz w:val="22"/>
          <w:szCs w:val="22"/>
        </w:rPr>
        <w:t>considération</w:t>
      </w:r>
      <w:r w:rsidR="00C57D47">
        <w:rPr>
          <w:rFonts w:ascii="Arial" w:hAnsi="Arial" w:cs="Arial"/>
          <w:sz w:val="22"/>
          <w:szCs w:val="22"/>
        </w:rPr>
        <w:t xml:space="preserve">. Les soumissionnaires sont encouragés </w:t>
      </w:r>
      <w:r w:rsidR="002202E6">
        <w:rPr>
          <w:rFonts w:ascii="Arial" w:hAnsi="Arial" w:cs="Arial"/>
          <w:sz w:val="22"/>
          <w:szCs w:val="22"/>
        </w:rPr>
        <w:t xml:space="preserve">à </w:t>
      </w:r>
      <w:r w:rsidR="00C57D47">
        <w:rPr>
          <w:rFonts w:ascii="Arial" w:hAnsi="Arial" w:cs="Arial"/>
          <w:sz w:val="22"/>
          <w:szCs w:val="22"/>
        </w:rPr>
        <w:t xml:space="preserve">mentionner les actions de </w:t>
      </w:r>
      <w:r w:rsidR="00C57D47" w:rsidRPr="00C57D47">
        <w:rPr>
          <w:rFonts w:ascii="Arial" w:hAnsi="Arial" w:cs="Arial"/>
          <w:sz w:val="22"/>
          <w:szCs w:val="22"/>
        </w:rPr>
        <w:t>sauvegarde</w:t>
      </w:r>
      <w:r w:rsidR="00C57D47">
        <w:rPr>
          <w:rFonts w:ascii="Arial" w:hAnsi="Arial" w:cs="Arial"/>
          <w:sz w:val="22"/>
          <w:szCs w:val="22"/>
        </w:rPr>
        <w:t xml:space="preserve"> mises en œuvre. Des preuves de la </w:t>
      </w:r>
      <w:r w:rsidR="00C57D47" w:rsidRPr="00C57D47">
        <w:rPr>
          <w:rFonts w:ascii="Arial" w:hAnsi="Arial" w:cs="Arial"/>
          <w:sz w:val="22"/>
          <w:szCs w:val="22"/>
        </w:rPr>
        <w:t>participation</w:t>
      </w:r>
      <w:r w:rsidR="00C57D47">
        <w:rPr>
          <w:rFonts w:ascii="Arial" w:hAnsi="Arial" w:cs="Arial"/>
          <w:sz w:val="22"/>
          <w:szCs w:val="22"/>
        </w:rPr>
        <w:t xml:space="preserve"> la plus vaste possible et du </w:t>
      </w:r>
      <w:r w:rsidR="00C57D47" w:rsidRPr="00C57D47">
        <w:rPr>
          <w:rFonts w:ascii="Arial" w:hAnsi="Arial" w:cs="Arial"/>
          <w:sz w:val="22"/>
          <w:szCs w:val="22"/>
        </w:rPr>
        <w:t>consentement</w:t>
      </w:r>
      <w:r w:rsidR="00C57D47">
        <w:rPr>
          <w:rFonts w:ascii="Arial" w:hAnsi="Arial" w:cs="Arial"/>
          <w:sz w:val="22"/>
          <w:szCs w:val="22"/>
        </w:rPr>
        <w:t xml:space="preserve"> </w:t>
      </w:r>
      <w:r w:rsidR="00BC6B53">
        <w:rPr>
          <w:rFonts w:ascii="Arial" w:hAnsi="Arial" w:cs="Arial"/>
          <w:sz w:val="22"/>
          <w:szCs w:val="22"/>
        </w:rPr>
        <w:t xml:space="preserve">éclairé </w:t>
      </w:r>
      <w:r w:rsidR="00C57D47">
        <w:rPr>
          <w:rFonts w:ascii="Arial" w:hAnsi="Arial" w:cs="Arial"/>
          <w:sz w:val="22"/>
          <w:szCs w:val="22"/>
        </w:rPr>
        <w:t xml:space="preserve">des communautés, groupes et </w:t>
      </w:r>
      <w:r w:rsidR="00C57D47" w:rsidRPr="00C57D47">
        <w:rPr>
          <w:rFonts w:ascii="Arial" w:hAnsi="Arial" w:cs="Arial"/>
          <w:sz w:val="22"/>
          <w:szCs w:val="22"/>
        </w:rPr>
        <w:t>individus</w:t>
      </w:r>
      <w:r w:rsidR="00C57D47">
        <w:rPr>
          <w:rFonts w:ascii="Arial" w:hAnsi="Arial" w:cs="Arial"/>
          <w:sz w:val="22"/>
          <w:szCs w:val="22"/>
        </w:rPr>
        <w:t xml:space="preserve"> concernés sont </w:t>
      </w:r>
      <w:r w:rsidR="00C57D47" w:rsidRPr="00C57D47">
        <w:rPr>
          <w:rFonts w:ascii="Arial" w:hAnsi="Arial" w:cs="Arial"/>
          <w:sz w:val="22"/>
          <w:szCs w:val="22"/>
        </w:rPr>
        <w:t>également</w:t>
      </w:r>
      <w:r w:rsidR="00C57D47">
        <w:rPr>
          <w:rFonts w:ascii="Arial" w:hAnsi="Arial" w:cs="Arial"/>
          <w:sz w:val="22"/>
          <w:szCs w:val="22"/>
        </w:rPr>
        <w:t xml:space="preserve"> demandées</w:t>
      </w:r>
      <w:r w:rsidR="002202E6">
        <w:rPr>
          <w:rFonts w:ascii="Arial" w:hAnsi="Arial" w:cs="Arial"/>
          <w:sz w:val="22"/>
          <w:szCs w:val="22"/>
        </w:rPr>
        <w:t xml:space="preserve"> et ceux-ci sont encouragés à proposer des éléments à </w:t>
      </w:r>
      <w:r w:rsidR="00BC6B53">
        <w:rPr>
          <w:rFonts w:ascii="Arial" w:hAnsi="Arial" w:cs="Arial"/>
          <w:sz w:val="22"/>
          <w:szCs w:val="22"/>
        </w:rPr>
        <w:t>l’</w:t>
      </w:r>
      <w:r w:rsidR="00BC6B53" w:rsidRPr="002202E6">
        <w:rPr>
          <w:rFonts w:ascii="Arial" w:hAnsi="Arial" w:cs="Arial"/>
          <w:sz w:val="22"/>
          <w:szCs w:val="22"/>
        </w:rPr>
        <w:t>in</w:t>
      </w:r>
      <w:r w:rsidR="00BC6B53">
        <w:rPr>
          <w:rFonts w:ascii="Arial" w:hAnsi="Arial" w:cs="Arial"/>
          <w:sz w:val="22"/>
          <w:szCs w:val="22"/>
        </w:rPr>
        <w:t>clus</w:t>
      </w:r>
      <w:r w:rsidR="00BC6B53" w:rsidRPr="002202E6">
        <w:rPr>
          <w:rFonts w:ascii="Arial" w:hAnsi="Arial" w:cs="Arial"/>
          <w:sz w:val="22"/>
          <w:szCs w:val="22"/>
        </w:rPr>
        <w:t>ion</w:t>
      </w:r>
      <w:r w:rsidR="002202E6">
        <w:rPr>
          <w:rFonts w:ascii="Arial" w:hAnsi="Arial" w:cs="Arial"/>
          <w:sz w:val="22"/>
          <w:szCs w:val="22"/>
        </w:rPr>
        <w:t>. Les organisations non gouvernementales accordent souvent leur soutien aux communautés afin de compléter les dossiers de candidature. L’</w:t>
      </w:r>
      <w:r w:rsidR="002202E6" w:rsidRPr="002202E6">
        <w:rPr>
          <w:rFonts w:ascii="Arial" w:hAnsi="Arial" w:cs="Arial"/>
          <w:sz w:val="22"/>
          <w:szCs w:val="22"/>
        </w:rPr>
        <w:t>inventaire</w:t>
      </w:r>
      <w:r w:rsidR="002202E6">
        <w:rPr>
          <w:rFonts w:ascii="Arial" w:hAnsi="Arial" w:cs="Arial"/>
          <w:sz w:val="22"/>
          <w:szCs w:val="22"/>
        </w:rPr>
        <w:t xml:space="preserve"> est consultable sur une base de données en ligne qui est </w:t>
      </w:r>
      <w:r w:rsidR="002202E6" w:rsidRPr="002202E6">
        <w:rPr>
          <w:rFonts w:ascii="Arial" w:hAnsi="Arial" w:cs="Arial"/>
          <w:sz w:val="22"/>
          <w:szCs w:val="22"/>
        </w:rPr>
        <w:t>régulièrement</w:t>
      </w:r>
      <w:r w:rsidR="002202E6">
        <w:rPr>
          <w:rFonts w:ascii="Arial" w:hAnsi="Arial" w:cs="Arial"/>
          <w:sz w:val="22"/>
          <w:szCs w:val="22"/>
        </w:rPr>
        <w:t xml:space="preserve"> mise à jour. Il est également dis</w:t>
      </w:r>
      <w:r w:rsidR="00F465C2">
        <w:rPr>
          <w:rFonts w:ascii="Arial" w:hAnsi="Arial" w:cs="Arial"/>
          <w:sz w:val="22"/>
          <w:szCs w:val="22"/>
        </w:rPr>
        <w:t>ponible sous forme imprimée.</w:t>
      </w:r>
    </w:p>
    <w:p w14:paraId="041D56CC" w14:textId="7B199645" w:rsidR="00223482" w:rsidRPr="00F465C2" w:rsidRDefault="00223482"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S’agissant de la </w:t>
      </w:r>
      <w:r w:rsidRPr="00223482">
        <w:rPr>
          <w:rFonts w:ascii="Arial" w:hAnsi="Arial" w:cs="Arial"/>
          <w:b/>
          <w:sz w:val="22"/>
          <w:szCs w:val="22"/>
        </w:rPr>
        <w:t>recherche</w:t>
      </w:r>
      <w:r>
        <w:rPr>
          <w:rFonts w:ascii="Arial" w:hAnsi="Arial" w:cs="Arial"/>
          <w:sz w:val="22"/>
          <w:szCs w:val="22"/>
        </w:rPr>
        <w:t>, une grande enquête a été menée en 2013-2015 pour identifier les impacts de l’inclusion d’éléments à l’</w:t>
      </w:r>
      <w:r w:rsidR="00FB31DA">
        <w:rPr>
          <w:rFonts w:ascii="Arial" w:hAnsi="Arial" w:cs="Arial"/>
          <w:sz w:val="22"/>
          <w:szCs w:val="22"/>
        </w:rPr>
        <w:t>I</w:t>
      </w:r>
      <w:r w:rsidRPr="00223482">
        <w:rPr>
          <w:rFonts w:ascii="Arial" w:hAnsi="Arial" w:cs="Arial"/>
          <w:sz w:val="22"/>
          <w:szCs w:val="22"/>
        </w:rPr>
        <w:t>nventaire</w:t>
      </w:r>
      <w:r>
        <w:rPr>
          <w:rFonts w:ascii="Arial" w:hAnsi="Arial" w:cs="Arial"/>
          <w:sz w:val="22"/>
          <w:szCs w:val="22"/>
        </w:rPr>
        <w:t xml:space="preserve"> national et pour rester en lien avec les détenteurs. Les résultats de cette enquête </w:t>
      </w:r>
      <w:r w:rsidR="00FB31DA">
        <w:rPr>
          <w:rFonts w:ascii="Arial" w:hAnsi="Arial" w:cs="Arial"/>
          <w:sz w:val="22"/>
          <w:szCs w:val="22"/>
        </w:rPr>
        <w:t>dé</w:t>
      </w:r>
      <w:r>
        <w:rPr>
          <w:rFonts w:ascii="Arial" w:hAnsi="Arial" w:cs="Arial"/>
          <w:sz w:val="22"/>
          <w:szCs w:val="22"/>
        </w:rPr>
        <w:t xml:space="preserve">montrent </w:t>
      </w:r>
      <w:r w:rsidR="00FB31DA">
        <w:rPr>
          <w:rFonts w:ascii="Arial" w:hAnsi="Arial" w:cs="Arial"/>
          <w:sz w:val="22"/>
          <w:szCs w:val="22"/>
        </w:rPr>
        <w:t>que l’</w:t>
      </w:r>
      <w:r w:rsidR="00FB31DA" w:rsidRPr="00FB31DA">
        <w:rPr>
          <w:rFonts w:ascii="Arial" w:hAnsi="Arial" w:cs="Arial"/>
          <w:sz w:val="22"/>
          <w:szCs w:val="22"/>
        </w:rPr>
        <w:t>inscription</w:t>
      </w:r>
      <w:r w:rsidR="00FB31DA">
        <w:rPr>
          <w:rFonts w:ascii="Arial" w:hAnsi="Arial" w:cs="Arial"/>
          <w:sz w:val="22"/>
          <w:szCs w:val="22"/>
        </w:rPr>
        <w:t xml:space="preserve"> conduit à une plus grande visibilité des éléments et un respect accru pour le </w:t>
      </w:r>
      <w:r w:rsidR="00FB31DA" w:rsidRPr="00FB31DA">
        <w:rPr>
          <w:rFonts w:ascii="Arial" w:hAnsi="Arial" w:cs="Arial"/>
          <w:sz w:val="22"/>
          <w:szCs w:val="22"/>
        </w:rPr>
        <w:t>patrimoine</w:t>
      </w:r>
      <w:r w:rsidR="00FB31DA">
        <w:rPr>
          <w:rFonts w:ascii="Arial" w:hAnsi="Arial" w:cs="Arial"/>
          <w:sz w:val="22"/>
          <w:szCs w:val="22"/>
        </w:rPr>
        <w:t xml:space="preserve"> </w:t>
      </w:r>
      <w:r w:rsidR="00FB31DA" w:rsidRPr="00FB31DA">
        <w:rPr>
          <w:rFonts w:ascii="Arial" w:hAnsi="Arial" w:cs="Arial"/>
          <w:sz w:val="22"/>
          <w:szCs w:val="22"/>
        </w:rPr>
        <w:t>immatériel</w:t>
      </w:r>
      <w:r w:rsidR="00FB31DA">
        <w:rPr>
          <w:rFonts w:ascii="Arial" w:hAnsi="Arial" w:cs="Arial"/>
          <w:sz w:val="22"/>
          <w:szCs w:val="22"/>
        </w:rPr>
        <w:t xml:space="preserve"> dans son ensemble. Les agences fédérales ont </w:t>
      </w:r>
      <w:r w:rsidR="00FB31DA" w:rsidRPr="00FB31DA">
        <w:rPr>
          <w:rFonts w:ascii="Arial" w:hAnsi="Arial" w:cs="Arial"/>
          <w:sz w:val="22"/>
          <w:szCs w:val="22"/>
        </w:rPr>
        <w:t>également</w:t>
      </w:r>
      <w:r w:rsidR="00FB31DA">
        <w:rPr>
          <w:rFonts w:ascii="Arial" w:hAnsi="Arial" w:cs="Arial"/>
          <w:sz w:val="22"/>
          <w:szCs w:val="22"/>
        </w:rPr>
        <w:t xml:space="preserve"> soutenu des travaux de </w:t>
      </w:r>
      <w:r w:rsidR="00FB31DA" w:rsidRPr="00FB31DA">
        <w:rPr>
          <w:rFonts w:ascii="Arial" w:hAnsi="Arial" w:cs="Arial"/>
          <w:sz w:val="22"/>
          <w:szCs w:val="22"/>
        </w:rPr>
        <w:t>recherche</w:t>
      </w:r>
      <w:r w:rsidR="00FB31DA">
        <w:rPr>
          <w:rFonts w:ascii="Arial" w:hAnsi="Arial" w:cs="Arial"/>
          <w:sz w:val="22"/>
          <w:szCs w:val="22"/>
        </w:rPr>
        <w:t xml:space="preserve"> sur le patrimoine culturel </w:t>
      </w:r>
      <w:r w:rsidR="00FB31DA" w:rsidRPr="00DF00C4">
        <w:rPr>
          <w:rFonts w:ascii="Arial" w:hAnsi="Arial" w:cs="Arial"/>
          <w:sz w:val="22"/>
          <w:szCs w:val="22"/>
        </w:rPr>
        <w:t>immatériel (p. ex. sur le tourisme ou la guérison traditionnelle) et l’ÖUK a lancé, avec la Chambre de commerce, un projet sur l’artisanat traditionnel en tant que facteur économique. En outre, un projet de recherche universitaire a été lancé sur la durabilité culturelle des pratiques agricole</w:t>
      </w:r>
      <w:r w:rsidR="0032352C" w:rsidRPr="00DF00C4">
        <w:rPr>
          <w:rFonts w:ascii="Arial" w:hAnsi="Arial" w:cs="Arial"/>
          <w:sz w:val="22"/>
          <w:szCs w:val="22"/>
        </w:rPr>
        <w:t>s et artisanales utilisées pour cultiver la terre et transformer l</w:t>
      </w:r>
      <w:r w:rsidR="00FB31DA" w:rsidRPr="00DF00C4">
        <w:rPr>
          <w:rFonts w:ascii="Arial" w:hAnsi="Arial" w:cs="Arial"/>
          <w:sz w:val="22"/>
          <w:szCs w:val="22"/>
        </w:rPr>
        <w:t>es</w:t>
      </w:r>
      <w:r w:rsidR="0032352C" w:rsidRPr="00DF00C4">
        <w:rPr>
          <w:rFonts w:ascii="Arial" w:hAnsi="Arial" w:cs="Arial"/>
          <w:sz w:val="22"/>
          <w:szCs w:val="22"/>
        </w:rPr>
        <w:t xml:space="preserve"> produits</w:t>
      </w:r>
      <w:r w:rsidR="00383986" w:rsidRPr="00DF00C4">
        <w:rPr>
          <w:rFonts w:ascii="Arial" w:hAnsi="Arial" w:cs="Arial"/>
          <w:sz w:val="22"/>
          <w:szCs w:val="22"/>
        </w:rPr>
        <w:t xml:space="preserve"> </w:t>
      </w:r>
      <w:r w:rsidR="0032352C" w:rsidRPr="00DF00C4">
        <w:rPr>
          <w:rFonts w:ascii="Arial" w:hAnsi="Arial" w:cs="Arial"/>
          <w:sz w:val="22"/>
          <w:szCs w:val="22"/>
        </w:rPr>
        <w:t>de l’agriculture</w:t>
      </w:r>
      <w:r w:rsidR="00FB31DA" w:rsidRPr="00DF00C4">
        <w:rPr>
          <w:rFonts w:ascii="Arial" w:hAnsi="Arial" w:cs="Arial"/>
          <w:sz w:val="22"/>
          <w:szCs w:val="22"/>
        </w:rPr>
        <w:t>. En général</w:t>
      </w:r>
      <w:r w:rsidR="00FB31DA">
        <w:rPr>
          <w:rFonts w:ascii="Arial" w:hAnsi="Arial" w:cs="Arial"/>
          <w:sz w:val="22"/>
          <w:szCs w:val="22"/>
        </w:rPr>
        <w:t xml:space="preserve">, les travaux de </w:t>
      </w:r>
      <w:r w:rsidR="00FB31DA" w:rsidRPr="00FB31DA">
        <w:rPr>
          <w:rFonts w:ascii="Arial" w:hAnsi="Arial" w:cs="Arial"/>
          <w:sz w:val="22"/>
          <w:szCs w:val="22"/>
        </w:rPr>
        <w:t>recherche</w:t>
      </w:r>
      <w:r w:rsidR="00E41F6E">
        <w:rPr>
          <w:rFonts w:ascii="Arial" w:hAnsi="Arial" w:cs="Arial"/>
          <w:sz w:val="22"/>
          <w:szCs w:val="22"/>
        </w:rPr>
        <w:t xml:space="preserve"> tendent à </w:t>
      </w:r>
      <w:r w:rsidR="00E41F6E">
        <w:rPr>
          <w:rFonts w:ascii="Arial" w:hAnsi="Arial" w:cs="Arial"/>
          <w:sz w:val="22"/>
          <w:szCs w:val="22"/>
        </w:rPr>
        <w:lastRenderedPageBreak/>
        <w:t>s’intéresser tout particulièrement aux</w:t>
      </w:r>
      <w:r w:rsidR="00FB31DA">
        <w:rPr>
          <w:rFonts w:ascii="Arial" w:hAnsi="Arial" w:cs="Arial"/>
          <w:sz w:val="22"/>
          <w:szCs w:val="22"/>
        </w:rPr>
        <w:t xml:space="preserve"> impacts de la </w:t>
      </w:r>
      <w:r w:rsidR="00FB31DA" w:rsidRPr="00FB31DA">
        <w:rPr>
          <w:rFonts w:ascii="Arial" w:hAnsi="Arial" w:cs="Arial"/>
          <w:sz w:val="22"/>
          <w:szCs w:val="22"/>
        </w:rPr>
        <w:t>ratification</w:t>
      </w:r>
      <w:r w:rsidR="00FB31DA">
        <w:rPr>
          <w:rFonts w:ascii="Arial" w:hAnsi="Arial" w:cs="Arial"/>
          <w:sz w:val="22"/>
          <w:szCs w:val="22"/>
        </w:rPr>
        <w:t xml:space="preserve"> de la </w:t>
      </w:r>
      <w:r w:rsidR="00FB31DA" w:rsidRPr="00FB31DA">
        <w:rPr>
          <w:rFonts w:ascii="Arial" w:hAnsi="Arial" w:cs="Arial"/>
          <w:sz w:val="22"/>
          <w:szCs w:val="22"/>
        </w:rPr>
        <w:t>Convention</w:t>
      </w:r>
      <w:r w:rsidR="00FB31DA">
        <w:rPr>
          <w:rFonts w:ascii="Arial" w:hAnsi="Arial" w:cs="Arial"/>
          <w:sz w:val="22"/>
          <w:szCs w:val="22"/>
        </w:rPr>
        <w:t xml:space="preserve"> ou de l’inclusion d’éléments à l’I</w:t>
      </w:r>
      <w:r w:rsidR="00FB31DA" w:rsidRPr="00FB31DA">
        <w:rPr>
          <w:rFonts w:ascii="Arial" w:hAnsi="Arial" w:cs="Arial"/>
          <w:sz w:val="22"/>
          <w:szCs w:val="22"/>
        </w:rPr>
        <w:t>nventaire</w:t>
      </w:r>
      <w:r w:rsidR="00F465C2">
        <w:rPr>
          <w:rFonts w:ascii="Arial" w:hAnsi="Arial" w:cs="Arial"/>
          <w:sz w:val="22"/>
          <w:szCs w:val="22"/>
        </w:rPr>
        <w:t xml:space="preserve"> national.</w:t>
      </w:r>
    </w:p>
    <w:p w14:paraId="7A8DC8AD" w14:textId="011D74B1" w:rsidR="00E41F6E" w:rsidRDefault="00C20195" w:rsidP="00745AFF">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Un aspect important de la </w:t>
      </w:r>
      <w:r w:rsidRPr="00C20195">
        <w:rPr>
          <w:rFonts w:ascii="Arial" w:hAnsi="Arial" w:cs="Arial"/>
          <w:b/>
          <w:sz w:val="22"/>
          <w:szCs w:val="22"/>
        </w:rPr>
        <w:t>politique</w:t>
      </w:r>
      <w:r>
        <w:rPr>
          <w:rFonts w:ascii="Arial" w:hAnsi="Arial" w:cs="Arial"/>
          <w:sz w:val="22"/>
          <w:szCs w:val="22"/>
        </w:rPr>
        <w:t xml:space="preserve"> du patrimoine culturel immatériel en Autriche</w:t>
      </w:r>
      <w:r w:rsidR="00DB7E15">
        <w:rPr>
          <w:rFonts w:ascii="Arial" w:hAnsi="Arial" w:cs="Arial"/>
          <w:sz w:val="22"/>
          <w:szCs w:val="22"/>
        </w:rPr>
        <w:t xml:space="preserve"> est le potentiel qu’il représente pour promouvoir </w:t>
      </w:r>
      <w:r>
        <w:rPr>
          <w:rFonts w:ascii="Arial" w:hAnsi="Arial" w:cs="Arial"/>
          <w:sz w:val="22"/>
          <w:szCs w:val="22"/>
        </w:rPr>
        <w:t xml:space="preserve">la </w:t>
      </w:r>
      <w:r w:rsidRPr="00C20195">
        <w:rPr>
          <w:rFonts w:ascii="Arial" w:hAnsi="Arial" w:cs="Arial"/>
          <w:sz w:val="22"/>
          <w:szCs w:val="22"/>
        </w:rPr>
        <w:t>diversité</w:t>
      </w:r>
      <w:r w:rsidR="00DB7E15">
        <w:rPr>
          <w:rFonts w:ascii="Arial" w:hAnsi="Arial" w:cs="Arial"/>
          <w:sz w:val="22"/>
          <w:szCs w:val="22"/>
        </w:rPr>
        <w:t xml:space="preserve"> culturelle et l’inclusion de tous</w:t>
      </w:r>
      <w:r>
        <w:rPr>
          <w:rFonts w:ascii="Arial" w:hAnsi="Arial" w:cs="Arial"/>
          <w:sz w:val="22"/>
          <w:szCs w:val="22"/>
        </w:rPr>
        <w:t xml:space="preserve">, </w:t>
      </w:r>
      <w:r w:rsidRPr="00C20195">
        <w:rPr>
          <w:rFonts w:ascii="Arial" w:hAnsi="Arial" w:cs="Arial"/>
          <w:sz w:val="22"/>
          <w:szCs w:val="22"/>
          <w:lang w:eastAsia="en-US"/>
        </w:rPr>
        <w:t>en particulier</w:t>
      </w:r>
      <w:r w:rsidR="00DB7E15">
        <w:rPr>
          <w:rFonts w:ascii="Arial" w:hAnsi="Arial" w:cs="Arial"/>
          <w:sz w:val="22"/>
          <w:szCs w:val="22"/>
        </w:rPr>
        <w:t xml:space="preserve">, une </w:t>
      </w:r>
      <w:r w:rsidRPr="00C20195">
        <w:rPr>
          <w:rFonts w:ascii="Arial" w:hAnsi="Arial" w:cs="Arial"/>
          <w:sz w:val="22"/>
          <w:szCs w:val="22"/>
        </w:rPr>
        <w:t>reconnaissance</w:t>
      </w:r>
      <w:r>
        <w:rPr>
          <w:rFonts w:ascii="Arial" w:hAnsi="Arial" w:cs="Arial"/>
          <w:sz w:val="22"/>
          <w:szCs w:val="22"/>
        </w:rPr>
        <w:t xml:space="preserve"> accrue des minorités linguistiques. Le lien entre </w:t>
      </w:r>
      <w:r w:rsidR="00DB7E15">
        <w:rPr>
          <w:rFonts w:ascii="Arial" w:hAnsi="Arial" w:cs="Arial"/>
          <w:sz w:val="22"/>
          <w:szCs w:val="22"/>
        </w:rPr>
        <w:t xml:space="preserve">le </w:t>
      </w:r>
      <w:r>
        <w:rPr>
          <w:rFonts w:ascii="Arial" w:hAnsi="Arial" w:cs="Arial"/>
          <w:sz w:val="22"/>
          <w:szCs w:val="22"/>
        </w:rPr>
        <w:t>patrimoine culturel immatériel</w:t>
      </w:r>
      <w:r w:rsidR="002F1488">
        <w:rPr>
          <w:rFonts w:ascii="Arial" w:hAnsi="Arial" w:cs="Arial"/>
          <w:sz w:val="22"/>
          <w:szCs w:val="22"/>
        </w:rPr>
        <w:t xml:space="preserve"> et </w:t>
      </w:r>
      <w:r w:rsidR="00DB7E15">
        <w:rPr>
          <w:rFonts w:ascii="Arial" w:hAnsi="Arial" w:cs="Arial"/>
          <w:sz w:val="22"/>
          <w:szCs w:val="22"/>
        </w:rPr>
        <w:t xml:space="preserve">le </w:t>
      </w:r>
      <w:r w:rsidR="002F1488">
        <w:rPr>
          <w:rFonts w:ascii="Arial" w:hAnsi="Arial" w:cs="Arial"/>
          <w:sz w:val="22"/>
          <w:szCs w:val="22"/>
        </w:rPr>
        <w:t xml:space="preserve">tourisme est un autre aspect essentiel des activités de l’ÖUK qui suscite un grand intérêt de la part des autorités. En 2011, un projet commun de l’ÖUK et de l’Office national du tourisme a eu pour objectif la création d’une plateforme d’échange entre experts du tourisme et communautés locales afin d’élaborer une stratégie de tourisme durable. Il est intéressant de noter que </w:t>
      </w:r>
      <w:r w:rsidR="002F1488" w:rsidRPr="002F1488">
        <w:rPr>
          <w:rFonts w:ascii="Arial" w:hAnsi="Arial" w:cs="Arial"/>
          <w:sz w:val="22"/>
          <w:szCs w:val="22"/>
        </w:rPr>
        <w:t>la plupart des</w:t>
      </w:r>
      <w:r w:rsidR="002F1488">
        <w:rPr>
          <w:rFonts w:ascii="Arial" w:hAnsi="Arial" w:cs="Arial"/>
          <w:sz w:val="22"/>
          <w:szCs w:val="22"/>
        </w:rPr>
        <w:t xml:space="preserve"> communautés voient le tourisme comme un atout pour accroitre la visibilité de leur patrimoine culturel immatériel. </w:t>
      </w:r>
      <w:r w:rsidR="00F2280A">
        <w:rPr>
          <w:rFonts w:ascii="Arial" w:hAnsi="Arial" w:cs="Arial"/>
          <w:sz w:val="22"/>
          <w:szCs w:val="22"/>
        </w:rPr>
        <w:t xml:space="preserve">Les </w:t>
      </w:r>
      <w:r w:rsidR="002F1488">
        <w:rPr>
          <w:rFonts w:ascii="Arial" w:hAnsi="Arial" w:cs="Arial"/>
          <w:sz w:val="22"/>
          <w:szCs w:val="22"/>
        </w:rPr>
        <w:t>connaissances traditionnelles relatives aux ressources et dangers naturels</w:t>
      </w:r>
      <w:r w:rsidR="00F2280A">
        <w:rPr>
          <w:rFonts w:ascii="Arial" w:hAnsi="Arial" w:cs="Arial"/>
          <w:sz w:val="22"/>
          <w:szCs w:val="22"/>
        </w:rPr>
        <w:t xml:space="preserve"> sont une autre priorité de la politique nationale du patrimoine culturel immatériel</w:t>
      </w:r>
      <w:r w:rsidR="002F1488">
        <w:rPr>
          <w:rFonts w:ascii="Arial" w:hAnsi="Arial" w:cs="Arial"/>
          <w:sz w:val="22"/>
          <w:szCs w:val="22"/>
        </w:rPr>
        <w:t xml:space="preserve">. Les collaborations interdisciplinaires sont encouragées </w:t>
      </w:r>
      <w:r w:rsidR="00F2280A">
        <w:rPr>
          <w:rFonts w:ascii="Arial" w:hAnsi="Arial" w:cs="Arial"/>
          <w:sz w:val="22"/>
          <w:szCs w:val="22"/>
        </w:rPr>
        <w:t xml:space="preserve">afin de découvrir de nouvelles approches </w:t>
      </w:r>
      <w:r w:rsidR="00DB7E15">
        <w:rPr>
          <w:rFonts w:ascii="Arial" w:hAnsi="Arial" w:cs="Arial"/>
          <w:sz w:val="22"/>
          <w:szCs w:val="22"/>
        </w:rPr>
        <w:t xml:space="preserve">en matière de </w:t>
      </w:r>
      <w:r w:rsidR="00F2280A">
        <w:rPr>
          <w:rFonts w:ascii="Arial" w:hAnsi="Arial" w:cs="Arial"/>
          <w:sz w:val="22"/>
          <w:szCs w:val="22"/>
        </w:rPr>
        <w:t xml:space="preserve">gestion </w:t>
      </w:r>
      <w:r w:rsidR="009D5E63">
        <w:rPr>
          <w:rFonts w:ascii="Arial" w:hAnsi="Arial" w:cs="Arial"/>
          <w:sz w:val="22"/>
          <w:szCs w:val="22"/>
        </w:rPr>
        <w:t xml:space="preserve">durable </w:t>
      </w:r>
      <w:r w:rsidR="00F2280A">
        <w:rPr>
          <w:rFonts w:ascii="Arial" w:hAnsi="Arial" w:cs="Arial"/>
          <w:sz w:val="22"/>
          <w:szCs w:val="22"/>
        </w:rPr>
        <w:t xml:space="preserve">des ressources. Plusieurs éléments inclus </w:t>
      </w:r>
      <w:r w:rsidR="009D5E63">
        <w:rPr>
          <w:rFonts w:ascii="Arial" w:hAnsi="Arial" w:cs="Arial"/>
          <w:sz w:val="22"/>
          <w:szCs w:val="22"/>
        </w:rPr>
        <w:t xml:space="preserve">dans </w:t>
      </w:r>
      <w:r w:rsidR="00F2280A">
        <w:rPr>
          <w:rFonts w:ascii="Arial" w:hAnsi="Arial" w:cs="Arial"/>
          <w:sz w:val="22"/>
          <w:szCs w:val="22"/>
        </w:rPr>
        <w:t>l’I</w:t>
      </w:r>
      <w:r w:rsidR="00F2280A" w:rsidRPr="00F2280A">
        <w:rPr>
          <w:rFonts w:ascii="Arial" w:hAnsi="Arial" w:cs="Arial"/>
          <w:sz w:val="22"/>
          <w:szCs w:val="22"/>
        </w:rPr>
        <w:t>nventaire</w:t>
      </w:r>
      <w:r w:rsidR="00F2280A">
        <w:rPr>
          <w:rFonts w:ascii="Arial" w:hAnsi="Arial" w:cs="Arial"/>
          <w:sz w:val="22"/>
          <w:szCs w:val="22"/>
        </w:rPr>
        <w:t xml:space="preserve"> national sont en lien avec les espaces naturels (p. ex. la production de charbon de bois, l’extraction de poix et la culture de graines traditionnelles).</w:t>
      </w:r>
    </w:p>
    <w:p w14:paraId="03B3BE55" w14:textId="1FA6D7BE" w:rsidR="007800AC" w:rsidRPr="00F465C2" w:rsidRDefault="00DB7E15" w:rsidP="007800AC">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Plusieurs comités et </w:t>
      </w:r>
      <w:r w:rsidRPr="00DB7E15">
        <w:rPr>
          <w:rFonts w:ascii="Arial" w:hAnsi="Arial" w:cs="Arial"/>
          <w:sz w:val="22"/>
          <w:szCs w:val="22"/>
        </w:rPr>
        <w:t>groupe</w:t>
      </w:r>
      <w:r>
        <w:rPr>
          <w:rFonts w:ascii="Arial" w:hAnsi="Arial" w:cs="Arial"/>
          <w:sz w:val="22"/>
          <w:szCs w:val="22"/>
        </w:rPr>
        <w:t>s</w:t>
      </w:r>
      <w:r w:rsidRPr="00DB7E15">
        <w:rPr>
          <w:rFonts w:ascii="Arial" w:hAnsi="Arial" w:cs="Arial"/>
          <w:sz w:val="22"/>
          <w:szCs w:val="22"/>
        </w:rPr>
        <w:t xml:space="preserve"> de travail</w:t>
      </w:r>
      <w:r>
        <w:rPr>
          <w:rFonts w:ascii="Arial" w:hAnsi="Arial" w:cs="Arial"/>
          <w:sz w:val="22"/>
          <w:szCs w:val="22"/>
        </w:rPr>
        <w:t xml:space="preserve"> ont été établis afin de lancer des projets de </w:t>
      </w:r>
      <w:r w:rsidRPr="0032352C">
        <w:rPr>
          <w:rFonts w:ascii="Arial" w:hAnsi="Arial" w:cs="Arial"/>
          <w:b/>
          <w:sz w:val="22"/>
          <w:szCs w:val="22"/>
        </w:rPr>
        <w:t>sensibilisation</w:t>
      </w:r>
      <w:r>
        <w:rPr>
          <w:rFonts w:ascii="Arial" w:hAnsi="Arial" w:cs="Arial"/>
          <w:sz w:val="22"/>
          <w:szCs w:val="22"/>
        </w:rPr>
        <w:t xml:space="preserve">, </w:t>
      </w:r>
      <w:r w:rsidRPr="00DB7E15">
        <w:rPr>
          <w:rFonts w:ascii="Arial" w:hAnsi="Arial" w:cs="Arial"/>
          <w:sz w:val="22"/>
          <w:szCs w:val="22"/>
          <w:lang w:eastAsia="en-US"/>
        </w:rPr>
        <w:t>en particulier</w:t>
      </w:r>
      <w:r>
        <w:rPr>
          <w:rFonts w:ascii="Arial" w:hAnsi="Arial" w:cs="Arial"/>
          <w:sz w:val="22"/>
          <w:szCs w:val="22"/>
        </w:rPr>
        <w:t xml:space="preserve"> </w:t>
      </w:r>
      <w:r w:rsidRPr="00DF00C4">
        <w:rPr>
          <w:rFonts w:ascii="Arial" w:hAnsi="Arial" w:cs="Arial"/>
          <w:sz w:val="22"/>
          <w:szCs w:val="22"/>
        </w:rPr>
        <w:t>s’agissant du patrimoine culturel immatériel et des dangers et ressources naturels (p. ex. le Ministère fédéral de la santé et le Ministère fédéral de l’agriculture, de la forêt, de l’environnement et de la gestion de l’eau ont créé trois groupes de travail sur le thème « Patrimoine culturel immatériel et forêts</w:t>
      </w:r>
      <w:r>
        <w:rPr>
          <w:rFonts w:ascii="Arial" w:hAnsi="Arial" w:cs="Arial"/>
          <w:sz w:val="22"/>
          <w:szCs w:val="22"/>
        </w:rPr>
        <w:t xml:space="preserve"> »). Par ailleurs, </w:t>
      </w:r>
      <w:r w:rsidR="005317F0">
        <w:rPr>
          <w:rFonts w:ascii="Arial" w:hAnsi="Arial" w:cs="Arial"/>
          <w:sz w:val="22"/>
          <w:szCs w:val="22"/>
        </w:rPr>
        <w:t xml:space="preserve">en 2015, le </w:t>
      </w:r>
      <w:r w:rsidR="005317F0" w:rsidRPr="005317F0">
        <w:rPr>
          <w:rFonts w:ascii="Arial" w:hAnsi="Arial" w:cs="Arial"/>
          <w:sz w:val="22"/>
          <w:szCs w:val="22"/>
        </w:rPr>
        <w:t>gouvernement</w:t>
      </w:r>
      <w:r w:rsidR="005317F0">
        <w:rPr>
          <w:rFonts w:ascii="Arial" w:hAnsi="Arial" w:cs="Arial"/>
          <w:sz w:val="22"/>
          <w:szCs w:val="22"/>
        </w:rPr>
        <w:t xml:space="preserve"> provincial de Haute-Autriche a organisé une série d’événements et </w:t>
      </w:r>
      <w:r w:rsidR="005317F0" w:rsidRPr="00DF00C4">
        <w:rPr>
          <w:rFonts w:ascii="Arial" w:hAnsi="Arial" w:cs="Arial"/>
          <w:sz w:val="22"/>
          <w:szCs w:val="22"/>
        </w:rPr>
        <w:t>d’expositions destinés à mettre en évidence le patrimoine culturel immatériel, et celui du Burgenland a fait la promotion du patrimoine culturel immatériel dans une série télévisée de 44 épisodes. Les informations relatives au patrimoine culturel immatériel sont diffusées à la fois par la plateforme</w:t>
      </w:r>
      <w:r w:rsidR="005317F0">
        <w:rPr>
          <w:rFonts w:ascii="Arial" w:hAnsi="Arial" w:cs="Arial"/>
          <w:sz w:val="22"/>
          <w:szCs w:val="22"/>
        </w:rPr>
        <w:t xml:space="preserve"> en ligne de l’ÖUK et par des documents imprimés (dépliants, brochures, </w:t>
      </w:r>
      <w:r w:rsidR="009D5E63">
        <w:rPr>
          <w:rFonts w:ascii="Arial" w:hAnsi="Arial" w:cs="Arial"/>
          <w:sz w:val="22"/>
          <w:szCs w:val="22"/>
        </w:rPr>
        <w:t>livres</w:t>
      </w:r>
      <w:r w:rsidR="005317F0">
        <w:rPr>
          <w:rFonts w:ascii="Arial" w:hAnsi="Arial" w:cs="Arial"/>
          <w:sz w:val="22"/>
          <w:szCs w:val="22"/>
        </w:rPr>
        <w:t>, etc.)</w:t>
      </w:r>
      <w:r w:rsidR="00DC27D4">
        <w:rPr>
          <w:rFonts w:ascii="Arial" w:hAnsi="Arial" w:cs="Arial"/>
          <w:sz w:val="22"/>
          <w:szCs w:val="22"/>
        </w:rPr>
        <w:t xml:space="preserve"> ainsi que dans des reportages </w:t>
      </w:r>
      <w:r w:rsidR="00DC27D4" w:rsidRPr="00DC27D4">
        <w:rPr>
          <w:rFonts w:ascii="Arial" w:hAnsi="Arial" w:cs="Arial"/>
          <w:sz w:val="22"/>
          <w:szCs w:val="22"/>
        </w:rPr>
        <w:t>régulièrement</w:t>
      </w:r>
      <w:r w:rsidR="00DC27D4">
        <w:rPr>
          <w:rFonts w:ascii="Arial" w:hAnsi="Arial" w:cs="Arial"/>
          <w:sz w:val="22"/>
          <w:szCs w:val="22"/>
        </w:rPr>
        <w:t xml:space="preserve"> diffusés à la radio et la </w:t>
      </w:r>
      <w:r w:rsidR="00DC27D4" w:rsidRPr="00DC27D4">
        <w:rPr>
          <w:rFonts w:ascii="Arial" w:hAnsi="Arial" w:cs="Arial"/>
          <w:sz w:val="22"/>
          <w:szCs w:val="22"/>
          <w:lang w:eastAsia="en-US"/>
        </w:rPr>
        <w:t>télévision</w:t>
      </w:r>
      <w:r w:rsidR="00DC27D4">
        <w:rPr>
          <w:rFonts w:ascii="Arial" w:hAnsi="Arial" w:cs="Arial"/>
          <w:sz w:val="22"/>
          <w:szCs w:val="22"/>
          <w:lang w:eastAsia="en-US"/>
        </w:rPr>
        <w:t xml:space="preserve">, </w:t>
      </w:r>
      <w:r w:rsidR="00DC27D4" w:rsidRPr="00DC27D4">
        <w:rPr>
          <w:rFonts w:ascii="Arial" w:hAnsi="Arial" w:cs="Arial"/>
          <w:sz w:val="22"/>
          <w:szCs w:val="22"/>
          <w:lang w:eastAsia="en-US"/>
        </w:rPr>
        <w:t>en particulier</w:t>
      </w:r>
      <w:r w:rsidR="00DC27D4">
        <w:rPr>
          <w:rFonts w:ascii="Arial" w:hAnsi="Arial" w:cs="Arial"/>
          <w:sz w:val="22"/>
          <w:szCs w:val="22"/>
          <w:lang w:eastAsia="en-US"/>
        </w:rPr>
        <w:t xml:space="preserve"> au niveau régional. Des réunions d’information et des événements </w:t>
      </w:r>
      <w:r w:rsidR="007800AC">
        <w:rPr>
          <w:rFonts w:ascii="Arial" w:hAnsi="Arial" w:cs="Arial"/>
          <w:sz w:val="22"/>
          <w:szCs w:val="22"/>
          <w:lang w:eastAsia="en-US"/>
        </w:rPr>
        <w:t xml:space="preserve">destinés aux adultes (sur le thème de la </w:t>
      </w:r>
      <w:r w:rsidR="007800AC" w:rsidRPr="007800AC">
        <w:rPr>
          <w:rFonts w:ascii="Arial" w:hAnsi="Arial" w:cs="Arial"/>
          <w:sz w:val="22"/>
          <w:szCs w:val="22"/>
          <w:lang w:eastAsia="en-US"/>
        </w:rPr>
        <w:t>Convention</w:t>
      </w:r>
      <w:r w:rsidR="007800AC">
        <w:rPr>
          <w:rFonts w:ascii="Arial" w:hAnsi="Arial" w:cs="Arial"/>
          <w:sz w:val="22"/>
          <w:szCs w:val="22"/>
          <w:lang w:eastAsia="en-US"/>
        </w:rPr>
        <w:t xml:space="preserve"> et sa mise en œuvre, et sur les priorités nationales) ont sensi</w:t>
      </w:r>
      <w:r w:rsidR="0032352C">
        <w:rPr>
          <w:rFonts w:ascii="Arial" w:hAnsi="Arial" w:cs="Arial"/>
          <w:sz w:val="22"/>
          <w:szCs w:val="22"/>
          <w:lang w:eastAsia="en-US"/>
        </w:rPr>
        <w:t>bilisé l’opinion publique au</w:t>
      </w:r>
      <w:r w:rsidR="007800AC">
        <w:rPr>
          <w:rFonts w:ascii="Arial" w:hAnsi="Arial" w:cs="Arial"/>
          <w:sz w:val="22"/>
          <w:szCs w:val="22"/>
          <w:lang w:eastAsia="en-US"/>
        </w:rPr>
        <w:t xml:space="preserve"> patrimoine culturel immatériel et </w:t>
      </w:r>
      <w:r w:rsidR="0032352C">
        <w:rPr>
          <w:rFonts w:ascii="Arial" w:hAnsi="Arial" w:cs="Arial"/>
          <w:sz w:val="22"/>
          <w:szCs w:val="22"/>
          <w:lang w:eastAsia="en-US"/>
        </w:rPr>
        <w:t xml:space="preserve">aux </w:t>
      </w:r>
      <w:r w:rsidR="007800AC">
        <w:rPr>
          <w:rFonts w:ascii="Arial" w:hAnsi="Arial" w:cs="Arial"/>
          <w:sz w:val="22"/>
          <w:szCs w:val="22"/>
          <w:lang w:eastAsia="en-US"/>
        </w:rPr>
        <w:t xml:space="preserve">questions qui s’y rapportent. Des représentants de l’ÖUK participent à des festivals, des conférences de presse, des cérémonies de remise de prix et des rassemblements </w:t>
      </w:r>
      <w:r w:rsidR="009D5E63">
        <w:rPr>
          <w:rFonts w:ascii="Arial" w:hAnsi="Arial" w:cs="Arial"/>
          <w:sz w:val="22"/>
          <w:szCs w:val="22"/>
          <w:lang w:eastAsia="en-US"/>
        </w:rPr>
        <w:t>au sein des communautés locales</w:t>
      </w:r>
      <w:r w:rsidR="007800AC">
        <w:rPr>
          <w:rFonts w:ascii="Arial" w:hAnsi="Arial" w:cs="Arial"/>
          <w:sz w:val="22"/>
          <w:szCs w:val="22"/>
          <w:lang w:eastAsia="en-US"/>
        </w:rPr>
        <w:t xml:space="preserve">, et de nombreux festivals et événements sont organisés à cette fin. Un certain nombre d’événements ont été organisés à destination de groupes cibles (représentants des Länder, organisations de tourisme, groupes minoritaires, étudiants) afin d’augmenter le nombre de facilitateurs locaux et de </w:t>
      </w:r>
      <w:r w:rsidR="007800AC" w:rsidRPr="007800AC">
        <w:rPr>
          <w:rFonts w:ascii="Arial" w:hAnsi="Arial" w:cs="Arial"/>
          <w:sz w:val="22"/>
          <w:szCs w:val="22"/>
          <w:lang w:eastAsia="en-US"/>
        </w:rPr>
        <w:t>sensib</w:t>
      </w:r>
      <w:r w:rsidR="007800AC">
        <w:rPr>
          <w:rFonts w:ascii="Arial" w:hAnsi="Arial" w:cs="Arial"/>
          <w:sz w:val="22"/>
          <w:szCs w:val="22"/>
          <w:lang w:eastAsia="en-US"/>
        </w:rPr>
        <w:t xml:space="preserve">iliser ces publics au patrimoine </w:t>
      </w:r>
      <w:r w:rsidR="007800AC" w:rsidRPr="001E2AD9">
        <w:rPr>
          <w:rFonts w:ascii="Arial" w:hAnsi="Arial" w:cs="Arial"/>
          <w:sz w:val="22"/>
          <w:szCs w:val="22"/>
          <w:lang w:eastAsia="en-US"/>
        </w:rPr>
        <w:t xml:space="preserve">culturel immatériel. </w:t>
      </w:r>
      <w:r w:rsidR="007800AC" w:rsidRPr="00862425">
        <w:rPr>
          <w:rFonts w:ascii="Arial" w:hAnsi="Arial" w:cs="Arial"/>
          <w:sz w:val="22"/>
          <w:szCs w:val="22"/>
          <w:lang w:eastAsia="en-US"/>
        </w:rPr>
        <w:t xml:space="preserve">En Autriche, plusieurs musées en plein air documentent et préservent </w:t>
      </w:r>
      <w:r w:rsidR="001E2AD9" w:rsidRPr="00862425">
        <w:rPr>
          <w:rFonts w:ascii="Arial" w:hAnsi="Arial" w:cs="Arial"/>
          <w:sz w:val="22"/>
          <w:szCs w:val="22"/>
          <w:lang w:eastAsia="en-US"/>
        </w:rPr>
        <w:t>la documentation</w:t>
      </w:r>
      <w:r w:rsidR="007800AC" w:rsidRPr="00862425">
        <w:rPr>
          <w:rFonts w:ascii="Arial" w:hAnsi="Arial" w:cs="Arial"/>
          <w:sz w:val="22"/>
          <w:szCs w:val="22"/>
          <w:lang w:eastAsia="en-US"/>
        </w:rPr>
        <w:t xml:space="preserve"> associé</w:t>
      </w:r>
      <w:r w:rsidR="001E2AD9" w:rsidRPr="00862425">
        <w:rPr>
          <w:rFonts w:ascii="Arial" w:hAnsi="Arial" w:cs="Arial"/>
          <w:sz w:val="22"/>
          <w:szCs w:val="22"/>
          <w:lang w:eastAsia="en-US"/>
        </w:rPr>
        <w:t>e à la culture</w:t>
      </w:r>
      <w:r w:rsidR="007800AC" w:rsidRPr="00862425">
        <w:rPr>
          <w:rFonts w:ascii="Arial" w:hAnsi="Arial" w:cs="Arial"/>
          <w:sz w:val="22"/>
          <w:szCs w:val="22"/>
          <w:lang w:eastAsia="en-US"/>
        </w:rPr>
        <w:t>, les modes de vie des communautés, l’architecture populaire, etc.</w:t>
      </w:r>
    </w:p>
    <w:p w14:paraId="6CBBC56E" w14:textId="09D49772" w:rsidR="00DD61AD" w:rsidRPr="00F465C2" w:rsidRDefault="009E42D7" w:rsidP="00DD61AD">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Le patrimoine culturel immatériel n’est pas</w:t>
      </w:r>
      <w:r w:rsidR="00254851">
        <w:rPr>
          <w:rFonts w:ascii="Arial" w:hAnsi="Arial" w:cs="Arial"/>
          <w:sz w:val="22"/>
          <w:szCs w:val="22"/>
        </w:rPr>
        <w:t>, en tant que tel,</w:t>
      </w:r>
      <w:r>
        <w:rPr>
          <w:rFonts w:ascii="Arial" w:hAnsi="Arial" w:cs="Arial"/>
          <w:sz w:val="22"/>
          <w:szCs w:val="22"/>
        </w:rPr>
        <w:t xml:space="preserve"> une matière o</w:t>
      </w:r>
      <w:r w:rsidR="00DD61AD">
        <w:rPr>
          <w:rFonts w:ascii="Arial" w:hAnsi="Arial" w:cs="Arial"/>
          <w:sz w:val="22"/>
          <w:szCs w:val="22"/>
        </w:rPr>
        <w:t>fficielle du programme scolaire</w:t>
      </w:r>
      <w:r>
        <w:rPr>
          <w:rFonts w:ascii="Arial" w:hAnsi="Arial" w:cs="Arial"/>
          <w:sz w:val="22"/>
          <w:szCs w:val="22"/>
        </w:rPr>
        <w:t xml:space="preserve"> mais le sujet </w:t>
      </w:r>
      <w:r w:rsidR="006456A0">
        <w:rPr>
          <w:rFonts w:ascii="Arial" w:hAnsi="Arial" w:cs="Arial"/>
          <w:sz w:val="22"/>
          <w:szCs w:val="22"/>
        </w:rPr>
        <w:t>est abordé dans différentes matières (p. ex. l’histoire locale, la musique, l’art et l’artisanat)</w:t>
      </w:r>
      <w:r w:rsidR="00DD61AD">
        <w:rPr>
          <w:rFonts w:ascii="Arial" w:hAnsi="Arial" w:cs="Arial"/>
          <w:sz w:val="22"/>
          <w:szCs w:val="22"/>
        </w:rPr>
        <w:t xml:space="preserve"> et quelques éléments de l’Inventaire national sont </w:t>
      </w:r>
      <w:r w:rsidR="00DD61AD" w:rsidRPr="00DD61AD">
        <w:rPr>
          <w:rFonts w:ascii="Arial" w:hAnsi="Arial" w:cs="Arial"/>
          <w:sz w:val="22"/>
          <w:szCs w:val="22"/>
        </w:rPr>
        <w:t>également</w:t>
      </w:r>
      <w:r w:rsidR="00DD61AD">
        <w:rPr>
          <w:rFonts w:ascii="Arial" w:hAnsi="Arial" w:cs="Arial"/>
          <w:sz w:val="22"/>
          <w:szCs w:val="22"/>
        </w:rPr>
        <w:t xml:space="preserve"> inclus dans les </w:t>
      </w:r>
      <w:r w:rsidR="00DD61AD" w:rsidRPr="00DD61AD">
        <w:rPr>
          <w:rFonts w:ascii="Arial" w:hAnsi="Arial" w:cs="Arial"/>
          <w:b/>
          <w:sz w:val="22"/>
          <w:szCs w:val="22"/>
        </w:rPr>
        <w:t>programmes éducatifs</w:t>
      </w:r>
      <w:r w:rsidR="00DD61AD">
        <w:rPr>
          <w:rFonts w:ascii="Arial" w:hAnsi="Arial" w:cs="Arial"/>
          <w:sz w:val="22"/>
          <w:szCs w:val="22"/>
        </w:rPr>
        <w:t xml:space="preserve">. Le patrimoine culturel immatériel est </w:t>
      </w:r>
      <w:r w:rsidR="00DD61AD" w:rsidRPr="00DD61AD">
        <w:rPr>
          <w:rFonts w:ascii="Arial" w:hAnsi="Arial" w:cs="Arial"/>
          <w:sz w:val="22"/>
          <w:szCs w:val="22"/>
        </w:rPr>
        <w:t>également</w:t>
      </w:r>
      <w:r w:rsidR="00DD61AD">
        <w:rPr>
          <w:rFonts w:ascii="Arial" w:hAnsi="Arial" w:cs="Arial"/>
          <w:sz w:val="22"/>
          <w:szCs w:val="22"/>
        </w:rPr>
        <w:t xml:space="preserve"> le sujet des rencontres des Écoles associées à l’UNESCO et du projet national intitulé « P</w:t>
      </w:r>
      <w:r w:rsidR="00DD61AD" w:rsidRPr="00DD61AD">
        <w:rPr>
          <w:rFonts w:ascii="Arial" w:hAnsi="Arial" w:cs="Arial"/>
          <w:sz w:val="22"/>
          <w:szCs w:val="22"/>
        </w:rPr>
        <w:t>atrimoine</w:t>
      </w:r>
      <w:r w:rsidR="00DD61AD">
        <w:rPr>
          <w:rFonts w:ascii="Arial" w:hAnsi="Arial" w:cs="Arial"/>
          <w:sz w:val="22"/>
          <w:szCs w:val="22"/>
        </w:rPr>
        <w:t xml:space="preserve"> </w:t>
      </w:r>
      <w:r w:rsidR="00DD61AD" w:rsidRPr="00DD61AD">
        <w:rPr>
          <w:rFonts w:ascii="Arial" w:hAnsi="Arial" w:cs="Arial"/>
          <w:sz w:val="22"/>
          <w:szCs w:val="22"/>
        </w:rPr>
        <w:t>culturel</w:t>
      </w:r>
      <w:r w:rsidR="00DD61AD">
        <w:rPr>
          <w:rFonts w:ascii="Arial" w:hAnsi="Arial" w:cs="Arial"/>
          <w:sz w:val="22"/>
          <w:szCs w:val="22"/>
        </w:rPr>
        <w:t xml:space="preserve"> : tradition et avenir » dans le cadre duquel </w:t>
      </w:r>
      <w:r w:rsidR="009D5E63">
        <w:rPr>
          <w:rFonts w:ascii="Arial" w:hAnsi="Arial" w:cs="Arial"/>
          <w:sz w:val="22"/>
          <w:szCs w:val="22"/>
        </w:rPr>
        <w:t xml:space="preserve">plus de </w:t>
      </w:r>
      <w:r w:rsidR="00DD61AD">
        <w:rPr>
          <w:rFonts w:ascii="Arial" w:hAnsi="Arial" w:cs="Arial"/>
          <w:sz w:val="22"/>
          <w:szCs w:val="22"/>
        </w:rPr>
        <w:t>2 100 élèves issus de 59 écoles ont été formés, entre autres sujets, au patrimoine culturel immatériel. Parmi les actions d’</w:t>
      </w:r>
      <w:r w:rsidR="00DD61AD" w:rsidRPr="00DD61AD">
        <w:rPr>
          <w:rFonts w:ascii="Arial" w:hAnsi="Arial" w:cs="Arial"/>
          <w:sz w:val="22"/>
          <w:szCs w:val="22"/>
        </w:rPr>
        <w:t>éducation</w:t>
      </w:r>
      <w:r w:rsidR="00DD61AD">
        <w:rPr>
          <w:rFonts w:ascii="Arial" w:hAnsi="Arial" w:cs="Arial"/>
          <w:sz w:val="22"/>
          <w:szCs w:val="22"/>
        </w:rPr>
        <w:t xml:space="preserve"> et de formation organisées dans les commu</w:t>
      </w:r>
      <w:r w:rsidR="00254851">
        <w:rPr>
          <w:rFonts w:ascii="Arial" w:hAnsi="Arial" w:cs="Arial"/>
          <w:sz w:val="22"/>
          <w:szCs w:val="22"/>
        </w:rPr>
        <w:t>nautés, en 2009 une conférence a</w:t>
      </w:r>
      <w:r w:rsidR="00DD61AD">
        <w:rPr>
          <w:rFonts w:ascii="Arial" w:hAnsi="Arial" w:cs="Arial"/>
          <w:sz w:val="22"/>
          <w:szCs w:val="22"/>
        </w:rPr>
        <w:t xml:space="preserve"> été organisée pour les sages-femmes sur le thème des méthodes et savoirs </w:t>
      </w:r>
      <w:r w:rsidR="00DD61AD" w:rsidRPr="00DD61AD">
        <w:rPr>
          <w:rFonts w:ascii="Arial" w:hAnsi="Arial" w:cs="Arial"/>
          <w:sz w:val="22"/>
          <w:szCs w:val="22"/>
        </w:rPr>
        <w:t>traditionnels</w:t>
      </w:r>
      <w:r w:rsidR="00DD61AD">
        <w:rPr>
          <w:rFonts w:ascii="Arial" w:hAnsi="Arial" w:cs="Arial"/>
          <w:sz w:val="22"/>
          <w:szCs w:val="22"/>
        </w:rPr>
        <w:t xml:space="preserve">. Des </w:t>
      </w:r>
      <w:r w:rsidR="00DD61AD" w:rsidRPr="00DD61AD">
        <w:rPr>
          <w:rFonts w:ascii="Arial" w:hAnsi="Arial" w:cs="Arial"/>
          <w:b/>
          <w:sz w:val="22"/>
          <w:szCs w:val="22"/>
        </w:rPr>
        <w:t>moyens non formels de transfert des connaissances</w:t>
      </w:r>
      <w:r w:rsidR="00DD61AD">
        <w:rPr>
          <w:rFonts w:ascii="Arial" w:hAnsi="Arial" w:cs="Arial"/>
          <w:sz w:val="22"/>
          <w:szCs w:val="22"/>
        </w:rPr>
        <w:t xml:space="preserve"> continuent de jouir d’une g</w:t>
      </w:r>
      <w:r w:rsidR="0015054B">
        <w:rPr>
          <w:rFonts w:ascii="Arial" w:hAnsi="Arial" w:cs="Arial"/>
          <w:sz w:val="22"/>
          <w:szCs w:val="22"/>
        </w:rPr>
        <w:t>ran</w:t>
      </w:r>
      <w:r w:rsidR="0032352C">
        <w:rPr>
          <w:rFonts w:ascii="Arial" w:hAnsi="Arial" w:cs="Arial"/>
          <w:sz w:val="22"/>
          <w:szCs w:val="22"/>
        </w:rPr>
        <w:t>de popularité comme en attestent</w:t>
      </w:r>
      <w:r w:rsidR="00DD61AD">
        <w:rPr>
          <w:rFonts w:ascii="Arial" w:hAnsi="Arial" w:cs="Arial"/>
          <w:sz w:val="22"/>
          <w:szCs w:val="22"/>
        </w:rPr>
        <w:t xml:space="preserve"> le succès ininterrompu </w:t>
      </w:r>
      <w:r w:rsidR="0015054B">
        <w:rPr>
          <w:rFonts w:ascii="Arial" w:hAnsi="Arial" w:cs="Arial"/>
          <w:sz w:val="22"/>
          <w:szCs w:val="22"/>
        </w:rPr>
        <w:t>d’événements consacrés à la culture populaire et le nombre c</w:t>
      </w:r>
      <w:r w:rsidR="00F43449">
        <w:rPr>
          <w:rFonts w:ascii="Arial" w:hAnsi="Arial" w:cs="Arial"/>
          <w:sz w:val="22"/>
          <w:szCs w:val="22"/>
        </w:rPr>
        <w:t xml:space="preserve">roissant de centres artisanaux </w:t>
      </w:r>
      <w:r w:rsidR="0015054B">
        <w:rPr>
          <w:rFonts w:ascii="Arial" w:hAnsi="Arial" w:cs="Arial"/>
          <w:sz w:val="22"/>
          <w:szCs w:val="22"/>
        </w:rPr>
        <w:t xml:space="preserve">proposant des programmes éducatifs et des formations. En </w:t>
      </w:r>
      <w:r w:rsidR="0015054B" w:rsidRPr="0015054B">
        <w:rPr>
          <w:rFonts w:ascii="Arial" w:hAnsi="Arial" w:cs="Arial"/>
          <w:sz w:val="22"/>
          <w:szCs w:val="22"/>
        </w:rPr>
        <w:t>coopération</w:t>
      </w:r>
      <w:r w:rsidR="0015054B">
        <w:rPr>
          <w:rFonts w:ascii="Arial" w:hAnsi="Arial" w:cs="Arial"/>
          <w:sz w:val="22"/>
          <w:szCs w:val="22"/>
        </w:rPr>
        <w:t xml:space="preserve"> avec des écoles et des universités, de nombreu</w:t>
      </w:r>
      <w:r w:rsidR="00254851">
        <w:rPr>
          <w:rFonts w:ascii="Arial" w:hAnsi="Arial" w:cs="Arial"/>
          <w:sz w:val="22"/>
          <w:szCs w:val="22"/>
        </w:rPr>
        <w:t xml:space="preserve">x centres (auxquels </w:t>
      </w:r>
      <w:r w:rsidR="0015054B">
        <w:rPr>
          <w:rFonts w:ascii="Arial" w:hAnsi="Arial" w:cs="Arial"/>
          <w:sz w:val="22"/>
          <w:szCs w:val="22"/>
        </w:rPr>
        <w:t xml:space="preserve">des </w:t>
      </w:r>
      <w:r w:rsidR="00254851">
        <w:rPr>
          <w:rFonts w:ascii="Arial" w:hAnsi="Arial" w:cs="Arial"/>
          <w:sz w:val="22"/>
          <w:szCs w:val="22"/>
        </w:rPr>
        <w:t>communautés d’</w:t>
      </w:r>
      <w:r w:rsidR="0015054B">
        <w:rPr>
          <w:rFonts w:ascii="Arial" w:hAnsi="Arial" w:cs="Arial"/>
          <w:sz w:val="22"/>
          <w:szCs w:val="22"/>
        </w:rPr>
        <w:t xml:space="preserve">artisans et </w:t>
      </w:r>
      <w:r w:rsidR="00254851">
        <w:rPr>
          <w:rFonts w:ascii="Arial" w:hAnsi="Arial" w:cs="Arial"/>
          <w:sz w:val="22"/>
          <w:szCs w:val="22"/>
        </w:rPr>
        <w:t>d’</w:t>
      </w:r>
      <w:r w:rsidR="0015054B">
        <w:rPr>
          <w:rFonts w:ascii="Arial" w:hAnsi="Arial" w:cs="Arial"/>
          <w:sz w:val="22"/>
          <w:szCs w:val="22"/>
        </w:rPr>
        <w:t>artisanes</w:t>
      </w:r>
      <w:r w:rsidR="00254851">
        <w:rPr>
          <w:rFonts w:ascii="Arial" w:hAnsi="Arial" w:cs="Arial"/>
          <w:sz w:val="22"/>
          <w:szCs w:val="22"/>
        </w:rPr>
        <w:t xml:space="preserve"> prennent part</w:t>
      </w:r>
      <w:r w:rsidR="0015054B">
        <w:rPr>
          <w:rFonts w:ascii="Arial" w:hAnsi="Arial" w:cs="Arial"/>
          <w:sz w:val="22"/>
          <w:szCs w:val="22"/>
        </w:rPr>
        <w:t xml:space="preserve">) proposent des conférences et des cours, notamment le weekend et pendant </w:t>
      </w:r>
      <w:r w:rsidR="0015054B">
        <w:rPr>
          <w:rFonts w:ascii="Arial" w:hAnsi="Arial" w:cs="Arial"/>
          <w:sz w:val="22"/>
          <w:szCs w:val="22"/>
        </w:rPr>
        <w:lastRenderedPageBreak/>
        <w:t xml:space="preserve">l’été, ainsi que des formations de troisième cycle universitaire pour adultes. Malgré un </w:t>
      </w:r>
      <w:r w:rsidR="0015054B" w:rsidRPr="0015054B">
        <w:rPr>
          <w:rFonts w:ascii="Arial" w:hAnsi="Arial" w:cs="Arial"/>
          <w:sz w:val="22"/>
          <w:szCs w:val="22"/>
        </w:rPr>
        <w:t>enseignement</w:t>
      </w:r>
      <w:r w:rsidR="0015054B">
        <w:rPr>
          <w:rFonts w:ascii="Arial" w:hAnsi="Arial" w:cs="Arial"/>
          <w:sz w:val="22"/>
          <w:szCs w:val="22"/>
        </w:rPr>
        <w:t xml:space="preserve"> professionnel de bonne qualité, le nombre d’apprentis décroit régulièrement, aussi l’Autriche consent de grands efforts pour assurer la </w:t>
      </w:r>
      <w:r w:rsidR="0015054B" w:rsidRPr="0015054B">
        <w:rPr>
          <w:rFonts w:ascii="Arial" w:hAnsi="Arial" w:cs="Arial"/>
          <w:sz w:val="22"/>
          <w:szCs w:val="22"/>
        </w:rPr>
        <w:t>viabilité</w:t>
      </w:r>
      <w:r w:rsidR="0015054B">
        <w:rPr>
          <w:rFonts w:ascii="Arial" w:hAnsi="Arial" w:cs="Arial"/>
          <w:sz w:val="22"/>
          <w:szCs w:val="22"/>
        </w:rPr>
        <w:t xml:space="preserve"> de l’artisanat traditionnel. L’A</w:t>
      </w:r>
      <w:r w:rsidR="0015054B" w:rsidRPr="0015054B">
        <w:rPr>
          <w:rFonts w:ascii="Arial" w:hAnsi="Arial" w:cs="Arial"/>
          <w:sz w:val="22"/>
          <w:szCs w:val="22"/>
        </w:rPr>
        <w:t>ssociation</w:t>
      </w:r>
      <w:r w:rsidR="0015054B">
        <w:rPr>
          <w:rFonts w:ascii="Arial" w:hAnsi="Arial" w:cs="Arial"/>
          <w:sz w:val="22"/>
          <w:szCs w:val="22"/>
        </w:rPr>
        <w:t xml:space="preserve"> autrichienne de fauconnerie a </w:t>
      </w:r>
      <w:r w:rsidR="0015054B" w:rsidRPr="0015054B">
        <w:rPr>
          <w:rFonts w:ascii="Arial" w:hAnsi="Arial" w:cs="Arial"/>
          <w:sz w:val="22"/>
          <w:szCs w:val="22"/>
        </w:rPr>
        <w:t>également</w:t>
      </w:r>
      <w:r w:rsidR="0015054B">
        <w:rPr>
          <w:rFonts w:ascii="Arial" w:hAnsi="Arial" w:cs="Arial"/>
          <w:sz w:val="22"/>
          <w:szCs w:val="22"/>
        </w:rPr>
        <w:t xml:space="preserve"> créé une Académie de la fauconnerie qui propose des cours théoriques et prat</w:t>
      </w:r>
      <w:r w:rsidR="00F465C2">
        <w:rPr>
          <w:rFonts w:ascii="Arial" w:hAnsi="Arial" w:cs="Arial"/>
          <w:sz w:val="22"/>
          <w:szCs w:val="22"/>
        </w:rPr>
        <w:t>iques deux à trois fois par an.</w:t>
      </w:r>
    </w:p>
    <w:p w14:paraId="0A6A839E" w14:textId="3532F235" w:rsidR="00254851" w:rsidRPr="00F465C2" w:rsidRDefault="00254851"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S’agissant de </w:t>
      </w:r>
      <w:r w:rsidRPr="00254851">
        <w:rPr>
          <w:rFonts w:ascii="Arial" w:hAnsi="Arial" w:cs="Arial"/>
          <w:b/>
          <w:sz w:val="22"/>
          <w:szCs w:val="22"/>
        </w:rPr>
        <w:t>la</w:t>
      </w:r>
      <w:r>
        <w:rPr>
          <w:rFonts w:ascii="Arial" w:hAnsi="Arial" w:cs="Arial"/>
          <w:sz w:val="22"/>
          <w:szCs w:val="22"/>
        </w:rPr>
        <w:t xml:space="preserve"> </w:t>
      </w:r>
      <w:r w:rsidRPr="00254851">
        <w:rPr>
          <w:rFonts w:ascii="Arial" w:hAnsi="Arial" w:cs="Arial"/>
          <w:b/>
          <w:sz w:val="22"/>
          <w:szCs w:val="22"/>
        </w:rPr>
        <w:t>coopération bilatérale, sous-régionale, régionale et internationale</w:t>
      </w:r>
      <w:r>
        <w:rPr>
          <w:rFonts w:ascii="Arial" w:hAnsi="Arial" w:cs="Arial"/>
          <w:sz w:val="22"/>
          <w:szCs w:val="22"/>
        </w:rPr>
        <w:t>, le niveau des échanges entre l’ÖUK et les commissions nationales des pays voisins est élevé. Grâce à sa plateforme en ligne</w:t>
      </w:r>
      <w:r w:rsidRPr="001E2AD9">
        <w:rPr>
          <w:rFonts w:ascii="Arial" w:hAnsi="Arial" w:cs="Arial"/>
          <w:sz w:val="22"/>
          <w:szCs w:val="22"/>
        </w:rPr>
        <w:t>, les spécialistes de programmes consacrés</w:t>
      </w:r>
      <w:r>
        <w:rPr>
          <w:rFonts w:ascii="Arial" w:hAnsi="Arial" w:cs="Arial"/>
          <w:sz w:val="22"/>
          <w:szCs w:val="22"/>
        </w:rPr>
        <w:t xml:space="preserve"> au patrimoine culturel immatériel, originaires de toute l’Europe, échangent expériences et bonnes pratiques mais </w:t>
      </w:r>
      <w:r w:rsidRPr="00254851">
        <w:rPr>
          <w:rFonts w:ascii="Arial" w:hAnsi="Arial" w:cs="Arial"/>
          <w:sz w:val="22"/>
          <w:szCs w:val="22"/>
        </w:rPr>
        <w:t>également</w:t>
      </w:r>
      <w:r>
        <w:rPr>
          <w:rFonts w:ascii="Arial" w:hAnsi="Arial" w:cs="Arial"/>
          <w:sz w:val="22"/>
          <w:szCs w:val="22"/>
        </w:rPr>
        <w:t xml:space="preserve"> les problèmes constants auxquels ils </w:t>
      </w:r>
      <w:r w:rsidR="00585282">
        <w:rPr>
          <w:rFonts w:ascii="Arial" w:hAnsi="Arial" w:cs="Arial"/>
          <w:sz w:val="22"/>
          <w:szCs w:val="22"/>
        </w:rPr>
        <w:t xml:space="preserve">doivent faire </w:t>
      </w:r>
      <w:r>
        <w:rPr>
          <w:rFonts w:ascii="Arial" w:hAnsi="Arial" w:cs="Arial"/>
          <w:sz w:val="22"/>
          <w:szCs w:val="22"/>
        </w:rPr>
        <w:t>face. L’Autriche a participé à divers at</w:t>
      </w:r>
      <w:r w:rsidR="00966686">
        <w:rPr>
          <w:rFonts w:ascii="Arial" w:hAnsi="Arial" w:cs="Arial"/>
          <w:sz w:val="22"/>
          <w:szCs w:val="22"/>
        </w:rPr>
        <w:t>eliers, événements</w:t>
      </w:r>
      <w:r>
        <w:rPr>
          <w:rFonts w:ascii="Arial" w:hAnsi="Arial" w:cs="Arial"/>
          <w:sz w:val="22"/>
          <w:szCs w:val="22"/>
        </w:rPr>
        <w:t xml:space="preserve"> ou réunions d’experts </w:t>
      </w:r>
      <w:r w:rsidR="00966686">
        <w:rPr>
          <w:rFonts w:ascii="Arial" w:hAnsi="Arial" w:cs="Arial"/>
          <w:sz w:val="22"/>
          <w:szCs w:val="22"/>
        </w:rPr>
        <w:t>sur le thème de l’</w:t>
      </w:r>
      <w:r w:rsidR="00966686" w:rsidRPr="00966686">
        <w:rPr>
          <w:rFonts w:ascii="Arial" w:hAnsi="Arial" w:cs="Arial"/>
          <w:sz w:val="22"/>
          <w:szCs w:val="22"/>
        </w:rPr>
        <w:t>inventaire</w:t>
      </w:r>
      <w:r w:rsidR="00966686">
        <w:rPr>
          <w:rFonts w:ascii="Arial" w:hAnsi="Arial" w:cs="Arial"/>
          <w:sz w:val="22"/>
          <w:szCs w:val="22"/>
        </w:rPr>
        <w:t xml:space="preserve"> et elle a conseillé l’Allemagne sur sa </w:t>
      </w:r>
      <w:r w:rsidR="00966686" w:rsidRPr="00966686">
        <w:rPr>
          <w:rFonts w:ascii="Arial" w:hAnsi="Arial" w:cs="Arial"/>
          <w:sz w:val="22"/>
          <w:szCs w:val="22"/>
        </w:rPr>
        <w:t>ratification</w:t>
      </w:r>
      <w:r w:rsidR="00966686">
        <w:rPr>
          <w:rFonts w:ascii="Arial" w:hAnsi="Arial" w:cs="Arial"/>
          <w:sz w:val="22"/>
          <w:szCs w:val="22"/>
        </w:rPr>
        <w:t xml:space="preserve"> de la </w:t>
      </w:r>
      <w:r w:rsidR="00966686" w:rsidRPr="00966686">
        <w:rPr>
          <w:rFonts w:ascii="Arial" w:hAnsi="Arial" w:cs="Arial"/>
          <w:sz w:val="22"/>
          <w:szCs w:val="22"/>
        </w:rPr>
        <w:t>Convention</w:t>
      </w:r>
      <w:r w:rsidR="00966686">
        <w:rPr>
          <w:rFonts w:ascii="Arial" w:hAnsi="Arial" w:cs="Arial"/>
          <w:sz w:val="22"/>
          <w:szCs w:val="22"/>
        </w:rPr>
        <w:t xml:space="preserve"> (2011-2013) par un intense échange d’expériences et de bonnes pratiques. L’Autriche est </w:t>
      </w:r>
      <w:r w:rsidR="00966686" w:rsidRPr="00966686">
        <w:rPr>
          <w:rFonts w:ascii="Arial" w:hAnsi="Arial" w:cs="Arial"/>
          <w:sz w:val="22"/>
          <w:szCs w:val="22"/>
        </w:rPr>
        <w:t>également</w:t>
      </w:r>
      <w:r w:rsidR="00966686">
        <w:rPr>
          <w:rFonts w:ascii="Arial" w:hAnsi="Arial" w:cs="Arial"/>
          <w:sz w:val="22"/>
          <w:szCs w:val="22"/>
        </w:rPr>
        <w:t xml:space="preserve"> active au sein du Réseau d’experts </w:t>
      </w:r>
      <w:r w:rsidR="00915781">
        <w:rPr>
          <w:rFonts w:ascii="Arial" w:hAnsi="Arial" w:cs="Arial"/>
          <w:sz w:val="22"/>
          <w:szCs w:val="22"/>
        </w:rPr>
        <w:t>de l’Europe du Sud-E</w:t>
      </w:r>
      <w:r w:rsidR="00966686">
        <w:rPr>
          <w:rFonts w:ascii="Arial" w:hAnsi="Arial" w:cs="Arial"/>
          <w:sz w:val="22"/>
          <w:szCs w:val="22"/>
        </w:rPr>
        <w:t xml:space="preserve">st sur le patrimoine culturel immatériel (p. ex. inclusion de la langue de la </w:t>
      </w:r>
      <w:r w:rsidR="00966686" w:rsidRPr="001E2AD9">
        <w:rPr>
          <w:rFonts w:ascii="Arial" w:hAnsi="Arial" w:cs="Arial"/>
          <w:sz w:val="22"/>
          <w:szCs w:val="22"/>
        </w:rPr>
        <w:t>minorité rom à l’Inventaire</w:t>
      </w:r>
      <w:r w:rsidR="00966686">
        <w:rPr>
          <w:rFonts w:ascii="Arial" w:hAnsi="Arial" w:cs="Arial"/>
          <w:sz w:val="22"/>
          <w:szCs w:val="22"/>
        </w:rPr>
        <w:t xml:space="preserve"> national, présentée comme une bonne pratique) et ses représentants ont participé à plusieurs conférences et ateliers d’experts internationaux afin de partager </w:t>
      </w:r>
      <w:r w:rsidR="00966686" w:rsidRPr="00966686">
        <w:rPr>
          <w:rFonts w:ascii="Arial" w:hAnsi="Arial" w:cs="Arial"/>
          <w:sz w:val="22"/>
          <w:szCs w:val="22"/>
        </w:rPr>
        <w:t>informations</w:t>
      </w:r>
      <w:r w:rsidR="00966686">
        <w:rPr>
          <w:rFonts w:ascii="Arial" w:hAnsi="Arial" w:cs="Arial"/>
          <w:sz w:val="22"/>
          <w:szCs w:val="22"/>
        </w:rPr>
        <w:t xml:space="preserve"> et conseils. En 2013, l’Autriche a organisé un atelier international sur la mise en œuvre de la </w:t>
      </w:r>
      <w:r w:rsidR="00966686" w:rsidRPr="00966686">
        <w:rPr>
          <w:rFonts w:ascii="Arial" w:hAnsi="Arial" w:cs="Arial"/>
          <w:sz w:val="22"/>
          <w:szCs w:val="22"/>
        </w:rPr>
        <w:t>Convention</w:t>
      </w:r>
      <w:r w:rsidR="00966686">
        <w:rPr>
          <w:rFonts w:ascii="Arial" w:hAnsi="Arial" w:cs="Arial"/>
          <w:sz w:val="22"/>
          <w:szCs w:val="22"/>
        </w:rPr>
        <w:t xml:space="preserve"> de 2003 auquel ont participé des experts </w:t>
      </w:r>
      <w:r w:rsidR="00585282">
        <w:rPr>
          <w:rFonts w:ascii="Arial" w:hAnsi="Arial" w:cs="Arial"/>
          <w:sz w:val="22"/>
          <w:szCs w:val="22"/>
        </w:rPr>
        <w:t xml:space="preserve">originaires </w:t>
      </w:r>
      <w:r w:rsidR="00966686">
        <w:rPr>
          <w:rFonts w:ascii="Arial" w:hAnsi="Arial" w:cs="Arial"/>
          <w:sz w:val="22"/>
          <w:szCs w:val="22"/>
        </w:rPr>
        <w:t xml:space="preserve">de Croatie, de Tchéquie, d’Allemagne, de Hongrie, de Slovaquie, de Slovénie et de Suisse, et qui a abordé les différentes approches nationales quant à la mise en œuvre de la </w:t>
      </w:r>
      <w:r w:rsidR="00966686" w:rsidRPr="00966686">
        <w:rPr>
          <w:rFonts w:ascii="Arial" w:hAnsi="Arial" w:cs="Arial"/>
          <w:sz w:val="22"/>
          <w:szCs w:val="22"/>
        </w:rPr>
        <w:t>Convention</w:t>
      </w:r>
      <w:r w:rsidR="00966686">
        <w:rPr>
          <w:rFonts w:ascii="Arial" w:hAnsi="Arial" w:cs="Arial"/>
          <w:sz w:val="22"/>
          <w:szCs w:val="22"/>
        </w:rPr>
        <w:t xml:space="preserve"> et les thèmes prioritaires, dans l’optique </w:t>
      </w:r>
      <w:r w:rsidR="00585282">
        <w:rPr>
          <w:rFonts w:ascii="Arial" w:hAnsi="Arial" w:cs="Arial"/>
          <w:sz w:val="22"/>
          <w:szCs w:val="22"/>
        </w:rPr>
        <w:t xml:space="preserve">de futurs projets de </w:t>
      </w:r>
      <w:r w:rsidR="00585282" w:rsidRPr="00585282">
        <w:rPr>
          <w:rFonts w:ascii="Arial" w:hAnsi="Arial" w:cs="Arial"/>
          <w:sz w:val="22"/>
          <w:szCs w:val="22"/>
        </w:rPr>
        <w:t>coopération</w:t>
      </w:r>
      <w:r w:rsidR="00585282">
        <w:rPr>
          <w:rFonts w:ascii="Arial" w:hAnsi="Arial" w:cs="Arial"/>
          <w:sz w:val="22"/>
          <w:szCs w:val="22"/>
        </w:rPr>
        <w:t xml:space="preserve"> (</w:t>
      </w:r>
      <w:r w:rsidR="00585282" w:rsidRPr="00585282">
        <w:rPr>
          <w:rFonts w:ascii="Arial" w:hAnsi="Arial" w:cs="Arial"/>
          <w:sz w:val="22"/>
          <w:szCs w:val="22"/>
          <w:lang w:eastAsia="en-US"/>
        </w:rPr>
        <w:t>en particulier</w:t>
      </w:r>
      <w:r w:rsidR="00585282">
        <w:rPr>
          <w:rFonts w:ascii="Arial" w:hAnsi="Arial" w:cs="Arial"/>
          <w:sz w:val="22"/>
          <w:szCs w:val="22"/>
        </w:rPr>
        <w:t xml:space="preserve"> s’agissant de candidatures et de projets multilatéraux et transfrontaliers). Les candidatures multinationales et les autres mécanismes d’échange d’</w:t>
      </w:r>
      <w:r w:rsidR="00585282" w:rsidRPr="00585282">
        <w:rPr>
          <w:rFonts w:ascii="Arial" w:hAnsi="Arial" w:cs="Arial"/>
          <w:sz w:val="22"/>
          <w:szCs w:val="22"/>
        </w:rPr>
        <w:t>informations</w:t>
      </w:r>
      <w:r w:rsidR="00585282">
        <w:rPr>
          <w:rFonts w:ascii="Arial" w:hAnsi="Arial" w:cs="Arial"/>
          <w:sz w:val="22"/>
          <w:szCs w:val="22"/>
        </w:rPr>
        <w:t xml:space="preserve"> ont permis aux praticiens (communautés, organisations non gouvernementales, associations et experts) d’établir et d’entretenir des réseaux transnationaux et transfrontaliers (p. ex. entre les artisans et artisanes européens travaillant le bo</w:t>
      </w:r>
      <w:r w:rsidR="00F465C2">
        <w:rPr>
          <w:rFonts w:ascii="Arial" w:hAnsi="Arial" w:cs="Arial"/>
          <w:sz w:val="22"/>
          <w:szCs w:val="22"/>
        </w:rPr>
        <w:t>is).</w:t>
      </w:r>
    </w:p>
    <w:p w14:paraId="4E13622B" w14:textId="4AF541AE" w:rsidR="00745AFF" w:rsidRPr="00F465C2" w:rsidRDefault="001E7FD0" w:rsidP="00F465C2">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L’Autriche a </w:t>
      </w:r>
      <w:r w:rsidRPr="001E7FD0">
        <w:rPr>
          <w:rFonts w:ascii="Arial" w:hAnsi="Arial" w:cs="Arial"/>
          <w:b/>
          <w:sz w:val="22"/>
          <w:szCs w:val="22"/>
        </w:rPr>
        <w:t>trois éléments inscrits sur la Liste représentative</w:t>
      </w:r>
      <w:r>
        <w:rPr>
          <w:rFonts w:ascii="Arial" w:hAnsi="Arial" w:cs="Arial"/>
          <w:sz w:val="22"/>
          <w:szCs w:val="22"/>
        </w:rPr>
        <w:t xml:space="preserve">. </w:t>
      </w:r>
      <w:r w:rsidRPr="001E7FD0">
        <w:rPr>
          <w:rFonts w:ascii="Arial" w:hAnsi="Arial" w:cs="Arial"/>
          <w:i/>
          <w:sz w:val="22"/>
          <w:szCs w:val="22"/>
        </w:rPr>
        <w:t>La</w:t>
      </w:r>
      <w:r>
        <w:rPr>
          <w:rFonts w:ascii="Arial" w:hAnsi="Arial" w:cs="Arial"/>
          <w:sz w:val="22"/>
          <w:szCs w:val="22"/>
        </w:rPr>
        <w:t xml:space="preserve"> </w:t>
      </w:r>
      <w:r>
        <w:rPr>
          <w:rFonts w:ascii="Arial" w:hAnsi="Arial" w:cs="Arial"/>
          <w:i/>
          <w:sz w:val="22"/>
          <w:szCs w:val="22"/>
        </w:rPr>
        <w:t>f</w:t>
      </w:r>
      <w:r w:rsidRPr="001E7FD0">
        <w:rPr>
          <w:rFonts w:ascii="Arial" w:hAnsi="Arial" w:cs="Arial"/>
          <w:i/>
          <w:sz w:val="22"/>
          <w:szCs w:val="22"/>
        </w:rPr>
        <w:t xml:space="preserve">auconnerie, un patrimoine </w:t>
      </w:r>
      <w:r>
        <w:rPr>
          <w:rFonts w:ascii="Arial" w:hAnsi="Arial" w:cs="Arial"/>
          <w:i/>
          <w:sz w:val="22"/>
          <w:szCs w:val="22"/>
        </w:rPr>
        <w:t xml:space="preserve">humain </w:t>
      </w:r>
      <w:r w:rsidRPr="001E7FD0">
        <w:rPr>
          <w:rFonts w:ascii="Arial" w:hAnsi="Arial" w:cs="Arial"/>
          <w:i/>
          <w:sz w:val="22"/>
          <w:szCs w:val="22"/>
        </w:rPr>
        <w:t>vivant</w:t>
      </w:r>
      <w:r>
        <w:rPr>
          <w:rFonts w:ascii="Arial" w:hAnsi="Arial" w:cs="Arial"/>
          <w:sz w:val="22"/>
          <w:szCs w:val="22"/>
        </w:rPr>
        <w:t xml:space="preserve"> (avec les Émirats arabes unis, la Belgique, la Tchéquie, la France, la Hongrie, la </w:t>
      </w:r>
      <w:r w:rsidRPr="001E7FD0">
        <w:rPr>
          <w:rFonts w:ascii="Arial" w:hAnsi="Arial" w:cs="Arial"/>
          <w:sz w:val="22"/>
          <w:szCs w:val="22"/>
        </w:rPr>
        <w:t>République</w:t>
      </w:r>
      <w:r>
        <w:rPr>
          <w:rFonts w:ascii="Arial" w:hAnsi="Arial" w:cs="Arial"/>
          <w:sz w:val="22"/>
          <w:szCs w:val="22"/>
        </w:rPr>
        <w:t xml:space="preserve"> de Corée, la Mongolie, le Maroc, le Qatar, l’Arabie saoudite, l’Espagne et la </w:t>
      </w:r>
      <w:r w:rsidRPr="001E7FD0">
        <w:rPr>
          <w:rFonts w:ascii="Arial" w:hAnsi="Arial" w:cs="Arial"/>
          <w:sz w:val="22"/>
          <w:szCs w:val="22"/>
        </w:rPr>
        <w:t>République</w:t>
      </w:r>
      <w:r>
        <w:rPr>
          <w:rFonts w:ascii="Arial" w:hAnsi="Arial" w:cs="Arial"/>
          <w:sz w:val="22"/>
          <w:szCs w:val="22"/>
        </w:rPr>
        <w:t xml:space="preserve"> arabe syrienne, inscrit en 2012)</w:t>
      </w:r>
      <w:r w:rsidR="000D1C20">
        <w:rPr>
          <w:rFonts w:ascii="Arial" w:hAnsi="Arial" w:cs="Arial"/>
          <w:sz w:val="22"/>
          <w:szCs w:val="22"/>
        </w:rPr>
        <w:t xml:space="preserve"> est un élément multidimensionnel car il consiste en </w:t>
      </w:r>
      <w:r w:rsidR="00853057">
        <w:rPr>
          <w:rFonts w:ascii="Arial" w:hAnsi="Arial" w:cs="Arial"/>
          <w:sz w:val="22"/>
          <w:szCs w:val="22"/>
        </w:rPr>
        <w:t>un ensemble de</w:t>
      </w:r>
      <w:r w:rsidR="000D1C20">
        <w:rPr>
          <w:rFonts w:ascii="Arial" w:hAnsi="Arial" w:cs="Arial"/>
          <w:sz w:val="22"/>
          <w:szCs w:val="22"/>
        </w:rPr>
        <w:t xml:space="preserve"> connaissances sur les oiseaux de proie, l’</w:t>
      </w:r>
      <w:r w:rsidR="000D1C20" w:rsidRPr="000D1C20">
        <w:rPr>
          <w:rFonts w:ascii="Arial" w:hAnsi="Arial" w:cs="Arial"/>
          <w:sz w:val="22"/>
          <w:szCs w:val="22"/>
        </w:rPr>
        <w:t>environnement</w:t>
      </w:r>
      <w:r w:rsidR="000D1C20">
        <w:rPr>
          <w:rFonts w:ascii="Arial" w:hAnsi="Arial" w:cs="Arial"/>
          <w:sz w:val="22"/>
          <w:szCs w:val="22"/>
        </w:rPr>
        <w:t xml:space="preserve"> naturel, les </w:t>
      </w:r>
      <w:r w:rsidR="000D1C20" w:rsidRPr="000D1C20">
        <w:rPr>
          <w:rFonts w:ascii="Arial" w:hAnsi="Arial" w:cs="Arial"/>
          <w:sz w:val="22"/>
          <w:szCs w:val="22"/>
        </w:rPr>
        <w:t>expressions</w:t>
      </w:r>
      <w:r w:rsidR="000D1C20">
        <w:rPr>
          <w:rFonts w:ascii="Arial" w:hAnsi="Arial" w:cs="Arial"/>
          <w:sz w:val="22"/>
          <w:szCs w:val="22"/>
        </w:rPr>
        <w:t xml:space="preserve"> linguistiques et artistiques ainsi que sur l’artisanat </w:t>
      </w:r>
      <w:r w:rsidR="00FB01DB">
        <w:rPr>
          <w:rFonts w:ascii="Arial" w:hAnsi="Arial" w:cs="Arial"/>
          <w:sz w:val="22"/>
          <w:szCs w:val="22"/>
        </w:rPr>
        <w:t xml:space="preserve">traditionnel. L’élément étant </w:t>
      </w:r>
      <w:r w:rsidR="000D1C20">
        <w:rPr>
          <w:rFonts w:ascii="Arial" w:hAnsi="Arial" w:cs="Arial"/>
          <w:sz w:val="22"/>
          <w:szCs w:val="22"/>
        </w:rPr>
        <w:t xml:space="preserve">une </w:t>
      </w:r>
      <w:r w:rsidR="000D1C20" w:rsidRPr="000D1C20">
        <w:rPr>
          <w:rFonts w:ascii="Arial" w:hAnsi="Arial" w:cs="Arial"/>
          <w:sz w:val="22"/>
          <w:szCs w:val="22"/>
        </w:rPr>
        <w:t>inscription</w:t>
      </w:r>
      <w:r w:rsidR="000D1C20">
        <w:rPr>
          <w:rFonts w:ascii="Arial" w:hAnsi="Arial" w:cs="Arial"/>
          <w:sz w:val="22"/>
          <w:szCs w:val="22"/>
        </w:rPr>
        <w:t xml:space="preserve"> multinationale, les fauconniers de différents pays ont été encouragés à se réunir et à s’engager </w:t>
      </w:r>
      <w:r w:rsidR="000D1C20" w:rsidRPr="00784729">
        <w:rPr>
          <w:rFonts w:ascii="Arial" w:hAnsi="Arial" w:cs="Arial"/>
          <w:sz w:val="22"/>
          <w:szCs w:val="22"/>
        </w:rPr>
        <w:t xml:space="preserve">dans un échange interculturel de connaissances. </w:t>
      </w:r>
      <w:r w:rsidR="000D1C20" w:rsidRPr="00784729">
        <w:rPr>
          <w:rFonts w:ascii="Arial" w:hAnsi="Arial" w:cs="Arial"/>
          <w:i/>
          <w:sz w:val="22"/>
          <w:szCs w:val="22"/>
        </w:rPr>
        <w:t xml:space="preserve">Schemenlaufen, le carnaval d’Imst, Autriche </w:t>
      </w:r>
      <w:r w:rsidR="000D1C20" w:rsidRPr="00784729">
        <w:rPr>
          <w:rFonts w:ascii="Arial" w:hAnsi="Arial" w:cs="Arial"/>
          <w:sz w:val="22"/>
          <w:szCs w:val="22"/>
        </w:rPr>
        <w:t>(inscrit en 2012) est un élément important du point</w:t>
      </w:r>
      <w:r w:rsidR="000D1C20">
        <w:rPr>
          <w:rFonts w:ascii="Arial" w:hAnsi="Arial" w:cs="Arial"/>
          <w:sz w:val="22"/>
          <w:szCs w:val="22"/>
        </w:rPr>
        <w:t xml:space="preserve"> de vue social puisqu’il unifie la </w:t>
      </w:r>
      <w:r w:rsidR="000D1C20" w:rsidRPr="000D1C20">
        <w:rPr>
          <w:rFonts w:ascii="Arial" w:hAnsi="Arial" w:cs="Arial"/>
          <w:sz w:val="22"/>
          <w:szCs w:val="22"/>
        </w:rPr>
        <w:t xml:space="preserve">population </w:t>
      </w:r>
      <w:r w:rsidR="000D1C20">
        <w:rPr>
          <w:rFonts w:ascii="Arial" w:hAnsi="Arial" w:cs="Arial"/>
          <w:sz w:val="22"/>
          <w:szCs w:val="22"/>
        </w:rPr>
        <w:t xml:space="preserve">locale et constitue </w:t>
      </w:r>
      <w:r w:rsidR="000D1C20" w:rsidRPr="000D1C20">
        <w:rPr>
          <w:rFonts w:ascii="Arial" w:hAnsi="Arial" w:cs="Arial"/>
          <w:sz w:val="22"/>
          <w:szCs w:val="22"/>
        </w:rPr>
        <w:t>également</w:t>
      </w:r>
      <w:r w:rsidR="000D1C20">
        <w:rPr>
          <w:rFonts w:ascii="Arial" w:hAnsi="Arial" w:cs="Arial"/>
          <w:sz w:val="22"/>
          <w:szCs w:val="22"/>
        </w:rPr>
        <w:t xml:space="preserve"> pour les nouveaux habitants de la ville un moyen d’intégration. </w:t>
      </w:r>
      <w:r w:rsidR="001352B6">
        <w:rPr>
          <w:rFonts w:ascii="Arial" w:hAnsi="Arial" w:cs="Arial"/>
          <w:sz w:val="22"/>
          <w:szCs w:val="22"/>
        </w:rPr>
        <w:t xml:space="preserve">L’élément inclut aussi un certain nombre de pratiques culturelles, d’expressions, de connaissances et de compétences (la fabrication de masques, la </w:t>
      </w:r>
      <w:r w:rsidR="001352B6" w:rsidRPr="001352B6">
        <w:rPr>
          <w:rFonts w:ascii="Arial" w:hAnsi="Arial" w:cs="Arial"/>
          <w:sz w:val="22"/>
          <w:szCs w:val="22"/>
        </w:rPr>
        <w:t>construction</w:t>
      </w:r>
      <w:r w:rsidR="001352B6">
        <w:rPr>
          <w:rFonts w:ascii="Arial" w:hAnsi="Arial" w:cs="Arial"/>
          <w:sz w:val="22"/>
          <w:szCs w:val="22"/>
        </w:rPr>
        <w:t xml:space="preserve"> de chars du carnaval, l’art du conte et la danse). Parmi les menaces ressenties pour l’élément, on peut citer </w:t>
      </w:r>
      <w:r w:rsidR="00C80613">
        <w:rPr>
          <w:rFonts w:ascii="Arial" w:hAnsi="Arial" w:cs="Arial"/>
          <w:sz w:val="22"/>
          <w:szCs w:val="22"/>
        </w:rPr>
        <w:t>le remplacement des représentations traditionnelles sur les chars par les nouvelles technologies et les impacts du to</w:t>
      </w:r>
      <w:r w:rsidR="00853057">
        <w:rPr>
          <w:rFonts w:ascii="Arial" w:hAnsi="Arial" w:cs="Arial"/>
          <w:sz w:val="22"/>
          <w:szCs w:val="22"/>
        </w:rPr>
        <w:t xml:space="preserve">urisme ; la Maison de Fasnacht, </w:t>
      </w:r>
      <w:r w:rsidR="00C80613">
        <w:rPr>
          <w:rFonts w:ascii="Arial" w:hAnsi="Arial" w:cs="Arial"/>
          <w:sz w:val="22"/>
          <w:szCs w:val="22"/>
        </w:rPr>
        <w:t>un musée et des archives consacrés à l’</w:t>
      </w:r>
      <w:r w:rsidR="00C80613" w:rsidRPr="00C80613">
        <w:rPr>
          <w:rFonts w:ascii="Arial" w:hAnsi="Arial" w:cs="Arial"/>
          <w:sz w:val="22"/>
          <w:szCs w:val="22"/>
        </w:rPr>
        <w:t>élément</w:t>
      </w:r>
      <w:r w:rsidR="00853057">
        <w:rPr>
          <w:rFonts w:ascii="Arial" w:hAnsi="Arial" w:cs="Arial"/>
          <w:sz w:val="22"/>
          <w:szCs w:val="22"/>
        </w:rPr>
        <w:t>, joue un rôle central dans s</w:t>
      </w:r>
      <w:r w:rsidR="00C80613">
        <w:rPr>
          <w:rFonts w:ascii="Arial" w:hAnsi="Arial" w:cs="Arial"/>
          <w:sz w:val="22"/>
          <w:szCs w:val="22"/>
        </w:rPr>
        <w:t xml:space="preserve">a </w:t>
      </w:r>
      <w:r w:rsidR="00C80613" w:rsidRPr="00C80613">
        <w:rPr>
          <w:rFonts w:ascii="Arial" w:hAnsi="Arial" w:cs="Arial"/>
          <w:sz w:val="22"/>
          <w:szCs w:val="22"/>
        </w:rPr>
        <w:t>sauvegarde</w:t>
      </w:r>
      <w:r w:rsidR="00C80613">
        <w:rPr>
          <w:rFonts w:ascii="Arial" w:hAnsi="Arial" w:cs="Arial"/>
          <w:sz w:val="22"/>
          <w:szCs w:val="22"/>
        </w:rPr>
        <w:t xml:space="preserve">, c’est </w:t>
      </w:r>
      <w:r w:rsidR="00853057">
        <w:rPr>
          <w:rFonts w:ascii="Arial" w:hAnsi="Arial" w:cs="Arial"/>
          <w:sz w:val="22"/>
          <w:szCs w:val="22"/>
        </w:rPr>
        <w:t xml:space="preserve">à la fois </w:t>
      </w:r>
      <w:r w:rsidR="00C80613">
        <w:rPr>
          <w:rFonts w:ascii="Arial" w:hAnsi="Arial" w:cs="Arial"/>
          <w:sz w:val="22"/>
          <w:szCs w:val="22"/>
        </w:rPr>
        <w:t>un point de rencontre et</w:t>
      </w:r>
      <w:r w:rsidR="00853057">
        <w:rPr>
          <w:rFonts w:ascii="Arial" w:hAnsi="Arial" w:cs="Arial"/>
          <w:sz w:val="22"/>
          <w:szCs w:val="22"/>
        </w:rPr>
        <w:t xml:space="preserve"> un centre culturel, elle</w:t>
      </w:r>
      <w:r w:rsidR="00C80613">
        <w:rPr>
          <w:rFonts w:ascii="Arial" w:hAnsi="Arial" w:cs="Arial"/>
          <w:sz w:val="22"/>
          <w:szCs w:val="22"/>
        </w:rPr>
        <w:t xml:space="preserve"> </w:t>
      </w:r>
      <w:r w:rsidR="00FB01DB">
        <w:rPr>
          <w:rFonts w:ascii="Arial" w:hAnsi="Arial" w:cs="Arial"/>
          <w:sz w:val="22"/>
          <w:szCs w:val="22"/>
        </w:rPr>
        <w:t xml:space="preserve">est un centre local de </w:t>
      </w:r>
      <w:r w:rsidR="00FB01DB" w:rsidRPr="00C80613">
        <w:rPr>
          <w:rFonts w:ascii="Arial" w:hAnsi="Arial" w:cs="Arial"/>
          <w:sz w:val="22"/>
          <w:szCs w:val="22"/>
        </w:rPr>
        <w:t>documentation</w:t>
      </w:r>
      <w:r w:rsidR="00FB01DB">
        <w:rPr>
          <w:rFonts w:ascii="Arial" w:hAnsi="Arial" w:cs="Arial"/>
          <w:sz w:val="22"/>
          <w:szCs w:val="22"/>
        </w:rPr>
        <w:t xml:space="preserve">, </w:t>
      </w:r>
      <w:r w:rsidR="00C80613">
        <w:rPr>
          <w:rFonts w:ascii="Arial" w:hAnsi="Arial" w:cs="Arial"/>
          <w:sz w:val="22"/>
          <w:szCs w:val="22"/>
        </w:rPr>
        <w:t>accueill</w:t>
      </w:r>
      <w:r w:rsidR="00FB01DB">
        <w:rPr>
          <w:rFonts w:ascii="Arial" w:hAnsi="Arial" w:cs="Arial"/>
          <w:sz w:val="22"/>
          <w:szCs w:val="22"/>
        </w:rPr>
        <w:t>e des représentations sur scène et</w:t>
      </w:r>
      <w:r w:rsidR="00C80613">
        <w:rPr>
          <w:rFonts w:ascii="Arial" w:hAnsi="Arial" w:cs="Arial"/>
          <w:sz w:val="22"/>
          <w:szCs w:val="22"/>
        </w:rPr>
        <w:t xml:space="preserve"> </w:t>
      </w:r>
      <w:r w:rsidR="00853057">
        <w:rPr>
          <w:rFonts w:ascii="Arial" w:hAnsi="Arial" w:cs="Arial"/>
          <w:sz w:val="22"/>
          <w:szCs w:val="22"/>
        </w:rPr>
        <w:t xml:space="preserve">organise </w:t>
      </w:r>
      <w:r w:rsidR="00C80613">
        <w:rPr>
          <w:rFonts w:ascii="Arial" w:hAnsi="Arial" w:cs="Arial"/>
          <w:sz w:val="22"/>
          <w:szCs w:val="22"/>
        </w:rPr>
        <w:t>d</w:t>
      </w:r>
      <w:r w:rsidR="00FB01DB">
        <w:rPr>
          <w:rFonts w:ascii="Arial" w:hAnsi="Arial" w:cs="Arial"/>
          <w:sz w:val="22"/>
          <w:szCs w:val="22"/>
        </w:rPr>
        <w:t>es activités de transmission auprès des écoles locales</w:t>
      </w:r>
      <w:r w:rsidR="00C80613">
        <w:rPr>
          <w:rFonts w:ascii="Arial" w:hAnsi="Arial" w:cs="Arial"/>
          <w:sz w:val="22"/>
          <w:szCs w:val="22"/>
        </w:rPr>
        <w:t>.</w:t>
      </w:r>
      <w:r w:rsidR="00853057">
        <w:rPr>
          <w:rFonts w:ascii="Arial" w:hAnsi="Arial" w:cs="Arial"/>
          <w:sz w:val="22"/>
          <w:szCs w:val="22"/>
        </w:rPr>
        <w:t xml:space="preserve"> Il n’est pas fait rapport de</w:t>
      </w:r>
      <w:r w:rsidR="00C80613">
        <w:rPr>
          <w:rFonts w:ascii="Arial" w:hAnsi="Arial" w:cs="Arial"/>
          <w:sz w:val="22"/>
          <w:szCs w:val="22"/>
        </w:rPr>
        <w:t xml:space="preserve"> </w:t>
      </w:r>
      <w:r w:rsidR="00853057" w:rsidRPr="00853057">
        <w:rPr>
          <w:rFonts w:ascii="Arial" w:hAnsi="Arial" w:cs="Arial"/>
          <w:i/>
          <w:sz w:val="22"/>
          <w:szCs w:val="22"/>
        </w:rPr>
        <w:t>L’équitation classique et la Haute École de l’École d’équitation espagnole de Vienne</w:t>
      </w:r>
      <w:r w:rsidR="00853057">
        <w:rPr>
          <w:rFonts w:ascii="Arial" w:hAnsi="Arial" w:cs="Arial"/>
          <w:i/>
          <w:sz w:val="22"/>
          <w:szCs w:val="22"/>
        </w:rPr>
        <w:t xml:space="preserve"> </w:t>
      </w:r>
      <w:r w:rsidR="00853057">
        <w:rPr>
          <w:rFonts w:ascii="Arial" w:hAnsi="Arial" w:cs="Arial"/>
          <w:sz w:val="22"/>
          <w:szCs w:val="22"/>
        </w:rPr>
        <w:t>(</w:t>
      </w:r>
      <w:r w:rsidR="00F465C2">
        <w:rPr>
          <w:rFonts w:ascii="Arial" w:hAnsi="Arial" w:cs="Arial"/>
          <w:sz w:val="22"/>
          <w:szCs w:val="22"/>
        </w:rPr>
        <w:t>inscrit en 2015) dans ce cycle.</w:t>
      </w:r>
    </w:p>
    <w:p w14:paraId="58A9E9A8" w14:textId="746630D6" w:rsidR="00745AFF" w:rsidRPr="00E20610" w:rsidRDefault="00E20610" w:rsidP="00745AFF">
      <w:pPr>
        <w:pStyle w:val="ListParagraph"/>
        <w:keepNext/>
        <w:pageBreakBefore/>
        <w:numPr>
          <w:ilvl w:val="3"/>
          <w:numId w:val="13"/>
        </w:numPr>
        <w:tabs>
          <w:tab w:val="left" w:pos="1134"/>
        </w:tabs>
        <w:autoSpaceDE w:val="0"/>
        <w:autoSpaceDN w:val="0"/>
        <w:adjustRightInd w:val="0"/>
        <w:spacing w:after="360"/>
        <w:ind w:left="1134" w:hanging="567"/>
        <w:rPr>
          <w:rFonts w:ascii="Arial" w:hAnsi="Arial" w:cs="Arial"/>
          <w:b/>
          <w:caps/>
          <w:sz w:val="22"/>
          <w:szCs w:val="22"/>
        </w:rPr>
      </w:pPr>
      <w:r w:rsidRPr="00E20610">
        <w:rPr>
          <w:rFonts w:ascii="Arial" w:hAnsi="Arial" w:cs="Arial"/>
          <w:b/>
          <w:caps/>
          <w:sz w:val="22"/>
          <w:szCs w:val="22"/>
        </w:rPr>
        <w:lastRenderedPageBreak/>
        <w:t>Bosnie-Herzégovine</w:t>
      </w:r>
    </w:p>
    <w:p w14:paraId="0F6C68B2" w14:textId="27D17EB6" w:rsidR="00E20610" w:rsidRPr="00F465C2" w:rsidRDefault="00E20610"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La </w:t>
      </w:r>
      <w:r w:rsidRPr="00E20610">
        <w:rPr>
          <w:rFonts w:ascii="Arial" w:hAnsi="Arial" w:cs="Arial"/>
          <w:sz w:val="22"/>
          <w:szCs w:val="22"/>
        </w:rPr>
        <w:t>Bosnie-Herzégovine</w:t>
      </w:r>
      <w:r w:rsidR="005A09E4">
        <w:rPr>
          <w:rFonts w:ascii="Arial" w:hAnsi="Arial" w:cs="Arial"/>
          <w:sz w:val="22"/>
          <w:szCs w:val="22"/>
        </w:rPr>
        <w:t>, qui est devenue un</w:t>
      </w:r>
      <w:r>
        <w:rPr>
          <w:rFonts w:ascii="Arial" w:hAnsi="Arial" w:cs="Arial"/>
          <w:sz w:val="22"/>
          <w:szCs w:val="22"/>
        </w:rPr>
        <w:t xml:space="preserve"> </w:t>
      </w:r>
      <w:r w:rsidRPr="00E20610">
        <w:rPr>
          <w:rFonts w:ascii="Arial" w:hAnsi="Arial" w:cs="Arial"/>
          <w:sz w:val="22"/>
          <w:szCs w:val="22"/>
        </w:rPr>
        <w:t>État partie</w:t>
      </w:r>
      <w:r>
        <w:rPr>
          <w:rFonts w:ascii="Arial" w:hAnsi="Arial" w:cs="Arial"/>
          <w:sz w:val="22"/>
          <w:szCs w:val="22"/>
        </w:rPr>
        <w:t xml:space="preserve"> à la Convention de 2003 en 2009, est constituée de deux entités politiques, à </w:t>
      </w:r>
      <w:r w:rsidRPr="001E2AD9">
        <w:rPr>
          <w:rFonts w:ascii="Arial" w:hAnsi="Arial" w:cs="Arial"/>
          <w:sz w:val="22"/>
          <w:szCs w:val="22"/>
        </w:rPr>
        <w:t>savoir la Fédération de Bosnie-et-Herzégovine (FBH) qui compte 10 can</w:t>
      </w:r>
      <w:r w:rsidR="0006741E" w:rsidRPr="001E2AD9">
        <w:rPr>
          <w:rFonts w:ascii="Arial" w:hAnsi="Arial" w:cs="Arial"/>
          <w:sz w:val="22"/>
          <w:szCs w:val="22"/>
        </w:rPr>
        <w:t>tons et la République serbe de Bosnie</w:t>
      </w:r>
      <w:r w:rsidR="002D7E86" w:rsidRPr="001E2AD9">
        <w:rPr>
          <w:rFonts w:ascii="Arial" w:hAnsi="Arial" w:cs="Arial"/>
          <w:sz w:val="22"/>
          <w:szCs w:val="22"/>
        </w:rPr>
        <w:t xml:space="preserve"> (R</w:t>
      </w:r>
      <w:r w:rsidR="0006741E" w:rsidRPr="001E2AD9">
        <w:rPr>
          <w:rFonts w:ascii="Arial" w:hAnsi="Arial" w:cs="Arial"/>
          <w:sz w:val="22"/>
          <w:szCs w:val="22"/>
        </w:rPr>
        <w:t>SB)</w:t>
      </w:r>
      <w:r w:rsidR="002D7E86" w:rsidRPr="001E2AD9">
        <w:rPr>
          <w:rFonts w:ascii="Arial" w:hAnsi="Arial" w:cs="Arial"/>
          <w:sz w:val="22"/>
          <w:szCs w:val="22"/>
        </w:rPr>
        <w:t>. Cette dernière est pleinement compétente en matière de patrimoine culturel tandis que</w:t>
      </w:r>
      <w:r w:rsidR="002D7E86">
        <w:rPr>
          <w:rFonts w:ascii="Arial" w:hAnsi="Arial" w:cs="Arial"/>
          <w:sz w:val="22"/>
          <w:szCs w:val="22"/>
        </w:rPr>
        <w:t xml:space="preserve"> les dix cantons de la FBH </w:t>
      </w:r>
      <w:r w:rsidR="0006741E">
        <w:rPr>
          <w:rFonts w:ascii="Arial" w:hAnsi="Arial" w:cs="Arial"/>
          <w:sz w:val="22"/>
          <w:szCs w:val="22"/>
        </w:rPr>
        <w:t>exercent leur compétence</w:t>
      </w:r>
      <w:r w:rsidR="002D7E86">
        <w:rPr>
          <w:rFonts w:ascii="Arial" w:hAnsi="Arial" w:cs="Arial"/>
          <w:sz w:val="22"/>
          <w:szCs w:val="22"/>
        </w:rPr>
        <w:t xml:space="preserve"> </w:t>
      </w:r>
      <w:r w:rsidR="0006741E">
        <w:rPr>
          <w:rFonts w:ascii="Arial" w:hAnsi="Arial" w:cs="Arial"/>
          <w:sz w:val="22"/>
          <w:szCs w:val="22"/>
        </w:rPr>
        <w:t xml:space="preserve">en matière de </w:t>
      </w:r>
      <w:r w:rsidR="0006741E" w:rsidRPr="0006741E">
        <w:rPr>
          <w:rFonts w:ascii="Arial" w:hAnsi="Arial" w:cs="Arial"/>
          <w:sz w:val="22"/>
          <w:szCs w:val="22"/>
        </w:rPr>
        <w:t>patrimoine</w:t>
      </w:r>
      <w:r w:rsidR="0006741E">
        <w:rPr>
          <w:rFonts w:ascii="Arial" w:hAnsi="Arial" w:cs="Arial"/>
          <w:sz w:val="22"/>
          <w:szCs w:val="22"/>
        </w:rPr>
        <w:t xml:space="preserve"> culturel en vertu de leur loi constitutionnelle. </w:t>
      </w:r>
      <w:r w:rsidR="005128A8">
        <w:rPr>
          <w:rFonts w:ascii="Arial" w:hAnsi="Arial" w:cs="Arial"/>
          <w:sz w:val="22"/>
          <w:szCs w:val="22"/>
        </w:rPr>
        <w:t xml:space="preserve">La </w:t>
      </w:r>
      <w:r w:rsidR="005128A8" w:rsidRPr="005128A8">
        <w:rPr>
          <w:rFonts w:ascii="Arial" w:hAnsi="Arial" w:cs="Arial"/>
          <w:b/>
          <w:sz w:val="22"/>
          <w:szCs w:val="22"/>
        </w:rPr>
        <w:t>législation</w:t>
      </w:r>
      <w:r w:rsidR="005128A8">
        <w:rPr>
          <w:rFonts w:ascii="Arial" w:hAnsi="Arial" w:cs="Arial"/>
          <w:sz w:val="22"/>
          <w:szCs w:val="22"/>
        </w:rPr>
        <w:t xml:space="preserve"> de la FBH</w:t>
      </w:r>
      <w:r w:rsidR="00547877">
        <w:rPr>
          <w:rFonts w:ascii="Arial" w:hAnsi="Arial" w:cs="Arial"/>
          <w:sz w:val="22"/>
          <w:szCs w:val="22"/>
        </w:rPr>
        <w:t xml:space="preserve"> dans le domaine du </w:t>
      </w:r>
      <w:r w:rsidR="00547877" w:rsidRPr="00547877">
        <w:rPr>
          <w:rFonts w:ascii="Arial" w:hAnsi="Arial" w:cs="Arial"/>
          <w:sz w:val="22"/>
          <w:szCs w:val="22"/>
        </w:rPr>
        <w:t>patrimoine</w:t>
      </w:r>
      <w:r w:rsidR="00547877">
        <w:rPr>
          <w:rFonts w:ascii="Arial" w:hAnsi="Arial" w:cs="Arial"/>
          <w:sz w:val="22"/>
          <w:szCs w:val="22"/>
        </w:rPr>
        <w:t xml:space="preserve"> culturel et naturel, </w:t>
      </w:r>
      <w:r w:rsidR="00547877" w:rsidRPr="00547877">
        <w:rPr>
          <w:rFonts w:ascii="Arial" w:hAnsi="Arial" w:cs="Arial"/>
          <w:sz w:val="22"/>
          <w:szCs w:val="22"/>
          <w:lang w:eastAsia="en-US"/>
        </w:rPr>
        <w:t>en particulier</w:t>
      </w:r>
      <w:r w:rsidR="00547877">
        <w:rPr>
          <w:rFonts w:ascii="Arial" w:hAnsi="Arial" w:cs="Arial"/>
          <w:sz w:val="22"/>
          <w:szCs w:val="22"/>
        </w:rPr>
        <w:t xml:space="preserve"> le projet de Loi sur la </w:t>
      </w:r>
      <w:r w:rsidR="00547877" w:rsidRPr="00547877">
        <w:rPr>
          <w:rFonts w:ascii="Arial" w:hAnsi="Arial" w:cs="Arial"/>
          <w:sz w:val="22"/>
          <w:szCs w:val="22"/>
        </w:rPr>
        <w:t>protection</w:t>
      </w:r>
      <w:r w:rsidR="00547877">
        <w:rPr>
          <w:rFonts w:ascii="Arial" w:hAnsi="Arial" w:cs="Arial"/>
          <w:sz w:val="22"/>
          <w:szCs w:val="22"/>
        </w:rPr>
        <w:t xml:space="preserve"> et </w:t>
      </w:r>
      <w:r w:rsidR="00547877" w:rsidRPr="00547877">
        <w:rPr>
          <w:rFonts w:ascii="Arial" w:hAnsi="Arial" w:cs="Arial"/>
          <w:sz w:val="22"/>
          <w:szCs w:val="22"/>
        </w:rPr>
        <w:t xml:space="preserve">l’utilisation </w:t>
      </w:r>
      <w:r w:rsidR="00547877">
        <w:rPr>
          <w:rFonts w:ascii="Arial" w:hAnsi="Arial" w:cs="Arial"/>
          <w:sz w:val="22"/>
          <w:szCs w:val="22"/>
        </w:rPr>
        <w:t xml:space="preserve">du </w:t>
      </w:r>
      <w:r w:rsidR="00547877" w:rsidRPr="00547877">
        <w:rPr>
          <w:rFonts w:ascii="Arial" w:hAnsi="Arial" w:cs="Arial"/>
          <w:sz w:val="22"/>
          <w:szCs w:val="22"/>
        </w:rPr>
        <w:t>patrimoine</w:t>
      </w:r>
      <w:r w:rsidR="00547877">
        <w:rPr>
          <w:rFonts w:ascii="Arial" w:hAnsi="Arial" w:cs="Arial"/>
          <w:sz w:val="22"/>
          <w:szCs w:val="22"/>
        </w:rPr>
        <w:t xml:space="preserve"> </w:t>
      </w:r>
      <w:r w:rsidR="00547877" w:rsidRPr="00547877">
        <w:rPr>
          <w:rFonts w:ascii="Arial" w:hAnsi="Arial" w:cs="Arial"/>
          <w:sz w:val="22"/>
          <w:szCs w:val="22"/>
        </w:rPr>
        <w:t>culturel</w:t>
      </w:r>
      <w:r w:rsidR="00547877">
        <w:rPr>
          <w:rFonts w:ascii="Arial" w:hAnsi="Arial" w:cs="Arial"/>
          <w:sz w:val="22"/>
          <w:szCs w:val="22"/>
        </w:rPr>
        <w:t>, historique et naturel</w:t>
      </w:r>
      <w:r w:rsidR="005128A8">
        <w:rPr>
          <w:rFonts w:ascii="Arial" w:hAnsi="Arial" w:cs="Arial"/>
          <w:sz w:val="22"/>
          <w:szCs w:val="22"/>
        </w:rPr>
        <w:t xml:space="preserve">, est en cours de mise en conformité avec la </w:t>
      </w:r>
      <w:r w:rsidR="005128A8" w:rsidRPr="005128A8">
        <w:rPr>
          <w:rFonts w:ascii="Arial" w:hAnsi="Arial" w:cs="Arial"/>
          <w:sz w:val="22"/>
          <w:szCs w:val="22"/>
        </w:rPr>
        <w:t>Convention</w:t>
      </w:r>
      <w:r w:rsidR="005128A8">
        <w:rPr>
          <w:rFonts w:ascii="Arial" w:hAnsi="Arial" w:cs="Arial"/>
          <w:sz w:val="22"/>
          <w:szCs w:val="22"/>
        </w:rPr>
        <w:t xml:space="preserve"> de 2003 tandis que la législation sur le </w:t>
      </w:r>
      <w:r w:rsidR="005128A8" w:rsidRPr="005128A8">
        <w:rPr>
          <w:rFonts w:ascii="Arial" w:hAnsi="Arial" w:cs="Arial"/>
          <w:sz w:val="22"/>
          <w:szCs w:val="22"/>
        </w:rPr>
        <w:t>patrimoine</w:t>
      </w:r>
      <w:r w:rsidR="005128A8">
        <w:rPr>
          <w:rFonts w:ascii="Arial" w:hAnsi="Arial" w:cs="Arial"/>
          <w:sz w:val="22"/>
          <w:szCs w:val="22"/>
        </w:rPr>
        <w:t xml:space="preserve"> culturel de deux des six cantons qui ont adopté u</w:t>
      </w:r>
      <w:r w:rsidR="00107ABF">
        <w:rPr>
          <w:rFonts w:ascii="Arial" w:hAnsi="Arial" w:cs="Arial"/>
          <w:sz w:val="22"/>
          <w:szCs w:val="22"/>
        </w:rPr>
        <w:t>ne telle législation se conforme</w:t>
      </w:r>
      <w:r w:rsidR="005128A8">
        <w:rPr>
          <w:rFonts w:ascii="Arial" w:hAnsi="Arial" w:cs="Arial"/>
          <w:sz w:val="22"/>
          <w:szCs w:val="22"/>
        </w:rPr>
        <w:t xml:space="preserve"> </w:t>
      </w:r>
      <w:r w:rsidR="005128A8" w:rsidRPr="005128A8">
        <w:rPr>
          <w:rFonts w:ascii="Arial" w:hAnsi="Arial" w:cs="Arial"/>
          <w:sz w:val="22"/>
          <w:szCs w:val="22"/>
        </w:rPr>
        <w:t>également</w:t>
      </w:r>
      <w:r w:rsidR="005128A8">
        <w:rPr>
          <w:rFonts w:ascii="Arial" w:hAnsi="Arial" w:cs="Arial"/>
          <w:sz w:val="22"/>
          <w:szCs w:val="22"/>
        </w:rPr>
        <w:t xml:space="preserve"> à la </w:t>
      </w:r>
      <w:r w:rsidR="005128A8" w:rsidRPr="005128A8">
        <w:rPr>
          <w:rFonts w:ascii="Arial" w:hAnsi="Arial" w:cs="Arial"/>
          <w:sz w:val="22"/>
          <w:szCs w:val="22"/>
        </w:rPr>
        <w:t>Convention</w:t>
      </w:r>
      <w:r w:rsidR="005128A8">
        <w:rPr>
          <w:rFonts w:ascii="Arial" w:hAnsi="Arial" w:cs="Arial"/>
          <w:sz w:val="22"/>
          <w:szCs w:val="22"/>
        </w:rPr>
        <w:t xml:space="preserve">. En RSB, </w:t>
      </w:r>
      <w:r w:rsidR="005128A8" w:rsidRPr="005128A8">
        <w:rPr>
          <w:rFonts w:ascii="Arial" w:hAnsi="Arial" w:cs="Arial"/>
          <w:sz w:val="22"/>
          <w:szCs w:val="22"/>
        </w:rPr>
        <w:t>l’</w:t>
      </w:r>
      <w:r w:rsidR="005128A8" w:rsidRPr="005128A8">
        <w:rPr>
          <w:rFonts w:ascii="Arial" w:hAnsi="Arial" w:cs="Arial"/>
          <w:b/>
          <w:sz w:val="22"/>
          <w:szCs w:val="22"/>
        </w:rPr>
        <w:t xml:space="preserve">organe </w:t>
      </w:r>
      <w:r w:rsidR="005128A8">
        <w:rPr>
          <w:rFonts w:ascii="Arial" w:hAnsi="Arial" w:cs="Arial"/>
          <w:b/>
          <w:sz w:val="22"/>
          <w:szCs w:val="22"/>
        </w:rPr>
        <w:t xml:space="preserve">ayant une </w:t>
      </w:r>
      <w:r w:rsidR="005128A8" w:rsidRPr="005128A8">
        <w:rPr>
          <w:rFonts w:ascii="Arial" w:hAnsi="Arial" w:cs="Arial"/>
          <w:b/>
          <w:sz w:val="22"/>
          <w:szCs w:val="22"/>
        </w:rPr>
        <w:t>compéten</w:t>
      </w:r>
      <w:r w:rsidR="005128A8">
        <w:rPr>
          <w:rFonts w:ascii="Arial" w:hAnsi="Arial" w:cs="Arial"/>
          <w:b/>
          <w:sz w:val="22"/>
          <w:szCs w:val="22"/>
        </w:rPr>
        <w:t>ce générale</w:t>
      </w:r>
      <w:r w:rsidR="005128A8">
        <w:rPr>
          <w:rFonts w:ascii="Arial" w:hAnsi="Arial" w:cs="Arial"/>
          <w:sz w:val="22"/>
          <w:szCs w:val="22"/>
        </w:rPr>
        <w:t xml:space="preserve"> en matière de patrimoine culturel immatériel est le </w:t>
      </w:r>
      <w:r w:rsidR="005128A8" w:rsidRPr="005128A8">
        <w:rPr>
          <w:rFonts w:ascii="Arial" w:hAnsi="Arial" w:cs="Arial"/>
          <w:sz w:val="22"/>
          <w:szCs w:val="22"/>
        </w:rPr>
        <w:t>Ministère</w:t>
      </w:r>
      <w:r w:rsidR="005128A8">
        <w:rPr>
          <w:rFonts w:ascii="Arial" w:hAnsi="Arial" w:cs="Arial"/>
          <w:sz w:val="22"/>
          <w:szCs w:val="22"/>
        </w:rPr>
        <w:t xml:space="preserve"> de l’</w:t>
      </w:r>
      <w:r w:rsidR="005128A8" w:rsidRPr="005128A8">
        <w:rPr>
          <w:rFonts w:ascii="Arial" w:hAnsi="Arial" w:cs="Arial"/>
          <w:sz w:val="22"/>
          <w:szCs w:val="22"/>
        </w:rPr>
        <w:t>éducation</w:t>
      </w:r>
      <w:r w:rsidR="005128A8">
        <w:rPr>
          <w:rFonts w:ascii="Arial" w:hAnsi="Arial" w:cs="Arial"/>
          <w:sz w:val="22"/>
          <w:szCs w:val="22"/>
        </w:rPr>
        <w:t xml:space="preserve"> et de la culture qui, en 2011, a établi une Commission pour le patrimoine culturel immatériel ; le Musée de la RSB a </w:t>
      </w:r>
      <w:r w:rsidR="005128A8" w:rsidRPr="005128A8">
        <w:rPr>
          <w:rFonts w:ascii="Arial" w:hAnsi="Arial" w:cs="Arial"/>
          <w:sz w:val="22"/>
          <w:szCs w:val="22"/>
        </w:rPr>
        <w:t>également</w:t>
      </w:r>
      <w:r w:rsidR="005128A8">
        <w:rPr>
          <w:rFonts w:ascii="Arial" w:hAnsi="Arial" w:cs="Arial"/>
          <w:sz w:val="22"/>
          <w:szCs w:val="22"/>
        </w:rPr>
        <w:t xml:space="preserve"> créé un </w:t>
      </w:r>
      <w:r w:rsidR="005128A8" w:rsidRPr="005128A8">
        <w:rPr>
          <w:rFonts w:ascii="Arial" w:hAnsi="Arial" w:cs="Arial"/>
          <w:sz w:val="22"/>
          <w:szCs w:val="22"/>
        </w:rPr>
        <w:t xml:space="preserve">Département </w:t>
      </w:r>
      <w:r w:rsidR="005128A8">
        <w:rPr>
          <w:rFonts w:ascii="Arial" w:hAnsi="Arial" w:cs="Arial"/>
          <w:sz w:val="22"/>
          <w:szCs w:val="22"/>
        </w:rPr>
        <w:t xml:space="preserve">du patrimoine culturel immatériel. </w:t>
      </w:r>
      <w:r w:rsidR="00531213">
        <w:rPr>
          <w:rFonts w:ascii="Arial" w:hAnsi="Arial" w:cs="Arial"/>
          <w:sz w:val="22"/>
          <w:szCs w:val="22"/>
        </w:rPr>
        <w:t xml:space="preserve">En FBH, le </w:t>
      </w:r>
      <w:r w:rsidR="00531213" w:rsidRPr="00531213">
        <w:rPr>
          <w:rFonts w:ascii="Arial" w:hAnsi="Arial" w:cs="Arial"/>
          <w:sz w:val="22"/>
          <w:szCs w:val="22"/>
        </w:rPr>
        <w:t xml:space="preserve">Département </w:t>
      </w:r>
      <w:r w:rsidR="00531213">
        <w:rPr>
          <w:rFonts w:ascii="Arial" w:hAnsi="Arial" w:cs="Arial"/>
          <w:sz w:val="22"/>
          <w:szCs w:val="22"/>
        </w:rPr>
        <w:t xml:space="preserve">de </w:t>
      </w:r>
      <w:r w:rsidR="00531213" w:rsidRPr="00531213">
        <w:rPr>
          <w:rFonts w:ascii="Arial" w:hAnsi="Arial" w:cs="Arial"/>
          <w:sz w:val="22"/>
          <w:szCs w:val="22"/>
        </w:rPr>
        <w:t>recherche</w:t>
      </w:r>
      <w:r w:rsidR="00531213">
        <w:rPr>
          <w:rFonts w:ascii="Arial" w:hAnsi="Arial" w:cs="Arial"/>
          <w:sz w:val="22"/>
          <w:szCs w:val="22"/>
        </w:rPr>
        <w:t xml:space="preserve"> </w:t>
      </w:r>
      <w:r w:rsidR="00531213" w:rsidRPr="00531213">
        <w:rPr>
          <w:rFonts w:ascii="Arial" w:hAnsi="Arial" w:cs="Arial"/>
          <w:sz w:val="22"/>
          <w:szCs w:val="22"/>
        </w:rPr>
        <w:t>scientifique</w:t>
      </w:r>
      <w:r w:rsidR="00531213">
        <w:rPr>
          <w:rFonts w:ascii="Arial" w:hAnsi="Arial" w:cs="Arial"/>
          <w:sz w:val="22"/>
          <w:szCs w:val="22"/>
        </w:rPr>
        <w:t xml:space="preserve"> de l’Institut de protection des monuments est engagé dans des travaux de </w:t>
      </w:r>
      <w:r w:rsidR="00531213" w:rsidRPr="00531213">
        <w:rPr>
          <w:rFonts w:ascii="Arial" w:hAnsi="Arial" w:cs="Arial"/>
          <w:sz w:val="22"/>
          <w:szCs w:val="22"/>
        </w:rPr>
        <w:t>recherche</w:t>
      </w:r>
      <w:r w:rsidR="00531213">
        <w:rPr>
          <w:rFonts w:ascii="Arial" w:hAnsi="Arial" w:cs="Arial"/>
          <w:sz w:val="22"/>
          <w:szCs w:val="22"/>
        </w:rPr>
        <w:t>, d’</w:t>
      </w:r>
      <w:r w:rsidR="00531213" w:rsidRPr="00531213">
        <w:rPr>
          <w:rFonts w:ascii="Arial" w:hAnsi="Arial" w:cs="Arial"/>
          <w:sz w:val="22"/>
          <w:szCs w:val="22"/>
        </w:rPr>
        <w:t>identification</w:t>
      </w:r>
      <w:r w:rsidR="00531213">
        <w:rPr>
          <w:rFonts w:ascii="Arial" w:hAnsi="Arial" w:cs="Arial"/>
          <w:sz w:val="22"/>
          <w:szCs w:val="22"/>
        </w:rPr>
        <w:t xml:space="preserve"> et de </w:t>
      </w:r>
      <w:r w:rsidR="00531213" w:rsidRPr="00531213">
        <w:rPr>
          <w:rFonts w:ascii="Arial" w:hAnsi="Arial" w:cs="Arial"/>
          <w:sz w:val="22"/>
          <w:szCs w:val="22"/>
        </w:rPr>
        <w:t>documentation</w:t>
      </w:r>
      <w:r w:rsidR="00531213">
        <w:rPr>
          <w:rFonts w:ascii="Arial" w:hAnsi="Arial" w:cs="Arial"/>
          <w:sz w:val="22"/>
          <w:szCs w:val="22"/>
        </w:rPr>
        <w:t xml:space="preserve"> et les Ministères cantonaux de l’</w:t>
      </w:r>
      <w:r w:rsidR="00531213" w:rsidRPr="00531213">
        <w:rPr>
          <w:rFonts w:ascii="Arial" w:hAnsi="Arial" w:cs="Arial"/>
          <w:sz w:val="22"/>
          <w:szCs w:val="22"/>
        </w:rPr>
        <w:t>éducation</w:t>
      </w:r>
      <w:r w:rsidR="00531213">
        <w:rPr>
          <w:rFonts w:ascii="Arial" w:hAnsi="Arial" w:cs="Arial"/>
          <w:sz w:val="22"/>
          <w:szCs w:val="22"/>
        </w:rPr>
        <w:t xml:space="preserve">, de la science, de la culture et des sports sont compétents en matière de </w:t>
      </w:r>
      <w:r w:rsidR="00531213" w:rsidRPr="00531213">
        <w:rPr>
          <w:rFonts w:ascii="Arial" w:hAnsi="Arial" w:cs="Arial"/>
          <w:sz w:val="22"/>
          <w:szCs w:val="22"/>
        </w:rPr>
        <w:t>patrimoine</w:t>
      </w:r>
      <w:r w:rsidR="00531213">
        <w:rPr>
          <w:rFonts w:ascii="Arial" w:hAnsi="Arial" w:cs="Arial"/>
          <w:sz w:val="22"/>
          <w:szCs w:val="22"/>
        </w:rPr>
        <w:t xml:space="preserve"> dans leurs propres cantons. </w:t>
      </w:r>
      <w:r w:rsidR="00531213" w:rsidRPr="00D4732D">
        <w:rPr>
          <w:rFonts w:ascii="Arial" w:hAnsi="Arial" w:cs="Arial"/>
          <w:i/>
          <w:sz w:val="22"/>
          <w:szCs w:val="22"/>
        </w:rPr>
        <w:t>De facto</w:t>
      </w:r>
      <w:r w:rsidR="00531213">
        <w:rPr>
          <w:rFonts w:ascii="Arial" w:hAnsi="Arial" w:cs="Arial"/>
          <w:sz w:val="22"/>
          <w:szCs w:val="22"/>
        </w:rPr>
        <w:t xml:space="preserve">, les organes qui mettent en œuvre des actions de </w:t>
      </w:r>
      <w:r w:rsidR="00531213" w:rsidRPr="00531213">
        <w:rPr>
          <w:rFonts w:ascii="Arial" w:hAnsi="Arial" w:cs="Arial"/>
          <w:sz w:val="22"/>
          <w:szCs w:val="22"/>
        </w:rPr>
        <w:t>sauvegarde</w:t>
      </w:r>
      <w:r w:rsidR="00531213">
        <w:rPr>
          <w:rFonts w:ascii="Arial" w:hAnsi="Arial" w:cs="Arial"/>
          <w:sz w:val="22"/>
          <w:szCs w:val="22"/>
        </w:rPr>
        <w:t xml:space="preserve"> sur le terrain sont les musées et autres </w:t>
      </w:r>
      <w:r w:rsidR="00531213" w:rsidRPr="00531213">
        <w:rPr>
          <w:rFonts w:ascii="Arial" w:hAnsi="Arial" w:cs="Arial"/>
          <w:sz w:val="22"/>
          <w:szCs w:val="22"/>
        </w:rPr>
        <w:t>institutions</w:t>
      </w:r>
      <w:r w:rsidR="00531213">
        <w:rPr>
          <w:rFonts w:ascii="Arial" w:hAnsi="Arial" w:cs="Arial"/>
          <w:sz w:val="22"/>
          <w:szCs w:val="22"/>
        </w:rPr>
        <w:t xml:space="preserve"> culturelles créées par les municipalités, les conseils municipaux et les organisations non gouvernementales. En outre, la branche de </w:t>
      </w:r>
      <w:r w:rsidR="00531213" w:rsidRPr="00531213">
        <w:rPr>
          <w:rFonts w:ascii="Arial" w:hAnsi="Arial" w:cs="Arial"/>
          <w:sz w:val="22"/>
          <w:szCs w:val="22"/>
        </w:rPr>
        <w:t>Bosnie-Herzégovine</w:t>
      </w:r>
      <w:r w:rsidR="00107ABF">
        <w:rPr>
          <w:rFonts w:ascii="Arial" w:hAnsi="Arial" w:cs="Arial"/>
          <w:sz w:val="22"/>
          <w:szCs w:val="22"/>
        </w:rPr>
        <w:t xml:space="preserve"> du Conseil International des Organisations de Festivals de F</w:t>
      </w:r>
      <w:r w:rsidR="00531213">
        <w:rPr>
          <w:rFonts w:ascii="Arial" w:hAnsi="Arial" w:cs="Arial"/>
          <w:sz w:val="22"/>
          <w:szCs w:val="22"/>
        </w:rPr>
        <w:t xml:space="preserve">olklore et d’arts </w:t>
      </w:r>
      <w:r w:rsidR="00531213" w:rsidRPr="00531213">
        <w:rPr>
          <w:rFonts w:ascii="Arial" w:hAnsi="Arial" w:cs="Arial"/>
          <w:sz w:val="22"/>
          <w:szCs w:val="22"/>
        </w:rPr>
        <w:t>traditionnels</w:t>
      </w:r>
      <w:r w:rsidR="00107ABF">
        <w:rPr>
          <w:rFonts w:ascii="Arial" w:hAnsi="Arial" w:cs="Arial"/>
          <w:sz w:val="22"/>
          <w:szCs w:val="22"/>
        </w:rPr>
        <w:t xml:space="preserve"> (CIOFF) joue un rôle important dans la promotion du patrimoine cu</w:t>
      </w:r>
      <w:r w:rsidR="00F465C2">
        <w:rPr>
          <w:rFonts w:ascii="Arial" w:hAnsi="Arial" w:cs="Arial"/>
          <w:sz w:val="22"/>
          <w:szCs w:val="22"/>
        </w:rPr>
        <w:t>lturel immatériel dans le pays.</w:t>
      </w:r>
    </w:p>
    <w:p w14:paraId="7E87807A" w14:textId="582F2FBC" w:rsidR="00C644A1" w:rsidRPr="00F465C2" w:rsidRDefault="00107ABF" w:rsidP="00107AB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Bien qu’aucun </w:t>
      </w:r>
      <w:r w:rsidRPr="00D4732D">
        <w:rPr>
          <w:rFonts w:ascii="Arial" w:hAnsi="Arial" w:cs="Arial"/>
          <w:sz w:val="22"/>
          <w:szCs w:val="22"/>
        </w:rPr>
        <w:t>organe</w:t>
      </w:r>
      <w:r>
        <w:rPr>
          <w:rFonts w:ascii="Arial" w:hAnsi="Arial" w:cs="Arial"/>
          <w:sz w:val="22"/>
          <w:szCs w:val="22"/>
        </w:rPr>
        <w:t xml:space="preserve"> ne soit dédié à la </w:t>
      </w:r>
      <w:r w:rsidRPr="00D4732D">
        <w:rPr>
          <w:rFonts w:ascii="Arial" w:hAnsi="Arial" w:cs="Arial"/>
          <w:b/>
          <w:sz w:val="22"/>
          <w:szCs w:val="22"/>
        </w:rPr>
        <w:t>formation</w:t>
      </w:r>
      <w:r>
        <w:rPr>
          <w:rFonts w:ascii="Arial" w:hAnsi="Arial" w:cs="Arial"/>
          <w:sz w:val="22"/>
          <w:szCs w:val="22"/>
        </w:rPr>
        <w:t xml:space="preserve"> à la gestion du patrimoine culturel immatériel, le </w:t>
      </w:r>
      <w:r w:rsidRPr="00107ABF">
        <w:rPr>
          <w:rFonts w:ascii="Arial" w:hAnsi="Arial" w:cs="Arial"/>
          <w:sz w:val="22"/>
          <w:szCs w:val="22"/>
        </w:rPr>
        <w:t>Ministère</w:t>
      </w:r>
      <w:r>
        <w:rPr>
          <w:rFonts w:ascii="Arial" w:hAnsi="Arial" w:cs="Arial"/>
          <w:sz w:val="22"/>
          <w:szCs w:val="22"/>
        </w:rPr>
        <w:t xml:space="preserve"> des affaires civiles et la C</w:t>
      </w:r>
      <w:r w:rsidRPr="00107ABF">
        <w:rPr>
          <w:rFonts w:ascii="Arial" w:hAnsi="Arial" w:cs="Arial"/>
          <w:sz w:val="22"/>
          <w:szCs w:val="22"/>
        </w:rPr>
        <w:t>ommission</w:t>
      </w:r>
      <w:r>
        <w:rPr>
          <w:rFonts w:ascii="Arial" w:hAnsi="Arial" w:cs="Arial"/>
          <w:sz w:val="22"/>
          <w:szCs w:val="22"/>
        </w:rPr>
        <w:t xml:space="preserve"> nationale de </w:t>
      </w:r>
      <w:r w:rsidRPr="00107ABF">
        <w:rPr>
          <w:rFonts w:ascii="Arial" w:hAnsi="Arial" w:cs="Arial"/>
          <w:sz w:val="22"/>
          <w:szCs w:val="22"/>
        </w:rPr>
        <w:t>Bosnie-Herzégovine</w:t>
      </w:r>
      <w:r>
        <w:rPr>
          <w:rFonts w:ascii="Arial" w:hAnsi="Arial" w:cs="Arial"/>
          <w:sz w:val="22"/>
          <w:szCs w:val="22"/>
        </w:rPr>
        <w:t xml:space="preserve"> pour l’UNESCO ont organisé, avec le soutien de l’antenne de l’UNESCO à Sarajevo, un atelier de formation sur les différents aspects de la </w:t>
      </w:r>
      <w:r w:rsidRPr="00107ABF">
        <w:rPr>
          <w:rFonts w:ascii="Arial" w:hAnsi="Arial" w:cs="Arial"/>
          <w:sz w:val="22"/>
          <w:szCs w:val="22"/>
        </w:rPr>
        <w:t>sauvegarde</w:t>
      </w:r>
      <w:r w:rsidR="00C644A1">
        <w:rPr>
          <w:rFonts w:ascii="Arial" w:hAnsi="Arial" w:cs="Arial"/>
          <w:sz w:val="22"/>
          <w:szCs w:val="22"/>
        </w:rPr>
        <w:t>, destiné</w:t>
      </w:r>
      <w:r>
        <w:rPr>
          <w:rFonts w:ascii="Arial" w:hAnsi="Arial" w:cs="Arial"/>
          <w:sz w:val="22"/>
          <w:szCs w:val="22"/>
        </w:rPr>
        <w:t xml:space="preserve"> aux représentants du </w:t>
      </w:r>
      <w:r w:rsidRPr="00107ABF">
        <w:rPr>
          <w:rFonts w:ascii="Arial" w:hAnsi="Arial" w:cs="Arial"/>
          <w:sz w:val="22"/>
          <w:szCs w:val="22"/>
        </w:rPr>
        <w:t>gouvernement</w:t>
      </w:r>
      <w:r>
        <w:rPr>
          <w:rFonts w:ascii="Arial" w:hAnsi="Arial" w:cs="Arial"/>
          <w:sz w:val="22"/>
          <w:szCs w:val="22"/>
        </w:rPr>
        <w:t xml:space="preserve">, aux ONG et aux </w:t>
      </w:r>
      <w:r w:rsidRPr="00107ABF">
        <w:rPr>
          <w:rFonts w:ascii="Arial" w:hAnsi="Arial" w:cs="Arial"/>
          <w:sz w:val="22"/>
          <w:szCs w:val="22"/>
        </w:rPr>
        <w:t>institutions</w:t>
      </w:r>
      <w:r>
        <w:rPr>
          <w:rFonts w:ascii="Arial" w:hAnsi="Arial" w:cs="Arial"/>
          <w:sz w:val="22"/>
          <w:szCs w:val="22"/>
        </w:rPr>
        <w:t xml:space="preserve"> publiques. En RSB, la </w:t>
      </w:r>
      <w:r w:rsidRPr="00107ABF">
        <w:rPr>
          <w:rFonts w:ascii="Arial" w:hAnsi="Arial" w:cs="Arial"/>
          <w:b/>
          <w:sz w:val="22"/>
          <w:szCs w:val="22"/>
        </w:rPr>
        <w:t>documentation</w:t>
      </w:r>
      <w:r>
        <w:rPr>
          <w:rFonts w:ascii="Arial" w:hAnsi="Arial" w:cs="Arial"/>
          <w:sz w:val="22"/>
          <w:szCs w:val="22"/>
        </w:rPr>
        <w:t xml:space="preserve"> est recueillie et conservée par le </w:t>
      </w:r>
      <w:r w:rsidRPr="00107ABF">
        <w:rPr>
          <w:rFonts w:ascii="Arial" w:hAnsi="Arial" w:cs="Arial"/>
          <w:sz w:val="22"/>
          <w:szCs w:val="22"/>
        </w:rPr>
        <w:t xml:space="preserve">Département </w:t>
      </w:r>
      <w:r>
        <w:rPr>
          <w:rFonts w:ascii="Arial" w:hAnsi="Arial" w:cs="Arial"/>
          <w:sz w:val="22"/>
          <w:szCs w:val="22"/>
        </w:rPr>
        <w:t>du patrimoine culturel immatériel</w:t>
      </w:r>
      <w:r w:rsidR="00C644A1">
        <w:rPr>
          <w:rFonts w:ascii="Arial" w:hAnsi="Arial" w:cs="Arial"/>
          <w:sz w:val="22"/>
          <w:szCs w:val="22"/>
        </w:rPr>
        <w:t xml:space="preserve"> du Musée et les données sont en</w:t>
      </w:r>
      <w:r>
        <w:rPr>
          <w:rFonts w:ascii="Arial" w:hAnsi="Arial" w:cs="Arial"/>
          <w:sz w:val="22"/>
          <w:szCs w:val="22"/>
        </w:rPr>
        <w:t xml:space="preserve"> libre</w:t>
      </w:r>
      <w:r w:rsidR="00C644A1">
        <w:rPr>
          <w:rFonts w:ascii="Arial" w:hAnsi="Arial" w:cs="Arial"/>
          <w:sz w:val="22"/>
          <w:szCs w:val="22"/>
        </w:rPr>
        <w:t xml:space="preserve"> accès</w:t>
      </w:r>
      <w:r>
        <w:rPr>
          <w:rFonts w:ascii="Arial" w:hAnsi="Arial" w:cs="Arial"/>
          <w:sz w:val="22"/>
          <w:szCs w:val="22"/>
        </w:rPr>
        <w:t xml:space="preserve"> pour le grand public. En FBH, le </w:t>
      </w:r>
      <w:r w:rsidRPr="00107ABF">
        <w:rPr>
          <w:rFonts w:ascii="Arial" w:hAnsi="Arial" w:cs="Arial"/>
          <w:sz w:val="22"/>
          <w:szCs w:val="22"/>
        </w:rPr>
        <w:t>Ministère</w:t>
      </w:r>
      <w:r>
        <w:rPr>
          <w:rFonts w:ascii="Arial" w:hAnsi="Arial" w:cs="Arial"/>
          <w:sz w:val="22"/>
          <w:szCs w:val="22"/>
        </w:rPr>
        <w:t xml:space="preserve"> fédéral de la culture et des sports </w:t>
      </w:r>
      <w:r w:rsidR="00C644A1">
        <w:rPr>
          <w:rFonts w:ascii="Arial" w:hAnsi="Arial" w:cs="Arial"/>
          <w:sz w:val="22"/>
          <w:szCs w:val="22"/>
        </w:rPr>
        <w:t xml:space="preserve">conserve et met à jour le registre du patrimoine culturel immatériel tandis que des </w:t>
      </w:r>
      <w:r w:rsidR="00C644A1" w:rsidRPr="00C644A1">
        <w:rPr>
          <w:rFonts w:ascii="Arial" w:hAnsi="Arial" w:cs="Arial"/>
          <w:sz w:val="22"/>
          <w:szCs w:val="22"/>
        </w:rPr>
        <w:t>institutions</w:t>
      </w:r>
      <w:r w:rsidR="00C644A1">
        <w:rPr>
          <w:rFonts w:ascii="Arial" w:hAnsi="Arial" w:cs="Arial"/>
          <w:sz w:val="22"/>
          <w:szCs w:val="22"/>
        </w:rPr>
        <w:t xml:space="preserve"> en charge de la </w:t>
      </w:r>
      <w:r w:rsidR="00C644A1" w:rsidRPr="00C644A1">
        <w:rPr>
          <w:rFonts w:ascii="Arial" w:hAnsi="Arial" w:cs="Arial"/>
          <w:sz w:val="22"/>
          <w:szCs w:val="22"/>
        </w:rPr>
        <w:t>documentation</w:t>
      </w:r>
      <w:r w:rsidR="00C644A1">
        <w:rPr>
          <w:rFonts w:ascii="Arial" w:hAnsi="Arial" w:cs="Arial"/>
          <w:sz w:val="22"/>
          <w:szCs w:val="22"/>
        </w:rPr>
        <w:t xml:space="preserve"> opèrent au niveau cantonal (par l’intermédiaire des musées, de l’Académie de musique de Sarajevo et d’un ministère cantonal). P</w:t>
      </w:r>
      <w:r w:rsidR="00C644A1" w:rsidRPr="00C644A1">
        <w:rPr>
          <w:rFonts w:ascii="Arial" w:hAnsi="Arial" w:cs="Arial"/>
          <w:sz w:val="22"/>
          <w:szCs w:val="22"/>
        </w:rPr>
        <w:t>ar ailleurs</w:t>
      </w:r>
      <w:r w:rsidR="00C644A1">
        <w:rPr>
          <w:rFonts w:ascii="Arial" w:hAnsi="Arial" w:cs="Arial"/>
          <w:sz w:val="22"/>
          <w:szCs w:val="22"/>
        </w:rPr>
        <w:t>, la Société pour la numérisation de la culture traditionnelle œuvre afin de rendre disponibles sous forme numérique les d</w:t>
      </w:r>
      <w:r w:rsidR="00F465C2">
        <w:rPr>
          <w:rFonts w:ascii="Arial" w:hAnsi="Arial" w:cs="Arial"/>
          <w:sz w:val="22"/>
          <w:szCs w:val="22"/>
        </w:rPr>
        <w:t>ossiers et documents concernés.</w:t>
      </w:r>
    </w:p>
    <w:p w14:paraId="19D1FA05" w14:textId="32FB2CA1" w:rsidR="00107ABF" w:rsidRPr="00F465C2" w:rsidRDefault="00B52A98" w:rsidP="00107ABF">
      <w:pPr>
        <w:autoSpaceDE w:val="0"/>
        <w:autoSpaceDN w:val="0"/>
        <w:adjustRightInd w:val="0"/>
        <w:spacing w:after="120"/>
        <w:ind w:left="567"/>
        <w:jc w:val="both"/>
        <w:rPr>
          <w:rFonts w:ascii="Arial" w:eastAsia="Malgun Gothic" w:hAnsi="Arial" w:cs="Arial"/>
          <w:sz w:val="22"/>
          <w:szCs w:val="22"/>
          <w:lang w:eastAsia="ko-KR"/>
        </w:rPr>
      </w:pPr>
      <w:r w:rsidRPr="004D4BE1">
        <w:rPr>
          <w:rFonts w:ascii="Arial" w:hAnsi="Arial" w:cs="Arial"/>
          <w:sz w:val="22"/>
          <w:szCs w:val="22"/>
        </w:rPr>
        <w:t>L’</w:t>
      </w:r>
      <w:r w:rsidRPr="004D4BE1">
        <w:rPr>
          <w:rFonts w:ascii="Arial" w:hAnsi="Arial" w:cs="Arial"/>
          <w:b/>
          <w:sz w:val="22"/>
          <w:szCs w:val="22"/>
        </w:rPr>
        <w:t>inventaire</w:t>
      </w:r>
      <w:r>
        <w:rPr>
          <w:rFonts w:ascii="Arial" w:hAnsi="Arial" w:cs="Arial"/>
          <w:sz w:val="22"/>
          <w:szCs w:val="22"/>
        </w:rPr>
        <w:t xml:space="preserve"> est également une activité conduite séparément au niveau de chaque entité politique, la RSB et la FBH. </w:t>
      </w:r>
      <w:r w:rsidR="004D4BE1">
        <w:rPr>
          <w:rFonts w:ascii="Arial" w:hAnsi="Arial" w:cs="Arial"/>
          <w:sz w:val="22"/>
          <w:szCs w:val="22"/>
        </w:rPr>
        <w:t xml:space="preserve">Dans le premier cas, le </w:t>
      </w:r>
      <w:r w:rsidR="004D4BE1" w:rsidRPr="004D4BE1">
        <w:rPr>
          <w:rFonts w:ascii="Arial" w:hAnsi="Arial" w:cs="Arial"/>
          <w:sz w:val="22"/>
          <w:szCs w:val="22"/>
        </w:rPr>
        <w:t xml:space="preserve">Département </w:t>
      </w:r>
      <w:r w:rsidR="004D4BE1">
        <w:rPr>
          <w:rFonts w:ascii="Arial" w:hAnsi="Arial" w:cs="Arial"/>
          <w:sz w:val="22"/>
          <w:szCs w:val="22"/>
        </w:rPr>
        <w:t xml:space="preserve">du patrimoine culturel immatériel du Musée a établi une Liste </w:t>
      </w:r>
      <w:r w:rsidR="004D4BE1" w:rsidRPr="004D4BE1">
        <w:rPr>
          <w:rFonts w:ascii="Arial" w:hAnsi="Arial" w:cs="Arial"/>
          <w:sz w:val="22"/>
          <w:szCs w:val="22"/>
        </w:rPr>
        <w:t>préliminaire</w:t>
      </w:r>
      <w:r w:rsidR="004D4BE1">
        <w:rPr>
          <w:rFonts w:ascii="Arial" w:hAnsi="Arial" w:cs="Arial"/>
          <w:sz w:val="22"/>
          <w:szCs w:val="22"/>
        </w:rPr>
        <w:t xml:space="preserve"> du patrimoine culturel immatériel de la République serbe de Bosnie qui est organisée par communautés et </w:t>
      </w:r>
      <w:r w:rsidR="004A6ACB">
        <w:rPr>
          <w:rFonts w:ascii="Arial" w:hAnsi="Arial" w:cs="Arial"/>
          <w:sz w:val="22"/>
          <w:szCs w:val="22"/>
        </w:rPr>
        <w:t xml:space="preserve">par </w:t>
      </w:r>
      <w:r w:rsidR="004D4BE1">
        <w:rPr>
          <w:rFonts w:ascii="Arial" w:hAnsi="Arial" w:cs="Arial"/>
          <w:sz w:val="22"/>
          <w:szCs w:val="22"/>
        </w:rPr>
        <w:t xml:space="preserve">groupes </w:t>
      </w:r>
      <w:r w:rsidR="001E2AD9">
        <w:rPr>
          <w:rFonts w:ascii="Arial" w:hAnsi="Arial" w:cs="Arial"/>
          <w:sz w:val="22"/>
          <w:szCs w:val="22"/>
        </w:rPr>
        <w:t>sur le territoire couvert par</w:t>
      </w:r>
      <w:r w:rsidR="004D4BE1">
        <w:rPr>
          <w:rFonts w:ascii="Arial" w:hAnsi="Arial" w:cs="Arial"/>
          <w:sz w:val="22"/>
          <w:szCs w:val="22"/>
        </w:rPr>
        <w:t xml:space="preserve"> la RSB. Ses principaux critères sont la </w:t>
      </w:r>
      <w:r w:rsidR="004D4BE1" w:rsidRPr="004D4BE1">
        <w:rPr>
          <w:rFonts w:ascii="Arial" w:hAnsi="Arial" w:cs="Arial"/>
          <w:sz w:val="22"/>
          <w:szCs w:val="22"/>
        </w:rPr>
        <w:t>viabilité</w:t>
      </w:r>
      <w:r w:rsidR="004D4BE1">
        <w:rPr>
          <w:rFonts w:ascii="Arial" w:hAnsi="Arial" w:cs="Arial"/>
          <w:sz w:val="22"/>
          <w:szCs w:val="22"/>
        </w:rPr>
        <w:t xml:space="preserve"> de l’élément et la continuité intergénérationnelle de la pratique, même si le nombre de </w:t>
      </w:r>
      <w:r w:rsidR="004D4BE1" w:rsidRPr="004D4BE1">
        <w:rPr>
          <w:rFonts w:ascii="Arial" w:hAnsi="Arial" w:cs="Arial"/>
          <w:sz w:val="22"/>
          <w:szCs w:val="22"/>
        </w:rPr>
        <w:t xml:space="preserve">détenteurs </w:t>
      </w:r>
      <w:r w:rsidR="004D4BE1">
        <w:rPr>
          <w:rFonts w:ascii="Arial" w:hAnsi="Arial" w:cs="Arial"/>
          <w:sz w:val="22"/>
          <w:szCs w:val="22"/>
        </w:rPr>
        <w:t xml:space="preserve">est plus faible qu’auparavant. La Liste </w:t>
      </w:r>
      <w:r w:rsidR="004D4BE1" w:rsidRPr="004D4BE1">
        <w:rPr>
          <w:rFonts w:ascii="Arial" w:hAnsi="Arial" w:cs="Arial"/>
          <w:sz w:val="22"/>
          <w:szCs w:val="22"/>
        </w:rPr>
        <w:t>préliminaire</w:t>
      </w:r>
      <w:r w:rsidR="004D4BE1">
        <w:rPr>
          <w:rFonts w:ascii="Arial" w:hAnsi="Arial" w:cs="Arial"/>
          <w:sz w:val="22"/>
          <w:szCs w:val="22"/>
        </w:rPr>
        <w:t xml:space="preserve"> peut être consultée par le grand public et une version synthétique est </w:t>
      </w:r>
      <w:r w:rsidR="004D4BE1" w:rsidRPr="004D4BE1">
        <w:rPr>
          <w:rFonts w:ascii="Arial" w:hAnsi="Arial" w:cs="Arial"/>
          <w:sz w:val="22"/>
          <w:szCs w:val="22"/>
        </w:rPr>
        <w:t>également</w:t>
      </w:r>
      <w:r w:rsidR="004D4BE1">
        <w:rPr>
          <w:rFonts w:ascii="Arial" w:hAnsi="Arial" w:cs="Arial"/>
          <w:sz w:val="22"/>
          <w:szCs w:val="22"/>
        </w:rPr>
        <w:t xml:space="preserve"> consultable sur les sites web officiels. Les éléments soumis à l’inscription sont proposés par les membres des communautés qui complètent des formulaires d’</w:t>
      </w:r>
      <w:r w:rsidR="004D4BE1" w:rsidRPr="004D4BE1">
        <w:rPr>
          <w:rFonts w:ascii="Arial" w:hAnsi="Arial" w:cs="Arial"/>
          <w:sz w:val="22"/>
          <w:szCs w:val="22"/>
        </w:rPr>
        <w:t>inventaire</w:t>
      </w:r>
      <w:r w:rsidR="004D4BE1">
        <w:rPr>
          <w:rFonts w:ascii="Arial" w:hAnsi="Arial" w:cs="Arial"/>
          <w:sz w:val="22"/>
          <w:szCs w:val="22"/>
        </w:rPr>
        <w:t xml:space="preserve"> avec l’aide d’experts des musées qui transmettent ces documents au </w:t>
      </w:r>
      <w:r w:rsidR="004D4BE1" w:rsidRPr="004D4BE1">
        <w:rPr>
          <w:rFonts w:ascii="Arial" w:hAnsi="Arial" w:cs="Arial"/>
          <w:sz w:val="22"/>
          <w:szCs w:val="22"/>
        </w:rPr>
        <w:t xml:space="preserve">Département </w:t>
      </w:r>
      <w:r w:rsidR="004D4BE1">
        <w:rPr>
          <w:rFonts w:ascii="Arial" w:hAnsi="Arial" w:cs="Arial"/>
          <w:sz w:val="22"/>
          <w:szCs w:val="22"/>
        </w:rPr>
        <w:t>du patrimoine culturel immatériel</w:t>
      </w:r>
      <w:r w:rsidR="00CB721A">
        <w:rPr>
          <w:rFonts w:ascii="Arial" w:hAnsi="Arial" w:cs="Arial"/>
          <w:sz w:val="22"/>
          <w:szCs w:val="22"/>
        </w:rPr>
        <w:t xml:space="preserve"> ; </w:t>
      </w:r>
      <w:r w:rsidR="004D4BE1">
        <w:rPr>
          <w:rFonts w:ascii="Arial" w:hAnsi="Arial" w:cs="Arial"/>
          <w:sz w:val="22"/>
          <w:szCs w:val="22"/>
        </w:rPr>
        <w:t xml:space="preserve">un grand nombre d’organisations non gouvernementales étant associées aux éléments à inscrire, elles participent </w:t>
      </w:r>
      <w:r w:rsidR="004D4BE1" w:rsidRPr="004D4BE1">
        <w:rPr>
          <w:rFonts w:ascii="Arial" w:hAnsi="Arial" w:cs="Arial"/>
          <w:sz w:val="22"/>
          <w:szCs w:val="22"/>
        </w:rPr>
        <w:t>également</w:t>
      </w:r>
      <w:r w:rsidR="004D4BE1">
        <w:rPr>
          <w:rFonts w:ascii="Arial" w:hAnsi="Arial" w:cs="Arial"/>
          <w:sz w:val="22"/>
          <w:szCs w:val="22"/>
        </w:rPr>
        <w:t xml:space="preserve"> à la procédure d’</w:t>
      </w:r>
      <w:r w:rsidR="004D4BE1" w:rsidRPr="004D4BE1">
        <w:rPr>
          <w:rFonts w:ascii="Arial" w:hAnsi="Arial" w:cs="Arial"/>
          <w:sz w:val="22"/>
          <w:szCs w:val="22"/>
        </w:rPr>
        <w:t>inventaire</w:t>
      </w:r>
      <w:r w:rsidR="004A6ACB">
        <w:rPr>
          <w:rFonts w:ascii="Arial" w:hAnsi="Arial" w:cs="Arial"/>
          <w:sz w:val="22"/>
          <w:szCs w:val="22"/>
        </w:rPr>
        <w:t>. En FBH, le</w:t>
      </w:r>
      <w:r w:rsidR="004D4BE1">
        <w:rPr>
          <w:rFonts w:ascii="Arial" w:hAnsi="Arial" w:cs="Arial"/>
          <w:sz w:val="22"/>
          <w:szCs w:val="22"/>
        </w:rPr>
        <w:t xml:space="preserve"> </w:t>
      </w:r>
      <w:r w:rsidR="004D4BE1" w:rsidRPr="004D4BE1">
        <w:rPr>
          <w:rFonts w:ascii="Arial" w:hAnsi="Arial" w:cs="Arial"/>
          <w:sz w:val="22"/>
          <w:szCs w:val="22"/>
        </w:rPr>
        <w:t>Ministère</w:t>
      </w:r>
      <w:r w:rsidR="004D4BE1">
        <w:rPr>
          <w:rFonts w:ascii="Arial" w:hAnsi="Arial" w:cs="Arial"/>
          <w:sz w:val="22"/>
          <w:szCs w:val="22"/>
        </w:rPr>
        <w:t xml:space="preserve"> fédéral </w:t>
      </w:r>
      <w:r w:rsidR="004A6ACB">
        <w:rPr>
          <w:rFonts w:ascii="Arial" w:hAnsi="Arial" w:cs="Arial"/>
          <w:sz w:val="22"/>
          <w:szCs w:val="22"/>
        </w:rPr>
        <w:t xml:space="preserve">administre la Liste </w:t>
      </w:r>
      <w:r w:rsidR="004A6ACB" w:rsidRPr="004A6ACB">
        <w:rPr>
          <w:rFonts w:ascii="Arial" w:hAnsi="Arial" w:cs="Arial"/>
          <w:sz w:val="22"/>
          <w:szCs w:val="22"/>
        </w:rPr>
        <w:t>préliminaire</w:t>
      </w:r>
      <w:r w:rsidR="004A6ACB">
        <w:rPr>
          <w:rFonts w:ascii="Arial" w:hAnsi="Arial" w:cs="Arial"/>
          <w:sz w:val="22"/>
          <w:szCs w:val="22"/>
        </w:rPr>
        <w:t xml:space="preserve"> du patrimoine culturel immatériel de la fédération qui a recours à des critères d’</w:t>
      </w:r>
      <w:r w:rsidR="004A6ACB" w:rsidRPr="004A6ACB">
        <w:rPr>
          <w:rFonts w:ascii="Arial" w:hAnsi="Arial" w:cs="Arial"/>
          <w:sz w:val="22"/>
          <w:szCs w:val="22"/>
        </w:rPr>
        <w:t>inscription</w:t>
      </w:r>
      <w:r w:rsidR="004A6ACB">
        <w:rPr>
          <w:rFonts w:ascii="Arial" w:hAnsi="Arial" w:cs="Arial"/>
          <w:sz w:val="22"/>
          <w:szCs w:val="22"/>
        </w:rPr>
        <w:t xml:space="preserve"> basés sur la </w:t>
      </w:r>
      <w:r w:rsidR="004A6ACB" w:rsidRPr="004A6ACB">
        <w:rPr>
          <w:rFonts w:ascii="Arial" w:hAnsi="Arial" w:cs="Arial"/>
          <w:sz w:val="22"/>
          <w:szCs w:val="22"/>
        </w:rPr>
        <w:t>Convention</w:t>
      </w:r>
      <w:r w:rsidR="004A6ACB">
        <w:rPr>
          <w:rFonts w:ascii="Arial" w:hAnsi="Arial" w:cs="Arial"/>
          <w:sz w:val="22"/>
          <w:szCs w:val="22"/>
        </w:rPr>
        <w:t xml:space="preserve"> de 2003, comme en atteste le questionnaire d’</w:t>
      </w:r>
      <w:r w:rsidR="004A6ACB" w:rsidRPr="004A6ACB">
        <w:rPr>
          <w:rFonts w:ascii="Arial" w:hAnsi="Arial" w:cs="Arial"/>
          <w:sz w:val="22"/>
          <w:szCs w:val="22"/>
        </w:rPr>
        <w:t>inventaire</w:t>
      </w:r>
      <w:r w:rsidR="004A6ACB">
        <w:rPr>
          <w:rFonts w:ascii="Arial" w:hAnsi="Arial" w:cs="Arial"/>
          <w:sz w:val="22"/>
          <w:szCs w:val="22"/>
        </w:rPr>
        <w:t xml:space="preserve"> que doivent remplir ceux qui souhaitent proposer un élément à l’</w:t>
      </w:r>
      <w:r w:rsidR="004A6ACB" w:rsidRPr="004A6ACB">
        <w:rPr>
          <w:rFonts w:ascii="Arial" w:hAnsi="Arial" w:cs="Arial"/>
          <w:sz w:val="22"/>
          <w:szCs w:val="22"/>
        </w:rPr>
        <w:t>inscription</w:t>
      </w:r>
      <w:r w:rsidR="004A6ACB">
        <w:rPr>
          <w:rFonts w:ascii="Arial" w:hAnsi="Arial" w:cs="Arial"/>
          <w:sz w:val="22"/>
          <w:szCs w:val="22"/>
        </w:rPr>
        <w:t>. L’</w:t>
      </w:r>
      <w:r w:rsidR="004A6ACB" w:rsidRPr="004A6ACB">
        <w:rPr>
          <w:rFonts w:ascii="Arial" w:hAnsi="Arial" w:cs="Arial"/>
          <w:sz w:val="22"/>
          <w:szCs w:val="22"/>
        </w:rPr>
        <w:t>inventaire</w:t>
      </w:r>
      <w:r w:rsidR="004A6ACB">
        <w:rPr>
          <w:rFonts w:ascii="Arial" w:hAnsi="Arial" w:cs="Arial"/>
          <w:sz w:val="22"/>
          <w:szCs w:val="22"/>
        </w:rPr>
        <w:t xml:space="preserve"> est perpétuellement mis à jour, en </w:t>
      </w:r>
      <w:r w:rsidR="004A6ACB" w:rsidRPr="004A6ACB">
        <w:rPr>
          <w:rFonts w:ascii="Arial" w:hAnsi="Arial" w:cs="Arial"/>
          <w:sz w:val="22"/>
          <w:szCs w:val="22"/>
          <w:lang w:eastAsia="en-US"/>
        </w:rPr>
        <w:t>coordination</w:t>
      </w:r>
      <w:r w:rsidR="004A6ACB">
        <w:rPr>
          <w:rFonts w:ascii="Arial" w:hAnsi="Arial" w:cs="Arial"/>
          <w:sz w:val="22"/>
          <w:szCs w:val="22"/>
        </w:rPr>
        <w:t xml:space="preserve"> avec les autorités cantonales compétentes et sur </w:t>
      </w:r>
      <w:r w:rsidR="004A6ACB">
        <w:rPr>
          <w:rFonts w:ascii="Arial" w:hAnsi="Arial" w:cs="Arial"/>
          <w:sz w:val="22"/>
          <w:szCs w:val="22"/>
        </w:rPr>
        <w:lastRenderedPageBreak/>
        <w:t xml:space="preserve">la base des </w:t>
      </w:r>
      <w:r w:rsidR="004A6ACB">
        <w:rPr>
          <w:rFonts w:ascii="Arial" w:hAnsi="Arial" w:cs="Arial"/>
          <w:sz w:val="22"/>
          <w:szCs w:val="22"/>
          <w:lang w:eastAsia="en-US"/>
        </w:rPr>
        <w:t xml:space="preserve">initiatives des organisations non gouvernementales. L’inventaire peut être consulté sur le site web du Ministère fédéral. Le rapport fait état d’une </w:t>
      </w:r>
      <w:r w:rsidR="004A6ACB" w:rsidRPr="004A6ACB">
        <w:rPr>
          <w:rFonts w:ascii="Arial" w:hAnsi="Arial" w:cs="Arial"/>
          <w:sz w:val="22"/>
          <w:szCs w:val="22"/>
          <w:lang w:eastAsia="en-US"/>
        </w:rPr>
        <w:t>participation</w:t>
      </w:r>
      <w:r w:rsidR="004A6ACB">
        <w:rPr>
          <w:rFonts w:ascii="Arial" w:hAnsi="Arial" w:cs="Arial"/>
          <w:sz w:val="22"/>
          <w:szCs w:val="22"/>
          <w:lang w:eastAsia="en-US"/>
        </w:rPr>
        <w:t xml:space="preserve"> active des </w:t>
      </w:r>
      <w:r w:rsidR="004A6ACB" w:rsidRPr="004A6ACB">
        <w:rPr>
          <w:rFonts w:ascii="Arial" w:hAnsi="Arial" w:cs="Arial"/>
          <w:sz w:val="22"/>
          <w:szCs w:val="22"/>
          <w:lang w:eastAsia="en-US"/>
        </w:rPr>
        <w:t>communauté</w:t>
      </w:r>
      <w:r w:rsidR="004A6ACB">
        <w:rPr>
          <w:rFonts w:ascii="Arial" w:hAnsi="Arial" w:cs="Arial"/>
          <w:sz w:val="22"/>
          <w:szCs w:val="22"/>
          <w:lang w:eastAsia="en-US"/>
        </w:rPr>
        <w:t xml:space="preserve">s culturelles des éléments inscrits à leur </w:t>
      </w:r>
      <w:r w:rsidR="004A6ACB" w:rsidRPr="004A6ACB">
        <w:rPr>
          <w:rFonts w:ascii="Arial" w:hAnsi="Arial" w:cs="Arial"/>
          <w:sz w:val="22"/>
          <w:szCs w:val="22"/>
          <w:lang w:eastAsia="en-US"/>
        </w:rPr>
        <w:t>identification</w:t>
      </w:r>
      <w:r w:rsidR="004A6ACB">
        <w:rPr>
          <w:rFonts w:ascii="Arial" w:hAnsi="Arial" w:cs="Arial"/>
          <w:sz w:val="22"/>
          <w:szCs w:val="22"/>
          <w:lang w:eastAsia="en-US"/>
        </w:rPr>
        <w:t xml:space="preserve">, leur définition et leur </w:t>
      </w:r>
      <w:r w:rsidR="004A6ACB" w:rsidRPr="004A6ACB">
        <w:rPr>
          <w:rFonts w:ascii="Arial" w:hAnsi="Arial" w:cs="Arial"/>
          <w:sz w:val="22"/>
          <w:szCs w:val="22"/>
          <w:lang w:eastAsia="en-US"/>
        </w:rPr>
        <w:t>documentation</w:t>
      </w:r>
      <w:r w:rsidR="004A6ACB">
        <w:rPr>
          <w:rFonts w:ascii="Arial" w:hAnsi="Arial" w:cs="Arial"/>
          <w:sz w:val="22"/>
          <w:szCs w:val="22"/>
          <w:lang w:eastAsia="en-US"/>
        </w:rPr>
        <w:t xml:space="preserve">. Deux cantons ont </w:t>
      </w:r>
      <w:r w:rsidR="004A6ACB" w:rsidRPr="004A6ACB">
        <w:rPr>
          <w:rFonts w:ascii="Arial" w:hAnsi="Arial" w:cs="Arial"/>
          <w:sz w:val="22"/>
          <w:szCs w:val="22"/>
          <w:lang w:eastAsia="en-US"/>
        </w:rPr>
        <w:t>également</w:t>
      </w:r>
      <w:r w:rsidR="004A6ACB">
        <w:rPr>
          <w:rFonts w:ascii="Arial" w:hAnsi="Arial" w:cs="Arial"/>
          <w:sz w:val="22"/>
          <w:szCs w:val="22"/>
          <w:lang w:eastAsia="en-US"/>
        </w:rPr>
        <w:t xml:space="preserve"> lancé des initiatives en faveur d’un </w:t>
      </w:r>
      <w:r w:rsidR="004A6ACB" w:rsidRPr="004A6ACB">
        <w:rPr>
          <w:rFonts w:ascii="Arial" w:hAnsi="Arial" w:cs="Arial"/>
          <w:sz w:val="22"/>
          <w:szCs w:val="22"/>
          <w:lang w:eastAsia="en-US"/>
        </w:rPr>
        <w:t>inventaire</w:t>
      </w:r>
      <w:r w:rsidR="00F465C2">
        <w:rPr>
          <w:rFonts w:ascii="Arial" w:hAnsi="Arial" w:cs="Arial"/>
          <w:sz w:val="22"/>
          <w:szCs w:val="22"/>
          <w:lang w:eastAsia="en-US"/>
        </w:rPr>
        <w:t xml:space="preserve"> au niveau local.</w:t>
      </w:r>
    </w:p>
    <w:p w14:paraId="5BB5140D" w14:textId="3F5B85EE" w:rsidR="0080405D" w:rsidRPr="00F465C2" w:rsidRDefault="004A6ACB" w:rsidP="0080405D">
      <w:pPr>
        <w:autoSpaceDE w:val="0"/>
        <w:autoSpaceDN w:val="0"/>
        <w:adjustRightInd w:val="0"/>
        <w:spacing w:after="120"/>
        <w:ind w:left="567"/>
        <w:jc w:val="both"/>
        <w:rPr>
          <w:rFonts w:ascii="Arial" w:eastAsia="Malgun Gothic" w:hAnsi="Arial" w:cs="Arial"/>
          <w:sz w:val="22"/>
          <w:szCs w:val="22"/>
          <w:lang w:eastAsia="ko-KR"/>
        </w:rPr>
      </w:pPr>
      <w:r w:rsidRPr="004A6ACB">
        <w:rPr>
          <w:rFonts w:ascii="Arial" w:hAnsi="Arial" w:cs="Arial"/>
          <w:sz w:val="22"/>
          <w:szCs w:val="22"/>
        </w:rPr>
        <w:t xml:space="preserve">Les informations sur les autres </w:t>
      </w:r>
      <w:r w:rsidRPr="00E3082C">
        <w:rPr>
          <w:rFonts w:ascii="Arial" w:hAnsi="Arial" w:cs="Arial"/>
          <w:b/>
          <w:sz w:val="22"/>
          <w:szCs w:val="22"/>
        </w:rPr>
        <w:t>mesures de sauvegarde</w:t>
      </w:r>
      <w:r w:rsidR="0010678D">
        <w:rPr>
          <w:rFonts w:ascii="Arial" w:hAnsi="Arial" w:cs="Arial"/>
          <w:sz w:val="22"/>
          <w:szCs w:val="22"/>
        </w:rPr>
        <w:t xml:space="preserve"> concernent essentiellement la </w:t>
      </w:r>
      <w:r w:rsidRPr="004A6ACB">
        <w:rPr>
          <w:rFonts w:ascii="Arial" w:hAnsi="Arial" w:cs="Arial"/>
          <w:sz w:val="22"/>
          <w:szCs w:val="22"/>
        </w:rPr>
        <w:t>RSB.</w:t>
      </w:r>
      <w:r w:rsidR="0010678D">
        <w:rPr>
          <w:rFonts w:ascii="Arial" w:hAnsi="Arial" w:cs="Arial"/>
          <w:sz w:val="22"/>
          <w:szCs w:val="22"/>
        </w:rPr>
        <w:t xml:space="preserve"> Des réglementations y ont été adoptées en 2014 pour tenir à jour un Registre du patrimoine culturel immatériel de la </w:t>
      </w:r>
      <w:r w:rsidR="0010678D" w:rsidRPr="0010678D">
        <w:rPr>
          <w:rFonts w:ascii="Arial" w:hAnsi="Arial" w:cs="Arial"/>
          <w:sz w:val="22"/>
          <w:szCs w:val="22"/>
        </w:rPr>
        <w:t>République</w:t>
      </w:r>
      <w:r w:rsidR="0010678D">
        <w:rPr>
          <w:rFonts w:ascii="Arial" w:hAnsi="Arial" w:cs="Arial"/>
          <w:sz w:val="22"/>
          <w:szCs w:val="22"/>
        </w:rPr>
        <w:t xml:space="preserve">. </w:t>
      </w:r>
      <w:r w:rsidR="0010678D" w:rsidRPr="00D14383">
        <w:rPr>
          <w:rFonts w:ascii="Arial" w:hAnsi="Arial" w:cs="Arial"/>
          <w:sz w:val="22"/>
          <w:szCs w:val="22"/>
        </w:rPr>
        <w:t>S’agissant de la recherche, le Ministère de l’énergie et le Ministère de l’éducation</w:t>
      </w:r>
      <w:r w:rsidR="00F2338B" w:rsidRPr="00D14383">
        <w:rPr>
          <w:rFonts w:ascii="Arial" w:hAnsi="Arial" w:cs="Arial"/>
          <w:sz w:val="22"/>
          <w:szCs w:val="22"/>
        </w:rPr>
        <w:t xml:space="preserve"> et de la culture ont </w:t>
      </w:r>
      <w:r w:rsidR="0010678D" w:rsidRPr="00D14383">
        <w:rPr>
          <w:rFonts w:ascii="Arial" w:hAnsi="Arial" w:cs="Arial"/>
          <w:sz w:val="22"/>
          <w:szCs w:val="22"/>
        </w:rPr>
        <w:t xml:space="preserve">financé </w:t>
      </w:r>
      <w:r w:rsidR="00F2338B" w:rsidRPr="00D14383">
        <w:rPr>
          <w:rFonts w:ascii="Arial" w:hAnsi="Arial" w:cs="Arial"/>
          <w:sz w:val="22"/>
          <w:szCs w:val="22"/>
        </w:rPr>
        <w:t xml:space="preserve">conjointement </w:t>
      </w:r>
      <w:r w:rsidR="0010678D" w:rsidRPr="00D14383">
        <w:rPr>
          <w:rFonts w:ascii="Arial" w:hAnsi="Arial" w:cs="Arial"/>
          <w:sz w:val="22"/>
          <w:szCs w:val="22"/>
        </w:rPr>
        <w:t>un projet sur « les artisanats anciens d</w:t>
      </w:r>
      <w:r w:rsidR="00F2338B" w:rsidRPr="00D14383">
        <w:rPr>
          <w:rFonts w:ascii="Arial" w:hAnsi="Arial" w:cs="Arial"/>
          <w:sz w:val="22"/>
          <w:szCs w:val="22"/>
        </w:rPr>
        <w:t>e la République serbe de</w:t>
      </w:r>
      <w:r w:rsidR="00F2338B">
        <w:rPr>
          <w:rFonts w:ascii="Arial" w:hAnsi="Arial" w:cs="Arial"/>
          <w:sz w:val="22"/>
          <w:szCs w:val="22"/>
        </w:rPr>
        <w:t xml:space="preserve"> Bosnie »</w:t>
      </w:r>
      <w:r w:rsidR="0010678D">
        <w:rPr>
          <w:rFonts w:ascii="Arial" w:hAnsi="Arial" w:cs="Arial"/>
          <w:sz w:val="22"/>
          <w:szCs w:val="22"/>
        </w:rPr>
        <w:t xml:space="preserve"> (2007-2011) et sa publication, dans le cadre duquel les compétences, les savoirs et la maîtrise de 13 artisanats ont été enregistrés. En ce qui concerne les actions de promotion en </w:t>
      </w:r>
      <w:r w:rsidR="0010678D" w:rsidRPr="0010678D">
        <w:rPr>
          <w:rFonts w:ascii="Arial" w:hAnsi="Arial" w:cs="Arial"/>
          <w:sz w:val="22"/>
          <w:szCs w:val="22"/>
        </w:rPr>
        <w:t>République</w:t>
      </w:r>
      <w:r w:rsidR="0010678D">
        <w:rPr>
          <w:rFonts w:ascii="Arial" w:hAnsi="Arial" w:cs="Arial"/>
          <w:sz w:val="22"/>
          <w:szCs w:val="22"/>
        </w:rPr>
        <w:t xml:space="preserve"> serbe de Bosnie, des timbres-poste évoquant le patrimoine culturel immatériel ont été émis entre 2013 et 2015, des événements </w:t>
      </w:r>
      <w:r w:rsidR="0010678D" w:rsidRPr="0010678D">
        <w:rPr>
          <w:rFonts w:ascii="Arial" w:hAnsi="Arial" w:cs="Arial"/>
          <w:sz w:val="22"/>
          <w:szCs w:val="22"/>
        </w:rPr>
        <w:t>traditionnels</w:t>
      </w:r>
      <w:r w:rsidR="0010678D">
        <w:rPr>
          <w:rFonts w:ascii="Arial" w:hAnsi="Arial" w:cs="Arial"/>
          <w:sz w:val="22"/>
          <w:szCs w:val="22"/>
        </w:rPr>
        <w:t xml:space="preserve"> sont organ</w:t>
      </w:r>
      <w:r w:rsidR="0080405D">
        <w:rPr>
          <w:rFonts w:ascii="Arial" w:hAnsi="Arial" w:cs="Arial"/>
          <w:sz w:val="22"/>
          <w:szCs w:val="22"/>
        </w:rPr>
        <w:t>isés dans les lieux d’origine des éléments et toutes les communautés locales font la promotion de leurs éléments dans les médias électroniques et imprimés. Un festival de folklore, affilié au CIOFF, se dé</w:t>
      </w:r>
      <w:r w:rsidR="00F2338B">
        <w:rPr>
          <w:rFonts w:ascii="Arial" w:hAnsi="Arial" w:cs="Arial"/>
          <w:sz w:val="22"/>
          <w:szCs w:val="22"/>
        </w:rPr>
        <w:t>r</w:t>
      </w:r>
      <w:r w:rsidR="0080405D">
        <w:rPr>
          <w:rFonts w:ascii="Arial" w:hAnsi="Arial" w:cs="Arial"/>
          <w:sz w:val="22"/>
          <w:szCs w:val="22"/>
        </w:rPr>
        <w:t xml:space="preserve">oule chaque année en RSB. En FBH, le </w:t>
      </w:r>
      <w:r w:rsidR="0080405D" w:rsidRPr="0080405D">
        <w:rPr>
          <w:rFonts w:ascii="Arial" w:hAnsi="Arial" w:cs="Arial"/>
          <w:sz w:val="22"/>
          <w:szCs w:val="22"/>
        </w:rPr>
        <w:t>Ministère</w:t>
      </w:r>
      <w:r w:rsidR="0080405D">
        <w:rPr>
          <w:rFonts w:ascii="Arial" w:hAnsi="Arial" w:cs="Arial"/>
          <w:sz w:val="22"/>
          <w:szCs w:val="22"/>
        </w:rPr>
        <w:t xml:space="preserve"> fédéral soutient deux festivals certifiés par le CIOFF et a inclus le patrimoine culturel immatériel au programme et aux conférences des Journées européennes du </w:t>
      </w:r>
      <w:r w:rsidR="0080405D" w:rsidRPr="0080405D">
        <w:rPr>
          <w:rFonts w:ascii="Arial" w:hAnsi="Arial" w:cs="Arial"/>
          <w:sz w:val="22"/>
          <w:szCs w:val="22"/>
        </w:rPr>
        <w:t>patrimoine</w:t>
      </w:r>
      <w:r w:rsidR="0080405D">
        <w:rPr>
          <w:rFonts w:ascii="Arial" w:hAnsi="Arial" w:cs="Arial"/>
          <w:sz w:val="22"/>
          <w:szCs w:val="22"/>
        </w:rPr>
        <w:t>, avec des tables rondes,</w:t>
      </w:r>
      <w:r w:rsidR="00F2338B">
        <w:rPr>
          <w:rFonts w:ascii="Arial" w:hAnsi="Arial" w:cs="Arial"/>
          <w:sz w:val="22"/>
          <w:szCs w:val="22"/>
        </w:rPr>
        <w:t xml:space="preserve"> des expositions, etc. qui sont organisées afin de</w:t>
      </w:r>
      <w:r w:rsidR="0080405D">
        <w:rPr>
          <w:rFonts w:ascii="Arial" w:hAnsi="Arial" w:cs="Arial"/>
          <w:sz w:val="22"/>
          <w:szCs w:val="22"/>
        </w:rPr>
        <w:t xml:space="preserve"> promouvoir ce </w:t>
      </w:r>
      <w:r w:rsidR="0080405D" w:rsidRPr="0080405D">
        <w:rPr>
          <w:rFonts w:ascii="Arial" w:hAnsi="Arial" w:cs="Arial"/>
          <w:sz w:val="22"/>
          <w:szCs w:val="22"/>
        </w:rPr>
        <w:t>patrimoine</w:t>
      </w:r>
      <w:r w:rsidR="0080405D">
        <w:rPr>
          <w:rFonts w:ascii="Arial" w:hAnsi="Arial" w:cs="Arial"/>
          <w:sz w:val="22"/>
          <w:szCs w:val="22"/>
        </w:rPr>
        <w:t xml:space="preserve">. Sur tout le </w:t>
      </w:r>
      <w:r w:rsidR="0080405D" w:rsidRPr="0080405D">
        <w:rPr>
          <w:rFonts w:ascii="Arial" w:hAnsi="Arial" w:cs="Arial"/>
          <w:sz w:val="22"/>
          <w:szCs w:val="22"/>
        </w:rPr>
        <w:t>territoire</w:t>
      </w:r>
      <w:r w:rsidR="00F2338B">
        <w:rPr>
          <w:rFonts w:ascii="Arial" w:hAnsi="Arial" w:cs="Arial"/>
          <w:sz w:val="22"/>
          <w:szCs w:val="22"/>
        </w:rPr>
        <w:t xml:space="preserve"> de la Bosnie-</w:t>
      </w:r>
      <w:r w:rsidR="0080405D">
        <w:rPr>
          <w:rFonts w:ascii="Arial" w:hAnsi="Arial" w:cs="Arial"/>
          <w:sz w:val="22"/>
          <w:szCs w:val="22"/>
        </w:rPr>
        <w:t xml:space="preserve">Herzégovine, l’Association des clubs culturels amateurs croates en </w:t>
      </w:r>
      <w:r w:rsidR="0080405D" w:rsidRPr="0080405D">
        <w:rPr>
          <w:rFonts w:ascii="Arial" w:hAnsi="Arial" w:cs="Arial"/>
          <w:sz w:val="22"/>
          <w:szCs w:val="22"/>
        </w:rPr>
        <w:t>Bosnie-Herzégovine</w:t>
      </w:r>
      <w:r w:rsidR="0080405D">
        <w:rPr>
          <w:rFonts w:ascii="Arial" w:hAnsi="Arial" w:cs="Arial"/>
          <w:sz w:val="22"/>
          <w:szCs w:val="22"/>
        </w:rPr>
        <w:t xml:space="preserve"> (UH</w:t>
      </w:r>
      <w:r w:rsidR="00F2338B">
        <w:rPr>
          <w:rFonts w:ascii="Arial" w:hAnsi="Arial" w:cs="Arial"/>
          <w:sz w:val="22"/>
          <w:szCs w:val="22"/>
        </w:rPr>
        <w:t>AKUD) co</w:t>
      </w:r>
      <w:r w:rsidR="00CB721A">
        <w:rPr>
          <w:rFonts w:ascii="Arial" w:hAnsi="Arial" w:cs="Arial"/>
          <w:sz w:val="22"/>
          <w:szCs w:val="22"/>
        </w:rPr>
        <w:t>-</w:t>
      </w:r>
      <w:r w:rsidR="00F2338B">
        <w:rPr>
          <w:rFonts w:ascii="Arial" w:hAnsi="Arial" w:cs="Arial"/>
          <w:sz w:val="22"/>
          <w:szCs w:val="22"/>
        </w:rPr>
        <w:t xml:space="preserve">organise </w:t>
      </w:r>
      <w:r w:rsidR="0080405D">
        <w:rPr>
          <w:rFonts w:ascii="Arial" w:hAnsi="Arial" w:cs="Arial"/>
          <w:sz w:val="22"/>
          <w:szCs w:val="22"/>
        </w:rPr>
        <w:t>un certain nombre d’événements culturels et a mis en place un système de</w:t>
      </w:r>
      <w:r w:rsidR="00F2338B">
        <w:rPr>
          <w:rFonts w:ascii="Arial" w:hAnsi="Arial" w:cs="Arial"/>
          <w:sz w:val="22"/>
          <w:szCs w:val="22"/>
        </w:rPr>
        <w:t>stiné à</w:t>
      </w:r>
      <w:r w:rsidR="0080405D">
        <w:rPr>
          <w:rFonts w:ascii="Arial" w:hAnsi="Arial" w:cs="Arial"/>
          <w:sz w:val="22"/>
          <w:szCs w:val="22"/>
        </w:rPr>
        <w:t xml:space="preserve"> </w:t>
      </w:r>
      <w:r w:rsidR="0080405D" w:rsidRPr="0080405D">
        <w:rPr>
          <w:rFonts w:ascii="Arial" w:hAnsi="Arial" w:cs="Arial"/>
          <w:sz w:val="22"/>
          <w:szCs w:val="22"/>
        </w:rPr>
        <w:t>sauvegarde</w:t>
      </w:r>
      <w:r w:rsidR="00F2338B">
        <w:rPr>
          <w:rFonts w:ascii="Arial" w:hAnsi="Arial" w:cs="Arial"/>
          <w:sz w:val="22"/>
          <w:szCs w:val="22"/>
        </w:rPr>
        <w:t>r, réévaluer et transmettre</w:t>
      </w:r>
      <w:r w:rsidR="0080405D" w:rsidRPr="0080405D">
        <w:rPr>
          <w:rFonts w:ascii="Arial" w:hAnsi="Arial" w:cs="Arial"/>
          <w:sz w:val="22"/>
          <w:szCs w:val="22"/>
        </w:rPr>
        <w:t xml:space="preserve"> </w:t>
      </w:r>
      <w:r w:rsidR="00F2338B">
        <w:rPr>
          <w:rFonts w:ascii="Arial" w:hAnsi="Arial" w:cs="Arial"/>
          <w:sz w:val="22"/>
          <w:szCs w:val="22"/>
        </w:rPr>
        <w:t>des éléments</w:t>
      </w:r>
      <w:r w:rsidR="0080405D">
        <w:rPr>
          <w:rFonts w:ascii="Arial" w:hAnsi="Arial" w:cs="Arial"/>
          <w:sz w:val="22"/>
          <w:szCs w:val="22"/>
        </w:rPr>
        <w:t xml:space="preserve"> </w:t>
      </w:r>
      <w:r w:rsidR="00F2338B">
        <w:rPr>
          <w:rFonts w:ascii="Arial" w:hAnsi="Arial" w:cs="Arial"/>
          <w:sz w:val="22"/>
          <w:szCs w:val="22"/>
        </w:rPr>
        <w:t xml:space="preserve">ainsi qu’à les </w:t>
      </w:r>
      <w:r w:rsidR="0080405D">
        <w:rPr>
          <w:rFonts w:ascii="Arial" w:hAnsi="Arial" w:cs="Arial"/>
          <w:sz w:val="22"/>
          <w:szCs w:val="22"/>
        </w:rPr>
        <w:t>cartographie</w:t>
      </w:r>
      <w:r w:rsidR="00F2338B">
        <w:rPr>
          <w:rFonts w:ascii="Arial" w:hAnsi="Arial" w:cs="Arial"/>
          <w:sz w:val="22"/>
          <w:szCs w:val="22"/>
        </w:rPr>
        <w:t>r</w:t>
      </w:r>
      <w:r w:rsidR="0080405D">
        <w:rPr>
          <w:rFonts w:ascii="Arial" w:hAnsi="Arial" w:cs="Arial"/>
          <w:sz w:val="22"/>
          <w:szCs w:val="22"/>
        </w:rPr>
        <w:t xml:space="preserve"> et </w:t>
      </w:r>
      <w:r w:rsidR="00F2338B">
        <w:rPr>
          <w:rFonts w:ascii="Arial" w:hAnsi="Arial" w:cs="Arial"/>
          <w:sz w:val="22"/>
          <w:szCs w:val="22"/>
        </w:rPr>
        <w:t xml:space="preserve">à organiser des </w:t>
      </w:r>
      <w:r w:rsidR="0080405D">
        <w:rPr>
          <w:rFonts w:ascii="Arial" w:hAnsi="Arial" w:cs="Arial"/>
          <w:sz w:val="22"/>
          <w:szCs w:val="22"/>
        </w:rPr>
        <w:t>actions d’</w:t>
      </w:r>
      <w:r w:rsidR="0080405D" w:rsidRPr="0080405D">
        <w:rPr>
          <w:rFonts w:ascii="Arial" w:hAnsi="Arial" w:cs="Arial"/>
          <w:sz w:val="22"/>
          <w:szCs w:val="22"/>
        </w:rPr>
        <w:t>éducation</w:t>
      </w:r>
      <w:r w:rsidR="0080405D">
        <w:rPr>
          <w:rFonts w:ascii="Arial" w:hAnsi="Arial" w:cs="Arial"/>
          <w:sz w:val="22"/>
          <w:szCs w:val="22"/>
        </w:rPr>
        <w:t xml:space="preserve"> informelle. Cette </w:t>
      </w:r>
      <w:r w:rsidR="0080405D" w:rsidRPr="0080405D">
        <w:rPr>
          <w:rFonts w:ascii="Arial" w:hAnsi="Arial" w:cs="Arial"/>
          <w:sz w:val="22"/>
          <w:szCs w:val="22"/>
        </w:rPr>
        <w:t>association</w:t>
      </w:r>
      <w:r w:rsidR="0080405D">
        <w:rPr>
          <w:rFonts w:ascii="Arial" w:hAnsi="Arial" w:cs="Arial"/>
          <w:sz w:val="22"/>
          <w:szCs w:val="22"/>
        </w:rPr>
        <w:t xml:space="preserve"> organise aussi des ateliers, des séminaires, des parades folklorique</w:t>
      </w:r>
      <w:r w:rsidR="00F465C2">
        <w:rPr>
          <w:rFonts w:ascii="Arial" w:hAnsi="Arial" w:cs="Arial"/>
          <w:sz w:val="22"/>
          <w:szCs w:val="22"/>
        </w:rPr>
        <w:t>s, des foires artisanales, etc.</w:t>
      </w:r>
    </w:p>
    <w:p w14:paraId="3294B3D5" w14:textId="390F4BA6" w:rsidR="00F2338B" w:rsidRPr="00F465C2" w:rsidRDefault="00F2338B"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Parmi les </w:t>
      </w:r>
      <w:r w:rsidRPr="00F2338B">
        <w:rPr>
          <w:rFonts w:ascii="Arial" w:hAnsi="Arial" w:cs="Arial"/>
          <w:b/>
          <w:sz w:val="22"/>
          <w:szCs w:val="22"/>
        </w:rPr>
        <w:t>programmes éducatifs</w:t>
      </w:r>
      <w:r w:rsidR="00140E76">
        <w:rPr>
          <w:rFonts w:ascii="Arial" w:hAnsi="Arial" w:cs="Arial"/>
          <w:sz w:val="22"/>
          <w:szCs w:val="22"/>
        </w:rPr>
        <w:t xml:space="preserve"> mis en œuvre en</w:t>
      </w:r>
      <w:r w:rsidR="000B4C04">
        <w:rPr>
          <w:rFonts w:ascii="Arial" w:hAnsi="Arial" w:cs="Arial"/>
          <w:sz w:val="22"/>
          <w:szCs w:val="22"/>
        </w:rPr>
        <w:t xml:space="preserve"> RSB, </w:t>
      </w:r>
      <w:r w:rsidR="00E77722">
        <w:rPr>
          <w:rFonts w:ascii="Arial" w:hAnsi="Arial" w:cs="Arial"/>
          <w:sz w:val="22"/>
          <w:szCs w:val="22"/>
        </w:rPr>
        <w:t xml:space="preserve">on citera les clubs scolaires consacrés à la broderie de Zmijanje </w:t>
      </w:r>
      <w:r w:rsidR="00140E76">
        <w:rPr>
          <w:rFonts w:ascii="Arial" w:hAnsi="Arial" w:cs="Arial"/>
          <w:sz w:val="22"/>
          <w:szCs w:val="22"/>
        </w:rPr>
        <w:t xml:space="preserve">ouverts </w:t>
      </w:r>
      <w:r w:rsidR="00E77722">
        <w:rPr>
          <w:rFonts w:ascii="Arial" w:hAnsi="Arial" w:cs="Arial"/>
          <w:sz w:val="22"/>
          <w:szCs w:val="22"/>
        </w:rPr>
        <w:t>dans les écoles élémentaires afin de tr</w:t>
      </w:r>
      <w:r w:rsidR="00B1376C">
        <w:rPr>
          <w:rFonts w:ascii="Arial" w:hAnsi="Arial" w:cs="Arial"/>
          <w:sz w:val="22"/>
          <w:szCs w:val="22"/>
        </w:rPr>
        <w:t xml:space="preserve">ansmettre cet élément et </w:t>
      </w:r>
      <w:r w:rsidR="00E77722">
        <w:rPr>
          <w:rFonts w:ascii="Arial" w:hAnsi="Arial" w:cs="Arial"/>
          <w:sz w:val="22"/>
          <w:szCs w:val="22"/>
        </w:rPr>
        <w:t xml:space="preserve">une </w:t>
      </w:r>
      <w:r w:rsidR="00E77722" w:rsidRPr="00E77722">
        <w:rPr>
          <w:rFonts w:ascii="Arial" w:hAnsi="Arial" w:cs="Arial"/>
          <w:sz w:val="22"/>
          <w:szCs w:val="22"/>
        </w:rPr>
        <w:t>association</w:t>
      </w:r>
      <w:r w:rsidR="00E77722">
        <w:rPr>
          <w:rFonts w:ascii="Arial" w:hAnsi="Arial" w:cs="Arial"/>
          <w:sz w:val="22"/>
          <w:szCs w:val="22"/>
        </w:rPr>
        <w:t xml:space="preserve"> humanitaire/culturelle</w:t>
      </w:r>
      <w:r w:rsidR="00B1376C">
        <w:rPr>
          <w:rFonts w:ascii="Arial" w:hAnsi="Arial" w:cs="Arial"/>
          <w:sz w:val="22"/>
          <w:szCs w:val="22"/>
        </w:rPr>
        <w:t xml:space="preserve"> qui</w:t>
      </w:r>
      <w:r w:rsidR="00E77722">
        <w:rPr>
          <w:rFonts w:ascii="Arial" w:hAnsi="Arial" w:cs="Arial"/>
          <w:sz w:val="22"/>
          <w:szCs w:val="22"/>
        </w:rPr>
        <w:t xml:space="preserve"> a créé deux Écoles de broderie de Zmijanje pour les femmes des communautés locales. </w:t>
      </w:r>
      <w:r w:rsidR="00B1376C">
        <w:rPr>
          <w:rFonts w:ascii="Arial" w:hAnsi="Arial" w:cs="Arial"/>
          <w:sz w:val="22"/>
          <w:szCs w:val="22"/>
        </w:rPr>
        <w:t xml:space="preserve">Cette approche informelle de la </w:t>
      </w:r>
      <w:r w:rsidR="00B1376C" w:rsidRPr="00B1376C">
        <w:rPr>
          <w:rFonts w:ascii="Arial" w:hAnsi="Arial" w:cs="Arial"/>
          <w:sz w:val="22"/>
          <w:szCs w:val="22"/>
        </w:rPr>
        <w:t xml:space="preserve">transmission </w:t>
      </w:r>
      <w:r w:rsidR="00CB721A">
        <w:rPr>
          <w:rFonts w:ascii="Arial" w:hAnsi="Arial" w:cs="Arial"/>
          <w:sz w:val="22"/>
          <w:szCs w:val="22"/>
        </w:rPr>
        <w:t xml:space="preserve">au sein de la communauté </w:t>
      </w:r>
      <w:r w:rsidR="00B1376C">
        <w:rPr>
          <w:rFonts w:ascii="Arial" w:hAnsi="Arial" w:cs="Arial"/>
          <w:sz w:val="22"/>
          <w:szCs w:val="22"/>
        </w:rPr>
        <w:t xml:space="preserve">est reconnue par les deux communautés et les </w:t>
      </w:r>
      <w:r w:rsidR="00B1376C" w:rsidRPr="00B1376C">
        <w:rPr>
          <w:rFonts w:ascii="Arial" w:hAnsi="Arial" w:cs="Arial"/>
          <w:sz w:val="22"/>
          <w:szCs w:val="22"/>
        </w:rPr>
        <w:t>autorités</w:t>
      </w:r>
      <w:r w:rsidR="00B1376C">
        <w:rPr>
          <w:rFonts w:ascii="Arial" w:hAnsi="Arial" w:cs="Arial"/>
          <w:sz w:val="22"/>
          <w:szCs w:val="22"/>
        </w:rPr>
        <w:t xml:space="preserve"> d’état. La création de centres régionaux du patrimoine culturel immatériel dans quatre musées est prévue. </w:t>
      </w:r>
      <w:r w:rsidR="00087B37">
        <w:rPr>
          <w:rFonts w:ascii="Arial" w:hAnsi="Arial" w:cs="Arial"/>
          <w:sz w:val="22"/>
          <w:szCs w:val="22"/>
        </w:rPr>
        <w:t xml:space="preserve">En FBH, les étudiants de l’Académie des </w:t>
      </w:r>
      <w:r w:rsidR="00CB721A">
        <w:rPr>
          <w:rFonts w:ascii="Arial" w:hAnsi="Arial" w:cs="Arial"/>
          <w:sz w:val="22"/>
          <w:szCs w:val="22"/>
        </w:rPr>
        <w:t>beaux-arts</w:t>
      </w:r>
      <w:r w:rsidR="00087B37">
        <w:rPr>
          <w:rFonts w:ascii="Arial" w:hAnsi="Arial" w:cs="Arial"/>
          <w:sz w:val="22"/>
          <w:szCs w:val="22"/>
        </w:rPr>
        <w:t xml:space="preserve"> de Sarajevo ont été formés par la </w:t>
      </w:r>
      <w:r w:rsidR="00087B37" w:rsidRPr="00087B37">
        <w:rPr>
          <w:rFonts w:ascii="Arial" w:hAnsi="Arial" w:cs="Arial"/>
          <w:sz w:val="22"/>
          <w:szCs w:val="22"/>
        </w:rPr>
        <w:t>communauté</w:t>
      </w:r>
      <w:r w:rsidR="00087B37">
        <w:rPr>
          <w:rFonts w:ascii="Arial" w:hAnsi="Arial" w:cs="Arial"/>
          <w:sz w:val="22"/>
          <w:szCs w:val="22"/>
        </w:rPr>
        <w:t xml:space="preserve"> locale des sculpteurs </w:t>
      </w:r>
      <w:r w:rsidR="00140E76">
        <w:rPr>
          <w:rFonts w:ascii="Arial" w:hAnsi="Arial" w:cs="Arial"/>
          <w:sz w:val="22"/>
          <w:szCs w:val="22"/>
        </w:rPr>
        <w:t xml:space="preserve">sur bois </w:t>
      </w:r>
      <w:r w:rsidR="00087B37">
        <w:rPr>
          <w:rFonts w:ascii="Arial" w:hAnsi="Arial" w:cs="Arial"/>
          <w:sz w:val="22"/>
          <w:szCs w:val="22"/>
        </w:rPr>
        <w:t>de Konjic tandis qu’au collège de Konjic, l’éducation et la for</w:t>
      </w:r>
      <w:r w:rsidR="00140E76">
        <w:rPr>
          <w:rFonts w:ascii="Arial" w:hAnsi="Arial" w:cs="Arial"/>
          <w:sz w:val="22"/>
          <w:szCs w:val="22"/>
        </w:rPr>
        <w:t>mation à la sculpture sur bois ont</w:t>
      </w:r>
      <w:r w:rsidR="00087B37">
        <w:rPr>
          <w:rFonts w:ascii="Arial" w:hAnsi="Arial" w:cs="Arial"/>
          <w:sz w:val="22"/>
          <w:szCs w:val="22"/>
        </w:rPr>
        <w:t xml:space="preserve"> été incluse</w:t>
      </w:r>
      <w:r w:rsidR="00140E76">
        <w:rPr>
          <w:rFonts w:ascii="Arial" w:hAnsi="Arial" w:cs="Arial"/>
          <w:sz w:val="22"/>
          <w:szCs w:val="22"/>
        </w:rPr>
        <w:t>s</w:t>
      </w:r>
      <w:r w:rsidR="00087B37">
        <w:rPr>
          <w:rFonts w:ascii="Arial" w:hAnsi="Arial" w:cs="Arial"/>
          <w:sz w:val="22"/>
          <w:szCs w:val="22"/>
        </w:rPr>
        <w:t xml:space="preserve"> au programme scolaire à partir de </w:t>
      </w:r>
      <w:r w:rsidR="00140E76">
        <w:rPr>
          <w:rFonts w:ascii="Arial" w:hAnsi="Arial" w:cs="Arial"/>
          <w:sz w:val="22"/>
          <w:szCs w:val="22"/>
        </w:rPr>
        <w:t xml:space="preserve">l’année scolaire </w:t>
      </w:r>
      <w:r w:rsidR="00087B37">
        <w:rPr>
          <w:rFonts w:ascii="Arial" w:hAnsi="Arial" w:cs="Arial"/>
          <w:sz w:val="22"/>
          <w:szCs w:val="22"/>
        </w:rPr>
        <w:t>2015-</w:t>
      </w:r>
      <w:r w:rsidR="00140E76">
        <w:rPr>
          <w:rFonts w:ascii="Arial" w:hAnsi="Arial" w:cs="Arial"/>
          <w:sz w:val="22"/>
          <w:szCs w:val="22"/>
        </w:rPr>
        <w:t>20</w:t>
      </w:r>
      <w:r w:rsidR="00087B37">
        <w:rPr>
          <w:rFonts w:ascii="Arial" w:hAnsi="Arial" w:cs="Arial"/>
          <w:sz w:val="22"/>
          <w:szCs w:val="22"/>
        </w:rPr>
        <w:t xml:space="preserve">16. Au niveau cantonal, la </w:t>
      </w:r>
      <w:r w:rsidR="002057A9">
        <w:rPr>
          <w:rFonts w:ascii="Arial" w:hAnsi="Arial" w:cs="Arial"/>
          <w:sz w:val="22"/>
          <w:szCs w:val="22"/>
        </w:rPr>
        <w:t>transmission</w:t>
      </w:r>
      <w:r w:rsidR="00087B37">
        <w:rPr>
          <w:rFonts w:ascii="Arial" w:hAnsi="Arial" w:cs="Arial"/>
          <w:sz w:val="22"/>
          <w:szCs w:val="22"/>
        </w:rPr>
        <w:t xml:space="preserve"> des </w:t>
      </w:r>
      <w:r w:rsidR="00087B37" w:rsidRPr="00CB600E">
        <w:rPr>
          <w:rFonts w:ascii="Arial" w:hAnsi="Arial" w:cs="Arial"/>
          <w:sz w:val="22"/>
          <w:szCs w:val="22"/>
        </w:rPr>
        <w:t xml:space="preserve">savoirs et des compétences </w:t>
      </w:r>
      <w:r w:rsidR="002057A9" w:rsidRPr="00CB600E">
        <w:rPr>
          <w:rFonts w:ascii="Arial" w:hAnsi="Arial" w:cs="Arial"/>
          <w:sz w:val="22"/>
          <w:szCs w:val="22"/>
        </w:rPr>
        <w:t xml:space="preserve">aux jeunes et aux autres personnes intéressées </w:t>
      </w:r>
      <w:r w:rsidR="00087B37" w:rsidRPr="00CB600E">
        <w:rPr>
          <w:rFonts w:ascii="Arial" w:hAnsi="Arial" w:cs="Arial"/>
          <w:sz w:val="22"/>
          <w:szCs w:val="22"/>
        </w:rPr>
        <w:t xml:space="preserve">se fait dans </w:t>
      </w:r>
      <w:r w:rsidR="002057A9" w:rsidRPr="00CB600E">
        <w:rPr>
          <w:rFonts w:ascii="Arial" w:hAnsi="Arial" w:cs="Arial"/>
          <w:sz w:val="22"/>
          <w:szCs w:val="22"/>
        </w:rPr>
        <w:t xml:space="preserve">le cadre de programmes éducatifs proposés dans les écoles et les centres communautaires ou </w:t>
      </w:r>
      <w:r w:rsidR="002D68DE" w:rsidRPr="00CB600E">
        <w:rPr>
          <w:rFonts w:ascii="Arial" w:hAnsi="Arial" w:cs="Arial"/>
          <w:sz w:val="22"/>
          <w:szCs w:val="22"/>
        </w:rPr>
        <w:t xml:space="preserve">est </w:t>
      </w:r>
      <w:r w:rsidR="002057A9" w:rsidRPr="00CB600E">
        <w:rPr>
          <w:rFonts w:ascii="Arial" w:hAnsi="Arial" w:cs="Arial"/>
          <w:sz w:val="22"/>
          <w:szCs w:val="22"/>
        </w:rPr>
        <w:t>organisé</w:t>
      </w:r>
      <w:r w:rsidR="002D68DE" w:rsidRPr="00CB600E">
        <w:rPr>
          <w:rFonts w:ascii="Arial" w:hAnsi="Arial" w:cs="Arial"/>
          <w:sz w:val="22"/>
          <w:szCs w:val="22"/>
        </w:rPr>
        <w:t>e</w:t>
      </w:r>
      <w:r w:rsidR="002057A9" w:rsidRPr="00CB600E">
        <w:rPr>
          <w:rFonts w:ascii="Arial" w:hAnsi="Arial" w:cs="Arial"/>
          <w:sz w:val="22"/>
          <w:szCs w:val="22"/>
        </w:rPr>
        <w:t xml:space="preserve"> par des associations culturelles de</w:t>
      </w:r>
      <w:r w:rsidR="002057A9">
        <w:rPr>
          <w:rFonts w:ascii="Arial" w:hAnsi="Arial" w:cs="Arial"/>
          <w:sz w:val="22"/>
          <w:szCs w:val="22"/>
        </w:rPr>
        <w:t xml:space="preserve"> détenteurs. Dans le canton de l’Herzégovine de l’ouest, une des mesures de la Stratégie de </w:t>
      </w:r>
      <w:r w:rsidR="002057A9" w:rsidRPr="002057A9">
        <w:rPr>
          <w:rFonts w:ascii="Arial" w:hAnsi="Arial" w:cs="Arial"/>
          <w:sz w:val="22"/>
          <w:szCs w:val="22"/>
        </w:rPr>
        <w:t>développement</w:t>
      </w:r>
      <w:r w:rsidR="002057A9">
        <w:rPr>
          <w:rFonts w:ascii="Arial" w:hAnsi="Arial" w:cs="Arial"/>
          <w:sz w:val="22"/>
          <w:szCs w:val="22"/>
        </w:rPr>
        <w:t xml:space="preserve"> (2014-2020) concerne la gestion du </w:t>
      </w:r>
      <w:r w:rsidR="002057A9" w:rsidRPr="002057A9">
        <w:rPr>
          <w:rFonts w:ascii="Arial" w:hAnsi="Arial" w:cs="Arial"/>
          <w:sz w:val="22"/>
          <w:szCs w:val="22"/>
        </w:rPr>
        <w:t>patrimoine</w:t>
      </w:r>
      <w:r w:rsidR="002057A9">
        <w:rPr>
          <w:rFonts w:ascii="Arial" w:hAnsi="Arial" w:cs="Arial"/>
          <w:sz w:val="22"/>
          <w:szCs w:val="22"/>
        </w:rPr>
        <w:t xml:space="preserve"> </w:t>
      </w:r>
      <w:r w:rsidR="002057A9" w:rsidRPr="002057A9">
        <w:rPr>
          <w:rFonts w:ascii="Arial" w:hAnsi="Arial" w:cs="Arial"/>
          <w:sz w:val="22"/>
          <w:szCs w:val="22"/>
        </w:rPr>
        <w:t>culturel</w:t>
      </w:r>
      <w:r w:rsidR="002057A9">
        <w:rPr>
          <w:rFonts w:ascii="Arial" w:hAnsi="Arial" w:cs="Arial"/>
          <w:sz w:val="22"/>
          <w:szCs w:val="22"/>
        </w:rPr>
        <w:t xml:space="preserve">, naturel et </w:t>
      </w:r>
      <w:r w:rsidR="002057A9" w:rsidRPr="002057A9">
        <w:rPr>
          <w:rFonts w:ascii="Arial" w:hAnsi="Arial" w:cs="Arial"/>
          <w:sz w:val="22"/>
          <w:szCs w:val="22"/>
        </w:rPr>
        <w:t>immatériel</w:t>
      </w:r>
      <w:r w:rsidR="002057A9">
        <w:rPr>
          <w:rFonts w:ascii="Arial" w:hAnsi="Arial" w:cs="Arial"/>
          <w:sz w:val="22"/>
          <w:szCs w:val="22"/>
        </w:rPr>
        <w:t xml:space="preserve"> et prévoit</w:t>
      </w:r>
      <w:r w:rsidR="00140E76">
        <w:rPr>
          <w:rFonts w:ascii="Arial" w:hAnsi="Arial" w:cs="Arial"/>
          <w:sz w:val="22"/>
          <w:szCs w:val="22"/>
        </w:rPr>
        <w:t xml:space="preserve"> l’éducation du grand public à</w:t>
      </w:r>
      <w:r w:rsidR="002057A9">
        <w:rPr>
          <w:rFonts w:ascii="Arial" w:hAnsi="Arial" w:cs="Arial"/>
          <w:sz w:val="22"/>
          <w:szCs w:val="22"/>
        </w:rPr>
        <w:t xml:space="preserve"> ce </w:t>
      </w:r>
      <w:r w:rsidR="002057A9" w:rsidRPr="002057A9">
        <w:rPr>
          <w:rFonts w:ascii="Arial" w:hAnsi="Arial" w:cs="Arial"/>
          <w:sz w:val="22"/>
          <w:szCs w:val="22"/>
        </w:rPr>
        <w:t>patrimoine</w:t>
      </w:r>
      <w:r w:rsidR="002057A9">
        <w:rPr>
          <w:rFonts w:ascii="Arial" w:hAnsi="Arial" w:cs="Arial"/>
          <w:sz w:val="22"/>
          <w:szCs w:val="22"/>
        </w:rPr>
        <w:t xml:space="preserve">, la </w:t>
      </w:r>
      <w:r w:rsidR="002057A9" w:rsidRPr="002057A9">
        <w:rPr>
          <w:rFonts w:ascii="Arial" w:hAnsi="Arial" w:cs="Arial"/>
          <w:sz w:val="22"/>
          <w:szCs w:val="22"/>
        </w:rPr>
        <w:t>formation</w:t>
      </w:r>
      <w:r w:rsidR="002057A9">
        <w:rPr>
          <w:rFonts w:ascii="Arial" w:hAnsi="Arial" w:cs="Arial"/>
          <w:sz w:val="22"/>
          <w:szCs w:val="22"/>
        </w:rPr>
        <w:t xml:space="preserve"> à sa </w:t>
      </w:r>
      <w:r w:rsidR="002057A9" w:rsidRPr="002057A9">
        <w:rPr>
          <w:rFonts w:ascii="Arial" w:hAnsi="Arial" w:cs="Arial"/>
          <w:sz w:val="22"/>
          <w:szCs w:val="22"/>
        </w:rPr>
        <w:t>sauvegarde</w:t>
      </w:r>
      <w:r w:rsidR="00140E76">
        <w:rPr>
          <w:rFonts w:ascii="Arial" w:hAnsi="Arial" w:cs="Arial"/>
          <w:sz w:val="22"/>
          <w:szCs w:val="22"/>
        </w:rPr>
        <w:t>,</w:t>
      </w:r>
      <w:r w:rsidR="002057A9">
        <w:rPr>
          <w:rFonts w:ascii="Arial" w:hAnsi="Arial" w:cs="Arial"/>
          <w:sz w:val="22"/>
          <w:szCs w:val="22"/>
        </w:rPr>
        <w:t xml:space="preserve"> et sa promotion,</w:t>
      </w:r>
      <w:r w:rsidR="00F465C2">
        <w:rPr>
          <w:rFonts w:ascii="Arial" w:hAnsi="Arial" w:cs="Arial"/>
          <w:sz w:val="22"/>
          <w:szCs w:val="22"/>
        </w:rPr>
        <w:t xml:space="preserve"> entre autres, dans les médias.</w:t>
      </w:r>
    </w:p>
    <w:p w14:paraId="0E9F2ED5" w14:textId="31CC535A" w:rsidR="00140E76" w:rsidRDefault="00140E76" w:rsidP="00140E76">
      <w:pPr>
        <w:autoSpaceDE w:val="0"/>
        <w:autoSpaceDN w:val="0"/>
        <w:adjustRightInd w:val="0"/>
        <w:spacing w:after="120"/>
        <w:ind w:left="567"/>
        <w:jc w:val="both"/>
        <w:rPr>
          <w:rFonts w:ascii="Arial" w:hAnsi="Arial" w:cs="Arial"/>
          <w:sz w:val="22"/>
          <w:szCs w:val="22"/>
        </w:rPr>
      </w:pPr>
      <w:r w:rsidRPr="00D14383">
        <w:rPr>
          <w:rFonts w:ascii="Arial" w:hAnsi="Arial" w:cs="Arial"/>
          <w:sz w:val="22"/>
          <w:szCs w:val="22"/>
        </w:rPr>
        <w:t xml:space="preserve">S’agissant de </w:t>
      </w:r>
      <w:r w:rsidRPr="00D14383">
        <w:rPr>
          <w:rFonts w:ascii="Arial" w:hAnsi="Arial" w:cs="Arial"/>
          <w:b/>
          <w:sz w:val="22"/>
          <w:szCs w:val="22"/>
        </w:rPr>
        <w:t>coopération bilatérale, sous-régionale, régionale et internationale</w:t>
      </w:r>
      <w:r w:rsidRPr="00D14383">
        <w:rPr>
          <w:rFonts w:ascii="Arial" w:hAnsi="Arial" w:cs="Arial"/>
          <w:sz w:val="22"/>
          <w:szCs w:val="22"/>
        </w:rPr>
        <w:t xml:space="preserve">, le Ministère des affaires civiles de Bosnie-Herzégovine a organisé une visite en République de Croatie afin de tirer les leçons de la réalisation d’inventaires et d’autres meilleures pratiques de sauvegarde. </w:t>
      </w:r>
      <w:r w:rsidR="00202344" w:rsidRPr="00D14383">
        <w:rPr>
          <w:rFonts w:ascii="Arial" w:hAnsi="Arial" w:cs="Arial"/>
          <w:sz w:val="22"/>
          <w:szCs w:val="22"/>
        </w:rPr>
        <w:t>Par ailleurs, l</w:t>
      </w:r>
      <w:r w:rsidRPr="00D14383">
        <w:rPr>
          <w:rFonts w:ascii="Arial" w:hAnsi="Arial" w:cs="Arial"/>
          <w:sz w:val="22"/>
          <w:szCs w:val="22"/>
        </w:rPr>
        <w:t xml:space="preserve">es représentants </w:t>
      </w:r>
      <w:r w:rsidR="00202344" w:rsidRPr="00D14383">
        <w:rPr>
          <w:rFonts w:ascii="Arial" w:hAnsi="Arial" w:cs="Arial"/>
          <w:sz w:val="22"/>
          <w:szCs w:val="22"/>
        </w:rPr>
        <w:t xml:space="preserve">du Ministère </w:t>
      </w:r>
      <w:r w:rsidRPr="00D14383">
        <w:rPr>
          <w:rFonts w:ascii="Arial" w:hAnsi="Arial" w:cs="Arial"/>
          <w:sz w:val="22"/>
          <w:szCs w:val="22"/>
        </w:rPr>
        <w:t>participent régulièrement</w:t>
      </w:r>
      <w:r w:rsidR="00202344" w:rsidRPr="00D14383">
        <w:rPr>
          <w:rFonts w:ascii="Arial" w:hAnsi="Arial" w:cs="Arial"/>
          <w:sz w:val="22"/>
          <w:szCs w:val="22"/>
        </w:rPr>
        <w:t xml:space="preserve"> à des réunions du</w:t>
      </w:r>
      <w:r w:rsidRPr="00D14383">
        <w:rPr>
          <w:rFonts w:ascii="Arial" w:hAnsi="Arial" w:cs="Arial"/>
          <w:sz w:val="22"/>
          <w:szCs w:val="22"/>
        </w:rPr>
        <w:t xml:space="preserve"> Centre régional pour la sauvegarde du patrimoine cu</w:t>
      </w:r>
      <w:r w:rsidR="0029228C" w:rsidRPr="00D14383">
        <w:rPr>
          <w:rFonts w:ascii="Arial" w:hAnsi="Arial" w:cs="Arial"/>
          <w:sz w:val="22"/>
          <w:szCs w:val="22"/>
        </w:rPr>
        <w:t>lturel immatériel en Europe du Sud-E</w:t>
      </w:r>
      <w:r w:rsidRPr="00D14383">
        <w:rPr>
          <w:rFonts w:ascii="Arial" w:hAnsi="Arial" w:cs="Arial"/>
          <w:sz w:val="22"/>
          <w:szCs w:val="22"/>
        </w:rPr>
        <w:t xml:space="preserve">st (un centre de catégorie 2 </w:t>
      </w:r>
      <w:r w:rsidR="00202344" w:rsidRPr="00D14383">
        <w:rPr>
          <w:rFonts w:ascii="Arial" w:hAnsi="Arial" w:cs="Arial"/>
          <w:sz w:val="22"/>
          <w:szCs w:val="22"/>
        </w:rPr>
        <w:t xml:space="preserve">basé </w:t>
      </w:r>
      <w:r w:rsidRPr="00D14383">
        <w:rPr>
          <w:rFonts w:ascii="Arial" w:hAnsi="Arial" w:cs="Arial"/>
          <w:sz w:val="22"/>
          <w:szCs w:val="22"/>
        </w:rPr>
        <w:t>à Sofia</w:t>
      </w:r>
      <w:r w:rsidR="005D46BA" w:rsidRPr="00D14383">
        <w:rPr>
          <w:rFonts w:ascii="Arial" w:hAnsi="Arial" w:cs="Arial"/>
          <w:sz w:val="22"/>
          <w:szCs w:val="22"/>
        </w:rPr>
        <w:t>). Entre 2006 et 2011, le Ministère de l’éducation et de la culture et l’Institut en charge de la protection du patrimoine culturel, historique et naturel de la République</w:t>
      </w:r>
      <w:r w:rsidR="00202344" w:rsidRPr="00D14383">
        <w:rPr>
          <w:rFonts w:ascii="Arial" w:hAnsi="Arial" w:cs="Arial"/>
          <w:sz w:val="22"/>
          <w:szCs w:val="22"/>
        </w:rPr>
        <w:t xml:space="preserve"> serbe</w:t>
      </w:r>
      <w:r w:rsidR="005D46BA" w:rsidRPr="00D14383">
        <w:rPr>
          <w:rFonts w:ascii="Arial" w:hAnsi="Arial" w:cs="Arial"/>
          <w:sz w:val="22"/>
          <w:szCs w:val="22"/>
        </w:rPr>
        <w:t xml:space="preserve"> de Bosnie ont accueilli six conférences régionales sur la protection intégrative qui proposaient des présentations sur la sauvegarde et la documentation du patrimoine culturel im</w:t>
      </w:r>
      <w:r w:rsidR="00A03534" w:rsidRPr="00D14383">
        <w:rPr>
          <w:rFonts w:ascii="Arial" w:hAnsi="Arial" w:cs="Arial"/>
          <w:sz w:val="22"/>
          <w:szCs w:val="22"/>
        </w:rPr>
        <w:t>matériel. En ce qui concerne le travail en</w:t>
      </w:r>
      <w:r w:rsidR="005D46BA" w:rsidRPr="00D14383">
        <w:rPr>
          <w:rFonts w:ascii="Arial" w:hAnsi="Arial" w:cs="Arial"/>
          <w:sz w:val="22"/>
          <w:szCs w:val="22"/>
        </w:rPr>
        <w:t xml:space="preserve"> réseaux, la coopération est continue avec les ministères, les musées et autres institutions publiques dans la région afin de partager expériences et expertise. En outre, l’UHAKUD en Bosnie-Herzégovine a organisé en 2010, avec l’aide du Ministère</w:t>
      </w:r>
      <w:r w:rsidR="00AE78D8" w:rsidRPr="00D14383">
        <w:rPr>
          <w:rFonts w:ascii="Arial" w:hAnsi="Arial" w:cs="Arial"/>
          <w:sz w:val="22"/>
          <w:szCs w:val="22"/>
        </w:rPr>
        <w:t xml:space="preserve"> fédéral</w:t>
      </w:r>
      <w:r w:rsidR="005D46BA" w:rsidRPr="00D14383">
        <w:rPr>
          <w:rFonts w:ascii="Arial" w:hAnsi="Arial" w:cs="Arial"/>
          <w:sz w:val="22"/>
          <w:szCs w:val="22"/>
        </w:rPr>
        <w:t xml:space="preserve"> du tourisme et de </w:t>
      </w:r>
      <w:r w:rsidR="005D46BA" w:rsidRPr="00D14383">
        <w:rPr>
          <w:rFonts w:ascii="Arial" w:hAnsi="Arial" w:cs="Arial"/>
          <w:sz w:val="22"/>
          <w:szCs w:val="22"/>
        </w:rPr>
        <w:lastRenderedPageBreak/>
        <w:t>l’environnement, un</w:t>
      </w:r>
      <w:r w:rsidR="005D46BA">
        <w:rPr>
          <w:rFonts w:ascii="Arial" w:hAnsi="Arial" w:cs="Arial"/>
          <w:sz w:val="22"/>
          <w:szCs w:val="22"/>
        </w:rPr>
        <w:t xml:space="preserve"> congrès </w:t>
      </w:r>
      <w:r w:rsidR="00AE78D8" w:rsidRPr="00CB600E">
        <w:rPr>
          <w:rFonts w:ascii="Arial" w:hAnsi="Arial" w:cs="Arial"/>
          <w:sz w:val="22"/>
          <w:szCs w:val="22"/>
        </w:rPr>
        <w:t xml:space="preserve">international des folkloristes </w:t>
      </w:r>
      <w:r w:rsidR="005D46BA" w:rsidRPr="00CB600E">
        <w:rPr>
          <w:rFonts w:ascii="Arial" w:hAnsi="Arial" w:cs="Arial"/>
          <w:sz w:val="22"/>
          <w:szCs w:val="22"/>
        </w:rPr>
        <w:t>destiné à partager, entre experts de la région, les connaissances et meilleures pratiques en matière de patrimoine culturel immatériel et à développer des programmes</w:t>
      </w:r>
      <w:r w:rsidR="005D46BA">
        <w:rPr>
          <w:rFonts w:ascii="Arial" w:hAnsi="Arial" w:cs="Arial"/>
          <w:sz w:val="22"/>
          <w:szCs w:val="22"/>
        </w:rPr>
        <w:t xml:space="preserve"> communs pour la mise en œuvre de la </w:t>
      </w:r>
      <w:r w:rsidR="005D46BA" w:rsidRPr="005D46BA">
        <w:rPr>
          <w:rFonts w:ascii="Arial" w:hAnsi="Arial" w:cs="Arial"/>
          <w:sz w:val="22"/>
          <w:szCs w:val="22"/>
        </w:rPr>
        <w:t>Convention</w:t>
      </w:r>
      <w:r w:rsidR="005D46BA">
        <w:rPr>
          <w:rFonts w:ascii="Arial" w:hAnsi="Arial" w:cs="Arial"/>
          <w:sz w:val="22"/>
          <w:szCs w:val="22"/>
        </w:rPr>
        <w:t xml:space="preserve"> de 2003.</w:t>
      </w:r>
    </w:p>
    <w:p w14:paraId="75AF42D4" w14:textId="1A993696" w:rsidR="00AE78D8" w:rsidRPr="00F465C2" w:rsidRDefault="00AE78D8"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Lors de la rédaction du rapport, la </w:t>
      </w:r>
      <w:r w:rsidRPr="00AE78D8">
        <w:rPr>
          <w:rFonts w:ascii="Arial" w:hAnsi="Arial" w:cs="Arial"/>
          <w:sz w:val="22"/>
          <w:szCs w:val="22"/>
        </w:rPr>
        <w:t>Bosnie-Herzégovine</w:t>
      </w:r>
      <w:r>
        <w:rPr>
          <w:rFonts w:ascii="Arial" w:hAnsi="Arial" w:cs="Arial"/>
          <w:sz w:val="22"/>
          <w:szCs w:val="22"/>
        </w:rPr>
        <w:t xml:space="preserve"> n’avait </w:t>
      </w:r>
      <w:r w:rsidRPr="004B7E8E">
        <w:rPr>
          <w:rFonts w:ascii="Arial" w:hAnsi="Arial" w:cs="Arial"/>
          <w:sz w:val="22"/>
          <w:szCs w:val="22"/>
        </w:rPr>
        <w:t>qu’</w:t>
      </w:r>
      <w:r w:rsidRPr="004B7E8E">
        <w:rPr>
          <w:rFonts w:ascii="Arial" w:hAnsi="Arial" w:cs="Arial"/>
          <w:b/>
          <w:sz w:val="22"/>
          <w:szCs w:val="22"/>
        </w:rPr>
        <w:t>un élément inscrit sur la Liste représentative</w:t>
      </w:r>
      <w:r>
        <w:rPr>
          <w:rFonts w:ascii="Arial" w:hAnsi="Arial" w:cs="Arial"/>
          <w:sz w:val="22"/>
          <w:szCs w:val="22"/>
        </w:rPr>
        <w:t xml:space="preserve">, </w:t>
      </w:r>
      <w:r>
        <w:rPr>
          <w:rFonts w:ascii="Arial" w:hAnsi="Arial" w:cs="Arial"/>
          <w:i/>
          <w:sz w:val="22"/>
          <w:szCs w:val="22"/>
        </w:rPr>
        <w:t>L</w:t>
      </w:r>
      <w:r w:rsidRPr="00AE78D8">
        <w:rPr>
          <w:rFonts w:ascii="Arial" w:hAnsi="Arial" w:cs="Arial"/>
          <w:i/>
          <w:sz w:val="22"/>
          <w:szCs w:val="22"/>
        </w:rPr>
        <w:t>a broderie de Zmijanje</w:t>
      </w:r>
      <w:r>
        <w:rPr>
          <w:rFonts w:ascii="Arial" w:hAnsi="Arial" w:cs="Arial"/>
          <w:sz w:val="22"/>
          <w:szCs w:val="22"/>
        </w:rPr>
        <w:t xml:space="preserve">, inscrit en 2014. Les détenteurs de cet élément sont des femmes qui, à titre individuel ou dans le cadre d’associations de jeunes ou de femmes, pratiquent et sauvegardent l’élément. Outre les modes de </w:t>
      </w:r>
      <w:r w:rsidRPr="00AE78D8">
        <w:rPr>
          <w:rFonts w:ascii="Arial" w:hAnsi="Arial" w:cs="Arial"/>
          <w:sz w:val="22"/>
          <w:szCs w:val="22"/>
        </w:rPr>
        <w:t xml:space="preserve">transmission </w:t>
      </w:r>
      <w:r>
        <w:rPr>
          <w:rFonts w:ascii="Arial" w:hAnsi="Arial" w:cs="Arial"/>
          <w:sz w:val="22"/>
          <w:szCs w:val="22"/>
        </w:rPr>
        <w:t xml:space="preserve">de mères à filles, on peut observer une </w:t>
      </w:r>
      <w:r w:rsidRPr="00AE78D8">
        <w:rPr>
          <w:rFonts w:ascii="Arial" w:hAnsi="Arial" w:cs="Arial"/>
          <w:sz w:val="22"/>
          <w:szCs w:val="22"/>
        </w:rPr>
        <w:t>éducation</w:t>
      </w:r>
      <w:r>
        <w:rPr>
          <w:rFonts w:ascii="Arial" w:hAnsi="Arial" w:cs="Arial"/>
          <w:sz w:val="22"/>
          <w:szCs w:val="22"/>
        </w:rPr>
        <w:t xml:space="preserve"> formelle et une formation non formelle des jeunes filles au sein de clubs. Depuis l’</w:t>
      </w:r>
      <w:r w:rsidRPr="00AE78D8">
        <w:rPr>
          <w:rFonts w:ascii="Arial" w:hAnsi="Arial" w:cs="Arial"/>
          <w:sz w:val="22"/>
          <w:szCs w:val="22"/>
        </w:rPr>
        <w:t>inscription</w:t>
      </w:r>
      <w:r>
        <w:rPr>
          <w:rFonts w:ascii="Arial" w:hAnsi="Arial" w:cs="Arial"/>
          <w:sz w:val="22"/>
          <w:szCs w:val="22"/>
        </w:rPr>
        <w:t xml:space="preserve"> de l’élément, les communautés locales ont accru la portée de leurs actions de </w:t>
      </w:r>
      <w:r w:rsidRPr="00AE78D8">
        <w:rPr>
          <w:rFonts w:ascii="Arial" w:hAnsi="Arial" w:cs="Arial"/>
          <w:sz w:val="22"/>
          <w:szCs w:val="22"/>
        </w:rPr>
        <w:t>sauvegarde</w:t>
      </w:r>
      <w:r>
        <w:rPr>
          <w:rFonts w:ascii="Arial" w:hAnsi="Arial" w:cs="Arial"/>
          <w:sz w:val="22"/>
          <w:szCs w:val="22"/>
        </w:rPr>
        <w:t xml:space="preserve"> et de nouvelles communautés locales y participent, le Musée de la RSB </w:t>
      </w:r>
      <w:r w:rsidR="004B7E8E">
        <w:rPr>
          <w:rFonts w:ascii="Arial" w:hAnsi="Arial" w:cs="Arial"/>
          <w:sz w:val="22"/>
          <w:szCs w:val="22"/>
        </w:rPr>
        <w:t xml:space="preserve">joue un rôle important dans ces activités (p. ex. </w:t>
      </w:r>
      <w:r w:rsidR="004B7E8E" w:rsidRPr="004B7E8E">
        <w:rPr>
          <w:rFonts w:ascii="Arial" w:hAnsi="Arial" w:cs="Arial"/>
          <w:sz w:val="22"/>
          <w:szCs w:val="22"/>
        </w:rPr>
        <w:t>organisation</w:t>
      </w:r>
      <w:r w:rsidR="004B7E8E">
        <w:rPr>
          <w:rFonts w:ascii="Arial" w:hAnsi="Arial" w:cs="Arial"/>
          <w:sz w:val="22"/>
          <w:szCs w:val="22"/>
        </w:rPr>
        <w:t xml:space="preserve"> d’expositions et autres actions de promotion) et des contacts réguliers sont établis, par l’intermédiaire du musée, entre le </w:t>
      </w:r>
      <w:r w:rsidR="004B7E8E" w:rsidRPr="004B7E8E">
        <w:rPr>
          <w:rFonts w:ascii="Arial" w:hAnsi="Arial" w:cs="Arial"/>
          <w:sz w:val="22"/>
          <w:szCs w:val="22"/>
        </w:rPr>
        <w:t>Ministère</w:t>
      </w:r>
      <w:r w:rsidR="004B7E8E">
        <w:rPr>
          <w:rFonts w:ascii="Arial" w:hAnsi="Arial" w:cs="Arial"/>
          <w:sz w:val="22"/>
          <w:szCs w:val="22"/>
        </w:rPr>
        <w:t xml:space="preserve"> de l’</w:t>
      </w:r>
      <w:r w:rsidR="004B7E8E" w:rsidRPr="004B7E8E">
        <w:rPr>
          <w:rFonts w:ascii="Arial" w:hAnsi="Arial" w:cs="Arial"/>
          <w:sz w:val="22"/>
          <w:szCs w:val="22"/>
        </w:rPr>
        <w:t>éducation</w:t>
      </w:r>
      <w:r w:rsidR="004B7E8E">
        <w:rPr>
          <w:rFonts w:ascii="Arial" w:hAnsi="Arial" w:cs="Arial"/>
          <w:sz w:val="22"/>
          <w:szCs w:val="22"/>
        </w:rPr>
        <w:t xml:space="preserve"> et de la culture et les </w:t>
      </w:r>
      <w:r w:rsidR="004B7E8E" w:rsidRPr="004B7E8E">
        <w:rPr>
          <w:rFonts w:ascii="Arial" w:hAnsi="Arial" w:cs="Arial"/>
          <w:sz w:val="22"/>
          <w:szCs w:val="22"/>
        </w:rPr>
        <w:t xml:space="preserve">détenteurs </w:t>
      </w:r>
      <w:r w:rsidR="004B7E8E">
        <w:rPr>
          <w:rFonts w:ascii="Arial" w:hAnsi="Arial" w:cs="Arial"/>
          <w:sz w:val="22"/>
          <w:szCs w:val="22"/>
        </w:rPr>
        <w:t>qui font rapport aux représentants du ministère de l’état de l’</w:t>
      </w:r>
      <w:r w:rsidR="004B7E8E" w:rsidRPr="004B7E8E">
        <w:rPr>
          <w:rFonts w:ascii="Arial" w:hAnsi="Arial" w:cs="Arial"/>
          <w:sz w:val="22"/>
          <w:szCs w:val="22"/>
        </w:rPr>
        <w:t>élément</w:t>
      </w:r>
      <w:r w:rsidR="004B7E8E">
        <w:rPr>
          <w:rFonts w:ascii="Arial" w:hAnsi="Arial" w:cs="Arial"/>
          <w:sz w:val="22"/>
          <w:szCs w:val="22"/>
        </w:rPr>
        <w:t>, des problèmes qu’ils rencontrent et des a</w:t>
      </w:r>
      <w:r w:rsidR="00F465C2">
        <w:rPr>
          <w:rFonts w:ascii="Arial" w:hAnsi="Arial" w:cs="Arial"/>
          <w:sz w:val="22"/>
          <w:szCs w:val="22"/>
        </w:rPr>
        <w:t>ctions qu’ils mettent en œuvre.</w:t>
      </w:r>
    </w:p>
    <w:p w14:paraId="10304D6C" w14:textId="06A66E1A" w:rsidR="00D14383" w:rsidRPr="00625071" w:rsidRDefault="00D14383" w:rsidP="00D14383">
      <w:pPr>
        <w:pStyle w:val="ListParagraph"/>
        <w:keepNext/>
        <w:pageBreakBefore/>
        <w:numPr>
          <w:ilvl w:val="3"/>
          <w:numId w:val="13"/>
        </w:numPr>
        <w:tabs>
          <w:tab w:val="left" w:pos="1134"/>
        </w:tabs>
        <w:autoSpaceDE w:val="0"/>
        <w:autoSpaceDN w:val="0"/>
        <w:adjustRightInd w:val="0"/>
        <w:spacing w:after="360"/>
        <w:ind w:left="1134" w:hanging="567"/>
        <w:rPr>
          <w:rFonts w:ascii="Arial" w:hAnsi="Arial" w:cs="Arial"/>
          <w:b/>
          <w:caps/>
          <w:sz w:val="22"/>
          <w:szCs w:val="22"/>
        </w:rPr>
      </w:pPr>
      <w:r w:rsidRPr="00625071">
        <w:rPr>
          <w:rFonts w:ascii="Arial" w:hAnsi="Arial" w:cs="Arial"/>
          <w:b/>
          <w:caps/>
          <w:sz w:val="22"/>
          <w:szCs w:val="22"/>
        </w:rPr>
        <w:lastRenderedPageBreak/>
        <w:t>tch</w:t>
      </w:r>
      <w:r>
        <w:rPr>
          <w:rFonts w:ascii="Arial" w:hAnsi="Arial" w:cs="Arial"/>
          <w:b/>
          <w:caps/>
          <w:sz w:val="22"/>
          <w:szCs w:val="22"/>
        </w:rPr>
        <w:t>É</w:t>
      </w:r>
      <w:r w:rsidRPr="00625071">
        <w:rPr>
          <w:rFonts w:ascii="Arial" w:hAnsi="Arial" w:cs="Arial"/>
          <w:b/>
          <w:caps/>
          <w:sz w:val="22"/>
          <w:szCs w:val="22"/>
        </w:rPr>
        <w:t>quie</w:t>
      </w:r>
    </w:p>
    <w:p w14:paraId="2816D39F" w14:textId="718EFACE" w:rsidR="00D14383" w:rsidRDefault="00D14383" w:rsidP="00D14383">
      <w:pPr>
        <w:autoSpaceDE w:val="0"/>
        <w:autoSpaceDN w:val="0"/>
        <w:adjustRightInd w:val="0"/>
        <w:spacing w:after="120"/>
        <w:ind w:left="567"/>
        <w:jc w:val="both"/>
        <w:rPr>
          <w:rFonts w:ascii="Arial" w:hAnsi="Arial" w:cs="Arial"/>
          <w:sz w:val="22"/>
          <w:szCs w:val="22"/>
        </w:rPr>
      </w:pPr>
      <w:r w:rsidRPr="00625071">
        <w:rPr>
          <w:rFonts w:ascii="Arial" w:hAnsi="Arial" w:cs="Arial"/>
          <w:sz w:val="22"/>
          <w:szCs w:val="22"/>
        </w:rPr>
        <w:t xml:space="preserve">La Tchéquie </w:t>
      </w:r>
      <w:r>
        <w:rPr>
          <w:rFonts w:ascii="Arial" w:hAnsi="Arial" w:cs="Arial"/>
          <w:sz w:val="22"/>
          <w:szCs w:val="22"/>
        </w:rPr>
        <w:t xml:space="preserve">est devenu un </w:t>
      </w:r>
      <w:r w:rsidRPr="00625071">
        <w:rPr>
          <w:rFonts w:ascii="Arial" w:hAnsi="Arial" w:cs="Arial"/>
          <w:sz w:val="22"/>
          <w:szCs w:val="22"/>
        </w:rPr>
        <w:t>État partie</w:t>
      </w:r>
      <w:r>
        <w:rPr>
          <w:rFonts w:ascii="Arial" w:hAnsi="Arial" w:cs="Arial"/>
          <w:sz w:val="22"/>
          <w:szCs w:val="22"/>
        </w:rPr>
        <w:t xml:space="preserve"> en 2009. Le </w:t>
      </w:r>
      <w:r w:rsidR="000516B8">
        <w:rPr>
          <w:rFonts w:ascii="Arial" w:hAnsi="Arial" w:cs="Arial"/>
          <w:sz w:val="22"/>
          <w:szCs w:val="22"/>
        </w:rPr>
        <w:t>M</w:t>
      </w:r>
      <w:r w:rsidRPr="00625071">
        <w:rPr>
          <w:rFonts w:ascii="Arial" w:hAnsi="Arial" w:cs="Arial"/>
          <w:sz w:val="22"/>
          <w:szCs w:val="22"/>
        </w:rPr>
        <w:t>inistère</w:t>
      </w:r>
      <w:r>
        <w:rPr>
          <w:rFonts w:ascii="Arial" w:hAnsi="Arial" w:cs="Arial"/>
          <w:sz w:val="22"/>
          <w:szCs w:val="22"/>
        </w:rPr>
        <w:t xml:space="preserve"> de la </w:t>
      </w:r>
      <w:r w:rsidR="000516B8">
        <w:rPr>
          <w:rFonts w:ascii="Arial" w:hAnsi="Arial" w:cs="Arial"/>
          <w:sz w:val="22"/>
          <w:szCs w:val="22"/>
        </w:rPr>
        <w:t>c</w:t>
      </w:r>
      <w:r>
        <w:rPr>
          <w:rFonts w:ascii="Arial" w:hAnsi="Arial" w:cs="Arial"/>
          <w:sz w:val="22"/>
          <w:szCs w:val="22"/>
        </w:rPr>
        <w:t xml:space="preserve">ulture (MC), qui est le </w:t>
      </w:r>
      <w:r w:rsidRPr="008F4FA7">
        <w:rPr>
          <w:rFonts w:ascii="Arial" w:hAnsi="Arial" w:cs="Arial"/>
          <w:sz w:val="22"/>
          <w:szCs w:val="22"/>
        </w:rPr>
        <w:t xml:space="preserve">principal </w:t>
      </w:r>
      <w:r w:rsidRPr="008F4FA7">
        <w:rPr>
          <w:rFonts w:ascii="Arial" w:hAnsi="Arial" w:cs="Arial"/>
          <w:b/>
          <w:sz w:val="22"/>
          <w:szCs w:val="22"/>
        </w:rPr>
        <w:t>organe compétent</w:t>
      </w:r>
      <w:r w:rsidRPr="008F4FA7">
        <w:rPr>
          <w:rFonts w:ascii="Arial" w:hAnsi="Arial" w:cs="Arial"/>
          <w:sz w:val="22"/>
          <w:szCs w:val="22"/>
        </w:rPr>
        <w:t xml:space="preserve">, a désigné l’Institut national de culture populaire (INCP) pour mettre en œuvre la Convention, au </w:t>
      </w:r>
      <w:r w:rsidR="00751A0F" w:rsidRPr="008F4FA7">
        <w:rPr>
          <w:rFonts w:ascii="Arial" w:hAnsi="Arial" w:cs="Arial"/>
          <w:sz w:val="22"/>
          <w:szCs w:val="22"/>
        </w:rPr>
        <w:t>côté</w:t>
      </w:r>
      <w:r w:rsidRPr="008F4FA7">
        <w:rPr>
          <w:rFonts w:ascii="Arial" w:hAnsi="Arial" w:cs="Arial"/>
          <w:sz w:val="22"/>
          <w:szCs w:val="22"/>
        </w:rPr>
        <w:t xml:space="preserve"> d’unités spécialisées établies dans un musée de chaque région du pays. Aucune institution n’est</w:t>
      </w:r>
      <w:r>
        <w:rPr>
          <w:rFonts w:ascii="Arial" w:hAnsi="Arial" w:cs="Arial"/>
          <w:sz w:val="22"/>
          <w:szCs w:val="22"/>
        </w:rPr>
        <w:t xml:space="preserve"> spécifiquement chargée de la </w:t>
      </w:r>
      <w:r w:rsidRPr="004B033D">
        <w:rPr>
          <w:rFonts w:ascii="Arial" w:hAnsi="Arial" w:cs="Arial"/>
          <w:b/>
          <w:sz w:val="22"/>
          <w:szCs w:val="22"/>
        </w:rPr>
        <w:t>formation à la gestion du patrimoine culturel immatériel</w:t>
      </w:r>
      <w:r>
        <w:rPr>
          <w:rFonts w:ascii="Arial" w:hAnsi="Arial" w:cs="Arial"/>
          <w:sz w:val="22"/>
          <w:szCs w:val="22"/>
        </w:rPr>
        <w:t xml:space="preserve"> mais l’INCP propose des séminaires spécialisés et des cours de formation destinés aux responsables d’ensembles, aux professeurs et autres. Outre ces organes, des agences d’état telles que l’INCP et </w:t>
      </w:r>
      <w:r w:rsidRPr="00751A0F">
        <w:rPr>
          <w:rFonts w:ascii="Arial" w:hAnsi="Arial" w:cs="Arial"/>
          <w:sz w:val="22"/>
          <w:szCs w:val="22"/>
        </w:rPr>
        <w:t>l’Institut</w:t>
      </w:r>
      <w:r w:rsidR="00751A0F" w:rsidRPr="00D4732D">
        <w:rPr>
          <w:rFonts w:ascii="Arial" w:hAnsi="Arial" w:cs="Arial"/>
          <w:sz w:val="22"/>
          <w:szCs w:val="22"/>
        </w:rPr>
        <w:t xml:space="preserve"> national</w:t>
      </w:r>
      <w:r w:rsidRPr="00751A0F">
        <w:rPr>
          <w:rFonts w:ascii="Arial" w:hAnsi="Arial" w:cs="Arial"/>
          <w:sz w:val="22"/>
          <w:szCs w:val="22"/>
        </w:rPr>
        <w:t xml:space="preserve"> d</w:t>
      </w:r>
      <w:r w:rsidR="00751A0F" w:rsidRPr="00D4732D">
        <w:rPr>
          <w:rFonts w:ascii="Arial" w:hAnsi="Arial" w:cs="Arial"/>
          <w:sz w:val="22"/>
          <w:szCs w:val="22"/>
        </w:rPr>
        <w:t>u</w:t>
      </w:r>
      <w:r w:rsidRPr="00751A0F">
        <w:rPr>
          <w:rFonts w:ascii="Arial" w:hAnsi="Arial" w:cs="Arial"/>
          <w:sz w:val="22"/>
          <w:szCs w:val="22"/>
        </w:rPr>
        <w:t xml:space="preserve"> </w:t>
      </w:r>
      <w:r w:rsidR="00751A0F" w:rsidRPr="00751A0F">
        <w:rPr>
          <w:rFonts w:ascii="Arial" w:hAnsi="Arial" w:cs="Arial"/>
          <w:sz w:val="22"/>
          <w:szCs w:val="22"/>
        </w:rPr>
        <w:t>patrimoine culturel</w:t>
      </w:r>
      <w:r w:rsidRPr="00751A0F">
        <w:rPr>
          <w:rFonts w:ascii="Arial" w:hAnsi="Arial" w:cs="Arial"/>
          <w:sz w:val="22"/>
          <w:szCs w:val="22"/>
        </w:rPr>
        <w:t xml:space="preserve"> collectent et détiennent la </w:t>
      </w:r>
      <w:r w:rsidRPr="00751A0F">
        <w:rPr>
          <w:rFonts w:ascii="Arial" w:hAnsi="Arial" w:cs="Arial"/>
          <w:b/>
          <w:sz w:val="22"/>
          <w:szCs w:val="22"/>
        </w:rPr>
        <w:t>documentation</w:t>
      </w:r>
      <w:r w:rsidRPr="00751A0F">
        <w:rPr>
          <w:rFonts w:ascii="Arial" w:hAnsi="Arial" w:cs="Arial"/>
          <w:sz w:val="22"/>
          <w:szCs w:val="22"/>
        </w:rPr>
        <w:t xml:space="preserve"> sur le</w:t>
      </w:r>
      <w:r>
        <w:rPr>
          <w:rFonts w:ascii="Arial" w:hAnsi="Arial" w:cs="Arial"/>
          <w:sz w:val="22"/>
          <w:szCs w:val="22"/>
        </w:rPr>
        <w:t xml:space="preserve"> patrimoine culturel immatériel. Par ailleurs, différents musées conservent des collections ethnographiques et/ou documentent </w:t>
      </w:r>
      <w:r w:rsidRPr="004B033D">
        <w:rPr>
          <w:rFonts w:ascii="Arial" w:hAnsi="Arial" w:cs="Arial"/>
          <w:sz w:val="22"/>
          <w:szCs w:val="22"/>
        </w:rPr>
        <w:t>systématiquement</w:t>
      </w:r>
      <w:r>
        <w:rPr>
          <w:rFonts w:ascii="Arial" w:hAnsi="Arial" w:cs="Arial"/>
          <w:sz w:val="22"/>
          <w:szCs w:val="22"/>
        </w:rPr>
        <w:t xml:space="preserve"> les éléments du patrimoine culturel immatériel. L’accès du public à ces collections est facilité par des sites web, l’</w:t>
      </w:r>
      <w:r w:rsidRPr="00B63DD2">
        <w:rPr>
          <w:rFonts w:ascii="Arial" w:hAnsi="Arial" w:cs="Arial"/>
          <w:sz w:val="22"/>
          <w:szCs w:val="22"/>
        </w:rPr>
        <w:t>organisation</w:t>
      </w:r>
      <w:r>
        <w:rPr>
          <w:rFonts w:ascii="Arial" w:hAnsi="Arial" w:cs="Arial"/>
          <w:sz w:val="22"/>
          <w:szCs w:val="22"/>
        </w:rPr>
        <w:t xml:space="preserve"> d’expositions et d’ateliers, des bibliothèques (dont certaines sont numériques) et la numérisation des documents (p. ex pour le projet «</w:t>
      </w:r>
      <w:r w:rsidR="00751A0F">
        <w:rPr>
          <w:rFonts w:ascii="Arial" w:hAnsi="Arial" w:cs="Arial"/>
          <w:sz w:val="22"/>
          <w:szCs w:val="22"/>
        </w:rPr>
        <w:t> </w:t>
      </w:r>
      <w:r>
        <w:rPr>
          <w:rFonts w:ascii="Arial" w:hAnsi="Arial" w:cs="Arial"/>
          <w:sz w:val="22"/>
          <w:szCs w:val="22"/>
        </w:rPr>
        <w:t>eSbírky</w:t>
      </w:r>
      <w:r w:rsidR="00751A0F">
        <w:rPr>
          <w:rFonts w:ascii="Arial" w:hAnsi="Arial" w:cs="Arial"/>
          <w:sz w:val="22"/>
          <w:szCs w:val="22"/>
        </w:rPr>
        <w:t> </w:t>
      </w:r>
      <w:r>
        <w:rPr>
          <w:rFonts w:ascii="Arial" w:hAnsi="Arial" w:cs="Arial"/>
          <w:sz w:val="22"/>
          <w:szCs w:val="22"/>
        </w:rPr>
        <w:t>» Europeana).</w:t>
      </w:r>
    </w:p>
    <w:p w14:paraId="0EC134C2" w14:textId="7A6EA824" w:rsidR="00D14383" w:rsidRPr="00F465C2" w:rsidRDefault="00D14383" w:rsidP="00D14383">
      <w:pPr>
        <w:autoSpaceDE w:val="0"/>
        <w:autoSpaceDN w:val="0"/>
        <w:adjustRightInd w:val="0"/>
        <w:spacing w:after="120"/>
        <w:ind w:left="567"/>
        <w:jc w:val="both"/>
        <w:rPr>
          <w:rFonts w:ascii="Arial" w:eastAsia="Malgun Gothic" w:hAnsi="Arial" w:cs="Arial"/>
          <w:sz w:val="22"/>
          <w:szCs w:val="22"/>
          <w:lang w:eastAsia="ko-KR"/>
        </w:rPr>
      </w:pPr>
      <w:r w:rsidRPr="00B63DD2">
        <w:rPr>
          <w:rFonts w:ascii="Arial" w:hAnsi="Arial" w:cs="Arial"/>
          <w:sz w:val="22"/>
          <w:szCs w:val="22"/>
        </w:rPr>
        <w:t>S’agissant</w:t>
      </w:r>
      <w:r>
        <w:rPr>
          <w:rFonts w:ascii="Arial" w:hAnsi="Arial" w:cs="Arial"/>
          <w:sz w:val="22"/>
          <w:szCs w:val="22"/>
        </w:rPr>
        <w:t xml:space="preserve"> de </w:t>
      </w:r>
      <w:r w:rsidRPr="00B63DD2">
        <w:rPr>
          <w:rFonts w:ascii="Arial" w:hAnsi="Arial" w:cs="Arial"/>
          <w:sz w:val="22"/>
          <w:szCs w:val="22"/>
        </w:rPr>
        <w:t>l’</w:t>
      </w:r>
      <w:r w:rsidRPr="00B63DD2">
        <w:rPr>
          <w:rFonts w:ascii="Arial" w:hAnsi="Arial" w:cs="Arial"/>
          <w:b/>
          <w:sz w:val="22"/>
          <w:szCs w:val="22"/>
        </w:rPr>
        <w:t>inventaire</w:t>
      </w:r>
      <w:r>
        <w:rPr>
          <w:rFonts w:ascii="Arial" w:hAnsi="Arial" w:cs="Arial"/>
          <w:sz w:val="22"/>
          <w:szCs w:val="22"/>
        </w:rPr>
        <w:t xml:space="preserve"> du patrimoine culturel immatériel, il existe deux listes nationales : (1) la Liste du patrimoine </w:t>
      </w:r>
      <w:r w:rsidRPr="00B63DD2">
        <w:rPr>
          <w:rFonts w:ascii="Arial" w:hAnsi="Arial" w:cs="Arial"/>
          <w:sz w:val="22"/>
          <w:szCs w:val="22"/>
        </w:rPr>
        <w:t>immatériel</w:t>
      </w:r>
      <w:r>
        <w:rPr>
          <w:rFonts w:ascii="Arial" w:hAnsi="Arial" w:cs="Arial"/>
          <w:sz w:val="22"/>
          <w:szCs w:val="22"/>
        </w:rPr>
        <w:t xml:space="preserve"> de l’art populaire traditionnel (dite Liste nationale, existe depuis 2008) et (2) la Liste des </w:t>
      </w:r>
      <w:r w:rsidRPr="00CB600E">
        <w:rPr>
          <w:rFonts w:ascii="Arial" w:hAnsi="Arial" w:cs="Arial"/>
          <w:sz w:val="22"/>
          <w:szCs w:val="22"/>
        </w:rPr>
        <w:t>détenteurs d’artisanats et traditions</w:t>
      </w:r>
      <w:r>
        <w:rPr>
          <w:rFonts w:ascii="Arial" w:hAnsi="Arial" w:cs="Arial"/>
          <w:sz w:val="22"/>
          <w:szCs w:val="22"/>
        </w:rPr>
        <w:t xml:space="preserve"> populaires (dite Liste des détenteurs, existe depuis 2001). Les deux listes sont gérées par l’INCP. Les services régionaux de l’INCP établissent </w:t>
      </w:r>
      <w:r w:rsidRPr="00041A4A">
        <w:rPr>
          <w:rFonts w:ascii="Arial" w:hAnsi="Arial" w:cs="Arial"/>
          <w:sz w:val="22"/>
          <w:szCs w:val="22"/>
        </w:rPr>
        <w:t>également</w:t>
      </w:r>
      <w:r>
        <w:rPr>
          <w:rFonts w:ascii="Arial" w:hAnsi="Arial" w:cs="Arial"/>
          <w:sz w:val="22"/>
          <w:szCs w:val="22"/>
        </w:rPr>
        <w:t xml:space="preserve"> des listes du patrimoine culturel immatériel au niveau régional qui sont des listes indicatives pour de futures inscriptions à la Liste nationale. La Liste nationale est organisée selon les cinq domaines définis par la </w:t>
      </w:r>
      <w:r w:rsidRPr="00041A4A">
        <w:rPr>
          <w:rFonts w:ascii="Arial" w:hAnsi="Arial" w:cs="Arial"/>
          <w:sz w:val="22"/>
          <w:szCs w:val="22"/>
        </w:rPr>
        <w:t>Convention</w:t>
      </w:r>
      <w:r>
        <w:rPr>
          <w:rFonts w:ascii="Arial" w:hAnsi="Arial" w:cs="Arial"/>
          <w:sz w:val="22"/>
          <w:szCs w:val="22"/>
        </w:rPr>
        <w:t xml:space="preserve"> de 2003 et le fait que l’</w:t>
      </w:r>
      <w:r w:rsidRPr="00041A4A">
        <w:rPr>
          <w:rFonts w:ascii="Arial" w:hAnsi="Arial" w:cs="Arial"/>
          <w:sz w:val="22"/>
          <w:szCs w:val="22"/>
        </w:rPr>
        <w:t>élément</w:t>
      </w:r>
      <w:r>
        <w:rPr>
          <w:rFonts w:ascii="Arial" w:hAnsi="Arial" w:cs="Arial"/>
          <w:sz w:val="22"/>
          <w:szCs w:val="22"/>
        </w:rPr>
        <w:t xml:space="preserve"> soit vivant et transmis de génération en génération est l’un des critères d’</w:t>
      </w:r>
      <w:r w:rsidRPr="00041A4A">
        <w:rPr>
          <w:rFonts w:ascii="Arial" w:hAnsi="Arial" w:cs="Arial"/>
          <w:sz w:val="22"/>
          <w:szCs w:val="22"/>
        </w:rPr>
        <w:t>inscription</w:t>
      </w:r>
      <w:r>
        <w:rPr>
          <w:rFonts w:ascii="Arial" w:hAnsi="Arial" w:cs="Arial"/>
          <w:sz w:val="22"/>
          <w:szCs w:val="22"/>
        </w:rPr>
        <w:t xml:space="preserve">. La </w:t>
      </w:r>
      <w:r w:rsidRPr="00041A4A">
        <w:rPr>
          <w:rFonts w:ascii="Arial" w:hAnsi="Arial" w:cs="Arial"/>
          <w:sz w:val="22"/>
          <w:szCs w:val="22"/>
        </w:rPr>
        <w:t>documentation</w:t>
      </w:r>
      <w:r>
        <w:rPr>
          <w:rFonts w:ascii="Arial" w:hAnsi="Arial" w:cs="Arial"/>
          <w:sz w:val="22"/>
          <w:szCs w:val="22"/>
        </w:rPr>
        <w:t xml:space="preserve"> sur les éléments est mise à jour tous les </w:t>
      </w:r>
      <w:r w:rsidR="00751A0F">
        <w:rPr>
          <w:rFonts w:ascii="Arial" w:hAnsi="Arial" w:cs="Arial"/>
          <w:sz w:val="22"/>
          <w:szCs w:val="22"/>
        </w:rPr>
        <w:t>sept</w:t>
      </w:r>
      <w:r>
        <w:rPr>
          <w:rFonts w:ascii="Arial" w:hAnsi="Arial" w:cs="Arial"/>
          <w:sz w:val="22"/>
          <w:szCs w:val="22"/>
        </w:rPr>
        <w:t xml:space="preserve"> ans, l’état de </w:t>
      </w:r>
      <w:r w:rsidRPr="00041A4A">
        <w:rPr>
          <w:rFonts w:ascii="Arial" w:hAnsi="Arial" w:cs="Arial"/>
          <w:sz w:val="22"/>
          <w:szCs w:val="22"/>
        </w:rPr>
        <w:t>viabilité</w:t>
      </w:r>
      <w:r>
        <w:rPr>
          <w:rFonts w:ascii="Arial" w:hAnsi="Arial" w:cs="Arial"/>
          <w:sz w:val="22"/>
          <w:szCs w:val="22"/>
        </w:rPr>
        <w:t xml:space="preserve"> est évalué et, le cas échéant, des </w:t>
      </w:r>
      <w:r w:rsidRPr="00041A4A">
        <w:rPr>
          <w:rFonts w:ascii="Arial" w:hAnsi="Arial" w:cs="Arial"/>
          <w:sz w:val="22"/>
          <w:szCs w:val="22"/>
        </w:rPr>
        <w:t>recommandation</w:t>
      </w:r>
      <w:r>
        <w:rPr>
          <w:rFonts w:ascii="Arial" w:hAnsi="Arial" w:cs="Arial"/>
          <w:sz w:val="22"/>
          <w:szCs w:val="22"/>
        </w:rPr>
        <w:t xml:space="preserve">s sont faites afin d’améliorer la </w:t>
      </w:r>
      <w:r w:rsidRPr="00041A4A">
        <w:rPr>
          <w:rFonts w:ascii="Arial" w:hAnsi="Arial" w:cs="Arial"/>
          <w:sz w:val="22"/>
          <w:szCs w:val="22"/>
        </w:rPr>
        <w:t>sauvegarde</w:t>
      </w:r>
      <w:r>
        <w:rPr>
          <w:rFonts w:ascii="Arial" w:hAnsi="Arial" w:cs="Arial"/>
          <w:sz w:val="22"/>
          <w:szCs w:val="22"/>
        </w:rPr>
        <w:t xml:space="preserve">. Cette liste est publiée sur le site web du MC et </w:t>
      </w:r>
      <w:r w:rsidRPr="00041A4A">
        <w:rPr>
          <w:rFonts w:ascii="Arial" w:hAnsi="Arial" w:cs="Arial"/>
          <w:sz w:val="22"/>
          <w:szCs w:val="22"/>
        </w:rPr>
        <w:t>régulièrement</w:t>
      </w:r>
      <w:r>
        <w:rPr>
          <w:rFonts w:ascii="Arial" w:hAnsi="Arial" w:cs="Arial"/>
          <w:sz w:val="22"/>
          <w:szCs w:val="22"/>
        </w:rPr>
        <w:t xml:space="preserve"> mise à jour. Les éléments peuvent être soumis à </w:t>
      </w:r>
      <w:r w:rsidRPr="00041A4A">
        <w:rPr>
          <w:rFonts w:ascii="Arial" w:hAnsi="Arial" w:cs="Arial"/>
          <w:sz w:val="22"/>
          <w:szCs w:val="22"/>
        </w:rPr>
        <w:t>inscription</w:t>
      </w:r>
      <w:r>
        <w:rPr>
          <w:rFonts w:ascii="Arial" w:hAnsi="Arial" w:cs="Arial"/>
          <w:sz w:val="22"/>
          <w:szCs w:val="22"/>
        </w:rPr>
        <w:t xml:space="preserve"> par toute personne ayant un lien avec la localité dans laquelle se pratique l’</w:t>
      </w:r>
      <w:r w:rsidRPr="00041A4A">
        <w:rPr>
          <w:rFonts w:ascii="Arial" w:hAnsi="Arial" w:cs="Arial"/>
          <w:sz w:val="22"/>
          <w:szCs w:val="22"/>
        </w:rPr>
        <w:t>élément</w:t>
      </w:r>
      <w:r>
        <w:rPr>
          <w:rFonts w:ascii="Arial" w:hAnsi="Arial" w:cs="Arial"/>
          <w:sz w:val="22"/>
          <w:szCs w:val="22"/>
        </w:rPr>
        <w:t>. Ils sont ensuite évalués par le Conseil national sur la base de deux rapports d’experts. Les détenteurs, ainsi que les services régionaux de l’INCP, sont souvent à l’origine des candidatures à l’</w:t>
      </w:r>
      <w:r w:rsidRPr="00720B8F">
        <w:rPr>
          <w:rFonts w:ascii="Arial" w:hAnsi="Arial" w:cs="Arial"/>
          <w:sz w:val="22"/>
          <w:szCs w:val="22"/>
        </w:rPr>
        <w:t>inscription</w:t>
      </w:r>
      <w:r>
        <w:rPr>
          <w:rFonts w:ascii="Arial" w:hAnsi="Arial" w:cs="Arial"/>
          <w:sz w:val="22"/>
          <w:szCs w:val="22"/>
        </w:rPr>
        <w:t>. Celles-ci</w:t>
      </w:r>
      <w:r w:rsidR="00751A0F">
        <w:rPr>
          <w:rFonts w:ascii="Arial" w:hAnsi="Arial" w:cs="Arial"/>
          <w:sz w:val="22"/>
          <w:szCs w:val="22"/>
        </w:rPr>
        <w:t xml:space="preserve"> </w:t>
      </w:r>
      <w:r>
        <w:rPr>
          <w:rFonts w:ascii="Arial" w:hAnsi="Arial" w:cs="Arial"/>
          <w:sz w:val="22"/>
          <w:szCs w:val="22"/>
        </w:rPr>
        <w:t>sont en général préparées conjointement par les communautés et les détenteurs</w:t>
      </w:r>
      <w:r w:rsidR="00751A0F">
        <w:rPr>
          <w:rFonts w:ascii="Arial" w:hAnsi="Arial" w:cs="Arial"/>
          <w:sz w:val="22"/>
          <w:szCs w:val="22"/>
        </w:rPr>
        <w:t xml:space="preserve">, </w:t>
      </w:r>
      <w:r w:rsidR="00751A0F" w:rsidRPr="00751A0F">
        <w:rPr>
          <w:rFonts w:ascii="Arial" w:hAnsi="Arial" w:cs="Arial"/>
          <w:sz w:val="22"/>
          <w:szCs w:val="22"/>
        </w:rPr>
        <w:t xml:space="preserve">notamment </w:t>
      </w:r>
      <w:r w:rsidR="00751A0F">
        <w:rPr>
          <w:rFonts w:ascii="Arial" w:hAnsi="Arial" w:cs="Arial"/>
          <w:sz w:val="22"/>
          <w:szCs w:val="22"/>
        </w:rPr>
        <w:t xml:space="preserve">pour ce qui concerne </w:t>
      </w:r>
      <w:r w:rsidR="00751A0F" w:rsidRPr="00751A0F">
        <w:rPr>
          <w:rFonts w:ascii="Arial" w:hAnsi="Arial" w:cs="Arial"/>
          <w:sz w:val="22"/>
          <w:szCs w:val="22"/>
        </w:rPr>
        <w:t xml:space="preserve">les mesures de sauvegarde, </w:t>
      </w:r>
      <w:r w:rsidR="00751A0F">
        <w:rPr>
          <w:rFonts w:ascii="Arial" w:hAnsi="Arial" w:cs="Arial"/>
          <w:sz w:val="22"/>
          <w:szCs w:val="22"/>
        </w:rPr>
        <w:t>et</w:t>
      </w:r>
      <w:r>
        <w:rPr>
          <w:rFonts w:ascii="Arial" w:hAnsi="Arial" w:cs="Arial"/>
          <w:sz w:val="22"/>
          <w:szCs w:val="22"/>
        </w:rPr>
        <w:t xml:space="preserve"> le </w:t>
      </w:r>
      <w:r w:rsidRPr="00720B8F">
        <w:rPr>
          <w:rFonts w:ascii="Arial" w:hAnsi="Arial" w:cs="Arial"/>
          <w:sz w:val="22"/>
          <w:szCs w:val="22"/>
        </w:rPr>
        <w:t>consentement</w:t>
      </w:r>
      <w:r>
        <w:rPr>
          <w:rFonts w:ascii="Arial" w:hAnsi="Arial" w:cs="Arial"/>
          <w:sz w:val="22"/>
          <w:szCs w:val="22"/>
        </w:rPr>
        <w:t xml:space="preserve"> libre et </w:t>
      </w:r>
      <w:r w:rsidR="00173DD2">
        <w:rPr>
          <w:rFonts w:ascii="Arial" w:hAnsi="Arial" w:cs="Arial"/>
          <w:sz w:val="22"/>
          <w:szCs w:val="22"/>
        </w:rPr>
        <w:t>éclairé</w:t>
      </w:r>
      <w:r w:rsidR="00751A0F">
        <w:rPr>
          <w:rFonts w:ascii="Arial" w:hAnsi="Arial" w:cs="Arial"/>
          <w:sz w:val="22"/>
          <w:szCs w:val="22"/>
        </w:rPr>
        <w:t xml:space="preserve"> des communautés et détenteurs</w:t>
      </w:r>
      <w:r>
        <w:rPr>
          <w:rFonts w:ascii="Arial" w:hAnsi="Arial" w:cs="Arial"/>
          <w:sz w:val="22"/>
          <w:szCs w:val="22"/>
        </w:rPr>
        <w:t xml:space="preserve"> doit être produit. La Société tchèque d’ethnologie (une </w:t>
      </w:r>
      <w:r w:rsidRPr="00720B8F">
        <w:rPr>
          <w:rFonts w:ascii="Arial" w:hAnsi="Arial" w:cs="Arial"/>
          <w:sz w:val="22"/>
          <w:szCs w:val="22"/>
        </w:rPr>
        <w:t>organisation</w:t>
      </w:r>
      <w:r>
        <w:rPr>
          <w:rFonts w:ascii="Arial" w:hAnsi="Arial" w:cs="Arial"/>
          <w:sz w:val="22"/>
          <w:szCs w:val="22"/>
        </w:rPr>
        <w:t xml:space="preserve"> non gouvernementale accréditée en vertu de la </w:t>
      </w:r>
      <w:r w:rsidRPr="00720B8F">
        <w:rPr>
          <w:rFonts w:ascii="Arial" w:hAnsi="Arial" w:cs="Arial"/>
          <w:sz w:val="22"/>
          <w:szCs w:val="22"/>
        </w:rPr>
        <w:t>Convention</w:t>
      </w:r>
      <w:r>
        <w:rPr>
          <w:rFonts w:ascii="Arial" w:hAnsi="Arial" w:cs="Arial"/>
          <w:sz w:val="22"/>
          <w:szCs w:val="22"/>
        </w:rPr>
        <w:t xml:space="preserve"> de 2003) joue un rôle important dans l’</w:t>
      </w:r>
      <w:r w:rsidRPr="00720B8F">
        <w:rPr>
          <w:rFonts w:ascii="Arial" w:hAnsi="Arial" w:cs="Arial"/>
          <w:sz w:val="22"/>
          <w:szCs w:val="22"/>
        </w:rPr>
        <w:t>identification</w:t>
      </w:r>
      <w:r>
        <w:rPr>
          <w:rFonts w:ascii="Arial" w:hAnsi="Arial" w:cs="Arial"/>
          <w:sz w:val="22"/>
          <w:szCs w:val="22"/>
        </w:rPr>
        <w:t xml:space="preserve"> et la </w:t>
      </w:r>
      <w:r w:rsidRPr="00720B8F">
        <w:rPr>
          <w:rFonts w:ascii="Arial" w:hAnsi="Arial" w:cs="Arial"/>
          <w:sz w:val="22"/>
          <w:szCs w:val="22"/>
        </w:rPr>
        <w:t>définition</w:t>
      </w:r>
      <w:r>
        <w:rPr>
          <w:rFonts w:ascii="Arial" w:hAnsi="Arial" w:cs="Arial"/>
          <w:sz w:val="22"/>
          <w:szCs w:val="22"/>
        </w:rPr>
        <w:t xml:space="preserve"> des éléments du patrimoine culturel immatériel. La Liste des détenteurs comprend les noms des personnes (cinq peuvent être inscrites chaque année) qui sont les représentants d’artisanats populaires et qui assurent la </w:t>
      </w:r>
      <w:r w:rsidRPr="00720B8F">
        <w:rPr>
          <w:rFonts w:ascii="Arial" w:hAnsi="Arial" w:cs="Arial"/>
          <w:sz w:val="22"/>
          <w:szCs w:val="22"/>
        </w:rPr>
        <w:t>continuité</w:t>
      </w:r>
      <w:r>
        <w:rPr>
          <w:rFonts w:ascii="Arial" w:hAnsi="Arial" w:cs="Arial"/>
          <w:sz w:val="22"/>
          <w:szCs w:val="22"/>
        </w:rPr>
        <w:t xml:space="preserve"> de leurs </w:t>
      </w:r>
      <w:r w:rsidRPr="00720B8F">
        <w:rPr>
          <w:rFonts w:ascii="Arial" w:hAnsi="Arial" w:cs="Arial"/>
          <w:sz w:val="22"/>
          <w:szCs w:val="22"/>
        </w:rPr>
        <w:t xml:space="preserve">compétences </w:t>
      </w:r>
      <w:r>
        <w:rPr>
          <w:rFonts w:ascii="Arial" w:hAnsi="Arial" w:cs="Arial"/>
          <w:sz w:val="22"/>
          <w:szCs w:val="22"/>
        </w:rPr>
        <w:t xml:space="preserve">et </w:t>
      </w:r>
      <w:r w:rsidRPr="00720B8F">
        <w:rPr>
          <w:rFonts w:ascii="Arial" w:hAnsi="Arial" w:cs="Arial"/>
          <w:sz w:val="22"/>
          <w:szCs w:val="22"/>
        </w:rPr>
        <w:t>savoir-faire</w:t>
      </w:r>
      <w:r>
        <w:rPr>
          <w:rFonts w:ascii="Arial" w:hAnsi="Arial" w:cs="Arial"/>
          <w:sz w:val="22"/>
          <w:szCs w:val="22"/>
        </w:rPr>
        <w:t xml:space="preserve"> par une </w:t>
      </w:r>
      <w:r w:rsidRPr="00720B8F">
        <w:rPr>
          <w:rFonts w:ascii="Arial" w:hAnsi="Arial" w:cs="Arial"/>
          <w:sz w:val="22"/>
          <w:szCs w:val="22"/>
        </w:rPr>
        <w:t xml:space="preserve">transmission </w:t>
      </w:r>
      <w:r>
        <w:rPr>
          <w:rFonts w:ascii="Arial" w:hAnsi="Arial" w:cs="Arial"/>
          <w:sz w:val="22"/>
          <w:szCs w:val="22"/>
        </w:rPr>
        <w:t xml:space="preserve">intergénérationnelle. Les détenteurs de traditions inscrits sur la liste sont présentés sur un site web administré par l’INCP et leur travail fait l’objet d’une promotion dans deux DVD et une publication. Leur </w:t>
      </w:r>
      <w:r w:rsidRPr="00720B8F">
        <w:rPr>
          <w:rFonts w:ascii="Arial" w:hAnsi="Arial" w:cs="Arial"/>
          <w:sz w:val="22"/>
          <w:szCs w:val="22"/>
        </w:rPr>
        <w:t>inscription</w:t>
      </w:r>
      <w:r>
        <w:rPr>
          <w:rFonts w:ascii="Arial" w:hAnsi="Arial" w:cs="Arial"/>
          <w:sz w:val="22"/>
          <w:szCs w:val="22"/>
        </w:rPr>
        <w:t xml:space="preserve"> peut être proposée à l’INCP par toute personne ayant un lien avec leur localité de pratique. L’INCP évalue les propositions et les transmet à un comité </w:t>
      </w:r>
      <w:r w:rsidRPr="0022064D">
        <w:rPr>
          <w:rFonts w:ascii="Arial" w:hAnsi="Arial" w:cs="Arial"/>
          <w:sz w:val="22"/>
          <w:szCs w:val="22"/>
        </w:rPr>
        <w:t>consultatif</w:t>
      </w:r>
      <w:r>
        <w:rPr>
          <w:rFonts w:ascii="Arial" w:hAnsi="Arial" w:cs="Arial"/>
          <w:sz w:val="22"/>
          <w:szCs w:val="22"/>
        </w:rPr>
        <w:t xml:space="preserve"> d’experts du MC. Les </w:t>
      </w:r>
      <w:r w:rsidRPr="00CB600E">
        <w:rPr>
          <w:rFonts w:ascii="Arial" w:hAnsi="Arial" w:cs="Arial"/>
          <w:sz w:val="22"/>
          <w:szCs w:val="22"/>
        </w:rPr>
        <w:t xml:space="preserve">deux listes </w:t>
      </w:r>
      <w:r w:rsidR="00CB600E" w:rsidRPr="00D4732D">
        <w:rPr>
          <w:rFonts w:ascii="Arial" w:hAnsi="Arial" w:cs="Arial"/>
          <w:sz w:val="22"/>
          <w:szCs w:val="22"/>
        </w:rPr>
        <w:t>intègr</w:t>
      </w:r>
      <w:r w:rsidR="003F7C07" w:rsidRPr="00CB600E">
        <w:rPr>
          <w:rFonts w:ascii="Arial" w:hAnsi="Arial" w:cs="Arial"/>
          <w:sz w:val="22"/>
          <w:szCs w:val="22"/>
        </w:rPr>
        <w:t>ent</w:t>
      </w:r>
      <w:r w:rsidRPr="00CB600E">
        <w:rPr>
          <w:rFonts w:ascii="Arial" w:hAnsi="Arial" w:cs="Arial"/>
          <w:sz w:val="22"/>
          <w:szCs w:val="22"/>
        </w:rPr>
        <w:t xml:space="preserve"> la viabilité</w:t>
      </w:r>
      <w:r w:rsidR="00F465C2">
        <w:rPr>
          <w:rFonts w:ascii="Arial" w:hAnsi="Arial" w:cs="Arial"/>
          <w:sz w:val="22"/>
          <w:szCs w:val="22"/>
        </w:rPr>
        <w:t xml:space="preserve"> des éléments.</w:t>
      </w:r>
    </w:p>
    <w:p w14:paraId="2511C095" w14:textId="53EB2BA5" w:rsidR="00D14383" w:rsidRPr="00F465C2" w:rsidRDefault="00D14383" w:rsidP="00D14383">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En ce qui concerne les autres </w:t>
      </w:r>
      <w:r w:rsidRPr="006A49CC">
        <w:rPr>
          <w:rFonts w:ascii="Arial" w:hAnsi="Arial" w:cs="Arial"/>
          <w:b/>
          <w:sz w:val="22"/>
          <w:szCs w:val="22"/>
        </w:rPr>
        <w:t>mesures de sauvegarde</w:t>
      </w:r>
      <w:r>
        <w:rPr>
          <w:rFonts w:ascii="Arial" w:hAnsi="Arial" w:cs="Arial"/>
          <w:sz w:val="22"/>
          <w:szCs w:val="22"/>
        </w:rPr>
        <w:t xml:space="preserve">, les éléments sont traditionnellement sauvegardés par des associations (p. ex. en lien avec des événements annuels ou de la vie sociale) et, le cas échéant, les médias locaux sont informés. L’accès aux éléments n’est pas restreint et les </w:t>
      </w:r>
      <w:r w:rsidRPr="006A49CC">
        <w:rPr>
          <w:rFonts w:ascii="Arial" w:hAnsi="Arial" w:cs="Arial"/>
          <w:sz w:val="22"/>
          <w:szCs w:val="22"/>
        </w:rPr>
        <w:t>informations</w:t>
      </w:r>
      <w:r>
        <w:rPr>
          <w:rFonts w:ascii="Arial" w:hAnsi="Arial" w:cs="Arial"/>
          <w:sz w:val="22"/>
          <w:szCs w:val="22"/>
        </w:rPr>
        <w:t xml:space="preserve"> sur les éléments communiquées par les </w:t>
      </w:r>
      <w:r w:rsidRPr="006A49CC">
        <w:rPr>
          <w:rFonts w:ascii="Arial" w:hAnsi="Arial" w:cs="Arial"/>
          <w:sz w:val="22"/>
          <w:szCs w:val="22"/>
        </w:rPr>
        <w:t xml:space="preserve">détenteurs </w:t>
      </w:r>
      <w:r>
        <w:rPr>
          <w:rFonts w:ascii="Arial" w:hAnsi="Arial" w:cs="Arial"/>
          <w:sz w:val="22"/>
          <w:szCs w:val="22"/>
        </w:rPr>
        <w:t xml:space="preserve">sont consultables par tous. À cette fin, plusieurs sites web ont été créés par les organisations d’état qui sont en lien avec les communautés. Les </w:t>
      </w:r>
      <w:r w:rsidRPr="006A49CC">
        <w:rPr>
          <w:rFonts w:ascii="Arial" w:hAnsi="Arial" w:cs="Arial"/>
          <w:sz w:val="22"/>
          <w:szCs w:val="22"/>
        </w:rPr>
        <w:t>informations</w:t>
      </w:r>
      <w:r>
        <w:rPr>
          <w:rFonts w:ascii="Arial" w:hAnsi="Arial" w:cs="Arial"/>
          <w:sz w:val="22"/>
          <w:szCs w:val="22"/>
        </w:rPr>
        <w:t xml:space="preserve"> sont mises à disposition avec le </w:t>
      </w:r>
      <w:r w:rsidRPr="006A49CC">
        <w:rPr>
          <w:rFonts w:ascii="Arial" w:hAnsi="Arial" w:cs="Arial"/>
          <w:sz w:val="22"/>
          <w:szCs w:val="22"/>
        </w:rPr>
        <w:t>consentement</w:t>
      </w:r>
      <w:r>
        <w:rPr>
          <w:rFonts w:ascii="Arial" w:hAnsi="Arial" w:cs="Arial"/>
          <w:sz w:val="22"/>
          <w:szCs w:val="22"/>
        </w:rPr>
        <w:t xml:space="preserve"> des communautés. S’agissant des politiques, le patrimoine culturel immatériel a été intégré à la Politique culturelle nationale (2009-2014) et la Stratégie en faveur d’une </w:t>
      </w:r>
      <w:r w:rsidRPr="006A49CC">
        <w:rPr>
          <w:rFonts w:ascii="Arial" w:hAnsi="Arial" w:cs="Arial"/>
          <w:sz w:val="22"/>
          <w:szCs w:val="22"/>
        </w:rPr>
        <w:t>conservation</w:t>
      </w:r>
      <w:r>
        <w:rPr>
          <w:rFonts w:ascii="Arial" w:hAnsi="Arial" w:cs="Arial"/>
          <w:sz w:val="22"/>
          <w:szCs w:val="22"/>
        </w:rPr>
        <w:t xml:space="preserve"> plus efficace de la culture populaire traditionnelle (2004-2010) a été le principal outil politique de mise en œuvre de la </w:t>
      </w:r>
      <w:r w:rsidRPr="00E263EF">
        <w:rPr>
          <w:rFonts w:ascii="Arial" w:hAnsi="Arial" w:cs="Arial"/>
          <w:sz w:val="22"/>
          <w:szCs w:val="22"/>
        </w:rPr>
        <w:t>Convention</w:t>
      </w:r>
      <w:r>
        <w:rPr>
          <w:rFonts w:ascii="Arial" w:hAnsi="Arial" w:cs="Arial"/>
          <w:sz w:val="22"/>
          <w:szCs w:val="22"/>
        </w:rPr>
        <w:t>, des instruments stratégiques semblables ont été adoptés p</w:t>
      </w:r>
      <w:r w:rsidR="00F465C2">
        <w:rPr>
          <w:rFonts w:ascii="Arial" w:hAnsi="Arial" w:cs="Arial"/>
          <w:sz w:val="22"/>
          <w:szCs w:val="22"/>
        </w:rPr>
        <w:t>ar les gouvernements régionaux.</w:t>
      </w:r>
    </w:p>
    <w:p w14:paraId="3515E042" w14:textId="240C9F90" w:rsidR="00D14383" w:rsidRPr="00F465C2" w:rsidRDefault="00D14383" w:rsidP="00D14383">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lastRenderedPageBreak/>
        <w:t xml:space="preserve">La </w:t>
      </w:r>
      <w:r w:rsidRPr="00CB600E">
        <w:rPr>
          <w:rFonts w:ascii="Arial" w:hAnsi="Arial" w:cs="Arial"/>
          <w:b/>
          <w:sz w:val="22"/>
          <w:szCs w:val="22"/>
        </w:rPr>
        <w:t>recherche</w:t>
      </w:r>
      <w:r w:rsidRPr="00CB600E">
        <w:rPr>
          <w:rFonts w:ascii="Arial" w:hAnsi="Arial" w:cs="Arial"/>
          <w:sz w:val="22"/>
          <w:szCs w:val="22"/>
        </w:rPr>
        <w:t xml:space="preserve"> scientifique et les </w:t>
      </w:r>
      <w:r w:rsidRPr="00CB600E">
        <w:rPr>
          <w:rFonts w:ascii="Arial" w:hAnsi="Arial" w:cs="Arial"/>
          <w:b/>
          <w:sz w:val="22"/>
          <w:szCs w:val="22"/>
        </w:rPr>
        <w:t>publications</w:t>
      </w:r>
      <w:r w:rsidRPr="00CB600E">
        <w:rPr>
          <w:rFonts w:ascii="Arial" w:hAnsi="Arial" w:cs="Arial"/>
          <w:sz w:val="22"/>
          <w:szCs w:val="22"/>
        </w:rPr>
        <w:t xml:space="preserve"> se sont</w:t>
      </w:r>
      <w:r>
        <w:rPr>
          <w:rFonts w:ascii="Arial" w:hAnsi="Arial" w:cs="Arial"/>
          <w:sz w:val="22"/>
          <w:szCs w:val="22"/>
        </w:rPr>
        <w:t xml:space="preserve"> concentrées sur les projets de </w:t>
      </w:r>
      <w:r w:rsidRPr="00E263EF">
        <w:rPr>
          <w:rFonts w:ascii="Arial" w:hAnsi="Arial" w:cs="Arial"/>
          <w:sz w:val="22"/>
          <w:szCs w:val="22"/>
        </w:rPr>
        <w:t>sauvegarde</w:t>
      </w:r>
      <w:r>
        <w:rPr>
          <w:rFonts w:ascii="Arial" w:hAnsi="Arial" w:cs="Arial"/>
          <w:sz w:val="22"/>
          <w:szCs w:val="22"/>
        </w:rPr>
        <w:t xml:space="preserve">, et le soutien de l’État est accordé à des publications spécialisées consacrées à l’ethnographie et à la </w:t>
      </w:r>
      <w:r w:rsidRPr="00E263EF">
        <w:rPr>
          <w:rFonts w:ascii="Arial" w:hAnsi="Arial" w:cs="Arial"/>
          <w:sz w:val="22"/>
          <w:szCs w:val="22"/>
        </w:rPr>
        <w:t>conservation</w:t>
      </w:r>
      <w:r>
        <w:rPr>
          <w:rFonts w:ascii="Arial" w:hAnsi="Arial" w:cs="Arial"/>
          <w:sz w:val="22"/>
          <w:szCs w:val="22"/>
        </w:rPr>
        <w:t xml:space="preserve"> du patrimoine culturel immatériel (</w:t>
      </w:r>
      <w:r w:rsidRPr="00E263EF">
        <w:rPr>
          <w:rFonts w:ascii="Arial" w:hAnsi="Arial" w:cs="Arial"/>
          <w:sz w:val="22"/>
          <w:szCs w:val="22"/>
        </w:rPr>
        <w:t>identification</w:t>
      </w:r>
      <w:r>
        <w:rPr>
          <w:rFonts w:ascii="Arial" w:hAnsi="Arial" w:cs="Arial"/>
          <w:sz w:val="22"/>
          <w:szCs w:val="22"/>
        </w:rPr>
        <w:t xml:space="preserve">, </w:t>
      </w:r>
      <w:r w:rsidRPr="00E263EF">
        <w:rPr>
          <w:rFonts w:ascii="Arial" w:hAnsi="Arial" w:cs="Arial"/>
          <w:sz w:val="22"/>
          <w:szCs w:val="22"/>
        </w:rPr>
        <w:t>documentation</w:t>
      </w:r>
      <w:r>
        <w:rPr>
          <w:rFonts w:ascii="Arial" w:hAnsi="Arial" w:cs="Arial"/>
          <w:sz w:val="22"/>
          <w:szCs w:val="22"/>
        </w:rPr>
        <w:t xml:space="preserve">, inventaire et archivage) ainsi qu’à la </w:t>
      </w:r>
      <w:r w:rsidRPr="00E263EF">
        <w:rPr>
          <w:rFonts w:ascii="Arial" w:hAnsi="Arial" w:cs="Arial"/>
          <w:sz w:val="22"/>
          <w:szCs w:val="22"/>
        </w:rPr>
        <w:t>recherche</w:t>
      </w:r>
      <w:r>
        <w:rPr>
          <w:rFonts w:ascii="Arial" w:hAnsi="Arial" w:cs="Arial"/>
          <w:sz w:val="22"/>
          <w:szCs w:val="22"/>
        </w:rPr>
        <w:t xml:space="preserve"> liée aux </w:t>
      </w:r>
      <w:r w:rsidRPr="00E263EF">
        <w:rPr>
          <w:rFonts w:ascii="Arial" w:hAnsi="Arial" w:cs="Arial"/>
          <w:sz w:val="22"/>
          <w:szCs w:val="22"/>
        </w:rPr>
        <w:t>candidature</w:t>
      </w:r>
      <w:r>
        <w:rPr>
          <w:rFonts w:ascii="Arial" w:hAnsi="Arial" w:cs="Arial"/>
          <w:sz w:val="22"/>
          <w:szCs w:val="22"/>
        </w:rPr>
        <w:t xml:space="preserve">s à la Liste nationale. Les publications locales et régionales (p. ex. des recueils de chansons) représentent </w:t>
      </w:r>
      <w:r w:rsidRPr="003C2976">
        <w:rPr>
          <w:rFonts w:ascii="Arial" w:hAnsi="Arial" w:cs="Arial"/>
          <w:sz w:val="22"/>
          <w:szCs w:val="22"/>
        </w:rPr>
        <w:t>également</w:t>
      </w:r>
      <w:r>
        <w:rPr>
          <w:rFonts w:ascii="Arial" w:hAnsi="Arial" w:cs="Arial"/>
          <w:sz w:val="22"/>
          <w:szCs w:val="22"/>
        </w:rPr>
        <w:t xml:space="preserve"> un aspect important de la </w:t>
      </w:r>
      <w:r w:rsidRPr="003C2976">
        <w:rPr>
          <w:rFonts w:ascii="Arial" w:hAnsi="Arial" w:cs="Arial"/>
          <w:sz w:val="22"/>
          <w:szCs w:val="22"/>
        </w:rPr>
        <w:t>sauvegarde</w:t>
      </w:r>
      <w:r>
        <w:rPr>
          <w:rFonts w:ascii="Arial" w:hAnsi="Arial" w:cs="Arial"/>
          <w:sz w:val="22"/>
          <w:szCs w:val="22"/>
        </w:rPr>
        <w:t xml:space="preserve">. Il en va de même pour les publications </w:t>
      </w:r>
      <w:r w:rsidRPr="00CB600E">
        <w:rPr>
          <w:rFonts w:ascii="Arial" w:hAnsi="Arial" w:cs="Arial"/>
          <w:sz w:val="22"/>
          <w:szCs w:val="22"/>
        </w:rPr>
        <w:t xml:space="preserve">des instituts </w:t>
      </w:r>
      <w:r w:rsidR="003F7C07" w:rsidRPr="00CB600E">
        <w:rPr>
          <w:rFonts w:ascii="Arial" w:hAnsi="Arial" w:cs="Arial"/>
          <w:sz w:val="22"/>
          <w:szCs w:val="22"/>
        </w:rPr>
        <w:t xml:space="preserve">universitaires </w:t>
      </w:r>
      <w:r w:rsidRPr="00CB600E">
        <w:rPr>
          <w:rFonts w:ascii="Arial" w:hAnsi="Arial" w:cs="Arial"/>
          <w:sz w:val="22"/>
          <w:szCs w:val="22"/>
        </w:rPr>
        <w:t>de recherche (p. ex les m</w:t>
      </w:r>
      <w:r>
        <w:rPr>
          <w:rFonts w:ascii="Arial" w:hAnsi="Arial" w:cs="Arial"/>
          <w:sz w:val="22"/>
          <w:szCs w:val="22"/>
        </w:rPr>
        <w:t xml:space="preserve">anuels de méthodologie). De nombreuses études et </w:t>
      </w:r>
      <w:r w:rsidRPr="00CB600E">
        <w:rPr>
          <w:rFonts w:ascii="Arial" w:hAnsi="Arial" w:cs="Arial"/>
          <w:sz w:val="22"/>
          <w:szCs w:val="22"/>
        </w:rPr>
        <w:t>plusieurs projets de recherche consacrés à la sauvegarde de l’architecture populaire ont également un impact direct sur la sauvegarde des techniques</w:t>
      </w:r>
      <w:r w:rsidR="003F7C07" w:rsidRPr="00CB600E">
        <w:rPr>
          <w:rFonts w:ascii="Arial" w:hAnsi="Arial" w:cs="Arial"/>
          <w:sz w:val="22"/>
          <w:szCs w:val="22"/>
        </w:rPr>
        <w:t xml:space="preserve"> traditionnelles</w:t>
      </w:r>
      <w:r w:rsidRPr="00CB600E">
        <w:rPr>
          <w:rFonts w:ascii="Arial" w:hAnsi="Arial" w:cs="Arial"/>
          <w:sz w:val="22"/>
          <w:szCs w:val="22"/>
        </w:rPr>
        <w:t xml:space="preserve"> de construction et d’artisanat. De 2011 à 2015, l’INCP a financé deux grands projets de recherche appliquée et d’élaboration d’une</w:t>
      </w:r>
      <w:r>
        <w:rPr>
          <w:rFonts w:ascii="Arial" w:hAnsi="Arial" w:cs="Arial"/>
          <w:sz w:val="22"/>
          <w:szCs w:val="22"/>
        </w:rPr>
        <w:t xml:space="preserve"> identité culturelle nationale, à savoir : un projet sur les techniques de </w:t>
      </w:r>
      <w:r w:rsidRPr="003C2976">
        <w:rPr>
          <w:rFonts w:ascii="Arial" w:hAnsi="Arial" w:cs="Arial"/>
          <w:sz w:val="22"/>
          <w:szCs w:val="22"/>
        </w:rPr>
        <w:t>construction</w:t>
      </w:r>
      <w:r>
        <w:rPr>
          <w:rFonts w:ascii="Arial" w:hAnsi="Arial" w:cs="Arial"/>
          <w:sz w:val="22"/>
          <w:szCs w:val="22"/>
        </w:rPr>
        <w:t xml:space="preserve"> traditionnelle en argile en Moravie et dans le contexte régional du moyen Danube ; et l’</w:t>
      </w:r>
      <w:r w:rsidRPr="009648CD">
        <w:rPr>
          <w:rFonts w:ascii="Arial" w:hAnsi="Arial" w:cs="Arial"/>
          <w:sz w:val="22"/>
          <w:szCs w:val="22"/>
        </w:rPr>
        <w:t>utilisation</w:t>
      </w:r>
      <w:r>
        <w:rPr>
          <w:rFonts w:ascii="Arial" w:hAnsi="Arial" w:cs="Arial"/>
          <w:sz w:val="22"/>
          <w:szCs w:val="22"/>
        </w:rPr>
        <w:t xml:space="preserve"> d’un système d’informations géographiques (SIG) pour cartographier la culture populaire traditionnelle. Depuis 2015, le public a accès gratuitement à ces </w:t>
      </w:r>
      <w:r w:rsidRPr="009648CD">
        <w:rPr>
          <w:rFonts w:ascii="Arial" w:hAnsi="Arial" w:cs="Arial"/>
          <w:sz w:val="22"/>
          <w:szCs w:val="22"/>
        </w:rPr>
        <w:t>informations</w:t>
      </w:r>
      <w:r>
        <w:rPr>
          <w:rFonts w:ascii="Arial" w:hAnsi="Arial" w:cs="Arial"/>
          <w:sz w:val="22"/>
          <w:szCs w:val="22"/>
        </w:rPr>
        <w:t xml:space="preserve"> grâce au Système d’</w:t>
      </w:r>
      <w:r w:rsidRPr="009648CD">
        <w:rPr>
          <w:rFonts w:ascii="Arial" w:hAnsi="Arial" w:cs="Arial"/>
          <w:sz w:val="22"/>
          <w:szCs w:val="22"/>
        </w:rPr>
        <w:t>informations</w:t>
      </w:r>
      <w:r>
        <w:rPr>
          <w:rFonts w:ascii="Arial" w:hAnsi="Arial" w:cs="Arial"/>
          <w:sz w:val="22"/>
          <w:szCs w:val="22"/>
        </w:rPr>
        <w:t xml:space="preserve"> géographiques pour la culture populaire traditionnelle</w:t>
      </w:r>
      <w:r w:rsidR="003F7C07" w:rsidRPr="003F7C07">
        <w:rPr>
          <w:rFonts w:ascii="Arial" w:hAnsi="Arial" w:cs="Arial"/>
          <w:sz w:val="22"/>
          <w:szCs w:val="22"/>
        </w:rPr>
        <w:t xml:space="preserve"> </w:t>
      </w:r>
      <w:r w:rsidR="003F7C07">
        <w:rPr>
          <w:rFonts w:ascii="Arial" w:hAnsi="Arial" w:cs="Arial"/>
          <w:sz w:val="22"/>
          <w:szCs w:val="22"/>
        </w:rPr>
        <w:t>(GISTraLiK</w:t>
      </w:r>
      <w:r w:rsidR="00F465C2">
        <w:rPr>
          <w:rFonts w:ascii="Arial" w:hAnsi="Arial" w:cs="Arial"/>
          <w:sz w:val="22"/>
          <w:szCs w:val="22"/>
        </w:rPr>
        <w:t>).</w:t>
      </w:r>
    </w:p>
    <w:p w14:paraId="23490C6F" w14:textId="5311F864" w:rsidR="00D14383" w:rsidRPr="00F465C2" w:rsidRDefault="00D14383" w:rsidP="00D14383">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Des </w:t>
      </w:r>
      <w:r w:rsidRPr="002153F4">
        <w:rPr>
          <w:rFonts w:ascii="Arial" w:hAnsi="Arial" w:cs="Arial"/>
          <w:b/>
          <w:sz w:val="22"/>
          <w:szCs w:val="22"/>
        </w:rPr>
        <w:t>programmes éducatifs</w:t>
      </w:r>
      <w:r>
        <w:rPr>
          <w:rFonts w:ascii="Arial" w:hAnsi="Arial" w:cs="Arial"/>
          <w:sz w:val="22"/>
          <w:szCs w:val="22"/>
        </w:rPr>
        <w:t xml:space="preserve"> sur le patrimoine culturel immatériel régional sont proposés dans les programmes scolaires des écoles primaires et secondaires et des écoles élémentaires d’art s’intéressent tout particulièrement au folklore. En 2015, l’INCP a édité un manuel destiné à </w:t>
      </w:r>
      <w:r w:rsidR="00987FF5">
        <w:rPr>
          <w:rFonts w:ascii="Arial" w:hAnsi="Arial" w:cs="Arial"/>
          <w:sz w:val="22"/>
          <w:szCs w:val="22"/>
        </w:rPr>
        <w:t>guid</w:t>
      </w:r>
      <w:r>
        <w:rPr>
          <w:rFonts w:ascii="Arial" w:hAnsi="Arial" w:cs="Arial"/>
          <w:sz w:val="22"/>
          <w:szCs w:val="22"/>
        </w:rPr>
        <w:t xml:space="preserve">er les professeurs sur l’intégration du patrimoine culturel immatériel dans les programmes scolaires. Par ailleurs, ce même institut organise des conférences dans les écoles primaires. Les universités qui enseignent l’ethnologie, l’anthropologie et les sciences historiques proposent </w:t>
      </w:r>
      <w:r w:rsidRPr="00A2094B">
        <w:rPr>
          <w:rFonts w:ascii="Arial" w:hAnsi="Arial" w:cs="Arial"/>
          <w:sz w:val="22"/>
          <w:szCs w:val="22"/>
        </w:rPr>
        <w:t>également</w:t>
      </w:r>
      <w:r>
        <w:rPr>
          <w:rFonts w:ascii="Arial" w:hAnsi="Arial" w:cs="Arial"/>
          <w:sz w:val="22"/>
          <w:szCs w:val="22"/>
        </w:rPr>
        <w:t xml:space="preserve"> des cours qui abordent le sujet du patrimoine culturel immatériel et il existe un cours spécialisé sur « l’UNESCO et la </w:t>
      </w:r>
      <w:r w:rsidRPr="00A2094B">
        <w:rPr>
          <w:rFonts w:ascii="Arial" w:hAnsi="Arial" w:cs="Arial"/>
          <w:sz w:val="22"/>
          <w:szCs w:val="22"/>
        </w:rPr>
        <w:t>sauvegarde</w:t>
      </w:r>
      <w:r>
        <w:rPr>
          <w:rFonts w:ascii="Arial" w:hAnsi="Arial" w:cs="Arial"/>
          <w:sz w:val="22"/>
          <w:szCs w:val="22"/>
        </w:rPr>
        <w:t xml:space="preserve"> du patrimoine culturel immatériel ». En outre, un certain nombre de cours sont organisés afin de renforcer les </w:t>
      </w:r>
      <w:r w:rsidRPr="00A2094B">
        <w:rPr>
          <w:rFonts w:ascii="Arial" w:hAnsi="Arial" w:cs="Arial"/>
          <w:sz w:val="22"/>
          <w:szCs w:val="22"/>
        </w:rPr>
        <w:t>capacités</w:t>
      </w:r>
      <w:r>
        <w:rPr>
          <w:rFonts w:ascii="Arial" w:hAnsi="Arial" w:cs="Arial"/>
          <w:sz w:val="22"/>
          <w:szCs w:val="22"/>
        </w:rPr>
        <w:t xml:space="preserve"> de la </w:t>
      </w:r>
      <w:r w:rsidRPr="00A2094B">
        <w:rPr>
          <w:rFonts w:ascii="Arial" w:hAnsi="Arial" w:cs="Arial"/>
          <w:sz w:val="22"/>
          <w:szCs w:val="22"/>
        </w:rPr>
        <w:t>communauté</w:t>
      </w:r>
      <w:r>
        <w:rPr>
          <w:rFonts w:ascii="Arial" w:hAnsi="Arial" w:cs="Arial"/>
          <w:sz w:val="22"/>
          <w:szCs w:val="22"/>
        </w:rPr>
        <w:t xml:space="preserve"> scientifique, comme par exemple </w:t>
      </w:r>
      <w:r w:rsidRPr="002153F4">
        <w:rPr>
          <w:rFonts w:ascii="Arial" w:hAnsi="Arial" w:cs="Arial"/>
          <w:sz w:val="22"/>
          <w:szCs w:val="22"/>
        </w:rPr>
        <w:t xml:space="preserve">l’utilisation </w:t>
      </w:r>
      <w:r>
        <w:rPr>
          <w:rFonts w:ascii="Arial" w:hAnsi="Arial" w:cs="Arial"/>
          <w:sz w:val="22"/>
          <w:szCs w:val="22"/>
        </w:rPr>
        <w:t xml:space="preserve">de ressources électroniques (telles que le SIG) en ethnologie. Des activités extrascolaires comme le projet « Notre pain quotidien » qui présente aux enfants la fabrication du pain et des cours sur les chants et danses populaires encouragent </w:t>
      </w:r>
      <w:r w:rsidRPr="002153F4">
        <w:rPr>
          <w:rFonts w:ascii="Arial" w:hAnsi="Arial" w:cs="Arial"/>
          <w:sz w:val="22"/>
          <w:szCs w:val="22"/>
        </w:rPr>
        <w:t>également</w:t>
      </w:r>
      <w:r>
        <w:rPr>
          <w:rFonts w:ascii="Arial" w:hAnsi="Arial" w:cs="Arial"/>
          <w:sz w:val="22"/>
          <w:szCs w:val="22"/>
        </w:rPr>
        <w:t xml:space="preserve"> les jeunes à s’intéresser encore plus au patrimoine culturel immatériel, de telles activités éducatives non formelles sont bien établies en Tchéquie. Le Centre national d’information et de consultation sur la culture (NIPOS), un</w:t>
      </w:r>
      <w:r w:rsidR="00987FF5">
        <w:rPr>
          <w:rFonts w:ascii="Arial" w:hAnsi="Arial" w:cs="Arial"/>
          <w:sz w:val="22"/>
          <w:szCs w:val="22"/>
        </w:rPr>
        <w:t>e agence</w:t>
      </w:r>
      <w:r>
        <w:rPr>
          <w:rFonts w:ascii="Arial" w:hAnsi="Arial" w:cs="Arial"/>
          <w:sz w:val="22"/>
          <w:szCs w:val="22"/>
        </w:rPr>
        <w:t xml:space="preserve"> de </w:t>
      </w:r>
      <w:r w:rsidRPr="002153F4">
        <w:rPr>
          <w:rFonts w:ascii="Arial" w:hAnsi="Arial" w:cs="Arial"/>
          <w:sz w:val="22"/>
          <w:szCs w:val="22"/>
        </w:rPr>
        <w:t>recherche</w:t>
      </w:r>
      <w:r>
        <w:rPr>
          <w:rFonts w:ascii="Arial" w:hAnsi="Arial" w:cs="Arial"/>
          <w:sz w:val="22"/>
          <w:szCs w:val="22"/>
        </w:rPr>
        <w:t xml:space="preserve">, organise </w:t>
      </w:r>
      <w:r w:rsidRPr="002153F4">
        <w:rPr>
          <w:rFonts w:ascii="Arial" w:hAnsi="Arial" w:cs="Arial"/>
          <w:sz w:val="22"/>
          <w:szCs w:val="22"/>
        </w:rPr>
        <w:t>également</w:t>
      </w:r>
      <w:r>
        <w:rPr>
          <w:rFonts w:ascii="Arial" w:hAnsi="Arial" w:cs="Arial"/>
          <w:sz w:val="22"/>
          <w:szCs w:val="22"/>
        </w:rPr>
        <w:t xml:space="preserve"> des séminaires et des programmes de formation pour les enfants, les jeunes et les adultes en ayant recours à des méthodes modernes et traditionnell</w:t>
      </w:r>
      <w:r w:rsidR="00F465C2">
        <w:rPr>
          <w:rFonts w:ascii="Arial" w:hAnsi="Arial" w:cs="Arial"/>
          <w:sz w:val="22"/>
          <w:szCs w:val="22"/>
        </w:rPr>
        <w:t>es.</w:t>
      </w:r>
    </w:p>
    <w:p w14:paraId="446ECA9A" w14:textId="1CBFE6EE" w:rsidR="00D14383" w:rsidRPr="00F465C2" w:rsidRDefault="00D14383" w:rsidP="00D14383">
      <w:pPr>
        <w:autoSpaceDE w:val="0"/>
        <w:autoSpaceDN w:val="0"/>
        <w:adjustRightInd w:val="0"/>
        <w:spacing w:after="120"/>
        <w:ind w:left="567"/>
        <w:jc w:val="both"/>
        <w:rPr>
          <w:rFonts w:ascii="Arial" w:eastAsia="Malgun Gothic" w:hAnsi="Arial" w:cs="Arial"/>
          <w:sz w:val="22"/>
          <w:szCs w:val="22"/>
          <w:lang w:eastAsia="ko-KR"/>
        </w:rPr>
      </w:pPr>
      <w:r w:rsidRPr="00951DDA">
        <w:rPr>
          <w:rFonts w:ascii="Arial" w:hAnsi="Arial" w:cs="Arial"/>
          <w:sz w:val="22"/>
          <w:szCs w:val="22"/>
        </w:rPr>
        <w:t>S’agissant</w:t>
      </w:r>
      <w:r>
        <w:rPr>
          <w:rFonts w:ascii="Arial" w:hAnsi="Arial" w:cs="Arial"/>
          <w:sz w:val="22"/>
          <w:szCs w:val="22"/>
        </w:rPr>
        <w:t xml:space="preserve"> de la </w:t>
      </w:r>
      <w:r w:rsidRPr="00951DDA">
        <w:rPr>
          <w:rFonts w:ascii="Arial" w:hAnsi="Arial" w:cs="Arial"/>
          <w:b/>
          <w:sz w:val="22"/>
          <w:szCs w:val="22"/>
        </w:rPr>
        <w:t>sensibilisation et de la promotion</w:t>
      </w:r>
      <w:r>
        <w:rPr>
          <w:rFonts w:ascii="Arial" w:hAnsi="Arial" w:cs="Arial"/>
          <w:sz w:val="22"/>
          <w:szCs w:val="22"/>
        </w:rPr>
        <w:t xml:space="preserve"> du patrimoine culturel immatériel, la branche tchèque du Conseil International des Organisations de Festivals de Folklore et d’arts </w:t>
      </w:r>
      <w:r w:rsidRPr="00531213">
        <w:rPr>
          <w:rFonts w:ascii="Arial" w:hAnsi="Arial" w:cs="Arial"/>
          <w:sz w:val="22"/>
          <w:szCs w:val="22"/>
        </w:rPr>
        <w:t>traditionnels</w:t>
      </w:r>
      <w:r>
        <w:rPr>
          <w:rFonts w:ascii="Arial" w:hAnsi="Arial" w:cs="Arial"/>
          <w:sz w:val="22"/>
          <w:szCs w:val="22"/>
        </w:rPr>
        <w:t xml:space="preserve"> (CIOFF) joue un rôle important, </w:t>
      </w:r>
      <w:r w:rsidRPr="00951DDA">
        <w:rPr>
          <w:rFonts w:ascii="Arial" w:hAnsi="Arial" w:cs="Arial"/>
          <w:sz w:val="22"/>
          <w:szCs w:val="22"/>
          <w:lang w:eastAsia="en-US"/>
        </w:rPr>
        <w:t>en particulier</w:t>
      </w:r>
      <w:r>
        <w:rPr>
          <w:rFonts w:ascii="Arial" w:hAnsi="Arial" w:cs="Arial"/>
          <w:sz w:val="22"/>
          <w:szCs w:val="22"/>
        </w:rPr>
        <w:t xml:space="preserve">, en raison du grand nombre de festivals de folklore organisés tout au long de l’année. De nombreux musées régionaux et en plein air organisent </w:t>
      </w:r>
      <w:r w:rsidRPr="00951DDA">
        <w:rPr>
          <w:rFonts w:ascii="Arial" w:hAnsi="Arial" w:cs="Arial"/>
          <w:sz w:val="22"/>
          <w:szCs w:val="22"/>
        </w:rPr>
        <w:t>également</w:t>
      </w:r>
      <w:r>
        <w:rPr>
          <w:rFonts w:ascii="Arial" w:hAnsi="Arial" w:cs="Arial"/>
          <w:sz w:val="22"/>
          <w:szCs w:val="22"/>
        </w:rPr>
        <w:t xml:space="preserve"> des événements destinés à présenter aux visiteurs les fêtes, les coutumes et les artisanats. La promotion des éléments passe </w:t>
      </w:r>
      <w:r w:rsidRPr="00951DDA">
        <w:rPr>
          <w:rFonts w:ascii="Arial" w:hAnsi="Arial" w:cs="Arial"/>
          <w:sz w:val="22"/>
          <w:szCs w:val="22"/>
        </w:rPr>
        <w:t>également</w:t>
      </w:r>
      <w:r>
        <w:rPr>
          <w:rFonts w:ascii="Arial" w:hAnsi="Arial" w:cs="Arial"/>
          <w:sz w:val="22"/>
          <w:szCs w:val="22"/>
        </w:rPr>
        <w:t xml:space="preserve"> par des marques telles que Manufaktura, une marque d’envergure nationale qui rassemble 250 artisans et petites entreprises, et LUTA, un magasin qui vend des produits faits avec des matériaux naturels et réalisés avec des méthodes traditionnelles. Les grands médias ont </w:t>
      </w:r>
      <w:r w:rsidRPr="00951DDA">
        <w:rPr>
          <w:rFonts w:ascii="Arial" w:hAnsi="Arial" w:cs="Arial"/>
          <w:sz w:val="22"/>
          <w:szCs w:val="22"/>
        </w:rPr>
        <w:t>également</w:t>
      </w:r>
      <w:r>
        <w:rPr>
          <w:rFonts w:ascii="Arial" w:hAnsi="Arial" w:cs="Arial"/>
          <w:sz w:val="22"/>
          <w:szCs w:val="22"/>
        </w:rPr>
        <w:t xml:space="preserve"> un rôle essentiel dans la promotion du patrimoine culturel immatériel et il existe un certain nombre de programmes de </w:t>
      </w:r>
      <w:r w:rsidRPr="00951DDA">
        <w:rPr>
          <w:rFonts w:ascii="Arial" w:hAnsi="Arial" w:cs="Arial"/>
          <w:sz w:val="22"/>
          <w:szCs w:val="22"/>
          <w:lang w:eastAsia="en-US"/>
        </w:rPr>
        <w:t>télévision</w:t>
      </w:r>
      <w:r>
        <w:rPr>
          <w:rFonts w:ascii="Arial" w:hAnsi="Arial" w:cs="Arial"/>
          <w:sz w:val="22"/>
          <w:szCs w:val="22"/>
        </w:rPr>
        <w:t xml:space="preserve"> </w:t>
      </w:r>
      <w:r w:rsidR="00F465C2">
        <w:rPr>
          <w:rFonts w:ascii="Arial" w:hAnsi="Arial" w:cs="Arial"/>
          <w:sz w:val="22"/>
          <w:szCs w:val="22"/>
        </w:rPr>
        <w:t>et de radio consacrés au sujet.</w:t>
      </w:r>
    </w:p>
    <w:p w14:paraId="695F4C56" w14:textId="0742F73D" w:rsidR="00D14383" w:rsidRPr="00F465C2" w:rsidRDefault="00D14383" w:rsidP="00D14383">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La </w:t>
      </w:r>
      <w:r w:rsidRPr="00951DDA">
        <w:rPr>
          <w:rFonts w:ascii="Arial" w:hAnsi="Arial" w:cs="Arial"/>
          <w:sz w:val="22"/>
          <w:szCs w:val="22"/>
        </w:rPr>
        <w:t>participation</w:t>
      </w:r>
      <w:r>
        <w:rPr>
          <w:rFonts w:ascii="Arial" w:hAnsi="Arial" w:cs="Arial"/>
          <w:sz w:val="22"/>
          <w:szCs w:val="22"/>
        </w:rPr>
        <w:t xml:space="preserve"> à des candidatures multinationales à la Liste représentative est une forme importante de </w:t>
      </w:r>
      <w:r w:rsidRPr="00951DDA">
        <w:rPr>
          <w:rFonts w:ascii="Arial" w:hAnsi="Arial" w:cs="Arial"/>
          <w:b/>
          <w:sz w:val="22"/>
          <w:szCs w:val="22"/>
        </w:rPr>
        <w:t>coopération bilatérale, sous-régionale, régionale et internationale</w:t>
      </w:r>
      <w:r>
        <w:rPr>
          <w:rFonts w:ascii="Arial" w:hAnsi="Arial" w:cs="Arial"/>
          <w:sz w:val="22"/>
          <w:szCs w:val="22"/>
        </w:rPr>
        <w:t xml:space="preserve">, et la Tchéquie, qui a </w:t>
      </w:r>
      <w:r w:rsidRPr="00CB600E">
        <w:rPr>
          <w:rFonts w:ascii="Arial" w:hAnsi="Arial" w:cs="Arial"/>
          <w:sz w:val="22"/>
          <w:szCs w:val="22"/>
        </w:rPr>
        <w:t>rejoint l’élément</w:t>
      </w:r>
      <w:r w:rsidR="00CB600E" w:rsidRPr="00D4732D">
        <w:rPr>
          <w:rFonts w:ascii="Arial" w:hAnsi="Arial" w:cs="Arial"/>
          <w:sz w:val="22"/>
          <w:szCs w:val="22"/>
        </w:rPr>
        <w:t xml:space="preserve"> de la </w:t>
      </w:r>
      <w:r w:rsidRPr="00D4732D">
        <w:rPr>
          <w:rFonts w:ascii="Arial" w:hAnsi="Arial" w:cs="Arial"/>
          <w:sz w:val="22"/>
          <w:szCs w:val="22"/>
        </w:rPr>
        <w:t>Fauconnerie en</w:t>
      </w:r>
      <w:r>
        <w:rPr>
          <w:rFonts w:ascii="Arial" w:hAnsi="Arial" w:cs="Arial"/>
          <w:sz w:val="22"/>
          <w:szCs w:val="22"/>
        </w:rPr>
        <w:t xml:space="preserve"> 2012, travaille en étroite </w:t>
      </w:r>
      <w:r w:rsidRPr="00E47BD2">
        <w:rPr>
          <w:rFonts w:ascii="Arial" w:hAnsi="Arial" w:cs="Arial"/>
          <w:sz w:val="22"/>
          <w:szCs w:val="22"/>
        </w:rPr>
        <w:t>collaboration</w:t>
      </w:r>
      <w:r>
        <w:rPr>
          <w:rFonts w:ascii="Arial" w:hAnsi="Arial" w:cs="Arial"/>
          <w:sz w:val="22"/>
          <w:szCs w:val="22"/>
        </w:rPr>
        <w:t xml:space="preserve"> avec la Slovaquie et d’autres membres de l’Institut international de fauconnerie. En 2013, le pays a </w:t>
      </w:r>
      <w:r w:rsidRPr="00951DDA">
        <w:rPr>
          <w:rFonts w:ascii="Arial" w:hAnsi="Arial" w:cs="Arial"/>
          <w:sz w:val="22"/>
          <w:szCs w:val="22"/>
        </w:rPr>
        <w:t>également</w:t>
      </w:r>
      <w:r>
        <w:rPr>
          <w:rFonts w:ascii="Arial" w:hAnsi="Arial" w:cs="Arial"/>
          <w:sz w:val="22"/>
          <w:szCs w:val="22"/>
        </w:rPr>
        <w:t xml:space="preserve"> pris part aux discussions sur le patrimoine culturel immatériel en Europe centrale, destinées à partager des expériences (p. ex. sur les impacts de l’</w:t>
      </w:r>
      <w:r w:rsidRPr="00951DDA">
        <w:rPr>
          <w:rFonts w:ascii="Arial" w:hAnsi="Arial" w:cs="Arial"/>
          <w:sz w:val="22"/>
          <w:szCs w:val="22"/>
        </w:rPr>
        <w:t>inscription</w:t>
      </w:r>
      <w:r>
        <w:rPr>
          <w:rFonts w:ascii="Arial" w:hAnsi="Arial" w:cs="Arial"/>
          <w:sz w:val="22"/>
          <w:szCs w:val="22"/>
        </w:rPr>
        <w:t xml:space="preserve">) et à envisager de possibles candidatures multinationales. De plus, la </w:t>
      </w:r>
      <w:r w:rsidRPr="00951DDA">
        <w:rPr>
          <w:rFonts w:ascii="Arial" w:hAnsi="Arial" w:cs="Arial"/>
          <w:sz w:val="22"/>
          <w:szCs w:val="22"/>
        </w:rPr>
        <w:t>coopération</w:t>
      </w:r>
      <w:r>
        <w:rPr>
          <w:rFonts w:ascii="Arial" w:hAnsi="Arial" w:cs="Arial"/>
          <w:sz w:val="22"/>
          <w:szCs w:val="22"/>
        </w:rPr>
        <w:t xml:space="preserve"> régionale se concrétise par la </w:t>
      </w:r>
      <w:r w:rsidRPr="00A03534">
        <w:rPr>
          <w:rFonts w:ascii="Arial" w:hAnsi="Arial" w:cs="Arial"/>
          <w:sz w:val="22"/>
          <w:szCs w:val="22"/>
        </w:rPr>
        <w:t>participation</w:t>
      </w:r>
      <w:r>
        <w:rPr>
          <w:rFonts w:ascii="Arial" w:hAnsi="Arial" w:cs="Arial"/>
          <w:sz w:val="22"/>
          <w:szCs w:val="22"/>
        </w:rPr>
        <w:t xml:space="preserve"> au projet ETNOFOLK (avec l’Autriche, la Tchéquie, la Hongrie et la Slovénie) qui développe un site web multilingue reliant les bases de données des </w:t>
      </w:r>
      <w:r w:rsidRPr="00A03534">
        <w:rPr>
          <w:rFonts w:ascii="Arial" w:hAnsi="Arial" w:cs="Arial"/>
          <w:sz w:val="22"/>
          <w:szCs w:val="22"/>
        </w:rPr>
        <w:t>institutions</w:t>
      </w:r>
      <w:r>
        <w:rPr>
          <w:rFonts w:ascii="Arial" w:hAnsi="Arial" w:cs="Arial"/>
          <w:sz w:val="22"/>
          <w:szCs w:val="22"/>
        </w:rPr>
        <w:t xml:space="preserve"> ethnologiques et présentant un</w:t>
      </w:r>
      <w:r w:rsidR="00987FF5">
        <w:rPr>
          <w:rFonts w:ascii="Arial" w:hAnsi="Arial" w:cs="Arial"/>
          <w:sz w:val="22"/>
          <w:szCs w:val="22"/>
        </w:rPr>
        <w:t>e</w:t>
      </w:r>
      <w:r>
        <w:rPr>
          <w:rFonts w:ascii="Arial" w:hAnsi="Arial" w:cs="Arial"/>
          <w:sz w:val="22"/>
          <w:szCs w:val="22"/>
        </w:rPr>
        <w:t xml:space="preserve"> </w:t>
      </w:r>
      <w:r w:rsidRPr="00A03534">
        <w:rPr>
          <w:rFonts w:ascii="Arial" w:hAnsi="Arial" w:cs="Arial"/>
          <w:sz w:val="22"/>
          <w:szCs w:val="22"/>
        </w:rPr>
        <w:t>documentation</w:t>
      </w:r>
      <w:r>
        <w:rPr>
          <w:rFonts w:ascii="Arial" w:hAnsi="Arial" w:cs="Arial"/>
          <w:sz w:val="22"/>
          <w:szCs w:val="22"/>
        </w:rPr>
        <w:t xml:space="preserve"> numérisée. En ce qui concerne </w:t>
      </w:r>
      <w:r>
        <w:rPr>
          <w:rFonts w:ascii="Arial" w:hAnsi="Arial" w:cs="Arial"/>
          <w:sz w:val="22"/>
          <w:szCs w:val="22"/>
        </w:rPr>
        <w:lastRenderedPageBreak/>
        <w:t xml:space="preserve">le travail en réseau, l’INCP soutient la </w:t>
      </w:r>
      <w:r w:rsidRPr="00A03534">
        <w:rPr>
          <w:rFonts w:ascii="Arial" w:hAnsi="Arial" w:cs="Arial"/>
          <w:sz w:val="22"/>
          <w:szCs w:val="22"/>
        </w:rPr>
        <w:t>coopération</w:t>
      </w:r>
      <w:r>
        <w:rPr>
          <w:rFonts w:ascii="Arial" w:hAnsi="Arial" w:cs="Arial"/>
          <w:sz w:val="22"/>
          <w:szCs w:val="22"/>
        </w:rPr>
        <w:t xml:space="preserve"> avec des </w:t>
      </w:r>
      <w:r w:rsidRPr="00A03534">
        <w:rPr>
          <w:rFonts w:ascii="Arial" w:hAnsi="Arial" w:cs="Arial"/>
          <w:sz w:val="22"/>
          <w:szCs w:val="22"/>
        </w:rPr>
        <w:t>institutions</w:t>
      </w:r>
      <w:r>
        <w:rPr>
          <w:rFonts w:ascii="Arial" w:hAnsi="Arial" w:cs="Arial"/>
          <w:sz w:val="22"/>
          <w:szCs w:val="22"/>
        </w:rPr>
        <w:t xml:space="preserve"> étrangères actives dans le domaine du patrimoine culturel immatériel, examine actuellement l’usage qui est fait des musées en plein-air (en </w:t>
      </w:r>
      <w:r w:rsidRPr="00A03534">
        <w:rPr>
          <w:rFonts w:ascii="Arial" w:hAnsi="Arial" w:cs="Arial"/>
          <w:sz w:val="22"/>
          <w:szCs w:val="22"/>
        </w:rPr>
        <w:t>coopération</w:t>
      </w:r>
      <w:r>
        <w:rPr>
          <w:rFonts w:ascii="Arial" w:hAnsi="Arial" w:cs="Arial"/>
          <w:sz w:val="22"/>
          <w:szCs w:val="22"/>
        </w:rPr>
        <w:t xml:space="preserve"> avec l’Autriche, la Pologne, la Hongrie, la Roumanie et l’Allemagne) et a organisé un échange de 80 employés avec deux musées norvégiens. L’INCP est </w:t>
      </w:r>
      <w:r w:rsidRPr="00A03534">
        <w:rPr>
          <w:rFonts w:ascii="Arial" w:hAnsi="Arial" w:cs="Arial"/>
          <w:sz w:val="22"/>
          <w:szCs w:val="22"/>
        </w:rPr>
        <w:t>également</w:t>
      </w:r>
      <w:r>
        <w:rPr>
          <w:rFonts w:ascii="Arial" w:hAnsi="Arial" w:cs="Arial"/>
          <w:sz w:val="22"/>
          <w:szCs w:val="22"/>
        </w:rPr>
        <w:t xml:space="preserve"> membre de plusieurs organisations non go</w:t>
      </w:r>
      <w:r w:rsidR="00F465C2">
        <w:rPr>
          <w:rFonts w:ascii="Arial" w:hAnsi="Arial" w:cs="Arial"/>
          <w:sz w:val="22"/>
          <w:szCs w:val="22"/>
        </w:rPr>
        <w:t>uvernementales internationales.</w:t>
      </w:r>
    </w:p>
    <w:p w14:paraId="080069A5" w14:textId="385FB00F" w:rsidR="00D14383" w:rsidRPr="00F43449" w:rsidRDefault="00D14383" w:rsidP="00D14383">
      <w:pPr>
        <w:autoSpaceDE w:val="0"/>
        <w:autoSpaceDN w:val="0"/>
        <w:adjustRightInd w:val="0"/>
        <w:spacing w:after="120"/>
        <w:ind w:left="567"/>
        <w:jc w:val="both"/>
        <w:rPr>
          <w:rFonts w:ascii="Arial" w:eastAsia="Malgun Gothic" w:hAnsi="Arial" w:cs="Arial"/>
          <w:sz w:val="22"/>
          <w:szCs w:val="22"/>
          <w:lang w:eastAsia="ko-KR"/>
        </w:rPr>
      </w:pPr>
      <w:r w:rsidRPr="00E47BD2">
        <w:rPr>
          <w:rFonts w:ascii="Arial" w:hAnsi="Arial" w:cs="Arial"/>
          <w:sz w:val="22"/>
          <w:szCs w:val="22"/>
        </w:rPr>
        <w:t xml:space="preserve">La Tchéquie a </w:t>
      </w:r>
      <w:r w:rsidRPr="00E47BD2">
        <w:rPr>
          <w:rFonts w:ascii="Arial" w:hAnsi="Arial" w:cs="Arial"/>
          <w:b/>
          <w:sz w:val="22"/>
          <w:szCs w:val="22"/>
        </w:rPr>
        <w:t>quatre éléments inscrits sur la Liste représentative</w:t>
      </w:r>
      <w:r w:rsidRPr="00E47BD2">
        <w:rPr>
          <w:rFonts w:ascii="Arial" w:hAnsi="Arial" w:cs="Arial"/>
          <w:sz w:val="22"/>
          <w:szCs w:val="22"/>
        </w:rPr>
        <w:t xml:space="preserve">. </w:t>
      </w:r>
      <w:r w:rsidRPr="00E47BD2">
        <w:rPr>
          <w:rFonts w:ascii="Arial" w:hAnsi="Arial" w:cs="Arial"/>
          <w:i/>
          <w:sz w:val="22"/>
          <w:szCs w:val="22"/>
        </w:rPr>
        <w:t>Slovácko Verbuňk, la danse des recrues</w:t>
      </w:r>
      <w:r>
        <w:rPr>
          <w:rFonts w:ascii="Arial" w:hAnsi="Arial" w:cs="Arial"/>
          <w:sz w:val="22"/>
          <w:szCs w:val="22"/>
        </w:rPr>
        <w:t xml:space="preserve">, un élément inscrit en 2008 a été revitalisé dans les lieux où il avait </w:t>
      </w:r>
      <w:r w:rsidRPr="00CB600E">
        <w:rPr>
          <w:rFonts w:ascii="Arial" w:hAnsi="Arial" w:cs="Arial"/>
          <w:sz w:val="22"/>
          <w:szCs w:val="22"/>
        </w:rPr>
        <w:t>disparu</w:t>
      </w:r>
      <w:r w:rsidR="00271F05" w:rsidRPr="00CB600E">
        <w:rPr>
          <w:rFonts w:ascii="Arial" w:hAnsi="Arial" w:cs="Arial"/>
          <w:sz w:val="22"/>
          <w:szCs w:val="22"/>
        </w:rPr>
        <w:t xml:space="preserve"> ; </w:t>
      </w:r>
      <w:r w:rsidRPr="00CB600E">
        <w:rPr>
          <w:rFonts w:ascii="Arial" w:hAnsi="Arial" w:cs="Arial"/>
          <w:sz w:val="22"/>
          <w:szCs w:val="22"/>
        </w:rPr>
        <w:t>dans certaines régions les femmes et les jeunes filles prennent désormais part à cette danse traditionnellement exécutée par des hommes ; les détenteurs, les jeunes des zones rurales et les groupes de dan</w:t>
      </w:r>
      <w:r w:rsidR="00271F05" w:rsidRPr="00CB600E">
        <w:rPr>
          <w:rFonts w:ascii="Arial" w:hAnsi="Arial" w:cs="Arial"/>
          <w:sz w:val="22"/>
          <w:szCs w:val="22"/>
        </w:rPr>
        <w:t>s</w:t>
      </w:r>
      <w:r w:rsidRPr="00CB600E">
        <w:rPr>
          <w:rFonts w:ascii="Arial" w:hAnsi="Arial" w:cs="Arial"/>
          <w:sz w:val="22"/>
          <w:szCs w:val="22"/>
        </w:rPr>
        <w:t>e folklorique jouent</w:t>
      </w:r>
      <w:r w:rsidR="00CB600E" w:rsidRPr="00D4732D">
        <w:rPr>
          <w:rFonts w:ascii="Arial" w:hAnsi="Arial" w:cs="Arial"/>
          <w:sz w:val="22"/>
          <w:szCs w:val="22"/>
        </w:rPr>
        <w:t xml:space="preserve"> tous</w:t>
      </w:r>
      <w:r w:rsidRPr="00CB600E">
        <w:rPr>
          <w:rFonts w:ascii="Arial" w:hAnsi="Arial" w:cs="Arial"/>
          <w:sz w:val="22"/>
          <w:szCs w:val="22"/>
        </w:rPr>
        <w:t xml:space="preserve"> un rôle central dans sa sauvegarde. Malgré</w:t>
      </w:r>
      <w:r>
        <w:rPr>
          <w:rFonts w:ascii="Arial" w:hAnsi="Arial" w:cs="Arial"/>
          <w:sz w:val="22"/>
          <w:szCs w:val="22"/>
        </w:rPr>
        <w:t xml:space="preserve"> une </w:t>
      </w:r>
      <w:r w:rsidRPr="00CB600E">
        <w:rPr>
          <w:rFonts w:ascii="Arial" w:hAnsi="Arial" w:cs="Arial"/>
          <w:sz w:val="22"/>
          <w:szCs w:val="22"/>
        </w:rPr>
        <w:t xml:space="preserve">visibilité accrue suite à l’inscription et les efforts entrepris pour sa promotion, le caractère rural de l’élément et le coût relativement élevé des objets matériels associés à sa pratique représentent deux défis pour sa viabilité future. Depuis son inscription en 2010, l’élément </w:t>
      </w:r>
      <w:r w:rsidRPr="00CB600E">
        <w:rPr>
          <w:rFonts w:ascii="Arial" w:hAnsi="Arial" w:cs="Arial"/>
          <w:i/>
          <w:sz w:val="22"/>
          <w:szCs w:val="22"/>
        </w:rPr>
        <w:t>Les défilés de porte-à-porte et masques des Jours gras dans les villages de la région de Hlinecko</w:t>
      </w:r>
      <w:r w:rsidRPr="00CB600E">
        <w:rPr>
          <w:rFonts w:ascii="Arial" w:hAnsi="Arial" w:cs="Arial"/>
          <w:sz w:val="22"/>
          <w:szCs w:val="22"/>
        </w:rPr>
        <w:t xml:space="preserve"> a été rétabli dans trois villages et un nombre accru de participants suivent la principale procession. Le musée local joue un rôle important de </w:t>
      </w:r>
      <w:r w:rsidRPr="00CB600E">
        <w:rPr>
          <w:rFonts w:ascii="Arial" w:hAnsi="Arial" w:cs="Arial"/>
          <w:sz w:val="22"/>
          <w:szCs w:val="22"/>
          <w:lang w:eastAsia="en-US"/>
        </w:rPr>
        <w:t>coordination dans la sauvegarde de l’élément, dans l’organisation des processions et dans la coopération avec les détenteurs, les villages et les autorités locales</w:t>
      </w:r>
      <w:r>
        <w:rPr>
          <w:rFonts w:ascii="Arial" w:hAnsi="Arial" w:cs="Arial"/>
          <w:sz w:val="22"/>
          <w:szCs w:val="22"/>
          <w:lang w:eastAsia="en-US"/>
        </w:rPr>
        <w:t xml:space="preserve">. En ce qui concerne </w:t>
      </w:r>
      <w:r>
        <w:rPr>
          <w:rFonts w:ascii="Arial" w:hAnsi="Arial" w:cs="Arial"/>
          <w:i/>
          <w:sz w:val="22"/>
          <w:szCs w:val="22"/>
          <w:lang w:eastAsia="en-US"/>
        </w:rPr>
        <w:t xml:space="preserve">La </w:t>
      </w:r>
      <w:r w:rsidR="00CB600E">
        <w:rPr>
          <w:rFonts w:ascii="Arial" w:hAnsi="Arial" w:cs="Arial"/>
          <w:i/>
          <w:sz w:val="22"/>
          <w:szCs w:val="22"/>
          <w:lang w:eastAsia="en-US"/>
        </w:rPr>
        <w:t>C</w:t>
      </w:r>
      <w:r>
        <w:rPr>
          <w:rFonts w:ascii="Arial" w:hAnsi="Arial" w:cs="Arial"/>
          <w:i/>
          <w:sz w:val="22"/>
          <w:szCs w:val="22"/>
          <w:lang w:eastAsia="en-US"/>
        </w:rPr>
        <w:t>hevauchée des R</w:t>
      </w:r>
      <w:r w:rsidRPr="002C52B0">
        <w:rPr>
          <w:rFonts w:ascii="Arial" w:hAnsi="Arial" w:cs="Arial"/>
          <w:i/>
          <w:sz w:val="22"/>
          <w:szCs w:val="22"/>
          <w:lang w:eastAsia="en-US"/>
        </w:rPr>
        <w:t>ois dans le sud-est de la République tchèque</w:t>
      </w:r>
      <w:r>
        <w:rPr>
          <w:rFonts w:ascii="Arial" w:hAnsi="Arial" w:cs="Arial"/>
          <w:sz w:val="22"/>
          <w:szCs w:val="22"/>
          <w:lang w:eastAsia="en-US"/>
        </w:rPr>
        <w:t xml:space="preserve"> (inscrit en 2011), des inquiétudes font jour quant à une tendance </w:t>
      </w:r>
      <w:r w:rsidR="00271F05">
        <w:rPr>
          <w:rFonts w:ascii="Arial" w:hAnsi="Arial" w:cs="Arial"/>
          <w:sz w:val="22"/>
          <w:szCs w:val="22"/>
          <w:lang w:eastAsia="en-US"/>
        </w:rPr>
        <w:t>à</w:t>
      </w:r>
      <w:r>
        <w:rPr>
          <w:rFonts w:ascii="Arial" w:hAnsi="Arial" w:cs="Arial"/>
          <w:sz w:val="22"/>
          <w:szCs w:val="22"/>
          <w:lang w:eastAsia="en-US"/>
        </w:rPr>
        <w:t xml:space="preserve"> présenter la chevauchée en dehors de son contexte naturel, </w:t>
      </w:r>
      <w:r w:rsidR="00271F05">
        <w:rPr>
          <w:rFonts w:ascii="Arial" w:hAnsi="Arial" w:cs="Arial"/>
          <w:sz w:val="22"/>
          <w:szCs w:val="22"/>
          <w:lang w:eastAsia="en-US"/>
        </w:rPr>
        <w:t xml:space="preserve">et donc </w:t>
      </w:r>
      <w:r>
        <w:rPr>
          <w:rFonts w:ascii="Arial" w:hAnsi="Arial" w:cs="Arial"/>
          <w:sz w:val="22"/>
          <w:szCs w:val="22"/>
          <w:lang w:eastAsia="en-US"/>
        </w:rPr>
        <w:t xml:space="preserve">en l’absence de son sens d’origine. </w:t>
      </w:r>
      <w:r w:rsidRPr="002C52B0">
        <w:rPr>
          <w:rFonts w:ascii="Arial" w:hAnsi="Arial" w:cs="Arial"/>
          <w:i/>
          <w:sz w:val="22"/>
          <w:szCs w:val="22"/>
          <w:lang w:eastAsia="en-US"/>
        </w:rPr>
        <w:t>La fauconnerie, un patrimoine humain vivant</w:t>
      </w:r>
      <w:r>
        <w:rPr>
          <w:rFonts w:ascii="Arial" w:hAnsi="Arial" w:cs="Arial"/>
          <w:sz w:val="22"/>
          <w:szCs w:val="22"/>
          <w:lang w:eastAsia="en-US"/>
        </w:rPr>
        <w:t xml:space="preserve"> (inscrit en 2012, avec les Émirats arabes unis, l’Autriche, la Belgique, la France, la Hongrie, la </w:t>
      </w:r>
      <w:r w:rsidRPr="002C52B0">
        <w:rPr>
          <w:rFonts w:ascii="Arial" w:hAnsi="Arial" w:cs="Arial"/>
          <w:sz w:val="22"/>
          <w:szCs w:val="22"/>
          <w:lang w:eastAsia="en-US"/>
        </w:rPr>
        <w:t>République</w:t>
      </w:r>
      <w:r>
        <w:rPr>
          <w:rFonts w:ascii="Arial" w:hAnsi="Arial" w:cs="Arial"/>
          <w:sz w:val="22"/>
          <w:szCs w:val="22"/>
          <w:lang w:eastAsia="en-US"/>
        </w:rPr>
        <w:t xml:space="preserve"> de Corée, la Mongolie, le Maroc, le Qatar, l’Arabie saoudite, l’Espagne et la </w:t>
      </w:r>
      <w:r w:rsidRPr="004C0069">
        <w:rPr>
          <w:rFonts w:ascii="Arial" w:hAnsi="Arial" w:cs="Arial"/>
          <w:sz w:val="22"/>
          <w:szCs w:val="22"/>
          <w:lang w:eastAsia="en-US"/>
        </w:rPr>
        <w:t>République</w:t>
      </w:r>
      <w:r>
        <w:rPr>
          <w:rFonts w:ascii="Arial" w:hAnsi="Arial" w:cs="Arial"/>
          <w:sz w:val="22"/>
          <w:szCs w:val="22"/>
          <w:lang w:eastAsia="en-US"/>
        </w:rPr>
        <w:t xml:space="preserve"> arabe syrienne) englobe les connaissances biologiques sur les oiseaux de proie et les </w:t>
      </w:r>
      <w:r w:rsidRPr="004C0069">
        <w:rPr>
          <w:rFonts w:ascii="Arial" w:hAnsi="Arial" w:cs="Arial"/>
          <w:sz w:val="22"/>
          <w:szCs w:val="22"/>
          <w:lang w:eastAsia="en-US"/>
        </w:rPr>
        <w:t>savoir-faire</w:t>
      </w:r>
      <w:r>
        <w:rPr>
          <w:rFonts w:ascii="Arial" w:hAnsi="Arial" w:cs="Arial"/>
          <w:sz w:val="22"/>
          <w:szCs w:val="22"/>
          <w:lang w:eastAsia="en-US"/>
        </w:rPr>
        <w:t xml:space="preserve"> environnementaux associés. Parmi les possibles menaces à venir pour cet élément, on peut citer les impacts négatifs sur l’</w:t>
      </w:r>
      <w:r w:rsidRPr="004C0069">
        <w:rPr>
          <w:rFonts w:ascii="Arial" w:hAnsi="Arial" w:cs="Arial"/>
          <w:sz w:val="22"/>
          <w:szCs w:val="22"/>
          <w:lang w:eastAsia="en-US"/>
        </w:rPr>
        <w:t>environnement</w:t>
      </w:r>
      <w:r>
        <w:rPr>
          <w:rFonts w:ascii="Arial" w:hAnsi="Arial" w:cs="Arial"/>
          <w:sz w:val="22"/>
          <w:szCs w:val="22"/>
          <w:lang w:eastAsia="en-US"/>
        </w:rPr>
        <w:t xml:space="preserve"> et ses ressources naturelles, et les changements dans les pratiques agricoles ; c’est la raison pour laquelle le </w:t>
      </w:r>
      <w:r w:rsidR="000516B8">
        <w:rPr>
          <w:rFonts w:ascii="Arial" w:hAnsi="Arial" w:cs="Arial"/>
          <w:sz w:val="22"/>
          <w:szCs w:val="22"/>
          <w:lang w:eastAsia="en-US"/>
        </w:rPr>
        <w:t>M</w:t>
      </w:r>
      <w:r w:rsidRPr="004C0069">
        <w:rPr>
          <w:rFonts w:ascii="Arial" w:hAnsi="Arial" w:cs="Arial"/>
          <w:sz w:val="22"/>
          <w:szCs w:val="22"/>
          <w:lang w:eastAsia="en-US"/>
        </w:rPr>
        <w:t>inistère</w:t>
      </w:r>
      <w:r>
        <w:rPr>
          <w:rFonts w:ascii="Arial" w:hAnsi="Arial" w:cs="Arial"/>
          <w:sz w:val="22"/>
          <w:szCs w:val="22"/>
          <w:lang w:eastAsia="en-US"/>
        </w:rPr>
        <w:t xml:space="preserve"> de l’</w:t>
      </w:r>
      <w:r w:rsidR="000516B8">
        <w:rPr>
          <w:rFonts w:ascii="Arial" w:hAnsi="Arial" w:cs="Arial"/>
          <w:sz w:val="22"/>
          <w:szCs w:val="22"/>
          <w:lang w:eastAsia="en-US"/>
        </w:rPr>
        <w:t>a</w:t>
      </w:r>
      <w:r>
        <w:rPr>
          <w:rFonts w:ascii="Arial" w:hAnsi="Arial" w:cs="Arial"/>
          <w:sz w:val="22"/>
          <w:szCs w:val="22"/>
          <w:lang w:eastAsia="en-US"/>
        </w:rPr>
        <w:t xml:space="preserve">griculture est l’une des principales entités gouvernementales impliquées dans la </w:t>
      </w:r>
      <w:r w:rsidRPr="004C0069">
        <w:rPr>
          <w:rFonts w:ascii="Arial" w:hAnsi="Arial" w:cs="Arial"/>
          <w:sz w:val="22"/>
          <w:szCs w:val="22"/>
          <w:lang w:eastAsia="en-US"/>
        </w:rPr>
        <w:t>sauvegarde</w:t>
      </w:r>
      <w:r w:rsidR="00F43449">
        <w:rPr>
          <w:rFonts w:ascii="Arial" w:hAnsi="Arial" w:cs="Arial"/>
          <w:sz w:val="22"/>
          <w:szCs w:val="22"/>
          <w:lang w:eastAsia="en-US"/>
        </w:rPr>
        <w:t xml:space="preserve"> de cet élément.</w:t>
      </w:r>
    </w:p>
    <w:p w14:paraId="25D00D59" w14:textId="2F138334" w:rsidR="00745AFF" w:rsidRPr="00162E27" w:rsidRDefault="00162E27" w:rsidP="00745AFF">
      <w:pPr>
        <w:pStyle w:val="ListParagraph"/>
        <w:keepNext/>
        <w:pageBreakBefore/>
        <w:numPr>
          <w:ilvl w:val="3"/>
          <w:numId w:val="13"/>
        </w:numPr>
        <w:tabs>
          <w:tab w:val="left" w:pos="1134"/>
        </w:tabs>
        <w:autoSpaceDE w:val="0"/>
        <w:autoSpaceDN w:val="0"/>
        <w:adjustRightInd w:val="0"/>
        <w:spacing w:after="360"/>
        <w:ind w:left="1134" w:hanging="567"/>
        <w:rPr>
          <w:rFonts w:ascii="Arial" w:hAnsi="Arial" w:cs="Arial"/>
          <w:b/>
          <w:caps/>
          <w:sz w:val="22"/>
          <w:szCs w:val="22"/>
        </w:rPr>
      </w:pPr>
      <w:r w:rsidRPr="00162E27">
        <w:rPr>
          <w:rFonts w:ascii="Arial" w:hAnsi="Arial" w:cs="Arial"/>
          <w:b/>
          <w:caps/>
          <w:sz w:val="22"/>
          <w:szCs w:val="22"/>
        </w:rPr>
        <w:lastRenderedPageBreak/>
        <w:t>gr</w:t>
      </w:r>
      <w:r w:rsidR="00D14383">
        <w:rPr>
          <w:rFonts w:ascii="Arial" w:hAnsi="Arial" w:cs="Arial"/>
          <w:b/>
          <w:caps/>
          <w:sz w:val="22"/>
          <w:szCs w:val="22"/>
        </w:rPr>
        <w:t>È</w:t>
      </w:r>
      <w:r w:rsidRPr="00162E27">
        <w:rPr>
          <w:rFonts w:ascii="Arial" w:hAnsi="Arial" w:cs="Arial"/>
          <w:b/>
          <w:caps/>
          <w:sz w:val="22"/>
          <w:szCs w:val="22"/>
        </w:rPr>
        <w:t>ce</w:t>
      </w:r>
    </w:p>
    <w:p w14:paraId="1F5B82EA" w14:textId="1968D061" w:rsidR="00162E27" w:rsidRPr="00F465C2" w:rsidRDefault="00162E27"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La Grèce est un </w:t>
      </w:r>
      <w:r w:rsidRPr="00162E27">
        <w:rPr>
          <w:rFonts w:ascii="Arial" w:hAnsi="Arial" w:cs="Arial"/>
          <w:sz w:val="22"/>
          <w:szCs w:val="22"/>
        </w:rPr>
        <w:t>État partie</w:t>
      </w:r>
      <w:r>
        <w:rPr>
          <w:rFonts w:ascii="Arial" w:hAnsi="Arial" w:cs="Arial"/>
          <w:sz w:val="22"/>
          <w:szCs w:val="22"/>
        </w:rPr>
        <w:t xml:space="preserve"> à la </w:t>
      </w:r>
      <w:r w:rsidRPr="00162E27">
        <w:rPr>
          <w:rFonts w:ascii="Arial" w:hAnsi="Arial" w:cs="Arial"/>
          <w:sz w:val="22"/>
          <w:szCs w:val="22"/>
        </w:rPr>
        <w:t>Convention</w:t>
      </w:r>
      <w:r>
        <w:rPr>
          <w:rFonts w:ascii="Arial" w:hAnsi="Arial" w:cs="Arial"/>
          <w:sz w:val="22"/>
          <w:szCs w:val="22"/>
        </w:rPr>
        <w:t xml:space="preserve"> de 2003 depuis 2007. Le principal </w:t>
      </w:r>
      <w:r w:rsidRPr="00162E27">
        <w:rPr>
          <w:rFonts w:ascii="Arial" w:hAnsi="Arial" w:cs="Arial"/>
          <w:b/>
          <w:sz w:val="22"/>
          <w:szCs w:val="22"/>
        </w:rPr>
        <w:t>organe</w:t>
      </w:r>
      <w:r>
        <w:rPr>
          <w:rFonts w:ascii="Arial" w:hAnsi="Arial" w:cs="Arial"/>
          <w:sz w:val="22"/>
          <w:szCs w:val="22"/>
        </w:rPr>
        <w:t xml:space="preserve"> en charge de la mise en œuvre de la </w:t>
      </w:r>
      <w:r w:rsidRPr="00162E27">
        <w:rPr>
          <w:rFonts w:ascii="Arial" w:hAnsi="Arial" w:cs="Arial"/>
          <w:sz w:val="22"/>
          <w:szCs w:val="22"/>
        </w:rPr>
        <w:t>Convention</w:t>
      </w:r>
      <w:r>
        <w:rPr>
          <w:rFonts w:ascii="Arial" w:hAnsi="Arial" w:cs="Arial"/>
          <w:sz w:val="22"/>
          <w:szCs w:val="22"/>
        </w:rPr>
        <w:t xml:space="preserve"> est la Direction des biens culturels modernes et du patrimoine culturel immatériel (BCM&amp;PCI) du </w:t>
      </w:r>
      <w:r w:rsidRPr="00162E27">
        <w:rPr>
          <w:rFonts w:ascii="Arial" w:hAnsi="Arial" w:cs="Arial"/>
          <w:sz w:val="22"/>
          <w:szCs w:val="22"/>
        </w:rPr>
        <w:t>Ministère</w:t>
      </w:r>
      <w:r>
        <w:rPr>
          <w:rFonts w:ascii="Arial" w:hAnsi="Arial" w:cs="Arial"/>
          <w:sz w:val="22"/>
          <w:szCs w:val="22"/>
        </w:rPr>
        <w:t xml:space="preserve"> de la culture et des sports. En 2012, un Comité </w:t>
      </w:r>
      <w:r w:rsidRPr="00162E27">
        <w:rPr>
          <w:rFonts w:ascii="Arial" w:hAnsi="Arial" w:cs="Arial"/>
          <w:sz w:val="22"/>
          <w:szCs w:val="22"/>
        </w:rPr>
        <w:t>scientifique</w:t>
      </w:r>
      <w:r>
        <w:rPr>
          <w:rFonts w:ascii="Arial" w:hAnsi="Arial" w:cs="Arial"/>
          <w:sz w:val="22"/>
          <w:szCs w:val="22"/>
        </w:rPr>
        <w:t xml:space="preserve"> national pour la mise en œuvre de la </w:t>
      </w:r>
      <w:r w:rsidRPr="00162E27">
        <w:rPr>
          <w:rFonts w:ascii="Arial" w:hAnsi="Arial" w:cs="Arial"/>
          <w:sz w:val="22"/>
          <w:szCs w:val="22"/>
        </w:rPr>
        <w:t>Convention</w:t>
      </w:r>
      <w:r>
        <w:rPr>
          <w:rFonts w:ascii="Arial" w:hAnsi="Arial" w:cs="Arial"/>
          <w:sz w:val="22"/>
          <w:szCs w:val="22"/>
        </w:rPr>
        <w:t xml:space="preserve"> a </w:t>
      </w:r>
      <w:r w:rsidRPr="00162E27">
        <w:rPr>
          <w:rFonts w:ascii="Arial" w:hAnsi="Arial" w:cs="Arial"/>
          <w:sz w:val="22"/>
          <w:szCs w:val="22"/>
        </w:rPr>
        <w:t>également</w:t>
      </w:r>
      <w:r>
        <w:rPr>
          <w:rFonts w:ascii="Arial" w:hAnsi="Arial" w:cs="Arial"/>
          <w:sz w:val="22"/>
          <w:szCs w:val="22"/>
        </w:rPr>
        <w:t xml:space="preserve"> été établi. La Loi de </w:t>
      </w:r>
      <w:r w:rsidRPr="00162E27">
        <w:rPr>
          <w:rFonts w:ascii="Arial" w:hAnsi="Arial" w:cs="Arial"/>
          <w:sz w:val="22"/>
          <w:szCs w:val="22"/>
        </w:rPr>
        <w:t>protection</w:t>
      </w:r>
      <w:r>
        <w:rPr>
          <w:rFonts w:ascii="Arial" w:hAnsi="Arial" w:cs="Arial"/>
          <w:sz w:val="22"/>
          <w:szCs w:val="22"/>
        </w:rPr>
        <w:t xml:space="preserve"> des </w:t>
      </w:r>
      <w:r w:rsidRPr="00162E27">
        <w:rPr>
          <w:rFonts w:ascii="Arial" w:hAnsi="Arial" w:cs="Arial"/>
          <w:sz w:val="22"/>
          <w:szCs w:val="22"/>
        </w:rPr>
        <w:t>antiquités</w:t>
      </w:r>
      <w:r w:rsidR="00136B20">
        <w:rPr>
          <w:rFonts w:ascii="Arial" w:hAnsi="Arial" w:cs="Arial"/>
          <w:sz w:val="22"/>
          <w:szCs w:val="22"/>
        </w:rPr>
        <w:t xml:space="preserve"> et de l’ensemble du</w:t>
      </w:r>
      <w:r>
        <w:rPr>
          <w:rFonts w:ascii="Arial" w:hAnsi="Arial" w:cs="Arial"/>
          <w:sz w:val="22"/>
          <w:szCs w:val="22"/>
        </w:rPr>
        <w:t xml:space="preserve"> </w:t>
      </w:r>
      <w:r w:rsidRPr="00162E27">
        <w:rPr>
          <w:rFonts w:ascii="Arial" w:hAnsi="Arial" w:cs="Arial"/>
          <w:sz w:val="22"/>
          <w:szCs w:val="22"/>
        </w:rPr>
        <w:t>patrimoine</w:t>
      </w:r>
      <w:r>
        <w:rPr>
          <w:rFonts w:ascii="Arial" w:hAnsi="Arial" w:cs="Arial"/>
          <w:sz w:val="22"/>
          <w:szCs w:val="22"/>
        </w:rPr>
        <w:t xml:space="preserve"> </w:t>
      </w:r>
      <w:r w:rsidRPr="00162E27">
        <w:rPr>
          <w:rFonts w:ascii="Arial" w:hAnsi="Arial" w:cs="Arial"/>
          <w:sz w:val="22"/>
          <w:szCs w:val="22"/>
        </w:rPr>
        <w:t>culturel</w:t>
      </w:r>
      <w:r w:rsidR="00136B20">
        <w:rPr>
          <w:rFonts w:ascii="Arial" w:hAnsi="Arial" w:cs="Arial"/>
          <w:sz w:val="22"/>
          <w:szCs w:val="22"/>
        </w:rPr>
        <w:t xml:space="preserve"> (2002) constitue le cadre général</w:t>
      </w:r>
      <w:r w:rsidR="009276A9">
        <w:rPr>
          <w:rFonts w:ascii="Arial" w:hAnsi="Arial" w:cs="Arial"/>
          <w:sz w:val="22"/>
          <w:szCs w:val="22"/>
        </w:rPr>
        <w:t xml:space="preserve"> de la </w:t>
      </w:r>
      <w:r w:rsidR="009276A9" w:rsidRPr="009276A9">
        <w:rPr>
          <w:rFonts w:ascii="Arial" w:hAnsi="Arial" w:cs="Arial"/>
          <w:sz w:val="22"/>
          <w:szCs w:val="22"/>
        </w:rPr>
        <w:t>sauvegarde</w:t>
      </w:r>
      <w:r w:rsidR="009276A9">
        <w:rPr>
          <w:rFonts w:ascii="Arial" w:hAnsi="Arial" w:cs="Arial"/>
          <w:sz w:val="22"/>
          <w:szCs w:val="22"/>
        </w:rPr>
        <w:t xml:space="preserve"> et de la gestion du </w:t>
      </w:r>
      <w:r w:rsidR="009276A9" w:rsidRPr="009276A9">
        <w:rPr>
          <w:rFonts w:ascii="Arial" w:hAnsi="Arial" w:cs="Arial"/>
          <w:sz w:val="22"/>
          <w:szCs w:val="22"/>
        </w:rPr>
        <w:t>patrimoine</w:t>
      </w:r>
      <w:r w:rsidR="009276A9">
        <w:rPr>
          <w:rFonts w:ascii="Arial" w:hAnsi="Arial" w:cs="Arial"/>
          <w:sz w:val="22"/>
          <w:szCs w:val="22"/>
        </w:rPr>
        <w:t xml:space="preserve">, y compris du </w:t>
      </w:r>
      <w:r w:rsidR="009276A9" w:rsidRPr="009276A9">
        <w:rPr>
          <w:rFonts w:ascii="Arial" w:hAnsi="Arial" w:cs="Arial"/>
          <w:sz w:val="22"/>
          <w:szCs w:val="22"/>
        </w:rPr>
        <w:t>patrimoine</w:t>
      </w:r>
      <w:r w:rsidR="00F465C2">
        <w:rPr>
          <w:rFonts w:ascii="Arial" w:hAnsi="Arial" w:cs="Arial"/>
          <w:sz w:val="22"/>
          <w:szCs w:val="22"/>
        </w:rPr>
        <w:t xml:space="preserve"> vivant.</w:t>
      </w:r>
    </w:p>
    <w:p w14:paraId="0F97FE24" w14:textId="07C14CC3" w:rsidR="009276A9" w:rsidRPr="00F465C2" w:rsidRDefault="009276A9"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Il n’existe pas de cours de </w:t>
      </w:r>
      <w:r w:rsidRPr="009276A9">
        <w:rPr>
          <w:rFonts w:ascii="Arial" w:hAnsi="Arial" w:cs="Arial"/>
          <w:b/>
          <w:sz w:val="22"/>
          <w:szCs w:val="22"/>
        </w:rPr>
        <w:t>formation</w:t>
      </w:r>
      <w:r>
        <w:rPr>
          <w:rFonts w:ascii="Arial" w:hAnsi="Arial" w:cs="Arial"/>
          <w:sz w:val="22"/>
          <w:szCs w:val="22"/>
        </w:rPr>
        <w:t xml:space="preserve"> spécifiquement </w:t>
      </w:r>
      <w:r w:rsidR="00714923">
        <w:rPr>
          <w:rFonts w:ascii="Arial" w:hAnsi="Arial" w:cs="Arial"/>
          <w:sz w:val="22"/>
          <w:szCs w:val="22"/>
        </w:rPr>
        <w:t xml:space="preserve">consacrés </w:t>
      </w:r>
      <w:r>
        <w:rPr>
          <w:rFonts w:ascii="Arial" w:hAnsi="Arial" w:cs="Arial"/>
          <w:sz w:val="22"/>
          <w:szCs w:val="22"/>
        </w:rPr>
        <w:t xml:space="preserve">à la gestion du patrimoine culturel immatériel mais un certain nombre d’universités et d’autres </w:t>
      </w:r>
      <w:r w:rsidRPr="009276A9">
        <w:rPr>
          <w:rFonts w:ascii="Arial" w:hAnsi="Arial" w:cs="Arial"/>
          <w:sz w:val="22"/>
          <w:szCs w:val="22"/>
        </w:rPr>
        <w:t>institutions</w:t>
      </w:r>
      <w:r>
        <w:rPr>
          <w:rFonts w:ascii="Arial" w:hAnsi="Arial" w:cs="Arial"/>
          <w:sz w:val="22"/>
          <w:szCs w:val="22"/>
        </w:rPr>
        <w:t xml:space="preserve"> éducatives commencent à intégrer le sujet à leurs programmes d’</w:t>
      </w:r>
      <w:r w:rsidRPr="009276A9">
        <w:rPr>
          <w:rFonts w:ascii="Arial" w:hAnsi="Arial" w:cs="Arial"/>
          <w:sz w:val="22"/>
          <w:szCs w:val="22"/>
        </w:rPr>
        <w:t>enseignement</w:t>
      </w:r>
      <w:r>
        <w:rPr>
          <w:rFonts w:ascii="Arial" w:hAnsi="Arial" w:cs="Arial"/>
          <w:sz w:val="22"/>
          <w:szCs w:val="22"/>
        </w:rPr>
        <w:t xml:space="preserve"> (</w:t>
      </w:r>
      <w:r w:rsidR="00714923">
        <w:rPr>
          <w:rFonts w:ascii="Arial" w:hAnsi="Arial" w:cs="Arial"/>
          <w:sz w:val="22"/>
          <w:szCs w:val="22"/>
        </w:rPr>
        <w:t xml:space="preserve">au sein de </w:t>
      </w:r>
      <w:r>
        <w:rPr>
          <w:rFonts w:ascii="Arial" w:hAnsi="Arial" w:cs="Arial"/>
          <w:sz w:val="22"/>
          <w:szCs w:val="22"/>
        </w:rPr>
        <w:t>plusieurs disciplines) et la Direction des BCM&amp;P</w:t>
      </w:r>
      <w:r w:rsidR="00714923">
        <w:rPr>
          <w:rFonts w:ascii="Arial" w:hAnsi="Arial" w:cs="Arial"/>
          <w:sz w:val="22"/>
          <w:szCs w:val="22"/>
        </w:rPr>
        <w:t>CI a organisé des débats sur cette question</w:t>
      </w:r>
      <w:r>
        <w:rPr>
          <w:rFonts w:ascii="Arial" w:hAnsi="Arial" w:cs="Arial"/>
          <w:sz w:val="22"/>
          <w:szCs w:val="22"/>
        </w:rPr>
        <w:t xml:space="preserve"> avec le personnel des universités, des chercheurs et des étudiants de troisième cycle. P</w:t>
      </w:r>
      <w:r w:rsidRPr="009276A9">
        <w:rPr>
          <w:rFonts w:ascii="Arial" w:hAnsi="Arial" w:cs="Arial"/>
          <w:sz w:val="22"/>
          <w:szCs w:val="22"/>
        </w:rPr>
        <w:t>ar ailleurs</w:t>
      </w:r>
      <w:r>
        <w:rPr>
          <w:rFonts w:ascii="Arial" w:hAnsi="Arial" w:cs="Arial"/>
          <w:sz w:val="22"/>
          <w:szCs w:val="22"/>
        </w:rPr>
        <w:t xml:space="preserve">, la Direction a organisé un séminaire de renforcement des capacités pour plus de 40 employés du ministère qui participent à la mise en œuvre de la Convention. La </w:t>
      </w:r>
      <w:r w:rsidRPr="009276A9">
        <w:rPr>
          <w:rFonts w:ascii="Arial" w:hAnsi="Arial" w:cs="Arial"/>
          <w:b/>
          <w:sz w:val="22"/>
          <w:szCs w:val="22"/>
        </w:rPr>
        <w:t>documentation</w:t>
      </w:r>
      <w:r>
        <w:rPr>
          <w:rFonts w:ascii="Arial" w:hAnsi="Arial" w:cs="Arial"/>
          <w:sz w:val="22"/>
          <w:szCs w:val="22"/>
        </w:rPr>
        <w:t xml:space="preserve"> est conservée par le Centre hellénique de recherche sur le folkl</w:t>
      </w:r>
      <w:r w:rsidR="00714923">
        <w:rPr>
          <w:rFonts w:ascii="Arial" w:hAnsi="Arial" w:cs="Arial"/>
          <w:sz w:val="22"/>
          <w:szCs w:val="22"/>
        </w:rPr>
        <w:t>ore, l’Académie d’Athènes (matériels folkloriques, enregistrements musicaux, photographies et enregistrements audiovisuels) et nombres d’autres instituts, associations culturelles et folkloriques, musées spécialisés, etc. Certaines de ces collections d’archives sont numérisées et co</w:t>
      </w:r>
      <w:r w:rsidR="00F465C2">
        <w:rPr>
          <w:rFonts w:ascii="Arial" w:hAnsi="Arial" w:cs="Arial"/>
          <w:sz w:val="22"/>
          <w:szCs w:val="22"/>
        </w:rPr>
        <w:t>nsultables par le grand public.</w:t>
      </w:r>
    </w:p>
    <w:p w14:paraId="47F48251" w14:textId="33DD2A59" w:rsidR="00714923" w:rsidRPr="00F465C2" w:rsidRDefault="00714923"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La Grèce a dressé un </w:t>
      </w:r>
      <w:r w:rsidRPr="00714923">
        <w:rPr>
          <w:rFonts w:ascii="Arial" w:hAnsi="Arial" w:cs="Arial"/>
          <w:b/>
          <w:sz w:val="22"/>
          <w:szCs w:val="22"/>
        </w:rPr>
        <w:t>inventaire</w:t>
      </w:r>
      <w:r>
        <w:rPr>
          <w:rFonts w:ascii="Arial" w:hAnsi="Arial" w:cs="Arial"/>
          <w:sz w:val="22"/>
          <w:szCs w:val="22"/>
        </w:rPr>
        <w:t xml:space="preserve"> connu sous le nom d’Inventaire national du patrimoine culturel immatériel qui est administré par la Direction des BCM&amp;PCI et organisé selon les cinq domaines décrits dans la </w:t>
      </w:r>
      <w:r w:rsidRPr="00714923">
        <w:rPr>
          <w:rFonts w:ascii="Arial" w:hAnsi="Arial" w:cs="Arial"/>
          <w:sz w:val="22"/>
          <w:szCs w:val="22"/>
        </w:rPr>
        <w:t>Convention</w:t>
      </w:r>
      <w:r>
        <w:rPr>
          <w:rFonts w:ascii="Arial" w:hAnsi="Arial" w:cs="Arial"/>
          <w:sz w:val="22"/>
          <w:szCs w:val="22"/>
        </w:rPr>
        <w:t xml:space="preserve"> de 2003. Le principal critère d’inclusion est la volonté active des </w:t>
      </w:r>
      <w:r w:rsidRPr="00714923">
        <w:rPr>
          <w:rFonts w:ascii="Arial" w:hAnsi="Arial" w:cs="Arial"/>
          <w:sz w:val="22"/>
          <w:szCs w:val="22"/>
        </w:rPr>
        <w:t xml:space="preserve">détenteurs </w:t>
      </w:r>
      <w:r>
        <w:rPr>
          <w:rFonts w:ascii="Arial" w:hAnsi="Arial" w:cs="Arial"/>
          <w:sz w:val="22"/>
          <w:szCs w:val="22"/>
        </w:rPr>
        <w:t>de sauvegarder l’</w:t>
      </w:r>
      <w:r w:rsidRPr="00714923">
        <w:rPr>
          <w:rFonts w:ascii="Arial" w:hAnsi="Arial" w:cs="Arial"/>
          <w:sz w:val="22"/>
          <w:szCs w:val="22"/>
        </w:rPr>
        <w:t>élément</w:t>
      </w:r>
      <w:r>
        <w:rPr>
          <w:rFonts w:ascii="Arial" w:hAnsi="Arial" w:cs="Arial"/>
          <w:sz w:val="22"/>
          <w:szCs w:val="22"/>
        </w:rPr>
        <w:t xml:space="preserve"> et la conformité de celui-ci aux exigences liées à la qualité de patrimoine culturel immatériel en vertu de la </w:t>
      </w:r>
      <w:r w:rsidRPr="00714923">
        <w:rPr>
          <w:rFonts w:ascii="Arial" w:hAnsi="Arial" w:cs="Arial"/>
          <w:sz w:val="22"/>
          <w:szCs w:val="22"/>
        </w:rPr>
        <w:t>Convention</w:t>
      </w:r>
      <w:r>
        <w:rPr>
          <w:rFonts w:ascii="Arial" w:hAnsi="Arial" w:cs="Arial"/>
          <w:sz w:val="22"/>
          <w:szCs w:val="22"/>
        </w:rPr>
        <w:t xml:space="preserve"> de 2003. La </w:t>
      </w:r>
      <w:r w:rsidRPr="00714923">
        <w:rPr>
          <w:rFonts w:ascii="Arial" w:hAnsi="Arial" w:cs="Arial"/>
          <w:sz w:val="22"/>
          <w:szCs w:val="22"/>
        </w:rPr>
        <w:t>viabilité</w:t>
      </w:r>
      <w:r>
        <w:rPr>
          <w:rFonts w:ascii="Arial" w:hAnsi="Arial" w:cs="Arial"/>
          <w:sz w:val="22"/>
          <w:szCs w:val="22"/>
        </w:rPr>
        <w:t xml:space="preserve"> est prise en </w:t>
      </w:r>
      <w:r w:rsidRPr="00714923">
        <w:rPr>
          <w:rFonts w:ascii="Arial" w:hAnsi="Arial" w:cs="Arial"/>
          <w:sz w:val="22"/>
          <w:szCs w:val="22"/>
        </w:rPr>
        <w:t>considération</w:t>
      </w:r>
      <w:r>
        <w:rPr>
          <w:rFonts w:ascii="Arial" w:hAnsi="Arial" w:cs="Arial"/>
          <w:sz w:val="22"/>
          <w:szCs w:val="22"/>
        </w:rPr>
        <w:t xml:space="preserve"> car seuls les éléments encore pratiqué</w:t>
      </w:r>
      <w:r w:rsidR="00136B20">
        <w:rPr>
          <w:rFonts w:ascii="Arial" w:hAnsi="Arial" w:cs="Arial"/>
          <w:sz w:val="22"/>
          <w:szCs w:val="22"/>
        </w:rPr>
        <w:t>s sont inclus à l’inventaire et l</w:t>
      </w:r>
      <w:r>
        <w:rPr>
          <w:rFonts w:ascii="Arial" w:hAnsi="Arial" w:cs="Arial"/>
          <w:sz w:val="22"/>
          <w:szCs w:val="22"/>
        </w:rPr>
        <w:t xml:space="preserve">es menaces pesant sur la </w:t>
      </w:r>
      <w:r w:rsidRPr="00714923">
        <w:rPr>
          <w:rFonts w:ascii="Arial" w:hAnsi="Arial" w:cs="Arial"/>
          <w:sz w:val="22"/>
          <w:szCs w:val="22"/>
        </w:rPr>
        <w:t>viabilité</w:t>
      </w:r>
      <w:r>
        <w:rPr>
          <w:rFonts w:ascii="Arial" w:hAnsi="Arial" w:cs="Arial"/>
          <w:sz w:val="22"/>
          <w:szCs w:val="22"/>
        </w:rPr>
        <w:t xml:space="preserve"> </w:t>
      </w:r>
      <w:r w:rsidR="00862425">
        <w:rPr>
          <w:rFonts w:ascii="Arial" w:hAnsi="Arial" w:cs="Arial"/>
          <w:sz w:val="22"/>
          <w:szCs w:val="22"/>
        </w:rPr>
        <w:t xml:space="preserve">future </w:t>
      </w:r>
      <w:r>
        <w:rPr>
          <w:rFonts w:ascii="Arial" w:hAnsi="Arial" w:cs="Arial"/>
          <w:sz w:val="22"/>
          <w:szCs w:val="22"/>
        </w:rPr>
        <w:t xml:space="preserve">de l’élément sont </w:t>
      </w:r>
      <w:r w:rsidRPr="00714923">
        <w:rPr>
          <w:rFonts w:ascii="Arial" w:hAnsi="Arial" w:cs="Arial"/>
          <w:sz w:val="22"/>
          <w:szCs w:val="22"/>
        </w:rPr>
        <w:t>également</w:t>
      </w:r>
      <w:r>
        <w:rPr>
          <w:rFonts w:ascii="Arial" w:hAnsi="Arial" w:cs="Arial"/>
          <w:sz w:val="22"/>
          <w:szCs w:val="22"/>
        </w:rPr>
        <w:t xml:space="preserve"> prises en compte. Un formulaire spécial d’</w:t>
      </w:r>
      <w:r w:rsidRPr="00714923">
        <w:rPr>
          <w:rFonts w:ascii="Arial" w:hAnsi="Arial" w:cs="Arial"/>
          <w:sz w:val="22"/>
          <w:szCs w:val="22"/>
        </w:rPr>
        <w:t>inventaire</w:t>
      </w:r>
      <w:r w:rsidR="00136B20">
        <w:rPr>
          <w:rFonts w:ascii="Arial" w:hAnsi="Arial" w:cs="Arial"/>
          <w:sz w:val="22"/>
          <w:szCs w:val="22"/>
        </w:rPr>
        <w:t xml:space="preserve"> a été conçu</w:t>
      </w:r>
      <w:r>
        <w:rPr>
          <w:rFonts w:ascii="Arial" w:hAnsi="Arial" w:cs="Arial"/>
          <w:sz w:val="22"/>
          <w:szCs w:val="22"/>
        </w:rPr>
        <w:t xml:space="preserve">, il adapte la </w:t>
      </w:r>
      <w:r w:rsidRPr="00714923">
        <w:rPr>
          <w:rFonts w:ascii="Arial" w:hAnsi="Arial" w:cs="Arial"/>
          <w:sz w:val="22"/>
          <w:szCs w:val="22"/>
        </w:rPr>
        <w:t>Convention</w:t>
      </w:r>
      <w:r>
        <w:rPr>
          <w:rFonts w:ascii="Arial" w:hAnsi="Arial" w:cs="Arial"/>
          <w:sz w:val="22"/>
          <w:szCs w:val="22"/>
        </w:rPr>
        <w:t xml:space="preserve"> de 2003 au contexte national grec et </w:t>
      </w:r>
      <w:r w:rsidR="00C34EE4">
        <w:rPr>
          <w:rFonts w:ascii="Arial" w:hAnsi="Arial" w:cs="Arial"/>
          <w:sz w:val="22"/>
          <w:szCs w:val="22"/>
        </w:rPr>
        <w:t>prévoit des champs tels que ceux consacrés aux espaces et moyens de représentation/</w:t>
      </w:r>
      <w:r w:rsidR="00C34EE4" w:rsidRPr="00C34EE4">
        <w:rPr>
          <w:rFonts w:ascii="Arial" w:hAnsi="Arial" w:cs="Arial"/>
          <w:sz w:val="22"/>
          <w:szCs w:val="22"/>
        </w:rPr>
        <w:t>interprétation</w:t>
      </w:r>
      <w:r w:rsidR="00C34EE4">
        <w:rPr>
          <w:rFonts w:ascii="Arial" w:hAnsi="Arial" w:cs="Arial"/>
          <w:sz w:val="22"/>
          <w:szCs w:val="22"/>
        </w:rPr>
        <w:t xml:space="preserve"> et aux éléments matériels associés. Chaque entrée doit être mise à jour tous les cinq ans par un appel à la </w:t>
      </w:r>
      <w:r w:rsidR="00C34EE4" w:rsidRPr="00C34EE4">
        <w:rPr>
          <w:rFonts w:ascii="Arial" w:hAnsi="Arial" w:cs="Arial"/>
          <w:sz w:val="22"/>
          <w:szCs w:val="22"/>
        </w:rPr>
        <w:t>communauté</w:t>
      </w:r>
      <w:r w:rsidR="00C34EE4">
        <w:rPr>
          <w:rFonts w:ascii="Arial" w:hAnsi="Arial" w:cs="Arial"/>
          <w:sz w:val="22"/>
          <w:szCs w:val="22"/>
        </w:rPr>
        <w:t xml:space="preserve"> détentrice. On attend des détenteurs qu’ils soumette</w:t>
      </w:r>
      <w:r w:rsidR="006F34C3">
        <w:rPr>
          <w:rFonts w:ascii="Arial" w:hAnsi="Arial" w:cs="Arial"/>
          <w:sz w:val="22"/>
          <w:szCs w:val="22"/>
        </w:rPr>
        <w:t>nt</w:t>
      </w:r>
      <w:r w:rsidR="00C34EE4">
        <w:rPr>
          <w:rFonts w:ascii="Arial" w:hAnsi="Arial" w:cs="Arial"/>
          <w:sz w:val="22"/>
          <w:szCs w:val="22"/>
        </w:rPr>
        <w:t xml:space="preserve"> les inscriptions à l’</w:t>
      </w:r>
      <w:r w:rsidR="00C34EE4" w:rsidRPr="00C34EE4">
        <w:rPr>
          <w:rFonts w:ascii="Arial" w:hAnsi="Arial" w:cs="Arial"/>
          <w:sz w:val="22"/>
          <w:szCs w:val="22"/>
        </w:rPr>
        <w:t>inventaire</w:t>
      </w:r>
      <w:r w:rsidR="00C34EE4">
        <w:rPr>
          <w:rFonts w:ascii="Arial" w:hAnsi="Arial" w:cs="Arial"/>
          <w:sz w:val="22"/>
          <w:szCs w:val="22"/>
        </w:rPr>
        <w:t xml:space="preserve">, soutenus dans cette procédure par des experts ; </w:t>
      </w:r>
      <w:r w:rsidR="006F34C3">
        <w:rPr>
          <w:rFonts w:ascii="Arial" w:hAnsi="Arial" w:cs="Arial"/>
          <w:sz w:val="22"/>
          <w:szCs w:val="22"/>
        </w:rPr>
        <w:t xml:space="preserve">à cette fin, </w:t>
      </w:r>
      <w:r w:rsidR="00C34EE4">
        <w:rPr>
          <w:rFonts w:ascii="Arial" w:hAnsi="Arial" w:cs="Arial"/>
          <w:sz w:val="22"/>
          <w:szCs w:val="22"/>
        </w:rPr>
        <w:t xml:space="preserve">la Direction des BCM&amp;PCI organise </w:t>
      </w:r>
      <w:r w:rsidR="006F34C3">
        <w:rPr>
          <w:rFonts w:ascii="Arial" w:hAnsi="Arial" w:cs="Arial"/>
          <w:sz w:val="22"/>
          <w:szCs w:val="22"/>
        </w:rPr>
        <w:t xml:space="preserve">des réunions d’information pour, entre autres, </w:t>
      </w:r>
      <w:r w:rsidR="00C34EE4">
        <w:rPr>
          <w:rFonts w:ascii="Arial" w:hAnsi="Arial" w:cs="Arial"/>
          <w:sz w:val="22"/>
          <w:szCs w:val="22"/>
        </w:rPr>
        <w:t xml:space="preserve">les détenteurs, les associations culturelles, les musées, les </w:t>
      </w:r>
      <w:r w:rsidR="00C34EE4" w:rsidRPr="00C34EE4">
        <w:rPr>
          <w:rFonts w:ascii="Arial" w:hAnsi="Arial" w:cs="Arial"/>
          <w:sz w:val="22"/>
          <w:szCs w:val="22"/>
        </w:rPr>
        <w:t>autorités</w:t>
      </w:r>
      <w:r w:rsidR="00C34EE4">
        <w:rPr>
          <w:rFonts w:ascii="Arial" w:hAnsi="Arial" w:cs="Arial"/>
          <w:sz w:val="22"/>
          <w:szCs w:val="22"/>
        </w:rPr>
        <w:t xml:space="preserve"> municipales</w:t>
      </w:r>
      <w:r w:rsidR="006F34C3">
        <w:rPr>
          <w:rFonts w:ascii="Arial" w:hAnsi="Arial" w:cs="Arial"/>
          <w:sz w:val="22"/>
          <w:szCs w:val="22"/>
        </w:rPr>
        <w:t xml:space="preserve">, les syndicats et les chercheurs indépendants. Les organisations non </w:t>
      </w:r>
      <w:r w:rsidR="006F34C3" w:rsidRPr="006F34C3">
        <w:rPr>
          <w:rFonts w:ascii="Arial" w:hAnsi="Arial" w:cs="Arial"/>
          <w:sz w:val="22"/>
          <w:szCs w:val="22"/>
        </w:rPr>
        <w:t>gouvernement</w:t>
      </w:r>
      <w:r w:rsidR="006F34C3">
        <w:rPr>
          <w:rFonts w:ascii="Arial" w:hAnsi="Arial" w:cs="Arial"/>
          <w:sz w:val="22"/>
          <w:szCs w:val="22"/>
        </w:rPr>
        <w:t xml:space="preserve">ales participent </w:t>
      </w:r>
      <w:r w:rsidR="00862425">
        <w:rPr>
          <w:rFonts w:ascii="Arial" w:hAnsi="Arial" w:cs="Arial"/>
          <w:sz w:val="22"/>
          <w:szCs w:val="22"/>
        </w:rPr>
        <w:t xml:space="preserve">ainsi </w:t>
      </w:r>
      <w:r w:rsidR="006F34C3" w:rsidRPr="006F34C3">
        <w:rPr>
          <w:rFonts w:ascii="Arial" w:hAnsi="Arial" w:cs="Arial"/>
          <w:sz w:val="22"/>
          <w:szCs w:val="22"/>
        </w:rPr>
        <w:t>également</w:t>
      </w:r>
      <w:r w:rsidR="00F465C2">
        <w:rPr>
          <w:rFonts w:ascii="Arial" w:hAnsi="Arial" w:cs="Arial"/>
          <w:sz w:val="22"/>
          <w:szCs w:val="22"/>
        </w:rPr>
        <w:t xml:space="preserve"> très activement à ces efforts.</w:t>
      </w:r>
    </w:p>
    <w:p w14:paraId="0557E65A" w14:textId="29FD9A96" w:rsidR="006F34C3" w:rsidRPr="00F465C2" w:rsidRDefault="006F34C3" w:rsidP="006F34C3">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Une des principales priorités en matière de </w:t>
      </w:r>
      <w:r w:rsidRPr="006F34C3">
        <w:rPr>
          <w:rFonts w:ascii="Arial" w:hAnsi="Arial" w:cs="Arial"/>
          <w:b/>
          <w:sz w:val="22"/>
          <w:szCs w:val="22"/>
        </w:rPr>
        <w:t>politique</w:t>
      </w:r>
      <w:r>
        <w:rPr>
          <w:rFonts w:ascii="Arial" w:hAnsi="Arial" w:cs="Arial"/>
          <w:b/>
          <w:sz w:val="22"/>
          <w:szCs w:val="22"/>
        </w:rPr>
        <w:t xml:space="preserve"> </w:t>
      </w:r>
      <w:r w:rsidRPr="006F34C3">
        <w:rPr>
          <w:rFonts w:ascii="Arial" w:hAnsi="Arial" w:cs="Arial"/>
          <w:sz w:val="22"/>
          <w:szCs w:val="22"/>
        </w:rPr>
        <w:t>de mise en œuvre</w:t>
      </w:r>
      <w:r>
        <w:rPr>
          <w:rFonts w:ascii="Arial" w:hAnsi="Arial" w:cs="Arial"/>
          <w:b/>
          <w:sz w:val="22"/>
          <w:szCs w:val="22"/>
        </w:rPr>
        <w:t xml:space="preserve"> </w:t>
      </w:r>
      <w:r>
        <w:rPr>
          <w:rFonts w:ascii="Arial" w:hAnsi="Arial" w:cs="Arial"/>
          <w:sz w:val="22"/>
          <w:szCs w:val="22"/>
        </w:rPr>
        <w:t xml:space="preserve">de la </w:t>
      </w:r>
      <w:r w:rsidRPr="006F34C3">
        <w:rPr>
          <w:rFonts w:ascii="Arial" w:hAnsi="Arial" w:cs="Arial"/>
          <w:sz w:val="22"/>
          <w:szCs w:val="22"/>
        </w:rPr>
        <w:t>Convention</w:t>
      </w:r>
      <w:r>
        <w:rPr>
          <w:rFonts w:ascii="Arial" w:hAnsi="Arial" w:cs="Arial"/>
          <w:sz w:val="22"/>
          <w:szCs w:val="22"/>
        </w:rPr>
        <w:t xml:space="preserve"> en Grèce est la </w:t>
      </w:r>
      <w:r w:rsidRPr="006F34C3">
        <w:rPr>
          <w:rFonts w:ascii="Arial" w:hAnsi="Arial" w:cs="Arial"/>
          <w:sz w:val="22"/>
          <w:szCs w:val="22"/>
        </w:rPr>
        <w:t>recherche</w:t>
      </w:r>
      <w:r>
        <w:rPr>
          <w:rFonts w:ascii="Arial" w:hAnsi="Arial" w:cs="Arial"/>
          <w:sz w:val="22"/>
          <w:szCs w:val="22"/>
        </w:rPr>
        <w:t xml:space="preserve"> de possibles synergies entre patrimoine culturel immatériel et développement durable, </w:t>
      </w:r>
      <w:r w:rsidRPr="006F34C3">
        <w:rPr>
          <w:rFonts w:ascii="Arial" w:hAnsi="Arial" w:cs="Arial"/>
          <w:sz w:val="22"/>
          <w:szCs w:val="22"/>
          <w:lang w:eastAsia="en-US"/>
        </w:rPr>
        <w:t>en particulier</w:t>
      </w:r>
      <w:r>
        <w:rPr>
          <w:rFonts w:ascii="Arial" w:hAnsi="Arial" w:cs="Arial"/>
          <w:sz w:val="22"/>
          <w:szCs w:val="22"/>
        </w:rPr>
        <w:t xml:space="preserve"> dans les communautés rurales et isolées. Les acteurs locaux et de la société civile prennent de plus en plus conscience de la nécessité d’inscrire la </w:t>
      </w:r>
      <w:r w:rsidRPr="006F34C3">
        <w:rPr>
          <w:rFonts w:ascii="Arial" w:hAnsi="Arial" w:cs="Arial"/>
          <w:sz w:val="22"/>
          <w:szCs w:val="22"/>
        </w:rPr>
        <w:t>sauvegarde</w:t>
      </w:r>
      <w:r>
        <w:rPr>
          <w:rFonts w:ascii="Arial" w:hAnsi="Arial" w:cs="Arial"/>
          <w:sz w:val="22"/>
          <w:szCs w:val="22"/>
        </w:rPr>
        <w:t xml:space="preserve"> de leur </w:t>
      </w:r>
      <w:r w:rsidRPr="006F34C3">
        <w:rPr>
          <w:rFonts w:ascii="Arial" w:hAnsi="Arial" w:cs="Arial"/>
          <w:sz w:val="22"/>
          <w:szCs w:val="22"/>
        </w:rPr>
        <w:t>patrimoine</w:t>
      </w:r>
      <w:r>
        <w:rPr>
          <w:rFonts w:ascii="Arial" w:hAnsi="Arial" w:cs="Arial"/>
          <w:sz w:val="22"/>
          <w:szCs w:val="22"/>
        </w:rPr>
        <w:t xml:space="preserve"> dans le cadre d’une </w:t>
      </w:r>
      <w:r w:rsidRPr="006F34C3">
        <w:rPr>
          <w:rFonts w:ascii="Arial" w:hAnsi="Arial" w:cs="Arial"/>
          <w:sz w:val="22"/>
          <w:szCs w:val="22"/>
        </w:rPr>
        <w:t>planification</w:t>
      </w:r>
      <w:r>
        <w:rPr>
          <w:rFonts w:ascii="Arial" w:hAnsi="Arial" w:cs="Arial"/>
          <w:sz w:val="22"/>
          <w:szCs w:val="22"/>
        </w:rPr>
        <w:t xml:space="preserve"> bien structurée</w:t>
      </w:r>
      <w:r w:rsidR="009776B1">
        <w:rPr>
          <w:rFonts w:ascii="Arial" w:hAnsi="Arial" w:cs="Arial"/>
          <w:sz w:val="22"/>
          <w:szCs w:val="22"/>
        </w:rPr>
        <w:t>,</w:t>
      </w:r>
      <w:r>
        <w:rPr>
          <w:rFonts w:ascii="Arial" w:hAnsi="Arial" w:cs="Arial"/>
          <w:sz w:val="22"/>
          <w:szCs w:val="22"/>
        </w:rPr>
        <w:t xml:space="preserve"> comme ce fut le cas pour la </w:t>
      </w:r>
      <w:r w:rsidRPr="006F34C3">
        <w:rPr>
          <w:rFonts w:ascii="Arial" w:hAnsi="Arial" w:cs="Arial"/>
          <w:sz w:val="22"/>
          <w:szCs w:val="22"/>
        </w:rPr>
        <w:t>construction</w:t>
      </w:r>
      <w:r>
        <w:rPr>
          <w:rFonts w:ascii="Arial" w:hAnsi="Arial" w:cs="Arial"/>
          <w:sz w:val="22"/>
          <w:szCs w:val="22"/>
        </w:rPr>
        <w:t xml:space="preserve"> navale en bois pour laquelle un groupe de travail </w:t>
      </w:r>
      <w:r w:rsidR="009776B1">
        <w:rPr>
          <w:rFonts w:ascii="Arial" w:hAnsi="Arial" w:cs="Arial"/>
          <w:sz w:val="22"/>
          <w:szCs w:val="22"/>
        </w:rPr>
        <w:t xml:space="preserve">a coordonné l’action de différents acteurs publics et de la société civile au sein d’un plan de sauvegarde cohérent. En ce qui concerne les autres </w:t>
      </w:r>
      <w:r w:rsidR="009776B1" w:rsidRPr="009776B1">
        <w:rPr>
          <w:rFonts w:ascii="Arial" w:hAnsi="Arial" w:cs="Arial"/>
          <w:b/>
          <w:sz w:val="22"/>
          <w:szCs w:val="22"/>
        </w:rPr>
        <w:t>mesures de sauvegarde</w:t>
      </w:r>
      <w:r w:rsidR="009776B1">
        <w:rPr>
          <w:rFonts w:ascii="Arial" w:hAnsi="Arial" w:cs="Arial"/>
          <w:sz w:val="22"/>
          <w:szCs w:val="22"/>
        </w:rPr>
        <w:t xml:space="preserve">, plusieurs </w:t>
      </w:r>
      <w:r w:rsidR="009776B1">
        <w:rPr>
          <w:rFonts w:ascii="Arial" w:hAnsi="Arial" w:cs="Arial"/>
          <w:sz w:val="22"/>
          <w:szCs w:val="22"/>
          <w:lang w:eastAsia="en-US"/>
        </w:rPr>
        <w:t xml:space="preserve">initiatives en faveur de la </w:t>
      </w:r>
      <w:r w:rsidR="009776B1" w:rsidRPr="009776B1">
        <w:rPr>
          <w:rFonts w:ascii="Arial" w:hAnsi="Arial" w:cs="Arial"/>
          <w:sz w:val="22"/>
          <w:szCs w:val="22"/>
          <w:lang w:eastAsia="en-US"/>
        </w:rPr>
        <w:t>recherche</w:t>
      </w:r>
      <w:r w:rsidR="009776B1">
        <w:rPr>
          <w:rFonts w:ascii="Arial" w:hAnsi="Arial" w:cs="Arial"/>
          <w:sz w:val="22"/>
          <w:szCs w:val="22"/>
          <w:lang w:eastAsia="en-US"/>
        </w:rPr>
        <w:t xml:space="preserve"> dans le domaine de la </w:t>
      </w:r>
      <w:r w:rsidR="009776B1" w:rsidRPr="009776B1">
        <w:rPr>
          <w:rFonts w:ascii="Arial" w:hAnsi="Arial" w:cs="Arial"/>
          <w:sz w:val="22"/>
          <w:szCs w:val="22"/>
          <w:lang w:eastAsia="en-US"/>
        </w:rPr>
        <w:t>sauvegarde</w:t>
      </w:r>
      <w:r w:rsidR="009776B1">
        <w:rPr>
          <w:rFonts w:ascii="Arial" w:hAnsi="Arial" w:cs="Arial"/>
          <w:sz w:val="22"/>
          <w:szCs w:val="22"/>
          <w:lang w:eastAsia="en-US"/>
        </w:rPr>
        <w:t xml:space="preserve"> du patrimoine culturel immatériel ont été mises en place, telles que la création d’une base de données sur le théâtre d’ombres grec dont le contenu est fort riche. </w:t>
      </w:r>
      <w:r w:rsidR="007668B8">
        <w:rPr>
          <w:rFonts w:ascii="Arial" w:hAnsi="Arial" w:cs="Arial"/>
          <w:sz w:val="22"/>
          <w:szCs w:val="22"/>
          <w:lang w:eastAsia="en-US"/>
        </w:rPr>
        <w:t xml:space="preserve">Plusieurs </w:t>
      </w:r>
      <w:r w:rsidR="009776B1">
        <w:rPr>
          <w:rFonts w:ascii="Arial" w:hAnsi="Arial" w:cs="Arial"/>
          <w:sz w:val="22"/>
          <w:szCs w:val="22"/>
          <w:lang w:eastAsia="en-US"/>
        </w:rPr>
        <w:t xml:space="preserve">instituts de </w:t>
      </w:r>
      <w:r w:rsidR="009776B1" w:rsidRPr="009776B1">
        <w:rPr>
          <w:rFonts w:ascii="Arial" w:hAnsi="Arial" w:cs="Arial"/>
          <w:sz w:val="22"/>
          <w:szCs w:val="22"/>
          <w:lang w:eastAsia="en-US"/>
        </w:rPr>
        <w:t>recherche</w:t>
      </w:r>
      <w:r w:rsidR="009776B1">
        <w:rPr>
          <w:rFonts w:ascii="Arial" w:hAnsi="Arial" w:cs="Arial"/>
          <w:sz w:val="22"/>
          <w:szCs w:val="22"/>
          <w:lang w:eastAsia="en-US"/>
        </w:rPr>
        <w:t xml:space="preserve"> participe</w:t>
      </w:r>
      <w:r w:rsidR="007668B8">
        <w:rPr>
          <w:rFonts w:ascii="Arial" w:hAnsi="Arial" w:cs="Arial"/>
          <w:sz w:val="22"/>
          <w:szCs w:val="22"/>
          <w:lang w:eastAsia="en-US"/>
        </w:rPr>
        <w:t>nt</w:t>
      </w:r>
      <w:r w:rsidR="00136B20">
        <w:rPr>
          <w:rFonts w:ascii="Arial" w:hAnsi="Arial" w:cs="Arial"/>
          <w:sz w:val="22"/>
          <w:szCs w:val="22"/>
          <w:lang w:eastAsia="en-US"/>
        </w:rPr>
        <w:t xml:space="preserve"> à de tels</w:t>
      </w:r>
      <w:r w:rsidR="009776B1">
        <w:rPr>
          <w:rFonts w:ascii="Arial" w:hAnsi="Arial" w:cs="Arial"/>
          <w:sz w:val="22"/>
          <w:szCs w:val="22"/>
          <w:lang w:eastAsia="en-US"/>
        </w:rPr>
        <w:t xml:space="preserve"> </w:t>
      </w:r>
      <w:r w:rsidR="007668B8">
        <w:rPr>
          <w:rFonts w:ascii="Arial" w:hAnsi="Arial" w:cs="Arial"/>
          <w:sz w:val="22"/>
          <w:szCs w:val="22"/>
          <w:lang w:eastAsia="en-US"/>
        </w:rPr>
        <w:t>projet</w:t>
      </w:r>
      <w:r w:rsidR="00136B20">
        <w:rPr>
          <w:rFonts w:ascii="Arial" w:hAnsi="Arial" w:cs="Arial"/>
          <w:sz w:val="22"/>
          <w:szCs w:val="22"/>
          <w:lang w:eastAsia="en-US"/>
        </w:rPr>
        <w:t xml:space="preserve">s, dont certains </w:t>
      </w:r>
      <w:r w:rsidR="007668B8">
        <w:rPr>
          <w:rFonts w:ascii="Arial" w:hAnsi="Arial" w:cs="Arial"/>
          <w:sz w:val="22"/>
          <w:szCs w:val="22"/>
          <w:lang w:eastAsia="en-US"/>
        </w:rPr>
        <w:t xml:space="preserve">sont </w:t>
      </w:r>
      <w:r w:rsidR="00136B20">
        <w:rPr>
          <w:rFonts w:ascii="Arial" w:hAnsi="Arial" w:cs="Arial"/>
          <w:sz w:val="22"/>
          <w:szCs w:val="22"/>
          <w:lang w:eastAsia="en-US"/>
        </w:rPr>
        <w:t xml:space="preserve">menés </w:t>
      </w:r>
      <w:r w:rsidR="009776B1">
        <w:rPr>
          <w:rFonts w:ascii="Arial" w:hAnsi="Arial" w:cs="Arial"/>
          <w:sz w:val="22"/>
          <w:szCs w:val="22"/>
          <w:lang w:eastAsia="en-US"/>
        </w:rPr>
        <w:t>par des chercheurs indépendants, des organisations non gouvernementales, des entités privé</w:t>
      </w:r>
      <w:r w:rsidR="007668B8">
        <w:rPr>
          <w:rFonts w:ascii="Arial" w:hAnsi="Arial" w:cs="Arial"/>
          <w:sz w:val="22"/>
          <w:szCs w:val="22"/>
          <w:lang w:eastAsia="en-US"/>
        </w:rPr>
        <w:t>e</w:t>
      </w:r>
      <w:r w:rsidR="009776B1">
        <w:rPr>
          <w:rFonts w:ascii="Arial" w:hAnsi="Arial" w:cs="Arial"/>
          <w:sz w:val="22"/>
          <w:szCs w:val="22"/>
          <w:lang w:eastAsia="en-US"/>
        </w:rPr>
        <w:t xml:space="preserve">s, des </w:t>
      </w:r>
      <w:r w:rsidR="009776B1" w:rsidRPr="009776B1">
        <w:rPr>
          <w:rFonts w:ascii="Arial" w:hAnsi="Arial" w:cs="Arial"/>
          <w:sz w:val="22"/>
          <w:szCs w:val="22"/>
          <w:lang w:eastAsia="en-US"/>
        </w:rPr>
        <w:t>institutions</w:t>
      </w:r>
      <w:r w:rsidR="009776B1">
        <w:rPr>
          <w:rFonts w:ascii="Arial" w:hAnsi="Arial" w:cs="Arial"/>
          <w:sz w:val="22"/>
          <w:szCs w:val="22"/>
          <w:lang w:eastAsia="en-US"/>
        </w:rPr>
        <w:t xml:space="preserve"> culturelles et des musées. Dans de nombreux cas, une base de données consultable par le grand public sur Internet est un résultat du projet. L</w:t>
      </w:r>
      <w:r w:rsidR="009776B1" w:rsidRPr="009776B1">
        <w:rPr>
          <w:rFonts w:ascii="Arial" w:hAnsi="Arial" w:cs="Arial"/>
          <w:sz w:val="22"/>
          <w:szCs w:val="22"/>
          <w:lang w:eastAsia="en-US"/>
        </w:rPr>
        <w:t>a plupart des</w:t>
      </w:r>
      <w:r w:rsidR="009776B1">
        <w:rPr>
          <w:rFonts w:ascii="Arial" w:hAnsi="Arial" w:cs="Arial"/>
          <w:sz w:val="22"/>
          <w:szCs w:val="22"/>
          <w:lang w:eastAsia="en-US"/>
        </w:rPr>
        <w:t xml:space="preserve"> communautés sont prêtes à partager des </w:t>
      </w:r>
      <w:r w:rsidR="009776B1" w:rsidRPr="009776B1">
        <w:rPr>
          <w:rFonts w:ascii="Arial" w:hAnsi="Arial" w:cs="Arial"/>
          <w:sz w:val="22"/>
          <w:szCs w:val="22"/>
          <w:lang w:eastAsia="en-US"/>
        </w:rPr>
        <w:t>informations</w:t>
      </w:r>
      <w:r w:rsidR="009776B1">
        <w:rPr>
          <w:rFonts w:ascii="Arial" w:hAnsi="Arial" w:cs="Arial"/>
          <w:sz w:val="22"/>
          <w:szCs w:val="22"/>
          <w:lang w:eastAsia="en-US"/>
        </w:rPr>
        <w:t xml:space="preserve"> sur leur </w:t>
      </w:r>
      <w:r w:rsidR="009776B1" w:rsidRPr="009776B1">
        <w:rPr>
          <w:rFonts w:ascii="Arial" w:hAnsi="Arial" w:cs="Arial"/>
          <w:sz w:val="22"/>
          <w:szCs w:val="22"/>
          <w:lang w:eastAsia="en-US"/>
        </w:rPr>
        <w:t>patrimoine</w:t>
      </w:r>
      <w:r w:rsidR="009776B1">
        <w:rPr>
          <w:rFonts w:ascii="Arial" w:hAnsi="Arial" w:cs="Arial"/>
          <w:sz w:val="22"/>
          <w:szCs w:val="22"/>
          <w:lang w:eastAsia="en-US"/>
        </w:rPr>
        <w:t xml:space="preserve">, néanmoins, les </w:t>
      </w:r>
      <w:r w:rsidR="009776B1" w:rsidRPr="009776B1">
        <w:rPr>
          <w:rFonts w:ascii="Arial" w:hAnsi="Arial" w:cs="Arial"/>
          <w:sz w:val="22"/>
          <w:szCs w:val="22"/>
          <w:lang w:eastAsia="en-US"/>
        </w:rPr>
        <w:t xml:space="preserve">détenteurs </w:t>
      </w:r>
      <w:r w:rsidR="009776B1">
        <w:rPr>
          <w:rFonts w:ascii="Arial" w:hAnsi="Arial" w:cs="Arial"/>
          <w:sz w:val="22"/>
          <w:szCs w:val="22"/>
          <w:lang w:eastAsia="en-US"/>
        </w:rPr>
        <w:t xml:space="preserve">sont </w:t>
      </w:r>
      <w:r w:rsidR="007668B8" w:rsidRPr="007668B8">
        <w:rPr>
          <w:rFonts w:ascii="Arial" w:hAnsi="Arial" w:cs="Arial"/>
          <w:sz w:val="22"/>
          <w:szCs w:val="22"/>
          <w:lang w:eastAsia="en-US"/>
        </w:rPr>
        <w:t>également</w:t>
      </w:r>
      <w:r w:rsidR="007668B8">
        <w:rPr>
          <w:rFonts w:ascii="Arial" w:hAnsi="Arial" w:cs="Arial"/>
          <w:sz w:val="22"/>
          <w:szCs w:val="22"/>
          <w:lang w:eastAsia="en-US"/>
        </w:rPr>
        <w:t xml:space="preserve"> </w:t>
      </w:r>
      <w:r w:rsidR="009776B1">
        <w:rPr>
          <w:rFonts w:ascii="Arial" w:hAnsi="Arial" w:cs="Arial"/>
          <w:sz w:val="22"/>
          <w:szCs w:val="22"/>
          <w:lang w:eastAsia="en-US"/>
        </w:rPr>
        <w:t xml:space="preserve">conscients </w:t>
      </w:r>
      <w:r w:rsidR="007668B8">
        <w:rPr>
          <w:rFonts w:ascii="Arial" w:hAnsi="Arial" w:cs="Arial"/>
          <w:sz w:val="22"/>
          <w:szCs w:val="22"/>
          <w:lang w:eastAsia="en-US"/>
        </w:rPr>
        <w:t xml:space="preserve">des dangers liés à </w:t>
      </w:r>
      <w:r w:rsidR="007668B8">
        <w:rPr>
          <w:rFonts w:ascii="Arial" w:hAnsi="Arial" w:cs="Arial"/>
          <w:sz w:val="22"/>
          <w:szCs w:val="22"/>
          <w:lang w:eastAsia="en-US"/>
        </w:rPr>
        <w:lastRenderedPageBreak/>
        <w:t xml:space="preserve">une publicité excessive (qui peut conduire à une </w:t>
      </w:r>
      <w:r w:rsidR="008F4FA7">
        <w:rPr>
          <w:rFonts w:ascii="Arial" w:hAnsi="Arial" w:cs="Arial"/>
          <w:sz w:val="22"/>
          <w:szCs w:val="22"/>
          <w:lang w:eastAsia="en-US"/>
        </w:rPr>
        <w:t>banalisation</w:t>
      </w:r>
      <w:r w:rsidR="007668B8">
        <w:rPr>
          <w:rFonts w:ascii="Arial" w:hAnsi="Arial" w:cs="Arial"/>
          <w:sz w:val="22"/>
          <w:szCs w:val="22"/>
          <w:lang w:eastAsia="en-US"/>
        </w:rPr>
        <w:t>), au tourisme et à des représentations pseudo-folklori</w:t>
      </w:r>
      <w:r w:rsidR="00F465C2">
        <w:rPr>
          <w:rFonts w:ascii="Arial" w:hAnsi="Arial" w:cs="Arial"/>
          <w:sz w:val="22"/>
          <w:szCs w:val="22"/>
          <w:lang w:eastAsia="en-US"/>
        </w:rPr>
        <w:t>ques lors d’événements publics.</w:t>
      </w:r>
    </w:p>
    <w:p w14:paraId="742D5CE7" w14:textId="6E9EFD69" w:rsidR="007668B8" w:rsidRDefault="007668B8" w:rsidP="002E464D">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Les </w:t>
      </w:r>
      <w:r w:rsidRPr="007668B8">
        <w:rPr>
          <w:rFonts w:ascii="Arial" w:hAnsi="Arial" w:cs="Arial"/>
          <w:b/>
          <w:sz w:val="22"/>
          <w:szCs w:val="22"/>
        </w:rPr>
        <w:t xml:space="preserve">programmes </w:t>
      </w:r>
      <w:r w:rsidR="0029228C">
        <w:rPr>
          <w:rFonts w:ascii="Arial" w:hAnsi="Arial" w:cs="Arial"/>
          <w:b/>
          <w:sz w:val="22"/>
          <w:szCs w:val="22"/>
        </w:rPr>
        <w:t>d’éducation</w:t>
      </w:r>
      <w:r w:rsidRPr="007668B8">
        <w:rPr>
          <w:rFonts w:ascii="Arial" w:hAnsi="Arial" w:cs="Arial"/>
          <w:b/>
          <w:sz w:val="22"/>
          <w:szCs w:val="22"/>
        </w:rPr>
        <w:t>, de sensibilisation et d’information</w:t>
      </w:r>
      <w:r>
        <w:rPr>
          <w:rFonts w:ascii="Arial" w:hAnsi="Arial" w:cs="Arial"/>
          <w:sz w:val="22"/>
          <w:szCs w:val="22"/>
        </w:rPr>
        <w:t xml:space="preserve"> destinés au grand public prévoient une série de réunions d’information organisées par la Dir</w:t>
      </w:r>
      <w:r w:rsidR="0029228C">
        <w:rPr>
          <w:rFonts w:ascii="Arial" w:hAnsi="Arial" w:cs="Arial"/>
          <w:sz w:val="22"/>
          <w:szCs w:val="22"/>
        </w:rPr>
        <w:t>ection des BCM&amp;PCI. Ces événements</w:t>
      </w:r>
      <w:r>
        <w:rPr>
          <w:rFonts w:ascii="Arial" w:hAnsi="Arial" w:cs="Arial"/>
          <w:sz w:val="22"/>
          <w:szCs w:val="22"/>
        </w:rPr>
        <w:t xml:space="preserve"> peuvent consister en de petites </w:t>
      </w:r>
      <w:r w:rsidR="0029228C">
        <w:rPr>
          <w:rFonts w:ascii="Arial" w:hAnsi="Arial" w:cs="Arial"/>
          <w:sz w:val="22"/>
          <w:szCs w:val="22"/>
        </w:rPr>
        <w:t xml:space="preserve">réunions destinées aux membres des communautés, aux </w:t>
      </w:r>
      <w:r>
        <w:rPr>
          <w:rFonts w:ascii="Arial" w:hAnsi="Arial" w:cs="Arial"/>
          <w:sz w:val="22"/>
          <w:szCs w:val="22"/>
        </w:rPr>
        <w:t xml:space="preserve">chercheurs indépendants, </w:t>
      </w:r>
      <w:r w:rsidR="0029228C">
        <w:rPr>
          <w:rFonts w:ascii="Arial" w:hAnsi="Arial" w:cs="Arial"/>
          <w:sz w:val="22"/>
          <w:szCs w:val="22"/>
        </w:rPr>
        <w:t xml:space="preserve">aux </w:t>
      </w:r>
      <w:r>
        <w:rPr>
          <w:rFonts w:ascii="Arial" w:hAnsi="Arial" w:cs="Arial"/>
          <w:sz w:val="22"/>
          <w:szCs w:val="22"/>
        </w:rPr>
        <w:t xml:space="preserve">instituts de </w:t>
      </w:r>
      <w:r w:rsidRPr="007668B8">
        <w:rPr>
          <w:rFonts w:ascii="Arial" w:hAnsi="Arial" w:cs="Arial"/>
          <w:sz w:val="22"/>
          <w:szCs w:val="22"/>
        </w:rPr>
        <w:t>recherche</w:t>
      </w:r>
      <w:r>
        <w:rPr>
          <w:rFonts w:ascii="Arial" w:hAnsi="Arial" w:cs="Arial"/>
          <w:sz w:val="22"/>
          <w:szCs w:val="22"/>
        </w:rPr>
        <w:t xml:space="preserve"> et </w:t>
      </w:r>
      <w:r w:rsidR="0029228C">
        <w:rPr>
          <w:rFonts w:ascii="Arial" w:hAnsi="Arial" w:cs="Arial"/>
          <w:sz w:val="22"/>
          <w:szCs w:val="22"/>
        </w:rPr>
        <w:t xml:space="preserve">aux </w:t>
      </w:r>
      <w:r>
        <w:rPr>
          <w:rFonts w:ascii="Arial" w:hAnsi="Arial" w:cs="Arial"/>
          <w:sz w:val="22"/>
          <w:szCs w:val="22"/>
        </w:rPr>
        <w:t xml:space="preserve">musées, </w:t>
      </w:r>
      <w:r w:rsidR="002E464D">
        <w:rPr>
          <w:rFonts w:ascii="Arial" w:hAnsi="Arial" w:cs="Arial"/>
          <w:sz w:val="22"/>
          <w:szCs w:val="22"/>
        </w:rPr>
        <w:t>ou en des réunions p</w:t>
      </w:r>
      <w:r w:rsidR="0029228C">
        <w:rPr>
          <w:rFonts w:ascii="Arial" w:hAnsi="Arial" w:cs="Arial"/>
          <w:sz w:val="22"/>
          <w:szCs w:val="22"/>
        </w:rPr>
        <w:t xml:space="preserve">lus grandes, au niveau régional, </w:t>
      </w:r>
      <w:r w:rsidR="002E464D">
        <w:rPr>
          <w:rFonts w:ascii="Arial" w:hAnsi="Arial" w:cs="Arial"/>
          <w:sz w:val="22"/>
          <w:szCs w:val="22"/>
        </w:rPr>
        <w:t xml:space="preserve">comme en 2015 où environ 150 représentants de diverses </w:t>
      </w:r>
      <w:r w:rsidR="002E464D" w:rsidRPr="002E464D">
        <w:rPr>
          <w:rFonts w:ascii="Arial" w:hAnsi="Arial" w:cs="Arial"/>
          <w:sz w:val="22"/>
          <w:szCs w:val="22"/>
        </w:rPr>
        <w:t>association</w:t>
      </w:r>
      <w:r w:rsidR="0029228C">
        <w:rPr>
          <w:rFonts w:ascii="Arial" w:hAnsi="Arial" w:cs="Arial"/>
          <w:sz w:val="22"/>
          <w:szCs w:val="22"/>
        </w:rPr>
        <w:t>s</w:t>
      </w:r>
      <w:r w:rsidR="002E464D">
        <w:rPr>
          <w:rFonts w:ascii="Arial" w:hAnsi="Arial" w:cs="Arial"/>
          <w:sz w:val="22"/>
          <w:szCs w:val="22"/>
        </w:rPr>
        <w:t xml:space="preserve"> culturelles de l’Épire ont participé à une réunion d’</w:t>
      </w:r>
      <w:r w:rsidR="002E464D" w:rsidRPr="002E464D">
        <w:rPr>
          <w:rFonts w:ascii="Arial" w:hAnsi="Arial" w:cs="Arial"/>
          <w:sz w:val="22"/>
          <w:szCs w:val="22"/>
        </w:rPr>
        <w:t>information</w:t>
      </w:r>
      <w:r w:rsidR="00136B20">
        <w:rPr>
          <w:rFonts w:ascii="Arial" w:hAnsi="Arial" w:cs="Arial"/>
          <w:sz w:val="22"/>
          <w:szCs w:val="22"/>
        </w:rPr>
        <w:t>. Parmi les résultats de ce type de rencontres</w:t>
      </w:r>
      <w:r w:rsidR="002E464D">
        <w:rPr>
          <w:rFonts w:ascii="Arial" w:hAnsi="Arial" w:cs="Arial"/>
          <w:sz w:val="22"/>
          <w:szCs w:val="22"/>
        </w:rPr>
        <w:t>, on peut citer l’inve</w:t>
      </w:r>
      <w:r w:rsidR="002751DB">
        <w:rPr>
          <w:rFonts w:ascii="Arial" w:hAnsi="Arial" w:cs="Arial"/>
          <w:sz w:val="22"/>
          <w:szCs w:val="22"/>
        </w:rPr>
        <w:t xml:space="preserve">ntaire d’un élément particulier </w:t>
      </w:r>
      <w:r w:rsidR="002E464D">
        <w:rPr>
          <w:rFonts w:ascii="Arial" w:hAnsi="Arial" w:cs="Arial"/>
          <w:sz w:val="22"/>
          <w:szCs w:val="22"/>
        </w:rPr>
        <w:t>ou d’une série d’éléments</w:t>
      </w:r>
      <w:r w:rsidR="002751DB">
        <w:rPr>
          <w:rFonts w:ascii="Arial" w:hAnsi="Arial" w:cs="Arial"/>
          <w:sz w:val="22"/>
          <w:szCs w:val="22"/>
        </w:rPr>
        <w:t xml:space="preserve"> voire</w:t>
      </w:r>
      <w:r w:rsidR="002E464D">
        <w:rPr>
          <w:rFonts w:ascii="Arial" w:hAnsi="Arial" w:cs="Arial"/>
          <w:sz w:val="22"/>
          <w:szCs w:val="22"/>
        </w:rPr>
        <w:t xml:space="preserve"> l’organisation de conférences. En 2015, la Direction des BCM&amp;PCI a collaboré à l’Ethnofest d’Athènes (un festival ethnographique) afin de diffuser </w:t>
      </w:r>
      <w:r w:rsidR="0029228C">
        <w:rPr>
          <w:rFonts w:ascii="Arial" w:hAnsi="Arial" w:cs="Arial"/>
          <w:sz w:val="22"/>
          <w:szCs w:val="22"/>
        </w:rPr>
        <w:t xml:space="preserve">largement </w:t>
      </w:r>
      <w:r w:rsidR="002E464D">
        <w:rPr>
          <w:rFonts w:ascii="Arial" w:hAnsi="Arial" w:cs="Arial"/>
          <w:sz w:val="22"/>
          <w:szCs w:val="22"/>
        </w:rPr>
        <w:t>le discours sur le patrimoine culturel immatériel</w:t>
      </w:r>
      <w:r w:rsidR="0029228C">
        <w:rPr>
          <w:rFonts w:ascii="Arial" w:hAnsi="Arial" w:cs="Arial"/>
          <w:sz w:val="22"/>
          <w:szCs w:val="22"/>
        </w:rPr>
        <w:t xml:space="preserve"> auprès de</w:t>
      </w:r>
      <w:r w:rsidR="002E464D">
        <w:rPr>
          <w:rFonts w:ascii="Arial" w:hAnsi="Arial" w:cs="Arial"/>
          <w:sz w:val="22"/>
          <w:szCs w:val="22"/>
        </w:rPr>
        <w:t xml:space="preserve"> jeunes réalisateurs de films et scientifiques. Dans les communautés, les musées locaux sont souvent un facteur essentiel de </w:t>
      </w:r>
      <w:r w:rsidR="002E464D" w:rsidRPr="002E464D">
        <w:rPr>
          <w:rFonts w:ascii="Arial" w:hAnsi="Arial" w:cs="Arial"/>
          <w:sz w:val="22"/>
          <w:szCs w:val="22"/>
        </w:rPr>
        <w:t>sauvegarde</w:t>
      </w:r>
      <w:r w:rsidR="002E464D">
        <w:rPr>
          <w:rFonts w:ascii="Arial" w:hAnsi="Arial" w:cs="Arial"/>
          <w:sz w:val="22"/>
          <w:szCs w:val="22"/>
        </w:rPr>
        <w:t xml:space="preserve"> de l’identité locale et d’interaction avec les communautés locales. Un bon exemple de programme </w:t>
      </w:r>
      <w:r w:rsidR="0029228C">
        <w:rPr>
          <w:rFonts w:ascii="Arial" w:hAnsi="Arial" w:cs="Arial"/>
          <w:sz w:val="22"/>
          <w:szCs w:val="22"/>
        </w:rPr>
        <w:t>d’éducation</w:t>
      </w:r>
      <w:r w:rsidR="002E464D">
        <w:rPr>
          <w:rFonts w:ascii="Arial" w:hAnsi="Arial" w:cs="Arial"/>
          <w:sz w:val="22"/>
          <w:szCs w:val="22"/>
        </w:rPr>
        <w:t xml:space="preserve"> formel</w:t>
      </w:r>
      <w:r w:rsidR="0029228C">
        <w:rPr>
          <w:rFonts w:ascii="Arial" w:hAnsi="Arial" w:cs="Arial"/>
          <w:sz w:val="22"/>
          <w:szCs w:val="22"/>
        </w:rPr>
        <w:t>le</w:t>
      </w:r>
      <w:r w:rsidR="002E464D">
        <w:rPr>
          <w:rFonts w:ascii="Arial" w:hAnsi="Arial" w:cs="Arial"/>
          <w:sz w:val="22"/>
          <w:szCs w:val="22"/>
        </w:rPr>
        <w:t xml:space="preserve"> est le projet « La musique grecque </w:t>
      </w:r>
      <w:r w:rsidR="00862425">
        <w:rPr>
          <w:rFonts w:ascii="Arial" w:hAnsi="Arial" w:cs="Arial"/>
          <w:sz w:val="22"/>
          <w:szCs w:val="22"/>
        </w:rPr>
        <w:t>à travers</w:t>
      </w:r>
      <w:r w:rsidR="002E464D">
        <w:rPr>
          <w:rFonts w:ascii="Arial" w:hAnsi="Arial" w:cs="Arial"/>
          <w:sz w:val="22"/>
          <w:szCs w:val="22"/>
        </w:rPr>
        <w:t xml:space="preserve"> le théâtre d’ombres », conçu </w:t>
      </w:r>
      <w:r w:rsidR="002751DB">
        <w:rPr>
          <w:rFonts w:ascii="Arial" w:hAnsi="Arial" w:cs="Arial"/>
          <w:sz w:val="22"/>
          <w:szCs w:val="22"/>
        </w:rPr>
        <w:t xml:space="preserve">par la Direction des BCM&amp;PCI, </w:t>
      </w:r>
      <w:r w:rsidR="002E464D">
        <w:rPr>
          <w:rFonts w:ascii="Arial" w:hAnsi="Arial" w:cs="Arial"/>
          <w:sz w:val="22"/>
          <w:szCs w:val="22"/>
        </w:rPr>
        <w:t>le Musée d’</w:t>
      </w:r>
      <w:r w:rsidR="00F452BF">
        <w:rPr>
          <w:rFonts w:ascii="Arial" w:hAnsi="Arial" w:cs="Arial"/>
          <w:sz w:val="22"/>
          <w:szCs w:val="22"/>
        </w:rPr>
        <w:t>art populaire grec et le</w:t>
      </w:r>
      <w:r w:rsidR="002E464D">
        <w:rPr>
          <w:rFonts w:ascii="Arial" w:hAnsi="Arial" w:cs="Arial"/>
          <w:sz w:val="22"/>
          <w:szCs w:val="22"/>
        </w:rPr>
        <w:t xml:space="preserve"> </w:t>
      </w:r>
      <w:r w:rsidR="00F452BF">
        <w:rPr>
          <w:rFonts w:ascii="Arial" w:hAnsi="Arial" w:cs="Arial"/>
          <w:sz w:val="22"/>
          <w:szCs w:val="22"/>
        </w:rPr>
        <w:t xml:space="preserve">Musée </w:t>
      </w:r>
      <w:r w:rsidR="002E464D">
        <w:rPr>
          <w:rFonts w:ascii="Arial" w:hAnsi="Arial" w:cs="Arial"/>
          <w:sz w:val="22"/>
          <w:szCs w:val="22"/>
        </w:rPr>
        <w:t>des instruments de musique populaire</w:t>
      </w:r>
      <w:r w:rsidR="00F452BF">
        <w:rPr>
          <w:rFonts w:ascii="Arial" w:hAnsi="Arial" w:cs="Arial"/>
          <w:sz w:val="22"/>
          <w:szCs w:val="22"/>
        </w:rPr>
        <w:t xml:space="preserve"> grecque</w:t>
      </w:r>
      <w:r w:rsidR="002E464D">
        <w:rPr>
          <w:rFonts w:ascii="Arial" w:hAnsi="Arial" w:cs="Arial"/>
          <w:sz w:val="22"/>
          <w:szCs w:val="22"/>
        </w:rPr>
        <w:t xml:space="preserve">, </w:t>
      </w:r>
      <w:r w:rsidR="002E464D" w:rsidRPr="008F4FA7">
        <w:rPr>
          <w:rFonts w:ascii="Arial" w:hAnsi="Arial" w:cs="Arial"/>
          <w:sz w:val="22"/>
          <w:szCs w:val="22"/>
        </w:rPr>
        <w:t xml:space="preserve">aux </w:t>
      </w:r>
      <w:r w:rsidR="008F4FA7" w:rsidRPr="00D4732D">
        <w:rPr>
          <w:rFonts w:ascii="Arial" w:hAnsi="Arial" w:cs="Arial"/>
          <w:sz w:val="22"/>
          <w:szCs w:val="22"/>
        </w:rPr>
        <w:t>côtés</w:t>
      </w:r>
      <w:r w:rsidR="002E464D" w:rsidRPr="008F4FA7">
        <w:rPr>
          <w:rFonts w:ascii="Arial" w:hAnsi="Arial" w:cs="Arial"/>
          <w:sz w:val="22"/>
          <w:szCs w:val="22"/>
        </w:rPr>
        <w:t xml:space="preserve"> d’un</w:t>
      </w:r>
      <w:r w:rsidR="002E464D">
        <w:rPr>
          <w:rFonts w:ascii="Arial" w:hAnsi="Arial" w:cs="Arial"/>
          <w:sz w:val="22"/>
          <w:szCs w:val="22"/>
        </w:rPr>
        <w:t xml:space="preserve"> marionnettiste, et destiné aux écoliers entre 5 et 12 ans. </w:t>
      </w:r>
      <w:r w:rsidR="0029228C">
        <w:rPr>
          <w:rFonts w:ascii="Arial" w:hAnsi="Arial" w:cs="Arial"/>
          <w:sz w:val="22"/>
          <w:szCs w:val="22"/>
        </w:rPr>
        <w:t>La Direction des BCM&amp;PCI</w:t>
      </w:r>
      <w:r w:rsidR="00F452BF">
        <w:rPr>
          <w:rFonts w:ascii="Arial" w:hAnsi="Arial" w:cs="Arial"/>
          <w:sz w:val="22"/>
          <w:szCs w:val="22"/>
        </w:rPr>
        <w:t xml:space="preserve"> prévoit de collaborer avec le </w:t>
      </w:r>
      <w:r w:rsidR="0029228C">
        <w:rPr>
          <w:rFonts w:ascii="Arial" w:hAnsi="Arial" w:cs="Arial"/>
          <w:sz w:val="22"/>
          <w:szCs w:val="22"/>
        </w:rPr>
        <w:t xml:space="preserve">Bureau de l’UNESCO à Venise et le Centre pour la </w:t>
      </w:r>
      <w:r w:rsidR="0029228C" w:rsidRPr="0029228C">
        <w:rPr>
          <w:rFonts w:ascii="Arial" w:hAnsi="Arial" w:cs="Arial"/>
          <w:sz w:val="22"/>
          <w:szCs w:val="22"/>
        </w:rPr>
        <w:t>sauvegarde</w:t>
      </w:r>
      <w:r w:rsidR="0029228C">
        <w:rPr>
          <w:rFonts w:ascii="Arial" w:hAnsi="Arial" w:cs="Arial"/>
          <w:sz w:val="22"/>
          <w:szCs w:val="22"/>
        </w:rPr>
        <w:t xml:space="preserve"> du patrimoine culturel immatériel en Europe du Sud-Est (un centre de catégorie 2 basé à Sofia, Bulgarie) afin d’organiser des ateliers de renforcement des capacités pour les détenteurs et les communautés locales.</w:t>
      </w:r>
    </w:p>
    <w:p w14:paraId="0186D15C" w14:textId="4A51896D" w:rsidR="0029228C" w:rsidRPr="00F465C2" w:rsidRDefault="0029228C" w:rsidP="002E464D">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Les </w:t>
      </w:r>
      <w:r w:rsidRPr="007D7D69">
        <w:rPr>
          <w:rFonts w:ascii="Arial" w:hAnsi="Arial" w:cs="Arial"/>
          <w:b/>
          <w:sz w:val="22"/>
          <w:szCs w:val="22"/>
        </w:rPr>
        <w:t>moyens de transmission non formelle des connaissances</w:t>
      </w:r>
      <w:r>
        <w:rPr>
          <w:rFonts w:ascii="Arial" w:hAnsi="Arial" w:cs="Arial"/>
          <w:sz w:val="22"/>
          <w:szCs w:val="22"/>
        </w:rPr>
        <w:t xml:space="preserve"> sont étroitement liés aux structures sociales et plusieurs associations culturelles</w:t>
      </w:r>
      <w:r w:rsidR="002751DB">
        <w:rPr>
          <w:rFonts w:ascii="Arial" w:hAnsi="Arial" w:cs="Arial"/>
          <w:sz w:val="22"/>
          <w:szCs w:val="22"/>
        </w:rPr>
        <w:t xml:space="preserve"> entretiennent</w:t>
      </w:r>
      <w:r w:rsidR="007D7D69">
        <w:rPr>
          <w:rFonts w:ascii="Arial" w:hAnsi="Arial" w:cs="Arial"/>
          <w:sz w:val="22"/>
          <w:szCs w:val="22"/>
        </w:rPr>
        <w:t xml:space="preserve"> les systèmes </w:t>
      </w:r>
      <w:r w:rsidR="007D7D69" w:rsidRPr="007D7D69">
        <w:rPr>
          <w:rFonts w:ascii="Arial" w:hAnsi="Arial" w:cs="Arial"/>
          <w:sz w:val="22"/>
          <w:szCs w:val="22"/>
        </w:rPr>
        <w:t>traditionnels</w:t>
      </w:r>
      <w:r w:rsidR="007D7D69">
        <w:rPr>
          <w:rFonts w:ascii="Arial" w:hAnsi="Arial" w:cs="Arial"/>
          <w:sz w:val="22"/>
          <w:szCs w:val="22"/>
        </w:rPr>
        <w:t xml:space="preserve"> de transmission dans les domaines de la musique, la dan</w:t>
      </w:r>
      <w:r w:rsidR="002751DB">
        <w:rPr>
          <w:rFonts w:ascii="Arial" w:hAnsi="Arial" w:cs="Arial"/>
          <w:sz w:val="22"/>
          <w:szCs w:val="22"/>
        </w:rPr>
        <w:t>se, la poterie et la broderie et</w:t>
      </w:r>
      <w:r w:rsidR="007D7D69">
        <w:rPr>
          <w:rFonts w:ascii="Arial" w:hAnsi="Arial" w:cs="Arial"/>
          <w:sz w:val="22"/>
          <w:szCs w:val="22"/>
        </w:rPr>
        <w:t xml:space="preserve"> pour d’autres éléments. L’</w:t>
      </w:r>
      <w:r w:rsidR="007D7D69" w:rsidRPr="007D7D69">
        <w:rPr>
          <w:rFonts w:ascii="Arial" w:hAnsi="Arial" w:cs="Arial"/>
          <w:sz w:val="22"/>
          <w:szCs w:val="22"/>
        </w:rPr>
        <w:t>éducation</w:t>
      </w:r>
      <w:r w:rsidR="007D7D69">
        <w:rPr>
          <w:rFonts w:ascii="Arial" w:hAnsi="Arial" w:cs="Arial"/>
          <w:sz w:val="22"/>
          <w:szCs w:val="22"/>
        </w:rPr>
        <w:t xml:space="preserve"> à la protection des espaces naturels et des lieux de mémoire nécessaires à l’expression du patrimoine culturel immatériel comprend des travaux sur les bosquets sacrés de l’Épire, travaux dans lesquels sont étudiées les valeurs de ces sites pour les populations locales et la </w:t>
      </w:r>
      <w:r w:rsidR="007D7D69" w:rsidRPr="007D7D69">
        <w:rPr>
          <w:rFonts w:ascii="Arial" w:hAnsi="Arial" w:cs="Arial"/>
          <w:sz w:val="22"/>
          <w:szCs w:val="22"/>
        </w:rPr>
        <w:t>biodiversité</w:t>
      </w:r>
      <w:r w:rsidR="00F465C2">
        <w:rPr>
          <w:rFonts w:ascii="Arial" w:hAnsi="Arial" w:cs="Arial"/>
          <w:sz w:val="22"/>
          <w:szCs w:val="22"/>
        </w:rPr>
        <w:t>.</w:t>
      </w:r>
    </w:p>
    <w:p w14:paraId="1F9A9752" w14:textId="398A36BA" w:rsidR="007D7D69" w:rsidRPr="00001995" w:rsidRDefault="007D7D69" w:rsidP="00745AFF">
      <w:pPr>
        <w:autoSpaceDE w:val="0"/>
        <w:autoSpaceDN w:val="0"/>
        <w:adjustRightInd w:val="0"/>
        <w:spacing w:after="120"/>
        <w:ind w:left="567"/>
        <w:jc w:val="both"/>
        <w:rPr>
          <w:rFonts w:ascii="Arial" w:eastAsia="Malgun Gothic" w:hAnsi="Arial" w:cs="Arial"/>
          <w:sz w:val="22"/>
          <w:szCs w:val="22"/>
          <w:lang w:eastAsia="ko-KR"/>
        </w:rPr>
      </w:pPr>
      <w:r w:rsidRPr="007D7D69">
        <w:rPr>
          <w:rFonts w:ascii="Arial" w:hAnsi="Arial" w:cs="Arial"/>
          <w:sz w:val="22"/>
          <w:szCs w:val="22"/>
        </w:rPr>
        <w:t>S’agissant</w:t>
      </w:r>
      <w:r>
        <w:rPr>
          <w:rFonts w:ascii="Arial" w:hAnsi="Arial" w:cs="Arial"/>
          <w:sz w:val="22"/>
          <w:szCs w:val="22"/>
        </w:rPr>
        <w:t xml:space="preserve"> de</w:t>
      </w:r>
      <w:r w:rsidR="00915781">
        <w:rPr>
          <w:rFonts w:ascii="Arial" w:hAnsi="Arial" w:cs="Arial"/>
          <w:sz w:val="22"/>
          <w:szCs w:val="22"/>
        </w:rPr>
        <w:t xml:space="preserve"> la</w:t>
      </w:r>
      <w:r>
        <w:rPr>
          <w:rFonts w:ascii="Arial" w:hAnsi="Arial" w:cs="Arial"/>
          <w:sz w:val="22"/>
          <w:szCs w:val="22"/>
        </w:rPr>
        <w:t xml:space="preserve"> </w:t>
      </w:r>
      <w:r w:rsidRPr="007D7D69">
        <w:rPr>
          <w:rFonts w:ascii="Arial" w:hAnsi="Arial" w:cs="Arial"/>
          <w:b/>
          <w:sz w:val="22"/>
          <w:szCs w:val="22"/>
        </w:rPr>
        <w:t>coopération bilatérale, sous-régionale, régionale et internationale</w:t>
      </w:r>
      <w:r>
        <w:rPr>
          <w:rFonts w:ascii="Arial" w:hAnsi="Arial" w:cs="Arial"/>
          <w:sz w:val="22"/>
          <w:szCs w:val="22"/>
        </w:rPr>
        <w:t xml:space="preserve">, on trouve </w:t>
      </w:r>
      <w:r w:rsidR="00915781">
        <w:rPr>
          <w:rFonts w:ascii="Arial" w:hAnsi="Arial" w:cs="Arial"/>
          <w:sz w:val="22"/>
          <w:szCs w:val="22"/>
        </w:rPr>
        <w:t xml:space="preserve">sur le site web consacré à la diète méditerranéenne </w:t>
      </w:r>
      <w:r>
        <w:rPr>
          <w:rFonts w:ascii="Arial" w:hAnsi="Arial" w:cs="Arial"/>
          <w:sz w:val="22"/>
          <w:szCs w:val="22"/>
        </w:rPr>
        <w:t xml:space="preserve">de la </w:t>
      </w:r>
      <w:r w:rsidRPr="007D7D69">
        <w:rPr>
          <w:rFonts w:ascii="Arial" w:hAnsi="Arial" w:cs="Arial"/>
          <w:sz w:val="22"/>
          <w:szCs w:val="22"/>
        </w:rPr>
        <w:t>documentation</w:t>
      </w:r>
      <w:r w:rsidR="00915781">
        <w:rPr>
          <w:rFonts w:ascii="Arial" w:hAnsi="Arial" w:cs="Arial"/>
          <w:sz w:val="22"/>
          <w:szCs w:val="22"/>
        </w:rPr>
        <w:t xml:space="preserve"> sur c</w:t>
      </w:r>
      <w:r>
        <w:rPr>
          <w:rFonts w:ascii="Arial" w:hAnsi="Arial" w:cs="Arial"/>
          <w:sz w:val="22"/>
          <w:szCs w:val="22"/>
        </w:rPr>
        <w:t>e patrimoine culturel immatériel</w:t>
      </w:r>
      <w:r w:rsidR="00915781">
        <w:rPr>
          <w:rFonts w:ascii="Arial" w:hAnsi="Arial" w:cs="Arial"/>
          <w:sz w:val="22"/>
          <w:szCs w:val="22"/>
        </w:rPr>
        <w:t xml:space="preserve"> partagé, des informations y sont </w:t>
      </w:r>
      <w:r w:rsidR="00915781" w:rsidRPr="00915781">
        <w:rPr>
          <w:rFonts w:ascii="Arial" w:hAnsi="Arial" w:cs="Arial"/>
          <w:sz w:val="22"/>
          <w:szCs w:val="22"/>
        </w:rPr>
        <w:t>régulièrement</w:t>
      </w:r>
      <w:r w:rsidR="00915781">
        <w:rPr>
          <w:rFonts w:ascii="Arial" w:hAnsi="Arial" w:cs="Arial"/>
          <w:sz w:val="22"/>
          <w:szCs w:val="22"/>
        </w:rPr>
        <w:t xml:space="preserve"> mises en ligne. La Grèce participe </w:t>
      </w:r>
      <w:r w:rsidR="00915781" w:rsidRPr="00915781">
        <w:rPr>
          <w:rFonts w:ascii="Arial" w:hAnsi="Arial" w:cs="Arial"/>
          <w:sz w:val="22"/>
          <w:szCs w:val="22"/>
        </w:rPr>
        <w:t>également</w:t>
      </w:r>
      <w:r w:rsidR="00915781">
        <w:rPr>
          <w:rFonts w:ascii="Arial" w:hAnsi="Arial" w:cs="Arial"/>
          <w:sz w:val="22"/>
          <w:szCs w:val="22"/>
        </w:rPr>
        <w:t xml:space="preserve"> à la </w:t>
      </w:r>
      <w:r w:rsidR="00915781" w:rsidRPr="00915781">
        <w:rPr>
          <w:rFonts w:ascii="Arial" w:hAnsi="Arial" w:cs="Arial"/>
          <w:sz w:val="22"/>
          <w:szCs w:val="22"/>
        </w:rPr>
        <w:t>coopération</w:t>
      </w:r>
      <w:r w:rsidR="00915781">
        <w:rPr>
          <w:rFonts w:ascii="Arial" w:hAnsi="Arial" w:cs="Arial"/>
          <w:sz w:val="22"/>
          <w:szCs w:val="22"/>
        </w:rPr>
        <w:t xml:space="preserve"> régionale </w:t>
      </w:r>
      <w:r w:rsidR="003673C7">
        <w:rPr>
          <w:rFonts w:ascii="Arial" w:hAnsi="Arial" w:cs="Arial"/>
          <w:sz w:val="22"/>
          <w:szCs w:val="22"/>
        </w:rPr>
        <w:t xml:space="preserve">par l’entremise du </w:t>
      </w:r>
      <w:r w:rsidR="00915781">
        <w:rPr>
          <w:rFonts w:ascii="Arial" w:hAnsi="Arial" w:cs="Arial"/>
          <w:sz w:val="22"/>
          <w:szCs w:val="22"/>
        </w:rPr>
        <w:t>centre de catégorie 2 de</w:t>
      </w:r>
      <w:r w:rsidR="003673C7">
        <w:rPr>
          <w:rFonts w:ascii="Arial" w:hAnsi="Arial" w:cs="Arial"/>
          <w:sz w:val="22"/>
          <w:szCs w:val="22"/>
        </w:rPr>
        <w:t xml:space="preserve"> Sofia et du</w:t>
      </w:r>
      <w:r w:rsidR="00915781">
        <w:rPr>
          <w:rFonts w:ascii="Arial" w:hAnsi="Arial" w:cs="Arial"/>
          <w:sz w:val="22"/>
          <w:szCs w:val="22"/>
        </w:rPr>
        <w:t xml:space="preserve"> Réseau d’experts de l’Europe du Sud-Est sur le patrimoine culturel immatériel (</w:t>
      </w:r>
      <w:r w:rsidR="002F2957">
        <w:rPr>
          <w:rFonts w:ascii="Arial" w:hAnsi="Arial" w:cs="Arial"/>
          <w:sz w:val="22"/>
          <w:szCs w:val="22"/>
        </w:rPr>
        <w:t xml:space="preserve">mis en place </w:t>
      </w:r>
      <w:r w:rsidR="00915781">
        <w:rPr>
          <w:rFonts w:ascii="Arial" w:hAnsi="Arial" w:cs="Arial"/>
          <w:sz w:val="22"/>
          <w:szCs w:val="22"/>
        </w:rPr>
        <w:t xml:space="preserve">par le centre de catégorie 2 de Sofia et le Bureau de l’UNESCO de Venise). Les </w:t>
      </w:r>
      <w:r w:rsidR="003673C7">
        <w:rPr>
          <w:rFonts w:ascii="Arial" w:hAnsi="Arial" w:cs="Arial"/>
          <w:sz w:val="22"/>
          <w:szCs w:val="22"/>
        </w:rPr>
        <w:t>réunions de ce réseau ont eu un r</w:t>
      </w:r>
      <w:r w:rsidR="002F2957">
        <w:rPr>
          <w:rFonts w:ascii="Arial" w:hAnsi="Arial" w:cs="Arial"/>
          <w:sz w:val="22"/>
          <w:szCs w:val="22"/>
        </w:rPr>
        <w:t xml:space="preserve">ôle essentiel dans la </w:t>
      </w:r>
      <w:r w:rsidR="002F2957" w:rsidRPr="002F2957">
        <w:rPr>
          <w:rFonts w:ascii="Arial" w:hAnsi="Arial" w:cs="Arial"/>
          <w:sz w:val="22"/>
          <w:szCs w:val="22"/>
        </w:rPr>
        <w:t>participation</w:t>
      </w:r>
      <w:r w:rsidR="003673C7">
        <w:rPr>
          <w:rFonts w:ascii="Arial" w:hAnsi="Arial" w:cs="Arial"/>
          <w:sz w:val="22"/>
          <w:szCs w:val="22"/>
        </w:rPr>
        <w:t xml:space="preserve"> des experts grecs à la mise en œuvre de la </w:t>
      </w:r>
      <w:r w:rsidR="003673C7" w:rsidRPr="003673C7">
        <w:rPr>
          <w:rFonts w:ascii="Arial" w:hAnsi="Arial" w:cs="Arial"/>
          <w:sz w:val="22"/>
          <w:szCs w:val="22"/>
        </w:rPr>
        <w:t>Convention</w:t>
      </w:r>
      <w:r w:rsidR="003673C7">
        <w:rPr>
          <w:rFonts w:ascii="Arial" w:hAnsi="Arial" w:cs="Arial"/>
          <w:sz w:val="22"/>
          <w:szCs w:val="22"/>
        </w:rPr>
        <w:t xml:space="preserve"> et </w:t>
      </w:r>
      <w:r w:rsidR="002F2957">
        <w:rPr>
          <w:rFonts w:ascii="Arial" w:hAnsi="Arial" w:cs="Arial"/>
          <w:sz w:val="22"/>
          <w:szCs w:val="22"/>
        </w:rPr>
        <w:t xml:space="preserve">elles </w:t>
      </w:r>
      <w:r w:rsidR="003673C7">
        <w:rPr>
          <w:rFonts w:ascii="Arial" w:hAnsi="Arial" w:cs="Arial"/>
          <w:sz w:val="22"/>
          <w:szCs w:val="22"/>
        </w:rPr>
        <w:t xml:space="preserve">constituent </w:t>
      </w:r>
      <w:r w:rsidR="002F2957">
        <w:rPr>
          <w:rFonts w:ascii="Arial" w:hAnsi="Arial" w:cs="Arial"/>
          <w:sz w:val="22"/>
          <w:szCs w:val="22"/>
        </w:rPr>
        <w:t>un important forum d’échange d’</w:t>
      </w:r>
      <w:r w:rsidR="002F2957" w:rsidRPr="002F2957">
        <w:rPr>
          <w:rFonts w:ascii="Arial" w:hAnsi="Arial" w:cs="Arial"/>
          <w:sz w:val="22"/>
          <w:szCs w:val="22"/>
        </w:rPr>
        <w:t>informations</w:t>
      </w:r>
      <w:r w:rsidR="002F2957">
        <w:rPr>
          <w:rFonts w:ascii="Arial" w:hAnsi="Arial" w:cs="Arial"/>
          <w:sz w:val="22"/>
          <w:szCs w:val="22"/>
        </w:rPr>
        <w:t xml:space="preserve"> et de meilleures pratiques. La Grèce a </w:t>
      </w:r>
      <w:r w:rsidR="002F2957" w:rsidRPr="002F2957">
        <w:rPr>
          <w:rFonts w:ascii="Arial" w:hAnsi="Arial" w:cs="Arial"/>
          <w:sz w:val="22"/>
          <w:szCs w:val="22"/>
        </w:rPr>
        <w:t>également</w:t>
      </w:r>
      <w:r w:rsidR="002F2957">
        <w:rPr>
          <w:rFonts w:ascii="Arial" w:hAnsi="Arial" w:cs="Arial"/>
          <w:sz w:val="22"/>
          <w:szCs w:val="22"/>
        </w:rPr>
        <w:t xml:space="preserve"> collaboré avec la </w:t>
      </w:r>
      <w:r w:rsidR="002F2957" w:rsidRPr="002F2957">
        <w:rPr>
          <w:rFonts w:ascii="Arial" w:hAnsi="Arial" w:cs="Arial"/>
          <w:sz w:val="22"/>
          <w:szCs w:val="22"/>
        </w:rPr>
        <w:t>République</w:t>
      </w:r>
      <w:r w:rsidR="002F2957">
        <w:rPr>
          <w:rFonts w:ascii="Arial" w:hAnsi="Arial" w:cs="Arial"/>
          <w:sz w:val="22"/>
          <w:szCs w:val="22"/>
        </w:rPr>
        <w:t xml:space="preserve"> de Chypre et la Société </w:t>
      </w:r>
      <w:r w:rsidR="002F2957" w:rsidRPr="002F2957">
        <w:rPr>
          <w:rFonts w:ascii="Arial" w:hAnsi="Arial" w:cs="Arial"/>
          <w:sz w:val="22"/>
          <w:szCs w:val="22"/>
        </w:rPr>
        <w:t>scientifique</w:t>
      </w:r>
      <w:r w:rsidR="002F2957">
        <w:rPr>
          <w:rFonts w:ascii="Arial" w:hAnsi="Arial" w:cs="Arial"/>
          <w:sz w:val="22"/>
          <w:szCs w:val="22"/>
        </w:rPr>
        <w:t xml:space="preserve"> internationale pour </w:t>
      </w:r>
      <w:r w:rsidR="002F2957" w:rsidRPr="008F4FA7">
        <w:rPr>
          <w:rFonts w:ascii="Arial" w:hAnsi="Arial" w:cs="Arial"/>
          <w:sz w:val="22"/>
          <w:szCs w:val="22"/>
        </w:rPr>
        <w:t>l’étude pluridisciplinaire de la pierre sèche afin créer un réseau international d’experts dan</w:t>
      </w:r>
      <w:r w:rsidR="002F2957">
        <w:rPr>
          <w:rFonts w:ascii="Arial" w:hAnsi="Arial" w:cs="Arial"/>
          <w:sz w:val="22"/>
          <w:szCs w:val="22"/>
        </w:rPr>
        <w:t xml:space="preserve">s le domaine de la </w:t>
      </w:r>
      <w:r w:rsidR="002F2957" w:rsidRPr="002F2957">
        <w:rPr>
          <w:rFonts w:ascii="Arial" w:hAnsi="Arial" w:cs="Arial"/>
          <w:sz w:val="22"/>
          <w:szCs w:val="22"/>
        </w:rPr>
        <w:t>construction</w:t>
      </w:r>
      <w:r w:rsidR="002F2957">
        <w:rPr>
          <w:rFonts w:ascii="Arial" w:hAnsi="Arial" w:cs="Arial"/>
          <w:sz w:val="22"/>
          <w:szCs w:val="22"/>
        </w:rPr>
        <w:t xml:space="preserve"> en pierre sèche et dans l’art de la </w:t>
      </w:r>
      <w:r w:rsidR="002F2957" w:rsidRPr="002F2957">
        <w:rPr>
          <w:rFonts w:ascii="Arial" w:hAnsi="Arial" w:cs="Arial"/>
          <w:sz w:val="22"/>
          <w:szCs w:val="22"/>
        </w:rPr>
        <w:t>construction</w:t>
      </w:r>
      <w:r w:rsidR="00001995">
        <w:rPr>
          <w:rFonts w:ascii="Arial" w:hAnsi="Arial" w:cs="Arial"/>
          <w:sz w:val="22"/>
          <w:szCs w:val="22"/>
        </w:rPr>
        <w:t xml:space="preserve"> de murs en pierre sèche.</w:t>
      </w:r>
    </w:p>
    <w:p w14:paraId="16A7796D" w14:textId="29E16027" w:rsidR="00343833" w:rsidRPr="00001995" w:rsidRDefault="002F2957" w:rsidP="00343833">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La Grèce a </w:t>
      </w:r>
      <w:r w:rsidRPr="00D4732D">
        <w:rPr>
          <w:rFonts w:ascii="Arial" w:hAnsi="Arial" w:cs="Arial"/>
          <w:b/>
          <w:sz w:val="22"/>
          <w:szCs w:val="22"/>
        </w:rPr>
        <w:t>deux</w:t>
      </w:r>
      <w:r>
        <w:rPr>
          <w:rFonts w:ascii="Arial" w:hAnsi="Arial" w:cs="Arial"/>
          <w:sz w:val="22"/>
          <w:szCs w:val="22"/>
        </w:rPr>
        <w:t xml:space="preserve"> </w:t>
      </w:r>
      <w:r w:rsidRPr="001A262E">
        <w:rPr>
          <w:rFonts w:ascii="Arial" w:hAnsi="Arial" w:cs="Arial"/>
          <w:b/>
          <w:sz w:val="22"/>
          <w:szCs w:val="22"/>
        </w:rPr>
        <w:t>éléments inscrits sur la Liste représentative</w:t>
      </w:r>
      <w:r>
        <w:rPr>
          <w:rFonts w:ascii="Arial" w:hAnsi="Arial" w:cs="Arial"/>
          <w:sz w:val="22"/>
          <w:szCs w:val="22"/>
        </w:rPr>
        <w:t xml:space="preserve">. </w:t>
      </w:r>
      <w:r w:rsidRPr="002F2957">
        <w:rPr>
          <w:rFonts w:ascii="Arial" w:hAnsi="Arial" w:cs="Arial"/>
          <w:i/>
          <w:sz w:val="22"/>
          <w:szCs w:val="22"/>
        </w:rPr>
        <w:t>La diète méditerranéenne</w:t>
      </w:r>
      <w:r w:rsidR="007E1359">
        <w:rPr>
          <w:rFonts w:ascii="Arial" w:hAnsi="Arial" w:cs="Arial"/>
          <w:sz w:val="22"/>
          <w:szCs w:val="22"/>
        </w:rPr>
        <w:t xml:space="preserve"> est un </w:t>
      </w:r>
      <w:r w:rsidR="007E1359" w:rsidRPr="008F4FA7">
        <w:rPr>
          <w:rFonts w:ascii="Arial" w:hAnsi="Arial" w:cs="Arial"/>
          <w:sz w:val="22"/>
          <w:szCs w:val="22"/>
        </w:rPr>
        <w:t xml:space="preserve">élément </w:t>
      </w:r>
      <w:r w:rsidR="00B82585" w:rsidRPr="00D4732D">
        <w:rPr>
          <w:rFonts w:ascii="Arial" w:hAnsi="Arial" w:cs="Arial"/>
          <w:sz w:val="22"/>
          <w:szCs w:val="22"/>
        </w:rPr>
        <w:t>multi</w:t>
      </w:r>
      <w:r w:rsidR="00B82585" w:rsidRPr="008F4FA7">
        <w:rPr>
          <w:rFonts w:ascii="Arial" w:hAnsi="Arial" w:cs="Arial"/>
          <w:sz w:val="22"/>
          <w:szCs w:val="22"/>
        </w:rPr>
        <w:t xml:space="preserve">national </w:t>
      </w:r>
      <w:r w:rsidRPr="008F4FA7">
        <w:rPr>
          <w:rFonts w:ascii="Arial" w:hAnsi="Arial" w:cs="Arial"/>
          <w:sz w:val="22"/>
          <w:szCs w:val="22"/>
        </w:rPr>
        <w:t>(inscrit</w:t>
      </w:r>
      <w:r>
        <w:rPr>
          <w:rFonts w:ascii="Arial" w:hAnsi="Arial" w:cs="Arial"/>
          <w:sz w:val="22"/>
          <w:szCs w:val="22"/>
        </w:rPr>
        <w:t xml:space="preserve"> en 2013 avec Chypre, la Croatie, l’Espagne, l’Italie, le Maroc et le Portugal) qui est multidimensionnel</w:t>
      </w:r>
      <w:r w:rsidR="007E1359">
        <w:rPr>
          <w:rFonts w:ascii="Arial" w:hAnsi="Arial" w:cs="Arial"/>
          <w:sz w:val="22"/>
          <w:szCs w:val="22"/>
        </w:rPr>
        <w:t xml:space="preserve">, englobant non seulement la culture et la nutrition traditionnelles mais </w:t>
      </w:r>
      <w:r w:rsidR="007E1359" w:rsidRPr="007E1359">
        <w:rPr>
          <w:rFonts w:ascii="Arial" w:hAnsi="Arial" w:cs="Arial"/>
          <w:sz w:val="22"/>
          <w:szCs w:val="22"/>
        </w:rPr>
        <w:t>également</w:t>
      </w:r>
      <w:r w:rsidR="007E1359">
        <w:rPr>
          <w:rFonts w:ascii="Arial" w:hAnsi="Arial" w:cs="Arial"/>
          <w:sz w:val="22"/>
          <w:szCs w:val="22"/>
        </w:rPr>
        <w:t xml:space="preserve"> la philosophie, le symbolisme, les </w:t>
      </w:r>
      <w:r w:rsidR="007E1359" w:rsidRPr="007E1359">
        <w:rPr>
          <w:rFonts w:ascii="Arial" w:hAnsi="Arial" w:cs="Arial"/>
          <w:sz w:val="22"/>
          <w:szCs w:val="22"/>
        </w:rPr>
        <w:t>institutions</w:t>
      </w:r>
      <w:r w:rsidR="007E1359">
        <w:rPr>
          <w:rFonts w:ascii="Arial" w:hAnsi="Arial" w:cs="Arial"/>
          <w:sz w:val="22"/>
          <w:szCs w:val="22"/>
        </w:rPr>
        <w:t xml:space="preserve"> sociales, les coutumes locales et d’autres aspects culturels. Le rôle central joué par les femmes dans la pratique, la transmission et la </w:t>
      </w:r>
      <w:r w:rsidR="007E1359" w:rsidRPr="007E1359">
        <w:rPr>
          <w:rFonts w:ascii="Arial" w:hAnsi="Arial" w:cs="Arial"/>
          <w:sz w:val="22"/>
          <w:szCs w:val="22"/>
        </w:rPr>
        <w:t>sauvegarde</w:t>
      </w:r>
      <w:r w:rsidR="001A262E">
        <w:rPr>
          <w:rFonts w:ascii="Arial" w:hAnsi="Arial" w:cs="Arial"/>
          <w:sz w:val="22"/>
          <w:szCs w:val="22"/>
        </w:rPr>
        <w:t xml:space="preserve"> de cet élément est évident. S</w:t>
      </w:r>
      <w:r w:rsidR="007E1359">
        <w:rPr>
          <w:rFonts w:ascii="Arial" w:hAnsi="Arial" w:cs="Arial"/>
          <w:sz w:val="22"/>
          <w:szCs w:val="22"/>
        </w:rPr>
        <w:t xml:space="preserve">on </w:t>
      </w:r>
      <w:r w:rsidR="007E1359" w:rsidRPr="007E1359">
        <w:rPr>
          <w:rFonts w:ascii="Arial" w:hAnsi="Arial" w:cs="Arial"/>
          <w:sz w:val="22"/>
          <w:szCs w:val="22"/>
        </w:rPr>
        <w:t>inscription</w:t>
      </w:r>
      <w:r w:rsidR="007E1359">
        <w:rPr>
          <w:rFonts w:ascii="Arial" w:hAnsi="Arial" w:cs="Arial"/>
          <w:sz w:val="22"/>
          <w:szCs w:val="22"/>
        </w:rPr>
        <w:t xml:space="preserve"> </w:t>
      </w:r>
      <w:r w:rsidR="001A262E">
        <w:rPr>
          <w:rFonts w:ascii="Arial" w:hAnsi="Arial" w:cs="Arial"/>
          <w:sz w:val="22"/>
          <w:szCs w:val="22"/>
        </w:rPr>
        <w:t xml:space="preserve">a eu des </w:t>
      </w:r>
      <w:r w:rsidR="001A262E" w:rsidRPr="007E1359">
        <w:rPr>
          <w:rFonts w:ascii="Arial" w:hAnsi="Arial" w:cs="Arial"/>
          <w:sz w:val="22"/>
          <w:szCs w:val="22"/>
        </w:rPr>
        <w:t>conséquences</w:t>
      </w:r>
      <w:r w:rsidR="001A262E">
        <w:rPr>
          <w:rFonts w:ascii="Arial" w:hAnsi="Arial" w:cs="Arial"/>
          <w:sz w:val="22"/>
          <w:szCs w:val="22"/>
        </w:rPr>
        <w:t xml:space="preserve"> positives sur la diversité biologique et </w:t>
      </w:r>
      <w:r w:rsidR="007E1359">
        <w:rPr>
          <w:rFonts w:ascii="Arial" w:hAnsi="Arial" w:cs="Arial"/>
          <w:sz w:val="22"/>
          <w:szCs w:val="22"/>
        </w:rPr>
        <w:t>a permis de renforce</w:t>
      </w:r>
      <w:r w:rsidR="001A262E">
        <w:rPr>
          <w:rFonts w:ascii="Arial" w:hAnsi="Arial" w:cs="Arial"/>
          <w:sz w:val="22"/>
          <w:szCs w:val="22"/>
        </w:rPr>
        <w:t xml:space="preserve">r l’identité culturelle locale et de </w:t>
      </w:r>
      <w:r w:rsidR="007E1359">
        <w:rPr>
          <w:rFonts w:ascii="Arial" w:hAnsi="Arial" w:cs="Arial"/>
          <w:sz w:val="22"/>
          <w:szCs w:val="22"/>
        </w:rPr>
        <w:t xml:space="preserve">promouvoir le dialogue interculturel : l’association des communautés locales concernées est </w:t>
      </w:r>
      <w:r w:rsidR="007E1359" w:rsidRPr="007E1359">
        <w:rPr>
          <w:rFonts w:ascii="Arial" w:hAnsi="Arial" w:cs="Arial"/>
          <w:sz w:val="22"/>
          <w:szCs w:val="22"/>
        </w:rPr>
        <w:t>désormais</w:t>
      </w:r>
      <w:r w:rsidR="007E1359">
        <w:rPr>
          <w:rFonts w:ascii="Arial" w:hAnsi="Arial" w:cs="Arial"/>
          <w:sz w:val="22"/>
          <w:szCs w:val="22"/>
        </w:rPr>
        <w:t xml:space="preserve"> active au sein d’un rassemblement paneuropéen des communautés emblématiques de l’élément. La plus grande partie de la </w:t>
      </w:r>
      <w:r w:rsidR="007E1359" w:rsidRPr="007E1359">
        <w:rPr>
          <w:rFonts w:ascii="Arial" w:hAnsi="Arial" w:cs="Arial"/>
          <w:sz w:val="22"/>
          <w:szCs w:val="22"/>
        </w:rPr>
        <w:t>sauvegarde</w:t>
      </w:r>
      <w:r w:rsidR="007E1359">
        <w:rPr>
          <w:rFonts w:ascii="Arial" w:hAnsi="Arial" w:cs="Arial"/>
          <w:sz w:val="22"/>
          <w:szCs w:val="22"/>
        </w:rPr>
        <w:t xml:space="preserve"> se concentre sur l’</w:t>
      </w:r>
      <w:r w:rsidR="007E1359" w:rsidRPr="007E1359">
        <w:rPr>
          <w:rFonts w:ascii="Arial" w:hAnsi="Arial" w:cs="Arial"/>
          <w:sz w:val="22"/>
          <w:szCs w:val="22"/>
        </w:rPr>
        <w:t>éducation</w:t>
      </w:r>
      <w:r w:rsidR="007E1359">
        <w:rPr>
          <w:rFonts w:ascii="Arial" w:hAnsi="Arial" w:cs="Arial"/>
          <w:sz w:val="22"/>
          <w:szCs w:val="22"/>
        </w:rPr>
        <w:t xml:space="preserve"> (</w:t>
      </w:r>
      <w:r w:rsidR="007E1359" w:rsidRPr="007E1359">
        <w:rPr>
          <w:rFonts w:ascii="Arial" w:hAnsi="Arial" w:cs="Arial"/>
          <w:sz w:val="22"/>
          <w:szCs w:val="22"/>
          <w:lang w:eastAsia="en-US"/>
        </w:rPr>
        <w:t>en particulier</w:t>
      </w:r>
      <w:r w:rsidR="007E1359">
        <w:rPr>
          <w:rFonts w:ascii="Arial" w:hAnsi="Arial" w:cs="Arial"/>
          <w:sz w:val="22"/>
          <w:szCs w:val="22"/>
        </w:rPr>
        <w:t xml:space="preserve"> pour les enfants d’âge scolaire) et la promotion au moyen d’événements locaux. </w:t>
      </w:r>
      <w:r w:rsidR="007E1359" w:rsidRPr="007E1359">
        <w:rPr>
          <w:rFonts w:ascii="Arial" w:hAnsi="Arial" w:cs="Arial"/>
          <w:i/>
          <w:sz w:val="22"/>
          <w:szCs w:val="22"/>
        </w:rPr>
        <w:t>Le savoir-faire de la culture du mastiha à l’île de Chios</w:t>
      </w:r>
      <w:r w:rsidR="007E1359">
        <w:rPr>
          <w:rFonts w:ascii="Arial" w:hAnsi="Arial" w:cs="Arial"/>
          <w:sz w:val="22"/>
          <w:szCs w:val="22"/>
        </w:rPr>
        <w:t xml:space="preserve"> (inscrit en 2014) est un élément auquel participent </w:t>
      </w:r>
      <w:r w:rsidR="00343833">
        <w:rPr>
          <w:rFonts w:ascii="Arial" w:hAnsi="Arial" w:cs="Arial"/>
          <w:sz w:val="22"/>
          <w:szCs w:val="22"/>
        </w:rPr>
        <w:t xml:space="preserve">tous les sexes </w:t>
      </w:r>
      <w:r w:rsidR="007E1359">
        <w:rPr>
          <w:rFonts w:ascii="Arial" w:hAnsi="Arial" w:cs="Arial"/>
          <w:sz w:val="22"/>
          <w:szCs w:val="22"/>
        </w:rPr>
        <w:t xml:space="preserve">et tous les groupes </w:t>
      </w:r>
      <w:r w:rsidR="007E1359">
        <w:rPr>
          <w:rFonts w:ascii="Arial" w:hAnsi="Arial" w:cs="Arial"/>
          <w:sz w:val="22"/>
          <w:szCs w:val="22"/>
        </w:rPr>
        <w:lastRenderedPageBreak/>
        <w:t xml:space="preserve">d’âge, soit </w:t>
      </w:r>
      <w:r w:rsidR="001A262E">
        <w:rPr>
          <w:rFonts w:ascii="Arial" w:hAnsi="Arial" w:cs="Arial"/>
          <w:sz w:val="22"/>
          <w:szCs w:val="22"/>
        </w:rPr>
        <w:t xml:space="preserve">au sein du groupe familial soit au sein d’un groupe </w:t>
      </w:r>
      <w:r w:rsidR="00343833">
        <w:rPr>
          <w:rFonts w:ascii="Arial" w:hAnsi="Arial" w:cs="Arial"/>
          <w:sz w:val="22"/>
          <w:szCs w:val="22"/>
        </w:rPr>
        <w:t>de travail</w:t>
      </w:r>
      <w:r w:rsidR="001A262E">
        <w:rPr>
          <w:rFonts w:ascii="Arial" w:hAnsi="Arial" w:cs="Arial"/>
          <w:sz w:val="22"/>
          <w:szCs w:val="22"/>
        </w:rPr>
        <w:t>leurs</w:t>
      </w:r>
      <w:r w:rsidR="002751DB">
        <w:rPr>
          <w:rFonts w:ascii="Arial" w:hAnsi="Arial" w:cs="Arial"/>
          <w:sz w:val="22"/>
          <w:szCs w:val="22"/>
        </w:rPr>
        <w:t>,</w:t>
      </w:r>
      <w:r w:rsidR="002D47B3">
        <w:rPr>
          <w:rFonts w:ascii="Arial" w:hAnsi="Arial" w:cs="Arial"/>
          <w:sz w:val="22"/>
          <w:szCs w:val="22"/>
        </w:rPr>
        <w:t xml:space="preserve"> b</w:t>
      </w:r>
      <w:r w:rsidR="00343833">
        <w:rPr>
          <w:rFonts w:ascii="Arial" w:hAnsi="Arial" w:cs="Arial"/>
          <w:sz w:val="22"/>
          <w:szCs w:val="22"/>
        </w:rPr>
        <w:t>ien que cette pratique traditionnelle de production agricole soit désormais accomplie par des immigrants venus sur l’île de Chios et formés à cette tâche par les ainés détenteurs. L’Association des producteurs de mastiha agit en tant qu’intermédiaire entre les producteurs et le marché, et un comité non exclusif composé de cette association de producteurs et d’autres associations, des autorités régionales, de la m</w:t>
      </w:r>
      <w:r w:rsidR="00343833" w:rsidRPr="00343833">
        <w:rPr>
          <w:rFonts w:ascii="Arial" w:hAnsi="Arial" w:cs="Arial"/>
          <w:sz w:val="22"/>
          <w:szCs w:val="22"/>
        </w:rPr>
        <w:t>unicipalité</w:t>
      </w:r>
      <w:r w:rsidR="00343833">
        <w:rPr>
          <w:rFonts w:ascii="Arial" w:hAnsi="Arial" w:cs="Arial"/>
          <w:sz w:val="22"/>
          <w:szCs w:val="22"/>
        </w:rPr>
        <w:t xml:space="preserve">, d’une </w:t>
      </w:r>
      <w:r w:rsidR="00343833" w:rsidRPr="00343833">
        <w:rPr>
          <w:rFonts w:ascii="Arial" w:hAnsi="Arial" w:cs="Arial"/>
          <w:sz w:val="22"/>
          <w:szCs w:val="22"/>
        </w:rPr>
        <w:t>université</w:t>
      </w:r>
      <w:r w:rsidR="00343833">
        <w:rPr>
          <w:rFonts w:ascii="Arial" w:hAnsi="Arial" w:cs="Arial"/>
          <w:sz w:val="22"/>
          <w:szCs w:val="22"/>
        </w:rPr>
        <w:t xml:space="preserve">, </w:t>
      </w:r>
      <w:r w:rsidR="006F48DF">
        <w:rPr>
          <w:rFonts w:ascii="Arial" w:hAnsi="Arial" w:cs="Arial"/>
          <w:sz w:val="22"/>
          <w:szCs w:val="22"/>
        </w:rPr>
        <w:t>de la Fondation de la Banque du Pirée</w:t>
      </w:r>
      <w:r w:rsidR="00343833">
        <w:rPr>
          <w:rFonts w:ascii="Arial" w:hAnsi="Arial" w:cs="Arial"/>
          <w:sz w:val="22"/>
          <w:szCs w:val="22"/>
        </w:rPr>
        <w:t xml:space="preserve"> et d’autres </w:t>
      </w:r>
      <w:r w:rsidR="006F48DF">
        <w:rPr>
          <w:rFonts w:ascii="Arial" w:hAnsi="Arial" w:cs="Arial"/>
          <w:sz w:val="22"/>
          <w:szCs w:val="22"/>
        </w:rPr>
        <w:t xml:space="preserve">intervenants supervise la </w:t>
      </w:r>
      <w:r w:rsidR="006F48DF" w:rsidRPr="006F48DF">
        <w:rPr>
          <w:rFonts w:ascii="Arial" w:hAnsi="Arial" w:cs="Arial"/>
          <w:sz w:val="22"/>
          <w:szCs w:val="22"/>
        </w:rPr>
        <w:t>sauvegarde</w:t>
      </w:r>
      <w:r w:rsidR="006F48DF">
        <w:rPr>
          <w:rFonts w:ascii="Arial" w:hAnsi="Arial" w:cs="Arial"/>
          <w:sz w:val="22"/>
          <w:szCs w:val="22"/>
        </w:rPr>
        <w:t xml:space="preserve"> de l’élément. Parmi les mesures envisagées, on peut citer la création d’un Centre pour la </w:t>
      </w:r>
      <w:r w:rsidR="006F48DF" w:rsidRPr="006F48DF">
        <w:rPr>
          <w:rFonts w:ascii="Arial" w:hAnsi="Arial" w:cs="Arial"/>
          <w:sz w:val="22"/>
          <w:szCs w:val="22"/>
        </w:rPr>
        <w:t>sauvegarde</w:t>
      </w:r>
      <w:r w:rsidR="006F48DF">
        <w:rPr>
          <w:rFonts w:ascii="Arial" w:hAnsi="Arial" w:cs="Arial"/>
          <w:sz w:val="22"/>
          <w:szCs w:val="22"/>
        </w:rPr>
        <w:t xml:space="preserve"> du mastiha dans les musées locaux, des activités de </w:t>
      </w:r>
      <w:r w:rsidR="006F48DF" w:rsidRPr="006F48DF">
        <w:rPr>
          <w:rFonts w:ascii="Arial" w:hAnsi="Arial" w:cs="Arial"/>
          <w:sz w:val="22"/>
          <w:szCs w:val="22"/>
        </w:rPr>
        <w:t>recherche</w:t>
      </w:r>
      <w:r w:rsidR="006F48DF">
        <w:rPr>
          <w:rFonts w:ascii="Arial" w:hAnsi="Arial" w:cs="Arial"/>
          <w:sz w:val="22"/>
          <w:szCs w:val="22"/>
        </w:rPr>
        <w:t xml:space="preserve"> et des actions d’</w:t>
      </w:r>
      <w:r w:rsidR="006F48DF" w:rsidRPr="006F48DF">
        <w:rPr>
          <w:rFonts w:ascii="Arial" w:hAnsi="Arial" w:cs="Arial"/>
          <w:sz w:val="22"/>
          <w:szCs w:val="22"/>
        </w:rPr>
        <w:t>éducation</w:t>
      </w:r>
      <w:r w:rsidR="00001995">
        <w:rPr>
          <w:rFonts w:ascii="Arial" w:hAnsi="Arial" w:cs="Arial"/>
          <w:sz w:val="22"/>
          <w:szCs w:val="22"/>
        </w:rPr>
        <w:t xml:space="preserve"> et de promotion.</w:t>
      </w:r>
    </w:p>
    <w:p w14:paraId="145B03BE" w14:textId="77777777" w:rsidR="00745AFF" w:rsidRPr="002D47B3" w:rsidRDefault="00745AFF" w:rsidP="00745AFF">
      <w:pPr>
        <w:pStyle w:val="ListParagraph"/>
        <w:keepNext/>
        <w:pageBreakBefore/>
        <w:numPr>
          <w:ilvl w:val="3"/>
          <w:numId w:val="13"/>
        </w:numPr>
        <w:tabs>
          <w:tab w:val="left" w:pos="1134"/>
        </w:tabs>
        <w:autoSpaceDE w:val="0"/>
        <w:autoSpaceDN w:val="0"/>
        <w:adjustRightInd w:val="0"/>
        <w:spacing w:after="360"/>
        <w:ind w:left="1134" w:hanging="567"/>
        <w:rPr>
          <w:rFonts w:ascii="Arial" w:hAnsi="Arial" w:cs="Arial"/>
          <w:b/>
          <w:caps/>
          <w:sz w:val="22"/>
          <w:szCs w:val="22"/>
        </w:rPr>
      </w:pPr>
      <w:r w:rsidRPr="002D47B3">
        <w:rPr>
          <w:rFonts w:ascii="Arial" w:hAnsi="Arial" w:cs="Arial"/>
          <w:b/>
          <w:caps/>
          <w:sz w:val="22"/>
          <w:szCs w:val="22"/>
        </w:rPr>
        <w:lastRenderedPageBreak/>
        <w:t>PANAMA</w:t>
      </w:r>
    </w:p>
    <w:p w14:paraId="0B451A9E" w14:textId="1D770422" w:rsidR="002D47B3" w:rsidRPr="00001995" w:rsidRDefault="00191FEA"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Le Panama est devenu </w:t>
      </w:r>
      <w:r w:rsidRPr="00191FEA">
        <w:rPr>
          <w:rFonts w:ascii="Arial" w:hAnsi="Arial" w:cs="Arial"/>
          <w:sz w:val="22"/>
          <w:szCs w:val="22"/>
        </w:rPr>
        <w:t>État partie</w:t>
      </w:r>
      <w:r>
        <w:rPr>
          <w:rFonts w:ascii="Arial" w:hAnsi="Arial" w:cs="Arial"/>
          <w:sz w:val="22"/>
          <w:szCs w:val="22"/>
        </w:rPr>
        <w:t xml:space="preserve"> à la Convention de 2003 en 2004 et n’a, à ce jour, aucun élément inscrit sur aucune des listes. En ce qui concerne les organes compétents, le </w:t>
      </w:r>
      <w:r w:rsidRPr="00191FEA">
        <w:rPr>
          <w:rFonts w:ascii="Arial" w:hAnsi="Arial" w:cs="Arial"/>
          <w:sz w:val="22"/>
          <w:szCs w:val="22"/>
        </w:rPr>
        <w:t>Ministère</w:t>
      </w:r>
      <w:r>
        <w:rPr>
          <w:rFonts w:ascii="Arial" w:hAnsi="Arial" w:cs="Arial"/>
          <w:sz w:val="22"/>
          <w:szCs w:val="22"/>
        </w:rPr>
        <w:t xml:space="preserve"> du commerce et des industries (MCI) est le principal </w:t>
      </w:r>
      <w:r w:rsidRPr="008F4FA7">
        <w:rPr>
          <w:rFonts w:ascii="Arial" w:hAnsi="Arial" w:cs="Arial"/>
          <w:sz w:val="22"/>
          <w:szCs w:val="22"/>
        </w:rPr>
        <w:t>organe. Il agit dans le cadre de son Projet de sauvegarde du patrimoine culturel immatériel (dit « Projet de sauvegarde », qui dépend de la Direction générale de la propriété intellectuelle</w:t>
      </w:r>
      <w:r w:rsidR="002751DB" w:rsidRPr="008F4FA7">
        <w:rPr>
          <w:rFonts w:ascii="Arial" w:hAnsi="Arial" w:cs="Arial"/>
          <w:sz w:val="22"/>
          <w:szCs w:val="22"/>
        </w:rPr>
        <w:t>). Le Vice-ministère</w:t>
      </w:r>
      <w:r w:rsidRPr="008F4FA7">
        <w:rPr>
          <w:rFonts w:ascii="Arial" w:hAnsi="Arial" w:cs="Arial"/>
          <w:sz w:val="22"/>
          <w:szCs w:val="22"/>
        </w:rPr>
        <w:t xml:space="preserve"> des affaires autochtones</w:t>
      </w:r>
      <w:r w:rsidR="006F0D55" w:rsidRPr="008F4FA7">
        <w:rPr>
          <w:rFonts w:ascii="Arial" w:hAnsi="Arial" w:cs="Arial"/>
          <w:sz w:val="22"/>
          <w:szCs w:val="22"/>
        </w:rPr>
        <w:t xml:space="preserve">, qui dépend </w:t>
      </w:r>
      <w:r w:rsidRPr="008F4FA7">
        <w:rPr>
          <w:rFonts w:ascii="Arial" w:hAnsi="Arial" w:cs="Arial"/>
          <w:sz w:val="22"/>
          <w:szCs w:val="22"/>
        </w:rPr>
        <w:t>du Ministère du développement</w:t>
      </w:r>
      <w:r w:rsidR="006F0D55" w:rsidRPr="008F4FA7">
        <w:rPr>
          <w:rFonts w:ascii="Arial" w:hAnsi="Arial" w:cs="Arial"/>
          <w:sz w:val="22"/>
          <w:szCs w:val="22"/>
        </w:rPr>
        <w:t xml:space="preserve"> social, </w:t>
      </w:r>
      <w:r w:rsidRPr="008F4FA7">
        <w:rPr>
          <w:rFonts w:ascii="Arial" w:hAnsi="Arial" w:cs="Arial"/>
          <w:sz w:val="22"/>
          <w:szCs w:val="22"/>
        </w:rPr>
        <w:t>a également préparé un plan de développement</w:t>
      </w:r>
      <w:r w:rsidR="0055775A" w:rsidRPr="008F4FA7">
        <w:rPr>
          <w:rFonts w:ascii="Arial" w:hAnsi="Arial" w:cs="Arial"/>
          <w:sz w:val="22"/>
          <w:szCs w:val="22"/>
        </w:rPr>
        <w:t xml:space="preserve"> inter-agences qui aborde, </w:t>
      </w:r>
      <w:r w:rsidRPr="008F4FA7">
        <w:rPr>
          <w:rFonts w:ascii="Arial" w:hAnsi="Arial" w:cs="Arial"/>
          <w:sz w:val="22"/>
          <w:szCs w:val="22"/>
        </w:rPr>
        <w:t>entre autres</w:t>
      </w:r>
      <w:r w:rsidR="0055775A" w:rsidRPr="008F4FA7">
        <w:rPr>
          <w:rFonts w:ascii="Arial" w:hAnsi="Arial" w:cs="Arial"/>
          <w:sz w:val="22"/>
          <w:szCs w:val="22"/>
        </w:rPr>
        <w:t>,</w:t>
      </w:r>
      <w:r>
        <w:rPr>
          <w:rFonts w:ascii="Arial" w:hAnsi="Arial" w:cs="Arial"/>
          <w:sz w:val="22"/>
          <w:szCs w:val="22"/>
        </w:rPr>
        <w:t xml:space="preserve"> le patrimoine culturel immatériel dans des domaines tels que la santé, l’éducation et l’écologie. En outre, la création d’un </w:t>
      </w:r>
      <w:r w:rsidR="005D53B0">
        <w:rPr>
          <w:rFonts w:ascii="Arial" w:hAnsi="Arial" w:cs="Arial"/>
          <w:sz w:val="22"/>
          <w:szCs w:val="22"/>
        </w:rPr>
        <w:t xml:space="preserve">Conseil inter-agences pour la </w:t>
      </w:r>
      <w:r w:rsidR="005D53B0" w:rsidRPr="005D53B0">
        <w:rPr>
          <w:rFonts w:ascii="Arial" w:hAnsi="Arial" w:cs="Arial"/>
          <w:sz w:val="22"/>
          <w:szCs w:val="22"/>
        </w:rPr>
        <w:t>sauvegarde</w:t>
      </w:r>
      <w:r w:rsidR="005D53B0">
        <w:rPr>
          <w:rFonts w:ascii="Arial" w:hAnsi="Arial" w:cs="Arial"/>
          <w:sz w:val="22"/>
          <w:szCs w:val="22"/>
        </w:rPr>
        <w:t xml:space="preserve"> du patrimoine culturel immatériel a été proposé</w:t>
      </w:r>
      <w:r w:rsidR="006F0D55">
        <w:rPr>
          <w:rFonts w:ascii="Arial" w:hAnsi="Arial" w:cs="Arial"/>
          <w:sz w:val="22"/>
          <w:szCs w:val="22"/>
        </w:rPr>
        <w:t>e</w:t>
      </w:r>
      <w:r w:rsidR="005D53B0">
        <w:rPr>
          <w:rFonts w:ascii="Arial" w:hAnsi="Arial" w:cs="Arial"/>
          <w:sz w:val="22"/>
          <w:szCs w:val="22"/>
        </w:rPr>
        <w:t xml:space="preserve"> au début de l’année 2016. La Direction générale des artisanats administre </w:t>
      </w:r>
      <w:r w:rsidR="005D53B0" w:rsidRPr="005D53B0">
        <w:rPr>
          <w:rFonts w:ascii="Arial" w:hAnsi="Arial" w:cs="Arial"/>
          <w:sz w:val="22"/>
          <w:szCs w:val="22"/>
        </w:rPr>
        <w:t>également</w:t>
      </w:r>
      <w:r w:rsidR="005D53B0">
        <w:rPr>
          <w:rFonts w:ascii="Arial" w:hAnsi="Arial" w:cs="Arial"/>
          <w:sz w:val="22"/>
          <w:szCs w:val="22"/>
        </w:rPr>
        <w:t xml:space="preserve"> un registre des artisans et a un registre des pratiques artisanales par région. Le Dépar</w:t>
      </w:r>
      <w:r w:rsidR="006F0D55">
        <w:rPr>
          <w:rFonts w:ascii="Arial" w:hAnsi="Arial" w:cs="Arial"/>
          <w:sz w:val="22"/>
          <w:szCs w:val="22"/>
        </w:rPr>
        <w:t>tement de l’éducation bilingue, qui dépend</w:t>
      </w:r>
      <w:r w:rsidR="005D53B0">
        <w:rPr>
          <w:rFonts w:ascii="Arial" w:hAnsi="Arial" w:cs="Arial"/>
          <w:sz w:val="22"/>
          <w:szCs w:val="22"/>
        </w:rPr>
        <w:t xml:space="preserve"> du </w:t>
      </w:r>
      <w:r w:rsidR="005D53B0" w:rsidRPr="005D53B0">
        <w:rPr>
          <w:rFonts w:ascii="Arial" w:hAnsi="Arial" w:cs="Arial"/>
          <w:sz w:val="22"/>
          <w:szCs w:val="22"/>
        </w:rPr>
        <w:t>Ministère</w:t>
      </w:r>
      <w:r w:rsidR="006F0D55">
        <w:rPr>
          <w:rFonts w:ascii="Arial" w:hAnsi="Arial" w:cs="Arial"/>
          <w:sz w:val="22"/>
          <w:szCs w:val="22"/>
        </w:rPr>
        <w:t xml:space="preserve"> de l’éducation,</w:t>
      </w:r>
      <w:r w:rsidR="005D53B0">
        <w:rPr>
          <w:rFonts w:ascii="Arial" w:hAnsi="Arial" w:cs="Arial"/>
          <w:sz w:val="22"/>
          <w:szCs w:val="22"/>
        </w:rPr>
        <w:t xml:space="preserve"> enregistre et revitalise les traditions orales et il </w:t>
      </w:r>
      <w:r w:rsidR="0055775A">
        <w:rPr>
          <w:rFonts w:ascii="Arial" w:hAnsi="Arial" w:cs="Arial"/>
          <w:sz w:val="22"/>
          <w:szCs w:val="22"/>
        </w:rPr>
        <w:t xml:space="preserve">œuvre au </w:t>
      </w:r>
      <w:r w:rsidR="005D53B0">
        <w:rPr>
          <w:rFonts w:ascii="Arial" w:hAnsi="Arial" w:cs="Arial"/>
          <w:sz w:val="22"/>
          <w:szCs w:val="22"/>
        </w:rPr>
        <w:t>renforce</w:t>
      </w:r>
      <w:r w:rsidR="0055775A">
        <w:rPr>
          <w:rFonts w:ascii="Arial" w:hAnsi="Arial" w:cs="Arial"/>
          <w:sz w:val="22"/>
          <w:szCs w:val="22"/>
        </w:rPr>
        <w:t>ment d</w:t>
      </w:r>
      <w:r w:rsidR="005D53B0">
        <w:rPr>
          <w:rFonts w:ascii="Arial" w:hAnsi="Arial" w:cs="Arial"/>
          <w:sz w:val="22"/>
          <w:szCs w:val="22"/>
        </w:rPr>
        <w:t xml:space="preserve">es sept langues </w:t>
      </w:r>
      <w:r w:rsidR="005D53B0" w:rsidRPr="005D53B0">
        <w:rPr>
          <w:rFonts w:ascii="Arial" w:hAnsi="Arial" w:cs="Arial"/>
          <w:sz w:val="22"/>
          <w:szCs w:val="22"/>
        </w:rPr>
        <w:t>autochtones</w:t>
      </w:r>
      <w:r w:rsidR="005D53B0">
        <w:rPr>
          <w:rFonts w:ascii="Arial" w:hAnsi="Arial" w:cs="Arial"/>
          <w:sz w:val="22"/>
          <w:szCs w:val="22"/>
        </w:rPr>
        <w:t xml:space="preserve"> du pays. Le Centre d’art et </w:t>
      </w:r>
      <w:r w:rsidR="0055775A">
        <w:rPr>
          <w:rFonts w:ascii="Arial" w:hAnsi="Arial" w:cs="Arial"/>
          <w:sz w:val="22"/>
          <w:szCs w:val="22"/>
        </w:rPr>
        <w:t xml:space="preserve">de </w:t>
      </w:r>
      <w:r w:rsidR="005D53B0">
        <w:rPr>
          <w:rFonts w:ascii="Arial" w:hAnsi="Arial" w:cs="Arial"/>
          <w:sz w:val="22"/>
          <w:szCs w:val="22"/>
        </w:rPr>
        <w:t xml:space="preserve">culture de ce même ministère participe </w:t>
      </w:r>
      <w:r w:rsidR="005D53B0" w:rsidRPr="005D53B0">
        <w:rPr>
          <w:rFonts w:ascii="Arial" w:hAnsi="Arial" w:cs="Arial"/>
          <w:sz w:val="22"/>
          <w:szCs w:val="22"/>
        </w:rPr>
        <w:t>également</w:t>
      </w:r>
      <w:r w:rsidR="005D53B0">
        <w:rPr>
          <w:rFonts w:ascii="Arial" w:hAnsi="Arial" w:cs="Arial"/>
          <w:sz w:val="22"/>
          <w:szCs w:val="22"/>
        </w:rPr>
        <w:t xml:space="preserve"> à la </w:t>
      </w:r>
      <w:r w:rsidR="005D53B0" w:rsidRPr="005D53B0">
        <w:rPr>
          <w:rFonts w:ascii="Arial" w:hAnsi="Arial" w:cs="Arial"/>
          <w:b/>
          <w:sz w:val="22"/>
          <w:szCs w:val="22"/>
        </w:rPr>
        <w:t>formation</w:t>
      </w:r>
      <w:r w:rsidR="005D53B0">
        <w:rPr>
          <w:rFonts w:ascii="Arial" w:hAnsi="Arial" w:cs="Arial"/>
          <w:sz w:val="22"/>
          <w:szCs w:val="22"/>
        </w:rPr>
        <w:t xml:space="preserve"> de </w:t>
      </w:r>
      <w:r w:rsidR="005D53B0">
        <w:rPr>
          <w:rFonts w:ascii="Arial" w:hAnsi="Arial" w:cs="Arial"/>
          <w:sz w:val="22"/>
          <w:szCs w:val="22"/>
          <w:lang w:eastAsia="en-US"/>
        </w:rPr>
        <w:t xml:space="preserve">coordinateurs régionaux afin de diffuser les programmes culturels et sensibiliser les populations des régions périphériques. Le personnel du Projet de </w:t>
      </w:r>
      <w:r w:rsidR="005D53B0" w:rsidRPr="005D53B0">
        <w:rPr>
          <w:rFonts w:ascii="Arial" w:hAnsi="Arial" w:cs="Arial"/>
          <w:sz w:val="22"/>
          <w:szCs w:val="22"/>
          <w:lang w:eastAsia="en-US"/>
        </w:rPr>
        <w:t>sauvegarde</w:t>
      </w:r>
      <w:r w:rsidR="005D53B0">
        <w:rPr>
          <w:rFonts w:ascii="Arial" w:hAnsi="Arial" w:cs="Arial"/>
          <w:sz w:val="22"/>
          <w:szCs w:val="22"/>
          <w:lang w:eastAsia="en-US"/>
        </w:rPr>
        <w:t xml:space="preserve"> a été formé par l’UNESCO à </w:t>
      </w:r>
      <w:r w:rsidR="0055775A">
        <w:rPr>
          <w:rFonts w:ascii="Arial" w:hAnsi="Arial" w:cs="Arial"/>
          <w:sz w:val="22"/>
          <w:szCs w:val="22"/>
          <w:lang w:eastAsia="en-US"/>
        </w:rPr>
        <w:t xml:space="preserve">dispenser un enseignement sur </w:t>
      </w:r>
      <w:r w:rsidR="005D53B0">
        <w:rPr>
          <w:rFonts w:ascii="Arial" w:hAnsi="Arial" w:cs="Arial"/>
          <w:sz w:val="22"/>
          <w:szCs w:val="22"/>
          <w:lang w:eastAsia="en-US"/>
        </w:rPr>
        <w:t xml:space="preserve">la </w:t>
      </w:r>
      <w:r w:rsidR="005D53B0" w:rsidRPr="005D53B0">
        <w:rPr>
          <w:rFonts w:ascii="Arial" w:hAnsi="Arial" w:cs="Arial"/>
          <w:sz w:val="22"/>
          <w:szCs w:val="22"/>
          <w:lang w:eastAsia="en-US"/>
        </w:rPr>
        <w:t>Convention</w:t>
      </w:r>
      <w:r w:rsidR="005D53B0">
        <w:rPr>
          <w:rFonts w:ascii="Arial" w:hAnsi="Arial" w:cs="Arial"/>
          <w:sz w:val="22"/>
          <w:szCs w:val="22"/>
          <w:lang w:eastAsia="en-US"/>
        </w:rPr>
        <w:t xml:space="preserve"> de 2003 à des chercheurs et des membres des communautés au moyen d’une documentation imprimée et de technologies audiovisuelles. </w:t>
      </w:r>
      <w:r w:rsidR="0055775A">
        <w:rPr>
          <w:rFonts w:ascii="Arial" w:hAnsi="Arial" w:cs="Arial"/>
          <w:sz w:val="22"/>
          <w:szCs w:val="22"/>
          <w:lang w:eastAsia="en-US"/>
        </w:rPr>
        <w:t>À part ces entités, il n’existe pas d’</w:t>
      </w:r>
      <w:r w:rsidR="0055775A" w:rsidRPr="0055775A">
        <w:rPr>
          <w:rFonts w:ascii="Arial" w:hAnsi="Arial" w:cs="Arial"/>
          <w:sz w:val="22"/>
          <w:szCs w:val="22"/>
          <w:lang w:eastAsia="en-US"/>
        </w:rPr>
        <w:t>institutions</w:t>
      </w:r>
      <w:r w:rsidR="0055775A">
        <w:rPr>
          <w:rFonts w:ascii="Arial" w:hAnsi="Arial" w:cs="Arial"/>
          <w:sz w:val="22"/>
          <w:szCs w:val="22"/>
          <w:lang w:eastAsia="en-US"/>
        </w:rPr>
        <w:t xml:space="preserve"> officiellement en charge de la </w:t>
      </w:r>
      <w:r w:rsidR="0055775A" w:rsidRPr="0055775A">
        <w:rPr>
          <w:rFonts w:ascii="Arial" w:hAnsi="Arial" w:cs="Arial"/>
          <w:sz w:val="22"/>
          <w:szCs w:val="22"/>
          <w:lang w:eastAsia="en-US"/>
        </w:rPr>
        <w:t>formation</w:t>
      </w:r>
      <w:r w:rsidR="0055775A">
        <w:rPr>
          <w:rFonts w:ascii="Arial" w:hAnsi="Arial" w:cs="Arial"/>
          <w:sz w:val="22"/>
          <w:szCs w:val="22"/>
          <w:lang w:eastAsia="en-US"/>
        </w:rPr>
        <w:t xml:space="preserve"> à la gestion du patrimoine culturel immatériel, bien que des cours universitaires de troisième cycle dans les do</w:t>
      </w:r>
      <w:r w:rsidR="00001995">
        <w:rPr>
          <w:rFonts w:ascii="Arial" w:hAnsi="Arial" w:cs="Arial"/>
          <w:sz w:val="22"/>
          <w:szCs w:val="22"/>
          <w:lang w:eastAsia="en-US"/>
        </w:rPr>
        <w:t>maines concernés soient prévus.</w:t>
      </w:r>
    </w:p>
    <w:p w14:paraId="2F349F92" w14:textId="24AB8725" w:rsidR="0055775A" w:rsidRDefault="0055775A" w:rsidP="0055775A">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Il n’existe, à ce jour, aucune institution spécifiquement chargée de la </w:t>
      </w:r>
      <w:r w:rsidRPr="0013015A">
        <w:rPr>
          <w:rFonts w:ascii="Arial" w:hAnsi="Arial" w:cs="Arial"/>
          <w:b/>
          <w:sz w:val="22"/>
          <w:szCs w:val="22"/>
        </w:rPr>
        <w:t>documentation</w:t>
      </w:r>
      <w:r>
        <w:rPr>
          <w:rFonts w:ascii="Arial" w:hAnsi="Arial" w:cs="Arial"/>
          <w:sz w:val="22"/>
          <w:szCs w:val="22"/>
        </w:rPr>
        <w:t>, et il est fait état de la nécessité d’élaborer un protocole exhaustif à cette fin. Parmi d’autres actions de sauvegarde</w:t>
      </w:r>
      <w:r w:rsidR="0013015A">
        <w:rPr>
          <w:rFonts w:ascii="Arial" w:hAnsi="Arial" w:cs="Arial"/>
          <w:sz w:val="22"/>
          <w:szCs w:val="22"/>
        </w:rPr>
        <w:t xml:space="preserve"> envisagées</w:t>
      </w:r>
      <w:r>
        <w:rPr>
          <w:rFonts w:ascii="Arial" w:hAnsi="Arial" w:cs="Arial"/>
          <w:sz w:val="22"/>
          <w:szCs w:val="22"/>
        </w:rPr>
        <w:t xml:space="preserve">, la possibilité de faire du Projet de </w:t>
      </w:r>
      <w:r w:rsidRPr="0055775A">
        <w:rPr>
          <w:rFonts w:ascii="Arial" w:hAnsi="Arial" w:cs="Arial"/>
          <w:sz w:val="22"/>
          <w:szCs w:val="22"/>
        </w:rPr>
        <w:t>sauvegarde</w:t>
      </w:r>
      <w:r>
        <w:rPr>
          <w:rFonts w:ascii="Arial" w:hAnsi="Arial" w:cs="Arial"/>
          <w:sz w:val="22"/>
          <w:szCs w:val="22"/>
        </w:rPr>
        <w:t xml:space="preserve"> un organe permanent de </w:t>
      </w:r>
      <w:r w:rsidRPr="0055775A">
        <w:rPr>
          <w:rFonts w:ascii="Arial" w:hAnsi="Arial" w:cs="Arial"/>
          <w:sz w:val="22"/>
          <w:szCs w:val="22"/>
        </w:rPr>
        <w:t>documentation</w:t>
      </w:r>
      <w:r w:rsidR="0013015A">
        <w:rPr>
          <w:rFonts w:ascii="Arial" w:hAnsi="Arial" w:cs="Arial"/>
          <w:sz w:val="22"/>
          <w:szCs w:val="22"/>
        </w:rPr>
        <w:t xml:space="preserve"> est actuellement étudiée</w:t>
      </w:r>
      <w:r>
        <w:rPr>
          <w:rFonts w:ascii="Arial" w:hAnsi="Arial" w:cs="Arial"/>
          <w:sz w:val="22"/>
          <w:szCs w:val="22"/>
        </w:rPr>
        <w:t xml:space="preserve">. </w:t>
      </w:r>
      <w:r w:rsidR="0013015A">
        <w:rPr>
          <w:rFonts w:ascii="Arial" w:hAnsi="Arial" w:cs="Arial"/>
          <w:sz w:val="22"/>
          <w:szCs w:val="22"/>
        </w:rPr>
        <w:t>P</w:t>
      </w:r>
      <w:r w:rsidR="0013015A" w:rsidRPr="0013015A">
        <w:rPr>
          <w:rFonts w:ascii="Arial" w:hAnsi="Arial" w:cs="Arial"/>
          <w:sz w:val="22"/>
          <w:szCs w:val="22"/>
        </w:rPr>
        <w:t>ar ailleurs</w:t>
      </w:r>
      <w:r w:rsidR="0013015A">
        <w:rPr>
          <w:rFonts w:ascii="Arial" w:hAnsi="Arial" w:cs="Arial"/>
          <w:sz w:val="22"/>
          <w:szCs w:val="22"/>
        </w:rPr>
        <w:t xml:space="preserve">, la société nationale de radio et de </w:t>
      </w:r>
      <w:r w:rsidR="0013015A" w:rsidRPr="0013015A">
        <w:rPr>
          <w:rFonts w:ascii="Arial" w:hAnsi="Arial" w:cs="Arial"/>
          <w:sz w:val="22"/>
          <w:szCs w:val="22"/>
          <w:lang w:eastAsia="en-US"/>
        </w:rPr>
        <w:t>télévision</w:t>
      </w:r>
      <w:r w:rsidR="0013015A">
        <w:rPr>
          <w:rFonts w:ascii="Arial" w:hAnsi="Arial" w:cs="Arial"/>
          <w:sz w:val="22"/>
          <w:szCs w:val="22"/>
        </w:rPr>
        <w:t xml:space="preserve"> et le groupe universitaire de cinéma expérimental ont des enregistrements audiovisuels qui peuvent être mis à disposition du public.</w:t>
      </w:r>
    </w:p>
    <w:p w14:paraId="0597EC40" w14:textId="13B7FC55" w:rsidR="0013015A" w:rsidRPr="00001995" w:rsidRDefault="0013015A"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Jusqu’alors, aucun </w:t>
      </w:r>
      <w:r w:rsidRPr="00DA5CAF">
        <w:rPr>
          <w:rFonts w:ascii="Arial" w:hAnsi="Arial" w:cs="Arial"/>
          <w:b/>
          <w:sz w:val="22"/>
          <w:szCs w:val="22"/>
        </w:rPr>
        <w:t>inventaire</w:t>
      </w:r>
      <w:r>
        <w:rPr>
          <w:rFonts w:ascii="Arial" w:hAnsi="Arial" w:cs="Arial"/>
          <w:sz w:val="22"/>
          <w:szCs w:val="22"/>
        </w:rPr>
        <w:t xml:space="preserve"> exhaustif du patrimoine culturel immatériel du Panama n’a été réalisé bien que cinq registres des différents aspects du </w:t>
      </w:r>
      <w:r w:rsidRPr="0013015A">
        <w:rPr>
          <w:rFonts w:ascii="Arial" w:hAnsi="Arial" w:cs="Arial"/>
          <w:sz w:val="22"/>
          <w:szCs w:val="22"/>
        </w:rPr>
        <w:t>patrimoine</w:t>
      </w:r>
      <w:r>
        <w:rPr>
          <w:rFonts w:ascii="Arial" w:hAnsi="Arial" w:cs="Arial"/>
          <w:sz w:val="22"/>
          <w:szCs w:val="22"/>
        </w:rPr>
        <w:t xml:space="preserve"> </w:t>
      </w:r>
      <w:r w:rsidRPr="0013015A">
        <w:rPr>
          <w:rFonts w:ascii="Arial" w:hAnsi="Arial" w:cs="Arial"/>
          <w:sz w:val="22"/>
          <w:szCs w:val="22"/>
        </w:rPr>
        <w:t>immatériel</w:t>
      </w:r>
      <w:r>
        <w:rPr>
          <w:rFonts w:ascii="Arial" w:hAnsi="Arial" w:cs="Arial"/>
          <w:sz w:val="22"/>
          <w:szCs w:val="22"/>
        </w:rPr>
        <w:t xml:space="preserve"> existent déjà : deux sont consacrés à des groupes ethniques spécifiques et trois à des éléments particuliers. Ces registres ont été dressés par le Projet de </w:t>
      </w:r>
      <w:r w:rsidRPr="0013015A">
        <w:rPr>
          <w:rFonts w:ascii="Arial" w:hAnsi="Arial" w:cs="Arial"/>
          <w:sz w:val="22"/>
          <w:szCs w:val="22"/>
        </w:rPr>
        <w:t>sauvegarde</w:t>
      </w:r>
      <w:r>
        <w:rPr>
          <w:rFonts w:ascii="Arial" w:hAnsi="Arial" w:cs="Arial"/>
          <w:sz w:val="22"/>
          <w:szCs w:val="22"/>
        </w:rPr>
        <w:t xml:space="preserve"> en </w:t>
      </w:r>
      <w:r w:rsidRPr="0013015A">
        <w:rPr>
          <w:rFonts w:ascii="Arial" w:hAnsi="Arial" w:cs="Arial"/>
          <w:sz w:val="22"/>
          <w:szCs w:val="22"/>
        </w:rPr>
        <w:t>coopération</w:t>
      </w:r>
      <w:r>
        <w:rPr>
          <w:rFonts w:ascii="Arial" w:hAnsi="Arial" w:cs="Arial"/>
          <w:sz w:val="22"/>
          <w:szCs w:val="22"/>
        </w:rPr>
        <w:t xml:space="preserve"> avec les Congrès généraux des groupes </w:t>
      </w:r>
      <w:r w:rsidRPr="0013015A">
        <w:rPr>
          <w:rFonts w:ascii="Arial" w:hAnsi="Arial" w:cs="Arial"/>
          <w:sz w:val="22"/>
          <w:szCs w:val="22"/>
        </w:rPr>
        <w:t>autochtones</w:t>
      </w:r>
      <w:r>
        <w:rPr>
          <w:rFonts w:ascii="Arial" w:hAnsi="Arial" w:cs="Arial"/>
          <w:sz w:val="22"/>
          <w:szCs w:val="22"/>
        </w:rPr>
        <w:t xml:space="preserve"> ainsi qu’avec des fondations et des associations culturelles liées aux éléments. Une base de données d’</w:t>
      </w:r>
      <w:r w:rsidRPr="0013015A">
        <w:rPr>
          <w:rFonts w:ascii="Arial" w:hAnsi="Arial" w:cs="Arial"/>
          <w:sz w:val="22"/>
          <w:szCs w:val="22"/>
        </w:rPr>
        <w:t>inventaire</w:t>
      </w:r>
      <w:r>
        <w:rPr>
          <w:rFonts w:ascii="Arial" w:hAnsi="Arial" w:cs="Arial"/>
          <w:sz w:val="22"/>
          <w:szCs w:val="22"/>
        </w:rPr>
        <w:t xml:space="preserve"> a été constituée, elle permet un référencement croisé par </w:t>
      </w:r>
      <w:r w:rsidR="00DA5CAF">
        <w:rPr>
          <w:rFonts w:ascii="Arial" w:hAnsi="Arial" w:cs="Arial"/>
          <w:sz w:val="22"/>
          <w:szCs w:val="22"/>
        </w:rPr>
        <w:t>la localisation</w:t>
      </w:r>
      <w:r>
        <w:rPr>
          <w:rFonts w:ascii="Arial" w:hAnsi="Arial" w:cs="Arial"/>
          <w:sz w:val="22"/>
          <w:szCs w:val="22"/>
        </w:rPr>
        <w:t xml:space="preserve"> </w:t>
      </w:r>
      <w:r w:rsidRPr="0013015A">
        <w:rPr>
          <w:rFonts w:ascii="Arial" w:hAnsi="Arial" w:cs="Arial"/>
          <w:sz w:val="22"/>
          <w:szCs w:val="22"/>
        </w:rPr>
        <w:t>géographique</w:t>
      </w:r>
      <w:r>
        <w:rPr>
          <w:rFonts w:ascii="Arial" w:hAnsi="Arial" w:cs="Arial"/>
          <w:sz w:val="22"/>
          <w:szCs w:val="22"/>
        </w:rPr>
        <w:t xml:space="preserve"> (GPS) et les cinq domaines de la </w:t>
      </w:r>
      <w:r w:rsidRPr="0013015A">
        <w:rPr>
          <w:rFonts w:ascii="Arial" w:hAnsi="Arial" w:cs="Arial"/>
          <w:sz w:val="22"/>
          <w:szCs w:val="22"/>
        </w:rPr>
        <w:t>Convention</w:t>
      </w:r>
      <w:r>
        <w:rPr>
          <w:rFonts w:ascii="Arial" w:hAnsi="Arial" w:cs="Arial"/>
          <w:sz w:val="22"/>
          <w:szCs w:val="22"/>
        </w:rPr>
        <w:t xml:space="preserve"> de 2003. Des enregistrements audiovisuels ne sont réalisés</w:t>
      </w:r>
      <w:r w:rsidR="006F0D55">
        <w:rPr>
          <w:rFonts w:ascii="Arial" w:hAnsi="Arial" w:cs="Arial"/>
          <w:sz w:val="22"/>
          <w:szCs w:val="22"/>
        </w:rPr>
        <w:t xml:space="preserve"> que dans les zones choisies par</w:t>
      </w:r>
      <w:r>
        <w:rPr>
          <w:rFonts w:ascii="Arial" w:hAnsi="Arial" w:cs="Arial"/>
          <w:sz w:val="22"/>
          <w:szCs w:val="22"/>
        </w:rPr>
        <w:t xml:space="preserve"> les communautés et toute la </w:t>
      </w:r>
      <w:r w:rsidRPr="0013015A">
        <w:rPr>
          <w:rFonts w:ascii="Arial" w:hAnsi="Arial" w:cs="Arial"/>
          <w:sz w:val="22"/>
          <w:szCs w:val="22"/>
        </w:rPr>
        <w:t>documentation</w:t>
      </w:r>
      <w:r>
        <w:rPr>
          <w:rFonts w:ascii="Arial" w:hAnsi="Arial" w:cs="Arial"/>
          <w:sz w:val="22"/>
          <w:szCs w:val="22"/>
        </w:rPr>
        <w:t xml:space="preserve"> doit être approuvée par leur Congrès autochtone. </w:t>
      </w:r>
      <w:r w:rsidR="00DA5CAF">
        <w:rPr>
          <w:rFonts w:ascii="Arial" w:hAnsi="Arial" w:cs="Arial"/>
          <w:sz w:val="22"/>
          <w:szCs w:val="22"/>
        </w:rPr>
        <w:t xml:space="preserve">Le format général est celui d’un registre descriptif dans lequel les noms des détenteurs, transmetteurs et/ou de l’élément sont consignés. Pour tous les éléments décrits, les communautés demandent à ce que leurs compétences soient renforcées afin de mieux participer à la </w:t>
      </w:r>
      <w:r w:rsidR="00DA5CAF" w:rsidRPr="00DA5CAF">
        <w:rPr>
          <w:rFonts w:ascii="Arial" w:hAnsi="Arial" w:cs="Arial"/>
          <w:sz w:val="22"/>
          <w:szCs w:val="22"/>
        </w:rPr>
        <w:t>documentation</w:t>
      </w:r>
      <w:r w:rsidR="00DA5CAF">
        <w:rPr>
          <w:rFonts w:ascii="Arial" w:hAnsi="Arial" w:cs="Arial"/>
          <w:sz w:val="22"/>
          <w:szCs w:val="22"/>
        </w:rPr>
        <w:t xml:space="preserve"> et à la </w:t>
      </w:r>
      <w:r w:rsidR="00DA5CAF" w:rsidRPr="00DA5CAF">
        <w:rPr>
          <w:rFonts w:ascii="Arial" w:hAnsi="Arial" w:cs="Arial"/>
          <w:sz w:val="22"/>
          <w:szCs w:val="22"/>
        </w:rPr>
        <w:t>sauvegarde</w:t>
      </w:r>
      <w:r w:rsidR="00DA5CAF">
        <w:rPr>
          <w:rFonts w:ascii="Arial" w:hAnsi="Arial" w:cs="Arial"/>
          <w:sz w:val="22"/>
          <w:szCs w:val="22"/>
        </w:rPr>
        <w:t xml:space="preserve"> des éléments, les </w:t>
      </w:r>
      <w:r w:rsidR="00DA5CAF">
        <w:rPr>
          <w:rFonts w:ascii="Arial" w:hAnsi="Arial" w:cs="Arial"/>
          <w:sz w:val="22"/>
          <w:szCs w:val="22"/>
          <w:lang w:eastAsia="en-US"/>
        </w:rPr>
        <w:t xml:space="preserve">responsables des communautés ont été identifiés comme des intermédiaires pour cette </w:t>
      </w:r>
      <w:r w:rsidR="00DA5CAF" w:rsidRPr="00DA5CAF">
        <w:rPr>
          <w:rFonts w:ascii="Arial" w:hAnsi="Arial" w:cs="Arial"/>
          <w:sz w:val="22"/>
          <w:szCs w:val="22"/>
          <w:lang w:eastAsia="en-US"/>
        </w:rPr>
        <w:t>initiative</w:t>
      </w:r>
      <w:r w:rsidR="00001995">
        <w:rPr>
          <w:rFonts w:ascii="Arial" w:hAnsi="Arial" w:cs="Arial"/>
          <w:sz w:val="22"/>
          <w:szCs w:val="22"/>
          <w:lang w:eastAsia="en-US"/>
        </w:rPr>
        <w:t>.</w:t>
      </w:r>
    </w:p>
    <w:p w14:paraId="1FBF1E56" w14:textId="11F418A4" w:rsidR="003E7B9C" w:rsidRPr="00001995" w:rsidRDefault="003E7B9C"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Les autres </w:t>
      </w:r>
      <w:r w:rsidRPr="003E7B9C">
        <w:rPr>
          <w:rFonts w:ascii="Arial" w:hAnsi="Arial" w:cs="Arial"/>
          <w:b/>
          <w:sz w:val="22"/>
          <w:szCs w:val="22"/>
        </w:rPr>
        <w:t>mesures de sauvegarde</w:t>
      </w:r>
      <w:r>
        <w:rPr>
          <w:rFonts w:ascii="Arial" w:hAnsi="Arial" w:cs="Arial"/>
          <w:sz w:val="22"/>
          <w:szCs w:val="22"/>
        </w:rPr>
        <w:t xml:space="preserve"> mettent l’accent sur la promotion et la formation, avec des actions dans les médias, la </w:t>
      </w:r>
      <w:r w:rsidRPr="003E7B9C">
        <w:rPr>
          <w:rFonts w:ascii="Arial" w:hAnsi="Arial" w:cs="Arial"/>
          <w:sz w:val="22"/>
          <w:szCs w:val="22"/>
        </w:rPr>
        <w:t>participation</w:t>
      </w:r>
      <w:r>
        <w:rPr>
          <w:rFonts w:ascii="Arial" w:hAnsi="Arial" w:cs="Arial"/>
          <w:sz w:val="22"/>
          <w:szCs w:val="22"/>
        </w:rPr>
        <w:t xml:space="preserve"> à des foires et l’</w:t>
      </w:r>
      <w:r w:rsidRPr="003E7B9C">
        <w:rPr>
          <w:rFonts w:ascii="Arial" w:hAnsi="Arial" w:cs="Arial"/>
          <w:sz w:val="22"/>
          <w:szCs w:val="22"/>
        </w:rPr>
        <w:t>organisation</w:t>
      </w:r>
      <w:r>
        <w:rPr>
          <w:rFonts w:ascii="Arial" w:hAnsi="Arial" w:cs="Arial"/>
          <w:sz w:val="22"/>
          <w:szCs w:val="22"/>
        </w:rPr>
        <w:t xml:space="preserve"> de séminaires de </w:t>
      </w:r>
      <w:r w:rsidRPr="003E7B9C">
        <w:rPr>
          <w:rFonts w:ascii="Arial" w:hAnsi="Arial" w:cs="Arial"/>
          <w:sz w:val="22"/>
          <w:szCs w:val="22"/>
        </w:rPr>
        <w:t>formation</w:t>
      </w:r>
      <w:r>
        <w:rPr>
          <w:rFonts w:ascii="Arial" w:hAnsi="Arial" w:cs="Arial"/>
          <w:sz w:val="22"/>
          <w:szCs w:val="22"/>
        </w:rPr>
        <w:t xml:space="preserve">, dans le but de sensibiliser à la notion de patrimoine culturel immatériel. Pour l’année 2016, des séminaires de formation sont prévus </w:t>
      </w:r>
      <w:r w:rsidR="00216B20">
        <w:rPr>
          <w:rFonts w:ascii="Arial" w:hAnsi="Arial" w:cs="Arial"/>
          <w:sz w:val="22"/>
          <w:szCs w:val="22"/>
        </w:rPr>
        <w:t xml:space="preserve">pour </w:t>
      </w:r>
      <w:r>
        <w:rPr>
          <w:rFonts w:ascii="Arial" w:hAnsi="Arial" w:cs="Arial"/>
          <w:sz w:val="22"/>
          <w:szCs w:val="22"/>
        </w:rPr>
        <w:t>77 municipalités, dix bureaux régionaux du MCI, dix bureaux régionaux de l’Institut national de la culture et 14 régions</w:t>
      </w:r>
      <w:r w:rsidR="006C0E4E">
        <w:rPr>
          <w:rFonts w:ascii="Arial" w:hAnsi="Arial" w:cs="Arial"/>
          <w:sz w:val="22"/>
          <w:szCs w:val="22"/>
        </w:rPr>
        <w:t xml:space="preserve"> scolaires du Ministère de l’éducation</w:t>
      </w:r>
      <w:r>
        <w:rPr>
          <w:rFonts w:ascii="Arial" w:hAnsi="Arial" w:cs="Arial"/>
          <w:sz w:val="22"/>
          <w:szCs w:val="22"/>
        </w:rPr>
        <w:t xml:space="preserve">. Afin de créer un cadre de </w:t>
      </w:r>
      <w:r w:rsidRPr="003E7B9C">
        <w:rPr>
          <w:rFonts w:ascii="Arial" w:hAnsi="Arial" w:cs="Arial"/>
          <w:sz w:val="22"/>
          <w:szCs w:val="22"/>
        </w:rPr>
        <w:t>spécialistes</w:t>
      </w:r>
      <w:r>
        <w:rPr>
          <w:rFonts w:ascii="Arial" w:hAnsi="Arial" w:cs="Arial"/>
          <w:sz w:val="22"/>
          <w:szCs w:val="22"/>
        </w:rPr>
        <w:t xml:space="preserve"> et de réaliser des travaux de </w:t>
      </w:r>
      <w:r w:rsidRPr="003E7B9C">
        <w:rPr>
          <w:rFonts w:ascii="Arial" w:hAnsi="Arial" w:cs="Arial"/>
          <w:sz w:val="22"/>
          <w:szCs w:val="22"/>
        </w:rPr>
        <w:t>recherche</w:t>
      </w:r>
      <w:r>
        <w:rPr>
          <w:rFonts w:ascii="Arial" w:hAnsi="Arial" w:cs="Arial"/>
          <w:sz w:val="22"/>
          <w:szCs w:val="22"/>
        </w:rPr>
        <w:t xml:space="preserve"> ciblés, deux universités, qui conçoivent actuellement des cours d’</w:t>
      </w:r>
      <w:r w:rsidRPr="003E7B9C">
        <w:rPr>
          <w:rFonts w:ascii="Arial" w:hAnsi="Arial" w:cs="Arial"/>
          <w:sz w:val="22"/>
          <w:szCs w:val="22"/>
        </w:rPr>
        <w:t>enseignement</w:t>
      </w:r>
      <w:r>
        <w:rPr>
          <w:rFonts w:ascii="Arial" w:hAnsi="Arial" w:cs="Arial"/>
          <w:sz w:val="22"/>
          <w:szCs w:val="22"/>
        </w:rPr>
        <w:t xml:space="preserve"> supérieur consacrés au </w:t>
      </w:r>
      <w:r w:rsidRPr="003E7B9C">
        <w:rPr>
          <w:rFonts w:ascii="Arial" w:hAnsi="Arial" w:cs="Arial"/>
          <w:sz w:val="22"/>
          <w:szCs w:val="22"/>
        </w:rPr>
        <w:t>patrimoine</w:t>
      </w:r>
      <w:r>
        <w:rPr>
          <w:rFonts w:ascii="Arial" w:hAnsi="Arial" w:cs="Arial"/>
          <w:sz w:val="22"/>
          <w:szCs w:val="22"/>
        </w:rPr>
        <w:t xml:space="preserve"> </w:t>
      </w:r>
      <w:r w:rsidRPr="003E7B9C">
        <w:rPr>
          <w:rFonts w:ascii="Arial" w:hAnsi="Arial" w:cs="Arial"/>
          <w:sz w:val="22"/>
          <w:szCs w:val="22"/>
        </w:rPr>
        <w:t>culturel</w:t>
      </w:r>
      <w:r>
        <w:rPr>
          <w:rFonts w:ascii="Arial" w:hAnsi="Arial" w:cs="Arial"/>
          <w:sz w:val="22"/>
          <w:szCs w:val="22"/>
        </w:rPr>
        <w:t xml:space="preserve">, travailleront en </w:t>
      </w:r>
      <w:r w:rsidRPr="003E7B9C">
        <w:rPr>
          <w:rFonts w:ascii="Arial" w:hAnsi="Arial" w:cs="Arial"/>
          <w:sz w:val="22"/>
          <w:szCs w:val="22"/>
        </w:rPr>
        <w:t>coopération</w:t>
      </w:r>
      <w:r>
        <w:rPr>
          <w:rFonts w:ascii="Arial" w:hAnsi="Arial" w:cs="Arial"/>
          <w:sz w:val="22"/>
          <w:szCs w:val="22"/>
        </w:rPr>
        <w:t xml:space="preserve"> avec le Projet de </w:t>
      </w:r>
      <w:r w:rsidRPr="003E7B9C">
        <w:rPr>
          <w:rFonts w:ascii="Arial" w:hAnsi="Arial" w:cs="Arial"/>
          <w:sz w:val="22"/>
          <w:szCs w:val="22"/>
        </w:rPr>
        <w:t>sauvegarde</w:t>
      </w:r>
      <w:r>
        <w:rPr>
          <w:rFonts w:ascii="Arial" w:hAnsi="Arial" w:cs="Arial"/>
          <w:sz w:val="22"/>
          <w:szCs w:val="22"/>
        </w:rPr>
        <w:t xml:space="preserve">. L’accès aux </w:t>
      </w:r>
      <w:r w:rsidRPr="003E7B9C">
        <w:rPr>
          <w:rFonts w:ascii="Arial" w:hAnsi="Arial" w:cs="Arial"/>
          <w:sz w:val="22"/>
          <w:szCs w:val="22"/>
        </w:rPr>
        <w:t>informations</w:t>
      </w:r>
      <w:r>
        <w:rPr>
          <w:rFonts w:ascii="Arial" w:hAnsi="Arial" w:cs="Arial"/>
          <w:sz w:val="22"/>
          <w:szCs w:val="22"/>
        </w:rPr>
        <w:t xml:space="preserve"> sur les éléments est </w:t>
      </w:r>
      <w:r w:rsidR="005061F1">
        <w:rPr>
          <w:rFonts w:ascii="Arial" w:hAnsi="Arial" w:cs="Arial"/>
          <w:sz w:val="22"/>
          <w:szCs w:val="22"/>
        </w:rPr>
        <w:t xml:space="preserve">assuré par une revue du MCI qui présente des </w:t>
      </w:r>
      <w:r w:rsidR="005061F1" w:rsidRPr="005061F1">
        <w:rPr>
          <w:rFonts w:ascii="Arial" w:hAnsi="Arial" w:cs="Arial"/>
          <w:sz w:val="22"/>
          <w:szCs w:val="22"/>
        </w:rPr>
        <w:t>informations</w:t>
      </w:r>
      <w:r w:rsidR="005061F1">
        <w:rPr>
          <w:rFonts w:ascii="Arial" w:hAnsi="Arial" w:cs="Arial"/>
          <w:sz w:val="22"/>
          <w:szCs w:val="22"/>
        </w:rPr>
        <w:t xml:space="preserve"> sur la </w:t>
      </w:r>
      <w:r w:rsidR="005061F1" w:rsidRPr="005061F1">
        <w:rPr>
          <w:rFonts w:ascii="Arial" w:hAnsi="Arial" w:cs="Arial"/>
          <w:sz w:val="22"/>
          <w:szCs w:val="22"/>
        </w:rPr>
        <w:t>Convention</w:t>
      </w:r>
      <w:r w:rsidR="005061F1">
        <w:rPr>
          <w:rFonts w:ascii="Arial" w:hAnsi="Arial" w:cs="Arial"/>
          <w:sz w:val="22"/>
          <w:szCs w:val="22"/>
        </w:rPr>
        <w:t xml:space="preserve"> de 2003, sur les éléments et sur </w:t>
      </w:r>
      <w:r w:rsidR="005061F1">
        <w:rPr>
          <w:rFonts w:ascii="Arial" w:hAnsi="Arial" w:cs="Arial"/>
          <w:sz w:val="22"/>
          <w:szCs w:val="22"/>
        </w:rPr>
        <w:lastRenderedPageBreak/>
        <w:t xml:space="preserve">d’autres sujets en lien avec le </w:t>
      </w:r>
      <w:r w:rsidR="005061F1" w:rsidRPr="005061F1">
        <w:rPr>
          <w:rFonts w:ascii="Arial" w:hAnsi="Arial" w:cs="Arial"/>
          <w:sz w:val="22"/>
          <w:szCs w:val="22"/>
        </w:rPr>
        <w:t>patrimoine</w:t>
      </w:r>
      <w:r w:rsidR="005061F1">
        <w:rPr>
          <w:rFonts w:ascii="Arial" w:hAnsi="Arial" w:cs="Arial"/>
          <w:sz w:val="22"/>
          <w:szCs w:val="22"/>
        </w:rPr>
        <w:t xml:space="preserve"> vivant. La revue est distribuée dans les communautés culturelles et les bibliothèques locales. Le site qui regroupe le réseau de bases de données, avec des </w:t>
      </w:r>
      <w:r w:rsidR="005061F1" w:rsidRPr="005061F1">
        <w:rPr>
          <w:rFonts w:ascii="Arial" w:hAnsi="Arial" w:cs="Arial"/>
          <w:sz w:val="22"/>
          <w:szCs w:val="22"/>
        </w:rPr>
        <w:t>informations</w:t>
      </w:r>
      <w:r w:rsidR="005061F1">
        <w:rPr>
          <w:rFonts w:ascii="Arial" w:hAnsi="Arial" w:cs="Arial"/>
          <w:sz w:val="22"/>
          <w:szCs w:val="22"/>
        </w:rPr>
        <w:t xml:space="preserve"> mises à jour sur les localisations GPS et les communautés, est </w:t>
      </w:r>
      <w:r w:rsidR="005061F1" w:rsidRPr="005061F1">
        <w:rPr>
          <w:rFonts w:ascii="Arial" w:hAnsi="Arial" w:cs="Arial"/>
          <w:sz w:val="22"/>
          <w:szCs w:val="22"/>
        </w:rPr>
        <w:t>également</w:t>
      </w:r>
      <w:r w:rsidR="00001995">
        <w:rPr>
          <w:rFonts w:ascii="Arial" w:hAnsi="Arial" w:cs="Arial"/>
          <w:sz w:val="22"/>
          <w:szCs w:val="22"/>
        </w:rPr>
        <w:t xml:space="preserve"> consultable.</w:t>
      </w:r>
    </w:p>
    <w:p w14:paraId="5E1308F4" w14:textId="4A602FF0" w:rsidR="005061F1" w:rsidRDefault="005061F1" w:rsidP="00745AFF">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Les </w:t>
      </w:r>
      <w:r w:rsidRPr="005061F1">
        <w:rPr>
          <w:rFonts w:ascii="Arial" w:hAnsi="Arial" w:cs="Arial"/>
          <w:b/>
          <w:sz w:val="22"/>
          <w:szCs w:val="22"/>
        </w:rPr>
        <w:t>programmes d’éducation formelle</w:t>
      </w:r>
      <w:r>
        <w:rPr>
          <w:rFonts w:ascii="Arial" w:hAnsi="Arial" w:cs="Arial"/>
          <w:sz w:val="22"/>
          <w:szCs w:val="22"/>
        </w:rPr>
        <w:t xml:space="preserve"> proposent déjà un </w:t>
      </w:r>
      <w:r w:rsidRPr="005061F1">
        <w:rPr>
          <w:rFonts w:ascii="Arial" w:hAnsi="Arial" w:cs="Arial"/>
          <w:sz w:val="22"/>
          <w:szCs w:val="22"/>
        </w:rPr>
        <w:t>enseignement</w:t>
      </w:r>
      <w:r>
        <w:rPr>
          <w:rFonts w:ascii="Arial" w:hAnsi="Arial" w:cs="Arial"/>
          <w:sz w:val="22"/>
          <w:szCs w:val="22"/>
        </w:rPr>
        <w:t xml:space="preserve"> sur les coutumes et la </w:t>
      </w:r>
      <w:r w:rsidRPr="005061F1">
        <w:rPr>
          <w:rFonts w:ascii="Arial" w:hAnsi="Arial" w:cs="Arial"/>
          <w:sz w:val="22"/>
          <w:szCs w:val="22"/>
        </w:rPr>
        <w:t>diversité</w:t>
      </w:r>
      <w:r>
        <w:rPr>
          <w:rFonts w:ascii="Arial" w:hAnsi="Arial" w:cs="Arial"/>
          <w:sz w:val="22"/>
          <w:szCs w:val="22"/>
        </w:rPr>
        <w:t xml:space="preserve"> </w:t>
      </w:r>
      <w:r w:rsidRPr="005061F1">
        <w:rPr>
          <w:rFonts w:ascii="Arial" w:hAnsi="Arial" w:cs="Arial"/>
          <w:sz w:val="22"/>
          <w:szCs w:val="22"/>
        </w:rPr>
        <w:t>culturel</w:t>
      </w:r>
      <w:r>
        <w:rPr>
          <w:rFonts w:ascii="Arial" w:hAnsi="Arial" w:cs="Arial"/>
          <w:sz w:val="22"/>
          <w:szCs w:val="22"/>
        </w:rPr>
        <w:t xml:space="preserve">le (en vertu d’une loi nationale panaméenne, les différentes expressions culturelles sont reconnues). </w:t>
      </w:r>
      <w:r w:rsidRPr="005061F1">
        <w:rPr>
          <w:rFonts w:ascii="Arial" w:hAnsi="Arial" w:cs="Arial"/>
          <w:sz w:val="22"/>
          <w:szCs w:val="22"/>
        </w:rPr>
        <w:t>S’agissant</w:t>
      </w:r>
      <w:r>
        <w:rPr>
          <w:rFonts w:ascii="Arial" w:hAnsi="Arial" w:cs="Arial"/>
          <w:sz w:val="22"/>
          <w:szCs w:val="22"/>
        </w:rPr>
        <w:t xml:space="preserve"> de </w:t>
      </w:r>
      <w:r w:rsidRPr="005061F1">
        <w:rPr>
          <w:rFonts w:ascii="Arial" w:hAnsi="Arial" w:cs="Arial"/>
          <w:sz w:val="22"/>
          <w:szCs w:val="22"/>
          <w:lang w:eastAsia="en-US"/>
        </w:rPr>
        <w:t>l’</w:t>
      </w:r>
      <w:r w:rsidRPr="005061F1">
        <w:rPr>
          <w:rFonts w:ascii="Arial" w:hAnsi="Arial" w:cs="Arial"/>
          <w:b/>
          <w:sz w:val="22"/>
          <w:szCs w:val="22"/>
          <w:lang w:eastAsia="en-US"/>
        </w:rPr>
        <w:t>enseignement</w:t>
      </w:r>
      <w:r w:rsidRPr="005061F1">
        <w:rPr>
          <w:rFonts w:ascii="Arial" w:hAnsi="Arial" w:cs="Arial"/>
          <w:b/>
          <w:sz w:val="22"/>
          <w:szCs w:val="22"/>
        </w:rPr>
        <w:t xml:space="preserve"> non formel</w:t>
      </w:r>
      <w:r>
        <w:rPr>
          <w:rFonts w:ascii="Arial" w:hAnsi="Arial" w:cs="Arial"/>
          <w:sz w:val="22"/>
          <w:szCs w:val="22"/>
        </w:rPr>
        <w:t xml:space="preserve">, l’Institut national de la culture et la Direction des artisanats du MCI organisent des cours d’artisanat pour les communautés </w:t>
      </w:r>
      <w:r w:rsidRPr="005061F1">
        <w:rPr>
          <w:rFonts w:ascii="Arial" w:hAnsi="Arial" w:cs="Arial"/>
          <w:sz w:val="22"/>
          <w:szCs w:val="22"/>
        </w:rPr>
        <w:t>autochtones</w:t>
      </w:r>
      <w:r w:rsidR="00BC15BF">
        <w:rPr>
          <w:rFonts w:ascii="Arial" w:hAnsi="Arial" w:cs="Arial"/>
          <w:sz w:val="22"/>
          <w:szCs w:val="22"/>
        </w:rPr>
        <w:t xml:space="preserve"> et locales dans lesquel</w:t>
      </w:r>
      <w:r>
        <w:rPr>
          <w:rFonts w:ascii="Arial" w:hAnsi="Arial" w:cs="Arial"/>
          <w:sz w:val="22"/>
          <w:szCs w:val="22"/>
        </w:rPr>
        <w:t xml:space="preserve">s des </w:t>
      </w:r>
      <w:r w:rsidR="00BC15BF">
        <w:rPr>
          <w:rFonts w:ascii="Arial" w:hAnsi="Arial" w:cs="Arial"/>
          <w:sz w:val="22"/>
          <w:szCs w:val="22"/>
        </w:rPr>
        <w:t>praticiens font des démonstrations et enseignent leurs pratiques aux jeunes. Quelques associations indépendantes</w:t>
      </w:r>
      <w:r w:rsidR="005565B8">
        <w:rPr>
          <w:rFonts w:ascii="Arial" w:hAnsi="Arial" w:cs="Arial"/>
          <w:sz w:val="22"/>
          <w:szCs w:val="22"/>
        </w:rPr>
        <w:t xml:space="preserve"> de communautés</w:t>
      </w:r>
      <w:r w:rsidR="00BC15BF">
        <w:rPr>
          <w:rFonts w:ascii="Arial" w:hAnsi="Arial" w:cs="Arial"/>
          <w:sz w:val="22"/>
          <w:szCs w:val="22"/>
        </w:rPr>
        <w:t xml:space="preserve"> enseignent </w:t>
      </w:r>
      <w:r w:rsidR="00BC15BF" w:rsidRPr="00BC15BF">
        <w:rPr>
          <w:rFonts w:ascii="Arial" w:hAnsi="Arial" w:cs="Arial"/>
          <w:sz w:val="22"/>
          <w:szCs w:val="22"/>
        </w:rPr>
        <w:t>également</w:t>
      </w:r>
      <w:r w:rsidR="00BC15BF">
        <w:rPr>
          <w:rFonts w:ascii="Arial" w:hAnsi="Arial" w:cs="Arial"/>
          <w:sz w:val="22"/>
          <w:szCs w:val="22"/>
        </w:rPr>
        <w:t xml:space="preserve"> les danses, la musique et les chants aux jeunes tandis que les Congrès généraux (en charge de la culture autochtone) évaluent la condition des éléments et prennent des mesures afin que les enfants soient réellement motivés pour l’apprentissage de ces éléments.</w:t>
      </w:r>
      <w:r w:rsidR="005465CD">
        <w:rPr>
          <w:rFonts w:ascii="Arial" w:hAnsi="Arial" w:cs="Arial"/>
          <w:sz w:val="22"/>
          <w:szCs w:val="22"/>
        </w:rPr>
        <w:t xml:space="preserve"> Les Congrès recommandent que</w:t>
      </w:r>
      <w:r w:rsidR="00BC15BF">
        <w:rPr>
          <w:rFonts w:ascii="Arial" w:hAnsi="Arial" w:cs="Arial"/>
          <w:sz w:val="22"/>
          <w:szCs w:val="22"/>
        </w:rPr>
        <w:t xml:space="preserve"> les arts et artisanats (</w:t>
      </w:r>
      <w:r w:rsidR="00BC15BF" w:rsidRPr="00BC15BF">
        <w:rPr>
          <w:rFonts w:ascii="Arial" w:hAnsi="Arial" w:cs="Arial"/>
          <w:i/>
          <w:sz w:val="22"/>
          <w:szCs w:val="22"/>
        </w:rPr>
        <w:t>molas</w:t>
      </w:r>
      <w:r w:rsidR="00BC15BF">
        <w:rPr>
          <w:rFonts w:ascii="Arial" w:hAnsi="Arial" w:cs="Arial"/>
          <w:sz w:val="22"/>
          <w:szCs w:val="22"/>
        </w:rPr>
        <w:t xml:space="preserve">, tressage de </w:t>
      </w:r>
      <w:r w:rsidR="005465CD">
        <w:rPr>
          <w:rFonts w:ascii="Arial" w:hAnsi="Arial" w:cs="Arial"/>
          <w:sz w:val="22"/>
          <w:szCs w:val="22"/>
        </w:rPr>
        <w:t xml:space="preserve">paniers, etc.) soient enseignés, au sein des communautés </w:t>
      </w:r>
      <w:r w:rsidR="005465CD" w:rsidRPr="00BC15BF">
        <w:rPr>
          <w:rFonts w:ascii="Arial" w:hAnsi="Arial" w:cs="Arial"/>
          <w:sz w:val="22"/>
          <w:szCs w:val="22"/>
        </w:rPr>
        <w:t>autochtones</w:t>
      </w:r>
      <w:r w:rsidR="005465CD">
        <w:rPr>
          <w:rFonts w:ascii="Arial" w:hAnsi="Arial" w:cs="Arial"/>
          <w:sz w:val="22"/>
          <w:szCs w:val="22"/>
        </w:rPr>
        <w:t xml:space="preserve">, </w:t>
      </w:r>
      <w:r w:rsidR="00BC15BF">
        <w:rPr>
          <w:rFonts w:ascii="Arial" w:hAnsi="Arial" w:cs="Arial"/>
          <w:sz w:val="22"/>
          <w:szCs w:val="22"/>
        </w:rPr>
        <w:t xml:space="preserve">par les détenteurs de traditions plus âgés. Par ailleurs, </w:t>
      </w:r>
      <w:r w:rsidR="004D4F34">
        <w:rPr>
          <w:rFonts w:ascii="Arial" w:hAnsi="Arial" w:cs="Arial"/>
          <w:sz w:val="22"/>
          <w:szCs w:val="22"/>
        </w:rPr>
        <w:t>les foires et les festivals constituent</w:t>
      </w:r>
      <w:r w:rsidR="00BC15BF">
        <w:rPr>
          <w:rFonts w:ascii="Arial" w:hAnsi="Arial" w:cs="Arial"/>
          <w:sz w:val="22"/>
          <w:szCs w:val="22"/>
        </w:rPr>
        <w:t xml:space="preserve"> des espaces non formels </w:t>
      </w:r>
      <w:r w:rsidR="004D4F34">
        <w:rPr>
          <w:rFonts w:ascii="Arial" w:hAnsi="Arial" w:cs="Arial"/>
          <w:sz w:val="22"/>
          <w:szCs w:val="22"/>
        </w:rPr>
        <w:t xml:space="preserve">de </w:t>
      </w:r>
      <w:r w:rsidR="004D4F34" w:rsidRPr="004D4F34">
        <w:rPr>
          <w:rFonts w:ascii="Arial" w:hAnsi="Arial" w:cs="Arial"/>
          <w:sz w:val="22"/>
          <w:szCs w:val="22"/>
        </w:rPr>
        <w:t xml:space="preserve">transmission </w:t>
      </w:r>
      <w:r w:rsidR="00BC15BF">
        <w:rPr>
          <w:rFonts w:ascii="Arial" w:hAnsi="Arial" w:cs="Arial"/>
          <w:sz w:val="22"/>
          <w:szCs w:val="22"/>
        </w:rPr>
        <w:t>dans lesquels les jeunes et les autre</w:t>
      </w:r>
      <w:r w:rsidR="004D4F34">
        <w:rPr>
          <w:rFonts w:ascii="Arial" w:hAnsi="Arial" w:cs="Arial"/>
          <w:sz w:val="22"/>
          <w:szCs w:val="22"/>
        </w:rPr>
        <w:t>s visiteurs apprennent grâce à des matériels audiovisuels,</w:t>
      </w:r>
      <w:r w:rsidR="00BC15BF">
        <w:rPr>
          <w:rFonts w:ascii="Arial" w:hAnsi="Arial" w:cs="Arial"/>
          <w:sz w:val="22"/>
          <w:szCs w:val="22"/>
        </w:rPr>
        <w:t xml:space="preserve"> des concours et </w:t>
      </w:r>
      <w:r w:rsidR="004D4F34">
        <w:rPr>
          <w:rFonts w:ascii="Arial" w:hAnsi="Arial" w:cs="Arial"/>
          <w:sz w:val="22"/>
          <w:szCs w:val="22"/>
        </w:rPr>
        <w:t xml:space="preserve">des démonstrations de </w:t>
      </w:r>
      <w:r w:rsidR="004D4F34" w:rsidRPr="004D4F34">
        <w:rPr>
          <w:rFonts w:ascii="Arial" w:hAnsi="Arial" w:cs="Arial"/>
          <w:sz w:val="22"/>
          <w:szCs w:val="22"/>
        </w:rPr>
        <w:t>savoir-faire</w:t>
      </w:r>
      <w:r w:rsidR="004D4F34">
        <w:rPr>
          <w:rFonts w:ascii="Arial" w:hAnsi="Arial" w:cs="Arial"/>
          <w:sz w:val="22"/>
          <w:szCs w:val="22"/>
        </w:rPr>
        <w:t xml:space="preserve"> </w:t>
      </w:r>
      <w:r w:rsidR="004D4F34" w:rsidRPr="004D4F34">
        <w:rPr>
          <w:rFonts w:ascii="Arial" w:hAnsi="Arial" w:cs="Arial"/>
          <w:sz w:val="22"/>
          <w:szCs w:val="22"/>
        </w:rPr>
        <w:t>traditionnels</w:t>
      </w:r>
      <w:r w:rsidR="004D4F34">
        <w:rPr>
          <w:rFonts w:ascii="Arial" w:hAnsi="Arial" w:cs="Arial"/>
          <w:sz w:val="22"/>
          <w:szCs w:val="22"/>
        </w:rPr>
        <w:t xml:space="preserve">. La </w:t>
      </w:r>
      <w:r w:rsidR="004D4F34" w:rsidRPr="004D4F34">
        <w:rPr>
          <w:rFonts w:ascii="Arial" w:hAnsi="Arial" w:cs="Arial"/>
          <w:sz w:val="22"/>
          <w:szCs w:val="22"/>
        </w:rPr>
        <w:t xml:space="preserve">sensibilisation </w:t>
      </w:r>
      <w:r w:rsidR="004D4F34">
        <w:rPr>
          <w:rFonts w:ascii="Arial" w:hAnsi="Arial" w:cs="Arial"/>
          <w:sz w:val="22"/>
          <w:szCs w:val="22"/>
        </w:rPr>
        <w:t>à l’importance de l’</w:t>
      </w:r>
      <w:r w:rsidR="004D4F34" w:rsidRPr="004D4F34">
        <w:rPr>
          <w:rFonts w:ascii="Arial" w:hAnsi="Arial" w:cs="Arial"/>
          <w:sz w:val="22"/>
          <w:szCs w:val="22"/>
        </w:rPr>
        <w:t>environnement</w:t>
      </w:r>
      <w:r w:rsidR="004D4F34">
        <w:rPr>
          <w:rFonts w:ascii="Arial" w:hAnsi="Arial" w:cs="Arial"/>
          <w:sz w:val="22"/>
          <w:szCs w:val="22"/>
        </w:rPr>
        <w:t xml:space="preserve"> et </w:t>
      </w:r>
      <w:r w:rsidR="005465CD">
        <w:rPr>
          <w:rFonts w:ascii="Arial" w:hAnsi="Arial" w:cs="Arial"/>
          <w:sz w:val="22"/>
          <w:szCs w:val="22"/>
        </w:rPr>
        <w:t xml:space="preserve">de </w:t>
      </w:r>
      <w:r w:rsidR="004D4F34">
        <w:rPr>
          <w:rFonts w:ascii="Arial" w:hAnsi="Arial" w:cs="Arial"/>
          <w:sz w:val="22"/>
          <w:szCs w:val="22"/>
        </w:rPr>
        <w:t xml:space="preserve">ses ressources pour le </w:t>
      </w:r>
      <w:r w:rsidR="004D4F34" w:rsidRPr="004D4F34">
        <w:rPr>
          <w:rFonts w:ascii="Arial" w:hAnsi="Arial" w:cs="Arial"/>
          <w:sz w:val="22"/>
          <w:szCs w:val="22"/>
        </w:rPr>
        <w:t>patrimoine</w:t>
      </w:r>
      <w:r w:rsidR="004D4F34">
        <w:rPr>
          <w:rFonts w:ascii="Arial" w:hAnsi="Arial" w:cs="Arial"/>
          <w:sz w:val="22"/>
          <w:szCs w:val="22"/>
        </w:rPr>
        <w:t xml:space="preserve"> </w:t>
      </w:r>
      <w:r w:rsidR="004D4F34" w:rsidRPr="004D4F34">
        <w:rPr>
          <w:rFonts w:ascii="Arial" w:hAnsi="Arial" w:cs="Arial"/>
          <w:sz w:val="22"/>
          <w:szCs w:val="22"/>
        </w:rPr>
        <w:t>immatériel</w:t>
      </w:r>
      <w:r w:rsidR="004D4F34">
        <w:rPr>
          <w:rFonts w:ascii="Arial" w:hAnsi="Arial" w:cs="Arial"/>
          <w:sz w:val="22"/>
          <w:szCs w:val="22"/>
        </w:rPr>
        <w:t xml:space="preserve"> est un des axes du Projet de </w:t>
      </w:r>
      <w:r w:rsidR="004D4F34" w:rsidRPr="004D4F34">
        <w:rPr>
          <w:rFonts w:ascii="Arial" w:hAnsi="Arial" w:cs="Arial"/>
          <w:sz w:val="22"/>
          <w:szCs w:val="22"/>
        </w:rPr>
        <w:t>sauvegarde</w:t>
      </w:r>
      <w:r w:rsidR="004D4F34">
        <w:rPr>
          <w:rFonts w:ascii="Arial" w:hAnsi="Arial" w:cs="Arial"/>
          <w:sz w:val="22"/>
          <w:szCs w:val="22"/>
        </w:rPr>
        <w:t xml:space="preserve"> qui diffuse de la </w:t>
      </w:r>
      <w:r w:rsidR="004D4F34" w:rsidRPr="004D4F34">
        <w:rPr>
          <w:rFonts w:ascii="Arial" w:hAnsi="Arial" w:cs="Arial"/>
          <w:sz w:val="22"/>
          <w:szCs w:val="22"/>
        </w:rPr>
        <w:t>documentation</w:t>
      </w:r>
      <w:r w:rsidR="004D4F34">
        <w:rPr>
          <w:rFonts w:ascii="Arial" w:hAnsi="Arial" w:cs="Arial"/>
          <w:sz w:val="22"/>
          <w:szCs w:val="22"/>
        </w:rPr>
        <w:t xml:space="preserve"> dans les </w:t>
      </w:r>
      <w:r w:rsidR="004D4F34" w:rsidRPr="004D4F34">
        <w:rPr>
          <w:rFonts w:ascii="Arial" w:hAnsi="Arial" w:cs="Arial"/>
          <w:sz w:val="22"/>
          <w:szCs w:val="22"/>
        </w:rPr>
        <w:t>communauté</w:t>
      </w:r>
      <w:r w:rsidR="004D4F34">
        <w:rPr>
          <w:rFonts w:ascii="Arial" w:hAnsi="Arial" w:cs="Arial"/>
          <w:sz w:val="22"/>
          <w:szCs w:val="22"/>
        </w:rPr>
        <w:t xml:space="preserve">s et réalise des enregistrements des dépositaires de connaissances sur la nécessité de préserver la pharmacopée naturelle et de conserver les ressources naturelles ; les espèces de plantes menacées sont conservées </w:t>
      </w:r>
      <w:r w:rsidR="00E463A7">
        <w:rPr>
          <w:rFonts w:ascii="Arial" w:hAnsi="Arial" w:cs="Arial"/>
          <w:sz w:val="22"/>
          <w:szCs w:val="22"/>
        </w:rPr>
        <w:t xml:space="preserve">dans des parcelles réservées et les autorités travaillent en </w:t>
      </w:r>
      <w:r w:rsidR="00E463A7" w:rsidRPr="00E463A7">
        <w:rPr>
          <w:rFonts w:ascii="Arial" w:hAnsi="Arial" w:cs="Arial"/>
          <w:sz w:val="22"/>
          <w:szCs w:val="22"/>
        </w:rPr>
        <w:t>coopération</w:t>
      </w:r>
      <w:r w:rsidR="00E463A7">
        <w:rPr>
          <w:rFonts w:ascii="Arial" w:hAnsi="Arial" w:cs="Arial"/>
          <w:sz w:val="22"/>
          <w:szCs w:val="22"/>
        </w:rPr>
        <w:t xml:space="preserve"> avec les communautés côtières afin de protéger les espèces grâce aux coutumes et aux traditions.</w:t>
      </w:r>
    </w:p>
    <w:p w14:paraId="10FDB5F1" w14:textId="3A76603C" w:rsidR="00DA5CAF" w:rsidRPr="00001995" w:rsidRDefault="005465CD" w:rsidP="0000749D">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En ce qui concerne la </w:t>
      </w:r>
      <w:r w:rsidRPr="005465CD">
        <w:rPr>
          <w:rFonts w:ascii="Arial" w:hAnsi="Arial" w:cs="Arial"/>
          <w:b/>
          <w:sz w:val="22"/>
          <w:szCs w:val="22"/>
        </w:rPr>
        <w:t>coopération bilatérale, sous-régionale, régionale et international</w:t>
      </w:r>
      <w:r>
        <w:rPr>
          <w:rFonts w:ascii="Arial" w:hAnsi="Arial" w:cs="Arial"/>
          <w:b/>
          <w:sz w:val="22"/>
          <w:szCs w:val="22"/>
        </w:rPr>
        <w:t>e</w:t>
      </w:r>
      <w:r>
        <w:rPr>
          <w:rFonts w:ascii="Arial" w:hAnsi="Arial" w:cs="Arial"/>
          <w:sz w:val="22"/>
          <w:szCs w:val="22"/>
        </w:rPr>
        <w:t xml:space="preserve">, le Bureau de l’UNESCO à San José, </w:t>
      </w:r>
      <w:r w:rsidR="005565B8">
        <w:rPr>
          <w:rFonts w:ascii="Arial" w:hAnsi="Arial" w:cs="Arial"/>
          <w:sz w:val="22"/>
          <w:szCs w:val="22"/>
        </w:rPr>
        <w:t>qui couvre</w:t>
      </w:r>
      <w:r>
        <w:rPr>
          <w:rFonts w:ascii="Arial" w:hAnsi="Arial" w:cs="Arial"/>
          <w:sz w:val="22"/>
          <w:szCs w:val="22"/>
        </w:rPr>
        <w:t xml:space="preserve"> le Panama, a organisé un atelier de renforcement des capacités en 2015 et, la même année, le MCI a organisé un congrès international sur le patrimoine culturel immatériel</w:t>
      </w:r>
      <w:r w:rsidR="0000749D">
        <w:rPr>
          <w:rFonts w:ascii="Arial" w:hAnsi="Arial" w:cs="Arial"/>
          <w:sz w:val="22"/>
          <w:szCs w:val="22"/>
        </w:rPr>
        <w:t xml:space="preserve">, </w:t>
      </w:r>
      <w:r>
        <w:rPr>
          <w:rFonts w:ascii="Arial" w:hAnsi="Arial" w:cs="Arial"/>
          <w:sz w:val="22"/>
          <w:szCs w:val="22"/>
        </w:rPr>
        <w:t xml:space="preserve">en </w:t>
      </w:r>
      <w:r w:rsidRPr="005465CD">
        <w:rPr>
          <w:rFonts w:ascii="Arial" w:hAnsi="Arial" w:cs="Arial"/>
          <w:sz w:val="22"/>
          <w:szCs w:val="22"/>
        </w:rPr>
        <w:t>coopération</w:t>
      </w:r>
      <w:r>
        <w:rPr>
          <w:rFonts w:ascii="Arial" w:hAnsi="Arial" w:cs="Arial"/>
          <w:sz w:val="22"/>
          <w:szCs w:val="22"/>
        </w:rPr>
        <w:t xml:space="preserve"> avec la Colombie, le Venezuela, l’Équateur, l’UNESCO et l’OMPI</w:t>
      </w:r>
      <w:r w:rsidR="0000749D">
        <w:rPr>
          <w:rFonts w:ascii="Arial" w:hAnsi="Arial" w:cs="Arial"/>
          <w:sz w:val="22"/>
          <w:szCs w:val="22"/>
        </w:rPr>
        <w:t>,</w:t>
      </w:r>
      <w:r>
        <w:rPr>
          <w:rFonts w:ascii="Arial" w:hAnsi="Arial" w:cs="Arial"/>
          <w:sz w:val="22"/>
          <w:szCs w:val="22"/>
        </w:rPr>
        <w:t xml:space="preserve"> qui a débouché sur la création d’un réseau de contacts régionaux dans le domaine de la </w:t>
      </w:r>
      <w:r w:rsidRPr="005465CD">
        <w:rPr>
          <w:rFonts w:ascii="Arial" w:hAnsi="Arial" w:cs="Arial"/>
          <w:sz w:val="22"/>
          <w:szCs w:val="22"/>
        </w:rPr>
        <w:t>sauvegarde</w:t>
      </w:r>
      <w:r>
        <w:rPr>
          <w:rFonts w:ascii="Arial" w:hAnsi="Arial" w:cs="Arial"/>
          <w:sz w:val="22"/>
          <w:szCs w:val="22"/>
        </w:rPr>
        <w:t xml:space="preserve"> du </w:t>
      </w:r>
      <w:r w:rsidRPr="005465CD">
        <w:rPr>
          <w:rFonts w:ascii="Arial" w:hAnsi="Arial" w:cs="Arial"/>
          <w:sz w:val="22"/>
          <w:szCs w:val="22"/>
        </w:rPr>
        <w:t>patrimoine</w:t>
      </w:r>
      <w:r>
        <w:rPr>
          <w:rFonts w:ascii="Arial" w:hAnsi="Arial" w:cs="Arial"/>
          <w:sz w:val="22"/>
          <w:szCs w:val="22"/>
        </w:rPr>
        <w:t xml:space="preserve"> </w:t>
      </w:r>
      <w:r w:rsidRPr="005465CD">
        <w:rPr>
          <w:rFonts w:ascii="Arial" w:hAnsi="Arial" w:cs="Arial"/>
          <w:sz w:val="22"/>
          <w:szCs w:val="22"/>
        </w:rPr>
        <w:t>immatériel</w:t>
      </w:r>
      <w:r>
        <w:rPr>
          <w:rFonts w:ascii="Arial" w:hAnsi="Arial" w:cs="Arial"/>
          <w:sz w:val="22"/>
          <w:szCs w:val="22"/>
        </w:rPr>
        <w:t xml:space="preserve">. </w:t>
      </w:r>
      <w:r w:rsidR="0000749D" w:rsidRPr="0000749D">
        <w:rPr>
          <w:rFonts w:ascii="Arial" w:hAnsi="Arial" w:cs="Arial"/>
          <w:sz w:val="22"/>
          <w:szCs w:val="22"/>
        </w:rPr>
        <w:t>Également</w:t>
      </w:r>
      <w:r w:rsidR="0000749D">
        <w:rPr>
          <w:rFonts w:ascii="Arial" w:hAnsi="Arial" w:cs="Arial"/>
          <w:sz w:val="22"/>
          <w:szCs w:val="22"/>
        </w:rPr>
        <w:t xml:space="preserve"> en 2015, les </w:t>
      </w:r>
      <w:r w:rsidR="0000749D" w:rsidRPr="0000749D">
        <w:rPr>
          <w:rFonts w:ascii="Arial" w:hAnsi="Arial" w:cs="Arial"/>
          <w:sz w:val="22"/>
          <w:szCs w:val="22"/>
        </w:rPr>
        <w:t>spécialistes</w:t>
      </w:r>
      <w:r w:rsidR="0000749D">
        <w:rPr>
          <w:rFonts w:ascii="Arial" w:hAnsi="Arial" w:cs="Arial"/>
          <w:sz w:val="22"/>
          <w:szCs w:val="22"/>
        </w:rPr>
        <w:t xml:space="preserve"> du </w:t>
      </w:r>
      <w:r w:rsidR="0000749D" w:rsidRPr="0000749D">
        <w:rPr>
          <w:rFonts w:ascii="Arial" w:hAnsi="Arial" w:cs="Arial"/>
          <w:i/>
          <w:sz w:val="22"/>
          <w:szCs w:val="22"/>
        </w:rPr>
        <w:t>mole</w:t>
      </w:r>
      <w:r w:rsidR="0000749D">
        <w:rPr>
          <w:rFonts w:ascii="Arial" w:hAnsi="Arial" w:cs="Arial"/>
          <w:sz w:val="22"/>
          <w:szCs w:val="22"/>
        </w:rPr>
        <w:t xml:space="preserve"> </w:t>
      </w:r>
      <w:r w:rsidR="005565B8">
        <w:rPr>
          <w:rFonts w:ascii="Arial" w:hAnsi="Arial" w:cs="Arial"/>
          <w:sz w:val="22"/>
          <w:szCs w:val="22"/>
        </w:rPr>
        <w:t xml:space="preserve">en Colombie et au Panama </w:t>
      </w:r>
      <w:r w:rsidR="0000749D">
        <w:rPr>
          <w:rFonts w:ascii="Arial" w:hAnsi="Arial" w:cs="Arial"/>
          <w:sz w:val="22"/>
          <w:szCs w:val="22"/>
        </w:rPr>
        <w:t xml:space="preserve">se sont rencontrés pour étudier la faisabilité de cette industrie artisanale et les moyens de sa protection par des droits de </w:t>
      </w:r>
      <w:r w:rsidR="0000749D" w:rsidRPr="0000749D">
        <w:rPr>
          <w:rFonts w:ascii="Arial" w:hAnsi="Arial" w:cs="Arial"/>
          <w:sz w:val="22"/>
          <w:szCs w:val="22"/>
        </w:rPr>
        <w:t>propriété</w:t>
      </w:r>
      <w:r w:rsidR="0000749D">
        <w:rPr>
          <w:rFonts w:ascii="Arial" w:hAnsi="Arial" w:cs="Arial"/>
          <w:sz w:val="22"/>
          <w:szCs w:val="22"/>
        </w:rPr>
        <w:t xml:space="preserve"> </w:t>
      </w:r>
      <w:r w:rsidR="0000749D" w:rsidRPr="0000749D">
        <w:rPr>
          <w:rFonts w:ascii="Arial" w:hAnsi="Arial" w:cs="Arial"/>
          <w:sz w:val="22"/>
          <w:szCs w:val="22"/>
        </w:rPr>
        <w:t>intellectuelle</w:t>
      </w:r>
      <w:r w:rsidR="0000749D">
        <w:rPr>
          <w:rFonts w:ascii="Arial" w:hAnsi="Arial" w:cs="Arial"/>
          <w:sz w:val="22"/>
          <w:szCs w:val="22"/>
        </w:rPr>
        <w:t xml:space="preserve">. Des documentaires et une capsule vidéo sur cet élément au Panama ont été transmises à la Colombie afin d’échanger des </w:t>
      </w:r>
      <w:r w:rsidR="0000749D" w:rsidRPr="0000749D">
        <w:rPr>
          <w:rFonts w:ascii="Arial" w:hAnsi="Arial" w:cs="Arial"/>
          <w:sz w:val="22"/>
          <w:szCs w:val="22"/>
        </w:rPr>
        <w:t>informations</w:t>
      </w:r>
      <w:r w:rsidR="0000749D">
        <w:rPr>
          <w:rFonts w:ascii="Arial" w:hAnsi="Arial" w:cs="Arial"/>
          <w:sz w:val="22"/>
          <w:szCs w:val="22"/>
        </w:rPr>
        <w:t xml:space="preserve"> sur ce </w:t>
      </w:r>
      <w:r w:rsidR="0000749D" w:rsidRPr="0000749D">
        <w:rPr>
          <w:rFonts w:ascii="Arial" w:hAnsi="Arial" w:cs="Arial"/>
          <w:sz w:val="22"/>
          <w:szCs w:val="22"/>
        </w:rPr>
        <w:t>patrimoine</w:t>
      </w:r>
      <w:r w:rsidR="0000749D">
        <w:rPr>
          <w:rFonts w:ascii="Arial" w:hAnsi="Arial" w:cs="Arial"/>
          <w:sz w:val="22"/>
          <w:szCs w:val="22"/>
        </w:rPr>
        <w:t xml:space="preserve"> partagé et de vérifier les </w:t>
      </w:r>
      <w:r w:rsidR="005972E1">
        <w:rPr>
          <w:rFonts w:ascii="Arial" w:hAnsi="Arial" w:cs="Arial"/>
          <w:sz w:val="22"/>
          <w:szCs w:val="22"/>
        </w:rPr>
        <w:t xml:space="preserve">aspects </w:t>
      </w:r>
      <w:r w:rsidR="0000749D">
        <w:rPr>
          <w:rFonts w:ascii="Arial" w:hAnsi="Arial" w:cs="Arial"/>
          <w:sz w:val="22"/>
          <w:szCs w:val="22"/>
        </w:rPr>
        <w:t xml:space="preserve">communs aux deux pays </w:t>
      </w:r>
      <w:r w:rsidR="0000749D" w:rsidRPr="008F4FA7">
        <w:rPr>
          <w:rFonts w:ascii="Arial" w:hAnsi="Arial" w:cs="Arial"/>
          <w:sz w:val="22"/>
          <w:szCs w:val="22"/>
        </w:rPr>
        <w:t>ainsi que les variations observées a</w:t>
      </w:r>
      <w:r w:rsidR="00CD250A" w:rsidRPr="008F4FA7">
        <w:rPr>
          <w:rFonts w:ascii="Arial" w:hAnsi="Arial" w:cs="Arial"/>
          <w:sz w:val="22"/>
          <w:szCs w:val="22"/>
        </w:rPr>
        <w:t>u fil du temps. Enfin, le</w:t>
      </w:r>
      <w:r w:rsidR="005972E1" w:rsidRPr="008F4FA7">
        <w:rPr>
          <w:rFonts w:ascii="Arial" w:hAnsi="Arial" w:cs="Arial"/>
          <w:sz w:val="22"/>
          <w:szCs w:val="22"/>
        </w:rPr>
        <w:t xml:space="preserve"> Panama</w:t>
      </w:r>
      <w:r w:rsidR="0000749D" w:rsidRPr="008F4FA7">
        <w:rPr>
          <w:rFonts w:ascii="Arial" w:hAnsi="Arial" w:cs="Arial"/>
          <w:sz w:val="22"/>
          <w:szCs w:val="22"/>
        </w:rPr>
        <w:t xml:space="preserve"> se prépare à devenir membre du Centre régional pour la sauvegarde du patrimoine culturel immatériel d</w:t>
      </w:r>
      <w:r w:rsidR="008F4FA7" w:rsidRPr="00D4732D">
        <w:rPr>
          <w:rFonts w:ascii="Arial" w:hAnsi="Arial" w:cs="Arial"/>
          <w:sz w:val="22"/>
          <w:szCs w:val="22"/>
        </w:rPr>
        <w:t>e l</w:t>
      </w:r>
      <w:r w:rsidR="0000749D" w:rsidRPr="008F4FA7">
        <w:rPr>
          <w:rFonts w:ascii="Arial" w:hAnsi="Arial" w:cs="Arial"/>
          <w:sz w:val="22"/>
          <w:szCs w:val="22"/>
        </w:rPr>
        <w:t>’Amérique latine (CRESP</w:t>
      </w:r>
      <w:r w:rsidR="005565B8" w:rsidRPr="008F4FA7">
        <w:rPr>
          <w:rFonts w:ascii="Arial" w:hAnsi="Arial" w:cs="Arial"/>
          <w:sz w:val="22"/>
          <w:szCs w:val="22"/>
        </w:rPr>
        <w:t>I</w:t>
      </w:r>
      <w:r w:rsidR="0000749D" w:rsidRPr="008F4FA7">
        <w:rPr>
          <w:rFonts w:ascii="Arial" w:hAnsi="Arial" w:cs="Arial"/>
          <w:sz w:val="22"/>
          <w:szCs w:val="22"/>
        </w:rPr>
        <w:t>AL, un centre de catégorie 2 basé au Pérou) afin de développer sa</w:t>
      </w:r>
      <w:r w:rsidR="0000749D">
        <w:rPr>
          <w:rFonts w:ascii="Arial" w:hAnsi="Arial" w:cs="Arial"/>
          <w:sz w:val="22"/>
          <w:szCs w:val="22"/>
        </w:rPr>
        <w:t xml:space="preserve"> </w:t>
      </w:r>
      <w:r w:rsidR="0000749D" w:rsidRPr="0000749D">
        <w:rPr>
          <w:rFonts w:ascii="Arial" w:hAnsi="Arial" w:cs="Arial"/>
          <w:sz w:val="22"/>
          <w:szCs w:val="22"/>
        </w:rPr>
        <w:t>coopération</w:t>
      </w:r>
      <w:r w:rsidR="0000749D">
        <w:rPr>
          <w:rFonts w:ascii="Arial" w:hAnsi="Arial" w:cs="Arial"/>
          <w:sz w:val="22"/>
          <w:szCs w:val="22"/>
        </w:rPr>
        <w:t xml:space="preserve"> </w:t>
      </w:r>
      <w:r w:rsidR="0000749D" w:rsidRPr="0000749D">
        <w:rPr>
          <w:rFonts w:ascii="Arial" w:hAnsi="Arial" w:cs="Arial"/>
          <w:sz w:val="22"/>
          <w:szCs w:val="22"/>
        </w:rPr>
        <w:t>int</w:t>
      </w:r>
      <w:r w:rsidR="005972E1">
        <w:rPr>
          <w:rFonts w:ascii="Arial" w:hAnsi="Arial" w:cs="Arial"/>
          <w:sz w:val="22"/>
          <w:szCs w:val="22"/>
        </w:rPr>
        <w:t>ernationale</w:t>
      </w:r>
      <w:r w:rsidR="0000749D">
        <w:rPr>
          <w:rFonts w:ascii="Arial" w:hAnsi="Arial" w:cs="Arial"/>
          <w:sz w:val="22"/>
          <w:szCs w:val="22"/>
        </w:rPr>
        <w:t>, de partager des expérien</w:t>
      </w:r>
      <w:r w:rsidR="005972E1">
        <w:rPr>
          <w:rFonts w:ascii="Arial" w:hAnsi="Arial" w:cs="Arial"/>
          <w:sz w:val="22"/>
          <w:szCs w:val="22"/>
        </w:rPr>
        <w:t>ces et de mettre en place la formation de son</w:t>
      </w:r>
      <w:r w:rsidR="00001995">
        <w:rPr>
          <w:rFonts w:ascii="Arial" w:hAnsi="Arial" w:cs="Arial"/>
          <w:sz w:val="22"/>
          <w:szCs w:val="22"/>
        </w:rPr>
        <w:t xml:space="preserve"> personnel.</w:t>
      </w:r>
    </w:p>
    <w:p w14:paraId="2121C498" w14:textId="4FDC4D03" w:rsidR="00745AFF" w:rsidRPr="00001995" w:rsidRDefault="0000749D" w:rsidP="00001995">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Le Panama n’a </w:t>
      </w:r>
      <w:r w:rsidR="00CD250A">
        <w:rPr>
          <w:rFonts w:ascii="Arial" w:hAnsi="Arial" w:cs="Arial"/>
          <w:b/>
          <w:sz w:val="22"/>
          <w:szCs w:val="22"/>
        </w:rPr>
        <w:t>aucun élément inscrit s</w:t>
      </w:r>
      <w:r w:rsidRPr="0000749D">
        <w:rPr>
          <w:rFonts w:ascii="Arial" w:hAnsi="Arial" w:cs="Arial"/>
          <w:b/>
          <w:sz w:val="22"/>
          <w:szCs w:val="22"/>
        </w:rPr>
        <w:t>ur la Liste représentative</w:t>
      </w:r>
      <w:r w:rsidR="00001995">
        <w:rPr>
          <w:rFonts w:ascii="Arial" w:hAnsi="Arial" w:cs="Arial"/>
          <w:sz w:val="22"/>
          <w:szCs w:val="22"/>
        </w:rPr>
        <w:t>.</w:t>
      </w:r>
    </w:p>
    <w:p w14:paraId="277FB9C9" w14:textId="77777777" w:rsidR="00745AFF" w:rsidRPr="00E91845" w:rsidRDefault="00745AFF" w:rsidP="00745AFF">
      <w:pPr>
        <w:pStyle w:val="ListParagraph"/>
        <w:keepNext/>
        <w:pageBreakBefore/>
        <w:numPr>
          <w:ilvl w:val="3"/>
          <w:numId w:val="13"/>
        </w:numPr>
        <w:tabs>
          <w:tab w:val="left" w:pos="1134"/>
        </w:tabs>
        <w:autoSpaceDE w:val="0"/>
        <w:autoSpaceDN w:val="0"/>
        <w:adjustRightInd w:val="0"/>
        <w:spacing w:after="360"/>
        <w:ind w:left="1134" w:hanging="567"/>
        <w:rPr>
          <w:rFonts w:ascii="Arial" w:hAnsi="Arial" w:cs="Arial"/>
          <w:b/>
          <w:caps/>
          <w:sz w:val="22"/>
          <w:szCs w:val="22"/>
        </w:rPr>
      </w:pPr>
      <w:r w:rsidRPr="00E91845">
        <w:rPr>
          <w:rFonts w:ascii="Arial" w:hAnsi="Arial" w:cs="Arial"/>
          <w:b/>
          <w:caps/>
          <w:sz w:val="22"/>
          <w:szCs w:val="22"/>
        </w:rPr>
        <w:lastRenderedPageBreak/>
        <w:t>UKRAINE</w:t>
      </w:r>
    </w:p>
    <w:p w14:paraId="571779AD" w14:textId="376E86FC" w:rsidR="00E91845" w:rsidRPr="00001995" w:rsidRDefault="00E91845"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L’Ukraine est devenue </w:t>
      </w:r>
      <w:r w:rsidRPr="00E91845">
        <w:rPr>
          <w:rFonts w:ascii="Arial" w:hAnsi="Arial" w:cs="Arial"/>
          <w:sz w:val="22"/>
          <w:szCs w:val="22"/>
        </w:rPr>
        <w:t>État partie</w:t>
      </w:r>
      <w:r>
        <w:rPr>
          <w:rFonts w:ascii="Arial" w:hAnsi="Arial" w:cs="Arial"/>
          <w:sz w:val="22"/>
          <w:szCs w:val="22"/>
        </w:rPr>
        <w:t xml:space="preserve"> à la </w:t>
      </w:r>
      <w:r w:rsidRPr="00E91845">
        <w:rPr>
          <w:rFonts w:ascii="Arial" w:hAnsi="Arial" w:cs="Arial"/>
          <w:sz w:val="22"/>
          <w:szCs w:val="22"/>
        </w:rPr>
        <w:t>Convention</w:t>
      </w:r>
      <w:r>
        <w:rPr>
          <w:rFonts w:ascii="Arial" w:hAnsi="Arial" w:cs="Arial"/>
          <w:sz w:val="22"/>
          <w:szCs w:val="22"/>
        </w:rPr>
        <w:t xml:space="preserve"> de 2003 en 2008. </w:t>
      </w:r>
      <w:r w:rsidRPr="00E91845">
        <w:rPr>
          <w:rFonts w:ascii="Arial" w:hAnsi="Arial" w:cs="Arial"/>
          <w:sz w:val="22"/>
          <w:szCs w:val="22"/>
        </w:rPr>
        <w:t>L’</w:t>
      </w:r>
      <w:r w:rsidRPr="00E91845">
        <w:rPr>
          <w:rFonts w:ascii="Arial" w:hAnsi="Arial" w:cs="Arial"/>
          <w:b/>
          <w:sz w:val="22"/>
          <w:szCs w:val="22"/>
        </w:rPr>
        <w:t>organe compétent</w:t>
      </w:r>
      <w:r>
        <w:rPr>
          <w:rFonts w:ascii="Arial" w:hAnsi="Arial" w:cs="Arial"/>
          <w:sz w:val="22"/>
          <w:szCs w:val="22"/>
        </w:rPr>
        <w:t xml:space="preserve"> en matière de </w:t>
      </w:r>
      <w:r w:rsidRPr="00E91845">
        <w:rPr>
          <w:rFonts w:ascii="Arial" w:hAnsi="Arial" w:cs="Arial"/>
          <w:sz w:val="22"/>
          <w:szCs w:val="22"/>
        </w:rPr>
        <w:t>sauvegarde</w:t>
      </w:r>
      <w:r>
        <w:rPr>
          <w:rFonts w:ascii="Arial" w:hAnsi="Arial" w:cs="Arial"/>
          <w:sz w:val="22"/>
          <w:szCs w:val="22"/>
        </w:rPr>
        <w:t xml:space="preserve"> du patrimoine culturel immatériel est le Centre ukrainien des études culturelles qui dépend du </w:t>
      </w:r>
      <w:r w:rsidRPr="00E91845">
        <w:rPr>
          <w:rFonts w:ascii="Arial" w:hAnsi="Arial" w:cs="Arial"/>
          <w:sz w:val="22"/>
          <w:szCs w:val="22"/>
        </w:rPr>
        <w:t>Ministère</w:t>
      </w:r>
      <w:r>
        <w:rPr>
          <w:rFonts w:ascii="Arial" w:hAnsi="Arial" w:cs="Arial"/>
          <w:sz w:val="22"/>
          <w:szCs w:val="22"/>
        </w:rPr>
        <w:t xml:space="preserve"> de la culture. Il existe </w:t>
      </w:r>
      <w:r w:rsidRPr="00E91845">
        <w:rPr>
          <w:rFonts w:ascii="Arial" w:hAnsi="Arial" w:cs="Arial"/>
          <w:sz w:val="22"/>
          <w:szCs w:val="22"/>
        </w:rPr>
        <w:t>également</w:t>
      </w:r>
      <w:r>
        <w:rPr>
          <w:rFonts w:ascii="Arial" w:hAnsi="Arial" w:cs="Arial"/>
          <w:sz w:val="22"/>
          <w:szCs w:val="22"/>
        </w:rPr>
        <w:t xml:space="preserve"> 11 commissions régionales qui, entre autres tâches, établissent des Registres régionaux du patrimoine culturel immatériel. En ce qui concerne la </w:t>
      </w:r>
      <w:r w:rsidRPr="00D4732D">
        <w:rPr>
          <w:rFonts w:ascii="Arial" w:hAnsi="Arial" w:cs="Arial"/>
          <w:b/>
          <w:sz w:val="22"/>
          <w:szCs w:val="22"/>
        </w:rPr>
        <w:t>politique</w:t>
      </w:r>
      <w:r>
        <w:rPr>
          <w:rFonts w:ascii="Arial" w:hAnsi="Arial" w:cs="Arial"/>
          <w:sz w:val="22"/>
          <w:szCs w:val="22"/>
        </w:rPr>
        <w:t xml:space="preserve"> générale, l’</w:t>
      </w:r>
      <w:r w:rsidRPr="00E91845">
        <w:rPr>
          <w:rFonts w:ascii="Arial" w:hAnsi="Arial" w:cs="Arial"/>
          <w:sz w:val="22"/>
          <w:szCs w:val="22"/>
        </w:rPr>
        <w:t>enregistrement</w:t>
      </w:r>
      <w:r>
        <w:rPr>
          <w:rFonts w:ascii="Arial" w:hAnsi="Arial" w:cs="Arial"/>
          <w:sz w:val="22"/>
          <w:szCs w:val="22"/>
        </w:rPr>
        <w:t xml:space="preserve"> et la diffusion du patrimoine culturel immatériel est une priorité définie dans la </w:t>
      </w:r>
      <w:r w:rsidRPr="00E91845">
        <w:rPr>
          <w:rFonts w:ascii="Arial" w:hAnsi="Arial" w:cs="Arial"/>
          <w:sz w:val="22"/>
          <w:szCs w:val="22"/>
        </w:rPr>
        <w:t>stratégie</w:t>
      </w:r>
      <w:r>
        <w:rPr>
          <w:rFonts w:ascii="Arial" w:hAnsi="Arial" w:cs="Arial"/>
          <w:sz w:val="22"/>
          <w:szCs w:val="22"/>
        </w:rPr>
        <w:t xml:space="preserve"> à long terme de </w:t>
      </w:r>
      <w:r w:rsidRPr="00E91845">
        <w:rPr>
          <w:rFonts w:ascii="Arial" w:hAnsi="Arial" w:cs="Arial"/>
          <w:sz w:val="22"/>
          <w:szCs w:val="22"/>
        </w:rPr>
        <w:t>développement</w:t>
      </w:r>
      <w:r>
        <w:rPr>
          <w:rFonts w:ascii="Arial" w:hAnsi="Arial" w:cs="Arial"/>
          <w:sz w:val="22"/>
          <w:szCs w:val="22"/>
        </w:rPr>
        <w:t xml:space="preserve"> culturel élaborée en 2015 qui </w:t>
      </w:r>
      <w:r w:rsidRPr="00E91845">
        <w:rPr>
          <w:rFonts w:ascii="Arial" w:hAnsi="Arial" w:cs="Arial"/>
          <w:sz w:val="22"/>
          <w:szCs w:val="22"/>
        </w:rPr>
        <w:t>constitue</w:t>
      </w:r>
      <w:r>
        <w:rPr>
          <w:rFonts w:ascii="Arial" w:hAnsi="Arial" w:cs="Arial"/>
          <w:sz w:val="22"/>
          <w:szCs w:val="22"/>
        </w:rPr>
        <w:t xml:space="preserve"> un moyen important pour préserver et renforcer l’identité nationale et</w:t>
      </w:r>
      <w:r w:rsidR="00001995">
        <w:rPr>
          <w:rFonts w:ascii="Arial" w:hAnsi="Arial" w:cs="Arial"/>
          <w:sz w:val="22"/>
          <w:szCs w:val="22"/>
        </w:rPr>
        <w:t xml:space="preserve"> garantir les droits culturels.</w:t>
      </w:r>
    </w:p>
    <w:p w14:paraId="02DDEAE6" w14:textId="1479F511" w:rsidR="00E91845" w:rsidRPr="00001995" w:rsidRDefault="00E91845" w:rsidP="00745AFF">
      <w:pPr>
        <w:autoSpaceDE w:val="0"/>
        <w:autoSpaceDN w:val="0"/>
        <w:adjustRightInd w:val="0"/>
        <w:spacing w:after="120"/>
        <w:ind w:left="567"/>
        <w:jc w:val="both"/>
        <w:rPr>
          <w:rFonts w:ascii="Arial" w:eastAsia="Malgun Gothic" w:hAnsi="Arial" w:cs="Arial"/>
          <w:sz w:val="22"/>
          <w:szCs w:val="22"/>
          <w:lang w:eastAsia="ko-KR"/>
        </w:rPr>
      </w:pPr>
      <w:r w:rsidRPr="00E91845">
        <w:rPr>
          <w:rFonts w:ascii="Arial" w:hAnsi="Arial" w:cs="Arial"/>
          <w:sz w:val="22"/>
          <w:szCs w:val="22"/>
        </w:rPr>
        <w:t>S’agissant</w:t>
      </w:r>
      <w:r>
        <w:rPr>
          <w:rFonts w:ascii="Arial" w:hAnsi="Arial" w:cs="Arial"/>
          <w:sz w:val="22"/>
          <w:szCs w:val="22"/>
        </w:rPr>
        <w:t xml:space="preserve"> de la </w:t>
      </w:r>
      <w:r w:rsidRPr="00755FDC">
        <w:rPr>
          <w:rFonts w:ascii="Arial" w:hAnsi="Arial" w:cs="Arial"/>
          <w:b/>
          <w:sz w:val="22"/>
          <w:szCs w:val="22"/>
        </w:rPr>
        <w:t>formation à la gestion du patrimoine culturel immatériel</w:t>
      </w:r>
      <w:r>
        <w:rPr>
          <w:rFonts w:ascii="Arial" w:hAnsi="Arial" w:cs="Arial"/>
          <w:sz w:val="22"/>
          <w:szCs w:val="22"/>
        </w:rPr>
        <w:t xml:space="preserve">, </w:t>
      </w:r>
      <w:r w:rsidR="00755FDC">
        <w:rPr>
          <w:rFonts w:ascii="Arial" w:hAnsi="Arial" w:cs="Arial"/>
          <w:sz w:val="22"/>
          <w:szCs w:val="22"/>
        </w:rPr>
        <w:t>il n’existe à ce jour ni institution spécifique, ni cours de formation mais une conférence nationale qui s’est t</w:t>
      </w:r>
      <w:r w:rsidR="00CD250A">
        <w:rPr>
          <w:rFonts w:ascii="Arial" w:hAnsi="Arial" w:cs="Arial"/>
          <w:sz w:val="22"/>
          <w:szCs w:val="22"/>
        </w:rPr>
        <w:t>enue en décembre 2015 a proposé qu’à partir de 2016</w:t>
      </w:r>
      <w:r w:rsidR="00755FDC">
        <w:rPr>
          <w:rFonts w:ascii="Arial" w:hAnsi="Arial" w:cs="Arial"/>
          <w:sz w:val="22"/>
          <w:szCs w:val="22"/>
        </w:rPr>
        <w:t xml:space="preserve"> des cours de formation destinés aux </w:t>
      </w:r>
      <w:r w:rsidR="00755FDC" w:rsidRPr="00755FDC">
        <w:rPr>
          <w:rFonts w:ascii="Arial" w:hAnsi="Arial" w:cs="Arial"/>
          <w:sz w:val="22"/>
          <w:szCs w:val="22"/>
        </w:rPr>
        <w:t>spécialistes</w:t>
      </w:r>
      <w:r w:rsidR="00755FDC">
        <w:rPr>
          <w:rFonts w:ascii="Arial" w:hAnsi="Arial" w:cs="Arial"/>
          <w:sz w:val="22"/>
          <w:szCs w:val="22"/>
        </w:rPr>
        <w:t xml:space="preserve"> soient organisés dans </w:t>
      </w:r>
      <w:r w:rsidR="00755FDC" w:rsidRPr="008F4FA7">
        <w:rPr>
          <w:rFonts w:ascii="Arial" w:hAnsi="Arial" w:cs="Arial"/>
          <w:sz w:val="22"/>
          <w:szCs w:val="22"/>
        </w:rPr>
        <w:t>les institutions spécialisées</w:t>
      </w:r>
      <w:r w:rsidR="008F4FA7">
        <w:rPr>
          <w:rFonts w:ascii="Arial" w:hAnsi="Arial" w:cs="Arial"/>
          <w:sz w:val="22"/>
          <w:szCs w:val="22"/>
        </w:rPr>
        <w:t xml:space="preserve"> de l’enseignement supérieur</w:t>
      </w:r>
      <w:r w:rsidR="00755FDC">
        <w:rPr>
          <w:rFonts w:ascii="Arial" w:hAnsi="Arial" w:cs="Arial"/>
          <w:sz w:val="22"/>
          <w:szCs w:val="22"/>
        </w:rPr>
        <w:t xml:space="preserve">. Le principal organe en charge de la </w:t>
      </w:r>
      <w:r w:rsidR="00755FDC" w:rsidRPr="00755FDC">
        <w:rPr>
          <w:rFonts w:ascii="Arial" w:hAnsi="Arial" w:cs="Arial"/>
          <w:b/>
          <w:sz w:val="22"/>
          <w:szCs w:val="22"/>
        </w:rPr>
        <w:t>documentation</w:t>
      </w:r>
      <w:r w:rsidR="00755FDC">
        <w:rPr>
          <w:rFonts w:ascii="Arial" w:hAnsi="Arial" w:cs="Arial"/>
          <w:sz w:val="22"/>
          <w:szCs w:val="22"/>
        </w:rPr>
        <w:t xml:space="preserve"> est le Centre ukrainien des études culturelles qui est responsable du soutien </w:t>
      </w:r>
      <w:r w:rsidR="00755FDC" w:rsidRPr="00755FDC">
        <w:rPr>
          <w:rFonts w:ascii="Arial" w:hAnsi="Arial" w:cs="Arial"/>
          <w:sz w:val="22"/>
          <w:szCs w:val="22"/>
        </w:rPr>
        <w:t>scientifique</w:t>
      </w:r>
      <w:r w:rsidR="00755FDC">
        <w:rPr>
          <w:rFonts w:ascii="Arial" w:hAnsi="Arial" w:cs="Arial"/>
          <w:sz w:val="22"/>
          <w:szCs w:val="22"/>
        </w:rPr>
        <w:t xml:space="preserve"> et méthodologique accordé à la mise en œuvre de la </w:t>
      </w:r>
      <w:r w:rsidR="00755FDC" w:rsidRPr="00755FDC">
        <w:rPr>
          <w:rFonts w:ascii="Arial" w:hAnsi="Arial" w:cs="Arial"/>
          <w:sz w:val="22"/>
          <w:szCs w:val="22"/>
        </w:rPr>
        <w:t>Convention</w:t>
      </w:r>
      <w:r w:rsidR="00755FDC">
        <w:rPr>
          <w:rFonts w:ascii="Arial" w:hAnsi="Arial" w:cs="Arial"/>
          <w:sz w:val="22"/>
          <w:szCs w:val="22"/>
        </w:rPr>
        <w:t xml:space="preserve"> de 2003. Parmi les autres organes concernés, on citera le Centre national de culture populaire « Musée Ivan Honchar » et l’Institut M.T. Rylsky d’art, d’étude</w:t>
      </w:r>
      <w:r w:rsidR="00001995">
        <w:rPr>
          <w:rFonts w:ascii="Arial" w:hAnsi="Arial" w:cs="Arial"/>
          <w:sz w:val="22"/>
          <w:szCs w:val="22"/>
        </w:rPr>
        <w:t>s folkloriques et d’ethnologie.</w:t>
      </w:r>
    </w:p>
    <w:p w14:paraId="4DE1B598" w14:textId="1ED993BE" w:rsidR="00312F95" w:rsidRPr="00001995" w:rsidRDefault="00312F95" w:rsidP="00312F95">
      <w:pPr>
        <w:autoSpaceDE w:val="0"/>
        <w:autoSpaceDN w:val="0"/>
        <w:adjustRightInd w:val="0"/>
        <w:spacing w:after="120"/>
        <w:ind w:left="567"/>
        <w:jc w:val="both"/>
        <w:rPr>
          <w:rFonts w:ascii="Arial" w:eastAsia="Malgun Gothic" w:hAnsi="Arial" w:cs="Arial"/>
          <w:sz w:val="22"/>
          <w:szCs w:val="22"/>
          <w:lang w:eastAsia="ko-KR"/>
        </w:rPr>
      </w:pPr>
      <w:r w:rsidRPr="00312F95">
        <w:rPr>
          <w:rFonts w:ascii="Arial" w:hAnsi="Arial" w:cs="Arial"/>
          <w:sz w:val="22"/>
          <w:szCs w:val="22"/>
        </w:rPr>
        <w:t>L’</w:t>
      </w:r>
      <w:r w:rsidRPr="00312F95">
        <w:rPr>
          <w:rFonts w:ascii="Arial" w:hAnsi="Arial" w:cs="Arial"/>
          <w:b/>
          <w:sz w:val="22"/>
          <w:szCs w:val="22"/>
        </w:rPr>
        <w:t>inventaire</w:t>
      </w:r>
      <w:r>
        <w:rPr>
          <w:rFonts w:ascii="Arial" w:hAnsi="Arial" w:cs="Arial"/>
          <w:sz w:val="22"/>
          <w:szCs w:val="22"/>
        </w:rPr>
        <w:t xml:space="preserve"> du patrimoine culturel immatériel ukrainien est dressé dans le cadre du Registre national qui, à l’heure de la rédaction du rapport, contenait cinq éléments</w:t>
      </w:r>
      <w:r w:rsidR="00B81C1F">
        <w:rPr>
          <w:rFonts w:ascii="Arial" w:hAnsi="Arial" w:cs="Arial"/>
          <w:sz w:val="22"/>
          <w:szCs w:val="22"/>
        </w:rPr>
        <w:t>,</w:t>
      </w:r>
      <w:r>
        <w:rPr>
          <w:rFonts w:ascii="Arial" w:hAnsi="Arial" w:cs="Arial"/>
          <w:sz w:val="22"/>
          <w:szCs w:val="22"/>
        </w:rPr>
        <w:t xml:space="preserve"> ainsi que des listes régionales dont les éléments pourront, à l’avenir, être intégrés au Registre national. Les recommandations méthodologiques sur la </w:t>
      </w:r>
      <w:r w:rsidRPr="00312F95">
        <w:rPr>
          <w:rFonts w:ascii="Arial" w:hAnsi="Arial" w:cs="Arial"/>
          <w:sz w:val="22"/>
          <w:szCs w:val="22"/>
        </w:rPr>
        <w:t>préparation</w:t>
      </w:r>
      <w:r>
        <w:rPr>
          <w:rFonts w:ascii="Arial" w:hAnsi="Arial" w:cs="Arial"/>
          <w:sz w:val="22"/>
          <w:szCs w:val="22"/>
        </w:rPr>
        <w:t xml:space="preserve"> et l’</w:t>
      </w:r>
      <w:r w:rsidRPr="00312F95">
        <w:rPr>
          <w:rFonts w:ascii="Arial" w:hAnsi="Arial" w:cs="Arial"/>
          <w:sz w:val="22"/>
          <w:szCs w:val="22"/>
        </w:rPr>
        <w:t>utilisation</w:t>
      </w:r>
      <w:r>
        <w:rPr>
          <w:rFonts w:ascii="Arial" w:hAnsi="Arial" w:cs="Arial"/>
          <w:sz w:val="22"/>
          <w:szCs w:val="22"/>
        </w:rPr>
        <w:t xml:space="preserve"> des formulaires d’inve</w:t>
      </w:r>
      <w:r w:rsidR="00B81C1F">
        <w:rPr>
          <w:rFonts w:ascii="Arial" w:hAnsi="Arial" w:cs="Arial"/>
          <w:sz w:val="22"/>
          <w:szCs w:val="22"/>
        </w:rPr>
        <w:t>ntaire, dont une version en ligne du Registre, ont été rédigées en 2015.</w:t>
      </w:r>
      <w:r>
        <w:rPr>
          <w:rFonts w:ascii="Arial" w:hAnsi="Arial" w:cs="Arial"/>
          <w:sz w:val="22"/>
          <w:szCs w:val="22"/>
        </w:rPr>
        <w:t xml:space="preserve"> Les critères d’inclusion suivent les termes de l’article 2 de la </w:t>
      </w:r>
      <w:r w:rsidRPr="00312F95">
        <w:rPr>
          <w:rFonts w:ascii="Arial" w:hAnsi="Arial" w:cs="Arial"/>
          <w:sz w:val="22"/>
          <w:szCs w:val="22"/>
        </w:rPr>
        <w:t>Convention</w:t>
      </w:r>
      <w:r>
        <w:rPr>
          <w:rFonts w:ascii="Arial" w:hAnsi="Arial" w:cs="Arial"/>
          <w:sz w:val="22"/>
          <w:szCs w:val="22"/>
        </w:rPr>
        <w:t xml:space="preserve"> de 2003. Selon le rapport, la méthode de mise à jour de l’inventaire est en cours d’</w:t>
      </w:r>
      <w:r w:rsidRPr="00312F95">
        <w:rPr>
          <w:rFonts w:ascii="Arial" w:hAnsi="Arial" w:cs="Arial"/>
          <w:sz w:val="22"/>
          <w:szCs w:val="22"/>
          <w:lang w:eastAsia="en-US"/>
        </w:rPr>
        <w:t>élaboration</w:t>
      </w:r>
      <w:r>
        <w:rPr>
          <w:rFonts w:ascii="Arial" w:hAnsi="Arial" w:cs="Arial"/>
          <w:sz w:val="22"/>
          <w:szCs w:val="22"/>
        </w:rPr>
        <w:t xml:space="preserve">. En ce qui concerne l’implication des communautés et la </w:t>
      </w:r>
      <w:r w:rsidRPr="00312F95">
        <w:rPr>
          <w:rFonts w:ascii="Arial" w:hAnsi="Arial" w:cs="Arial"/>
          <w:sz w:val="22"/>
          <w:szCs w:val="22"/>
        </w:rPr>
        <w:t>participation</w:t>
      </w:r>
      <w:r>
        <w:rPr>
          <w:rFonts w:ascii="Arial" w:hAnsi="Arial" w:cs="Arial"/>
          <w:sz w:val="22"/>
          <w:szCs w:val="22"/>
        </w:rPr>
        <w:t xml:space="preserve"> des organisations non gouvernementales à l’</w:t>
      </w:r>
      <w:r w:rsidRPr="00312F95">
        <w:rPr>
          <w:rFonts w:ascii="Arial" w:hAnsi="Arial" w:cs="Arial"/>
          <w:sz w:val="22"/>
          <w:szCs w:val="22"/>
        </w:rPr>
        <w:t>identification</w:t>
      </w:r>
      <w:r>
        <w:rPr>
          <w:rFonts w:ascii="Arial" w:hAnsi="Arial" w:cs="Arial"/>
          <w:sz w:val="22"/>
          <w:szCs w:val="22"/>
        </w:rPr>
        <w:t xml:space="preserve"> et à la </w:t>
      </w:r>
      <w:r w:rsidRPr="00312F95">
        <w:rPr>
          <w:rFonts w:ascii="Arial" w:hAnsi="Arial" w:cs="Arial"/>
          <w:sz w:val="22"/>
          <w:szCs w:val="22"/>
        </w:rPr>
        <w:t>définition</w:t>
      </w:r>
      <w:r>
        <w:rPr>
          <w:rFonts w:ascii="Arial" w:hAnsi="Arial" w:cs="Arial"/>
          <w:sz w:val="22"/>
          <w:szCs w:val="22"/>
        </w:rPr>
        <w:t xml:space="preserve"> des éléments à inventorier, les Centres créatifs régionaux, des organisations civiles régionales et les universités spécialisées dans le folklore participent </w:t>
      </w:r>
      <w:r w:rsidRPr="00312F95">
        <w:rPr>
          <w:rFonts w:ascii="Arial" w:hAnsi="Arial" w:cs="Arial"/>
          <w:sz w:val="22"/>
          <w:szCs w:val="22"/>
        </w:rPr>
        <w:t>également</w:t>
      </w:r>
      <w:r>
        <w:rPr>
          <w:rFonts w:ascii="Arial" w:hAnsi="Arial" w:cs="Arial"/>
          <w:sz w:val="22"/>
          <w:szCs w:val="22"/>
        </w:rPr>
        <w:t xml:space="preserve"> à la proc</w:t>
      </w:r>
      <w:r w:rsidR="00B81C1F">
        <w:rPr>
          <w:rFonts w:ascii="Arial" w:hAnsi="Arial" w:cs="Arial"/>
          <w:sz w:val="22"/>
          <w:szCs w:val="22"/>
        </w:rPr>
        <w:t>édure d’</w:t>
      </w:r>
      <w:r w:rsidR="00B81C1F" w:rsidRPr="00B81C1F">
        <w:rPr>
          <w:rFonts w:ascii="Arial" w:hAnsi="Arial" w:cs="Arial"/>
          <w:sz w:val="22"/>
          <w:szCs w:val="22"/>
        </w:rPr>
        <w:t>identification</w:t>
      </w:r>
      <w:r w:rsidR="00B81C1F">
        <w:rPr>
          <w:rFonts w:ascii="Arial" w:hAnsi="Arial" w:cs="Arial"/>
          <w:sz w:val="22"/>
          <w:szCs w:val="22"/>
        </w:rPr>
        <w:t xml:space="preserve"> et de </w:t>
      </w:r>
      <w:r w:rsidR="00B81C1F" w:rsidRPr="00B81C1F">
        <w:rPr>
          <w:rFonts w:ascii="Arial" w:hAnsi="Arial" w:cs="Arial"/>
          <w:sz w:val="22"/>
          <w:szCs w:val="22"/>
        </w:rPr>
        <w:t>définition</w:t>
      </w:r>
      <w:r w:rsidR="00B81C1F">
        <w:rPr>
          <w:rFonts w:ascii="Arial" w:hAnsi="Arial" w:cs="Arial"/>
          <w:sz w:val="22"/>
          <w:szCs w:val="22"/>
        </w:rPr>
        <w:t xml:space="preserve"> des éléments du patrimoine culturel im</w:t>
      </w:r>
      <w:r w:rsidR="00001995">
        <w:rPr>
          <w:rFonts w:ascii="Arial" w:hAnsi="Arial" w:cs="Arial"/>
          <w:sz w:val="22"/>
          <w:szCs w:val="22"/>
        </w:rPr>
        <w:t>matériel à inclure au Registre.</w:t>
      </w:r>
    </w:p>
    <w:p w14:paraId="0CBDB0E4" w14:textId="2059A03F" w:rsidR="00B81C1F" w:rsidRPr="00001995" w:rsidRDefault="00B81C1F"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Parmi les autres </w:t>
      </w:r>
      <w:r w:rsidRPr="00B81C1F">
        <w:rPr>
          <w:rFonts w:ascii="Arial" w:hAnsi="Arial" w:cs="Arial"/>
          <w:b/>
          <w:sz w:val="22"/>
          <w:szCs w:val="22"/>
        </w:rPr>
        <w:t>mesures de sauvegarde</w:t>
      </w:r>
      <w:r>
        <w:rPr>
          <w:rFonts w:ascii="Arial" w:hAnsi="Arial" w:cs="Arial"/>
          <w:sz w:val="22"/>
          <w:szCs w:val="22"/>
        </w:rPr>
        <w:t xml:space="preserve">, on peut citer toute une série de récompenses et d’incitations pour les détenteurs, les chercheurs et d’autres personnes impliquées dans les différents aspects de la </w:t>
      </w:r>
      <w:r w:rsidRPr="00B81C1F">
        <w:rPr>
          <w:rFonts w:ascii="Arial" w:hAnsi="Arial" w:cs="Arial"/>
          <w:sz w:val="22"/>
          <w:szCs w:val="22"/>
        </w:rPr>
        <w:t>sauvegarde</w:t>
      </w:r>
      <w:r>
        <w:rPr>
          <w:rFonts w:ascii="Arial" w:hAnsi="Arial" w:cs="Arial"/>
          <w:sz w:val="22"/>
          <w:szCs w:val="22"/>
        </w:rPr>
        <w:t xml:space="preserve">, tels que les prix régionaux et nationaux et les </w:t>
      </w:r>
      <w:r w:rsidR="00B71C29">
        <w:rPr>
          <w:rFonts w:ascii="Arial" w:hAnsi="Arial" w:cs="Arial"/>
          <w:sz w:val="22"/>
          <w:szCs w:val="22"/>
        </w:rPr>
        <w:t xml:space="preserve">subventions </w:t>
      </w:r>
      <w:r>
        <w:rPr>
          <w:rFonts w:ascii="Arial" w:hAnsi="Arial" w:cs="Arial"/>
          <w:sz w:val="22"/>
          <w:szCs w:val="22"/>
        </w:rPr>
        <w:t xml:space="preserve">d’état </w:t>
      </w:r>
      <w:r w:rsidR="00B71C29">
        <w:rPr>
          <w:rFonts w:ascii="Arial" w:hAnsi="Arial" w:cs="Arial"/>
          <w:sz w:val="22"/>
          <w:szCs w:val="22"/>
        </w:rPr>
        <w:t xml:space="preserve">accordées aux figures majeures de la culture et de l’art. Jusqu’à présent, aucune étude scientifique ou technique n’a été entreprise sur le patrimoine culturel immatériel et ses éléments, bien que des manuels de méthodologie aient été conçus pour la </w:t>
      </w:r>
      <w:r w:rsidR="00B71C29" w:rsidRPr="00B71C29">
        <w:rPr>
          <w:rFonts w:ascii="Arial" w:hAnsi="Arial" w:cs="Arial"/>
          <w:sz w:val="22"/>
          <w:szCs w:val="22"/>
        </w:rPr>
        <w:t>documentation</w:t>
      </w:r>
      <w:r w:rsidR="00B71C29">
        <w:rPr>
          <w:rFonts w:ascii="Arial" w:hAnsi="Arial" w:cs="Arial"/>
          <w:sz w:val="22"/>
          <w:szCs w:val="22"/>
        </w:rPr>
        <w:t xml:space="preserve">, la collecte et la </w:t>
      </w:r>
      <w:r w:rsidR="00B71C29" w:rsidRPr="00B71C29">
        <w:rPr>
          <w:rFonts w:ascii="Arial" w:hAnsi="Arial" w:cs="Arial"/>
          <w:sz w:val="22"/>
          <w:szCs w:val="22"/>
        </w:rPr>
        <w:t>conservation</w:t>
      </w:r>
      <w:r w:rsidR="00B71C29">
        <w:rPr>
          <w:rFonts w:ascii="Arial" w:hAnsi="Arial" w:cs="Arial"/>
          <w:sz w:val="22"/>
          <w:szCs w:val="22"/>
        </w:rPr>
        <w:t xml:space="preserve"> des éléments, un glossaire des termes essentiels a </w:t>
      </w:r>
      <w:r w:rsidR="00B71C29" w:rsidRPr="00B71C29">
        <w:rPr>
          <w:rFonts w:ascii="Arial" w:hAnsi="Arial" w:cs="Arial"/>
          <w:sz w:val="22"/>
          <w:szCs w:val="22"/>
        </w:rPr>
        <w:t>également</w:t>
      </w:r>
      <w:r w:rsidR="00001995">
        <w:rPr>
          <w:rFonts w:ascii="Arial" w:hAnsi="Arial" w:cs="Arial"/>
          <w:sz w:val="22"/>
          <w:szCs w:val="22"/>
        </w:rPr>
        <w:t xml:space="preserve"> été rédigé.</w:t>
      </w:r>
    </w:p>
    <w:p w14:paraId="1A13E293" w14:textId="30BF6A22" w:rsidR="0002212B" w:rsidRPr="00001995" w:rsidRDefault="0002212B"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Un certain nombre de </w:t>
      </w:r>
      <w:r w:rsidRPr="0002212B">
        <w:rPr>
          <w:rFonts w:ascii="Arial" w:hAnsi="Arial" w:cs="Arial"/>
          <w:b/>
          <w:sz w:val="22"/>
          <w:szCs w:val="22"/>
        </w:rPr>
        <w:t>programmes d’éducation</w:t>
      </w:r>
      <w:r>
        <w:rPr>
          <w:rFonts w:ascii="Arial" w:hAnsi="Arial" w:cs="Arial"/>
          <w:sz w:val="22"/>
          <w:szCs w:val="22"/>
        </w:rPr>
        <w:t xml:space="preserve"> ont été conçus pour différents niveaux et il existe actuellement un programme </w:t>
      </w:r>
      <w:r w:rsidR="00CE2B9E">
        <w:rPr>
          <w:rFonts w:ascii="Arial" w:hAnsi="Arial" w:cs="Arial"/>
          <w:sz w:val="22"/>
          <w:szCs w:val="22"/>
        </w:rPr>
        <w:t xml:space="preserve">préscolaire </w:t>
      </w:r>
      <w:r>
        <w:rPr>
          <w:rFonts w:ascii="Arial" w:hAnsi="Arial" w:cs="Arial"/>
          <w:sz w:val="22"/>
          <w:szCs w:val="22"/>
        </w:rPr>
        <w:t>appelé « L’</w:t>
      </w:r>
      <w:r w:rsidRPr="0002212B">
        <w:rPr>
          <w:rFonts w:ascii="Arial" w:hAnsi="Arial" w:cs="Arial"/>
          <w:sz w:val="22"/>
          <w:szCs w:val="22"/>
        </w:rPr>
        <w:t>environnement</w:t>
      </w:r>
      <w:r>
        <w:rPr>
          <w:rFonts w:ascii="Arial" w:hAnsi="Arial" w:cs="Arial"/>
          <w:sz w:val="22"/>
          <w:szCs w:val="22"/>
        </w:rPr>
        <w:t xml:space="preserve"> en Ukraine », des programmes pour les écoles dans les matières artistiques concernées et des programmes </w:t>
      </w:r>
      <w:r w:rsidR="00CE2B9E">
        <w:rPr>
          <w:rFonts w:ascii="Arial" w:hAnsi="Arial" w:cs="Arial"/>
          <w:sz w:val="22"/>
          <w:szCs w:val="22"/>
        </w:rPr>
        <w:t>d’</w:t>
      </w:r>
      <w:r w:rsidR="00CE2B9E" w:rsidRPr="00CE2B9E">
        <w:rPr>
          <w:rFonts w:ascii="Arial" w:hAnsi="Arial" w:cs="Arial"/>
          <w:sz w:val="22"/>
          <w:szCs w:val="22"/>
        </w:rPr>
        <w:t>enseignement</w:t>
      </w:r>
      <w:r w:rsidR="00CE2B9E">
        <w:rPr>
          <w:rFonts w:ascii="Arial" w:hAnsi="Arial" w:cs="Arial"/>
          <w:sz w:val="22"/>
          <w:szCs w:val="22"/>
        </w:rPr>
        <w:t xml:space="preserve"> secondaire </w:t>
      </w:r>
      <w:r>
        <w:rPr>
          <w:rFonts w:ascii="Arial" w:hAnsi="Arial" w:cs="Arial"/>
          <w:sz w:val="22"/>
          <w:szCs w:val="22"/>
        </w:rPr>
        <w:t xml:space="preserve">consacrés au folklore. Les programmes scolaires des écoles d’art (éducation esthétique) prévoient </w:t>
      </w:r>
      <w:r w:rsidRPr="0002212B">
        <w:rPr>
          <w:rFonts w:ascii="Arial" w:hAnsi="Arial" w:cs="Arial"/>
          <w:sz w:val="22"/>
          <w:szCs w:val="22"/>
        </w:rPr>
        <w:t>également</w:t>
      </w:r>
      <w:r>
        <w:rPr>
          <w:rFonts w:ascii="Arial" w:hAnsi="Arial" w:cs="Arial"/>
          <w:sz w:val="22"/>
          <w:szCs w:val="22"/>
        </w:rPr>
        <w:t xml:space="preserve"> des cours consacrés au patrimoine culturel immatériel. La conférence nationale de 2015 susmentionnée a </w:t>
      </w:r>
      <w:r w:rsidRPr="0002212B">
        <w:rPr>
          <w:rFonts w:ascii="Arial" w:hAnsi="Arial" w:cs="Arial"/>
          <w:sz w:val="22"/>
          <w:szCs w:val="22"/>
        </w:rPr>
        <w:t>également</w:t>
      </w:r>
      <w:r>
        <w:rPr>
          <w:rFonts w:ascii="Arial" w:hAnsi="Arial" w:cs="Arial"/>
          <w:sz w:val="22"/>
          <w:szCs w:val="22"/>
        </w:rPr>
        <w:t xml:space="preserve"> recommandé l’introduction dans l’</w:t>
      </w:r>
      <w:r w:rsidRPr="0002212B">
        <w:rPr>
          <w:rFonts w:ascii="Arial" w:hAnsi="Arial" w:cs="Arial"/>
          <w:sz w:val="22"/>
          <w:szCs w:val="22"/>
        </w:rPr>
        <w:t>enseignement</w:t>
      </w:r>
      <w:r>
        <w:rPr>
          <w:rFonts w:ascii="Arial" w:hAnsi="Arial" w:cs="Arial"/>
          <w:sz w:val="22"/>
          <w:szCs w:val="22"/>
        </w:rPr>
        <w:t xml:space="preserve"> supérieur de programmes </w:t>
      </w:r>
      <w:r w:rsidR="009827F6">
        <w:rPr>
          <w:rFonts w:ascii="Arial" w:hAnsi="Arial" w:cs="Arial"/>
          <w:sz w:val="22"/>
          <w:szCs w:val="22"/>
        </w:rPr>
        <w:t>consacrés au folklore afin former</w:t>
      </w:r>
      <w:r>
        <w:rPr>
          <w:rFonts w:ascii="Arial" w:hAnsi="Arial" w:cs="Arial"/>
          <w:sz w:val="22"/>
          <w:szCs w:val="22"/>
        </w:rPr>
        <w:t xml:space="preserve"> un</w:t>
      </w:r>
      <w:r w:rsidR="00CE2B9E">
        <w:rPr>
          <w:rFonts w:ascii="Arial" w:hAnsi="Arial" w:cs="Arial"/>
          <w:sz w:val="22"/>
          <w:szCs w:val="22"/>
        </w:rPr>
        <w:t xml:space="preserve"> nombre accru de spécialistes dans ce</w:t>
      </w:r>
      <w:r>
        <w:rPr>
          <w:rFonts w:ascii="Arial" w:hAnsi="Arial" w:cs="Arial"/>
          <w:sz w:val="22"/>
          <w:szCs w:val="22"/>
        </w:rPr>
        <w:t xml:space="preserve"> domaine, ainsi que l’adoption d’un budget </w:t>
      </w:r>
      <w:r w:rsidR="009827F6">
        <w:rPr>
          <w:rFonts w:ascii="Arial" w:hAnsi="Arial" w:cs="Arial"/>
          <w:sz w:val="22"/>
          <w:szCs w:val="22"/>
        </w:rPr>
        <w:t xml:space="preserve">de recherche approfondie consacrée au patrimoine culturel immatériel dans le cadre de la </w:t>
      </w:r>
      <w:r w:rsidR="009827F6" w:rsidRPr="009827F6">
        <w:rPr>
          <w:rFonts w:ascii="Arial" w:hAnsi="Arial" w:cs="Arial"/>
          <w:sz w:val="22"/>
          <w:szCs w:val="22"/>
        </w:rPr>
        <w:t>recherche</w:t>
      </w:r>
      <w:r w:rsidR="009827F6">
        <w:rPr>
          <w:rFonts w:ascii="Arial" w:hAnsi="Arial" w:cs="Arial"/>
          <w:sz w:val="22"/>
          <w:szCs w:val="22"/>
        </w:rPr>
        <w:t xml:space="preserve"> sur le folklore. Le Centre pour les enfants et la jeunesse propose </w:t>
      </w:r>
      <w:r w:rsidR="009827F6" w:rsidRPr="009827F6">
        <w:rPr>
          <w:rFonts w:ascii="Arial" w:hAnsi="Arial" w:cs="Arial"/>
          <w:sz w:val="22"/>
          <w:szCs w:val="22"/>
        </w:rPr>
        <w:t>également</w:t>
      </w:r>
      <w:r w:rsidR="009827F6">
        <w:rPr>
          <w:rFonts w:ascii="Arial" w:hAnsi="Arial" w:cs="Arial"/>
          <w:sz w:val="22"/>
          <w:szCs w:val="22"/>
        </w:rPr>
        <w:t xml:space="preserve"> des programmes de formation à la musique chantée, aux arts décoratifs, à la chorégraphie, aux artisanats, aux arts du cirque, etc. Le </w:t>
      </w:r>
      <w:r w:rsidR="009827F6" w:rsidRPr="009827F6">
        <w:rPr>
          <w:rFonts w:ascii="Arial" w:hAnsi="Arial" w:cs="Arial"/>
          <w:b/>
          <w:sz w:val="22"/>
          <w:szCs w:val="22"/>
        </w:rPr>
        <w:t>renforcement des capacités</w:t>
      </w:r>
      <w:r w:rsidR="009827F6">
        <w:rPr>
          <w:rFonts w:ascii="Arial" w:hAnsi="Arial" w:cs="Arial"/>
          <w:sz w:val="22"/>
          <w:szCs w:val="22"/>
        </w:rPr>
        <w:t xml:space="preserve"> dans le domaine du patrimoine culturel immatériel s’est concrétisé par des actions de popularisation des pratiques culturelles </w:t>
      </w:r>
      <w:r w:rsidR="00CE2B9E">
        <w:rPr>
          <w:rFonts w:ascii="Arial" w:hAnsi="Arial" w:cs="Arial"/>
          <w:sz w:val="22"/>
          <w:szCs w:val="22"/>
        </w:rPr>
        <w:t xml:space="preserve">menées </w:t>
      </w:r>
      <w:r w:rsidR="009827F6">
        <w:rPr>
          <w:rFonts w:ascii="Arial" w:hAnsi="Arial" w:cs="Arial"/>
          <w:sz w:val="22"/>
          <w:szCs w:val="22"/>
        </w:rPr>
        <w:t xml:space="preserve">par le Centre national de culture populaire « Musée Ivan Honchar » et par des activités régionales telles que des festivals de folklore, des foires d’art </w:t>
      </w:r>
      <w:r w:rsidR="009827F6">
        <w:rPr>
          <w:rFonts w:ascii="Arial" w:hAnsi="Arial" w:cs="Arial"/>
          <w:sz w:val="22"/>
          <w:szCs w:val="22"/>
        </w:rPr>
        <w:lastRenderedPageBreak/>
        <w:t>et d’ethnographie, des expositions et des jours de fêtes spéciaux (p. ex. le printemps de Reshetylivka dans la région de Poltava)</w:t>
      </w:r>
      <w:r w:rsidR="00CE2B9E">
        <w:rPr>
          <w:rFonts w:ascii="Arial" w:hAnsi="Arial" w:cs="Arial"/>
          <w:sz w:val="22"/>
          <w:szCs w:val="22"/>
        </w:rPr>
        <w:t xml:space="preserve">. Le Centre ukrainien d’études culturelles a </w:t>
      </w:r>
      <w:r w:rsidR="00CE2B9E" w:rsidRPr="00CE2B9E">
        <w:rPr>
          <w:rFonts w:ascii="Arial" w:hAnsi="Arial" w:cs="Arial"/>
          <w:sz w:val="22"/>
          <w:szCs w:val="22"/>
        </w:rPr>
        <w:t>également</w:t>
      </w:r>
      <w:r w:rsidR="00CE2B9E">
        <w:rPr>
          <w:rFonts w:ascii="Arial" w:hAnsi="Arial" w:cs="Arial"/>
          <w:sz w:val="22"/>
          <w:szCs w:val="22"/>
        </w:rPr>
        <w:t xml:space="preserve"> organisé plusieurs ateliers, séminaires et séminaires de formation pour les différents groupes et communautés, consacrés aux aspects de la </w:t>
      </w:r>
      <w:r w:rsidR="00CE2B9E" w:rsidRPr="00CE2B9E">
        <w:rPr>
          <w:rFonts w:ascii="Arial" w:hAnsi="Arial" w:cs="Arial"/>
          <w:sz w:val="22"/>
          <w:szCs w:val="22"/>
        </w:rPr>
        <w:t>Convention</w:t>
      </w:r>
      <w:r w:rsidR="00CE2B9E">
        <w:rPr>
          <w:rFonts w:ascii="Arial" w:hAnsi="Arial" w:cs="Arial"/>
          <w:sz w:val="22"/>
          <w:szCs w:val="22"/>
        </w:rPr>
        <w:t xml:space="preserve"> de 2003 et à la </w:t>
      </w:r>
      <w:r w:rsidR="00CE2B9E" w:rsidRPr="00CE2B9E">
        <w:rPr>
          <w:rFonts w:ascii="Arial" w:hAnsi="Arial" w:cs="Arial"/>
          <w:sz w:val="22"/>
          <w:szCs w:val="22"/>
        </w:rPr>
        <w:t>sauvegarde</w:t>
      </w:r>
      <w:r w:rsidR="00CE2B9E">
        <w:rPr>
          <w:rFonts w:ascii="Arial" w:hAnsi="Arial" w:cs="Arial"/>
          <w:sz w:val="22"/>
          <w:szCs w:val="22"/>
        </w:rPr>
        <w:t xml:space="preserve"> du patrimoine culturel immatériel. Des méthodes </w:t>
      </w:r>
      <w:r w:rsidR="00637314">
        <w:rPr>
          <w:rFonts w:ascii="Arial" w:hAnsi="Arial" w:cs="Arial"/>
          <w:sz w:val="22"/>
          <w:szCs w:val="22"/>
        </w:rPr>
        <w:t>de transmission plus informelle</w:t>
      </w:r>
      <w:r w:rsidR="00CE2B9E">
        <w:rPr>
          <w:rFonts w:ascii="Arial" w:hAnsi="Arial" w:cs="Arial"/>
          <w:sz w:val="22"/>
          <w:szCs w:val="22"/>
        </w:rPr>
        <w:t xml:space="preserve"> peuvent être observées lors d’atel</w:t>
      </w:r>
      <w:r w:rsidR="00637314">
        <w:rPr>
          <w:rFonts w:ascii="Arial" w:hAnsi="Arial" w:cs="Arial"/>
          <w:sz w:val="22"/>
          <w:szCs w:val="22"/>
        </w:rPr>
        <w:t>iers organisé</w:t>
      </w:r>
      <w:r w:rsidR="00CE2B9E">
        <w:rPr>
          <w:rFonts w:ascii="Arial" w:hAnsi="Arial" w:cs="Arial"/>
          <w:sz w:val="22"/>
          <w:szCs w:val="22"/>
        </w:rPr>
        <w:t xml:space="preserve">s à </w:t>
      </w:r>
      <w:r w:rsidR="00CE2B9E" w:rsidRPr="008F4FA7">
        <w:rPr>
          <w:rFonts w:ascii="Arial" w:hAnsi="Arial" w:cs="Arial"/>
          <w:sz w:val="22"/>
          <w:szCs w:val="22"/>
        </w:rPr>
        <w:t xml:space="preserve">l’occasion d’événements </w:t>
      </w:r>
      <w:r w:rsidR="000604E4" w:rsidRPr="008F4FA7">
        <w:rPr>
          <w:rFonts w:ascii="Arial" w:hAnsi="Arial" w:cs="Arial"/>
          <w:sz w:val="22"/>
          <w:szCs w:val="22"/>
        </w:rPr>
        <w:t xml:space="preserve">ethnographiques et </w:t>
      </w:r>
      <w:r w:rsidR="00CE2B9E" w:rsidRPr="008F4FA7">
        <w:rPr>
          <w:rFonts w:ascii="Arial" w:hAnsi="Arial" w:cs="Arial"/>
          <w:sz w:val="22"/>
          <w:szCs w:val="22"/>
        </w:rPr>
        <w:t xml:space="preserve">culturels (foires, festivals, </w:t>
      </w:r>
      <w:r w:rsidR="00CE2B9E" w:rsidRPr="00D4732D">
        <w:rPr>
          <w:rFonts w:ascii="Arial" w:hAnsi="Arial" w:cs="Arial"/>
          <w:i/>
          <w:sz w:val="22"/>
          <w:szCs w:val="22"/>
        </w:rPr>
        <w:t>master</w:t>
      </w:r>
      <w:r w:rsidR="008F4FA7" w:rsidRPr="00D4732D">
        <w:rPr>
          <w:rFonts w:ascii="Arial" w:hAnsi="Arial" w:cs="Arial"/>
          <w:i/>
          <w:sz w:val="22"/>
          <w:szCs w:val="22"/>
        </w:rPr>
        <w:t xml:space="preserve"> </w:t>
      </w:r>
      <w:r w:rsidR="00CE2B9E" w:rsidRPr="00D4732D">
        <w:rPr>
          <w:rFonts w:ascii="Arial" w:hAnsi="Arial" w:cs="Arial"/>
          <w:i/>
          <w:sz w:val="22"/>
          <w:szCs w:val="22"/>
        </w:rPr>
        <w:t>classes</w:t>
      </w:r>
      <w:r w:rsidR="00CE2B9E" w:rsidRPr="008F4FA7">
        <w:rPr>
          <w:rFonts w:ascii="Arial" w:hAnsi="Arial" w:cs="Arial"/>
          <w:sz w:val="22"/>
          <w:szCs w:val="22"/>
        </w:rPr>
        <w:t>, etc.). Le Centre pour les</w:t>
      </w:r>
      <w:r w:rsidR="00637314" w:rsidRPr="008F4FA7">
        <w:rPr>
          <w:rFonts w:ascii="Arial" w:hAnsi="Arial" w:cs="Arial"/>
          <w:sz w:val="22"/>
          <w:szCs w:val="22"/>
        </w:rPr>
        <w:t xml:space="preserve"> enfants et la jeunesse organise</w:t>
      </w:r>
      <w:r w:rsidR="00CE2B9E" w:rsidRPr="008F4FA7">
        <w:rPr>
          <w:rFonts w:ascii="Arial" w:hAnsi="Arial" w:cs="Arial"/>
          <w:sz w:val="22"/>
          <w:szCs w:val="22"/>
        </w:rPr>
        <w:t xml:space="preserve"> également des programmes touristiques éducatifs qui prévoient</w:t>
      </w:r>
      <w:r w:rsidR="00CE2B9E">
        <w:rPr>
          <w:rFonts w:ascii="Arial" w:hAnsi="Arial" w:cs="Arial"/>
          <w:sz w:val="22"/>
          <w:szCs w:val="22"/>
        </w:rPr>
        <w:t xml:space="preserve"> un </w:t>
      </w:r>
      <w:r w:rsidR="00CE2B9E" w:rsidRPr="00CE2B9E">
        <w:rPr>
          <w:rFonts w:ascii="Arial" w:hAnsi="Arial" w:cs="Arial"/>
          <w:sz w:val="22"/>
          <w:szCs w:val="22"/>
        </w:rPr>
        <w:t>enseignement</w:t>
      </w:r>
      <w:r w:rsidR="00CE2B9E">
        <w:rPr>
          <w:rFonts w:ascii="Arial" w:hAnsi="Arial" w:cs="Arial"/>
          <w:sz w:val="22"/>
          <w:szCs w:val="22"/>
        </w:rPr>
        <w:t xml:space="preserve"> sur la protection des espaces naturels et des lieux de mémoire importants pour le </w:t>
      </w:r>
      <w:r w:rsidR="00001995">
        <w:rPr>
          <w:rFonts w:ascii="Arial" w:hAnsi="Arial" w:cs="Arial"/>
          <w:sz w:val="22"/>
          <w:szCs w:val="22"/>
        </w:rPr>
        <w:t>patrimoine culturel immatériel.</w:t>
      </w:r>
    </w:p>
    <w:p w14:paraId="3626F657" w14:textId="44F2FA7A" w:rsidR="00B71C29" w:rsidRPr="006D7B8D" w:rsidRDefault="00637314" w:rsidP="00745AFF">
      <w:pPr>
        <w:autoSpaceDE w:val="0"/>
        <w:autoSpaceDN w:val="0"/>
        <w:adjustRightInd w:val="0"/>
        <w:spacing w:after="120"/>
        <w:ind w:left="567"/>
        <w:jc w:val="both"/>
        <w:rPr>
          <w:rFonts w:ascii="Arial" w:eastAsia="Malgun Gothic" w:hAnsi="Arial" w:cs="Arial"/>
          <w:sz w:val="22"/>
          <w:szCs w:val="22"/>
          <w:lang w:eastAsia="ko-KR"/>
        </w:rPr>
      </w:pPr>
      <w:r>
        <w:rPr>
          <w:rFonts w:ascii="Arial" w:hAnsi="Arial" w:cs="Arial"/>
          <w:sz w:val="22"/>
          <w:szCs w:val="22"/>
        </w:rPr>
        <w:t xml:space="preserve">S’agissant de la </w:t>
      </w:r>
      <w:r w:rsidRPr="00637314">
        <w:rPr>
          <w:rFonts w:ascii="Arial" w:hAnsi="Arial" w:cs="Arial"/>
          <w:b/>
          <w:sz w:val="22"/>
          <w:szCs w:val="22"/>
        </w:rPr>
        <w:t>coopération bilatérale, sous-régionale, régionale et internationale</w:t>
      </w:r>
      <w:r>
        <w:rPr>
          <w:rFonts w:ascii="Arial" w:hAnsi="Arial" w:cs="Arial"/>
          <w:sz w:val="22"/>
          <w:szCs w:val="22"/>
        </w:rPr>
        <w:t>, des échanges ont eu lieu avec le Bélarus, la Lituanie, la Pologne et la Roumanie à propos d’éléments communs du patrimoine culturel immatériel et afin de développer des approches générales et interdisciplinaires. Des événements (séminaires, conférences) destinés à étudier et promouvoir les éléments du patrimoine culturel immatériel ukrainien et organisés c</w:t>
      </w:r>
      <w:r w:rsidRPr="00637314">
        <w:rPr>
          <w:rFonts w:ascii="Arial" w:hAnsi="Arial" w:cs="Arial"/>
          <w:sz w:val="22"/>
          <w:szCs w:val="22"/>
        </w:rPr>
        <w:t>onjointement</w:t>
      </w:r>
      <w:r>
        <w:rPr>
          <w:rFonts w:ascii="Arial" w:hAnsi="Arial" w:cs="Arial"/>
          <w:sz w:val="22"/>
          <w:szCs w:val="22"/>
        </w:rPr>
        <w:t xml:space="preserve"> avec les communautés ukrainiennes de l’étra</w:t>
      </w:r>
      <w:r w:rsidR="00651CC1">
        <w:rPr>
          <w:rFonts w:ascii="Arial" w:hAnsi="Arial" w:cs="Arial"/>
          <w:sz w:val="22"/>
          <w:szCs w:val="22"/>
        </w:rPr>
        <w:t>nger sont actuellement envisagé</w:t>
      </w:r>
      <w:r>
        <w:rPr>
          <w:rFonts w:ascii="Arial" w:hAnsi="Arial" w:cs="Arial"/>
          <w:sz w:val="22"/>
          <w:szCs w:val="22"/>
        </w:rPr>
        <w:t>s. P</w:t>
      </w:r>
      <w:r w:rsidRPr="00637314">
        <w:rPr>
          <w:rFonts w:ascii="Arial" w:hAnsi="Arial" w:cs="Arial"/>
          <w:sz w:val="22"/>
          <w:szCs w:val="22"/>
        </w:rPr>
        <w:t>ar ailleurs</w:t>
      </w:r>
      <w:r w:rsidR="00D45D2A">
        <w:rPr>
          <w:rFonts w:ascii="Arial" w:hAnsi="Arial" w:cs="Arial"/>
          <w:sz w:val="22"/>
          <w:szCs w:val="22"/>
        </w:rPr>
        <w:t xml:space="preserve">, une </w:t>
      </w:r>
      <w:r w:rsidRPr="00637314">
        <w:rPr>
          <w:rFonts w:ascii="Arial" w:hAnsi="Arial" w:cs="Arial"/>
          <w:sz w:val="22"/>
          <w:szCs w:val="22"/>
        </w:rPr>
        <w:t>coopération</w:t>
      </w:r>
      <w:r w:rsidR="00D45D2A">
        <w:rPr>
          <w:rFonts w:ascii="Arial" w:hAnsi="Arial" w:cs="Arial"/>
          <w:sz w:val="22"/>
          <w:szCs w:val="22"/>
        </w:rPr>
        <w:t xml:space="preserve"> et un </w:t>
      </w:r>
      <w:r>
        <w:rPr>
          <w:rFonts w:ascii="Arial" w:hAnsi="Arial" w:cs="Arial"/>
          <w:sz w:val="22"/>
          <w:szCs w:val="22"/>
        </w:rPr>
        <w:t>éc</w:t>
      </w:r>
      <w:r w:rsidR="00D45D2A">
        <w:rPr>
          <w:rFonts w:ascii="Arial" w:hAnsi="Arial" w:cs="Arial"/>
          <w:sz w:val="22"/>
          <w:szCs w:val="22"/>
        </w:rPr>
        <w:t>hange d’expériences sont mis en place avec d</w:t>
      </w:r>
      <w:r>
        <w:rPr>
          <w:rFonts w:ascii="Arial" w:hAnsi="Arial" w:cs="Arial"/>
          <w:sz w:val="22"/>
          <w:szCs w:val="22"/>
        </w:rPr>
        <w:t>es experts de Lituanie, de Géorgie, d’</w:t>
      </w:r>
      <w:r w:rsidRPr="00637314">
        <w:rPr>
          <w:rFonts w:ascii="Arial" w:hAnsi="Arial" w:cs="Arial"/>
          <w:sz w:val="22"/>
          <w:szCs w:val="22"/>
        </w:rPr>
        <w:t>Azerbaïdjan</w:t>
      </w:r>
      <w:r w:rsidR="00D45D2A">
        <w:rPr>
          <w:rFonts w:ascii="Arial" w:hAnsi="Arial" w:cs="Arial"/>
          <w:sz w:val="22"/>
          <w:szCs w:val="22"/>
        </w:rPr>
        <w:t xml:space="preserve"> et de</w:t>
      </w:r>
      <w:r>
        <w:rPr>
          <w:rFonts w:ascii="Arial" w:hAnsi="Arial" w:cs="Arial"/>
          <w:sz w:val="22"/>
          <w:szCs w:val="22"/>
        </w:rPr>
        <w:t xml:space="preserve"> </w:t>
      </w:r>
      <w:r w:rsidRPr="00637314">
        <w:rPr>
          <w:rFonts w:ascii="Arial" w:hAnsi="Arial" w:cs="Arial"/>
          <w:sz w:val="22"/>
          <w:szCs w:val="22"/>
        </w:rPr>
        <w:t>République</w:t>
      </w:r>
      <w:r>
        <w:rPr>
          <w:rFonts w:ascii="Arial" w:hAnsi="Arial" w:cs="Arial"/>
          <w:sz w:val="22"/>
          <w:szCs w:val="22"/>
        </w:rPr>
        <w:t xml:space="preserve"> de Moldova, et </w:t>
      </w:r>
      <w:r w:rsidR="00D45D2A">
        <w:rPr>
          <w:rFonts w:ascii="Arial" w:hAnsi="Arial" w:cs="Arial"/>
          <w:sz w:val="22"/>
          <w:szCs w:val="22"/>
        </w:rPr>
        <w:t xml:space="preserve">en 2015, </w:t>
      </w:r>
      <w:r>
        <w:rPr>
          <w:rFonts w:ascii="Arial" w:hAnsi="Arial" w:cs="Arial"/>
          <w:sz w:val="22"/>
          <w:szCs w:val="22"/>
        </w:rPr>
        <w:t xml:space="preserve">un atelier de formation sur le « patrimoine culturel immatériel en Ukraine, Lituanie, </w:t>
      </w:r>
      <w:r w:rsidRPr="00637314">
        <w:rPr>
          <w:rFonts w:ascii="Arial" w:hAnsi="Arial" w:cs="Arial"/>
          <w:sz w:val="22"/>
          <w:szCs w:val="22"/>
        </w:rPr>
        <w:t>Azerbaïdjan</w:t>
      </w:r>
      <w:r>
        <w:rPr>
          <w:rFonts w:ascii="Arial" w:hAnsi="Arial" w:cs="Arial"/>
          <w:sz w:val="22"/>
          <w:szCs w:val="22"/>
        </w:rPr>
        <w:t> » a</w:t>
      </w:r>
      <w:r w:rsidR="00D45D2A">
        <w:rPr>
          <w:rFonts w:ascii="Arial" w:hAnsi="Arial" w:cs="Arial"/>
          <w:sz w:val="22"/>
          <w:szCs w:val="22"/>
        </w:rPr>
        <w:t xml:space="preserve"> été organisé en Ukraine</w:t>
      </w:r>
      <w:r w:rsidR="006D7B8D">
        <w:rPr>
          <w:rFonts w:ascii="Arial" w:hAnsi="Arial" w:cs="Arial"/>
          <w:sz w:val="22"/>
          <w:szCs w:val="22"/>
        </w:rPr>
        <w:t>.</w:t>
      </w:r>
    </w:p>
    <w:p w14:paraId="3E682872" w14:textId="476D581C" w:rsidR="00850712" w:rsidRPr="00F43449" w:rsidRDefault="00D45D2A" w:rsidP="00F43449">
      <w:pPr>
        <w:autoSpaceDE w:val="0"/>
        <w:autoSpaceDN w:val="0"/>
        <w:adjustRightInd w:val="0"/>
        <w:spacing w:after="120"/>
        <w:ind w:left="567"/>
        <w:jc w:val="both"/>
        <w:rPr>
          <w:rFonts w:ascii="Arial" w:eastAsia="Malgun Gothic" w:hAnsi="Arial" w:cs="Arial"/>
          <w:bCs/>
          <w:sz w:val="22"/>
          <w:szCs w:val="22"/>
          <w:lang w:eastAsia="ko-KR"/>
        </w:rPr>
      </w:pPr>
      <w:r>
        <w:rPr>
          <w:rFonts w:ascii="Arial" w:hAnsi="Arial" w:cs="Arial"/>
          <w:bCs/>
          <w:sz w:val="22"/>
          <w:szCs w:val="22"/>
        </w:rPr>
        <w:t xml:space="preserve">L’Ukraine a </w:t>
      </w:r>
      <w:r w:rsidRPr="00D45D2A">
        <w:rPr>
          <w:rFonts w:ascii="Arial" w:hAnsi="Arial" w:cs="Arial"/>
          <w:b/>
          <w:bCs/>
          <w:sz w:val="22"/>
          <w:szCs w:val="22"/>
        </w:rPr>
        <w:t>un élément inscrit sur la Liste représentative</w:t>
      </w:r>
      <w:r>
        <w:rPr>
          <w:rFonts w:ascii="Arial" w:hAnsi="Arial" w:cs="Arial"/>
          <w:bCs/>
          <w:sz w:val="22"/>
          <w:szCs w:val="22"/>
        </w:rPr>
        <w:t xml:space="preserve">, à savoir </w:t>
      </w:r>
      <w:r w:rsidRPr="00D45D2A">
        <w:rPr>
          <w:rFonts w:ascii="Arial" w:hAnsi="Arial" w:cs="Arial"/>
          <w:bCs/>
          <w:i/>
          <w:sz w:val="22"/>
          <w:szCs w:val="22"/>
        </w:rPr>
        <w:t>La peinture décorative de Petrykivka, expression de l’art populaire ornemental ukrainien</w:t>
      </w:r>
      <w:r>
        <w:rPr>
          <w:rFonts w:ascii="Arial" w:hAnsi="Arial" w:cs="Arial"/>
          <w:bCs/>
          <w:sz w:val="22"/>
          <w:szCs w:val="22"/>
        </w:rPr>
        <w:t>, qui a été inscrit en 2013. Cet art décoratif connaît des innovations constantes grâce à de nouvelles combinaisons de formes et de symboles et l’</w:t>
      </w:r>
      <w:r w:rsidRPr="00D45D2A">
        <w:rPr>
          <w:rFonts w:ascii="Arial" w:hAnsi="Arial" w:cs="Arial"/>
          <w:bCs/>
          <w:sz w:val="22"/>
          <w:szCs w:val="22"/>
        </w:rPr>
        <w:t>utilisation</w:t>
      </w:r>
      <w:r w:rsidR="00EC46B9">
        <w:rPr>
          <w:rFonts w:ascii="Arial" w:hAnsi="Arial" w:cs="Arial"/>
          <w:bCs/>
          <w:sz w:val="22"/>
          <w:szCs w:val="22"/>
        </w:rPr>
        <w:t xml:space="preserve"> de nouveaux médias qui permet aux jeunes, </w:t>
      </w:r>
      <w:r>
        <w:rPr>
          <w:rFonts w:ascii="Arial" w:hAnsi="Arial" w:cs="Arial"/>
          <w:bCs/>
          <w:sz w:val="22"/>
          <w:szCs w:val="22"/>
        </w:rPr>
        <w:t>suite à la popularisation qui a accompagné l’inscription de l’élément</w:t>
      </w:r>
      <w:r w:rsidR="00EC46B9">
        <w:rPr>
          <w:rFonts w:ascii="Arial" w:hAnsi="Arial" w:cs="Arial"/>
          <w:bCs/>
          <w:sz w:val="22"/>
          <w:szCs w:val="22"/>
        </w:rPr>
        <w:t>,</w:t>
      </w:r>
      <w:r>
        <w:rPr>
          <w:rFonts w:ascii="Arial" w:hAnsi="Arial" w:cs="Arial"/>
          <w:bCs/>
          <w:sz w:val="22"/>
          <w:szCs w:val="22"/>
        </w:rPr>
        <w:t xml:space="preserve"> </w:t>
      </w:r>
      <w:r w:rsidR="00EC46B9">
        <w:rPr>
          <w:rFonts w:ascii="Arial" w:hAnsi="Arial" w:cs="Arial"/>
          <w:bCs/>
          <w:sz w:val="22"/>
          <w:szCs w:val="22"/>
        </w:rPr>
        <w:t xml:space="preserve">de l’utiliser en art corporel. Les principaux </w:t>
      </w:r>
      <w:r w:rsidR="00E82CF9">
        <w:rPr>
          <w:rFonts w:ascii="Arial" w:hAnsi="Arial" w:cs="Arial"/>
          <w:bCs/>
          <w:sz w:val="22"/>
          <w:szCs w:val="22"/>
        </w:rPr>
        <w:t xml:space="preserve">praticiens </w:t>
      </w:r>
      <w:r w:rsidR="00EC46B9">
        <w:rPr>
          <w:rFonts w:ascii="Arial" w:hAnsi="Arial" w:cs="Arial"/>
          <w:bCs/>
          <w:sz w:val="22"/>
          <w:szCs w:val="22"/>
        </w:rPr>
        <w:t>de l’art jouent un rôle central dans la pérennité de sa viabilité et dans la promotion et la transmission de l’</w:t>
      </w:r>
      <w:r w:rsidR="00EC46B9" w:rsidRPr="00EC46B9">
        <w:rPr>
          <w:rFonts w:ascii="Arial" w:hAnsi="Arial" w:cs="Arial"/>
          <w:bCs/>
          <w:sz w:val="22"/>
          <w:szCs w:val="22"/>
        </w:rPr>
        <w:t>élément</w:t>
      </w:r>
      <w:r w:rsidR="00EC46B9">
        <w:rPr>
          <w:rFonts w:ascii="Arial" w:hAnsi="Arial" w:cs="Arial"/>
          <w:bCs/>
          <w:sz w:val="22"/>
          <w:szCs w:val="22"/>
        </w:rPr>
        <w:t xml:space="preserve">. Parmi les mesures de sauvegarde, on citera un festival annuel, une couverture par les médias, une </w:t>
      </w:r>
      <w:r w:rsidR="00EC46B9" w:rsidRPr="00EC46B9">
        <w:rPr>
          <w:rFonts w:ascii="Arial" w:hAnsi="Arial" w:cs="Arial"/>
          <w:bCs/>
          <w:sz w:val="22"/>
          <w:szCs w:val="22"/>
        </w:rPr>
        <w:t>éducation</w:t>
      </w:r>
      <w:r w:rsidR="00EC46B9">
        <w:rPr>
          <w:rFonts w:ascii="Arial" w:hAnsi="Arial" w:cs="Arial"/>
          <w:bCs/>
          <w:sz w:val="22"/>
          <w:szCs w:val="22"/>
        </w:rPr>
        <w:t xml:space="preserve"> formelle et non formelle dans les écoles, de</w:t>
      </w:r>
      <w:r w:rsidR="00F43449">
        <w:rPr>
          <w:rFonts w:ascii="Arial" w:hAnsi="Arial" w:cs="Arial"/>
          <w:bCs/>
          <w:sz w:val="22"/>
          <w:szCs w:val="22"/>
        </w:rPr>
        <w:t>s conférences et des ateliers.</w:t>
      </w:r>
    </w:p>
    <w:sectPr w:rsidR="00850712" w:rsidRPr="00F43449" w:rsidSect="00655736">
      <w:headerReference w:type="even" r:id="rId23"/>
      <w:headerReference w:type="default" r:id="rId24"/>
      <w:headerReference w:type="first" r:id="rId2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0DCD1" w14:textId="77777777" w:rsidR="00862425" w:rsidRDefault="00862425" w:rsidP="00655736">
      <w:r>
        <w:separator/>
      </w:r>
    </w:p>
  </w:endnote>
  <w:endnote w:type="continuationSeparator" w:id="0">
    <w:p w14:paraId="5E06F7C1" w14:textId="77777777" w:rsidR="00862425" w:rsidRDefault="00862425"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4601A" w14:textId="77777777" w:rsidR="00862425" w:rsidRDefault="00862425" w:rsidP="00655736">
      <w:r>
        <w:separator/>
      </w:r>
    </w:p>
  </w:footnote>
  <w:footnote w:type="continuationSeparator" w:id="0">
    <w:p w14:paraId="74C25BB1" w14:textId="77777777" w:rsidR="00862425" w:rsidRDefault="00862425" w:rsidP="00655736">
      <w:r>
        <w:continuationSeparator/>
      </w:r>
    </w:p>
  </w:footnote>
  <w:footnote w:id="1">
    <w:p w14:paraId="027A948D" w14:textId="4DB3D504" w:rsidR="00862425" w:rsidRPr="0016216A" w:rsidRDefault="00862425">
      <w:pPr>
        <w:pStyle w:val="FootnoteText"/>
        <w:rPr>
          <w:rFonts w:ascii="Arial" w:eastAsia="Malgun Gothic" w:hAnsi="Arial"/>
          <w:lang w:val="fr-FR" w:eastAsia="ko-KR"/>
        </w:rPr>
      </w:pPr>
      <w:r w:rsidRPr="008059EE">
        <w:rPr>
          <w:rStyle w:val="FootnoteReference"/>
          <w:rFonts w:ascii="Arial" w:hAnsi="Arial"/>
        </w:rPr>
        <w:footnoteRef/>
      </w:r>
      <w:r w:rsidRPr="008059EE">
        <w:rPr>
          <w:rFonts w:ascii="Arial" w:hAnsi="Arial"/>
        </w:rPr>
        <w:t xml:space="preserve"> </w:t>
      </w:r>
      <w:hyperlink r:id="rId1" w:history="1">
        <w:r w:rsidRPr="00644CC6">
          <w:rPr>
            <w:rStyle w:val="Hyperlink"/>
            <w:rFonts w:ascii="Arial" w:hAnsi="Arial"/>
          </w:rPr>
          <w:t>http://www.unesco.org/culture/ich/fr/periodic-reporting-00857</w:t>
        </w:r>
      </w:hyperlink>
    </w:p>
  </w:footnote>
  <w:footnote w:id="2">
    <w:p w14:paraId="1D1ABF1B" w14:textId="5897C98A" w:rsidR="00862425" w:rsidRPr="00F43449" w:rsidRDefault="00862425" w:rsidP="0018552E">
      <w:pPr>
        <w:pStyle w:val="FootnoteText"/>
        <w:spacing w:line="240" w:lineRule="auto"/>
        <w:jc w:val="both"/>
        <w:rPr>
          <w:rFonts w:ascii="Arial" w:eastAsia="Malgun Gothic" w:hAnsi="Arial"/>
          <w:lang w:val="fr-FR" w:eastAsia="ko-KR"/>
        </w:rPr>
      </w:pPr>
      <w:r w:rsidRPr="006D7B8D">
        <w:rPr>
          <w:rStyle w:val="FootnoteReference"/>
          <w:rFonts w:ascii="Arial" w:hAnsi="Arial"/>
          <w:sz w:val="18"/>
        </w:rPr>
        <w:footnoteRef/>
      </w:r>
      <w:r w:rsidRPr="006D7B8D">
        <w:rPr>
          <w:rFonts w:ascii="Arial" w:hAnsi="Arial"/>
          <w:sz w:val="18"/>
        </w:rPr>
        <w:t xml:space="preserve"> </w:t>
      </w:r>
      <w:r w:rsidRPr="006D7B8D">
        <w:rPr>
          <w:rFonts w:ascii="Arial" w:hAnsi="Arial"/>
          <w:sz w:val="18"/>
          <w:lang w:val="fr-FR"/>
        </w:rPr>
        <w:t>Le nouveau nom officiel abrégé « Tchéquie » est utilisé dans ce document conformément à une demande officielle de la République tchèque et un communiqué du Service du protocole des Nation</w:t>
      </w:r>
      <w:r w:rsidR="00F43449" w:rsidRPr="006D7B8D">
        <w:rPr>
          <w:rFonts w:ascii="Arial" w:hAnsi="Arial"/>
          <w:sz w:val="18"/>
          <w:lang w:val="fr-FR"/>
        </w:rPr>
        <w:t>s Unies en date du 17 mai 2016.</w:t>
      </w:r>
    </w:p>
  </w:footnote>
  <w:footnote w:id="3">
    <w:p w14:paraId="7B14FD0B" w14:textId="463575DB" w:rsidR="00862425" w:rsidRPr="00F43449" w:rsidRDefault="00862425">
      <w:pPr>
        <w:pStyle w:val="FootnoteText"/>
        <w:rPr>
          <w:rFonts w:eastAsia="Malgun Gothic"/>
          <w:lang w:val="fr-FR" w:eastAsia="ko-KR"/>
        </w:rPr>
      </w:pPr>
      <w:r w:rsidRPr="00F43449">
        <w:rPr>
          <w:rStyle w:val="FootnoteReference"/>
          <w:rFonts w:ascii="Arial" w:hAnsi="Arial" w:cs="Arial"/>
          <w:sz w:val="18"/>
        </w:rPr>
        <w:footnoteRef/>
      </w:r>
      <w:r w:rsidRPr="00F43449">
        <w:rPr>
          <w:rFonts w:ascii="Arial" w:hAnsi="Arial" w:cs="Arial"/>
          <w:sz w:val="18"/>
        </w:rPr>
        <w:t xml:space="preserve"> </w:t>
      </w:r>
      <w:r w:rsidRPr="00F43449">
        <w:rPr>
          <w:rFonts w:ascii="Arial" w:hAnsi="Arial" w:cs="Arial"/>
          <w:sz w:val="18"/>
          <w:lang w:val="fr-FR"/>
        </w:rPr>
        <w:t>Les États parties concernés sont présentés suivant l’ordre alphabétique en français.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11424" w14:textId="2797D41E" w:rsidR="00862425" w:rsidRPr="00C23A97" w:rsidRDefault="00862425">
    <w:pPr>
      <w:pStyle w:val="Header"/>
      <w:rPr>
        <w:rFonts w:ascii="Arial" w:hAnsi="Arial" w:cs="Arial"/>
        <w:lang w:val="en-GB"/>
      </w:rPr>
    </w:pPr>
    <w:r>
      <w:rPr>
        <w:rFonts w:ascii="Arial" w:hAnsi="Arial" w:cs="Arial"/>
        <w:sz w:val="20"/>
        <w:szCs w:val="20"/>
        <w:lang w:val="en-GB"/>
      </w:rPr>
      <w:t>ITH/16/11.COM</w:t>
    </w:r>
    <w:r w:rsidRPr="00C23A97">
      <w:rPr>
        <w:rFonts w:ascii="Arial" w:hAnsi="Arial" w:cs="Arial"/>
        <w:sz w:val="20"/>
        <w:szCs w:val="20"/>
        <w:lang w:val="en-GB"/>
      </w:rPr>
      <w:t>/</w:t>
    </w:r>
    <w:r>
      <w:rPr>
        <w:rFonts w:ascii="Arial" w:hAnsi="Arial" w:cs="Arial"/>
        <w:sz w:val="20"/>
        <w:szCs w:val="20"/>
        <w:lang w:val="en-GB"/>
      </w:rPr>
      <w:t>9.a</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C722D4">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D38E8" w14:textId="710E8730" w:rsidR="00862425" w:rsidRPr="0063300C" w:rsidRDefault="00862425" w:rsidP="0063300C">
    <w:pPr>
      <w:pStyle w:val="Header"/>
      <w:jc w:val="right"/>
      <w:rPr>
        <w:rFonts w:ascii="Arial" w:hAnsi="Arial" w:cs="Arial"/>
        <w:lang w:val="en-GB"/>
      </w:rPr>
    </w:pPr>
    <w:r>
      <w:rPr>
        <w:rFonts w:ascii="Arial" w:hAnsi="Arial" w:cs="Arial"/>
        <w:sz w:val="20"/>
        <w:szCs w:val="20"/>
        <w:lang w:val="en-GB"/>
      </w:rPr>
      <w:t>ITH/16/11.COM</w:t>
    </w:r>
    <w:r w:rsidRPr="0063300C">
      <w:rPr>
        <w:rFonts w:ascii="Arial" w:hAnsi="Arial" w:cs="Arial"/>
        <w:sz w:val="20"/>
        <w:szCs w:val="20"/>
        <w:lang w:val="en-GB"/>
      </w:rPr>
      <w:t>/</w:t>
    </w:r>
    <w:r>
      <w:rPr>
        <w:rFonts w:ascii="Arial" w:hAnsi="Arial" w:cs="Arial"/>
        <w:sz w:val="20"/>
        <w:szCs w:val="20"/>
        <w:lang w:val="en-GB"/>
      </w:rPr>
      <w:t>9.a</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C722D4">
      <w:rPr>
        <w:rStyle w:val="PageNumber"/>
        <w:rFonts w:ascii="Arial" w:hAnsi="Arial" w:cs="Arial"/>
        <w:noProof/>
        <w:sz w:val="20"/>
        <w:szCs w:val="20"/>
        <w:lang w:val="en-GB"/>
      </w:rPr>
      <w:t>21</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5A847" w14:textId="77777777" w:rsidR="00862425" w:rsidRPr="00F32C23" w:rsidRDefault="00862425">
    <w:pPr>
      <w:pStyle w:val="Header"/>
      <w:rPr>
        <w:lang w:val="en-GB"/>
      </w:rPr>
    </w:pPr>
  </w:p>
  <w:p w14:paraId="12D577B3" w14:textId="77777777" w:rsidR="00862425" w:rsidRPr="00F30DC6" w:rsidRDefault="00862425" w:rsidP="00655736">
    <w:pPr>
      <w:pStyle w:val="Header"/>
      <w:spacing w:after="520"/>
      <w:jc w:val="right"/>
      <w:rPr>
        <w:rFonts w:ascii="Arial" w:hAnsi="Arial" w:cs="Arial"/>
        <w:b/>
        <w:sz w:val="44"/>
        <w:szCs w:val="44"/>
        <w:lang w:val="en-GB"/>
      </w:rPr>
    </w:pPr>
    <w:r>
      <w:rPr>
        <w:noProof/>
      </w:rPr>
      <w:drawing>
        <wp:anchor distT="0" distB="0" distL="114300" distR="114300" simplePos="0" relativeHeight="251659264" behindDoc="0" locked="0" layoutInCell="1" allowOverlap="1" wp14:anchorId="41BE7A95" wp14:editId="599BC0A6">
          <wp:simplePos x="0" y="0"/>
          <wp:positionH relativeFrom="column">
            <wp:posOffset>-377190</wp:posOffset>
          </wp:positionH>
          <wp:positionV relativeFrom="page">
            <wp:posOffset>255905</wp:posOffset>
          </wp:positionV>
          <wp:extent cx="2037600" cy="1530000"/>
          <wp:effectExtent l="0" t="0" r="1270" b="0"/>
          <wp:wrapNone/>
          <wp:docPr id="1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4"/>
        <w:szCs w:val="44"/>
        <w:lang w:val="en-GB"/>
      </w:rPr>
      <w:t>11</w:t>
    </w:r>
    <w:r w:rsidRPr="00F30DC6">
      <w:rPr>
        <w:rFonts w:ascii="Arial" w:hAnsi="Arial" w:cs="Arial"/>
        <w:b/>
        <w:sz w:val="44"/>
        <w:szCs w:val="44"/>
        <w:lang w:val="en-GB"/>
      </w:rPr>
      <w:t xml:space="preserve"> COM</w:t>
    </w:r>
  </w:p>
  <w:p w14:paraId="225DC195" w14:textId="77777777" w:rsidR="00862425" w:rsidRPr="009D5428" w:rsidRDefault="00862425" w:rsidP="00655736">
    <w:pPr>
      <w:jc w:val="right"/>
      <w:rPr>
        <w:rFonts w:ascii="Arial" w:hAnsi="Arial" w:cs="Arial"/>
        <w:b/>
        <w:sz w:val="22"/>
        <w:szCs w:val="22"/>
        <w:lang w:val="en-GB"/>
      </w:rPr>
    </w:pPr>
    <w:r>
      <w:rPr>
        <w:rFonts w:ascii="Arial" w:hAnsi="Arial" w:cs="Arial"/>
        <w:b/>
        <w:sz w:val="22"/>
        <w:szCs w:val="22"/>
        <w:lang w:val="en-GB"/>
      </w:rPr>
      <w:t>ITH/16</w:t>
    </w:r>
    <w:r w:rsidRPr="009D5428">
      <w:rPr>
        <w:rFonts w:ascii="Arial" w:hAnsi="Arial" w:cs="Arial"/>
        <w:b/>
        <w:sz w:val="22"/>
        <w:szCs w:val="22"/>
        <w:lang w:val="en-GB"/>
      </w:rPr>
      <w:t>/</w:t>
    </w:r>
    <w:r>
      <w:rPr>
        <w:rFonts w:ascii="Arial" w:hAnsi="Arial" w:cs="Arial"/>
        <w:b/>
        <w:sz w:val="22"/>
        <w:szCs w:val="22"/>
        <w:lang w:val="en-GB"/>
      </w:rPr>
      <w:t>11</w:t>
    </w:r>
    <w:r w:rsidRPr="009D5428">
      <w:rPr>
        <w:rFonts w:ascii="Arial" w:hAnsi="Arial" w:cs="Arial"/>
        <w:b/>
        <w:sz w:val="22"/>
        <w:szCs w:val="22"/>
        <w:lang w:val="en-GB"/>
      </w:rPr>
      <w:t>.COM/</w:t>
    </w:r>
    <w:r>
      <w:rPr>
        <w:rFonts w:ascii="Arial" w:hAnsi="Arial" w:cs="Arial"/>
        <w:b/>
        <w:sz w:val="22"/>
        <w:szCs w:val="22"/>
        <w:lang w:val="en-GB"/>
      </w:rPr>
      <w:t>9.a</w:t>
    </w:r>
  </w:p>
  <w:p w14:paraId="01D82369" w14:textId="7CA17894" w:rsidR="00862425" w:rsidRPr="00D4732D" w:rsidRDefault="00862425" w:rsidP="00655736">
    <w:pPr>
      <w:jc w:val="right"/>
      <w:rPr>
        <w:rFonts w:ascii="Arial" w:hAnsi="Arial" w:cs="Arial"/>
        <w:b/>
        <w:sz w:val="22"/>
        <w:szCs w:val="22"/>
      </w:rPr>
    </w:pPr>
    <w:r w:rsidRPr="00D4732D">
      <w:rPr>
        <w:rFonts w:ascii="Arial" w:hAnsi="Arial" w:cs="Arial"/>
        <w:b/>
        <w:sz w:val="22"/>
        <w:szCs w:val="22"/>
      </w:rPr>
      <w:t xml:space="preserve">Paris, le </w:t>
    </w:r>
    <w:r w:rsidR="00F43449">
      <w:rPr>
        <w:rFonts w:ascii="Arial" w:eastAsia="Malgun Gothic" w:hAnsi="Arial" w:cs="Arial" w:hint="eastAsia"/>
        <w:b/>
        <w:sz w:val="22"/>
        <w:szCs w:val="22"/>
        <w:lang w:eastAsia="ko-KR"/>
      </w:rPr>
      <w:t xml:space="preserve">31 </w:t>
    </w:r>
    <w:r w:rsidRPr="00D4732D">
      <w:rPr>
        <w:rFonts w:ascii="Arial" w:hAnsi="Arial" w:cs="Arial"/>
        <w:b/>
        <w:sz w:val="22"/>
        <w:szCs w:val="22"/>
      </w:rPr>
      <w:t>octob</w:t>
    </w:r>
    <w:r>
      <w:rPr>
        <w:rFonts w:ascii="Arial" w:hAnsi="Arial" w:cs="Arial"/>
        <w:b/>
        <w:sz w:val="22"/>
        <w:szCs w:val="22"/>
      </w:rPr>
      <w:t>re</w:t>
    </w:r>
    <w:r w:rsidRPr="00D4732D">
      <w:rPr>
        <w:rFonts w:ascii="Arial" w:hAnsi="Arial" w:cs="Arial"/>
        <w:b/>
        <w:sz w:val="22"/>
        <w:szCs w:val="22"/>
      </w:rPr>
      <w:t xml:space="preserve"> 2016</w:t>
    </w:r>
  </w:p>
  <w:p w14:paraId="4DCE1B53" w14:textId="150A42F5" w:rsidR="00862425" w:rsidRPr="00F43449" w:rsidRDefault="00862425" w:rsidP="00F43449">
    <w:pPr>
      <w:jc w:val="right"/>
      <w:rPr>
        <w:rFonts w:ascii="Arial" w:eastAsia="Malgun Gothic" w:hAnsi="Arial" w:cs="Arial"/>
        <w:b/>
        <w:sz w:val="22"/>
        <w:szCs w:val="22"/>
        <w:lang w:eastAsia="ko-KR"/>
      </w:rPr>
    </w:pPr>
    <w:r w:rsidRPr="00D4732D">
      <w:rPr>
        <w:rFonts w:ascii="Arial" w:hAnsi="Arial" w:cs="Arial"/>
        <w:b/>
        <w:sz w:val="22"/>
        <w:szCs w:val="22"/>
      </w:rPr>
      <w:t>Original</w:t>
    </w:r>
    <w:r>
      <w:rPr>
        <w:rFonts w:ascii="Arial" w:hAnsi="Arial" w:cs="Arial"/>
        <w:b/>
        <w:sz w:val="22"/>
        <w:szCs w:val="22"/>
      </w:rPr>
      <w:t xml:space="preserve"> </w:t>
    </w:r>
    <w:r w:rsidRPr="00D4732D">
      <w:rPr>
        <w:rFonts w:ascii="Arial" w:hAnsi="Arial" w:cs="Arial"/>
        <w:b/>
        <w:sz w:val="22"/>
        <w:szCs w:val="22"/>
      </w:rPr>
      <w:t>: anglais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DA1"/>
    <w:multiLevelType w:val="hybridMultilevel"/>
    <w:tmpl w:val="02942190"/>
    <w:lvl w:ilvl="0" w:tplc="8C8EAC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92C0A"/>
    <w:multiLevelType w:val="hybridMultilevel"/>
    <w:tmpl w:val="C10EE2CC"/>
    <w:lvl w:ilvl="0" w:tplc="6FB60848">
      <w:start w:val="1"/>
      <w:numFmt w:val="upp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C653E9B"/>
    <w:multiLevelType w:val="hybridMultilevel"/>
    <w:tmpl w:val="E4F4EF8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0024A03"/>
    <w:multiLevelType w:val="hybridMultilevel"/>
    <w:tmpl w:val="B83A0B46"/>
    <w:lvl w:ilvl="0" w:tplc="CEC4C60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C474C90"/>
    <w:multiLevelType w:val="hybridMultilevel"/>
    <w:tmpl w:val="C8A84F08"/>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1F36D964"/>
    <w:lvl w:ilvl="0" w:tplc="918ACE6A">
      <w:start w:val="1"/>
      <w:numFmt w:val="decimal"/>
      <w:pStyle w:val="COMParaDecision"/>
      <w:lvlText w:val="%1."/>
      <w:lvlJc w:val="left"/>
      <w:pPr>
        <w:ind w:left="121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FB37156"/>
    <w:multiLevelType w:val="hybridMultilevel"/>
    <w:tmpl w:val="9B021428"/>
    <w:lvl w:ilvl="0" w:tplc="07DCF292">
      <w:start w:val="1"/>
      <w:numFmt w:val="decimal"/>
      <w:pStyle w:val="Para"/>
      <w:lvlText w:val="%1."/>
      <w:lvlJc w:val="left"/>
      <w:pPr>
        <w:ind w:left="502" w:hanging="360"/>
      </w:pPr>
      <w:rPr>
        <w:rFonts w:hint="default"/>
        <w:b w:val="0"/>
        <w:color w:val="auto"/>
        <w:sz w:val="22"/>
        <w:szCs w:val="22"/>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3B71665"/>
    <w:multiLevelType w:val="hybridMultilevel"/>
    <w:tmpl w:val="23968162"/>
    <w:lvl w:ilvl="0" w:tplc="C3B6A8A4">
      <w:start w:val="1"/>
      <w:numFmt w:val="decimal"/>
      <w:lvlText w:val="%1."/>
      <w:lvlJc w:val="left"/>
      <w:pPr>
        <w:ind w:left="360" w:hanging="360"/>
      </w:pPr>
      <w:rPr>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26EC8FB2">
      <w:start w:val="1"/>
      <w:numFmt w:val="decimal"/>
      <w:lvlText w:val="%4."/>
      <w:lvlJc w:val="left"/>
      <w:pPr>
        <w:ind w:left="2880" w:hanging="360"/>
      </w:pPr>
      <w:rPr>
        <w:b/>
      </w:rPr>
    </w:lvl>
    <w:lvl w:ilvl="4" w:tplc="0DACDB64">
      <w:start w:val="1"/>
      <w:numFmt w:val="lowerLetter"/>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572B67F0"/>
    <w:multiLevelType w:val="hybridMultilevel"/>
    <w:tmpl w:val="02942190"/>
    <w:lvl w:ilvl="0" w:tplc="8C8EAC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FB5354"/>
    <w:multiLevelType w:val="hybridMultilevel"/>
    <w:tmpl w:val="14E29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0149D8"/>
    <w:multiLevelType w:val="hybridMultilevel"/>
    <w:tmpl w:val="A3CE8C2C"/>
    <w:lvl w:ilvl="0" w:tplc="8D823B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BA1FA3"/>
    <w:multiLevelType w:val="hybridMultilevel"/>
    <w:tmpl w:val="E79A8198"/>
    <w:lvl w:ilvl="0" w:tplc="9A82EE42">
      <w:start w:val="21"/>
      <w:numFmt w:val="bullet"/>
      <w:lvlText w:val="-"/>
      <w:lvlJc w:val="left"/>
      <w:pPr>
        <w:ind w:left="927" w:hanging="360"/>
      </w:pPr>
      <w:rPr>
        <w:rFonts w:ascii="Arial" w:eastAsia="Arial"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78D72EE7"/>
    <w:multiLevelType w:val="hybridMultilevel"/>
    <w:tmpl w:val="C8A84F08"/>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ADC2272"/>
    <w:multiLevelType w:val="hybridMultilevel"/>
    <w:tmpl w:val="E4F66A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9"/>
  </w:num>
  <w:num w:numId="3">
    <w:abstractNumId w:val="5"/>
  </w:num>
  <w:num w:numId="4">
    <w:abstractNumId w:val="23"/>
  </w:num>
  <w:num w:numId="5">
    <w:abstractNumId w:val="20"/>
  </w:num>
  <w:num w:numId="6">
    <w:abstractNumId w:val="4"/>
  </w:num>
  <w:num w:numId="7">
    <w:abstractNumId w:val="6"/>
  </w:num>
  <w:num w:numId="8">
    <w:abstractNumId w:val="15"/>
  </w:num>
  <w:num w:numId="9">
    <w:abstractNumId w:val="8"/>
  </w:num>
  <w:num w:numId="10">
    <w:abstractNumId w:val="10"/>
  </w:num>
  <w:num w:numId="11">
    <w:abstractNumId w:val="13"/>
  </w:num>
  <w:num w:numId="12">
    <w:abstractNumId w:val="11"/>
  </w:num>
  <w:num w:numId="13">
    <w:abstractNumId w:val="16"/>
  </w:num>
  <w:num w:numId="14">
    <w:abstractNumId w:val="14"/>
  </w:num>
  <w:num w:numId="15">
    <w:abstractNumId w:val="22"/>
  </w:num>
  <w:num w:numId="16">
    <w:abstractNumId w:val="1"/>
  </w:num>
  <w:num w:numId="17">
    <w:abstractNumId w:val="7"/>
  </w:num>
  <w:num w:numId="18">
    <w:abstractNumId w:val="18"/>
  </w:num>
  <w:num w:numId="19">
    <w:abstractNumId w:val="0"/>
  </w:num>
  <w:num w:numId="20">
    <w:abstractNumId w:val="24"/>
  </w:num>
  <w:num w:numId="21">
    <w:abstractNumId w:val="3"/>
  </w:num>
  <w:num w:numId="22">
    <w:abstractNumId w:val="17"/>
  </w:num>
  <w:num w:numId="23">
    <w:abstractNumId w:val="21"/>
  </w:num>
  <w:num w:numId="24">
    <w:abstractNumId w:val="8"/>
  </w:num>
  <w:num w:numId="25">
    <w:abstractNumId w:val="10"/>
    <w:lvlOverride w:ilvl="0">
      <w:startOverride w:val="1"/>
    </w:lvlOverride>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1995"/>
    <w:rsid w:val="000048ED"/>
    <w:rsid w:val="0000749D"/>
    <w:rsid w:val="00015983"/>
    <w:rsid w:val="0002212B"/>
    <w:rsid w:val="000305FC"/>
    <w:rsid w:val="000413AF"/>
    <w:rsid w:val="00041A4A"/>
    <w:rsid w:val="00041A66"/>
    <w:rsid w:val="000425FC"/>
    <w:rsid w:val="000427A2"/>
    <w:rsid w:val="000516B8"/>
    <w:rsid w:val="0005176E"/>
    <w:rsid w:val="00054483"/>
    <w:rsid w:val="000546D1"/>
    <w:rsid w:val="000555D5"/>
    <w:rsid w:val="0005700D"/>
    <w:rsid w:val="000604E4"/>
    <w:rsid w:val="00064425"/>
    <w:rsid w:val="0006741E"/>
    <w:rsid w:val="00072377"/>
    <w:rsid w:val="000765F7"/>
    <w:rsid w:val="00077AB7"/>
    <w:rsid w:val="00081CD8"/>
    <w:rsid w:val="00087B37"/>
    <w:rsid w:val="00090E1C"/>
    <w:rsid w:val="00094ED0"/>
    <w:rsid w:val="00096F24"/>
    <w:rsid w:val="000A1604"/>
    <w:rsid w:val="000A56CB"/>
    <w:rsid w:val="000A7F0E"/>
    <w:rsid w:val="000B1C8F"/>
    <w:rsid w:val="000B4C04"/>
    <w:rsid w:val="000B556D"/>
    <w:rsid w:val="000C08BA"/>
    <w:rsid w:val="000C0D61"/>
    <w:rsid w:val="000C6D61"/>
    <w:rsid w:val="000D1C20"/>
    <w:rsid w:val="000D21E3"/>
    <w:rsid w:val="000E33F1"/>
    <w:rsid w:val="000E59CE"/>
    <w:rsid w:val="000E647F"/>
    <w:rsid w:val="000F3A3F"/>
    <w:rsid w:val="000F5428"/>
    <w:rsid w:val="00102557"/>
    <w:rsid w:val="0010678D"/>
    <w:rsid w:val="00107ABF"/>
    <w:rsid w:val="001120A9"/>
    <w:rsid w:val="00113A45"/>
    <w:rsid w:val="0013015A"/>
    <w:rsid w:val="001352B6"/>
    <w:rsid w:val="00136B20"/>
    <w:rsid w:val="00140E76"/>
    <w:rsid w:val="0015054B"/>
    <w:rsid w:val="00151FF1"/>
    <w:rsid w:val="0016216A"/>
    <w:rsid w:val="00162E27"/>
    <w:rsid w:val="00163B86"/>
    <w:rsid w:val="00164D56"/>
    <w:rsid w:val="00167B10"/>
    <w:rsid w:val="00173DA9"/>
    <w:rsid w:val="00173DD2"/>
    <w:rsid w:val="0017402F"/>
    <w:rsid w:val="00174764"/>
    <w:rsid w:val="00175567"/>
    <w:rsid w:val="00181497"/>
    <w:rsid w:val="0018552E"/>
    <w:rsid w:val="00185A7E"/>
    <w:rsid w:val="00191FEA"/>
    <w:rsid w:val="00196C1B"/>
    <w:rsid w:val="001A262E"/>
    <w:rsid w:val="001B0F73"/>
    <w:rsid w:val="001B3D2B"/>
    <w:rsid w:val="001B6057"/>
    <w:rsid w:val="001C2DB7"/>
    <w:rsid w:val="001D0F03"/>
    <w:rsid w:val="001D2C5C"/>
    <w:rsid w:val="001D5C04"/>
    <w:rsid w:val="001E24E2"/>
    <w:rsid w:val="001E28DD"/>
    <w:rsid w:val="001E2AD9"/>
    <w:rsid w:val="001E2F08"/>
    <w:rsid w:val="001E42B7"/>
    <w:rsid w:val="001E6E01"/>
    <w:rsid w:val="001E7FD0"/>
    <w:rsid w:val="001F26CF"/>
    <w:rsid w:val="001F3102"/>
    <w:rsid w:val="001F5CF2"/>
    <w:rsid w:val="00200297"/>
    <w:rsid w:val="00202344"/>
    <w:rsid w:val="0020295D"/>
    <w:rsid w:val="002057A9"/>
    <w:rsid w:val="002063C1"/>
    <w:rsid w:val="0020642D"/>
    <w:rsid w:val="0020704C"/>
    <w:rsid w:val="002153F4"/>
    <w:rsid w:val="00216B20"/>
    <w:rsid w:val="002202E6"/>
    <w:rsid w:val="0022064D"/>
    <w:rsid w:val="00222908"/>
    <w:rsid w:val="00222A2D"/>
    <w:rsid w:val="00223029"/>
    <w:rsid w:val="00223482"/>
    <w:rsid w:val="002312D0"/>
    <w:rsid w:val="00234745"/>
    <w:rsid w:val="002407AF"/>
    <w:rsid w:val="00252609"/>
    <w:rsid w:val="00254851"/>
    <w:rsid w:val="00266BE6"/>
    <w:rsid w:val="00271F05"/>
    <w:rsid w:val="0027466B"/>
    <w:rsid w:val="002751DB"/>
    <w:rsid w:val="0028210D"/>
    <w:rsid w:val="002838A5"/>
    <w:rsid w:val="00285BB4"/>
    <w:rsid w:val="0029228C"/>
    <w:rsid w:val="00294EB0"/>
    <w:rsid w:val="00297DF1"/>
    <w:rsid w:val="002B25B0"/>
    <w:rsid w:val="002C00C0"/>
    <w:rsid w:val="002C09E3"/>
    <w:rsid w:val="002C1761"/>
    <w:rsid w:val="002C52B0"/>
    <w:rsid w:val="002C6608"/>
    <w:rsid w:val="002D2EE9"/>
    <w:rsid w:val="002D47B3"/>
    <w:rsid w:val="002D68DE"/>
    <w:rsid w:val="002D7E86"/>
    <w:rsid w:val="002E1B78"/>
    <w:rsid w:val="002E2529"/>
    <w:rsid w:val="002E464D"/>
    <w:rsid w:val="002F1488"/>
    <w:rsid w:val="002F2957"/>
    <w:rsid w:val="002F5E01"/>
    <w:rsid w:val="00312F95"/>
    <w:rsid w:val="00316768"/>
    <w:rsid w:val="00320ADE"/>
    <w:rsid w:val="003223B7"/>
    <w:rsid w:val="0032352C"/>
    <w:rsid w:val="00333691"/>
    <w:rsid w:val="00343833"/>
    <w:rsid w:val="00344B58"/>
    <w:rsid w:val="0034539A"/>
    <w:rsid w:val="00345CB4"/>
    <w:rsid w:val="003673C7"/>
    <w:rsid w:val="0037021D"/>
    <w:rsid w:val="00375BB9"/>
    <w:rsid w:val="00375D42"/>
    <w:rsid w:val="0037721D"/>
    <w:rsid w:val="0037752D"/>
    <w:rsid w:val="00383104"/>
    <w:rsid w:val="00383986"/>
    <w:rsid w:val="00392B69"/>
    <w:rsid w:val="00393C90"/>
    <w:rsid w:val="003A4AE6"/>
    <w:rsid w:val="003B50E3"/>
    <w:rsid w:val="003B5E8B"/>
    <w:rsid w:val="003C2976"/>
    <w:rsid w:val="003C655C"/>
    <w:rsid w:val="003D069C"/>
    <w:rsid w:val="003D608B"/>
    <w:rsid w:val="003D6C1F"/>
    <w:rsid w:val="003D7646"/>
    <w:rsid w:val="003E7B9C"/>
    <w:rsid w:val="003F113A"/>
    <w:rsid w:val="003F3E63"/>
    <w:rsid w:val="003F7C07"/>
    <w:rsid w:val="00407480"/>
    <w:rsid w:val="00414643"/>
    <w:rsid w:val="00414C23"/>
    <w:rsid w:val="00414D84"/>
    <w:rsid w:val="00436084"/>
    <w:rsid w:val="004421E5"/>
    <w:rsid w:val="0044569E"/>
    <w:rsid w:val="00452284"/>
    <w:rsid w:val="00455A1A"/>
    <w:rsid w:val="00457C8E"/>
    <w:rsid w:val="00470662"/>
    <w:rsid w:val="0047245C"/>
    <w:rsid w:val="004753A1"/>
    <w:rsid w:val="00477D84"/>
    <w:rsid w:val="00483C2A"/>
    <w:rsid w:val="004856CA"/>
    <w:rsid w:val="00487E67"/>
    <w:rsid w:val="00490BB0"/>
    <w:rsid w:val="00495385"/>
    <w:rsid w:val="004956E1"/>
    <w:rsid w:val="00496B85"/>
    <w:rsid w:val="0049705E"/>
    <w:rsid w:val="004A34A0"/>
    <w:rsid w:val="004A3619"/>
    <w:rsid w:val="004A66B9"/>
    <w:rsid w:val="004A6ACB"/>
    <w:rsid w:val="004B033D"/>
    <w:rsid w:val="004B27CB"/>
    <w:rsid w:val="004B7E8E"/>
    <w:rsid w:val="004C0069"/>
    <w:rsid w:val="004C4577"/>
    <w:rsid w:val="004C6F03"/>
    <w:rsid w:val="004D092D"/>
    <w:rsid w:val="004D4BE1"/>
    <w:rsid w:val="004D4F34"/>
    <w:rsid w:val="004E0F92"/>
    <w:rsid w:val="004E1F13"/>
    <w:rsid w:val="004E3504"/>
    <w:rsid w:val="004F58C6"/>
    <w:rsid w:val="005008A8"/>
    <w:rsid w:val="00502BD7"/>
    <w:rsid w:val="005061F1"/>
    <w:rsid w:val="005128A8"/>
    <w:rsid w:val="005161F2"/>
    <w:rsid w:val="00521E57"/>
    <w:rsid w:val="00526B7B"/>
    <w:rsid w:val="005308CE"/>
    <w:rsid w:val="00531213"/>
    <w:rsid w:val="005317F0"/>
    <w:rsid w:val="00531995"/>
    <w:rsid w:val="0053706D"/>
    <w:rsid w:val="00537DF0"/>
    <w:rsid w:val="00542CFC"/>
    <w:rsid w:val="005437C2"/>
    <w:rsid w:val="005465CD"/>
    <w:rsid w:val="005469B2"/>
    <w:rsid w:val="00547877"/>
    <w:rsid w:val="00555358"/>
    <w:rsid w:val="0055651F"/>
    <w:rsid w:val="005565B8"/>
    <w:rsid w:val="0055775A"/>
    <w:rsid w:val="0057439C"/>
    <w:rsid w:val="0058335B"/>
    <w:rsid w:val="00585282"/>
    <w:rsid w:val="00596C79"/>
    <w:rsid w:val="005972E1"/>
    <w:rsid w:val="005A09E4"/>
    <w:rsid w:val="005B0127"/>
    <w:rsid w:val="005B7A35"/>
    <w:rsid w:val="005C4B73"/>
    <w:rsid w:val="005D46BA"/>
    <w:rsid w:val="005D53B0"/>
    <w:rsid w:val="005E1C03"/>
    <w:rsid w:val="005E1D2B"/>
    <w:rsid w:val="005E7074"/>
    <w:rsid w:val="005F0831"/>
    <w:rsid w:val="005F2BAF"/>
    <w:rsid w:val="005F2E66"/>
    <w:rsid w:val="005F4FCF"/>
    <w:rsid w:val="00600D93"/>
    <w:rsid w:val="00600E8F"/>
    <w:rsid w:val="00624CAD"/>
    <w:rsid w:val="00625071"/>
    <w:rsid w:val="0063300C"/>
    <w:rsid w:val="006352E9"/>
    <w:rsid w:val="006359C2"/>
    <w:rsid w:val="00637314"/>
    <w:rsid w:val="0064169E"/>
    <w:rsid w:val="006456A0"/>
    <w:rsid w:val="006500EC"/>
    <w:rsid w:val="00651CC1"/>
    <w:rsid w:val="00655736"/>
    <w:rsid w:val="00657539"/>
    <w:rsid w:val="00663B8D"/>
    <w:rsid w:val="00665880"/>
    <w:rsid w:val="00696C8D"/>
    <w:rsid w:val="006A0A9F"/>
    <w:rsid w:val="006A2AC2"/>
    <w:rsid w:val="006A3617"/>
    <w:rsid w:val="006A49CC"/>
    <w:rsid w:val="006C0E4E"/>
    <w:rsid w:val="006C36B5"/>
    <w:rsid w:val="006D5BD8"/>
    <w:rsid w:val="006D7B8D"/>
    <w:rsid w:val="006E46E4"/>
    <w:rsid w:val="006E5AC5"/>
    <w:rsid w:val="006F0D55"/>
    <w:rsid w:val="006F34C3"/>
    <w:rsid w:val="006F48DF"/>
    <w:rsid w:val="00701E87"/>
    <w:rsid w:val="00703A45"/>
    <w:rsid w:val="007075C1"/>
    <w:rsid w:val="00714923"/>
    <w:rsid w:val="00717DA5"/>
    <w:rsid w:val="00720B8F"/>
    <w:rsid w:val="00722298"/>
    <w:rsid w:val="00724C12"/>
    <w:rsid w:val="00726B34"/>
    <w:rsid w:val="00730C7A"/>
    <w:rsid w:val="00736354"/>
    <w:rsid w:val="007442B3"/>
    <w:rsid w:val="00744484"/>
    <w:rsid w:val="00745AFF"/>
    <w:rsid w:val="00747566"/>
    <w:rsid w:val="00751A0F"/>
    <w:rsid w:val="00755FDC"/>
    <w:rsid w:val="007668B8"/>
    <w:rsid w:val="00771A2D"/>
    <w:rsid w:val="00773188"/>
    <w:rsid w:val="007800AC"/>
    <w:rsid w:val="0078214D"/>
    <w:rsid w:val="00783782"/>
    <w:rsid w:val="00784729"/>
    <w:rsid w:val="00784B8C"/>
    <w:rsid w:val="007879E1"/>
    <w:rsid w:val="00795E3B"/>
    <w:rsid w:val="007B3ADB"/>
    <w:rsid w:val="007B4BE4"/>
    <w:rsid w:val="007B5725"/>
    <w:rsid w:val="007C2855"/>
    <w:rsid w:val="007C4224"/>
    <w:rsid w:val="007C5BF1"/>
    <w:rsid w:val="007D6D65"/>
    <w:rsid w:val="007D7428"/>
    <w:rsid w:val="007D7D69"/>
    <w:rsid w:val="007E1359"/>
    <w:rsid w:val="007E1A06"/>
    <w:rsid w:val="007E5AE0"/>
    <w:rsid w:val="007F007D"/>
    <w:rsid w:val="007F0CB8"/>
    <w:rsid w:val="007F7B15"/>
    <w:rsid w:val="0080405D"/>
    <w:rsid w:val="008059EE"/>
    <w:rsid w:val="00807EAD"/>
    <w:rsid w:val="0082143E"/>
    <w:rsid w:val="00823A11"/>
    <w:rsid w:val="008261DD"/>
    <w:rsid w:val="008367B9"/>
    <w:rsid w:val="00840D35"/>
    <w:rsid w:val="00842BFF"/>
    <w:rsid w:val="0085027B"/>
    <w:rsid w:val="00850712"/>
    <w:rsid w:val="00853057"/>
    <w:rsid w:val="0085405E"/>
    <w:rsid w:val="0085414A"/>
    <w:rsid w:val="00862425"/>
    <w:rsid w:val="0086269D"/>
    <w:rsid w:val="0086543A"/>
    <w:rsid w:val="00866B14"/>
    <w:rsid w:val="008724E5"/>
    <w:rsid w:val="00872977"/>
    <w:rsid w:val="00872E5A"/>
    <w:rsid w:val="00880AB2"/>
    <w:rsid w:val="008813B7"/>
    <w:rsid w:val="00884A9D"/>
    <w:rsid w:val="0088512B"/>
    <w:rsid w:val="008A074E"/>
    <w:rsid w:val="008A2B2D"/>
    <w:rsid w:val="008A4E1E"/>
    <w:rsid w:val="008B382A"/>
    <w:rsid w:val="008B3BCB"/>
    <w:rsid w:val="008C296C"/>
    <w:rsid w:val="008D4305"/>
    <w:rsid w:val="008D75B3"/>
    <w:rsid w:val="008E1A85"/>
    <w:rsid w:val="008E35AC"/>
    <w:rsid w:val="008F41C6"/>
    <w:rsid w:val="008F4FA7"/>
    <w:rsid w:val="008F67E1"/>
    <w:rsid w:val="00904AFB"/>
    <w:rsid w:val="009055F5"/>
    <w:rsid w:val="00905BCA"/>
    <w:rsid w:val="00910A74"/>
    <w:rsid w:val="0091386A"/>
    <w:rsid w:val="00915781"/>
    <w:rsid w:val="00915CCD"/>
    <w:rsid w:val="009163A7"/>
    <w:rsid w:val="00916B19"/>
    <w:rsid w:val="00916E0A"/>
    <w:rsid w:val="00917FAD"/>
    <w:rsid w:val="009276A9"/>
    <w:rsid w:val="009323C6"/>
    <w:rsid w:val="009426F4"/>
    <w:rsid w:val="00946D0B"/>
    <w:rsid w:val="00951DDA"/>
    <w:rsid w:val="00953229"/>
    <w:rsid w:val="009541B7"/>
    <w:rsid w:val="00955877"/>
    <w:rsid w:val="00956698"/>
    <w:rsid w:val="00960D2A"/>
    <w:rsid w:val="009648CD"/>
    <w:rsid w:val="00965D1D"/>
    <w:rsid w:val="00965F0E"/>
    <w:rsid w:val="00966686"/>
    <w:rsid w:val="00966B65"/>
    <w:rsid w:val="009776B1"/>
    <w:rsid w:val="009827F6"/>
    <w:rsid w:val="009863FE"/>
    <w:rsid w:val="00987FF5"/>
    <w:rsid w:val="009A18CD"/>
    <w:rsid w:val="009A70EC"/>
    <w:rsid w:val="009B03C6"/>
    <w:rsid w:val="009B5B52"/>
    <w:rsid w:val="009B7FA7"/>
    <w:rsid w:val="009C1206"/>
    <w:rsid w:val="009C594F"/>
    <w:rsid w:val="009C5DEA"/>
    <w:rsid w:val="009D5428"/>
    <w:rsid w:val="009D5E63"/>
    <w:rsid w:val="009E42D7"/>
    <w:rsid w:val="009F624A"/>
    <w:rsid w:val="009F634B"/>
    <w:rsid w:val="00A00469"/>
    <w:rsid w:val="00A03534"/>
    <w:rsid w:val="00A118D9"/>
    <w:rsid w:val="00A12558"/>
    <w:rsid w:val="00A13903"/>
    <w:rsid w:val="00A1410F"/>
    <w:rsid w:val="00A14BD0"/>
    <w:rsid w:val="00A2094B"/>
    <w:rsid w:val="00A23EDA"/>
    <w:rsid w:val="00A34ED5"/>
    <w:rsid w:val="00A35F75"/>
    <w:rsid w:val="00A4263B"/>
    <w:rsid w:val="00A45DBF"/>
    <w:rsid w:val="00A56780"/>
    <w:rsid w:val="00A702AC"/>
    <w:rsid w:val="00A73B73"/>
    <w:rsid w:val="00A755A2"/>
    <w:rsid w:val="00A92651"/>
    <w:rsid w:val="00AA0993"/>
    <w:rsid w:val="00AA2462"/>
    <w:rsid w:val="00AA424B"/>
    <w:rsid w:val="00AA5A7B"/>
    <w:rsid w:val="00AA6660"/>
    <w:rsid w:val="00AB2C36"/>
    <w:rsid w:val="00AB6DDE"/>
    <w:rsid w:val="00AB70B6"/>
    <w:rsid w:val="00AC24B9"/>
    <w:rsid w:val="00AC459E"/>
    <w:rsid w:val="00AC6217"/>
    <w:rsid w:val="00AC67CD"/>
    <w:rsid w:val="00AD1A86"/>
    <w:rsid w:val="00AE103E"/>
    <w:rsid w:val="00AE6FBD"/>
    <w:rsid w:val="00AE78D8"/>
    <w:rsid w:val="00AF0A07"/>
    <w:rsid w:val="00AF20BA"/>
    <w:rsid w:val="00AF2F7E"/>
    <w:rsid w:val="00AF4AEC"/>
    <w:rsid w:val="00AF625E"/>
    <w:rsid w:val="00AF7DBA"/>
    <w:rsid w:val="00B1376C"/>
    <w:rsid w:val="00B277C4"/>
    <w:rsid w:val="00B4513B"/>
    <w:rsid w:val="00B507D3"/>
    <w:rsid w:val="00B50BFC"/>
    <w:rsid w:val="00B52A98"/>
    <w:rsid w:val="00B5564E"/>
    <w:rsid w:val="00B56EED"/>
    <w:rsid w:val="00B5778C"/>
    <w:rsid w:val="00B61412"/>
    <w:rsid w:val="00B63DD2"/>
    <w:rsid w:val="00B662F7"/>
    <w:rsid w:val="00B7100D"/>
    <w:rsid w:val="00B71C29"/>
    <w:rsid w:val="00B81C1F"/>
    <w:rsid w:val="00B82585"/>
    <w:rsid w:val="00B82F46"/>
    <w:rsid w:val="00B92F36"/>
    <w:rsid w:val="00B95E36"/>
    <w:rsid w:val="00B97D4D"/>
    <w:rsid w:val="00BA3F8F"/>
    <w:rsid w:val="00BB04AF"/>
    <w:rsid w:val="00BB1645"/>
    <w:rsid w:val="00BC0F3A"/>
    <w:rsid w:val="00BC15BF"/>
    <w:rsid w:val="00BC1C79"/>
    <w:rsid w:val="00BC6B53"/>
    <w:rsid w:val="00BC773D"/>
    <w:rsid w:val="00BD4C69"/>
    <w:rsid w:val="00BD52C9"/>
    <w:rsid w:val="00BD5999"/>
    <w:rsid w:val="00BE5E1D"/>
    <w:rsid w:val="00BE6354"/>
    <w:rsid w:val="00BF0001"/>
    <w:rsid w:val="00BF1316"/>
    <w:rsid w:val="00BF7904"/>
    <w:rsid w:val="00C02ACF"/>
    <w:rsid w:val="00C03513"/>
    <w:rsid w:val="00C121D3"/>
    <w:rsid w:val="00C138D1"/>
    <w:rsid w:val="00C157C1"/>
    <w:rsid w:val="00C20195"/>
    <w:rsid w:val="00C23A97"/>
    <w:rsid w:val="00C256E5"/>
    <w:rsid w:val="00C3118A"/>
    <w:rsid w:val="00C34CDF"/>
    <w:rsid w:val="00C34EE4"/>
    <w:rsid w:val="00C369FA"/>
    <w:rsid w:val="00C43C4E"/>
    <w:rsid w:val="00C460C1"/>
    <w:rsid w:val="00C50F52"/>
    <w:rsid w:val="00C57D47"/>
    <w:rsid w:val="00C644A1"/>
    <w:rsid w:val="00C64855"/>
    <w:rsid w:val="00C70EA7"/>
    <w:rsid w:val="00C722D4"/>
    <w:rsid w:val="00C7516E"/>
    <w:rsid w:val="00C75770"/>
    <w:rsid w:val="00C80613"/>
    <w:rsid w:val="00C8209A"/>
    <w:rsid w:val="00C83964"/>
    <w:rsid w:val="00C85867"/>
    <w:rsid w:val="00C90D30"/>
    <w:rsid w:val="00C92E10"/>
    <w:rsid w:val="00C934D1"/>
    <w:rsid w:val="00C93AF4"/>
    <w:rsid w:val="00CA2529"/>
    <w:rsid w:val="00CA34BC"/>
    <w:rsid w:val="00CA56BB"/>
    <w:rsid w:val="00CA5B54"/>
    <w:rsid w:val="00CB0542"/>
    <w:rsid w:val="00CB600E"/>
    <w:rsid w:val="00CB721A"/>
    <w:rsid w:val="00CD250A"/>
    <w:rsid w:val="00CE2B9E"/>
    <w:rsid w:val="00CF7E85"/>
    <w:rsid w:val="00D00B2B"/>
    <w:rsid w:val="00D14383"/>
    <w:rsid w:val="00D24877"/>
    <w:rsid w:val="00D355F0"/>
    <w:rsid w:val="00D400FA"/>
    <w:rsid w:val="00D45D2A"/>
    <w:rsid w:val="00D4732D"/>
    <w:rsid w:val="00D55171"/>
    <w:rsid w:val="00D56EFC"/>
    <w:rsid w:val="00D748AE"/>
    <w:rsid w:val="00D8250F"/>
    <w:rsid w:val="00D82552"/>
    <w:rsid w:val="00D95C4C"/>
    <w:rsid w:val="00DA36ED"/>
    <w:rsid w:val="00DA5CAF"/>
    <w:rsid w:val="00DB3526"/>
    <w:rsid w:val="00DB7E15"/>
    <w:rsid w:val="00DC1626"/>
    <w:rsid w:val="00DC27D4"/>
    <w:rsid w:val="00DD1856"/>
    <w:rsid w:val="00DD32CF"/>
    <w:rsid w:val="00DD3D1D"/>
    <w:rsid w:val="00DD477F"/>
    <w:rsid w:val="00DD4BF9"/>
    <w:rsid w:val="00DD61AD"/>
    <w:rsid w:val="00DE34F1"/>
    <w:rsid w:val="00DE6160"/>
    <w:rsid w:val="00DE731C"/>
    <w:rsid w:val="00DE731D"/>
    <w:rsid w:val="00DF00C4"/>
    <w:rsid w:val="00DF3486"/>
    <w:rsid w:val="00DF4942"/>
    <w:rsid w:val="00E0217D"/>
    <w:rsid w:val="00E059F2"/>
    <w:rsid w:val="00E15B2D"/>
    <w:rsid w:val="00E15D38"/>
    <w:rsid w:val="00E162DF"/>
    <w:rsid w:val="00E1646F"/>
    <w:rsid w:val="00E20610"/>
    <w:rsid w:val="00E20C4F"/>
    <w:rsid w:val="00E244E1"/>
    <w:rsid w:val="00E263EF"/>
    <w:rsid w:val="00E3082C"/>
    <w:rsid w:val="00E4008F"/>
    <w:rsid w:val="00E4057A"/>
    <w:rsid w:val="00E41F6E"/>
    <w:rsid w:val="00E44DD8"/>
    <w:rsid w:val="00E463A7"/>
    <w:rsid w:val="00E47BD2"/>
    <w:rsid w:val="00E47C54"/>
    <w:rsid w:val="00E51B37"/>
    <w:rsid w:val="00E573D1"/>
    <w:rsid w:val="00E605F4"/>
    <w:rsid w:val="00E60759"/>
    <w:rsid w:val="00E627B1"/>
    <w:rsid w:val="00E70169"/>
    <w:rsid w:val="00E70857"/>
    <w:rsid w:val="00E75D33"/>
    <w:rsid w:val="00E77722"/>
    <w:rsid w:val="00E82CF9"/>
    <w:rsid w:val="00E83D04"/>
    <w:rsid w:val="00E91845"/>
    <w:rsid w:val="00E9376C"/>
    <w:rsid w:val="00EA335E"/>
    <w:rsid w:val="00EA528C"/>
    <w:rsid w:val="00EA580C"/>
    <w:rsid w:val="00EB001F"/>
    <w:rsid w:val="00EB4DA0"/>
    <w:rsid w:val="00EB60E1"/>
    <w:rsid w:val="00EB75AA"/>
    <w:rsid w:val="00EC46B9"/>
    <w:rsid w:val="00EC6041"/>
    <w:rsid w:val="00EC6F8D"/>
    <w:rsid w:val="00ED4C2D"/>
    <w:rsid w:val="00EE0FAD"/>
    <w:rsid w:val="00EE1B2F"/>
    <w:rsid w:val="00EE49F4"/>
    <w:rsid w:val="00EF215B"/>
    <w:rsid w:val="00EF34E2"/>
    <w:rsid w:val="00EF7096"/>
    <w:rsid w:val="00F02354"/>
    <w:rsid w:val="00F11CE8"/>
    <w:rsid w:val="00F2280A"/>
    <w:rsid w:val="00F22C85"/>
    <w:rsid w:val="00F2338B"/>
    <w:rsid w:val="00F25C2F"/>
    <w:rsid w:val="00F30DC6"/>
    <w:rsid w:val="00F32C23"/>
    <w:rsid w:val="00F43449"/>
    <w:rsid w:val="00F44BBA"/>
    <w:rsid w:val="00F452BF"/>
    <w:rsid w:val="00F45942"/>
    <w:rsid w:val="00F465C2"/>
    <w:rsid w:val="00F53DE9"/>
    <w:rsid w:val="00F576CB"/>
    <w:rsid w:val="00F62D42"/>
    <w:rsid w:val="00F631B6"/>
    <w:rsid w:val="00F7035D"/>
    <w:rsid w:val="00F717FD"/>
    <w:rsid w:val="00F71A02"/>
    <w:rsid w:val="00F818C7"/>
    <w:rsid w:val="00F8377C"/>
    <w:rsid w:val="00F845F8"/>
    <w:rsid w:val="00F84B4E"/>
    <w:rsid w:val="00F85CEF"/>
    <w:rsid w:val="00F9051C"/>
    <w:rsid w:val="00F958B5"/>
    <w:rsid w:val="00FA0D63"/>
    <w:rsid w:val="00FB01DB"/>
    <w:rsid w:val="00FB2680"/>
    <w:rsid w:val="00FB31DA"/>
    <w:rsid w:val="00FB4816"/>
    <w:rsid w:val="00FB6140"/>
    <w:rsid w:val="00FC1F85"/>
    <w:rsid w:val="00FC48EC"/>
    <w:rsid w:val="00FD0ABB"/>
    <w:rsid w:val="00FD11EB"/>
    <w:rsid w:val="00FD1226"/>
    <w:rsid w:val="00FE5C1A"/>
    <w:rsid w:val="00FE7873"/>
    <w:rsid w:val="00FF4830"/>
    <w:rsid w:val="00FF5F80"/>
    <w:rsid w:val="00FF70A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374C484"/>
  <w15:docId w15:val="{A2EAFF8E-68EA-4611-9727-C83BC706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866B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B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paragraph" w:customStyle="1" w:styleId="ColorfulList-Accent11">
    <w:name w:val="Colorful List - Accent 11"/>
    <w:basedOn w:val="Normal"/>
    <w:uiPriority w:val="34"/>
    <w:rsid w:val="00F66657"/>
    <w:pPr>
      <w:ind w:left="720"/>
      <w:contextualSpacing/>
    </w:p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Hyperlink">
    <w:name w:val="Hyperlink"/>
    <w:uiPriority w:val="99"/>
    <w:unhideWhenUsed/>
    <w:rsid w:val="00866B14"/>
    <w:rPr>
      <w:color w:val="0000FF"/>
      <w:u w:val="single"/>
    </w:rPr>
  </w:style>
  <w:style w:type="character" w:customStyle="1" w:styleId="hps">
    <w:name w:val="hps"/>
    <w:rsid w:val="00866B14"/>
  </w:style>
  <w:style w:type="paragraph" w:styleId="FootnoteText">
    <w:name w:val="footnote text"/>
    <w:basedOn w:val="Normal"/>
    <w:link w:val="FootnoteTextChar"/>
    <w:uiPriority w:val="99"/>
    <w:unhideWhenUsed/>
    <w:rsid w:val="00866B14"/>
    <w:pPr>
      <w:spacing w:after="200" w:line="276" w:lineRule="auto"/>
    </w:pPr>
    <w:rPr>
      <w:rFonts w:ascii="Calibri" w:eastAsia="SimSun" w:hAnsi="Calibri"/>
      <w:sz w:val="20"/>
      <w:szCs w:val="20"/>
      <w:lang w:val="x-none" w:eastAsia="zh-CN"/>
    </w:rPr>
  </w:style>
  <w:style w:type="character" w:customStyle="1" w:styleId="FootnoteTextChar">
    <w:name w:val="Footnote Text Char"/>
    <w:basedOn w:val="DefaultParagraphFont"/>
    <w:link w:val="FootnoteText"/>
    <w:uiPriority w:val="99"/>
    <w:rsid w:val="00866B14"/>
    <w:rPr>
      <w:lang w:val="x-none" w:eastAsia="zh-CN"/>
    </w:rPr>
  </w:style>
  <w:style w:type="character" w:styleId="FootnoteReference">
    <w:name w:val="footnote reference"/>
    <w:uiPriority w:val="99"/>
    <w:unhideWhenUsed/>
    <w:rsid w:val="00866B14"/>
    <w:rPr>
      <w:vertAlign w:val="superscript"/>
    </w:rPr>
  </w:style>
  <w:style w:type="paragraph" w:styleId="ListParagraph">
    <w:name w:val="List Paragraph"/>
    <w:basedOn w:val="Normal"/>
    <w:uiPriority w:val="34"/>
    <w:rsid w:val="00866B14"/>
    <w:pPr>
      <w:ind w:left="720"/>
      <w:contextualSpacing/>
    </w:pPr>
  </w:style>
  <w:style w:type="paragraph" w:customStyle="1" w:styleId="formtext">
    <w:name w:val="formtext"/>
    <w:basedOn w:val="Normal"/>
    <w:rsid w:val="00866B14"/>
    <w:pPr>
      <w:spacing w:before="80" w:after="80" w:line="240" w:lineRule="exact"/>
    </w:pPr>
    <w:rPr>
      <w:rFonts w:ascii="Arial" w:eastAsia="SimSun" w:hAnsi="Arial"/>
      <w:sz w:val="22"/>
      <w:szCs w:val="22"/>
      <w:lang w:val="en-US"/>
    </w:rPr>
  </w:style>
  <w:style w:type="character" w:customStyle="1" w:styleId="CommentTextChar">
    <w:name w:val="Comment Text Char"/>
    <w:basedOn w:val="DefaultParagraphFont"/>
    <w:link w:val="CommentText"/>
    <w:uiPriority w:val="99"/>
    <w:semiHidden/>
    <w:rsid w:val="00866B14"/>
    <w:rPr>
      <w:rFonts w:ascii="Times New Roman" w:eastAsia="Times New Roman" w:hAnsi="Times New Roman"/>
    </w:rPr>
  </w:style>
  <w:style w:type="paragraph" w:styleId="CommentText">
    <w:name w:val="annotation text"/>
    <w:basedOn w:val="Normal"/>
    <w:link w:val="CommentTextChar"/>
    <w:uiPriority w:val="99"/>
    <w:semiHidden/>
    <w:unhideWhenUsed/>
    <w:rsid w:val="00866B14"/>
    <w:rPr>
      <w:sz w:val="20"/>
      <w:szCs w:val="20"/>
    </w:rPr>
  </w:style>
  <w:style w:type="character" w:customStyle="1" w:styleId="CommentSubjectChar">
    <w:name w:val="Comment Subject Char"/>
    <w:basedOn w:val="CommentTextChar"/>
    <w:link w:val="CommentSubject"/>
    <w:uiPriority w:val="99"/>
    <w:semiHidden/>
    <w:rsid w:val="00866B14"/>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866B14"/>
    <w:rPr>
      <w:b/>
      <w:bCs/>
    </w:rPr>
  </w:style>
  <w:style w:type="character" w:styleId="FollowedHyperlink">
    <w:name w:val="FollowedHyperlink"/>
    <w:basedOn w:val="DefaultParagraphFont"/>
    <w:uiPriority w:val="99"/>
    <w:semiHidden/>
    <w:unhideWhenUsed/>
    <w:rsid w:val="00A35F75"/>
    <w:rPr>
      <w:color w:val="800080" w:themeColor="followedHyperlink"/>
      <w:u w:val="single"/>
    </w:rPr>
  </w:style>
  <w:style w:type="character" w:customStyle="1" w:styleId="4Exact">
    <w:name w:val="Заголовок №4 Exact"/>
    <w:link w:val="4"/>
    <w:locked/>
    <w:rsid w:val="00850712"/>
    <w:rPr>
      <w:rFonts w:ascii="Arial" w:hAnsi="Arial"/>
      <w:b/>
      <w:bCs/>
      <w:shd w:val="clear" w:color="auto" w:fill="FFFFFF"/>
    </w:rPr>
  </w:style>
  <w:style w:type="paragraph" w:customStyle="1" w:styleId="4">
    <w:name w:val="Заголовок №4"/>
    <w:basedOn w:val="Normal"/>
    <w:link w:val="4Exact"/>
    <w:rsid w:val="00850712"/>
    <w:pPr>
      <w:widowControl w:val="0"/>
      <w:shd w:val="clear" w:color="auto" w:fill="FFFFFF"/>
      <w:spacing w:after="60" w:line="254" w:lineRule="exact"/>
      <w:ind w:hanging="560"/>
      <w:outlineLvl w:val="3"/>
    </w:pPr>
    <w:rPr>
      <w:rFonts w:ascii="Arial" w:eastAsia="SimSun" w:hAnsi="Arial"/>
      <w:b/>
      <w:bCs/>
      <w:sz w:val="20"/>
      <w:szCs w:val="20"/>
      <w:shd w:val="clear" w:color="auto" w:fill="FFFFFF"/>
    </w:rPr>
  </w:style>
  <w:style w:type="character" w:styleId="CommentReference">
    <w:name w:val="annotation reference"/>
    <w:basedOn w:val="DefaultParagraphFont"/>
    <w:uiPriority w:val="99"/>
    <w:semiHidden/>
    <w:unhideWhenUsed/>
    <w:rsid w:val="00850712"/>
    <w:rPr>
      <w:sz w:val="16"/>
      <w:szCs w:val="16"/>
    </w:rPr>
  </w:style>
  <w:style w:type="character" w:customStyle="1" w:styleId="ParaChar">
    <w:name w:val="Para Char"/>
    <w:link w:val="Para"/>
    <w:locked/>
    <w:rsid w:val="00FF70AD"/>
    <w:rPr>
      <w:rFonts w:ascii="Arial" w:hAnsi="Arial"/>
    </w:rPr>
  </w:style>
  <w:style w:type="paragraph" w:customStyle="1" w:styleId="Para">
    <w:name w:val="Para"/>
    <w:basedOn w:val="Normal"/>
    <w:link w:val="ParaChar"/>
    <w:qFormat/>
    <w:rsid w:val="00FF70AD"/>
    <w:pPr>
      <w:numPr>
        <w:numId w:val="26"/>
      </w:numPr>
      <w:spacing w:after="120" w:line="240" w:lineRule="exact"/>
      <w:jc w:val="both"/>
    </w:pPr>
    <w:rPr>
      <w:rFonts w:ascii="Arial" w:eastAsia="SimSun" w:hAnsi="Arial"/>
      <w:sz w:val="20"/>
      <w:szCs w:val="20"/>
    </w:rPr>
  </w:style>
  <w:style w:type="paragraph" w:styleId="Revision">
    <w:name w:val="Revision"/>
    <w:hidden/>
    <w:uiPriority w:val="99"/>
    <w:semiHidden/>
    <w:rsid w:val="00496B8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16175853">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fr/periodic-reporting-00857" TargetMode="External"/><Relationship Id="rId13" Type="http://schemas.openxmlformats.org/officeDocument/2006/relationships/hyperlink" Target="http://www.unesco.org/culture/ich/doc/src/ICH-10-2014-FR-additional_guidance.doc" TargetMode="External"/><Relationship Id="rId18" Type="http://schemas.openxmlformats.org/officeDocument/2006/relationships/hyperlink" Target="http://www.unesco.org/culture/ich/fr/Decisions/8.COM/6.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nesco.org/culture/ich/doc/src/ITH-16-6.GA-5-FR.docx" TargetMode="External"/><Relationship Id="rId7" Type="http://schemas.openxmlformats.org/officeDocument/2006/relationships/endnotes" Target="endnotes.xml"/><Relationship Id="rId12" Type="http://schemas.openxmlformats.org/officeDocument/2006/relationships/hyperlink" Target="http://www.unesco.org/culture/ich/fr/6.ga" TargetMode="External"/><Relationship Id="rId17" Type="http://schemas.openxmlformats.org/officeDocument/2006/relationships/hyperlink" Target="http://www.unesco.org/culture/ich/fr/Decisions/7.COM/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nesco.org/culture/ich/fr/Decisions/6.COM/6" TargetMode="External"/><Relationship Id="rId20" Type="http://schemas.openxmlformats.org/officeDocument/2006/relationships/hyperlink" Target="http://www.unesco.org/culture/ich/fr/Decisions/10.COM/6.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fr/Decisions/10.COM/6.b"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nesco.org/culture/ich/fr/D&#233;cisions/10.COM/6.a" TargetMode="External"/><Relationship Id="rId23" Type="http://schemas.openxmlformats.org/officeDocument/2006/relationships/header" Target="header1.xml"/><Relationship Id="rId10" Type="http://schemas.openxmlformats.org/officeDocument/2006/relationships/hyperlink" Target="http://www.unesco.org/culture/ich/fr/Decisions/10.COM/6.a" TargetMode="External"/><Relationship Id="rId19" Type="http://schemas.openxmlformats.org/officeDocument/2006/relationships/hyperlink" Target="http://www.unesco.org/culture/ich/fr/Decisions/9.COM/5.a" TargetMode="External"/><Relationship Id="rId4" Type="http://schemas.openxmlformats.org/officeDocument/2006/relationships/settings" Target="settings.xml"/><Relationship Id="rId9" Type="http://schemas.openxmlformats.org/officeDocument/2006/relationships/hyperlink" Target="http://www.unesco.org/culture/ich/doc/src/ICH-10-2014-FR-additional_guidance.doc" TargetMode="External"/><Relationship Id="rId14" Type="http://schemas.openxmlformats.org/officeDocument/2006/relationships/hyperlink" Target="http://www.unesco.org/culture/ich/doc/src/ITH-16-11.COM-6-FR.docx" TargetMode="External"/><Relationship Id="rId22" Type="http://schemas.openxmlformats.org/officeDocument/2006/relationships/hyperlink" Target="http://www.unesco.org/culture/ich/fr/Decisions/10.COM/6.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fr/periodic-reporting-0085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B43F-EECA-45E6-81D2-CC599826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126</TotalTime>
  <Pages>32</Pages>
  <Words>18383</Words>
  <Characters>101109</Characters>
  <Application>Microsoft Office Word</Application>
  <DocSecurity>0</DocSecurity>
  <Lines>842</Lines>
  <Paragraphs>238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Constantinou, Elena</cp:lastModifiedBy>
  <cp:revision>10</cp:revision>
  <cp:lastPrinted>2016-10-06T06:56:00Z</cp:lastPrinted>
  <dcterms:created xsi:type="dcterms:W3CDTF">2016-10-28T09:18:00Z</dcterms:created>
  <dcterms:modified xsi:type="dcterms:W3CDTF">2016-10-31T10:07:00Z</dcterms:modified>
</cp:coreProperties>
</file>