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F2" w:rsidRPr="00F410D6" w:rsidRDefault="002938F2" w:rsidP="00AE1B18">
      <w:pPr>
        <w:spacing w:before="1440"/>
        <w:jc w:val="center"/>
        <w:rPr>
          <w:rFonts w:ascii="Arial" w:hAnsi="Arial" w:cs="Arial"/>
          <w:b/>
          <w:szCs w:val="22"/>
        </w:rPr>
      </w:pPr>
      <w:bookmarkStart w:id="0" w:name="_GoBack"/>
      <w:bookmarkEnd w:id="0"/>
      <w:r w:rsidRPr="00F410D6">
        <w:rPr>
          <w:rFonts w:ascii="Arial" w:hAnsi="Arial" w:cs="Arial"/>
          <w:b/>
          <w:szCs w:val="22"/>
        </w:rPr>
        <w:t>CONVENT</w:t>
      </w:r>
      <w:r w:rsidR="001B69F2">
        <w:rPr>
          <w:rFonts w:ascii="Arial" w:hAnsi="Arial" w:cs="Arial"/>
          <w:b/>
          <w:szCs w:val="22"/>
        </w:rPr>
        <w:t>ION FOR THE SAFEGUARDING OF THE</w:t>
      </w:r>
      <w:r w:rsidRPr="00F410D6">
        <w:rPr>
          <w:rFonts w:ascii="Arial" w:hAnsi="Arial" w:cs="Arial"/>
          <w:b/>
          <w:szCs w:val="22"/>
        </w:rPr>
        <w:br/>
        <w:t>INTANGIBLE CULTURAL HERITAGE</w:t>
      </w:r>
    </w:p>
    <w:p w:rsidR="00F420C3" w:rsidRPr="00293C60" w:rsidRDefault="00F420C3" w:rsidP="00F420C3">
      <w:pPr>
        <w:spacing w:before="1200"/>
        <w:jc w:val="center"/>
        <w:rPr>
          <w:rFonts w:ascii="Arial" w:hAnsi="Arial" w:cs="Arial"/>
          <w:b/>
          <w:szCs w:val="22"/>
        </w:rPr>
      </w:pPr>
      <w:r w:rsidRPr="00293C60">
        <w:rPr>
          <w:rFonts w:ascii="Arial" w:hAnsi="Arial" w:cs="Arial"/>
          <w:b/>
          <w:szCs w:val="22"/>
        </w:rPr>
        <w:t>INTERGOVERNMENTAL COMMITTEE FOR THE</w:t>
      </w:r>
      <w:r w:rsidRPr="00293C60">
        <w:rPr>
          <w:rFonts w:ascii="Arial" w:hAnsi="Arial" w:cs="Arial"/>
          <w:b/>
          <w:szCs w:val="22"/>
        </w:rPr>
        <w:br/>
        <w:t>SAFEGUARDING OF THE INTANGIBLE CULTURAL HERITAGE</w:t>
      </w:r>
    </w:p>
    <w:p w:rsidR="000C16BE" w:rsidRPr="00F410D6" w:rsidRDefault="00F420C3" w:rsidP="000C16BE">
      <w:pPr>
        <w:spacing w:before="840" w:after="0"/>
        <w:jc w:val="center"/>
        <w:rPr>
          <w:rFonts w:ascii="Arial" w:hAnsi="Arial" w:cs="Arial"/>
          <w:b/>
          <w:szCs w:val="22"/>
        </w:rPr>
      </w:pPr>
      <w:r>
        <w:rPr>
          <w:rFonts w:ascii="Arial" w:hAnsi="Arial" w:cs="Arial"/>
          <w:b/>
          <w:szCs w:val="22"/>
        </w:rPr>
        <w:t>Eleventh</w:t>
      </w:r>
      <w:r w:rsidR="000C16BE" w:rsidRPr="00F410D6">
        <w:rPr>
          <w:rFonts w:ascii="Arial" w:hAnsi="Arial" w:cs="Arial"/>
          <w:b/>
          <w:szCs w:val="22"/>
        </w:rPr>
        <w:t xml:space="preserve"> session</w:t>
      </w:r>
    </w:p>
    <w:p w:rsidR="000C16BE" w:rsidRPr="00F410D6" w:rsidRDefault="00F420C3" w:rsidP="000C16BE">
      <w:pPr>
        <w:spacing w:after="0"/>
        <w:jc w:val="center"/>
        <w:rPr>
          <w:rFonts w:ascii="Arial" w:hAnsi="Arial" w:cs="Arial"/>
          <w:b/>
          <w:szCs w:val="22"/>
        </w:rPr>
      </w:pPr>
      <w:r>
        <w:rPr>
          <w:rFonts w:ascii="Arial" w:hAnsi="Arial" w:cs="Arial"/>
          <w:b/>
          <w:szCs w:val="22"/>
        </w:rPr>
        <w:t>Addis Ababa, Ethiopia</w:t>
      </w:r>
    </w:p>
    <w:p w:rsidR="00F420C3" w:rsidRPr="00293C60" w:rsidRDefault="00F420C3" w:rsidP="00F420C3">
      <w:pPr>
        <w:jc w:val="center"/>
        <w:rPr>
          <w:rFonts w:ascii="Arial" w:hAnsi="Arial" w:cs="Arial"/>
          <w:b/>
          <w:szCs w:val="22"/>
        </w:rPr>
      </w:pPr>
      <w:r>
        <w:rPr>
          <w:rFonts w:ascii="Arial" w:hAnsi="Arial" w:cs="Arial"/>
          <w:b/>
          <w:szCs w:val="22"/>
        </w:rPr>
        <w:t>28 November</w:t>
      </w:r>
      <w:r w:rsidRPr="00EC6F8D">
        <w:rPr>
          <w:rFonts w:ascii="Arial" w:hAnsi="Arial" w:cs="Arial"/>
          <w:b/>
          <w:szCs w:val="22"/>
        </w:rPr>
        <w:t xml:space="preserve"> to </w:t>
      </w:r>
      <w:r>
        <w:rPr>
          <w:rFonts w:ascii="Arial" w:hAnsi="Arial" w:cs="Arial"/>
          <w:b/>
          <w:szCs w:val="22"/>
        </w:rPr>
        <w:t>2 December 2016</w:t>
      </w:r>
    </w:p>
    <w:p w:rsidR="00851458" w:rsidRPr="00F410D6" w:rsidRDefault="005A5792" w:rsidP="005A5792">
      <w:pPr>
        <w:pStyle w:val="Sansinterligne1"/>
        <w:spacing w:before="1200" w:after="1200"/>
        <w:jc w:val="center"/>
        <w:rPr>
          <w:rFonts w:ascii="Arial" w:hAnsi="Arial" w:cs="Arial"/>
          <w:b/>
          <w:caps/>
          <w:sz w:val="22"/>
          <w:szCs w:val="22"/>
          <w:u w:val="single"/>
          <w:lang w:val="en-GB"/>
        </w:rPr>
      </w:pPr>
      <w:r w:rsidRPr="00F410D6">
        <w:rPr>
          <w:rFonts w:ascii="Arial" w:hAnsi="Arial" w:cs="Arial"/>
          <w:b/>
          <w:caps/>
          <w:sz w:val="22"/>
          <w:szCs w:val="22"/>
          <w:u w:val="single"/>
          <w:lang w:val="en-GB"/>
        </w:rPr>
        <w:t>Financial statement for the peri</w:t>
      </w:r>
      <w:r w:rsidR="0098169B">
        <w:rPr>
          <w:rFonts w:ascii="Arial" w:hAnsi="Arial" w:cs="Arial"/>
          <w:b/>
          <w:caps/>
          <w:sz w:val="22"/>
          <w:szCs w:val="22"/>
          <w:u w:val="single"/>
          <w:lang w:val="en-GB"/>
        </w:rPr>
        <w:t>od</w:t>
      </w:r>
      <w:r w:rsidRPr="00F410D6">
        <w:rPr>
          <w:rFonts w:ascii="Arial" w:hAnsi="Arial" w:cs="Arial"/>
          <w:b/>
          <w:caps/>
          <w:sz w:val="22"/>
          <w:szCs w:val="22"/>
          <w:u w:val="single"/>
          <w:lang w:val="en-GB"/>
        </w:rPr>
        <w:br/>
        <w:t>1 January 20</w:t>
      </w:r>
      <w:r w:rsidR="00D9641A">
        <w:rPr>
          <w:rFonts w:ascii="Arial" w:hAnsi="Arial" w:cs="Arial"/>
          <w:b/>
          <w:caps/>
          <w:sz w:val="22"/>
          <w:szCs w:val="22"/>
          <w:u w:val="single"/>
          <w:lang w:val="en-GB"/>
        </w:rPr>
        <w:t>16</w:t>
      </w:r>
      <w:r w:rsidRPr="00F410D6">
        <w:rPr>
          <w:rFonts w:ascii="Arial" w:hAnsi="Arial" w:cs="Arial"/>
          <w:b/>
          <w:caps/>
          <w:sz w:val="22"/>
          <w:szCs w:val="22"/>
          <w:u w:val="single"/>
          <w:lang w:val="en-GB"/>
        </w:rPr>
        <w:t xml:space="preserve"> – 3</w:t>
      </w:r>
      <w:r w:rsidR="00D9641A">
        <w:rPr>
          <w:rFonts w:ascii="Arial" w:hAnsi="Arial" w:cs="Arial"/>
          <w:b/>
          <w:caps/>
          <w:sz w:val="22"/>
          <w:szCs w:val="22"/>
          <w:u w:val="single"/>
          <w:lang w:val="en-GB"/>
        </w:rPr>
        <w:t xml:space="preserve">0 JUNE </w:t>
      </w:r>
      <w:r w:rsidRPr="00F410D6">
        <w:rPr>
          <w:rFonts w:ascii="Arial" w:hAnsi="Arial" w:cs="Arial"/>
          <w:b/>
          <w:caps/>
          <w:sz w:val="22"/>
          <w:szCs w:val="22"/>
          <w:u w:val="single"/>
          <w:lang w:val="en-GB"/>
        </w:rPr>
        <w:t>201</w:t>
      </w:r>
      <w:r w:rsidR="00D9641A">
        <w:rPr>
          <w:rFonts w:ascii="Arial" w:hAnsi="Arial" w:cs="Arial"/>
          <w:b/>
          <w:caps/>
          <w:sz w:val="22"/>
          <w:szCs w:val="22"/>
          <w:u w:val="single"/>
          <w:lang w:val="en-GB"/>
        </w:rPr>
        <w:t>6</w:t>
      </w:r>
    </w:p>
    <w:tbl>
      <w:tblPr>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tblGrid>
      <w:tr w:rsidR="005A5792" w:rsidRPr="00F410D6" w:rsidTr="002E62EA">
        <w:trPr>
          <w:jc w:val="center"/>
        </w:trPr>
        <w:tc>
          <w:tcPr>
            <w:tcW w:w="6237" w:type="dxa"/>
          </w:tcPr>
          <w:p w:rsidR="005A5792" w:rsidRPr="00F410D6" w:rsidRDefault="005A5792" w:rsidP="002E62EA">
            <w:pPr>
              <w:pStyle w:val="NoSpacing"/>
              <w:spacing w:before="200" w:after="200"/>
              <w:ind w:left="284" w:right="284"/>
              <w:jc w:val="center"/>
              <w:rPr>
                <w:rFonts w:ascii="Arial" w:hAnsi="Arial" w:cs="Arial"/>
                <w:b/>
                <w:sz w:val="22"/>
                <w:szCs w:val="22"/>
                <w:lang w:eastAsia="fr-FR"/>
              </w:rPr>
            </w:pPr>
            <w:r w:rsidRPr="00F410D6">
              <w:rPr>
                <w:rFonts w:ascii="Arial" w:hAnsi="Arial" w:cs="Arial"/>
                <w:b/>
                <w:sz w:val="22"/>
                <w:szCs w:val="22"/>
                <w:lang w:eastAsia="fr-FR"/>
              </w:rPr>
              <w:t>Summary</w:t>
            </w:r>
          </w:p>
          <w:p w:rsidR="005A5792" w:rsidRPr="00F410D6" w:rsidRDefault="005A5792" w:rsidP="00D9641A">
            <w:pPr>
              <w:pStyle w:val="Pranumrotrecommenc1"/>
              <w:tabs>
                <w:tab w:val="clear" w:pos="360"/>
              </w:tabs>
              <w:spacing w:before="200" w:after="200"/>
              <w:ind w:left="284" w:right="284" w:firstLine="0"/>
              <w:jc w:val="both"/>
              <w:rPr>
                <w:rFonts w:cs="Arial"/>
                <w:sz w:val="22"/>
                <w:szCs w:val="22"/>
                <w:lang w:val="en-GB"/>
              </w:rPr>
            </w:pPr>
            <w:r w:rsidRPr="00F410D6">
              <w:rPr>
                <w:rFonts w:cs="Arial"/>
                <w:sz w:val="22"/>
                <w:szCs w:val="22"/>
                <w:lang w:val="en-GB"/>
              </w:rPr>
              <w:t>The present document includes the Financial Report for the Intangible Cultural Heritage Fund for the period 1 January 201</w:t>
            </w:r>
            <w:r w:rsidR="00D9641A">
              <w:rPr>
                <w:rFonts w:cs="Arial"/>
                <w:sz w:val="22"/>
                <w:szCs w:val="22"/>
                <w:lang w:val="en-GB"/>
              </w:rPr>
              <w:t>6</w:t>
            </w:r>
            <w:r w:rsidRPr="00F410D6">
              <w:rPr>
                <w:rFonts w:cs="Arial"/>
                <w:sz w:val="22"/>
                <w:szCs w:val="22"/>
                <w:lang w:val="en-GB"/>
              </w:rPr>
              <w:t xml:space="preserve"> to 3</w:t>
            </w:r>
            <w:r w:rsidR="00D9641A">
              <w:rPr>
                <w:rFonts w:cs="Arial"/>
                <w:sz w:val="22"/>
                <w:szCs w:val="22"/>
                <w:lang w:val="en-GB"/>
              </w:rPr>
              <w:t xml:space="preserve">0 June </w:t>
            </w:r>
            <w:r w:rsidRPr="00F410D6">
              <w:rPr>
                <w:rFonts w:cs="Arial"/>
                <w:sz w:val="22"/>
                <w:szCs w:val="22"/>
                <w:lang w:val="en-GB"/>
              </w:rPr>
              <w:t>201</w:t>
            </w:r>
            <w:r w:rsidR="00D9641A">
              <w:rPr>
                <w:rFonts w:cs="Arial"/>
                <w:sz w:val="22"/>
                <w:szCs w:val="22"/>
                <w:lang w:val="en-GB"/>
              </w:rPr>
              <w:t>6</w:t>
            </w:r>
            <w:r w:rsidRPr="00F410D6">
              <w:rPr>
                <w:rFonts w:cs="Arial"/>
                <w:sz w:val="22"/>
                <w:szCs w:val="22"/>
                <w:lang w:val="en-GB"/>
              </w:rPr>
              <w:t>, preceded by a brief e</w:t>
            </w:r>
            <w:r w:rsidRPr="00F410D6">
              <w:rPr>
                <w:rFonts w:cs="Arial"/>
                <w:sz w:val="22"/>
                <w:szCs w:val="22"/>
                <w:lang w:val="en-GB"/>
              </w:rPr>
              <w:t>x</w:t>
            </w:r>
            <w:r w:rsidRPr="00F410D6">
              <w:rPr>
                <w:rFonts w:cs="Arial"/>
                <w:sz w:val="22"/>
                <w:szCs w:val="22"/>
                <w:lang w:val="en-GB"/>
              </w:rPr>
              <w:t>planatory note.</w:t>
            </w:r>
          </w:p>
        </w:tc>
      </w:tr>
    </w:tbl>
    <w:p w:rsidR="005A5792" w:rsidRPr="00F410D6" w:rsidRDefault="005A5792" w:rsidP="00885ED2">
      <w:pPr>
        <w:pStyle w:val="Default"/>
        <w:pageBreakBefore/>
        <w:spacing w:after="240"/>
        <w:jc w:val="center"/>
        <w:rPr>
          <w:b/>
          <w:bCs/>
          <w:color w:val="auto"/>
          <w:sz w:val="22"/>
          <w:szCs w:val="22"/>
          <w:lang w:val="en-GB"/>
        </w:rPr>
      </w:pPr>
      <w:r w:rsidRPr="00F410D6">
        <w:rPr>
          <w:b/>
          <w:bCs/>
          <w:color w:val="auto"/>
          <w:sz w:val="22"/>
          <w:szCs w:val="22"/>
          <w:lang w:val="en-GB"/>
        </w:rPr>
        <w:lastRenderedPageBreak/>
        <w:t>Explanatory Note</w:t>
      </w:r>
    </w:p>
    <w:p w:rsidR="005A5792" w:rsidRPr="00F410D6" w:rsidRDefault="005A5792" w:rsidP="008142AE">
      <w:pPr>
        <w:pStyle w:val="ListParagraph"/>
        <w:ind w:left="567" w:hanging="567"/>
      </w:pPr>
      <w:r w:rsidRPr="00F410D6">
        <w:t>The Financial Report below covers the period 1 January 201</w:t>
      </w:r>
      <w:r w:rsidR="00657CDC">
        <w:t>6</w:t>
      </w:r>
      <w:r w:rsidRPr="00F410D6">
        <w:t xml:space="preserve"> to </w:t>
      </w:r>
      <w:r w:rsidR="00657CDC">
        <w:t>30 June 2016</w:t>
      </w:r>
      <w:r w:rsidRPr="00F410D6">
        <w:t xml:space="preserve">, during which the resources of the </w:t>
      </w:r>
      <w:r w:rsidR="00377865">
        <w:t>Fund for the Safeguarding of the Intangible Cultural Heritage</w:t>
      </w:r>
      <w:r w:rsidR="001C521C" w:rsidRPr="00F410D6">
        <w:t xml:space="preserve"> (‘the Fund’) </w:t>
      </w:r>
      <w:r w:rsidRPr="00F410D6">
        <w:t>were used</w:t>
      </w:r>
      <w:r w:rsidR="009676AA">
        <w:t xml:space="preserve"> </w:t>
      </w:r>
      <w:r w:rsidRPr="00F410D6">
        <w:t>according to the Plan for the use of the resources of the Fund that was approved by the f</w:t>
      </w:r>
      <w:r w:rsidR="00950E8A" w:rsidRPr="00F410D6">
        <w:t>if</w:t>
      </w:r>
      <w:r w:rsidRPr="00F410D6">
        <w:t>th session of the General Assembly in June 201</w:t>
      </w:r>
      <w:r w:rsidR="00950E8A" w:rsidRPr="00F410D6">
        <w:t>4</w:t>
      </w:r>
      <w:r w:rsidR="00AE4A70">
        <w:t>,</w:t>
      </w:r>
      <w:r w:rsidR="00377865">
        <w:t xml:space="preserve"> on a provisional basis for that period</w:t>
      </w:r>
      <w:r w:rsidRPr="00F410D6">
        <w:t xml:space="preserve"> (</w:t>
      </w:r>
      <w:hyperlink r:id="rId8" w:history="1">
        <w:r w:rsidRPr="00F410D6">
          <w:rPr>
            <w:rStyle w:val="Hyperlink"/>
          </w:rPr>
          <w:t>Resolutio</w:t>
        </w:r>
        <w:r w:rsidRPr="00F410D6">
          <w:rPr>
            <w:rStyle w:val="Hyperlink"/>
          </w:rPr>
          <w:t>n</w:t>
        </w:r>
        <w:r w:rsidRPr="00F410D6">
          <w:rPr>
            <w:rStyle w:val="Hyperlink"/>
          </w:rPr>
          <w:t> </w:t>
        </w:r>
        <w:r w:rsidR="00950E8A" w:rsidRPr="00F410D6">
          <w:rPr>
            <w:rStyle w:val="Hyperlink"/>
          </w:rPr>
          <w:t>5</w:t>
        </w:r>
        <w:r w:rsidRPr="00F410D6">
          <w:rPr>
            <w:rStyle w:val="Hyperlink"/>
          </w:rPr>
          <w:t>.</w:t>
        </w:r>
        <w:r w:rsidRPr="00F410D6">
          <w:rPr>
            <w:rStyle w:val="Hyperlink"/>
          </w:rPr>
          <w:t>G</w:t>
        </w:r>
        <w:r w:rsidRPr="00F410D6">
          <w:rPr>
            <w:rStyle w:val="Hyperlink"/>
          </w:rPr>
          <w:t>A 7</w:t>
        </w:r>
      </w:hyperlink>
      <w:r w:rsidR="009676AA">
        <w:t>)</w:t>
      </w:r>
      <w:r w:rsidR="00377865">
        <w:t xml:space="preserve">. </w:t>
      </w:r>
      <w:r w:rsidR="00377865" w:rsidRPr="00C81630">
        <w:t xml:space="preserve">The provisional budget for the first semester of 2016 that </w:t>
      </w:r>
      <w:r w:rsidR="00377865">
        <w:t>was</w:t>
      </w:r>
      <w:r w:rsidR="00377865" w:rsidRPr="00C81630">
        <w:t xml:space="preserve"> </w:t>
      </w:r>
      <w:r w:rsidR="00377865">
        <w:t>then</w:t>
      </w:r>
      <w:r w:rsidR="00377865" w:rsidRPr="00C81630">
        <w:t xml:space="preserve"> superseded by the </w:t>
      </w:r>
      <w:r w:rsidR="00377865">
        <w:t>Plan</w:t>
      </w:r>
      <w:r w:rsidR="00377865" w:rsidRPr="00D73001">
        <w:t xml:space="preserve"> adopted by the sixth session of the General Assembly</w:t>
      </w:r>
      <w:r w:rsidR="00377865">
        <w:t xml:space="preserve"> </w:t>
      </w:r>
      <w:r w:rsidR="009676AA">
        <w:t>(</w:t>
      </w:r>
      <w:hyperlink r:id="rId9" w:history="1">
        <w:r w:rsidR="00AC2F38">
          <w:rPr>
            <w:rStyle w:val="Hyperlink"/>
          </w:rPr>
          <w:t>Resolu</w:t>
        </w:r>
        <w:r w:rsidR="00AC2F38">
          <w:rPr>
            <w:rStyle w:val="Hyperlink"/>
          </w:rPr>
          <w:t>t</w:t>
        </w:r>
        <w:r w:rsidR="00AC2F38">
          <w:rPr>
            <w:rStyle w:val="Hyperlink"/>
          </w:rPr>
          <w:t>ion</w:t>
        </w:r>
        <w:r w:rsidR="00AC2F38">
          <w:rPr>
            <w:rStyle w:val="Hyperlink"/>
            <w:lang w:val="en-US"/>
          </w:rPr>
          <w:t> </w:t>
        </w:r>
        <w:r w:rsidR="009676AA" w:rsidRPr="009676AA">
          <w:rPr>
            <w:rStyle w:val="Hyperlink"/>
          </w:rPr>
          <w:t>6</w:t>
        </w:r>
        <w:r w:rsidR="009676AA" w:rsidRPr="009676AA">
          <w:rPr>
            <w:rStyle w:val="Hyperlink"/>
          </w:rPr>
          <w:t>.</w:t>
        </w:r>
        <w:r w:rsidR="00AC2F38">
          <w:rPr>
            <w:rStyle w:val="Hyperlink"/>
          </w:rPr>
          <w:t>GA</w:t>
        </w:r>
        <w:r w:rsidR="00AC2F38">
          <w:rPr>
            <w:rStyle w:val="Hyperlink"/>
            <w:lang w:val="en-US"/>
          </w:rPr>
          <w:t> </w:t>
        </w:r>
        <w:r w:rsidR="009676AA" w:rsidRPr="009676AA">
          <w:rPr>
            <w:rStyle w:val="Hyperlink"/>
          </w:rPr>
          <w:t>9</w:t>
        </w:r>
      </w:hyperlink>
      <w:r w:rsidR="009676AA" w:rsidRPr="009676AA">
        <w:t>).</w:t>
      </w:r>
    </w:p>
    <w:p w:rsidR="005A5792" w:rsidRPr="00F410D6" w:rsidRDefault="00720710" w:rsidP="00885ED2">
      <w:pPr>
        <w:pStyle w:val="Default"/>
        <w:keepNext/>
        <w:spacing w:after="120"/>
        <w:jc w:val="both"/>
        <w:rPr>
          <w:b/>
          <w:bCs/>
          <w:color w:val="auto"/>
          <w:sz w:val="22"/>
          <w:szCs w:val="22"/>
          <w:lang w:val="en-GB"/>
        </w:rPr>
      </w:pPr>
      <w:r w:rsidRPr="00F410D6">
        <w:rPr>
          <w:b/>
          <w:bCs/>
          <w:color w:val="auto"/>
          <w:sz w:val="22"/>
          <w:szCs w:val="22"/>
          <w:lang w:val="en-GB"/>
        </w:rPr>
        <w:t>Income (</w:t>
      </w:r>
      <w:r w:rsidR="005A5792" w:rsidRPr="00F410D6">
        <w:rPr>
          <w:b/>
          <w:bCs/>
          <w:color w:val="auto"/>
          <w:sz w:val="22"/>
          <w:szCs w:val="22"/>
          <w:lang w:val="en-GB"/>
        </w:rPr>
        <w:t>Statements I, II and III</w:t>
      </w:r>
      <w:r w:rsidRPr="00F410D6">
        <w:rPr>
          <w:b/>
          <w:bCs/>
          <w:color w:val="auto"/>
          <w:sz w:val="22"/>
          <w:szCs w:val="22"/>
          <w:lang w:val="en-GB"/>
        </w:rPr>
        <w:t>)</w:t>
      </w:r>
      <w:r w:rsidR="00806B17" w:rsidRPr="00F410D6">
        <w:rPr>
          <w:rStyle w:val="FootnoteReference"/>
          <w:b/>
          <w:bCs/>
          <w:color w:val="auto"/>
          <w:sz w:val="22"/>
          <w:szCs w:val="22"/>
          <w:lang w:val="en-GB"/>
        </w:rPr>
        <w:footnoteReference w:id="1"/>
      </w:r>
    </w:p>
    <w:p w:rsidR="001C521C" w:rsidRPr="00F410D6" w:rsidRDefault="001C521C" w:rsidP="001C521C">
      <w:pPr>
        <w:pStyle w:val="ListParagraph"/>
        <w:ind w:left="567" w:hanging="567"/>
      </w:pPr>
      <w:r w:rsidRPr="00F410D6">
        <w:t>In accordance with Article 25.3 of the Convention, the income of the Fund consists of: a) contributions made by States Parties to the Convention; b) funds appropriated for this purpose by the General Conference of UNESCO; c) contributions, gifts or bequests which may be made by other States, organizations and programmes of the United Nations system, particularly the United Nations Development Pr</w:t>
      </w:r>
      <w:r w:rsidRPr="00F410D6">
        <w:t>o</w:t>
      </w:r>
      <w:r w:rsidRPr="00F410D6">
        <w:t xml:space="preserve">gramme, as well as other international organizations and </w:t>
      </w:r>
      <w:r w:rsidR="009B48BA">
        <w:t xml:space="preserve">by </w:t>
      </w:r>
      <w:r w:rsidRPr="00F410D6">
        <w:t>public or private bodies or individ</w:t>
      </w:r>
      <w:r w:rsidRPr="00F410D6">
        <w:t>u</w:t>
      </w:r>
      <w:r w:rsidRPr="00F410D6">
        <w:t xml:space="preserve">als; d) any interest due on the resources of the Fund; e) funds raised through collections, and receipts from events organized for the benefit of the Fund; f) any other resources authorized by the Fund’s regulations, to be drawn up by the Committee. </w:t>
      </w:r>
      <w:r w:rsidR="000E26B1" w:rsidRPr="00F410D6">
        <w:t>The list of these resources</w:t>
      </w:r>
      <w:r w:rsidRPr="00F410D6">
        <w:t xml:space="preserve"> are</w:t>
      </w:r>
      <w:r w:rsidR="0015785C">
        <w:t xml:space="preserve"> also</w:t>
      </w:r>
      <w:r w:rsidRPr="00F410D6">
        <w:t xml:space="preserve"> found in the Financial Regulations of the Special Account for the Fund for the Safeguarding of the I</w:t>
      </w:r>
      <w:r w:rsidRPr="00F410D6">
        <w:t>n</w:t>
      </w:r>
      <w:r w:rsidRPr="00F410D6">
        <w:t>tangible Cultural Heritage, adopted by the Committee at its first extraordinary session (</w:t>
      </w:r>
      <w:hyperlink r:id="rId10" w:history="1">
        <w:r w:rsidR="00AC2F38">
          <w:rPr>
            <w:rStyle w:val="Hyperlink"/>
          </w:rPr>
          <w:t>Decision</w:t>
        </w:r>
        <w:r w:rsidR="00AC2F38">
          <w:rPr>
            <w:rStyle w:val="Hyperlink"/>
            <w:lang w:val="en-US"/>
          </w:rPr>
          <w:t> </w:t>
        </w:r>
        <w:r w:rsidRPr="00F410D6">
          <w:rPr>
            <w:rStyle w:val="Hyperlink"/>
          </w:rPr>
          <w:t>1.EXT.C</w:t>
        </w:r>
        <w:r w:rsidRPr="00F410D6">
          <w:rPr>
            <w:rStyle w:val="Hyperlink"/>
          </w:rPr>
          <w:t>O</w:t>
        </w:r>
        <w:r w:rsidR="00AC2F38">
          <w:rPr>
            <w:rStyle w:val="Hyperlink"/>
          </w:rPr>
          <w:t>M</w:t>
        </w:r>
        <w:r w:rsidR="00AC2F38">
          <w:rPr>
            <w:rStyle w:val="Hyperlink"/>
            <w:lang w:val="en-US"/>
          </w:rPr>
          <w:t> </w:t>
        </w:r>
        <w:r w:rsidRPr="00F410D6">
          <w:rPr>
            <w:rStyle w:val="Hyperlink"/>
          </w:rPr>
          <w:t>9</w:t>
        </w:r>
      </w:hyperlink>
      <w:r w:rsidRPr="00F410D6">
        <w:t>).</w:t>
      </w:r>
    </w:p>
    <w:p w:rsidR="002B50BC" w:rsidRPr="00F410D6" w:rsidRDefault="002B50BC" w:rsidP="002B50BC">
      <w:pPr>
        <w:pStyle w:val="ListParagraph"/>
        <w:ind w:left="567" w:hanging="567"/>
      </w:pPr>
      <w:r w:rsidRPr="00F410D6">
        <w:t>During the reporting period, income to the Fund consisted of:</w:t>
      </w:r>
    </w:p>
    <w:tbl>
      <w:tblPr>
        <w:tblW w:w="9072" w:type="dxa"/>
        <w:tblInd w:w="675" w:type="dxa"/>
        <w:tblLayout w:type="fixed"/>
        <w:tblLook w:val="04A0" w:firstRow="1" w:lastRow="0" w:firstColumn="1" w:lastColumn="0" w:noHBand="0" w:noVBand="1"/>
      </w:tblPr>
      <w:tblGrid>
        <w:gridCol w:w="6946"/>
        <w:gridCol w:w="2126"/>
      </w:tblGrid>
      <w:tr w:rsidR="002B50BC" w:rsidRPr="00D06C23" w:rsidTr="00885ED2">
        <w:trPr>
          <w:cantSplit/>
        </w:trPr>
        <w:tc>
          <w:tcPr>
            <w:tcW w:w="9072" w:type="dxa"/>
            <w:gridSpan w:val="2"/>
            <w:shd w:val="clear" w:color="auto" w:fill="auto"/>
          </w:tcPr>
          <w:p w:rsidR="002B50BC" w:rsidRPr="00D06C23" w:rsidRDefault="002B50BC" w:rsidP="002B50BC">
            <w:pPr>
              <w:pStyle w:val="Paragraph"/>
              <w:numPr>
                <w:ilvl w:val="0"/>
                <w:numId w:val="11"/>
              </w:numPr>
              <w:spacing w:before="60" w:after="60"/>
              <w:ind w:left="357" w:hanging="357"/>
              <w:rPr>
                <w:sz w:val="20"/>
                <w:szCs w:val="20"/>
              </w:rPr>
            </w:pPr>
            <w:r w:rsidRPr="00D06C23">
              <w:rPr>
                <w:sz w:val="20"/>
                <w:szCs w:val="20"/>
                <w:u w:val="single"/>
              </w:rPr>
              <w:t>Compulsory and vo</w:t>
            </w:r>
            <w:r w:rsidRPr="00D06C23">
              <w:rPr>
                <w:sz w:val="20"/>
                <w:szCs w:val="20"/>
                <w:u w:val="single"/>
              </w:rPr>
              <w:t>l</w:t>
            </w:r>
            <w:r w:rsidRPr="00D06C23">
              <w:rPr>
                <w:sz w:val="20"/>
                <w:szCs w:val="20"/>
                <w:u w:val="single"/>
              </w:rPr>
              <w:t>untary assessed contributions by States Parties</w:t>
            </w:r>
            <w:r w:rsidRPr="00D06C23">
              <w:rPr>
                <w:rStyle w:val="FootnoteReference"/>
                <w:sz w:val="20"/>
                <w:szCs w:val="20"/>
              </w:rPr>
              <w:footnoteReference w:id="2"/>
            </w:r>
          </w:p>
        </w:tc>
      </w:tr>
      <w:tr w:rsidR="002B50BC" w:rsidRPr="00D06C23" w:rsidTr="00885ED2">
        <w:trPr>
          <w:cantSplit/>
        </w:trPr>
        <w:tc>
          <w:tcPr>
            <w:tcW w:w="6946" w:type="dxa"/>
            <w:shd w:val="clear" w:color="auto" w:fill="auto"/>
            <w:vAlign w:val="center"/>
          </w:tcPr>
          <w:p w:rsidR="002B50BC" w:rsidRPr="00D06C23" w:rsidRDefault="002B50BC" w:rsidP="00F45494">
            <w:pPr>
              <w:pStyle w:val="Paragraph"/>
              <w:spacing w:before="60" w:after="60"/>
              <w:jc w:val="left"/>
              <w:rPr>
                <w:sz w:val="20"/>
                <w:szCs w:val="20"/>
              </w:rPr>
            </w:pPr>
            <w:r w:rsidRPr="00D06C23">
              <w:rPr>
                <w:sz w:val="20"/>
                <w:szCs w:val="20"/>
              </w:rPr>
              <w:t xml:space="preserve">Compulsory contributions by </w:t>
            </w:r>
            <w:r w:rsidR="00832EA1" w:rsidRPr="00D06C23">
              <w:rPr>
                <w:sz w:val="20"/>
                <w:szCs w:val="20"/>
              </w:rPr>
              <w:t>16</w:t>
            </w:r>
            <w:r w:rsidR="00F45494" w:rsidRPr="00D06C23">
              <w:rPr>
                <w:sz w:val="20"/>
                <w:szCs w:val="20"/>
              </w:rPr>
              <w:t>2</w:t>
            </w:r>
            <w:r w:rsidR="004442CD" w:rsidRPr="00D06C23">
              <w:rPr>
                <w:sz w:val="20"/>
                <w:szCs w:val="20"/>
              </w:rPr>
              <w:t xml:space="preserve"> </w:t>
            </w:r>
            <w:r w:rsidRPr="00D06C23">
              <w:rPr>
                <w:sz w:val="20"/>
                <w:szCs w:val="20"/>
              </w:rPr>
              <w:t>States Parties to the Convention, as described in Article 26.1, of the Convention</w:t>
            </w:r>
          </w:p>
        </w:tc>
        <w:tc>
          <w:tcPr>
            <w:tcW w:w="2126" w:type="dxa"/>
            <w:shd w:val="clear" w:color="auto" w:fill="auto"/>
            <w:vAlign w:val="center"/>
          </w:tcPr>
          <w:p w:rsidR="002B50BC" w:rsidRPr="00D06C23" w:rsidRDefault="002B50BC" w:rsidP="00903F1B">
            <w:pPr>
              <w:pStyle w:val="Paragraph"/>
              <w:spacing w:before="60" w:after="60"/>
              <w:jc w:val="right"/>
              <w:rPr>
                <w:sz w:val="20"/>
                <w:szCs w:val="20"/>
              </w:rPr>
            </w:pPr>
            <w:r w:rsidRPr="00D06C23">
              <w:rPr>
                <w:sz w:val="20"/>
                <w:szCs w:val="20"/>
              </w:rPr>
              <w:t>US$</w:t>
            </w:r>
            <w:r w:rsidR="00903F1B" w:rsidRPr="00D06C23">
              <w:rPr>
                <w:bCs w:val="0"/>
                <w:sz w:val="20"/>
                <w:szCs w:val="20"/>
              </w:rPr>
              <w:t>1,769,682</w:t>
            </w:r>
          </w:p>
        </w:tc>
      </w:tr>
      <w:tr w:rsidR="002B50BC" w:rsidRPr="00D06C23" w:rsidTr="00885ED2">
        <w:trPr>
          <w:cantSplit/>
        </w:trPr>
        <w:tc>
          <w:tcPr>
            <w:tcW w:w="6946" w:type="dxa"/>
            <w:shd w:val="clear" w:color="auto" w:fill="auto"/>
            <w:vAlign w:val="center"/>
          </w:tcPr>
          <w:p w:rsidR="002B50BC" w:rsidRPr="00D06C23" w:rsidRDefault="002B50BC" w:rsidP="00885ED2">
            <w:pPr>
              <w:pStyle w:val="Paragraph"/>
              <w:spacing w:before="60" w:after="60"/>
              <w:jc w:val="left"/>
              <w:rPr>
                <w:sz w:val="20"/>
                <w:szCs w:val="20"/>
              </w:rPr>
            </w:pPr>
            <w:r w:rsidRPr="00D06C23">
              <w:rPr>
                <w:sz w:val="20"/>
                <w:szCs w:val="20"/>
              </w:rPr>
              <w:t>Voluntary contributions of five States Parties that, at the time of ratification, exercised Article 26.2 of the Convention</w:t>
            </w:r>
          </w:p>
        </w:tc>
        <w:tc>
          <w:tcPr>
            <w:tcW w:w="2126" w:type="dxa"/>
            <w:shd w:val="clear" w:color="auto" w:fill="auto"/>
            <w:vAlign w:val="center"/>
          </w:tcPr>
          <w:p w:rsidR="002B50BC" w:rsidRPr="00D06C23" w:rsidRDefault="002B50BC" w:rsidP="00903F1B">
            <w:pPr>
              <w:pStyle w:val="Paragraph"/>
              <w:spacing w:before="60" w:after="60"/>
              <w:jc w:val="right"/>
              <w:rPr>
                <w:sz w:val="20"/>
                <w:szCs w:val="20"/>
              </w:rPr>
            </w:pPr>
            <w:r w:rsidRPr="00D06C23">
              <w:rPr>
                <w:sz w:val="20"/>
                <w:szCs w:val="20"/>
              </w:rPr>
              <w:t>US$</w:t>
            </w:r>
            <w:r w:rsidR="00903F1B" w:rsidRPr="00D06C23">
              <w:rPr>
                <w:sz w:val="20"/>
                <w:szCs w:val="20"/>
              </w:rPr>
              <w:t>53,873</w:t>
            </w:r>
          </w:p>
        </w:tc>
      </w:tr>
      <w:tr w:rsidR="002B50BC" w:rsidRPr="00D06C23" w:rsidTr="00885ED2">
        <w:trPr>
          <w:cantSplit/>
        </w:trPr>
        <w:tc>
          <w:tcPr>
            <w:tcW w:w="6946" w:type="dxa"/>
            <w:shd w:val="clear" w:color="auto" w:fill="auto"/>
            <w:vAlign w:val="center"/>
          </w:tcPr>
          <w:p w:rsidR="002B50BC" w:rsidRPr="00D06C23" w:rsidRDefault="002B50BC" w:rsidP="008E324E">
            <w:pPr>
              <w:pStyle w:val="Paragraph"/>
              <w:numPr>
                <w:ilvl w:val="0"/>
                <w:numId w:val="11"/>
              </w:numPr>
              <w:spacing w:before="60" w:after="60"/>
              <w:ind w:left="357" w:hanging="357"/>
              <w:jc w:val="left"/>
              <w:rPr>
                <w:sz w:val="20"/>
                <w:szCs w:val="20"/>
              </w:rPr>
            </w:pPr>
            <w:r w:rsidRPr="00D06C23">
              <w:rPr>
                <w:sz w:val="20"/>
                <w:szCs w:val="20"/>
                <w:u w:val="single"/>
              </w:rPr>
              <w:t>Voluntary supplementary contributions</w:t>
            </w:r>
          </w:p>
        </w:tc>
        <w:tc>
          <w:tcPr>
            <w:tcW w:w="2126" w:type="dxa"/>
            <w:shd w:val="clear" w:color="auto" w:fill="auto"/>
            <w:vAlign w:val="center"/>
          </w:tcPr>
          <w:p w:rsidR="002B50BC" w:rsidRPr="00D06C23" w:rsidRDefault="002B50BC" w:rsidP="002E62EA">
            <w:pPr>
              <w:pStyle w:val="Paragraph"/>
              <w:spacing w:before="60" w:after="60"/>
              <w:jc w:val="right"/>
              <w:rPr>
                <w:sz w:val="20"/>
                <w:szCs w:val="20"/>
              </w:rPr>
            </w:pPr>
          </w:p>
        </w:tc>
      </w:tr>
      <w:tr w:rsidR="002B50BC" w:rsidRPr="00D06C23" w:rsidTr="00885ED2">
        <w:trPr>
          <w:cantSplit/>
        </w:trPr>
        <w:tc>
          <w:tcPr>
            <w:tcW w:w="6946" w:type="dxa"/>
            <w:shd w:val="clear" w:color="auto" w:fill="auto"/>
            <w:vAlign w:val="center"/>
          </w:tcPr>
          <w:p w:rsidR="002B50BC" w:rsidRPr="00D06C23" w:rsidRDefault="002B50BC" w:rsidP="00885ED2">
            <w:pPr>
              <w:pStyle w:val="Paragraph"/>
              <w:spacing w:before="60" w:after="60"/>
              <w:jc w:val="left"/>
              <w:rPr>
                <w:i/>
                <w:sz w:val="20"/>
                <w:szCs w:val="20"/>
              </w:rPr>
            </w:pPr>
            <w:r w:rsidRPr="00D06C23">
              <w:rPr>
                <w:i/>
                <w:sz w:val="20"/>
                <w:szCs w:val="20"/>
              </w:rPr>
              <w:t>Earmarked contributions for specific purposes relating to specific projects a</w:t>
            </w:r>
            <w:r w:rsidRPr="00D06C23">
              <w:rPr>
                <w:i/>
                <w:sz w:val="20"/>
                <w:szCs w:val="20"/>
              </w:rPr>
              <w:t>p</w:t>
            </w:r>
            <w:r w:rsidRPr="00D06C23">
              <w:rPr>
                <w:i/>
                <w:sz w:val="20"/>
                <w:szCs w:val="20"/>
              </w:rPr>
              <w:t>proved by the Committee, in accordance with Article 25.5 of the Convention</w:t>
            </w:r>
          </w:p>
        </w:tc>
        <w:tc>
          <w:tcPr>
            <w:tcW w:w="2126" w:type="dxa"/>
            <w:shd w:val="clear" w:color="auto" w:fill="auto"/>
            <w:vAlign w:val="center"/>
          </w:tcPr>
          <w:p w:rsidR="002B50BC" w:rsidRPr="00D06C23" w:rsidRDefault="002B50BC" w:rsidP="002E62EA">
            <w:pPr>
              <w:pStyle w:val="Paragraph"/>
              <w:spacing w:before="60" w:after="60"/>
              <w:jc w:val="right"/>
              <w:rPr>
                <w:strike/>
                <w:sz w:val="20"/>
                <w:szCs w:val="20"/>
              </w:rPr>
            </w:pPr>
          </w:p>
        </w:tc>
      </w:tr>
      <w:tr w:rsidR="002B50BC" w:rsidRPr="00D06C23" w:rsidTr="00885ED2">
        <w:trPr>
          <w:cantSplit/>
        </w:trPr>
        <w:tc>
          <w:tcPr>
            <w:tcW w:w="6946" w:type="dxa"/>
            <w:shd w:val="clear" w:color="auto" w:fill="auto"/>
            <w:vAlign w:val="center"/>
          </w:tcPr>
          <w:p w:rsidR="002B50BC" w:rsidRPr="00D06C23" w:rsidRDefault="007F1BE3" w:rsidP="00300A22">
            <w:pPr>
              <w:pStyle w:val="Paragraph"/>
              <w:spacing w:before="60" w:after="60"/>
              <w:jc w:val="left"/>
              <w:rPr>
                <w:sz w:val="20"/>
                <w:szCs w:val="20"/>
              </w:rPr>
            </w:pPr>
            <w:r w:rsidRPr="00D06C23">
              <w:rPr>
                <w:sz w:val="20"/>
                <w:szCs w:val="20"/>
              </w:rPr>
              <w:t xml:space="preserve">Transfer </w:t>
            </w:r>
            <w:r w:rsidR="00CA0422" w:rsidRPr="00D06C23">
              <w:rPr>
                <w:sz w:val="20"/>
                <w:szCs w:val="20"/>
              </w:rPr>
              <w:t xml:space="preserve">to the </w:t>
            </w:r>
            <w:r w:rsidR="00300A22" w:rsidRPr="00D06C23">
              <w:rPr>
                <w:bCs w:val="0"/>
                <w:iCs/>
                <w:sz w:val="20"/>
                <w:szCs w:val="20"/>
              </w:rPr>
              <w:t>sub</w:t>
            </w:r>
            <w:r w:rsidR="00CA0422" w:rsidRPr="00D06C23">
              <w:rPr>
                <w:bCs w:val="0"/>
                <w:iCs/>
                <w:sz w:val="20"/>
                <w:szCs w:val="20"/>
              </w:rPr>
              <w:t>-fund of the Fund</w:t>
            </w:r>
            <w:r w:rsidR="00CA0422" w:rsidRPr="00D06C23">
              <w:rPr>
                <w:sz w:val="20"/>
                <w:szCs w:val="20"/>
              </w:rPr>
              <w:t xml:space="preserve"> </w:t>
            </w:r>
            <w:r w:rsidRPr="00D06C23">
              <w:rPr>
                <w:sz w:val="20"/>
                <w:szCs w:val="20"/>
              </w:rPr>
              <w:t xml:space="preserve">of remaining funds from </w:t>
            </w:r>
            <w:r w:rsidR="003E07AD" w:rsidRPr="00D06C23">
              <w:rPr>
                <w:sz w:val="20"/>
                <w:szCs w:val="20"/>
              </w:rPr>
              <w:t xml:space="preserve">terminated </w:t>
            </w:r>
            <w:r w:rsidR="00300A22" w:rsidRPr="00D06C23">
              <w:rPr>
                <w:sz w:val="20"/>
                <w:szCs w:val="20"/>
              </w:rPr>
              <w:t>earmarked activities</w:t>
            </w:r>
            <w:r w:rsidR="00300A22" w:rsidRPr="00D06C23" w:rsidDel="00300A22">
              <w:rPr>
                <w:sz w:val="20"/>
                <w:szCs w:val="20"/>
              </w:rPr>
              <w:t xml:space="preserve"> </w:t>
            </w:r>
          </w:p>
        </w:tc>
        <w:tc>
          <w:tcPr>
            <w:tcW w:w="2126" w:type="dxa"/>
            <w:shd w:val="clear" w:color="auto" w:fill="auto"/>
            <w:vAlign w:val="center"/>
          </w:tcPr>
          <w:p w:rsidR="002B50BC" w:rsidRPr="00D06C23" w:rsidRDefault="002D673B" w:rsidP="004649C3">
            <w:pPr>
              <w:pStyle w:val="Paragraph"/>
              <w:spacing w:before="60" w:after="60"/>
              <w:jc w:val="right"/>
              <w:rPr>
                <w:sz w:val="20"/>
                <w:szCs w:val="20"/>
              </w:rPr>
            </w:pPr>
            <w:r w:rsidRPr="00D06C23">
              <w:rPr>
                <w:sz w:val="20"/>
                <w:szCs w:val="20"/>
              </w:rPr>
              <w:t>(US$14,176)</w:t>
            </w:r>
          </w:p>
        </w:tc>
      </w:tr>
      <w:tr w:rsidR="002B50BC" w:rsidRPr="00D06C23" w:rsidTr="00885ED2">
        <w:trPr>
          <w:cantSplit/>
        </w:trPr>
        <w:tc>
          <w:tcPr>
            <w:tcW w:w="6946" w:type="dxa"/>
            <w:shd w:val="clear" w:color="auto" w:fill="auto"/>
            <w:vAlign w:val="center"/>
          </w:tcPr>
          <w:p w:rsidR="002B50BC" w:rsidRPr="00D06C23" w:rsidRDefault="00F4192C" w:rsidP="008E324E">
            <w:pPr>
              <w:pStyle w:val="Paragraph"/>
              <w:keepNext/>
              <w:spacing w:before="60" w:after="60"/>
              <w:jc w:val="left"/>
              <w:rPr>
                <w:i/>
                <w:sz w:val="20"/>
                <w:szCs w:val="20"/>
              </w:rPr>
            </w:pPr>
            <w:r w:rsidRPr="00D06C23">
              <w:rPr>
                <w:bCs w:val="0"/>
                <w:i/>
                <w:iCs/>
                <w:sz w:val="20"/>
                <w:szCs w:val="20"/>
              </w:rPr>
              <w:t>Sub-fund created within the Intangible Cultural Heritage Fund and intended exclusively to strengthen the human capacities of the Secretariat</w:t>
            </w:r>
            <w:r w:rsidRPr="00D06C23" w:rsidDel="00F4192C">
              <w:rPr>
                <w:i/>
                <w:sz w:val="20"/>
                <w:szCs w:val="20"/>
              </w:rPr>
              <w:t xml:space="preserve"> </w:t>
            </w:r>
            <w:r w:rsidR="002B50BC" w:rsidRPr="00D06C23">
              <w:rPr>
                <w:i/>
                <w:sz w:val="20"/>
                <w:szCs w:val="20"/>
              </w:rPr>
              <w:t>(</w:t>
            </w:r>
            <w:hyperlink r:id="rId11" w:history="1">
              <w:r w:rsidR="002B50BC" w:rsidRPr="00D06C23">
                <w:rPr>
                  <w:rStyle w:val="Hyperlink"/>
                  <w:i/>
                  <w:sz w:val="20"/>
                  <w:szCs w:val="20"/>
                </w:rPr>
                <w:t>Resolution</w:t>
              </w:r>
              <w:r w:rsidR="00C25DBF" w:rsidRPr="00D06C23">
                <w:rPr>
                  <w:rStyle w:val="Hyperlink"/>
                  <w:i/>
                  <w:sz w:val="20"/>
                  <w:szCs w:val="20"/>
                </w:rPr>
                <w:t> </w:t>
              </w:r>
              <w:r w:rsidR="002B50BC" w:rsidRPr="00D06C23">
                <w:rPr>
                  <w:rStyle w:val="Hyperlink"/>
                  <w:i/>
                  <w:sz w:val="20"/>
                  <w:szCs w:val="20"/>
                </w:rPr>
                <w:t>3.</w:t>
              </w:r>
              <w:r w:rsidR="002B50BC" w:rsidRPr="00D06C23">
                <w:rPr>
                  <w:rStyle w:val="Hyperlink"/>
                  <w:i/>
                  <w:sz w:val="20"/>
                  <w:szCs w:val="20"/>
                </w:rPr>
                <w:t>G</w:t>
              </w:r>
              <w:r w:rsidR="002B50BC" w:rsidRPr="00D06C23">
                <w:rPr>
                  <w:rStyle w:val="Hyperlink"/>
                  <w:i/>
                  <w:sz w:val="20"/>
                  <w:szCs w:val="20"/>
                </w:rPr>
                <w:t>A 9</w:t>
              </w:r>
            </w:hyperlink>
            <w:r w:rsidR="002B50BC" w:rsidRPr="00D06C23">
              <w:rPr>
                <w:i/>
                <w:sz w:val="20"/>
                <w:szCs w:val="20"/>
              </w:rPr>
              <w:t>)</w:t>
            </w:r>
            <w:r w:rsidR="002B50BC" w:rsidRPr="00D06C23">
              <w:rPr>
                <w:sz w:val="20"/>
                <w:szCs w:val="20"/>
                <w:vertAlign w:val="superscript"/>
              </w:rPr>
              <w:footnoteReference w:id="3"/>
            </w:r>
          </w:p>
        </w:tc>
        <w:tc>
          <w:tcPr>
            <w:tcW w:w="2126" w:type="dxa"/>
            <w:shd w:val="clear" w:color="auto" w:fill="auto"/>
            <w:vAlign w:val="center"/>
          </w:tcPr>
          <w:p w:rsidR="002B50BC" w:rsidRPr="00D06C23" w:rsidRDefault="002B50BC" w:rsidP="002E62EA">
            <w:pPr>
              <w:pStyle w:val="Paragraph"/>
              <w:spacing w:before="60" w:after="60"/>
              <w:jc w:val="right"/>
              <w:rPr>
                <w:sz w:val="20"/>
                <w:szCs w:val="20"/>
              </w:rPr>
            </w:pPr>
          </w:p>
        </w:tc>
      </w:tr>
      <w:tr w:rsidR="002B50BC" w:rsidRPr="00D06C23" w:rsidTr="00885ED2">
        <w:trPr>
          <w:cantSplit/>
        </w:trPr>
        <w:tc>
          <w:tcPr>
            <w:tcW w:w="6946" w:type="dxa"/>
            <w:shd w:val="clear" w:color="auto" w:fill="auto"/>
            <w:vAlign w:val="center"/>
          </w:tcPr>
          <w:p w:rsidR="002B50BC" w:rsidRPr="00D06C23" w:rsidRDefault="00F4192C" w:rsidP="00300A22">
            <w:pPr>
              <w:pStyle w:val="Paragraph"/>
              <w:spacing w:before="60" w:after="60"/>
              <w:ind w:left="317"/>
              <w:jc w:val="left"/>
              <w:rPr>
                <w:sz w:val="20"/>
                <w:szCs w:val="20"/>
              </w:rPr>
            </w:pPr>
            <w:r w:rsidRPr="00D06C23">
              <w:rPr>
                <w:sz w:val="20"/>
                <w:szCs w:val="20"/>
              </w:rPr>
              <w:t>Azerbaijan</w:t>
            </w:r>
            <w:r w:rsidR="00C7478C" w:rsidRPr="00D06C23">
              <w:rPr>
                <w:sz w:val="20"/>
                <w:szCs w:val="20"/>
              </w:rPr>
              <w:t>, United Arab Emira</w:t>
            </w:r>
            <w:r w:rsidR="008F7418" w:rsidRPr="00D06C23">
              <w:rPr>
                <w:sz w:val="20"/>
                <w:szCs w:val="20"/>
              </w:rPr>
              <w:t>tes</w:t>
            </w:r>
            <w:r w:rsidR="00300A22" w:rsidRPr="00D06C23">
              <w:rPr>
                <w:sz w:val="20"/>
                <w:szCs w:val="20"/>
              </w:rPr>
              <w:t xml:space="preserve">, transfer from terminated earmarked activities </w:t>
            </w:r>
          </w:p>
        </w:tc>
        <w:tc>
          <w:tcPr>
            <w:tcW w:w="2126" w:type="dxa"/>
            <w:shd w:val="clear" w:color="auto" w:fill="auto"/>
            <w:vAlign w:val="center"/>
          </w:tcPr>
          <w:p w:rsidR="002B50BC" w:rsidRPr="00D06C23" w:rsidRDefault="002B50BC" w:rsidP="004649C3">
            <w:pPr>
              <w:pStyle w:val="Paragraph"/>
              <w:spacing w:before="60" w:after="60"/>
              <w:jc w:val="right"/>
              <w:rPr>
                <w:sz w:val="20"/>
                <w:szCs w:val="20"/>
              </w:rPr>
            </w:pPr>
            <w:r w:rsidRPr="00D06C23">
              <w:rPr>
                <w:sz w:val="20"/>
                <w:szCs w:val="20"/>
              </w:rPr>
              <w:t>US$</w:t>
            </w:r>
            <w:r w:rsidR="004649C3" w:rsidRPr="00D06C23">
              <w:rPr>
                <w:sz w:val="20"/>
                <w:szCs w:val="20"/>
              </w:rPr>
              <w:t>112,054</w:t>
            </w:r>
          </w:p>
        </w:tc>
      </w:tr>
      <w:tr w:rsidR="002B50BC" w:rsidRPr="00D06C23" w:rsidTr="00885ED2">
        <w:trPr>
          <w:cantSplit/>
        </w:trPr>
        <w:tc>
          <w:tcPr>
            <w:tcW w:w="6946" w:type="dxa"/>
            <w:shd w:val="clear" w:color="auto" w:fill="auto"/>
            <w:vAlign w:val="center"/>
          </w:tcPr>
          <w:p w:rsidR="002B50BC" w:rsidRPr="00D06C23" w:rsidRDefault="002B50BC" w:rsidP="00885ED2">
            <w:pPr>
              <w:pStyle w:val="Paragraph"/>
              <w:numPr>
                <w:ilvl w:val="0"/>
                <w:numId w:val="11"/>
              </w:numPr>
              <w:spacing w:before="60" w:after="60"/>
              <w:ind w:left="357" w:hanging="357"/>
              <w:jc w:val="left"/>
              <w:rPr>
                <w:color w:val="auto"/>
                <w:sz w:val="20"/>
                <w:szCs w:val="20"/>
              </w:rPr>
            </w:pPr>
            <w:r w:rsidRPr="00D06C23">
              <w:rPr>
                <w:sz w:val="20"/>
                <w:szCs w:val="20"/>
                <w:u w:val="single"/>
              </w:rPr>
              <w:t>Interest earned on the resources of the Fund</w:t>
            </w:r>
          </w:p>
        </w:tc>
        <w:tc>
          <w:tcPr>
            <w:tcW w:w="2126" w:type="dxa"/>
            <w:shd w:val="clear" w:color="auto" w:fill="auto"/>
            <w:vAlign w:val="center"/>
          </w:tcPr>
          <w:p w:rsidR="002B50BC" w:rsidRPr="00D06C23" w:rsidRDefault="002B50BC" w:rsidP="008F7418">
            <w:pPr>
              <w:pStyle w:val="Paragraph"/>
              <w:spacing w:before="60" w:after="60"/>
              <w:jc w:val="right"/>
              <w:rPr>
                <w:sz w:val="20"/>
                <w:szCs w:val="20"/>
              </w:rPr>
            </w:pPr>
            <w:r w:rsidRPr="00D06C23">
              <w:rPr>
                <w:sz w:val="20"/>
                <w:szCs w:val="20"/>
              </w:rPr>
              <w:t>US$</w:t>
            </w:r>
            <w:r w:rsidR="008F7418" w:rsidRPr="00D06C23">
              <w:rPr>
                <w:sz w:val="20"/>
                <w:szCs w:val="20"/>
              </w:rPr>
              <w:t>42,550</w:t>
            </w:r>
          </w:p>
        </w:tc>
      </w:tr>
      <w:tr w:rsidR="002B50BC" w:rsidRPr="00D06C23" w:rsidTr="00885ED2">
        <w:trPr>
          <w:cantSplit/>
        </w:trPr>
        <w:tc>
          <w:tcPr>
            <w:tcW w:w="6946" w:type="dxa"/>
            <w:shd w:val="clear" w:color="auto" w:fill="auto"/>
            <w:vAlign w:val="center"/>
          </w:tcPr>
          <w:p w:rsidR="002B50BC" w:rsidRPr="00D06C23" w:rsidRDefault="002B50BC" w:rsidP="002E62EA">
            <w:pPr>
              <w:pStyle w:val="Paragraph"/>
              <w:spacing w:before="60" w:after="60"/>
              <w:ind w:firstLine="34"/>
              <w:jc w:val="right"/>
              <w:rPr>
                <w:sz w:val="20"/>
                <w:szCs w:val="20"/>
              </w:rPr>
            </w:pPr>
          </w:p>
        </w:tc>
        <w:tc>
          <w:tcPr>
            <w:tcW w:w="2126" w:type="dxa"/>
            <w:shd w:val="clear" w:color="auto" w:fill="auto"/>
            <w:vAlign w:val="center"/>
          </w:tcPr>
          <w:p w:rsidR="002B50BC" w:rsidRPr="00D06C23" w:rsidRDefault="002B50BC" w:rsidP="002E62EA">
            <w:pPr>
              <w:pStyle w:val="Paragraph"/>
              <w:spacing w:before="60" w:after="60"/>
              <w:jc w:val="right"/>
              <w:rPr>
                <w:sz w:val="20"/>
                <w:szCs w:val="20"/>
              </w:rPr>
            </w:pPr>
          </w:p>
        </w:tc>
      </w:tr>
      <w:tr w:rsidR="002B50BC" w:rsidRPr="00D06C23" w:rsidTr="00885ED2">
        <w:trPr>
          <w:cantSplit/>
        </w:trPr>
        <w:tc>
          <w:tcPr>
            <w:tcW w:w="6946" w:type="dxa"/>
            <w:shd w:val="clear" w:color="auto" w:fill="auto"/>
            <w:vAlign w:val="center"/>
          </w:tcPr>
          <w:p w:rsidR="002B50BC" w:rsidRPr="00D06C23" w:rsidRDefault="002B50BC" w:rsidP="00F4192C">
            <w:pPr>
              <w:pStyle w:val="Paragraph"/>
              <w:spacing w:before="60" w:after="60"/>
              <w:ind w:firstLine="34"/>
              <w:jc w:val="right"/>
              <w:rPr>
                <w:b/>
                <w:sz w:val="20"/>
                <w:szCs w:val="20"/>
              </w:rPr>
            </w:pPr>
            <w:r w:rsidRPr="00D06C23">
              <w:rPr>
                <w:b/>
                <w:sz w:val="20"/>
                <w:szCs w:val="20"/>
              </w:rPr>
              <w:t>TOTAL</w:t>
            </w:r>
          </w:p>
        </w:tc>
        <w:tc>
          <w:tcPr>
            <w:tcW w:w="2126" w:type="dxa"/>
            <w:shd w:val="clear" w:color="auto" w:fill="auto"/>
            <w:vAlign w:val="center"/>
          </w:tcPr>
          <w:p w:rsidR="002B50BC" w:rsidRPr="00D06C23" w:rsidRDefault="002B50BC" w:rsidP="002D673B">
            <w:pPr>
              <w:pStyle w:val="Paragraph"/>
              <w:spacing w:before="60" w:after="60"/>
              <w:jc w:val="right"/>
              <w:rPr>
                <w:b/>
                <w:sz w:val="20"/>
                <w:szCs w:val="20"/>
              </w:rPr>
            </w:pPr>
            <w:r w:rsidRPr="00D06C23">
              <w:rPr>
                <w:b/>
                <w:sz w:val="20"/>
                <w:szCs w:val="20"/>
              </w:rPr>
              <w:t>US$</w:t>
            </w:r>
            <w:r w:rsidR="002D673B" w:rsidRPr="00D06C23">
              <w:rPr>
                <w:b/>
                <w:sz w:val="20"/>
                <w:szCs w:val="20"/>
              </w:rPr>
              <w:t>1,963,983</w:t>
            </w:r>
          </w:p>
        </w:tc>
      </w:tr>
    </w:tbl>
    <w:p w:rsidR="006C75AF" w:rsidRPr="00F410D6" w:rsidRDefault="006C75AF" w:rsidP="00C25DBF">
      <w:pPr>
        <w:pStyle w:val="ListParagraph"/>
        <w:keepLines/>
        <w:ind w:left="567" w:hanging="567"/>
      </w:pPr>
      <w:r w:rsidRPr="00F410D6">
        <w:lastRenderedPageBreak/>
        <w:t xml:space="preserve">The total income </w:t>
      </w:r>
      <w:r w:rsidR="00C96DF8">
        <w:t xml:space="preserve">as </w:t>
      </w:r>
      <w:r w:rsidRPr="00F410D6">
        <w:t xml:space="preserve">at </w:t>
      </w:r>
      <w:r w:rsidR="00F45494">
        <w:t>30 June 2016</w:t>
      </w:r>
      <w:r w:rsidRPr="00F410D6">
        <w:t xml:space="preserve"> is </w:t>
      </w:r>
      <w:r w:rsidR="00C96DF8">
        <w:t xml:space="preserve">5% </w:t>
      </w:r>
      <w:r w:rsidR="00F45494">
        <w:t>higher than at</w:t>
      </w:r>
      <w:r w:rsidR="00F45494" w:rsidRPr="00F410D6">
        <w:t xml:space="preserve"> </w:t>
      </w:r>
      <w:r w:rsidR="00C96DF8">
        <w:t xml:space="preserve">the same period in the previous biennium (30 June 2014). </w:t>
      </w:r>
      <w:r w:rsidR="000B3FDA" w:rsidRPr="000B3FDA">
        <w:t xml:space="preserve">This modest growth is due to the growing number of States </w:t>
      </w:r>
      <w:r w:rsidR="000B3FDA">
        <w:t>Parties</w:t>
      </w:r>
      <w:r w:rsidR="000B3FDA" w:rsidRPr="000B3FDA">
        <w:t xml:space="preserve"> </w:t>
      </w:r>
      <w:r w:rsidR="00A37296">
        <w:t xml:space="preserve">(167 States Parties as at 30 June 2016 against 159 as at 30 June 2014) </w:t>
      </w:r>
      <w:r w:rsidR="000B3FDA" w:rsidRPr="000B3FDA">
        <w:t>but with a rate of ratification which stabilizes (</w:t>
      </w:r>
      <w:r w:rsidR="00893807">
        <w:t>assessed contribution</w:t>
      </w:r>
      <w:r w:rsidR="00754F02">
        <w:t>s</w:t>
      </w:r>
      <w:r w:rsidR="00893807">
        <w:t xml:space="preserve"> represent </w:t>
      </w:r>
      <w:r w:rsidR="000B3FDA" w:rsidRPr="000B3FDA">
        <w:t>4</w:t>
      </w:r>
      <w:r w:rsidR="00A37296">
        <w:t>6</w:t>
      </w:r>
      <w:r w:rsidR="000B3FDA" w:rsidRPr="000B3FDA">
        <w:t xml:space="preserve">% </w:t>
      </w:r>
      <w:r w:rsidR="000B3FDA">
        <w:t xml:space="preserve">of the </w:t>
      </w:r>
      <w:r w:rsidR="000B3FDA" w:rsidRPr="000B3FDA">
        <w:t xml:space="preserve">growth), </w:t>
      </w:r>
      <w:r w:rsidR="000B3FDA">
        <w:t>to</w:t>
      </w:r>
      <w:r w:rsidR="000B3FDA" w:rsidRPr="000B3FDA">
        <w:t xml:space="preserve"> a slight increase in interest (27%</w:t>
      </w:r>
      <w:r w:rsidR="000B3FDA">
        <w:t xml:space="preserve"> of the </w:t>
      </w:r>
      <w:r w:rsidR="000B3FDA" w:rsidRPr="000B3FDA">
        <w:t xml:space="preserve">growth) and </w:t>
      </w:r>
      <w:r w:rsidR="000B3FDA">
        <w:t>to</w:t>
      </w:r>
      <w:r w:rsidR="000B3FDA" w:rsidRPr="000B3FDA">
        <w:t xml:space="preserve"> a</w:t>
      </w:r>
      <w:r w:rsidR="000B3FDA">
        <w:t>n equally</w:t>
      </w:r>
      <w:r w:rsidR="000B3FDA" w:rsidRPr="000B3FDA">
        <w:t xml:space="preserve"> slight increase in voluntary </w:t>
      </w:r>
      <w:r w:rsidR="000B3FDA">
        <w:t xml:space="preserve">supplementary </w:t>
      </w:r>
      <w:r w:rsidR="000B3FDA" w:rsidRPr="000B3FDA">
        <w:t xml:space="preserve">contributions received in during the first half of </w:t>
      </w:r>
      <w:r w:rsidR="0008635B">
        <w:t>the</w:t>
      </w:r>
      <w:r w:rsidR="000B3FDA" w:rsidRPr="000B3FDA">
        <w:t xml:space="preserve"> biennium</w:t>
      </w:r>
      <w:r w:rsidR="00A37296">
        <w:t xml:space="preserve"> </w:t>
      </w:r>
      <w:r w:rsidR="00A37296" w:rsidRPr="000B3FDA">
        <w:t>(27%</w:t>
      </w:r>
      <w:r w:rsidR="00A37296">
        <w:t xml:space="preserve"> of the </w:t>
      </w:r>
      <w:r w:rsidR="00A37296" w:rsidRPr="000B3FDA">
        <w:t>growth)</w:t>
      </w:r>
      <w:r w:rsidR="000B3FDA" w:rsidRPr="000B3FDA">
        <w:t xml:space="preserve">. </w:t>
      </w:r>
      <w:r w:rsidR="0008635B">
        <w:t>It is h</w:t>
      </w:r>
      <w:r w:rsidR="0008635B" w:rsidRPr="0008635B">
        <w:t xml:space="preserve">owever worth noting that during the reporting period the Fund </w:t>
      </w:r>
      <w:r w:rsidR="0008635B">
        <w:t>did</w:t>
      </w:r>
      <w:r w:rsidR="0008635B" w:rsidRPr="0008635B">
        <w:t xml:space="preserve"> </w:t>
      </w:r>
      <w:r w:rsidR="003918E9">
        <w:t xml:space="preserve">not </w:t>
      </w:r>
      <w:r w:rsidR="0008635B" w:rsidRPr="0008635B">
        <w:t>receive any voluntary contribution</w:t>
      </w:r>
      <w:r w:rsidR="0008635B">
        <w:t xml:space="preserve"> earmarked for activi</w:t>
      </w:r>
      <w:r w:rsidR="00AE4A70">
        <w:t>ties approved by the Committee.</w:t>
      </w:r>
    </w:p>
    <w:p w:rsidR="005A5792" w:rsidRPr="00F410D6" w:rsidRDefault="005A5792" w:rsidP="008E324E">
      <w:pPr>
        <w:pStyle w:val="Default"/>
        <w:keepNext/>
        <w:spacing w:before="240" w:after="120"/>
        <w:rPr>
          <w:b/>
          <w:bCs/>
          <w:color w:val="auto"/>
          <w:sz w:val="22"/>
          <w:szCs w:val="22"/>
          <w:lang w:val="en-GB"/>
        </w:rPr>
      </w:pPr>
      <w:r w:rsidRPr="008F733B">
        <w:rPr>
          <w:b/>
          <w:bCs/>
          <w:color w:val="auto"/>
          <w:sz w:val="22"/>
          <w:szCs w:val="22"/>
          <w:lang w:val="en-GB"/>
        </w:rPr>
        <w:t>Schedule of appropriations and expenditure for the period 1 January 201</w:t>
      </w:r>
      <w:r w:rsidR="00672062" w:rsidRPr="008F733B">
        <w:rPr>
          <w:b/>
          <w:bCs/>
          <w:color w:val="auto"/>
          <w:sz w:val="22"/>
          <w:szCs w:val="22"/>
          <w:lang w:val="en-GB"/>
        </w:rPr>
        <w:t>6</w:t>
      </w:r>
      <w:r w:rsidRPr="008F733B">
        <w:rPr>
          <w:b/>
          <w:bCs/>
          <w:color w:val="auto"/>
          <w:sz w:val="22"/>
          <w:szCs w:val="22"/>
          <w:lang w:val="en-GB"/>
        </w:rPr>
        <w:t xml:space="preserve"> to 3</w:t>
      </w:r>
      <w:r w:rsidR="00AC2F38">
        <w:rPr>
          <w:b/>
          <w:bCs/>
          <w:color w:val="auto"/>
          <w:sz w:val="22"/>
          <w:szCs w:val="22"/>
          <w:lang w:val="en-GB"/>
        </w:rPr>
        <w:t>0</w:t>
      </w:r>
      <w:r w:rsidR="00AC2F38">
        <w:rPr>
          <w:b/>
          <w:bCs/>
          <w:color w:val="auto"/>
          <w:sz w:val="22"/>
          <w:szCs w:val="22"/>
        </w:rPr>
        <w:t> </w:t>
      </w:r>
      <w:r w:rsidR="00672062" w:rsidRPr="008F733B">
        <w:rPr>
          <w:b/>
          <w:bCs/>
          <w:color w:val="auto"/>
          <w:sz w:val="22"/>
          <w:szCs w:val="22"/>
          <w:lang w:val="en-GB"/>
        </w:rPr>
        <w:t>June</w:t>
      </w:r>
      <w:r w:rsidR="00AC2F38">
        <w:rPr>
          <w:b/>
          <w:bCs/>
          <w:color w:val="auto"/>
          <w:sz w:val="22"/>
          <w:szCs w:val="22"/>
        </w:rPr>
        <w:t> </w:t>
      </w:r>
      <w:r w:rsidRPr="008F733B">
        <w:rPr>
          <w:b/>
          <w:bCs/>
          <w:color w:val="auto"/>
          <w:sz w:val="22"/>
          <w:szCs w:val="22"/>
          <w:lang w:val="en-GB"/>
        </w:rPr>
        <w:t>201</w:t>
      </w:r>
      <w:r w:rsidR="00672062" w:rsidRPr="008F733B">
        <w:rPr>
          <w:b/>
          <w:bCs/>
          <w:color w:val="auto"/>
          <w:sz w:val="22"/>
          <w:szCs w:val="22"/>
          <w:lang w:val="en-GB"/>
        </w:rPr>
        <w:t>6</w:t>
      </w:r>
      <w:r w:rsidR="00720710" w:rsidRPr="008F733B">
        <w:rPr>
          <w:b/>
          <w:bCs/>
          <w:color w:val="auto"/>
          <w:sz w:val="22"/>
          <w:szCs w:val="22"/>
          <w:lang w:val="en-GB"/>
        </w:rPr>
        <w:t xml:space="preserve"> (Statement I</w:t>
      </w:r>
      <w:r w:rsidR="00D7233B" w:rsidRPr="008F733B">
        <w:rPr>
          <w:b/>
          <w:bCs/>
          <w:color w:val="auto"/>
          <w:sz w:val="22"/>
          <w:szCs w:val="22"/>
          <w:lang w:val="en-GB"/>
        </w:rPr>
        <w:t>,</w:t>
      </w:r>
      <w:r w:rsidR="00720710" w:rsidRPr="008F733B">
        <w:rPr>
          <w:b/>
          <w:bCs/>
          <w:color w:val="auto"/>
          <w:sz w:val="22"/>
          <w:szCs w:val="22"/>
          <w:lang w:val="en-GB"/>
        </w:rPr>
        <w:t xml:space="preserve"> page</w:t>
      </w:r>
      <w:r w:rsidR="00D7233B" w:rsidRPr="008F733B">
        <w:rPr>
          <w:b/>
          <w:bCs/>
          <w:color w:val="auto"/>
          <w:sz w:val="22"/>
          <w:szCs w:val="22"/>
          <w:lang w:val="en-GB"/>
        </w:rPr>
        <w:t xml:space="preserve"> </w:t>
      </w:r>
      <w:r w:rsidR="0008635B" w:rsidRPr="008F733B">
        <w:rPr>
          <w:b/>
          <w:bCs/>
          <w:color w:val="auto"/>
          <w:sz w:val="22"/>
          <w:szCs w:val="22"/>
          <w:lang w:val="en-GB"/>
        </w:rPr>
        <w:t>7</w:t>
      </w:r>
      <w:r w:rsidR="00720710" w:rsidRPr="008F733B">
        <w:rPr>
          <w:b/>
          <w:bCs/>
          <w:color w:val="auto"/>
          <w:sz w:val="22"/>
          <w:szCs w:val="22"/>
          <w:lang w:val="en-GB"/>
        </w:rPr>
        <w:t>)</w:t>
      </w:r>
    </w:p>
    <w:p w:rsidR="003F1686" w:rsidRPr="00F410D6" w:rsidRDefault="003F1686" w:rsidP="00263CD2">
      <w:pPr>
        <w:pStyle w:val="ListParagraph"/>
        <w:ind w:left="567" w:hanging="567"/>
      </w:pPr>
      <w:r w:rsidRPr="00F410D6">
        <w:t>The total operational budget given in the schedule of appropriations and expenditure (US$</w:t>
      </w:r>
      <w:r w:rsidR="000F18EA">
        <w:t>7,977,920</w:t>
      </w:r>
      <w:r w:rsidRPr="00F410D6">
        <w:t xml:space="preserve">) corresponds to the </w:t>
      </w:r>
      <w:r w:rsidR="000E26B1" w:rsidRPr="00F410D6">
        <w:t>balance of the Fund</w:t>
      </w:r>
      <w:r w:rsidR="000F18EA">
        <w:t xml:space="preserve"> on 1 January 2016</w:t>
      </w:r>
      <w:r w:rsidRPr="00F410D6">
        <w:t xml:space="preserve"> (US$</w:t>
      </w:r>
      <w:r w:rsidR="000F18EA">
        <w:t>8,953,730</w:t>
      </w:r>
      <w:r w:rsidRPr="00F410D6">
        <w:t xml:space="preserve">) less the Reserve Fund </w:t>
      </w:r>
      <w:r w:rsidR="0008635B" w:rsidRPr="00F410D6">
        <w:t xml:space="preserve">accumulated </w:t>
      </w:r>
      <w:r w:rsidR="0008635B">
        <w:t xml:space="preserve">up to that date </w:t>
      </w:r>
      <w:r w:rsidRPr="00F410D6">
        <w:t>(US$</w:t>
      </w:r>
      <w:r w:rsidR="000F18EA">
        <w:t>975,810</w:t>
      </w:r>
      <w:r w:rsidRPr="00F410D6">
        <w:t xml:space="preserve">). This Reserve Fund was created, in accordance with the Financial Regulations for the Special Account for the Fund, in order to meet requests for </w:t>
      </w:r>
      <w:r w:rsidR="009B48BA">
        <w:t>I</w:t>
      </w:r>
      <w:r w:rsidRPr="00F410D6">
        <w:t xml:space="preserve">nternational </w:t>
      </w:r>
      <w:r w:rsidR="009B48BA">
        <w:t>A</w:t>
      </w:r>
      <w:r w:rsidRPr="00F410D6">
        <w:t xml:space="preserve">ssistance in cases of extreme urgency and in the event that the funds allocated to </w:t>
      </w:r>
      <w:r w:rsidR="009B48BA">
        <w:t>I</w:t>
      </w:r>
      <w:r w:rsidRPr="00F410D6">
        <w:t xml:space="preserve">nternational </w:t>
      </w:r>
      <w:r w:rsidR="009B48BA">
        <w:t>A</w:t>
      </w:r>
      <w:r w:rsidRPr="00F410D6">
        <w:t>ssistance (budget line 1) become exhausted. The new transfer to the Reserve Fund (US$</w:t>
      </w:r>
      <w:r w:rsidR="000F18EA">
        <w:t>24,190</w:t>
      </w:r>
      <w:r w:rsidRPr="00F410D6">
        <w:t xml:space="preserve">) </w:t>
      </w:r>
      <w:r w:rsidR="000F18EA">
        <w:t xml:space="preserve">that </w:t>
      </w:r>
      <w:r w:rsidRPr="00F410D6">
        <w:t xml:space="preserve">took place </w:t>
      </w:r>
      <w:r w:rsidR="0008635B">
        <w:t>when</w:t>
      </w:r>
      <w:r w:rsidR="0008635B" w:rsidRPr="009676AA">
        <w:t xml:space="preserve"> </w:t>
      </w:r>
      <w:r w:rsidR="00263CD2" w:rsidRPr="009676AA">
        <w:t>the Plan for the use of the resources</w:t>
      </w:r>
      <w:r w:rsidR="00263CD2">
        <w:t xml:space="preserve"> of the Fund </w:t>
      </w:r>
      <w:r w:rsidR="0008635B">
        <w:t xml:space="preserve">was </w:t>
      </w:r>
      <w:r w:rsidR="00263CD2">
        <w:t>approved by the sixth</w:t>
      </w:r>
      <w:r w:rsidR="00263CD2" w:rsidRPr="00F410D6">
        <w:t xml:space="preserve"> session of the General Assembly in June 201</w:t>
      </w:r>
      <w:r w:rsidR="00263CD2">
        <w:t>6</w:t>
      </w:r>
      <w:r w:rsidR="00263CD2" w:rsidRPr="00F410D6">
        <w:t xml:space="preserve"> </w:t>
      </w:r>
      <w:r w:rsidR="000F18EA">
        <w:t>is</w:t>
      </w:r>
      <w:r w:rsidRPr="00F410D6">
        <w:t xml:space="preserve"> shown in Statement II as an increase to the Reserve Fund</w:t>
      </w:r>
      <w:r w:rsidR="00AE4A70">
        <w:t>,</w:t>
      </w:r>
      <w:r w:rsidRPr="00F410D6">
        <w:t xml:space="preserve"> </w:t>
      </w:r>
      <w:r w:rsidR="00AE4A70" w:rsidRPr="00F410D6">
        <w:t>from one biennium to the other</w:t>
      </w:r>
      <w:r w:rsidR="00AE4A70">
        <w:t>,</w:t>
      </w:r>
      <w:r w:rsidR="00AE4A70" w:rsidRPr="000C3818">
        <w:t xml:space="preserve"> </w:t>
      </w:r>
      <w:r w:rsidR="009001C6" w:rsidRPr="000C3818">
        <w:t>to set its total amount at US$1 million</w:t>
      </w:r>
      <w:r w:rsidRPr="00F410D6">
        <w:t>.</w:t>
      </w:r>
    </w:p>
    <w:p w:rsidR="005A5792" w:rsidRPr="00F410D6" w:rsidRDefault="000003ED" w:rsidP="0008635B">
      <w:pPr>
        <w:pStyle w:val="ListParagraph"/>
        <w:ind w:left="567" w:hanging="567"/>
      </w:pPr>
      <w:r w:rsidRPr="00F410D6">
        <w:t>T</w:t>
      </w:r>
      <w:r w:rsidR="005A5792" w:rsidRPr="00F410D6">
        <w:t>he Financial Report shows a total expenditure of US$</w:t>
      </w:r>
      <w:r w:rsidR="0001754F">
        <w:t>633,793 as of 30 June 2016</w:t>
      </w:r>
      <w:r w:rsidR="000B52AF" w:rsidRPr="00F410D6">
        <w:t xml:space="preserve">, </w:t>
      </w:r>
      <w:r w:rsidR="005A5792" w:rsidRPr="00F410D6">
        <w:t xml:space="preserve">that is, </w:t>
      </w:r>
      <w:r w:rsidR="00B4182F" w:rsidRPr="00F410D6">
        <w:t>8%</w:t>
      </w:r>
      <w:r w:rsidR="005A5792" w:rsidRPr="00F410D6">
        <w:t xml:space="preserve"> of the </w:t>
      </w:r>
      <w:r w:rsidR="003F1686" w:rsidRPr="00F410D6">
        <w:t xml:space="preserve">operational </w:t>
      </w:r>
      <w:r w:rsidR="005A5792" w:rsidRPr="00F410D6">
        <w:t>budget approved by the General Assembly</w:t>
      </w:r>
      <w:r w:rsidR="00C369CA" w:rsidRPr="00F410D6">
        <w:t xml:space="preserve"> in its </w:t>
      </w:r>
      <w:hyperlink r:id="rId12" w:history="1">
        <w:r w:rsidR="0001754F" w:rsidRPr="009676AA">
          <w:rPr>
            <w:rStyle w:val="Hyperlink"/>
          </w:rPr>
          <w:t>Resolut</w:t>
        </w:r>
        <w:r w:rsidR="0001754F" w:rsidRPr="009676AA">
          <w:rPr>
            <w:rStyle w:val="Hyperlink"/>
          </w:rPr>
          <w:t>i</w:t>
        </w:r>
        <w:r w:rsidR="0001754F" w:rsidRPr="009676AA">
          <w:rPr>
            <w:rStyle w:val="Hyperlink"/>
          </w:rPr>
          <w:t>on</w:t>
        </w:r>
        <w:r w:rsidR="00AC2F38">
          <w:rPr>
            <w:rStyle w:val="Hyperlink"/>
            <w:lang w:val="en-US"/>
          </w:rPr>
          <w:t> </w:t>
        </w:r>
        <w:r w:rsidR="00AC2F38">
          <w:rPr>
            <w:rStyle w:val="Hyperlink"/>
          </w:rPr>
          <w:t>6.GA</w:t>
        </w:r>
        <w:r w:rsidR="00AC2F38">
          <w:rPr>
            <w:rStyle w:val="Hyperlink"/>
            <w:lang w:val="en-US"/>
          </w:rPr>
          <w:t> </w:t>
        </w:r>
        <w:r w:rsidR="0001754F" w:rsidRPr="009676AA">
          <w:rPr>
            <w:rStyle w:val="Hyperlink"/>
          </w:rPr>
          <w:t>9</w:t>
        </w:r>
      </w:hyperlink>
      <w:r w:rsidR="003F1686" w:rsidRPr="00F410D6">
        <w:t xml:space="preserve"> – </w:t>
      </w:r>
      <w:r w:rsidR="00000773" w:rsidRPr="00F410D6">
        <w:t xml:space="preserve">excluding </w:t>
      </w:r>
      <w:r w:rsidR="003F1686" w:rsidRPr="00F410D6">
        <w:t>funds provided for the Reserve Fund</w:t>
      </w:r>
      <w:r w:rsidR="005A5792" w:rsidRPr="00F410D6">
        <w:t xml:space="preserve">. Explanations of each budget line </w:t>
      </w:r>
      <w:r w:rsidR="003F1686" w:rsidRPr="00F410D6">
        <w:t xml:space="preserve">of </w:t>
      </w:r>
      <w:r w:rsidR="005A5792" w:rsidRPr="00F410D6">
        <w:t xml:space="preserve">the </w:t>
      </w:r>
      <w:r w:rsidR="003F1686" w:rsidRPr="00F410D6">
        <w:t>s</w:t>
      </w:r>
      <w:r w:rsidR="005A5792" w:rsidRPr="00F410D6">
        <w:t xml:space="preserve">chedule of appropriations and expenditure </w:t>
      </w:r>
      <w:r w:rsidR="003F1686" w:rsidRPr="00F410D6">
        <w:t>are provided below</w:t>
      </w:r>
      <w:r w:rsidR="005A5792" w:rsidRPr="00F410D6">
        <w:t>.</w:t>
      </w:r>
    </w:p>
    <w:p w:rsidR="003918E9" w:rsidRPr="003918E9" w:rsidRDefault="003918E9" w:rsidP="00C25F57">
      <w:pPr>
        <w:pStyle w:val="ListParagraph"/>
        <w:ind w:left="567" w:hanging="567"/>
        <w:rPr>
          <w:rFonts w:cs="Times New Roman"/>
          <w:szCs w:val="24"/>
        </w:rPr>
      </w:pPr>
      <w:r w:rsidRPr="00C81630">
        <w:t xml:space="preserve">In line with the priorities set by the Guidelines for the use of the resources of the Fund in Chapter II.1 of the Operational Directives, </w:t>
      </w:r>
      <w:r>
        <w:t>the General Assembly</w:t>
      </w:r>
      <w:r w:rsidRPr="00C81630">
        <w:t xml:space="preserve"> once again </w:t>
      </w:r>
      <w:r>
        <w:t>decided</w:t>
      </w:r>
      <w:r w:rsidRPr="00C81630">
        <w:t xml:space="preserve"> that the majority of resources (</w:t>
      </w:r>
      <w:r w:rsidRPr="00C81630">
        <w:rPr>
          <w:b/>
          <w:bCs/>
        </w:rPr>
        <w:t>budget line 1</w:t>
      </w:r>
      <w:r w:rsidRPr="00C81630">
        <w:t xml:space="preserve">, 59%) be allocated for providing </w:t>
      </w:r>
      <w:r w:rsidR="009B48BA">
        <w:t>I</w:t>
      </w:r>
      <w:r w:rsidRPr="00C81630">
        <w:t xml:space="preserve">nternational </w:t>
      </w:r>
      <w:r w:rsidR="009B48BA">
        <w:t>A</w:t>
      </w:r>
      <w:r w:rsidRPr="00C81630">
        <w:t>ssistance to States Parties to supplement their national efforts for safeguarding intangible cultural heritage</w:t>
      </w:r>
      <w:r>
        <w:t>. Expenses</w:t>
      </w:r>
      <w:r w:rsidRPr="003918E9">
        <w:t xml:space="preserve"> specified under this line correspond to </w:t>
      </w:r>
      <w:r w:rsidR="009B48BA">
        <w:t>I</w:t>
      </w:r>
      <w:r w:rsidRPr="003918E9">
        <w:t xml:space="preserve">nternational </w:t>
      </w:r>
      <w:r w:rsidR="009B48BA">
        <w:t>A</w:t>
      </w:r>
      <w:r w:rsidRPr="003918E9">
        <w:t xml:space="preserve">ssistance granted </w:t>
      </w:r>
      <w:r w:rsidR="001178BA">
        <w:t xml:space="preserve">to two projects </w:t>
      </w:r>
      <w:r w:rsidR="00C3434C">
        <w:t xml:space="preserve">in late 2015, one by the tenth session of the </w:t>
      </w:r>
      <w:r w:rsidRPr="003918E9">
        <w:t xml:space="preserve">Committee, the other </w:t>
      </w:r>
      <w:r w:rsidR="00C3434C">
        <w:t>by its Bureau</w:t>
      </w:r>
      <w:r w:rsidRPr="003918E9">
        <w:t>.</w:t>
      </w:r>
      <w:r w:rsidR="00C25F57">
        <w:t xml:space="preserve"> Since, in both cases, the decision-making body requested the beneficiary State to work with the Secretariat to clarify the budget and workplan of the projects for which financial support was sought, requests could not materialize into contracts until the first half of 2016. Although the implementation rate of this line continues to constitute a serious concern, it should be noted that</w:t>
      </w:r>
      <w:r w:rsidR="00DB0DD7">
        <w:t>,</w:t>
      </w:r>
      <w:r w:rsidR="00C25F57">
        <w:t xml:space="preserve"> during the reporting period</w:t>
      </w:r>
      <w:r w:rsidR="00DB0DD7">
        <w:t>,</w:t>
      </w:r>
      <w:r w:rsidR="00C25F57">
        <w:t xml:space="preserve"> the Bureau of the Committee granted </w:t>
      </w:r>
      <w:r w:rsidR="001178BA">
        <w:t>I</w:t>
      </w:r>
      <w:r w:rsidR="00C25F57">
        <w:t xml:space="preserve">nternational </w:t>
      </w:r>
      <w:r w:rsidR="001178BA">
        <w:t>A</w:t>
      </w:r>
      <w:r w:rsidR="00C25F57">
        <w:t>ssistance</w:t>
      </w:r>
      <w:r w:rsidR="001178BA">
        <w:t xml:space="preserve"> to five projects</w:t>
      </w:r>
      <w:r w:rsidR="00C25F57">
        <w:t xml:space="preserve"> for a total amount of US$</w:t>
      </w:r>
      <w:r w:rsidR="00C25F57" w:rsidRPr="00C25F57">
        <w:t>123,313</w:t>
      </w:r>
      <w:r w:rsidR="00DB0DD7">
        <w:t xml:space="preserve">. The present financial report does not reflect such expenditures since </w:t>
      </w:r>
      <w:r w:rsidR="00C25F57">
        <w:t>the contractual arrangements relating to these projects ha</w:t>
      </w:r>
      <w:r w:rsidR="004C5E17">
        <w:t>ve</w:t>
      </w:r>
      <w:r w:rsidR="001A72E3">
        <w:t xml:space="preserve"> </w:t>
      </w:r>
      <w:r w:rsidR="00DB0DD7">
        <w:t xml:space="preserve">been concluded </w:t>
      </w:r>
      <w:r w:rsidR="001A72E3">
        <w:t xml:space="preserve">after </w:t>
      </w:r>
      <w:r w:rsidR="00DB0DD7">
        <w:t>30</w:t>
      </w:r>
      <w:r w:rsidR="00AC2F38">
        <w:rPr>
          <w:lang w:val="en-US"/>
        </w:rPr>
        <w:t> </w:t>
      </w:r>
      <w:r w:rsidR="00DB0DD7">
        <w:t>June</w:t>
      </w:r>
      <w:r w:rsidR="00AC2F38">
        <w:rPr>
          <w:lang w:val="en-US"/>
        </w:rPr>
        <w:t> </w:t>
      </w:r>
      <w:r w:rsidR="00DB0DD7">
        <w:t>2016</w:t>
      </w:r>
      <w:r w:rsidR="00453113">
        <w:t>.</w:t>
      </w:r>
    </w:p>
    <w:p w:rsidR="006C1111" w:rsidRPr="00F410D6" w:rsidRDefault="00DB0DD7" w:rsidP="009E5A71">
      <w:pPr>
        <w:pStyle w:val="ListParagraph"/>
        <w:ind w:left="567" w:hanging="567"/>
      </w:pPr>
      <w:r w:rsidRPr="00DB0DD7">
        <w:t>By the deadline of 31</w:t>
      </w:r>
      <w:r w:rsidR="00AC2F38">
        <w:rPr>
          <w:lang w:val="en-US"/>
        </w:rPr>
        <w:t> </w:t>
      </w:r>
      <w:r w:rsidRPr="00DB0DD7">
        <w:t>March</w:t>
      </w:r>
      <w:r w:rsidR="00AC2F38">
        <w:rPr>
          <w:lang w:val="en-US"/>
        </w:rPr>
        <w:t> </w:t>
      </w:r>
      <w:r w:rsidRPr="00DB0DD7">
        <w:t>2016, no preparatory assistance request for the elaboration of nominations to the List of Intangible Cultural Heritage in Need of Urgent Safeguarding</w:t>
      </w:r>
      <w:r>
        <w:t xml:space="preserve"> or proposals for the Register of Best Safeguarding Practices had been received. Therefore</w:t>
      </w:r>
      <w:r w:rsidR="009E5A71">
        <w:t>,</w:t>
      </w:r>
      <w:r>
        <w:t xml:space="preserve"> </w:t>
      </w:r>
      <w:r w:rsidRPr="00DB0DD7">
        <w:t xml:space="preserve">the only expenditures reflected in </w:t>
      </w:r>
      <w:r w:rsidR="00EB3938" w:rsidRPr="00EB3938">
        <w:rPr>
          <w:b/>
        </w:rPr>
        <w:t>budget line 2</w:t>
      </w:r>
      <w:r w:rsidRPr="00DB0DD7">
        <w:t xml:space="preserve"> </w:t>
      </w:r>
      <w:r>
        <w:t>correspond to</w:t>
      </w:r>
      <w:r w:rsidRPr="00DB0DD7">
        <w:t xml:space="preserve"> the provision of technical assistance </w:t>
      </w:r>
      <w:r>
        <w:t xml:space="preserve">in accordance with </w:t>
      </w:r>
      <w:hyperlink r:id="rId13" w:history="1">
        <w:r w:rsidR="006C1111" w:rsidRPr="00F410D6">
          <w:rPr>
            <w:rStyle w:val="Hyperlink"/>
          </w:rPr>
          <w:t>Decision</w:t>
        </w:r>
        <w:r w:rsidR="00AC2F38">
          <w:rPr>
            <w:rStyle w:val="Hyperlink"/>
            <w:lang w:val="en-US"/>
          </w:rPr>
          <w:t> </w:t>
        </w:r>
        <w:r w:rsidR="006C1111" w:rsidRPr="00F410D6">
          <w:rPr>
            <w:rStyle w:val="Hyperlink"/>
          </w:rPr>
          <w:t>8.C</w:t>
        </w:r>
        <w:r w:rsidR="006C1111" w:rsidRPr="00F410D6">
          <w:rPr>
            <w:rStyle w:val="Hyperlink"/>
          </w:rPr>
          <w:t>O</w:t>
        </w:r>
        <w:r w:rsidR="006C1111" w:rsidRPr="00F410D6">
          <w:rPr>
            <w:rStyle w:val="Hyperlink"/>
          </w:rPr>
          <w:t>M 7.c</w:t>
        </w:r>
      </w:hyperlink>
      <w:r w:rsidR="006C1111" w:rsidRPr="00F410D6">
        <w:t xml:space="preserve">, </w:t>
      </w:r>
      <w:r w:rsidR="00AE4A70">
        <w:t>by</w:t>
      </w:r>
      <w:r w:rsidR="00275D5C">
        <w:t xml:space="preserve"> which </w:t>
      </w:r>
      <w:r w:rsidR="008F2954">
        <w:rPr>
          <w:rFonts w:cs="Times New Roman"/>
        </w:rPr>
        <w:t>t</w:t>
      </w:r>
      <w:r w:rsidR="008F2954" w:rsidRPr="00F410D6">
        <w:rPr>
          <w:rFonts w:cs="Times New Roman"/>
        </w:rPr>
        <w:t xml:space="preserve">he Committee </w:t>
      </w:r>
      <w:r w:rsidR="006C1111" w:rsidRPr="00F410D6">
        <w:t>requested the Secretariat to ‘devise a means, on a shorter-term basis, and experimentally, to offer technical assistance, through the provision of experts, as described in Article 21 of the Convention, to States Parties wishing to elaborate requests for International Assistance’</w:t>
      </w:r>
      <w:r w:rsidR="009E5A71">
        <w:t>.</w:t>
      </w:r>
      <w:r w:rsidR="008F2954">
        <w:t xml:space="preserve"> </w:t>
      </w:r>
      <w:r w:rsidR="006C1111" w:rsidRPr="00F410D6">
        <w:rPr>
          <w:rFonts w:cs="Times New Roman"/>
        </w:rPr>
        <w:t xml:space="preserve">It is worth mentioning that </w:t>
      </w:r>
      <w:r w:rsidR="004059C2">
        <w:rPr>
          <w:rFonts w:cs="Times New Roman"/>
          <w:szCs w:val="24"/>
        </w:rPr>
        <w:t>one of</w:t>
      </w:r>
      <w:r w:rsidR="004059C2" w:rsidRPr="00F410D6">
        <w:rPr>
          <w:rFonts w:cs="Times New Roman"/>
          <w:szCs w:val="24"/>
        </w:rPr>
        <w:t xml:space="preserve"> </w:t>
      </w:r>
      <w:r w:rsidR="00275D5C">
        <w:rPr>
          <w:rFonts w:cs="Times New Roman"/>
          <w:szCs w:val="24"/>
        </w:rPr>
        <w:t xml:space="preserve">the </w:t>
      </w:r>
      <w:r w:rsidR="006C1111" w:rsidRPr="00F410D6">
        <w:rPr>
          <w:rFonts w:cs="Times New Roman"/>
          <w:szCs w:val="24"/>
        </w:rPr>
        <w:t xml:space="preserve">requests </w:t>
      </w:r>
      <w:r w:rsidR="004059C2">
        <w:rPr>
          <w:rFonts w:cs="Times New Roman"/>
          <w:szCs w:val="24"/>
        </w:rPr>
        <w:t xml:space="preserve">approved </w:t>
      </w:r>
      <w:r w:rsidR="00275D5C">
        <w:rPr>
          <w:rFonts w:cs="Times New Roman"/>
          <w:szCs w:val="24"/>
        </w:rPr>
        <w:t xml:space="preserve">by </w:t>
      </w:r>
      <w:r w:rsidR="006C1111" w:rsidRPr="00F410D6">
        <w:rPr>
          <w:rFonts w:cs="Times New Roman"/>
          <w:szCs w:val="24"/>
        </w:rPr>
        <w:t xml:space="preserve">the Bureau </w:t>
      </w:r>
      <w:r w:rsidR="00275D5C">
        <w:rPr>
          <w:rFonts w:cs="Times New Roman"/>
          <w:szCs w:val="24"/>
        </w:rPr>
        <w:t>during the reporting period is</w:t>
      </w:r>
      <w:r w:rsidR="00275D5C" w:rsidRPr="00275D5C">
        <w:rPr>
          <w:rFonts w:cs="Times New Roman"/>
          <w:szCs w:val="24"/>
        </w:rPr>
        <w:t xml:space="preserve"> </w:t>
      </w:r>
      <w:r w:rsidR="00275D5C" w:rsidRPr="00F410D6">
        <w:rPr>
          <w:rFonts w:cs="Times New Roman"/>
          <w:szCs w:val="24"/>
        </w:rPr>
        <w:t xml:space="preserve">the result of such assistance in the form of a </w:t>
      </w:r>
      <w:r w:rsidR="00275D5C" w:rsidRPr="00F410D6">
        <w:rPr>
          <w:rFonts w:cs="Times New Roman"/>
        </w:rPr>
        <w:t>close</w:t>
      </w:r>
      <w:r w:rsidR="00275D5C" w:rsidRPr="00F410D6">
        <w:rPr>
          <w:rFonts w:cs="Times New Roman"/>
          <w:szCs w:val="24"/>
        </w:rPr>
        <w:t xml:space="preserve"> </w:t>
      </w:r>
      <w:r w:rsidR="00275D5C" w:rsidRPr="00F410D6">
        <w:t>cooperation</w:t>
      </w:r>
      <w:r w:rsidR="00275D5C" w:rsidRPr="00F410D6">
        <w:rPr>
          <w:rFonts w:cs="Times New Roman"/>
          <w:szCs w:val="24"/>
        </w:rPr>
        <w:t xml:space="preserve"> between </w:t>
      </w:r>
      <w:r w:rsidR="00AE4A70">
        <w:rPr>
          <w:rFonts w:cs="Times New Roman"/>
          <w:szCs w:val="24"/>
        </w:rPr>
        <w:t xml:space="preserve">the Secretariat, </w:t>
      </w:r>
      <w:r w:rsidR="00275D5C" w:rsidRPr="00F410D6">
        <w:rPr>
          <w:rFonts w:cs="Times New Roman"/>
          <w:szCs w:val="24"/>
        </w:rPr>
        <w:t>an expert and a national counterpart</w:t>
      </w:r>
      <w:r w:rsidR="00031C00">
        <w:rPr>
          <w:rFonts w:cs="Times New Roman"/>
          <w:szCs w:val="24"/>
        </w:rPr>
        <w:t>.</w:t>
      </w:r>
    </w:p>
    <w:p w:rsidR="00EE1372" w:rsidRPr="00F410D6" w:rsidRDefault="005A5792" w:rsidP="00EB3938">
      <w:pPr>
        <w:pStyle w:val="ListParagraph"/>
        <w:ind w:left="567" w:hanging="567"/>
      </w:pPr>
      <w:r w:rsidRPr="00F410D6">
        <w:t>The use</w:t>
      </w:r>
      <w:r w:rsidR="004B5B99" w:rsidRPr="00F410D6">
        <w:t xml:space="preserve"> of the budget for ‘other functions of the Committee’ (</w:t>
      </w:r>
      <w:r w:rsidR="004B5B99" w:rsidRPr="00F410D6">
        <w:rPr>
          <w:b/>
        </w:rPr>
        <w:t>budget line 3</w:t>
      </w:r>
      <w:r w:rsidR="004B5B99" w:rsidRPr="00F410D6">
        <w:t>)</w:t>
      </w:r>
      <w:r w:rsidRPr="00F410D6">
        <w:t xml:space="preserve"> is decided by the Bureau on the basis of specific proposals prepared by the Secretariat (</w:t>
      </w:r>
      <w:hyperlink r:id="rId14" w:history="1">
        <w:r w:rsidRPr="008C10FE">
          <w:rPr>
            <w:rStyle w:val="Hyperlink"/>
          </w:rPr>
          <w:t>Decisi</w:t>
        </w:r>
        <w:r w:rsidRPr="008C10FE">
          <w:rPr>
            <w:rStyle w:val="Hyperlink"/>
          </w:rPr>
          <w:t>o</w:t>
        </w:r>
        <w:r w:rsidRPr="008C10FE">
          <w:rPr>
            <w:rStyle w:val="Hyperlink"/>
          </w:rPr>
          <w:t>n</w:t>
        </w:r>
        <w:r w:rsidR="006C1111" w:rsidRPr="008C10FE">
          <w:rPr>
            <w:rStyle w:val="Hyperlink"/>
          </w:rPr>
          <w:t> </w:t>
        </w:r>
        <w:r w:rsidR="008C10FE" w:rsidRPr="008C10FE">
          <w:rPr>
            <w:rStyle w:val="Hyperlink"/>
          </w:rPr>
          <w:t>1</w:t>
        </w:r>
        <w:r w:rsidR="008C10FE" w:rsidRPr="008C10FE">
          <w:rPr>
            <w:rStyle w:val="Hyperlink"/>
          </w:rPr>
          <w:t>0</w:t>
        </w:r>
        <w:r w:rsidRPr="008C10FE">
          <w:rPr>
            <w:rStyle w:val="Hyperlink"/>
          </w:rPr>
          <w:t>.</w:t>
        </w:r>
        <w:r w:rsidRPr="008C10FE">
          <w:rPr>
            <w:rStyle w:val="Hyperlink"/>
          </w:rPr>
          <w:t>C</w:t>
        </w:r>
        <w:r w:rsidRPr="008C10FE">
          <w:rPr>
            <w:rStyle w:val="Hyperlink"/>
          </w:rPr>
          <w:t>O</w:t>
        </w:r>
        <w:r w:rsidRPr="008C10FE">
          <w:rPr>
            <w:rStyle w:val="Hyperlink"/>
          </w:rPr>
          <w:t>M</w:t>
        </w:r>
        <w:r w:rsidRPr="008C10FE">
          <w:rPr>
            <w:rStyle w:val="Hyperlink"/>
          </w:rPr>
          <w:t> </w:t>
        </w:r>
        <w:r w:rsidR="008C10FE" w:rsidRPr="008C10FE">
          <w:rPr>
            <w:rStyle w:val="Hyperlink"/>
          </w:rPr>
          <w:t>8</w:t>
        </w:r>
      </w:hyperlink>
      <w:r w:rsidRPr="00F410D6">
        <w:t xml:space="preserve">). </w:t>
      </w:r>
      <w:r w:rsidR="006C1111" w:rsidRPr="00F410D6">
        <w:t xml:space="preserve">According to the plan approved by the Bureau in its </w:t>
      </w:r>
      <w:hyperlink r:id="rId15" w:history="1">
        <w:r w:rsidR="008C10FE">
          <w:rPr>
            <w:rStyle w:val="Hyperlink"/>
          </w:rPr>
          <w:t>Decisio</w:t>
        </w:r>
        <w:r w:rsidR="008C10FE">
          <w:rPr>
            <w:rStyle w:val="Hyperlink"/>
          </w:rPr>
          <w:t>n</w:t>
        </w:r>
        <w:r w:rsidR="008C10FE">
          <w:rPr>
            <w:rStyle w:val="Hyperlink"/>
          </w:rPr>
          <w:t> 11</w:t>
        </w:r>
        <w:r w:rsidR="006C1111" w:rsidRPr="00F410D6">
          <w:rPr>
            <w:rStyle w:val="Hyperlink"/>
          </w:rPr>
          <w:t>.</w:t>
        </w:r>
        <w:r w:rsidR="006C1111" w:rsidRPr="00F410D6">
          <w:rPr>
            <w:rStyle w:val="Hyperlink"/>
          </w:rPr>
          <w:t>C</w:t>
        </w:r>
        <w:r w:rsidR="006C1111" w:rsidRPr="00F410D6">
          <w:rPr>
            <w:rStyle w:val="Hyperlink"/>
          </w:rPr>
          <w:t>O</w:t>
        </w:r>
        <w:r w:rsidR="006C1111" w:rsidRPr="00F410D6">
          <w:rPr>
            <w:rStyle w:val="Hyperlink"/>
          </w:rPr>
          <w:t>M</w:t>
        </w:r>
        <w:r w:rsidR="006C1111" w:rsidRPr="00F410D6">
          <w:rPr>
            <w:rStyle w:val="Hyperlink"/>
          </w:rPr>
          <w:t> </w:t>
        </w:r>
        <w:r w:rsidR="006C1111" w:rsidRPr="00F410D6">
          <w:rPr>
            <w:rStyle w:val="Hyperlink"/>
          </w:rPr>
          <w:t>2.</w:t>
        </w:r>
        <w:r w:rsidR="006C1111" w:rsidRPr="00F410D6">
          <w:rPr>
            <w:rStyle w:val="Hyperlink"/>
          </w:rPr>
          <w:t>B</w:t>
        </w:r>
        <w:r w:rsidR="006C1111" w:rsidRPr="00F410D6">
          <w:rPr>
            <w:rStyle w:val="Hyperlink"/>
          </w:rPr>
          <w:t>UR</w:t>
        </w:r>
        <w:r w:rsidR="006C1111" w:rsidRPr="00F410D6">
          <w:rPr>
            <w:rStyle w:val="Hyperlink"/>
          </w:rPr>
          <w:t> </w:t>
        </w:r>
        <w:r w:rsidR="006C1111" w:rsidRPr="00F410D6">
          <w:rPr>
            <w:rStyle w:val="Hyperlink"/>
          </w:rPr>
          <w:t>1</w:t>
        </w:r>
      </w:hyperlink>
      <w:r w:rsidR="006C1111" w:rsidRPr="00F410D6">
        <w:rPr>
          <w:rStyle w:val="hps"/>
        </w:rPr>
        <w:t>,</w:t>
      </w:r>
      <w:r w:rsidR="006C1111" w:rsidRPr="00F410D6">
        <w:t xml:space="preserve"> these funds are divided between </w:t>
      </w:r>
      <w:r w:rsidR="004E19E3">
        <w:t xml:space="preserve">the </w:t>
      </w:r>
      <w:r w:rsidR="004E19E3" w:rsidRPr="004E19E3">
        <w:t xml:space="preserve">capacity-building programme and guidance on safeguarding measures and good practices </w:t>
      </w:r>
      <w:r w:rsidR="006C1111" w:rsidRPr="00F410D6">
        <w:t>(</w:t>
      </w:r>
      <w:r w:rsidR="004E19E3">
        <w:t>51.38</w:t>
      </w:r>
      <w:r w:rsidR="006C1111" w:rsidRPr="00F410D6">
        <w:t xml:space="preserve">%), </w:t>
      </w:r>
      <w:r w:rsidR="004E19E3">
        <w:t>knowledge-</w:t>
      </w:r>
      <w:r w:rsidR="004E19E3" w:rsidRPr="004E19E3">
        <w:t xml:space="preserve">management services </w:t>
      </w:r>
      <w:r w:rsidR="00D547A9" w:rsidRPr="00F410D6">
        <w:t>(</w:t>
      </w:r>
      <w:r w:rsidR="004E19E3">
        <w:t>24.32</w:t>
      </w:r>
      <w:r w:rsidR="00D547A9" w:rsidRPr="00F410D6">
        <w:t xml:space="preserve">%), </w:t>
      </w:r>
      <w:r w:rsidR="004E19E3" w:rsidRPr="004E19E3">
        <w:t>raising awareness and outreach</w:t>
      </w:r>
      <w:r w:rsidR="00D547A9" w:rsidRPr="00F410D6">
        <w:t xml:space="preserve"> (</w:t>
      </w:r>
      <w:r w:rsidR="004E19E3">
        <w:t>21.15</w:t>
      </w:r>
      <w:r w:rsidR="00D547A9" w:rsidRPr="00F410D6">
        <w:t>%) and</w:t>
      </w:r>
      <w:r w:rsidR="006C1111" w:rsidRPr="00F410D6">
        <w:t xml:space="preserve"> </w:t>
      </w:r>
      <w:r w:rsidR="00E22F04">
        <w:t>monitoring the implementation of the Convention</w:t>
      </w:r>
      <w:r w:rsidR="006C1111" w:rsidRPr="00F410D6">
        <w:t xml:space="preserve"> (</w:t>
      </w:r>
      <w:r w:rsidR="004E19E3">
        <w:t>3.15</w:t>
      </w:r>
      <w:r w:rsidR="006C1111" w:rsidRPr="00F410D6">
        <w:t xml:space="preserve">%). </w:t>
      </w:r>
      <w:r w:rsidR="004A4CA0">
        <w:t>13</w:t>
      </w:r>
      <w:r w:rsidR="006C1111" w:rsidRPr="00F410D6">
        <w:t xml:space="preserve">% of the funds approved for the current </w:t>
      </w:r>
      <w:r w:rsidR="004A4CA0">
        <w:t>biennium were obligated as of 30 June 2016</w:t>
      </w:r>
      <w:r w:rsidR="007B3F6F">
        <w:t>.</w:t>
      </w:r>
      <w:r w:rsidR="00EB3938">
        <w:t xml:space="preserve"> </w:t>
      </w:r>
      <w:r w:rsidR="00EB3938" w:rsidRPr="00F410D6">
        <w:t xml:space="preserve">A detailed report on the progress of </w:t>
      </w:r>
      <w:r w:rsidR="00EB3938" w:rsidRPr="00D06C23">
        <w:t>implementation of these funds can be found in document ITH/16/11.COM/5, ‘Report by the Secretariat on its activities’.</w:t>
      </w:r>
    </w:p>
    <w:p w:rsidR="006C1111" w:rsidRPr="00F410D6" w:rsidRDefault="00EE1372" w:rsidP="00EE1372">
      <w:pPr>
        <w:pStyle w:val="ListParagraph"/>
        <w:ind w:left="567" w:hanging="567"/>
        <w:rPr>
          <w:rFonts w:cs="Times New Roman"/>
        </w:rPr>
      </w:pPr>
      <w:r w:rsidRPr="00F410D6">
        <w:t>Following the Internal Oversight Service’s recommendation in its audit of the working methods of the culture conventions (</w:t>
      </w:r>
      <w:hyperlink r:id="rId16" w:history="1">
        <w:r w:rsidRPr="00F410D6">
          <w:rPr>
            <w:rStyle w:val="Hyperlink"/>
          </w:rPr>
          <w:t>IOS/AUD/2013/06</w:t>
        </w:r>
      </w:hyperlink>
      <w:r w:rsidRPr="00F410D6">
        <w:t xml:space="preserve">), the Committee requested to the Secretariat, in its </w:t>
      </w:r>
      <w:hyperlink r:id="rId17" w:history="1">
        <w:r w:rsidRPr="00F410D6">
          <w:rPr>
            <w:rStyle w:val="Hyperlink"/>
          </w:rPr>
          <w:t>Decision 8.COM 11</w:t>
        </w:r>
      </w:hyperlink>
      <w:r w:rsidRPr="00F410D6">
        <w:t xml:space="preserve">, to apply the cost recovery policy consistently when using the resources of the Fund. Consequently, and as provided in Article 5.2 of the Fund’s Financial Regulations, budget lines 1 to 3 were charged with direct expenses related to the implementation of granted technical </w:t>
      </w:r>
      <w:r w:rsidR="001178BA">
        <w:t xml:space="preserve">assistance </w:t>
      </w:r>
      <w:r w:rsidRPr="00F410D6">
        <w:t xml:space="preserve">and </w:t>
      </w:r>
      <w:r w:rsidR="001178BA">
        <w:t>I</w:t>
      </w:r>
      <w:r w:rsidRPr="00F410D6">
        <w:t xml:space="preserve">nternational </w:t>
      </w:r>
      <w:r w:rsidR="001178BA">
        <w:t>A</w:t>
      </w:r>
      <w:r w:rsidRPr="00F410D6">
        <w:t>ssistance and activities approved by the Bureau.</w:t>
      </w:r>
    </w:p>
    <w:p w:rsidR="000439C7" w:rsidRPr="00A06A36" w:rsidRDefault="00EB3938" w:rsidP="00496AAD">
      <w:pPr>
        <w:pStyle w:val="ListParagraph"/>
        <w:ind w:left="567" w:hanging="567"/>
      </w:pPr>
      <w:r w:rsidRPr="00A06A36">
        <w:t xml:space="preserve">With no meeting of the Committee held during the reporting period and a single face-to-face meeting of its Bureau </w:t>
      </w:r>
      <w:r w:rsidR="000439C7" w:rsidRPr="00A06A36">
        <w:t>on</w:t>
      </w:r>
      <w:r w:rsidRPr="00A06A36">
        <w:t xml:space="preserve"> 2 June 2016, </w:t>
      </w:r>
      <w:r w:rsidRPr="00A06A36">
        <w:rPr>
          <w:b/>
        </w:rPr>
        <w:t>budget line 4</w:t>
      </w:r>
      <w:r w:rsidR="00087C28">
        <w:t>, used to finance participation of experts representing developing States Members of the Committee in its sessions,</w:t>
      </w:r>
      <w:r w:rsidRPr="00A06A36">
        <w:t xml:space="preserve"> </w:t>
      </w:r>
      <w:r w:rsidR="000439C7" w:rsidRPr="00A06A36">
        <w:t xml:space="preserve">naturally </w:t>
      </w:r>
      <w:r w:rsidRPr="00A06A36">
        <w:t xml:space="preserve">shows </w:t>
      </w:r>
      <w:r w:rsidR="000439C7" w:rsidRPr="00A06A36">
        <w:t>a very modest</w:t>
      </w:r>
      <w:r w:rsidRPr="00A06A36">
        <w:t xml:space="preserve"> expenditure rate</w:t>
      </w:r>
      <w:r w:rsidR="00A839FF" w:rsidRPr="00A06A36">
        <w:t xml:space="preserve"> (0.6%)</w:t>
      </w:r>
      <w:r w:rsidRPr="00A06A36">
        <w:t>.</w:t>
      </w:r>
      <w:r w:rsidR="000439C7" w:rsidRPr="00A06A36">
        <w:t xml:space="preserve"> In contrast, </w:t>
      </w:r>
      <w:r w:rsidR="000439C7" w:rsidRPr="00A06A36">
        <w:rPr>
          <w:b/>
        </w:rPr>
        <w:t xml:space="preserve">budget lines 5 </w:t>
      </w:r>
      <w:r w:rsidR="00496AAD" w:rsidRPr="00A06A36">
        <w:rPr>
          <w:b/>
        </w:rPr>
        <w:t>and</w:t>
      </w:r>
      <w:r w:rsidR="000439C7" w:rsidRPr="00A06A36">
        <w:rPr>
          <w:b/>
        </w:rPr>
        <w:t xml:space="preserve"> 6</w:t>
      </w:r>
      <w:r w:rsidR="000439C7" w:rsidRPr="00A06A36">
        <w:t xml:space="preserve"> used to finance </w:t>
      </w:r>
      <w:r w:rsidR="00496AAD" w:rsidRPr="00A06A36">
        <w:t>participation</w:t>
      </w:r>
      <w:r w:rsidR="000439C7" w:rsidRPr="00A06A36">
        <w:t xml:space="preserve"> </w:t>
      </w:r>
      <w:r w:rsidR="0079243B" w:rsidRPr="00A06A36">
        <w:t xml:space="preserve">of the members of the Evaluation Body eligible to this type of support (ten in the present configuration) </w:t>
      </w:r>
      <w:r w:rsidR="00A839FF" w:rsidRPr="00A06A36">
        <w:t xml:space="preserve">show expenditures relating to the two meetings of the Evaluation Body </w:t>
      </w:r>
      <w:r w:rsidR="00496AAD" w:rsidRPr="00A06A36">
        <w:t xml:space="preserve">held during the reporting period. Budget line 5 financed participation costs for four Evaluation Body members representing developing States Parties non-Members of the Committee while budget line 6 took in participation costs for the six accredited non-governmental organizations </w:t>
      </w:r>
      <w:r w:rsidR="00702EFE">
        <w:t>serving</w:t>
      </w:r>
      <w:r w:rsidR="00496AAD" w:rsidRPr="00A06A36">
        <w:t xml:space="preserve"> the Evaluation Body.</w:t>
      </w:r>
    </w:p>
    <w:p w:rsidR="00496AAD" w:rsidRPr="00A06A36" w:rsidRDefault="00E16F28" w:rsidP="00A06A36">
      <w:pPr>
        <w:pStyle w:val="ListParagraph"/>
        <w:ind w:left="567" w:hanging="567"/>
      </w:pPr>
      <w:r w:rsidRPr="00A06A36">
        <w:t xml:space="preserve">Lastly, </w:t>
      </w:r>
      <w:r w:rsidRPr="00A06A36">
        <w:rPr>
          <w:b/>
        </w:rPr>
        <w:t>budget line 7</w:t>
      </w:r>
      <w:r w:rsidRPr="00A06A36">
        <w:t xml:space="preserve"> (‘Cost of advisory services provided at the request of the Committee’) shows an expenditure rate of </w:t>
      </w:r>
      <w:r w:rsidR="00496AAD" w:rsidRPr="00A06A36">
        <w:t>18.9</w:t>
      </w:r>
      <w:r w:rsidRPr="00A06A36">
        <w:t xml:space="preserve">% corresponding to the fees of </w:t>
      </w:r>
      <w:r w:rsidR="00496AAD" w:rsidRPr="00A06A36">
        <w:t>the ten</w:t>
      </w:r>
      <w:r w:rsidRPr="00A06A36">
        <w:t xml:space="preserve"> members of the Evaluation Body who evaluated the files for the </w:t>
      </w:r>
      <w:r w:rsidR="00496AAD" w:rsidRPr="00A06A36">
        <w:t>2016 </w:t>
      </w:r>
      <w:r w:rsidRPr="00A06A36">
        <w:t xml:space="preserve">cycle and were entitled to receive financial support. </w:t>
      </w:r>
      <w:r w:rsidR="00496AAD" w:rsidRPr="00A06A36">
        <w:t xml:space="preserve">Since the evaluation work was still ongoing as at 30 June 2016, </w:t>
      </w:r>
      <w:r w:rsidR="00A06A36" w:rsidRPr="00A06A36">
        <w:t>the amount of fees included in their contracts are reflected as ‘unliquidated obligations’ and not ye</w:t>
      </w:r>
      <w:r w:rsidR="00031C00">
        <w:t>t as ‘disbursements’.</w:t>
      </w:r>
    </w:p>
    <w:p w:rsidR="001F044D" w:rsidRPr="00F410D6" w:rsidRDefault="001F044D" w:rsidP="00B6186A">
      <w:pPr>
        <w:pStyle w:val="Default"/>
        <w:keepNext/>
        <w:spacing w:before="240" w:after="240"/>
        <w:rPr>
          <w:b/>
          <w:bCs/>
          <w:color w:val="auto"/>
          <w:sz w:val="22"/>
          <w:szCs w:val="22"/>
          <w:lang w:val="en-GB"/>
        </w:rPr>
      </w:pPr>
      <w:r w:rsidRPr="00F410D6">
        <w:rPr>
          <w:b/>
          <w:bCs/>
          <w:color w:val="auto"/>
          <w:sz w:val="22"/>
          <w:szCs w:val="22"/>
          <w:lang w:val="en-GB"/>
        </w:rPr>
        <w:t>Additional reports</w:t>
      </w:r>
    </w:p>
    <w:p w:rsidR="001F044D" w:rsidRPr="008F733B" w:rsidRDefault="008029F3" w:rsidP="00A079DC">
      <w:pPr>
        <w:pStyle w:val="ListParagraph"/>
        <w:ind w:left="567" w:hanging="567"/>
      </w:pPr>
      <w:r w:rsidRPr="008F733B">
        <w:t xml:space="preserve">The present report includes in </w:t>
      </w:r>
      <w:r w:rsidR="00E16F28" w:rsidRPr="008F733B">
        <w:t>Annex 1 (page </w:t>
      </w:r>
      <w:r w:rsidR="00087C28" w:rsidRPr="008F733B">
        <w:t>10</w:t>
      </w:r>
      <w:r w:rsidR="00E16F28" w:rsidRPr="008F733B">
        <w:t>)</w:t>
      </w:r>
      <w:r w:rsidR="0063188F" w:rsidRPr="008F733B">
        <w:t xml:space="preserve"> </w:t>
      </w:r>
      <w:r w:rsidR="00E16F28" w:rsidRPr="008F733B">
        <w:t>the list of voluntary supplementary contributions paid for specific purposes, as specified by Article 25.5 of the Conventi</w:t>
      </w:r>
      <w:r w:rsidR="00F73E25" w:rsidRPr="008F733B">
        <w:t>on for the period 1 January 2016 to 30 June 2016</w:t>
      </w:r>
      <w:r w:rsidR="00E16F28" w:rsidRPr="008F733B">
        <w:t xml:space="preserve">. </w:t>
      </w:r>
      <w:r w:rsidR="00A06A36" w:rsidRPr="008F733B">
        <w:t>As mentioned in paragraph 4, no voluntary contributions were received during the reporting period dedicated to specific activi</w:t>
      </w:r>
      <w:r w:rsidR="00031C00">
        <w:t>ties approved by the Committee.</w:t>
      </w:r>
    </w:p>
    <w:p w:rsidR="00A06A36" w:rsidRDefault="00E8636E" w:rsidP="00A079DC">
      <w:pPr>
        <w:pStyle w:val="ListParagraph"/>
        <w:ind w:left="567" w:hanging="567"/>
      </w:pPr>
      <w:r w:rsidRPr="00F410D6">
        <w:t>C</w:t>
      </w:r>
      <w:r w:rsidR="00467D19" w:rsidRPr="00F410D6">
        <w:t xml:space="preserve">ontributions earmarked for specific projects are subject to the decisions of the Committee on whether to accept such contributions. The table in Annex 2 shows the total expenditure incurred for each project since its </w:t>
      </w:r>
      <w:r w:rsidR="00F73E25">
        <w:t>beginning until 30 June 2016</w:t>
      </w:r>
      <w:r w:rsidR="00467D19" w:rsidRPr="00F410D6">
        <w:t xml:space="preserve">. In addition, the table shows that, concerning </w:t>
      </w:r>
      <w:r w:rsidR="00A06A36">
        <w:t>five</w:t>
      </w:r>
      <w:r w:rsidR="00A06A36" w:rsidRPr="00F410D6">
        <w:t xml:space="preserve"> </w:t>
      </w:r>
      <w:r w:rsidR="00467D19" w:rsidRPr="00F410D6">
        <w:t>projects, there is a total difference of US$</w:t>
      </w:r>
      <w:r w:rsidR="00A06A36">
        <w:t>204,980</w:t>
      </w:r>
      <w:r w:rsidR="00467D19" w:rsidRPr="00F410D6">
        <w:t xml:space="preserve"> between the budget approved by the Committee and the revised budget based on actual funding confirmed. </w:t>
      </w:r>
      <w:r w:rsidR="00593480">
        <w:t>This difference</w:t>
      </w:r>
      <w:r w:rsidR="00593480" w:rsidRPr="00A06A36">
        <w:t xml:space="preserve"> </w:t>
      </w:r>
      <w:r w:rsidR="009442F0">
        <w:t xml:space="preserve">corresponds to </w:t>
      </w:r>
      <w:r w:rsidR="009442F0" w:rsidRPr="00A06A36">
        <w:t>the project balance once all planned activities were implemented</w:t>
      </w:r>
      <w:r w:rsidR="00A06A36" w:rsidRPr="00A06A36">
        <w:t xml:space="preserve">, </w:t>
      </w:r>
      <w:r w:rsidR="00593480">
        <w:t>except in one case where it relates</w:t>
      </w:r>
      <w:r w:rsidR="00593480" w:rsidRPr="00F410D6">
        <w:t xml:space="preserve"> </w:t>
      </w:r>
      <w:r w:rsidR="00467D19" w:rsidRPr="00F410D6">
        <w:t>to 5% of the supplementary voluntary contribution from Norway that the Committee accepted in 2012 and which the Committee noted that it would not be paid to the Fund (</w:t>
      </w:r>
      <w:hyperlink r:id="rId18" w:history="1">
        <w:r w:rsidR="00467D19" w:rsidRPr="00527699">
          <w:rPr>
            <w:rStyle w:val="Hyperlink"/>
          </w:rPr>
          <w:t>Decision 10.C</w:t>
        </w:r>
        <w:r w:rsidR="00467D19" w:rsidRPr="00527699">
          <w:rPr>
            <w:rStyle w:val="Hyperlink"/>
          </w:rPr>
          <w:t>O</w:t>
        </w:r>
        <w:r w:rsidR="00467D19" w:rsidRPr="00527699">
          <w:rPr>
            <w:rStyle w:val="Hyperlink"/>
          </w:rPr>
          <w:t>M 9</w:t>
        </w:r>
      </w:hyperlink>
      <w:r w:rsidR="00031C00">
        <w:t>).</w:t>
      </w:r>
    </w:p>
    <w:p w:rsidR="00467D19" w:rsidRDefault="00467D19" w:rsidP="00A079DC">
      <w:pPr>
        <w:pStyle w:val="ListParagraph"/>
        <w:ind w:left="567" w:hanging="567"/>
      </w:pPr>
      <w:r w:rsidRPr="00F410D6">
        <w:t>This same table shows a funding gap of US$248,</w:t>
      </w:r>
      <w:r w:rsidR="00E8636E" w:rsidRPr="00F410D6">
        <w:t>4</w:t>
      </w:r>
      <w:r w:rsidR="00F73E25">
        <w:t>74</w:t>
      </w:r>
      <w:r w:rsidRPr="00F410D6">
        <w:t>, which corresponds to outstanding voluntary contributions from Brazil and Vietnam approved by the Committee at its 8th session in 2013 (</w:t>
      </w:r>
      <w:hyperlink r:id="rId19" w:history="1">
        <w:r w:rsidRPr="00F410D6">
          <w:rPr>
            <w:rStyle w:val="Hyperlink"/>
          </w:rPr>
          <w:t>Deci</w:t>
        </w:r>
        <w:r w:rsidRPr="00F410D6">
          <w:rPr>
            <w:rStyle w:val="Hyperlink"/>
          </w:rPr>
          <w:t>s</w:t>
        </w:r>
        <w:r w:rsidRPr="00F410D6">
          <w:rPr>
            <w:rStyle w:val="Hyperlink"/>
          </w:rPr>
          <w:t>ion 8.COM</w:t>
        </w:r>
        <w:r w:rsidRPr="00F410D6">
          <w:rPr>
            <w:rStyle w:val="Hyperlink"/>
          </w:rPr>
          <w:t> </w:t>
        </w:r>
        <w:r w:rsidRPr="00F410D6">
          <w:rPr>
            <w:rStyle w:val="Hyperlink"/>
          </w:rPr>
          <w:t>12</w:t>
        </w:r>
      </w:hyperlink>
      <w:r w:rsidRPr="00F410D6">
        <w:t>). Following the Committee’s invitation to these two countries to inform the Secretariat of the status of their respective outstanding contributions</w:t>
      </w:r>
      <w:r w:rsidR="00087C28">
        <w:t xml:space="preserve"> (</w:t>
      </w:r>
      <w:hyperlink r:id="rId20" w:history="1">
        <w:r w:rsidR="00087C28" w:rsidRPr="00087C28">
          <w:rPr>
            <w:rStyle w:val="Hyperlink"/>
          </w:rPr>
          <w:t>Decisio</w:t>
        </w:r>
        <w:r w:rsidR="00087C28" w:rsidRPr="00087C28">
          <w:rPr>
            <w:rStyle w:val="Hyperlink"/>
          </w:rPr>
          <w:t>n</w:t>
        </w:r>
        <w:r w:rsidR="00087C28" w:rsidRPr="00087C28">
          <w:rPr>
            <w:rStyle w:val="Hyperlink"/>
          </w:rPr>
          <w:t> 10.C</w:t>
        </w:r>
        <w:r w:rsidR="00087C28" w:rsidRPr="00087C28">
          <w:rPr>
            <w:rStyle w:val="Hyperlink"/>
          </w:rPr>
          <w:t>O</w:t>
        </w:r>
        <w:r w:rsidR="00087C28" w:rsidRPr="00087C28">
          <w:rPr>
            <w:rStyle w:val="Hyperlink"/>
          </w:rPr>
          <w:t>M 9</w:t>
        </w:r>
      </w:hyperlink>
      <w:r w:rsidR="00087C28">
        <w:t>)</w:t>
      </w:r>
      <w:r w:rsidRPr="00F410D6">
        <w:t xml:space="preserve">, Brazil informed the Secretariat by diplomatic note on 22 February 2016 of its inability to comply with that decision due to legal and budgetary </w:t>
      </w:r>
      <w:r w:rsidR="00E22F04">
        <w:t>issues</w:t>
      </w:r>
      <w:r w:rsidRPr="00F410D6">
        <w:t>.</w:t>
      </w:r>
      <w:r w:rsidR="006E2078">
        <w:t xml:space="preserve"> In Decision 11.COM 6, the Committee may wish to acknowledge this non-payment</w:t>
      </w:r>
      <w:r w:rsidR="00587D0C">
        <w:t>.</w:t>
      </w:r>
      <w:r w:rsidR="006E2078">
        <w:t xml:space="preserve"> </w:t>
      </w:r>
      <w:r w:rsidR="00587D0C">
        <w:t>A</w:t>
      </w:r>
      <w:r w:rsidR="006E2078">
        <w:t>s a result</w:t>
      </w:r>
      <w:r w:rsidR="00587D0C">
        <w:t>,</w:t>
      </w:r>
      <w:r w:rsidR="006E2078">
        <w:t xml:space="preserve"> </w:t>
      </w:r>
      <w:r w:rsidR="006E2078" w:rsidRPr="006E2078">
        <w:t xml:space="preserve">the project </w:t>
      </w:r>
      <w:r w:rsidR="00587D0C">
        <w:t xml:space="preserve">budget </w:t>
      </w:r>
      <w:r w:rsidR="006E2078" w:rsidRPr="006E2078">
        <w:t xml:space="preserve">concerned will be revised to zero in Annex 2 of the next </w:t>
      </w:r>
      <w:r w:rsidR="006E2078">
        <w:t>F</w:t>
      </w:r>
      <w:r w:rsidR="006E2078" w:rsidRPr="006E2078">
        <w:t xml:space="preserve">inancial </w:t>
      </w:r>
      <w:r w:rsidR="006E2078">
        <w:t>R</w:t>
      </w:r>
      <w:r w:rsidR="006E2078" w:rsidRPr="006E2078">
        <w:t>eport</w:t>
      </w:r>
      <w:r w:rsidR="006E2078">
        <w:t xml:space="preserve"> of the Intangible Cultural Heritage Fund</w:t>
      </w:r>
      <w:r w:rsidR="006E2078" w:rsidRPr="006E2078">
        <w:t>.</w:t>
      </w:r>
    </w:p>
    <w:p w:rsidR="00453E39" w:rsidRPr="00F410D6" w:rsidRDefault="00587D0C" w:rsidP="00A079DC">
      <w:pPr>
        <w:pStyle w:val="ListParagraph"/>
        <w:ind w:left="567" w:hanging="567"/>
      </w:pPr>
      <w:r>
        <w:t xml:space="preserve">Finally, </w:t>
      </w:r>
      <w:r w:rsidR="009C2B33" w:rsidRPr="00785AA3">
        <w:t>Annex </w:t>
      </w:r>
      <w:r w:rsidR="009C2B33">
        <w:t>3</w:t>
      </w:r>
      <w:r w:rsidR="009C2B33" w:rsidRPr="00785AA3">
        <w:t xml:space="preserve"> shows the forecasts as of </w:t>
      </w:r>
      <w:r w:rsidR="009C2B33">
        <w:t>30</w:t>
      </w:r>
      <w:r w:rsidR="009C2B33" w:rsidRPr="00785AA3">
        <w:t> </w:t>
      </w:r>
      <w:r w:rsidR="009C2B33">
        <w:t>June 2016</w:t>
      </w:r>
      <w:r w:rsidR="009C2B33" w:rsidRPr="00785AA3">
        <w:t>, based on Secretariat’s estimation, for future use of the funds allocated to ongoing projects based on funds not committed at that date and bud</w:t>
      </w:r>
      <w:r w:rsidR="00031C00">
        <w:t>gets approved by the Committee.</w:t>
      </w:r>
    </w:p>
    <w:p w:rsidR="00AF1C32" w:rsidRPr="00F410D6" w:rsidRDefault="00B74EEE" w:rsidP="000739B5">
      <w:pPr>
        <w:pStyle w:val="ListParagraph"/>
        <w:numPr>
          <w:ilvl w:val="0"/>
          <w:numId w:val="0"/>
        </w:numPr>
        <w:jc w:val="right"/>
        <w:rPr>
          <w:b/>
        </w:rPr>
      </w:pPr>
      <w:r w:rsidRPr="00F410D6">
        <w:br w:type="page"/>
      </w:r>
      <w:r w:rsidR="00DA53F5" w:rsidRPr="00F410D6">
        <w:rPr>
          <w:b/>
        </w:rPr>
        <w:t>Statement I</w:t>
      </w:r>
    </w:p>
    <w:p w:rsidR="002449C3" w:rsidRPr="00223C42" w:rsidRDefault="00784149" w:rsidP="00D84A54">
      <w:pPr>
        <w:pStyle w:val="ListParagraph"/>
        <w:numPr>
          <w:ilvl w:val="0"/>
          <w:numId w:val="0"/>
        </w:numPr>
        <w:jc w:val="right"/>
        <w:rPr>
          <w:rFonts w:eastAsia="Malgun Gothic" w:hint="eastAsia"/>
          <w:lang w:eastAsia="ko-KR"/>
        </w:rPr>
      </w:pPr>
      <w:r w:rsidRPr="00976732">
        <w:rPr>
          <w:noProof/>
          <w:lang w:val="fr-FR" w:eastAsia="zh-CN"/>
        </w:rPr>
        <w:drawing>
          <wp:inline distT="0" distB="0" distL="0" distR="0">
            <wp:extent cx="6115050" cy="58293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5829300"/>
                    </a:xfrm>
                    <a:prstGeom prst="rect">
                      <a:avLst/>
                    </a:prstGeom>
                    <a:noFill/>
                    <a:ln>
                      <a:noFill/>
                    </a:ln>
                  </pic:spPr>
                </pic:pic>
              </a:graphicData>
            </a:graphic>
          </wp:inline>
        </w:drawing>
      </w:r>
      <w:r w:rsidR="00DA53F5" w:rsidRPr="00F410D6">
        <w:br w:type="page"/>
      </w:r>
      <w:r w:rsidRPr="004A003B">
        <w:rPr>
          <w:noProof/>
          <w:lang w:val="fr-FR" w:eastAsia="zh-CN"/>
        </w:rPr>
        <w:drawing>
          <wp:inline distT="0" distB="0" distL="0" distR="0">
            <wp:extent cx="6115050" cy="714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7143750"/>
                    </a:xfrm>
                    <a:prstGeom prst="rect">
                      <a:avLst/>
                    </a:prstGeom>
                    <a:noFill/>
                    <a:ln>
                      <a:noFill/>
                    </a:ln>
                  </pic:spPr>
                </pic:pic>
              </a:graphicData>
            </a:graphic>
          </wp:inline>
        </w:drawing>
      </w:r>
    </w:p>
    <w:p w:rsidR="00DA53F5" w:rsidRPr="00F410D6" w:rsidRDefault="00DA53F5" w:rsidP="004A003B">
      <w:pPr>
        <w:pStyle w:val="ListParagraph"/>
        <w:pageBreakBefore/>
        <w:numPr>
          <w:ilvl w:val="0"/>
          <w:numId w:val="0"/>
        </w:numPr>
        <w:jc w:val="right"/>
        <w:rPr>
          <w:b/>
        </w:rPr>
      </w:pPr>
      <w:r w:rsidRPr="00F410D6">
        <w:rPr>
          <w:b/>
        </w:rPr>
        <w:t>Statement II</w:t>
      </w:r>
    </w:p>
    <w:p w:rsidR="005E715E" w:rsidRPr="00F410D6" w:rsidRDefault="00784149" w:rsidP="00F31AD1">
      <w:pPr>
        <w:pStyle w:val="ListParagraph"/>
        <w:numPr>
          <w:ilvl w:val="0"/>
          <w:numId w:val="0"/>
        </w:numPr>
        <w:jc w:val="right"/>
        <w:rPr>
          <w:b/>
        </w:rPr>
      </w:pPr>
      <w:r w:rsidRPr="00F5365A">
        <w:rPr>
          <w:noProof/>
          <w:lang w:val="fr-FR" w:eastAsia="zh-CN"/>
        </w:rPr>
        <w:drawing>
          <wp:inline distT="0" distB="0" distL="0" distR="0">
            <wp:extent cx="6115050" cy="6067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6067425"/>
                    </a:xfrm>
                    <a:prstGeom prst="rect">
                      <a:avLst/>
                    </a:prstGeom>
                    <a:noFill/>
                    <a:ln>
                      <a:noFill/>
                    </a:ln>
                  </pic:spPr>
                </pic:pic>
              </a:graphicData>
            </a:graphic>
          </wp:inline>
        </w:drawing>
      </w:r>
      <w:r w:rsidR="00DA53F5" w:rsidRPr="00F410D6">
        <w:br w:type="page"/>
      </w:r>
      <w:r w:rsidR="00DA53F5" w:rsidRPr="00F410D6">
        <w:rPr>
          <w:b/>
        </w:rPr>
        <w:t>Statement III</w:t>
      </w:r>
    </w:p>
    <w:p w:rsidR="00DD001E" w:rsidRPr="00127E2E" w:rsidRDefault="00784149" w:rsidP="00E21E51">
      <w:pPr>
        <w:pStyle w:val="ListParagraph"/>
        <w:numPr>
          <w:ilvl w:val="0"/>
          <w:numId w:val="0"/>
        </w:numPr>
        <w:jc w:val="center"/>
        <w:rPr>
          <w:lang w:val="en-US"/>
        </w:rPr>
      </w:pPr>
      <w:r w:rsidRPr="00F5365A">
        <w:rPr>
          <w:noProof/>
          <w:lang w:val="fr-FR" w:eastAsia="zh-CN"/>
        </w:rPr>
        <w:drawing>
          <wp:inline distT="0" distB="0" distL="0" distR="0">
            <wp:extent cx="6115050" cy="668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686550"/>
                    </a:xfrm>
                    <a:prstGeom prst="rect">
                      <a:avLst/>
                    </a:prstGeom>
                    <a:noFill/>
                    <a:ln>
                      <a:noFill/>
                    </a:ln>
                  </pic:spPr>
                </pic:pic>
              </a:graphicData>
            </a:graphic>
          </wp:inline>
        </w:drawing>
      </w:r>
    </w:p>
    <w:p w:rsidR="00DD001E" w:rsidRPr="00F410D6" w:rsidRDefault="00DD001E" w:rsidP="00DD001E">
      <w:pPr>
        <w:pStyle w:val="ListParagraph"/>
        <w:numPr>
          <w:ilvl w:val="0"/>
          <w:numId w:val="0"/>
        </w:numPr>
        <w:jc w:val="right"/>
        <w:rPr>
          <w:b/>
          <w:sz w:val="20"/>
          <w:szCs w:val="20"/>
        </w:rPr>
      </w:pPr>
      <w:r w:rsidRPr="00F410D6">
        <w:br w:type="page"/>
      </w:r>
      <w:r w:rsidRPr="00F410D6">
        <w:rPr>
          <w:b/>
          <w:sz w:val="20"/>
          <w:szCs w:val="20"/>
        </w:rPr>
        <w:t>Annex 1</w:t>
      </w:r>
    </w:p>
    <w:p w:rsidR="008029F3" w:rsidRPr="0067047E" w:rsidRDefault="00784149" w:rsidP="00E21E51">
      <w:pPr>
        <w:pStyle w:val="ListParagraph"/>
        <w:numPr>
          <w:ilvl w:val="0"/>
          <w:numId w:val="0"/>
        </w:numPr>
        <w:jc w:val="center"/>
        <w:rPr>
          <w:lang w:val="en-US"/>
        </w:rPr>
      </w:pPr>
      <w:r w:rsidRPr="00F5365A">
        <w:rPr>
          <w:noProof/>
          <w:lang w:val="fr-FR" w:eastAsia="zh-CN"/>
        </w:rPr>
        <w:drawing>
          <wp:inline distT="0" distB="0" distL="0" distR="0">
            <wp:extent cx="5886450" cy="537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6450" cy="5372100"/>
                    </a:xfrm>
                    <a:prstGeom prst="rect">
                      <a:avLst/>
                    </a:prstGeom>
                    <a:noFill/>
                    <a:ln>
                      <a:noFill/>
                    </a:ln>
                  </pic:spPr>
                </pic:pic>
              </a:graphicData>
            </a:graphic>
          </wp:inline>
        </w:drawing>
      </w:r>
    </w:p>
    <w:p w:rsidR="00DD001E" w:rsidRPr="00F410D6" w:rsidRDefault="00DD001E" w:rsidP="00DD001E">
      <w:pPr>
        <w:pStyle w:val="ListParagraph"/>
        <w:numPr>
          <w:ilvl w:val="0"/>
          <w:numId w:val="0"/>
        </w:numPr>
      </w:pPr>
    </w:p>
    <w:p w:rsidR="00DD001E" w:rsidRPr="00F410D6" w:rsidRDefault="00DD001E" w:rsidP="00DD001E">
      <w:pPr>
        <w:pStyle w:val="ListParagraph"/>
        <w:numPr>
          <w:ilvl w:val="0"/>
          <w:numId w:val="0"/>
        </w:numPr>
        <w:sectPr w:rsidR="00DD001E" w:rsidRPr="00F410D6" w:rsidSect="006B7E58">
          <w:headerReference w:type="even" r:id="rId26"/>
          <w:headerReference w:type="default" r:id="rId27"/>
          <w:headerReference w:type="first" r:id="rId28"/>
          <w:pgSz w:w="11906" w:h="16838" w:code="9"/>
          <w:pgMar w:top="1418" w:right="1134" w:bottom="1134" w:left="1134" w:header="397" w:footer="284" w:gutter="0"/>
          <w:cols w:space="708"/>
          <w:titlePg/>
          <w:docGrid w:linePitch="360"/>
        </w:sectPr>
      </w:pPr>
    </w:p>
    <w:p w:rsidR="004F05D5" w:rsidRPr="00F410D6" w:rsidRDefault="00DD001E" w:rsidP="00DD001E">
      <w:pPr>
        <w:pStyle w:val="ListParagraph"/>
        <w:pageBreakBefore/>
        <w:numPr>
          <w:ilvl w:val="0"/>
          <w:numId w:val="0"/>
        </w:numPr>
        <w:jc w:val="right"/>
      </w:pPr>
      <w:r w:rsidRPr="00F410D6">
        <w:rPr>
          <w:b/>
          <w:sz w:val="20"/>
          <w:szCs w:val="20"/>
        </w:rPr>
        <w:t>Annex 2</w:t>
      </w:r>
      <w:r w:rsidR="00784149" w:rsidRPr="00FA1A9F">
        <w:rPr>
          <w:noProof/>
          <w:lang w:val="fr-FR" w:eastAsia="zh-CN"/>
        </w:rPr>
        <w:drawing>
          <wp:inline distT="0" distB="0" distL="0" distR="0">
            <wp:extent cx="9067800" cy="4600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67800" cy="4600575"/>
                    </a:xfrm>
                    <a:prstGeom prst="rect">
                      <a:avLst/>
                    </a:prstGeom>
                    <a:noFill/>
                    <a:ln>
                      <a:noFill/>
                    </a:ln>
                  </pic:spPr>
                </pic:pic>
              </a:graphicData>
            </a:graphic>
          </wp:inline>
        </w:drawing>
      </w:r>
    </w:p>
    <w:p w:rsidR="0067047E" w:rsidRPr="00C868B6" w:rsidRDefault="0067047E" w:rsidP="00453E39">
      <w:pPr>
        <w:spacing w:before="60" w:after="60"/>
        <w:rPr>
          <w:rFonts w:ascii="Arial" w:eastAsia="Malgun Gothic" w:hAnsi="Arial" w:cs="Arial" w:hint="eastAsia"/>
          <w:i/>
          <w:sz w:val="14"/>
          <w:szCs w:val="14"/>
          <w:lang w:eastAsia="ko-KR"/>
        </w:rPr>
      </w:pPr>
      <w:r w:rsidRPr="0067047E">
        <w:rPr>
          <w:rFonts w:ascii="Arial" w:hAnsi="Arial" w:cs="Arial"/>
          <w:i/>
          <w:sz w:val="14"/>
          <w:szCs w:val="14"/>
          <w:lang w:eastAsia="en-US"/>
        </w:rPr>
        <w:t>* Reduced to actual expenditure for terminated project</w:t>
      </w:r>
      <w:r w:rsidR="00031C00">
        <w:rPr>
          <w:rFonts w:ascii="Arial" w:hAnsi="Arial" w:cs="Arial"/>
          <w:i/>
          <w:sz w:val="14"/>
          <w:szCs w:val="14"/>
          <w:lang w:eastAsia="en-US"/>
        </w:rPr>
        <w:t>s or to actual funding received</w:t>
      </w:r>
    </w:p>
    <w:p w:rsidR="0067047E" w:rsidRPr="00C868B6" w:rsidRDefault="0067047E" w:rsidP="00453E39">
      <w:pPr>
        <w:spacing w:before="60" w:after="60"/>
        <w:rPr>
          <w:rFonts w:ascii="Arial" w:eastAsia="Malgun Gothic" w:hAnsi="Arial" w:cs="Arial" w:hint="eastAsia"/>
          <w:i/>
          <w:sz w:val="14"/>
          <w:szCs w:val="14"/>
          <w:lang w:eastAsia="ko-KR"/>
        </w:rPr>
      </w:pPr>
      <w:r w:rsidRPr="0067047E">
        <w:rPr>
          <w:rFonts w:ascii="Arial" w:hAnsi="Arial" w:cs="Arial"/>
          <w:i/>
          <w:sz w:val="14"/>
          <w:szCs w:val="14"/>
          <w:lang w:eastAsia="en-US"/>
        </w:rPr>
        <w:t>** Awaiting rec</w:t>
      </w:r>
      <w:r w:rsidR="00031C00">
        <w:rPr>
          <w:rFonts w:ascii="Arial" w:hAnsi="Arial" w:cs="Arial"/>
          <w:i/>
          <w:sz w:val="14"/>
          <w:szCs w:val="14"/>
          <w:lang w:eastAsia="en-US"/>
        </w:rPr>
        <w:t>eipt of funds from the donor(s)</w:t>
      </w:r>
    </w:p>
    <w:p w:rsidR="0067047E" w:rsidRDefault="0067047E" w:rsidP="00453E39">
      <w:pPr>
        <w:spacing w:before="60" w:after="60"/>
        <w:rPr>
          <w:rFonts w:ascii="Arial" w:hAnsi="Arial" w:cs="Arial"/>
          <w:i/>
          <w:sz w:val="14"/>
          <w:szCs w:val="14"/>
          <w:lang w:eastAsia="en-US"/>
        </w:rPr>
      </w:pPr>
      <w:r w:rsidRPr="0067047E">
        <w:rPr>
          <w:rFonts w:ascii="Arial" w:hAnsi="Arial" w:cs="Arial"/>
          <w:i/>
          <w:sz w:val="14"/>
          <w:szCs w:val="14"/>
          <w:lang w:eastAsia="en-US"/>
        </w:rPr>
        <w:t>*** including net savings of USD 20,040.61 on liquidati</w:t>
      </w:r>
      <w:r w:rsidR="008142AE">
        <w:rPr>
          <w:rFonts w:ascii="Arial" w:hAnsi="Arial" w:cs="Arial"/>
          <w:i/>
          <w:sz w:val="14"/>
          <w:szCs w:val="14"/>
          <w:lang w:eastAsia="en-US"/>
        </w:rPr>
        <w:t>on of prior years</w:t>
      </w:r>
      <w:r w:rsidR="00453E39">
        <w:rPr>
          <w:rFonts w:ascii="Arial" w:hAnsi="Arial" w:cs="Arial"/>
          <w:i/>
          <w:sz w:val="14"/>
          <w:szCs w:val="14"/>
          <w:lang w:eastAsia="en-US"/>
        </w:rPr>
        <w:t>’</w:t>
      </w:r>
      <w:r w:rsidR="008142AE">
        <w:rPr>
          <w:rFonts w:ascii="Arial" w:hAnsi="Arial" w:cs="Arial"/>
          <w:i/>
          <w:sz w:val="14"/>
          <w:szCs w:val="14"/>
          <w:lang w:eastAsia="en-US"/>
        </w:rPr>
        <w:t xml:space="preserve"> obligations </w:t>
      </w:r>
      <w:r w:rsidRPr="0067047E">
        <w:rPr>
          <w:rFonts w:ascii="Arial" w:hAnsi="Arial" w:cs="Arial"/>
          <w:i/>
          <w:sz w:val="14"/>
          <w:szCs w:val="14"/>
          <w:lang w:eastAsia="en-US"/>
        </w:rPr>
        <w:t>as follows:</w:t>
      </w:r>
    </w:p>
    <w:p w:rsidR="0067047E" w:rsidRPr="00C868B6" w:rsidRDefault="00C45135" w:rsidP="00C45135">
      <w:pPr>
        <w:spacing w:before="60" w:after="60"/>
        <w:ind w:left="142"/>
        <w:rPr>
          <w:rFonts w:ascii="Arial" w:eastAsia="Malgun Gothic" w:hAnsi="Arial" w:cs="Arial" w:hint="eastAsia"/>
          <w:i/>
          <w:sz w:val="14"/>
          <w:szCs w:val="14"/>
          <w:lang w:eastAsia="ko-KR"/>
        </w:rPr>
      </w:pPr>
      <w:r>
        <w:rPr>
          <w:rFonts w:ascii="Arial" w:hAnsi="Arial" w:cs="Arial"/>
          <w:i/>
          <w:sz w:val="14"/>
          <w:szCs w:val="14"/>
          <w:lang w:eastAsia="en-US"/>
        </w:rPr>
        <w:t>US$</w:t>
      </w:r>
      <w:r w:rsidR="0067047E" w:rsidRPr="0067047E">
        <w:rPr>
          <w:rFonts w:ascii="Arial" w:hAnsi="Arial" w:cs="Arial"/>
          <w:i/>
          <w:sz w:val="14"/>
          <w:szCs w:val="14"/>
          <w:lang w:eastAsia="en-US"/>
        </w:rPr>
        <w:t xml:space="preserve">14,648.74 under </w:t>
      </w:r>
      <w:r w:rsidR="00453E39">
        <w:rPr>
          <w:rFonts w:ascii="Arial" w:hAnsi="Arial" w:cs="Arial"/>
          <w:i/>
          <w:sz w:val="14"/>
          <w:szCs w:val="14"/>
          <w:lang w:eastAsia="en-US"/>
        </w:rPr>
        <w:t>p</w:t>
      </w:r>
      <w:r w:rsidR="00453E39" w:rsidRPr="0067047E">
        <w:rPr>
          <w:rFonts w:ascii="Arial" w:hAnsi="Arial" w:cs="Arial"/>
          <w:i/>
          <w:sz w:val="14"/>
          <w:szCs w:val="14"/>
          <w:lang w:eastAsia="en-US"/>
        </w:rPr>
        <w:t xml:space="preserve">roject </w:t>
      </w:r>
      <w:r w:rsidR="00453E39">
        <w:rPr>
          <w:rFonts w:ascii="Arial" w:hAnsi="Arial" w:cs="Arial"/>
          <w:i/>
          <w:sz w:val="14"/>
          <w:szCs w:val="14"/>
          <w:lang w:eastAsia="en-US"/>
        </w:rPr>
        <w:t>‘</w:t>
      </w:r>
      <w:r w:rsidR="0067047E" w:rsidRPr="0067047E">
        <w:rPr>
          <w:rFonts w:ascii="Arial" w:hAnsi="Arial" w:cs="Arial"/>
          <w:i/>
          <w:sz w:val="14"/>
          <w:szCs w:val="14"/>
          <w:lang w:eastAsia="en-US"/>
        </w:rPr>
        <w:t>PALOP Countries</w:t>
      </w:r>
      <w:r w:rsidR="00453E39">
        <w:rPr>
          <w:rFonts w:ascii="Arial" w:hAnsi="Arial" w:cs="Arial"/>
          <w:i/>
          <w:sz w:val="14"/>
          <w:szCs w:val="14"/>
          <w:lang w:eastAsia="en-US"/>
        </w:rPr>
        <w:t>’</w:t>
      </w:r>
    </w:p>
    <w:p w:rsidR="0067047E" w:rsidRDefault="00C45135" w:rsidP="00C45135">
      <w:pPr>
        <w:spacing w:before="60" w:after="60"/>
        <w:ind w:left="142"/>
        <w:rPr>
          <w:rFonts w:ascii="Arial" w:hAnsi="Arial" w:cs="Arial"/>
          <w:i/>
          <w:sz w:val="14"/>
          <w:szCs w:val="14"/>
          <w:lang w:eastAsia="en-US"/>
        </w:rPr>
      </w:pPr>
      <w:r>
        <w:rPr>
          <w:rFonts w:ascii="Arial" w:hAnsi="Arial" w:cs="Arial"/>
          <w:i/>
          <w:sz w:val="14"/>
          <w:szCs w:val="14"/>
          <w:lang w:eastAsia="en-US"/>
        </w:rPr>
        <w:t>US$</w:t>
      </w:r>
      <w:r w:rsidR="0067047E" w:rsidRPr="0067047E">
        <w:rPr>
          <w:rFonts w:ascii="Arial" w:hAnsi="Arial" w:cs="Arial"/>
          <w:i/>
          <w:sz w:val="14"/>
          <w:szCs w:val="14"/>
          <w:lang w:eastAsia="en-US"/>
        </w:rPr>
        <w:t xml:space="preserve">963.05 under </w:t>
      </w:r>
      <w:r w:rsidR="00453E39">
        <w:rPr>
          <w:rFonts w:ascii="Arial" w:hAnsi="Arial" w:cs="Arial"/>
          <w:i/>
          <w:sz w:val="14"/>
          <w:szCs w:val="14"/>
          <w:lang w:eastAsia="en-US"/>
        </w:rPr>
        <w:t>p</w:t>
      </w:r>
      <w:r w:rsidR="00453E39" w:rsidRPr="0067047E">
        <w:rPr>
          <w:rFonts w:ascii="Arial" w:hAnsi="Arial" w:cs="Arial"/>
          <w:i/>
          <w:sz w:val="14"/>
          <w:szCs w:val="14"/>
          <w:lang w:eastAsia="en-US"/>
        </w:rPr>
        <w:t xml:space="preserve">roject </w:t>
      </w:r>
      <w:r w:rsidR="00453E39">
        <w:rPr>
          <w:rFonts w:ascii="Arial" w:hAnsi="Arial" w:cs="Arial"/>
          <w:i/>
          <w:sz w:val="14"/>
          <w:szCs w:val="14"/>
          <w:lang w:eastAsia="en-US"/>
        </w:rPr>
        <w:t>‘</w:t>
      </w:r>
      <w:r w:rsidR="0067047E" w:rsidRPr="0067047E">
        <w:rPr>
          <w:rFonts w:ascii="Arial" w:hAnsi="Arial" w:cs="Arial"/>
          <w:i/>
          <w:sz w:val="14"/>
          <w:szCs w:val="14"/>
          <w:lang w:eastAsia="en-US"/>
        </w:rPr>
        <w:t>Myanmar</w:t>
      </w:r>
      <w:r w:rsidR="00453E39">
        <w:rPr>
          <w:rFonts w:ascii="Arial" w:hAnsi="Arial" w:cs="Arial"/>
          <w:i/>
          <w:sz w:val="14"/>
          <w:szCs w:val="14"/>
          <w:lang w:eastAsia="en-US"/>
        </w:rPr>
        <w:t>’</w:t>
      </w:r>
    </w:p>
    <w:p w:rsidR="0067047E" w:rsidRDefault="00C45135" w:rsidP="00C45135">
      <w:pPr>
        <w:spacing w:before="60" w:after="60"/>
        <w:ind w:left="142"/>
        <w:rPr>
          <w:rFonts w:ascii="Arial" w:hAnsi="Arial" w:cs="Arial"/>
          <w:i/>
          <w:sz w:val="14"/>
          <w:szCs w:val="14"/>
          <w:lang w:eastAsia="en-US"/>
        </w:rPr>
      </w:pPr>
      <w:r>
        <w:rPr>
          <w:rFonts w:ascii="Arial" w:hAnsi="Arial" w:cs="Arial"/>
          <w:i/>
          <w:sz w:val="14"/>
          <w:szCs w:val="14"/>
          <w:lang w:eastAsia="en-US"/>
        </w:rPr>
        <w:t>US$</w:t>
      </w:r>
      <w:r w:rsidR="0067047E" w:rsidRPr="0067047E">
        <w:rPr>
          <w:rFonts w:ascii="Arial" w:hAnsi="Arial" w:cs="Arial"/>
          <w:i/>
          <w:sz w:val="14"/>
          <w:szCs w:val="14"/>
          <w:lang w:eastAsia="en-US"/>
        </w:rPr>
        <w:t xml:space="preserve">1,627.48 under </w:t>
      </w:r>
      <w:r w:rsidR="00453E39">
        <w:rPr>
          <w:rFonts w:ascii="Arial" w:hAnsi="Arial" w:cs="Arial"/>
          <w:i/>
          <w:sz w:val="14"/>
          <w:szCs w:val="14"/>
          <w:lang w:eastAsia="en-US"/>
        </w:rPr>
        <w:t>p</w:t>
      </w:r>
      <w:r w:rsidR="00453E39" w:rsidRPr="0067047E">
        <w:rPr>
          <w:rFonts w:ascii="Arial" w:hAnsi="Arial" w:cs="Arial"/>
          <w:i/>
          <w:sz w:val="14"/>
          <w:szCs w:val="14"/>
          <w:lang w:eastAsia="en-US"/>
        </w:rPr>
        <w:t xml:space="preserve">roject </w:t>
      </w:r>
      <w:r w:rsidR="00453E39">
        <w:rPr>
          <w:rFonts w:ascii="Arial" w:hAnsi="Arial" w:cs="Arial"/>
          <w:i/>
          <w:sz w:val="14"/>
          <w:szCs w:val="14"/>
          <w:lang w:eastAsia="en-US"/>
        </w:rPr>
        <w:t>‘</w:t>
      </w:r>
      <w:r w:rsidR="0067047E" w:rsidRPr="0067047E">
        <w:rPr>
          <w:rFonts w:ascii="Arial" w:hAnsi="Arial" w:cs="Arial"/>
          <w:i/>
          <w:sz w:val="14"/>
          <w:szCs w:val="14"/>
          <w:lang w:eastAsia="en-US"/>
        </w:rPr>
        <w:t>Mauritania, Morocco and Tunisia</w:t>
      </w:r>
      <w:r w:rsidR="00453E39">
        <w:rPr>
          <w:rFonts w:ascii="Arial" w:hAnsi="Arial" w:cs="Arial"/>
          <w:i/>
          <w:sz w:val="14"/>
          <w:szCs w:val="14"/>
          <w:lang w:eastAsia="en-US"/>
        </w:rPr>
        <w:t>’</w:t>
      </w:r>
    </w:p>
    <w:p w:rsidR="004F05D5" w:rsidRDefault="00C45135" w:rsidP="00C45135">
      <w:pPr>
        <w:spacing w:before="60" w:after="240"/>
        <w:ind w:left="142"/>
        <w:rPr>
          <w:rFonts w:ascii="Arial" w:hAnsi="Arial" w:cs="Arial"/>
          <w:i/>
          <w:sz w:val="14"/>
          <w:szCs w:val="14"/>
          <w:lang w:eastAsia="en-US"/>
        </w:rPr>
      </w:pPr>
      <w:r>
        <w:rPr>
          <w:rFonts w:ascii="Arial" w:hAnsi="Arial" w:cs="Arial"/>
          <w:i/>
          <w:sz w:val="14"/>
          <w:szCs w:val="14"/>
          <w:lang w:eastAsia="en-US"/>
        </w:rPr>
        <w:t>US$</w:t>
      </w:r>
      <w:r w:rsidR="0067047E" w:rsidRPr="0067047E">
        <w:rPr>
          <w:rFonts w:ascii="Arial" w:hAnsi="Arial" w:cs="Arial"/>
          <w:i/>
          <w:sz w:val="14"/>
          <w:szCs w:val="14"/>
          <w:lang w:eastAsia="en-US"/>
        </w:rPr>
        <w:t xml:space="preserve">2,801.34 under </w:t>
      </w:r>
      <w:r w:rsidR="00453E39">
        <w:rPr>
          <w:rFonts w:ascii="Arial" w:hAnsi="Arial" w:cs="Arial"/>
          <w:i/>
          <w:sz w:val="14"/>
          <w:szCs w:val="14"/>
          <w:lang w:eastAsia="en-US"/>
        </w:rPr>
        <w:t>p</w:t>
      </w:r>
      <w:r w:rsidR="00453E39" w:rsidRPr="0067047E">
        <w:rPr>
          <w:rFonts w:ascii="Arial" w:hAnsi="Arial" w:cs="Arial"/>
          <w:i/>
          <w:sz w:val="14"/>
          <w:szCs w:val="14"/>
          <w:lang w:eastAsia="en-US"/>
        </w:rPr>
        <w:t xml:space="preserve">roject </w:t>
      </w:r>
      <w:r w:rsidR="00453E39">
        <w:rPr>
          <w:rFonts w:ascii="Arial" w:hAnsi="Arial" w:cs="Arial"/>
          <w:i/>
          <w:sz w:val="14"/>
          <w:szCs w:val="14"/>
          <w:lang w:eastAsia="en-US"/>
        </w:rPr>
        <w:t>‘</w:t>
      </w:r>
      <w:r w:rsidR="0067047E" w:rsidRPr="0067047E">
        <w:rPr>
          <w:rFonts w:ascii="Arial" w:hAnsi="Arial" w:cs="Arial"/>
          <w:i/>
          <w:sz w:val="14"/>
          <w:szCs w:val="14"/>
          <w:lang w:eastAsia="en-US"/>
        </w:rPr>
        <w:t>Suriname and Dutch Caribbean islands</w:t>
      </w:r>
      <w:r w:rsidR="00453E39">
        <w:rPr>
          <w:rFonts w:ascii="Arial" w:hAnsi="Arial" w:cs="Arial"/>
          <w:i/>
          <w:sz w:val="14"/>
          <w:szCs w:val="14"/>
          <w:lang w:eastAsia="en-US"/>
        </w:rPr>
        <w:t>’</w:t>
      </w:r>
    </w:p>
    <w:p w:rsidR="0067047E" w:rsidRPr="00F410D6" w:rsidRDefault="0067047E" w:rsidP="00453E39">
      <w:pPr>
        <w:spacing w:before="60" w:after="60"/>
        <w:rPr>
          <w:rFonts w:ascii="Arial" w:hAnsi="Arial" w:cs="Arial"/>
          <w:i/>
          <w:sz w:val="14"/>
          <w:szCs w:val="14"/>
          <w:lang w:eastAsia="en-US"/>
        </w:rPr>
      </w:pPr>
      <w:r w:rsidRPr="0067047E">
        <w:rPr>
          <w:rFonts w:ascii="Arial" w:hAnsi="Arial" w:cs="Arial"/>
          <w:i/>
          <w:sz w:val="14"/>
          <w:szCs w:val="14"/>
          <w:lang w:eastAsia="en-US"/>
        </w:rPr>
        <w:t>Financial Report issued by the</w:t>
      </w:r>
      <w:r>
        <w:rPr>
          <w:rFonts w:ascii="Arial" w:hAnsi="Arial" w:cs="Arial"/>
          <w:i/>
          <w:sz w:val="14"/>
          <w:szCs w:val="14"/>
          <w:lang w:eastAsia="en-US"/>
        </w:rPr>
        <w:t xml:space="preserve"> Bureau of Financial Management.</w:t>
      </w:r>
      <w:r w:rsidR="006C5ACA">
        <w:rPr>
          <w:rFonts w:ascii="Arial" w:hAnsi="Arial" w:cs="Arial"/>
          <w:i/>
          <w:sz w:val="14"/>
          <w:szCs w:val="14"/>
          <w:lang w:eastAsia="en-US"/>
        </w:rPr>
        <w:br/>
      </w:r>
      <w:r w:rsidRPr="0067047E">
        <w:rPr>
          <w:rFonts w:ascii="Arial" w:hAnsi="Arial" w:cs="Arial"/>
          <w:i/>
          <w:sz w:val="14"/>
          <w:szCs w:val="14"/>
          <w:lang w:eastAsia="en-US"/>
        </w:rPr>
        <w:t>The total income and expenditure are in accordance with UNESCO’s financial records.</w:t>
      </w:r>
    </w:p>
    <w:p w:rsidR="00DD001E" w:rsidRPr="00F410D6" w:rsidRDefault="00DD001E" w:rsidP="00D84A54">
      <w:pPr>
        <w:tabs>
          <w:tab w:val="left" w:pos="17719"/>
        </w:tabs>
        <w:spacing w:before="120"/>
        <w:jc w:val="right"/>
        <w:rPr>
          <w:rFonts w:ascii="Arial" w:hAnsi="Arial" w:cs="Arial"/>
          <w:b/>
          <w:sz w:val="20"/>
          <w:szCs w:val="20"/>
          <w:lang w:eastAsia="en-US"/>
        </w:rPr>
      </w:pPr>
      <w:r w:rsidRPr="00F410D6">
        <w:rPr>
          <w:rFonts w:ascii="Arial" w:hAnsi="Arial" w:cs="Arial"/>
          <w:b/>
          <w:sz w:val="20"/>
          <w:szCs w:val="20"/>
          <w:lang w:eastAsia="en-US"/>
        </w:rPr>
        <w:t>Annex 3</w:t>
      </w:r>
    </w:p>
    <w:p w:rsidR="000739B5" w:rsidRDefault="00784149" w:rsidP="00DD001E">
      <w:pPr>
        <w:jc w:val="center"/>
      </w:pPr>
      <w:r w:rsidRPr="004D4586">
        <w:rPr>
          <w:noProof/>
          <w:lang w:val="fr-FR" w:eastAsia="zh-CN"/>
        </w:rPr>
        <w:drawing>
          <wp:inline distT="0" distB="0" distL="0" distR="0">
            <wp:extent cx="9067800" cy="4143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67800" cy="4143375"/>
                    </a:xfrm>
                    <a:prstGeom prst="rect">
                      <a:avLst/>
                    </a:prstGeom>
                    <a:noFill/>
                    <a:ln>
                      <a:noFill/>
                    </a:ln>
                  </pic:spPr>
                </pic:pic>
              </a:graphicData>
            </a:graphic>
          </wp:inline>
        </w:drawing>
      </w:r>
    </w:p>
    <w:p w:rsidR="00806880" w:rsidRPr="00806880" w:rsidRDefault="00806880" w:rsidP="00806880">
      <w:pPr>
        <w:rPr>
          <w:rFonts w:ascii="Arial" w:hAnsi="Arial" w:cs="Arial"/>
          <w:sz w:val="18"/>
          <w:szCs w:val="18"/>
          <w:lang w:val="en-US"/>
        </w:rPr>
      </w:pPr>
      <w:r w:rsidRPr="00806880">
        <w:rPr>
          <w:rFonts w:ascii="Arial" w:hAnsi="Arial" w:cs="Arial"/>
          <w:sz w:val="18"/>
          <w:szCs w:val="18"/>
          <w:lang w:val="en-US"/>
        </w:rPr>
        <w:t>* Funding of these projects is below the budget approved by the Committee. Forecast for their implementation is based on the actual funding received to date.</w:t>
      </w:r>
    </w:p>
    <w:p w:rsidR="00806880" w:rsidRPr="00806880" w:rsidRDefault="00806880" w:rsidP="00806880">
      <w:pPr>
        <w:rPr>
          <w:rFonts w:ascii="Arial" w:hAnsi="Arial" w:cs="Arial"/>
          <w:sz w:val="18"/>
          <w:szCs w:val="18"/>
          <w:lang w:val="en-US"/>
        </w:rPr>
      </w:pPr>
      <w:r w:rsidRPr="00806880">
        <w:rPr>
          <w:rFonts w:ascii="Arial" w:hAnsi="Arial" w:cs="Arial"/>
          <w:sz w:val="18"/>
          <w:szCs w:val="18"/>
          <w:lang w:val="en-US"/>
        </w:rPr>
        <w:t>** The implementation of these projects within the planned timeframe is subject to the receipt of outsta</w:t>
      </w:r>
      <w:r>
        <w:rPr>
          <w:rFonts w:ascii="Arial" w:hAnsi="Arial" w:cs="Arial"/>
          <w:sz w:val="18"/>
          <w:szCs w:val="18"/>
          <w:lang w:val="en-US"/>
        </w:rPr>
        <w:t xml:space="preserve">nding </w:t>
      </w:r>
      <w:r w:rsidR="00427986">
        <w:rPr>
          <w:rFonts w:ascii="Arial" w:hAnsi="Arial" w:cs="Arial"/>
          <w:sz w:val="18"/>
          <w:szCs w:val="18"/>
          <w:lang w:val="en-US"/>
        </w:rPr>
        <w:t xml:space="preserve">confirmed </w:t>
      </w:r>
      <w:r>
        <w:rPr>
          <w:rFonts w:ascii="Arial" w:hAnsi="Arial" w:cs="Arial"/>
          <w:sz w:val="18"/>
          <w:szCs w:val="18"/>
          <w:lang w:val="en-US"/>
        </w:rPr>
        <w:t>contributions.</w:t>
      </w:r>
    </w:p>
    <w:sectPr w:rsidR="00806880" w:rsidRPr="00806880" w:rsidSect="00DD001E">
      <w:pgSz w:w="16838" w:h="11906" w:orient="landscape" w:code="9"/>
      <w:pgMar w:top="1134" w:right="1418" w:bottom="993"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D8" w:rsidRDefault="005004D8" w:rsidP="002938F2">
      <w:r>
        <w:separator/>
      </w:r>
    </w:p>
    <w:p w:rsidR="005004D8" w:rsidRDefault="005004D8"/>
  </w:endnote>
  <w:endnote w:type="continuationSeparator" w:id="0">
    <w:p w:rsidR="005004D8" w:rsidRDefault="005004D8" w:rsidP="002938F2">
      <w:r>
        <w:continuationSeparator/>
      </w:r>
    </w:p>
    <w:p w:rsidR="005004D8" w:rsidRDefault="00500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D8" w:rsidRDefault="005004D8">
      <w:r>
        <w:separator/>
      </w:r>
    </w:p>
  </w:footnote>
  <w:footnote w:type="continuationSeparator" w:id="0">
    <w:p w:rsidR="005004D8" w:rsidRDefault="005004D8" w:rsidP="002938F2">
      <w:r>
        <w:continuationSeparator/>
      </w:r>
    </w:p>
  </w:footnote>
  <w:footnote w:id="1">
    <w:p w:rsidR="00806B17" w:rsidRPr="00DB65A6" w:rsidRDefault="00806B17" w:rsidP="00F410D6">
      <w:pPr>
        <w:pStyle w:val="Paragraph"/>
        <w:tabs>
          <w:tab w:val="left" w:pos="567"/>
        </w:tabs>
        <w:spacing w:before="60" w:after="60"/>
        <w:ind w:left="567" w:hanging="567"/>
      </w:pPr>
      <w:r w:rsidRPr="00806B17">
        <w:rPr>
          <w:sz w:val="20"/>
          <w:szCs w:val="20"/>
        </w:rPr>
        <w:footnoteRef/>
      </w:r>
      <w:r w:rsidRPr="00806B17">
        <w:rPr>
          <w:sz w:val="20"/>
          <w:szCs w:val="20"/>
        </w:rPr>
        <w:t>.</w:t>
      </w:r>
      <w:r w:rsidRPr="00806B17">
        <w:rPr>
          <w:sz w:val="20"/>
          <w:szCs w:val="20"/>
        </w:rPr>
        <w:tab/>
      </w:r>
      <w:r w:rsidRPr="008F733B">
        <w:rPr>
          <w:sz w:val="20"/>
          <w:szCs w:val="20"/>
        </w:rPr>
        <w:t xml:space="preserve">Figures rounded to the next highest dollar compared to that in Financial Statement I, page </w:t>
      </w:r>
      <w:r w:rsidR="0008635B" w:rsidRPr="008F733B">
        <w:rPr>
          <w:sz w:val="20"/>
          <w:szCs w:val="20"/>
        </w:rPr>
        <w:t>6</w:t>
      </w:r>
      <w:r w:rsidRPr="008F733B">
        <w:rPr>
          <w:sz w:val="20"/>
          <w:szCs w:val="20"/>
        </w:rPr>
        <w:t>.</w:t>
      </w:r>
    </w:p>
  </w:footnote>
  <w:footnote w:id="2">
    <w:p w:rsidR="007C3D0C" w:rsidRPr="00806B17" w:rsidRDefault="007C3D0C" w:rsidP="00F410D6">
      <w:pPr>
        <w:pStyle w:val="Paragraph"/>
        <w:tabs>
          <w:tab w:val="left" w:pos="567"/>
        </w:tabs>
        <w:spacing w:before="60" w:after="60"/>
        <w:ind w:left="567" w:hanging="567"/>
        <w:rPr>
          <w:sz w:val="20"/>
          <w:szCs w:val="20"/>
        </w:rPr>
      </w:pPr>
      <w:r w:rsidRPr="00DB65A6">
        <w:rPr>
          <w:rStyle w:val="FootnoteReference"/>
          <w:sz w:val="20"/>
          <w:szCs w:val="20"/>
          <w:vertAlign w:val="baseline"/>
        </w:rPr>
        <w:footnoteRef/>
      </w:r>
      <w:r w:rsidRPr="00DB65A6">
        <w:rPr>
          <w:sz w:val="20"/>
          <w:szCs w:val="20"/>
        </w:rPr>
        <w:t>.</w:t>
      </w:r>
      <w:r w:rsidRPr="00DB65A6">
        <w:rPr>
          <w:sz w:val="20"/>
          <w:szCs w:val="20"/>
        </w:rPr>
        <w:tab/>
        <w:t>In Statement I, the compulsory a</w:t>
      </w:r>
      <w:r w:rsidRPr="00DB65A6">
        <w:rPr>
          <w:sz w:val="20"/>
          <w:szCs w:val="20"/>
        </w:rPr>
        <w:t>s</w:t>
      </w:r>
      <w:r w:rsidRPr="00DB65A6">
        <w:rPr>
          <w:sz w:val="20"/>
          <w:szCs w:val="20"/>
        </w:rPr>
        <w:t xml:space="preserve">sessed contributions for the period </w:t>
      </w:r>
      <w:r w:rsidR="004442CD" w:rsidRPr="00DB65A6">
        <w:rPr>
          <w:sz w:val="20"/>
          <w:szCs w:val="20"/>
        </w:rPr>
        <w:t xml:space="preserve">January 2016 </w:t>
      </w:r>
      <w:r w:rsidRPr="00DB65A6">
        <w:rPr>
          <w:sz w:val="20"/>
          <w:szCs w:val="20"/>
        </w:rPr>
        <w:t>-</w:t>
      </w:r>
      <w:r w:rsidR="004442CD" w:rsidRPr="00DB65A6">
        <w:rPr>
          <w:sz w:val="20"/>
          <w:szCs w:val="20"/>
        </w:rPr>
        <w:t xml:space="preserve"> June 2016</w:t>
      </w:r>
      <w:r w:rsidRPr="00DB65A6">
        <w:rPr>
          <w:sz w:val="20"/>
          <w:szCs w:val="20"/>
        </w:rPr>
        <w:t xml:space="preserve"> are shown as income, whether or not they have been received; Statement II shows that the amount still unpaid and receivable from States Parties as </w:t>
      </w:r>
      <w:r w:rsidR="004442CD" w:rsidRPr="00DB65A6">
        <w:rPr>
          <w:sz w:val="20"/>
          <w:szCs w:val="20"/>
        </w:rPr>
        <w:t>at 30</w:t>
      </w:r>
      <w:r w:rsidRPr="00DB65A6">
        <w:rPr>
          <w:sz w:val="20"/>
          <w:szCs w:val="20"/>
        </w:rPr>
        <w:t> </w:t>
      </w:r>
      <w:r w:rsidR="004442CD" w:rsidRPr="00DB65A6">
        <w:rPr>
          <w:sz w:val="20"/>
          <w:szCs w:val="20"/>
        </w:rPr>
        <w:t>June 2016</w:t>
      </w:r>
      <w:r w:rsidRPr="00DB65A6">
        <w:rPr>
          <w:sz w:val="20"/>
          <w:szCs w:val="20"/>
        </w:rPr>
        <w:t xml:space="preserve"> was US$</w:t>
      </w:r>
      <w:r w:rsidR="004442CD" w:rsidRPr="00DB65A6">
        <w:rPr>
          <w:sz w:val="20"/>
          <w:szCs w:val="20"/>
        </w:rPr>
        <w:t>1,289,625</w:t>
      </w:r>
      <w:r w:rsidRPr="00DB65A6">
        <w:rPr>
          <w:sz w:val="20"/>
          <w:szCs w:val="20"/>
        </w:rPr>
        <w:t>.</w:t>
      </w:r>
      <w:r w:rsidRPr="00806B17">
        <w:rPr>
          <w:sz w:val="20"/>
          <w:szCs w:val="20"/>
        </w:rPr>
        <w:t xml:space="preserve"> Voluntary assessed contributions are shown as income only at the time cash is received.</w:t>
      </w:r>
    </w:p>
  </w:footnote>
  <w:footnote w:id="3">
    <w:p w:rsidR="007C3D0C" w:rsidRPr="00806B17" w:rsidRDefault="007C3D0C" w:rsidP="00F410D6">
      <w:pPr>
        <w:pStyle w:val="Paragraph"/>
        <w:tabs>
          <w:tab w:val="left" w:pos="567"/>
        </w:tabs>
        <w:spacing w:before="60" w:after="60"/>
        <w:ind w:left="567" w:hanging="567"/>
        <w:rPr>
          <w:rStyle w:val="FootnoteReference"/>
          <w:sz w:val="20"/>
          <w:szCs w:val="20"/>
          <w:vertAlign w:val="baseline"/>
        </w:rPr>
      </w:pPr>
      <w:r w:rsidRPr="00806B17">
        <w:rPr>
          <w:rStyle w:val="FootnoteReference"/>
          <w:sz w:val="20"/>
          <w:szCs w:val="20"/>
          <w:vertAlign w:val="baseline"/>
        </w:rPr>
        <w:footnoteRef/>
      </w:r>
      <w:r w:rsidRPr="00806B17">
        <w:rPr>
          <w:sz w:val="20"/>
          <w:szCs w:val="20"/>
        </w:rPr>
        <w:t>.</w:t>
      </w:r>
      <w:r w:rsidRPr="00806B17">
        <w:rPr>
          <w:sz w:val="20"/>
          <w:szCs w:val="20"/>
        </w:rPr>
        <w:tab/>
      </w:r>
      <w:r w:rsidRPr="00806B17">
        <w:rPr>
          <w:bCs w:val="0"/>
          <w:color w:val="auto"/>
          <w:sz w:val="20"/>
          <w:szCs w:val="20"/>
        </w:rPr>
        <w:t>Since its establishment in 2010, the sub-fund has received contributions totalling US$</w:t>
      </w:r>
      <w:r w:rsidR="004442CD">
        <w:rPr>
          <w:bCs w:val="0"/>
          <w:color w:val="auto"/>
          <w:sz w:val="20"/>
          <w:szCs w:val="20"/>
        </w:rPr>
        <w:t>1,477,</w:t>
      </w:r>
      <w:r w:rsidR="00634748">
        <w:rPr>
          <w:bCs w:val="0"/>
          <w:color w:val="auto"/>
          <w:sz w:val="20"/>
          <w:szCs w:val="20"/>
        </w:rPr>
        <w:t>795</w:t>
      </w:r>
      <w:r w:rsidRPr="00806B17">
        <w:rPr>
          <w:bCs w:val="0"/>
          <w:color w:val="auto"/>
          <w:sz w:val="20"/>
          <w:szCs w:val="20"/>
        </w:rPr>
        <w:t>; that is</w:t>
      </w:r>
      <w:r w:rsidR="006C1111">
        <w:rPr>
          <w:bCs w:val="0"/>
          <w:color w:val="auto"/>
          <w:sz w:val="20"/>
          <w:szCs w:val="20"/>
        </w:rPr>
        <w:t xml:space="preserve"> just </w:t>
      </w:r>
      <w:r w:rsidR="00AE4A70">
        <w:rPr>
          <w:bCs w:val="0"/>
          <w:color w:val="auto"/>
          <w:sz w:val="20"/>
          <w:szCs w:val="20"/>
        </w:rPr>
        <w:t>over</w:t>
      </w:r>
      <w:r w:rsidR="002D673B">
        <w:rPr>
          <w:bCs w:val="0"/>
          <w:color w:val="auto"/>
          <w:sz w:val="20"/>
          <w:szCs w:val="20"/>
        </w:rPr>
        <w:t xml:space="preserve"> </w:t>
      </w:r>
      <w:r w:rsidR="006C1111">
        <w:rPr>
          <w:bCs w:val="0"/>
          <w:color w:val="auto"/>
          <w:sz w:val="20"/>
          <w:szCs w:val="20"/>
        </w:rPr>
        <w:t xml:space="preserve">a </w:t>
      </w:r>
      <w:r w:rsidR="002D673B">
        <w:rPr>
          <w:bCs w:val="0"/>
          <w:color w:val="auto"/>
          <w:sz w:val="20"/>
          <w:szCs w:val="20"/>
        </w:rPr>
        <w:t>fif</w:t>
      </w:r>
      <w:r w:rsidR="006C1111">
        <w:rPr>
          <w:bCs w:val="0"/>
          <w:color w:val="auto"/>
          <w:sz w:val="20"/>
          <w:szCs w:val="20"/>
        </w:rPr>
        <w:t xml:space="preserve">th </w:t>
      </w:r>
      <w:r w:rsidRPr="00806B17">
        <w:rPr>
          <w:bCs w:val="0"/>
          <w:color w:val="auto"/>
          <w:sz w:val="20"/>
          <w:szCs w:val="20"/>
        </w:rPr>
        <w:t>of the total needs identified for</w:t>
      </w:r>
      <w:r w:rsidR="002D673B">
        <w:rPr>
          <w:bCs w:val="0"/>
          <w:color w:val="auto"/>
          <w:sz w:val="20"/>
          <w:szCs w:val="20"/>
        </w:rPr>
        <w:t xml:space="preserve"> the period 2010-2016</w:t>
      </w:r>
      <w:r w:rsidR="00AE4A70">
        <w:rPr>
          <w:bCs w:val="0"/>
          <w:color w:val="auto"/>
          <w:sz w:val="20"/>
          <w:szCs w:val="20"/>
        </w:rPr>
        <w:t xml:space="preserve"> (US$</w:t>
      </w:r>
      <w:r w:rsidR="00AE4A70" w:rsidRPr="00AE4A70">
        <w:rPr>
          <w:bCs w:val="0"/>
          <w:color w:val="auto"/>
          <w:sz w:val="20"/>
          <w:szCs w:val="20"/>
        </w:rPr>
        <w:t>6</w:t>
      </w:r>
      <w:r w:rsidR="00AE4A70">
        <w:rPr>
          <w:bCs w:val="0"/>
          <w:color w:val="auto"/>
          <w:sz w:val="20"/>
          <w:szCs w:val="20"/>
        </w:rPr>
        <w:t>,</w:t>
      </w:r>
      <w:r w:rsidR="00AE4A70" w:rsidRPr="00AE4A70">
        <w:rPr>
          <w:bCs w:val="0"/>
          <w:color w:val="auto"/>
          <w:sz w:val="20"/>
          <w:szCs w:val="20"/>
        </w:rPr>
        <w:t>600</w:t>
      </w:r>
      <w:r w:rsidR="00AE4A70">
        <w:rPr>
          <w:bCs w:val="0"/>
          <w:color w:val="auto"/>
          <w:sz w:val="20"/>
          <w:szCs w:val="20"/>
        </w:rPr>
        <w:t>,</w:t>
      </w:r>
      <w:r w:rsidR="00AE4A70" w:rsidRPr="00AE4A70">
        <w:rPr>
          <w:bCs w:val="0"/>
          <w:color w:val="auto"/>
          <w:sz w:val="20"/>
          <w:szCs w:val="20"/>
        </w:rPr>
        <w:t>000</w:t>
      </w:r>
      <w:r w:rsidR="00AE4A70">
        <w:rPr>
          <w:bCs w:val="0"/>
          <w:color w:val="auto"/>
          <w:sz w:val="20"/>
          <w:szCs w:val="20"/>
        </w:rPr>
        <w:t>)</w:t>
      </w:r>
      <w:r w:rsidRPr="00806B17">
        <w:rPr>
          <w:bCs w:val="0"/>
          <w:color w:val="aut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0C" w:rsidRPr="008029F3" w:rsidRDefault="008142AE">
    <w:pPr>
      <w:pStyle w:val="Header"/>
      <w:rPr>
        <w:rFonts w:ascii="Arial" w:hAnsi="Arial" w:cs="Arial"/>
        <w:lang w:val="en-US"/>
      </w:rPr>
    </w:pPr>
    <w:r w:rsidRPr="008142AE">
      <w:rPr>
        <w:rFonts w:ascii="Arial" w:hAnsi="Arial" w:cs="Arial"/>
        <w:sz w:val="20"/>
        <w:szCs w:val="20"/>
        <w:lang w:val="en-US"/>
      </w:rPr>
      <w:t>ITH/16/11.COM/INF.5</w:t>
    </w:r>
    <w:r w:rsidR="007C3D0C" w:rsidRPr="00A43442">
      <w:rPr>
        <w:rFonts w:ascii="Arial" w:hAnsi="Arial" w:cs="Arial"/>
        <w:sz w:val="20"/>
        <w:szCs w:val="20"/>
        <w:lang w:val="en-US"/>
      </w:rPr>
      <w:t xml:space="preserve"> – page </w:t>
    </w:r>
    <w:r w:rsidR="007C3D0C" w:rsidRPr="00A43442">
      <w:rPr>
        <w:rStyle w:val="PageNumber"/>
        <w:rFonts w:ascii="Arial" w:hAnsi="Arial" w:cs="Arial"/>
        <w:sz w:val="20"/>
        <w:szCs w:val="20"/>
      </w:rPr>
      <w:fldChar w:fldCharType="begin"/>
    </w:r>
    <w:r w:rsidR="007C3D0C" w:rsidRPr="00A43442">
      <w:rPr>
        <w:rStyle w:val="PageNumber"/>
        <w:rFonts w:ascii="Arial" w:hAnsi="Arial" w:cs="Arial"/>
        <w:sz w:val="20"/>
        <w:szCs w:val="20"/>
        <w:lang w:val="en-US"/>
      </w:rPr>
      <w:instrText xml:space="preserve"> PAGE </w:instrText>
    </w:r>
    <w:r w:rsidR="007C3D0C" w:rsidRPr="00A43442">
      <w:rPr>
        <w:rStyle w:val="PageNumber"/>
        <w:rFonts w:ascii="Arial" w:hAnsi="Arial" w:cs="Arial"/>
        <w:sz w:val="20"/>
        <w:szCs w:val="20"/>
      </w:rPr>
      <w:fldChar w:fldCharType="separate"/>
    </w:r>
    <w:r w:rsidR="00784149">
      <w:rPr>
        <w:rStyle w:val="PageNumber"/>
        <w:rFonts w:ascii="Arial" w:hAnsi="Arial" w:cs="Arial"/>
        <w:noProof/>
        <w:sz w:val="20"/>
        <w:szCs w:val="20"/>
        <w:lang w:val="en-US"/>
      </w:rPr>
      <w:t>2</w:t>
    </w:r>
    <w:r w:rsidR="007C3D0C" w:rsidRPr="00A43442">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0C" w:rsidRPr="008029F3" w:rsidRDefault="008142AE" w:rsidP="008029F3">
    <w:pPr>
      <w:pStyle w:val="Header"/>
      <w:jc w:val="right"/>
      <w:rPr>
        <w:rFonts w:ascii="Arial" w:hAnsi="Arial" w:cs="Arial"/>
        <w:lang w:val="en-US"/>
      </w:rPr>
    </w:pPr>
    <w:r w:rsidRPr="008142AE">
      <w:rPr>
        <w:rFonts w:ascii="Arial" w:hAnsi="Arial" w:cs="Arial"/>
        <w:sz w:val="20"/>
        <w:szCs w:val="20"/>
        <w:lang w:val="en-US"/>
      </w:rPr>
      <w:t>ITH/16/11.COM/INF.5</w:t>
    </w:r>
    <w:r w:rsidR="007C3D0C" w:rsidRPr="00EF563B">
      <w:rPr>
        <w:rFonts w:ascii="Arial" w:hAnsi="Arial" w:cs="Arial"/>
        <w:sz w:val="20"/>
        <w:szCs w:val="20"/>
        <w:lang w:val="en-US"/>
      </w:rPr>
      <w:t xml:space="preserve"> – page </w:t>
    </w:r>
    <w:r w:rsidR="007C3D0C" w:rsidRPr="00EF563B">
      <w:rPr>
        <w:rStyle w:val="PageNumber"/>
        <w:rFonts w:ascii="Arial" w:hAnsi="Arial" w:cs="Arial"/>
        <w:sz w:val="20"/>
        <w:szCs w:val="20"/>
      </w:rPr>
      <w:fldChar w:fldCharType="begin"/>
    </w:r>
    <w:r w:rsidR="007C3D0C" w:rsidRPr="00EF563B">
      <w:rPr>
        <w:rStyle w:val="PageNumber"/>
        <w:rFonts w:ascii="Arial" w:hAnsi="Arial" w:cs="Arial"/>
        <w:sz w:val="20"/>
        <w:szCs w:val="20"/>
        <w:lang w:val="en-US"/>
      </w:rPr>
      <w:instrText xml:space="preserve"> </w:instrText>
    </w:r>
    <w:r w:rsidR="007C3D0C">
      <w:rPr>
        <w:rStyle w:val="PageNumber"/>
        <w:rFonts w:ascii="Arial" w:hAnsi="Arial" w:cs="Arial"/>
        <w:sz w:val="20"/>
        <w:szCs w:val="20"/>
        <w:lang w:val="en-US"/>
      </w:rPr>
      <w:instrText>PAGE</w:instrText>
    </w:r>
    <w:r w:rsidR="007C3D0C" w:rsidRPr="00EF563B">
      <w:rPr>
        <w:rStyle w:val="PageNumber"/>
        <w:rFonts w:ascii="Arial" w:hAnsi="Arial" w:cs="Arial"/>
        <w:sz w:val="20"/>
        <w:szCs w:val="20"/>
        <w:lang w:val="en-US"/>
      </w:rPr>
      <w:instrText xml:space="preserve"> </w:instrText>
    </w:r>
    <w:r w:rsidR="007C3D0C" w:rsidRPr="00EF563B">
      <w:rPr>
        <w:rStyle w:val="PageNumber"/>
        <w:rFonts w:ascii="Arial" w:hAnsi="Arial" w:cs="Arial"/>
        <w:sz w:val="20"/>
        <w:szCs w:val="20"/>
      </w:rPr>
      <w:fldChar w:fldCharType="separate"/>
    </w:r>
    <w:r w:rsidR="00CF3A98">
      <w:rPr>
        <w:rStyle w:val="PageNumber"/>
        <w:rFonts w:ascii="Arial" w:hAnsi="Arial" w:cs="Arial"/>
        <w:noProof/>
        <w:sz w:val="20"/>
        <w:szCs w:val="20"/>
        <w:lang w:val="en-US"/>
      </w:rPr>
      <w:t>11</w:t>
    </w:r>
    <w:r w:rsidR="007C3D0C"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0C" w:rsidRPr="008724E5" w:rsidRDefault="00784149" w:rsidP="006B7E58">
    <w:pPr>
      <w:pStyle w:val="Header"/>
      <w:tabs>
        <w:tab w:val="left" w:pos="709"/>
      </w:tabs>
    </w:pPr>
    <w:r>
      <w:rPr>
        <w:noProof/>
        <w:lang w:val="fr-FR" w:eastAsia="zh-CN"/>
      </w:rPr>
      <w:drawing>
        <wp:anchor distT="0" distB="0" distL="114300" distR="114300" simplePos="0" relativeHeight="251657728" behindDoc="0" locked="0" layoutInCell="1" allowOverlap="1">
          <wp:simplePos x="0" y="0"/>
          <wp:positionH relativeFrom="column">
            <wp:posOffset>-567690</wp:posOffset>
          </wp:positionH>
          <wp:positionV relativeFrom="page">
            <wp:posOffset>255905</wp:posOffset>
          </wp:positionV>
          <wp:extent cx="2228215" cy="1367790"/>
          <wp:effectExtent l="0" t="0" r="0" b="0"/>
          <wp:wrapNone/>
          <wp:docPr id="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D0C" w:rsidRPr="00D81948" w:rsidRDefault="00F420C3" w:rsidP="002938F2">
    <w:pPr>
      <w:pStyle w:val="Header"/>
      <w:spacing w:after="520"/>
      <w:jc w:val="right"/>
      <w:rPr>
        <w:rFonts w:ascii="Arial" w:hAnsi="Arial" w:cs="Arial"/>
        <w:b/>
        <w:sz w:val="44"/>
        <w:szCs w:val="44"/>
      </w:rPr>
    </w:pPr>
    <w:r>
      <w:rPr>
        <w:rFonts w:ascii="Arial" w:hAnsi="Arial" w:cs="Arial"/>
        <w:b/>
        <w:sz w:val="44"/>
        <w:szCs w:val="44"/>
      </w:rPr>
      <w:t>11 COM</w:t>
    </w:r>
  </w:p>
  <w:p w:rsidR="007C3D0C" w:rsidRPr="00D81948" w:rsidRDefault="007C3D0C" w:rsidP="002D396D">
    <w:pPr>
      <w:spacing w:after="0"/>
      <w:jc w:val="right"/>
      <w:rPr>
        <w:rFonts w:ascii="Arial" w:hAnsi="Arial" w:cs="Arial"/>
        <w:b/>
        <w:szCs w:val="22"/>
      </w:rPr>
    </w:pPr>
    <w:r w:rsidRPr="00D81948">
      <w:rPr>
        <w:rFonts w:ascii="Arial" w:hAnsi="Arial" w:cs="Arial"/>
        <w:b/>
        <w:szCs w:val="22"/>
      </w:rPr>
      <w:t>ITH/1</w:t>
    </w:r>
    <w:r>
      <w:rPr>
        <w:rFonts w:ascii="Arial" w:hAnsi="Arial" w:cs="Arial"/>
        <w:b/>
        <w:szCs w:val="22"/>
      </w:rPr>
      <w:t>6</w:t>
    </w:r>
    <w:r w:rsidRPr="00D81948">
      <w:rPr>
        <w:rFonts w:ascii="Arial" w:hAnsi="Arial" w:cs="Arial"/>
        <w:b/>
        <w:szCs w:val="22"/>
      </w:rPr>
      <w:t>/</w:t>
    </w:r>
    <w:r w:rsidR="00F420C3">
      <w:rPr>
        <w:rFonts w:ascii="Arial" w:hAnsi="Arial" w:cs="Arial"/>
        <w:b/>
        <w:szCs w:val="22"/>
      </w:rPr>
      <w:t>11.COM</w:t>
    </w:r>
    <w:r w:rsidRPr="00D81948">
      <w:rPr>
        <w:rFonts w:ascii="Arial" w:hAnsi="Arial" w:cs="Arial"/>
        <w:b/>
        <w:szCs w:val="22"/>
      </w:rPr>
      <w:t>/INF.</w:t>
    </w:r>
    <w:r w:rsidR="00F420C3">
      <w:rPr>
        <w:rFonts w:ascii="Arial" w:hAnsi="Arial" w:cs="Arial"/>
        <w:b/>
        <w:szCs w:val="22"/>
      </w:rPr>
      <w:t>5</w:t>
    </w:r>
  </w:p>
  <w:p w:rsidR="00F420C3" w:rsidRPr="00F420C3" w:rsidRDefault="00F420C3" w:rsidP="00F420C3">
    <w:pPr>
      <w:spacing w:after="0"/>
      <w:jc w:val="right"/>
      <w:rPr>
        <w:rFonts w:ascii="Arial" w:hAnsi="Arial" w:cs="Arial"/>
        <w:b/>
        <w:szCs w:val="22"/>
      </w:rPr>
    </w:pPr>
    <w:r w:rsidRPr="00F420C3">
      <w:rPr>
        <w:rFonts w:ascii="Arial" w:hAnsi="Arial" w:cs="Arial"/>
        <w:b/>
        <w:szCs w:val="22"/>
      </w:rPr>
      <w:t xml:space="preserve">Paris, </w:t>
    </w:r>
    <w:r w:rsidR="005B0CFC">
      <w:rPr>
        <w:rFonts w:ascii="Arial" w:hAnsi="Arial" w:cs="Arial"/>
        <w:b/>
        <w:szCs w:val="22"/>
      </w:rPr>
      <w:t>31 October </w:t>
    </w:r>
    <w:r w:rsidRPr="00F420C3">
      <w:rPr>
        <w:rFonts w:ascii="Arial" w:hAnsi="Arial" w:cs="Arial"/>
        <w:b/>
        <w:szCs w:val="22"/>
      </w:rPr>
      <w:t>2016</w:t>
    </w:r>
  </w:p>
  <w:p w:rsidR="006B7E58" w:rsidRPr="00C868B6" w:rsidRDefault="00F420C3" w:rsidP="00031C00">
    <w:pPr>
      <w:spacing w:after="0"/>
      <w:jc w:val="right"/>
      <w:rPr>
        <w:rFonts w:ascii="Arial" w:eastAsia="Malgun Gothic" w:hAnsi="Arial" w:cs="Arial" w:hint="eastAsia"/>
        <w:b/>
        <w:szCs w:val="22"/>
        <w:lang w:eastAsia="ko-KR"/>
      </w:rPr>
    </w:pPr>
    <w:r w:rsidRPr="00F420C3">
      <w:rPr>
        <w:rFonts w:ascii="Arial" w:hAnsi="Arial" w:cs="Arial"/>
        <w:b/>
        <w:szCs w:val="22"/>
      </w:rPr>
      <w:t xml:space="preserve">Original: </w:t>
    </w:r>
    <w:r w:rsidR="00B70D1A">
      <w:rPr>
        <w:rFonts w:ascii="Arial" w:hAnsi="Arial" w:cs="Arial"/>
        <w:b/>
        <w:szCs w:val="22"/>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1AC23FD"/>
    <w:multiLevelType w:val="hybridMultilevel"/>
    <w:tmpl w:val="50705A4A"/>
    <w:lvl w:ilvl="0" w:tplc="0AAA5900">
      <w:start w:val="1"/>
      <w:numFmt w:val="decimal"/>
      <w:lvlText w:val="%1."/>
      <w:lvlJc w:val="left"/>
      <w:pPr>
        <w:tabs>
          <w:tab w:val="num" w:pos="363"/>
        </w:tabs>
        <w:ind w:left="363" w:hanging="360"/>
      </w:pPr>
      <w:rPr>
        <w:b w:val="0"/>
      </w:rPr>
    </w:lvl>
    <w:lvl w:ilvl="1" w:tplc="BB401AD4">
      <w:start w:val="1"/>
      <w:numFmt w:val="bullet"/>
      <w:lvlText w:val="-"/>
      <w:lvlJc w:val="left"/>
      <w:pPr>
        <w:tabs>
          <w:tab w:val="num" w:pos="1083"/>
        </w:tabs>
        <w:ind w:left="1083" w:hanging="360"/>
      </w:pPr>
      <w:rPr>
        <w:rFonts w:ascii="Arial" w:eastAsia="Times New Roman" w:hAnsi="Arial" w:cs="Arial" w:hint="default"/>
      </w:rPr>
    </w:lvl>
    <w:lvl w:ilvl="2" w:tplc="0CD4806C">
      <w:start w:val="1"/>
      <w:numFmt w:val="lowerLetter"/>
      <w:lvlText w:val="%3)"/>
      <w:lvlJc w:val="left"/>
      <w:pPr>
        <w:ind w:left="1983" w:hanging="360"/>
      </w:pPr>
      <w:rPr>
        <w:rFonts w:hint="default"/>
      </w:r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B24080"/>
    <w:multiLevelType w:val="hybridMultilevel"/>
    <w:tmpl w:val="51603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41BD40C5"/>
    <w:multiLevelType w:val="hybridMultilevel"/>
    <w:tmpl w:val="B9E64288"/>
    <w:lvl w:ilvl="0" w:tplc="08A29940">
      <w:start w:val="1"/>
      <w:numFmt w:val="lowerLetter"/>
      <w:lvlText w:val="%1)"/>
      <w:lvlJc w:val="left"/>
      <w:pPr>
        <w:ind w:left="720" w:hanging="360"/>
      </w:pPr>
      <w:rPr>
        <w:rFonts w:ascii="Arial" w:eastAsia="MS Mincho"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71665"/>
    <w:multiLevelType w:val="hybridMultilevel"/>
    <w:tmpl w:val="7340C63C"/>
    <w:lvl w:ilvl="0" w:tplc="D04ECF5C">
      <w:start w:val="1"/>
      <w:numFmt w:val="decimal"/>
      <w:pStyle w:val="ListParagraph"/>
      <w:lvlText w:val="%1."/>
      <w:lvlJc w:val="left"/>
      <w:pPr>
        <w:ind w:left="107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94573A"/>
    <w:multiLevelType w:val="hybridMultilevel"/>
    <w:tmpl w:val="7256B022"/>
    <w:lvl w:ilvl="0" w:tplc="A574CF68">
      <w:start w:val="1"/>
      <w:numFmt w:val="bullet"/>
      <w:pStyle w:val="Bullet1"/>
      <w:lvlText w:val=""/>
      <w:lvlJc w:val="left"/>
      <w:pPr>
        <w:ind w:left="720" w:hanging="360"/>
      </w:pPr>
      <w:rPr>
        <w:rFonts w:ascii="Symbol" w:hAnsi="Symbol" w:hint="default"/>
      </w:rPr>
    </w:lvl>
    <w:lvl w:ilvl="1" w:tplc="19845772">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234E91"/>
    <w:multiLevelType w:val="hybridMultilevel"/>
    <w:tmpl w:val="9260E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12"/>
  </w:num>
  <w:num w:numId="5">
    <w:abstractNumId w:val="11"/>
  </w:num>
  <w:num w:numId="6">
    <w:abstractNumId w:val="0"/>
  </w:num>
  <w:num w:numId="7">
    <w:abstractNumId w:val="3"/>
  </w:num>
  <w:num w:numId="8">
    <w:abstractNumId w:val="5"/>
  </w:num>
  <w:num w:numId="9">
    <w:abstractNumId w:val="8"/>
  </w:num>
  <w:num w:numId="10">
    <w:abstractNumId w:val="1"/>
  </w:num>
  <w:num w:numId="11">
    <w:abstractNumId w:val="7"/>
  </w:num>
  <w:num w:numId="12">
    <w:abstractNumId w:val="8"/>
  </w:num>
  <w:num w:numId="13">
    <w:abstractNumId w:val="8"/>
  </w:num>
  <w:num w:numId="14">
    <w:abstractNumId w:val="8"/>
  </w:num>
  <w:num w:numId="15">
    <w:abstractNumId w:val="8"/>
  </w:num>
  <w:num w:numId="16">
    <w:abstractNumId w:val="8"/>
  </w:num>
  <w:num w:numId="17">
    <w:abstractNumId w:val="9"/>
  </w:num>
  <w:num w:numId="18">
    <w:abstractNumId w:val="4"/>
  </w:num>
  <w:num w:numId="19">
    <w:abstractNumId w:val="8"/>
  </w:num>
  <w:num w:numId="20">
    <w:abstractNumId w:val="8"/>
  </w:num>
  <w:num w:numId="21">
    <w:abstractNumId w:val="8"/>
  </w:num>
  <w:num w:numId="22">
    <w:abstractNumId w:val="8"/>
  </w:num>
  <w:num w:numId="23">
    <w:abstractNumId w:val="8"/>
  </w:num>
  <w:num w:numId="24">
    <w:abstractNumId w:val="8"/>
    <w:lvlOverride w:ilvl="0">
      <w:startOverride w:val="1"/>
    </w:lvlOverride>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3"/>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hyphenationZone w:val="425"/>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96"/>
    <w:rsid w:val="000003ED"/>
    <w:rsid w:val="00000773"/>
    <w:rsid w:val="000016A4"/>
    <w:rsid w:val="000019DB"/>
    <w:rsid w:val="000047CC"/>
    <w:rsid w:val="00012043"/>
    <w:rsid w:val="000120FD"/>
    <w:rsid w:val="000162E0"/>
    <w:rsid w:val="0001754F"/>
    <w:rsid w:val="00021831"/>
    <w:rsid w:val="00031C00"/>
    <w:rsid w:val="00034661"/>
    <w:rsid w:val="000439C7"/>
    <w:rsid w:val="00047E58"/>
    <w:rsid w:val="000515CF"/>
    <w:rsid w:val="00051C59"/>
    <w:rsid w:val="00066857"/>
    <w:rsid w:val="000673E9"/>
    <w:rsid w:val="00073900"/>
    <w:rsid w:val="000739B5"/>
    <w:rsid w:val="00073D20"/>
    <w:rsid w:val="000755E1"/>
    <w:rsid w:val="00082B3E"/>
    <w:rsid w:val="00085541"/>
    <w:rsid w:val="0008635B"/>
    <w:rsid w:val="00087C28"/>
    <w:rsid w:val="000A2C3B"/>
    <w:rsid w:val="000A34CE"/>
    <w:rsid w:val="000B3FDA"/>
    <w:rsid w:val="000B52AF"/>
    <w:rsid w:val="000B5F6E"/>
    <w:rsid w:val="000C00C7"/>
    <w:rsid w:val="000C1661"/>
    <w:rsid w:val="000C16BE"/>
    <w:rsid w:val="000C65E4"/>
    <w:rsid w:val="000C7B89"/>
    <w:rsid w:val="000E26B1"/>
    <w:rsid w:val="000F18EA"/>
    <w:rsid w:val="00106B72"/>
    <w:rsid w:val="001160CD"/>
    <w:rsid w:val="0011750D"/>
    <w:rsid w:val="001178BA"/>
    <w:rsid w:val="00117946"/>
    <w:rsid w:val="00121510"/>
    <w:rsid w:val="00122D2B"/>
    <w:rsid w:val="00127E2E"/>
    <w:rsid w:val="001412DE"/>
    <w:rsid w:val="00144A4D"/>
    <w:rsid w:val="00147DFC"/>
    <w:rsid w:val="00151351"/>
    <w:rsid w:val="0015785C"/>
    <w:rsid w:val="00157CEB"/>
    <w:rsid w:val="00165E65"/>
    <w:rsid w:val="00174B39"/>
    <w:rsid w:val="001764B7"/>
    <w:rsid w:val="00184D6F"/>
    <w:rsid w:val="00193E58"/>
    <w:rsid w:val="0019657D"/>
    <w:rsid w:val="00196921"/>
    <w:rsid w:val="001A431C"/>
    <w:rsid w:val="001A72E3"/>
    <w:rsid w:val="001B2BB0"/>
    <w:rsid w:val="001B67EB"/>
    <w:rsid w:val="001B69F2"/>
    <w:rsid w:val="001C1B86"/>
    <w:rsid w:val="001C2773"/>
    <w:rsid w:val="001C311D"/>
    <w:rsid w:val="001C521C"/>
    <w:rsid w:val="001D00B5"/>
    <w:rsid w:val="001D3B29"/>
    <w:rsid w:val="001D66A3"/>
    <w:rsid w:val="001E4EEB"/>
    <w:rsid w:val="001F044D"/>
    <w:rsid w:val="001F37CA"/>
    <w:rsid w:val="002019ED"/>
    <w:rsid w:val="002022F6"/>
    <w:rsid w:val="00212A70"/>
    <w:rsid w:val="00223C42"/>
    <w:rsid w:val="002259FA"/>
    <w:rsid w:val="00227D89"/>
    <w:rsid w:val="002374DE"/>
    <w:rsid w:val="00240372"/>
    <w:rsid w:val="002449C3"/>
    <w:rsid w:val="00253C5F"/>
    <w:rsid w:val="00263CD2"/>
    <w:rsid w:val="0027198B"/>
    <w:rsid w:val="002724C6"/>
    <w:rsid w:val="00275927"/>
    <w:rsid w:val="00275D5C"/>
    <w:rsid w:val="00286C0C"/>
    <w:rsid w:val="00287032"/>
    <w:rsid w:val="00290D5F"/>
    <w:rsid w:val="002938F2"/>
    <w:rsid w:val="002A317D"/>
    <w:rsid w:val="002A3D64"/>
    <w:rsid w:val="002B50BC"/>
    <w:rsid w:val="002C46F2"/>
    <w:rsid w:val="002C5280"/>
    <w:rsid w:val="002C5DC5"/>
    <w:rsid w:val="002D3613"/>
    <w:rsid w:val="002D396D"/>
    <w:rsid w:val="002D673B"/>
    <w:rsid w:val="002E3266"/>
    <w:rsid w:val="002E4B5B"/>
    <w:rsid w:val="002E62EA"/>
    <w:rsid w:val="002F46B2"/>
    <w:rsid w:val="00300A22"/>
    <w:rsid w:val="0030153A"/>
    <w:rsid w:val="003065F4"/>
    <w:rsid w:val="00320FF9"/>
    <w:rsid w:val="00322A88"/>
    <w:rsid w:val="00323367"/>
    <w:rsid w:val="00336F06"/>
    <w:rsid w:val="003437FD"/>
    <w:rsid w:val="00343E68"/>
    <w:rsid w:val="003472E1"/>
    <w:rsid w:val="00356D9B"/>
    <w:rsid w:val="00361DBC"/>
    <w:rsid w:val="00363995"/>
    <w:rsid w:val="00363EAB"/>
    <w:rsid w:val="00367A4D"/>
    <w:rsid w:val="00377865"/>
    <w:rsid w:val="00380959"/>
    <w:rsid w:val="003854EF"/>
    <w:rsid w:val="003878DF"/>
    <w:rsid w:val="003918E9"/>
    <w:rsid w:val="0039446E"/>
    <w:rsid w:val="003C7065"/>
    <w:rsid w:val="003D20A6"/>
    <w:rsid w:val="003D3E76"/>
    <w:rsid w:val="003D56A5"/>
    <w:rsid w:val="003E07AD"/>
    <w:rsid w:val="003E2451"/>
    <w:rsid w:val="003F1686"/>
    <w:rsid w:val="0040156E"/>
    <w:rsid w:val="004059C2"/>
    <w:rsid w:val="004069A1"/>
    <w:rsid w:val="00407D92"/>
    <w:rsid w:val="004108B6"/>
    <w:rsid w:val="00421C3D"/>
    <w:rsid w:val="00421FE2"/>
    <w:rsid w:val="00426676"/>
    <w:rsid w:val="00427986"/>
    <w:rsid w:val="004300A7"/>
    <w:rsid w:val="00431C5E"/>
    <w:rsid w:val="00434773"/>
    <w:rsid w:val="004442CD"/>
    <w:rsid w:val="00447630"/>
    <w:rsid w:val="00453113"/>
    <w:rsid w:val="00453E39"/>
    <w:rsid w:val="004543FC"/>
    <w:rsid w:val="00456E5A"/>
    <w:rsid w:val="004649C3"/>
    <w:rsid w:val="00467D19"/>
    <w:rsid w:val="00471B34"/>
    <w:rsid w:val="00485E13"/>
    <w:rsid w:val="00487AF0"/>
    <w:rsid w:val="00494F9D"/>
    <w:rsid w:val="00496AAD"/>
    <w:rsid w:val="004A003B"/>
    <w:rsid w:val="004A2BBE"/>
    <w:rsid w:val="004A4CA0"/>
    <w:rsid w:val="004A5954"/>
    <w:rsid w:val="004A783C"/>
    <w:rsid w:val="004B2EBB"/>
    <w:rsid w:val="004B5B99"/>
    <w:rsid w:val="004C00BD"/>
    <w:rsid w:val="004C5E17"/>
    <w:rsid w:val="004D1E8B"/>
    <w:rsid w:val="004D37D7"/>
    <w:rsid w:val="004D4586"/>
    <w:rsid w:val="004E19E3"/>
    <w:rsid w:val="004F05D5"/>
    <w:rsid w:val="005004D8"/>
    <w:rsid w:val="005016FB"/>
    <w:rsid w:val="00503586"/>
    <w:rsid w:val="005035E7"/>
    <w:rsid w:val="00511D17"/>
    <w:rsid w:val="0051699F"/>
    <w:rsid w:val="00523FCA"/>
    <w:rsid w:val="00526C96"/>
    <w:rsid w:val="00527699"/>
    <w:rsid w:val="005351A5"/>
    <w:rsid w:val="00542F4A"/>
    <w:rsid w:val="00563F73"/>
    <w:rsid w:val="00565DFE"/>
    <w:rsid w:val="00566CAD"/>
    <w:rsid w:val="0057108D"/>
    <w:rsid w:val="0058132D"/>
    <w:rsid w:val="00586520"/>
    <w:rsid w:val="00587D0C"/>
    <w:rsid w:val="00593480"/>
    <w:rsid w:val="005A4FE3"/>
    <w:rsid w:val="005A5792"/>
    <w:rsid w:val="005A6B51"/>
    <w:rsid w:val="005A75FE"/>
    <w:rsid w:val="005B0CFC"/>
    <w:rsid w:val="005C0660"/>
    <w:rsid w:val="005C08C0"/>
    <w:rsid w:val="005C2382"/>
    <w:rsid w:val="005C7FD8"/>
    <w:rsid w:val="005D1E21"/>
    <w:rsid w:val="005E08C5"/>
    <w:rsid w:val="005E5275"/>
    <w:rsid w:val="005E715E"/>
    <w:rsid w:val="005E770E"/>
    <w:rsid w:val="005F4A48"/>
    <w:rsid w:val="006140EF"/>
    <w:rsid w:val="00616429"/>
    <w:rsid w:val="00623917"/>
    <w:rsid w:val="0063188F"/>
    <w:rsid w:val="00633B44"/>
    <w:rsid w:val="00634748"/>
    <w:rsid w:val="00635379"/>
    <w:rsid w:val="00640FC5"/>
    <w:rsid w:val="006506E3"/>
    <w:rsid w:val="006515C9"/>
    <w:rsid w:val="00652318"/>
    <w:rsid w:val="0065545A"/>
    <w:rsid w:val="00657CDC"/>
    <w:rsid w:val="006616BD"/>
    <w:rsid w:val="00662221"/>
    <w:rsid w:val="0067047E"/>
    <w:rsid w:val="00672062"/>
    <w:rsid w:val="00674C56"/>
    <w:rsid w:val="00675C18"/>
    <w:rsid w:val="00676781"/>
    <w:rsid w:val="00686FDE"/>
    <w:rsid w:val="00691F7A"/>
    <w:rsid w:val="00693226"/>
    <w:rsid w:val="0069722B"/>
    <w:rsid w:val="00697357"/>
    <w:rsid w:val="006B681A"/>
    <w:rsid w:val="006B7E58"/>
    <w:rsid w:val="006C1111"/>
    <w:rsid w:val="006C2302"/>
    <w:rsid w:val="006C5ACA"/>
    <w:rsid w:val="006C75AF"/>
    <w:rsid w:val="006E18D7"/>
    <w:rsid w:val="006E2078"/>
    <w:rsid w:val="006F4B28"/>
    <w:rsid w:val="00702EFE"/>
    <w:rsid w:val="0070543B"/>
    <w:rsid w:val="00720710"/>
    <w:rsid w:val="00727517"/>
    <w:rsid w:val="00732B17"/>
    <w:rsid w:val="0073587A"/>
    <w:rsid w:val="00736241"/>
    <w:rsid w:val="007421E2"/>
    <w:rsid w:val="00746204"/>
    <w:rsid w:val="00747715"/>
    <w:rsid w:val="00750138"/>
    <w:rsid w:val="00751C92"/>
    <w:rsid w:val="00753DA3"/>
    <w:rsid w:val="00754F02"/>
    <w:rsid w:val="00764F50"/>
    <w:rsid w:val="007819ED"/>
    <w:rsid w:val="00784149"/>
    <w:rsid w:val="00790C65"/>
    <w:rsid w:val="00791613"/>
    <w:rsid w:val="0079243B"/>
    <w:rsid w:val="007A7D45"/>
    <w:rsid w:val="007B1853"/>
    <w:rsid w:val="007B3F6F"/>
    <w:rsid w:val="007B6A5E"/>
    <w:rsid w:val="007C1B00"/>
    <w:rsid w:val="007C3D0C"/>
    <w:rsid w:val="007C7400"/>
    <w:rsid w:val="007D0988"/>
    <w:rsid w:val="007D31CE"/>
    <w:rsid w:val="007D5BB7"/>
    <w:rsid w:val="007D6FEA"/>
    <w:rsid w:val="007E0621"/>
    <w:rsid w:val="007E4DAE"/>
    <w:rsid w:val="007F171D"/>
    <w:rsid w:val="007F1BE3"/>
    <w:rsid w:val="007F360A"/>
    <w:rsid w:val="007F4B07"/>
    <w:rsid w:val="007F7483"/>
    <w:rsid w:val="008029F3"/>
    <w:rsid w:val="00806880"/>
    <w:rsid w:val="00806B17"/>
    <w:rsid w:val="008142AE"/>
    <w:rsid w:val="00832EA1"/>
    <w:rsid w:val="0083488D"/>
    <w:rsid w:val="00840FA0"/>
    <w:rsid w:val="008411AD"/>
    <w:rsid w:val="008466C3"/>
    <w:rsid w:val="00851458"/>
    <w:rsid w:val="00861A47"/>
    <w:rsid w:val="00862F21"/>
    <w:rsid w:val="008707FF"/>
    <w:rsid w:val="008724E5"/>
    <w:rsid w:val="008767B0"/>
    <w:rsid w:val="00881905"/>
    <w:rsid w:val="00885ED2"/>
    <w:rsid w:val="00893807"/>
    <w:rsid w:val="008C10FE"/>
    <w:rsid w:val="008C6BEA"/>
    <w:rsid w:val="008D364F"/>
    <w:rsid w:val="008D68D7"/>
    <w:rsid w:val="008E324E"/>
    <w:rsid w:val="008E4595"/>
    <w:rsid w:val="008F16C6"/>
    <w:rsid w:val="008F1A0A"/>
    <w:rsid w:val="008F2954"/>
    <w:rsid w:val="008F34A1"/>
    <w:rsid w:val="008F733B"/>
    <w:rsid w:val="008F7418"/>
    <w:rsid w:val="009001C6"/>
    <w:rsid w:val="00903F1B"/>
    <w:rsid w:val="009121CE"/>
    <w:rsid w:val="00914E97"/>
    <w:rsid w:val="00915010"/>
    <w:rsid w:val="00916940"/>
    <w:rsid w:val="009220D0"/>
    <w:rsid w:val="00933544"/>
    <w:rsid w:val="009351D0"/>
    <w:rsid w:val="00941F83"/>
    <w:rsid w:val="00943DDE"/>
    <w:rsid w:val="009442F0"/>
    <w:rsid w:val="00946FE2"/>
    <w:rsid w:val="00950E8A"/>
    <w:rsid w:val="009538D7"/>
    <w:rsid w:val="009676AA"/>
    <w:rsid w:val="00971848"/>
    <w:rsid w:val="00972164"/>
    <w:rsid w:val="0097349C"/>
    <w:rsid w:val="00974675"/>
    <w:rsid w:val="00976732"/>
    <w:rsid w:val="009775D2"/>
    <w:rsid w:val="00977C56"/>
    <w:rsid w:val="0098169B"/>
    <w:rsid w:val="00992706"/>
    <w:rsid w:val="009A4F68"/>
    <w:rsid w:val="009B0C6B"/>
    <w:rsid w:val="009B2655"/>
    <w:rsid w:val="009B48BA"/>
    <w:rsid w:val="009C2B33"/>
    <w:rsid w:val="009D5E38"/>
    <w:rsid w:val="009E5A71"/>
    <w:rsid w:val="009F3117"/>
    <w:rsid w:val="009F3988"/>
    <w:rsid w:val="00A009CA"/>
    <w:rsid w:val="00A02EB7"/>
    <w:rsid w:val="00A06A36"/>
    <w:rsid w:val="00A079DC"/>
    <w:rsid w:val="00A1010A"/>
    <w:rsid w:val="00A150C7"/>
    <w:rsid w:val="00A31D47"/>
    <w:rsid w:val="00A37296"/>
    <w:rsid w:val="00A43442"/>
    <w:rsid w:val="00A477E1"/>
    <w:rsid w:val="00A519A2"/>
    <w:rsid w:val="00A53D67"/>
    <w:rsid w:val="00A62B0F"/>
    <w:rsid w:val="00A64B40"/>
    <w:rsid w:val="00A6601C"/>
    <w:rsid w:val="00A6732A"/>
    <w:rsid w:val="00A70883"/>
    <w:rsid w:val="00A70C0F"/>
    <w:rsid w:val="00A77139"/>
    <w:rsid w:val="00A77AEB"/>
    <w:rsid w:val="00A81B23"/>
    <w:rsid w:val="00A839FF"/>
    <w:rsid w:val="00A962A0"/>
    <w:rsid w:val="00AA444A"/>
    <w:rsid w:val="00AA5EAA"/>
    <w:rsid w:val="00AB1528"/>
    <w:rsid w:val="00AB1F2A"/>
    <w:rsid w:val="00AB2E75"/>
    <w:rsid w:val="00AC1196"/>
    <w:rsid w:val="00AC2F38"/>
    <w:rsid w:val="00AC5B2A"/>
    <w:rsid w:val="00AE1B18"/>
    <w:rsid w:val="00AE1CB6"/>
    <w:rsid w:val="00AE4A70"/>
    <w:rsid w:val="00AE5198"/>
    <w:rsid w:val="00AF1C32"/>
    <w:rsid w:val="00B11AE3"/>
    <w:rsid w:val="00B13AE2"/>
    <w:rsid w:val="00B24C93"/>
    <w:rsid w:val="00B266C4"/>
    <w:rsid w:val="00B34DAC"/>
    <w:rsid w:val="00B4182F"/>
    <w:rsid w:val="00B53231"/>
    <w:rsid w:val="00B6167A"/>
    <w:rsid w:val="00B6186A"/>
    <w:rsid w:val="00B63FE2"/>
    <w:rsid w:val="00B706BE"/>
    <w:rsid w:val="00B70D1A"/>
    <w:rsid w:val="00B74EEE"/>
    <w:rsid w:val="00B84330"/>
    <w:rsid w:val="00B947AB"/>
    <w:rsid w:val="00B96FB2"/>
    <w:rsid w:val="00B97353"/>
    <w:rsid w:val="00B973B5"/>
    <w:rsid w:val="00BB2119"/>
    <w:rsid w:val="00BB5983"/>
    <w:rsid w:val="00BF0559"/>
    <w:rsid w:val="00BF114B"/>
    <w:rsid w:val="00BF683C"/>
    <w:rsid w:val="00C00E16"/>
    <w:rsid w:val="00C24895"/>
    <w:rsid w:val="00C25DBF"/>
    <w:rsid w:val="00C25F57"/>
    <w:rsid w:val="00C3434C"/>
    <w:rsid w:val="00C34F50"/>
    <w:rsid w:val="00C369CA"/>
    <w:rsid w:val="00C45135"/>
    <w:rsid w:val="00C548D1"/>
    <w:rsid w:val="00C60A85"/>
    <w:rsid w:val="00C630AC"/>
    <w:rsid w:val="00C6478B"/>
    <w:rsid w:val="00C7478C"/>
    <w:rsid w:val="00C868B6"/>
    <w:rsid w:val="00C87145"/>
    <w:rsid w:val="00C94DC5"/>
    <w:rsid w:val="00C96650"/>
    <w:rsid w:val="00C96DF8"/>
    <w:rsid w:val="00C97A4B"/>
    <w:rsid w:val="00CA0422"/>
    <w:rsid w:val="00CA4F7D"/>
    <w:rsid w:val="00CB0F37"/>
    <w:rsid w:val="00CB3DA6"/>
    <w:rsid w:val="00CC1FA6"/>
    <w:rsid w:val="00CC2BC6"/>
    <w:rsid w:val="00CE126A"/>
    <w:rsid w:val="00CE2586"/>
    <w:rsid w:val="00CE6DE2"/>
    <w:rsid w:val="00CF2039"/>
    <w:rsid w:val="00CF3A98"/>
    <w:rsid w:val="00CF76A4"/>
    <w:rsid w:val="00D06C23"/>
    <w:rsid w:val="00D17754"/>
    <w:rsid w:val="00D367FD"/>
    <w:rsid w:val="00D404B7"/>
    <w:rsid w:val="00D547A9"/>
    <w:rsid w:val="00D67575"/>
    <w:rsid w:val="00D7233B"/>
    <w:rsid w:val="00D809E5"/>
    <w:rsid w:val="00D81948"/>
    <w:rsid w:val="00D82096"/>
    <w:rsid w:val="00D84A54"/>
    <w:rsid w:val="00D91221"/>
    <w:rsid w:val="00D9126B"/>
    <w:rsid w:val="00D913CE"/>
    <w:rsid w:val="00D9501F"/>
    <w:rsid w:val="00D9641A"/>
    <w:rsid w:val="00DA1123"/>
    <w:rsid w:val="00DA53F5"/>
    <w:rsid w:val="00DB04C4"/>
    <w:rsid w:val="00DB0DD7"/>
    <w:rsid w:val="00DB50D5"/>
    <w:rsid w:val="00DB572F"/>
    <w:rsid w:val="00DB65A6"/>
    <w:rsid w:val="00DC572C"/>
    <w:rsid w:val="00DD001E"/>
    <w:rsid w:val="00DD50E8"/>
    <w:rsid w:val="00DD5360"/>
    <w:rsid w:val="00DD5B90"/>
    <w:rsid w:val="00DD7576"/>
    <w:rsid w:val="00DF3DA3"/>
    <w:rsid w:val="00E04687"/>
    <w:rsid w:val="00E06A00"/>
    <w:rsid w:val="00E07150"/>
    <w:rsid w:val="00E10817"/>
    <w:rsid w:val="00E16F28"/>
    <w:rsid w:val="00E16F6F"/>
    <w:rsid w:val="00E21E51"/>
    <w:rsid w:val="00E22B99"/>
    <w:rsid w:val="00E22F04"/>
    <w:rsid w:val="00E258D9"/>
    <w:rsid w:val="00E439CA"/>
    <w:rsid w:val="00E5219B"/>
    <w:rsid w:val="00E605C7"/>
    <w:rsid w:val="00E65735"/>
    <w:rsid w:val="00E85FCF"/>
    <w:rsid w:val="00E8636E"/>
    <w:rsid w:val="00E867EF"/>
    <w:rsid w:val="00EA198F"/>
    <w:rsid w:val="00EB3938"/>
    <w:rsid w:val="00EB3A0A"/>
    <w:rsid w:val="00EB74FD"/>
    <w:rsid w:val="00ED5E9D"/>
    <w:rsid w:val="00EE1372"/>
    <w:rsid w:val="00EE7026"/>
    <w:rsid w:val="00EF0BCB"/>
    <w:rsid w:val="00EF0E74"/>
    <w:rsid w:val="00EF609E"/>
    <w:rsid w:val="00F00E8A"/>
    <w:rsid w:val="00F31AD1"/>
    <w:rsid w:val="00F410D6"/>
    <w:rsid w:val="00F4192C"/>
    <w:rsid w:val="00F420C3"/>
    <w:rsid w:val="00F45494"/>
    <w:rsid w:val="00F5365A"/>
    <w:rsid w:val="00F63DDA"/>
    <w:rsid w:val="00F70858"/>
    <w:rsid w:val="00F7397F"/>
    <w:rsid w:val="00F73E25"/>
    <w:rsid w:val="00F75949"/>
    <w:rsid w:val="00F8650B"/>
    <w:rsid w:val="00F866B1"/>
    <w:rsid w:val="00F941F0"/>
    <w:rsid w:val="00F94FF9"/>
    <w:rsid w:val="00FA1A9F"/>
    <w:rsid w:val="00FB3D7A"/>
    <w:rsid w:val="00FD131E"/>
    <w:rsid w:val="00FD5516"/>
    <w:rsid w:val="00FD67B8"/>
    <w:rsid w:val="00FE5355"/>
    <w:rsid w:val="00FE5AC7"/>
    <w:rsid w:val="00FF2B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99"/>
    <w:pPr>
      <w:spacing w:after="120"/>
    </w:pPr>
    <w:rPr>
      <w:rFonts w:ascii="Times New Roman" w:eastAsia="Times New Roman" w:hAnsi="Times New Roman"/>
      <w:sz w:val="22"/>
      <w:szCs w:val="24"/>
      <w:lang w:val="en-GB" w:eastAsia="fr-FR"/>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4">
    <w:name w:val="heading 4"/>
    <w:aliases w:val="GA Heading"/>
    <w:basedOn w:val="Normal"/>
    <w:next w:val="Normal"/>
    <w:link w:val="Heading4Char"/>
    <w:qFormat/>
    <w:rsid w:val="00F66657"/>
    <w:pPr>
      <w:keepNext/>
      <w:keepLines/>
      <w:tabs>
        <w:tab w:val="left" w:pos="567"/>
      </w:tabs>
      <w:snapToGrid w:val="0"/>
      <w:spacing w:after="240"/>
      <w:outlineLvl w:val="3"/>
    </w:pPr>
    <w:rPr>
      <w:rFonts w:ascii="Arial" w:hAnsi="Arial"/>
      <w:b/>
      <w:bCs/>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spacing w:after="0"/>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spacing w:after="0"/>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pPr>
      <w:spacing w:after="0"/>
    </w:pPr>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styleId="CommentReference">
    <w:name w:val="annotation reference"/>
    <w:rsid w:val="00B11AE3"/>
    <w:rPr>
      <w:sz w:val="16"/>
      <w:szCs w:val="16"/>
    </w:rPr>
  </w:style>
  <w:style w:type="paragraph" w:styleId="CommentText">
    <w:name w:val="annotation text"/>
    <w:basedOn w:val="Normal"/>
    <w:link w:val="CommentTextChar"/>
    <w:rsid w:val="00B11AE3"/>
    <w:rPr>
      <w:sz w:val="20"/>
      <w:szCs w:val="20"/>
    </w:rPr>
  </w:style>
  <w:style w:type="character" w:customStyle="1" w:styleId="CommentTextChar">
    <w:name w:val="Comment Text Char"/>
    <w:link w:val="CommentText"/>
    <w:rsid w:val="00B11AE3"/>
    <w:rPr>
      <w:rFonts w:ascii="Times New Roman" w:eastAsia="Times New Roman" w:hAnsi="Times New Roman"/>
      <w:lang w:val="en-GB"/>
    </w:rPr>
  </w:style>
  <w:style w:type="paragraph" w:styleId="CommentSubject">
    <w:name w:val="annotation subject"/>
    <w:basedOn w:val="CommentText"/>
    <w:next w:val="CommentText"/>
    <w:link w:val="CommentSubjectChar"/>
    <w:rsid w:val="00B11AE3"/>
    <w:rPr>
      <w:b/>
      <w:bCs/>
    </w:rPr>
  </w:style>
  <w:style w:type="character" w:customStyle="1" w:styleId="CommentSubjectChar">
    <w:name w:val="Comment Subject Char"/>
    <w:link w:val="CommentSubject"/>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paragraph" w:styleId="NoSpacing">
    <w:name w:val="No Spacing"/>
    <w:link w:val="NoSpacingChar"/>
    <w:uiPriority w:val="1"/>
    <w:qFormat/>
    <w:rsid w:val="005A5792"/>
    <w:rPr>
      <w:rFonts w:ascii="Times New Roman" w:eastAsia="Times New Roman" w:hAnsi="Times New Roman"/>
      <w:sz w:val="24"/>
      <w:szCs w:val="24"/>
      <w:lang w:val="en-GB" w:eastAsia="en-GB"/>
    </w:rPr>
  </w:style>
  <w:style w:type="character" w:customStyle="1" w:styleId="NoSpacingChar">
    <w:name w:val="No Spacing Char"/>
    <w:link w:val="NoSpacing"/>
    <w:uiPriority w:val="1"/>
    <w:locked/>
    <w:rsid w:val="005A5792"/>
    <w:rPr>
      <w:rFonts w:ascii="Times New Roman" w:eastAsia="Times New Roman" w:hAnsi="Times New Roman"/>
      <w:sz w:val="24"/>
      <w:szCs w:val="24"/>
    </w:rPr>
  </w:style>
  <w:style w:type="paragraph" w:customStyle="1" w:styleId="Pranumrotrecommenc1">
    <w:name w:val="Pra numéroté recommencé à 1"/>
    <w:basedOn w:val="Normal"/>
    <w:rsid w:val="005A5792"/>
    <w:pPr>
      <w:tabs>
        <w:tab w:val="num" w:pos="360"/>
      </w:tabs>
      <w:spacing w:after="0"/>
      <w:ind w:left="360" w:hanging="360"/>
    </w:pPr>
    <w:rPr>
      <w:rFonts w:ascii="Arial" w:hAnsi="Arial"/>
      <w:sz w:val="24"/>
      <w:lang w:val="fr-FR"/>
    </w:rPr>
  </w:style>
  <w:style w:type="paragraph" w:styleId="FootnoteText">
    <w:name w:val="footnote text"/>
    <w:basedOn w:val="Normal"/>
    <w:link w:val="FootnoteTextChar"/>
    <w:uiPriority w:val="99"/>
    <w:unhideWhenUsed/>
    <w:rsid w:val="005A5792"/>
    <w:pPr>
      <w:spacing w:after="200" w:line="276" w:lineRule="auto"/>
    </w:pPr>
    <w:rPr>
      <w:rFonts w:ascii="Calibri" w:eastAsia="SimSun" w:hAnsi="Calibri"/>
      <w:sz w:val="20"/>
      <w:szCs w:val="20"/>
      <w:lang w:val="x-none" w:eastAsia="zh-CN"/>
    </w:rPr>
  </w:style>
  <w:style w:type="character" w:customStyle="1" w:styleId="FootnoteTextChar">
    <w:name w:val="Footnote Text Char"/>
    <w:link w:val="FootnoteText"/>
    <w:uiPriority w:val="99"/>
    <w:rsid w:val="005A5792"/>
    <w:rPr>
      <w:lang w:val="x-none" w:eastAsia="zh-CN"/>
    </w:rPr>
  </w:style>
  <w:style w:type="character" w:styleId="FootnoteReference">
    <w:name w:val="footnote reference"/>
    <w:uiPriority w:val="99"/>
    <w:unhideWhenUsed/>
    <w:rsid w:val="005A5792"/>
    <w:rPr>
      <w:vertAlign w:val="superscript"/>
    </w:rPr>
  </w:style>
  <w:style w:type="paragraph" w:styleId="ListParagraph">
    <w:name w:val="List Paragraph"/>
    <w:basedOn w:val="Marge"/>
    <w:qFormat/>
    <w:rsid w:val="00193E58"/>
    <w:pPr>
      <w:numPr>
        <w:numId w:val="9"/>
      </w:numPr>
      <w:spacing w:after="120"/>
    </w:pPr>
    <w:rPr>
      <w:rFonts w:cs="Arial"/>
      <w:szCs w:val="22"/>
    </w:rPr>
  </w:style>
  <w:style w:type="paragraph" w:customStyle="1" w:styleId="Default">
    <w:name w:val="Default"/>
    <w:uiPriority w:val="99"/>
    <w:rsid w:val="005A5792"/>
    <w:pPr>
      <w:autoSpaceDE w:val="0"/>
      <w:autoSpaceDN w:val="0"/>
      <w:adjustRightInd w:val="0"/>
    </w:pPr>
    <w:rPr>
      <w:rFonts w:ascii="Arial" w:hAnsi="Arial" w:cs="Arial"/>
      <w:color w:val="000000"/>
      <w:sz w:val="24"/>
      <w:szCs w:val="24"/>
      <w:lang w:val="en-US"/>
    </w:rPr>
  </w:style>
  <w:style w:type="paragraph" w:customStyle="1" w:styleId="Paragraph">
    <w:name w:val="Paragraph"/>
    <w:basedOn w:val="Default"/>
    <w:link w:val="ParagraphChar"/>
    <w:qFormat/>
    <w:rsid w:val="002B50BC"/>
    <w:pPr>
      <w:spacing w:after="240"/>
      <w:jc w:val="both"/>
    </w:pPr>
    <w:rPr>
      <w:bCs/>
      <w:sz w:val="22"/>
      <w:szCs w:val="22"/>
      <w:lang w:val="en-GB"/>
    </w:rPr>
  </w:style>
  <w:style w:type="character" w:customStyle="1" w:styleId="ParagraphChar">
    <w:name w:val="Paragraph Char"/>
    <w:link w:val="Paragraph"/>
    <w:rsid w:val="002B50BC"/>
    <w:rPr>
      <w:rFonts w:ascii="Arial" w:hAnsi="Arial" w:cs="Arial"/>
      <w:bCs/>
      <w:color w:val="000000"/>
      <w:sz w:val="22"/>
      <w:szCs w:val="22"/>
      <w:lang w:eastAsia="zh-CN"/>
    </w:rPr>
  </w:style>
  <w:style w:type="character" w:styleId="Hyperlink">
    <w:name w:val="Hyperlink"/>
    <w:unhideWhenUsed/>
    <w:rsid w:val="00691F7A"/>
    <w:rPr>
      <w:color w:val="0000FF"/>
      <w:u w:val="single"/>
    </w:rPr>
  </w:style>
  <w:style w:type="character" w:customStyle="1" w:styleId="hps">
    <w:name w:val="hps"/>
    <w:rsid w:val="00B706BE"/>
  </w:style>
  <w:style w:type="paragraph" w:styleId="Revision">
    <w:name w:val="Revision"/>
    <w:hidden/>
    <w:semiHidden/>
    <w:rsid w:val="00D9126B"/>
    <w:rPr>
      <w:rFonts w:ascii="Times New Roman" w:eastAsia="Times New Roman" w:hAnsi="Times New Roman"/>
      <w:sz w:val="22"/>
      <w:szCs w:val="24"/>
      <w:lang w:val="en-GB" w:eastAsia="fr-FR"/>
    </w:rPr>
  </w:style>
  <w:style w:type="character" w:styleId="FollowedHyperlink">
    <w:name w:val="FollowedHyperlink"/>
    <w:semiHidden/>
    <w:unhideWhenUsed/>
    <w:rsid w:val="00E65735"/>
    <w:rPr>
      <w:color w:val="800080"/>
      <w:u w:val="single"/>
    </w:rPr>
  </w:style>
  <w:style w:type="paragraph" w:customStyle="1" w:styleId="COMPara">
    <w:name w:val="COM Para"/>
    <w:qFormat/>
    <w:rsid w:val="003F1686"/>
    <w:pPr>
      <w:spacing w:after="120"/>
      <w:ind w:left="567" w:hanging="567"/>
    </w:pPr>
    <w:rPr>
      <w:rFonts w:ascii="Arial" w:eastAsia="Times New Roman" w:hAnsi="Arial" w:cs="Arial"/>
      <w:snapToGrid w:val="0"/>
      <w:sz w:val="22"/>
      <w:szCs w:val="22"/>
      <w:lang w:val="en-GB" w:eastAsia="en-US"/>
    </w:rPr>
  </w:style>
  <w:style w:type="paragraph" w:customStyle="1" w:styleId="Bullet1">
    <w:name w:val="Bullet_1"/>
    <w:basedOn w:val="Marge"/>
    <w:link w:val="Bullet1Char"/>
    <w:qFormat/>
    <w:rsid w:val="006C1111"/>
    <w:pPr>
      <w:numPr>
        <w:numId w:val="17"/>
      </w:numPr>
      <w:tabs>
        <w:tab w:val="clear" w:pos="567"/>
      </w:tabs>
      <w:spacing w:before="240" w:line="360" w:lineRule="auto"/>
    </w:pPr>
    <w:rPr>
      <w:rFonts w:eastAsia="SimSun" w:cs="Arial"/>
      <w:sz w:val="28"/>
      <w:szCs w:val="28"/>
      <w:lang w:eastAsia="zh-CN"/>
    </w:rPr>
  </w:style>
  <w:style w:type="paragraph" w:customStyle="1" w:styleId="Bullet2">
    <w:name w:val="Bullet_2"/>
    <w:basedOn w:val="Marge"/>
    <w:qFormat/>
    <w:rsid w:val="006C1111"/>
    <w:pPr>
      <w:numPr>
        <w:ilvl w:val="1"/>
        <w:numId w:val="17"/>
      </w:numPr>
      <w:tabs>
        <w:tab w:val="clear" w:pos="567"/>
      </w:tabs>
      <w:spacing w:before="240" w:line="360" w:lineRule="auto"/>
    </w:pPr>
    <w:rPr>
      <w:rFonts w:eastAsia="SimSun" w:cs="Arial"/>
      <w:sz w:val="28"/>
      <w:szCs w:val="28"/>
      <w:lang w:eastAsia="zh-CN"/>
    </w:rPr>
  </w:style>
  <w:style w:type="character" w:customStyle="1" w:styleId="Bullet1Char">
    <w:name w:val="Bullet_1 Char"/>
    <w:link w:val="Bullet1"/>
    <w:rsid w:val="006C1111"/>
    <w:rPr>
      <w:rFonts w:ascii="Arial" w:hAnsi="Arial" w:cs="Arial"/>
      <w:snapToGrid w:val="0"/>
      <w:sz w:val="28"/>
      <w:szCs w:val="28"/>
      <w:lang w:val="en-GB" w:eastAsia="zh-CN"/>
    </w:rPr>
  </w:style>
  <w:style w:type="paragraph" w:customStyle="1" w:styleId="ListParagraph1">
    <w:name w:val="List Paragraph1"/>
    <w:basedOn w:val="Normal"/>
    <w:qFormat/>
    <w:rsid w:val="008D68D7"/>
    <w:pPr>
      <w:tabs>
        <w:tab w:val="left" w:pos="567"/>
      </w:tabs>
      <w:snapToGrid w:val="0"/>
      <w:ind w:left="502" w:hanging="360"/>
      <w:jc w:val="both"/>
    </w:pPr>
    <w:rPr>
      <w:rFonts w:ascii="Arial" w:hAnsi="Arial" w:cs="Arial"/>
      <w:snapToGrid w:val="0"/>
      <w:szCs w:val="22"/>
      <w:lang w:eastAsia="en-US"/>
    </w:rPr>
  </w:style>
  <w:style w:type="character" w:customStyle="1" w:styleId="shorttext">
    <w:name w:val="short_text"/>
    <w:rsid w:val="00F5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519">
      <w:bodyDiv w:val="1"/>
      <w:marLeft w:val="0"/>
      <w:marRight w:val="0"/>
      <w:marTop w:val="0"/>
      <w:marBottom w:val="0"/>
      <w:divBdr>
        <w:top w:val="none" w:sz="0" w:space="0" w:color="auto"/>
        <w:left w:val="none" w:sz="0" w:space="0" w:color="auto"/>
        <w:bottom w:val="none" w:sz="0" w:space="0" w:color="auto"/>
        <w:right w:val="none" w:sz="0" w:space="0" w:color="auto"/>
      </w:divBdr>
    </w:div>
    <w:div w:id="105395299">
      <w:bodyDiv w:val="1"/>
      <w:marLeft w:val="0"/>
      <w:marRight w:val="0"/>
      <w:marTop w:val="0"/>
      <w:marBottom w:val="0"/>
      <w:divBdr>
        <w:top w:val="none" w:sz="0" w:space="0" w:color="auto"/>
        <w:left w:val="none" w:sz="0" w:space="0" w:color="auto"/>
        <w:bottom w:val="none" w:sz="0" w:space="0" w:color="auto"/>
        <w:right w:val="none" w:sz="0" w:space="0" w:color="auto"/>
      </w:divBdr>
    </w:div>
    <w:div w:id="126121206">
      <w:bodyDiv w:val="1"/>
      <w:marLeft w:val="0"/>
      <w:marRight w:val="0"/>
      <w:marTop w:val="0"/>
      <w:marBottom w:val="0"/>
      <w:divBdr>
        <w:top w:val="none" w:sz="0" w:space="0" w:color="auto"/>
        <w:left w:val="none" w:sz="0" w:space="0" w:color="auto"/>
        <w:bottom w:val="none" w:sz="0" w:space="0" w:color="auto"/>
        <w:right w:val="none" w:sz="0" w:space="0" w:color="auto"/>
      </w:divBdr>
    </w:div>
    <w:div w:id="158083010">
      <w:bodyDiv w:val="1"/>
      <w:marLeft w:val="0"/>
      <w:marRight w:val="0"/>
      <w:marTop w:val="0"/>
      <w:marBottom w:val="0"/>
      <w:divBdr>
        <w:top w:val="none" w:sz="0" w:space="0" w:color="auto"/>
        <w:left w:val="none" w:sz="0" w:space="0" w:color="auto"/>
        <w:bottom w:val="none" w:sz="0" w:space="0" w:color="auto"/>
        <w:right w:val="none" w:sz="0" w:space="0" w:color="auto"/>
      </w:divBdr>
    </w:div>
    <w:div w:id="159010195">
      <w:bodyDiv w:val="1"/>
      <w:marLeft w:val="0"/>
      <w:marRight w:val="0"/>
      <w:marTop w:val="0"/>
      <w:marBottom w:val="0"/>
      <w:divBdr>
        <w:top w:val="none" w:sz="0" w:space="0" w:color="auto"/>
        <w:left w:val="none" w:sz="0" w:space="0" w:color="auto"/>
        <w:bottom w:val="none" w:sz="0" w:space="0" w:color="auto"/>
        <w:right w:val="none" w:sz="0" w:space="0" w:color="auto"/>
      </w:divBdr>
    </w:div>
    <w:div w:id="166796059">
      <w:bodyDiv w:val="1"/>
      <w:marLeft w:val="0"/>
      <w:marRight w:val="0"/>
      <w:marTop w:val="0"/>
      <w:marBottom w:val="0"/>
      <w:divBdr>
        <w:top w:val="none" w:sz="0" w:space="0" w:color="auto"/>
        <w:left w:val="none" w:sz="0" w:space="0" w:color="auto"/>
        <w:bottom w:val="none" w:sz="0" w:space="0" w:color="auto"/>
        <w:right w:val="none" w:sz="0" w:space="0" w:color="auto"/>
      </w:divBdr>
    </w:div>
    <w:div w:id="195235589">
      <w:bodyDiv w:val="1"/>
      <w:marLeft w:val="0"/>
      <w:marRight w:val="0"/>
      <w:marTop w:val="0"/>
      <w:marBottom w:val="0"/>
      <w:divBdr>
        <w:top w:val="none" w:sz="0" w:space="0" w:color="auto"/>
        <w:left w:val="none" w:sz="0" w:space="0" w:color="auto"/>
        <w:bottom w:val="none" w:sz="0" w:space="0" w:color="auto"/>
        <w:right w:val="none" w:sz="0" w:space="0" w:color="auto"/>
      </w:divBdr>
    </w:div>
    <w:div w:id="195390996">
      <w:bodyDiv w:val="1"/>
      <w:marLeft w:val="0"/>
      <w:marRight w:val="0"/>
      <w:marTop w:val="0"/>
      <w:marBottom w:val="0"/>
      <w:divBdr>
        <w:top w:val="none" w:sz="0" w:space="0" w:color="auto"/>
        <w:left w:val="none" w:sz="0" w:space="0" w:color="auto"/>
        <w:bottom w:val="none" w:sz="0" w:space="0" w:color="auto"/>
        <w:right w:val="none" w:sz="0" w:space="0" w:color="auto"/>
      </w:divBdr>
    </w:div>
    <w:div w:id="206068308">
      <w:bodyDiv w:val="1"/>
      <w:marLeft w:val="0"/>
      <w:marRight w:val="0"/>
      <w:marTop w:val="0"/>
      <w:marBottom w:val="0"/>
      <w:divBdr>
        <w:top w:val="none" w:sz="0" w:space="0" w:color="auto"/>
        <w:left w:val="none" w:sz="0" w:space="0" w:color="auto"/>
        <w:bottom w:val="none" w:sz="0" w:space="0" w:color="auto"/>
        <w:right w:val="none" w:sz="0" w:space="0" w:color="auto"/>
      </w:divBdr>
    </w:div>
    <w:div w:id="258298058">
      <w:bodyDiv w:val="1"/>
      <w:marLeft w:val="0"/>
      <w:marRight w:val="0"/>
      <w:marTop w:val="0"/>
      <w:marBottom w:val="0"/>
      <w:divBdr>
        <w:top w:val="none" w:sz="0" w:space="0" w:color="auto"/>
        <w:left w:val="none" w:sz="0" w:space="0" w:color="auto"/>
        <w:bottom w:val="none" w:sz="0" w:space="0" w:color="auto"/>
        <w:right w:val="none" w:sz="0" w:space="0" w:color="auto"/>
      </w:divBdr>
    </w:div>
    <w:div w:id="283855306">
      <w:bodyDiv w:val="1"/>
      <w:marLeft w:val="0"/>
      <w:marRight w:val="0"/>
      <w:marTop w:val="0"/>
      <w:marBottom w:val="0"/>
      <w:divBdr>
        <w:top w:val="none" w:sz="0" w:space="0" w:color="auto"/>
        <w:left w:val="none" w:sz="0" w:space="0" w:color="auto"/>
        <w:bottom w:val="none" w:sz="0" w:space="0" w:color="auto"/>
        <w:right w:val="none" w:sz="0" w:space="0" w:color="auto"/>
      </w:divBdr>
    </w:div>
    <w:div w:id="343290604">
      <w:bodyDiv w:val="1"/>
      <w:marLeft w:val="0"/>
      <w:marRight w:val="0"/>
      <w:marTop w:val="0"/>
      <w:marBottom w:val="0"/>
      <w:divBdr>
        <w:top w:val="none" w:sz="0" w:space="0" w:color="auto"/>
        <w:left w:val="none" w:sz="0" w:space="0" w:color="auto"/>
        <w:bottom w:val="none" w:sz="0" w:space="0" w:color="auto"/>
        <w:right w:val="none" w:sz="0" w:space="0" w:color="auto"/>
      </w:divBdr>
    </w:div>
    <w:div w:id="411510610">
      <w:bodyDiv w:val="1"/>
      <w:marLeft w:val="0"/>
      <w:marRight w:val="0"/>
      <w:marTop w:val="0"/>
      <w:marBottom w:val="0"/>
      <w:divBdr>
        <w:top w:val="none" w:sz="0" w:space="0" w:color="auto"/>
        <w:left w:val="none" w:sz="0" w:space="0" w:color="auto"/>
        <w:bottom w:val="none" w:sz="0" w:space="0" w:color="auto"/>
        <w:right w:val="none" w:sz="0" w:space="0" w:color="auto"/>
      </w:divBdr>
    </w:div>
    <w:div w:id="418216632">
      <w:bodyDiv w:val="1"/>
      <w:marLeft w:val="0"/>
      <w:marRight w:val="0"/>
      <w:marTop w:val="0"/>
      <w:marBottom w:val="0"/>
      <w:divBdr>
        <w:top w:val="none" w:sz="0" w:space="0" w:color="auto"/>
        <w:left w:val="none" w:sz="0" w:space="0" w:color="auto"/>
        <w:bottom w:val="none" w:sz="0" w:space="0" w:color="auto"/>
        <w:right w:val="none" w:sz="0" w:space="0" w:color="auto"/>
      </w:divBdr>
    </w:div>
    <w:div w:id="419451714">
      <w:bodyDiv w:val="1"/>
      <w:marLeft w:val="0"/>
      <w:marRight w:val="0"/>
      <w:marTop w:val="0"/>
      <w:marBottom w:val="0"/>
      <w:divBdr>
        <w:top w:val="none" w:sz="0" w:space="0" w:color="auto"/>
        <w:left w:val="none" w:sz="0" w:space="0" w:color="auto"/>
        <w:bottom w:val="none" w:sz="0" w:space="0" w:color="auto"/>
        <w:right w:val="none" w:sz="0" w:space="0" w:color="auto"/>
      </w:divBdr>
    </w:div>
    <w:div w:id="433670119">
      <w:bodyDiv w:val="1"/>
      <w:marLeft w:val="0"/>
      <w:marRight w:val="0"/>
      <w:marTop w:val="0"/>
      <w:marBottom w:val="0"/>
      <w:divBdr>
        <w:top w:val="none" w:sz="0" w:space="0" w:color="auto"/>
        <w:left w:val="none" w:sz="0" w:space="0" w:color="auto"/>
        <w:bottom w:val="none" w:sz="0" w:space="0" w:color="auto"/>
        <w:right w:val="none" w:sz="0" w:space="0" w:color="auto"/>
      </w:divBdr>
    </w:div>
    <w:div w:id="456413966">
      <w:bodyDiv w:val="1"/>
      <w:marLeft w:val="0"/>
      <w:marRight w:val="0"/>
      <w:marTop w:val="0"/>
      <w:marBottom w:val="0"/>
      <w:divBdr>
        <w:top w:val="none" w:sz="0" w:space="0" w:color="auto"/>
        <w:left w:val="none" w:sz="0" w:space="0" w:color="auto"/>
        <w:bottom w:val="none" w:sz="0" w:space="0" w:color="auto"/>
        <w:right w:val="none" w:sz="0" w:space="0" w:color="auto"/>
      </w:divBdr>
    </w:div>
    <w:div w:id="470247564">
      <w:bodyDiv w:val="1"/>
      <w:marLeft w:val="0"/>
      <w:marRight w:val="0"/>
      <w:marTop w:val="0"/>
      <w:marBottom w:val="0"/>
      <w:divBdr>
        <w:top w:val="none" w:sz="0" w:space="0" w:color="auto"/>
        <w:left w:val="none" w:sz="0" w:space="0" w:color="auto"/>
        <w:bottom w:val="none" w:sz="0" w:space="0" w:color="auto"/>
        <w:right w:val="none" w:sz="0" w:space="0" w:color="auto"/>
      </w:divBdr>
    </w:div>
    <w:div w:id="501892409">
      <w:bodyDiv w:val="1"/>
      <w:marLeft w:val="0"/>
      <w:marRight w:val="0"/>
      <w:marTop w:val="0"/>
      <w:marBottom w:val="0"/>
      <w:divBdr>
        <w:top w:val="none" w:sz="0" w:space="0" w:color="auto"/>
        <w:left w:val="none" w:sz="0" w:space="0" w:color="auto"/>
        <w:bottom w:val="none" w:sz="0" w:space="0" w:color="auto"/>
        <w:right w:val="none" w:sz="0" w:space="0" w:color="auto"/>
      </w:divBdr>
    </w:div>
    <w:div w:id="521669247">
      <w:bodyDiv w:val="1"/>
      <w:marLeft w:val="0"/>
      <w:marRight w:val="0"/>
      <w:marTop w:val="0"/>
      <w:marBottom w:val="0"/>
      <w:divBdr>
        <w:top w:val="none" w:sz="0" w:space="0" w:color="auto"/>
        <w:left w:val="none" w:sz="0" w:space="0" w:color="auto"/>
        <w:bottom w:val="none" w:sz="0" w:space="0" w:color="auto"/>
        <w:right w:val="none" w:sz="0" w:space="0" w:color="auto"/>
      </w:divBdr>
    </w:div>
    <w:div w:id="523635506">
      <w:bodyDiv w:val="1"/>
      <w:marLeft w:val="0"/>
      <w:marRight w:val="0"/>
      <w:marTop w:val="0"/>
      <w:marBottom w:val="0"/>
      <w:divBdr>
        <w:top w:val="none" w:sz="0" w:space="0" w:color="auto"/>
        <w:left w:val="none" w:sz="0" w:space="0" w:color="auto"/>
        <w:bottom w:val="none" w:sz="0" w:space="0" w:color="auto"/>
        <w:right w:val="none" w:sz="0" w:space="0" w:color="auto"/>
      </w:divBdr>
    </w:div>
    <w:div w:id="537663245">
      <w:bodyDiv w:val="1"/>
      <w:marLeft w:val="0"/>
      <w:marRight w:val="0"/>
      <w:marTop w:val="0"/>
      <w:marBottom w:val="0"/>
      <w:divBdr>
        <w:top w:val="none" w:sz="0" w:space="0" w:color="auto"/>
        <w:left w:val="none" w:sz="0" w:space="0" w:color="auto"/>
        <w:bottom w:val="none" w:sz="0" w:space="0" w:color="auto"/>
        <w:right w:val="none" w:sz="0" w:space="0" w:color="auto"/>
      </w:divBdr>
    </w:div>
    <w:div w:id="545721628">
      <w:bodyDiv w:val="1"/>
      <w:marLeft w:val="0"/>
      <w:marRight w:val="0"/>
      <w:marTop w:val="0"/>
      <w:marBottom w:val="0"/>
      <w:divBdr>
        <w:top w:val="none" w:sz="0" w:space="0" w:color="auto"/>
        <w:left w:val="none" w:sz="0" w:space="0" w:color="auto"/>
        <w:bottom w:val="none" w:sz="0" w:space="0" w:color="auto"/>
        <w:right w:val="none" w:sz="0" w:space="0" w:color="auto"/>
      </w:divBdr>
    </w:div>
    <w:div w:id="553548345">
      <w:bodyDiv w:val="1"/>
      <w:marLeft w:val="0"/>
      <w:marRight w:val="0"/>
      <w:marTop w:val="0"/>
      <w:marBottom w:val="0"/>
      <w:divBdr>
        <w:top w:val="none" w:sz="0" w:space="0" w:color="auto"/>
        <w:left w:val="none" w:sz="0" w:space="0" w:color="auto"/>
        <w:bottom w:val="none" w:sz="0" w:space="0" w:color="auto"/>
        <w:right w:val="none" w:sz="0" w:space="0" w:color="auto"/>
      </w:divBdr>
    </w:div>
    <w:div w:id="582031832">
      <w:bodyDiv w:val="1"/>
      <w:marLeft w:val="0"/>
      <w:marRight w:val="0"/>
      <w:marTop w:val="0"/>
      <w:marBottom w:val="0"/>
      <w:divBdr>
        <w:top w:val="none" w:sz="0" w:space="0" w:color="auto"/>
        <w:left w:val="none" w:sz="0" w:space="0" w:color="auto"/>
        <w:bottom w:val="none" w:sz="0" w:space="0" w:color="auto"/>
        <w:right w:val="none" w:sz="0" w:space="0" w:color="auto"/>
      </w:divBdr>
    </w:div>
    <w:div w:id="587885152">
      <w:bodyDiv w:val="1"/>
      <w:marLeft w:val="0"/>
      <w:marRight w:val="0"/>
      <w:marTop w:val="0"/>
      <w:marBottom w:val="0"/>
      <w:divBdr>
        <w:top w:val="none" w:sz="0" w:space="0" w:color="auto"/>
        <w:left w:val="none" w:sz="0" w:space="0" w:color="auto"/>
        <w:bottom w:val="none" w:sz="0" w:space="0" w:color="auto"/>
        <w:right w:val="none" w:sz="0" w:space="0" w:color="auto"/>
      </w:divBdr>
    </w:div>
    <w:div w:id="663630323">
      <w:bodyDiv w:val="1"/>
      <w:marLeft w:val="0"/>
      <w:marRight w:val="0"/>
      <w:marTop w:val="0"/>
      <w:marBottom w:val="0"/>
      <w:divBdr>
        <w:top w:val="none" w:sz="0" w:space="0" w:color="auto"/>
        <w:left w:val="none" w:sz="0" w:space="0" w:color="auto"/>
        <w:bottom w:val="none" w:sz="0" w:space="0" w:color="auto"/>
        <w:right w:val="none" w:sz="0" w:space="0" w:color="auto"/>
      </w:divBdr>
    </w:div>
    <w:div w:id="668752319">
      <w:bodyDiv w:val="1"/>
      <w:marLeft w:val="0"/>
      <w:marRight w:val="0"/>
      <w:marTop w:val="0"/>
      <w:marBottom w:val="0"/>
      <w:divBdr>
        <w:top w:val="none" w:sz="0" w:space="0" w:color="auto"/>
        <w:left w:val="none" w:sz="0" w:space="0" w:color="auto"/>
        <w:bottom w:val="none" w:sz="0" w:space="0" w:color="auto"/>
        <w:right w:val="none" w:sz="0" w:space="0" w:color="auto"/>
      </w:divBdr>
    </w:div>
    <w:div w:id="733700885">
      <w:bodyDiv w:val="1"/>
      <w:marLeft w:val="0"/>
      <w:marRight w:val="0"/>
      <w:marTop w:val="0"/>
      <w:marBottom w:val="0"/>
      <w:divBdr>
        <w:top w:val="none" w:sz="0" w:space="0" w:color="auto"/>
        <w:left w:val="none" w:sz="0" w:space="0" w:color="auto"/>
        <w:bottom w:val="none" w:sz="0" w:space="0" w:color="auto"/>
        <w:right w:val="none" w:sz="0" w:space="0" w:color="auto"/>
      </w:divBdr>
    </w:div>
    <w:div w:id="735782139">
      <w:bodyDiv w:val="1"/>
      <w:marLeft w:val="0"/>
      <w:marRight w:val="0"/>
      <w:marTop w:val="0"/>
      <w:marBottom w:val="0"/>
      <w:divBdr>
        <w:top w:val="none" w:sz="0" w:space="0" w:color="auto"/>
        <w:left w:val="none" w:sz="0" w:space="0" w:color="auto"/>
        <w:bottom w:val="none" w:sz="0" w:space="0" w:color="auto"/>
        <w:right w:val="none" w:sz="0" w:space="0" w:color="auto"/>
      </w:divBdr>
    </w:div>
    <w:div w:id="764230810">
      <w:bodyDiv w:val="1"/>
      <w:marLeft w:val="0"/>
      <w:marRight w:val="0"/>
      <w:marTop w:val="0"/>
      <w:marBottom w:val="0"/>
      <w:divBdr>
        <w:top w:val="none" w:sz="0" w:space="0" w:color="auto"/>
        <w:left w:val="none" w:sz="0" w:space="0" w:color="auto"/>
        <w:bottom w:val="none" w:sz="0" w:space="0" w:color="auto"/>
        <w:right w:val="none" w:sz="0" w:space="0" w:color="auto"/>
      </w:divBdr>
    </w:div>
    <w:div w:id="781845617">
      <w:bodyDiv w:val="1"/>
      <w:marLeft w:val="0"/>
      <w:marRight w:val="0"/>
      <w:marTop w:val="0"/>
      <w:marBottom w:val="0"/>
      <w:divBdr>
        <w:top w:val="none" w:sz="0" w:space="0" w:color="auto"/>
        <w:left w:val="none" w:sz="0" w:space="0" w:color="auto"/>
        <w:bottom w:val="none" w:sz="0" w:space="0" w:color="auto"/>
        <w:right w:val="none" w:sz="0" w:space="0" w:color="auto"/>
      </w:divBdr>
    </w:div>
    <w:div w:id="819542929">
      <w:bodyDiv w:val="1"/>
      <w:marLeft w:val="0"/>
      <w:marRight w:val="0"/>
      <w:marTop w:val="0"/>
      <w:marBottom w:val="0"/>
      <w:divBdr>
        <w:top w:val="none" w:sz="0" w:space="0" w:color="auto"/>
        <w:left w:val="none" w:sz="0" w:space="0" w:color="auto"/>
        <w:bottom w:val="none" w:sz="0" w:space="0" w:color="auto"/>
        <w:right w:val="none" w:sz="0" w:space="0" w:color="auto"/>
      </w:divBdr>
    </w:div>
    <w:div w:id="876552330">
      <w:bodyDiv w:val="1"/>
      <w:marLeft w:val="0"/>
      <w:marRight w:val="0"/>
      <w:marTop w:val="0"/>
      <w:marBottom w:val="0"/>
      <w:divBdr>
        <w:top w:val="none" w:sz="0" w:space="0" w:color="auto"/>
        <w:left w:val="none" w:sz="0" w:space="0" w:color="auto"/>
        <w:bottom w:val="none" w:sz="0" w:space="0" w:color="auto"/>
        <w:right w:val="none" w:sz="0" w:space="0" w:color="auto"/>
      </w:divBdr>
    </w:div>
    <w:div w:id="890118257">
      <w:bodyDiv w:val="1"/>
      <w:marLeft w:val="0"/>
      <w:marRight w:val="0"/>
      <w:marTop w:val="0"/>
      <w:marBottom w:val="0"/>
      <w:divBdr>
        <w:top w:val="none" w:sz="0" w:space="0" w:color="auto"/>
        <w:left w:val="none" w:sz="0" w:space="0" w:color="auto"/>
        <w:bottom w:val="none" w:sz="0" w:space="0" w:color="auto"/>
        <w:right w:val="none" w:sz="0" w:space="0" w:color="auto"/>
      </w:divBdr>
    </w:div>
    <w:div w:id="922957602">
      <w:bodyDiv w:val="1"/>
      <w:marLeft w:val="0"/>
      <w:marRight w:val="0"/>
      <w:marTop w:val="0"/>
      <w:marBottom w:val="0"/>
      <w:divBdr>
        <w:top w:val="none" w:sz="0" w:space="0" w:color="auto"/>
        <w:left w:val="none" w:sz="0" w:space="0" w:color="auto"/>
        <w:bottom w:val="none" w:sz="0" w:space="0" w:color="auto"/>
        <w:right w:val="none" w:sz="0" w:space="0" w:color="auto"/>
      </w:divBdr>
    </w:div>
    <w:div w:id="1018779672">
      <w:bodyDiv w:val="1"/>
      <w:marLeft w:val="0"/>
      <w:marRight w:val="0"/>
      <w:marTop w:val="0"/>
      <w:marBottom w:val="0"/>
      <w:divBdr>
        <w:top w:val="none" w:sz="0" w:space="0" w:color="auto"/>
        <w:left w:val="none" w:sz="0" w:space="0" w:color="auto"/>
        <w:bottom w:val="none" w:sz="0" w:space="0" w:color="auto"/>
        <w:right w:val="none" w:sz="0" w:space="0" w:color="auto"/>
      </w:divBdr>
    </w:div>
    <w:div w:id="1061750762">
      <w:bodyDiv w:val="1"/>
      <w:marLeft w:val="0"/>
      <w:marRight w:val="0"/>
      <w:marTop w:val="0"/>
      <w:marBottom w:val="0"/>
      <w:divBdr>
        <w:top w:val="none" w:sz="0" w:space="0" w:color="auto"/>
        <w:left w:val="none" w:sz="0" w:space="0" w:color="auto"/>
        <w:bottom w:val="none" w:sz="0" w:space="0" w:color="auto"/>
        <w:right w:val="none" w:sz="0" w:space="0" w:color="auto"/>
      </w:divBdr>
    </w:div>
    <w:div w:id="1066420322">
      <w:bodyDiv w:val="1"/>
      <w:marLeft w:val="0"/>
      <w:marRight w:val="0"/>
      <w:marTop w:val="0"/>
      <w:marBottom w:val="0"/>
      <w:divBdr>
        <w:top w:val="none" w:sz="0" w:space="0" w:color="auto"/>
        <w:left w:val="none" w:sz="0" w:space="0" w:color="auto"/>
        <w:bottom w:val="none" w:sz="0" w:space="0" w:color="auto"/>
        <w:right w:val="none" w:sz="0" w:space="0" w:color="auto"/>
      </w:divBdr>
    </w:div>
    <w:div w:id="1081097705">
      <w:bodyDiv w:val="1"/>
      <w:marLeft w:val="0"/>
      <w:marRight w:val="0"/>
      <w:marTop w:val="0"/>
      <w:marBottom w:val="0"/>
      <w:divBdr>
        <w:top w:val="none" w:sz="0" w:space="0" w:color="auto"/>
        <w:left w:val="none" w:sz="0" w:space="0" w:color="auto"/>
        <w:bottom w:val="none" w:sz="0" w:space="0" w:color="auto"/>
        <w:right w:val="none" w:sz="0" w:space="0" w:color="auto"/>
      </w:divBdr>
    </w:div>
    <w:div w:id="1085688393">
      <w:bodyDiv w:val="1"/>
      <w:marLeft w:val="0"/>
      <w:marRight w:val="0"/>
      <w:marTop w:val="0"/>
      <w:marBottom w:val="0"/>
      <w:divBdr>
        <w:top w:val="none" w:sz="0" w:space="0" w:color="auto"/>
        <w:left w:val="none" w:sz="0" w:space="0" w:color="auto"/>
        <w:bottom w:val="none" w:sz="0" w:space="0" w:color="auto"/>
        <w:right w:val="none" w:sz="0" w:space="0" w:color="auto"/>
      </w:divBdr>
    </w:div>
    <w:div w:id="1093546567">
      <w:bodyDiv w:val="1"/>
      <w:marLeft w:val="0"/>
      <w:marRight w:val="0"/>
      <w:marTop w:val="0"/>
      <w:marBottom w:val="0"/>
      <w:divBdr>
        <w:top w:val="none" w:sz="0" w:space="0" w:color="auto"/>
        <w:left w:val="none" w:sz="0" w:space="0" w:color="auto"/>
        <w:bottom w:val="none" w:sz="0" w:space="0" w:color="auto"/>
        <w:right w:val="none" w:sz="0" w:space="0" w:color="auto"/>
      </w:divBdr>
    </w:div>
    <w:div w:id="1177578974">
      <w:bodyDiv w:val="1"/>
      <w:marLeft w:val="0"/>
      <w:marRight w:val="0"/>
      <w:marTop w:val="0"/>
      <w:marBottom w:val="0"/>
      <w:divBdr>
        <w:top w:val="none" w:sz="0" w:space="0" w:color="auto"/>
        <w:left w:val="none" w:sz="0" w:space="0" w:color="auto"/>
        <w:bottom w:val="none" w:sz="0" w:space="0" w:color="auto"/>
        <w:right w:val="none" w:sz="0" w:space="0" w:color="auto"/>
      </w:divBdr>
    </w:div>
    <w:div w:id="1242370455">
      <w:bodyDiv w:val="1"/>
      <w:marLeft w:val="0"/>
      <w:marRight w:val="0"/>
      <w:marTop w:val="0"/>
      <w:marBottom w:val="0"/>
      <w:divBdr>
        <w:top w:val="none" w:sz="0" w:space="0" w:color="auto"/>
        <w:left w:val="none" w:sz="0" w:space="0" w:color="auto"/>
        <w:bottom w:val="none" w:sz="0" w:space="0" w:color="auto"/>
        <w:right w:val="none" w:sz="0" w:space="0" w:color="auto"/>
      </w:divBdr>
    </w:div>
    <w:div w:id="1254507200">
      <w:bodyDiv w:val="1"/>
      <w:marLeft w:val="0"/>
      <w:marRight w:val="0"/>
      <w:marTop w:val="0"/>
      <w:marBottom w:val="0"/>
      <w:divBdr>
        <w:top w:val="none" w:sz="0" w:space="0" w:color="auto"/>
        <w:left w:val="none" w:sz="0" w:space="0" w:color="auto"/>
        <w:bottom w:val="none" w:sz="0" w:space="0" w:color="auto"/>
        <w:right w:val="none" w:sz="0" w:space="0" w:color="auto"/>
      </w:divBdr>
    </w:div>
    <w:div w:id="1256741149">
      <w:bodyDiv w:val="1"/>
      <w:marLeft w:val="0"/>
      <w:marRight w:val="0"/>
      <w:marTop w:val="0"/>
      <w:marBottom w:val="0"/>
      <w:divBdr>
        <w:top w:val="none" w:sz="0" w:space="0" w:color="auto"/>
        <w:left w:val="none" w:sz="0" w:space="0" w:color="auto"/>
        <w:bottom w:val="none" w:sz="0" w:space="0" w:color="auto"/>
        <w:right w:val="none" w:sz="0" w:space="0" w:color="auto"/>
      </w:divBdr>
    </w:div>
    <w:div w:id="1277131643">
      <w:bodyDiv w:val="1"/>
      <w:marLeft w:val="0"/>
      <w:marRight w:val="0"/>
      <w:marTop w:val="0"/>
      <w:marBottom w:val="0"/>
      <w:divBdr>
        <w:top w:val="none" w:sz="0" w:space="0" w:color="auto"/>
        <w:left w:val="none" w:sz="0" w:space="0" w:color="auto"/>
        <w:bottom w:val="none" w:sz="0" w:space="0" w:color="auto"/>
        <w:right w:val="none" w:sz="0" w:space="0" w:color="auto"/>
      </w:divBdr>
    </w:div>
    <w:div w:id="1280719515">
      <w:bodyDiv w:val="1"/>
      <w:marLeft w:val="0"/>
      <w:marRight w:val="0"/>
      <w:marTop w:val="0"/>
      <w:marBottom w:val="0"/>
      <w:divBdr>
        <w:top w:val="none" w:sz="0" w:space="0" w:color="auto"/>
        <w:left w:val="none" w:sz="0" w:space="0" w:color="auto"/>
        <w:bottom w:val="none" w:sz="0" w:space="0" w:color="auto"/>
        <w:right w:val="none" w:sz="0" w:space="0" w:color="auto"/>
      </w:divBdr>
    </w:div>
    <w:div w:id="1315060613">
      <w:bodyDiv w:val="1"/>
      <w:marLeft w:val="0"/>
      <w:marRight w:val="0"/>
      <w:marTop w:val="0"/>
      <w:marBottom w:val="0"/>
      <w:divBdr>
        <w:top w:val="none" w:sz="0" w:space="0" w:color="auto"/>
        <w:left w:val="none" w:sz="0" w:space="0" w:color="auto"/>
        <w:bottom w:val="none" w:sz="0" w:space="0" w:color="auto"/>
        <w:right w:val="none" w:sz="0" w:space="0" w:color="auto"/>
      </w:divBdr>
    </w:div>
    <w:div w:id="1325818481">
      <w:bodyDiv w:val="1"/>
      <w:marLeft w:val="0"/>
      <w:marRight w:val="0"/>
      <w:marTop w:val="0"/>
      <w:marBottom w:val="0"/>
      <w:divBdr>
        <w:top w:val="none" w:sz="0" w:space="0" w:color="auto"/>
        <w:left w:val="none" w:sz="0" w:space="0" w:color="auto"/>
        <w:bottom w:val="none" w:sz="0" w:space="0" w:color="auto"/>
        <w:right w:val="none" w:sz="0" w:space="0" w:color="auto"/>
      </w:divBdr>
    </w:div>
    <w:div w:id="1335256134">
      <w:bodyDiv w:val="1"/>
      <w:marLeft w:val="0"/>
      <w:marRight w:val="0"/>
      <w:marTop w:val="0"/>
      <w:marBottom w:val="0"/>
      <w:divBdr>
        <w:top w:val="none" w:sz="0" w:space="0" w:color="auto"/>
        <w:left w:val="none" w:sz="0" w:space="0" w:color="auto"/>
        <w:bottom w:val="none" w:sz="0" w:space="0" w:color="auto"/>
        <w:right w:val="none" w:sz="0" w:space="0" w:color="auto"/>
      </w:divBdr>
    </w:div>
    <w:div w:id="1396707121">
      <w:bodyDiv w:val="1"/>
      <w:marLeft w:val="0"/>
      <w:marRight w:val="0"/>
      <w:marTop w:val="0"/>
      <w:marBottom w:val="0"/>
      <w:divBdr>
        <w:top w:val="none" w:sz="0" w:space="0" w:color="auto"/>
        <w:left w:val="none" w:sz="0" w:space="0" w:color="auto"/>
        <w:bottom w:val="none" w:sz="0" w:space="0" w:color="auto"/>
        <w:right w:val="none" w:sz="0" w:space="0" w:color="auto"/>
      </w:divBdr>
    </w:div>
    <w:div w:id="1425027888">
      <w:bodyDiv w:val="1"/>
      <w:marLeft w:val="0"/>
      <w:marRight w:val="0"/>
      <w:marTop w:val="0"/>
      <w:marBottom w:val="0"/>
      <w:divBdr>
        <w:top w:val="none" w:sz="0" w:space="0" w:color="auto"/>
        <w:left w:val="none" w:sz="0" w:space="0" w:color="auto"/>
        <w:bottom w:val="none" w:sz="0" w:space="0" w:color="auto"/>
        <w:right w:val="none" w:sz="0" w:space="0" w:color="auto"/>
      </w:divBdr>
    </w:div>
    <w:div w:id="1443185207">
      <w:bodyDiv w:val="1"/>
      <w:marLeft w:val="0"/>
      <w:marRight w:val="0"/>
      <w:marTop w:val="0"/>
      <w:marBottom w:val="0"/>
      <w:divBdr>
        <w:top w:val="none" w:sz="0" w:space="0" w:color="auto"/>
        <w:left w:val="none" w:sz="0" w:space="0" w:color="auto"/>
        <w:bottom w:val="none" w:sz="0" w:space="0" w:color="auto"/>
        <w:right w:val="none" w:sz="0" w:space="0" w:color="auto"/>
      </w:divBdr>
    </w:div>
    <w:div w:id="1514145446">
      <w:bodyDiv w:val="1"/>
      <w:marLeft w:val="0"/>
      <w:marRight w:val="0"/>
      <w:marTop w:val="0"/>
      <w:marBottom w:val="0"/>
      <w:divBdr>
        <w:top w:val="none" w:sz="0" w:space="0" w:color="auto"/>
        <w:left w:val="none" w:sz="0" w:space="0" w:color="auto"/>
        <w:bottom w:val="none" w:sz="0" w:space="0" w:color="auto"/>
        <w:right w:val="none" w:sz="0" w:space="0" w:color="auto"/>
      </w:divBdr>
    </w:div>
    <w:div w:id="1520464102">
      <w:bodyDiv w:val="1"/>
      <w:marLeft w:val="0"/>
      <w:marRight w:val="0"/>
      <w:marTop w:val="0"/>
      <w:marBottom w:val="0"/>
      <w:divBdr>
        <w:top w:val="none" w:sz="0" w:space="0" w:color="auto"/>
        <w:left w:val="none" w:sz="0" w:space="0" w:color="auto"/>
        <w:bottom w:val="none" w:sz="0" w:space="0" w:color="auto"/>
        <w:right w:val="none" w:sz="0" w:space="0" w:color="auto"/>
      </w:divBdr>
    </w:div>
    <w:div w:id="1557473563">
      <w:bodyDiv w:val="1"/>
      <w:marLeft w:val="0"/>
      <w:marRight w:val="0"/>
      <w:marTop w:val="0"/>
      <w:marBottom w:val="0"/>
      <w:divBdr>
        <w:top w:val="none" w:sz="0" w:space="0" w:color="auto"/>
        <w:left w:val="none" w:sz="0" w:space="0" w:color="auto"/>
        <w:bottom w:val="none" w:sz="0" w:space="0" w:color="auto"/>
        <w:right w:val="none" w:sz="0" w:space="0" w:color="auto"/>
      </w:divBdr>
    </w:div>
    <w:div w:id="1559243549">
      <w:bodyDiv w:val="1"/>
      <w:marLeft w:val="0"/>
      <w:marRight w:val="0"/>
      <w:marTop w:val="0"/>
      <w:marBottom w:val="0"/>
      <w:divBdr>
        <w:top w:val="none" w:sz="0" w:space="0" w:color="auto"/>
        <w:left w:val="none" w:sz="0" w:space="0" w:color="auto"/>
        <w:bottom w:val="none" w:sz="0" w:space="0" w:color="auto"/>
        <w:right w:val="none" w:sz="0" w:space="0" w:color="auto"/>
      </w:divBdr>
    </w:div>
    <w:div w:id="1583415769">
      <w:bodyDiv w:val="1"/>
      <w:marLeft w:val="0"/>
      <w:marRight w:val="0"/>
      <w:marTop w:val="0"/>
      <w:marBottom w:val="0"/>
      <w:divBdr>
        <w:top w:val="none" w:sz="0" w:space="0" w:color="auto"/>
        <w:left w:val="none" w:sz="0" w:space="0" w:color="auto"/>
        <w:bottom w:val="none" w:sz="0" w:space="0" w:color="auto"/>
        <w:right w:val="none" w:sz="0" w:space="0" w:color="auto"/>
      </w:divBdr>
    </w:div>
    <w:div w:id="1589655724">
      <w:bodyDiv w:val="1"/>
      <w:marLeft w:val="0"/>
      <w:marRight w:val="0"/>
      <w:marTop w:val="0"/>
      <w:marBottom w:val="0"/>
      <w:divBdr>
        <w:top w:val="none" w:sz="0" w:space="0" w:color="auto"/>
        <w:left w:val="none" w:sz="0" w:space="0" w:color="auto"/>
        <w:bottom w:val="none" w:sz="0" w:space="0" w:color="auto"/>
        <w:right w:val="none" w:sz="0" w:space="0" w:color="auto"/>
      </w:divBdr>
    </w:div>
    <w:div w:id="1601450091">
      <w:bodyDiv w:val="1"/>
      <w:marLeft w:val="0"/>
      <w:marRight w:val="0"/>
      <w:marTop w:val="0"/>
      <w:marBottom w:val="0"/>
      <w:divBdr>
        <w:top w:val="none" w:sz="0" w:space="0" w:color="auto"/>
        <w:left w:val="none" w:sz="0" w:space="0" w:color="auto"/>
        <w:bottom w:val="none" w:sz="0" w:space="0" w:color="auto"/>
        <w:right w:val="none" w:sz="0" w:space="0" w:color="auto"/>
      </w:divBdr>
    </w:div>
    <w:div w:id="1637955277">
      <w:bodyDiv w:val="1"/>
      <w:marLeft w:val="0"/>
      <w:marRight w:val="0"/>
      <w:marTop w:val="0"/>
      <w:marBottom w:val="0"/>
      <w:divBdr>
        <w:top w:val="none" w:sz="0" w:space="0" w:color="auto"/>
        <w:left w:val="none" w:sz="0" w:space="0" w:color="auto"/>
        <w:bottom w:val="none" w:sz="0" w:space="0" w:color="auto"/>
        <w:right w:val="none" w:sz="0" w:space="0" w:color="auto"/>
      </w:divBdr>
    </w:div>
    <w:div w:id="1642078656">
      <w:bodyDiv w:val="1"/>
      <w:marLeft w:val="0"/>
      <w:marRight w:val="0"/>
      <w:marTop w:val="0"/>
      <w:marBottom w:val="0"/>
      <w:divBdr>
        <w:top w:val="none" w:sz="0" w:space="0" w:color="auto"/>
        <w:left w:val="none" w:sz="0" w:space="0" w:color="auto"/>
        <w:bottom w:val="none" w:sz="0" w:space="0" w:color="auto"/>
        <w:right w:val="none" w:sz="0" w:space="0" w:color="auto"/>
      </w:divBdr>
    </w:div>
    <w:div w:id="1650204014">
      <w:bodyDiv w:val="1"/>
      <w:marLeft w:val="0"/>
      <w:marRight w:val="0"/>
      <w:marTop w:val="0"/>
      <w:marBottom w:val="0"/>
      <w:divBdr>
        <w:top w:val="none" w:sz="0" w:space="0" w:color="auto"/>
        <w:left w:val="none" w:sz="0" w:space="0" w:color="auto"/>
        <w:bottom w:val="none" w:sz="0" w:space="0" w:color="auto"/>
        <w:right w:val="none" w:sz="0" w:space="0" w:color="auto"/>
      </w:divBdr>
      <w:divsChild>
        <w:div w:id="958029676">
          <w:marLeft w:val="0"/>
          <w:marRight w:val="0"/>
          <w:marTop w:val="0"/>
          <w:marBottom w:val="0"/>
          <w:divBdr>
            <w:top w:val="none" w:sz="0" w:space="0" w:color="auto"/>
            <w:left w:val="none" w:sz="0" w:space="0" w:color="auto"/>
            <w:bottom w:val="none" w:sz="0" w:space="0" w:color="auto"/>
            <w:right w:val="none" w:sz="0" w:space="0" w:color="auto"/>
          </w:divBdr>
          <w:divsChild>
            <w:div w:id="706416089">
              <w:marLeft w:val="0"/>
              <w:marRight w:val="0"/>
              <w:marTop w:val="0"/>
              <w:marBottom w:val="0"/>
              <w:divBdr>
                <w:top w:val="none" w:sz="0" w:space="0" w:color="auto"/>
                <w:left w:val="none" w:sz="0" w:space="0" w:color="auto"/>
                <w:bottom w:val="none" w:sz="0" w:space="0" w:color="auto"/>
                <w:right w:val="none" w:sz="0" w:space="0" w:color="auto"/>
              </w:divBdr>
              <w:divsChild>
                <w:div w:id="1112242929">
                  <w:marLeft w:val="0"/>
                  <w:marRight w:val="0"/>
                  <w:marTop w:val="0"/>
                  <w:marBottom w:val="0"/>
                  <w:divBdr>
                    <w:top w:val="none" w:sz="0" w:space="0" w:color="auto"/>
                    <w:left w:val="none" w:sz="0" w:space="0" w:color="auto"/>
                    <w:bottom w:val="none" w:sz="0" w:space="0" w:color="auto"/>
                    <w:right w:val="none" w:sz="0" w:space="0" w:color="auto"/>
                  </w:divBdr>
                  <w:divsChild>
                    <w:div w:id="1713726656">
                      <w:marLeft w:val="0"/>
                      <w:marRight w:val="0"/>
                      <w:marTop w:val="0"/>
                      <w:marBottom w:val="0"/>
                      <w:divBdr>
                        <w:top w:val="none" w:sz="0" w:space="0" w:color="auto"/>
                        <w:left w:val="none" w:sz="0" w:space="0" w:color="auto"/>
                        <w:bottom w:val="none" w:sz="0" w:space="0" w:color="auto"/>
                        <w:right w:val="none" w:sz="0" w:space="0" w:color="auto"/>
                      </w:divBdr>
                      <w:divsChild>
                        <w:div w:id="1013218142">
                          <w:marLeft w:val="0"/>
                          <w:marRight w:val="0"/>
                          <w:marTop w:val="0"/>
                          <w:marBottom w:val="0"/>
                          <w:divBdr>
                            <w:top w:val="none" w:sz="0" w:space="0" w:color="auto"/>
                            <w:left w:val="none" w:sz="0" w:space="0" w:color="auto"/>
                            <w:bottom w:val="none" w:sz="0" w:space="0" w:color="auto"/>
                            <w:right w:val="none" w:sz="0" w:space="0" w:color="auto"/>
                          </w:divBdr>
                          <w:divsChild>
                            <w:div w:id="4169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11409">
      <w:bodyDiv w:val="1"/>
      <w:marLeft w:val="0"/>
      <w:marRight w:val="0"/>
      <w:marTop w:val="0"/>
      <w:marBottom w:val="0"/>
      <w:divBdr>
        <w:top w:val="none" w:sz="0" w:space="0" w:color="auto"/>
        <w:left w:val="none" w:sz="0" w:space="0" w:color="auto"/>
        <w:bottom w:val="none" w:sz="0" w:space="0" w:color="auto"/>
        <w:right w:val="none" w:sz="0" w:space="0" w:color="auto"/>
      </w:divBdr>
    </w:div>
    <w:div w:id="1669211343">
      <w:bodyDiv w:val="1"/>
      <w:marLeft w:val="0"/>
      <w:marRight w:val="0"/>
      <w:marTop w:val="0"/>
      <w:marBottom w:val="0"/>
      <w:divBdr>
        <w:top w:val="none" w:sz="0" w:space="0" w:color="auto"/>
        <w:left w:val="none" w:sz="0" w:space="0" w:color="auto"/>
        <w:bottom w:val="none" w:sz="0" w:space="0" w:color="auto"/>
        <w:right w:val="none" w:sz="0" w:space="0" w:color="auto"/>
      </w:divBdr>
    </w:div>
    <w:div w:id="1669821334">
      <w:bodyDiv w:val="1"/>
      <w:marLeft w:val="0"/>
      <w:marRight w:val="0"/>
      <w:marTop w:val="0"/>
      <w:marBottom w:val="0"/>
      <w:divBdr>
        <w:top w:val="none" w:sz="0" w:space="0" w:color="auto"/>
        <w:left w:val="none" w:sz="0" w:space="0" w:color="auto"/>
        <w:bottom w:val="none" w:sz="0" w:space="0" w:color="auto"/>
        <w:right w:val="none" w:sz="0" w:space="0" w:color="auto"/>
      </w:divBdr>
    </w:div>
    <w:div w:id="1682123925">
      <w:bodyDiv w:val="1"/>
      <w:marLeft w:val="0"/>
      <w:marRight w:val="0"/>
      <w:marTop w:val="0"/>
      <w:marBottom w:val="0"/>
      <w:divBdr>
        <w:top w:val="none" w:sz="0" w:space="0" w:color="auto"/>
        <w:left w:val="none" w:sz="0" w:space="0" w:color="auto"/>
        <w:bottom w:val="none" w:sz="0" w:space="0" w:color="auto"/>
        <w:right w:val="none" w:sz="0" w:space="0" w:color="auto"/>
      </w:divBdr>
    </w:div>
    <w:div w:id="1699237547">
      <w:bodyDiv w:val="1"/>
      <w:marLeft w:val="0"/>
      <w:marRight w:val="0"/>
      <w:marTop w:val="0"/>
      <w:marBottom w:val="0"/>
      <w:divBdr>
        <w:top w:val="none" w:sz="0" w:space="0" w:color="auto"/>
        <w:left w:val="none" w:sz="0" w:space="0" w:color="auto"/>
        <w:bottom w:val="none" w:sz="0" w:space="0" w:color="auto"/>
        <w:right w:val="none" w:sz="0" w:space="0" w:color="auto"/>
      </w:divBdr>
    </w:div>
    <w:div w:id="1704868982">
      <w:bodyDiv w:val="1"/>
      <w:marLeft w:val="0"/>
      <w:marRight w:val="0"/>
      <w:marTop w:val="0"/>
      <w:marBottom w:val="0"/>
      <w:divBdr>
        <w:top w:val="none" w:sz="0" w:space="0" w:color="auto"/>
        <w:left w:val="none" w:sz="0" w:space="0" w:color="auto"/>
        <w:bottom w:val="none" w:sz="0" w:space="0" w:color="auto"/>
        <w:right w:val="none" w:sz="0" w:space="0" w:color="auto"/>
      </w:divBdr>
    </w:div>
    <w:div w:id="1711147695">
      <w:bodyDiv w:val="1"/>
      <w:marLeft w:val="0"/>
      <w:marRight w:val="0"/>
      <w:marTop w:val="0"/>
      <w:marBottom w:val="0"/>
      <w:divBdr>
        <w:top w:val="none" w:sz="0" w:space="0" w:color="auto"/>
        <w:left w:val="none" w:sz="0" w:space="0" w:color="auto"/>
        <w:bottom w:val="none" w:sz="0" w:space="0" w:color="auto"/>
        <w:right w:val="none" w:sz="0" w:space="0" w:color="auto"/>
      </w:divBdr>
    </w:div>
    <w:div w:id="1719236476">
      <w:bodyDiv w:val="1"/>
      <w:marLeft w:val="0"/>
      <w:marRight w:val="0"/>
      <w:marTop w:val="0"/>
      <w:marBottom w:val="0"/>
      <w:divBdr>
        <w:top w:val="none" w:sz="0" w:space="0" w:color="auto"/>
        <w:left w:val="none" w:sz="0" w:space="0" w:color="auto"/>
        <w:bottom w:val="none" w:sz="0" w:space="0" w:color="auto"/>
        <w:right w:val="none" w:sz="0" w:space="0" w:color="auto"/>
      </w:divBdr>
    </w:div>
    <w:div w:id="1722291004">
      <w:bodyDiv w:val="1"/>
      <w:marLeft w:val="0"/>
      <w:marRight w:val="0"/>
      <w:marTop w:val="0"/>
      <w:marBottom w:val="0"/>
      <w:divBdr>
        <w:top w:val="none" w:sz="0" w:space="0" w:color="auto"/>
        <w:left w:val="none" w:sz="0" w:space="0" w:color="auto"/>
        <w:bottom w:val="none" w:sz="0" w:space="0" w:color="auto"/>
        <w:right w:val="none" w:sz="0" w:space="0" w:color="auto"/>
      </w:divBdr>
    </w:div>
    <w:div w:id="1753432730">
      <w:bodyDiv w:val="1"/>
      <w:marLeft w:val="0"/>
      <w:marRight w:val="0"/>
      <w:marTop w:val="0"/>
      <w:marBottom w:val="0"/>
      <w:divBdr>
        <w:top w:val="none" w:sz="0" w:space="0" w:color="auto"/>
        <w:left w:val="none" w:sz="0" w:space="0" w:color="auto"/>
        <w:bottom w:val="none" w:sz="0" w:space="0" w:color="auto"/>
        <w:right w:val="none" w:sz="0" w:space="0" w:color="auto"/>
      </w:divBdr>
    </w:div>
    <w:div w:id="1788281356">
      <w:bodyDiv w:val="1"/>
      <w:marLeft w:val="0"/>
      <w:marRight w:val="0"/>
      <w:marTop w:val="0"/>
      <w:marBottom w:val="0"/>
      <w:divBdr>
        <w:top w:val="none" w:sz="0" w:space="0" w:color="auto"/>
        <w:left w:val="none" w:sz="0" w:space="0" w:color="auto"/>
        <w:bottom w:val="none" w:sz="0" w:space="0" w:color="auto"/>
        <w:right w:val="none" w:sz="0" w:space="0" w:color="auto"/>
      </w:divBdr>
    </w:div>
    <w:div w:id="1802187227">
      <w:bodyDiv w:val="1"/>
      <w:marLeft w:val="0"/>
      <w:marRight w:val="0"/>
      <w:marTop w:val="0"/>
      <w:marBottom w:val="0"/>
      <w:divBdr>
        <w:top w:val="none" w:sz="0" w:space="0" w:color="auto"/>
        <w:left w:val="none" w:sz="0" w:space="0" w:color="auto"/>
        <w:bottom w:val="none" w:sz="0" w:space="0" w:color="auto"/>
        <w:right w:val="none" w:sz="0" w:space="0" w:color="auto"/>
      </w:divBdr>
    </w:div>
    <w:div w:id="1831865841">
      <w:bodyDiv w:val="1"/>
      <w:marLeft w:val="0"/>
      <w:marRight w:val="0"/>
      <w:marTop w:val="0"/>
      <w:marBottom w:val="0"/>
      <w:divBdr>
        <w:top w:val="none" w:sz="0" w:space="0" w:color="auto"/>
        <w:left w:val="none" w:sz="0" w:space="0" w:color="auto"/>
        <w:bottom w:val="none" w:sz="0" w:space="0" w:color="auto"/>
        <w:right w:val="none" w:sz="0" w:space="0" w:color="auto"/>
      </w:divBdr>
    </w:div>
    <w:div w:id="1836990914">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67478548">
      <w:bodyDiv w:val="1"/>
      <w:marLeft w:val="0"/>
      <w:marRight w:val="0"/>
      <w:marTop w:val="0"/>
      <w:marBottom w:val="0"/>
      <w:divBdr>
        <w:top w:val="none" w:sz="0" w:space="0" w:color="auto"/>
        <w:left w:val="none" w:sz="0" w:space="0" w:color="auto"/>
        <w:bottom w:val="none" w:sz="0" w:space="0" w:color="auto"/>
        <w:right w:val="none" w:sz="0" w:space="0" w:color="auto"/>
      </w:divBdr>
    </w:div>
    <w:div w:id="1874151107">
      <w:bodyDiv w:val="1"/>
      <w:marLeft w:val="0"/>
      <w:marRight w:val="0"/>
      <w:marTop w:val="0"/>
      <w:marBottom w:val="0"/>
      <w:divBdr>
        <w:top w:val="none" w:sz="0" w:space="0" w:color="auto"/>
        <w:left w:val="none" w:sz="0" w:space="0" w:color="auto"/>
        <w:bottom w:val="none" w:sz="0" w:space="0" w:color="auto"/>
        <w:right w:val="none" w:sz="0" w:space="0" w:color="auto"/>
      </w:divBdr>
    </w:div>
    <w:div w:id="1909346052">
      <w:bodyDiv w:val="1"/>
      <w:marLeft w:val="0"/>
      <w:marRight w:val="0"/>
      <w:marTop w:val="0"/>
      <w:marBottom w:val="0"/>
      <w:divBdr>
        <w:top w:val="none" w:sz="0" w:space="0" w:color="auto"/>
        <w:left w:val="none" w:sz="0" w:space="0" w:color="auto"/>
        <w:bottom w:val="none" w:sz="0" w:space="0" w:color="auto"/>
        <w:right w:val="none" w:sz="0" w:space="0" w:color="auto"/>
      </w:divBdr>
    </w:div>
    <w:div w:id="1915891305">
      <w:bodyDiv w:val="1"/>
      <w:marLeft w:val="0"/>
      <w:marRight w:val="0"/>
      <w:marTop w:val="0"/>
      <w:marBottom w:val="0"/>
      <w:divBdr>
        <w:top w:val="none" w:sz="0" w:space="0" w:color="auto"/>
        <w:left w:val="none" w:sz="0" w:space="0" w:color="auto"/>
        <w:bottom w:val="none" w:sz="0" w:space="0" w:color="auto"/>
        <w:right w:val="none" w:sz="0" w:space="0" w:color="auto"/>
      </w:divBdr>
    </w:div>
    <w:div w:id="1971085718">
      <w:bodyDiv w:val="1"/>
      <w:marLeft w:val="0"/>
      <w:marRight w:val="0"/>
      <w:marTop w:val="0"/>
      <w:marBottom w:val="0"/>
      <w:divBdr>
        <w:top w:val="none" w:sz="0" w:space="0" w:color="auto"/>
        <w:left w:val="none" w:sz="0" w:space="0" w:color="auto"/>
        <w:bottom w:val="none" w:sz="0" w:space="0" w:color="auto"/>
        <w:right w:val="none" w:sz="0" w:space="0" w:color="auto"/>
      </w:divBdr>
    </w:div>
    <w:div w:id="1999917868">
      <w:bodyDiv w:val="1"/>
      <w:marLeft w:val="0"/>
      <w:marRight w:val="0"/>
      <w:marTop w:val="0"/>
      <w:marBottom w:val="0"/>
      <w:divBdr>
        <w:top w:val="none" w:sz="0" w:space="0" w:color="auto"/>
        <w:left w:val="none" w:sz="0" w:space="0" w:color="auto"/>
        <w:bottom w:val="none" w:sz="0" w:space="0" w:color="auto"/>
        <w:right w:val="none" w:sz="0" w:space="0" w:color="auto"/>
      </w:divBdr>
    </w:div>
    <w:div w:id="2038189380">
      <w:bodyDiv w:val="1"/>
      <w:marLeft w:val="0"/>
      <w:marRight w:val="0"/>
      <w:marTop w:val="0"/>
      <w:marBottom w:val="0"/>
      <w:divBdr>
        <w:top w:val="none" w:sz="0" w:space="0" w:color="auto"/>
        <w:left w:val="none" w:sz="0" w:space="0" w:color="auto"/>
        <w:bottom w:val="none" w:sz="0" w:space="0" w:color="auto"/>
        <w:right w:val="none" w:sz="0" w:space="0" w:color="auto"/>
      </w:divBdr>
    </w:div>
    <w:div w:id="2041784613">
      <w:bodyDiv w:val="1"/>
      <w:marLeft w:val="0"/>
      <w:marRight w:val="0"/>
      <w:marTop w:val="0"/>
      <w:marBottom w:val="0"/>
      <w:divBdr>
        <w:top w:val="none" w:sz="0" w:space="0" w:color="auto"/>
        <w:left w:val="none" w:sz="0" w:space="0" w:color="auto"/>
        <w:bottom w:val="none" w:sz="0" w:space="0" w:color="auto"/>
        <w:right w:val="none" w:sz="0" w:space="0" w:color="auto"/>
      </w:divBdr>
    </w:div>
    <w:div w:id="21048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Resolutions/5.GA/7" TargetMode="External"/><Relationship Id="rId13" Type="http://schemas.openxmlformats.org/officeDocument/2006/relationships/hyperlink" Target="http://www.unesco.org/culture/ich/en/Decisions/8.COM/7.c" TargetMode="External"/><Relationship Id="rId18" Type="http://schemas.openxmlformats.org/officeDocument/2006/relationships/hyperlink" Target="http://www.unesco.org/culture/ich/en/Decisions/10.COM/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unesco.org/culture/ich/en/Resolutions/6.GA/9" TargetMode="External"/><Relationship Id="rId17" Type="http://schemas.openxmlformats.org/officeDocument/2006/relationships/hyperlink" Target="http://www.unesco.org/culture/ich/en/Decisions/8.COM/11"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unesco.org/culture/ich/doc/src/IOS-AUD-2013-06-EN.pdf" TargetMode="External"/><Relationship Id="rId20" Type="http://schemas.openxmlformats.org/officeDocument/2006/relationships/hyperlink" Target="http://www.unesco.org/culture/ich/en/Decisions/10.COM/9"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en/Resolutions/3.GA/9"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sco.org/culture/ich/doc/src/ITH-16-11.COM_2.BUR-Decisions-EN.docx" TargetMode="Externa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hyperlink" Target="http://www.unesco.org/culture/ich/doc/src/00192-EN-PDF.pdf" TargetMode="External"/><Relationship Id="rId19" Type="http://schemas.openxmlformats.org/officeDocument/2006/relationships/hyperlink" Target="http://www.unesco.org/culture/ich/en/Decisions/8.COM/1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sco.org/culture/ich/en/Resolutions/6.GA/9" TargetMode="External"/><Relationship Id="rId14" Type="http://schemas.openxmlformats.org/officeDocument/2006/relationships/hyperlink" Target="http://www.unesco.org/culture/ich/en/Decisions/10.COM/8"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1D50-C1EC-4C3A-82A1-8DF6F3AF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2167</Words>
  <Characters>11919</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14058</CharactersWithSpaces>
  <SharedDoc>false</SharedDoc>
  <HLinks>
    <vt:vector size="78" baseType="variant">
      <vt:variant>
        <vt:i4>6422628</vt:i4>
      </vt:variant>
      <vt:variant>
        <vt:i4>36</vt:i4>
      </vt:variant>
      <vt:variant>
        <vt:i4>0</vt:i4>
      </vt:variant>
      <vt:variant>
        <vt:i4>5</vt:i4>
      </vt:variant>
      <vt:variant>
        <vt:lpwstr>http://www.unesco.org/culture/ich/en/Decisions/10.COM/9</vt:lpwstr>
      </vt:variant>
      <vt:variant>
        <vt:lpwstr/>
      </vt:variant>
      <vt:variant>
        <vt:i4>3801140</vt:i4>
      </vt:variant>
      <vt:variant>
        <vt:i4>33</vt:i4>
      </vt:variant>
      <vt:variant>
        <vt:i4>0</vt:i4>
      </vt:variant>
      <vt:variant>
        <vt:i4>5</vt:i4>
      </vt:variant>
      <vt:variant>
        <vt:lpwstr>http://www.unesco.org/culture/ich/en/Decisions/8.COM/12</vt:lpwstr>
      </vt:variant>
      <vt:variant>
        <vt:lpwstr/>
      </vt:variant>
      <vt:variant>
        <vt:i4>6422628</vt:i4>
      </vt:variant>
      <vt:variant>
        <vt:i4>30</vt:i4>
      </vt:variant>
      <vt:variant>
        <vt:i4>0</vt:i4>
      </vt:variant>
      <vt:variant>
        <vt:i4>5</vt:i4>
      </vt:variant>
      <vt:variant>
        <vt:lpwstr>http://www.unesco.org/culture/ich/en/Decisions/10.COM/9</vt:lpwstr>
      </vt:variant>
      <vt:variant>
        <vt:lpwstr/>
      </vt:variant>
      <vt:variant>
        <vt:i4>3801140</vt:i4>
      </vt:variant>
      <vt:variant>
        <vt:i4>27</vt:i4>
      </vt:variant>
      <vt:variant>
        <vt:i4>0</vt:i4>
      </vt:variant>
      <vt:variant>
        <vt:i4>5</vt:i4>
      </vt:variant>
      <vt:variant>
        <vt:lpwstr>http://www.unesco.org/culture/ich/en/Decisions/8.COM/11</vt:lpwstr>
      </vt:variant>
      <vt:variant>
        <vt:lpwstr/>
      </vt:variant>
      <vt:variant>
        <vt:i4>5898251</vt:i4>
      </vt:variant>
      <vt:variant>
        <vt:i4>24</vt:i4>
      </vt:variant>
      <vt:variant>
        <vt:i4>0</vt:i4>
      </vt:variant>
      <vt:variant>
        <vt:i4>5</vt:i4>
      </vt:variant>
      <vt:variant>
        <vt:lpwstr>http://www.unesco.org/culture/ich/doc/src/IOS-AUD-2013-06-EN.pdf</vt:lpwstr>
      </vt:variant>
      <vt:variant>
        <vt:lpwstr/>
      </vt:variant>
      <vt:variant>
        <vt:i4>6226031</vt:i4>
      </vt:variant>
      <vt:variant>
        <vt:i4>21</vt:i4>
      </vt:variant>
      <vt:variant>
        <vt:i4>0</vt:i4>
      </vt:variant>
      <vt:variant>
        <vt:i4>5</vt:i4>
      </vt:variant>
      <vt:variant>
        <vt:lpwstr>http://www.unesco.org/culture/ich/doc/src/ITH-16-11.COM_2.BUR-Decisions-EN.docx</vt:lpwstr>
      </vt:variant>
      <vt:variant>
        <vt:lpwstr/>
      </vt:variant>
      <vt:variant>
        <vt:i4>6422628</vt:i4>
      </vt:variant>
      <vt:variant>
        <vt:i4>18</vt:i4>
      </vt:variant>
      <vt:variant>
        <vt:i4>0</vt:i4>
      </vt:variant>
      <vt:variant>
        <vt:i4>5</vt:i4>
      </vt:variant>
      <vt:variant>
        <vt:lpwstr>http://www.unesco.org/culture/ich/en/Decisions/10.COM/8</vt:lpwstr>
      </vt:variant>
      <vt:variant>
        <vt:lpwstr/>
      </vt:variant>
      <vt:variant>
        <vt:i4>6225946</vt:i4>
      </vt:variant>
      <vt:variant>
        <vt:i4>15</vt:i4>
      </vt:variant>
      <vt:variant>
        <vt:i4>0</vt:i4>
      </vt:variant>
      <vt:variant>
        <vt:i4>5</vt:i4>
      </vt:variant>
      <vt:variant>
        <vt:lpwstr>http://www.unesco.org/culture/ich/en/Decisions/8.COM/7.c</vt:lpwstr>
      </vt:variant>
      <vt:variant>
        <vt:lpwstr/>
      </vt:variant>
      <vt:variant>
        <vt:i4>3014758</vt:i4>
      </vt:variant>
      <vt:variant>
        <vt:i4>12</vt:i4>
      </vt:variant>
      <vt:variant>
        <vt:i4>0</vt:i4>
      </vt:variant>
      <vt:variant>
        <vt:i4>5</vt:i4>
      </vt:variant>
      <vt:variant>
        <vt:lpwstr>http://www.unesco.org/culture/ich/en/Resolutions/6.GA/9</vt:lpwstr>
      </vt:variant>
      <vt:variant>
        <vt:lpwstr/>
      </vt:variant>
      <vt:variant>
        <vt:i4>2818150</vt:i4>
      </vt:variant>
      <vt:variant>
        <vt:i4>9</vt:i4>
      </vt:variant>
      <vt:variant>
        <vt:i4>0</vt:i4>
      </vt:variant>
      <vt:variant>
        <vt:i4>5</vt:i4>
      </vt:variant>
      <vt:variant>
        <vt:lpwstr>http://www.unesco.org/culture/ich/en/Resolutions/3.GA/9</vt:lpwstr>
      </vt:variant>
      <vt:variant>
        <vt:lpwstr/>
      </vt:variant>
      <vt:variant>
        <vt:i4>7078006</vt:i4>
      </vt:variant>
      <vt:variant>
        <vt:i4>6</vt:i4>
      </vt:variant>
      <vt:variant>
        <vt:i4>0</vt:i4>
      </vt:variant>
      <vt:variant>
        <vt:i4>5</vt:i4>
      </vt:variant>
      <vt:variant>
        <vt:lpwstr>http://www.unesco.org/culture/ich/doc/src/00192-EN-PDF.pdf</vt:lpwstr>
      </vt:variant>
      <vt:variant>
        <vt:lpwstr/>
      </vt:variant>
      <vt:variant>
        <vt:i4>3014758</vt:i4>
      </vt:variant>
      <vt:variant>
        <vt:i4>3</vt:i4>
      </vt:variant>
      <vt:variant>
        <vt:i4>0</vt:i4>
      </vt:variant>
      <vt:variant>
        <vt:i4>5</vt:i4>
      </vt:variant>
      <vt:variant>
        <vt:lpwstr>http://www.unesco.org/culture/ich/en/Resolutions/6.GA/9</vt:lpwstr>
      </vt:variant>
      <vt:variant>
        <vt:lpwstr/>
      </vt:variant>
      <vt:variant>
        <vt:i4>2949222</vt:i4>
      </vt:variant>
      <vt:variant>
        <vt:i4>0</vt:i4>
      </vt:variant>
      <vt:variant>
        <vt:i4>0</vt:i4>
      </vt:variant>
      <vt:variant>
        <vt:i4>5</vt:i4>
      </vt:variant>
      <vt:variant>
        <vt:lpwstr>http://www.unesco.org/culture/ich/en/Resolutions/5.GA/7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2016-10-31T16:07:00Z</dcterms:created>
  <dcterms:modified xsi:type="dcterms:W3CDTF">2016-10-31T16:07:00Z</dcterms:modified>
</cp:coreProperties>
</file>