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20" w:rsidRPr="00761349" w:rsidRDefault="00BC3420" w:rsidP="00BC3420">
      <w:pPr>
        <w:spacing w:before="1440"/>
        <w:jc w:val="center"/>
        <w:rPr>
          <w:rFonts w:ascii="Arial" w:hAnsi="Arial" w:cs="Arial"/>
          <w:b/>
          <w:sz w:val="22"/>
          <w:szCs w:val="22"/>
        </w:rPr>
      </w:pPr>
      <w:r w:rsidRPr="00761349">
        <w:rPr>
          <w:rFonts w:ascii="Arial" w:hAnsi="Arial" w:cs="Arial"/>
          <w:b/>
          <w:sz w:val="22"/>
          <w:szCs w:val="22"/>
        </w:rPr>
        <w:t>CONVENTION POUR LA SAUVEGARDE DU</w:t>
      </w:r>
      <w:r w:rsidRPr="00761349">
        <w:rPr>
          <w:rFonts w:ascii="Arial" w:hAnsi="Arial" w:cs="Arial"/>
          <w:b/>
          <w:sz w:val="22"/>
          <w:szCs w:val="22"/>
        </w:rPr>
        <w:br/>
        <w:t>PATRIMOINE CULTUREL IMMATÉRIEL</w:t>
      </w:r>
    </w:p>
    <w:p w:rsidR="00BC3420" w:rsidRPr="00761349" w:rsidRDefault="00BC3420" w:rsidP="00BC3420">
      <w:pPr>
        <w:spacing w:before="1200"/>
        <w:jc w:val="center"/>
        <w:rPr>
          <w:rFonts w:ascii="Arial" w:hAnsi="Arial" w:cs="Arial"/>
          <w:b/>
          <w:sz w:val="22"/>
          <w:szCs w:val="22"/>
        </w:rPr>
      </w:pPr>
      <w:r w:rsidRPr="00761349">
        <w:rPr>
          <w:rFonts w:ascii="Arial" w:hAnsi="Arial" w:cs="Arial"/>
          <w:b/>
          <w:sz w:val="22"/>
          <w:szCs w:val="22"/>
        </w:rPr>
        <w:t>COMITÉ INTERGOUVERNEMENTAL DE SAUVEGARDE</w:t>
      </w:r>
      <w:r w:rsidRPr="00761349">
        <w:rPr>
          <w:rFonts w:ascii="Arial" w:hAnsi="Arial" w:cs="Arial"/>
          <w:b/>
          <w:sz w:val="22"/>
          <w:szCs w:val="22"/>
        </w:rPr>
        <w:br/>
        <w:t>DU PATRIMOINE CULTUREL IMMATÉRIEL</w:t>
      </w:r>
    </w:p>
    <w:p w:rsidR="00BC3420" w:rsidRPr="00761349" w:rsidRDefault="00A91141" w:rsidP="00BC3420">
      <w:pPr>
        <w:spacing w:before="840"/>
        <w:jc w:val="center"/>
        <w:rPr>
          <w:rFonts w:ascii="Arial" w:hAnsi="Arial" w:cs="Arial"/>
          <w:b/>
          <w:sz w:val="22"/>
          <w:szCs w:val="22"/>
        </w:rPr>
      </w:pPr>
      <w:r w:rsidRPr="00761349">
        <w:rPr>
          <w:rFonts w:ascii="Arial" w:hAnsi="Arial" w:cs="Arial"/>
          <w:b/>
          <w:sz w:val="22"/>
          <w:szCs w:val="22"/>
        </w:rPr>
        <w:t>Consultation électronique du Bureau</w:t>
      </w:r>
    </w:p>
    <w:p w:rsidR="00340460" w:rsidRPr="00A86A64" w:rsidRDefault="00340460" w:rsidP="00340460">
      <w:pPr>
        <w:jc w:val="center"/>
        <w:rPr>
          <w:rFonts w:ascii="Arial" w:hAnsi="Arial" w:cs="Arial"/>
          <w:b/>
          <w:sz w:val="22"/>
          <w:szCs w:val="22"/>
        </w:rPr>
      </w:pPr>
      <w:r>
        <w:rPr>
          <w:rFonts w:ascii="Arial" w:hAnsi="Arial" w:cs="Arial"/>
          <w:b/>
          <w:sz w:val="22"/>
          <w:szCs w:val="22"/>
        </w:rPr>
        <w:t xml:space="preserve">21 mars </w:t>
      </w:r>
      <w:r w:rsidR="00D873B1">
        <w:rPr>
          <w:rFonts w:ascii="Arial" w:hAnsi="Arial" w:cs="Arial"/>
          <w:b/>
          <w:sz w:val="22"/>
          <w:szCs w:val="22"/>
        </w:rPr>
        <w:t>au</w:t>
      </w:r>
      <w:r w:rsidR="00DB10EF">
        <w:rPr>
          <w:rFonts w:ascii="Arial" w:hAnsi="Arial" w:cs="Arial"/>
          <w:b/>
          <w:sz w:val="22"/>
          <w:szCs w:val="22"/>
        </w:rPr>
        <w:t xml:space="preserve"> 15</w:t>
      </w:r>
      <w:r>
        <w:rPr>
          <w:rFonts w:ascii="Arial" w:hAnsi="Arial" w:cs="Arial"/>
          <w:b/>
          <w:sz w:val="22"/>
          <w:szCs w:val="22"/>
        </w:rPr>
        <w:t xml:space="preserve"> avril 2016</w:t>
      </w:r>
    </w:p>
    <w:p w:rsidR="00BC3420" w:rsidRPr="00761349" w:rsidRDefault="002219DF" w:rsidP="00BC3420">
      <w:pPr>
        <w:pStyle w:val="Sansinterligne2"/>
        <w:spacing w:before="1200"/>
        <w:jc w:val="center"/>
        <w:rPr>
          <w:rFonts w:ascii="Arial" w:hAnsi="Arial" w:cs="Arial"/>
          <w:b/>
          <w:sz w:val="22"/>
          <w:szCs w:val="22"/>
        </w:rPr>
      </w:pPr>
      <w:r w:rsidRPr="00761349">
        <w:rPr>
          <w:rFonts w:ascii="Arial" w:hAnsi="Arial" w:cs="Arial"/>
          <w:b/>
          <w:sz w:val="22"/>
          <w:szCs w:val="22"/>
          <w:u w:val="single"/>
        </w:rPr>
        <w:t>Point</w:t>
      </w:r>
      <w:r w:rsidR="00A91141" w:rsidRPr="00761349">
        <w:rPr>
          <w:rFonts w:ascii="Arial" w:hAnsi="Arial" w:cs="Arial"/>
          <w:b/>
          <w:sz w:val="22"/>
          <w:szCs w:val="22"/>
          <w:u w:val="single"/>
        </w:rPr>
        <w:t xml:space="preserve"> 1</w:t>
      </w:r>
      <w:r w:rsidR="00A91141" w:rsidRPr="00092A74">
        <w:rPr>
          <w:rFonts w:ascii="Arial" w:hAnsi="Arial" w:cs="Arial"/>
          <w:b/>
          <w:sz w:val="22"/>
          <w:szCs w:val="22"/>
        </w:rPr>
        <w:t> :</w:t>
      </w:r>
    </w:p>
    <w:p w:rsidR="00BC3420" w:rsidRPr="00761349" w:rsidRDefault="00A91141" w:rsidP="00BC3420">
      <w:pPr>
        <w:pStyle w:val="NoSpacing"/>
        <w:spacing w:after="1200"/>
        <w:jc w:val="center"/>
        <w:rPr>
          <w:rFonts w:ascii="Arial" w:hAnsi="Arial" w:cs="Arial"/>
          <w:b/>
          <w:sz w:val="22"/>
          <w:szCs w:val="22"/>
        </w:rPr>
      </w:pPr>
      <w:r w:rsidRPr="00761349">
        <w:rPr>
          <w:rFonts w:ascii="Arial" w:hAnsi="Arial" w:cs="Arial"/>
          <w:b/>
          <w:sz w:val="22"/>
          <w:szCs w:val="22"/>
        </w:rPr>
        <w:t>Examen des deman</w:t>
      </w:r>
      <w:r w:rsidR="00E8577E">
        <w:rPr>
          <w:rFonts w:ascii="Arial" w:hAnsi="Arial" w:cs="Arial"/>
          <w:b/>
          <w:sz w:val="22"/>
          <w:szCs w:val="22"/>
        </w:rPr>
        <w:t>des d’assistance internationale</w:t>
      </w:r>
      <w:r w:rsidRPr="00761349">
        <w:rPr>
          <w:rFonts w:ascii="Arial" w:hAnsi="Arial" w:cs="Arial"/>
          <w:b/>
          <w:sz w:val="22"/>
          <w:szCs w:val="22"/>
        </w:rPr>
        <w:br/>
        <w:t>jusqu’à 25</w:t>
      </w:r>
      <w:r w:rsidR="00B2299B" w:rsidRPr="00761349">
        <w:rPr>
          <w:rFonts w:ascii="Arial" w:hAnsi="Arial" w:cs="Arial"/>
          <w:b/>
          <w:sz w:val="22"/>
          <w:szCs w:val="22"/>
        </w:rPr>
        <w:t> </w:t>
      </w:r>
      <w:r w:rsidRPr="00761349">
        <w:rPr>
          <w:rFonts w:ascii="Arial" w:hAnsi="Arial" w:cs="Arial"/>
          <w:b/>
          <w:sz w:val="22"/>
          <w:szCs w:val="22"/>
        </w:rPr>
        <w:t>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C3420" w:rsidRPr="00761349">
        <w:trPr>
          <w:jc w:val="center"/>
        </w:trPr>
        <w:tc>
          <w:tcPr>
            <w:tcW w:w="7825" w:type="dxa"/>
            <w:vAlign w:val="center"/>
          </w:tcPr>
          <w:p w:rsidR="001F60D1" w:rsidRPr="001F60D1" w:rsidRDefault="001F60D1" w:rsidP="001F60D1">
            <w:pPr>
              <w:pStyle w:val="Sansinterligne1"/>
              <w:spacing w:before="200" w:after="200"/>
              <w:jc w:val="center"/>
              <w:rPr>
                <w:rFonts w:ascii="Arial" w:hAnsi="Arial" w:cs="Arial"/>
                <w:b/>
                <w:sz w:val="22"/>
                <w:szCs w:val="22"/>
              </w:rPr>
            </w:pPr>
            <w:r w:rsidRPr="001F60D1">
              <w:rPr>
                <w:rFonts w:ascii="Arial" w:hAnsi="Arial" w:cs="Arial"/>
                <w:b/>
                <w:sz w:val="22"/>
                <w:szCs w:val="22"/>
              </w:rPr>
              <w:t>Résumé</w:t>
            </w:r>
          </w:p>
          <w:p w:rsidR="001F60D1" w:rsidRPr="001F60D1" w:rsidRDefault="001F60D1" w:rsidP="001F60D1">
            <w:pPr>
              <w:pStyle w:val="Sansinterligne1"/>
              <w:spacing w:before="200" w:after="200"/>
              <w:jc w:val="both"/>
              <w:rPr>
                <w:rFonts w:ascii="Arial" w:hAnsi="Arial" w:cs="Arial"/>
                <w:sz w:val="22"/>
                <w:szCs w:val="22"/>
              </w:rPr>
            </w:pPr>
            <w:r w:rsidRPr="001F60D1">
              <w:rPr>
                <w:rFonts w:ascii="Arial" w:hAnsi="Arial" w:cs="Arial"/>
                <w:sz w:val="22"/>
                <w:szCs w:val="22"/>
              </w:rPr>
              <w:t>Le paragraphe 49 des Directives opérationnelles stip</w:t>
            </w:r>
            <w:r w:rsidR="00092A74">
              <w:rPr>
                <w:rFonts w:ascii="Arial" w:hAnsi="Arial" w:cs="Arial"/>
                <w:sz w:val="22"/>
                <w:szCs w:val="22"/>
              </w:rPr>
              <w:t>ule que les demandes jusqu’à 25 </w:t>
            </w:r>
            <w:r w:rsidRPr="001F60D1">
              <w:rPr>
                <w:rFonts w:ascii="Arial" w:hAnsi="Arial" w:cs="Arial"/>
                <w:sz w:val="22"/>
                <w:szCs w:val="22"/>
              </w:rPr>
              <w:t>000 dollars des États-Unis sont examinées et approuvées par le Bureau du Comité. Le présent document présente brièvement les quatre demandes traitées par le Secrétariat, accompagnées des projets de décision correspondants. Le Bureau est invité à prendre une décision sur ces demandes par voie de consultation électronique.</w:t>
            </w:r>
          </w:p>
          <w:p w:rsidR="00BC3420" w:rsidRPr="00761349" w:rsidRDefault="001F60D1" w:rsidP="001F60D1">
            <w:pPr>
              <w:pStyle w:val="Sansinterligne2"/>
              <w:spacing w:before="200" w:after="200"/>
              <w:ind w:right="284"/>
              <w:jc w:val="both"/>
              <w:rPr>
                <w:rFonts w:ascii="Arial" w:hAnsi="Arial" w:cs="Arial"/>
                <w:b/>
                <w:sz w:val="22"/>
                <w:szCs w:val="22"/>
              </w:rPr>
            </w:pPr>
            <w:r w:rsidRPr="001F60D1">
              <w:rPr>
                <w:rFonts w:ascii="Arial" w:hAnsi="Arial" w:cs="Arial"/>
                <w:b/>
                <w:sz w:val="22"/>
                <w:szCs w:val="22"/>
              </w:rPr>
              <w:t xml:space="preserve">Décision requise : </w:t>
            </w:r>
            <w:r w:rsidRPr="001F60D1">
              <w:rPr>
                <w:rFonts w:ascii="Arial" w:hAnsi="Arial" w:cs="Arial"/>
                <w:sz w:val="22"/>
                <w:szCs w:val="22"/>
              </w:rPr>
              <w:t xml:space="preserve">paragraphe </w:t>
            </w:r>
            <w:r w:rsidRPr="001B6BAB">
              <w:rPr>
                <w:rFonts w:ascii="Arial" w:hAnsi="Arial" w:cs="Arial"/>
                <w:sz w:val="22"/>
                <w:szCs w:val="22"/>
              </w:rPr>
              <w:t>7</w:t>
            </w:r>
          </w:p>
        </w:tc>
      </w:tr>
    </w:tbl>
    <w:p w:rsidR="00221107" w:rsidRPr="00594D37" w:rsidRDefault="00793076" w:rsidP="001F60D1">
      <w:pPr>
        <w:pStyle w:val="Paragraph"/>
        <w:pageBreakBefore/>
        <w:numPr>
          <w:ilvl w:val="0"/>
          <w:numId w:val="21"/>
        </w:numPr>
        <w:tabs>
          <w:tab w:val="num" w:pos="567"/>
        </w:tabs>
        <w:spacing w:after="120"/>
        <w:ind w:left="567" w:hanging="567"/>
        <w:rPr>
          <w:snapToGrid w:val="0"/>
          <w:lang w:val="fr-FR"/>
        </w:rPr>
      </w:pPr>
      <w:r w:rsidRPr="00A5015D">
        <w:rPr>
          <w:snapToGrid w:val="0"/>
          <w:lang w:val="fr-FR"/>
        </w:rPr>
        <w:lastRenderedPageBreak/>
        <w:t>Comme stipulé à l’article 20 de la Convention,</w:t>
      </w:r>
      <w:r w:rsidR="00A5015D" w:rsidRPr="00A5015D">
        <w:rPr>
          <w:snapToGrid w:val="0"/>
          <w:lang w:val="fr-FR"/>
        </w:rPr>
        <w:t xml:space="preserve"> l’assistance internationale peut être accordée aux États parties pour des objectifs de sauvegarde du patrimoine</w:t>
      </w:r>
      <w:r w:rsidR="00A5015D">
        <w:rPr>
          <w:snapToGrid w:val="0"/>
          <w:lang w:val="fr-FR"/>
        </w:rPr>
        <w:t xml:space="preserve"> inscrit sur la Liste du patrimoine culturel immatériel nécessitant une sauvegarde urgente, pour la préparation d’inventaires au sens des articles 11 et 12</w:t>
      </w:r>
      <w:r w:rsidR="008F2D08">
        <w:rPr>
          <w:snapToGrid w:val="0"/>
          <w:lang w:val="fr-FR"/>
        </w:rPr>
        <w:t xml:space="preserve"> de la Convention</w:t>
      </w:r>
      <w:r w:rsidR="00A5015D">
        <w:rPr>
          <w:snapToGrid w:val="0"/>
          <w:lang w:val="fr-FR"/>
        </w:rPr>
        <w:t xml:space="preserve">, pour l’appui à des programmes, projets et activités conduits aux niveaux national, sous-régional et régional, visant à la sauvegarde du patrimoine culturel immatériel et pour tout autre objectif que le Comité jugerait nécessaire. Conformément au </w:t>
      </w:r>
      <w:r w:rsidR="00092A74">
        <w:rPr>
          <w:snapToGrid w:val="0"/>
          <w:lang w:val="fr-FR"/>
        </w:rPr>
        <w:t>paragraphe </w:t>
      </w:r>
      <w:r w:rsidR="00594D37">
        <w:rPr>
          <w:snapToGrid w:val="0"/>
          <w:lang w:val="fr-FR"/>
        </w:rPr>
        <w:t>47 des Directives opérationnelles,</w:t>
      </w:r>
      <w:r w:rsidR="00A5015D" w:rsidRPr="00A5015D">
        <w:rPr>
          <w:snapToGrid w:val="0"/>
          <w:lang w:val="fr-FR"/>
        </w:rPr>
        <w:t xml:space="preserve"> </w:t>
      </w:r>
      <w:r w:rsidR="00594D37">
        <w:rPr>
          <w:snapToGrid w:val="0"/>
          <w:lang w:val="fr-FR"/>
        </w:rPr>
        <w:t>les demandes d’assistance internationale jusqu</w:t>
      </w:r>
      <w:r w:rsidR="00092A74">
        <w:rPr>
          <w:snapToGrid w:val="0"/>
          <w:lang w:val="fr-FR"/>
        </w:rPr>
        <w:t>’à 25 </w:t>
      </w:r>
      <w:r w:rsidR="00594D37">
        <w:rPr>
          <w:snapToGrid w:val="0"/>
          <w:lang w:val="fr-FR"/>
        </w:rPr>
        <w:t xml:space="preserve">000 dollars des </w:t>
      </w:r>
      <w:r w:rsidR="00964011">
        <w:rPr>
          <w:snapToGrid w:val="0"/>
          <w:lang w:val="fr-FR"/>
        </w:rPr>
        <w:t>É</w:t>
      </w:r>
      <w:r w:rsidR="00594D37">
        <w:rPr>
          <w:snapToGrid w:val="0"/>
          <w:lang w:val="fr-FR"/>
        </w:rPr>
        <w:t xml:space="preserve">tats-Unis (à l’exception des demandes d’assistance préparatoire) peuvent être soumises à tout moment. Le paragraphe 49 </w:t>
      </w:r>
      <w:r w:rsidR="00C215D2">
        <w:rPr>
          <w:snapToGrid w:val="0"/>
          <w:lang w:val="fr-FR"/>
        </w:rPr>
        <w:t>stipule</w:t>
      </w:r>
      <w:r w:rsidR="00594D37">
        <w:rPr>
          <w:snapToGrid w:val="0"/>
          <w:lang w:val="fr-FR"/>
        </w:rPr>
        <w:t xml:space="preserve"> par aille</w:t>
      </w:r>
      <w:r w:rsidR="00092A74">
        <w:rPr>
          <w:snapToGrid w:val="0"/>
          <w:lang w:val="fr-FR"/>
        </w:rPr>
        <w:t>urs que les demandes jusqu’à 25 </w:t>
      </w:r>
      <w:r w:rsidR="00594D37">
        <w:rPr>
          <w:snapToGrid w:val="0"/>
          <w:lang w:val="fr-FR"/>
        </w:rPr>
        <w:t xml:space="preserve">000 dollars des </w:t>
      </w:r>
      <w:r w:rsidR="00964011">
        <w:rPr>
          <w:snapToGrid w:val="0"/>
          <w:lang w:val="fr-FR"/>
        </w:rPr>
        <w:t>É</w:t>
      </w:r>
      <w:r w:rsidR="00C215D2">
        <w:rPr>
          <w:snapToGrid w:val="0"/>
          <w:lang w:val="fr-FR"/>
        </w:rPr>
        <w:t>tats-Unis</w:t>
      </w:r>
      <w:r w:rsidR="00594D37">
        <w:rPr>
          <w:snapToGrid w:val="0"/>
          <w:lang w:val="fr-FR"/>
        </w:rPr>
        <w:t xml:space="preserve"> sont examinées et approuvées par le</w:t>
      </w:r>
      <w:r w:rsidR="00C215D2">
        <w:rPr>
          <w:snapToGrid w:val="0"/>
          <w:lang w:val="fr-FR"/>
        </w:rPr>
        <w:t xml:space="preserve"> Bureau du</w:t>
      </w:r>
      <w:r w:rsidR="00594D37">
        <w:rPr>
          <w:snapToGrid w:val="0"/>
          <w:lang w:val="fr-FR"/>
        </w:rPr>
        <w:t xml:space="preserve"> Comité.</w:t>
      </w:r>
    </w:p>
    <w:p w:rsidR="00486AC6" w:rsidRPr="00761349" w:rsidRDefault="008F2D08" w:rsidP="00891379">
      <w:pPr>
        <w:pStyle w:val="NoSpacing1"/>
        <w:keepNext/>
        <w:numPr>
          <w:ilvl w:val="0"/>
          <w:numId w:val="17"/>
        </w:numPr>
        <w:tabs>
          <w:tab w:val="left" w:pos="567"/>
        </w:tabs>
        <w:spacing w:before="360" w:after="240"/>
        <w:ind w:left="0" w:firstLine="0"/>
        <w:jc w:val="both"/>
        <w:rPr>
          <w:rFonts w:ascii="Arial" w:hAnsi="Arial" w:cs="Arial"/>
          <w:b/>
        </w:rPr>
      </w:pPr>
      <w:r>
        <w:rPr>
          <w:rFonts w:ascii="Arial" w:hAnsi="Arial" w:cs="Arial"/>
          <w:b/>
        </w:rPr>
        <w:t>Aperçu</w:t>
      </w:r>
      <w:r w:rsidR="00B71C2E" w:rsidRPr="00761349">
        <w:rPr>
          <w:rFonts w:ascii="Arial" w:hAnsi="Arial" w:cs="Arial"/>
          <w:b/>
        </w:rPr>
        <w:t xml:space="preserve"> </w:t>
      </w:r>
      <w:r w:rsidR="00356CAA" w:rsidRPr="00761349">
        <w:rPr>
          <w:rFonts w:ascii="Arial" w:hAnsi="Arial" w:cs="Arial"/>
          <w:b/>
        </w:rPr>
        <w:t>des demandes</w:t>
      </w:r>
      <w:r w:rsidR="001772E0" w:rsidRPr="00761349">
        <w:rPr>
          <w:rFonts w:ascii="Arial" w:hAnsi="Arial" w:cs="Arial"/>
          <w:b/>
        </w:rPr>
        <w:t xml:space="preserve"> actuelles</w:t>
      </w:r>
    </w:p>
    <w:p w:rsidR="008D3134" w:rsidRPr="00481C4C" w:rsidRDefault="00C215D2" w:rsidP="008D3134">
      <w:pPr>
        <w:pStyle w:val="DocMain"/>
        <w:numPr>
          <w:ilvl w:val="0"/>
          <w:numId w:val="9"/>
        </w:numPr>
        <w:tabs>
          <w:tab w:val="left" w:pos="567"/>
        </w:tabs>
        <w:spacing w:before="0" w:after="120"/>
        <w:ind w:left="567" w:hanging="567"/>
      </w:pPr>
      <w:r>
        <w:t xml:space="preserve">Le Bureau est invité à </w:t>
      </w:r>
      <w:r w:rsidR="00CE7090">
        <w:t xml:space="preserve">examiner </w:t>
      </w:r>
      <w:r w:rsidR="00594D37">
        <w:t>les quatre</w:t>
      </w:r>
      <w:r w:rsidR="00CE7090" w:rsidRPr="00481C4C">
        <w:t xml:space="preserve"> demandes compl</w:t>
      </w:r>
      <w:r>
        <w:t>èt</w:t>
      </w:r>
      <w:r w:rsidR="00CE7090" w:rsidRPr="00481C4C">
        <w:t>es</w:t>
      </w:r>
      <w:r w:rsidR="00594D37">
        <w:t xml:space="preserve"> suivantes</w:t>
      </w:r>
      <w:r w:rsidR="00CE7090" w:rsidRPr="00481C4C">
        <w:t xml:space="preserve"> et de prendre une décision à leur </w:t>
      </w:r>
      <w:r w:rsidR="00CE7090" w:rsidRPr="00A55890">
        <w:t>égard</w:t>
      </w:r>
      <w:r w:rsidR="00594D37">
        <w:t> :</w:t>
      </w:r>
      <w:r w:rsidR="00CE7090">
        <w:t> </w:t>
      </w:r>
    </w:p>
    <w:tbl>
      <w:tblPr>
        <w:tblW w:w="4651"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843"/>
        <w:gridCol w:w="1159"/>
        <w:gridCol w:w="3968"/>
        <w:gridCol w:w="1254"/>
        <w:gridCol w:w="847"/>
      </w:tblGrid>
      <w:tr w:rsidR="000932C3" w:rsidRPr="00761349">
        <w:trPr>
          <w:cantSplit/>
          <w:tblHeader/>
        </w:trPr>
        <w:tc>
          <w:tcPr>
            <w:tcW w:w="1016" w:type="pct"/>
            <w:tcBorders>
              <w:top w:val="single" w:sz="4" w:space="0" w:color="auto"/>
              <w:bottom w:val="single" w:sz="4" w:space="0" w:color="auto"/>
              <w:right w:val="nil"/>
            </w:tcBorders>
            <w:shd w:val="clear" w:color="auto" w:fill="BFBFBF"/>
            <w:vAlign w:val="center"/>
          </w:tcPr>
          <w:p w:rsidR="000932C3" w:rsidRPr="001D2972" w:rsidRDefault="00356CAA" w:rsidP="00356CAA">
            <w:pPr>
              <w:spacing w:before="120" w:after="120"/>
              <w:jc w:val="center"/>
              <w:rPr>
                <w:rFonts w:ascii="Arial" w:hAnsi="Arial" w:cs="Arial"/>
                <w:sz w:val="18"/>
                <w:szCs w:val="18"/>
                <w:lang w:val="en-GB"/>
              </w:rPr>
            </w:pPr>
            <w:r w:rsidRPr="00761349">
              <w:rPr>
                <w:rFonts w:ascii="Arial" w:hAnsi="Arial" w:cs="Arial"/>
                <w:b/>
                <w:bCs/>
                <w:sz w:val="18"/>
                <w:szCs w:val="18"/>
                <w:lang w:eastAsia="en-GB"/>
              </w:rPr>
              <w:t xml:space="preserve">Projet de </w:t>
            </w:r>
            <w:r w:rsidR="00761349" w:rsidRPr="00761349">
              <w:rPr>
                <w:rFonts w:ascii="Arial" w:hAnsi="Arial" w:cs="Arial"/>
                <w:b/>
                <w:bCs/>
                <w:sz w:val="18"/>
                <w:szCs w:val="18"/>
                <w:lang w:eastAsia="en-GB"/>
              </w:rPr>
              <w:t>décision</w:t>
            </w:r>
          </w:p>
        </w:tc>
        <w:tc>
          <w:tcPr>
            <w:tcW w:w="639" w:type="pct"/>
            <w:tcBorders>
              <w:top w:val="single" w:sz="4" w:space="0" w:color="auto"/>
              <w:left w:val="nil"/>
              <w:bottom w:val="single" w:sz="4" w:space="0" w:color="auto"/>
            </w:tcBorders>
            <w:shd w:val="clear" w:color="auto" w:fill="BFBFBF"/>
            <w:vAlign w:val="center"/>
          </w:tcPr>
          <w:p w:rsidR="000932C3" w:rsidRPr="00761349" w:rsidRDefault="00761349" w:rsidP="00356CAA">
            <w:pPr>
              <w:spacing w:before="120" w:after="120"/>
              <w:jc w:val="center"/>
              <w:rPr>
                <w:rFonts w:ascii="Arial" w:hAnsi="Arial" w:cs="Arial"/>
                <w:sz w:val="18"/>
                <w:szCs w:val="18"/>
              </w:rPr>
            </w:pPr>
            <w:r w:rsidRPr="00761349">
              <w:rPr>
                <w:rFonts w:ascii="Arial" w:hAnsi="Arial" w:cs="Arial"/>
                <w:b/>
                <w:bCs/>
                <w:sz w:val="18"/>
                <w:szCs w:val="18"/>
                <w:lang w:eastAsia="en-GB"/>
              </w:rPr>
              <w:t>État</w:t>
            </w:r>
            <w:r w:rsidR="00356CAA" w:rsidRPr="00761349">
              <w:rPr>
                <w:rFonts w:ascii="Arial" w:hAnsi="Arial" w:cs="Arial"/>
                <w:b/>
                <w:bCs/>
                <w:sz w:val="18"/>
                <w:szCs w:val="18"/>
                <w:lang w:eastAsia="en-GB"/>
              </w:rPr>
              <w:t xml:space="preserve"> demandeur</w:t>
            </w:r>
          </w:p>
        </w:tc>
        <w:tc>
          <w:tcPr>
            <w:tcW w:w="2187" w:type="pct"/>
            <w:tcBorders>
              <w:top w:val="single" w:sz="4" w:space="0" w:color="auto"/>
              <w:bottom w:val="single" w:sz="4" w:space="0" w:color="auto"/>
            </w:tcBorders>
            <w:shd w:val="clear" w:color="auto" w:fill="BFBFBF"/>
            <w:vAlign w:val="center"/>
          </w:tcPr>
          <w:p w:rsidR="000932C3" w:rsidRPr="00761349" w:rsidRDefault="000932C3" w:rsidP="001772E0">
            <w:pPr>
              <w:spacing w:before="120" w:after="120"/>
              <w:jc w:val="center"/>
              <w:rPr>
                <w:rFonts w:ascii="Arial" w:hAnsi="Arial" w:cs="Arial"/>
                <w:sz w:val="18"/>
                <w:szCs w:val="18"/>
              </w:rPr>
            </w:pPr>
            <w:r w:rsidRPr="00761349">
              <w:rPr>
                <w:rFonts w:ascii="Arial" w:hAnsi="Arial" w:cs="Arial"/>
                <w:b/>
                <w:bCs/>
                <w:sz w:val="18"/>
                <w:szCs w:val="18"/>
                <w:lang w:eastAsia="en-GB"/>
              </w:rPr>
              <w:t>Tit</w:t>
            </w:r>
            <w:r w:rsidR="001772E0" w:rsidRPr="00761349">
              <w:rPr>
                <w:rFonts w:ascii="Arial" w:hAnsi="Arial" w:cs="Arial"/>
                <w:b/>
                <w:bCs/>
                <w:sz w:val="18"/>
                <w:szCs w:val="18"/>
                <w:lang w:eastAsia="en-GB"/>
              </w:rPr>
              <w:t>r</w:t>
            </w:r>
            <w:r w:rsidRPr="00761349">
              <w:rPr>
                <w:rFonts w:ascii="Arial" w:hAnsi="Arial" w:cs="Arial"/>
                <w:b/>
                <w:bCs/>
                <w:sz w:val="18"/>
                <w:szCs w:val="18"/>
                <w:lang w:eastAsia="en-GB"/>
              </w:rPr>
              <w:t>e</w:t>
            </w:r>
          </w:p>
        </w:tc>
        <w:tc>
          <w:tcPr>
            <w:tcW w:w="691" w:type="pct"/>
            <w:tcBorders>
              <w:top w:val="single" w:sz="4" w:space="0" w:color="auto"/>
              <w:bottom w:val="single" w:sz="4" w:space="0" w:color="auto"/>
            </w:tcBorders>
            <w:shd w:val="clear" w:color="auto" w:fill="BFBFBF"/>
            <w:vAlign w:val="center"/>
          </w:tcPr>
          <w:p w:rsidR="000932C3" w:rsidRPr="00761349" w:rsidRDefault="00356CAA" w:rsidP="00356CAA">
            <w:pPr>
              <w:spacing w:before="120" w:after="120"/>
              <w:jc w:val="center"/>
              <w:rPr>
                <w:rFonts w:ascii="Arial" w:hAnsi="Arial" w:cs="Arial"/>
                <w:b/>
                <w:bCs/>
                <w:sz w:val="18"/>
                <w:szCs w:val="18"/>
                <w:lang w:eastAsia="en-GB"/>
              </w:rPr>
            </w:pPr>
            <w:r w:rsidRPr="00761349">
              <w:rPr>
                <w:rFonts w:ascii="Arial" w:hAnsi="Arial" w:cs="Arial"/>
                <w:b/>
                <w:bCs/>
                <w:sz w:val="18"/>
                <w:szCs w:val="18"/>
                <w:lang w:eastAsia="en-GB"/>
              </w:rPr>
              <w:t>Montant demandé</w:t>
            </w:r>
          </w:p>
        </w:tc>
        <w:tc>
          <w:tcPr>
            <w:tcW w:w="467" w:type="pct"/>
            <w:tcBorders>
              <w:top w:val="single" w:sz="4" w:space="0" w:color="auto"/>
              <w:bottom w:val="single" w:sz="4" w:space="0" w:color="auto"/>
            </w:tcBorders>
            <w:shd w:val="clear" w:color="auto" w:fill="BFBFBF"/>
            <w:vAlign w:val="center"/>
          </w:tcPr>
          <w:p w:rsidR="000932C3" w:rsidRPr="00761349" w:rsidRDefault="00356CAA" w:rsidP="00356CAA">
            <w:pPr>
              <w:spacing w:before="120" w:after="120"/>
              <w:jc w:val="center"/>
              <w:rPr>
                <w:rFonts w:ascii="Arial" w:hAnsi="Arial" w:cs="Arial"/>
                <w:sz w:val="18"/>
                <w:szCs w:val="18"/>
              </w:rPr>
            </w:pPr>
            <w:r w:rsidRPr="00761349">
              <w:rPr>
                <w:rFonts w:ascii="Arial" w:hAnsi="Arial" w:cs="Arial"/>
                <w:b/>
                <w:bCs/>
                <w:sz w:val="18"/>
                <w:szCs w:val="18"/>
                <w:lang w:eastAsia="en-GB"/>
              </w:rPr>
              <w:t>N° de dossier</w:t>
            </w:r>
          </w:p>
        </w:tc>
      </w:tr>
      <w:tr w:rsidR="000932C3" w:rsidRPr="00761349">
        <w:trPr>
          <w:cantSplit/>
          <w:tblHeader/>
        </w:trPr>
        <w:tc>
          <w:tcPr>
            <w:tcW w:w="1016" w:type="pct"/>
            <w:tcBorders>
              <w:top w:val="single" w:sz="4" w:space="0" w:color="auto"/>
              <w:bottom w:val="single" w:sz="4" w:space="0" w:color="auto"/>
              <w:right w:val="nil"/>
            </w:tcBorders>
            <w:shd w:val="clear" w:color="auto" w:fill="auto"/>
            <w:vAlign w:val="center"/>
          </w:tcPr>
          <w:p w:rsidR="000932C3" w:rsidRPr="00221107" w:rsidRDefault="00594D37" w:rsidP="00880142">
            <w:pPr>
              <w:spacing w:before="120" w:after="120"/>
              <w:jc w:val="center"/>
              <w:rPr>
                <w:rFonts w:ascii="Arial" w:hAnsi="Arial" w:cs="Arial"/>
                <w:bCs/>
                <w:sz w:val="20"/>
                <w:szCs w:val="20"/>
                <w:lang w:eastAsia="en-GB"/>
              </w:rPr>
            </w:pPr>
            <w:r>
              <w:rPr>
                <w:rStyle w:val="Hyperlink"/>
                <w:rFonts w:ascii="Arial" w:hAnsi="Arial" w:cs="Arial"/>
                <w:color w:val="000000" w:themeColor="text1"/>
                <w:sz w:val="20"/>
                <w:szCs w:val="20"/>
                <w:u w:val="none"/>
                <w:lang w:val="en-GB"/>
              </w:rPr>
              <w:t>11.COM 1.BUR 1.1</w:t>
            </w:r>
          </w:p>
        </w:tc>
        <w:tc>
          <w:tcPr>
            <w:tcW w:w="639" w:type="pct"/>
            <w:tcBorders>
              <w:top w:val="single" w:sz="4" w:space="0" w:color="auto"/>
              <w:left w:val="nil"/>
              <w:bottom w:val="single" w:sz="4" w:space="0" w:color="auto"/>
            </w:tcBorders>
            <w:shd w:val="clear" w:color="auto" w:fill="auto"/>
            <w:vAlign w:val="center"/>
          </w:tcPr>
          <w:p w:rsidR="000932C3" w:rsidRPr="00761349" w:rsidRDefault="00594D37" w:rsidP="00880142">
            <w:pPr>
              <w:spacing w:before="120" w:after="120"/>
              <w:jc w:val="center"/>
              <w:rPr>
                <w:rFonts w:ascii="Arial" w:hAnsi="Arial" w:cs="Arial"/>
                <w:bCs/>
                <w:sz w:val="20"/>
                <w:szCs w:val="20"/>
                <w:lang w:eastAsia="en-GB"/>
              </w:rPr>
            </w:pPr>
            <w:r>
              <w:rPr>
                <w:rFonts w:ascii="Arial" w:hAnsi="Arial" w:cs="Arial"/>
                <w:bCs/>
                <w:sz w:val="20"/>
                <w:szCs w:val="20"/>
                <w:lang w:eastAsia="en-GB"/>
              </w:rPr>
              <w:t>Égypte</w:t>
            </w:r>
          </w:p>
        </w:tc>
        <w:tc>
          <w:tcPr>
            <w:tcW w:w="2187" w:type="pct"/>
            <w:tcBorders>
              <w:top w:val="single" w:sz="4" w:space="0" w:color="auto"/>
              <w:bottom w:val="single" w:sz="4" w:space="0" w:color="auto"/>
            </w:tcBorders>
            <w:shd w:val="clear" w:color="auto" w:fill="auto"/>
            <w:vAlign w:val="center"/>
          </w:tcPr>
          <w:p w:rsidR="000932C3" w:rsidRPr="00C2404D" w:rsidRDefault="00C2404D" w:rsidP="00C215D2">
            <w:pPr>
              <w:spacing w:before="120" w:after="120"/>
              <w:rPr>
                <w:rFonts w:ascii="Arial" w:hAnsi="Arial" w:cs="Arial"/>
                <w:sz w:val="20"/>
                <w:szCs w:val="20"/>
              </w:rPr>
            </w:pPr>
            <w:r w:rsidRPr="00C2404D">
              <w:rPr>
                <w:rFonts w:ascii="Arial" w:hAnsi="Arial" w:cs="Arial"/>
                <w:sz w:val="20"/>
                <w:szCs w:val="20"/>
              </w:rPr>
              <w:t>Inventaire de la culture immatérielle de l’artisanat du ‘Caire traditionnel’ à l’aide d’une approche par aire culturelle dans le périmètre situé entre Bab al-Naser et Bab al-Fetouh (nord) et Bab Zeweela (sud)</w:t>
            </w:r>
            <w:r w:rsidRPr="00C2404D">
              <w:rPr>
                <w:sz w:val="20"/>
                <w:szCs w:val="20"/>
              </w:rPr>
              <w:t> </w:t>
            </w:r>
          </w:p>
        </w:tc>
        <w:tc>
          <w:tcPr>
            <w:tcW w:w="691" w:type="pct"/>
            <w:tcBorders>
              <w:top w:val="single" w:sz="4" w:space="0" w:color="auto"/>
              <w:bottom w:val="single" w:sz="4" w:space="0" w:color="auto"/>
            </w:tcBorders>
            <w:vAlign w:val="center"/>
          </w:tcPr>
          <w:p w:rsidR="000932C3" w:rsidRPr="00761349" w:rsidRDefault="008F2D08" w:rsidP="009712A4">
            <w:pPr>
              <w:spacing w:before="120" w:after="120"/>
              <w:jc w:val="center"/>
              <w:rPr>
                <w:rFonts w:ascii="Arial" w:hAnsi="Arial" w:cs="Arial"/>
                <w:sz w:val="20"/>
                <w:szCs w:val="20"/>
              </w:rPr>
            </w:pPr>
            <w:r>
              <w:rPr>
                <w:rFonts w:ascii="Arial" w:hAnsi="Arial" w:cs="Arial"/>
                <w:sz w:val="20"/>
                <w:szCs w:val="20"/>
              </w:rPr>
              <w:t>25 </w:t>
            </w:r>
            <w:r w:rsidR="00A54E0A">
              <w:rPr>
                <w:rFonts w:ascii="Arial" w:hAnsi="Arial" w:cs="Arial"/>
                <w:sz w:val="20"/>
                <w:szCs w:val="20"/>
              </w:rPr>
              <w:t>000</w:t>
            </w:r>
            <w:r w:rsidR="00221107">
              <w:rPr>
                <w:rFonts w:ascii="Arial" w:hAnsi="Arial" w:cs="Arial"/>
                <w:sz w:val="20"/>
                <w:szCs w:val="20"/>
              </w:rPr>
              <w:t xml:space="preserve"> </w:t>
            </w:r>
            <w:r w:rsidR="00C22C21" w:rsidRPr="00761349">
              <w:rPr>
                <w:rFonts w:ascii="Arial" w:hAnsi="Arial" w:cs="Arial"/>
                <w:sz w:val="20"/>
                <w:szCs w:val="20"/>
              </w:rPr>
              <w:t>$ des É.-U.</w:t>
            </w:r>
          </w:p>
        </w:tc>
        <w:tc>
          <w:tcPr>
            <w:tcW w:w="467" w:type="pct"/>
            <w:tcBorders>
              <w:top w:val="single" w:sz="4" w:space="0" w:color="auto"/>
              <w:bottom w:val="single" w:sz="4" w:space="0" w:color="auto"/>
            </w:tcBorders>
            <w:shd w:val="clear" w:color="auto" w:fill="auto"/>
            <w:vAlign w:val="center"/>
          </w:tcPr>
          <w:p w:rsidR="000932C3" w:rsidRPr="00761349" w:rsidRDefault="00A54E0A" w:rsidP="009712A4">
            <w:pPr>
              <w:spacing w:before="120" w:after="120"/>
              <w:jc w:val="center"/>
              <w:rPr>
                <w:rFonts w:ascii="Arial" w:hAnsi="Arial" w:cs="Arial"/>
                <w:bCs/>
                <w:sz w:val="20"/>
                <w:szCs w:val="20"/>
                <w:lang w:eastAsia="en-GB"/>
              </w:rPr>
            </w:pPr>
            <w:r>
              <w:rPr>
                <w:rFonts w:ascii="Arial" w:hAnsi="Arial" w:cs="Arial"/>
                <w:sz w:val="20"/>
                <w:szCs w:val="20"/>
              </w:rPr>
              <w:t>01019</w:t>
            </w:r>
          </w:p>
        </w:tc>
      </w:tr>
      <w:tr w:rsidR="000932C3" w:rsidRPr="00761349">
        <w:trPr>
          <w:cantSplit/>
          <w:tblHeader/>
        </w:trPr>
        <w:tc>
          <w:tcPr>
            <w:tcW w:w="1016" w:type="pct"/>
            <w:tcBorders>
              <w:top w:val="single" w:sz="4" w:space="0" w:color="auto"/>
              <w:bottom w:val="single" w:sz="4" w:space="0" w:color="auto"/>
              <w:right w:val="nil"/>
            </w:tcBorders>
            <w:shd w:val="clear" w:color="auto" w:fill="auto"/>
            <w:vAlign w:val="center"/>
          </w:tcPr>
          <w:p w:rsidR="000932C3" w:rsidRPr="00221107" w:rsidRDefault="00A54E0A" w:rsidP="00A54E0A">
            <w:pPr>
              <w:spacing w:before="120" w:after="120"/>
              <w:jc w:val="center"/>
              <w:rPr>
                <w:rStyle w:val="Hyperlink"/>
              </w:rPr>
            </w:pPr>
            <w:r w:rsidRPr="008F2D08">
              <w:rPr>
                <w:rStyle w:val="Hyperlink"/>
                <w:rFonts w:ascii="Arial" w:hAnsi="Arial" w:cs="Arial"/>
                <w:color w:val="000000" w:themeColor="text1"/>
                <w:sz w:val="20"/>
                <w:szCs w:val="20"/>
                <w:u w:val="none"/>
              </w:rPr>
              <w:t>11.COM 1.BUR 1.2</w:t>
            </w:r>
          </w:p>
        </w:tc>
        <w:tc>
          <w:tcPr>
            <w:tcW w:w="639" w:type="pct"/>
            <w:tcBorders>
              <w:top w:val="single" w:sz="4" w:space="0" w:color="auto"/>
              <w:left w:val="nil"/>
              <w:bottom w:val="single" w:sz="4" w:space="0" w:color="auto"/>
            </w:tcBorders>
            <w:shd w:val="clear" w:color="auto" w:fill="auto"/>
            <w:vAlign w:val="center"/>
          </w:tcPr>
          <w:p w:rsidR="000932C3" w:rsidRPr="00761349" w:rsidRDefault="00A54E0A" w:rsidP="00356CAA">
            <w:pPr>
              <w:spacing w:before="120" w:after="120"/>
              <w:jc w:val="center"/>
              <w:rPr>
                <w:rFonts w:ascii="Arial" w:hAnsi="Arial" w:cs="Arial"/>
                <w:sz w:val="20"/>
                <w:szCs w:val="20"/>
              </w:rPr>
            </w:pPr>
            <w:r>
              <w:rPr>
                <w:rFonts w:ascii="Arial" w:hAnsi="Arial" w:cs="Arial"/>
                <w:sz w:val="20"/>
                <w:szCs w:val="20"/>
              </w:rPr>
              <w:t>Fidji</w:t>
            </w:r>
          </w:p>
        </w:tc>
        <w:tc>
          <w:tcPr>
            <w:tcW w:w="2187" w:type="pct"/>
            <w:tcBorders>
              <w:top w:val="single" w:sz="4" w:space="0" w:color="auto"/>
              <w:bottom w:val="single" w:sz="4" w:space="0" w:color="auto"/>
            </w:tcBorders>
            <w:shd w:val="clear" w:color="auto" w:fill="auto"/>
            <w:vAlign w:val="center"/>
          </w:tcPr>
          <w:p w:rsidR="000932C3" w:rsidRPr="00761349" w:rsidRDefault="00A54E0A" w:rsidP="00C215D2">
            <w:pPr>
              <w:spacing w:before="120" w:after="120"/>
              <w:rPr>
                <w:rFonts w:ascii="Arial" w:hAnsi="Arial" w:cs="Arial"/>
                <w:sz w:val="20"/>
                <w:szCs w:val="20"/>
              </w:rPr>
            </w:pPr>
            <w:r>
              <w:rPr>
                <w:rFonts w:ascii="Arial" w:hAnsi="Arial" w:cs="Arial"/>
                <w:sz w:val="20"/>
                <w:szCs w:val="20"/>
              </w:rPr>
              <w:t>Sauvegarde des systèmes de savoirs associés aux méthodes</w:t>
            </w:r>
            <w:r w:rsidR="00C215D2">
              <w:rPr>
                <w:rFonts w:ascii="Arial" w:hAnsi="Arial" w:cs="Arial"/>
                <w:sz w:val="20"/>
                <w:szCs w:val="20"/>
              </w:rPr>
              <w:t xml:space="preserve"> traditionnelles</w:t>
            </w:r>
            <w:r>
              <w:rPr>
                <w:rFonts w:ascii="Arial" w:hAnsi="Arial" w:cs="Arial"/>
                <w:sz w:val="20"/>
                <w:szCs w:val="20"/>
              </w:rPr>
              <w:t xml:space="preserve"> de construction des maisons (Bure) </w:t>
            </w:r>
            <w:r w:rsidR="00C215D2">
              <w:rPr>
                <w:rFonts w:ascii="Arial" w:hAnsi="Arial" w:cs="Arial"/>
                <w:sz w:val="20"/>
                <w:szCs w:val="20"/>
              </w:rPr>
              <w:t>f</w:t>
            </w:r>
            <w:r>
              <w:rPr>
                <w:rFonts w:ascii="Arial" w:hAnsi="Arial" w:cs="Arial"/>
                <w:sz w:val="20"/>
                <w:szCs w:val="20"/>
              </w:rPr>
              <w:t>idjiennes (iTaukei) dans le village de Navala (Fidji)</w:t>
            </w:r>
          </w:p>
        </w:tc>
        <w:tc>
          <w:tcPr>
            <w:tcW w:w="691" w:type="pct"/>
            <w:tcBorders>
              <w:top w:val="single" w:sz="4" w:space="0" w:color="auto"/>
              <w:bottom w:val="single" w:sz="4" w:space="0" w:color="auto"/>
            </w:tcBorders>
            <w:vAlign w:val="center"/>
          </w:tcPr>
          <w:p w:rsidR="000932C3" w:rsidRPr="00761349" w:rsidRDefault="008F2D08" w:rsidP="009712A4">
            <w:pPr>
              <w:spacing w:before="120" w:after="120"/>
              <w:jc w:val="center"/>
              <w:rPr>
                <w:rFonts w:ascii="Arial" w:hAnsi="Arial" w:cs="Arial"/>
                <w:sz w:val="20"/>
                <w:szCs w:val="20"/>
              </w:rPr>
            </w:pPr>
            <w:r>
              <w:rPr>
                <w:rFonts w:ascii="Arial" w:hAnsi="Arial" w:cs="Arial"/>
                <w:sz w:val="20"/>
                <w:szCs w:val="20"/>
              </w:rPr>
              <w:t>25 </w:t>
            </w:r>
            <w:r w:rsidR="00A54E0A">
              <w:rPr>
                <w:rFonts w:ascii="Arial" w:hAnsi="Arial" w:cs="Arial"/>
                <w:sz w:val="20"/>
                <w:szCs w:val="20"/>
              </w:rPr>
              <w:t xml:space="preserve">000 </w:t>
            </w:r>
            <w:r w:rsidR="00A54E0A" w:rsidRPr="00761349">
              <w:rPr>
                <w:rFonts w:ascii="Arial" w:hAnsi="Arial" w:cs="Arial"/>
                <w:sz w:val="20"/>
                <w:szCs w:val="20"/>
              </w:rPr>
              <w:t>$ des É.-U.</w:t>
            </w:r>
          </w:p>
        </w:tc>
        <w:tc>
          <w:tcPr>
            <w:tcW w:w="467" w:type="pct"/>
            <w:tcBorders>
              <w:top w:val="single" w:sz="4" w:space="0" w:color="auto"/>
              <w:bottom w:val="single" w:sz="4" w:space="0" w:color="auto"/>
            </w:tcBorders>
            <w:shd w:val="clear" w:color="auto" w:fill="auto"/>
            <w:vAlign w:val="center"/>
          </w:tcPr>
          <w:p w:rsidR="000932C3" w:rsidRPr="00761349" w:rsidRDefault="00A54E0A" w:rsidP="009712A4">
            <w:pPr>
              <w:spacing w:before="120" w:after="120"/>
              <w:jc w:val="center"/>
              <w:rPr>
                <w:rFonts w:ascii="Arial" w:hAnsi="Arial" w:cs="Arial"/>
                <w:sz w:val="20"/>
                <w:szCs w:val="20"/>
              </w:rPr>
            </w:pPr>
            <w:r>
              <w:rPr>
                <w:rFonts w:ascii="Arial" w:hAnsi="Arial" w:cs="Arial"/>
                <w:sz w:val="20"/>
                <w:szCs w:val="20"/>
              </w:rPr>
              <w:t>01121</w:t>
            </w:r>
          </w:p>
        </w:tc>
      </w:tr>
      <w:tr w:rsidR="00A54E0A" w:rsidRPr="00761349">
        <w:trPr>
          <w:cantSplit/>
          <w:tblHeader/>
        </w:trPr>
        <w:tc>
          <w:tcPr>
            <w:tcW w:w="1016" w:type="pct"/>
            <w:tcBorders>
              <w:top w:val="single" w:sz="4" w:space="0" w:color="auto"/>
              <w:bottom w:val="single" w:sz="4" w:space="0" w:color="auto"/>
              <w:right w:val="nil"/>
            </w:tcBorders>
            <w:shd w:val="clear" w:color="auto" w:fill="auto"/>
            <w:vAlign w:val="center"/>
          </w:tcPr>
          <w:p w:rsidR="00A54E0A" w:rsidRDefault="00A54E0A" w:rsidP="00A54E0A">
            <w:pPr>
              <w:spacing w:before="120" w:after="120"/>
              <w:jc w:val="center"/>
              <w:rPr>
                <w:rStyle w:val="Hyperlink"/>
              </w:rPr>
            </w:pPr>
            <w:r w:rsidRPr="008F2D08">
              <w:rPr>
                <w:rStyle w:val="Hyperlink"/>
                <w:rFonts w:ascii="Arial" w:hAnsi="Arial" w:cs="Arial"/>
                <w:color w:val="000000" w:themeColor="text1"/>
                <w:sz w:val="20"/>
                <w:szCs w:val="20"/>
                <w:u w:val="none"/>
              </w:rPr>
              <w:t>11.COM 1.BUR 1.3</w:t>
            </w:r>
          </w:p>
        </w:tc>
        <w:tc>
          <w:tcPr>
            <w:tcW w:w="639" w:type="pct"/>
            <w:tcBorders>
              <w:top w:val="single" w:sz="4" w:space="0" w:color="auto"/>
              <w:left w:val="nil"/>
              <w:bottom w:val="single" w:sz="4" w:space="0" w:color="auto"/>
            </w:tcBorders>
            <w:shd w:val="clear" w:color="auto" w:fill="auto"/>
            <w:vAlign w:val="center"/>
          </w:tcPr>
          <w:p w:rsidR="00A54E0A" w:rsidRDefault="00A54E0A" w:rsidP="00356CAA">
            <w:pPr>
              <w:spacing w:before="120" w:after="120"/>
              <w:jc w:val="center"/>
              <w:rPr>
                <w:rFonts w:ascii="Arial" w:hAnsi="Arial" w:cs="Arial"/>
                <w:sz w:val="20"/>
                <w:szCs w:val="20"/>
              </w:rPr>
            </w:pPr>
            <w:r>
              <w:rPr>
                <w:rFonts w:ascii="Arial" w:hAnsi="Arial" w:cs="Arial"/>
                <w:sz w:val="20"/>
                <w:szCs w:val="20"/>
              </w:rPr>
              <w:t>Kenya</w:t>
            </w:r>
          </w:p>
        </w:tc>
        <w:tc>
          <w:tcPr>
            <w:tcW w:w="2187" w:type="pct"/>
            <w:tcBorders>
              <w:top w:val="single" w:sz="4" w:space="0" w:color="auto"/>
              <w:bottom w:val="single" w:sz="4" w:space="0" w:color="auto"/>
            </w:tcBorders>
            <w:shd w:val="clear" w:color="auto" w:fill="auto"/>
            <w:vAlign w:val="center"/>
          </w:tcPr>
          <w:p w:rsidR="00A54E0A" w:rsidRDefault="00891379" w:rsidP="00891379">
            <w:pPr>
              <w:spacing w:before="120" w:after="120"/>
              <w:rPr>
                <w:rFonts w:ascii="Arial" w:hAnsi="Arial" w:cs="Arial"/>
                <w:sz w:val="20"/>
                <w:szCs w:val="20"/>
              </w:rPr>
            </w:pPr>
            <w:r>
              <w:rPr>
                <w:rFonts w:ascii="Arial" w:hAnsi="Arial" w:cs="Arial"/>
                <w:sz w:val="20"/>
                <w:szCs w:val="20"/>
              </w:rPr>
              <w:t xml:space="preserve">Promotion des pratiques traditionnelles de poterie de l’est du Kenya </w:t>
            </w:r>
          </w:p>
        </w:tc>
        <w:tc>
          <w:tcPr>
            <w:tcW w:w="691" w:type="pct"/>
            <w:tcBorders>
              <w:top w:val="single" w:sz="4" w:space="0" w:color="auto"/>
              <w:bottom w:val="single" w:sz="4" w:space="0" w:color="auto"/>
            </w:tcBorders>
            <w:vAlign w:val="center"/>
          </w:tcPr>
          <w:p w:rsidR="00A54E0A" w:rsidRDefault="008F2D08" w:rsidP="009712A4">
            <w:pPr>
              <w:spacing w:before="120" w:after="120"/>
              <w:jc w:val="center"/>
              <w:rPr>
                <w:rFonts w:ascii="Arial" w:hAnsi="Arial" w:cs="Arial"/>
                <w:sz w:val="20"/>
                <w:szCs w:val="20"/>
              </w:rPr>
            </w:pPr>
            <w:r>
              <w:rPr>
                <w:rFonts w:ascii="Arial" w:hAnsi="Arial" w:cs="Arial"/>
                <w:sz w:val="20"/>
                <w:szCs w:val="20"/>
              </w:rPr>
              <w:t>23 </w:t>
            </w:r>
            <w:r w:rsidR="00891379">
              <w:rPr>
                <w:rFonts w:ascii="Arial" w:hAnsi="Arial" w:cs="Arial"/>
                <w:sz w:val="20"/>
                <w:szCs w:val="20"/>
              </w:rPr>
              <w:t xml:space="preserve">388 </w:t>
            </w:r>
            <w:r w:rsidR="00891379" w:rsidRPr="00761349">
              <w:rPr>
                <w:rFonts w:ascii="Arial" w:hAnsi="Arial" w:cs="Arial"/>
                <w:sz w:val="20"/>
                <w:szCs w:val="20"/>
              </w:rPr>
              <w:t>$ des É.-U.</w:t>
            </w:r>
          </w:p>
        </w:tc>
        <w:tc>
          <w:tcPr>
            <w:tcW w:w="467" w:type="pct"/>
            <w:tcBorders>
              <w:top w:val="single" w:sz="4" w:space="0" w:color="auto"/>
              <w:bottom w:val="single" w:sz="4" w:space="0" w:color="auto"/>
            </w:tcBorders>
            <w:shd w:val="clear" w:color="auto" w:fill="auto"/>
            <w:vAlign w:val="center"/>
          </w:tcPr>
          <w:p w:rsidR="00A54E0A" w:rsidRDefault="00891379" w:rsidP="009712A4">
            <w:pPr>
              <w:spacing w:before="120" w:after="120"/>
              <w:jc w:val="center"/>
              <w:rPr>
                <w:rFonts w:ascii="Arial" w:hAnsi="Arial" w:cs="Arial"/>
                <w:sz w:val="20"/>
                <w:szCs w:val="20"/>
              </w:rPr>
            </w:pPr>
            <w:r>
              <w:rPr>
                <w:rFonts w:ascii="Arial" w:hAnsi="Arial" w:cs="Arial"/>
                <w:sz w:val="20"/>
                <w:szCs w:val="20"/>
              </w:rPr>
              <w:t>01021</w:t>
            </w:r>
          </w:p>
        </w:tc>
      </w:tr>
      <w:tr w:rsidR="00A54E0A" w:rsidRPr="00761349">
        <w:trPr>
          <w:cantSplit/>
          <w:tblHeader/>
        </w:trPr>
        <w:tc>
          <w:tcPr>
            <w:tcW w:w="1016" w:type="pct"/>
            <w:tcBorders>
              <w:top w:val="single" w:sz="4" w:space="0" w:color="auto"/>
              <w:bottom w:val="single" w:sz="4" w:space="0" w:color="auto"/>
              <w:right w:val="nil"/>
            </w:tcBorders>
            <w:shd w:val="clear" w:color="auto" w:fill="auto"/>
            <w:vAlign w:val="center"/>
          </w:tcPr>
          <w:p w:rsidR="00A54E0A" w:rsidRDefault="00A54E0A" w:rsidP="00A54E0A">
            <w:pPr>
              <w:spacing w:before="120" w:after="120"/>
              <w:jc w:val="center"/>
              <w:rPr>
                <w:rStyle w:val="Hyperlink"/>
              </w:rPr>
            </w:pPr>
            <w:r w:rsidRPr="008F2D08">
              <w:rPr>
                <w:rStyle w:val="Hyperlink"/>
                <w:rFonts w:ascii="Arial" w:hAnsi="Arial" w:cs="Arial"/>
                <w:color w:val="000000" w:themeColor="text1"/>
                <w:sz w:val="20"/>
                <w:szCs w:val="20"/>
                <w:u w:val="none"/>
              </w:rPr>
              <w:t>1</w:t>
            </w:r>
            <w:r>
              <w:rPr>
                <w:rStyle w:val="Hyperlink"/>
                <w:rFonts w:ascii="Arial" w:hAnsi="Arial" w:cs="Arial"/>
                <w:color w:val="000000" w:themeColor="text1"/>
                <w:sz w:val="20"/>
                <w:szCs w:val="20"/>
                <w:u w:val="none"/>
                <w:lang w:val="en-GB"/>
              </w:rPr>
              <w:t>1.COM 1.BUR 1.4</w:t>
            </w:r>
          </w:p>
        </w:tc>
        <w:tc>
          <w:tcPr>
            <w:tcW w:w="639" w:type="pct"/>
            <w:tcBorders>
              <w:top w:val="single" w:sz="4" w:space="0" w:color="auto"/>
              <w:left w:val="nil"/>
              <w:bottom w:val="single" w:sz="4" w:space="0" w:color="auto"/>
            </w:tcBorders>
            <w:shd w:val="clear" w:color="auto" w:fill="auto"/>
            <w:vAlign w:val="center"/>
          </w:tcPr>
          <w:p w:rsidR="00A54E0A" w:rsidRDefault="00A54E0A" w:rsidP="00356CAA">
            <w:pPr>
              <w:spacing w:before="120" w:after="120"/>
              <w:jc w:val="center"/>
              <w:rPr>
                <w:rFonts w:ascii="Arial" w:hAnsi="Arial" w:cs="Arial"/>
                <w:sz w:val="20"/>
                <w:szCs w:val="20"/>
              </w:rPr>
            </w:pPr>
            <w:r>
              <w:rPr>
                <w:rFonts w:ascii="Arial" w:hAnsi="Arial" w:cs="Arial"/>
                <w:sz w:val="20"/>
                <w:szCs w:val="20"/>
              </w:rPr>
              <w:t>Zambie</w:t>
            </w:r>
          </w:p>
        </w:tc>
        <w:tc>
          <w:tcPr>
            <w:tcW w:w="2187" w:type="pct"/>
            <w:tcBorders>
              <w:top w:val="single" w:sz="4" w:space="0" w:color="auto"/>
              <w:bottom w:val="single" w:sz="4" w:space="0" w:color="auto"/>
            </w:tcBorders>
            <w:shd w:val="clear" w:color="auto" w:fill="auto"/>
            <w:vAlign w:val="center"/>
          </w:tcPr>
          <w:p w:rsidR="00A54E0A" w:rsidRDefault="00764F62" w:rsidP="005236A7">
            <w:pPr>
              <w:spacing w:before="120" w:after="120"/>
              <w:rPr>
                <w:rFonts w:ascii="Arial" w:hAnsi="Arial" w:cs="Arial"/>
                <w:sz w:val="20"/>
                <w:szCs w:val="20"/>
              </w:rPr>
            </w:pPr>
            <w:r>
              <w:rPr>
                <w:rFonts w:ascii="Arial" w:hAnsi="Arial" w:cs="Arial"/>
                <w:sz w:val="20"/>
                <w:szCs w:val="20"/>
              </w:rPr>
              <w:t>I</w:t>
            </w:r>
            <w:r w:rsidR="00A54E0A">
              <w:rPr>
                <w:rFonts w:ascii="Arial" w:hAnsi="Arial" w:cs="Arial"/>
                <w:sz w:val="20"/>
                <w:szCs w:val="20"/>
              </w:rPr>
              <w:t>nventaire des proverbes de la communauté Lala du district de Luano en Zambie</w:t>
            </w:r>
          </w:p>
        </w:tc>
        <w:tc>
          <w:tcPr>
            <w:tcW w:w="691" w:type="pct"/>
            <w:tcBorders>
              <w:top w:val="single" w:sz="4" w:space="0" w:color="auto"/>
              <w:bottom w:val="single" w:sz="4" w:space="0" w:color="auto"/>
            </w:tcBorders>
            <w:vAlign w:val="center"/>
          </w:tcPr>
          <w:p w:rsidR="00A54E0A" w:rsidRDefault="008F2D08" w:rsidP="009712A4">
            <w:pPr>
              <w:spacing w:before="120" w:after="120"/>
              <w:jc w:val="center"/>
              <w:rPr>
                <w:rFonts w:ascii="Arial" w:hAnsi="Arial" w:cs="Arial"/>
                <w:sz w:val="20"/>
                <w:szCs w:val="20"/>
              </w:rPr>
            </w:pPr>
            <w:r>
              <w:rPr>
                <w:rFonts w:ascii="Arial" w:hAnsi="Arial" w:cs="Arial"/>
                <w:sz w:val="20"/>
                <w:szCs w:val="20"/>
              </w:rPr>
              <w:t>24 </w:t>
            </w:r>
            <w:r w:rsidR="00891379">
              <w:rPr>
                <w:rFonts w:ascii="Arial" w:hAnsi="Arial" w:cs="Arial"/>
                <w:sz w:val="20"/>
                <w:szCs w:val="20"/>
              </w:rPr>
              <w:t xml:space="preserve">999 </w:t>
            </w:r>
            <w:r w:rsidR="00891379" w:rsidRPr="00761349">
              <w:rPr>
                <w:rFonts w:ascii="Arial" w:hAnsi="Arial" w:cs="Arial"/>
                <w:sz w:val="20"/>
                <w:szCs w:val="20"/>
              </w:rPr>
              <w:t>$ des É.-U.</w:t>
            </w:r>
          </w:p>
        </w:tc>
        <w:tc>
          <w:tcPr>
            <w:tcW w:w="467" w:type="pct"/>
            <w:tcBorders>
              <w:top w:val="single" w:sz="4" w:space="0" w:color="auto"/>
              <w:bottom w:val="single" w:sz="4" w:space="0" w:color="auto"/>
            </w:tcBorders>
            <w:shd w:val="clear" w:color="auto" w:fill="auto"/>
            <w:vAlign w:val="center"/>
          </w:tcPr>
          <w:p w:rsidR="00A54E0A" w:rsidRDefault="00891379" w:rsidP="009712A4">
            <w:pPr>
              <w:spacing w:before="120" w:after="120"/>
              <w:jc w:val="center"/>
              <w:rPr>
                <w:rFonts w:ascii="Arial" w:hAnsi="Arial" w:cs="Arial"/>
                <w:sz w:val="20"/>
                <w:szCs w:val="20"/>
              </w:rPr>
            </w:pPr>
            <w:r>
              <w:rPr>
                <w:rFonts w:ascii="Arial" w:hAnsi="Arial" w:cs="Arial"/>
                <w:sz w:val="20"/>
                <w:szCs w:val="20"/>
              </w:rPr>
              <w:t>01216</w:t>
            </w:r>
          </w:p>
        </w:tc>
      </w:tr>
    </w:tbl>
    <w:p w:rsidR="007964B5" w:rsidRDefault="00891379" w:rsidP="00322036">
      <w:pPr>
        <w:pStyle w:val="DocMain"/>
        <w:numPr>
          <w:ilvl w:val="0"/>
          <w:numId w:val="9"/>
        </w:numPr>
        <w:tabs>
          <w:tab w:val="left" w:pos="567"/>
        </w:tabs>
        <w:spacing w:after="120"/>
        <w:ind w:left="567" w:hanging="567"/>
      </w:pPr>
      <w:r>
        <w:t>Conformément au paragraphe 48 des Directives opérationnelles, le Secrétariat a vérifié si les demandes étaient complètes. Aucune d’elles n’a bénéficié du mécanisme d’assistance technique mis en place à titre expérimental par l</w:t>
      </w:r>
      <w:r w:rsidR="00322036">
        <w:t>e Comité dans sa décision 8.COM </w:t>
      </w:r>
      <w:r>
        <w:t>7.c. Cependant, compte tenu de l’importance de l’assistance internationale</w:t>
      </w:r>
      <w:r w:rsidR="007964B5">
        <w:t xml:space="preserve"> pour réaliser l’objectif de la Convention en matière de coopération internationale</w:t>
      </w:r>
      <w:r w:rsidR="00C215D2">
        <w:t>, le Secrétariat a apporté son soutien</w:t>
      </w:r>
      <w:r w:rsidR="007964B5">
        <w:t xml:space="preserve"> aux quatre États demandeurs et les a aidés à </w:t>
      </w:r>
      <w:r w:rsidR="00322036">
        <w:t>améliorer leur demande</w:t>
      </w:r>
      <w:r w:rsidR="00C215D2">
        <w:t xml:space="preserve"> en leur adressant des courriers détaillés recensant</w:t>
      </w:r>
      <w:r w:rsidR="007964B5">
        <w:t xml:space="preserve"> </w:t>
      </w:r>
      <w:r w:rsidR="00C215D2">
        <w:t>toutes l</w:t>
      </w:r>
      <w:r w:rsidR="007964B5">
        <w:t>es informations manquantes ou insuffisantes.</w:t>
      </w:r>
    </w:p>
    <w:p w:rsidR="004C0B11" w:rsidRDefault="007964B5" w:rsidP="001F60D1">
      <w:pPr>
        <w:pStyle w:val="DocMain"/>
        <w:numPr>
          <w:ilvl w:val="0"/>
          <w:numId w:val="9"/>
        </w:numPr>
        <w:tabs>
          <w:tab w:val="left" w:pos="567"/>
        </w:tabs>
        <w:spacing w:before="0" w:after="120"/>
        <w:ind w:left="567" w:hanging="567"/>
      </w:pPr>
      <w:r>
        <w:t>Les demandes en question sont disponibles en ligne, en anglais et en français</w:t>
      </w:r>
      <w:r w:rsidR="00C215D2">
        <w:t>,</w:t>
      </w:r>
      <w:r>
        <w:t xml:space="preserve"> pour consultation par le Bureau, </w:t>
      </w:r>
      <w:r w:rsidR="006D1876">
        <w:t>à l’adresse électronique suivante :</w:t>
      </w:r>
      <w:r>
        <w:t xml:space="preserve"> </w:t>
      </w:r>
      <w:hyperlink r:id="rId8" w:history="1">
        <w:r w:rsidR="00DB10EF" w:rsidRPr="00A87943">
          <w:rPr>
            <w:rStyle w:val="Hyperlink"/>
          </w:rPr>
          <w:t>http://www.unesco.org/culture/ich/fr/11.com-bureau</w:t>
        </w:r>
      </w:hyperlink>
      <w:r w:rsidR="00DB10EF" w:rsidRPr="009516AB">
        <w:t>,</w:t>
      </w:r>
      <w:r>
        <w:t xml:space="preserve"> ainsi que le</w:t>
      </w:r>
      <w:r w:rsidR="00C215D2">
        <w:t>ur</w:t>
      </w:r>
      <w:r>
        <w:t>s versions précédentes et le(s) courrier(s) du Secrétariat demandant des informations complémentaires. Le tableau ci-dessous résume l’historique des révisions qui ont eu lieu au cours de la préparation de la requête soumise</w:t>
      </w:r>
      <w:r w:rsidR="004C0B11">
        <w:t xml:space="preserve"> à l’examen du Bureau.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6582"/>
      </w:tblGrid>
      <w:tr w:rsidR="004C0B11" w:rsidRPr="009516AB">
        <w:trPr>
          <w:tblHeader/>
        </w:trPr>
        <w:tc>
          <w:tcPr>
            <w:tcW w:w="2371" w:type="dxa"/>
            <w:shd w:val="clear" w:color="auto" w:fill="D9D9D9"/>
          </w:tcPr>
          <w:p w:rsidR="004C0B11" w:rsidRPr="004C0B11" w:rsidRDefault="004C0B11" w:rsidP="0048291C">
            <w:pPr>
              <w:pStyle w:val="DocMain"/>
              <w:keepNext/>
              <w:tabs>
                <w:tab w:val="left" w:pos="567"/>
              </w:tabs>
              <w:spacing w:before="120" w:after="120"/>
              <w:ind w:left="0" w:firstLine="0"/>
              <w:jc w:val="left"/>
              <w:rPr>
                <w:b/>
                <w:bCs/>
                <w:sz w:val="20"/>
                <w:szCs w:val="18"/>
              </w:rPr>
            </w:pPr>
            <w:r w:rsidRPr="004C0B11">
              <w:rPr>
                <w:b/>
                <w:bCs/>
                <w:sz w:val="20"/>
                <w:szCs w:val="18"/>
              </w:rPr>
              <w:lastRenderedPageBreak/>
              <w:t>État demandeur et n° de dossier</w:t>
            </w:r>
          </w:p>
        </w:tc>
        <w:tc>
          <w:tcPr>
            <w:tcW w:w="6582" w:type="dxa"/>
            <w:shd w:val="clear" w:color="auto" w:fill="D9D9D9"/>
          </w:tcPr>
          <w:p w:rsidR="004C0B11" w:rsidRPr="004C0B11" w:rsidRDefault="004C0B11" w:rsidP="0048291C">
            <w:pPr>
              <w:pStyle w:val="DocMain"/>
              <w:keepNext/>
              <w:tabs>
                <w:tab w:val="left" w:pos="567"/>
              </w:tabs>
              <w:spacing w:before="120" w:after="120"/>
              <w:ind w:left="0" w:firstLine="0"/>
              <w:rPr>
                <w:b/>
                <w:bCs/>
                <w:sz w:val="20"/>
                <w:szCs w:val="18"/>
              </w:rPr>
            </w:pPr>
            <w:r w:rsidRPr="004C0B11">
              <w:rPr>
                <w:b/>
                <w:bCs/>
                <w:sz w:val="20"/>
                <w:szCs w:val="18"/>
              </w:rPr>
              <w:t>Historique de la demande soumise à l’examen du Bureau</w:t>
            </w:r>
          </w:p>
        </w:tc>
      </w:tr>
      <w:tr w:rsidR="004C0B11" w:rsidRPr="009516AB">
        <w:tc>
          <w:tcPr>
            <w:tcW w:w="2371" w:type="dxa"/>
            <w:shd w:val="clear" w:color="auto" w:fill="auto"/>
          </w:tcPr>
          <w:p w:rsidR="004C0B11" w:rsidRPr="004C0B11" w:rsidRDefault="004C0B11" w:rsidP="0048291C">
            <w:pPr>
              <w:pStyle w:val="DocMain"/>
              <w:keepNext/>
              <w:tabs>
                <w:tab w:val="left" w:pos="567"/>
              </w:tabs>
              <w:spacing w:before="120" w:after="120"/>
              <w:ind w:left="0" w:firstLine="0"/>
              <w:jc w:val="left"/>
              <w:rPr>
                <w:sz w:val="20"/>
                <w:szCs w:val="18"/>
              </w:rPr>
            </w:pPr>
            <w:r w:rsidRPr="004C0B11">
              <w:rPr>
                <w:sz w:val="20"/>
                <w:szCs w:val="18"/>
              </w:rPr>
              <w:t>Égypte</w:t>
            </w:r>
            <w:r w:rsidRPr="004C0B11">
              <w:rPr>
                <w:sz w:val="20"/>
                <w:szCs w:val="18"/>
              </w:rPr>
              <w:br/>
            </w:r>
            <w:r w:rsidRPr="004C0B11">
              <w:rPr>
                <w:bCs/>
                <w:sz w:val="20"/>
                <w:szCs w:val="20"/>
                <w:lang w:eastAsia="en-GB"/>
              </w:rPr>
              <w:t>01019</w:t>
            </w:r>
          </w:p>
        </w:tc>
        <w:tc>
          <w:tcPr>
            <w:tcW w:w="6582" w:type="dxa"/>
            <w:shd w:val="clear" w:color="auto" w:fill="auto"/>
          </w:tcPr>
          <w:p w:rsidR="004C0B11" w:rsidRPr="004C0B11" w:rsidRDefault="004C0B11" w:rsidP="0048291C">
            <w:pPr>
              <w:pStyle w:val="DocMain"/>
              <w:keepNext/>
              <w:tabs>
                <w:tab w:val="left" w:pos="567"/>
              </w:tabs>
              <w:spacing w:before="120" w:after="120"/>
              <w:ind w:left="0" w:firstLine="0"/>
              <w:rPr>
                <w:sz w:val="20"/>
                <w:szCs w:val="18"/>
              </w:rPr>
            </w:pPr>
            <w:r w:rsidRPr="004C0B11">
              <w:rPr>
                <w:sz w:val="20"/>
                <w:szCs w:val="18"/>
              </w:rPr>
              <w:t>Troisième version soumise par l’État, en réponse à deux cour</w:t>
            </w:r>
            <w:r w:rsidR="006553AE">
              <w:rPr>
                <w:sz w:val="20"/>
                <w:szCs w:val="18"/>
              </w:rPr>
              <w:t>r</w:t>
            </w:r>
            <w:r w:rsidRPr="004C0B11">
              <w:rPr>
                <w:sz w:val="20"/>
                <w:szCs w:val="18"/>
              </w:rPr>
              <w:t xml:space="preserve">iers du Secrétariat </w:t>
            </w:r>
            <w:r w:rsidR="00C215D2">
              <w:rPr>
                <w:sz w:val="20"/>
                <w:szCs w:val="18"/>
              </w:rPr>
              <w:t>demand</w:t>
            </w:r>
            <w:r w:rsidRPr="004C0B11">
              <w:rPr>
                <w:sz w:val="20"/>
                <w:szCs w:val="18"/>
              </w:rPr>
              <w:t>ant des informations complémentaires</w:t>
            </w:r>
          </w:p>
        </w:tc>
      </w:tr>
      <w:tr w:rsidR="004C0B11" w:rsidRPr="009516AB">
        <w:tc>
          <w:tcPr>
            <w:tcW w:w="2371" w:type="dxa"/>
            <w:shd w:val="clear" w:color="auto" w:fill="auto"/>
          </w:tcPr>
          <w:p w:rsidR="004C0B11" w:rsidRPr="004C0B11" w:rsidRDefault="004C0B11" w:rsidP="0048291C">
            <w:pPr>
              <w:pStyle w:val="DocMain"/>
              <w:keepNext/>
              <w:tabs>
                <w:tab w:val="left" w:pos="567"/>
              </w:tabs>
              <w:spacing w:before="120" w:after="120"/>
              <w:ind w:left="0" w:firstLine="0"/>
              <w:jc w:val="left"/>
              <w:rPr>
                <w:sz w:val="20"/>
                <w:szCs w:val="18"/>
              </w:rPr>
            </w:pPr>
            <w:r w:rsidRPr="004C0B11">
              <w:rPr>
                <w:sz w:val="20"/>
                <w:szCs w:val="18"/>
              </w:rPr>
              <w:t>Fidji</w:t>
            </w:r>
            <w:r w:rsidRPr="004C0B11">
              <w:rPr>
                <w:sz w:val="20"/>
                <w:szCs w:val="18"/>
              </w:rPr>
              <w:br/>
            </w:r>
            <w:r w:rsidRPr="004C0B11">
              <w:rPr>
                <w:bCs/>
                <w:sz w:val="20"/>
                <w:szCs w:val="20"/>
                <w:lang w:eastAsia="en-GB"/>
              </w:rPr>
              <w:t>01121</w:t>
            </w:r>
          </w:p>
        </w:tc>
        <w:tc>
          <w:tcPr>
            <w:tcW w:w="6582" w:type="dxa"/>
            <w:shd w:val="clear" w:color="auto" w:fill="auto"/>
          </w:tcPr>
          <w:p w:rsidR="004C0B11" w:rsidRPr="004C0B11" w:rsidRDefault="004C0B11" w:rsidP="0048291C">
            <w:pPr>
              <w:pStyle w:val="DocMain"/>
              <w:keepNext/>
              <w:tabs>
                <w:tab w:val="left" w:pos="567"/>
              </w:tabs>
              <w:spacing w:before="120" w:after="120"/>
              <w:ind w:left="0" w:firstLine="0"/>
              <w:rPr>
                <w:sz w:val="20"/>
                <w:szCs w:val="18"/>
              </w:rPr>
            </w:pPr>
            <w:r w:rsidRPr="004C0B11">
              <w:rPr>
                <w:sz w:val="20"/>
                <w:szCs w:val="18"/>
              </w:rPr>
              <w:t>Deuxième version soumise par l’État, en réponse à un cou</w:t>
            </w:r>
            <w:r w:rsidR="006553AE">
              <w:rPr>
                <w:sz w:val="20"/>
                <w:szCs w:val="18"/>
              </w:rPr>
              <w:t>r</w:t>
            </w:r>
            <w:r w:rsidRPr="004C0B11">
              <w:rPr>
                <w:sz w:val="20"/>
                <w:szCs w:val="18"/>
              </w:rPr>
              <w:t xml:space="preserve">rier du Secrétariat </w:t>
            </w:r>
            <w:r w:rsidR="00C215D2">
              <w:rPr>
                <w:sz w:val="20"/>
                <w:szCs w:val="18"/>
              </w:rPr>
              <w:t>demand</w:t>
            </w:r>
            <w:r w:rsidR="00C215D2" w:rsidRPr="004C0B11">
              <w:rPr>
                <w:sz w:val="20"/>
                <w:szCs w:val="18"/>
              </w:rPr>
              <w:t>ant</w:t>
            </w:r>
            <w:r w:rsidRPr="004C0B11">
              <w:rPr>
                <w:sz w:val="20"/>
                <w:szCs w:val="18"/>
              </w:rPr>
              <w:t xml:space="preserve"> des informations complémentaires</w:t>
            </w:r>
          </w:p>
        </w:tc>
      </w:tr>
      <w:tr w:rsidR="004C0B11" w:rsidRPr="009516AB">
        <w:tc>
          <w:tcPr>
            <w:tcW w:w="2371" w:type="dxa"/>
            <w:shd w:val="clear" w:color="auto" w:fill="auto"/>
          </w:tcPr>
          <w:p w:rsidR="004C0B11" w:rsidRPr="004C0B11" w:rsidRDefault="004C0B11" w:rsidP="006D1876">
            <w:pPr>
              <w:pStyle w:val="DocMain"/>
              <w:keepNext/>
              <w:tabs>
                <w:tab w:val="left" w:pos="567"/>
              </w:tabs>
              <w:spacing w:before="120" w:after="0" w:line="240" w:lineRule="exact"/>
              <w:ind w:left="0" w:firstLine="0"/>
              <w:jc w:val="left"/>
              <w:rPr>
                <w:sz w:val="20"/>
                <w:szCs w:val="18"/>
              </w:rPr>
            </w:pPr>
            <w:r w:rsidRPr="004C0B11">
              <w:rPr>
                <w:sz w:val="20"/>
                <w:szCs w:val="18"/>
              </w:rPr>
              <w:t>Kenya</w:t>
            </w:r>
          </w:p>
          <w:p w:rsidR="004C0B11" w:rsidRPr="004C0B11" w:rsidRDefault="004C0B11" w:rsidP="006D1876">
            <w:pPr>
              <w:pStyle w:val="DocMain"/>
              <w:keepNext/>
              <w:tabs>
                <w:tab w:val="left" w:pos="567"/>
              </w:tabs>
              <w:spacing w:before="0" w:after="120" w:line="240" w:lineRule="exact"/>
              <w:ind w:left="0" w:firstLine="0"/>
              <w:jc w:val="left"/>
              <w:rPr>
                <w:sz w:val="20"/>
                <w:szCs w:val="18"/>
              </w:rPr>
            </w:pPr>
            <w:r w:rsidRPr="004C0B11">
              <w:rPr>
                <w:sz w:val="20"/>
                <w:szCs w:val="18"/>
              </w:rPr>
              <w:t>01021</w:t>
            </w:r>
          </w:p>
        </w:tc>
        <w:tc>
          <w:tcPr>
            <w:tcW w:w="6582" w:type="dxa"/>
            <w:shd w:val="clear" w:color="auto" w:fill="auto"/>
          </w:tcPr>
          <w:p w:rsidR="004C0B11" w:rsidRPr="004C0B11" w:rsidRDefault="004C0B11" w:rsidP="0048291C">
            <w:pPr>
              <w:pStyle w:val="DocMain"/>
              <w:keepNext/>
              <w:tabs>
                <w:tab w:val="left" w:pos="567"/>
              </w:tabs>
              <w:spacing w:before="120" w:after="120"/>
              <w:ind w:left="0" w:firstLine="0"/>
              <w:rPr>
                <w:sz w:val="20"/>
                <w:szCs w:val="18"/>
              </w:rPr>
            </w:pPr>
            <w:r w:rsidRPr="004C0B11">
              <w:rPr>
                <w:sz w:val="20"/>
                <w:szCs w:val="18"/>
              </w:rPr>
              <w:t>Troisième version soumise par l’État, en réponse à deux cou</w:t>
            </w:r>
            <w:r w:rsidR="006553AE">
              <w:rPr>
                <w:sz w:val="20"/>
                <w:szCs w:val="18"/>
              </w:rPr>
              <w:t>r</w:t>
            </w:r>
            <w:r w:rsidRPr="004C0B11">
              <w:rPr>
                <w:sz w:val="20"/>
                <w:szCs w:val="18"/>
              </w:rPr>
              <w:t xml:space="preserve">riers du Secrétariat </w:t>
            </w:r>
            <w:r w:rsidR="00C215D2">
              <w:rPr>
                <w:sz w:val="20"/>
                <w:szCs w:val="18"/>
              </w:rPr>
              <w:t>demand</w:t>
            </w:r>
            <w:r w:rsidR="00C215D2" w:rsidRPr="004C0B11">
              <w:rPr>
                <w:sz w:val="20"/>
                <w:szCs w:val="18"/>
              </w:rPr>
              <w:t xml:space="preserve">ant </w:t>
            </w:r>
            <w:r w:rsidRPr="004C0B11">
              <w:rPr>
                <w:sz w:val="20"/>
                <w:szCs w:val="18"/>
              </w:rPr>
              <w:t>des informations complémentaires</w:t>
            </w:r>
          </w:p>
        </w:tc>
      </w:tr>
      <w:tr w:rsidR="004C0B11" w:rsidRPr="009516AB">
        <w:tc>
          <w:tcPr>
            <w:tcW w:w="2371" w:type="dxa"/>
            <w:shd w:val="clear" w:color="auto" w:fill="auto"/>
          </w:tcPr>
          <w:p w:rsidR="006553AE" w:rsidRDefault="006553AE" w:rsidP="006D1876">
            <w:pPr>
              <w:pStyle w:val="DocMain"/>
              <w:keepNext/>
              <w:tabs>
                <w:tab w:val="left" w:pos="567"/>
              </w:tabs>
              <w:spacing w:before="120" w:after="0"/>
              <w:ind w:left="0" w:firstLine="0"/>
              <w:jc w:val="left"/>
              <w:rPr>
                <w:sz w:val="20"/>
                <w:szCs w:val="18"/>
                <w:lang w:val="en-GB"/>
              </w:rPr>
            </w:pPr>
            <w:r>
              <w:rPr>
                <w:sz w:val="20"/>
                <w:szCs w:val="18"/>
                <w:lang w:val="en-GB"/>
              </w:rPr>
              <w:t>Zambie</w:t>
            </w:r>
          </w:p>
          <w:p w:rsidR="004C0B11" w:rsidRPr="009516AB" w:rsidRDefault="006553AE" w:rsidP="006D1876">
            <w:pPr>
              <w:pStyle w:val="DocMain"/>
              <w:keepNext/>
              <w:tabs>
                <w:tab w:val="left" w:pos="567"/>
              </w:tabs>
              <w:spacing w:before="0" w:after="120"/>
              <w:ind w:left="0" w:firstLine="0"/>
              <w:jc w:val="left"/>
              <w:rPr>
                <w:sz w:val="20"/>
                <w:szCs w:val="18"/>
                <w:lang w:val="en-GB"/>
              </w:rPr>
            </w:pPr>
            <w:r>
              <w:rPr>
                <w:sz w:val="20"/>
                <w:szCs w:val="18"/>
                <w:lang w:val="en-GB"/>
              </w:rPr>
              <w:t>01216</w:t>
            </w:r>
          </w:p>
        </w:tc>
        <w:tc>
          <w:tcPr>
            <w:tcW w:w="6582" w:type="dxa"/>
            <w:shd w:val="clear" w:color="auto" w:fill="auto"/>
          </w:tcPr>
          <w:p w:rsidR="004C0B11" w:rsidRPr="001F60D1" w:rsidRDefault="006553AE" w:rsidP="0048291C">
            <w:pPr>
              <w:pStyle w:val="DocMain"/>
              <w:keepNext/>
              <w:tabs>
                <w:tab w:val="left" w:pos="567"/>
              </w:tabs>
              <w:spacing w:before="120" w:after="120"/>
              <w:ind w:left="0" w:firstLine="0"/>
              <w:rPr>
                <w:sz w:val="20"/>
                <w:szCs w:val="18"/>
              </w:rPr>
            </w:pPr>
            <w:r w:rsidRPr="004C0B11">
              <w:rPr>
                <w:sz w:val="20"/>
                <w:szCs w:val="18"/>
              </w:rPr>
              <w:t>Deuxième version soumise par l’État, en réponse à un cou</w:t>
            </w:r>
            <w:r>
              <w:rPr>
                <w:sz w:val="20"/>
                <w:szCs w:val="18"/>
              </w:rPr>
              <w:t>r</w:t>
            </w:r>
            <w:r w:rsidRPr="004C0B11">
              <w:rPr>
                <w:sz w:val="20"/>
                <w:szCs w:val="18"/>
              </w:rPr>
              <w:t xml:space="preserve">rier du Secrétariat </w:t>
            </w:r>
            <w:r w:rsidR="00C215D2">
              <w:rPr>
                <w:sz w:val="20"/>
                <w:szCs w:val="18"/>
              </w:rPr>
              <w:t>demand</w:t>
            </w:r>
            <w:r w:rsidR="00C215D2" w:rsidRPr="004C0B11">
              <w:rPr>
                <w:sz w:val="20"/>
                <w:szCs w:val="18"/>
              </w:rPr>
              <w:t>ant</w:t>
            </w:r>
            <w:r w:rsidRPr="004C0B11">
              <w:rPr>
                <w:sz w:val="20"/>
                <w:szCs w:val="18"/>
              </w:rPr>
              <w:t xml:space="preserve"> des informations complémentaires</w:t>
            </w:r>
          </w:p>
        </w:tc>
      </w:tr>
    </w:tbl>
    <w:p w:rsidR="006553AE" w:rsidRDefault="006553AE" w:rsidP="002D5542">
      <w:pPr>
        <w:pStyle w:val="DocMain"/>
        <w:numPr>
          <w:ilvl w:val="0"/>
          <w:numId w:val="9"/>
        </w:numPr>
        <w:tabs>
          <w:tab w:val="left" w:pos="567"/>
        </w:tabs>
        <w:spacing w:after="120"/>
        <w:ind w:left="567" w:hanging="567"/>
      </w:pPr>
      <w:r>
        <w:t xml:space="preserve">Conformément au paragraphe 48 des </w:t>
      </w:r>
      <w:r w:rsidR="00C215D2">
        <w:t>D</w:t>
      </w:r>
      <w:r>
        <w:t xml:space="preserve">irectives opérationnelles, les États parties ont été informés de la date éventuelle d’examen de leur demande. Comme le </w:t>
      </w:r>
      <w:r w:rsidR="00C215D2">
        <w:t>stipulent</w:t>
      </w:r>
      <w:r>
        <w:t xml:space="preserve"> également les Directives opérationnelles, le Secrétariat communiquera les décisions du Bureau </w:t>
      </w:r>
      <w:r w:rsidR="00C215D2">
        <w:t>relatives à</w:t>
      </w:r>
      <w:r>
        <w:t xml:space="preserve"> l’octroi de l’assistance dans </w:t>
      </w:r>
      <w:r w:rsidR="00D23856">
        <w:t>les</w:t>
      </w:r>
      <w:r>
        <w:t xml:space="preserve"> deux semaines</w:t>
      </w:r>
      <w:r w:rsidR="00D23856">
        <w:t xml:space="preserve"> suivant ces décisions</w:t>
      </w:r>
      <w:r>
        <w:t>.</w:t>
      </w:r>
    </w:p>
    <w:p w:rsidR="00891379" w:rsidRPr="00891379" w:rsidRDefault="00964011" w:rsidP="002D5542">
      <w:pPr>
        <w:pStyle w:val="DocMain"/>
        <w:numPr>
          <w:ilvl w:val="0"/>
          <w:numId w:val="9"/>
        </w:numPr>
        <w:tabs>
          <w:tab w:val="left" w:pos="567"/>
        </w:tabs>
        <w:spacing w:before="120" w:after="120"/>
        <w:ind w:left="567" w:hanging="567"/>
      </w:pPr>
      <w:r>
        <w:t>Comme demandé précédemment par le Bureau, pour l’assistance internationale jusqu’à 25</w:t>
      </w:r>
      <w:r w:rsidR="001F60D1">
        <w:t> </w:t>
      </w:r>
      <w:r>
        <w:t>000</w:t>
      </w:r>
      <w:r w:rsidRPr="00964011">
        <w:rPr>
          <w:snapToGrid w:val="0"/>
        </w:rPr>
        <w:t xml:space="preserve"> dollars des </w:t>
      </w:r>
      <w:r>
        <w:rPr>
          <w:snapToGrid w:val="0"/>
        </w:rPr>
        <w:t>É</w:t>
      </w:r>
      <w:r w:rsidRPr="00964011">
        <w:rPr>
          <w:snapToGrid w:val="0"/>
        </w:rPr>
        <w:t>tats-Unis, le Secrétariat adresse chaque demande au Bureau</w:t>
      </w:r>
      <w:r>
        <w:rPr>
          <w:snapToGrid w:val="0"/>
        </w:rPr>
        <w:t xml:space="preserve">, accompagnée d’un projet de décision intégrant </w:t>
      </w:r>
      <w:r w:rsidR="00D23856">
        <w:rPr>
          <w:snapToGrid w:val="0"/>
        </w:rPr>
        <w:t>l’analyse par le</w:t>
      </w:r>
      <w:r>
        <w:rPr>
          <w:snapToGrid w:val="0"/>
        </w:rPr>
        <w:t xml:space="preserve"> Secrétariat</w:t>
      </w:r>
      <w:r w:rsidR="00D23856">
        <w:rPr>
          <w:snapToGrid w:val="0"/>
        </w:rPr>
        <w:t xml:space="preserve"> de la conformité des demandes avec les critère</w:t>
      </w:r>
      <w:r w:rsidR="00322036">
        <w:rPr>
          <w:snapToGrid w:val="0"/>
        </w:rPr>
        <w:t xml:space="preserve">s d’éligibilité et de sélection tels qu’énoncés </w:t>
      </w:r>
      <w:r w:rsidR="005E0AC2">
        <w:rPr>
          <w:snapToGrid w:val="0"/>
        </w:rPr>
        <w:t>dans le c</w:t>
      </w:r>
      <w:r w:rsidR="00322036">
        <w:rPr>
          <w:snapToGrid w:val="0"/>
        </w:rPr>
        <w:t xml:space="preserve">hapitre I des Directives opérationnelles. </w:t>
      </w:r>
    </w:p>
    <w:p w:rsidR="00C45EF6" w:rsidRDefault="00D45AF2" w:rsidP="001F60D1">
      <w:pPr>
        <w:pStyle w:val="NoSpacing1"/>
        <w:keepNext/>
        <w:numPr>
          <w:ilvl w:val="0"/>
          <w:numId w:val="17"/>
        </w:numPr>
        <w:tabs>
          <w:tab w:val="left" w:pos="567"/>
        </w:tabs>
        <w:spacing w:before="360" w:after="240"/>
        <w:ind w:left="0" w:firstLine="0"/>
        <w:jc w:val="both"/>
        <w:rPr>
          <w:rFonts w:ascii="Arial" w:hAnsi="Arial" w:cs="Arial"/>
          <w:b/>
        </w:rPr>
      </w:pPr>
      <w:r w:rsidRPr="00891379">
        <w:rPr>
          <w:rFonts w:ascii="Arial" w:hAnsi="Arial" w:cs="Arial"/>
          <w:b/>
        </w:rPr>
        <w:t>Projets de décisions</w:t>
      </w:r>
    </w:p>
    <w:p w:rsidR="00D45AF2" w:rsidRPr="00DA366E" w:rsidRDefault="00D45AF2" w:rsidP="001F60D1">
      <w:pPr>
        <w:pStyle w:val="DocMain"/>
        <w:numPr>
          <w:ilvl w:val="0"/>
          <w:numId w:val="9"/>
        </w:numPr>
        <w:tabs>
          <w:tab w:val="left" w:pos="567"/>
        </w:tabs>
        <w:spacing w:before="0" w:after="120"/>
        <w:ind w:left="567" w:hanging="567"/>
      </w:pPr>
      <w:r w:rsidRPr="00DA366E">
        <w:t>Le Bureau du Comité intergouvernemental souhaitera peut-être adopter les décisions suivantes :</w:t>
      </w:r>
    </w:p>
    <w:p w:rsidR="0057439C" w:rsidRPr="00761349" w:rsidRDefault="009E1B50" w:rsidP="004A26B5">
      <w:pPr>
        <w:pStyle w:val="GATitleResolution"/>
        <w:spacing w:before="360"/>
      </w:pPr>
      <w:bookmarkStart w:id="0" w:name="Uganda"/>
      <w:bookmarkStart w:id="1" w:name="Decision_10_COM_1_BUR1_1"/>
      <w:r w:rsidRPr="00761349">
        <w:t>PROJET DE DÉCIS</w:t>
      </w:r>
      <w:r w:rsidR="00165170" w:rsidRPr="00761349">
        <w:t xml:space="preserve">ION </w:t>
      </w:r>
      <w:r w:rsidR="00C45EF6">
        <w:t>11</w:t>
      </w:r>
      <w:r w:rsidR="00987E52">
        <w:t xml:space="preserve">.COM </w:t>
      </w:r>
      <w:r w:rsidR="00C45EF6">
        <w:t>1</w:t>
      </w:r>
      <w:r w:rsidR="00987E52">
        <w:t>.BUR </w:t>
      </w:r>
      <w:r w:rsidR="00C45EF6">
        <w:t>1.1</w:t>
      </w:r>
      <w:r w:rsidR="005F1DA1">
        <w:t xml:space="preserve"> </w:t>
      </w:r>
      <w:bookmarkEnd w:id="0"/>
      <w:bookmarkEnd w:id="1"/>
    </w:p>
    <w:p w:rsidR="0057439C" w:rsidRPr="00761349" w:rsidRDefault="00E62B4C" w:rsidP="001A766C">
      <w:pPr>
        <w:pStyle w:val="COMPreambulaDecision"/>
      </w:pPr>
      <w:r w:rsidRPr="00761349">
        <w:t>Le</w:t>
      </w:r>
      <w:r w:rsidR="00A32E09" w:rsidRPr="00761349">
        <w:t xml:space="preserve"> Bureau</w:t>
      </w:r>
      <w:r w:rsidR="00962119" w:rsidRPr="00761349">
        <w:t>,</w:t>
      </w:r>
    </w:p>
    <w:p w:rsidR="0057439C" w:rsidRPr="00761349" w:rsidRDefault="00A32E09" w:rsidP="005E0AC2">
      <w:pPr>
        <w:pStyle w:val="COMParaDecision"/>
        <w:ind w:left="1134" w:hanging="567"/>
      </w:pPr>
      <w:r w:rsidRPr="00761349">
        <w:t>Rappelant</w:t>
      </w:r>
      <w:r w:rsidR="00221107">
        <w:rPr>
          <w:snapToGrid w:val="0"/>
          <w:u w:val="none"/>
          <w:lang w:eastAsia="en-US"/>
        </w:rPr>
        <w:t xml:space="preserve"> </w:t>
      </w:r>
      <w:r w:rsidR="005E0AC2">
        <w:rPr>
          <w:snapToGrid w:val="0"/>
          <w:u w:val="none"/>
          <w:lang w:eastAsia="en-US"/>
        </w:rPr>
        <w:t>le chapitre </w:t>
      </w:r>
      <w:r w:rsidR="00104F49">
        <w:rPr>
          <w:snapToGrid w:val="0"/>
          <w:u w:val="none"/>
          <w:lang w:eastAsia="en-US"/>
        </w:rPr>
        <w:t xml:space="preserve">V de </w:t>
      </w:r>
      <w:r w:rsidR="00C2404D">
        <w:rPr>
          <w:snapToGrid w:val="0"/>
          <w:u w:val="none"/>
          <w:lang w:eastAsia="en-US"/>
        </w:rPr>
        <w:t>la Convention et le c</w:t>
      </w:r>
      <w:r w:rsidR="005E0AC2">
        <w:rPr>
          <w:snapToGrid w:val="0"/>
          <w:u w:val="none"/>
          <w:lang w:eastAsia="en-US"/>
        </w:rPr>
        <w:t>hapitre </w:t>
      </w:r>
      <w:r w:rsidR="00104F49">
        <w:rPr>
          <w:snapToGrid w:val="0"/>
          <w:u w:val="none"/>
          <w:lang w:eastAsia="en-US"/>
        </w:rPr>
        <w:t>I des Directives opérationnelles</w:t>
      </w:r>
      <w:r w:rsidR="005620E2" w:rsidRPr="00761349">
        <w:rPr>
          <w:snapToGrid w:val="0"/>
          <w:u w:val="none"/>
          <w:lang w:eastAsia="en-US"/>
        </w:rPr>
        <w:t>,</w:t>
      </w:r>
    </w:p>
    <w:p w:rsidR="00104F49" w:rsidRDefault="00A32E09" w:rsidP="005E0AC2">
      <w:pPr>
        <w:pStyle w:val="COMParaDecision"/>
        <w:ind w:left="1134" w:hanging="567"/>
      </w:pPr>
      <w:r w:rsidRPr="00761349">
        <w:t xml:space="preserve">Ayant examiné </w:t>
      </w:r>
      <w:r w:rsidR="00221107">
        <w:rPr>
          <w:u w:val="none"/>
        </w:rPr>
        <w:t>le document ITH/</w:t>
      </w:r>
      <w:r w:rsidR="00104F49">
        <w:rPr>
          <w:u w:val="none"/>
        </w:rPr>
        <w:t>16</w:t>
      </w:r>
      <w:r w:rsidR="00221107">
        <w:rPr>
          <w:u w:val="none"/>
        </w:rPr>
        <w:t>/</w:t>
      </w:r>
      <w:r w:rsidR="00104F49">
        <w:rPr>
          <w:u w:val="none"/>
        </w:rPr>
        <w:t>11</w:t>
      </w:r>
      <w:r w:rsidR="002219DF" w:rsidRPr="00761349">
        <w:rPr>
          <w:u w:val="none"/>
        </w:rPr>
        <w:t>.COM </w:t>
      </w:r>
      <w:r w:rsidR="00104F49">
        <w:rPr>
          <w:u w:val="none"/>
        </w:rPr>
        <w:t>1.BUR/1</w:t>
      </w:r>
      <w:r w:rsidR="00CB66E1" w:rsidRPr="00761349">
        <w:rPr>
          <w:snapToGrid w:val="0"/>
          <w:u w:val="none"/>
          <w:lang w:eastAsia="en-US"/>
        </w:rPr>
        <w:t>,</w:t>
      </w:r>
      <w:r w:rsidR="005E0AC2">
        <w:rPr>
          <w:snapToGrid w:val="0"/>
          <w:u w:val="none"/>
          <w:lang w:eastAsia="en-US"/>
        </w:rPr>
        <w:t xml:space="preserve"> ainsi que l’assistance internationale n° </w:t>
      </w:r>
      <w:r w:rsidR="005E0AC2" w:rsidRPr="009516AB">
        <w:rPr>
          <w:u w:val="none"/>
        </w:rPr>
        <w:t>01019</w:t>
      </w:r>
      <w:r w:rsidR="005E0AC2">
        <w:rPr>
          <w:u w:val="none"/>
        </w:rPr>
        <w:t>,</w:t>
      </w:r>
    </w:p>
    <w:p w:rsidR="00104F49" w:rsidRPr="00104F49" w:rsidRDefault="0066364F" w:rsidP="005E0AC2">
      <w:pPr>
        <w:pStyle w:val="COMParaDecision"/>
        <w:ind w:left="1134" w:hanging="567"/>
      </w:pPr>
      <w:r w:rsidRPr="00761349">
        <w:t>Prend note</w:t>
      </w:r>
      <w:r w:rsidRPr="00104F49">
        <w:rPr>
          <w:u w:val="none"/>
        </w:rPr>
        <w:t xml:space="preserve"> </w:t>
      </w:r>
      <w:r w:rsidR="00CB66E1" w:rsidRPr="00104F49">
        <w:rPr>
          <w:u w:val="none"/>
        </w:rPr>
        <w:t>que</w:t>
      </w:r>
      <w:r w:rsidR="00221107" w:rsidRPr="00104F49">
        <w:rPr>
          <w:u w:val="none"/>
        </w:rPr>
        <w:t xml:space="preserve"> </w:t>
      </w:r>
      <w:r w:rsidR="00104F49" w:rsidRPr="00104F49">
        <w:rPr>
          <w:u w:val="none"/>
        </w:rPr>
        <w:t xml:space="preserve">l’Égypte a demandé </w:t>
      </w:r>
      <w:r w:rsidR="00104F49" w:rsidRPr="00E63FE2">
        <w:rPr>
          <w:u w:val="none"/>
        </w:rPr>
        <w:t>une</w:t>
      </w:r>
      <w:r w:rsidR="00104F49" w:rsidRPr="00104F49">
        <w:rPr>
          <w:u w:val="none"/>
        </w:rPr>
        <w:t xml:space="preserve"> assistance internationale pour un projet intitulé </w:t>
      </w:r>
      <w:r w:rsidR="005E0AC2">
        <w:rPr>
          <w:u w:val="none"/>
        </w:rPr>
        <w:t>« </w:t>
      </w:r>
      <w:r w:rsidR="00C2404D" w:rsidRPr="00C2404D">
        <w:rPr>
          <w:b/>
          <w:szCs w:val="20"/>
          <w:u w:val="none"/>
        </w:rPr>
        <w:t>Inventaire de la culture immatérielle de l’artisanat du ‘Caire traditionnel’ à l’aide d’une approche par aire culturelle dans le périmètre situé entre Bab al-Naser et Bab al-Fetouh (nord) et Bab Zeweela (sud)</w:t>
      </w:r>
      <w:r w:rsidR="00C2404D">
        <w:rPr>
          <w:b/>
          <w:szCs w:val="20"/>
          <w:u w:val="none"/>
        </w:rPr>
        <w:t xml:space="preserve"> » </w:t>
      </w:r>
      <w:r w:rsidR="00104F49" w:rsidRPr="00104F49">
        <w:rPr>
          <w:u w:val="none"/>
        </w:rPr>
        <w:t>:</w:t>
      </w:r>
    </w:p>
    <w:p w:rsidR="00443880" w:rsidRPr="00104F49" w:rsidRDefault="00104F49" w:rsidP="005E0AC2">
      <w:pPr>
        <w:pStyle w:val="COMParaDecision"/>
        <w:numPr>
          <w:ilvl w:val="0"/>
          <w:numId w:val="0"/>
        </w:numPr>
        <w:ind w:left="1134"/>
        <w:rPr>
          <w:u w:val="none"/>
        </w:rPr>
      </w:pPr>
      <w:r>
        <w:rPr>
          <w:u w:val="none"/>
        </w:rPr>
        <w:t xml:space="preserve">Le projet </w:t>
      </w:r>
      <w:r w:rsidR="00285B40">
        <w:rPr>
          <w:u w:val="none"/>
        </w:rPr>
        <w:t>a pour objectif de</w:t>
      </w:r>
      <w:r>
        <w:rPr>
          <w:u w:val="none"/>
        </w:rPr>
        <w:t xml:space="preserve"> sauvegarder le patrimoine culturel immatériel pratiqué au Caire historique, en identifiant, documentant et inventoriant</w:t>
      </w:r>
      <w:r w:rsidR="00E63FE2">
        <w:rPr>
          <w:u w:val="none"/>
        </w:rPr>
        <w:t xml:space="preserve"> les </w:t>
      </w:r>
      <w:r w:rsidR="00C8048C">
        <w:rPr>
          <w:u w:val="none"/>
        </w:rPr>
        <w:t>connaissances</w:t>
      </w:r>
      <w:r w:rsidR="00E63FE2">
        <w:rPr>
          <w:u w:val="none"/>
        </w:rPr>
        <w:t xml:space="preserve"> et savoir-faire de l’artisanat traditionnel</w:t>
      </w:r>
      <w:r>
        <w:rPr>
          <w:u w:val="none"/>
        </w:rPr>
        <w:t xml:space="preserve">, ainsi que les ateliers, outils et matériaux associés. Bien que plusieurs études et </w:t>
      </w:r>
      <w:r w:rsidRPr="00E63FE2">
        <w:rPr>
          <w:u w:val="none"/>
        </w:rPr>
        <w:t>évaluations</w:t>
      </w:r>
      <w:r>
        <w:rPr>
          <w:u w:val="none"/>
        </w:rPr>
        <w:t xml:space="preserve"> </w:t>
      </w:r>
      <w:r w:rsidR="00EE4F3F">
        <w:rPr>
          <w:u w:val="none"/>
        </w:rPr>
        <w:t>aient été menées sur les métiers traditionnels</w:t>
      </w:r>
      <w:r w:rsidR="00E63FE2">
        <w:rPr>
          <w:u w:val="none"/>
        </w:rPr>
        <w:t xml:space="preserve"> de l’artisanat</w:t>
      </w:r>
      <w:r w:rsidR="00EE4F3F">
        <w:rPr>
          <w:u w:val="none"/>
        </w:rPr>
        <w:t xml:space="preserve"> en Égypte, aucune méthodologie n’a</w:t>
      </w:r>
      <w:r w:rsidR="00285B40">
        <w:rPr>
          <w:u w:val="none"/>
        </w:rPr>
        <w:t xml:space="preserve"> encore</w:t>
      </w:r>
      <w:r w:rsidR="00EE4F3F">
        <w:rPr>
          <w:u w:val="none"/>
        </w:rPr>
        <w:t xml:space="preserve"> été élaborée pour inventorier ces métiers</w:t>
      </w:r>
      <w:r w:rsidR="00285B40">
        <w:rPr>
          <w:u w:val="none"/>
        </w:rPr>
        <w:t xml:space="preserve"> dans leurs deux aspects, matériel et immatériel</w:t>
      </w:r>
      <w:r w:rsidR="00E63FE2">
        <w:rPr>
          <w:u w:val="none"/>
        </w:rPr>
        <w:t>,</w:t>
      </w:r>
      <w:r w:rsidR="00EE4F3F">
        <w:rPr>
          <w:u w:val="none"/>
        </w:rPr>
        <w:t xml:space="preserve"> et notamment leur système d’apprentissage traditionnel. </w:t>
      </w:r>
      <w:r w:rsidR="00285B40">
        <w:rPr>
          <w:u w:val="none"/>
        </w:rPr>
        <w:t xml:space="preserve">C’est pourquoi </w:t>
      </w:r>
      <w:r w:rsidR="00EE4F3F">
        <w:rPr>
          <w:u w:val="none"/>
        </w:rPr>
        <w:t xml:space="preserve">le projet </w:t>
      </w:r>
      <w:r w:rsidR="00285B40">
        <w:rPr>
          <w:u w:val="none"/>
        </w:rPr>
        <w:t>met l’accent</w:t>
      </w:r>
      <w:r w:rsidR="00E63FE2">
        <w:rPr>
          <w:u w:val="none"/>
        </w:rPr>
        <w:t xml:space="preserve"> sur</w:t>
      </w:r>
      <w:r w:rsidR="00EE4F3F">
        <w:rPr>
          <w:u w:val="none"/>
        </w:rPr>
        <w:t xml:space="preserve"> la </w:t>
      </w:r>
      <w:r w:rsidR="00E63FE2">
        <w:rPr>
          <w:u w:val="none"/>
        </w:rPr>
        <w:t>réalisation</w:t>
      </w:r>
      <w:r w:rsidR="00EE4F3F">
        <w:rPr>
          <w:u w:val="none"/>
        </w:rPr>
        <w:t xml:space="preserve"> d’une étude de terrain </w:t>
      </w:r>
      <w:r w:rsidR="00E63FE2">
        <w:rPr>
          <w:u w:val="none"/>
        </w:rPr>
        <w:t>qui commence</w:t>
      </w:r>
      <w:r w:rsidR="00285B40">
        <w:rPr>
          <w:u w:val="none"/>
        </w:rPr>
        <w:t>ra</w:t>
      </w:r>
      <w:r w:rsidR="00EE4F3F">
        <w:rPr>
          <w:u w:val="none"/>
        </w:rPr>
        <w:t xml:space="preserve"> par l’identification des corporations d’artisans</w:t>
      </w:r>
      <w:r w:rsidR="00F3092C">
        <w:rPr>
          <w:u w:val="none"/>
        </w:rPr>
        <w:t xml:space="preserve"> et</w:t>
      </w:r>
      <w:r w:rsidR="00EE4F3F">
        <w:rPr>
          <w:u w:val="none"/>
        </w:rPr>
        <w:t xml:space="preserve"> des artisans compétents d</w:t>
      </w:r>
      <w:r w:rsidR="00E63FE2">
        <w:rPr>
          <w:u w:val="none"/>
        </w:rPr>
        <w:t>u Caire historique</w:t>
      </w:r>
      <w:r w:rsidR="00285B40" w:rsidRPr="009134E8">
        <w:rPr>
          <w:u w:val="none"/>
        </w:rPr>
        <w:t>,</w:t>
      </w:r>
      <w:r w:rsidR="00E63FE2" w:rsidRPr="009134E8">
        <w:rPr>
          <w:u w:val="none"/>
        </w:rPr>
        <w:t xml:space="preserve"> et s’achève</w:t>
      </w:r>
      <w:r w:rsidR="00285B40" w:rsidRPr="009134E8">
        <w:rPr>
          <w:u w:val="none"/>
        </w:rPr>
        <w:t>ra</w:t>
      </w:r>
      <w:r w:rsidR="00EE4F3F" w:rsidRPr="009134E8">
        <w:rPr>
          <w:u w:val="none"/>
        </w:rPr>
        <w:t xml:space="preserve"> </w:t>
      </w:r>
      <w:r w:rsidR="009134E8" w:rsidRPr="009134E8">
        <w:rPr>
          <w:u w:val="none"/>
        </w:rPr>
        <w:t xml:space="preserve">par la documentation et </w:t>
      </w:r>
      <w:r w:rsidR="009134E8">
        <w:rPr>
          <w:u w:val="none"/>
        </w:rPr>
        <w:t>l’</w:t>
      </w:r>
      <w:r w:rsidR="009134E8" w:rsidRPr="009134E8">
        <w:rPr>
          <w:u w:val="none"/>
        </w:rPr>
        <w:t>archivage des informations collectées dans</w:t>
      </w:r>
      <w:r w:rsidR="00EE4F3F" w:rsidRPr="009134E8">
        <w:rPr>
          <w:u w:val="none"/>
        </w:rPr>
        <w:t xml:space="preserve"> une base de données </w:t>
      </w:r>
      <w:r w:rsidR="00285B40" w:rsidRPr="009134E8">
        <w:rPr>
          <w:u w:val="none"/>
        </w:rPr>
        <w:t>élabor</w:t>
      </w:r>
      <w:r w:rsidR="00EE4F3F" w:rsidRPr="009134E8">
        <w:rPr>
          <w:u w:val="none"/>
        </w:rPr>
        <w:t xml:space="preserve">ée à cette fin. </w:t>
      </w:r>
      <w:r w:rsidR="00D50C29" w:rsidRPr="009134E8">
        <w:rPr>
          <w:u w:val="none"/>
        </w:rPr>
        <w:t>Parmi les</w:t>
      </w:r>
      <w:r w:rsidR="00EE4F3F" w:rsidRPr="009134E8">
        <w:rPr>
          <w:u w:val="none"/>
        </w:rPr>
        <w:t xml:space="preserve"> résultats du projet</w:t>
      </w:r>
      <w:r w:rsidR="00285B40" w:rsidRPr="009134E8">
        <w:rPr>
          <w:u w:val="none"/>
        </w:rPr>
        <w:t>,</w:t>
      </w:r>
      <w:r w:rsidR="00EE4F3F" w:rsidRPr="009134E8">
        <w:rPr>
          <w:u w:val="none"/>
        </w:rPr>
        <w:t xml:space="preserve"> un m</w:t>
      </w:r>
      <w:r w:rsidR="00EE4F3F">
        <w:rPr>
          <w:u w:val="none"/>
        </w:rPr>
        <w:t>anuel</w:t>
      </w:r>
      <w:r w:rsidR="0064685C">
        <w:rPr>
          <w:u w:val="none"/>
        </w:rPr>
        <w:t xml:space="preserve"> </w:t>
      </w:r>
      <w:r w:rsidR="00F3092C">
        <w:rPr>
          <w:u w:val="none"/>
        </w:rPr>
        <w:t>s</w:t>
      </w:r>
      <w:r w:rsidR="0064685C">
        <w:rPr>
          <w:u w:val="none"/>
        </w:rPr>
        <w:t xml:space="preserve">ur </w:t>
      </w:r>
      <w:r w:rsidR="00F3092C">
        <w:rPr>
          <w:u w:val="none"/>
        </w:rPr>
        <w:t>l</w:t>
      </w:r>
      <w:r w:rsidR="005E0AC2">
        <w:rPr>
          <w:u w:val="none"/>
        </w:rPr>
        <w:t>a réalisation d’inventaires</w:t>
      </w:r>
      <w:r w:rsidR="00F3092C">
        <w:rPr>
          <w:u w:val="none"/>
        </w:rPr>
        <w:t xml:space="preserve"> propre</w:t>
      </w:r>
      <w:r w:rsidR="005E0AC2">
        <w:rPr>
          <w:u w:val="none"/>
        </w:rPr>
        <w:t>s</w:t>
      </w:r>
      <w:r w:rsidR="00F3092C">
        <w:rPr>
          <w:u w:val="none"/>
        </w:rPr>
        <w:t xml:space="preserve"> à</w:t>
      </w:r>
      <w:r w:rsidR="0064685C">
        <w:rPr>
          <w:u w:val="none"/>
        </w:rPr>
        <w:t xml:space="preserve"> l’artisanat sera diffusé</w:t>
      </w:r>
      <w:r w:rsidR="00F3092C">
        <w:rPr>
          <w:u w:val="none"/>
        </w:rPr>
        <w:t>,</w:t>
      </w:r>
      <w:r w:rsidR="00E63FE2">
        <w:rPr>
          <w:u w:val="none"/>
        </w:rPr>
        <w:t xml:space="preserve"> </w:t>
      </w:r>
      <w:r w:rsidR="00285B40">
        <w:rPr>
          <w:u w:val="none"/>
        </w:rPr>
        <w:t>avec</w:t>
      </w:r>
      <w:r w:rsidR="00E63FE2">
        <w:rPr>
          <w:u w:val="none"/>
        </w:rPr>
        <w:t xml:space="preserve"> les autres résultats du projet</w:t>
      </w:r>
      <w:r w:rsidR="00F3092C">
        <w:rPr>
          <w:u w:val="none"/>
        </w:rPr>
        <w:t>,</w:t>
      </w:r>
      <w:r w:rsidR="0064685C">
        <w:rPr>
          <w:u w:val="none"/>
        </w:rPr>
        <w:t xml:space="preserve"> </w:t>
      </w:r>
      <w:r w:rsidR="00F3092C">
        <w:rPr>
          <w:u w:val="none"/>
        </w:rPr>
        <w:t xml:space="preserve">sur </w:t>
      </w:r>
      <w:r w:rsidR="00E63FE2">
        <w:rPr>
          <w:u w:val="none"/>
        </w:rPr>
        <w:t>u</w:t>
      </w:r>
      <w:r w:rsidR="005E0AC2">
        <w:rPr>
          <w:u w:val="none"/>
        </w:rPr>
        <w:t>n site I</w:t>
      </w:r>
      <w:r w:rsidR="0064685C">
        <w:rPr>
          <w:u w:val="none"/>
        </w:rPr>
        <w:t>nternet dédié.</w:t>
      </w:r>
      <w:r w:rsidR="00595A99">
        <w:rPr>
          <w:u w:val="none"/>
        </w:rPr>
        <w:t xml:space="preserve"> Mis en œuvre par la Société égyptienne</w:t>
      </w:r>
      <w:r w:rsidR="0014656D">
        <w:rPr>
          <w:u w:val="none"/>
        </w:rPr>
        <w:t xml:space="preserve"> pour les traditions </w:t>
      </w:r>
      <w:r w:rsidR="0014656D">
        <w:rPr>
          <w:u w:val="none"/>
        </w:rPr>
        <w:lastRenderedPageBreak/>
        <w:t xml:space="preserve">folkloriques, le projet vise également à développer les capacités des différents partenaires </w:t>
      </w:r>
      <w:r w:rsidR="00F3092C">
        <w:rPr>
          <w:u w:val="none"/>
        </w:rPr>
        <w:t>qui y participent</w:t>
      </w:r>
      <w:r w:rsidR="0014656D">
        <w:rPr>
          <w:u w:val="none"/>
        </w:rPr>
        <w:t xml:space="preserve"> – la jeunesse locale, les membres</w:t>
      </w:r>
      <w:r w:rsidR="00285B40">
        <w:rPr>
          <w:u w:val="none"/>
        </w:rPr>
        <w:t xml:space="preserve"> </w:t>
      </w:r>
      <w:r w:rsidR="00DF59C3">
        <w:rPr>
          <w:u w:val="none"/>
        </w:rPr>
        <w:t xml:space="preserve">juniors </w:t>
      </w:r>
      <w:r w:rsidR="0014656D">
        <w:rPr>
          <w:u w:val="none"/>
        </w:rPr>
        <w:t xml:space="preserve">de </w:t>
      </w:r>
      <w:r w:rsidR="00003F4A">
        <w:rPr>
          <w:u w:val="none"/>
        </w:rPr>
        <w:t>l’organisme d’exécution</w:t>
      </w:r>
      <w:r w:rsidR="0014656D">
        <w:rPr>
          <w:u w:val="none"/>
        </w:rPr>
        <w:t xml:space="preserve"> et les représentants des Ministères de l’</w:t>
      </w:r>
      <w:r w:rsidR="00285B40">
        <w:rPr>
          <w:u w:val="none"/>
        </w:rPr>
        <w:t>I</w:t>
      </w:r>
      <w:r w:rsidR="0014656D">
        <w:rPr>
          <w:u w:val="none"/>
        </w:rPr>
        <w:t xml:space="preserve">ndustrie, du </w:t>
      </w:r>
      <w:r w:rsidR="00285B40">
        <w:rPr>
          <w:u w:val="none"/>
        </w:rPr>
        <w:t>T</w:t>
      </w:r>
      <w:r w:rsidR="0014656D">
        <w:rPr>
          <w:u w:val="none"/>
        </w:rPr>
        <w:t xml:space="preserve">ourisme et de la </w:t>
      </w:r>
      <w:r w:rsidR="00285B40">
        <w:rPr>
          <w:u w:val="none"/>
        </w:rPr>
        <w:t>C</w:t>
      </w:r>
      <w:r w:rsidR="0014656D">
        <w:rPr>
          <w:u w:val="none"/>
        </w:rPr>
        <w:t xml:space="preserve">ulture – et de sensibiliser les </w:t>
      </w:r>
      <w:r w:rsidR="00285B40">
        <w:rPr>
          <w:u w:val="none"/>
        </w:rPr>
        <w:t>détent</w:t>
      </w:r>
      <w:r w:rsidR="0014656D">
        <w:rPr>
          <w:u w:val="none"/>
        </w:rPr>
        <w:t>eurs du patrimoine culturel immatériel local à l’importance de celui-ci</w:t>
      </w:r>
      <w:r w:rsidR="00A2639F">
        <w:rPr>
          <w:u w:val="none"/>
        </w:rPr>
        <w:t> ;</w:t>
      </w:r>
    </w:p>
    <w:p w:rsidR="00A2639F" w:rsidRPr="00D50C29" w:rsidRDefault="0014656D" w:rsidP="00DA366E">
      <w:pPr>
        <w:pStyle w:val="COMParaDecision"/>
        <w:ind w:left="1134" w:hanging="567"/>
        <w:rPr>
          <w:u w:val="none"/>
        </w:rPr>
      </w:pPr>
      <w:r>
        <w:t>Prend note en outre</w:t>
      </w:r>
      <w:r>
        <w:rPr>
          <w:u w:val="none"/>
        </w:rPr>
        <w:t xml:space="preserve"> que la présente assistance concerne le soutien à un projet réalisé au niveau local</w:t>
      </w:r>
      <w:r w:rsidR="00A2639F">
        <w:rPr>
          <w:u w:val="none"/>
        </w:rPr>
        <w:t>, afin d’établir un inventaire conformément à l’Article 20</w:t>
      </w:r>
      <w:r w:rsidR="00A566DD">
        <w:rPr>
          <w:u w:val="none"/>
        </w:rPr>
        <w:t> </w:t>
      </w:r>
      <w:r w:rsidR="00A2639F">
        <w:rPr>
          <w:u w:val="none"/>
        </w:rPr>
        <w:t xml:space="preserve">(b) de la Convention et </w:t>
      </w:r>
      <w:r w:rsidR="00C8048C">
        <w:rPr>
          <w:u w:val="none"/>
        </w:rPr>
        <w:t>qu’elle prend la</w:t>
      </w:r>
      <w:r w:rsidR="00A2639F">
        <w:rPr>
          <w:u w:val="none"/>
        </w:rPr>
        <w:t xml:space="preserve"> forme d’une donation accordée en </w:t>
      </w:r>
      <w:r w:rsidR="00A2639F" w:rsidRPr="00A2639F">
        <w:rPr>
          <w:u w:val="none"/>
        </w:rPr>
        <w:t>conformité avec l’article 21</w:t>
      </w:r>
      <w:r w:rsidR="00B26A2B">
        <w:rPr>
          <w:u w:val="none"/>
        </w:rPr>
        <w:t> </w:t>
      </w:r>
      <w:r w:rsidR="00A2639F" w:rsidRPr="00A2639F">
        <w:rPr>
          <w:u w:val="none"/>
        </w:rPr>
        <w:t>(g) de la Convention ;</w:t>
      </w:r>
    </w:p>
    <w:p w:rsidR="0014656D" w:rsidRPr="00A2639F" w:rsidRDefault="00A2639F" w:rsidP="00DA366E">
      <w:pPr>
        <w:pStyle w:val="COMParaDecision"/>
        <w:ind w:left="1134" w:hanging="567"/>
        <w:rPr>
          <w:u w:val="none"/>
        </w:rPr>
      </w:pPr>
      <w:r>
        <w:t>Prend note également</w:t>
      </w:r>
      <w:r w:rsidRPr="00A2639F">
        <w:rPr>
          <w:u w:val="none"/>
        </w:rPr>
        <w:t xml:space="preserve"> </w:t>
      </w:r>
      <w:r>
        <w:rPr>
          <w:u w:val="none"/>
        </w:rPr>
        <w:t xml:space="preserve">que l’Égypte a demandé une allocation de </w:t>
      </w:r>
      <w:r w:rsidR="00B26A2B">
        <w:rPr>
          <w:snapToGrid w:val="0"/>
          <w:u w:val="none"/>
        </w:rPr>
        <w:t>25 </w:t>
      </w:r>
      <w:r w:rsidRPr="00A2639F">
        <w:rPr>
          <w:snapToGrid w:val="0"/>
          <w:u w:val="none"/>
        </w:rPr>
        <w:t xml:space="preserve">000 dollars des </w:t>
      </w:r>
      <w:r>
        <w:rPr>
          <w:snapToGrid w:val="0"/>
          <w:u w:val="none"/>
        </w:rPr>
        <w:t>Etats-Unis du Fonds du patrimoine culturel immatériel pour mettre en œuvre le projet ;</w:t>
      </w:r>
    </w:p>
    <w:p w:rsidR="00CB66E1" w:rsidRPr="00D50C29" w:rsidRDefault="0066364F" w:rsidP="00DA366E">
      <w:pPr>
        <w:pStyle w:val="COMParaDecision"/>
        <w:ind w:left="1134" w:hanging="567"/>
        <w:rPr>
          <w:u w:val="none"/>
        </w:rPr>
      </w:pPr>
      <w:r w:rsidRPr="00761349">
        <w:t>Décide</w:t>
      </w:r>
      <w:r w:rsidR="00221107" w:rsidRPr="00D50C29">
        <w:rPr>
          <w:u w:val="none"/>
        </w:rPr>
        <w:t xml:space="preserve"> </w:t>
      </w:r>
      <w:r w:rsidR="00D50C29">
        <w:rPr>
          <w:u w:val="none"/>
        </w:rPr>
        <w:t xml:space="preserve">que, </w:t>
      </w:r>
      <w:r w:rsidR="00B26A2B">
        <w:rPr>
          <w:u w:val="none"/>
        </w:rPr>
        <w:t>selon l</w:t>
      </w:r>
      <w:r w:rsidR="00D50C29">
        <w:rPr>
          <w:u w:val="none"/>
        </w:rPr>
        <w:t>es informati</w:t>
      </w:r>
      <w:r w:rsidR="00B26A2B">
        <w:rPr>
          <w:u w:val="none"/>
        </w:rPr>
        <w:t>ons fournies dans le dossier n° </w:t>
      </w:r>
      <w:r w:rsidR="00D50C29">
        <w:rPr>
          <w:u w:val="none"/>
        </w:rPr>
        <w:t xml:space="preserve">01019, la demande répond comme suit aux critères </w:t>
      </w:r>
      <w:r w:rsidR="002337B7">
        <w:rPr>
          <w:u w:val="none"/>
        </w:rPr>
        <w:t xml:space="preserve">d’octroi de l’assistance internationale </w:t>
      </w:r>
      <w:r w:rsidR="002846A7">
        <w:rPr>
          <w:u w:val="none"/>
        </w:rPr>
        <w:t>énoncés</w:t>
      </w:r>
      <w:r w:rsidR="002337B7">
        <w:rPr>
          <w:u w:val="none"/>
        </w:rPr>
        <w:t xml:space="preserve"> aux paragraphes 10 et 12 des Directives</w:t>
      </w:r>
      <w:r w:rsidR="00373299">
        <w:rPr>
          <w:u w:val="none"/>
        </w:rPr>
        <w:t xml:space="preserve"> opérationnelles</w:t>
      </w:r>
      <w:r w:rsidR="00D50C29">
        <w:rPr>
          <w:u w:val="none"/>
        </w:rPr>
        <w:t> :</w:t>
      </w:r>
    </w:p>
    <w:p w:rsidR="00443880" w:rsidRPr="00761349" w:rsidRDefault="00CB66E1" w:rsidP="002219DF">
      <w:pPr>
        <w:pStyle w:val="COMParaDecision"/>
        <w:numPr>
          <w:ilvl w:val="0"/>
          <w:numId w:val="0"/>
        </w:numPr>
        <w:ind w:left="1134"/>
        <w:rPr>
          <w:u w:val="none"/>
        </w:rPr>
      </w:pPr>
      <w:r w:rsidRPr="00761349">
        <w:rPr>
          <w:b/>
          <w:u w:val="none"/>
        </w:rPr>
        <w:t>Critère A.</w:t>
      </w:r>
      <w:r w:rsidRPr="009712A4">
        <w:rPr>
          <w:b/>
          <w:u w:val="none"/>
        </w:rPr>
        <w:t>1</w:t>
      </w:r>
      <w:r w:rsidR="009712A4">
        <w:rPr>
          <w:b/>
          <w:u w:val="none"/>
        </w:rPr>
        <w:t> </w:t>
      </w:r>
      <w:r w:rsidRPr="009712A4">
        <w:rPr>
          <w:u w:val="none"/>
        </w:rPr>
        <w:t>:</w:t>
      </w:r>
      <w:r w:rsidR="00D50C29">
        <w:rPr>
          <w:u w:val="none"/>
        </w:rPr>
        <w:t xml:space="preserve"> L’identification des communautés susceptibles d’être associées aux activités proposées</w:t>
      </w:r>
      <w:r w:rsidR="00F3092C">
        <w:rPr>
          <w:u w:val="none"/>
        </w:rPr>
        <w:t>,</w:t>
      </w:r>
      <w:r w:rsidR="00D50C29">
        <w:rPr>
          <w:u w:val="none"/>
        </w:rPr>
        <w:t xml:space="preserve"> </w:t>
      </w:r>
      <w:r w:rsidR="00F3092C">
        <w:rPr>
          <w:u w:val="none"/>
        </w:rPr>
        <w:t>ainsi que</w:t>
      </w:r>
      <w:r w:rsidR="00D50C29">
        <w:rPr>
          <w:u w:val="none"/>
        </w:rPr>
        <w:t xml:space="preserve"> leur engagement dans ces activités sont abordés dans des termes très généraux</w:t>
      </w:r>
      <w:r w:rsidR="00D37E7E">
        <w:rPr>
          <w:u w:val="none"/>
        </w:rPr>
        <w:t> ;</w:t>
      </w:r>
      <w:r w:rsidR="00D50C29">
        <w:rPr>
          <w:u w:val="none"/>
        </w:rPr>
        <w:t xml:space="preserve"> </w:t>
      </w:r>
      <w:r w:rsidR="00D37E7E">
        <w:rPr>
          <w:u w:val="none"/>
        </w:rPr>
        <w:t>il est donc</w:t>
      </w:r>
      <w:r w:rsidR="00D50C29">
        <w:rPr>
          <w:u w:val="none"/>
        </w:rPr>
        <w:t xml:space="preserve"> difficile de comprendre précisément quel est leur rôle dans la mise en œuvre, l’évaluation et le suivi du projet ; on ne voit pas non plus clairement si la demande </w:t>
      </w:r>
      <w:r w:rsidR="00D37E7E">
        <w:rPr>
          <w:u w:val="none"/>
        </w:rPr>
        <w:t>résulte</w:t>
      </w:r>
      <w:r w:rsidR="00D50C29">
        <w:rPr>
          <w:u w:val="none"/>
        </w:rPr>
        <w:t xml:space="preserve"> de consultations </w:t>
      </w:r>
      <w:r w:rsidR="00D50C29" w:rsidRPr="00003F4A">
        <w:rPr>
          <w:u w:val="none"/>
        </w:rPr>
        <w:t xml:space="preserve">entre </w:t>
      </w:r>
      <w:r w:rsidR="00003F4A" w:rsidRPr="00003F4A">
        <w:rPr>
          <w:u w:val="none"/>
        </w:rPr>
        <w:t>l’organisme d’exécution</w:t>
      </w:r>
      <w:r w:rsidR="00D50C29" w:rsidRPr="00003F4A">
        <w:rPr>
          <w:u w:val="none"/>
        </w:rPr>
        <w:t>,</w:t>
      </w:r>
      <w:r w:rsidR="00D50C29">
        <w:rPr>
          <w:u w:val="none"/>
        </w:rPr>
        <w:t xml:space="preserve"> </w:t>
      </w:r>
      <w:r w:rsidR="0070115C">
        <w:rPr>
          <w:u w:val="none"/>
        </w:rPr>
        <w:t xml:space="preserve">la Société égyptienne pour les traditions folkloriques, et les communautés, groupes et individus ; la véritable mise en œuvre semble </w:t>
      </w:r>
      <w:r w:rsidR="00A07DB0">
        <w:rPr>
          <w:u w:val="none"/>
        </w:rPr>
        <w:t>relever</w:t>
      </w:r>
      <w:r w:rsidR="0070115C">
        <w:rPr>
          <w:u w:val="none"/>
        </w:rPr>
        <w:t xml:space="preserve"> de </w:t>
      </w:r>
      <w:r w:rsidR="00003F4A">
        <w:rPr>
          <w:u w:val="none"/>
        </w:rPr>
        <w:t>l’organisme d’exécution</w:t>
      </w:r>
      <w:r w:rsidR="0070115C">
        <w:rPr>
          <w:u w:val="none"/>
        </w:rPr>
        <w:t xml:space="preserve">, le rôle des communautés </w:t>
      </w:r>
      <w:r w:rsidR="00D37E7E">
        <w:rPr>
          <w:u w:val="none"/>
        </w:rPr>
        <w:t>consistant</w:t>
      </w:r>
      <w:r w:rsidR="0070115C">
        <w:rPr>
          <w:u w:val="none"/>
        </w:rPr>
        <w:t xml:space="preserve"> simplement </w:t>
      </w:r>
      <w:r w:rsidR="00D37E7E">
        <w:rPr>
          <w:u w:val="none"/>
        </w:rPr>
        <w:t>à</w:t>
      </w:r>
      <w:r w:rsidR="0070115C">
        <w:rPr>
          <w:u w:val="none"/>
        </w:rPr>
        <w:t xml:space="preserve"> fournir des informations ou </w:t>
      </w:r>
      <w:r w:rsidR="00D37E7E">
        <w:rPr>
          <w:u w:val="none"/>
        </w:rPr>
        <w:t xml:space="preserve">à </w:t>
      </w:r>
      <w:r w:rsidR="0070115C">
        <w:rPr>
          <w:u w:val="none"/>
        </w:rPr>
        <w:t>être spectatrices ; il y a également un manque de clarté sur la manière dont les communautés vont bénéficier directement des résultats du projet.</w:t>
      </w:r>
    </w:p>
    <w:p w:rsidR="00221107" w:rsidRDefault="00CB66E1" w:rsidP="002219DF">
      <w:pPr>
        <w:pStyle w:val="ListParagraph1"/>
        <w:tabs>
          <w:tab w:val="left" w:pos="1134"/>
        </w:tabs>
        <w:spacing w:after="120"/>
        <w:ind w:left="1134"/>
        <w:jc w:val="both"/>
        <w:rPr>
          <w:rFonts w:ascii="Arial" w:hAnsi="Arial" w:cs="Arial"/>
          <w:bCs/>
          <w:sz w:val="22"/>
          <w:szCs w:val="22"/>
          <w:lang w:val="fr-FR"/>
        </w:rPr>
      </w:pPr>
      <w:r w:rsidRPr="00761349">
        <w:rPr>
          <w:rFonts w:ascii="Arial" w:hAnsi="Arial" w:cs="Arial"/>
          <w:b/>
          <w:bCs/>
          <w:sz w:val="22"/>
          <w:szCs w:val="22"/>
          <w:lang w:val="fr-FR"/>
        </w:rPr>
        <w:t>Critère A.2 </w:t>
      </w:r>
      <w:r w:rsidRPr="009712A4">
        <w:rPr>
          <w:rFonts w:ascii="Arial" w:hAnsi="Arial" w:cs="Arial"/>
          <w:bCs/>
          <w:sz w:val="22"/>
          <w:szCs w:val="22"/>
          <w:lang w:val="fr-FR"/>
        </w:rPr>
        <w:t>:</w:t>
      </w:r>
      <w:r w:rsidRPr="00761349">
        <w:rPr>
          <w:rFonts w:ascii="Arial" w:hAnsi="Arial" w:cs="Arial"/>
          <w:bCs/>
          <w:sz w:val="22"/>
          <w:szCs w:val="22"/>
          <w:lang w:val="fr-FR"/>
        </w:rPr>
        <w:t xml:space="preserve"> </w:t>
      </w:r>
      <w:r w:rsidR="0070115C">
        <w:rPr>
          <w:rFonts w:ascii="Arial" w:hAnsi="Arial" w:cs="Arial"/>
          <w:bCs/>
          <w:sz w:val="22"/>
          <w:szCs w:val="22"/>
          <w:lang w:val="fr-FR"/>
        </w:rPr>
        <w:t xml:space="preserve">En l’absence d’informations budgétaires suffisamment </w:t>
      </w:r>
      <w:r w:rsidR="00D37E7E">
        <w:rPr>
          <w:rFonts w:ascii="Arial" w:hAnsi="Arial" w:cs="Arial"/>
          <w:bCs/>
          <w:sz w:val="22"/>
          <w:szCs w:val="22"/>
          <w:lang w:val="fr-FR"/>
        </w:rPr>
        <w:t>détail</w:t>
      </w:r>
      <w:r w:rsidR="002E1AA9">
        <w:rPr>
          <w:rFonts w:ascii="Arial" w:hAnsi="Arial" w:cs="Arial"/>
          <w:bCs/>
          <w:sz w:val="22"/>
          <w:szCs w:val="22"/>
          <w:lang w:val="fr-FR"/>
        </w:rPr>
        <w:t>lée</w:t>
      </w:r>
      <w:r w:rsidR="00D37E7E">
        <w:rPr>
          <w:rFonts w:ascii="Arial" w:hAnsi="Arial" w:cs="Arial"/>
          <w:bCs/>
          <w:sz w:val="22"/>
          <w:szCs w:val="22"/>
          <w:lang w:val="fr-FR"/>
        </w:rPr>
        <w:t xml:space="preserve">s et </w:t>
      </w:r>
      <w:r w:rsidR="002E1AA9">
        <w:rPr>
          <w:rFonts w:ascii="Arial" w:hAnsi="Arial" w:cs="Arial"/>
          <w:bCs/>
          <w:sz w:val="22"/>
          <w:szCs w:val="22"/>
          <w:lang w:val="fr-FR"/>
        </w:rPr>
        <w:t>argumentées</w:t>
      </w:r>
      <w:r w:rsidR="00D37E7E">
        <w:rPr>
          <w:rFonts w:ascii="Arial" w:hAnsi="Arial" w:cs="Arial"/>
          <w:bCs/>
          <w:sz w:val="22"/>
          <w:szCs w:val="22"/>
          <w:lang w:val="fr-FR"/>
        </w:rPr>
        <w:t xml:space="preserve"> pour déterminer</w:t>
      </w:r>
      <w:r w:rsidR="0070115C">
        <w:rPr>
          <w:rFonts w:ascii="Arial" w:hAnsi="Arial" w:cs="Arial"/>
          <w:bCs/>
          <w:sz w:val="22"/>
          <w:szCs w:val="22"/>
          <w:lang w:val="fr-FR"/>
        </w:rPr>
        <w:t xml:space="preserve"> comment les </w:t>
      </w:r>
      <w:r w:rsidR="00D37E7E">
        <w:rPr>
          <w:rFonts w:ascii="Arial" w:hAnsi="Arial" w:cs="Arial"/>
          <w:bCs/>
          <w:sz w:val="22"/>
          <w:szCs w:val="22"/>
          <w:lang w:val="fr-FR"/>
        </w:rPr>
        <w:t xml:space="preserve">dépenses </w:t>
      </w:r>
      <w:r w:rsidR="002E1AA9">
        <w:rPr>
          <w:rFonts w:ascii="Arial" w:hAnsi="Arial" w:cs="Arial"/>
          <w:bCs/>
          <w:sz w:val="22"/>
          <w:szCs w:val="22"/>
          <w:lang w:val="fr-FR"/>
        </w:rPr>
        <w:t>prévue</w:t>
      </w:r>
      <w:r w:rsidR="00D37E7E">
        <w:rPr>
          <w:rFonts w:ascii="Arial" w:hAnsi="Arial" w:cs="Arial"/>
          <w:bCs/>
          <w:sz w:val="22"/>
          <w:szCs w:val="22"/>
          <w:lang w:val="fr-FR"/>
        </w:rPr>
        <w:t>s corresponde</w:t>
      </w:r>
      <w:r w:rsidR="0070115C">
        <w:rPr>
          <w:rFonts w:ascii="Arial" w:hAnsi="Arial" w:cs="Arial"/>
          <w:bCs/>
          <w:sz w:val="22"/>
          <w:szCs w:val="22"/>
          <w:lang w:val="fr-FR"/>
        </w:rPr>
        <w:t xml:space="preserve">nt </w:t>
      </w:r>
      <w:r w:rsidR="00D37E7E">
        <w:rPr>
          <w:rFonts w:ascii="Arial" w:hAnsi="Arial" w:cs="Arial"/>
          <w:bCs/>
          <w:sz w:val="22"/>
          <w:szCs w:val="22"/>
          <w:lang w:val="fr-FR"/>
        </w:rPr>
        <w:t>effective</w:t>
      </w:r>
      <w:r w:rsidR="0070115C">
        <w:rPr>
          <w:rFonts w:ascii="Arial" w:hAnsi="Arial" w:cs="Arial"/>
          <w:bCs/>
          <w:sz w:val="22"/>
          <w:szCs w:val="22"/>
          <w:lang w:val="fr-FR"/>
        </w:rPr>
        <w:t xml:space="preserve">ment aux activités proposées, </w:t>
      </w:r>
      <w:r w:rsidR="00756D12">
        <w:rPr>
          <w:rFonts w:ascii="Arial" w:hAnsi="Arial" w:cs="Arial"/>
          <w:bCs/>
          <w:sz w:val="22"/>
          <w:szCs w:val="22"/>
          <w:lang w:val="fr-FR"/>
        </w:rPr>
        <w:t>la pertinence du montant demandé</w:t>
      </w:r>
      <w:r w:rsidR="00D37E7E">
        <w:rPr>
          <w:rFonts w:ascii="Arial" w:hAnsi="Arial" w:cs="Arial"/>
          <w:bCs/>
          <w:sz w:val="22"/>
          <w:szCs w:val="22"/>
          <w:lang w:val="fr-FR"/>
        </w:rPr>
        <w:t xml:space="preserve"> ne peut être évaluée</w:t>
      </w:r>
      <w:r w:rsidR="00756D12">
        <w:rPr>
          <w:rFonts w:ascii="Arial" w:hAnsi="Arial" w:cs="Arial"/>
          <w:bCs/>
          <w:sz w:val="22"/>
          <w:szCs w:val="22"/>
          <w:lang w:val="fr-FR"/>
        </w:rPr>
        <w:t xml:space="preserve"> ; les activités trois à cinq </w:t>
      </w:r>
      <w:r w:rsidR="00D37E7E">
        <w:rPr>
          <w:rFonts w:ascii="Arial" w:hAnsi="Arial" w:cs="Arial"/>
          <w:bCs/>
          <w:sz w:val="22"/>
          <w:szCs w:val="22"/>
          <w:lang w:val="fr-FR"/>
        </w:rPr>
        <w:t>montrent une ventilation</w:t>
      </w:r>
      <w:r w:rsidR="00756D12">
        <w:rPr>
          <w:rFonts w:ascii="Arial" w:hAnsi="Arial" w:cs="Arial"/>
          <w:bCs/>
          <w:sz w:val="22"/>
          <w:szCs w:val="22"/>
          <w:lang w:val="fr-FR"/>
        </w:rPr>
        <w:t xml:space="preserve"> budgétair</w:t>
      </w:r>
      <w:r w:rsidR="00D37E7E">
        <w:rPr>
          <w:rFonts w:ascii="Arial" w:hAnsi="Arial" w:cs="Arial"/>
          <w:bCs/>
          <w:sz w:val="22"/>
          <w:szCs w:val="22"/>
          <w:lang w:val="fr-FR"/>
        </w:rPr>
        <w:t>e identique</w:t>
      </w:r>
      <w:r w:rsidR="00756D12">
        <w:rPr>
          <w:rFonts w:ascii="Arial" w:hAnsi="Arial" w:cs="Arial"/>
          <w:bCs/>
          <w:sz w:val="22"/>
          <w:szCs w:val="22"/>
          <w:lang w:val="fr-FR"/>
        </w:rPr>
        <w:t xml:space="preserve"> avec le même type de dépenses </w:t>
      </w:r>
      <w:r w:rsidR="000558C6">
        <w:rPr>
          <w:rFonts w:ascii="Arial" w:hAnsi="Arial" w:cs="Arial"/>
          <w:bCs/>
          <w:sz w:val="22"/>
          <w:szCs w:val="22"/>
          <w:lang w:val="fr-FR"/>
        </w:rPr>
        <w:t>et de coûts prévu</w:t>
      </w:r>
      <w:r w:rsidR="00756D12">
        <w:rPr>
          <w:rFonts w:ascii="Arial" w:hAnsi="Arial" w:cs="Arial"/>
          <w:bCs/>
          <w:sz w:val="22"/>
          <w:szCs w:val="22"/>
          <w:lang w:val="fr-FR"/>
        </w:rPr>
        <w:t>s</w:t>
      </w:r>
      <w:r w:rsidR="00D37E7E">
        <w:rPr>
          <w:rFonts w:ascii="Arial" w:hAnsi="Arial" w:cs="Arial"/>
          <w:bCs/>
          <w:sz w:val="22"/>
          <w:szCs w:val="22"/>
          <w:lang w:val="fr-FR"/>
        </w:rPr>
        <w:t>,</w:t>
      </w:r>
      <w:r w:rsidR="00756D12">
        <w:rPr>
          <w:rFonts w:ascii="Arial" w:hAnsi="Arial" w:cs="Arial"/>
          <w:bCs/>
          <w:sz w:val="22"/>
          <w:szCs w:val="22"/>
          <w:lang w:val="fr-FR"/>
        </w:rPr>
        <w:t xml:space="preserve"> </w:t>
      </w:r>
      <w:r w:rsidR="002E1AA9">
        <w:rPr>
          <w:rFonts w:ascii="Arial" w:hAnsi="Arial" w:cs="Arial"/>
          <w:bCs/>
          <w:sz w:val="22"/>
          <w:szCs w:val="22"/>
          <w:lang w:val="fr-FR"/>
        </w:rPr>
        <w:t>indépendamment du fait que les activités so</w:t>
      </w:r>
      <w:r w:rsidR="00756D12">
        <w:rPr>
          <w:rFonts w:ascii="Arial" w:hAnsi="Arial" w:cs="Arial"/>
          <w:bCs/>
          <w:sz w:val="22"/>
          <w:szCs w:val="22"/>
          <w:lang w:val="fr-FR"/>
        </w:rPr>
        <w:t>nt de nature différente, comme le re</w:t>
      </w:r>
      <w:r w:rsidR="00D37E7E">
        <w:rPr>
          <w:rFonts w:ascii="Arial" w:hAnsi="Arial" w:cs="Arial"/>
          <w:bCs/>
          <w:sz w:val="22"/>
          <w:szCs w:val="22"/>
          <w:lang w:val="fr-FR"/>
        </w:rPr>
        <w:t xml:space="preserve">nforcement des capacités ou la </w:t>
      </w:r>
      <w:r w:rsidR="00756D12">
        <w:rPr>
          <w:rFonts w:ascii="Arial" w:hAnsi="Arial" w:cs="Arial"/>
          <w:bCs/>
          <w:sz w:val="22"/>
          <w:szCs w:val="22"/>
          <w:lang w:val="fr-FR"/>
        </w:rPr>
        <w:t>publication d’un manuel ; de plus, le budget</w:t>
      </w:r>
      <w:r w:rsidR="002E1AA9">
        <w:rPr>
          <w:rFonts w:ascii="Arial" w:hAnsi="Arial" w:cs="Arial"/>
          <w:bCs/>
          <w:sz w:val="22"/>
          <w:szCs w:val="22"/>
          <w:lang w:val="fr-FR"/>
        </w:rPr>
        <w:t xml:space="preserve"> proposé</w:t>
      </w:r>
      <w:r w:rsidR="00756D12">
        <w:rPr>
          <w:rFonts w:ascii="Arial" w:hAnsi="Arial" w:cs="Arial"/>
          <w:bCs/>
          <w:sz w:val="22"/>
          <w:szCs w:val="22"/>
          <w:lang w:val="fr-FR"/>
        </w:rPr>
        <w:t xml:space="preserve"> </w:t>
      </w:r>
      <w:r w:rsidR="002E1AA9">
        <w:rPr>
          <w:rFonts w:ascii="Arial" w:hAnsi="Arial" w:cs="Arial"/>
          <w:bCs/>
          <w:sz w:val="22"/>
          <w:szCs w:val="22"/>
          <w:lang w:val="fr-FR"/>
        </w:rPr>
        <w:t xml:space="preserve">comprend des informations </w:t>
      </w:r>
      <w:r w:rsidR="00756D12">
        <w:rPr>
          <w:rFonts w:ascii="Arial" w:hAnsi="Arial" w:cs="Arial"/>
          <w:bCs/>
          <w:sz w:val="22"/>
          <w:szCs w:val="22"/>
          <w:lang w:val="fr-FR"/>
        </w:rPr>
        <w:t>concernant les personnes engagées dans chaque activité, leur nombre et leur</w:t>
      </w:r>
      <w:r w:rsidR="00834D59">
        <w:rPr>
          <w:rFonts w:ascii="Arial" w:hAnsi="Arial" w:cs="Arial"/>
          <w:bCs/>
          <w:sz w:val="22"/>
          <w:szCs w:val="22"/>
          <w:lang w:val="fr-FR"/>
        </w:rPr>
        <w:t>s</w:t>
      </w:r>
      <w:r w:rsidR="00756D12">
        <w:rPr>
          <w:rFonts w:ascii="Arial" w:hAnsi="Arial" w:cs="Arial"/>
          <w:bCs/>
          <w:sz w:val="22"/>
          <w:szCs w:val="22"/>
          <w:lang w:val="fr-FR"/>
        </w:rPr>
        <w:t xml:space="preserve"> </w:t>
      </w:r>
      <w:r w:rsidR="00834D59">
        <w:rPr>
          <w:rFonts w:ascii="Arial" w:hAnsi="Arial" w:cs="Arial"/>
          <w:bCs/>
          <w:sz w:val="22"/>
          <w:szCs w:val="22"/>
          <w:lang w:val="fr-FR"/>
        </w:rPr>
        <w:t>fonctions</w:t>
      </w:r>
      <w:r w:rsidR="00756D12">
        <w:rPr>
          <w:rFonts w:ascii="Arial" w:hAnsi="Arial" w:cs="Arial"/>
          <w:bCs/>
          <w:sz w:val="22"/>
          <w:szCs w:val="22"/>
          <w:lang w:val="fr-FR"/>
        </w:rPr>
        <w:t>, ainsi que la durée des activités</w:t>
      </w:r>
      <w:r w:rsidR="00834D59">
        <w:rPr>
          <w:rFonts w:ascii="Arial" w:hAnsi="Arial" w:cs="Arial"/>
          <w:bCs/>
          <w:sz w:val="22"/>
          <w:szCs w:val="22"/>
          <w:lang w:val="fr-FR"/>
        </w:rPr>
        <w:t xml:space="preserve">, </w:t>
      </w:r>
      <w:r w:rsidR="002E1AA9">
        <w:rPr>
          <w:rFonts w:ascii="Arial" w:hAnsi="Arial" w:cs="Arial"/>
          <w:bCs/>
          <w:sz w:val="22"/>
          <w:szCs w:val="22"/>
          <w:lang w:val="fr-FR"/>
        </w:rPr>
        <w:t xml:space="preserve">qui </w:t>
      </w:r>
      <w:r w:rsidR="00834D59">
        <w:rPr>
          <w:rFonts w:ascii="Arial" w:hAnsi="Arial" w:cs="Arial"/>
          <w:bCs/>
          <w:sz w:val="22"/>
          <w:szCs w:val="22"/>
          <w:lang w:val="fr-FR"/>
        </w:rPr>
        <w:t xml:space="preserve">ne </w:t>
      </w:r>
      <w:r w:rsidR="002E1AA9">
        <w:rPr>
          <w:rFonts w:ascii="Arial" w:hAnsi="Arial" w:cs="Arial"/>
          <w:bCs/>
          <w:sz w:val="22"/>
          <w:szCs w:val="22"/>
          <w:lang w:val="fr-FR"/>
        </w:rPr>
        <w:t>corresponde</w:t>
      </w:r>
      <w:r w:rsidR="00834D59">
        <w:rPr>
          <w:rFonts w:ascii="Arial" w:hAnsi="Arial" w:cs="Arial"/>
          <w:bCs/>
          <w:sz w:val="22"/>
          <w:szCs w:val="22"/>
          <w:lang w:val="fr-FR"/>
        </w:rPr>
        <w:t xml:space="preserve">nt pas </w:t>
      </w:r>
      <w:r w:rsidR="002E1AA9">
        <w:rPr>
          <w:rFonts w:ascii="Arial" w:hAnsi="Arial" w:cs="Arial"/>
          <w:bCs/>
          <w:sz w:val="22"/>
          <w:szCs w:val="22"/>
          <w:lang w:val="fr-FR"/>
        </w:rPr>
        <w:t>à celle fournies</w:t>
      </w:r>
      <w:r w:rsidR="00834D59">
        <w:rPr>
          <w:rFonts w:ascii="Arial" w:hAnsi="Arial" w:cs="Arial"/>
          <w:bCs/>
          <w:sz w:val="22"/>
          <w:szCs w:val="22"/>
          <w:lang w:val="fr-FR"/>
        </w:rPr>
        <w:t xml:space="preserve"> ailleurs dans la demande.</w:t>
      </w:r>
    </w:p>
    <w:p w:rsidR="00221107" w:rsidRPr="0052591D" w:rsidRDefault="00CB66E1" w:rsidP="002219DF">
      <w:pPr>
        <w:pStyle w:val="ListParagraph1"/>
        <w:tabs>
          <w:tab w:val="left" w:pos="1134"/>
        </w:tabs>
        <w:spacing w:after="120"/>
        <w:ind w:left="1134"/>
        <w:jc w:val="both"/>
        <w:rPr>
          <w:rFonts w:ascii="Arial" w:hAnsi="Arial" w:cs="Arial"/>
          <w:bCs/>
          <w:sz w:val="22"/>
          <w:szCs w:val="22"/>
          <w:lang w:val="fr-FR"/>
        </w:rPr>
      </w:pPr>
      <w:r w:rsidRPr="00761349">
        <w:rPr>
          <w:rFonts w:ascii="Arial" w:hAnsi="Arial" w:cs="Arial"/>
          <w:b/>
          <w:bCs/>
          <w:sz w:val="22"/>
          <w:szCs w:val="22"/>
          <w:lang w:val="fr-FR"/>
        </w:rPr>
        <w:t>Critère A.3 </w:t>
      </w:r>
      <w:r w:rsidRPr="009712A4">
        <w:rPr>
          <w:rFonts w:ascii="Arial" w:hAnsi="Arial" w:cs="Arial"/>
          <w:bCs/>
          <w:sz w:val="22"/>
          <w:szCs w:val="22"/>
          <w:lang w:val="fr-FR"/>
        </w:rPr>
        <w:t xml:space="preserve">: </w:t>
      </w:r>
      <w:r w:rsidR="002E1AA9">
        <w:rPr>
          <w:rFonts w:ascii="Arial" w:hAnsi="Arial" w:cs="Arial"/>
          <w:bCs/>
          <w:sz w:val="22"/>
          <w:szCs w:val="22"/>
          <w:lang w:val="fr-FR"/>
        </w:rPr>
        <w:t>Le niveau de généralité de l’informations fournie</w:t>
      </w:r>
      <w:r w:rsidR="00834D59">
        <w:rPr>
          <w:rFonts w:ascii="Arial" w:hAnsi="Arial" w:cs="Arial"/>
          <w:bCs/>
          <w:sz w:val="22"/>
          <w:szCs w:val="22"/>
          <w:lang w:val="fr-FR"/>
        </w:rPr>
        <w:t xml:space="preserve"> ne permet pas au lecteur de détermi</w:t>
      </w:r>
      <w:r w:rsidR="002E1AA9">
        <w:rPr>
          <w:rFonts w:ascii="Arial" w:hAnsi="Arial" w:cs="Arial"/>
          <w:bCs/>
          <w:sz w:val="22"/>
          <w:szCs w:val="22"/>
          <w:lang w:val="fr-FR"/>
        </w:rPr>
        <w:t>ner comment les activités peuvent effectiveme</w:t>
      </w:r>
      <w:r w:rsidR="00834D59">
        <w:rPr>
          <w:rFonts w:ascii="Arial" w:hAnsi="Arial" w:cs="Arial"/>
          <w:bCs/>
          <w:sz w:val="22"/>
          <w:szCs w:val="22"/>
          <w:lang w:val="fr-FR"/>
        </w:rPr>
        <w:t xml:space="preserve">nt conduire aux objectifs </w:t>
      </w:r>
      <w:r w:rsidR="0052591D">
        <w:rPr>
          <w:rFonts w:ascii="Arial" w:hAnsi="Arial" w:cs="Arial"/>
          <w:bCs/>
          <w:sz w:val="22"/>
          <w:szCs w:val="22"/>
          <w:lang w:val="fr-FR"/>
        </w:rPr>
        <w:t xml:space="preserve">recherchés et </w:t>
      </w:r>
      <w:r w:rsidR="002E1AA9">
        <w:rPr>
          <w:rFonts w:ascii="Arial" w:hAnsi="Arial" w:cs="Arial"/>
          <w:bCs/>
          <w:sz w:val="22"/>
          <w:szCs w:val="22"/>
          <w:lang w:val="fr-FR"/>
        </w:rPr>
        <w:t>en particulier à dresser</w:t>
      </w:r>
      <w:r w:rsidR="0052591D">
        <w:rPr>
          <w:rFonts w:ascii="Arial" w:hAnsi="Arial" w:cs="Arial"/>
          <w:bCs/>
          <w:sz w:val="22"/>
          <w:szCs w:val="22"/>
          <w:lang w:val="fr-FR"/>
        </w:rPr>
        <w:t xml:space="preserve"> un inventaire des métiers traditionnels du Caire historique </w:t>
      </w:r>
      <w:r w:rsidR="0052591D">
        <w:rPr>
          <w:rFonts w:ascii="Arial" w:hAnsi="Arial" w:cs="Arial"/>
          <w:bCs/>
          <w:i/>
          <w:sz w:val="22"/>
          <w:szCs w:val="22"/>
          <w:lang w:val="fr-FR"/>
        </w:rPr>
        <w:t>en vue</w:t>
      </w:r>
      <w:r w:rsidR="0052591D">
        <w:rPr>
          <w:rFonts w:ascii="Arial" w:hAnsi="Arial" w:cs="Arial"/>
          <w:bCs/>
          <w:sz w:val="22"/>
          <w:szCs w:val="22"/>
          <w:lang w:val="fr-FR"/>
        </w:rPr>
        <w:t xml:space="preserve"> de les sauvegarder, même s’il s’agit du but ultime que la Convention confère aux </w:t>
      </w:r>
      <w:r w:rsidR="00A152D5">
        <w:rPr>
          <w:rFonts w:ascii="Arial" w:hAnsi="Arial" w:cs="Arial"/>
          <w:bCs/>
          <w:sz w:val="22"/>
          <w:szCs w:val="22"/>
          <w:lang w:val="fr-FR"/>
        </w:rPr>
        <w:t>inventaires, comme indiqué à l’a</w:t>
      </w:r>
      <w:r w:rsidR="0052591D">
        <w:rPr>
          <w:rFonts w:ascii="Arial" w:hAnsi="Arial" w:cs="Arial"/>
          <w:bCs/>
          <w:sz w:val="22"/>
          <w:szCs w:val="22"/>
          <w:lang w:val="fr-FR"/>
        </w:rPr>
        <w:t xml:space="preserve">rticle 21 ; </w:t>
      </w:r>
      <w:r w:rsidR="00CF01A0">
        <w:rPr>
          <w:rFonts w:ascii="Arial" w:hAnsi="Arial" w:cs="Arial"/>
          <w:bCs/>
          <w:sz w:val="22"/>
          <w:szCs w:val="22"/>
          <w:lang w:val="fr-FR"/>
        </w:rPr>
        <w:t>l</w:t>
      </w:r>
      <w:r w:rsidR="00CF01A0" w:rsidRPr="00CF01A0">
        <w:rPr>
          <w:rFonts w:ascii="Arial" w:hAnsi="Arial" w:cs="Arial"/>
          <w:bCs/>
          <w:sz w:val="22"/>
          <w:szCs w:val="22"/>
          <w:lang w:val="fr-FR"/>
        </w:rPr>
        <w:t xml:space="preserve">e manque de clarté sur les rôles et responsabilités des différents acteurs (assistants de recherche, spécialistes </w:t>
      </w:r>
      <w:r w:rsidR="00CF01A0">
        <w:rPr>
          <w:rFonts w:ascii="Arial" w:hAnsi="Arial" w:cs="Arial"/>
          <w:bCs/>
          <w:sz w:val="22"/>
          <w:szCs w:val="22"/>
          <w:lang w:val="fr-FR"/>
        </w:rPr>
        <w:t>en informatique</w:t>
      </w:r>
      <w:r w:rsidR="00CF01A0" w:rsidRPr="00CF01A0">
        <w:rPr>
          <w:rFonts w:ascii="Arial" w:hAnsi="Arial" w:cs="Arial"/>
          <w:bCs/>
          <w:sz w:val="22"/>
          <w:szCs w:val="22"/>
          <w:lang w:val="fr-FR"/>
        </w:rPr>
        <w:t xml:space="preserve">, anthropologues, assistants juniors, etc.) et leur appartenance ou non </w:t>
      </w:r>
      <w:r w:rsidR="00CF01A0">
        <w:rPr>
          <w:rFonts w:ascii="Arial" w:hAnsi="Arial" w:cs="Arial"/>
          <w:bCs/>
          <w:sz w:val="22"/>
          <w:szCs w:val="22"/>
          <w:lang w:val="fr-FR"/>
        </w:rPr>
        <w:t>à</w:t>
      </w:r>
      <w:r w:rsidR="00CF01A0" w:rsidRPr="00CF01A0">
        <w:rPr>
          <w:rFonts w:ascii="Arial" w:hAnsi="Arial" w:cs="Arial"/>
          <w:bCs/>
          <w:sz w:val="22"/>
          <w:szCs w:val="22"/>
          <w:lang w:val="fr-FR"/>
        </w:rPr>
        <w:t xml:space="preserve"> la Société égyptienne pour les traditions folkloriques soulèvent des questions sur la faisabilité du projet</w:t>
      </w:r>
      <w:r w:rsidR="00CF01A0">
        <w:rPr>
          <w:rFonts w:ascii="Arial" w:hAnsi="Arial" w:cs="Arial"/>
          <w:bCs/>
          <w:sz w:val="22"/>
          <w:szCs w:val="22"/>
          <w:lang w:val="fr-FR"/>
        </w:rPr>
        <w:t xml:space="preserve"> </w:t>
      </w:r>
      <w:r w:rsidR="00CF01A0" w:rsidRPr="00CF01A0">
        <w:rPr>
          <w:rFonts w:ascii="Arial" w:hAnsi="Arial" w:cs="Arial"/>
          <w:bCs/>
          <w:sz w:val="22"/>
          <w:szCs w:val="22"/>
          <w:lang w:val="fr-FR"/>
        </w:rPr>
        <w:t>;</w:t>
      </w:r>
      <w:r w:rsidR="00CF01A0">
        <w:rPr>
          <w:rFonts w:ascii="Arial" w:hAnsi="Arial" w:cs="Arial"/>
          <w:bCs/>
          <w:sz w:val="22"/>
          <w:szCs w:val="22"/>
          <w:lang w:val="fr-FR"/>
        </w:rPr>
        <w:t xml:space="preserve"> en outre</w:t>
      </w:r>
      <w:r w:rsidR="00CF01A0" w:rsidRPr="00CF01A0">
        <w:rPr>
          <w:rFonts w:ascii="Arial" w:hAnsi="Arial" w:cs="Arial"/>
          <w:bCs/>
          <w:sz w:val="22"/>
          <w:szCs w:val="22"/>
          <w:lang w:val="fr-FR"/>
        </w:rPr>
        <w:t>, de nombreuses incohérences entre la description des activités</w:t>
      </w:r>
      <w:r w:rsidR="00CF01A0">
        <w:rPr>
          <w:rFonts w:ascii="Arial" w:hAnsi="Arial" w:cs="Arial"/>
          <w:bCs/>
          <w:sz w:val="22"/>
          <w:szCs w:val="22"/>
          <w:lang w:val="fr-FR"/>
        </w:rPr>
        <w:t>,</w:t>
      </w:r>
      <w:r w:rsidR="00CF01A0" w:rsidRPr="00CF01A0">
        <w:rPr>
          <w:rFonts w:ascii="Arial" w:hAnsi="Arial" w:cs="Arial"/>
          <w:bCs/>
          <w:sz w:val="22"/>
          <w:szCs w:val="22"/>
          <w:lang w:val="fr-FR"/>
        </w:rPr>
        <w:t xml:space="preserve"> le budget proposé et le calendrier ne </w:t>
      </w:r>
      <w:r w:rsidR="00DF59C3">
        <w:rPr>
          <w:rFonts w:ascii="Arial" w:hAnsi="Arial" w:cs="Arial"/>
          <w:bCs/>
          <w:sz w:val="22"/>
          <w:szCs w:val="22"/>
          <w:lang w:val="fr-FR"/>
        </w:rPr>
        <w:t>mènent</w:t>
      </w:r>
      <w:r w:rsidR="00CF01A0" w:rsidRPr="00CF01A0">
        <w:rPr>
          <w:rFonts w:ascii="Arial" w:hAnsi="Arial" w:cs="Arial"/>
          <w:bCs/>
          <w:sz w:val="22"/>
          <w:szCs w:val="22"/>
          <w:lang w:val="fr-FR"/>
        </w:rPr>
        <w:t xml:space="preserve"> pas à la conclusion que les activités du projet ont été bien conçu</w:t>
      </w:r>
      <w:r w:rsidR="00CF01A0">
        <w:rPr>
          <w:rFonts w:ascii="Arial" w:hAnsi="Arial" w:cs="Arial"/>
          <w:bCs/>
          <w:sz w:val="22"/>
          <w:szCs w:val="22"/>
          <w:lang w:val="fr-FR"/>
        </w:rPr>
        <w:t>e</w:t>
      </w:r>
      <w:r w:rsidR="00CF01A0" w:rsidRPr="00CF01A0">
        <w:rPr>
          <w:rFonts w:ascii="Arial" w:hAnsi="Arial" w:cs="Arial"/>
          <w:bCs/>
          <w:sz w:val="22"/>
          <w:szCs w:val="22"/>
          <w:lang w:val="fr-FR"/>
        </w:rPr>
        <w:t>s.</w:t>
      </w:r>
    </w:p>
    <w:p w:rsidR="00221107" w:rsidRDefault="00CB66E1" w:rsidP="002219DF">
      <w:pPr>
        <w:pStyle w:val="ListParagraph1"/>
        <w:tabs>
          <w:tab w:val="left" w:pos="1134"/>
        </w:tabs>
        <w:spacing w:after="120"/>
        <w:ind w:left="1134"/>
        <w:jc w:val="both"/>
        <w:rPr>
          <w:rFonts w:ascii="Arial" w:hAnsi="Arial" w:cs="Arial"/>
          <w:bCs/>
          <w:sz w:val="22"/>
          <w:szCs w:val="22"/>
          <w:lang w:val="fr-FR"/>
        </w:rPr>
      </w:pPr>
      <w:r w:rsidRPr="00761349">
        <w:rPr>
          <w:rFonts w:ascii="Arial" w:hAnsi="Arial" w:cs="Arial"/>
          <w:b/>
          <w:bCs/>
          <w:sz w:val="22"/>
          <w:szCs w:val="22"/>
          <w:lang w:val="fr-FR"/>
        </w:rPr>
        <w:t>Critère A.4 </w:t>
      </w:r>
      <w:r w:rsidRPr="00761349">
        <w:rPr>
          <w:rFonts w:ascii="Arial" w:hAnsi="Arial" w:cs="Arial"/>
          <w:bCs/>
          <w:sz w:val="22"/>
          <w:szCs w:val="22"/>
          <w:lang w:val="fr-FR"/>
        </w:rPr>
        <w:t xml:space="preserve">: </w:t>
      </w:r>
      <w:r w:rsidR="00CF01A0" w:rsidRPr="00CF01A0">
        <w:rPr>
          <w:rFonts w:ascii="Arial" w:hAnsi="Arial" w:cs="Arial"/>
          <w:bCs/>
          <w:sz w:val="22"/>
          <w:szCs w:val="22"/>
          <w:lang w:val="fr-FR"/>
        </w:rPr>
        <w:t xml:space="preserve">Le potentiel du projet </w:t>
      </w:r>
      <w:r w:rsidR="00CF01A0">
        <w:rPr>
          <w:rFonts w:ascii="Arial" w:hAnsi="Arial" w:cs="Arial"/>
          <w:bCs/>
          <w:sz w:val="22"/>
          <w:szCs w:val="22"/>
          <w:lang w:val="fr-FR"/>
        </w:rPr>
        <w:t>en matière de</w:t>
      </w:r>
      <w:r w:rsidR="00CF01A0" w:rsidRPr="00CF01A0">
        <w:rPr>
          <w:rFonts w:ascii="Arial" w:hAnsi="Arial" w:cs="Arial"/>
          <w:bCs/>
          <w:sz w:val="22"/>
          <w:szCs w:val="22"/>
          <w:lang w:val="fr-FR"/>
        </w:rPr>
        <w:t xml:space="preserve"> résultats durables semble </w:t>
      </w:r>
      <w:r w:rsidR="00CF01A0">
        <w:rPr>
          <w:rFonts w:ascii="Arial" w:hAnsi="Arial" w:cs="Arial"/>
          <w:bCs/>
          <w:sz w:val="22"/>
          <w:szCs w:val="22"/>
          <w:lang w:val="fr-FR"/>
        </w:rPr>
        <w:t>dépendre principalement de</w:t>
      </w:r>
      <w:r w:rsidR="00A152D5">
        <w:rPr>
          <w:rFonts w:ascii="Arial" w:hAnsi="Arial" w:cs="Arial"/>
          <w:bCs/>
          <w:sz w:val="22"/>
          <w:szCs w:val="22"/>
          <w:lang w:val="fr-FR"/>
        </w:rPr>
        <w:t xml:space="preserve"> l'accessibilité de l’information documentée et archivée</w:t>
      </w:r>
      <w:r w:rsidR="00CF01A0">
        <w:rPr>
          <w:rFonts w:ascii="Arial" w:hAnsi="Arial" w:cs="Arial"/>
          <w:bCs/>
          <w:sz w:val="22"/>
          <w:szCs w:val="22"/>
          <w:lang w:val="fr-FR"/>
        </w:rPr>
        <w:t>,</w:t>
      </w:r>
      <w:r w:rsidR="00CF01A0" w:rsidRPr="00CF01A0">
        <w:rPr>
          <w:rFonts w:ascii="Arial" w:hAnsi="Arial" w:cs="Arial"/>
          <w:bCs/>
          <w:sz w:val="22"/>
          <w:szCs w:val="22"/>
          <w:lang w:val="fr-FR"/>
        </w:rPr>
        <w:t xml:space="preserve"> sans décrire en termes concrets comment les individus formés pourraient </w:t>
      </w:r>
      <w:r w:rsidR="00CF01A0">
        <w:rPr>
          <w:rFonts w:ascii="Arial" w:hAnsi="Arial" w:cs="Arial"/>
          <w:bCs/>
          <w:sz w:val="22"/>
          <w:szCs w:val="22"/>
          <w:lang w:val="fr-FR"/>
        </w:rPr>
        <w:t>poursuivre le travail d’inventair</w:t>
      </w:r>
      <w:r w:rsidR="00CF01A0" w:rsidRPr="00CF01A0">
        <w:rPr>
          <w:rFonts w:ascii="Arial" w:hAnsi="Arial" w:cs="Arial"/>
          <w:bCs/>
          <w:sz w:val="22"/>
          <w:szCs w:val="22"/>
          <w:lang w:val="fr-FR"/>
        </w:rPr>
        <w:t>e sur l'artisanat traditionnel ou sur d'autres éléments du patrimoine culturel immatériel</w:t>
      </w:r>
      <w:r w:rsidR="00CF01A0">
        <w:rPr>
          <w:rFonts w:ascii="Arial" w:hAnsi="Arial" w:cs="Arial"/>
          <w:bCs/>
          <w:sz w:val="22"/>
          <w:szCs w:val="22"/>
          <w:lang w:val="fr-FR"/>
        </w:rPr>
        <w:t>,</w:t>
      </w:r>
      <w:r w:rsidR="00CF01A0" w:rsidRPr="00CF01A0">
        <w:rPr>
          <w:rFonts w:ascii="Arial" w:hAnsi="Arial" w:cs="Arial"/>
          <w:bCs/>
          <w:sz w:val="22"/>
          <w:szCs w:val="22"/>
          <w:lang w:val="fr-FR"/>
        </w:rPr>
        <w:t xml:space="preserve"> ou comment l'inventaire pourrait être régulièrement mis à jour et </w:t>
      </w:r>
      <w:r w:rsidR="00A152D5">
        <w:rPr>
          <w:rFonts w:ascii="Arial" w:hAnsi="Arial" w:cs="Arial"/>
          <w:bCs/>
          <w:sz w:val="22"/>
          <w:szCs w:val="22"/>
          <w:lang w:val="fr-FR"/>
        </w:rPr>
        <w:t>développ</w:t>
      </w:r>
      <w:r w:rsidR="00CF01A0">
        <w:rPr>
          <w:rFonts w:ascii="Arial" w:hAnsi="Arial" w:cs="Arial"/>
          <w:bCs/>
          <w:sz w:val="22"/>
          <w:szCs w:val="22"/>
          <w:lang w:val="fr-FR"/>
        </w:rPr>
        <w:t xml:space="preserve">é </w:t>
      </w:r>
      <w:r w:rsidR="00CF01A0" w:rsidRPr="00CF01A0">
        <w:rPr>
          <w:rFonts w:ascii="Arial" w:hAnsi="Arial" w:cs="Arial"/>
          <w:bCs/>
          <w:sz w:val="22"/>
          <w:szCs w:val="22"/>
          <w:lang w:val="fr-FR"/>
        </w:rPr>
        <w:t>au-delà du terme du projet</w:t>
      </w:r>
      <w:r w:rsidR="00CF01A0">
        <w:rPr>
          <w:rFonts w:ascii="Arial" w:hAnsi="Arial" w:cs="Arial"/>
          <w:bCs/>
          <w:sz w:val="22"/>
          <w:szCs w:val="22"/>
          <w:lang w:val="fr-FR"/>
        </w:rPr>
        <w:t xml:space="preserve"> </w:t>
      </w:r>
      <w:r w:rsidR="00CF01A0" w:rsidRPr="00CF01A0">
        <w:rPr>
          <w:rFonts w:ascii="Arial" w:hAnsi="Arial" w:cs="Arial"/>
          <w:bCs/>
          <w:sz w:val="22"/>
          <w:szCs w:val="22"/>
          <w:lang w:val="fr-FR"/>
        </w:rPr>
        <w:t xml:space="preserve">; la documentation et l'archivage </w:t>
      </w:r>
      <w:r w:rsidR="00CF01A0">
        <w:rPr>
          <w:rFonts w:ascii="Arial" w:hAnsi="Arial" w:cs="Arial"/>
          <w:bCs/>
          <w:sz w:val="22"/>
          <w:szCs w:val="22"/>
          <w:lang w:val="fr-FR"/>
        </w:rPr>
        <w:t>éta</w:t>
      </w:r>
      <w:r w:rsidR="00CF01A0" w:rsidRPr="00CF01A0">
        <w:rPr>
          <w:rFonts w:ascii="Arial" w:hAnsi="Arial" w:cs="Arial"/>
          <w:bCs/>
          <w:sz w:val="22"/>
          <w:szCs w:val="22"/>
          <w:lang w:val="fr-FR"/>
        </w:rPr>
        <w:t xml:space="preserve">nt au centre </w:t>
      </w:r>
      <w:r w:rsidR="00CF01A0">
        <w:rPr>
          <w:rFonts w:ascii="Arial" w:hAnsi="Arial" w:cs="Arial"/>
          <w:bCs/>
          <w:sz w:val="22"/>
          <w:szCs w:val="22"/>
          <w:lang w:val="fr-FR"/>
        </w:rPr>
        <w:t>de</w:t>
      </w:r>
      <w:r w:rsidR="00CF01A0" w:rsidRPr="00CF01A0">
        <w:rPr>
          <w:rFonts w:ascii="Arial" w:hAnsi="Arial" w:cs="Arial"/>
          <w:bCs/>
          <w:sz w:val="22"/>
          <w:szCs w:val="22"/>
          <w:lang w:val="fr-FR"/>
        </w:rPr>
        <w:t xml:space="preserve"> la demande, on ne </w:t>
      </w:r>
      <w:r w:rsidR="00BE40DF">
        <w:rPr>
          <w:rFonts w:ascii="Arial" w:hAnsi="Arial" w:cs="Arial"/>
          <w:bCs/>
          <w:sz w:val="22"/>
          <w:szCs w:val="22"/>
          <w:lang w:val="fr-FR"/>
        </w:rPr>
        <w:t>vo</w:t>
      </w:r>
      <w:r w:rsidR="00CF01A0" w:rsidRPr="00CF01A0">
        <w:rPr>
          <w:rFonts w:ascii="Arial" w:hAnsi="Arial" w:cs="Arial"/>
          <w:bCs/>
          <w:sz w:val="22"/>
          <w:szCs w:val="22"/>
          <w:lang w:val="fr-FR"/>
        </w:rPr>
        <w:t xml:space="preserve">it pas comment cette initiative </w:t>
      </w:r>
      <w:r w:rsidR="00BE40DF">
        <w:rPr>
          <w:rFonts w:ascii="Arial" w:hAnsi="Arial" w:cs="Arial"/>
          <w:bCs/>
          <w:sz w:val="22"/>
          <w:szCs w:val="22"/>
          <w:lang w:val="fr-FR"/>
        </w:rPr>
        <w:t>pourrait s’inscrire</w:t>
      </w:r>
      <w:r w:rsidR="00CF01A0" w:rsidRPr="00CF01A0">
        <w:rPr>
          <w:rFonts w:ascii="Arial" w:hAnsi="Arial" w:cs="Arial"/>
          <w:bCs/>
          <w:sz w:val="22"/>
          <w:szCs w:val="22"/>
          <w:lang w:val="fr-FR"/>
        </w:rPr>
        <w:t xml:space="preserve"> dans une stratégie </w:t>
      </w:r>
      <w:r w:rsidR="00CF01A0" w:rsidRPr="00CF01A0">
        <w:rPr>
          <w:rFonts w:ascii="Arial" w:hAnsi="Arial" w:cs="Arial"/>
          <w:bCs/>
          <w:sz w:val="22"/>
          <w:szCs w:val="22"/>
          <w:lang w:val="fr-FR"/>
        </w:rPr>
        <w:lastRenderedPageBreak/>
        <w:t xml:space="preserve">plus </w:t>
      </w:r>
      <w:r w:rsidR="00BE40DF">
        <w:rPr>
          <w:rFonts w:ascii="Arial" w:hAnsi="Arial" w:cs="Arial"/>
          <w:bCs/>
          <w:sz w:val="22"/>
          <w:szCs w:val="22"/>
          <w:lang w:val="fr-FR"/>
        </w:rPr>
        <w:t>vaste</w:t>
      </w:r>
      <w:r w:rsidR="00CF01A0" w:rsidRPr="00CF01A0">
        <w:rPr>
          <w:rFonts w:ascii="Arial" w:hAnsi="Arial" w:cs="Arial"/>
          <w:bCs/>
          <w:sz w:val="22"/>
          <w:szCs w:val="22"/>
          <w:lang w:val="fr-FR"/>
        </w:rPr>
        <w:t xml:space="preserve"> et durable pour la sauvegarde du pat</w:t>
      </w:r>
      <w:r w:rsidR="00BE40DF">
        <w:rPr>
          <w:rFonts w:ascii="Arial" w:hAnsi="Arial" w:cs="Arial"/>
          <w:bCs/>
          <w:sz w:val="22"/>
          <w:szCs w:val="22"/>
          <w:lang w:val="fr-FR"/>
        </w:rPr>
        <w:t xml:space="preserve">rimoine culturel immatériel à une </w:t>
      </w:r>
      <w:r w:rsidR="00CF01A0" w:rsidRPr="00CF01A0">
        <w:rPr>
          <w:rFonts w:ascii="Arial" w:hAnsi="Arial" w:cs="Arial"/>
          <w:bCs/>
          <w:sz w:val="22"/>
          <w:szCs w:val="22"/>
          <w:lang w:val="fr-FR"/>
        </w:rPr>
        <w:t>échelle géographique donnée.</w:t>
      </w:r>
    </w:p>
    <w:p w:rsidR="00221107" w:rsidRDefault="00CB66E1" w:rsidP="002219DF">
      <w:pPr>
        <w:pStyle w:val="ListParagraph1"/>
        <w:tabs>
          <w:tab w:val="left" w:pos="1134"/>
        </w:tabs>
        <w:spacing w:after="120"/>
        <w:ind w:left="1134"/>
        <w:jc w:val="both"/>
        <w:rPr>
          <w:rFonts w:ascii="Arial" w:hAnsi="Arial" w:cs="Arial"/>
          <w:bCs/>
          <w:sz w:val="22"/>
          <w:szCs w:val="22"/>
          <w:lang w:val="fr-FR"/>
        </w:rPr>
      </w:pPr>
      <w:r w:rsidRPr="00761349">
        <w:rPr>
          <w:rFonts w:ascii="Arial" w:hAnsi="Arial" w:cs="Arial"/>
          <w:b/>
          <w:bCs/>
          <w:sz w:val="22"/>
          <w:szCs w:val="22"/>
          <w:lang w:val="fr-FR"/>
        </w:rPr>
        <w:t>Critère A.5 </w:t>
      </w:r>
      <w:r w:rsidRPr="009712A4">
        <w:rPr>
          <w:rFonts w:ascii="Arial" w:hAnsi="Arial" w:cs="Arial"/>
          <w:bCs/>
          <w:sz w:val="22"/>
          <w:szCs w:val="22"/>
          <w:lang w:val="fr-FR"/>
        </w:rPr>
        <w:t xml:space="preserve">: </w:t>
      </w:r>
      <w:r w:rsidR="00BE40DF" w:rsidRPr="00BE40DF">
        <w:rPr>
          <w:rFonts w:ascii="Arial" w:hAnsi="Arial" w:cs="Arial"/>
          <w:bCs/>
          <w:sz w:val="22"/>
          <w:szCs w:val="22"/>
          <w:lang w:val="fr-FR"/>
        </w:rPr>
        <w:t>L'</w:t>
      </w:r>
      <w:r w:rsidR="00A152D5">
        <w:rPr>
          <w:rFonts w:ascii="Arial" w:hAnsi="Arial" w:cs="Arial"/>
          <w:bCs/>
          <w:sz w:val="22"/>
          <w:szCs w:val="22"/>
          <w:lang w:val="fr-FR"/>
        </w:rPr>
        <w:t>É</w:t>
      </w:r>
      <w:r w:rsidR="00BE40DF" w:rsidRPr="00BE40DF">
        <w:rPr>
          <w:rFonts w:ascii="Arial" w:hAnsi="Arial" w:cs="Arial"/>
          <w:bCs/>
          <w:sz w:val="22"/>
          <w:szCs w:val="22"/>
          <w:lang w:val="fr-FR"/>
        </w:rPr>
        <w:t xml:space="preserve">tat </w:t>
      </w:r>
      <w:r w:rsidR="00BE40DF">
        <w:rPr>
          <w:rFonts w:ascii="Arial" w:hAnsi="Arial" w:cs="Arial"/>
          <w:bCs/>
          <w:sz w:val="22"/>
          <w:szCs w:val="22"/>
          <w:lang w:val="fr-FR"/>
        </w:rPr>
        <w:t>demandeur</w:t>
      </w:r>
      <w:r w:rsidR="00BE40DF" w:rsidRPr="00BE40DF">
        <w:rPr>
          <w:rFonts w:ascii="Arial" w:hAnsi="Arial" w:cs="Arial"/>
          <w:bCs/>
          <w:sz w:val="22"/>
          <w:szCs w:val="22"/>
          <w:lang w:val="fr-FR"/>
        </w:rPr>
        <w:t xml:space="preserve"> partage les coûts des activités proposées et </w:t>
      </w:r>
      <w:r w:rsidR="00BE40DF">
        <w:rPr>
          <w:rFonts w:ascii="Arial" w:hAnsi="Arial" w:cs="Arial"/>
          <w:bCs/>
          <w:sz w:val="22"/>
          <w:szCs w:val="22"/>
          <w:lang w:val="fr-FR"/>
        </w:rPr>
        <w:t>s’est</w:t>
      </w:r>
      <w:r w:rsidR="00BE40DF" w:rsidRPr="00BE40DF">
        <w:rPr>
          <w:rFonts w:ascii="Arial" w:hAnsi="Arial" w:cs="Arial"/>
          <w:bCs/>
          <w:sz w:val="22"/>
          <w:szCs w:val="22"/>
          <w:lang w:val="fr-FR"/>
        </w:rPr>
        <w:t xml:space="preserve"> engagé à </w:t>
      </w:r>
      <w:r w:rsidR="00BE40DF">
        <w:rPr>
          <w:rFonts w:ascii="Arial" w:hAnsi="Arial" w:cs="Arial"/>
          <w:bCs/>
          <w:sz w:val="22"/>
          <w:szCs w:val="22"/>
          <w:lang w:val="fr-FR"/>
        </w:rPr>
        <w:t>contribuer à hauteur du</w:t>
      </w:r>
      <w:r w:rsidR="00BE40DF" w:rsidRPr="00BE40DF">
        <w:rPr>
          <w:rFonts w:ascii="Arial" w:hAnsi="Arial" w:cs="Arial"/>
          <w:bCs/>
          <w:sz w:val="22"/>
          <w:szCs w:val="22"/>
          <w:lang w:val="fr-FR"/>
        </w:rPr>
        <w:t xml:space="preserve"> montant </w:t>
      </w:r>
      <w:r w:rsidR="00A152D5">
        <w:rPr>
          <w:rFonts w:ascii="Arial" w:hAnsi="Arial" w:cs="Arial"/>
          <w:bCs/>
          <w:sz w:val="22"/>
          <w:szCs w:val="22"/>
          <w:lang w:val="fr-FR"/>
        </w:rPr>
        <w:t xml:space="preserve">qu’il </w:t>
      </w:r>
      <w:r w:rsidR="00BE40DF" w:rsidRPr="00BE40DF">
        <w:rPr>
          <w:rFonts w:ascii="Arial" w:hAnsi="Arial" w:cs="Arial"/>
          <w:bCs/>
          <w:sz w:val="22"/>
          <w:szCs w:val="22"/>
          <w:lang w:val="fr-FR"/>
        </w:rPr>
        <w:t>demand</w:t>
      </w:r>
      <w:r w:rsidR="00A152D5">
        <w:rPr>
          <w:rFonts w:ascii="Arial" w:hAnsi="Arial" w:cs="Arial"/>
          <w:bCs/>
          <w:sz w:val="22"/>
          <w:szCs w:val="22"/>
          <w:lang w:val="fr-FR"/>
        </w:rPr>
        <w:t>e</w:t>
      </w:r>
      <w:r w:rsidR="00BE40DF" w:rsidRPr="00BE40DF">
        <w:rPr>
          <w:rFonts w:ascii="Arial" w:hAnsi="Arial" w:cs="Arial"/>
          <w:bCs/>
          <w:sz w:val="22"/>
          <w:szCs w:val="22"/>
          <w:lang w:val="fr-FR"/>
        </w:rPr>
        <w:t xml:space="preserve"> au Fonds du patrimoine culturel immatériel, ce qui représente 50</w:t>
      </w:r>
      <w:r w:rsidR="00A152D5">
        <w:rPr>
          <w:rFonts w:ascii="Arial" w:hAnsi="Arial" w:cs="Arial"/>
          <w:bCs/>
          <w:sz w:val="22"/>
          <w:szCs w:val="22"/>
          <w:lang w:val="fr-FR"/>
        </w:rPr>
        <w:t>%</w:t>
      </w:r>
      <w:r w:rsidR="00BE40DF" w:rsidRPr="00BE40DF">
        <w:rPr>
          <w:rFonts w:ascii="Arial" w:hAnsi="Arial" w:cs="Arial"/>
          <w:bCs/>
          <w:sz w:val="22"/>
          <w:szCs w:val="22"/>
          <w:lang w:val="fr-FR"/>
        </w:rPr>
        <w:t xml:space="preserve"> du budget total du projet.</w:t>
      </w:r>
    </w:p>
    <w:p w:rsidR="00221107" w:rsidRPr="00BE40DF" w:rsidRDefault="00CB66E1" w:rsidP="002219DF">
      <w:pPr>
        <w:pStyle w:val="ListParagraph1"/>
        <w:tabs>
          <w:tab w:val="left" w:pos="1134"/>
        </w:tabs>
        <w:spacing w:after="120"/>
        <w:ind w:left="1134"/>
        <w:jc w:val="both"/>
        <w:rPr>
          <w:rFonts w:ascii="Arial" w:hAnsi="Arial" w:cs="Arial"/>
          <w:b/>
          <w:bCs/>
          <w:sz w:val="22"/>
          <w:szCs w:val="22"/>
          <w:lang w:val="fr-FR"/>
        </w:rPr>
      </w:pPr>
      <w:r w:rsidRPr="00761349">
        <w:rPr>
          <w:rFonts w:ascii="Arial" w:hAnsi="Arial" w:cs="Arial"/>
          <w:b/>
          <w:bCs/>
          <w:sz w:val="22"/>
          <w:szCs w:val="22"/>
          <w:lang w:val="fr-FR"/>
        </w:rPr>
        <w:t>Critère A.6 </w:t>
      </w:r>
      <w:r w:rsidRPr="009712A4">
        <w:rPr>
          <w:rFonts w:ascii="Arial" w:hAnsi="Arial" w:cs="Arial"/>
          <w:bCs/>
          <w:sz w:val="22"/>
          <w:szCs w:val="22"/>
          <w:lang w:val="fr-FR"/>
        </w:rPr>
        <w:t xml:space="preserve">: </w:t>
      </w:r>
      <w:r w:rsidR="00BE40DF" w:rsidRPr="00BE40DF">
        <w:rPr>
          <w:rFonts w:ascii="Arial" w:hAnsi="Arial" w:cs="Arial"/>
          <w:bCs/>
          <w:sz w:val="22"/>
          <w:szCs w:val="22"/>
          <w:lang w:val="fr-FR"/>
        </w:rPr>
        <w:t xml:space="preserve">Bien que la demande </w:t>
      </w:r>
      <w:r w:rsidR="00BE40DF">
        <w:rPr>
          <w:rFonts w:ascii="Arial" w:hAnsi="Arial" w:cs="Arial"/>
          <w:bCs/>
          <w:sz w:val="22"/>
          <w:szCs w:val="22"/>
          <w:lang w:val="fr-FR"/>
        </w:rPr>
        <w:t>montr</w:t>
      </w:r>
      <w:r w:rsidR="00BE40DF" w:rsidRPr="00BE40DF">
        <w:rPr>
          <w:rFonts w:ascii="Arial" w:hAnsi="Arial" w:cs="Arial"/>
          <w:bCs/>
          <w:sz w:val="22"/>
          <w:szCs w:val="22"/>
          <w:lang w:val="fr-FR"/>
        </w:rPr>
        <w:t xml:space="preserve">e clairement </w:t>
      </w:r>
      <w:r w:rsidR="00BE40DF">
        <w:rPr>
          <w:rFonts w:ascii="Arial" w:hAnsi="Arial" w:cs="Arial"/>
          <w:bCs/>
          <w:sz w:val="22"/>
          <w:szCs w:val="22"/>
          <w:lang w:val="fr-FR"/>
        </w:rPr>
        <w:t>une</w:t>
      </w:r>
      <w:r w:rsidR="00BE40DF" w:rsidRPr="00BE40DF">
        <w:rPr>
          <w:rFonts w:ascii="Arial" w:hAnsi="Arial" w:cs="Arial"/>
          <w:bCs/>
          <w:sz w:val="22"/>
          <w:szCs w:val="22"/>
          <w:lang w:val="fr-FR"/>
        </w:rPr>
        <w:t xml:space="preserve"> volonté de renforcer les capacités des jeunes impliqués dans le projet, que ce soit la jeunesse locale ou </w:t>
      </w:r>
      <w:r w:rsidR="00BE40DF">
        <w:rPr>
          <w:rFonts w:ascii="Arial" w:hAnsi="Arial" w:cs="Arial"/>
          <w:bCs/>
          <w:sz w:val="22"/>
          <w:szCs w:val="22"/>
          <w:lang w:val="fr-FR"/>
        </w:rPr>
        <w:t>l</w:t>
      </w:r>
      <w:r w:rsidR="00BE40DF" w:rsidRPr="00BE40DF">
        <w:rPr>
          <w:rFonts w:ascii="Arial" w:hAnsi="Arial" w:cs="Arial"/>
          <w:bCs/>
          <w:sz w:val="22"/>
          <w:szCs w:val="22"/>
          <w:lang w:val="fr-FR"/>
        </w:rPr>
        <w:t xml:space="preserve">es membres </w:t>
      </w:r>
      <w:r w:rsidR="00BE40DF">
        <w:rPr>
          <w:rFonts w:ascii="Arial" w:hAnsi="Arial" w:cs="Arial"/>
          <w:bCs/>
          <w:sz w:val="22"/>
          <w:szCs w:val="22"/>
          <w:lang w:val="fr-FR"/>
        </w:rPr>
        <w:t>junior</w:t>
      </w:r>
      <w:r w:rsidR="005428C7">
        <w:rPr>
          <w:rFonts w:ascii="Arial" w:hAnsi="Arial" w:cs="Arial"/>
          <w:bCs/>
          <w:sz w:val="22"/>
          <w:szCs w:val="22"/>
          <w:lang w:val="fr-FR"/>
        </w:rPr>
        <w:t>s</w:t>
      </w:r>
      <w:r w:rsidR="00BE40DF" w:rsidRPr="00BE40DF">
        <w:rPr>
          <w:rFonts w:ascii="Arial" w:hAnsi="Arial" w:cs="Arial"/>
          <w:bCs/>
          <w:sz w:val="22"/>
          <w:szCs w:val="22"/>
          <w:lang w:val="fr-FR"/>
        </w:rPr>
        <w:t xml:space="preserve"> de la Société égyptienne pour les traditions populaires, les informations fournies </w:t>
      </w:r>
      <w:r w:rsidR="00BE40DF">
        <w:rPr>
          <w:rFonts w:ascii="Arial" w:hAnsi="Arial" w:cs="Arial"/>
          <w:bCs/>
          <w:sz w:val="22"/>
          <w:szCs w:val="22"/>
          <w:lang w:val="fr-FR"/>
        </w:rPr>
        <w:t>se limitent</w:t>
      </w:r>
      <w:r w:rsidR="00BE40DF" w:rsidRPr="00BE40DF">
        <w:rPr>
          <w:rFonts w:ascii="Arial" w:hAnsi="Arial" w:cs="Arial"/>
          <w:bCs/>
          <w:sz w:val="22"/>
          <w:szCs w:val="22"/>
          <w:lang w:val="fr-FR"/>
        </w:rPr>
        <w:t xml:space="preserve"> à des déclarations générales au lieu d'une démonstration claire et bien fondée </w:t>
      </w:r>
      <w:r w:rsidR="00A152D5">
        <w:rPr>
          <w:rFonts w:ascii="Arial" w:hAnsi="Arial" w:cs="Arial"/>
          <w:bCs/>
          <w:sz w:val="22"/>
          <w:szCs w:val="22"/>
          <w:lang w:val="fr-FR"/>
        </w:rPr>
        <w:t>de la façon dont</w:t>
      </w:r>
      <w:r w:rsidR="00BE40DF" w:rsidRPr="00BE40DF">
        <w:rPr>
          <w:rFonts w:ascii="Arial" w:hAnsi="Arial" w:cs="Arial"/>
          <w:bCs/>
          <w:sz w:val="22"/>
          <w:szCs w:val="22"/>
          <w:lang w:val="fr-FR"/>
        </w:rPr>
        <w:t xml:space="preserve"> les capacités des communautés mobilisées par le projet </w:t>
      </w:r>
      <w:r w:rsidR="00BE40DF">
        <w:rPr>
          <w:rFonts w:ascii="Arial" w:hAnsi="Arial" w:cs="Arial"/>
          <w:bCs/>
          <w:sz w:val="22"/>
          <w:szCs w:val="22"/>
          <w:lang w:val="fr-FR"/>
        </w:rPr>
        <w:t>se renforceront</w:t>
      </w:r>
      <w:r w:rsidR="00BE40DF" w:rsidRPr="00BE40DF">
        <w:rPr>
          <w:rFonts w:ascii="Arial" w:hAnsi="Arial" w:cs="Arial"/>
          <w:bCs/>
          <w:sz w:val="22"/>
          <w:szCs w:val="22"/>
          <w:lang w:val="fr-FR"/>
        </w:rPr>
        <w:t xml:space="preserve"> au cours de </w:t>
      </w:r>
      <w:r w:rsidR="00BE40DF">
        <w:rPr>
          <w:rFonts w:ascii="Arial" w:hAnsi="Arial" w:cs="Arial"/>
          <w:bCs/>
          <w:sz w:val="22"/>
          <w:szCs w:val="22"/>
          <w:lang w:val="fr-FR"/>
        </w:rPr>
        <w:t xml:space="preserve">celui-ci, afin </w:t>
      </w:r>
      <w:r w:rsidR="00A152D5">
        <w:rPr>
          <w:rFonts w:ascii="Arial" w:hAnsi="Arial" w:cs="Arial"/>
          <w:bCs/>
          <w:sz w:val="22"/>
          <w:szCs w:val="22"/>
          <w:lang w:val="fr-FR"/>
        </w:rPr>
        <w:t>d’être</w:t>
      </w:r>
      <w:r w:rsidR="00BE40DF" w:rsidRPr="00BE40DF">
        <w:rPr>
          <w:rFonts w:ascii="Arial" w:hAnsi="Arial" w:cs="Arial"/>
          <w:bCs/>
          <w:sz w:val="22"/>
          <w:szCs w:val="22"/>
          <w:lang w:val="fr-FR"/>
        </w:rPr>
        <w:t xml:space="preserve"> mieux en mesure de poursuivre les efforts de sauvegarde à l'avenir</w:t>
      </w:r>
      <w:r w:rsidR="00BE40DF">
        <w:rPr>
          <w:rFonts w:ascii="Arial" w:hAnsi="Arial" w:cs="Arial"/>
          <w:bCs/>
          <w:sz w:val="22"/>
          <w:szCs w:val="22"/>
          <w:lang w:val="fr-FR"/>
        </w:rPr>
        <w:t xml:space="preserve"> </w:t>
      </w:r>
      <w:r w:rsidR="00BE40DF" w:rsidRPr="00BE40DF">
        <w:rPr>
          <w:rFonts w:ascii="Arial" w:hAnsi="Arial" w:cs="Arial"/>
          <w:bCs/>
          <w:sz w:val="22"/>
          <w:szCs w:val="22"/>
          <w:lang w:val="fr-FR"/>
        </w:rPr>
        <w:t>; l'organisation de</w:t>
      </w:r>
      <w:r w:rsidR="00BE40DF">
        <w:rPr>
          <w:rFonts w:ascii="Arial" w:hAnsi="Arial" w:cs="Arial"/>
          <w:bCs/>
          <w:sz w:val="22"/>
          <w:szCs w:val="22"/>
          <w:lang w:val="fr-FR"/>
        </w:rPr>
        <w:t xml:space="preserve"> </w:t>
      </w:r>
      <w:r w:rsidR="00BE40DF" w:rsidRPr="00BE40DF">
        <w:rPr>
          <w:rFonts w:ascii="Arial" w:hAnsi="Arial" w:cs="Arial"/>
          <w:bCs/>
          <w:sz w:val="22"/>
          <w:szCs w:val="22"/>
          <w:lang w:val="fr-FR"/>
        </w:rPr>
        <w:t>réunions de discussion semblent être considéré</w:t>
      </w:r>
      <w:r w:rsidR="00BE40DF">
        <w:rPr>
          <w:rFonts w:ascii="Arial" w:hAnsi="Arial" w:cs="Arial"/>
          <w:bCs/>
          <w:sz w:val="22"/>
          <w:szCs w:val="22"/>
          <w:lang w:val="fr-FR"/>
        </w:rPr>
        <w:t>e</w:t>
      </w:r>
      <w:r w:rsidR="00BE40DF" w:rsidRPr="00BE40DF">
        <w:rPr>
          <w:rFonts w:ascii="Arial" w:hAnsi="Arial" w:cs="Arial"/>
          <w:bCs/>
          <w:sz w:val="22"/>
          <w:szCs w:val="22"/>
          <w:lang w:val="fr-FR"/>
        </w:rPr>
        <w:t xml:space="preserve">s comme des activités de renforcement des capacités </w:t>
      </w:r>
      <w:r w:rsidR="00BE40DF">
        <w:rPr>
          <w:rFonts w:ascii="Arial" w:hAnsi="Arial" w:cs="Arial"/>
          <w:bCs/>
          <w:sz w:val="22"/>
          <w:szCs w:val="22"/>
          <w:lang w:val="fr-FR"/>
        </w:rPr>
        <w:t>en soi,</w:t>
      </w:r>
      <w:r w:rsidR="00BE40DF" w:rsidRPr="00BE40DF">
        <w:rPr>
          <w:rFonts w:ascii="Arial" w:hAnsi="Arial" w:cs="Arial"/>
          <w:bCs/>
          <w:sz w:val="22"/>
          <w:szCs w:val="22"/>
          <w:lang w:val="fr-FR"/>
        </w:rPr>
        <w:t xml:space="preserve"> sans lien entre </w:t>
      </w:r>
      <w:r w:rsidR="00BE40DF">
        <w:rPr>
          <w:rFonts w:ascii="Arial" w:hAnsi="Arial" w:cs="Arial"/>
          <w:bCs/>
          <w:sz w:val="22"/>
          <w:szCs w:val="22"/>
          <w:lang w:val="fr-FR"/>
        </w:rPr>
        <w:t>elles</w:t>
      </w:r>
      <w:r w:rsidR="00BE40DF" w:rsidRPr="00BE40DF">
        <w:rPr>
          <w:rFonts w:ascii="Arial" w:hAnsi="Arial" w:cs="Arial"/>
          <w:bCs/>
          <w:sz w:val="22"/>
          <w:szCs w:val="22"/>
          <w:lang w:val="fr-FR"/>
        </w:rPr>
        <w:t xml:space="preserve"> et </w:t>
      </w:r>
      <w:r w:rsidR="00BE40DF">
        <w:rPr>
          <w:rFonts w:ascii="Arial" w:hAnsi="Arial" w:cs="Arial"/>
          <w:bCs/>
          <w:sz w:val="22"/>
          <w:szCs w:val="22"/>
          <w:lang w:val="fr-FR"/>
        </w:rPr>
        <w:t xml:space="preserve">sans que </w:t>
      </w:r>
      <w:r w:rsidR="00BE40DF" w:rsidRPr="00BE40DF">
        <w:rPr>
          <w:rFonts w:ascii="Arial" w:hAnsi="Arial" w:cs="Arial"/>
          <w:bCs/>
          <w:sz w:val="22"/>
          <w:szCs w:val="22"/>
          <w:lang w:val="fr-FR"/>
        </w:rPr>
        <w:t xml:space="preserve">la transmission des connaissances et des compétences </w:t>
      </w:r>
      <w:r w:rsidR="00BE40DF">
        <w:rPr>
          <w:rFonts w:ascii="Arial" w:hAnsi="Arial" w:cs="Arial"/>
          <w:bCs/>
          <w:sz w:val="22"/>
          <w:szCs w:val="22"/>
          <w:lang w:val="fr-FR"/>
        </w:rPr>
        <w:t>sur</w:t>
      </w:r>
      <w:r w:rsidR="00BE40DF" w:rsidRPr="00BE40DF">
        <w:rPr>
          <w:rFonts w:ascii="Arial" w:hAnsi="Arial" w:cs="Arial"/>
          <w:bCs/>
          <w:sz w:val="22"/>
          <w:szCs w:val="22"/>
          <w:lang w:val="fr-FR"/>
        </w:rPr>
        <w:t xml:space="preserve"> l'inventaire communautaire </w:t>
      </w:r>
      <w:r w:rsidR="00597986">
        <w:rPr>
          <w:rFonts w:ascii="Arial" w:hAnsi="Arial" w:cs="Arial"/>
          <w:bCs/>
          <w:sz w:val="22"/>
          <w:szCs w:val="22"/>
          <w:lang w:val="fr-FR"/>
        </w:rPr>
        <w:t>soit</w:t>
      </w:r>
      <w:r w:rsidR="00BE40DF" w:rsidRPr="00BE40DF">
        <w:rPr>
          <w:rFonts w:ascii="Arial" w:hAnsi="Arial" w:cs="Arial"/>
          <w:bCs/>
          <w:sz w:val="22"/>
          <w:szCs w:val="22"/>
          <w:lang w:val="fr-FR"/>
        </w:rPr>
        <w:t xml:space="preserve"> établi</w:t>
      </w:r>
      <w:r w:rsidR="00597986">
        <w:rPr>
          <w:rFonts w:ascii="Arial" w:hAnsi="Arial" w:cs="Arial"/>
          <w:bCs/>
          <w:sz w:val="22"/>
          <w:szCs w:val="22"/>
          <w:lang w:val="fr-FR"/>
        </w:rPr>
        <w:t xml:space="preserve">e </w:t>
      </w:r>
      <w:r w:rsidR="00BE40DF" w:rsidRPr="00BE40DF">
        <w:rPr>
          <w:rFonts w:ascii="Arial" w:hAnsi="Arial" w:cs="Arial"/>
          <w:bCs/>
          <w:sz w:val="22"/>
          <w:szCs w:val="22"/>
          <w:lang w:val="fr-FR"/>
        </w:rPr>
        <w:t xml:space="preserve">; la demande ne précise pas si la participation des jeunes chômeurs (dont les relations </w:t>
      </w:r>
      <w:r w:rsidR="00A152D5">
        <w:rPr>
          <w:rFonts w:ascii="Arial" w:hAnsi="Arial" w:cs="Arial"/>
          <w:bCs/>
          <w:sz w:val="22"/>
          <w:szCs w:val="22"/>
          <w:lang w:val="fr-FR"/>
        </w:rPr>
        <w:t>à</w:t>
      </w:r>
      <w:r w:rsidR="00BE40DF" w:rsidRPr="00BE40DF">
        <w:rPr>
          <w:rFonts w:ascii="Arial" w:hAnsi="Arial" w:cs="Arial"/>
          <w:bCs/>
          <w:sz w:val="22"/>
          <w:szCs w:val="22"/>
          <w:lang w:val="fr-FR"/>
        </w:rPr>
        <w:t xml:space="preserve"> l'artisanat </w:t>
      </w:r>
      <w:r w:rsidR="00597986">
        <w:rPr>
          <w:rFonts w:ascii="Arial" w:hAnsi="Arial" w:cs="Arial"/>
          <w:bCs/>
          <w:sz w:val="22"/>
          <w:szCs w:val="22"/>
          <w:lang w:val="fr-FR"/>
        </w:rPr>
        <w:t>sont</w:t>
      </w:r>
      <w:r w:rsidR="00BE40DF" w:rsidRPr="00BE40DF">
        <w:rPr>
          <w:rFonts w:ascii="Arial" w:hAnsi="Arial" w:cs="Arial"/>
          <w:bCs/>
          <w:sz w:val="22"/>
          <w:szCs w:val="22"/>
          <w:lang w:val="fr-FR"/>
        </w:rPr>
        <w:t xml:space="preserve"> inconnu</w:t>
      </w:r>
      <w:r w:rsidR="00597986">
        <w:rPr>
          <w:rFonts w:ascii="Arial" w:hAnsi="Arial" w:cs="Arial"/>
          <w:bCs/>
          <w:sz w:val="22"/>
          <w:szCs w:val="22"/>
          <w:lang w:val="fr-FR"/>
        </w:rPr>
        <w:t>es</w:t>
      </w:r>
      <w:r w:rsidR="00BE40DF" w:rsidRPr="00BE40DF">
        <w:rPr>
          <w:rFonts w:ascii="Arial" w:hAnsi="Arial" w:cs="Arial"/>
          <w:bCs/>
          <w:sz w:val="22"/>
          <w:szCs w:val="22"/>
          <w:lang w:val="fr-FR"/>
        </w:rPr>
        <w:t>) répond à la nécessité de renforcer leurs capacités dans le domaine de la sauvegarde du patrimoine culturel immatériel.</w:t>
      </w:r>
    </w:p>
    <w:p w:rsidR="00CB66E1" w:rsidRDefault="00CB66E1" w:rsidP="002219DF">
      <w:pPr>
        <w:pStyle w:val="ListParagraph1"/>
        <w:tabs>
          <w:tab w:val="left" w:pos="1134"/>
        </w:tabs>
        <w:spacing w:after="120"/>
        <w:ind w:left="1134"/>
        <w:jc w:val="both"/>
        <w:rPr>
          <w:rFonts w:ascii="Arial" w:hAnsi="Arial" w:cs="Arial"/>
          <w:bCs/>
          <w:sz w:val="22"/>
          <w:szCs w:val="22"/>
          <w:lang w:val="fr-FR"/>
        </w:rPr>
      </w:pPr>
      <w:r w:rsidRPr="00761349">
        <w:rPr>
          <w:rFonts w:ascii="Arial" w:hAnsi="Arial" w:cs="Arial"/>
          <w:b/>
          <w:bCs/>
          <w:sz w:val="22"/>
          <w:szCs w:val="22"/>
          <w:lang w:val="fr-FR"/>
        </w:rPr>
        <w:t>Critère A.7 </w:t>
      </w:r>
      <w:r w:rsidRPr="009712A4">
        <w:rPr>
          <w:rFonts w:ascii="Arial" w:hAnsi="Arial" w:cs="Arial"/>
          <w:bCs/>
          <w:sz w:val="22"/>
          <w:szCs w:val="22"/>
          <w:lang w:val="fr-FR"/>
        </w:rPr>
        <w:t xml:space="preserve">: </w:t>
      </w:r>
      <w:r w:rsidR="00597986">
        <w:rPr>
          <w:rFonts w:ascii="Arial" w:hAnsi="Arial" w:cs="Arial"/>
          <w:bCs/>
          <w:sz w:val="22"/>
          <w:szCs w:val="22"/>
          <w:lang w:val="fr-FR"/>
        </w:rPr>
        <w:t>L’Égypte n’a jamais mis en œuvre des activités financées par le Fonds du patrimoine culturel immatériel.</w:t>
      </w:r>
    </w:p>
    <w:p w:rsidR="00CE7090" w:rsidRPr="00597986" w:rsidRDefault="00A152D5" w:rsidP="002219DF">
      <w:pPr>
        <w:pStyle w:val="ListParagraph1"/>
        <w:tabs>
          <w:tab w:val="left" w:pos="1134"/>
        </w:tabs>
        <w:spacing w:after="120"/>
        <w:ind w:left="1134"/>
        <w:jc w:val="both"/>
        <w:rPr>
          <w:rFonts w:ascii="Arial" w:hAnsi="Arial" w:cs="Arial"/>
          <w:sz w:val="22"/>
          <w:szCs w:val="22"/>
          <w:lang w:val="fr-FR" w:eastAsia="fr-FR"/>
        </w:rPr>
      </w:pPr>
      <w:r>
        <w:rPr>
          <w:rFonts w:ascii="Arial" w:hAnsi="Arial" w:cs="Arial"/>
          <w:b/>
          <w:bCs/>
          <w:sz w:val="22"/>
          <w:szCs w:val="22"/>
          <w:lang w:val="fr-FR"/>
        </w:rPr>
        <w:t>Considération</w:t>
      </w:r>
      <w:r w:rsidR="00CE7090">
        <w:rPr>
          <w:rFonts w:ascii="Arial" w:hAnsi="Arial" w:cs="Arial"/>
          <w:b/>
          <w:bCs/>
          <w:sz w:val="22"/>
          <w:szCs w:val="22"/>
          <w:lang w:val="fr-FR"/>
        </w:rPr>
        <w:t xml:space="preserve"> 10(a</w:t>
      </w:r>
      <w:r w:rsidR="00CE7090" w:rsidRPr="00761349">
        <w:rPr>
          <w:rFonts w:ascii="Arial" w:hAnsi="Arial" w:cs="Arial"/>
          <w:b/>
          <w:bCs/>
          <w:sz w:val="22"/>
          <w:szCs w:val="22"/>
          <w:lang w:val="fr-FR"/>
        </w:rPr>
        <w:t>)</w:t>
      </w:r>
      <w:r w:rsidR="00597986">
        <w:rPr>
          <w:rFonts w:ascii="Arial" w:hAnsi="Arial" w:cs="Arial"/>
          <w:b/>
          <w:bCs/>
          <w:sz w:val="22"/>
          <w:szCs w:val="22"/>
          <w:lang w:val="fr-FR"/>
        </w:rPr>
        <w:t> </w:t>
      </w:r>
      <w:r w:rsidR="00597986">
        <w:rPr>
          <w:rFonts w:ascii="Arial" w:hAnsi="Arial" w:cs="Arial"/>
          <w:bCs/>
          <w:sz w:val="22"/>
          <w:szCs w:val="22"/>
          <w:lang w:val="fr-FR"/>
        </w:rPr>
        <w:t xml:space="preserve">: Le projet est d’envergure locale et </w:t>
      </w:r>
      <w:r>
        <w:rPr>
          <w:rFonts w:ascii="Arial" w:hAnsi="Arial" w:cs="Arial"/>
          <w:bCs/>
          <w:sz w:val="22"/>
          <w:szCs w:val="22"/>
          <w:lang w:val="fr-FR"/>
        </w:rPr>
        <w:t xml:space="preserve">sa mise en œuvre </w:t>
      </w:r>
      <w:r w:rsidR="00597986">
        <w:rPr>
          <w:rFonts w:ascii="Arial" w:hAnsi="Arial" w:cs="Arial"/>
          <w:bCs/>
          <w:sz w:val="22"/>
          <w:szCs w:val="22"/>
          <w:lang w:val="fr-FR"/>
        </w:rPr>
        <w:t>implique des partenaires nationaux.</w:t>
      </w:r>
    </w:p>
    <w:p w:rsidR="00221107" w:rsidRDefault="00A152D5" w:rsidP="00221107">
      <w:pPr>
        <w:pStyle w:val="ListParagraph1"/>
        <w:tabs>
          <w:tab w:val="left" w:pos="1134"/>
        </w:tabs>
        <w:spacing w:after="120"/>
        <w:ind w:left="1134"/>
        <w:jc w:val="both"/>
        <w:rPr>
          <w:rFonts w:ascii="Arial" w:hAnsi="Arial" w:cs="Arial"/>
          <w:bCs/>
          <w:sz w:val="22"/>
          <w:szCs w:val="22"/>
          <w:lang w:val="fr-FR"/>
        </w:rPr>
      </w:pPr>
      <w:r>
        <w:rPr>
          <w:rFonts w:ascii="Arial" w:hAnsi="Arial" w:cs="Arial"/>
          <w:b/>
          <w:bCs/>
          <w:sz w:val="22"/>
          <w:szCs w:val="22"/>
          <w:lang w:val="fr-FR"/>
        </w:rPr>
        <w:t>Considération</w:t>
      </w:r>
      <w:r w:rsidR="00CB66E1" w:rsidRPr="00761349">
        <w:rPr>
          <w:rFonts w:ascii="Arial" w:hAnsi="Arial" w:cs="Arial"/>
          <w:b/>
          <w:bCs/>
          <w:sz w:val="22"/>
          <w:szCs w:val="22"/>
          <w:lang w:val="fr-FR"/>
        </w:rPr>
        <w:t xml:space="preserve"> 10(b) </w:t>
      </w:r>
      <w:r w:rsidR="00CB66E1" w:rsidRPr="009712A4">
        <w:rPr>
          <w:rFonts w:ascii="Arial" w:hAnsi="Arial" w:cs="Arial"/>
          <w:bCs/>
          <w:sz w:val="22"/>
          <w:szCs w:val="22"/>
          <w:lang w:val="fr-FR"/>
        </w:rPr>
        <w:t xml:space="preserve">: </w:t>
      </w:r>
      <w:r w:rsidR="00597986" w:rsidRPr="00597986">
        <w:rPr>
          <w:rFonts w:ascii="Arial" w:hAnsi="Arial" w:cs="Arial"/>
          <w:bCs/>
          <w:sz w:val="22"/>
          <w:szCs w:val="22"/>
          <w:lang w:val="fr-FR"/>
        </w:rPr>
        <w:t xml:space="preserve">La demande </w:t>
      </w:r>
      <w:r>
        <w:rPr>
          <w:rFonts w:ascii="Arial" w:hAnsi="Arial" w:cs="Arial"/>
          <w:bCs/>
          <w:sz w:val="22"/>
          <w:szCs w:val="22"/>
          <w:lang w:val="fr-FR"/>
        </w:rPr>
        <w:t>n’indique pas</w:t>
      </w:r>
      <w:r w:rsidR="00597986" w:rsidRPr="00597986">
        <w:rPr>
          <w:rFonts w:ascii="Arial" w:hAnsi="Arial" w:cs="Arial"/>
          <w:bCs/>
          <w:sz w:val="22"/>
          <w:szCs w:val="22"/>
          <w:lang w:val="fr-FR"/>
        </w:rPr>
        <w:t xml:space="preserve"> si le projet peut avoir un effet multipl</w:t>
      </w:r>
      <w:r w:rsidR="00597986">
        <w:rPr>
          <w:rFonts w:ascii="Arial" w:hAnsi="Arial" w:cs="Arial"/>
          <w:bCs/>
          <w:sz w:val="22"/>
          <w:szCs w:val="22"/>
          <w:lang w:val="fr-FR"/>
        </w:rPr>
        <w:t>icateur ou pourrait encourager d</w:t>
      </w:r>
      <w:r w:rsidR="00597986" w:rsidRPr="00597986">
        <w:rPr>
          <w:rFonts w:ascii="Arial" w:hAnsi="Arial" w:cs="Arial"/>
          <w:bCs/>
          <w:sz w:val="22"/>
          <w:szCs w:val="22"/>
          <w:lang w:val="fr-FR"/>
        </w:rPr>
        <w:t>es contributions financi</w:t>
      </w:r>
      <w:r w:rsidR="00597986">
        <w:rPr>
          <w:rFonts w:ascii="Arial" w:hAnsi="Arial" w:cs="Arial"/>
          <w:bCs/>
          <w:sz w:val="22"/>
          <w:szCs w:val="22"/>
          <w:lang w:val="fr-FR"/>
        </w:rPr>
        <w:t xml:space="preserve">ères et techniques, ainsi qu’un </w:t>
      </w:r>
      <w:r w:rsidR="00597986" w:rsidRPr="00597986">
        <w:rPr>
          <w:rFonts w:ascii="Arial" w:hAnsi="Arial" w:cs="Arial"/>
          <w:bCs/>
          <w:sz w:val="22"/>
          <w:szCs w:val="22"/>
          <w:lang w:val="fr-FR"/>
        </w:rPr>
        <w:t xml:space="preserve">appui institutionnel à partir d'autres sources pour aider à poursuivre la sauvegarde de l'artisanat </w:t>
      </w:r>
      <w:r w:rsidR="00597986">
        <w:rPr>
          <w:rFonts w:ascii="Arial" w:hAnsi="Arial" w:cs="Arial"/>
          <w:bCs/>
          <w:sz w:val="22"/>
          <w:szCs w:val="22"/>
          <w:lang w:val="fr-FR"/>
        </w:rPr>
        <w:t>d</w:t>
      </w:r>
      <w:r w:rsidR="00597986" w:rsidRPr="00597986">
        <w:rPr>
          <w:rFonts w:ascii="Arial" w:hAnsi="Arial" w:cs="Arial"/>
          <w:bCs/>
          <w:sz w:val="22"/>
          <w:szCs w:val="22"/>
          <w:lang w:val="fr-FR"/>
        </w:rPr>
        <w:t>u Caire historique</w:t>
      </w:r>
      <w:r w:rsidR="00597986">
        <w:rPr>
          <w:rFonts w:ascii="Arial" w:hAnsi="Arial" w:cs="Arial"/>
          <w:bCs/>
          <w:sz w:val="22"/>
          <w:szCs w:val="22"/>
          <w:lang w:val="fr-FR"/>
        </w:rPr>
        <w:t xml:space="preserve"> </w:t>
      </w:r>
      <w:r w:rsidR="00597986" w:rsidRPr="00597986">
        <w:rPr>
          <w:rFonts w:ascii="Arial" w:hAnsi="Arial" w:cs="Arial"/>
          <w:bCs/>
          <w:sz w:val="22"/>
          <w:szCs w:val="22"/>
          <w:lang w:val="fr-FR"/>
        </w:rPr>
        <w:t xml:space="preserve">; bien que les </w:t>
      </w:r>
      <w:r w:rsidR="00597986">
        <w:rPr>
          <w:rFonts w:ascii="Arial" w:hAnsi="Arial" w:cs="Arial"/>
          <w:bCs/>
          <w:sz w:val="22"/>
          <w:szCs w:val="22"/>
          <w:lang w:val="fr-FR"/>
        </w:rPr>
        <w:t>M</w:t>
      </w:r>
      <w:r w:rsidR="00597986" w:rsidRPr="00597986">
        <w:rPr>
          <w:rFonts w:ascii="Arial" w:hAnsi="Arial" w:cs="Arial"/>
          <w:bCs/>
          <w:sz w:val="22"/>
          <w:szCs w:val="22"/>
          <w:lang w:val="fr-FR"/>
        </w:rPr>
        <w:t xml:space="preserve">inistères de l'Industrie, du Tourisme et de la </w:t>
      </w:r>
      <w:r w:rsidR="00597986">
        <w:rPr>
          <w:rFonts w:ascii="Arial" w:hAnsi="Arial" w:cs="Arial"/>
          <w:bCs/>
          <w:sz w:val="22"/>
          <w:szCs w:val="22"/>
          <w:lang w:val="fr-FR"/>
        </w:rPr>
        <w:t>C</w:t>
      </w:r>
      <w:r w:rsidR="00597986" w:rsidRPr="00597986">
        <w:rPr>
          <w:rFonts w:ascii="Arial" w:hAnsi="Arial" w:cs="Arial"/>
          <w:bCs/>
          <w:sz w:val="22"/>
          <w:szCs w:val="22"/>
          <w:lang w:val="fr-FR"/>
        </w:rPr>
        <w:t xml:space="preserve">ulture </w:t>
      </w:r>
      <w:r w:rsidR="00597986">
        <w:rPr>
          <w:rFonts w:ascii="Arial" w:hAnsi="Arial" w:cs="Arial"/>
          <w:bCs/>
          <w:sz w:val="22"/>
          <w:szCs w:val="22"/>
          <w:lang w:val="fr-FR"/>
        </w:rPr>
        <w:t>semblent être</w:t>
      </w:r>
      <w:r w:rsidR="00597986" w:rsidRPr="00597986">
        <w:rPr>
          <w:rFonts w:ascii="Arial" w:hAnsi="Arial" w:cs="Arial"/>
          <w:bCs/>
          <w:sz w:val="22"/>
          <w:szCs w:val="22"/>
          <w:lang w:val="fr-FR"/>
        </w:rPr>
        <w:t xml:space="preserve"> prêts à soutenir les activités de suivi, la demande ne fournit aucune information sur les </w:t>
      </w:r>
      <w:r w:rsidR="0079699D">
        <w:rPr>
          <w:rFonts w:ascii="Arial" w:hAnsi="Arial" w:cs="Arial"/>
          <w:bCs/>
          <w:sz w:val="22"/>
          <w:szCs w:val="22"/>
          <w:lang w:val="fr-FR"/>
        </w:rPr>
        <w:t xml:space="preserve">éventuels </w:t>
      </w:r>
      <w:r w:rsidR="00597986" w:rsidRPr="00597986">
        <w:rPr>
          <w:rFonts w:ascii="Arial" w:hAnsi="Arial" w:cs="Arial"/>
          <w:bCs/>
          <w:sz w:val="22"/>
          <w:szCs w:val="22"/>
          <w:lang w:val="fr-FR"/>
        </w:rPr>
        <w:t xml:space="preserve">effets multiplicateurs </w:t>
      </w:r>
      <w:r w:rsidR="0079699D">
        <w:rPr>
          <w:rFonts w:ascii="Arial" w:hAnsi="Arial" w:cs="Arial"/>
          <w:bCs/>
          <w:sz w:val="22"/>
          <w:szCs w:val="22"/>
          <w:lang w:val="fr-FR"/>
        </w:rPr>
        <w:t>issus</w:t>
      </w:r>
      <w:r w:rsidR="00C2404D">
        <w:rPr>
          <w:rFonts w:ascii="Arial" w:hAnsi="Arial" w:cs="Arial"/>
          <w:bCs/>
          <w:sz w:val="22"/>
          <w:szCs w:val="22"/>
          <w:lang w:val="fr-FR"/>
        </w:rPr>
        <w:t xml:space="preserve"> de</w:t>
      </w:r>
      <w:r w:rsidR="00597986" w:rsidRPr="00597986">
        <w:rPr>
          <w:rFonts w:ascii="Arial" w:hAnsi="Arial" w:cs="Arial"/>
          <w:bCs/>
          <w:sz w:val="22"/>
          <w:szCs w:val="22"/>
          <w:lang w:val="fr-FR"/>
        </w:rPr>
        <w:t xml:space="preserve"> partenariats avec ces ministères.</w:t>
      </w:r>
    </w:p>
    <w:p w:rsidR="0079699D" w:rsidRDefault="0079699D" w:rsidP="00DA366E">
      <w:pPr>
        <w:pStyle w:val="COMParaDecision"/>
        <w:ind w:left="1134" w:hanging="567"/>
      </w:pPr>
      <w:r w:rsidRPr="0079699D">
        <w:t>Reconnaît</w:t>
      </w:r>
      <w:r w:rsidRPr="0079699D">
        <w:rPr>
          <w:u w:val="none"/>
        </w:rPr>
        <w:t xml:space="preserve"> les défis </w:t>
      </w:r>
      <w:r>
        <w:rPr>
          <w:u w:val="none"/>
        </w:rPr>
        <w:t>que représente</w:t>
      </w:r>
      <w:r w:rsidRPr="0079699D">
        <w:rPr>
          <w:u w:val="none"/>
        </w:rPr>
        <w:t xml:space="preserve"> la sauvegarde de l'artisanat, dans ses aspects matériels et immatériels et </w:t>
      </w:r>
      <w:r>
        <w:rPr>
          <w:u w:val="none"/>
        </w:rPr>
        <w:t xml:space="preserve">en particulier celui </w:t>
      </w:r>
      <w:r w:rsidRPr="0079699D">
        <w:rPr>
          <w:u w:val="none"/>
        </w:rPr>
        <w:t xml:space="preserve">des systèmes d'apprentissage, et </w:t>
      </w:r>
      <w:r w:rsidRPr="0079699D">
        <w:t>apprécie</w:t>
      </w:r>
      <w:r w:rsidRPr="0079699D">
        <w:rPr>
          <w:u w:val="none"/>
        </w:rPr>
        <w:t xml:space="preserve"> l'engagement de l'</w:t>
      </w:r>
      <w:r>
        <w:rPr>
          <w:u w:val="none"/>
        </w:rPr>
        <w:t>É</w:t>
      </w:r>
      <w:r w:rsidRPr="0079699D">
        <w:rPr>
          <w:u w:val="none"/>
        </w:rPr>
        <w:t xml:space="preserve">tat partie </w:t>
      </w:r>
      <w:r>
        <w:rPr>
          <w:u w:val="none"/>
        </w:rPr>
        <w:t>à</w:t>
      </w:r>
      <w:r w:rsidRPr="0079699D">
        <w:rPr>
          <w:u w:val="none"/>
        </w:rPr>
        <w:t xml:space="preserve"> </w:t>
      </w:r>
      <w:r>
        <w:rPr>
          <w:u w:val="none"/>
        </w:rPr>
        <w:t>faire de</w:t>
      </w:r>
      <w:r w:rsidRPr="0079699D">
        <w:rPr>
          <w:u w:val="none"/>
        </w:rPr>
        <w:t xml:space="preserve"> ce patrimoine une source de développement économique et social</w:t>
      </w:r>
      <w:r>
        <w:rPr>
          <w:u w:val="none"/>
        </w:rPr>
        <w:t xml:space="preserve"> </w:t>
      </w:r>
      <w:r w:rsidRPr="00C2404D">
        <w:rPr>
          <w:u w:val="none"/>
        </w:rPr>
        <w:t>;</w:t>
      </w:r>
    </w:p>
    <w:p w:rsidR="00320EBB" w:rsidRPr="00320EBB" w:rsidRDefault="0079699D" w:rsidP="00DA366E">
      <w:pPr>
        <w:pStyle w:val="COMParaDecision"/>
        <w:ind w:left="1134" w:hanging="567"/>
      </w:pPr>
      <w:r>
        <w:rPr>
          <w:snapToGrid w:val="0"/>
          <w:lang w:eastAsia="en-US"/>
        </w:rPr>
        <w:t>Décide de ne pas a</w:t>
      </w:r>
      <w:r w:rsidR="00CE7090" w:rsidRPr="00761349">
        <w:rPr>
          <w:snapToGrid w:val="0"/>
          <w:lang w:eastAsia="en-US"/>
        </w:rPr>
        <w:t>pprouve</w:t>
      </w:r>
      <w:r>
        <w:rPr>
          <w:snapToGrid w:val="0"/>
          <w:lang w:eastAsia="en-US"/>
        </w:rPr>
        <w:t>r</w:t>
      </w:r>
      <w:r>
        <w:rPr>
          <w:snapToGrid w:val="0"/>
          <w:u w:val="none"/>
          <w:lang w:eastAsia="en-US"/>
        </w:rPr>
        <w:t xml:space="preserve"> la demande d’assistance internationale de l’Égypte pour un projet intitulé «</w:t>
      </w:r>
      <w:r w:rsidR="00C2404D">
        <w:rPr>
          <w:sz w:val="20"/>
          <w:szCs w:val="20"/>
          <w:u w:val="none"/>
        </w:rPr>
        <w:t xml:space="preserve"> </w:t>
      </w:r>
      <w:r w:rsidR="00C2404D" w:rsidRPr="00C2404D">
        <w:rPr>
          <w:b/>
          <w:szCs w:val="20"/>
          <w:u w:val="none"/>
        </w:rPr>
        <w:t>Inventaire de la culture immatérielle de l’artisanat du ‘Caire traditionnel’ à l’aide d’une approche par aire culturelle dans le périmètre situé entre Bab al-Naser et Bab al-Fetouh (nord) et Bab Zeweela (sud)</w:t>
      </w:r>
      <w:r w:rsidR="00C2404D">
        <w:rPr>
          <w:b/>
          <w:szCs w:val="20"/>
          <w:u w:val="none"/>
        </w:rPr>
        <w:t> »</w:t>
      </w:r>
      <w:r w:rsidR="00C2404D">
        <w:rPr>
          <w:szCs w:val="20"/>
          <w:u w:val="none"/>
        </w:rPr>
        <w:t>.</w:t>
      </w:r>
    </w:p>
    <w:p w:rsidR="00320EBB" w:rsidRPr="00761349" w:rsidRDefault="00320EBB" w:rsidP="004A26B5">
      <w:pPr>
        <w:pStyle w:val="GATitleResolution"/>
        <w:spacing w:before="360"/>
      </w:pPr>
      <w:r w:rsidRPr="00761349">
        <w:t xml:space="preserve">PROJET DE DÉCISION </w:t>
      </w:r>
      <w:r>
        <w:t xml:space="preserve">11.COM </w:t>
      </w:r>
      <w:r w:rsidR="009D650A">
        <w:t>1</w:t>
      </w:r>
      <w:r>
        <w:t>.BUR </w:t>
      </w:r>
      <w:r w:rsidR="009D650A">
        <w:t>1</w:t>
      </w:r>
      <w:r>
        <w:t>.</w:t>
      </w:r>
      <w:r w:rsidR="009D650A">
        <w:t>2</w:t>
      </w:r>
      <w:r>
        <w:t xml:space="preserve"> </w:t>
      </w:r>
      <w:bookmarkStart w:id="2" w:name="_GoBack"/>
      <w:bookmarkEnd w:id="2"/>
    </w:p>
    <w:p w:rsidR="00320EBB" w:rsidRPr="00761349" w:rsidRDefault="00320EBB" w:rsidP="00320EBB">
      <w:pPr>
        <w:pStyle w:val="COMPreambulaDecision"/>
      </w:pPr>
      <w:r w:rsidRPr="00761349">
        <w:t>Le Bureau,</w:t>
      </w:r>
    </w:p>
    <w:p w:rsidR="009D650A" w:rsidRDefault="00320EBB" w:rsidP="00DA366E">
      <w:pPr>
        <w:pStyle w:val="COMParaDecision"/>
        <w:numPr>
          <w:ilvl w:val="0"/>
          <w:numId w:val="23"/>
        </w:numPr>
        <w:ind w:left="1134" w:hanging="594"/>
        <w:rPr>
          <w:snapToGrid w:val="0"/>
          <w:u w:val="none"/>
          <w:lang w:eastAsia="en-US"/>
        </w:rPr>
      </w:pPr>
      <w:r w:rsidRPr="00761349">
        <w:t>Rappelant</w:t>
      </w:r>
      <w:r>
        <w:rPr>
          <w:snapToGrid w:val="0"/>
          <w:u w:val="none"/>
          <w:lang w:eastAsia="en-US"/>
        </w:rPr>
        <w:t xml:space="preserve"> </w:t>
      </w:r>
      <w:r w:rsidR="00C2404D">
        <w:rPr>
          <w:snapToGrid w:val="0"/>
          <w:u w:val="none"/>
          <w:lang w:eastAsia="en-US"/>
        </w:rPr>
        <w:t>le c</w:t>
      </w:r>
      <w:r w:rsidR="005428C7">
        <w:rPr>
          <w:snapToGrid w:val="0"/>
          <w:u w:val="none"/>
          <w:lang w:eastAsia="en-US"/>
        </w:rPr>
        <w:t>hapitre </w:t>
      </w:r>
      <w:r w:rsidR="009D650A">
        <w:rPr>
          <w:snapToGrid w:val="0"/>
          <w:u w:val="none"/>
          <w:lang w:eastAsia="en-US"/>
        </w:rPr>
        <w:t xml:space="preserve">V de </w:t>
      </w:r>
      <w:r w:rsidR="00C2404D">
        <w:rPr>
          <w:snapToGrid w:val="0"/>
          <w:u w:val="none"/>
          <w:lang w:eastAsia="en-US"/>
        </w:rPr>
        <w:t>la Convention et le c</w:t>
      </w:r>
      <w:r w:rsidR="005428C7">
        <w:rPr>
          <w:snapToGrid w:val="0"/>
          <w:u w:val="none"/>
          <w:lang w:eastAsia="en-US"/>
        </w:rPr>
        <w:t>hapitre </w:t>
      </w:r>
      <w:r w:rsidR="009D650A">
        <w:rPr>
          <w:snapToGrid w:val="0"/>
          <w:u w:val="none"/>
          <w:lang w:eastAsia="en-US"/>
        </w:rPr>
        <w:t>I</w:t>
      </w:r>
      <w:r w:rsidR="00F55E3B">
        <w:rPr>
          <w:snapToGrid w:val="0"/>
          <w:u w:val="none"/>
          <w:lang w:eastAsia="en-US"/>
        </w:rPr>
        <w:t xml:space="preserve"> </w:t>
      </w:r>
      <w:r w:rsidR="009D650A">
        <w:rPr>
          <w:snapToGrid w:val="0"/>
          <w:u w:val="none"/>
          <w:lang w:eastAsia="en-US"/>
        </w:rPr>
        <w:t>des Directives opérationnelles</w:t>
      </w:r>
      <w:r w:rsidRPr="00761349">
        <w:rPr>
          <w:snapToGrid w:val="0"/>
          <w:u w:val="none"/>
          <w:lang w:eastAsia="en-US"/>
        </w:rPr>
        <w:t>,</w:t>
      </w:r>
    </w:p>
    <w:p w:rsidR="009D650A" w:rsidRPr="009D650A" w:rsidRDefault="00320EBB" w:rsidP="00DA366E">
      <w:pPr>
        <w:pStyle w:val="COMParaDecision"/>
        <w:numPr>
          <w:ilvl w:val="0"/>
          <w:numId w:val="23"/>
        </w:numPr>
        <w:ind w:left="1134" w:hanging="567"/>
      </w:pPr>
      <w:r w:rsidRPr="004A66A3">
        <w:t>Ayant examiné</w:t>
      </w:r>
      <w:r w:rsidRPr="004A66A3">
        <w:rPr>
          <w:u w:val="none"/>
        </w:rPr>
        <w:t xml:space="preserve"> le</w:t>
      </w:r>
      <w:r w:rsidRPr="009D650A">
        <w:rPr>
          <w:u w:val="none"/>
        </w:rPr>
        <w:t xml:space="preserve"> document ITH/</w:t>
      </w:r>
      <w:r w:rsidR="009D650A" w:rsidRPr="009D650A">
        <w:rPr>
          <w:u w:val="none"/>
        </w:rPr>
        <w:t>16</w:t>
      </w:r>
      <w:r w:rsidRPr="009D650A">
        <w:rPr>
          <w:u w:val="none"/>
        </w:rPr>
        <w:t>/</w:t>
      </w:r>
      <w:r w:rsidR="009D650A" w:rsidRPr="009D650A">
        <w:rPr>
          <w:u w:val="none"/>
        </w:rPr>
        <w:t>11</w:t>
      </w:r>
      <w:r w:rsidRPr="009D650A">
        <w:rPr>
          <w:u w:val="none"/>
        </w:rPr>
        <w:t>.COM </w:t>
      </w:r>
      <w:r w:rsidR="009D650A" w:rsidRPr="009D650A">
        <w:rPr>
          <w:u w:val="none"/>
        </w:rPr>
        <w:t>1.BUR/1</w:t>
      </w:r>
      <w:r w:rsidRPr="009D650A">
        <w:rPr>
          <w:snapToGrid w:val="0"/>
          <w:u w:val="none"/>
          <w:lang w:eastAsia="en-US"/>
        </w:rPr>
        <w:t>,</w:t>
      </w:r>
      <w:r w:rsidR="005428C7">
        <w:rPr>
          <w:snapToGrid w:val="0"/>
          <w:u w:val="none"/>
          <w:lang w:eastAsia="en-US"/>
        </w:rPr>
        <w:t xml:space="preserve"> ainsi que la demande d’assistance internationale n° </w:t>
      </w:r>
      <w:r w:rsidR="005428C7" w:rsidRPr="009516AB">
        <w:rPr>
          <w:u w:val="none"/>
        </w:rPr>
        <w:t>01121</w:t>
      </w:r>
      <w:r w:rsidR="005428C7">
        <w:rPr>
          <w:u w:val="none"/>
        </w:rPr>
        <w:t>,</w:t>
      </w:r>
    </w:p>
    <w:p w:rsidR="009D650A" w:rsidRPr="009D650A" w:rsidRDefault="00320EBB" w:rsidP="00DA366E">
      <w:pPr>
        <w:pStyle w:val="COMParaDecision"/>
        <w:numPr>
          <w:ilvl w:val="0"/>
          <w:numId w:val="23"/>
        </w:numPr>
        <w:ind w:left="1134" w:hanging="567"/>
      </w:pPr>
      <w:r w:rsidRPr="00761349">
        <w:t>Prend note</w:t>
      </w:r>
      <w:r w:rsidRPr="009D650A">
        <w:rPr>
          <w:u w:val="none"/>
        </w:rPr>
        <w:t xml:space="preserve"> que </w:t>
      </w:r>
      <w:r w:rsidR="00B7552A">
        <w:rPr>
          <w:u w:val="none"/>
        </w:rPr>
        <w:t xml:space="preserve">les </w:t>
      </w:r>
      <w:r w:rsidR="009D650A" w:rsidRPr="009D650A">
        <w:rPr>
          <w:u w:val="none"/>
        </w:rPr>
        <w:t xml:space="preserve">Fidji </w:t>
      </w:r>
      <w:r w:rsidR="00B7552A">
        <w:rPr>
          <w:u w:val="none"/>
        </w:rPr>
        <w:t>ont</w:t>
      </w:r>
      <w:r w:rsidR="009D650A" w:rsidRPr="009D650A">
        <w:rPr>
          <w:u w:val="none"/>
        </w:rPr>
        <w:t xml:space="preserve"> demandé </w:t>
      </w:r>
      <w:r w:rsidR="00C2404D">
        <w:rPr>
          <w:u w:val="none"/>
        </w:rPr>
        <w:t>une</w:t>
      </w:r>
      <w:r w:rsidR="009D650A" w:rsidRPr="009D650A">
        <w:rPr>
          <w:u w:val="none"/>
        </w:rPr>
        <w:t xml:space="preserve"> assistance internationale pour un projet intitulé </w:t>
      </w:r>
      <w:r w:rsidR="005428C7">
        <w:rPr>
          <w:u w:val="none"/>
        </w:rPr>
        <w:t>« </w:t>
      </w:r>
      <w:r w:rsidR="009D650A" w:rsidRPr="00C2404D">
        <w:rPr>
          <w:b/>
          <w:szCs w:val="20"/>
          <w:u w:val="none"/>
        </w:rPr>
        <w:t>Sauvegarde des systèmes de savoirs associés aux méthodes de construction</w:t>
      </w:r>
      <w:r w:rsidR="00C2404D" w:rsidRPr="00C2404D">
        <w:rPr>
          <w:b/>
          <w:szCs w:val="20"/>
          <w:u w:val="none"/>
        </w:rPr>
        <w:t xml:space="preserve"> traditionnelles</w:t>
      </w:r>
      <w:r w:rsidR="009D650A" w:rsidRPr="00C2404D">
        <w:rPr>
          <w:b/>
          <w:szCs w:val="20"/>
          <w:u w:val="none"/>
        </w:rPr>
        <w:t xml:space="preserve"> des </w:t>
      </w:r>
      <w:r w:rsidR="00C2404D" w:rsidRPr="00C2404D">
        <w:rPr>
          <w:b/>
          <w:szCs w:val="20"/>
          <w:u w:val="none"/>
        </w:rPr>
        <w:t>maisons (Bure) f</w:t>
      </w:r>
      <w:r w:rsidR="009D650A" w:rsidRPr="00C2404D">
        <w:rPr>
          <w:b/>
          <w:szCs w:val="20"/>
          <w:u w:val="none"/>
        </w:rPr>
        <w:t>idjiennes (iTaukei) dans le village de Navala (Fidji)</w:t>
      </w:r>
      <w:r w:rsidR="009D650A" w:rsidRPr="00C2404D">
        <w:rPr>
          <w:b/>
          <w:u w:val="none"/>
        </w:rPr>
        <w:t> </w:t>
      </w:r>
      <w:r w:rsidR="009D650A" w:rsidRPr="009D650A">
        <w:rPr>
          <w:u w:val="none"/>
        </w:rPr>
        <w:t>» :</w:t>
      </w:r>
      <w:r w:rsidR="009D650A">
        <w:rPr>
          <w:u w:val="none"/>
        </w:rPr>
        <w:t xml:space="preserve"> </w:t>
      </w:r>
    </w:p>
    <w:p w:rsidR="00AB24B2" w:rsidRDefault="001F60D1" w:rsidP="00DA366E">
      <w:pPr>
        <w:pStyle w:val="COMParaDecision"/>
        <w:numPr>
          <w:ilvl w:val="0"/>
          <w:numId w:val="0"/>
        </w:numPr>
        <w:ind w:left="1134"/>
        <w:rPr>
          <w:u w:val="none"/>
        </w:rPr>
      </w:pPr>
      <w:r>
        <w:rPr>
          <w:u w:val="none"/>
        </w:rPr>
        <w:t>L’</w:t>
      </w:r>
      <w:r w:rsidR="009D650A">
        <w:rPr>
          <w:u w:val="none"/>
        </w:rPr>
        <w:t>art, les traditions orales et</w:t>
      </w:r>
      <w:r w:rsidR="009D650A" w:rsidRPr="009D650A">
        <w:rPr>
          <w:u w:val="none"/>
        </w:rPr>
        <w:t xml:space="preserve"> les </w:t>
      </w:r>
      <w:r w:rsidR="00003F4A">
        <w:rPr>
          <w:u w:val="none"/>
        </w:rPr>
        <w:t>défenseurs</w:t>
      </w:r>
      <w:r w:rsidR="009D650A" w:rsidRPr="009D650A">
        <w:rPr>
          <w:u w:val="none"/>
        </w:rPr>
        <w:t xml:space="preserve"> hi</w:t>
      </w:r>
      <w:r w:rsidR="009D650A">
        <w:rPr>
          <w:u w:val="none"/>
        </w:rPr>
        <w:t>storiques</w:t>
      </w:r>
      <w:r w:rsidR="00F55E3B">
        <w:rPr>
          <w:u w:val="none"/>
        </w:rPr>
        <w:t xml:space="preserve"> et culturels</w:t>
      </w:r>
      <w:r w:rsidR="009D650A">
        <w:rPr>
          <w:u w:val="none"/>
        </w:rPr>
        <w:t xml:space="preserve"> de la construction de </w:t>
      </w:r>
      <w:r w:rsidR="009D650A" w:rsidRPr="009D650A">
        <w:rPr>
          <w:u w:val="none"/>
        </w:rPr>
        <w:t>maisons traditionnelles par les populations autochtones de</w:t>
      </w:r>
      <w:r w:rsidR="00B7552A">
        <w:rPr>
          <w:u w:val="none"/>
        </w:rPr>
        <w:t>s</w:t>
      </w:r>
      <w:r w:rsidR="009D650A" w:rsidRPr="009D650A">
        <w:rPr>
          <w:u w:val="none"/>
        </w:rPr>
        <w:t xml:space="preserve"> Fidji </w:t>
      </w:r>
      <w:r w:rsidR="00F55E3B">
        <w:rPr>
          <w:u w:val="none"/>
        </w:rPr>
        <w:t>disparaissent peu à peu</w:t>
      </w:r>
      <w:r w:rsidR="009D650A" w:rsidRPr="009D650A">
        <w:rPr>
          <w:u w:val="none"/>
        </w:rPr>
        <w:t xml:space="preserve">. Le projet proposé sera </w:t>
      </w:r>
      <w:r w:rsidR="00F55E3B">
        <w:rPr>
          <w:u w:val="none"/>
        </w:rPr>
        <w:t>mis en œuvre</w:t>
      </w:r>
      <w:r w:rsidR="009D650A" w:rsidRPr="009D650A">
        <w:rPr>
          <w:u w:val="none"/>
        </w:rPr>
        <w:t xml:space="preserve"> dans le village de Navala dans le bassin </w:t>
      </w:r>
      <w:r w:rsidR="009D650A" w:rsidRPr="009D650A">
        <w:rPr>
          <w:u w:val="none"/>
        </w:rPr>
        <w:lastRenderedPageBreak/>
        <w:t xml:space="preserve">versant supérieur </w:t>
      </w:r>
      <w:r w:rsidR="00F55E3B">
        <w:rPr>
          <w:u w:val="none"/>
        </w:rPr>
        <w:t xml:space="preserve">de la rivière </w:t>
      </w:r>
      <w:r w:rsidR="009D650A" w:rsidRPr="009D650A">
        <w:rPr>
          <w:u w:val="none"/>
        </w:rPr>
        <w:t xml:space="preserve">Ba, </w:t>
      </w:r>
      <w:r w:rsidR="00F55E3B">
        <w:rPr>
          <w:u w:val="none"/>
        </w:rPr>
        <w:t xml:space="preserve">situé </w:t>
      </w:r>
      <w:r w:rsidR="009D650A" w:rsidRPr="009D650A">
        <w:rPr>
          <w:u w:val="none"/>
        </w:rPr>
        <w:t>dans la province occidentale de</w:t>
      </w:r>
      <w:r w:rsidR="00B7552A">
        <w:rPr>
          <w:u w:val="none"/>
        </w:rPr>
        <w:t>s</w:t>
      </w:r>
      <w:r w:rsidR="009D650A" w:rsidRPr="009D650A">
        <w:rPr>
          <w:u w:val="none"/>
        </w:rPr>
        <w:t xml:space="preserve"> Fidji</w:t>
      </w:r>
      <w:r w:rsidR="00F55E3B">
        <w:rPr>
          <w:u w:val="none"/>
        </w:rPr>
        <w:t> ; il</w:t>
      </w:r>
      <w:r w:rsidR="009D650A" w:rsidRPr="009D650A">
        <w:rPr>
          <w:u w:val="none"/>
        </w:rPr>
        <w:t xml:space="preserve"> aura pour but de </w:t>
      </w:r>
      <w:r w:rsidR="00F55E3B">
        <w:rPr>
          <w:u w:val="none"/>
        </w:rPr>
        <w:t>main</w:t>
      </w:r>
      <w:r w:rsidR="009D650A" w:rsidRPr="009D650A">
        <w:rPr>
          <w:u w:val="none"/>
        </w:rPr>
        <w:t xml:space="preserve">tenir les connaissances associées </w:t>
      </w:r>
      <w:r w:rsidR="00F55E3B">
        <w:rPr>
          <w:u w:val="none"/>
        </w:rPr>
        <w:t>aux</w:t>
      </w:r>
      <w:r w:rsidR="009D650A" w:rsidRPr="009D650A">
        <w:rPr>
          <w:u w:val="none"/>
        </w:rPr>
        <w:t xml:space="preserve"> </w:t>
      </w:r>
      <w:r w:rsidR="009D650A" w:rsidRPr="00F55E3B">
        <w:rPr>
          <w:i/>
          <w:u w:val="none"/>
        </w:rPr>
        <w:t>bures</w:t>
      </w:r>
      <w:r w:rsidR="009D650A" w:rsidRPr="009D650A">
        <w:rPr>
          <w:u w:val="none"/>
        </w:rPr>
        <w:t xml:space="preserve"> </w:t>
      </w:r>
      <w:r w:rsidR="00F55E3B" w:rsidRPr="009D650A">
        <w:rPr>
          <w:u w:val="none"/>
        </w:rPr>
        <w:t xml:space="preserve">(maisons) </w:t>
      </w:r>
      <w:r w:rsidR="009D650A" w:rsidRPr="009D650A">
        <w:rPr>
          <w:u w:val="none"/>
        </w:rPr>
        <w:t xml:space="preserve">traditionnelles </w:t>
      </w:r>
      <w:r w:rsidR="00E67F32">
        <w:rPr>
          <w:u w:val="none"/>
        </w:rPr>
        <w:t>par</w:t>
      </w:r>
      <w:r w:rsidR="009D650A" w:rsidRPr="009D650A">
        <w:rPr>
          <w:u w:val="none"/>
        </w:rPr>
        <w:t xml:space="preserve"> la reconst</w:t>
      </w:r>
      <w:r w:rsidR="00C2404D">
        <w:rPr>
          <w:u w:val="none"/>
        </w:rPr>
        <w:t>ruction et la réhabilitation de</w:t>
      </w:r>
      <w:r w:rsidR="009D650A" w:rsidRPr="009D650A">
        <w:rPr>
          <w:u w:val="none"/>
        </w:rPr>
        <w:t xml:space="preserve"> </w:t>
      </w:r>
      <w:r w:rsidR="00F55E3B">
        <w:rPr>
          <w:u w:val="none"/>
        </w:rPr>
        <w:t>b</w:t>
      </w:r>
      <w:r w:rsidR="009D650A" w:rsidRPr="009D650A">
        <w:rPr>
          <w:u w:val="none"/>
        </w:rPr>
        <w:t>ures dans le village</w:t>
      </w:r>
      <w:r w:rsidR="00C2404D">
        <w:rPr>
          <w:u w:val="none"/>
        </w:rPr>
        <w:t xml:space="preserve"> de</w:t>
      </w:r>
      <w:r w:rsidR="009D650A" w:rsidRPr="009D650A">
        <w:rPr>
          <w:u w:val="none"/>
        </w:rPr>
        <w:t xml:space="preserve"> Navala. </w:t>
      </w:r>
      <w:r w:rsidR="00F55E3B">
        <w:rPr>
          <w:u w:val="none"/>
        </w:rPr>
        <w:t>Il</w:t>
      </w:r>
      <w:r w:rsidR="009D650A" w:rsidRPr="009D650A">
        <w:rPr>
          <w:u w:val="none"/>
        </w:rPr>
        <w:t xml:space="preserve"> est </w:t>
      </w:r>
      <w:r w:rsidR="00F55E3B">
        <w:rPr>
          <w:u w:val="none"/>
        </w:rPr>
        <w:t xml:space="preserve">également </w:t>
      </w:r>
      <w:r w:rsidR="009D650A" w:rsidRPr="009D650A">
        <w:rPr>
          <w:u w:val="none"/>
        </w:rPr>
        <w:t xml:space="preserve">envisagé </w:t>
      </w:r>
      <w:r w:rsidR="00F55E3B">
        <w:rPr>
          <w:u w:val="none"/>
        </w:rPr>
        <w:t>de protéger</w:t>
      </w:r>
      <w:r w:rsidR="009D650A" w:rsidRPr="009D650A">
        <w:rPr>
          <w:u w:val="none"/>
        </w:rPr>
        <w:t xml:space="preserve"> le paysage de l'habitat traditionnel actuel du village de Navala </w:t>
      </w:r>
      <w:r w:rsidR="00E67F32">
        <w:rPr>
          <w:u w:val="none"/>
        </w:rPr>
        <w:t>grâce à l’établissement</w:t>
      </w:r>
      <w:r w:rsidR="00F55E3B">
        <w:rPr>
          <w:u w:val="none"/>
        </w:rPr>
        <w:t xml:space="preserve"> </w:t>
      </w:r>
      <w:r w:rsidR="00E67F32">
        <w:rPr>
          <w:u w:val="none"/>
        </w:rPr>
        <w:t>d’</w:t>
      </w:r>
      <w:r w:rsidR="00F55E3B">
        <w:rPr>
          <w:u w:val="none"/>
        </w:rPr>
        <w:t>une</w:t>
      </w:r>
      <w:r w:rsidR="009D650A" w:rsidRPr="009D650A">
        <w:rPr>
          <w:u w:val="none"/>
        </w:rPr>
        <w:t xml:space="preserve"> cartographie culturelle, </w:t>
      </w:r>
      <w:r w:rsidR="00F55E3B">
        <w:rPr>
          <w:u w:val="none"/>
        </w:rPr>
        <w:t xml:space="preserve">à </w:t>
      </w:r>
      <w:r w:rsidR="009D650A" w:rsidRPr="009D650A">
        <w:rPr>
          <w:u w:val="none"/>
        </w:rPr>
        <w:t>la renaissance des traditions orales</w:t>
      </w:r>
      <w:r w:rsidR="00C2404D">
        <w:rPr>
          <w:u w:val="none"/>
        </w:rPr>
        <w:t>,</w:t>
      </w:r>
      <w:r w:rsidR="009D650A" w:rsidRPr="009D650A">
        <w:rPr>
          <w:u w:val="none"/>
        </w:rPr>
        <w:t xml:space="preserve"> et </w:t>
      </w:r>
      <w:r w:rsidR="00F55E3B">
        <w:rPr>
          <w:u w:val="none"/>
        </w:rPr>
        <w:t>au</w:t>
      </w:r>
      <w:r w:rsidR="009D650A" w:rsidRPr="009D650A">
        <w:rPr>
          <w:u w:val="none"/>
        </w:rPr>
        <w:t xml:space="preserve"> renforcement des connaissances connexes sur l'utilisation des ressources environnementales.</w:t>
      </w:r>
      <w:r w:rsidR="00F55E3B">
        <w:rPr>
          <w:u w:val="none"/>
        </w:rPr>
        <w:t xml:space="preserve"> </w:t>
      </w:r>
      <w:r w:rsidR="0038590D">
        <w:rPr>
          <w:u w:val="none"/>
        </w:rPr>
        <w:t>On s’attend à ce que le</w:t>
      </w:r>
      <w:r w:rsidR="00F55E3B" w:rsidRPr="00F55E3B">
        <w:rPr>
          <w:u w:val="none"/>
        </w:rPr>
        <w:t xml:space="preserve"> partage et la revitalisation </w:t>
      </w:r>
      <w:r w:rsidR="0038590D">
        <w:rPr>
          <w:u w:val="none"/>
        </w:rPr>
        <w:t>du savoir architectural</w:t>
      </w:r>
      <w:r w:rsidR="00F55E3B" w:rsidRPr="00F55E3B">
        <w:rPr>
          <w:u w:val="none"/>
        </w:rPr>
        <w:t xml:space="preserve"> </w:t>
      </w:r>
      <w:r w:rsidR="0038590D">
        <w:rPr>
          <w:u w:val="none"/>
        </w:rPr>
        <w:t>aient</w:t>
      </w:r>
      <w:r w:rsidR="00F55E3B" w:rsidRPr="00F55E3B">
        <w:rPr>
          <w:u w:val="none"/>
        </w:rPr>
        <w:t xml:space="preserve"> </w:t>
      </w:r>
      <w:r w:rsidR="0038590D">
        <w:rPr>
          <w:u w:val="none"/>
        </w:rPr>
        <w:t>comme répercussion un renforceme</w:t>
      </w:r>
      <w:r w:rsidR="00E67F32">
        <w:rPr>
          <w:u w:val="none"/>
        </w:rPr>
        <w:t>nt</w:t>
      </w:r>
      <w:r w:rsidR="0038590D">
        <w:rPr>
          <w:u w:val="none"/>
        </w:rPr>
        <w:t xml:space="preserve"> de</w:t>
      </w:r>
      <w:r w:rsidR="00E67F32">
        <w:rPr>
          <w:u w:val="none"/>
        </w:rPr>
        <w:t xml:space="preserve"> </w:t>
      </w:r>
      <w:r w:rsidR="00F55E3B" w:rsidRPr="00F55E3B">
        <w:rPr>
          <w:u w:val="none"/>
        </w:rPr>
        <w:t xml:space="preserve">la vision du monde du peuple iTaukei, </w:t>
      </w:r>
      <w:r w:rsidR="00E67F32">
        <w:rPr>
          <w:u w:val="none"/>
        </w:rPr>
        <w:t>et notamment</w:t>
      </w:r>
      <w:r w:rsidR="00F55E3B" w:rsidRPr="00F55E3B">
        <w:rPr>
          <w:u w:val="none"/>
        </w:rPr>
        <w:t xml:space="preserve"> </w:t>
      </w:r>
      <w:r w:rsidR="0038590D">
        <w:rPr>
          <w:u w:val="none"/>
        </w:rPr>
        <w:t>de</w:t>
      </w:r>
      <w:r w:rsidR="006E1767">
        <w:rPr>
          <w:u w:val="none"/>
        </w:rPr>
        <w:t xml:space="preserve"> l’épistémologie et </w:t>
      </w:r>
      <w:r w:rsidR="0038590D">
        <w:rPr>
          <w:u w:val="none"/>
        </w:rPr>
        <w:t>d</w:t>
      </w:r>
      <w:r w:rsidR="00F55E3B" w:rsidRPr="00F55E3B">
        <w:rPr>
          <w:u w:val="none"/>
        </w:rPr>
        <w:t>es connaissances</w:t>
      </w:r>
      <w:r w:rsidR="00E67F32">
        <w:rPr>
          <w:u w:val="none"/>
        </w:rPr>
        <w:t xml:space="preserve"> </w:t>
      </w:r>
      <w:r w:rsidR="006E1767">
        <w:rPr>
          <w:u w:val="none"/>
        </w:rPr>
        <w:t xml:space="preserve">autochtones </w:t>
      </w:r>
      <w:r w:rsidR="00E67F32">
        <w:rPr>
          <w:u w:val="none"/>
        </w:rPr>
        <w:t>ancestrales</w:t>
      </w:r>
      <w:r w:rsidR="00F55E3B" w:rsidRPr="00F55E3B">
        <w:rPr>
          <w:u w:val="none"/>
        </w:rPr>
        <w:t xml:space="preserve"> et </w:t>
      </w:r>
      <w:r w:rsidR="006E1767">
        <w:rPr>
          <w:u w:val="none"/>
        </w:rPr>
        <w:t>écologiques</w:t>
      </w:r>
      <w:r w:rsidR="00F55E3B" w:rsidRPr="00F55E3B">
        <w:rPr>
          <w:u w:val="none"/>
        </w:rPr>
        <w:t xml:space="preserve"> de Vanua</w:t>
      </w:r>
      <w:r w:rsidR="006E1767">
        <w:rPr>
          <w:u w:val="none"/>
        </w:rPr>
        <w:t>,</w:t>
      </w:r>
      <w:r w:rsidR="00F55E3B" w:rsidRPr="00F55E3B">
        <w:rPr>
          <w:u w:val="none"/>
        </w:rPr>
        <w:t xml:space="preserve"> </w:t>
      </w:r>
      <w:r w:rsidR="006E1767">
        <w:rPr>
          <w:u w:val="none"/>
        </w:rPr>
        <w:t>fond</w:t>
      </w:r>
      <w:r w:rsidR="00F55E3B" w:rsidRPr="00F55E3B">
        <w:rPr>
          <w:u w:val="none"/>
        </w:rPr>
        <w:t>ée</w:t>
      </w:r>
      <w:r w:rsidR="006E1767">
        <w:rPr>
          <w:u w:val="none"/>
        </w:rPr>
        <w:t>s</w:t>
      </w:r>
      <w:r w:rsidR="00F55E3B" w:rsidRPr="00F55E3B">
        <w:rPr>
          <w:u w:val="none"/>
        </w:rPr>
        <w:t xml:space="preserve"> sur l'interdépendance globale des êtres humains et </w:t>
      </w:r>
      <w:r w:rsidR="006E1767">
        <w:rPr>
          <w:u w:val="none"/>
        </w:rPr>
        <w:t>de</w:t>
      </w:r>
      <w:r w:rsidR="00E67F32">
        <w:rPr>
          <w:u w:val="none"/>
        </w:rPr>
        <w:t xml:space="preserve"> </w:t>
      </w:r>
      <w:r w:rsidR="00F55E3B" w:rsidRPr="00F55E3B">
        <w:rPr>
          <w:u w:val="none"/>
        </w:rPr>
        <w:t xml:space="preserve">leur environnement. Le projet vise à renforcer les capacités des iTaukei </w:t>
      </w:r>
      <w:r w:rsidR="006E1767">
        <w:rPr>
          <w:u w:val="none"/>
        </w:rPr>
        <w:t>en matière de</w:t>
      </w:r>
      <w:r w:rsidR="00F55E3B" w:rsidRPr="00F55E3B">
        <w:rPr>
          <w:u w:val="none"/>
        </w:rPr>
        <w:t xml:space="preserve"> gestion des bassins versants, </w:t>
      </w:r>
      <w:r w:rsidR="00AB24B2">
        <w:rPr>
          <w:u w:val="none"/>
        </w:rPr>
        <w:t>à améliorer leur bien-être et</w:t>
      </w:r>
      <w:r w:rsidR="00F55E3B" w:rsidRPr="00F55E3B">
        <w:rPr>
          <w:u w:val="none"/>
        </w:rPr>
        <w:t xml:space="preserve"> </w:t>
      </w:r>
      <w:r w:rsidR="00AB24B2">
        <w:rPr>
          <w:u w:val="none"/>
        </w:rPr>
        <w:t>à</w:t>
      </w:r>
      <w:r w:rsidR="006E1767">
        <w:rPr>
          <w:u w:val="none"/>
        </w:rPr>
        <w:t xml:space="preserve"> </w:t>
      </w:r>
      <w:r w:rsidR="00F55E3B" w:rsidRPr="00F55E3B">
        <w:rPr>
          <w:u w:val="none"/>
        </w:rPr>
        <w:t>favoriser le maintien des modes de vie traditionnels en encourageant la plantation d</w:t>
      </w:r>
      <w:r w:rsidR="00AB24B2">
        <w:rPr>
          <w:u w:val="none"/>
        </w:rPr>
        <w:t xml:space="preserve">es </w:t>
      </w:r>
      <w:r w:rsidR="00F55E3B" w:rsidRPr="00F55E3B">
        <w:rPr>
          <w:u w:val="none"/>
        </w:rPr>
        <w:t xml:space="preserve">espèces d'arbres </w:t>
      </w:r>
      <w:r w:rsidR="00F55E3B" w:rsidRPr="001860CC">
        <w:rPr>
          <w:u w:val="none"/>
        </w:rPr>
        <w:t>indigènes</w:t>
      </w:r>
      <w:r w:rsidR="00F55E3B" w:rsidRPr="00F55E3B">
        <w:rPr>
          <w:u w:val="none"/>
        </w:rPr>
        <w:t xml:space="preserve"> utilisées pour la construction des bures, ainsi </w:t>
      </w:r>
      <w:r w:rsidR="006E1767">
        <w:rPr>
          <w:u w:val="none"/>
        </w:rPr>
        <w:t>qu’en relançant les cultures vivrières</w:t>
      </w:r>
      <w:r w:rsidR="00F55E3B" w:rsidRPr="00F55E3B">
        <w:rPr>
          <w:u w:val="none"/>
        </w:rPr>
        <w:t xml:space="preserve"> </w:t>
      </w:r>
      <w:r w:rsidR="006E1767">
        <w:rPr>
          <w:u w:val="none"/>
        </w:rPr>
        <w:t>à l’aide de parcelles de démonstration</w:t>
      </w:r>
      <w:r w:rsidR="00F55E3B" w:rsidRPr="00F55E3B">
        <w:rPr>
          <w:u w:val="none"/>
        </w:rPr>
        <w:t>. Coordonné</w:t>
      </w:r>
      <w:r w:rsidR="00AB24B2">
        <w:rPr>
          <w:u w:val="none"/>
        </w:rPr>
        <w:t>e</w:t>
      </w:r>
      <w:r w:rsidR="00F55E3B" w:rsidRPr="00F55E3B">
        <w:rPr>
          <w:u w:val="none"/>
        </w:rPr>
        <w:t xml:space="preserve"> par le Centre pour la technologie et le développement </w:t>
      </w:r>
      <w:r w:rsidR="00AB24B2" w:rsidRPr="00F55E3B">
        <w:rPr>
          <w:u w:val="none"/>
        </w:rPr>
        <w:t>durable</w:t>
      </w:r>
      <w:r w:rsidR="00AB24B2">
        <w:rPr>
          <w:u w:val="none"/>
        </w:rPr>
        <w:t>s</w:t>
      </w:r>
      <w:r w:rsidR="00AB24B2" w:rsidRPr="00F55E3B">
        <w:rPr>
          <w:u w:val="none"/>
        </w:rPr>
        <w:t xml:space="preserve"> </w:t>
      </w:r>
      <w:r w:rsidR="00F55E3B" w:rsidRPr="00F55E3B">
        <w:rPr>
          <w:u w:val="none"/>
        </w:rPr>
        <w:t>de l'Université nationale de</w:t>
      </w:r>
      <w:r w:rsidR="00B7552A">
        <w:rPr>
          <w:u w:val="none"/>
        </w:rPr>
        <w:t>s</w:t>
      </w:r>
      <w:r w:rsidR="00F55E3B" w:rsidRPr="00F55E3B">
        <w:rPr>
          <w:u w:val="none"/>
        </w:rPr>
        <w:t xml:space="preserve"> Fidji, la mise en œuvre du projet sera assurée </w:t>
      </w:r>
      <w:r w:rsidR="00C2404D" w:rsidRPr="00F55E3B">
        <w:rPr>
          <w:u w:val="none"/>
        </w:rPr>
        <w:t xml:space="preserve">sur le terrain </w:t>
      </w:r>
      <w:r w:rsidR="00F55E3B" w:rsidRPr="00F55E3B">
        <w:rPr>
          <w:u w:val="none"/>
        </w:rPr>
        <w:t>par le Comité de développement du village</w:t>
      </w:r>
      <w:r w:rsidR="00AB24B2">
        <w:rPr>
          <w:u w:val="none"/>
        </w:rPr>
        <w:t xml:space="preserve"> de</w:t>
      </w:r>
      <w:r w:rsidR="00F55E3B" w:rsidRPr="00F55E3B">
        <w:rPr>
          <w:u w:val="none"/>
        </w:rPr>
        <w:t xml:space="preserve"> Navala.</w:t>
      </w:r>
    </w:p>
    <w:p w:rsidR="00AB24B2" w:rsidRDefault="00AB24B2" w:rsidP="00DA366E">
      <w:pPr>
        <w:pStyle w:val="COMParaDecision"/>
        <w:numPr>
          <w:ilvl w:val="0"/>
          <w:numId w:val="23"/>
        </w:numPr>
        <w:ind w:left="1134" w:hanging="567"/>
        <w:rPr>
          <w:u w:val="none"/>
        </w:rPr>
      </w:pPr>
      <w:r>
        <w:t>Prend note en outre</w:t>
      </w:r>
      <w:r w:rsidRPr="00AB24B2">
        <w:rPr>
          <w:u w:val="none"/>
        </w:rPr>
        <w:t xml:space="preserve"> que </w:t>
      </w:r>
      <w:r>
        <w:rPr>
          <w:u w:val="none"/>
        </w:rPr>
        <w:t>cette</w:t>
      </w:r>
      <w:r w:rsidRPr="00AB24B2">
        <w:rPr>
          <w:u w:val="none"/>
        </w:rPr>
        <w:t xml:space="preserve"> assistance concerne le soutien à un projet réalisé au niveau local, </w:t>
      </w:r>
      <w:r>
        <w:rPr>
          <w:u w:val="none"/>
        </w:rPr>
        <w:t>en vue de sauvegarder le patrimoine cultur</w:t>
      </w:r>
      <w:r w:rsidR="0038590D">
        <w:rPr>
          <w:u w:val="none"/>
        </w:rPr>
        <w:t>el immatériel conformément à l’a</w:t>
      </w:r>
      <w:r>
        <w:rPr>
          <w:u w:val="none"/>
        </w:rPr>
        <w:t>rticle 20</w:t>
      </w:r>
      <w:r w:rsidR="00DE4127">
        <w:rPr>
          <w:u w:val="none"/>
        </w:rPr>
        <w:t> </w:t>
      </w:r>
      <w:r>
        <w:rPr>
          <w:u w:val="none"/>
        </w:rPr>
        <w:t>(c</w:t>
      </w:r>
      <w:r w:rsidRPr="00AB24B2">
        <w:rPr>
          <w:u w:val="none"/>
        </w:rPr>
        <w:t xml:space="preserve">) de la Convention et </w:t>
      </w:r>
      <w:r>
        <w:rPr>
          <w:u w:val="none"/>
        </w:rPr>
        <w:t>qu’elle prend</w:t>
      </w:r>
      <w:r w:rsidRPr="00AB24B2">
        <w:rPr>
          <w:u w:val="none"/>
        </w:rPr>
        <w:t xml:space="preserve"> </w:t>
      </w:r>
      <w:r>
        <w:rPr>
          <w:u w:val="none"/>
        </w:rPr>
        <w:t xml:space="preserve">la </w:t>
      </w:r>
      <w:r w:rsidRPr="00AB24B2">
        <w:rPr>
          <w:u w:val="none"/>
        </w:rPr>
        <w:t xml:space="preserve">forme d’une donation accordée </w:t>
      </w:r>
      <w:r w:rsidR="00B7552A">
        <w:rPr>
          <w:u w:val="none"/>
        </w:rPr>
        <w:t>en conformité avec l’article 21 </w:t>
      </w:r>
      <w:r w:rsidRPr="00AB24B2">
        <w:rPr>
          <w:u w:val="none"/>
        </w:rPr>
        <w:t>(g) de la Convention ;</w:t>
      </w:r>
    </w:p>
    <w:p w:rsidR="00AB24B2" w:rsidRPr="00A2639F" w:rsidRDefault="00AB24B2" w:rsidP="00DA366E">
      <w:pPr>
        <w:pStyle w:val="COMParaDecision"/>
        <w:numPr>
          <w:ilvl w:val="0"/>
          <w:numId w:val="23"/>
        </w:numPr>
        <w:ind w:left="1134" w:hanging="567"/>
        <w:rPr>
          <w:u w:val="none"/>
        </w:rPr>
      </w:pPr>
      <w:r>
        <w:t>Prend note également</w:t>
      </w:r>
      <w:r w:rsidRPr="00A2639F">
        <w:rPr>
          <w:u w:val="none"/>
        </w:rPr>
        <w:t xml:space="preserve"> </w:t>
      </w:r>
      <w:r>
        <w:rPr>
          <w:u w:val="none"/>
        </w:rPr>
        <w:t xml:space="preserve">que </w:t>
      </w:r>
      <w:r w:rsidR="00B7552A">
        <w:rPr>
          <w:u w:val="none"/>
        </w:rPr>
        <w:t xml:space="preserve">les </w:t>
      </w:r>
      <w:r>
        <w:rPr>
          <w:u w:val="none"/>
        </w:rPr>
        <w:t xml:space="preserve">Fidji </w:t>
      </w:r>
      <w:r w:rsidR="00C8048C">
        <w:rPr>
          <w:u w:val="none"/>
        </w:rPr>
        <w:t>ont</w:t>
      </w:r>
      <w:r>
        <w:rPr>
          <w:u w:val="none"/>
        </w:rPr>
        <w:t xml:space="preserve"> demandé une allocation de </w:t>
      </w:r>
      <w:r w:rsidR="005E7F4C">
        <w:rPr>
          <w:snapToGrid w:val="0"/>
          <w:u w:val="none"/>
        </w:rPr>
        <w:t>25 </w:t>
      </w:r>
      <w:r w:rsidRPr="00A2639F">
        <w:rPr>
          <w:snapToGrid w:val="0"/>
          <w:u w:val="none"/>
        </w:rPr>
        <w:t xml:space="preserve">000 dollars des </w:t>
      </w:r>
      <w:r w:rsidR="0038590D">
        <w:rPr>
          <w:snapToGrid w:val="0"/>
          <w:u w:val="none"/>
        </w:rPr>
        <w:t>É</w:t>
      </w:r>
      <w:r>
        <w:rPr>
          <w:snapToGrid w:val="0"/>
          <w:u w:val="none"/>
        </w:rPr>
        <w:t>tats-Unis du Fonds du patrimoine culturel immatériel pour mettre en œuvre le projet ;</w:t>
      </w:r>
    </w:p>
    <w:p w:rsidR="00AB24B2" w:rsidRDefault="00AB24B2" w:rsidP="00DA366E">
      <w:pPr>
        <w:pStyle w:val="COMParaDecision"/>
        <w:numPr>
          <w:ilvl w:val="0"/>
          <w:numId w:val="23"/>
        </w:numPr>
        <w:ind w:left="1134" w:hanging="567"/>
        <w:rPr>
          <w:u w:val="none"/>
        </w:rPr>
      </w:pPr>
      <w:r w:rsidRPr="00761349">
        <w:t>Décide</w:t>
      </w:r>
      <w:r w:rsidRPr="00D50C29">
        <w:rPr>
          <w:u w:val="none"/>
        </w:rPr>
        <w:t xml:space="preserve"> </w:t>
      </w:r>
      <w:r>
        <w:rPr>
          <w:u w:val="none"/>
        </w:rPr>
        <w:t xml:space="preserve">que, </w:t>
      </w:r>
      <w:r w:rsidR="0038590D">
        <w:rPr>
          <w:u w:val="none"/>
        </w:rPr>
        <w:t>selon les</w:t>
      </w:r>
      <w:r>
        <w:rPr>
          <w:u w:val="none"/>
        </w:rPr>
        <w:t xml:space="preserve"> informations </w:t>
      </w:r>
      <w:r w:rsidR="005E7F4C">
        <w:rPr>
          <w:u w:val="none"/>
        </w:rPr>
        <w:t>fournies dans le dossier n° </w:t>
      </w:r>
      <w:r>
        <w:rPr>
          <w:u w:val="none"/>
        </w:rPr>
        <w:t xml:space="preserve">01121, la demande répond </w:t>
      </w:r>
      <w:r w:rsidR="002846A7">
        <w:rPr>
          <w:u w:val="none"/>
        </w:rPr>
        <w:t>comme suit aux critères d’octroi de l’assistance internationale énoncés aux paragraphes 10 et 12 des Directives</w:t>
      </w:r>
      <w:r w:rsidR="00DE4127">
        <w:rPr>
          <w:u w:val="none"/>
        </w:rPr>
        <w:t xml:space="preserve"> opérationnelles</w:t>
      </w:r>
      <w:r w:rsidR="002846A7">
        <w:rPr>
          <w:u w:val="none"/>
        </w:rPr>
        <w:t> </w:t>
      </w:r>
      <w:r w:rsidR="0038590D">
        <w:rPr>
          <w:u w:val="none"/>
        </w:rPr>
        <w:t>:</w:t>
      </w:r>
    </w:p>
    <w:p w:rsidR="00320EBB" w:rsidRPr="00AB24B2" w:rsidRDefault="00320EBB" w:rsidP="00DA366E">
      <w:pPr>
        <w:pStyle w:val="COMParaDecision"/>
        <w:numPr>
          <w:ilvl w:val="0"/>
          <w:numId w:val="0"/>
        </w:numPr>
        <w:ind w:left="1134"/>
        <w:rPr>
          <w:u w:val="none"/>
        </w:rPr>
      </w:pPr>
      <w:r w:rsidRPr="00AB24B2">
        <w:rPr>
          <w:b/>
          <w:u w:val="none"/>
        </w:rPr>
        <w:t>Critère A.1 </w:t>
      </w:r>
      <w:r w:rsidRPr="00AB24B2">
        <w:rPr>
          <w:u w:val="none"/>
        </w:rPr>
        <w:t>:</w:t>
      </w:r>
      <w:r w:rsidR="00AB24B2">
        <w:rPr>
          <w:u w:val="none"/>
        </w:rPr>
        <w:t xml:space="preserve"> </w:t>
      </w:r>
      <w:r w:rsidR="00AB24B2" w:rsidRPr="00AB24B2">
        <w:rPr>
          <w:u w:val="none"/>
        </w:rPr>
        <w:t>Bien que la demande ne p</w:t>
      </w:r>
      <w:r w:rsidR="00FF5C70">
        <w:rPr>
          <w:u w:val="none"/>
        </w:rPr>
        <w:t>récise pas si les communautés du</w:t>
      </w:r>
      <w:r w:rsidR="00AB24B2" w:rsidRPr="00AB24B2">
        <w:rPr>
          <w:u w:val="none"/>
        </w:rPr>
        <w:t xml:space="preserve"> village</w:t>
      </w:r>
      <w:r w:rsidR="00FF5C70">
        <w:rPr>
          <w:u w:val="none"/>
        </w:rPr>
        <w:t xml:space="preserve"> de</w:t>
      </w:r>
      <w:r w:rsidR="00AB24B2" w:rsidRPr="00AB24B2">
        <w:rPr>
          <w:u w:val="none"/>
        </w:rPr>
        <w:t xml:space="preserve"> Navala et </w:t>
      </w:r>
      <w:r w:rsidR="00FF5C70">
        <w:rPr>
          <w:u w:val="none"/>
        </w:rPr>
        <w:t xml:space="preserve">de </w:t>
      </w:r>
      <w:r w:rsidR="00AB24B2" w:rsidRPr="00AB24B2">
        <w:rPr>
          <w:u w:val="none"/>
        </w:rPr>
        <w:t>la province supérieure</w:t>
      </w:r>
      <w:r w:rsidR="00FF5C70">
        <w:rPr>
          <w:u w:val="none"/>
        </w:rPr>
        <w:t xml:space="preserve"> de</w:t>
      </w:r>
      <w:r w:rsidR="00AB24B2" w:rsidRPr="00AB24B2">
        <w:rPr>
          <w:u w:val="none"/>
        </w:rPr>
        <w:t xml:space="preserve"> Ba ont participé à sa préparation, leur implication dans la mise en œuvre et l'évaluation du projet proposé est démontré</w:t>
      </w:r>
      <w:r w:rsidR="00FF5C70">
        <w:rPr>
          <w:u w:val="none"/>
        </w:rPr>
        <w:t>e</w:t>
      </w:r>
      <w:r w:rsidR="00AB24B2" w:rsidRPr="00AB24B2">
        <w:rPr>
          <w:u w:val="none"/>
        </w:rPr>
        <w:t xml:space="preserve"> </w:t>
      </w:r>
      <w:r w:rsidR="00FF5C70">
        <w:rPr>
          <w:u w:val="none"/>
        </w:rPr>
        <w:t>dans toute</w:t>
      </w:r>
      <w:r w:rsidR="00AB24B2" w:rsidRPr="00AB24B2">
        <w:rPr>
          <w:u w:val="none"/>
        </w:rPr>
        <w:t xml:space="preserve"> la demande</w:t>
      </w:r>
      <w:r w:rsidR="00FF5C70">
        <w:rPr>
          <w:u w:val="none"/>
        </w:rPr>
        <w:t xml:space="preserve"> </w:t>
      </w:r>
      <w:r w:rsidR="00AB24B2" w:rsidRPr="00AB24B2">
        <w:rPr>
          <w:u w:val="none"/>
        </w:rPr>
        <w:t xml:space="preserve">; </w:t>
      </w:r>
      <w:r w:rsidR="00FF5C70">
        <w:rPr>
          <w:u w:val="none"/>
        </w:rPr>
        <w:t xml:space="preserve">les </w:t>
      </w:r>
      <w:r w:rsidR="00AB24B2" w:rsidRPr="00AB24B2">
        <w:rPr>
          <w:u w:val="none"/>
        </w:rPr>
        <w:t xml:space="preserve">membres de la communauté sont impliqués </w:t>
      </w:r>
      <w:r w:rsidR="00FF5C70" w:rsidRPr="00AB24B2">
        <w:rPr>
          <w:u w:val="none"/>
        </w:rPr>
        <w:t xml:space="preserve">actuellement </w:t>
      </w:r>
      <w:r w:rsidR="00AB24B2" w:rsidRPr="00AB24B2">
        <w:rPr>
          <w:u w:val="none"/>
        </w:rPr>
        <w:t>dans des p</w:t>
      </w:r>
      <w:r w:rsidR="00FF5C70">
        <w:rPr>
          <w:u w:val="none"/>
        </w:rPr>
        <w:t>rojets semblable</w:t>
      </w:r>
      <w:r w:rsidR="0038590D">
        <w:rPr>
          <w:u w:val="none"/>
        </w:rPr>
        <w:t>s</w:t>
      </w:r>
      <w:r w:rsidR="00FF5C70">
        <w:rPr>
          <w:u w:val="none"/>
        </w:rPr>
        <w:t xml:space="preserve"> mené</w:t>
      </w:r>
      <w:r w:rsidR="00AB24B2" w:rsidRPr="00AB24B2">
        <w:rPr>
          <w:u w:val="none"/>
        </w:rPr>
        <w:t xml:space="preserve">s par l'Université nationale </w:t>
      </w:r>
      <w:r w:rsidR="00FF5C70">
        <w:rPr>
          <w:u w:val="none"/>
        </w:rPr>
        <w:t>de</w:t>
      </w:r>
      <w:r w:rsidR="00B7552A">
        <w:rPr>
          <w:u w:val="none"/>
        </w:rPr>
        <w:t>s</w:t>
      </w:r>
      <w:r w:rsidR="00FF5C70">
        <w:rPr>
          <w:u w:val="none"/>
        </w:rPr>
        <w:t xml:space="preserve"> </w:t>
      </w:r>
      <w:r w:rsidR="00AB24B2" w:rsidRPr="00AB24B2">
        <w:rPr>
          <w:u w:val="none"/>
        </w:rPr>
        <w:t xml:space="preserve">Fidji et le </w:t>
      </w:r>
      <w:r w:rsidR="00FF5C70">
        <w:rPr>
          <w:u w:val="none"/>
        </w:rPr>
        <w:t>M</w:t>
      </w:r>
      <w:r w:rsidR="0043571C">
        <w:rPr>
          <w:u w:val="none"/>
        </w:rPr>
        <w:t>inistère du P</w:t>
      </w:r>
      <w:r w:rsidR="00AB24B2" w:rsidRPr="00AB24B2">
        <w:rPr>
          <w:u w:val="none"/>
        </w:rPr>
        <w:t xml:space="preserve">atrimoine </w:t>
      </w:r>
      <w:r w:rsidR="0038590D">
        <w:rPr>
          <w:u w:val="none"/>
        </w:rPr>
        <w:t>n</w:t>
      </w:r>
      <w:r w:rsidR="00AB24B2" w:rsidRPr="00AB24B2">
        <w:rPr>
          <w:u w:val="none"/>
        </w:rPr>
        <w:t xml:space="preserve">ational, </w:t>
      </w:r>
      <w:r w:rsidR="00FF5C70">
        <w:rPr>
          <w:u w:val="none"/>
        </w:rPr>
        <w:t xml:space="preserve">de la </w:t>
      </w:r>
      <w:r w:rsidR="009938EB">
        <w:rPr>
          <w:u w:val="none"/>
        </w:rPr>
        <w:t>C</w:t>
      </w:r>
      <w:r w:rsidR="00AB24B2" w:rsidRPr="00AB24B2">
        <w:rPr>
          <w:u w:val="none"/>
        </w:rPr>
        <w:t xml:space="preserve">ulture et </w:t>
      </w:r>
      <w:r w:rsidR="00FF5C70">
        <w:rPr>
          <w:u w:val="none"/>
        </w:rPr>
        <w:t xml:space="preserve">des </w:t>
      </w:r>
      <w:r w:rsidR="009938EB">
        <w:rPr>
          <w:u w:val="none"/>
        </w:rPr>
        <w:t>A</w:t>
      </w:r>
      <w:r w:rsidR="00AB24B2" w:rsidRPr="00AB24B2">
        <w:rPr>
          <w:u w:val="none"/>
        </w:rPr>
        <w:t>rts</w:t>
      </w:r>
      <w:r w:rsidR="00FF5C70">
        <w:rPr>
          <w:u w:val="none"/>
        </w:rPr>
        <w:t xml:space="preserve"> </w:t>
      </w:r>
      <w:r w:rsidR="00AB24B2" w:rsidRPr="00AB24B2">
        <w:rPr>
          <w:u w:val="none"/>
        </w:rPr>
        <w:t xml:space="preserve">; </w:t>
      </w:r>
      <w:r w:rsidR="00FF5C70">
        <w:rPr>
          <w:u w:val="none"/>
        </w:rPr>
        <w:t>il est prévu</w:t>
      </w:r>
      <w:r w:rsidR="00AB24B2" w:rsidRPr="00AB24B2">
        <w:rPr>
          <w:u w:val="none"/>
        </w:rPr>
        <w:t xml:space="preserve"> </w:t>
      </w:r>
      <w:r w:rsidR="00FF5C70">
        <w:rPr>
          <w:u w:val="none"/>
        </w:rPr>
        <w:t>de faire intervenir</w:t>
      </w:r>
      <w:r w:rsidR="00AB24B2" w:rsidRPr="00AB24B2">
        <w:rPr>
          <w:u w:val="none"/>
        </w:rPr>
        <w:t xml:space="preserve"> activement</w:t>
      </w:r>
      <w:r w:rsidR="007F060B">
        <w:rPr>
          <w:u w:val="none"/>
        </w:rPr>
        <w:t>,</w:t>
      </w:r>
      <w:r w:rsidR="00FF5C70">
        <w:rPr>
          <w:u w:val="none"/>
        </w:rPr>
        <w:t xml:space="preserve"> dans </w:t>
      </w:r>
      <w:r w:rsidR="00AB24B2" w:rsidRPr="00AB24B2">
        <w:rPr>
          <w:u w:val="none"/>
        </w:rPr>
        <w:t xml:space="preserve">toutes </w:t>
      </w:r>
      <w:r w:rsidR="00FF5C70">
        <w:rPr>
          <w:u w:val="none"/>
        </w:rPr>
        <w:t xml:space="preserve">les </w:t>
      </w:r>
      <w:r w:rsidR="007F060B">
        <w:rPr>
          <w:u w:val="none"/>
        </w:rPr>
        <w:t>activités</w:t>
      </w:r>
      <w:r w:rsidR="00FF5C70">
        <w:rPr>
          <w:u w:val="none"/>
        </w:rPr>
        <w:t xml:space="preserve"> du projet</w:t>
      </w:r>
      <w:r w:rsidR="007F060B">
        <w:rPr>
          <w:u w:val="none"/>
        </w:rPr>
        <w:t>,</w:t>
      </w:r>
      <w:r w:rsidR="00FF5C70">
        <w:rPr>
          <w:u w:val="none"/>
        </w:rPr>
        <w:t xml:space="preserve"> les différentes générations du</w:t>
      </w:r>
      <w:r w:rsidR="00AB24B2" w:rsidRPr="00AB24B2">
        <w:rPr>
          <w:u w:val="none"/>
        </w:rPr>
        <w:t xml:space="preserve"> village</w:t>
      </w:r>
      <w:r w:rsidR="00FF5C70">
        <w:rPr>
          <w:u w:val="none"/>
        </w:rPr>
        <w:t xml:space="preserve"> de</w:t>
      </w:r>
      <w:r w:rsidR="00AB24B2" w:rsidRPr="00AB24B2">
        <w:rPr>
          <w:u w:val="none"/>
        </w:rPr>
        <w:t xml:space="preserve"> Navala</w:t>
      </w:r>
      <w:r w:rsidR="00FF5C70">
        <w:rPr>
          <w:u w:val="none"/>
        </w:rPr>
        <w:t>,</w:t>
      </w:r>
      <w:r w:rsidR="00AB24B2" w:rsidRPr="00AB24B2">
        <w:rPr>
          <w:u w:val="none"/>
        </w:rPr>
        <w:t xml:space="preserve"> </w:t>
      </w:r>
      <w:r w:rsidR="00FF5C70">
        <w:rPr>
          <w:u w:val="none"/>
        </w:rPr>
        <w:t>en réservant</w:t>
      </w:r>
      <w:r w:rsidR="00AB24B2" w:rsidRPr="00AB24B2">
        <w:rPr>
          <w:u w:val="none"/>
        </w:rPr>
        <w:t xml:space="preserve"> aux aînés </w:t>
      </w:r>
      <w:r w:rsidR="00FF5C70" w:rsidRPr="00AB24B2">
        <w:rPr>
          <w:u w:val="none"/>
        </w:rPr>
        <w:t xml:space="preserve">un rôle clé </w:t>
      </w:r>
      <w:r w:rsidR="00FF5C70">
        <w:rPr>
          <w:u w:val="none"/>
        </w:rPr>
        <w:t>pour</w:t>
      </w:r>
      <w:r w:rsidR="00AB24B2" w:rsidRPr="00AB24B2">
        <w:rPr>
          <w:u w:val="none"/>
        </w:rPr>
        <w:t xml:space="preserve"> la construction</w:t>
      </w:r>
      <w:r w:rsidR="00FF5C70">
        <w:rPr>
          <w:u w:val="none"/>
        </w:rPr>
        <w:t xml:space="preserve"> et </w:t>
      </w:r>
      <w:r w:rsidR="00FF5C70" w:rsidRPr="00AB24B2">
        <w:rPr>
          <w:u w:val="none"/>
        </w:rPr>
        <w:t>la réhabilitation</w:t>
      </w:r>
      <w:r w:rsidR="00AB24B2" w:rsidRPr="00AB24B2">
        <w:rPr>
          <w:u w:val="none"/>
        </w:rPr>
        <w:t xml:space="preserve"> de</w:t>
      </w:r>
      <w:r w:rsidR="00FF5C70">
        <w:rPr>
          <w:u w:val="none"/>
        </w:rPr>
        <w:t xml:space="preserve"> la bure</w:t>
      </w:r>
      <w:r w:rsidR="00AB24B2" w:rsidRPr="00AB24B2">
        <w:rPr>
          <w:u w:val="none"/>
        </w:rPr>
        <w:t xml:space="preserve"> et la transmission des compétences</w:t>
      </w:r>
      <w:r w:rsidR="00FF5C70">
        <w:rPr>
          <w:u w:val="none"/>
        </w:rPr>
        <w:t>, ainsi qu’</w:t>
      </w:r>
      <w:r w:rsidR="00AB24B2" w:rsidRPr="00AB24B2">
        <w:rPr>
          <w:u w:val="none"/>
        </w:rPr>
        <w:t>un partenaire local</w:t>
      </w:r>
      <w:r w:rsidR="007F060B">
        <w:rPr>
          <w:u w:val="none"/>
        </w:rPr>
        <w:t xml:space="preserve">, </w:t>
      </w:r>
      <w:r w:rsidR="007F060B" w:rsidRPr="00AB24B2">
        <w:rPr>
          <w:u w:val="none"/>
        </w:rPr>
        <w:t>le Comité de développement du village</w:t>
      </w:r>
      <w:r w:rsidR="007F060B">
        <w:rPr>
          <w:u w:val="none"/>
        </w:rPr>
        <w:t xml:space="preserve"> de</w:t>
      </w:r>
      <w:r w:rsidR="007F060B" w:rsidRPr="00AB24B2">
        <w:rPr>
          <w:u w:val="none"/>
        </w:rPr>
        <w:t xml:space="preserve"> Navala</w:t>
      </w:r>
      <w:r w:rsidR="007F060B">
        <w:rPr>
          <w:u w:val="none"/>
        </w:rPr>
        <w:t>,</w:t>
      </w:r>
      <w:r w:rsidR="00AB24B2" w:rsidRPr="00AB24B2">
        <w:rPr>
          <w:u w:val="none"/>
        </w:rPr>
        <w:t xml:space="preserve"> pour la mise en œuvre de toutes les ac</w:t>
      </w:r>
      <w:r w:rsidR="007F060B">
        <w:rPr>
          <w:u w:val="none"/>
        </w:rPr>
        <w:t>tivités sur le terrain</w:t>
      </w:r>
      <w:r w:rsidR="00AB24B2" w:rsidRPr="00AB24B2">
        <w:rPr>
          <w:u w:val="none"/>
        </w:rPr>
        <w:t>.</w:t>
      </w:r>
    </w:p>
    <w:p w:rsidR="00320EBB" w:rsidRDefault="00320EBB" w:rsidP="00DA366E">
      <w:pPr>
        <w:pStyle w:val="ListParagraph1"/>
        <w:spacing w:after="120"/>
        <w:ind w:left="1134"/>
        <w:jc w:val="both"/>
        <w:rPr>
          <w:rFonts w:ascii="Arial" w:hAnsi="Arial" w:cs="Arial"/>
          <w:bCs/>
          <w:sz w:val="22"/>
          <w:szCs w:val="22"/>
          <w:lang w:val="fr-FR"/>
        </w:rPr>
      </w:pPr>
      <w:r w:rsidRPr="00761349">
        <w:rPr>
          <w:rFonts w:ascii="Arial" w:hAnsi="Arial" w:cs="Arial"/>
          <w:b/>
          <w:bCs/>
          <w:sz w:val="22"/>
          <w:szCs w:val="22"/>
          <w:lang w:val="fr-FR"/>
        </w:rPr>
        <w:t>Critère A.2 </w:t>
      </w:r>
      <w:r w:rsidRPr="009712A4">
        <w:rPr>
          <w:rFonts w:ascii="Arial" w:hAnsi="Arial" w:cs="Arial"/>
          <w:bCs/>
          <w:sz w:val="22"/>
          <w:szCs w:val="22"/>
          <w:lang w:val="fr-FR"/>
        </w:rPr>
        <w:t>:</w:t>
      </w:r>
      <w:r w:rsidRPr="00761349">
        <w:rPr>
          <w:rFonts w:ascii="Arial" w:hAnsi="Arial" w:cs="Arial"/>
          <w:bCs/>
          <w:sz w:val="22"/>
          <w:szCs w:val="22"/>
          <w:lang w:val="fr-FR"/>
        </w:rPr>
        <w:t xml:space="preserve"> </w:t>
      </w:r>
      <w:r w:rsidR="007F060B">
        <w:rPr>
          <w:rFonts w:ascii="Arial" w:hAnsi="Arial" w:cs="Arial"/>
          <w:bCs/>
          <w:sz w:val="22"/>
          <w:szCs w:val="22"/>
          <w:lang w:val="fr-FR"/>
        </w:rPr>
        <w:t>Bien que la demande comprenne</w:t>
      </w:r>
      <w:r w:rsidR="007F060B" w:rsidRPr="007F060B">
        <w:rPr>
          <w:rFonts w:ascii="Arial" w:hAnsi="Arial" w:cs="Arial"/>
          <w:bCs/>
          <w:sz w:val="22"/>
          <w:szCs w:val="22"/>
          <w:lang w:val="fr-FR"/>
        </w:rPr>
        <w:t xml:space="preserve"> un budget détaillé couvrant toutes les activités prévues dans le cadre du projet </w:t>
      </w:r>
      <w:r w:rsidR="0038590D">
        <w:rPr>
          <w:rFonts w:ascii="Arial" w:hAnsi="Arial" w:cs="Arial"/>
          <w:bCs/>
          <w:sz w:val="22"/>
          <w:szCs w:val="22"/>
          <w:lang w:val="fr-FR"/>
        </w:rPr>
        <w:t xml:space="preserve">et </w:t>
      </w:r>
      <w:r w:rsidR="007F060B" w:rsidRPr="007F060B">
        <w:rPr>
          <w:rFonts w:ascii="Arial" w:hAnsi="Arial" w:cs="Arial"/>
          <w:bCs/>
          <w:sz w:val="22"/>
          <w:szCs w:val="22"/>
          <w:lang w:val="fr-FR"/>
        </w:rPr>
        <w:t xml:space="preserve">démontrant la pertinence du montant demandé, la présentation du budget ne permet pas de visualiser facilement </w:t>
      </w:r>
      <w:r w:rsidR="007F060B">
        <w:rPr>
          <w:rFonts w:ascii="Arial" w:hAnsi="Arial" w:cs="Arial"/>
          <w:bCs/>
          <w:sz w:val="22"/>
          <w:szCs w:val="22"/>
          <w:lang w:val="fr-FR"/>
        </w:rPr>
        <w:t>l</w:t>
      </w:r>
      <w:r w:rsidR="007F060B" w:rsidRPr="007F060B">
        <w:rPr>
          <w:rFonts w:ascii="Arial" w:hAnsi="Arial" w:cs="Arial"/>
          <w:bCs/>
          <w:sz w:val="22"/>
          <w:szCs w:val="22"/>
          <w:lang w:val="fr-FR"/>
        </w:rPr>
        <w:t>es coûts par activité</w:t>
      </w:r>
      <w:r w:rsidR="007F060B">
        <w:rPr>
          <w:rFonts w:ascii="Arial" w:hAnsi="Arial" w:cs="Arial"/>
          <w:bCs/>
          <w:sz w:val="22"/>
          <w:szCs w:val="22"/>
          <w:lang w:val="fr-FR"/>
        </w:rPr>
        <w:t xml:space="preserve"> </w:t>
      </w:r>
      <w:r w:rsidR="007F060B" w:rsidRPr="007F060B">
        <w:rPr>
          <w:rFonts w:ascii="Arial" w:hAnsi="Arial" w:cs="Arial"/>
          <w:bCs/>
          <w:sz w:val="22"/>
          <w:szCs w:val="22"/>
          <w:lang w:val="fr-FR"/>
        </w:rPr>
        <w:t xml:space="preserve">; il est également difficile de distinguer les activités </w:t>
      </w:r>
      <w:r w:rsidR="007F060B">
        <w:rPr>
          <w:rFonts w:ascii="Arial" w:hAnsi="Arial" w:cs="Arial"/>
          <w:bCs/>
          <w:sz w:val="22"/>
          <w:szCs w:val="22"/>
          <w:lang w:val="fr-FR"/>
        </w:rPr>
        <w:t>qui seront</w:t>
      </w:r>
      <w:r w:rsidR="007F060B" w:rsidRPr="007F060B">
        <w:rPr>
          <w:rFonts w:ascii="Arial" w:hAnsi="Arial" w:cs="Arial"/>
          <w:bCs/>
          <w:sz w:val="22"/>
          <w:szCs w:val="22"/>
          <w:lang w:val="fr-FR"/>
        </w:rPr>
        <w:t xml:space="preserve"> couvertes par le Fonds du patrimoine culturel immatériel </w:t>
      </w:r>
      <w:r w:rsidR="007F060B">
        <w:rPr>
          <w:rFonts w:ascii="Arial" w:hAnsi="Arial" w:cs="Arial"/>
          <w:bCs/>
          <w:sz w:val="22"/>
          <w:szCs w:val="22"/>
          <w:lang w:val="fr-FR"/>
        </w:rPr>
        <w:t>de celles</w:t>
      </w:r>
      <w:r w:rsidR="007F060B" w:rsidRPr="007F060B">
        <w:rPr>
          <w:rFonts w:ascii="Arial" w:hAnsi="Arial" w:cs="Arial"/>
          <w:bCs/>
          <w:sz w:val="22"/>
          <w:szCs w:val="22"/>
          <w:lang w:val="fr-FR"/>
        </w:rPr>
        <w:t xml:space="preserve"> qui seront financées </w:t>
      </w:r>
      <w:r w:rsidR="007F060B">
        <w:rPr>
          <w:rFonts w:ascii="Arial" w:hAnsi="Arial" w:cs="Arial"/>
          <w:bCs/>
          <w:sz w:val="22"/>
          <w:szCs w:val="22"/>
          <w:lang w:val="fr-FR"/>
        </w:rPr>
        <w:t>par</w:t>
      </w:r>
      <w:r w:rsidR="007F060B" w:rsidRPr="007F060B">
        <w:rPr>
          <w:rFonts w:ascii="Arial" w:hAnsi="Arial" w:cs="Arial"/>
          <w:bCs/>
          <w:sz w:val="22"/>
          <w:szCs w:val="22"/>
          <w:lang w:val="fr-FR"/>
        </w:rPr>
        <w:t xml:space="preserve"> les ressources de l'</w:t>
      </w:r>
      <w:r w:rsidR="0038590D">
        <w:rPr>
          <w:rFonts w:ascii="Arial" w:hAnsi="Arial" w:cs="Arial"/>
          <w:bCs/>
          <w:sz w:val="22"/>
          <w:szCs w:val="22"/>
          <w:lang w:val="fr-FR"/>
        </w:rPr>
        <w:t>É</w:t>
      </w:r>
      <w:r w:rsidR="007F060B" w:rsidRPr="007F060B">
        <w:rPr>
          <w:rFonts w:ascii="Arial" w:hAnsi="Arial" w:cs="Arial"/>
          <w:bCs/>
          <w:sz w:val="22"/>
          <w:szCs w:val="22"/>
          <w:lang w:val="fr-FR"/>
        </w:rPr>
        <w:t xml:space="preserve">tat </w:t>
      </w:r>
      <w:r w:rsidR="007F060B">
        <w:rPr>
          <w:rFonts w:ascii="Arial" w:hAnsi="Arial" w:cs="Arial"/>
          <w:bCs/>
          <w:sz w:val="22"/>
          <w:szCs w:val="22"/>
          <w:lang w:val="fr-FR"/>
        </w:rPr>
        <w:t>demandeur</w:t>
      </w:r>
      <w:r w:rsidR="007F060B" w:rsidRPr="007F060B">
        <w:rPr>
          <w:rFonts w:ascii="Arial" w:hAnsi="Arial" w:cs="Arial"/>
          <w:bCs/>
          <w:sz w:val="22"/>
          <w:szCs w:val="22"/>
          <w:lang w:val="fr-FR"/>
        </w:rPr>
        <w:t xml:space="preserve"> ou </w:t>
      </w:r>
      <w:r w:rsidR="007F060B">
        <w:rPr>
          <w:rFonts w:ascii="Arial" w:hAnsi="Arial" w:cs="Arial"/>
          <w:bCs/>
          <w:sz w:val="22"/>
          <w:szCs w:val="22"/>
          <w:lang w:val="fr-FR"/>
        </w:rPr>
        <w:t>par d’</w:t>
      </w:r>
      <w:r w:rsidR="007F060B" w:rsidRPr="007F060B">
        <w:rPr>
          <w:rFonts w:ascii="Arial" w:hAnsi="Arial" w:cs="Arial"/>
          <w:bCs/>
          <w:sz w:val="22"/>
          <w:szCs w:val="22"/>
          <w:lang w:val="fr-FR"/>
        </w:rPr>
        <w:t>autres sources.</w:t>
      </w:r>
    </w:p>
    <w:p w:rsidR="00320EBB" w:rsidRDefault="00320EBB" w:rsidP="00DA366E">
      <w:pPr>
        <w:pStyle w:val="ListParagraph1"/>
        <w:spacing w:after="120"/>
        <w:ind w:left="1134"/>
        <w:jc w:val="both"/>
        <w:rPr>
          <w:rFonts w:ascii="Arial" w:hAnsi="Arial" w:cs="Arial"/>
          <w:bCs/>
          <w:sz w:val="22"/>
          <w:szCs w:val="22"/>
          <w:lang w:val="fr-FR"/>
        </w:rPr>
      </w:pPr>
      <w:r w:rsidRPr="00761349">
        <w:rPr>
          <w:rFonts w:ascii="Arial" w:hAnsi="Arial" w:cs="Arial"/>
          <w:b/>
          <w:bCs/>
          <w:sz w:val="22"/>
          <w:szCs w:val="22"/>
          <w:lang w:val="fr-FR"/>
        </w:rPr>
        <w:t>Critère A.3 </w:t>
      </w:r>
      <w:r w:rsidRPr="009712A4">
        <w:rPr>
          <w:rFonts w:ascii="Arial" w:hAnsi="Arial" w:cs="Arial"/>
          <w:bCs/>
          <w:sz w:val="22"/>
          <w:szCs w:val="22"/>
          <w:lang w:val="fr-FR"/>
        </w:rPr>
        <w:t xml:space="preserve">: </w:t>
      </w:r>
      <w:r w:rsidR="007F060B" w:rsidRPr="007F060B">
        <w:rPr>
          <w:rFonts w:ascii="Arial" w:hAnsi="Arial" w:cs="Arial"/>
          <w:bCs/>
          <w:sz w:val="22"/>
          <w:szCs w:val="22"/>
          <w:lang w:val="fr-FR"/>
        </w:rPr>
        <w:t>La demande est structuré</w:t>
      </w:r>
      <w:r w:rsidR="007F060B">
        <w:rPr>
          <w:rFonts w:ascii="Arial" w:hAnsi="Arial" w:cs="Arial"/>
          <w:bCs/>
          <w:sz w:val="22"/>
          <w:szCs w:val="22"/>
          <w:lang w:val="fr-FR"/>
        </w:rPr>
        <w:t xml:space="preserve">e </w:t>
      </w:r>
      <w:r w:rsidR="007F060B" w:rsidRPr="007F060B">
        <w:rPr>
          <w:rFonts w:ascii="Arial" w:hAnsi="Arial" w:cs="Arial"/>
          <w:bCs/>
          <w:sz w:val="22"/>
          <w:szCs w:val="22"/>
          <w:lang w:val="fr-FR"/>
        </w:rPr>
        <w:t>clairement et comprend une série d'activités qui sont bien conçues et présentées dans un ordre logique</w:t>
      </w:r>
      <w:r w:rsidR="007F060B">
        <w:rPr>
          <w:rFonts w:ascii="Arial" w:hAnsi="Arial" w:cs="Arial"/>
          <w:bCs/>
          <w:sz w:val="22"/>
          <w:szCs w:val="22"/>
          <w:lang w:val="fr-FR"/>
        </w:rPr>
        <w:t> :</w:t>
      </w:r>
      <w:r w:rsidR="007F060B" w:rsidRPr="007F060B">
        <w:rPr>
          <w:rFonts w:ascii="Arial" w:hAnsi="Arial" w:cs="Arial"/>
          <w:bCs/>
          <w:sz w:val="22"/>
          <w:szCs w:val="22"/>
          <w:lang w:val="fr-FR"/>
        </w:rPr>
        <w:t xml:space="preserve"> consultations préliminaires avec </w:t>
      </w:r>
      <w:r w:rsidR="007F060B">
        <w:rPr>
          <w:rFonts w:ascii="Arial" w:hAnsi="Arial" w:cs="Arial"/>
          <w:bCs/>
          <w:sz w:val="22"/>
          <w:szCs w:val="22"/>
          <w:lang w:val="fr-FR"/>
        </w:rPr>
        <w:t>la communauté Navala</w:t>
      </w:r>
      <w:r w:rsidR="007F060B" w:rsidRPr="007F060B">
        <w:rPr>
          <w:rFonts w:ascii="Arial" w:hAnsi="Arial" w:cs="Arial"/>
          <w:bCs/>
          <w:sz w:val="22"/>
          <w:szCs w:val="22"/>
          <w:lang w:val="fr-FR"/>
        </w:rPr>
        <w:t xml:space="preserve"> et </w:t>
      </w:r>
      <w:r w:rsidR="007F060B">
        <w:rPr>
          <w:rFonts w:ascii="Arial" w:hAnsi="Arial" w:cs="Arial"/>
          <w:bCs/>
          <w:sz w:val="22"/>
          <w:szCs w:val="22"/>
          <w:lang w:val="fr-FR"/>
        </w:rPr>
        <w:t>les</w:t>
      </w:r>
      <w:r w:rsidR="007F060B" w:rsidRPr="007F060B">
        <w:rPr>
          <w:rFonts w:ascii="Arial" w:hAnsi="Arial" w:cs="Arial"/>
          <w:bCs/>
          <w:sz w:val="22"/>
          <w:szCs w:val="22"/>
          <w:lang w:val="fr-FR"/>
        </w:rPr>
        <w:t xml:space="preserve"> villages</w:t>
      </w:r>
      <w:r w:rsidR="007F060B">
        <w:rPr>
          <w:rFonts w:ascii="Arial" w:hAnsi="Arial" w:cs="Arial"/>
          <w:bCs/>
          <w:sz w:val="22"/>
          <w:szCs w:val="22"/>
          <w:lang w:val="fr-FR"/>
        </w:rPr>
        <w:t xml:space="preserve"> voisins</w:t>
      </w:r>
      <w:r w:rsidR="007F060B" w:rsidRPr="007F060B">
        <w:rPr>
          <w:rFonts w:ascii="Arial" w:hAnsi="Arial" w:cs="Arial"/>
          <w:bCs/>
          <w:sz w:val="22"/>
          <w:szCs w:val="22"/>
          <w:lang w:val="fr-FR"/>
        </w:rPr>
        <w:t xml:space="preserve"> du district</w:t>
      </w:r>
      <w:r w:rsidR="007F060B">
        <w:rPr>
          <w:rFonts w:ascii="Arial" w:hAnsi="Arial" w:cs="Arial"/>
          <w:bCs/>
          <w:sz w:val="22"/>
          <w:szCs w:val="22"/>
          <w:lang w:val="fr-FR"/>
        </w:rPr>
        <w:t xml:space="preserve"> de Ba</w:t>
      </w:r>
      <w:r w:rsidR="007F060B" w:rsidRPr="007F060B">
        <w:rPr>
          <w:rFonts w:ascii="Arial" w:hAnsi="Arial" w:cs="Arial"/>
          <w:bCs/>
          <w:sz w:val="22"/>
          <w:szCs w:val="22"/>
          <w:lang w:val="fr-FR"/>
        </w:rPr>
        <w:t xml:space="preserve">, </w:t>
      </w:r>
      <w:r w:rsidR="007F060B">
        <w:rPr>
          <w:rFonts w:ascii="Arial" w:hAnsi="Arial" w:cs="Arial"/>
          <w:bCs/>
          <w:sz w:val="22"/>
          <w:szCs w:val="22"/>
          <w:lang w:val="fr-FR"/>
        </w:rPr>
        <w:t>travail sur le</w:t>
      </w:r>
      <w:r w:rsidR="007F060B" w:rsidRPr="007F060B">
        <w:rPr>
          <w:rFonts w:ascii="Arial" w:hAnsi="Arial" w:cs="Arial"/>
          <w:bCs/>
          <w:sz w:val="22"/>
          <w:szCs w:val="22"/>
          <w:lang w:val="fr-FR"/>
        </w:rPr>
        <w:t xml:space="preserve"> terrain</w:t>
      </w:r>
      <w:r w:rsidR="007F060B">
        <w:rPr>
          <w:rFonts w:ascii="Arial" w:hAnsi="Arial" w:cs="Arial"/>
          <w:bCs/>
          <w:sz w:val="22"/>
          <w:szCs w:val="22"/>
          <w:lang w:val="fr-FR"/>
        </w:rPr>
        <w:t>,</w:t>
      </w:r>
      <w:r w:rsidR="007F060B" w:rsidRPr="007F060B">
        <w:rPr>
          <w:rFonts w:ascii="Arial" w:hAnsi="Arial" w:cs="Arial"/>
          <w:bCs/>
          <w:sz w:val="22"/>
          <w:szCs w:val="22"/>
          <w:lang w:val="fr-FR"/>
        </w:rPr>
        <w:t xml:space="preserve"> </w:t>
      </w:r>
      <w:r w:rsidR="007F060B">
        <w:rPr>
          <w:rFonts w:ascii="Arial" w:hAnsi="Arial" w:cs="Arial"/>
          <w:bCs/>
          <w:sz w:val="22"/>
          <w:szCs w:val="22"/>
          <w:lang w:val="fr-FR"/>
        </w:rPr>
        <w:t>recueil</w:t>
      </w:r>
      <w:r w:rsidR="00B7552A">
        <w:rPr>
          <w:rFonts w:ascii="Arial" w:hAnsi="Arial" w:cs="Arial"/>
          <w:bCs/>
          <w:sz w:val="22"/>
          <w:szCs w:val="22"/>
          <w:lang w:val="fr-FR"/>
        </w:rPr>
        <w:t xml:space="preserve"> de</w:t>
      </w:r>
      <w:r w:rsidR="007F060B" w:rsidRPr="007F060B">
        <w:rPr>
          <w:rFonts w:ascii="Arial" w:hAnsi="Arial" w:cs="Arial"/>
          <w:bCs/>
          <w:sz w:val="22"/>
          <w:szCs w:val="22"/>
          <w:lang w:val="fr-FR"/>
        </w:rPr>
        <w:t xml:space="preserve"> données</w:t>
      </w:r>
      <w:r w:rsidR="007F060B">
        <w:rPr>
          <w:rFonts w:ascii="Arial" w:hAnsi="Arial" w:cs="Arial"/>
          <w:bCs/>
          <w:sz w:val="22"/>
          <w:szCs w:val="22"/>
          <w:lang w:val="fr-FR"/>
        </w:rPr>
        <w:t xml:space="preserve"> et</w:t>
      </w:r>
      <w:r w:rsidR="007F060B" w:rsidRPr="007F060B">
        <w:rPr>
          <w:rFonts w:ascii="Arial" w:hAnsi="Arial" w:cs="Arial"/>
          <w:bCs/>
          <w:sz w:val="22"/>
          <w:szCs w:val="22"/>
          <w:lang w:val="fr-FR"/>
        </w:rPr>
        <w:t xml:space="preserve"> développement d'une série de produits d</w:t>
      </w:r>
      <w:r w:rsidR="007F060B">
        <w:rPr>
          <w:rFonts w:ascii="Arial" w:hAnsi="Arial" w:cs="Arial"/>
          <w:bCs/>
          <w:sz w:val="22"/>
          <w:szCs w:val="22"/>
          <w:lang w:val="fr-FR"/>
        </w:rPr>
        <w:t>u</w:t>
      </w:r>
      <w:r w:rsidR="007F060B" w:rsidRPr="007F060B">
        <w:rPr>
          <w:rFonts w:ascii="Arial" w:hAnsi="Arial" w:cs="Arial"/>
          <w:bCs/>
          <w:sz w:val="22"/>
          <w:szCs w:val="22"/>
          <w:lang w:val="fr-FR"/>
        </w:rPr>
        <w:t xml:space="preserve"> projet ; la cohérence entre les activités prévues</w:t>
      </w:r>
      <w:r w:rsidR="007F060B">
        <w:rPr>
          <w:rFonts w:ascii="Arial" w:hAnsi="Arial" w:cs="Arial"/>
          <w:bCs/>
          <w:sz w:val="22"/>
          <w:szCs w:val="22"/>
          <w:lang w:val="fr-FR"/>
        </w:rPr>
        <w:t>,</w:t>
      </w:r>
      <w:r w:rsidR="007F060B" w:rsidRPr="007F060B">
        <w:rPr>
          <w:rFonts w:ascii="Arial" w:hAnsi="Arial" w:cs="Arial"/>
          <w:bCs/>
          <w:sz w:val="22"/>
          <w:szCs w:val="22"/>
          <w:lang w:val="fr-FR"/>
        </w:rPr>
        <w:t xml:space="preserve"> le budget proposé et le calendrier est un </w:t>
      </w:r>
      <w:r w:rsidR="007F060B">
        <w:rPr>
          <w:rFonts w:ascii="Arial" w:hAnsi="Arial" w:cs="Arial"/>
          <w:bCs/>
          <w:sz w:val="22"/>
          <w:szCs w:val="22"/>
          <w:lang w:val="fr-FR"/>
        </w:rPr>
        <w:t>élément</w:t>
      </w:r>
      <w:r w:rsidR="007F060B" w:rsidRPr="007F060B">
        <w:rPr>
          <w:rFonts w:ascii="Arial" w:hAnsi="Arial" w:cs="Arial"/>
          <w:bCs/>
          <w:sz w:val="22"/>
          <w:szCs w:val="22"/>
          <w:lang w:val="fr-FR"/>
        </w:rPr>
        <w:t xml:space="preserve"> déterminant pour la faisabilité du projet.</w:t>
      </w:r>
    </w:p>
    <w:p w:rsidR="00320EBB" w:rsidRDefault="00320EBB" w:rsidP="00DA366E">
      <w:pPr>
        <w:pStyle w:val="ListParagraph1"/>
        <w:spacing w:after="120"/>
        <w:ind w:left="1134"/>
        <w:jc w:val="both"/>
        <w:rPr>
          <w:rFonts w:ascii="Arial" w:hAnsi="Arial" w:cs="Arial"/>
          <w:bCs/>
          <w:sz w:val="22"/>
          <w:szCs w:val="22"/>
          <w:lang w:val="fr-FR"/>
        </w:rPr>
      </w:pPr>
      <w:r w:rsidRPr="00761349">
        <w:rPr>
          <w:rFonts w:ascii="Arial" w:hAnsi="Arial" w:cs="Arial"/>
          <w:b/>
          <w:bCs/>
          <w:sz w:val="22"/>
          <w:szCs w:val="22"/>
          <w:lang w:val="fr-FR"/>
        </w:rPr>
        <w:t>Critère A.4 </w:t>
      </w:r>
      <w:r w:rsidRPr="00761349">
        <w:rPr>
          <w:rFonts w:ascii="Arial" w:hAnsi="Arial" w:cs="Arial"/>
          <w:bCs/>
          <w:sz w:val="22"/>
          <w:szCs w:val="22"/>
          <w:lang w:val="fr-FR"/>
        </w:rPr>
        <w:t xml:space="preserve">: </w:t>
      </w:r>
      <w:r w:rsidR="007F060B">
        <w:rPr>
          <w:rFonts w:ascii="Arial" w:hAnsi="Arial" w:cs="Arial"/>
          <w:bCs/>
          <w:sz w:val="22"/>
          <w:szCs w:val="22"/>
          <w:lang w:val="fr-FR"/>
        </w:rPr>
        <w:t>L</w:t>
      </w:r>
      <w:r w:rsidR="007F060B" w:rsidRPr="007F060B">
        <w:rPr>
          <w:rFonts w:ascii="Arial" w:hAnsi="Arial" w:cs="Arial"/>
          <w:bCs/>
          <w:sz w:val="22"/>
          <w:szCs w:val="22"/>
          <w:lang w:val="fr-FR"/>
        </w:rPr>
        <w:t>es résultats à long terme du projet</w:t>
      </w:r>
      <w:r w:rsidR="007F060B">
        <w:rPr>
          <w:rFonts w:ascii="Arial" w:hAnsi="Arial" w:cs="Arial"/>
          <w:bCs/>
          <w:sz w:val="22"/>
          <w:szCs w:val="22"/>
          <w:lang w:val="fr-FR"/>
        </w:rPr>
        <w:t>,</w:t>
      </w:r>
      <w:r w:rsidR="007F060B" w:rsidRPr="007F060B">
        <w:rPr>
          <w:rFonts w:ascii="Arial" w:hAnsi="Arial" w:cs="Arial"/>
          <w:bCs/>
          <w:sz w:val="22"/>
          <w:szCs w:val="22"/>
          <w:lang w:val="fr-FR"/>
        </w:rPr>
        <w:t xml:space="preserve"> </w:t>
      </w:r>
      <w:r w:rsidR="007F060B">
        <w:rPr>
          <w:rFonts w:ascii="Arial" w:hAnsi="Arial" w:cs="Arial"/>
          <w:bCs/>
          <w:sz w:val="22"/>
          <w:szCs w:val="22"/>
          <w:lang w:val="fr-FR"/>
        </w:rPr>
        <w:t>comme</w:t>
      </w:r>
      <w:r w:rsidR="007F060B" w:rsidRPr="007F060B">
        <w:rPr>
          <w:rFonts w:ascii="Arial" w:hAnsi="Arial" w:cs="Arial"/>
          <w:bCs/>
          <w:sz w:val="22"/>
          <w:szCs w:val="22"/>
          <w:lang w:val="fr-FR"/>
        </w:rPr>
        <w:t xml:space="preserve"> la restauration et la reconstruction</w:t>
      </w:r>
      <w:r w:rsidR="007F060B">
        <w:rPr>
          <w:rFonts w:ascii="Arial" w:hAnsi="Arial" w:cs="Arial"/>
          <w:bCs/>
          <w:sz w:val="22"/>
          <w:szCs w:val="22"/>
          <w:lang w:val="fr-FR"/>
        </w:rPr>
        <w:t xml:space="preserve"> des</w:t>
      </w:r>
      <w:r w:rsidR="007F060B" w:rsidRPr="007F060B">
        <w:rPr>
          <w:rFonts w:ascii="Arial" w:hAnsi="Arial" w:cs="Arial"/>
          <w:bCs/>
          <w:sz w:val="22"/>
          <w:szCs w:val="22"/>
          <w:lang w:val="fr-FR"/>
        </w:rPr>
        <w:t xml:space="preserve"> bures ou la sauvegarde d</w:t>
      </w:r>
      <w:r w:rsidR="007F060B">
        <w:rPr>
          <w:rFonts w:ascii="Arial" w:hAnsi="Arial" w:cs="Arial"/>
          <w:bCs/>
          <w:sz w:val="22"/>
          <w:szCs w:val="22"/>
          <w:lang w:val="fr-FR"/>
        </w:rPr>
        <w:t>es croyances traditionnelles, les</w:t>
      </w:r>
      <w:r w:rsidR="007F060B" w:rsidRPr="007F060B">
        <w:rPr>
          <w:rFonts w:ascii="Arial" w:hAnsi="Arial" w:cs="Arial"/>
          <w:bCs/>
          <w:sz w:val="22"/>
          <w:szCs w:val="22"/>
          <w:lang w:val="fr-FR"/>
        </w:rPr>
        <w:t xml:space="preserve"> connaissance</w:t>
      </w:r>
      <w:r w:rsidR="007F060B">
        <w:rPr>
          <w:rFonts w:ascii="Arial" w:hAnsi="Arial" w:cs="Arial"/>
          <w:bCs/>
          <w:sz w:val="22"/>
          <w:szCs w:val="22"/>
          <w:lang w:val="fr-FR"/>
        </w:rPr>
        <w:t>s</w:t>
      </w:r>
      <w:r w:rsidR="007F060B" w:rsidRPr="007F060B">
        <w:rPr>
          <w:rFonts w:ascii="Arial" w:hAnsi="Arial" w:cs="Arial"/>
          <w:bCs/>
          <w:sz w:val="22"/>
          <w:szCs w:val="22"/>
          <w:lang w:val="fr-FR"/>
        </w:rPr>
        <w:t xml:space="preserve"> historique</w:t>
      </w:r>
      <w:r w:rsidR="007F060B">
        <w:rPr>
          <w:rFonts w:ascii="Arial" w:hAnsi="Arial" w:cs="Arial"/>
          <w:bCs/>
          <w:sz w:val="22"/>
          <w:szCs w:val="22"/>
          <w:lang w:val="fr-FR"/>
        </w:rPr>
        <w:t>s</w:t>
      </w:r>
      <w:r w:rsidR="007F060B" w:rsidRPr="007F060B">
        <w:rPr>
          <w:rFonts w:ascii="Arial" w:hAnsi="Arial" w:cs="Arial"/>
          <w:bCs/>
          <w:sz w:val="22"/>
          <w:szCs w:val="22"/>
          <w:lang w:val="fr-FR"/>
        </w:rPr>
        <w:t xml:space="preserve"> fondée</w:t>
      </w:r>
      <w:r w:rsidR="0038590D">
        <w:rPr>
          <w:rFonts w:ascii="Arial" w:hAnsi="Arial" w:cs="Arial"/>
          <w:bCs/>
          <w:sz w:val="22"/>
          <w:szCs w:val="22"/>
          <w:lang w:val="fr-FR"/>
        </w:rPr>
        <w:t>s</w:t>
      </w:r>
      <w:r w:rsidR="007F060B" w:rsidRPr="007F060B">
        <w:rPr>
          <w:rFonts w:ascii="Arial" w:hAnsi="Arial" w:cs="Arial"/>
          <w:bCs/>
          <w:sz w:val="22"/>
          <w:szCs w:val="22"/>
          <w:lang w:val="fr-FR"/>
        </w:rPr>
        <w:t xml:space="preserve"> sur le lieu, les œuvres artistiques et li</w:t>
      </w:r>
      <w:r w:rsidR="00765E61">
        <w:rPr>
          <w:rFonts w:ascii="Arial" w:hAnsi="Arial" w:cs="Arial"/>
          <w:bCs/>
          <w:sz w:val="22"/>
          <w:szCs w:val="22"/>
          <w:lang w:val="fr-FR"/>
        </w:rPr>
        <w:t>ttéraires, l</w:t>
      </w:r>
      <w:r w:rsidR="007F060B" w:rsidRPr="007F060B">
        <w:rPr>
          <w:rFonts w:ascii="Arial" w:hAnsi="Arial" w:cs="Arial"/>
          <w:bCs/>
          <w:sz w:val="22"/>
          <w:szCs w:val="22"/>
          <w:lang w:val="fr-FR"/>
        </w:rPr>
        <w:t xml:space="preserve">es </w:t>
      </w:r>
      <w:r w:rsidR="007F060B" w:rsidRPr="007F060B">
        <w:rPr>
          <w:rFonts w:ascii="Arial" w:hAnsi="Arial" w:cs="Arial"/>
          <w:bCs/>
          <w:sz w:val="22"/>
          <w:szCs w:val="22"/>
          <w:lang w:val="fr-FR"/>
        </w:rPr>
        <w:lastRenderedPageBreak/>
        <w:t xml:space="preserve">chansons et </w:t>
      </w:r>
      <w:r w:rsidR="00765E61">
        <w:rPr>
          <w:rFonts w:ascii="Arial" w:hAnsi="Arial" w:cs="Arial"/>
          <w:bCs/>
          <w:sz w:val="22"/>
          <w:szCs w:val="22"/>
          <w:lang w:val="fr-FR"/>
        </w:rPr>
        <w:t>l</w:t>
      </w:r>
      <w:r w:rsidR="007F060B" w:rsidRPr="007F060B">
        <w:rPr>
          <w:rFonts w:ascii="Arial" w:hAnsi="Arial" w:cs="Arial"/>
          <w:bCs/>
          <w:sz w:val="22"/>
          <w:szCs w:val="22"/>
          <w:lang w:val="fr-FR"/>
        </w:rPr>
        <w:t xml:space="preserve">es récits oraux, </w:t>
      </w:r>
      <w:r w:rsidR="00765E61">
        <w:rPr>
          <w:rFonts w:ascii="Arial" w:hAnsi="Arial" w:cs="Arial"/>
          <w:bCs/>
          <w:sz w:val="22"/>
          <w:szCs w:val="22"/>
          <w:lang w:val="fr-FR"/>
        </w:rPr>
        <w:t xml:space="preserve">se reproduiront d’eux-mêmes </w:t>
      </w:r>
      <w:r w:rsidR="007F060B" w:rsidRPr="007F060B">
        <w:rPr>
          <w:rFonts w:ascii="Arial" w:hAnsi="Arial" w:cs="Arial"/>
          <w:bCs/>
          <w:sz w:val="22"/>
          <w:szCs w:val="22"/>
          <w:lang w:val="fr-FR"/>
        </w:rPr>
        <w:t xml:space="preserve">; relevant des plans de gestion locaux et </w:t>
      </w:r>
      <w:r w:rsidR="00765E61">
        <w:rPr>
          <w:rFonts w:ascii="Arial" w:hAnsi="Arial" w:cs="Arial"/>
          <w:bCs/>
          <w:sz w:val="22"/>
          <w:szCs w:val="22"/>
          <w:lang w:val="fr-FR"/>
        </w:rPr>
        <w:t>intégrant le</w:t>
      </w:r>
      <w:r w:rsidR="007F060B" w:rsidRPr="007F060B">
        <w:rPr>
          <w:rFonts w:ascii="Arial" w:hAnsi="Arial" w:cs="Arial"/>
          <w:bCs/>
          <w:sz w:val="22"/>
          <w:szCs w:val="22"/>
          <w:lang w:val="fr-FR"/>
        </w:rPr>
        <w:t xml:space="preserve"> concept holistique de Vanua, les activités du projet devraient permettre de créer leurs propres synergies, </w:t>
      </w:r>
      <w:r w:rsidR="00765E61">
        <w:rPr>
          <w:rFonts w:ascii="Arial" w:hAnsi="Arial" w:cs="Arial"/>
          <w:bCs/>
          <w:sz w:val="22"/>
          <w:szCs w:val="22"/>
          <w:lang w:val="fr-FR"/>
        </w:rPr>
        <w:t>d’</w:t>
      </w:r>
      <w:r w:rsidR="007F060B" w:rsidRPr="007F060B">
        <w:rPr>
          <w:rFonts w:ascii="Arial" w:hAnsi="Arial" w:cs="Arial"/>
          <w:bCs/>
          <w:sz w:val="22"/>
          <w:szCs w:val="22"/>
          <w:lang w:val="fr-FR"/>
        </w:rPr>
        <w:t xml:space="preserve">encourager </w:t>
      </w:r>
      <w:r w:rsidR="00C5397E">
        <w:rPr>
          <w:rFonts w:ascii="Arial" w:hAnsi="Arial" w:cs="Arial"/>
          <w:bCs/>
          <w:sz w:val="22"/>
          <w:szCs w:val="22"/>
          <w:lang w:val="fr-FR"/>
        </w:rPr>
        <w:t>l’engagement participatif</w:t>
      </w:r>
      <w:r w:rsidR="007F060B" w:rsidRPr="007F060B">
        <w:rPr>
          <w:rFonts w:ascii="Arial" w:hAnsi="Arial" w:cs="Arial"/>
          <w:bCs/>
          <w:sz w:val="22"/>
          <w:szCs w:val="22"/>
          <w:lang w:val="fr-FR"/>
        </w:rPr>
        <w:t xml:space="preserve"> des </w:t>
      </w:r>
      <w:r w:rsidR="00C5397E">
        <w:rPr>
          <w:rFonts w:ascii="Arial" w:hAnsi="Arial" w:cs="Arial"/>
          <w:bCs/>
          <w:sz w:val="22"/>
          <w:szCs w:val="22"/>
          <w:lang w:val="fr-FR"/>
        </w:rPr>
        <w:t>aînés</w:t>
      </w:r>
      <w:r w:rsidR="007F060B" w:rsidRPr="007F060B">
        <w:rPr>
          <w:rFonts w:ascii="Arial" w:hAnsi="Arial" w:cs="Arial"/>
          <w:bCs/>
          <w:sz w:val="22"/>
          <w:szCs w:val="22"/>
          <w:lang w:val="fr-FR"/>
        </w:rPr>
        <w:t xml:space="preserve"> et de la jeunesse de la communauté Navala et </w:t>
      </w:r>
      <w:r w:rsidR="0038590D">
        <w:rPr>
          <w:rFonts w:ascii="Arial" w:hAnsi="Arial" w:cs="Arial"/>
          <w:bCs/>
          <w:sz w:val="22"/>
          <w:szCs w:val="22"/>
          <w:lang w:val="fr-FR"/>
        </w:rPr>
        <w:t>d’</w:t>
      </w:r>
      <w:r w:rsidR="007F060B" w:rsidRPr="007F060B">
        <w:rPr>
          <w:rFonts w:ascii="Arial" w:hAnsi="Arial" w:cs="Arial"/>
          <w:bCs/>
          <w:sz w:val="22"/>
          <w:szCs w:val="22"/>
          <w:lang w:val="fr-FR"/>
        </w:rPr>
        <w:t>inspirer d'autres jeunes de</w:t>
      </w:r>
      <w:r w:rsidR="00C5397E">
        <w:rPr>
          <w:rFonts w:ascii="Arial" w:hAnsi="Arial" w:cs="Arial"/>
          <w:bCs/>
          <w:sz w:val="22"/>
          <w:szCs w:val="22"/>
          <w:lang w:val="fr-FR"/>
        </w:rPr>
        <w:t xml:space="preserve"> la province supérieure de</w:t>
      </w:r>
      <w:r w:rsidR="007F060B" w:rsidRPr="007F060B">
        <w:rPr>
          <w:rFonts w:ascii="Arial" w:hAnsi="Arial" w:cs="Arial"/>
          <w:bCs/>
          <w:sz w:val="22"/>
          <w:szCs w:val="22"/>
          <w:lang w:val="fr-FR"/>
        </w:rPr>
        <w:t xml:space="preserve"> Ba </w:t>
      </w:r>
      <w:r w:rsidR="00C5397E">
        <w:rPr>
          <w:rFonts w:ascii="Arial" w:hAnsi="Arial" w:cs="Arial"/>
          <w:bCs/>
          <w:sz w:val="22"/>
          <w:szCs w:val="22"/>
          <w:lang w:val="fr-FR"/>
        </w:rPr>
        <w:t>à</w:t>
      </w:r>
      <w:r w:rsidR="007F060B" w:rsidRPr="007F060B">
        <w:rPr>
          <w:rFonts w:ascii="Arial" w:hAnsi="Arial" w:cs="Arial"/>
          <w:bCs/>
          <w:sz w:val="22"/>
          <w:szCs w:val="22"/>
          <w:lang w:val="fr-FR"/>
        </w:rPr>
        <w:t xml:space="preserve"> protéger les systèmes de </w:t>
      </w:r>
      <w:r w:rsidR="00C5397E">
        <w:rPr>
          <w:rFonts w:ascii="Arial" w:hAnsi="Arial" w:cs="Arial"/>
          <w:bCs/>
          <w:sz w:val="22"/>
          <w:szCs w:val="22"/>
          <w:lang w:val="fr-FR"/>
        </w:rPr>
        <w:t>savoirs pour les générations futures</w:t>
      </w:r>
      <w:r w:rsidR="007F060B" w:rsidRPr="007F060B">
        <w:rPr>
          <w:rFonts w:ascii="Arial" w:hAnsi="Arial" w:cs="Arial"/>
          <w:bCs/>
          <w:sz w:val="22"/>
          <w:szCs w:val="22"/>
          <w:lang w:val="fr-FR"/>
        </w:rPr>
        <w:t>.</w:t>
      </w:r>
    </w:p>
    <w:p w:rsidR="00320EBB" w:rsidRDefault="00320EBB" w:rsidP="00DA366E">
      <w:pPr>
        <w:pStyle w:val="ListParagraph1"/>
        <w:spacing w:after="120"/>
        <w:ind w:left="1134"/>
        <w:jc w:val="both"/>
        <w:rPr>
          <w:rFonts w:ascii="Arial" w:hAnsi="Arial" w:cs="Arial"/>
          <w:bCs/>
          <w:sz w:val="22"/>
          <w:szCs w:val="22"/>
          <w:lang w:val="fr-FR"/>
        </w:rPr>
      </w:pPr>
      <w:r w:rsidRPr="00761349">
        <w:rPr>
          <w:rFonts w:ascii="Arial" w:hAnsi="Arial" w:cs="Arial"/>
          <w:b/>
          <w:bCs/>
          <w:sz w:val="22"/>
          <w:szCs w:val="22"/>
          <w:lang w:val="fr-FR"/>
        </w:rPr>
        <w:t>Critère A.5 </w:t>
      </w:r>
      <w:r w:rsidRPr="009712A4">
        <w:rPr>
          <w:rFonts w:ascii="Arial" w:hAnsi="Arial" w:cs="Arial"/>
          <w:bCs/>
          <w:sz w:val="22"/>
          <w:szCs w:val="22"/>
          <w:lang w:val="fr-FR"/>
        </w:rPr>
        <w:t xml:space="preserve">: </w:t>
      </w:r>
      <w:r w:rsidR="0038590D">
        <w:rPr>
          <w:rFonts w:ascii="Arial" w:hAnsi="Arial" w:cs="Arial"/>
          <w:bCs/>
          <w:sz w:val="22"/>
          <w:szCs w:val="22"/>
          <w:lang w:val="fr-FR"/>
        </w:rPr>
        <w:t>15%</w:t>
      </w:r>
      <w:r w:rsidR="00C5397E">
        <w:rPr>
          <w:rFonts w:ascii="Arial" w:hAnsi="Arial" w:cs="Arial"/>
          <w:bCs/>
          <w:sz w:val="22"/>
          <w:szCs w:val="22"/>
          <w:lang w:val="fr-FR"/>
        </w:rPr>
        <w:t xml:space="preserve"> du budget total du projet faisant l’objet d’une demande d’assistance internationale seront pris en charge par l’État partie et les partenaires du projet.</w:t>
      </w:r>
    </w:p>
    <w:p w:rsidR="00320EBB" w:rsidRDefault="00320EBB" w:rsidP="00DA366E">
      <w:pPr>
        <w:pStyle w:val="ListParagraph1"/>
        <w:spacing w:after="120"/>
        <w:ind w:left="1134"/>
        <w:jc w:val="both"/>
        <w:rPr>
          <w:rFonts w:ascii="Arial" w:hAnsi="Arial" w:cs="Arial"/>
          <w:bCs/>
          <w:sz w:val="22"/>
          <w:szCs w:val="22"/>
          <w:lang w:val="fr-FR"/>
        </w:rPr>
      </w:pPr>
      <w:r w:rsidRPr="00761349">
        <w:rPr>
          <w:rFonts w:ascii="Arial" w:hAnsi="Arial" w:cs="Arial"/>
          <w:b/>
          <w:bCs/>
          <w:sz w:val="22"/>
          <w:szCs w:val="22"/>
          <w:lang w:val="fr-FR"/>
        </w:rPr>
        <w:t>Critère A.6 </w:t>
      </w:r>
      <w:r w:rsidRPr="009712A4">
        <w:rPr>
          <w:rFonts w:ascii="Arial" w:hAnsi="Arial" w:cs="Arial"/>
          <w:bCs/>
          <w:sz w:val="22"/>
          <w:szCs w:val="22"/>
          <w:lang w:val="fr-FR"/>
        </w:rPr>
        <w:t xml:space="preserve">: </w:t>
      </w:r>
      <w:r w:rsidR="00C5397E" w:rsidRPr="00C5397E">
        <w:rPr>
          <w:rFonts w:ascii="Arial" w:hAnsi="Arial" w:cs="Arial"/>
          <w:bCs/>
          <w:sz w:val="22"/>
          <w:szCs w:val="22"/>
          <w:lang w:val="fr-FR"/>
        </w:rPr>
        <w:t xml:space="preserve">L'engagement </w:t>
      </w:r>
      <w:r w:rsidR="00C5397E">
        <w:rPr>
          <w:rFonts w:ascii="Arial" w:hAnsi="Arial" w:cs="Arial"/>
          <w:bCs/>
          <w:sz w:val="22"/>
          <w:szCs w:val="22"/>
          <w:lang w:val="fr-FR"/>
        </w:rPr>
        <w:t>de la communauté</w:t>
      </w:r>
      <w:r w:rsidR="00C5397E" w:rsidRPr="00C5397E">
        <w:rPr>
          <w:rFonts w:ascii="Arial" w:hAnsi="Arial" w:cs="Arial"/>
          <w:bCs/>
          <w:sz w:val="22"/>
          <w:szCs w:val="22"/>
          <w:lang w:val="fr-FR"/>
        </w:rPr>
        <w:t xml:space="preserve"> et le renforcement des capacités sont des éléments clés du projet</w:t>
      </w:r>
      <w:r w:rsidR="00C5397E">
        <w:rPr>
          <w:rFonts w:ascii="Arial" w:hAnsi="Arial" w:cs="Arial"/>
          <w:bCs/>
          <w:sz w:val="22"/>
          <w:szCs w:val="22"/>
          <w:lang w:val="fr-FR"/>
        </w:rPr>
        <w:t xml:space="preserve"> </w:t>
      </w:r>
      <w:r w:rsidR="00C5397E" w:rsidRPr="00C5397E">
        <w:rPr>
          <w:rFonts w:ascii="Arial" w:hAnsi="Arial" w:cs="Arial"/>
          <w:bCs/>
          <w:sz w:val="22"/>
          <w:szCs w:val="22"/>
          <w:lang w:val="fr-FR"/>
        </w:rPr>
        <w:t xml:space="preserve">; </w:t>
      </w:r>
      <w:r w:rsidR="00C5397E">
        <w:rPr>
          <w:rFonts w:ascii="Arial" w:hAnsi="Arial" w:cs="Arial"/>
          <w:bCs/>
          <w:sz w:val="22"/>
          <w:szCs w:val="22"/>
          <w:lang w:val="fr-FR"/>
        </w:rPr>
        <w:t>la participation d</w:t>
      </w:r>
      <w:r w:rsidR="00C5397E" w:rsidRPr="00C5397E">
        <w:rPr>
          <w:rFonts w:ascii="Arial" w:hAnsi="Arial" w:cs="Arial"/>
          <w:bCs/>
          <w:sz w:val="22"/>
          <w:szCs w:val="22"/>
          <w:lang w:val="fr-FR"/>
        </w:rPr>
        <w:t xml:space="preserve">es membres du village, du district et de la province </w:t>
      </w:r>
      <w:r w:rsidR="00C5397E">
        <w:rPr>
          <w:rFonts w:ascii="Arial" w:hAnsi="Arial" w:cs="Arial"/>
          <w:bCs/>
          <w:sz w:val="22"/>
          <w:szCs w:val="22"/>
          <w:lang w:val="fr-FR"/>
        </w:rPr>
        <w:t>à</w:t>
      </w:r>
      <w:r w:rsidR="00C5397E" w:rsidRPr="00C5397E">
        <w:rPr>
          <w:rFonts w:ascii="Arial" w:hAnsi="Arial" w:cs="Arial"/>
          <w:bCs/>
          <w:sz w:val="22"/>
          <w:szCs w:val="22"/>
          <w:lang w:val="fr-FR"/>
        </w:rPr>
        <w:t xml:space="preserve"> la réhabilitation et </w:t>
      </w:r>
      <w:r w:rsidR="00C5397E">
        <w:rPr>
          <w:rFonts w:ascii="Arial" w:hAnsi="Arial" w:cs="Arial"/>
          <w:bCs/>
          <w:sz w:val="22"/>
          <w:szCs w:val="22"/>
          <w:lang w:val="fr-FR"/>
        </w:rPr>
        <w:t xml:space="preserve">à </w:t>
      </w:r>
      <w:r w:rsidR="00C5397E" w:rsidRPr="00C5397E">
        <w:rPr>
          <w:rFonts w:ascii="Arial" w:hAnsi="Arial" w:cs="Arial"/>
          <w:bCs/>
          <w:sz w:val="22"/>
          <w:szCs w:val="22"/>
          <w:lang w:val="fr-FR"/>
        </w:rPr>
        <w:t xml:space="preserve">la reconstruction de bures </w:t>
      </w:r>
      <w:r w:rsidR="00C5397E">
        <w:rPr>
          <w:rFonts w:ascii="Arial" w:hAnsi="Arial" w:cs="Arial"/>
          <w:bCs/>
          <w:sz w:val="22"/>
          <w:szCs w:val="22"/>
          <w:lang w:val="fr-FR"/>
        </w:rPr>
        <w:t>d</w:t>
      </w:r>
      <w:r w:rsidR="00F302DD">
        <w:rPr>
          <w:rFonts w:ascii="Arial" w:hAnsi="Arial" w:cs="Arial"/>
          <w:bCs/>
          <w:sz w:val="22"/>
          <w:szCs w:val="22"/>
          <w:lang w:val="fr-FR"/>
        </w:rPr>
        <w:t>ans le</w:t>
      </w:r>
      <w:r w:rsidR="00C5397E" w:rsidRPr="00C5397E">
        <w:rPr>
          <w:rFonts w:ascii="Arial" w:hAnsi="Arial" w:cs="Arial"/>
          <w:bCs/>
          <w:sz w:val="22"/>
          <w:szCs w:val="22"/>
          <w:lang w:val="fr-FR"/>
        </w:rPr>
        <w:t xml:space="preserve"> village de Navala, ainsi qu</w:t>
      </w:r>
      <w:r w:rsidR="00C5397E">
        <w:rPr>
          <w:rFonts w:ascii="Arial" w:hAnsi="Arial" w:cs="Arial"/>
          <w:bCs/>
          <w:sz w:val="22"/>
          <w:szCs w:val="22"/>
          <w:lang w:val="fr-FR"/>
        </w:rPr>
        <w:t>’à</w:t>
      </w:r>
      <w:r w:rsidR="00F302DD">
        <w:rPr>
          <w:rFonts w:ascii="Arial" w:hAnsi="Arial" w:cs="Arial"/>
          <w:bCs/>
          <w:sz w:val="22"/>
          <w:szCs w:val="22"/>
          <w:lang w:val="fr-FR"/>
        </w:rPr>
        <w:t xml:space="preserve"> </w:t>
      </w:r>
      <w:r w:rsidR="00C5397E">
        <w:rPr>
          <w:rFonts w:ascii="Arial" w:hAnsi="Arial" w:cs="Arial"/>
          <w:bCs/>
          <w:sz w:val="22"/>
          <w:szCs w:val="22"/>
          <w:lang w:val="fr-FR"/>
        </w:rPr>
        <w:t>l’établissement de</w:t>
      </w:r>
      <w:r w:rsidR="00C5397E" w:rsidRPr="00C5397E">
        <w:rPr>
          <w:rFonts w:ascii="Arial" w:hAnsi="Arial" w:cs="Arial"/>
          <w:bCs/>
          <w:sz w:val="22"/>
          <w:szCs w:val="22"/>
          <w:lang w:val="fr-FR"/>
        </w:rPr>
        <w:t xml:space="preserve"> la cartographie culturelle, </w:t>
      </w:r>
      <w:r w:rsidR="00C5397E">
        <w:rPr>
          <w:rFonts w:ascii="Arial" w:hAnsi="Arial" w:cs="Arial"/>
          <w:bCs/>
          <w:sz w:val="22"/>
          <w:szCs w:val="22"/>
          <w:lang w:val="fr-FR"/>
        </w:rPr>
        <w:t>va assurer</w:t>
      </w:r>
      <w:r w:rsidR="00C5397E" w:rsidRPr="00C5397E">
        <w:rPr>
          <w:rFonts w:ascii="Arial" w:hAnsi="Arial" w:cs="Arial"/>
          <w:bCs/>
          <w:sz w:val="22"/>
          <w:szCs w:val="22"/>
          <w:lang w:val="fr-FR"/>
        </w:rPr>
        <w:t xml:space="preserve"> le renforcement des capacités </w:t>
      </w:r>
      <w:r w:rsidR="00C5397E">
        <w:rPr>
          <w:rFonts w:ascii="Arial" w:hAnsi="Arial" w:cs="Arial"/>
          <w:bCs/>
          <w:sz w:val="22"/>
          <w:szCs w:val="22"/>
          <w:lang w:val="fr-FR"/>
        </w:rPr>
        <w:t>en matière de</w:t>
      </w:r>
      <w:r w:rsidR="00C5397E" w:rsidRPr="00C5397E">
        <w:rPr>
          <w:rFonts w:ascii="Arial" w:hAnsi="Arial" w:cs="Arial"/>
          <w:bCs/>
          <w:sz w:val="22"/>
          <w:szCs w:val="22"/>
          <w:lang w:val="fr-FR"/>
        </w:rPr>
        <w:t xml:space="preserve"> préservation des paysages et de sauvegarde des histoires orales et </w:t>
      </w:r>
      <w:r w:rsidR="00C5397E">
        <w:rPr>
          <w:rFonts w:ascii="Arial" w:hAnsi="Arial" w:cs="Arial"/>
          <w:bCs/>
          <w:sz w:val="22"/>
          <w:szCs w:val="22"/>
          <w:lang w:val="fr-FR"/>
        </w:rPr>
        <w:t>de</w:t>
      </w:r>
      <w:r w:rsidR="00F302DD">
        <w:rPr>
          <w:rFonts w:ascii="Arial" w:hAnsi="Arial" w:cs="Arial"/>
          <w:bCs/>
          <w:sz w:val="22"/>
          <w:szCs w:val="22"/>
          <w:lang w:val="fr-FR"/>
        </w:rPr>
        <w:t>s</w:t>
      </w:r>
      <w:r w:rsidR="00C5397E" w:rsidRPr="00C5397E">
        <w:rPr>
          <w:rFonts w:ascii="Arial" w:hAnsi="Arial" w:cs="Arial"/>
          <w:bCs/>
          <w:sz w:val="22"/>
          <w:szCs w:val="22"/>
          <w:lang w:val="fr-FR"/>
        </w:rPr>
        <w:t xml:space="preserve"> connaissances écologiques traditionnelles</w:t>
      </w:r>
      <w:r w:rsidR="00C5397E">
        <w:rPr>
          <w:rFonts w:ascii="Arial" w:hAnsi="Arial" w:cs="Arial"/>
          <w:bCs/>
          <w:sz w:val="22"/>
          <w:szCs w:val="22"/>
          <w:lang w:val="fr-FR"/>
        </w:rPr>
        <w:t xml:space="preserve"> </w:t>
      </w:r>
      <w:r w:rsidR="00C5397E" w:rsidRPr="00C5397E">
        <w:rPr>
          <w:rFonts w:ascii="Arial" w:hAnsi="Arial" w:cs="Arial"/>
          <w:bCs/>
          <w:sz w:val="22"/>
          <w:szCs w:val="22"/>
          <w:lang w:val="fr-FR"/>
        </w:rPr>
        <w:t xml:space="preserve">; la capacité des enfants et des jeunes </w:t>
      </w:r>
      <w:r w:rsidR="00F302DD">
        <w:rPr>
          <w:rFonts w:ascii="Arial" w:hAnsi="Arial" w:cs="Arial"/>
          <w:bCs/>
          <w:sz w:val="22"/>
          <w:szCs w:val="22"/>
          <w:lang w:val="fr-FR"/>
        </w:rPr>
        <w:t>s’améliorera également</w:t>
      </w:r>
      <w:r w:rsidR="00C5397E" w:rsidRPr="00C5397E">
        <w:rPr>
          <w:rFonts w:ascii="Arial" w:hAnsi="Arial" w:cs="Arial"/>
          <w:bCs/>
          <w:sz w:val="22"/>
          <w:szCs w:val="22"/>
          <w:lang w:val="fr-FR"/>
        </w:rPr>
        <w:t xml:space="preserve"> en travaillant aux côtés des anciens, </w:t>
      </w:r>
      <w:r w:rsidR="00C5397E">
        <w:rPr>
          <w:rFonts w:ascii="Arial" w:hAnsi="Arial" w:cs="Arial"/>
          <w:bCs/>
          <w:sz w:val="22"/>
          <w:szCs w:val="22"/>
          <w:lang w:val="fr-FR"/>
        </w:rPr>
        <w:t>en construisant</w:t>
      </w:r>
      <w:r w:rsidR="00C5397E" w:rsidRPr="00C5397E">
        <w:rPr>
          <w:rFonts w:ascii="Arial" w:hAnsi="Arial" w:cs="Arial"/>
          <w:bCs/>
          <w:sz w:val="22"/>
          <w:szCs w:val="22"/>
          <w:lang w:val="fr-FR"/>
        </w:rPr>
        <w:t xml:space="preserve"> de</w:t>
      </w:r>
      <w:r w:rsidR="00C5397E">
        <w:rPr>
          <w:rFonts w:ascii="Arial" w:hAnsi="Arial" w:cs="Arial"/>
          <w:bCs/>
          <w:sz w:val="22"/>
          <w:szCs w:val="22"/>
          <w:lang w:val="fr-FR"/>
        </w:rPr>
        <w:t>s bures et en assimilant</w:t>
      </w:r>
      <w:r w:rsidR="00C5397E" w:rsidRPr="00C5397E">
        <w:rPr>
          <w:rFonts w:ascii="Arial" w:hAnsi="Arial" w:cs="Arial"/>
          <w:bCs/>
          <w:sz w:val="22"/>
          <w:szCs w:val="22"/>
          <w:lang w:val="fr-FR"/>
        </w:rPr>
        <w:t xml:space="preserve"> ce qu'ils apprennent </w:t>
      </w:r>
      <w:r w:rsidR="00C5397E">
        <w:rPr>
          <w:rFonts w:ascii="Arial" w:hAnsi="Arial" w:cs="Arial"/>
          <w:bCs/>
          <w:sz w:val="22"/>
          <w:szCs w:val="22"/>
          <w:lang w:val="fr-FR"/>
        </w:rPr>
        <w:t>sur le mode de vie des</w:t>
      </w:r>
      <w:r w:rsidR="00C5397E" w:rsidRPr="00C5397E">
        <w:rPr>
          <w:rFonts w:ascii="Arial" w:hAnsi="Arial" w:cs="Arial"/>
          <w:bCs/>
          <w:sz w:val="22"/>
          <w:szCs w:val="22"/>
          <w:lang w:val="fr-FR"/>
        </w:rPr>
        <w:t xml:space="preserve"> iTaukei.</w:t>
      </w:r>
    </w:p>
    <w:p w:rsidR="00320EBB" w:rsidRDefault="00320EBB" w:rsidP="00DA366E">
      <w:pPr>
        <w:pStyle w:val="ListParagraph1"/>
        <w:spacing w:after="120"/>
        <w:ind w:left="1134"/>
        <w:jc w:val="both"/>
        <w:rPr>
          <w:rFonts w:ascii="Arial" w:hAnsi="Arial" w:cs="Arial"/>
          <w:bCs/>
          <w:sz w:val="22"/>
          <w:szCs w:val="22"/>
          <w:lang w:val="fr-FR"/>
        </w:rPr>
      </w:pPr>
      <w:r w:rsidRPr="00761349">
        <w:rPr>
          <w:rFonts w:ascii="Arial" w:hAnsi="Arial" w:cs="Arial"/>
          <w:b/>
          <w:bCs/>
          <w:sz w:val="22"/>
          <w:szCs w:val="22"/>
          <w:lang w:val="fr-FR"/>
        </w:rPr>
        <w:t>Critère A.7 </w:t>
      </w:r>
      <w:r w:rsidRPr="009712A4">
        <w:rPr>
          <w:rFonts w:ascii="Arial" w:hAnsi="Arial" w:cs="Arial"/>
          <w:bCs/>
          <w:sz w:val="22"/>
          <w:szCs w:val="22"/>
          <w:lang w:val="fr-FR"/>
        </w:rPr>
        <w:t xml:space="preserve">: </w:t>
      </w:r>
      <w:r w:rsidR="00142862">
        <w:rPr>
          <w:rFonts w:ascii="Arial" w:hAnsi="Arial" w:cs="Arial"/>
          <w:bCs/>
          <w:sz w:val="22"/>
          <w:szCs w:val="22"/>
          <w:lang w:val="fr-FR"/>
        </w:rPr>
        <w:t>Les Fidji n’ont</w:t>
      </w:r>
      <w:r w:rsidR="00C5397E">
        <w:rPr>
          <w:rFonts w:ascii="Arial" w:hAnsi="Arial" w:cs="Arial"/>
          <w:bCs/>
          <w:sz w:val="22"/>
          <w:szCs w:val="22"/>
          <w:lang w:val="fr-FR"/>
        </w:rPr>
        <w:t xml:space="preserve"> jamais mis en œuvre des activités financées par le Fonds du patrimoine culturel immatériel</w:t>
      </w:r>
      <w:r w:rsidR="00F302DD">
        <w:rPr>
          <w:rFonts w:ascii="Arial" w:hAnsi="Arial" w:cs="Arial"/>
          <w:bCs/>
          <w:sz w:val="22"/>
          <w:szCs w:val="22"/>
          <w:lang w:val="fr-FR"/>
        </w:rPr>
        <w:t>.</w:t>
      </w:r>
    </w:p>
    <w:p w:rsidR="00320EBB" w:rsidRPr="00761349" w:rsidRDefault="00242600" w:rsidP="00DA366E">
      <w:pPr>
        <w:pStyle w:val="ListParagraph1"/>
        <w:spacing w:after="120"/>
        <w:ind w:left="1134"/>
        <w:jc w:val="both"/>
        <w:rPr>
          <w:rFonts w:ascii="Arial" w:hAnsi="Arial" w:cs="Arial"/>
          <w:sz w:val="22"/>
          <w:szCs w:val="22"/>
          <w:lang w:val="fr-FR" w:eastAsia="fr-FR"/>
        </w:rPr>
      </w:pPr>
      <w:r>
        <w:rPr>
          <w:rFonts w:ascii="Arial" w:hAnsi="Arial" w:cs="Arial"/>
          <w:b/>
          <w:bCs/>
          <w:sz w:val="22"/>
          <w:szCs w:val="22"/>
          <w:lang w:val="fr-FR"/>
        </w:rPr>
        <w:t>Paragraphe</w:t>
      </w:r>
      <w:r w:rsidR="00320EBB">
        <w:rPr>
          <w:rFonts w:ascii="Arial" w:hAnsi="Arial" w:cs="Arial"/>
          <w:b/>
          <w:bCs/>
          <w:sz w:val="22"/>
          <w:szCs w:val="22"/>
          <w:lang w:val="fr-FR"/>
        </w:rPr>
        <w:t xml:space="preserve"> 10(a</w:t>
      </w:r>
      <w:r w:rsidR="00320EBB" w:rsidRPr="00761349">
        <w:rPr>
          <w:rFonts w:ascii="Arial" w:hAnsi="Arial" w:cs="Arial"/>
          <w:b/>
          <w:bCs/>
          <w:sz w:val="22"/>
          <w:szCs w:val="22"/>
          <w:lang w:val="fr-FR"/>
        </w:rPr>
        <w:t>)</w:t>
      </w:r>
      <w:r w:rsidR="003D46A3">
        <w:rPr>
          <w:rFonts w:ascii="Arial" w:hAnsi="Arial" w:cs="Arial"/>
          <w:b/>
          <w:bCs/>
          <w:sz w:val="22"/>
          <w:szCs w:val="22"/>
          <w:lang w:val="fr-FR"/>
        </w:rPr>
        <w:t> </w:t>
      </w:r>
      <w:r w:rsidR="003D46A3" w:rsidRPr="003D46A3">
        <w:rPr>
          <w:rFonts w:ascii="Arial" w:hAnsi="Arial" w:cs="Arial"/>
          <w:bCs/>
          <w:sz w:val="22"/>
          <w:szCs w:val="22"/>
          <w:lang w:val="fr-FR"/>
        </w:rPr>
        <w:t>:</w:t>
      </w:r>
      <w:r w:rsidR="003D46A3">
        <w:rPr>
          <w:rFonts w:ascii="Arial" w:hAnsi="Arial" w:cs="Arial"/>
          <w:bCs/>
          <w:sz w:val="22"/>
          <w:szCs w:val="22"/>
          <w:lang w:val="fr-FR"/>
        </w:rPr>
        <w:t xml:space="preserve"> D’envergure locale, ce projet implique pour sa mise en œuvre la participation de partenaires locaux et nationaux</w:t>
      </w:r>
      <w:r w:rsidR="00F302DD">
        <w:rPr>
          <w:rFonts w:ascii="Arial" w:hAnsi="Arial" w:cs="Arial"/>
          <w:bCs/>
          <w:sz w:val="22"/>
          <w:szCs w:val="22"/>
          <w:lang w:val="fr-FR"/>
        </w:rPr>
        <w:t>.</w:t>
      </w:r>
    </w:p>
    <w:p w:rsidR="00320EBB" w:rsidRPr="001F60D1" w:rsidRDefault="003D46A3" w:rsidP="00DA366E">
      <w:pPr>
        <w:pStyle w:val="ListParagraph1"/>
        <w:spacing w:after="120"/>
        <w:ind w:left="1134"/>
        <w:jc w:val="both"/>
        <w:rPr>
          <w:lang w:val="fr-FR"/>
        </w:rPr>
      </w:pPr>
      <w:r>
        <w:rPr>
          <w:rFonts w:ascii="Arial" w:hAnsi="Arial" w:cs="Arial"/>
          <w:b/>
          <w:bCs/>
          <w:sz w:val="22"/>
          <w:szCs w:val="22"/>
          <w:lang w:val="fr-FR"/>
        </w:rPr>
        <w:t>Paragraphe</w:t>
      </w:r>
      <w:r w:rsidR="00320EBB" w:rsidRPr="00761349">
        <w:rPr>
          <w:rFonts w:ascii="Arial" w:hAnsi="Arial" w:cs="Arial"/>
          <w:b/>
          <w:bCs/>
          <w:sz w:val="22"/>
          <w:szCs w:val="22"/>
          <w:lang w:val="fr-FR"/>
        </w:rPr>
        <w:t xml:space="preserve"> 10(b)</w:t>
      </w:r>
      <w:r>
        <w:rPr>
          <w:rFonts w:ascii="Arial" w:hAnsi="Arial" w:cs="Arial"/>
          <w:b/>
          <w:bCs/>
          <w:sz w:val="22"/>
          <w:szCs w:val="22"/>
          <w:lang w:val="fr-FR"/>
        </w:rPr>
        <w:t> </w:t>
      </w:r>
      <w:r>
        <w:rPr>
          <w:rFonts w:ascii="Arial" w:hAnsi="Arial" w:cs="Arial"/>
          <w:bCs/>
          <w:sz w:val="22"/>
          <w:szCs w:val="22"/>
          <w:lang w:val="fr-FR"/>
        </w:rPr>
        <w:t xml:space="preserve">: </w:t>
      </w:r>
      <w:r w:rsidRPr="003D46A3">
        <w:rPr>
          <w:rFonts w:ascii="Arial" w:hAnsi="Arial" w:cs="Arial"/>
          <w:bCs/>
          <w:sz w:val="22"/>
          <w:szCs w:val="22"/>
          <w:lang w:val="fr-FR"/>
        </w:rPr>
        <w:t xml:space="preserve">Alors que la demande </w:t>
      </w:r>
      <w:r w:rsidR="00F302DD">
        <w:rPr>
          <w:rFonts w:ascii="Arial" w:hAnsi="Arial" w:cs="Arial"/>
          <w:bCs/>
          <w:sz w:val="22"/>
          <w:szCs w:val="22"/>
          <w:lang w:val="fr-FR"/>
        </w:rPr>
        <w:t>précise</w:t>
      </w:r>
      <w:r w:rsidRPr="003D46A3">
        <w:rPr>
          <w:rFonts w:ascii="Arial" w:hAnsi="Arial" w:cs="Arial"/>
          <w:bCs/>
          <w:sz w:val="22"/>
          <w:szCs w:val="22"/>
          <w:lang w:val="fr-FR"/>
        </w:rPr>
        <w:t xml:space="preserve"> certains effets </w:t>
      </w:r>
      <w:r>
        <w:rPr>
          <w:rFonts w:ascii="Arial" w:hAnsi="Arial" w:cs="Arial"/>
          <w:bCs/>
          <w:sz w:val="22"/>
          <w:szCs w:val="22"/>
          <w:lang w:val="fr-FR"/>
        </w:rPr>
        <w:t>susceptibles de</w:t>
      </w:r>
      <w:r w:rsidRPr="003D46A3">
        <w:rPr>
          <w:rFonts w:ascii="Arial" w:hAnsi="Arial" w:cs="Arial"/>
          <w:bCs/>
          <w:sz w:val="22"/>
          <w:szCs w:val="22"/>
          <w:lang w:val="fr-FR"/>
        </w:rPr>
        <w:t xml:space="preserve"> résulter du projet (</w:t>
      </w:r>
      <w:r>
        <w:rPr>
          <w:rFonts w:ascii="Arial" w:hAnsi="Arial" w:cs="Arial"/>
          <w:bCs/>
          <w:sz w:val="22"/>
          <w:szCs w:val="22"/>
          <w:lang w:val="fr-FR"/>
        </w:rPr>
        <w:t>création</w:t>
      </w:r>
      <w:r w:rsidRPr="003D46A3">
        <w:rPr>
          <w:rFonts w:ascii="Arial" w:hAnsi="Arial" w:cs="Arial"/>
          <w:bCs/>
          <w:sz w:val="22"/>
          <w:szCs w:val="22"/>
          <w:lang w:val="fr-FR"/>
        </w:rPr>
        <w:t xml:space="preserve"> de revenus pour </w:t>
      </w:r>
      <w:r>
        <w:rPr>
          <w:rFonts w:ascii="Arial" w:hAnsi="Arial" w:cs="Arial"/>
          <w:bCs/>
          <w:sz w:val="22"/>
          <w:szCs w:val="22"/>
          <w:lang w:val="fr-FR"/>
        </w:rPr>
        <w:t xml:space="preserve">les membres de la communauté, </w:t>
      </w:r>
      <w:r w:rsidRPr="003D46A3">
        <w:rPr>
          <w:rFonts w:ascii="Arial" w:hAnsi="Arial" w:cs="Arial"/>
          <w:bCs/>
          <w:sz w:val="22"/>
          <w:szCs w:val="22"/>
          <w:lang w:val="fr-FR"/>
        </w:rPr>
        <w:t>intégration de programmes environnementaux d</w:t>
      </w:r>
      <w:r>
        <w:rPr>
          <w:rFonts w:ascii="Arial" w:hAnsi="Arial" w:cs="Arial"/>
          <w:bCs/>
          <w:sz w:val="22"/>
          <w:szCs w:val="22"/>
          <w:lang w:val="fr-FR"/>
        </w:rPr>
        <w:t xml:space="preserve">ans les programmes scolaires, </w:t>
      </w:r>
      <w:r w:rsidRPr="003D46A3">
        <w:rPr>
          <w:rFonts w:ascii="Arial" w:hAnsi="Arial" w:cs="Arial"/>
          <w:bCs/>
          <w:sz w:val="22"/>
          <w:szCs w:val="22"/>
          <w:lang w:val="fr-FR"/>
        </w:rPr>
        <w:t>amélioration de la gestion des bass</w:t>
      </w:r>
      <w:r>
        <w:rPr>
          <w:rFonts w:ascii="Arial" w:hAnsi="Arial" w:cs="Arial"/>
          <w:bCs/>
          <w:sz w:val="22"/>
          <w:szCs w:val="22"/>
          <w:lang w:val="fr-FR"/>
        </w:rPr>
        <w:t xml:space="preserve">ins versants ou </w:t>
      </w:r>
      <w:r w:rsidRPr="003D46A3">
        <w:rPr>
          <w:rFonts w:ascii="Arial" w:hAnsi="Arial" w:cs="Arial"/>
          <w:bCs/>
          <w:sz w:val="22"/>
          <w:szCs w:val="22"/>
          <w:lang w:val="fr-FR"/>
        </w:rPr>
        <w:t>expansion des domaines de recherche à d'autres applications scientifiques traditionnelles), il n'explique pas comment ceux-ci pourraient être utilisé</w:t>
      </w:r>
      <w:r>
        <w:rPr>
          <w:rFonts w:ascii="Arial" w:hAnsi="Arial" w:cs="Arial"/>
          <w:bCs/>
          <w:sz w:val="22"/>
          <w:szCs w:val="22"/>
          <w:lang w:val="fr-FR"/>
        </w:rPr>
        <w:t>s</w:t>
      </w:r>
      <w:r w:rsidRPr="003D46A3">
        <w:rPr>
          <w:rFonts w:ascii="Arial" w:hAnsi="Arial" w:cs="Arial"/>
          <w:bCs/>
          <w:sz w:val="22"/>
          <w:szCs w:val="22"/>
          <w:lang w:val="fr-FR"/>
        </w:rPr>
        <w:t xml:space="preserve"> pour stimuler des contributions financières ou techniques provenant </w:t>
      </w:r>
      <w:r w:rsidR="00F302DD">
        <w:rPr>
          <w:rFonts w:ascii="Arial" w:hAnsi="Arial" w:cs="Arial"/>
          <w:bCs/>
          <w:sz w:val="22"/>
          <w:szCs w:val="22"/>
          <w:lang w:val="fr-FR"/>
        </w:rPr>
        <w:t>de</w:t>
      </w:r>
      <w:r w:rsidRPr="003D46A3">
        <w:rPr>
          <w:rFonts w:ascii="Arial" w:hAnsi="Arial" w:cs="Arial"/>
          <w:bCs/>
          <w:sz w:val="22"/>
          <w:szCs w:val="22"/>
          <w:lang w:val="fr-FR"/>
        </w:rPr>
        <w:t xml:space="preserve"> sources</w:t>
      </w:r>
      <w:r w:rsidR="00F302DD">
        <w:rPr>
          <w:rFonts w:ascii="Arial" w:hAnsi="Arial" w:cs="Arial"/>
          <w:bCs/>
          <w:sz w:val="22"/>
          <w:szCs w:val="22"/>
          <w:lang w:val="fr-FR"/>
        </w:rPr>
        <w:t xml:space="preserve"> autres</w:t>
      </w:r>
      <w:r w:rsidRPr="003D46A3">
        <w:rPr>
          <w:rFonts w:ascii="Arial" w:hAnsi="Arial" w:cs="Arial"/>
          <w:bCs/>
          <w:sz w:val="22"/>
          <w:szCs w:val="22"/>
          <w:lang w:val="fr-FR"/>
        </w:rPr>
        <w:t xml:space="preserve"> que le Fonds du patrimoine culturel immatériel.</w:t>
      </w:r>
    </w:p>
    <w:p w:rsidR="003D46A3" w:rsidRDefault="003D46A3" w:rsidP="00DA366E">
      <w:pPr>
        <w:pStyle w:val="COMParaDecision"/>
        <w:numPr>
          <w:ilvl w:val="0"/>
          <w:numId w:val="23"/>
        </w:numPr>
        <w:ind w:left="1134" w:hanging="567"/>
        <w:rPr>
          <w:u w:val="none"/>
        </w:rPr>
      </w:pPr>
      <w:r>
        <w:t>Décide d’approuver</w:t>
      </w:r>
      <w:r>
        <w:rPr>
          <w:u w:val="none"/>
        </w:rPr>
        <w:t xml:space="preserve"> la demande d’assistance internationale de</w:t>
      </w:r>
      <w:r w:rsidR="00B7552A">
        <w:rPr>
          <w:u w:val="none"/>
        </w:rPr>
        <w:t>s</w:t>
      </w:r>
      <w:r>
        <w:rPr>
          <w:u w:val="none"/>
        </w:rPr>
        <w:t xml:space="preserve"> Fidji pour un projet intitulé « </w:t>
      </w:r>
      <w:r w:rsidRPr="003D46A3">
        <w:rPr>
          <w:b/>
          <w:szCs w:val="20"/>
          <w:u w:val="none"/>
        </w:rPr>
        <w:t>Sauvegarde des systèmes de savoirs</w:t>
      </w:r>
      <w:r w:rsidR="00F302DD">
        <w:rPr>
          <w:b/>
          <w:szCs w:val="20"/>
          <w:u w:val="none"/>
        </w:rPr>
        <w:t xml:space="preserve"> traditionnels</w:t>
      </w:r>
      <w:r w:rsidRPr="003D46A3">
        <w:rPr>
          <w:b/>
          <w:szCs w:val="20"/>
          <w:u w:val="none"/>
        </w:rPr>
        <w:t xml:space="preserve"> associés aux méthodes de construction des maisons (Bure) </w:t>
      </w:r>
      <w:r w:rsidR="00F302DD">
        <w:rPr>
          <w:b/>
          <w:szCs w:val="20"/>
          <w:u w:val="none"/>
        </w:rPr>
        <w:t>f</w:t>
      </w:r>
      <w:r w:rsidRPr="003D46A3">
        <w:rPr>
          <w:b/>
          <w:szCs w:val="20"/>
          <w:u w:val="none"/>
        </w:rPr>
        <w:t>idjiennes (iTaukei) dans le village de Navala (Fidji)</w:t>
      </w:r>
      <w:r>
        <w:rPr>
          <w:b/>
          <w:szCs w:val="20"/>
          <w:u w:val="none"/>
        </w:rPr>
        <w:t xml:space="preserve"> </w:t>
      </w:r>
      <w:r>
        <w:rPr>
          <w:u w:val="none"/>
        </w:rPr>
        <w:t>» et d’accord</w:t>
      </w:r>
      <w:r w:rsidR="00B7552A">
        <w:rPr>
          <w:u w:val="none"/>
        </w:rPr>
        <w:t>er à cette fin un montant de 25 </w:t>
      </w:r>
      <w:r>
        <w:rPr>
          <w:u w:val="none"/>
        </w:rPr>
        <w:t xml:space="preserve">000 dollars des </w:t>
      </w:r>
      <w:r w:rsidR="00F302DD">
        <w:rPr>
          <w:u w:val="none"/>
        </w:rPr>
        <w:t>É</w:t>
      </w:r>
      <w:r>
        <w:rPr>
          <w:u w:val="none"/>
        </w:rPr>
        <w:t>tats-Unis à l’État partie ;</w:t>
      </w:r>
    </w:p>
    <w:p w:rsidR="00CD6B3B" w:rsidRDefault="003D46A3" w:rsidP="00DA366E">
      <w:pPr>
        <w:pStyle w:val="COMParaDecision"/>
        <w:numPr>
          <w:ilvl w:val="0"/>
          <w:numId w:val="23"/>
        </w:numPr>
        <w:ind w:left="1134" w:hanging="567"/>
        <w:rPr>
          <w:u w:val="none"/>
        </w:rPr>
      </w:pPr>
      <w:r>
        <w:t>Rappelle</w:t>
      </w:r>
      <w:r>
        <w:rPr>
          <w:u w:val="none"/>
        </w:rPr>
        <w:t xml:space="preserve"> à l’État partie que les </w:t>
      </w:r>
      <w:r w:rsidRPr="003D46A3">
        <w:rPr>
          <w:u w:val="none"/>
        </w:rPr>
        <w:t xml:space="preserve">Directives opérationnelles pour la mise en œuvre de la Convention pour la sauvegarde du patrimoine culturel immatériel ne fournissent pas de </w:t>
      </w:r>
      <w:r>
        <w:rPr>
          <w:u w:val="none"/>
        </w:rPr>
        <w:t>soutien</w:t>
      </w:r>
      <w:r w:rsidRPr="003D46A3">
        <w:rPr>
          <w:u w:val="none"/>
        </w:rPr>
        <w:t xml:space="preserve"> pour la préparation d'un dossier de candidature à la Liste représentative du patrimoine culturel immatériel de l'humanité ou de la documentation connexe</w:t>
      </w:r>
      <w:r>
        <w:rPr>
          <w:u w:val="none"/>
        </w:rPr>
        <w:t>, et que cette activité</w:t>
      </w:r>
      <w:r w:rsidRPr="003D46A3">
        <w:rPr>
          <w:u w:val="none"/>
        </w:rPr>
        <w:t>, ou tout</w:t>
      </w:r>
      <w:r>
        <w:rPr>
          <w:u w:val="none"/>
        </w:rPr>
        <w:t>e</w:t>
      </w:r>
      <w:r w:rsidRPr="003D46A3">
        <w:rPr>
          <w:u w:val="none"/>
        </w:rPr>
        <w:t xml:space="preserve"> </w:t>
      </w:r>
      <w:r>
        <w:rPr>
          <w:u w:val="none"/>
        </w:rPr>
        <w:t xml:space="preserve">dépense qui lui est </w:t>
      </w:r>
      <w:r w:rsidRPr="003D46A3">
        <w:rPr>
          <w:u w:val="none"/>
        </w:rPr>
        <w:t>associé</w:t>
      </w:r>
      <w:r w:rsidR="00FF7C7A">
        <w:rPr>
          <w:u w:val="none"/>
        </w:rPr>
        <w:t>e</w:t>
      </w:r>
      <w:r w:rsidRPr="003D46A3">
        <w:rPr>
          <w:u w:val="none"/>
        </w:rPr>
        <w:t xml:space="preserve">, ne peut pas être </w:t>
      </w:r>
      <w:r w:rsidR="00CD6B3B">
        <w:rPr>
          <w:u w:val="none"/>
        </w:rPr>
        <w:t>comprise</w:t>
      </w:r>
      <w:r w:rsidRPr="003D46A3">
        <w:rPr>
          <w:u w:val="none"/>
        </w:rPr>
        <w:t xml:space="preserve"> dans le contrat </w:t>
      </w:r>
      <w:r w:rsidR="00CD6B3B">
        <w:rPr>
          <w:u w:val="none"/>
        </w:rPr>
        <w:t>qui sera</w:t>
      </w:r>
      <w:r w:rsidRPr="003D46A3">
        <w:rPr>
          <w:u w:val="none"/>
        </w:rPr>
        <w:t xml:space="preserve"> établi entre l'UNESCO et </w:t>
      </w:r>
      <w:r w:rsidR="00003F4A" w:rsidRPr="00003F4A">
        <w:rPr>
          <w:u w:val="none"/>
        </w:rPr>
        <w:t>l’organisme</w:t>
      </w:r>
      <w:r w:rsidRPr="00003F4A">
        <w:rPr>
          <w:u w:val="none"/>
        </w:rPr>
        <w:t xml:space="preserve"> d'exécution</w:t>
      </w:r>
      <w:r w:rsidR="00003F4A">
        <w:rPr>
          <w:u w:val="none"/>
        </w:rPr>
        <w:t xml:space="preserve"> désigné</w:t>
      </w:r>
      <w:r w:rsidRPr="003D46A3">
        <w:rPr>
          <w:u w:val="none"/>
        </w:rPr>
        <w:t xml:space="preserve"> par l'État</w:t>
      </w:r>
      <w:r w:rsidR="00CD6B3B">
        <w:rPr>
          <w:u w:val="none"/>
        </w:rPr>
        <w:t> ;</w:t>
      </w:r>
    </w:p>
    <w:p w:rsidR="00CD6B3B" w:rsidRDefault="00CD6B3B" w:rsidP="00DA366E">
      <w:pPr>
        <w:pStyle w:val="COMParaDecision"/>
        <w:numPr>
          <w:ilvl w:val="0"/>
          <w:numId w:val="23"/>
        </w:numPr>
        <w:ind w:left="1134" w:hanging="567"/>
        <w:rPr>
          <w:u w:val="none"/>
        </w:rPr>
      </w:pPr>
      <w:r>
        <w:t>Demande</w:t>
      </w:r>
      <w:r w:rsidRPr="00CD6B3B">
        <w:rPr>
          <w:u w:val="none"/>
        </w:rPr>
        <w:t xml:space="preserve"> au Secrétariat de </w:t>
      </w:r>
      <w:r w:rsidR="00F302DD">
        <w:rPr>
          <w:u w:val="none"/>
        </w:rPr>
        <w:t>s’</w:t>
      </w:r>
      <w:r w:rsidRPr="00CD6B3B">
        <w:rPr>
          <w:u w:val="none"/>
        </w:rPr>
        <w:t>accord</w:t>
      </w:r>
      <w:r w:rsidR="00F302DD">
        <w:rPr>
          <w:u w:val="none"/>
        </w:rPr>
        <w:t>er</w:t>
      </w:r>
      <w:r w:rsidRPr="00CD6B3B">
        <w:rPr>
          <w:u w:val="none"/>
        </w:rPr>
        <w:t xml:space="preserve"> avec l'État Partie </w:t>
      </w:r>
      <w:r>
        <w:rPr>
          <w:u w:val="none"/>
        </w:rPr>
        <w:t>demandeur</w:t>
      </w:r>
      <w:r w:rsidRPr="00CD6B3B">
        <w:rPr>
          <w:u w:val="none"/>
        </w:rPr>
        <w:t xml:space="preserve"> sur les </w:t>
      </w:r>
      <w:r w:rsidR="00A07DB0">
        <w:rPr>
          <w:u w:val="none"/>
        </w:rPr>
        <w:t>modalités</w:t>
      </w:r>
      <w:r w:rsidRPr="00CD6B3B">
        <w:rPr>
          <w:u w:val="none"/>
        </w:rPr>
        <w:t xml:space="preserve"> techniques de l'assistance, en accordant une attention particulière au</w:t>
      </w:r>
      <w:r>
        <w:rPr>
          <w:u w:val="none"/>
        </w:rPr>
        <w:t xml:space="preserve"> détail du</w:t>
      </w:r>
      <w:r w:rsidRPr="00CD6B3B">
        <w:rPr>
          <w:u w:val="none"/>
        </w:rPr>
        <w:t xml:space="preserve"> budget et </w:t>
      </w:r>
      <w:r>
        <w:rPr>
          <w:u w:val="none"/>
        </w:rPr>
        <w:t>du</w:t>
      </w:r>
      <w:r w:rsidRPr="00CD6B3B">
        <w:rPr>
          <w:u w:val="none"/>
        </w:rPr>
        <w:t xml:space="preserve"> calendrier des activités </w:t>
      </w:r>
      <w:r>
        <w:rPr>
          <w:u w:val="none"/>
        </w:rPr>
        <w:t>qui seront couvert</w:t>
      </w:r>
      <w:r w:rsidRPr="00CD6B3B">
        <w:rPr>
          <w:u w:val="none"/>
        </w:rPr>
        <w:t>s par le Fonds du patrimoine cultu</w:t>
      </w:r>
      <w:r>
        <w:rPr>
          <w:u w:val="none"/>
        </w:rPr>
        <w:t>rel immatériel ;</w:t>
      </w:r>
    </w:p>
    <w:p w:rsidR="00CD6B3B" w:rsidRDefault="00CD6B3B" w:rsidP="00DA366E">
      <w:pPr>
        <w:pStyle w:val="COMParaDecision"/>
        <w:numPr>
          <w:ilvl w:val="0"/>
          <w:numId w:val="23"/>
        </w:numPr>
        <w:ind w:left="1134" w:hanging="567"/>
        <w:rPr>
          <w:u w:val="none"/>
        </w:rPr>
      </w:pPr>
      <w:r w:rsidRPr="00CD6B3B">
        <w:t>Invite</w:t>
      </w:r>
      <w:r w:rsidRPr="00CD6B3B">
        <w:rPr>
          <w:u w:val="none"/>
        </w:rPr>
        <w:t xml:space="preserve"> l’État partie</w:t>
      </w:r>
      <w:r>
        <w:rPr>
          <w:u w:val="none"/>
        </w:rPr>
        <w:t xml:space="preserve"> à utiliser le Formulaire de rapport ICH-04 pour présenter son rapport sur l’utilisation de l’assistance fournie.</w:t>
      </w:r>
    </w:p>
    <w:p w:rsidR="004A26B5" w:rsidRDefault="004A26B5">
      <w:pPr>
        <w:rPr>
          <w:rFonts w:ascii="Arial" w:hAnsi="Arial" w:cs="Arial"/>
          <w:b/>
          <w:sz w:val="22"/>
          <w:szCs w:val="22"/>
        </w:rPr>
      </w:pPr>
      <w:r>
        <w:rPr>
          <w:b/>
        </w:rPr>
        <w:br w:type="page"/>
      </w:r>
    </w:p>
    <w:p w:rsidR="00CD6B3B" w:rsidRDefault="00CD6B3B" w:rsidP="004A26B5">
      <w:pPr>
        <w:pStyle w:val="COMParaDecision"/>
        <w:numPr>
          <w:ilvl w:val="0"/>
          <w:numId w:val="0"/>
        </w:numPr>
        <w:spacing w:before="360"/>
        <w:ind w:left="539"/>
        <w:rPr>
          <w:b/>
          <w:u w:val="none"/>
        </w:rPr>
      </w:pPr>
      <w:r w:rsidRPr="00CD6B3B">
        <w:rPr>
          <w:b/>
          <w:u w:val="none"/>
        </w:rPr>
        <w:lastRenderedPageBreak/>
        <w:t>PROJET DE DECISION 11.COM 1.BUR 1.3</w:t>
      </w:r>
    </w:p>
    <w:p w:rsidR="001F60D1" w:rsidRPr="006F2CD5" w:rsidRDefault="001F60D1" w:rsidP="001F60D1">
      <w:pPr>
        <w:pStyle w:val="COMPreambulaDecision"/>
      </w:pPr>
      <w:r w:rsidRPr="006F2CD5">
        <w:t>Le Bureau,</w:t>
      </w:r>
    </w:p>
    <w:p w:rsidR="001F60D1" w:rsidRPr="006F2CD5" w:rsidRDefault="001F60D1" w:rsidP="00DA366E">
      <w:pPr>
        <w:pStyle w:val="COMParaDecision"/>
        <w:numPr>
          <w:ilvl w:val="0"/>
          <w:numId w:val="30"/>
        </w:numPr>
        <w:ind w:left="1134" w:hanging="567"/>
      </w:pPr>
      <w:r w:rsidRPr="006F2CD5">
        <w:t>Rappelant</w:t>
      </w:r>
      <w:r w:rsidRPr="00FF7C7A">
        <w:rPr>
          <w:u w:val="none"/>
        </w:rPr>
        <w:t xml:space="preserve"> </w:t>
      </w:r>
      <w:r w:rsidRPr="00FF7C7A">
        <w:rPr>
          <w:snapToGrid w:val="0"/>
          <w:u w:val="none"/>
          <w:lang w:eastAsia="en-US"/>
        </w:rPr>
        <w:t>le chapitre V de la Convention et le chapitre I des Directives opérationnelles,</w:t>
      </w:r>
    </w:p>
    <w:p w:rsidR="001F60D1" w:rsidRPr="006F2CD5" w:rsidRDefault="001F60D1" w:rsidP="00DA366E">
      <w:pPr>
        <w:pStyle w:val="COMParaDecision"/>
        <w:ind w:left="1134" w:hanging="567"/>
      </w:pPr>
      <w:r w:rsidRPr="006F2CD5">
        <w:t>Ayant examiné</w:t>
      </w:r>
      <w:r w:rsidR="00FF7C7A">
        <w:rPr>
          <w:u w:val="none"/>
        </w:rPr>
        <w:t xml:space="preserve"> le document ITH/16/11.COM 1</w:t>
      </w:r>
      <w:r w:rsidRPr="006F2CD5">
        <w:rPr>
          <w:u w:val="none"/>
        </w:rPr>
        <w:t>.BUR/1, ainsi que la demande d’assistance internationale n° 01021,</w:t>
      </w:r>
    </w:p>
    <w:p w:rsidR="001F60D1" w:rsidRPr="006F2CD5" w:rsidRDefault="001F60D1" w:rsidP="00DA366E">
      <w:pPr>
        <w:pStyle w:val="COMParaDecision"/>
        <w:ind w:left="1134" w:hanging="567"/>
      </w:pPr>
      <w:r w:rsidRPr="006F2CD5">
        <w:t>Prend note</w:t>
      </w:r>
      <w:r w:rsidRPr="006F2CD5">
        <w:rPr>
          <w:u w:val="none"/>
        </w:rPr>
        <w:t xml:space="preserve"> du fait que le Kenya a demandé l’assistance internationale pour </w:t>
      </w:r>
      <w:r w:rsidR="00FF7C7A">
        <w:rPr>
          <w:u w:val="none"/>
        </w:rPr>
        <w:t>un projet intitulé « </w:t>
      </w:r>
      <w:r w:rsidRPr="00FF7C7A">
        <w:rPr>
          <w:b/>
          <w:u w:val="none"/>
        </w:rPr>
        <w:t>la Promotion des pratiques traditionnelles de fabrication de poteries dans l’est du Kenya</w:t>
      </w:r>
      <w:r w:rsidR="00FF7C7A">
        <w:rPr>
          <w:u w:val="none"/>
        </w:rPr>
        <w:t> »</w:t>
      </w:r>
      <w:r w:rsidRPr="006F2CD5">
        <w:rPr>
          <w:u w:val="none"/>
        </w:rPr>
        <w:t> :</w:t>
      </w:r>
    </w:p>
    <w:p w:rsidR="001F60D1" w:rsidRPr="006F2CD5" w:rsidRDefault="001F60D1" w:rsidP="00DA366E">
      <w:pPr>
        <w:pStyle w:val="COMParaDecision"/>
        <w:numPr>
          <w:ilvl w:val="0"/>
          <w:numId w:val="0"/>
        </w:numPr>
        <w:ind w:left="1134"/>
        <w:rPr>
          <w:u w:val="none"/>
        </w:rPr>
      </w:pPr>
      <w:r w:rsidRPr="006F2CD5">
        <w:rPr>
          <w:u w:val="none"/>
        </w:rPr>
        <w:t>Le projet proposé, élaboré conformément à la loi kenyane de 2006 relative au patrimoine national (2006 National Heritage Act of Kenya), a pour but de sauvegarder et de revitaliser les pratiques traditionnelles de fabrication de poteries des communautés du Mbeere, du Tharaka et du Tigania, dans l’est du Kenya. Transmise par les femmes au sein des familles, la technique consiste à fabriquer des pots en argile de diverses tailles et formes, selon leur fonction et le style propre à la communauté concernée. Certains pots sont destinés aux rituels, aux cérémonies ou aux réunions entre amis, tandis que d’autres sont destinés à stocker l’eau ou à cuire des aliments.</w:t>
      </w:r>
      <w:r w:rsidR="00FF7C7A">
        <w:rPr>
          <w:u w:val="none"/>
        </w:rPr>
        <w:t xml:space="preserve"> Cet artisanat </w:t>
      </w:r>
      <w:r w:rsidRPr="006F2CD5">
        <w:rPr>
          <w:u w:val="none"/>
        </w:rPr>
        <w:t>est étroitement lié aux pratiques sociales et aux habitudes alimentai</w:t>
      </w:r>
      <w:r w:rsidR="00FF7C7A">
        <w:rPr>
          <w:u w:val="none"/>
        </w:rPr>
        <w:t xml:space="preserve">res des communautés concernées, et représente </w:t>
      </w:r>
      <w:r w:rsidRPr="006F2CD5">
        <w:rPr>
          <w:u w:val="none"/>
        </w:rPr>
        <w:t xml:space="preserve">également un moyen de subsistance pour de nombreuses familles. De nos jours, en raison de l’énorme travail qu’exige cet artisanat et des faibles profits qui en sont tirés, à quoi s’ajoute l’impact de l’éducation formelle, le nombre de praticiennes de la poterie a diminué et l’activité est de moins en moins une priorité au sein des familles de potières. De plus, des pots en aluminium sont de plus en plus utilisés comme alternative aux poteries, ce qui porte également atteinte aux méthodes traditionnelles de préparation des aliments et de conservation de l’eau. </w:t>
      </w:r>
      <w:r w:rsidR="00FF7C7A">
        <w:rPr>
          <w:u w:val="none"/>
        </w:rPr>
        <w:t>Mis en œuvre par le Musée national du Kenya, l</w:t>
      </w:r>
      <w:r w:rsidRPr="006F2CD5">
        <w:rPr>
          <w:u w:val="none"/>
        </w:rPr>
        <w:t>e projet a pour objet de revitaliser les pratiques traditionnelles de fabrication de poteries et de restaurer les fonctions sociales associées, tout en mettant en valeur les techniques de production existantes. Les activités prévues sont notamment la revitalisation des méthodes de transmission, la diversificat</w:t>
      </w:r>
      <w:r w:rsidR="00FF7C7A">
        <w:rPr>
          <w:u w:val="none"/>
        </w:rPr>
        <w:t>ion des formes et des styles de</w:t>
      </w:r>
      <w:r w:rsidRPr="006F2CD5">
        <w:rPr>
          <w:u w:val="none"/>
        </w:rPr>
        <w:t xml:space="preserve"> poteries afin de mieux répondre aux demandes du marché, l’intégration de modes de production plus efficaces (par exemple l’amélioration de la performance des fours pour accroître les économies d’énergie), l’organisation des potières en groupes et la documentation aux fins de formation à la tradition ;</w:t>
      </w:r>
    </w:p>
    <w:p w:rsidR="00FF7C7A" w:rsidRPr="00FF7C7A" w:rsidRDefault="007C4949" w:rsidP="00DA366E">
      <w:pPr>
        <w:pStyle w:val="COMParaDecision"/>
        <w:ind w:left="1134" w:hanging="567"/>
      </w:pPr>
      <w:r>
        <w:t>Prend</w:t>
      </w:r>
      <w:r w:rsidR="001F60D1" w:rsidRPr="006F2CD5">
        <w:t xml:space="preserve"> note</w:t>
      </w:r>
      <w:r>
        <w:t xml:space="preserve"> en outre</w:t>
      </w:r>
      <w:r w:rsidR="001F60D1" w:rsidRPr="006F2CD5">
        <w:rPr>
          <w:u w:val="none"/>
        </w:rPr>
        <w:t xml:space="preserve"> </w:t>
      </w:r>
      <w:r w:rsidR="00FF7C7A">
        <w:rPr>
          <w:u w:val="none"/>
        </w:rPr>
        <w:t xml:space="preserve">que cette assistance concerne le soutien d’un projet </w:t>
      </w:r>
      <w:r>
        <w:rPr>
          <w:u w:val="none"/>
        </w:rPr>
        <w:t>réalisé</w:t>
      </w:r>
      <w:r w:rsidR="00FF7C7A">
        <w:rPr>
          <w:u w:val="none"/>
        </w:rPr>
        <w:t xml:space="preserve"> au niveau local</w:t>
      </w:r>
      <w:r>
        <w:rPr>
          <w:u w:val="none"/>
        </w:rPr>
        <w:t>,</w:t>
      </w:r>
      <w:r w:rsidR="00FF7C7A">
        <w:rPr>
          <w:u w:val="none"/>
        </w:rPr>
        <w:t xml:space="preserve"> </w:t>
      </w:r>
      <w:r>
        <w:rPr>
          <w:u w:val="none"/>
        </w:rPr>
        <w:t>en vue de</w:t>
      </w:r>
      <w:r w:rsidR="00FF7C7A">
        <w:rPr>
          <w:u w:val="none"/>
        </w:rPr>
        <w:t xml:space="preserve"> sauvegarder le patrimoine culturel immatériel </w:t>
      </w:r>
      <w:r>
        <w:rPr>
          <w:u w:val="none"/>
        </w:rPr>
        <w:t>conformément à</w:t>
      </w:r>
      <w:r w:rsidR="00FF7C7A">
        <w:rPr>
          <w:u w:val="none"/>
        </w:rPr>
        <w:t xml:space="preserve"> l’article 20 (c) de la Convention, et qu’</w:t>
      </w:r>
      <w:r>
        <w:rPr>
          <w:u w:val="none"/>
        </w:rPr>
        <w:t>el</w:t>
      </w:r>
      <w:r w:rsidR="00FF7C7A">
        <w:rPr>
          <w:u w:val="none"/>
        </w:rPr>
        <w:t>l</w:t>
      </w:r>
      <w:r>
        <w:rPr>
          <w:u w:val="none"/>
        </w:rPr>
        <w:t>e</w:t>
      </w:r>
      <w:r w:rsidR="00FF7C7A">
        <w:rPr>
          <w:u w:val="none"/>
        </w:rPr>
        <w:t xml:space="preserve"> prend la forme d’une donation </w:t>
      </w:r>
      <w:r>
        <w:rPr>
          <w:u w:val="none"/>
        </w:rPr>
        <w:t xml:space="preserve">accordée en conformité </w:t>
      </w:r>
      <w:r w:rsidR="00775718">
        <w:rPr>
          <w:u w:val="none"/>
        </w:rPr>
        <w:t xml:space="preserve">avec </w:t>
      </w:r>
      <w:r w:rsidR="00FF7C7A">
        <w:rPr>
          <w:u w:val="none"/>
        </w:rPr>
        <w:t xml:space="preserve">l’article 21 (g) de la Convention ; </w:t>
      </w:r>
    </w:p>
    <w:p w:rsidR="001F60D1" w:rsidRPr="006F2CD5" w:rsidRDefault="007C4949" w:rsidP="00DA366E">
      <w:pPr>
        <w:pStyle w:val="COMParaDecision"/>
        <w:ind w:left="1134" w:hanging="567"/>
      </w:pPr>
      <w:r w:rsidRPr="007C4949">
        <w:t>Prend également note</w:t>
      </w:r>
      <w:r>
        <w:rPr>
          <w:u w:val="none"/>
        </w:rPr>
        <w:t xml:space="preserve"> </w:t>
      </w:r>
      <w:r w:rsidR="001F60D1" w:rsidRPr="006F2CD5">
        <w:rPr>
          <w:u w:val="none"/>
        </w:rPr>
        <w:t>du fait que le Kenya a demandé une allocation de 23 388 dollars des États-Unis au titre du Fonds du patrimoine culturel immatériel pour mettre en œuvre le projet ;</w:t>
      </w:r>
    </w:p>
    <w:p w:rsidR="001F60D1" w:rsidRPr="006F2CD5" w:rsidRDefault="001F60D1" w:rsidP="00DA366E">
      <w:pPr>
        <w:pStyle w:val="COMParaDecision"/>
        <w:ind w:left="1134" w:hanging="567"/>
      </w:pPr>
      <w:r w:rsidRPr="006F2CD5">
        <w:t>Décide</w:t>
      </w:r>
      <w:r w:rsidRPr="006F2CD5">
        <w:rPr>
          <w:u w:val="none"/>
        </w:rPr>
        <w:t xml:space="preserve">, sur la base des informations fournies dans le dossier n° 01021, que la demande satisfait </w:t>
      </w:r>
      <w:r w:rsidR="002846A7">
        <w:rPr>
          <w:u w:val="none"/>
        </w:rPr>
        <w:t>comme suit aux critères d’octroi de l’assistance internationale énoncés aux paragraphes 10 et 12 des Directives</w:t>
      </w:r>
      <w:r w:rsidR="003A4CAE">
        <w:rPr>
          <w:u w:val="none"/>
        </w:rPr>
        <w:t xml:space="preserve"> opérationnelles</w:t>
      </w:r>
      <w:r w:rsidR="002846A7">
        <w:rPr>
          <w:u w:val="none"/>
        </w:rPr>
        <w:t> </w:t>
      </w:r>
      <w:r w:rsidRPr="006F2CD5">
        <w:rPr>
          <w:u w:val="none"/>
        </w:rPr>
        <w:t>:</w:t>
      </w:r>
    </w:p>
    <w:p w:rsidR="001F60D1" w:rsidRPr="006F2CD5" w:rsidRDefault="001F60D1" w:rsidP="00DA366E">
      <w:pPr>
        <w:pStyle w:val="COMParaDecision"/>
        <w:numPr>
          <w:ilvl w:val="0"/>
          <w:numId w:val="0"/>
        </w:numPr>
        <w:ind w:left="1134"/>
      </w:pPr>
      <w:r w:rsidRPr="006F2CD5">
        <w:rPr>
          <w:b/>
          <w:u w:val="none"/>
        </w:rPr>
        <w:t>Critère A.1 </w:t>
      </w:r>
      <w:r w:rsidRPr="006F2CD5">
        <w:rPr>
          <w:u w:val="none"/>
        </w:rPr>
        <w:t xml:space="preserve">: </w:t>
      </w:r>
      <w:r w:rsidRPr="006F2CD5">
        <w:rPr>
          <w:bCs/>
          <w:u w:val="none"/>
        </w:rPr>
        <w:t xml:space="preserve">La demande démontre clairement la participation des communautés à la préparation, à la mise en œuvre et à l’évaluation du projet. Les activités ont été conçues en réponse à la demande d’assistance du Mbeere et en consultation étroite avec les communautés de potières du Tharaka et du Tigania. Un coordinateur du projet de chaque communauté participera avec l’équipe de coordination du projet à la planification et à la mise en œuvre des activités. Le rôle central des potières dans les activités, comme la formation des enfants et la promotion des pratiques de fabrication des poteries dans les écoles, est clairement </w:t>
      </w:r>
      <w:r w:rsidR="00CF594D">
        <w:rPr>
          <w:bCs/>
          <w:u w:val="none"/>
        </w:rPr>
        <w:t>défini</w:t>
      </w:r>
      <w:r w:rsidRPr="006F2CD5">
        <w:rPr>
          <w:bCs/>
          <w:u w:val="none"/>
        </w:rPr>
        <w:t xml:space="preserve"> dans la demande</w:t>
      </w:r>
      <w:r w:rsidR="00775718">
        <w:rPr>
          <w:u w:val="none"/>
        </w:rPr>
        <w:t xml:space="preserve">, tout comme l’est leur contribution active </w:t>
      </w:r>
      <w:r w:rsidRPr="006F2CD5">
        <w:rPr>
          <w:bCs/>
          <w:u w:val="none"/>
        </w:rPr>
        <w:t xml:space="preserve">à l’évaluation du projet et à la production de rapports en tenant </w:t>
      </w:r>
      <w:r w:rsidRPr="006F2CD5">
        <w:rPr>
          <w:bCs/>
          <w:u w:val="none"/>
        </w:rPr>
        <w:lastRenderedPageBreak/>
        <w:t xml:space="preserve">un journal </w:t>
      </w:r>
      <w:r w:rsidR="00775718">
        <w:rPr>
          <w:bCs/>
          <w:u w:val="none"/>
        </w:rPr>
        <w:t>où elles consigneront</w:t>
      </w:r>
      <w:r w:rsidRPr="006F2CD5">
        <w:rPr>
          <w:bCs/>
          <w:u w:val="none"/>
        </w:rPr>
        <w:t xml:space="preserve"> leurs activités quotidiennes </w:t>
      </w:r>
      <w:r w:rsidR="00775718">
        <w:rPr>
          <w:bCs/>
          <w:u w:val="none"/>
        </w:rPr>
        <w:t xml:space="preserve">et </w:t>
      </w:r>
      <w:r w:rsidRPr="006F2CD5">
        <w:rPr>
          <w:bCs/>
          <w:u w:val="none"/>
        </w:rPr>
        <w:t>qui figurera également dans le rapport final.</w:t>
      </w:r>
    </w:p>
    <w:p w:rsidR="001F60D1" w:rsidRPr="006F2CD5" w:rsidRDefault="001F60D1" w:rsidP="00DA366E">
      <w:pPr>
        <w:pStyle w:val="Marge"/>
        <w:spacing w:after="120"/>
        <w:ind w:left="1134"/>
      </w:pPr>
      <w:r w:rsidRPr="006F2CD5">
        <w:rPr>
          <w:b/>
        </w:rPr>
        <w:t>Critèr</w:t>
      </w:r>
      <w:r>
        <w:rPr>
          <w:b/>
        </w:rPr>
        <w:t>e</w:t>
      </w:r>
      <w:r w:rsidRPr="006F2CD5">
        <w:rPr>
          <w:b/>
        </w:rPr>
        <w:t xml:space="preserve"> A.2 </w:t>
      </w:r>
      <w:r w:rsidRPr="006F2CD5">
        <w:t>: Le montant total demandé semble approprié et couvre de façon satisfaisante chacune des activités proposées</w:t>
      </w:r>
      <w:r w:rsidRPr="006F2CD5">
        <w:rPr>
          <w:rFonts w:cs="Arial"/>
          <w:bCs/>
          <w:szCs w:val="22"/>
        </w:rPr>
        <w:t>.</w:t>
      </w:r>
    </w:p>
    <w:p w:rsidR="001F60D1" w:rsidRPr="006F2CD5" w:rsidRDefault="001F60D1" w:rsidP="00DA366E">
      <w:pPr>
        <w:pStyle w:val="Marge"/>
        <w:spacing w:after="120"/>
        <w:ind w:left="1134"/>
      </w:pPr>
      <w:r w:rsidRPr="006F2CD5">
        <w:rPr>
          <w:b/>
        </w:rPr>
        <w:t>Critère A.3 </w:t>
      </w:r>
      <w:r w:rsidRPr="006F2CD5">
        <w:t xml:space="preserve">: </w:t>
      </w:r>
      <w:r w:rsidRPr="006F2CD5">
        <w:rPr>
          <w:rFonts w:cs="Arial"/>
          <w:szCs w:val="22"/>
        </w:rPr>
        <w:t>La demande est structurée de façon claire et comprend une série de 11</w:t>
      </w:r>
      <w:r w:rsidR="00923EB1">
        <w:rPr>
          <w:rFonts w:cs="Arial"/>
          <w:szCs w:val="22"/>
        </w:rPr>
        <w:t> </w:t>
      </w:r>
      <w:r w:rsidRPr="006F2CD5">
        <w:rPr>
          <w:rFonts w:cs="Arial"/>
          <w:szCs w:val="22"/>
        </w:rPr>
        <w:t>activités bien conçues et présentées dans un ordre logique. Les activités proposées correspondent aux objectifs du projet et sont planifiées selon un calendrier qui semble réaliste dans les délais impartis.</w:t>
      </w:r>
    </w:p>
    <w:p w:rsidR="001F60D1" w:rsidRPr="006F2CD5" w:rsidRDefault="001F60D1" w:rsidP="00DA366E">
      <w:pPr>
        <w:pStyle w:val="Marge"/>
        <w:spacing w:after="120"/>
        <w:ind w:left="1134"/>
      </w:pPr>
      <w:r w:rsidRPr="006F2CD5">
        <w:rPr>
          <w:b/>
        </w:rPr>
        <w:t>Critère A.4 </w:t>
      </w:r>
      <w:r w:rsidRPr="006F2CD5">
        <w:t>: La participation de tous les groupes, notamment les femmes et les enfants, devrait contribuer à la pérennité du projet au-delà de son achèvement officiel</w:t>
      </w:r>
      <w:r w:rsidRPr="006F2CD5">
        <w:rPr>
          <w:rFonts w:cs="Arial"/>
          <w:bCs/>
          <w:szCs w:val="22"/>
        </w:rPr>
        <w:t xml:space="preserve">. Les activités proposées, axées sur </w:t>
      </w:r>
      <w:r w:rsidR="00737842">
        <w:rPr>
          <w:rFonts w:cs="Arial"/>
          <w:bCs/>
          <w:szCs w:val="22"/>
        </w:rPr>
        <w:t>les</w:t>
      </w:r>
      <w:r w:rsidRPr="006F2CD5">
        <w:rPr>
          <w:rFonts w:cs="Arial"/>
          <w:bCs/>
          <w:szCs w:val="22"/>
        </w:rPr>
        <w:t xml:space="preserve"> femmes </w:t>
      </w:r>
      <w:r w:rsidR="00737842">
        <w:rPr>
          <w:rFonts w:cs="Arial"/>
          <w:bCs/>
          <w:szCs w:val="22"/>
        </w:rPr>
        <w:t>qui jouent un rôle essentiel dans la transmission de la pratique</w:t>
      </w:r>
      <w:r w:rsidRPr="006F2CD5">
        <w:rPr>
          <w:rFonts w:cs="Arial"/>
          <w:bCs/>
          <w:szCs w:val="22"/>
        </w:rPr>
        <w:t>, prévoient notamment la création de groupes de potières au sein des communautés afin que les praticiennes puissent faire entendre plus efficacement leurs préoccupations et avoir davantage accès à des mécanismes de microcrédit. Le projet cherche également à éveiller l’intérêt des jeunes afin d’ass</w:t>
      </w:r>
      <w:r w:rsidR="00737842">
        <w:rPr>
          <w:rFonts w:cs="Arial"/>
          <w:bCs/>
          <w:szCs w:val="22"/>
        </w:rPr>
        <w:t xml:space="preserve">urer la viabilité </w:t>
      </w:r>
      <w:r w:rsidR="00737842" w:rsidRPr="00737842">
        <w:t xml:space="preserve">des pratiques traditionnelles de fabrication de poteries, </w:t>
      </w:r>
      <w:r w:rsidR="00737842">
        <w:rPr>
          <w:rFonts w:cs="Arial"/>
          <w:bCs/>
          <w:szCs w:val="22"/>
        </w:rPr>
        <w:t>et l</w:t>
      </w:r>
      <w:r w:rsidRPr="006F2CD5">
        <w:rPr>
          <w:rFonts w:cs="Arial"/>
          <w:bCs/>
          <w:szCs w:val="22"/>
        </w:rPr>
        <w:t>es enfants participeront à de nombreuses activités, notamment des ateliers de sensibilisation dans les écoles et l’utilisation d’une brochure personnalisée.</w:t>
      </w:r>
    </w:p>
    <w:p w:rsidR="001F60D1" w:rsidRPr="006F2CD5" w:rsidRDefault="001F60D1" w:rsidP="00DA366E">
      <w:pPr>
        <w:pStyle w:val="Marge"/>
        <w:spacing w:after="120"/>
        <w:ind w:left="1134"/>
      </w:pPr>
      <w:r w:rsidRPr="006F2CD5">
        <w:rPr>
          <w:b/>
        </w:rPr>
        <w:t>Critère A.5 </w:t>
      </w:r>
      <w:r w:rsidRPr="006F2CD5">
        <w:t xml:space="preserve">: </w:t>
      </w:r>
      <w:r w:rsidRPr="006F2CD5">
        <w:rPr>
          <w:rFonts w:cs="Arial"/>
          <w:bCs/>
          <w:szCs w:val="22"/>
        </w:rPr>
        <w:t>L’État demandeur prendra à sa charge 12 % du montant total du projet pour lequel l’assistance internationale est demandée.</w:t>
      </w:r>
    </w:p>
    <w:p w:rsidR="001F60D1" w:rsidRPr="006F2CD5" w:rsidRDefault="001F60D1" w:rsidP="00DA366E">
      <w:pPr>
        <w:pStyle w:val="Marge"/>
        <w:spacing w:after="120"/>
        <w:ind w:left="1134"/>
        <w:rPr>
          <w:highlight w:val="cyan"/>
        </w:rPr>
      </w:pPr>
      <w:r w:rsidRPr="006F2CD5">
        <w:rPr>
          <w:b/>
        </w:rPr>
        <w:t>Critère A.6 </w:t>
      </w:r>
      <w:r w:rsidRPr="006F2CD5">
        <w:t xml:space="preserve">: </w:t>
      </w:r>
      <w:r w:rsidRPr="006F2CD5">
        <w:rPr>
          <w:rFonts w:cs="Arial"/>
          <w:bCs/>
          <w:szCs w:val="22"/>
        </w:rPr>
        <w:t xml:space="preserve">Le principal objectif du projet est de doter les communautés de potières du </w:t>
      </w:r>
      <w:r w:rsidRPr="006F2CD5">
        <w:rPr>
          <w:szCs w:val="22"/>
        </w:rPr>
        <w:t>Mbeere, du Tharaka et du Tigania de nouveaux savoir-faire et outils pour revitaliser leurs pratiques de fabrication de poteries</w:t>
      </w:r>
      <w:r w:rsidRPr="006F2CD5">
        <w:rPr>
          <w:rFonts w:cs="Arial"/>
          <w:bCs/>
          <w:szCs w:val="22"/>
        </w:rPr>
        <w:t>. La demande indique que les capacités des communautés seront renforcées par l’organisation des potières en groupes, des processus de consultation participative et l’établissement de réseaux d’apprentissage. Des personnes et des groupes seront formés pour animer régulièrement des réunions au niveau des communautés et documenter leur patrimoine vivant, avec le soutien d’anthropologues et d’historiens locaux.</w:t>
      </w:r>
    </w:p>
    <w:p w:rsidR="001F60D1" w:rsidRPr="006F2CD5" w:rsidRDefault="001F60D1" w:rsidP="00DA366E">
      <w:pPr>
        <w:pStyle w:val="Marge"/>
        <w:spacing w:after="120"/>
        <w:ind w:left="1134"/>
      </w:pPr>
      <w:r w:rsidRPr="006F2CD5">
        <w:rPr>
          <w:b/>
        </w:rPr>
        <w:t>Critère A.7 </w:t>
      </w:r>
      <w:r w:rsidRPr="006F2CD5">
        <w:t xml:space="preserve">: En 2008, le Kenya a bénéficié </w:t>
      </w:r>
      <w:r w:rsidR="00737842">
        <w:t>de l’assistance internationale quatre fois –</w:t>
      </w:r>
      <w:r w:rsidRPr="006F2CD5">
        <w:rPr>
          <w:rFonts w:cs="Arial"/>
          <w:bCs/>
          <w:szCs w:val="22"/>
        </w:rPr>
        <w:t xml:space="preserve"> </w:t>
      </w:r>
      <w:r w:rsidR="00737842">
        <w:rPr>
          <w:rFonts w:cs="Arial"/>
          <w:bCs/>
          <w:szCs w:val="22"/>
        </w:rPr>
        <w:t>deux fois sous la forme d’une</w:t>
      </w:r>
      <w:r w:rsidRPr="006F2CD5">
        <w:rPr>
          <w:rFonts w:cs="Arial"/>
          <w:bCs/>
          <w:szCs w:val="22"/>
        </w:rPr>
        <w:t xml:space="preserve"> assistance </w:t>
      </w:r>
      <w:r w:rsidR="00737842">
        <w:rPr>
          <w:rFonts w:cs="Arial"/>
          <w:bCs/>
          <w:szCs w:val="22"/>
        </w:rPr>
        <w:t>préparatoire pour des dossier</w:t>
      </w:r>
      <w:r w:rsidR="00720151">
        <w:rPr>
          <w:rFonts w:cs="Arial"/>
          <w:bCs/>
          <w:szCs w:val="22"/>
        </w:rPr>
        <w:t>s</w:t>
      </w:r>
      <w:r w:rsidR="00737842">
        <w:rPr>
          <w:rFonts w:cs="Arial"/>
          <w:bCs/>
          <w:szCs w:val="22"/>
        </w:rPr>
        <w:t xml:space="preserve"> de candidature sur la Liste du patrimoine culturel immatériel </w:t>
      </w:r>
      <w:r w:rsidR="00720151">
        <w:rPr>
          <w:rFonts w:cs="Arial"/>
          <w:bCs/>
          <w:szCs w:val="22"/>
        </w:rPr>
        <w:t>nécessitant une sauvegarde urgente</w:t>
      </w:r>
      <w:r w:rsidRPr="006F2CD5">
        <w:rPr>
          <w:rFonts w:cs="Arial"/>
          <w:bCs/>
          <w:szCs w:val="22"/>
        </w:rPr>
        <w:t>,</w:t>
      </w:r>
      <w:r w:rsidRPr="006F2CD5">
        <w:t xml:space="preserve"> </w:t>
      </w:r>
      <w:r w:rsidR="00720151">
        <w:t>à savoir pour les « T</w:t>
      </w:r>
      <w:r w:rsidRPr="006F2CD5">
        <w:rPr>
          <w:rFonts w:cs="Arial"/>
          <w:bCs/>
          <w:szCs w:val="22"/>
        </w:rPr>
        <w:t>raditions et pratiques associées aux Kayas</w:t>
      </w:r>
      <w:r w:rsidR="00720151">
        <w:rPr>
          <w:rFonts w:cs="Arial"/>
          <w:bCs/>
          <w:szCs w:val="22"/>
        </w:rPr>
        <w:t> »</w:t>
      </w:r>
      <w:r w:rsidRPr="006F2CD5">
        <w:rPr>
          <w:rFonts w:cs="Arial"/>
          <w:bCs/>
          <w:szCs w:val="22"/>
        </w:rPr>
        <w:t xml:space="preserve"> </w:t>
      </w:r>
      <w:r w:rsidR="00720151">
        <w:rPr>
          <w:rFonts w:cs="Arial"/>
          <w:bCs/>
          <w:szCs w:val="22"/>
        </w:rPr>
        <w:t>(2009</w:t>
      </w:r>
      <w:r w:rsidRPr="006F2CD5">
        <w:rPr>
          <w:rFonts w:cs="Arial"/>
          <w:bCs/>
          <w:szCs w:val="22"/>
        </w:rPr>
        <w:t>-</w:t>
      </w:r>
      <w:r w:rsidR="00720151">
        <w:rPr>
          <w:rFonts w:cs="Arial"/>
          <w:bCs/>
          <w:szCs w:val="22"/>
        </w:rPr>
        <w:t>10</w:t>
      </w:r>
      <w:r w:rsidRPr="006F2CD5">
        <w:rPr>
          <w:rFonts w:cs="Arial"/>
          <w:bCs/>
          <w:szCs w:val="22"/>
        </w:rPr>
        <w:t xml:space="preserve"> ; </w:t>
      </w:r>
      <w:r w:rsidR="00720151">
        <w:rPr>
          <w:rFonts w:cs="Arial"/>
          <w:bCs/>
          <w:szCs w:val="22"/>
        </w:rPr>
        <w:t>6 000</w:t>
      </w:r>
      <w:r w:rsidRPr="006F2CD5">
        <w:rPr>
          <w:rFonts w:cs="Arial"/>
          <w:bCs/>
          <w:szCs w:val="22"/>
        </w:rPr>
        <w:t xml:space="preserve"> dollars des États-Unis), </w:t>
      </w:r>
      <w:r w:rsidR="00720151">
        <w:rPr>
          <w:rFonts w:cs="Arial"/>
          <w:bCs/>
          <w:szCs w:val="22"/>
        </w:rPr>
        <w:t>pour les</w:t>
      </w:r>
      <w:r w:rsidRPr="006F2CD5">
        <w:rPr>
          <w:rFonts w:cs="Arial"/>
          <w:bCs/>
          <w:szCs w:val="22"/>
        </w:rPr>
        <w:t xml:space="preserve"> « Rituels et pratiques associés au sanctuaire de Kit Mikayi chez les communautés luo au Kenya » (2013-2015 ; 17 668 dollars des États-Unis)</w:t>
      </w:r>
      <w:r w:rsidR="00720151">
        <w:rPr>
          <w:rFonts w:cs="Arial"/>
          <w:bCs/>
          <w:szCs w:val="22"/>
        </w:rPr>
        <w:t xml:space="preserve"> et deux fois sous la forme d’une assistance financière pour un projet intitulé : </w:t>
      </w:r>
      <w:r w:rsidR="00720151" w:rsidRPr="00720151">
        <w:rPr>
          <w:rFonts w:cs="Arial"/>
          <w:bCs/>
          <w:szCs w:val="22"/>
        </w:rPr>
        <w:t>« </w:t>
      </w:r>
      <w:r w:rsidR="00720151" w:rsidRPr="00720151">
        <w:rPr>
          <w:rFonts w:cs="Arial"/>
        </w:rPr>
        <w:t>Les traditions et pratiques associées aux Kayas dans les forêts sacrées des Mijikenda</w:t>
      </w:r>
      <w:r w:rsidR="00720151">
        <w:rPr>
          <w:rFonts w:cs="Arial"/>
          <w:bCs/>
          <w:szCs w:val="22"/>
        </w:rPr>
        <w:t> »</w:t>
      </w:r>
      <w:r w:rsidR="00720151" w:rsidRPr="00720151">
        <w:rPr>
          <w:rFonts w:cs="Arial"/>
          <w:bCs/>
          <w:szCs w:val="22"/>
        </w:rPr>
        <w:t xml:space="preserve"> </w:t>
      </w:r>
      <w:r w:rsidR="00720151">
        <w:rPr>
          <w:rFonts w:cs="Arial"/>
          <w:bCs/>
          <w:szCs w:val="22"/>
        </w:rPr>
        <w:t xml:space="preserve">(2011-14, </w:t>
      </w:r>
      <w:r w:rsidR="00720151" w:rsidRPr="00720151">
        <w:rPr>
          <w:rFonts w:cs="Arial"/>
          <w:bCs/>
          <w:szCs w:val="22"/>
        </w:rPr>
        <w:t>126</w:t>
      </w:r>
      <w:r w:rsidR="00720151">
        <w:rPr>
          <w:rFonts w:cs="Arial"/>
          <w:bCs/>
          <w:szCs w:val="22"/>
        </w:rPr>
        <w:t> </w:t>
      </w:r>
      <w:r w:rsidR="00720151" w:rsidRPr="00720151">
        <w:rPr>
          <w:rFonts w:cs="Arial"/>
          <w:bCs/>
          <w:szCs w:val="22"/>
        </w:rPr>
        <w:t>580</w:t>
      </w:r>
      <w:r w:rsidR="00720151">
        <w:rPr>
          <w:rFonts w:cs="Arial"/>
          <w:bCs/>
          <w:szCs w:val="22"/>
        </w:rPr>
        <w:t xml:space="preserve"> dollars des </w:t>
      </w:r>
      <w:r w:rsidR="00720151" w:rsidRPr="006F2CD5">
        <w:rPr>
          <w:rFonts w:cs="Arial"/>
          <w:bCs/>
          <w:szCs w:val="22"/>
        </w:rPr>
        <w:t>États-Unis</w:t>
      </w:r>
      <w:r w:rsidR="00720151">
        <w:rPr>
          <w:rFonts w:cs="Arial"/>
          <w:bCs/>
          <w:szCs w:val="22"/>
        </w:rPr>
        <w:t>) et un projet intitulé : « </w:t>
      </w:r>
      <w:r w:rsidR="00720151" w:rsidRPr="00720151">
        <w:rPr>
          <w:rFonts w:cs="Arial"/>
        </w:rPr>
        <w:t>La documentation et l'inventaire du patrimoine culturel immatériel de la communauté pastorale Samburu du nord du Kenya, particulièrement dans la région de la réserve de biosphère du mont Kulal</w:t>
      </w:r>
      <w:r w:rsidR="00720151">
        <w:rPr>
          <w:rFonts w:cs="Arial"/>
        </w:rPr>
        <w:t xml:space="preserve"> » (2015-en cours ; </w:t>
      </w:r>
      <w:r w:rsidR="00720151" w:rsidRPr="00720151">
        <w:rPr>
          <w:rFonts w:cs="Arial"/>
          <w:bCs/>
          <w:szCs w:val="22"/>
        </w:rPr>
        <w:t>24</w:t>
      </w:r>
      <w:r w:rsidR="00720151">
        <w:rPr>
          <w:rFonts w:cs="Arial"/>
          <w:bCs/>
          <w:szCs w:val="22"/>
        </w:rPr>
        <w:t> </w:t>
      </w:r>
      <w:r w:rsidR="00720151" w:rsidRPr="00720151">
        <w:rPr>
          <w:rFonts w:cs="Arial"/>
          <w:bCs/>
          <w:szCs w:val="22"/>
        </w:rPr>
        <w:t>038</w:t>
      </w:r>
      <w:r w:rsidR="00720151">
        <w:rPr>
          <w:rFonts w:cs="Arial"/>
          <w:bCs/>
          <w:szCs w:val="22"/>
        </w:rPr>
        <w:t xml:space="preserve"> dollars des</w:t>
      </w:r>
      <w:r w:rsidR="00720151" w:rsidRPr="00720151">
        <w:rPr>
          <w:rFonts w:cs="Arial"/>
          <w:bCs/>
          <w:szCs w:val="22"/>
        </w:rPr>
        <w:t xml:space="preserve"> </w:t>
      </w:r>
      <w:r w:rsidR="00720151" w:rsidRPr="006F2CD5">
        <w:rPr>
          <w:rFonts w:cs="Arial"/>
          <w:bCs/>
          <w:szCs w:val="22"/>
        </w:rPr>
        <w:t>États-Unis</w:t>
      </w:r>
      <w:r w:rsidR="00720151">
        <w:rPr>
          <w:rFonts w:cs="Arial"/>
          <w:bCs/>
          <w:szCs w:val="22"/>
        </w:rPr>
        <w:t>)</w:t>
      </w:r>
      <w:r w:rsidRPr="006F2CD5">
        <w:rPr>
          <w:rFonts w:cs="Arial"/>
          <w:bCs/>
          <w:szCs w:val="22"/>
        </w:rPr>
        <w:t xml:space="preserve">. </w:t>
      </w:r>
      <w:r w:rsidRPr="006F2CD5">
        <w:t>Le travail stipulé</w:t>
      </w:r>
      <w:r w:rsidR="00923EB1">
        <w:t xml:space="preserve"> dans les contrats signés pour l</w:t>
      </w:r>
      <w:r w:rsidRPr="006F2CD5">
        <w:t xml:space="preserve">es projets </w:t>
      </w:r>
      <w:r w:rsidR="00923EB1">
        <w:t xml:space="preserve">réalisés </w:t>
      </w:r>
      <w:r w:rsidRPr="006F2CD5">
        <w:t>a été mené à bien conformément aux règlements de l’UNESCO</w:t>
      </w:r>
      <w:r w:rsidR="008A71B6">
        <w:t>,</w:t>
      </w:r>
      <w:r w:rsidRPr="006F2CD5">
        <w:t xml:space="preserve"> </w:t>
      </w:r>
      <w:r w:rsidR="00E5011F">
        <w:rPr>
          <w:rFonts w:cs="Arial"/>
          <w:bCs/>
          <w:szCs w:val="22"/>
        </w:rPr>
        <w:t>bien que le</w:t>
      </w:r>
      <w:r w:rsidRPr="006F2CD5">
        <w:rPr>
          <w:rFonts w:cs="Arial"/>
          <w:bCs/>
          <w:szCs w:val="22"/>
        </w:rPr>
        <w:t xml:space="preserve"> projet </w:t>
      </w:r>
      <w:r w:rsidR="008A71B6">
        <w:rPr>
          <w:rFonts w:cs="Arial"/>
          <w:bCs/>
          <w:szCs w:val="22"/>
        </w:rPr>
        <w:t xml:space="preserve">intitulé : </w:t>
      </w:r>
      <w:r w:rsidR="008A71B6" w:rsidRPr="00E5011F">
        <w:rPr>
          <w:rFonts w:cs="Arial"/>
          <w:bCs/>
          <w:szCs w:val="22"/>
        </w:rPr>
        <w:t>« </w:t>
      </w:r>
      <w:r w:rsidR="008A71B6" w:rsidRPr="00E5011F">
        <w:rPr>
          <w:rFonts w:cs="Arial"/>
        </w:rPr>
        <w:t>Les traditions et pratiques associées aux Kayas dans les forêts sacrées des Mijikenda</w:t>
      </w:r>
      <w:r w:rsidR="008A71B6" w:rsidRPr="00E5011F">
        <w:rPr>
          <w:rFonts w:cs="Arial"/>
          <w:bCs/>
          <w:szCs w:val="22"/>
        </w:rPr>
        <w:t xml:space="preserve"> »,  </w:t>
      </w:r>
      <w:r w:rsidRPr="00E5011F">
        <w:rPr>
          <w:rFonts w:cs="Arial"/>
          <w:bCs/>
          <w:szCs w:val="22"/>
        </w:rPr>
        <w:t>mis en œuvre par le Département de</w:t>
      </w:r>
      <w:r w:rsidR="00C8048C">
        <w:rPr>
          <w:rFonts w:cs="Arial"/>
          <w:bCs/>
          <w:szCs w:val="22"/>
        </w:rPr>
        <w:t xml:space="preserve"> la C</w:t>
      </w:r>
      <w:r w:rsidR="009938EB">
        <w:rPr>
          <w:rFonts w:cs="Arial"/>
          <w:bCs/>
          <w:szCs w:val="22"/>
        </w:rPr>
        <w:t>ulture du Ministère de la Culture, des Sports et des A</w:t>
      </w:r>
      <w:r w:rsidR="008A71B6" w:rsidRPr="00E5011F">
        <w:rPr>
          <w:rFonts w:cs="Arial"/>
          <w:bCs/>
          <w:szCs w:val="22"/>
        </w:rPr>
        <w:t>rts</w:t>
      </w:r>
      <w:r w:rsidR="00E5011F">
        <w:rPr>
          <w:rFonts w:cs="Arial"/>
          <w:bCs/>
          <w:szCs w:val="22"/>
        </w:rPr>
        <w:t xml:space="preserve">, a </w:t>
      </w:r>
      <w:r w:rsidRPr="00E5011F">
        <w:rPr>
          <w:rFonts w:cs="Arial"/>
          <w:bCs/>
          <w:szCs w:val="22"/>
        </w:rPr>
        <w:t>été considérablement retardé</w:t>
      </w:r>
      <w:r w:rsidR="008A71B6" w:rsidRPr="00E5011F">
        <w:rPr>
          <w:rFonts w:cs="Arial"/>
          <w:bCs/>
          <w:szCs w:val="22"/>
        </w:rPr>
        <w:t xml:space="preserve">. </w:t>
      </w:r>
      <w:r w:rsidR="00E5011F">
        <w:rPr>
          <w:rFonts w:cs="Arial"/>
          <w:bCs/>
          <w:szCs w:val="22"/>
        </w:rPr>
        <w:t xml:space="preserve">Cependant, au moment de rédiger ce rapport, toutes les activités prévues ont été </w:t>
      </w:r>
      <w:r w:rsidR="00D31A3B">
        <w:rPr>
          <w:rFonts w:cs="Arial"/>
          <w:bCs/>
          <w:szCs w:val="22"/>
        </w:rPr>
        <w:t>terminées</w:t>
      </w:r>
      <w:r w:rsidR="00E5011F">
        <w:rPr>
          <w:rFonts w:cs="Arial"/>
          <w:bCs/>
          <w:szCs w:val="22"/>
        </w:rPr>
        <w:t xml:space="preserve"> et le projet est en </w:t>
      </w:r>
      <w:r w:rsidR="00D31A3B">
        <w:rPr>
          <w:rFonts w:cs="Arial"/>
          <w:bCs/>
          <w:szCs w:val="22"/>
        </w:rPr>
        <w:t>cours de clôture administrative</w:t>
      </w:r>
      <w:r w:rsidR="008A71B6" w:rsidRPr="00E5011F">
        <w:rPr>
          <w:rFonts w:cs="Arial"/>
          <w:bCs/>
          <w:szCs w:val="22"/>
        </w:rPr>
        <w:t>.</w:t>
      </w:r>
      <w:r w:rsidR="008A71B6">
        <w:rPr>
          <w:rFonts w:cs="Arial"/>
          <w:bCs/>
          <w:szCs w:val="22"/>
        </w:rPr>
        <w:t xml:space="preserve"> </w:t>
      </w:r>
      <w:r w:rsidRPr="006F2CD5">
        <w:rPr>
          <w:rFonts w:cs="Arial"/>
          <w:bCs/>
          <w:szCs w:val="22"/>
        </w:rPr>
        <w:t xml:space="preserve">  </w:t>
      </w:r>
    </w:p>
    <w:p w:rsidR="001F60D1" w:rsidRPr="006F2CD5" w:rsidRDefault="001F60D1" w:rsidP="00DA366E">
      <w:pPr>
        <w:pStyle w:val="Marge"/>
        <w:spacing w:after="120"/>
        <w:ind w:left="1134"/>
      </w:pPr>
      <w:r w:rsidRPr="006F2CD5">
        <w:rPr>
          <w:b/>
        </w:rPr>
        <w:t>Paragraphe 10(a) </w:t>
      </w:r>
      <w:r w:rsidRPr="006F2CD5">
        <w:t>: Le projet est d’application locale et implique des partenaires de mise en œuvre nationaux et locaux.</w:t>
      </w:r>
    </w:p>
    <w:p w:rsidR="001F60D1" w:rsidRPr="006F2CD5" w:rsidRDefault="001F60D1" w:rsidP="00DA366E">
      <w:pPr>
        <w:pStyle w:val="COMParaDecision"/>
        <w:numPr>
          <w:ilvl w:val="0"/>
          <w:numId w:val="0"/>
        </w:numPr>
        <w:ind w:left="1134"/>
        <w:rPr>
          <w:u w:val="none"/>
        </w:rPr>
      </w:pPr>
      <w:r w:rsidRPr="004A26B5">
        <w:rPr>
          <w:b/>
          <w:u w:val="none"/>
        </w:rPr>
        <w:t>Paragraphe 10(b) :</w:t>
      </w:r>
      <w:r w:rsidRPr="006F2CD5">
        <w:rPr>
          <w:u w:val="none"/>
        </w:rPr>
        <w:t xml:space="preserve"> La demande démontre un effet multiplicateur potentiel en termes de financement futur, car le projet a pour but de mieux organiser les poti</w:t>
      </w:r>
      <w:r w:rsidR="008A71B6">
        <w:rPr>
          <w:u w:val="none"/>
        </w:rPr>
        <w:t>ères en groupes au sein de leur</w:t>
      </w:r>
      <w:r w:rsidRPr="006F2CD5">
        <w:rPr>
          <w:u w:val="none"/>
        </w:rPr>
        <w:t xml:space="preserve"> </w:t>
      </w:r>
      <w:r w:rsidR="008A71B6">
        <w:rPr>
          <w:u w:val="none"/>
        </w:rPr>
        <w:t>communauté respective</w:t>
      </w:r>
      <w:r w:rsidRPr="006F2CD5">
        <w:rPr>
          <w:u w:val="none"/>
        </w:rPr>
        <w:t xml:space="preserve"> afin de pouvoir coordonner les efforts </w:t>
      </w:r>
      <w:r w:rsidRPr="006F2CD5">
        <w:rPr>
          <w:u w:val="none"/>
        </w:rPr>
        <w:lastRenderedPageBreak/>
        <w:t>pour une revitalisation à long terme de leurs pratiques de fabrication de poteries. Les activités de visibilité dans les écoles grâce à des informations documentées au sein des communautés contribueront également à conférer au projet un effet multiplicateur ;</w:t>
      </w:r>
    </w:p>
    <w:p w:rsidR="008A71B6" w:rsidRPr="004A26B5" w:rsidRDefault="001F60D1" w:rsidP="004A26B5">
      <w:pPr>
        <w:pStyle w:val="COMParaDecision"/>
        <w:ind w:left="1134" w:hanging="567"/>
        <w:rPr>
          <w:u w:val="none"/>
        </w:rPr>
      </w:pPr>
      <w:r w:rsidRPr="004A26B5">
        <w:t>Décide</w:t>
      </w:r>
      <w:r w:rsidRPr="004A26B5">
        <w:rPr>
          <w:u w:val="none"/>
        </w:rPr>
        <w:t xml:space="preserve"> d’approuver la demande d’assistance internationale du Kenya pour </w:t>
      </w:r>
      <w:r w:rsidR="008A71B6" w:rsidRPr="004A26B5">
        <w:rPr>
          <w:u w:val="none"/>
        </w:rPr>
        <w:t>un projet intitulé « </w:t>
      </w:r>
      <w:r w:rsidRPr="004A26B5">
        <w:rPr>
          <w:b/>
          <w:u w:val="none"/>
        </w:rPr>
        <w:t>la</w:t>
      </w:r>
      <w:r w:rsidRPr="004A26B5">
        <w:rPr>
          <w:u w:val="none"/>
        </w:rPr>
        <w:t xml:space="preserve"> </w:t>
      </w:r>
      <w:r w:rsidRPr="004A26B5">
        <w:rPr>
          <w:b/>
          <w:u w:val="none"/>
        </w:rPr>
        <w:t>Promotion des pratiques traditionnelles de fabrication de poteries dans l’est du Kenya</w:t>
      </w:r>
      <w:r w:rsidR="008A71B6" w:rsidRPr="004A26B5">
        <w:rPr>
          <w:b/>
          <w:u w:val="none"/>
        </w:rPr>
        <w:t xml:space="preserve"> » </w:t>
      </w:r>
      <w:r w:rsidR="008A71B6" w:rsidRPr="004A26B5">
        <w:rPr>
          <w:u w:val="none"/>
        </w:rPr>
        <w:t>et d’accorder à cette fin u</w:t>
      </w:r>
      <w:r w:rsidR="00923EB1">
        <w:rPr>
          <w:u w:val="none"/>
        </w:rPr>
        <w:t>n montant de 23 </w:t>
      </w:r>
      <w:r w:rsidR="008A71B6" w:rsidRPr="004A26B5">
        <w:rPr>
          <w:u w:val="none"/>
        </w:rPr>
        <w:t>388 dollars des États-Unis à l’État partie ;</w:t>
      </w:r>
    </w:p>
    <w:p w:rsidR="001F60D1" w:rsidRPr="006F2CD5" w:rsidRDefault="001F60D1" w:rsidP="00DA366E">
      <w:pPr>
        <w:pStyle w:val="COMParaDecision"/>
        <w:ind w:left="1134" w:hanging="567"/>
      </w:pPr>
      <w:r w:rsidRPr="006F2CD5">
        <w:t>Demande</w:t>
      </w:r>
      <w:r w:rsidRPr="006F2CD5">
        <w:rPr>
          <w:u w:val="none"/>
        </w:rPr>
        <w:t xml:space="preserve"> au Secrétariat de se mettre d’accord avec l’État partie demandeur sur les détails techniques de l’assistance, en accordant une attention particulière au budget détaillé </w:t>
      </w:r>
      <w:r w:rsidR="002C149C">
        <w:rPr>
          <w:u w:val="none"/>
        </w:rPr>
        <w:t xml:space="preserve">et au calendrier </w:t>
      </w:r>
      <w:r w:rsidRPr="006F2CD5">
        <w:rPr>
          <w:u w:val="none"/>
        </w:rPr>
        <w:t>des activités qui doivent être couvertes par le Fonds du patrimoine culturel immatériel</w:t>
      </w:r>
      <w:r w:rsidR="008A71B6">
        <w:rPr>
          <w:u w:val="none"/>
        </w:rPr>
        <w:t xml:space="preserve"> et de libérer les fonds </w:t>
      </w:r>
      <w:r w:rsidR="002C149C">
        <w:rPr>
          <w:u w:val="none"/>
        </w:rPr>
        <w:t xml:space="preserve">seulement une fois que le contrat se rapportant au </w:t>
      </w:r>
      <w:r w:rsidR="008A71B6" w:rsidRPr="008A71B6">
        <w:rPr>
          <w:u w:val="none"/>
        </w:rPr>
        <w:t>projet « Traditions et pratiques associées aux Kayas dans les fo</w:t>
      </w:r>
      <w:r w:rsidR="002C149C">
        <w:rPr>
          <w:u w:val="none"/>
        </w:rPr>
        <w:t>rêts sacrées des Mijikenda » a</w:t>
      </w:r>
      <w:r w:rsidR="008A71B6" w:rsidRPr="008A71B6">
        <w:rPr>
          <w:u w:val="none"/>
        </w:rPr>
        <w:t xml:space="preserve"> été </w:t>
      </w:r>
      <w:r w:rsidR="002C149C">
        <w:rPr>
          <w:u w:val="none"/>
        </w:rPr>
        <w:t>clos</w:t>
      </w:r>
      <w:r w:rsidR="00923EB1">
        <w:rPr>
          <w:u w:val="none"/>
        </w:rPr>
        <w:t xml:space="preserve"> (dossier 00326)</w:t>
      </w:r>
      <w:r w:rsidR="008A71B6" w:rsidRPr="008A71B6">
        <w:rPr>
          <w:u w:val="none"/>
        </w:rPr>
        <w:t> ;</w:t>
      </w:r>
    </w:p>
    <w:p w:rsidR="001F60D1" w:rsidRPr="006F2CD5" w:rsidRDefault="001F60D1" w:rsidP="00DA366E">
      <w:pPr>
        <w:pStyle w:val="COMParaDecision"/>
        <w:ind w:left="1134" w:hanging="567"/>
      </w:pPr>
      <w:r w:rsidRPr="006F2CD5">
        <w:t>Invite</w:t>
      </w:r>
      <w:r w:rsidRPr="006F2CD5">
        <w:rPr>
          <w:u w:val="none"/>
        </w:rPr>
        <w:t xml:space="preserve"> l’État partie à utiliser le formulaire ICH-04-Rapport pour rendre compte de l’utilisation de l’assistance accordée.</w:t>
      </w:r>
    </w:p>
    <w:p w:rsidR="00CD6B3B" w:rsidRPr="001F60D1" w:rsidRDefault="00CD6B3B" w:rsidP="004A26B5">
      <w:pPr>
        <w:pStyle w:val="COMParaDecision"/>
        <w:numPr>
          <w:ilvl w:val="0"/>
          <w:numId w:val="0"/>
        </w:numPr>
        <w:spacing w:before="240"/>
        <w:ind w:left="539"/>
        <w:rPr>
          <w:b/>
          <w:u w:val="none"/>
        </w:rPr>
      </w:pPr>
      <w:r w:rsidRPr="001F60D1">
        <w:rPr>
          <w:b/>
          <w:u w:val="none"/>
        </w:rPr>
        <w:t>PROJET DE DECISION 11.COM 1.BUR 1.4</w:t>
      </w:r>
    </w:p>
    <w:p w:rsidR="00CD6B3B" w:rsidRDefault="00CD6B3B" w:rsidP="00CD6B3B">
      <w:pPr>
        <w:pStyle w:val="COMParaDecision"/>
        <w:numPr>
          <w:ilvl w:val="0"/>
          <w:numId w:val="0"/>
        </w:numPr>
        <w:ind w:left="540"/>
        <w:rPr>
          <w:u w:val="none"/>
        </w:rPr>
      </w:pPr>
      <w:r w:rsidRPr="00CD6B3B">
        <w:rPr>
          <w:u w:val="none"/>
        </w:rPr>
        <w:t>Le Bureau,</w:t>
      </w:r>
    </w:p>
    <w:p w:rsidR="00CD6B3B" w:rsidRPr="00CD6B3B" w:rsidRDefault="00CD6B3B" w:rsidP="00DA366E">
      <w:pPr>
        <w:pStyle w:val="COMParaDecision"/>
        <w:numPr>
          <w:ilvl w:val="0"/>
          <w:numId w:val="26"/>
        </w:numPr>
        <w:ind w:left="1134" w:hanging="567"/>
        <w:rPr>
          <w:u w:val="none"/>
        </w:rPr>
      </w:pPr>
      <w:r>
        <w:t>Rappelant</w:t>
      </w:r>
      <w:r>
        <w:rPr>
          <w:u w:val="none"/>
        </w:rPr>
        <w:t xml:space="preserve"> </w:t>
      </w:r>
      <w:r>
        <w:rPr>
          <w:snapToGrid w:val="0"/>
          <w:u w:val="none"/>
          <w:lang w:eastAsia="en-US"/>
        </w:rPr>
        <w:t>le cha</w:t>
      </w:r>
      <w:r w:rsidR="00471BC4">
        <w:rPr>
          <w:snapToGrid w:val="0"/>
          <w:u w:val="none"/>
          <w:lang w:eastAsia="en-US"/>
        </w:rPr>
        <w:t>pitre </w:t>
      </w:r>
      <w:r w:rsidR="00F302DD">
        <w:rPr>
          <w:snapToGrid w:val="0"/>
          <w:u w:val="none"/>
          <w:lang w:eastAsia="en-US"/>
        </w:rPr>
        <w:t>V de la Convention et le c</w:t>
      </w:r>
      <w:r w:rsidR="00471BC4">
        <w:rPr>
          <w:snapToGrid w:val="0"/>
          <w:u w:val="none"/>
          <w:lang w:eastAsia="en-US"/>
        </w:rPr>
        <w:t>hapitre </w:t>
      </w:r>
      <w:r>
        <w:rPr>
          <w:snapToGrid w:val="0"/>
          <w:u w:val="none"/>
          <w:lang w:eastAsia="en-US"/>
        </w:rPr>
        <w:t>I des Directives opérationnelles</w:t>
      </w:r>
      <w:r w:rsidRPr="00761349">
        <w:rPr>
          <w:snapToGrid w:val="0"/>
          <w:u w:val="none"/>
          <w:lang w:eastAsia="en-US"/>
        </w:rPr>
        <w:t>,</w:t>
      </w:r>
    </w:p>
    <w:p w:rsidR="00CD6B3B" w:rsidRDefault="00CD6B3B" w:rsidP="00DA366E">
      <w:pPr>
        <w:pStyle w:val="COMParaDecision"/>
        <w:numPr>
          <w:ilvl w:val="0"/>
          <w:numId w:val="26"/>
        </w:numPr>
        <w:ind w:left="1134" w:hanging="567"/>
        <w:rPr>
          <w:u w:val="none"/>
        </w:rPr>
      </w:pPr>
      <w:r>
        <w:t>Ayant examiné</w:t>
      </w:r>
      <w:r>
        <w:rPr>
          <w:u w:val="none"/>
        </w:rPr>
        <w:t xml:space="preserve"> le Document ITH/16/11.COM 1. BUR/1, ainsi que la demande</w:t>
      </w:r>
      <w:r w:rsidR="00BA03D5">
        <w:rPr>
          <w:u w:val="none"/>
        </w:rPr>
        <w:t xml:space="preserve"> d’assistance internationale n° </w:t>
      </w:r>
      <w:r>
        <w:rPr>
          <w:u w:val="none"/>
        </w:rPr>
        <w:t>01216,</w:t>
      </w:r>
    </w:p>
    <w:p w:rsidR="00973D27" w:rsidRDefault="00CD6B3B" w:rsidP="00DA366E">
      <w:pPr>
        <w:pStyle w:val="COMParaDecision"/>
        <w:numPr>
          <w:ilvl w:val="0"/>
          <w:numId w:val="26"/>
        </w:numPr>
        <w:ind w:left="1134" w:hanging="567"/>
        <w:rPr>
          <w:u w:val="none"/>
        </w:rPr>
      </w:pPr>
      <w:r>
        <w:t>Prend note</w:t>
      </w:r>
      <w:r>
        <w:rPr>
          <w:u w:val="none"/>
        </w:rPr>
        <w:t xml:space="preserve"> </w:t>
      </w:r>
      <w:r w:rsidR="00973D27">
        <w:rPr>
          <w:u w:val="none"/>
        </w:rPr>
        <w:t xml:space="preserve">que la Zambie a demandé </w:t>
      </w:r>
      <w:r w:rsidR="00973D27" w:rsidRPr="00F302DD">
        <w:rPr>
          <w:u w:val="none"/>
        </w:rPr>
        <w:t>une</w:t>
      </w:r>
      <w:r w:rsidR="00973D27">
        <w:rPr>
          <w:u w:val="none"/>
        </w:rPr>
        <w:t xml:space="preserve"> assistance internationale pour un projet intitulé « </w:t>
      </w:r>
      <w:r w:rsidR="00A07DB0">
        <w:rPr>
          <w:b/>
          <w:szCs w:val="20"/>
          <w:u w:val="none"/>
        </w:rPr>
        <w:t>I</w:t>
      </w:r>
      <w:r w:rsidR="00973D27" w:rsidRPr="00973D27">
        <w:rPr>
          <w:b/>
          <w:szCs w:val="20"/>
          <w:u w:val="none"/>
        </w:rPr>
        <w:t>nventaire des proverbes de la communauté Lala du district de Luano en Zambie</w:t>
      </w:r>
      <w:r w:rsidR="0048291C">
        <w:rPr>
          <w:u w:val="none"/>
        </w:rPr>
        <w:t> »</w:t>
      </w:r>
      <w:r w:rsidR="00471BC4">
        <w:rPr>
          <w:u w:val="none"/>
        </w:rPr>
        <w:t xml:space="preserve"> </w:t>
      </w:r>
      <w:r w:rsidR="00973D27">
        <w:rPr>
          <w:u w:val="none"/>
        </w:rPr>
        <w:t>:</w:t>
      </w:r>
    </w:p>
    <w:p w:rsidR="00744D3D" w:rsidRDefault="00973D27" w:rsidP="00DA366E">
      <w:pPr>
        <w:pStyle w:val="COMParaDecision"/>
        <w:numPr>
          <w:ilvl w:val="0"/>
          <w:numId w:val="0"/>
        </w:numPr>
        <w:ind w:left="1134"/>
        <w:rPr>
          <w:u w:val="none"/>
        </w:rPr>
      </w:pPr>
      <w:r>
        <w:rPr>
          <w:u w:val="none"/>
        </w:rPr>
        <w:t>Le peuple Lala vi</w:t>
      </w:r>
      <w:r w:rsidRPr="00973D27">
        <w:rPr>
          <w:u w:val="none"/>
        </w:rPr>
        <w:t xml:space="preserve">t le long </w:t>
      </w:r>
      <w:r>
        <w:rPr>
          <w:u w:val="none"/>
        </w:rPr>
        <w:t>de</w:t>
      </w:r>
      <w:r w:rsidR="00744D3D">
        <w:rPr>
          <w:u w:val="none"/>
        </w:rPr>
        <w:t>s</w:t>
      </w:r>
      <w:r>
        <w:rPr>
          <w:u w:val="none"/>
        </w:rPr>
        <w:t xml:space="preserve"> </w:t>
      </w:r>
      <w:r w:rsidR="00744D3D">
        <w:rPr>
          <w:u w:val="none"/>
        </w:rPr>
        <w:t>parties</w:t>
      </w:r>
      <w:r w:rsidRPr="00973D27">
        <w:rPr>
          <w:u w:val="none"/>
        </w:rPr>
        <w:t xml:space="preserve"> orien</w:t>
      </w:r>
      <w:r>
        <w:rPr>
          <w:u w:val="none"/>
        </w:rPr>
        <w:t>tales de la rivière Luangwa dans le</w:t>
      </w:r>
      <w:r w:rsidRPr="00973D27">
        <w:rPr>
          <w:u w:val="none"/>
        </w:rPr>
        <w:t xml:space="preserve"> district Luano </w:t>
      </w:r>
      <w:r>
        <w:rPr>
          <w:u w:val="none"/>
        </w:rPr>
        <w:t>de</w:t>
      </w:r>
      <w:r w:rsidRPr="00973D27">
        <w:rPr>
          <w:u w:val="none"/>
        </w:rPr>
        <w:t xml:space="preserve"> la province centrale de la Zambie. Parmi leurs diverses pratiques culturelles </w:t>
      </w:r>
      <w:r w:rsidR="00744D3D">
        <w:rPr>
          <w:u w:val="none"/>
        </w:rPr>
        <w:t>qui comprenne</w:t>
      </w:r>
      <w:r>
        <w:rPr>
          <w:u w:val="none"/>
        </w:rPr>
        <w:t>nt</w:t>
      </w:r>
      <w:r w:rsidRPr="00973D27">
        <w:rPr>
          <w:u w:val="none"/>
        </w:rPr>
        <w:t xml:space="preserve"> des </w:t>
      </w:r>
      <w:r>
        <w:rPr>
          <w:u w:val="none"/>
        </w:rPr>
        <w:t>rassemblements sociaux</w:t>
      </w:r>
      <w:r w:rsidRPr="00973D27">
        <w:rPr>
          <w:u w:val="none"/>
        </w:rPr>
        <w:t>, des festivals, des célébrations et des rituels du cycle de vie, les proverbes</w:t>
      </w:r>
      <w:r>
        <w:rPr>
          <w:u w:val="none"/>
        </w:rPr>
        <w:t xml:space="preserve">, en particulier, </w:t>
      </w:r>
      <w:r w:rsidRPr="00973D27">
        <w:rPr>
          <w:u w:val="none"/>
        </w:rPr>
        <w:t xml:space="preserve">occupent une place centrale dans la transmission des valeurs de la communauté à la jeune génération. </w:t>
      </w:r>
      <w:r>
        <w:rPr>
          <w:u w:val="none"/>
        </w:rPr>
        <w:t>Reflet</w:t>
      </w:r>
      <w:r w:rsidR="00F302DD">
        <w:rPr>
          <w:u w:val="none"/>
        </w:rPr>
        <w:t>s</w:t>
      </w:r>
      <w:r>
        <w:rPr>
          <w:u w:val="none"/>
        </w:rPr>
        <w:t xml:space="preserve"> du patrimoine vivant</w:t>
      </w:r>
      <w:r w:rsidRPr="00973D27">
        <w:rPr>
          <w:u w:val="none"/>
        </w:rPr>
        <w:t xml:space="preserve"> et </w:t>
      </w:r>
      <w:r>
        <w:rPr>
          <w:u w:val="none"/>
        </w:rPr>
        <w:t xml:space="preserve">de </w:t>
      </w:r>
      <w:r w:rsidRPr="00973D27">
        <w:rPr>
          <w:u w:val="none"/>
        </w:rPr>
        <w:t xml:space="preserve">la sagesse </w:t>
      </w:r>
      <w:r>
        <w:rPr>
          <w:u w:val="none"/>
        </w:rPr>
        <w:t>du peuple</w:t>
      </w:r>
      <w:r w:rsidRPr="00973D27">
        <w:rPr>
          <w:u w:val="none"/>
        </w:rPr>
        <w:t>, les proverbes Lala sont utilisés dans différents</w:t>
      </w:r>
      <w:r>
        <w:rPr>
          <w:u w:val="none"/>
        </w:rPr>
        <w:t xml:space="preserve"> </w:t>
      </w:r>
      <w:r w:rsidRPr="00973D27">
        <w:rPr>
          <w:u w:val="none"/>
        </w:rPr>
        <w:t xml:space="preserve">contextes, </w:t>
      </w:r>
      <w:r w:rsidR="00F302DD">
        <w:rPr>
          <w:u w:val="none"/>
        </w:rPr>
        <w:t>qu’il s’agisse</w:t>
      </w:r>
      <w:r>
        <w:rPr>
          <w:u w:val="none"/>
        </w:rPr>
        <w:t xml:space="preserve"> de</w:t>
      </w:r>
      <w:r w:rsidRPr="00973D27">
        <w:rPr>
          <w:u w:val="none"/>
        </w:rPr>
        <w:t xml:space="preserve"> la question du mariage </w:t>
      </w:r>
      <w:r>
        <w:rPr>
          <w:u w:val="none"/>
        </w:rPr>
        <w:t>ou du</w:t>
      </w:r>
      <w:r w:rsidR="00F302DD">
        <w:rPr>
          <w:u w:val="none"/>
        </w:rPr>
        <w:t xml:space="preserve"> règlement des</w:t>
      </w:r>
      <w:r w:rsidRPr="00973D27">
        <w:rPr>
          <w:u w:val="none"/>
        </w:rPr>
        <w:t xml:space="preserve"> différends entre les membres de la communauté. Malgré le rôle essentiel qu'ils jouent, plusieurs facteurs menacent la viabilité des proverbes</w:t>
      </w:r>
      <w:r w:rsidR="00F302DD">
        <w:rPr>
          <w:u w:val="none"/>
        </w:rPr>
        <w:t>,</w:t>
      </w:r>
      <w:r w:rsidRPr="00973D27">
        <w:rPr>
          <w:u w:val="none"/>
        </w:rPr>
        <w:t xml:space="preserve"> qui </w:t>
      </w:r>
      <w:r w:rsidR="00F302DD">
        <w:rPr>
          <w:u w:val="none"/>
        </w:rPr>
        <w:t>disparaissent</w:t>
      </w:r>
      <w:r w:rsidR="00744D3D">
        <w:rPr>
          <w:u w:val="none"/>
        </w:rPr>
        <w:t xml:space="preserve"> avec </w:t>
      </w:r>
      <w:r w:rsidRPr="00973D27">
        <w:rPr>
          <w:u w:val="none"/>
        </w:rPr>
        <w:t xml:space="preserve">leurs pratiques culturelles associées, </w:t>
      </w:r>
      <w:r w:rsidR="00744D3D">
        <w:rPr>
          <w:u w:val="none"/>
        </w:rPr>
        <w:t>ce qui affecte</w:t>
      </w:r>
      <w:r w:rsidRPr="00973D27">
        <w:rPr>
          <w:u w:val="none"/>
        </w:rPr>
        <w:t xml:space="preserve"> l'identité et le mode de vie communautaire. Le projet proposé vise à dresser un inventaire des proverbes de la communauté Lala</w:t>
      </w:r>
      <w:r w:rsidR="00F302DD">
        <w:rPr>
          <w:u w:val="none"/>
        </w:rPr>
        <w:t>,</w:t>
      </w:r>
      <w:r w:rsidRPr="00973D27">
        <w:rPr>
          <w:u w:val="none"/>
        </w:rPr>
        <w:t xml:space="preserve"> en vue de sauvegarde</w:t>
      </w:r>
      <w:r>
        <w:rPr>
          <w:u w:val="none"/>
        </w:rPr>
        <w:t>r</w:t>
      </w:r>
      <w:r w:rsidRPr="00973D27">
        <w:rPr>
          <w:u w:val="none"/>
        </w:rPr>
        <w:t xml:space="preserve"> </w:t>
      </w:r>
      <w:r>
        <w:rPr>
          <w:u w:val="none"/>
        </w:rPr>
        <w:t>l</w:t>
      </w:r>
      <w:r w:rsidRPr="00973D27">
        <w:rPr>
          <w:u w:val="none"/>
        </w:rPr>
        <w:t>es pratiques, les modes de transmission et les connaissances qui leur sont associés. Mis</w:t>
      </w:r>
      <w:r w:rsidR="00F302DD">
        <w:rPr>
          <w:u w:val="none"/>
        </w:rPr>
        <w:t>es</w:t>
      </w:r>
      <w:r w:rsidRPr="00973D27">
        <w:rPr>
          <w:u w:val="none"/>
        </w:rPr>
        <w:t xml:space="preserve"> en œuvre par le </w:t>
      </w:r>
      <w:r>
        <w:rPr>
          <w:u w:val="none"/>
        </w:rPr>
        <w:t>Département</w:t>
      </w:r>
      <w:r w:rsidRPr="00973D27">
        <w:rPr>
          <w:u w:val="none"/>
        </w:rPr>
        <w:t xml:space="preserve"> des Arts et de la Culture du Ministère du Tourisme et des Arts, les activités comprennent l'identification des dépositaires et des praticiens de</w:t>
      </w:r>
      <w:r w:rsidR="00F302DD">
        <w:rPr>
          <w:u w:val="none"/>
        </w:rPr>
        <w:t>s</w:t>
      </w:r>
      <w:r w:rsidRPr="00973D27">
        <w:rPr>
          <w:u w:val="none"/>
        </w:rPr>
        <w:t xml:space="preserve"> proverbes, la formation </w:t>
      </w:r>
      <w:r w:rsidR="0027358D">
        <w:rPr>
          <w:u w:val="none"/>
        </w:rPr>
        <w:t>à la pratique de</w:t>
      </w:r>
      <w:r w:rsidRPr="00973D27">
        <w:rPr>
          <w:u w:val="none"/>
        </w:rPr>
        <w:t xml:space="preserve"> l'inventaire communautaire pour les communautés locales, le travail de terrain et le traitement et l'analyse des données recueillies.</w:t>
      </w:r>
      <w:r w:rsidR="00744D3D">
        <w:rPr>
          <w:u w:val="none"/>
        </w:rPr>
        <w:t xml:space="preserve"> </w:t>
      </w:r>
      <w:r w:rsidR="00744D3D" w:rsidRPr="00744D3D">
        <w:rPr>
          <w:u w:val="none"/>
        </w:rPr>
        <w:t>Le projet prévoit également de diffuser ses résultats et de sensibiliser</w:t>
      </w:r>
      <w:r w:rsidR="00744D3D">
        <w:rPr>
          <w:u w:val="none"/>
        </w:rPr>
        <w:t xml:space="preserve"> </w:t>
      </w:r>
      <w:r w:rsidR="00744D3D" w:rsidRPr="00744D3D">
        <w:rPr>
          <w:u w:val="none"/>
        </w:rPr>
        <w:t xml:space="preserve">les jeunes à l'importance de la sauvegarde de ce patrimoine vivant par le biais de clubs de culture dans les écoles et </w:t>
      </w:r>
      <w:r w:rsidR="00F302DD">
        <w:rPr>
          <w:u w:val="none"/>
        </w:rPr>
        <w:t>dans le cadre</w:t>
      </w:r>
      <w:r w:rsidR="00744D3D" w:rsidRPr="00744D3D">
        <w:rPr>
          <w:u w:val="none"/>
        </w:rPr>
        <w:t xml:space="preserve"> d</w:t>
      </w:r>
      <w:r w:rsidR="00F302DD">
        <w:rPr>
          <w:u w:val="none"/>
        </w:rPr>
        <w:t>e l</w:t>
      </w:r>
      <w:r w:rsidR="00744D3D" w:rsidRPr="00744D3D">
        <w:rPr>
          <w:u w:val="none"/>
        </w:rPr>
        <w:t>'éducation non formelle.</w:t>
      </w:r>
    </w:p>
    <w:p w:rsidR="00744D3D" w:rsidRDefault="00744D3D" w:rsidP="00DA366E">
      <w:pPr>
        <w:pStyle w:val="COMParaDecision"/>
        <w:numPr>
          <w:ilvl w:val="0"/>
          <w:numId w:val="26"/>
        </w:numPr>
        <w:ind w:left="1134" w:hanging="567"/>
        <w:rPr>
          <w:u w:val="none"/>
        </w:rPr>
      </w:pPr>
      <w:r>
        <w:t>Prend note en outre</w:t>
      </w:r>
      <w:r>
        <w:rPr>
          <w:u w:val="none"/>
        </w:rPr>
        <w:t xml:space="preserve"> q</w:t>
      </w:r>
      <w:r w:rsidRPr="00744D3D">
        <w:rPr>
          <w:u w:val="none"/>
        </w:rPr>
        <w:t xml:space="preserve">ue cette </w:t>
      </w:r>
      <w:r>
        <w:rPr>
          <w:u w:val="none"/>
        </w:rPr>
        <w:t>assistance</w:t>
      </w:r>
      <w:r w:rsidRPr="00744D3D">
        <w:rPr>
          <w:u w:val="none"/>
        </w:rPr>
        <w:t xml:space="preserve"> vise à soutenir un projet réalisé au niveau local dans le but de dresser un inventaire conformément à l'</w:t>
      </w:r>
      <w:r w:rsidR="00BA03D5">
        <w:rPr>
          <w:u w:val="none"/>
        </w:rPr>
        <w:t>article 20 </w:t>
      </w:r>
      <w:r w:rsidR="00F302DD">
        <w:rPr>
          <w:u w:val="none"/>
        </w:rPr>
        <w:t>(b) de la Convention</w:t>
      </w:r>
      <w:r w:rsidR="00C8048C">
        <w:rPr>
          <w:u w:val="none"/>
        </w:rPr>
        <w:t xml:space="preserve"> et qu'e</w:t>
      </w:r>
      <w:r w:rsidRPr="00744D3D">
        <w:rPr>
          <w:u w:val="none"/>
        </w:rPr>
        <w:t>l</w:t>
      </w:r>
      <w:r w:rsidR="00C8048C">
        <w:rPr>
          <w:u w:val="none"/>
        </w:rPr>
        <w:t>le</w:t>
      </w:r>
      <w:r w:rsidRPr="00744D3D">
        <w:rPr>
          <w:u w:val="none"/>
        </w:rPr>
        <w:t xml:space="preserve"> prend la forme </w:t>
      </w:r>
      <w:r w:rsidR="00943D79">
        <w:rPr>
          <w:u w:val="none"/>
        </w:rPr>
        <w:t>d’une donation accordée</w:t>
      </w:r>
      <w:r w:rsidRPr="00744D3D">
        <w:rPr>
          <w:u w:val="none"/>
        </w:rPr>
        <w:t xml:space="preserve"> </w:t>
      </w:r>
      <w:r w:rsidR="00943D79">
        <w:rPr>
          <w:u w:val="none"/>
        </w:rPr>
        <w:t>en conformité</w:t>
      </w:r>
      <w:r w:rsidRPr="00744D3D">
        <w:rPr>
          <w:u w:val="none"/>
        </w:rPr>
        <w:t xml:space="preserve"> </w:t>
      </w:r>
      <w:r w:rsidR="00C8048C">
        <w:rPr>
          <w:u w:val="none"/>
        </w:rPr>
        <w:t xml:space="preserve">avec </w:t>
      </w:r>
      <w:r w:rsidRPr="00744D3D">
        <w:rPr>
          <w:u w:val="none"/>
        </w:rPr>
        <w:t>l'article 21</w:t>
      </w:r>
      <w:r w:rsidR="00943D79">
        <w:rPr>
          <w:u w:val="none"/>
        </w:rPr>
        <w:t> </w:t>
      </w:r>
      <w:r w:rsidRPr="00744D3D">
        <w:rPr>
          <w:u w:val="none"/>
        </w:rPr>
        <w:t>(g) de la Convention</w:t>
      </w:r>
      <w:r>
        <w:rPr>
          <w:u w:val="none"/>
        </w:rPr>
        <w:t> ;</w:t>
      </w:r>
    </w:p>
    <w:p w:rsidR="00E61E46" w:rsidRDefault="00744D3D" w:rsidP="00DA366E">
      <w:pPr>
        <w:pStyle w:val="COMParaDecision"/>
        <w:numPr>
          <w:ilvl w:val="0"/>
          <w:numId w:val="26"/>
        </w:numPr>
        <w:ind w:left="1134" w:hanging="567"/>
        <w:rPr>
          <w:u w:val="none"/>
        </w:rPr>
      </w:pPr>
      <w:r w:rsidRPr="00744D3D">
        <w:t>Prend note également</w:t>
      </w:r>
      <w:r>
        <w:rPr>
          <w:u w:val="none"/>
        </w:rPr>
        <w:t xml:space="preserve"> que la Zambie</w:t>
      </w:r>
      <w:r w:rsidR="00A34081">
        <w:rPr>
          <w:u w:val="none"/>
        </w:rPr>
        <w:t xml:space="preserve"> a demandé une allocation de 24 </w:t>
      </w:r>
      <w:r w:rsidR="00BA03D5">
        <w:rPr>
          <w:u w:val="none"/>
        </w:rPr>
        <w:t>999,90</w:t>
      </w:r>
      <w:r>
        <w:rPr>
          <w:u w:val="none"/>
        </w:rPr>
        <w:t xml:space="preserve"> dollars des États-</w:t>
      </w:r>
      <w:r w:rsidR="00A34081">
        <w:rPr>
          <w:u w:val="none"/>
        </w:rPr>
        <w:t xml:space="preserve">Unis </w:t>
      </w:r>
      <w:r w:rsidRPr="00E61E46">
        <w:rPr>
          <w:u w:val="none"/>
        </w:rPr>
        <w:t>au Fonds du patrimoine culturel immatériel</w:t>
      </w:r>
      <w:r w:rsidR="00E61E46">
        <w:rPr>
          <w:u w:val="none"/>
        </w:rPr>
        <w:t xml:space="preserve"> pour la mise en œuvre du projet ;</w:t>
      </w:r>
    </w:p>
    <w:p w:rsidR="00E61E46" w:rsidRDefault="00E61E46" w:rsidP="00DA366E">
      <w:pPr>
        <w:pStyle w:val="COMParaDecision"/>
        <w:numPr>
          <w:ilvl w:val="0"/>
          <w:numId w:val="26"/>
        </w:numPr>
        <w:ind w:left="1134" w:hanging="567"/>
        <w:rPr>
          <w:u w:val="none"/>
        </w:rPr>
      </w:pPr>
      <w:r>
        <w:lastRenderedPageBreak/>
        <w:t>Décide</w:t>
      </w:r>
      <w:r>
        <w:rPr>
          <w:u w:val="none"/>
        </w:rPr>
        <w:t xml:space="preserve"> que, </w:t>
      </w:r>
      <w:r w:rsidR="00A07DB0">
        <w:rPr>
          <w:u w:val="none"/>
        </w:rPr>
        <w:t>selon les</w:t>
      </w:r>
      <w:r>
        <w:rPr>
          <w:u w:val="none"/>
        </w:rPr>
        <w:t xml:space="preserve"> informati</w:t>
      </w:r>
      <w:r w:rsidR="00046ACA">
        <w:rPr>
          <w:u w:val="none"/>
        </w:rPr>
        <w:t>ons fournies dans le dossier n° </w:t>
      </w:r>
      <w:r>
        <w:rPr>
          <w:u w:val="none"/>
        </w:rPr>
        <w:t xml:space="preserve">01216, la demande répond </w:t>
      </w:r>
      <w:r w:rsidR="002846A7">
        <w:rPr>
          <w:u w:val="none"/>
        </w:rPr>
        <w:t>comme suit aux critères d’octroi de l’assistance internationale énoncés aux paragraphes 10 et 12 des Directives</w:t>
      </w:r>
      <w:r w:rsidR="003A4CAE">
        <w:rPr>
          <w:u w:val="none"/>
        </w:rPr>
        <w:t xml:space="preserve"> opérationnelles</w:t>
      </w:r>
      <w:r w:rsidR="002846A7">
        <w:rPr>
          <w:u w:val="none"/>
        </w:rPr>
        <w:t> </w:t>
      </w:r>
      <w:r>
        <w:rPr>
          <w:u w:val="none"/>
        </w:rPr>
        <w:t>:</w:t>
      </w:r>
    </w:p>
    <w:p w:rsidR="00E61E46" w:rsidRDefault="00E61E46" w:rsidP="00DA366E">
      <w:pPr>
        <w:pStyle w:val="COMParaDecision"/>
        <w:numPr>
          <w:ilvl w:val="0"/>
          <w:numId w:val="0"/>
        </w:numPr>
        <w:ind w:left="1134"/>
        <w:rPr>
          <w:u w:val="none"/>
        </w:rPr>
      </w:pPr>
      <w:r>
        <w:rPr>
          <w:b/>
          <w:u w:val="none"/>
        </w:rPr>
        <w:t>Critère A.1 </w:t>
      </w:r>
      <w:r>
        <w:rPr>
          <w:u w:val="none"/>
        </w:rPr>
        <w:t xml:space="preserve">: </w:t>
      </w:r>
      <w:r w:rsidRPr="00E61E46">
        <w:rPr>
          <w:u w:val="none"/>
        </w:rPr>
        <w:t xml:space="preserve">Le projet </w:t>
      </w:r>
      <w:r>
        <w:rPr>
          <w:u w:val="none"/>
        </w:rPr>
        <w:t>est issu</w:t>
      </w:r>
      <w:r w:rsidRPr="00E61E46">
        <w:rPr>
          <w:u w:val="none"/>
        </w:rPr>
        <w:t xml:space="preserve"> d'une réunion de consultation avec le comité de développement des chefferies au cours de laquelle la nécessité de sauvegarder les proverbes de la communauté Lala a été soulignée. La demande assigne un rôle central aux membres de la communauté, </w:t>
      </w:r>
      <w:r>
        <w:rPr>
          <w:u w:val="none"/>
        </w:rPr>
        <w:t>aux dépositaires et aux</w:t>
      </w:r>
      <w:r w:rsidRPr="00E61E46">
        <w:rPr>
          <w:u w:val="none"/>
        </w:rPr>
        <w:t xml:space="preserve"> praticiens en tant que membres du comité de projet dans la planification, l'exécution et l'évaluation du projet</w:t>
      </w:r>
      <w:r>
        <w:rPr>
          <w:u w:val="none"/>
        </w:rPr>
        <w:t xml:space="preserve"> </w:t>
      </w:r>
      <w:r w:rsidRPr="00E61E46">
        <w:rPr>
          <w:u w:val="none"/>
        </w:rPr>
        <w:t>; l'obtention du consentement de la communauté est prévue comme une phase préliminaire du processus d'inventaire.</w:t>
      </w:r>
    </w:p>
    <w:p w:rsidR="00E61E46" w:rsidRPr="00E61E46" w:rsidRDefault="00E61E46" w:rsidP="00DA366E">
      <w:pPr>
        <w:pStyle w:val="COMParaDecision"/>
        <w:numPr>
          <w:ilvl w:val="0"/>
          <w:numId w:val="0"/>
        </w:numPr>
        <w:ind w:left="1134"/>
        <w:rPr>
          <w:u w:val="none"/>
        </w:rPr>
      </w:pPr>
      <w:r w:rsidRPr="00E61E46">
        <w:rPr>
          <w:b/>
          <w:u w:val="none"/>
        </w:rPr>
        <w:t>Critère A.2</w:t>
      </w:r>
      <w:r>
        <w:rPr>
          <w:u w:val="none"/>
        </w:rPr>
        <w:t xml:space="preserve"> </w:t>
      </w:r>
      <w:r w:rsidRPr="00E61E46">
        <w:rPr>
          <w:u w:val="none"/>
        </w:rPr>
        <w:t>: Le projet de budget est ventilé de façon suffisamment détaillée pour démontrer que le montant d</w:t>
      </w:r>
      <w:r>
        <w:rPr>
          <w:u w:val="none"/>
        </w:rPr>
        <w:t>e l'aide demandée est approprié</w:t>
      </w:r>
      <w:r w:rsidRPr="00E61E46">
        <w:rPr>
          <w:u w:val="none"/>
        </w:rPr>
        <w:t xml:space="preserve"> </w:t>
      </w:r>
      <w:r>
        <w:rPr>
          <w:u w:val="none"/>
        </w:rPr>
        <w:t>aux</w:t>
      </w:r>
      <w:r w:rsidRPr="00E61E46">
        <w:rPr>
          <w:u w:val="none"/>
        </w:rPr>
        <w:t xml:space="preserve"> activités proposées.</w:t>
      </w:r>
    </w:p>
    <w:p w:rsidR="00073720" w:rsidRDefault="00E61E46" w:rsidP="00DA366E">
      <w:pPr>
        <w:pStyle w:val="COMParaDecision"/>
        <w:numPr>
          <w:ilvl w:val="0"/>
          <w:numId w:val="0"/>
        </w:numPr>
        <w:ind w:left="1134"/>
        <w:rPr>
          <w:u w:val="none"/>
        </w:rPr>
      </w:pPr>
      <w:r w:rsidRPr="00E61E46">
        <w:rPr>
          <w:b/>
          <w:u w:val="none"/>
        </w:rPr>
        <w:t>Critère A.3</w:t>
      </w:r>
      <w:r>
        <w:rPr>
          <w:u w:val="none"/>
        </w:rPr>
        <w:t xml:space="preserve"> </w:t>
      </w:r>
      <w:r w:rsidRPr="00E61E46">
        <w:rPr>
          <w:u w:val="none"/>
        </w:rPr>
        <w:t xml:space="preserve">: La structure globale du projet, </w:t>
      </w:r>
      <w:r w:rsidR="00A34081">
        <w:rPr>
          <w:u w:val="none"/>
        </w:rPr>
        <w:t>qui comprend une série de 10 </w:t>
      </w:r>
      <w:r w:rsidRPr="00E61E46">
        <w:rPr>
          <w:u w:val="none"/>
        </w:rPr>
        <w:t>activités, est soigneusement conçu</w:t>
      </w:r>
      <w:r>
        <w:rPr>
          <w:u w:val="none"/>
        </w:rPr>
        <w:t>e et susceptible</w:t>
      </w:r>
      <w:r w:rsidRPr="00E61E46">
        <w:rPr>
          <w:u w:val="none"/>
        </w:rPr>
        <w:t xml:space="preserve"> de produire les résultats escomptés</w:t>
      </w:r>
      <w:r>
        <w:rPr>
          <w:u w:val="none"/>
        </w:rPr>
        <w:t xml:space="preserve"> </w:t>
      </w:r>
      <w:r w:rsidRPr="00E61E46">
        <w:rPr>
          <w:u w:val="none"/>
        </w:rPr>
        <w:t>; les mesures nécessaires à l'élaboration d'un inventaire communautaire</w:t>
      </w:r>
      <w:r>
        <w:rPr>
          <w:u w:val="none"/>
        </w:rPr>
        <w:t xml:space="preserve"> </w:t>
      </w:r>
      <w:r w:rsidRPr="00E61E46">
        <w:rPr>
          <w:u w:val="none"/>
        </w:rPr>
        <w:t xml:space="preserve">semblent </w:t>
      </w:r>
      <w:r>
        <w:rPr>
          <w:u w:val="none"/>
        </w:rPr>
        <w:t>cependant</w:t>
      </w:r>
      <w:r w:rsidRPr="00E61E46">
        <w:rPr>
          <w:u w:val="none"/>
        </w:rPr>
        <w:t xml:space="preserve"> prévoir </w:t>
      </w:r>
      <w:r>
        <w:rPr>
          <w:u w:val="none"/>
        </w:rPr>
        <w:t>simultanément l</w:t>
      </w:r>
      <w:r w:rsidRPr="00E61E46">
        <w:rPr>
          <w:u w:val="none"/>
        </w:rPr>
        <w:t>e</w:t>
      </w:r>
      <w:r>
        <w:rPr>
          <w:u w:val="none"/>
        </w:rPr>
        <w:t xml:space="preserve"> travail de</w:t>
      </w:r>
      <w:r w:rsidRPr="00E61E46">
        <w:rPr>
          <w:u w:val="none"/>
        </w:rPr>
        <w:t xml:space="preserve"> terrain et l'analyse des données</w:t>
      </w:r>
      <w:r>
        <w:rPr>
          <w:u w:val="none"/>
        </w:rPr>
        <w:t>,</w:t>
      </w:r>
      <w:r w:rsidRPr="00E61E46">
        <w:rPr>
          <w:u w:val="none"/>
        </w:rPr>
        <w:t xml:space="preserve"> </w:t>
      </w:r>
      <w:r w:rsidR="00073720">
        <w:rPr>
          <w:u w:val="none"/>
        </w:rPr>
        <w:t>ce qui</w:t>
      </w:r>
      <w:r w:rsidR="00A07DB0">
        <w:rPr>
          <w:u w:val="none"/>
        </w:rPr>
        <w:t xml:space="preserve"> semble irréaliste</w:t>
      </w:r>
      <w:r w:rsidRPr="00E61E46">
        <w:rPr>
          <w:u w:val="none"/>
        </w:rPr>
        <w:t xml:space="preserve"> </w:t>
      </w:r>
      <w:r w:rsidR="00A07DB0">
        <w:rPr>
          <w:u w:val="none"/>
        </w:rPr>
        <w:t xml:space="preserve">et </w:t>
      </w:r>
      <w:r w:rsidR="00073720">
        <w:rPr>
          <w:u w:val="none"/>
        </w:rPr>
        <w:t>rend</w:t>
      </w:r>
      <w:r w:rsidR="00A07DB0">
        <w:rPr>
          <w:u w:val="none"/>
        </w:rPr>
        <w:t xml:space="preserve"> contestable</w:t>
      </w:r>
      <w:r w:rsidR="00073720">
        <w:rPr>
          <w:u w:val="none"/>
        </w:rPr>
        <w:t xml:space="preserve"> </w:t>
      </w:r>
      <w:r w:rsidRPr="00E61E46">
        <w:rPr>
          <w:u w:val="none"/>
        </w:rPr>
        <w:t xml:space="preserve">la durée totale du projet (neuf mois, </w:t>
      </w:r>
      <w:r w:rsidR="00073720">
        <w:rPr>
          <w:u w:val="none"/>
        </w:rPr>
        <w:t>préparation du rapport final incluse).</w:t>
      </w:r>
    </w:p>
    <w:p w:rsidR="00073720" w:rsidRPr="00073720" w:rsidRDefault="00073720" w:rsidP="00DA366E">
      <w:pPr>
        <w:pStyle w:val="COMParaDecision"/>
        <w:numPr>
          <w:ilvl w:val="0"/>
          <w:numId w:val="0"/>
        </w:numPr>
        <w:ind w:left="1134"/>
        <w:rPr>
          <w:u w:val="none"/>
        </w:rPr>
      </w:pPr>
      <w:r w:rsidRPr="00073720">
        <w:rPr>
          <w:b/>
          <w:u w:val="none"/>
        </w:rPr>
        <w:t>Critère A.4</w:t>
      </w:r>
      <w:r>
        <w:rPr>
          <w:u w:val="none"/>
        </w:rPr>
        <w:t xml:space="preserve"> </w:t>
      </w:r>
      <w:r w:rsidRPr="00073720">
        <w:rPr>
          <w:u w:val="none"/>
        </w:rPr>
        <w:t xml:space="preserve">: En </w:t>
      </w:r>
      <w:r>
        <w:rPr>
          <w:u w:val="none"/>
        </w:rPr>
        <w:t>fa</w:t>
      </w:r>
      <w:r w:rsidRPr="00073720">
        <w:rPr>
          <w:u w:val="none"/>
        </w:rPr>
        <w:t>i</w:t>
      </w:r>
      <w:r>
        <w:rPr>
          <w:u w:val="none"/>
        </w:rPr>
        <w:t>s</w:t>
      </w:r>
      <w:r w:rsidRPr="00073720">
        <w:rPr>
          <w:u w:val="none"/>
        </w:rPr>
        <w:t xml:space="preserve">ant </w:t>
      </w:r>
      <w:r>
        <w:rPr>
          <w:u w:val="none"/>
        </w:rPr>
        <w:t xml:space="preserve">participer </w:t>
      </w:r>
      <w:r w:rsidRPr="00073720">
        <w:rPr>
          <w:u w:val="none"/>
        </w:rPr>
        <w:t xml:space="preserve">les jeunes </w:t>
      </w:r>
      <w:r>
        <w:rPr>
          <w:u w:val="none"/>
        </w:rPr>
        <w:t>par le biais notamment d</w:t>
      </w:r>
      <w:r w:rsidRPr="00073720">
        <w:rPr>
          <w:u w:val="none"/>
        </w:rPr>
        <w:t>es clubs culture</w:t>
      </w:r>
      <w:r>
        <w:rPr>
          <w:u w:val="none"/>
        </w:rPr>
        <w:t>ls</w:t>
      </w:r>
      <w:r w:rsidRPr="00073720">
        <w:rPr>
          <w:u w:val="none"/>
        </w:rPr>
        <w:t xml:space="preserve"> dans les écoles, </w:t>
      </w:r>
      <w:r>
        <w:rPr>
          <w:u w:val="none"/>
        </w:rPr>
        <w:t>de l’établissement royal</w:t>
      </w:r>
      <w:r w:rsidRPr="00073720">
        <w:rPr>
          <w:u w:val="none"/>
        </w:rPr>
        <w:t xml:space="preserve"> et </w:t>
      </w:r>
      <w:r>
        <w:rPr>
          <w:u w:val="none"/>
        </w:rPr>
        <w:t xml:space="preserve">des chefs de </w:t>
      </w:r>
      <w:r w:rsidRPr="00073720">
        <w:rPr>
          <w:u w:val="none"/>
        </w:rPr>
        <w:t xml:space="preserve">villages du comité de projet, la transmission du patrimoine oral inventorié pourrait </w:t>
      </w:r>
      <w:r w:rsidR="00A07DB0">
        <w:rPr>
          <w:u w:val="none"/>
        </w:rPr>
        <w:t>se poursuivre</w:t>
      </w:r>
      <w:r w:rsidRPr="00073720">
        <w:rPr>
          <w:u w:val="none"/>
        </w:rPr>
        <w:t xml:space="preserve"> au-delà de la fin du projet</w:t>
      </w:r>
      <w:r>
        <w:rPr>
          <w:u w:val="none"/>
        </w:rPr>
        <w:t xml:space="preserve"> </w:t>
      </w:r>
      <w:r w:rsidRPr="00073720">
        <w:rPr>
          <w:u w:val="none"/>
        </w:rPr>
        <w:t xml:space="preserve">; puisque le projet est présenté comme </w:t>
      </w:r>
      <w:r w:rsidR="00A07DB0">
        <w:rPr>
          <w:u w:val="none"/>
        </w:rPr>
        <w:t>la</w:t>
      </w:r>
      <w:r w:rsidRPr="00073720">
        <w:rPr>
          <w:u w:val="none"/>
        </w:rPr>
        <w:t xml:space="preserve"> première étape </w:t>
      </w:r>
      <w:r>
        <w:rPr>
          <w:u w:val="none"/>
        </w:rPr>
        <w:t>d’une</w:t>
      </w:r>
      <w:r w:rsidRPr="00073720">
        <w:rPr>
          <w:u w:val="none"/>
        </w:rPr>
        <w:t xml:space="preserve"> cartographie culturelle plus </w:t>
      </w:r>
      <w:r>
        <w:rPr>
          <w:u w:val="none"/>
        </w:rPr>
        <w:t>vast</w:t>
      </w:r>
      <w:r w:rsidRPr="00073720">
        <w:rPr>
          <w:u w:val="none"/>
        </w:rPr>
        <w:t>e, les participants formés seront en mesure de contribuer non seulement à la mise à jour de l'inventaire du projet, mais aussi à des initiatives similaires prévues dans le district, la province ou même le pays.</w:t>
      </w:r>
    </w:p>
    <w:p w:rsidR="008A4610" w:rsidRDefault="00073720" w:rsidP="00DA366E">
      <w:pPr>
        <w:pStyle w:val="COMParaDecision"/>
        <w:numPr>
          <w:ilvl w:val="0"/>
          <w:numId w:val="0"/>
        </w:numPr>
        <w:ind w:left="1134"/>
        <w:rPr>
          <w:u w:val="none"/>
        </w:rPr>
      </w:pPr>
      <w:r w:rsidRPr="00073720">
        <w:rPr>
          <w:b/>
          <w:u w:val="none"/>
        </w:rPr>
        <w:t>Critère A.5</w:t>
      </w:r>
      <w:r>
        <w:rPr>
          <w:b/>
          <w:u w:val="none"/>
        </w:rPr>
        <w:t xml:space="preserve"> </w:t>
      </w:r>
      <w:r w:rsidRPr="00073720">
        <w:rPr>
          <w:u w:val="none"/>
        </w:rPr>
        <w:t>: L'</w:t>
      </w:r>
      <w:r w:rsidR="008A4610">
        <w:rPr>
          <w:u w:val="none"/>
        </w:rPr>
        <w:t>É</w:t>
      </w:r>
      <w:r w:rsidRPr="00073720">
        <w:rPr>
          <w:u w:val="none"/>
        </w:rPr>
        <w:t xml:space="preserve">tat </w:t>
      </w:r>
      <w:r>
        <w:rPr>
          <w:u w:val="none"/>
        </w:rPr>
        <w:t>demandeur</w:t>
      </w:r>
      <w:r w:rsidRPr="00073720">
        <w:rPr>
          <w:u w:val="none"/>
        </w:rPr>
        <w:t xml:space="preserve"> </w:t>
      </w:r>
      <w:r>
        <w:rPr>
          <w:u w:val="none"/>
        </w:rPr>
        <w:t>prendra à sa charge</w:t>
      </w:r>
      <w:r w:rsidRPr="00073720">
        <w:rPr>
          <w:u w:val="none"/>
        </w:rPr>
        <w:t xml:space="preserve"> </w:t>
      </w:r>
      <w:r w:rsidR="00A34081">
        <w:rPr>
          <w:u w:val="none"/>
        </w:rPr>
        <w:t>cinq pourcents</w:t>
      </w:r>
      <w:r w:rsidRPr="00073720">
        <w:rPr>
          <w:u w:val="none"/>
        </w:rPr>
        <w:t xml:space="preserve"> du montant total du projet pour lequel l'assistance internationale est demandée.</w:t>
      </w:r>
    </w:p>
    <w:p w:rsidR="008A4610" w:rsidRPr="008A4610" w:rsidRDefault="008A4610" w:rsidP="00DA366E">
      <w:pPr>
        <w:pStyle w:val="COMParaDecision"/>
        <w:numPr>
          <w:ilvl w:val="0"/>
          <w:numId w:val="0"/>
        </w:numPr>
        <w:ind w:left="1134"/>
        <w:rPr>
          <w:u w:val="none"/>
        </w:rPr>
      </w:pPr>
      <w:r w:rsidRPr="008A4610">
        <w:rPr>
          <w:b/>
          <w:u w:val="none"/>
        </w:rPr>
        <w:t>Critère A.6</w:t>
      </w:r>
      <w:r>
        <w:rPr>
          <w:u w:val="none"/>
        </w:rPr>
        <w:t xml:space="preserve"> </w:t>
      </w:r>
      <w:r w:rsidRPr="008A4610">
        <w:rPr>
          <w:u w:val="none"/>
        </w:rPr>
        <w:t xml:space="preserve">: Dans le but de sensibiliser les membres de la communauté Lala </w:t>
      </w:r>
      <w:r>
        <w:rPr>
          <w:u w:val="none"/>
        </w:rPr>
        <w:t>à</w:t>
      </w:r>
      <w:r w:rsidRPr="008A4610">
        <w:rPr>
          <w:u w:val="none"/>
        </w:rPr>
        <w:t xml:space="preserve"> l'importance de leurs proverbes et de les </w:t>
      </w:r>
      <w:r>
        <w:rPr>
          <w:u w:val="none"/>
        </w:rPr>
        <w:t>doter de</w:t>
      </w:r>
      <w:r w:rsidRPr="008A4610">
        <w:rPr>
          <w:u w:val="none"/>
        </w:rPr>
        <w:t xml:space="preserve"> </w:t>
      </w:r>
      <w:r>
        <w:rPr>
          <w:u w:val="none"/>
        </w:rPr>
        <w:t xml:space="preserve">véritables </w:t>
      </w:r>
      <w:r w:rsidRPr="008A4610">
        <w:rPr>
          <w:u w:val="none"/>
        </w:rPr>
        <w:t xml:space="preserve">compétences </w:t>
      </w:r>
      <w:r>
        <w:rPr>
          <w:u w:val="none"/>
        </w:rPr>
        <w:t>en matière</w:t>
      </w:r>
      <w:r w:rsidRPr="008A4610">
        <w:rPr>
          <w:u w:val="none"/>
        </w:rPr>
        <w:t xml:space="preserve"> d'inventaires, la demande démontre clairement que les activités proposées renforcer</w:t>
      </w:r>
      <w:r>
        <w:rPr>
          <w:u w:val="none"/>
        </w:rPr>
        <w:t>ont</w:t>
      </w:r>
      <w:r w:rsidRPr="008A4610">
        <w:rPr>
          <w:u w:val="none"/>
        </w:rPr>
        <w:t xml:space="preserve"> les capacités des groupes et </w:t>
      </w:r>
      <w:r w:rsidR="00945DDA">
        <w:rPr>
          <w:u w:val="none"/>
        </w:rPr>
        <w:t xml:space="preserve">des </w:t>
      </w:r>
      <w:r w:rsidRPr="008A4610">
        <w:rPr>
          <w:u w:val="none"/>
        </w:rPr>
        <w:t xml:space="preserve">individus concernés </w:t>
      </w:r>
      <w:r>
        <w:rPr>
          <w:u w:val="none"/>
        </w:rPr>
        <w:t>à identifier et définir</w:t>
      </w:r>
      <w:r w:rsidRPr="008A4610">
        <w:rPr>
          <w:u w:val="none"/>
        </w:rPr>
        <w:t xml:space="preserve"> le</w:t>
      </w:r>
      <w:r>
        <w:rPr>
          <w:u w:val="none"/>
        </w:rPr>
        <w:t>s</w:t>
      </w:r>
      <w:r w:rsidRPr="008A4610">
        <w:rPr>
          <w:u w:val="none"/>
        </w:rPr>
        <w:t xml:space="preserve"> éléments du patrimoine culturel</w:t>
      </w:r>
      <w:r>
        <w:rPr>
          <w:u w:val="none"/>
        </w:rPr>
        <w:t xml:space="preserve"> immatériel et d</w:t>
      </w:r>
      <w:r w:rsidRPr="008A4610">
        <w:rPr>
          <w:u w:val="none"/>
        </w:rPr>
        <w:t>es mesures de sauvegarde.</w:t>
      </w:r>
    </w:p>
    <w:p w:rsidR="008A4610" w:rsidRPr="008A4610" w:rsidRDefault="008A4610" w:rsidP="00DA366E">
      <w:pPr>
        <w:pStyle w:val="COMParaDecision"/>
        <w:numPr>
          <w:ilvl w:val="0"/>
          <w:numId w:val="0"/>
        </w:numPr>
        <w:ind w:left="1134"/>
        <w:rPr>
          <w:u w:val="none"/>
        </w:rPr>
      </w:pPr>
      <w:r w:rsidRPr="008A4610">
        <w:rPr>
          <w:b/>
          <w:u w:val="none"/>
        </w:rPr>
        <w:t>Critère A.7</w:t>
      </w:r>
      <w:r>
        <w:rPr>
          <w:u w:val="none"/>
        </w:rPr>
        <w:t xml:space="preserve"> </w:t>
      </w:r>
      <w:r w:rsidRPr="008A4610">
        <w:rPr>
          <w:u w:val="none"/>
        </w:rPr>
        <w:t xml:space="preserve">: </w:t>
      </w:r>
      <w:r w:rsidR="00A07DB0">
        <w:rPr>
          <w:u w:val="none"/>
        </w:rPr>
        <w:t>L</w:t>
      </w:r>
      <w:r w:rsidRPr="008A4610">
        <w:rPr>
          <w:u w:val="none"/>
        </w:rPr>
        <w:t>a Zambie n'a jamais mis en œuvre des activités financées par le Fonds du patrimoine culturel immatériel.</w:t>
      </w:r>
    </w:p>
    <w:p w:rsidR="008A4610" w:rsidRDefault="008A4610" w:rsidP="00DA366E">
      <w:pPr>
        <w:pStyle w:val="COMParaDecision"/>
        <w:numPr>
          <w:ilvl w:val="0"/>
          <w:numId w:val="0"/>
        </w:numPr>
        <w:ind w:left="1134"/>
        <w:rPr>
          <w:u w:val="none"/>
        </w:rPr>
      </w:pPr>
      <w:r w:rsidRPr="008A4610">
        <w:rPr>
          <w:b/>
          <w:u w:val="none"/>
        </w:rPr>
        <w:t>Paragraphe 10(a)</w:t>
      </w:r>
      <w:r>
        <w:rPr>
          <w:u w:val="none"/>
        </w:rPr>
        <w:t xml:space="preserve"> </w:t>
      </w:r>
      <w:r w:rsidRPr="008A4610">
        <w:rPr>
          <w:u w:val="none"/>
        </w:rPr>
        <w:t xml:space="preserve">: Le projet est de portée locale et implique </w:t>
      </w:r>
      <w:r>
        <w:rPr>
          <w:u w:val="none"/>
        </w:rPr>
        <w:t>à la fois des</w:t>
      </w:r>
      <w:r w:rsidRPr="008A4610">
        <w:rPr>
          <w:u w:val="none"/>
        </w:rPr>
        <w:t xml:space="preserve"> partenaires nationaux </w:t>
      </w:r>
      <w:r>
        <w:rPr>
          <w:u w:val="none"/>
        </w:rPr>
        <w:t>comme l'Université de Zambie et d</w:t>
      </w:r>
      <w:r w:rsidRPr="008A4610">
        <w:rPr>
          <w:u w:val="none"/>
        </w:rPr>
        <w:t>es associations locales.</w:t>
      </w:r>
    </w:p>
    <w:p w:rsidR="008A4610" w:rsidRDefault="008A4610" w:rsidP="00DA366E">
      <w:pPr>
        <w:pStyle w:val="COMParaDecision"/>
        <w:numPr>
          <w:ilvl w:val="0"/>
          <w:numId w:val="0"/>
        </w:numPr>
        <w:ind w:left="1134"/>
        <w:rPr>
          <w:u w:val="none"/>
        </w:rPr>
      </w:pPr>
      <w:r>
        <w:rPr>
          <w:b/>
          <w:u w:val="none"/>
        </w:rPr>
        <w:t>Paragraphe 10</w:t>
      </w:r>
      <w:r w:rsidRPr="008A4610">
        <w:rPr>
          <w:b/>
          <w:u w:val="none"/>
        </w:rPr>
        <w:t>(b)</w:t>
      </w:r>
      <w:r>
        <w:rPr>
          <w:b/>
          <w:u w:val="none"/>
        </w:rPr>
        <w:t xml:space="preserve"> </w:t>
      </w:r>
      <w:r w:rsidRPr="008A4610">
        <w:rPr>
          <w:u w:val="none"/>
        </w:rPr>
        <w:t>: La demande peut stimuler un soutien financier pour des activités similaires dans d'autres chefferies</w:t>
      </w:r>
      <w:r>
        <w:rPr>
          <w:u w:val="none"/>
        </w:rPr>
        <w:t>,</w:t>
      </w:r>
      <w:r w:rsidRPr="008A4610">
        <w:rPr>
          <w:u w:val="none"/>
        </w:rPr>
        <w:t xml:space="preserve"> </w:t>
      </w:r>
      <w:r>
        <w:rPr>
          <w:u w:val="none"/>
        </w:rPr>
        <w:t>car les dépositaires</w:t>
      </w:r>
      <w:r w:rsidRPr="008A4610">
        <w:rPr>
          <w:u w:val="none"/>
        </w:rPr>
        <w:t xml:space="preserve"> et praticiens formés seront motivés, suite </w:t>
      </w:r>
      <w:r>
        <w:rPr>
          <w:u w:val="none"/>
        </w:rPr>
        <w:t>a</w:t>
      </w:r>
      <w:r w:rsidRPr="008A4610">
        <w:rPr>
          <w:u w:val="none"/>
        </w:rPr>
        <w:t xml:space="preserve">u projet, </w:t>
      </w:r>
      <w:r>
        <w:rPr>
          <w:u w:val="none"/>
        </w:rPr>
        <w:t>à</w:t>
      </w:r>
      <w:r w:rsidRPr="008A4610">
        <w:rPr>
          <w:u w:val="none"/>
        </w:rPr>
        <w:t xml:space="preserve"> rechercher des ressources financières pour </w:t>
      </w:r>
      <w:r>
        <w:rPr>
          <w:u w:val="none"/>
        </w:rPr>
        <w:t xml:space="preserve">réaliser </w:t>
      </w:r>
      <w:r w:rsidRPr="008A4610">
        <w:rPr>
          <w:u w:val="none"/>
        </w:rPr>
        <w:t>le suivi du projet</w:t>
      </w:r>
      <w:r>
        <w:rPr>
          <w:u w:val="none"/>
        </w:rPr>
        <w:t xml:space="preserve"> </w:t>
      </w:r>
      <w:r w:rsidRPr="008A4610">
        <w:rPr>
          <w:u w:val="none"/>
        </w:rPr>
        <w:t xml:space="preserve">; </w:t>
      </w:r>
      <w:r>
        <w:rPr>
          <w:u w:val="none"/>
        </w:rPr>
        <w:t xml:space="preserve">les </w:t>
      </w:r>
      <w:r w:rsidRPr="008A4610">
        <w:rPr>
          <w:u w:val="none"/>
        </w:rPr>
        <w:t xml:space="preserve">documents publiés </w:t>
      </w:r>
      <w:r>
        <w:rPr>
          <w:u w:val="none"/>
        </w:rPr>
        <w:t>suite aux activités d'inventaire</w:t>
      </w:r>
      <w:r w:rsidRPr="008A4610">
        <w:rPr>
          <w:u w:val="none"/>
        </w:rPr>
        <w:t xml:space="preserve"> et de documentation seront utilisés pour encourager </w:t>
      </w:r>
      <w:r>
        <w:rPr>
          <w:u w:val="none"/>
        </w:rPr>
        <w:t>d</w:t>
      </w:r>
      <w:r w:rsidRPr="008A4610">
        <w:rPr>
          <w:u w:val="none"/>
        </w:rPr>
        <w:t xml:space="preserve">es contributions financières pour la recherche universitaire </w:t>
      </w:r>
      <w:r w:rsidR="00A07DB0">
        <w:rPr>
          <w:u w:val="none"/>
        </w:rPr>
        <w:t>sur le</w:t>
      </w:r>
      <w:r w:rsidRPr="008A4610">
        <w:rPr>
          <w:u w:val="none"/>
        </w:rPr>
        <w:t xml:space="preserve"> patrimoine culturel immatériel.</w:t>
      </w:r>
    </w:p>
    <w:p w:rsidR="006419A9" w:rsidRDefault="008A4610" w:rsidP="00DA366E">
      <w:pPr>
        <w:pStyle w:val="COMParaDecision"/>
        <w:numPr>
          <w:ilvl w:val="0"/>
          <w:numId w:val="26"/>
        </w:numPr>
        <w:ind w:left="1134" w:hanging="567"/>
        <w:rPr>
          <w:u w:val="none"/>
        </w:rPr>
      </w:pPr>
      <w:r>
        <w:t>Décide d’approuver</w:t>
      </w:r>
      <w:r>
        <w:rPr>
          <w:u w:val="none"/>
        </w:rPr>
        <w:t xml:space="preserve"> l’assistance internationale demandée par la Zambie</w:t>
      </w:r>
      <w:r w:rsidR="006419A9">
        <w:rPr>
          <w:u w:val="none"/>
        </w:rPr>
        <w:t xml:space="preserve"> pour un projet intitulé « </w:t>
      </w:r>
      <w:r w:rsidR="006419A9" w:rsidRPr="006419A9">
        <w:rPr>
          <w:b/>
          <w:szCs w:val="20"/>
          <w:u w:val="none"/>
        </w:rPr>
        <w:t>Inventaire des proverbes de la communauté Lala du district de Luano en Zambie</w:t>
      </w:r>
      <w:r w:rsidR="006419A9">
        <w:rPr>
          <w:u w:val="none"/>
        </w:rPr>
        <w:t xml:space="preserve"> » et d’accord</w:t>
      </w:r>
      <w:r w:rsidR="00945DDA">
        <w:rPr>
          <w:u w:val="none"/>
        </w:rPr>
        <w:t>er à cette fin un montant de 24 999,90 </w:t>
      </w:r>
      <w:r w:rsidR="006419A9">
        <w:rPr>
          <w:u w:val="none"/>
        </w:rPr>
        <w:t xml:space="preserve">dollars des </w:t>
      </w:r>
      <w:r w:rsidR="00A07DB0">
        <w:rPr>
          <w:u w:val="none"/>
        </w:rPr>
        <w:t>É</w:t>
      </w:r>
      <w:r w:rsidR="006419A9">
        <w:rPr>
          <w:u w:val="none"/>
        </w:rPr>
        <w:t>tats-Unis ;</w:t>
      </w:r>
      <w:r w:rsidR="006419A9" w:rsidRPr="006419A9">
        <w:rPr>
          <w:u w:val="none"/>
        </w:rPr>
        <w:t xml:space="preserve"> </w:t>
      </w:r>
    </w:p>
    <w:p w:rsidR="006419A9" w:rsidRPr="006419A9" w:rsidRDefault="006419A9" w:rsidP="00DA366E">
      <w:pPr>
        <w:pStyle w:val="COMParaDecision"/>
        <w:numPr>
          <w:ilvl w:val="0"/>
          <w:numId w:val="26"/>
        </w:numPr>
        <w:ind w:left="1134" w:hanging="567"/>
        <w:rPr>
          <w:u w:val="none"/>
        </w:rPr>
      </w:pPr>
      <w:r>
        <w:t>Demande</w:t>
      </w:r>
      <w:r w:rsidRPr="006419A9">
        <w:rPr>
          <w:u w:val="none"/>
        </w:rPr>
        <w:t xml:space="preserve"> au Secrétariat de </w:t>
      </w:r>
      <w:r w:rsidR="00945DDA">
        <w:rPr>
          <w:u w:val="none"/>
        </w:rPr>
        <w:t>se mettre d’accord</w:t>
      </w:r>
      <w:r w:rsidRPr="006419A9">
        <w:rPr>
          <w:u w:val="none"/>
        </w:rPr>
        <w:t xml:space="preserve"> avec l'État Partie </w:t>
      </w:r>
      <w:r>
        <w:rPr>
          <w:u w:val="none"/>
        </w:rPr>
        <w:t>demandeur</w:t>
      </w:r>
      <w:r w:rsidRPr="006419A9">
        <w:rPr>
          <w:u w:val="none"/>
        </w:rPr>
        <w:t xml:space="preserve"> sur les </w:t>
      </w:r>
      <w:r w:rsidR="00A07DB0">
        <w:rPr>
          <w:u w:val="none"/>
        </w:rPr>
        <w:t>modalités</w:t>
      </w:r>
      <w:r w:rsidRPr="006419A9">
        <w:rPr>
          <w:u w:val="none"/>
        </w:rPr>
        <w:t xml:space="preserve"> techniques de l'assistance, en accordant une attention particulière au budget détaillé et </w:t>
      </w:r>
      <w:r>
        <w:rPr>
          <w:u w:val="none"/>
        </w:rPr>
        <w:t>au</w:t>
      </w:r>
      <w:r w:rsidRPr="006419A9">
        <w:rPr>
          <w:u w:val="none"/>
        </w:rPr>
        <w:t xml:space="preserve"> calendrier des activités couvertes par le Fonds du patrimoine culturel immatériel, </w:t>
      </w:r>
      <w:r>
        <w:rPr>
          <w:u w:val="none"/>
        </w:rPr>
        <w:t>ainsi qu’</w:t>
      </w:r>
      <w:r w:rsidRPr="006419A9">
        <w:rPr>
          <w:u w:val="none"/>
        </w:rPr>
        <w:t xml:space="preserve">aux questions soulevées </w:t>
      </w:r>
      <w:r>
        <w:rPr>
          <w:u w:val="none"/>
        </w:rPr>
        <w:t>par l’</w:t>
      </w:r>
      <w:r w:rsidRPr="006419A9">
        <w:rPr>
          <w:u w:val="none"/>
        </w:rPr>
        <w:t>évaluation du critère A.3</w:t>
      </w:r>
      <w:r>
        <w:rPr>
          <w:u w:val="none"/>
        </w:rPr>
        <w:t xml:space="preserve"> </w:t>
      </w:r>
      <w:r w:rsidRPr="006419A9">
        <w:rPr>
          <w:u w:val="none"/>
        </w:rPr>
        <w:t>;</w:t>
      </w:r>
    </w:p>
    <w:p w:rsidR="000932C3" w:rsidRPr="001F60D1" w:rsidRDefault="006419A9" w:rsidP="002D5542">
      <w:pPr>
        <w:pStyle w:val="COMParaDecision"/>
        <w:numPr>
          <w:ilvl w:val="0"/>
          <w:numId w:val="26"/>
        </w:numPr>
        <w:spacing w:before="240"/>
        <w:ind w:left="1134" w:hanging="567"/>
        <w:rPr>
          <w:u w:val="none"/>
        </w:rPr>
      </w:pPr>
      <w:r w:rsidRPr="006419A9">
        <w:lastRenderedPageBreak/>
        <w:t>Invite</w:t>
      </w:r>
      <w:r w:rsidR="001F60D1">
        <w:rPr>
          <w:u w:val="none"/>
        </w:rPr>
        <w:t xml:space="preserve"> l’</w:t>
      </w:r>
      <w:r w:rsidRPr="006419A9">
        <w:rPr>
          <w:u w:val="none"/>
        </w:rPr>
        <w:t xml:space="preserve">État partie à utiliser le formulaire ICH-04-Report </w:t>
      </w:r>
      <w:r>
        <w:rPr>
          <w:u w:val="none"/>
        </w:rPr>
        <w:t>lorsqu’il fera rapport</w:t>
      </w:r>
      <w:r w:rsidRPr="006419A9">
        <w:rPr>
          <w:u w:val="none"/>
        </w:rPr>
        <w:t xml:space="preserve"> sur</w:t>
      </w:r>
      <w:r w:rsidR="001F60D1">
        <w:rPr>
          <w:u w:val="none"/>
        </w:rPr>
        <w:t xml:space="preserve"> l’utilisation de l’</w:t>
      </w:r>
      <w:r w:rsidRPr="006419A9">
        <w:rPr>
          <w:u w:val="none"/>
        </w:rPr>
        <w:t>aide fournie.</w:t>
      </w:r>
    </w:p>
    <w:sectPr w:rsidR="000932C3" w:rsidRPr="001F60D1"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2DD" w:rsidRDefault="00F302DD" w:rsidP="00655736">
      <w:r>
        <w:separator/>
      </w:r>
    </w:p>
    <w:p w:rsidR="00F302DD" w:rsidRDefault="00F302DD"/>
    <w:p w:rsidR="00F302DD" w:rsidRDefault="00F302DD" w:rsidP="002E58D4"/>
    <w:p w:rsidR="00F302DD" w:rsidRDefault="00F302DD" w:rsidP="002E58D4"/>
    <w:p w:rsidR="00F302DD" w:rsidRDefault="00F302DD" w:rsidP="002E58D4"/>
  </w:endnote>
  <w:endnote w:type="continuationSeparator" w:id="0">
    <w:p w:rsidR="00F302DD" w:rsidRDefault="00F302DD" w:rsidP="00655736">
      <w:r>
        <w:continuationSeparator/>
      </w:r>
    </w:p>
    <w:p w:rsidR="00F302DD" w:rsidRDefault="00F302DD"/>
    <w:p w:rsidR="00F302DD" w:rsidRDefault="00F302DD" w:rsidP="002E58D4"/>
    <w:p w:rsidR="00F302DD" w:rsidRDefault="00F302DD" w:rsidP="002E58D4"/>
    <w:p w:rsidR="00F302DD" w:rsidRDefault="00F302DD"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2DD" w:rsidRDefault="00F302DD" w:rsidP="00655736">
      <w:r>
        <w:separator/>
      </w:r>
    </w:p>
    <w:p w:rsidR="00F302DD" w:rsidRDefault="00F302DD"/>
    <w:p w:rsidR="00F302DD" w:rsidRDefault="00F302DD" w:rsidP="002E58D4"/>
    <w:p w:rsidR="00F302DD" w:rsidRDefault="00F302DD" w:rsidP="002E58D4"/>
    <w:p w:rsidR="00F302DD" w:rsidRDefault="00F302DD" w:rsidP="002E58D4"/>
  </w:footnote>
  <w:footnote w:type="continuationSeparator" w:id="0">
    <w:p w:rsidR="00F302DD" w:rsidRDefault="00F302DD" w:rsidP="00655736">
      <w:r>
        <w:continuationSeparator/>
      </w:r>
    </w:p>
    <w:p w:rsidR="00F302DD" w:rsidRDefault="00F302DD"/>
    <w:p w:rsidR="00F302DD" w:rsidRDefault="00F302DD" w:rsidP="002E58D4"/>
    <w:p w:rsidR="00F302DD" w:rsidRDefault="00F302DD" w:rsidP="002E58D4"/>
    <w:p w:rsidR="00F302DD" w:rsidRDefault="00F302DD" w:rsidP="002E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DD" w:rsidRPr="002E58D4" w:rsidRDefault="00F302DD" w:rsidP="002E58D4">
    <w:pPr>
      <w:pStyle w:val="Header"/>
      <w:rPr>
        <w:rFonts w:ascii="Arial" w:hAnsi="Arial" w:cs="Arial"/>
        <w:lang w:val="en-US"/>
      </w:rPr>
    </w:pPr>
    <w:r>
      <w:rPr>
        <w:rFonts w:ascii="Arial" w:hAnsi="Arial" w:cs="Arial"/>
        <w:sz w:val="20"/>
        <w:szCs w:val="20"/>
        <w:lang w:val="en-US"/>
      </w:rPr>
      <w:t>ITH/16/</w:t>
    </w:r>
    <w:r>
      <w:rPr>
        <w:rFonts w:ascii="Arial" w:hAnsi="Arial" w:cs="Arial"/>
        <w:sz w:val="20"/>
        <w:szCs w:val="20"/>
        <w:lang w:val="en-GB"/>
      </w:rPr>
      <w:t>11</w:t>
    </w:r>
    <w:r w:rsidRPr="00A32E09">
      <w:rPr>
        <w:rFonts w:ascii="Arial" w:hAnsi="Arial" w:cs="Arial"/>
        <w:sz w:val="20"/>
        <w:szCs w:val="20"/>
        <w:lang w:val="en-GB"/>
      </w:rPr>
      <w:t>.COM 1.BUR/1</w:t>
    </w:r>
    <w:r>
      <w:rPr>
        <w:rFonts w:ascii="Arial" w:hAnsi="Arial" w:cs="Arial"/>
        <w:sz w:val="20"/>
        <w:szCs w:val="20"/>
        <w:lang w:val="en-GB"/>
      </w:rPr>
      <w:t xml:space="preserve"> </w:t>
    </w:r>
    <w:r w:rsidRPr="00EF563B">
      <w:rPr>
        <w:rFonts w:ascii="Arial" w:hAnsi="Arial" w:cs="Arial"/>
        <w:sz w:val="20"/>
        <w:szCs w:val="20"/>
        <w:lang w:val="en-US"/>
      </w:rPr>
      <w:t xml:space="preserve">– page </w:t>
    </w:r>
    <w:r w:rsidR="006328C0"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006328C0" w:rsidRPr="00EF563B">
      <w:rPr>
        <w:rStyle w:val="PageNumber"/>
        <w:rFonts w:ascii="Arial" w:hAnsi="Arial" w:cs="Arial"/>
        <w:sz w:val="20"/>
        <w:szCs w:val="20"/>
      </w:rPr>
      <w:fldChar w:fldCharType="separate"/>
    </w:r>
    <w:r w:rsidR="000B7129">
      <w:rPr>
        <w:rStyle w:val="PageNumber"/>
        <w:rFonts w:ascii="Arial" w:hAnsi="Arial" w:cs="Arial"/>
        <w:noProof/>
        <w:sz w:val="20"/>
        <w:szCs w:val="20"/>
        <w:lang w:val="en-US"/>
      </w:rPr>
      <w:t>10</w:t>
    </w:r>
    <w:r w:rsidR="006328C0"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DD" w:rsidRPr="00BC3420" w:rsidRDefault="00322036" w:rsidP="00BC3420">
    <w:pPr>
      <w:pStyle w:val="Header"/>
      <w:jc w:val="right"/>
      <w:rPr>
        <w:rFonts w:ascii="Arial" w:hAnsi="Arial" w:cs="Arial"/>
        <w:lang w:val="en-US"/>
      </w:rPr>
    </w:pPr>
    <w:r>
      <w:rPr>
        <w:rFonts w:ascii="Arial" w:hAnsi="Arial" w:cs="Arial"/>
        <w:sz w:val="20"/>
        <w:szCs w:val="20"/>
        <w:lang w:val="en-US"/>
      </w:rPr>
      <w:t>ITH/16</w:t>
    </w:r>
    <w:r w:rsidR="00F302DD">
      <w:rPr>
        <w:rFonts w:ascii="Arial" w:hAnsi="Arial" w:cs="Arial"/>
        <w:sz w:val="20"/>
        <w:szCs w:val="20"/>
        <w:lang w:val="en-US"/>
      </w:rPr>
      <w:t>/</w:t>
    </w:r>
    <w:r>
      <w:rPr>
        <w:rFonts w:ascii="Arial" w:hAnsi="Arial" w:cs="Arial"/>
        <w:sz w:val="20"/>
        <w:szCs w:val="20"/>
        <w:lang w:val="en-GB"/>
      </w:rPr>
      <w:t>11.</w:t>
    </w:r>
    <w:r w:rsidR="00F302DD" w:rsidRPr="00A32E09">
      <w:rPr>
        <w:rFonts w:ascii="Arial" w:hAnsi="Arial" w:cs="Arial"/>
        <w:sz w:val="20"/>
        <w:szCs w:val="20"/>
        <w:lang w:val="en-GB"/>
      </w:rPr>
      <w:t>COM 1.BUR/1</w:t>
    </w:r>
    <w:r w:rsidR="00F302DD">
      <w:rPr>
        <w:rFonts w:ascii="Arial" w:hAnsi="Arial" w:cs="Arial"/>
        <w:sz w:val="20"/>
        <w:szCs w:val="20"/>
        <w:lang w:val="en-GB"/>
      </w:rPr>
      <w:t xml:space="preserve"> </w:t>
    </w:r>
    <w:r w:rsidR="00F302DD" w:rsidRPr="00EF563B">
      <w:rPr>
        <w:rFonts w:ascii="Arial" w:hAnsi="Arial" w:cs="Arial"/>
        <w:sz w:val="20"/>
        <w:szCs w:val="20"/>
        <w:lang w:val="en-US"/>
      </w:rPr>
      <w:t xml:space="preserve">– page </w:t>
    </w:r>
    <w:r w:rsidR="006328C0" w:rsidRPr="00EF563B">
      <w:rPr>
        <w:rStyle w:val="PageNumber"/>
        <w:rFonts w:ascii="Arial" w:hAnsi="Arial" w:cs="Arial"/>
        <w:sz w:val="20"/>
        <w:szCs w:val="20"/>
      </w:rPr>
      <w:fldChar w:fldCharType="begin"/>
    </w:r>
    <w:r w:rsidR="00F302DD" w:rsidRPr="00EF563B">
      <w:rPr>
        <w:rStyle w:val="PageNumber"/>
        <w:rFonts w:ascii="Arial" w:hAnsi="Arial" w:cs="Arial"/>
        <w:sz w:val="20"/>
        <w:szCs w:val="20"/>
        <w:lang w:val="en-US"/>
      </w:rPr>
      <w:instrText xml:space="preserve"> </w:instrText>
    </w:r>
    <w:r w:rsidR="00F302DD">
      <w:rPr>
        <w:rStyle w:val="PageNumber"/>
        <w:rFonts w:ascii="Arial" w:hAnsi="Arial" w:cs="Arial"/>
        <w:sz w:val="20"/>
        <w:szCs w:val="20"/>
        <w:lang w:val="en-US"/>
      </w:rPr>
      <w:instrText>PAGE</w:instrText>
    </w:r>
    <w:r w:rsidR="00F302DD" w:rsidRPr="00EF563B">
      <w:rPr>
        <w:rStyle w:val="PageNumber"/>
        <w:rFonts w:ascii="Arial" w:hAnsi="Arial" w:cs="Arial"/>
        <w:sz w:val="20"/>
        <w:szCs w:val="20"/>
        <w:lang w:val="en-US"/>
      </w:rPr>
      <w:instrText xml:space="preserve"> </w:instrText>
    </w:r>
    <w:r w:rsidR="006328C0" w:rsidRPr="00EF563B">
      <w:rPr>
        <w:rStyle w:val="PageNumber"/>
        <w:rFonts w:ascii="Arial" w:hAnsi="Arial" w:cs="Arial"/>
        <w:sz w:val="20"/>
        <w:szCs w:val="20"/>
      </w:rPr>
      <w:fldChar w:fldCharType="separate"/>
    </w:r>
    <w:r w:rsidR="000B7129">
      <w:rPr>
        <w:rStyle w:val="PageNumber"/>
        <w:rFonts w:ascii="Arial" w:hAnsi="Arial" w:cs="Arial"/>
        <w:noProof/>
        <w:sz w:val="20"/>
        <w:szCs w:val="20"/>
        <w:lang w:val="en-US"/>
      </w:rPr>
      <w:t>5</w:t>
    </w:r>
    <w:r w:rsidR="006328C0"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DD" w:rsidRPr="008724E5" w:rsidRDefault="00F302DD">
    <w:pPr>
      <w:pStyle w:val="Header"/>
    </w:pPr>
    <w:r>
      <w:rPr>
        <w:noProof/>
      </w:rPr>
      <w:drawing>
        <wp:anchor distT="0" distB="0" distL="114300" distR="114300" simplePos="0" relativeHeight="251657728" behindDoc="0" locked="0" layoutInCell="1" allowOverlap="1">
          <wp:simplePos x="0" y="0"/>
          <wp:positionH relativeFrom="column">
            <wp:posOffset>-377190</wp:posOffset>
          </wp:positionH>
          <wp:positionV relativeFrom="paragraph">
            <wp:posOffset>5080</wp:posOffset>
          </wp:positionV>
          <wp:extent cx="2038350" cy="152908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anchor>
      </w:drawing>
    </w:r>
  </w:p>
  <w:p w:rsidR="00F302DD" w:rsidRPr="00A91141" w:rsidRDefault="00F302DD" w:rsidP="00655736">
    <w:pPr>
      <w:pStyle w:val="Header"/>
      <w:spacing w:after="520"/>
      <w:jc w:val="right"/>
      <w:rPr>
        <w:rFonts w:ascii="Arial" w:hAnsi="Arial" w:cs="Arial"/>
        <w:b/>
        <w:sz w:val="44"/>
        <w:szCs w:val="44"/>
        <w:lang w:val="en-US"/>
      </w:rPr>
    </w:pPr>
    <w:r>
      <w:rPr>
        <w:rFonts w:ascii="Arial" w:hAnsi="Arial" w:cs="Arial"/>
        <w:b/>
        <w:sz w:val="44"/>
        <w:szCs w:val="44"/>
        <w:lang w:val="en-US"/>
      </w:rPr>
      <w:t>11</w:t>
    </w:r>
    <w:r w:rsidRPr="00A91141">
      <w:rPr>
        <w:rFonts w:ascii="Arial" w:hAnsi="Arial" w:cs="Arial"/>
        <w:b/>
        <w:sz w:val="44"/>
        <w:szCs w:val="44"/>
        <w:lang w:val="en-US"/>
      </w:rPr>
      <w:t xml:space="preserve"> </w:t>
    </w:r>
    <w:r w:rsidRPr="00AA1D1D">
      <w:rPr>
        <w:rFonts w:ascii="Arial" w:hAnsi="Arial" w:cs="Arial"/>
        <w:b/>
        <w:sz w:val="44"/>
        <w:szCs w:val="44"/>
        <w:lang w:val="en-GB"/>
      </w:rPr>
      <w:t>COM </w:t>
    </w:r>
    <w:r>
      <w:rPr>
        <w:rFonts w:ascii="Arial" w:hAnsi="Arial" w:cs="Arial"/>
        <w:b/>
        <w:sz w:val="44"/>
        <w:szCs w:val="44"/>
        <w:lang w:val="en-GB"/>
      </w:rPr>
      <w:t>1 </w:t>
    </w:r>
    <w:r w:rsidRPr="00AA1D1D">
      <w:rPr>
        <w:rFonts w:ascii="Arial" w:hAnsi="Arial" w:cs="Arial"/>
        <w:b/>
        <w:sz w:val="44"/>
        <w:szCs w:val="44"/>
        <w:lang w:val="en-GB"/>
      </w:rPr>
      <w:t>BUR</w:t>
    </w:r>
  </w:p>
  <w:p w:rsidR="00F302DD" w:rsidRPr="00987E52" w:rsidRDefault="00F302DD" w:rsidP="00655736">
    <w:pPr>
      <w:jc w:val="right"/>
      <w:rPr>
        <w:rFonts w:ascii="Arial" w:hAnsi="Arial" w:cs="Arial"/>
        <w:b/>
        <w:sz w:val="22"/>
        <w:szCs w:val="22"/>
        <w:lang w:val="en-US"/>
      </w:rPr>
    </w:pPr>
    <w:r w:rsidRPr="00987E52">
      <w:rPr>
        <w:rFonts w:ascii="Arial" w:hAnsi="Arial" w:cs="Arial"/>
        <w:b/>
        <w:sz w:val="22"/>
        <w:szCs w:val="22"/>
        <w:lang w:val="en-US"/>
      </w:rPr>
      <w:t>ITH/16/11.COM 1.BUR/1</w:t>
    </w:r>
  </w:p>
  <w:p w:rsidR="00F302DD" w:rsidRPr="00A91141" w:rsidRDefault="00F302DD" w:rsidP="00655736">
    <w:pPr>
      <w:jc w:val="right"/>
      <w:rPr>
        <w:rFonts w:ascii="Arial" w:hAnsi="Arial" w:cs="Arial"/>
        <w:b/>
        <w:sz w:val="22"/>
        <w:szCs w:val="22"/>
      </w:rPr>
    </w:pPr>
    <w:r w:rsidRPr="00A91141">
      <w:rPr>
        <w:rFonts w:ascii="Arial" w:hAnsi="Arial" w:cs="Arial"/>
        <w:b/>
        <w:sz w:val="22"/>
        <w:szCs w:val="22"/>
      </w:rPr>
      <w:t xml:space="preserve">Paris, le </w:t>
    </w:r>
    <w:r>
      <w:rPr>
        <w:rFonts w:ascii="Arial" w:hAnsi="Arial" w:cs="Arial"/>
        <w:b/>
        <w:sz w:val="22"/>
        <w:szCs w:val="22"/>
      </w:rPr>
      <w:t>21 mars 2016</w:t>
    </w:r>
  </w:p>
  <w:p w:rsidR="00F302DD" w:rsidRPr="0020150F" w:rsidRDefault="00F302DD" w:rsidP="003E2A08">
    <w:pPr>
      <w:jc w:val="right"/>
      <w:rPr>
        <w:rFonts w:ascii="Arial" w:hAnsi="Arial" w:cs="Arial"/>
        <w:b/>
        <w:sz w:val="22"/>
        <w:szCs w:val="22"/>
      </w:rPr>
    </w:pPr>
    <w:r w:rsidRPr="00022428">
      <w:rPr>
        <w:rFonts w:ascii="Arial" w:hAnsi="Arial" w:cs="Arial"/>
        <w:b/>
        <w:sz w:val="22"/>
        <w:szCs w:val="22"/>
      </w:rPr>
      <w:t xml:space="preserve">Original : </w:t>
    </w:r>
    <w:r>
      <w:rPr>
        <w:rFonts w:ascii="Arial" w:hAnsi="Arial" w:cs="Arial"/>
        <w:b/>
        <w:sz w:val="22"/>
        <w:szCs w:val="22"/>
      </w:rPr>
      <w:t>anglais</w:t>
    </w:r>
  </w:p>
  <w:p w:rsidR="00F302DD" w:rsidRPr="0057439C" w:rsidRDefault="00F30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55C"/>
    <w:multiLevelType w:val="hybridMultilevel"/>
    <w:tmpl w:val="3B3CD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22D6A"/>
    <w:multiLevelType w:val="hybridMultilevel"/>
    <w:tmpl w:val="E898B03C"/>
    <w:lvl w:ilvl="0" w:tplc="16D41E7A">
      <w:start w:val="1"/>
      <w:numFmt w:val="decimal"/>
      <w:lvlText w:val="%1."/>
      <w:lvlJc w:val="left"/>
      <w:pPr>
        <w:ind w:left="175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B5902D6"/>
    <w:multiLevelType w:val="hybridMultilevel"/>
    <w:tmpl w:val="40126DAC"/>
    <w:lvl w:ilvl="0" w:tplc="C02E1EB6">
      <w:start w:val="1"/>
      <w:numFmt w:val="decimal"/>
      <w:lvlText w:val="%1."/>
      <w:lvlJc w:val="left"/>
      <w:pPr>
        <w:ind w:left="928"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26BF2D02"/>
    <w:multiLevelType w:val="hybridMultilevel"/>
    <w:tmpl w:val="A17E05EC"/>
    <w:lvl w:ilvl="0" w:tplc="968AB60A">
      <w:start w:val="1"/>
      <w:numFmt w:val="bullet"/>
      <w:lvlText w:val=""/>
      <w:lvlJc w:val="left"/>
      <w:pPr>
        <w:ind w:left="927" w:hanging="360"/>
      </w:pPr>
      <w:rPr>
        <w:rFonts w:ascii="Symbol" w:hAnsi="Symbol" w:hint="default"/>
        <w:b w:val="0"/>
        <w:lang w:val="fr-FR"/>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89B2D51C"/>
    <w:lvl w:ilvl="0" w:tplc="4CEC5DE4">
      <w:start w:val="1"/>
      <w:numFmt w:val="decimal"/>
      <w:pStyle w:val="COMParabodytext"/>
      <w:lvlText w:val="%1."/>
      <w:lvlJc w:val="left"/>
      <w:pPr>
        <w:ind w:left="720" w:hanging="360"/>
      </w:pPr>
      <w:rPr>
        <w:rFonts w:hint="default"/>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41360434"/>
    <w:lvl w:ilvl="0" w:tplc="B35A244C">
      <w:start w:val="1"/>
      <w:numFmt w:val="decimal"/>
      <w:pStyle w:val="COMParaDecision"/>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Symbol" w:hint="default"/>
      </w:rPr>
    </w:lvl>
    <w:lvl w:ilvl="1" w:tplc="040C0003" w:tentative="1">
      <w:start w:val="1"/>
      <w:numFmt w:val="bullet"/>
      <w:lvlText w:val="o"/>
      <w:lvlJc w:val="left"/>
      <w:pPr>
        <w:ind w:left="2214" w:hanging="360"/>
      </w:pPr>
      <w:rPr>
        <w:rFonts w:ascii="Courier New" w:hAnsi="Courier New" w:cs="Arial"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Arial"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Arial"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47A13562"/>
    <w:multiLevelType w:val="hybridMultilevel"/>
    <w:tmpl w:val="8D4E94E0"/>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E80996"/>
    <w:multiLevelType w:val="hybridMultilevel"/>
    <w:tmpl w:val="D2C2F4D4"/>
    <w:lvl w:ilvl="0" w:tplc="040C000F">
      <w:start w:val="1"/>
      <w:numFmt w:val="decimal"/>
      <w:lvlText w:val="%1."/>
      <w:lvlJc w:val="left"/>
      <w:pPr>
        <w:ind w:left="2133" w:hanging="360"/>
      </w:pPr>
    </w:lvl>
    <w:lvl w:ilvl="1" w:tplc="040C0019" w:tentative="1">
      <w:start w:val="1"/>
      <w:numFmt w:val="lowerLetter"/>
      <w:lvlText w:val="%2."/>
      <w:lvlJc w:val="left"/>
      <w:pPr>
        <w:ind w:left="2853" w:hanging="360"/>
      </w:pPr>
    </w:lvl>
    <w:lvl w:ilvl="2" w:tplc="040C001B" w:tentative="1">
      <w:start w:val="1"/>
      <w:numFmt w:val="lowerRoman"/>
      <w:lvlText w:val="%3."/>
      <w:lvlJc w:val="right"/>
      <w:pPr>
        <w:ind w:left="3573" w:hanging="180"/>
      </w:pPr>
    </w:lvl>
    <w:lvl w:ilvl="3" w:tplc="040C000F" w:tentative="1">
      <w:start w:val="1"/>
      <w:numFmt w:val="decimal"/>
      <w:lvlText w:val="%4."/>
      <w:lvlJc w:val="left"/>
      <w:pPr>
        <w:ind w:left="4293" w:hanging="360"/>
      </w:pPr>
    </w:lvl>
    <w:lvl w:ilvl="4" w:tplc="040C0019" w:tentative="1">
      <w:start w:val="1"/>
      <w:numFmt w:val="lowerLetter"/>
      <w:lvlText w:val="%5."/>
      <w:lvlJc w:val="left"/>
      <w:pPr>
        <w:ind w:left="5013" w:hanging="360"/>
      </w:pPr>
    </w:lvl>
    <w:lvl w:ilvl="5" w:tplc="040C001B" w:tentative="1">
      <w:start w:val="1"/>
      <w:numFmt w:val="lowerRoman"/>
      <w:lvlText w:val="%6."/>
      <w:lvlJc w:val="right"/>
      <w:pPr>
        <w:ind w:left="5733" w:hanging="180"/>
      </w:pPr>
    </w:lvl>
    <w:lvl w:ilvl="6" w:tplc="040C000F" w:tentative="1">
      <w:start w:val="1"/>
      <w:numFmt w:val="decimal"/>
      <w:lvlText w:val="%7."/>
      <w:lvlJc w:val="left"/>
      <w:pPr>
        <w:ind w:left="6453" w:hanging="360"/>
      </w:pPr>
    </w:lvl>
    <w:lvl w:ilvl="7" w:tplc="040C0019" w:tentative="1">
      <w:start w:val="1"/>
      <w:numFmt w:val="lowerLetter"/>
      <w:lvlText w:val="%8."/>
      <w:lvlJc w:val="left"/>
      <w:pPr>
        <w:ind w:left="7173" w:hanging="360"/>
      </w:pPr>
    </w:lvl>
    <w:lvl w:ilvl="8" w:tplc="040C001B" w:tentative="1">
      <w:start w:val="1"/>
      <w:numFmt w:val="lowerRoman"/>
      <w:lvlText w:val="%9."/>
      <w:lvlJc w:val="right"/>
      <w:pPr>
        <w:ind w:left="7893" w:hanging="180"/>
      </w:pPr>
    </w:lvl>
  </w:abstractNum>
  <w:abstractNum w:abstractNumId="15" w15:restartNumberingAfterBreak="0">
    <w:nsid w:val="53676892"/>
    <w:multiLevelType w:val="hybridMultilevel"/>
    <w:tmpl w:val="D2C6A28A"/>
    <w:lvl w:ilvl="0" w:tplc="D1D0C9D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Aria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Arial"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Arial"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56FE260B"/>
    <w:multiLevelType w:val="hybridMultilevel"/>
    <w:tmpl w:val="73167590"/>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8B77A0"/>
    <w:multiLevelType w:val="hybridMultilevel"/>
    <w:tmpl w:val="9AC4E7AA"/>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6260B9"/>
    <w:multiLevelType w:val="hybridMultilevel"/>
    <w:tmpl w:val="E85CBBD0"/>
    <w:lvl w:ilvl="0" w:tplc="42E600FC">
      <w:start w:val="1"/>
      <w:numFmt w:val="bullet"/>
      <w:lvlText w:val=""/>
      <w:lvlJc w:val="left"/>
      <w:pPr>
        <w:ind w:left="927" w:hanging="360"/>
      </w:pPr>
      <w:rPr>
        <w:rFonts w:ascii="Symbol" w:hAnsi="Symbol" w:hint="default"/>
        <w:b w:val="0"/>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8"/>
  </w:num>
  <w:num w:numId="2">
    <w:abstractNumId w:val="10"/>
  </w:num>
  <w:num w:numId="3">
    <w:abstractNumId w:val="4"/>
  </w:num>
  <w:num w:numId="4">
    <w:abstractNumId w:val="21"/>
  </w:num>
  <w:num w:numId="5">
    <w:abstractNumId w:val="20"/>
  </w:num>
  <w:num w:numId="6">
    <w:abstractNumId w:val="3"/>
  </w:num>
  <w:num w:numId="7">
    <w:abstractNumId w:val="5"/>
  </w:num>
  <w:num w:numId="8">
    <w:abstractNumId w:val="12"/>
  </w:num>
  <w:num w:numId="9">
    <w:abstractNumId w:val="9"/>
  </w:num>
  <w:num w:numId="10">
    <w:abstractNumId w:val="11"/>
  </w:num>
  <w:num w:numId="11">
    <w:abstractNumId w:val="8"/>
  </w:num>
  <w:num w:numId="12">
    <w:abstractNumId w:val="6"/>
  </w:num>
  <w:num w:numId="13">
    <w:abstractNumId w:val="22"/>
  </w:num>
  <w:num w:numId="14">
    <w:abstractNumId w:val="0"/>
  </w:num>
  <w:num w:numId="15">
    <w:abstractNumId w:val="15"/>
  </w:num>
  <w:num w:numId="16">
    <w:abstractNumId w:val="7"/>
  </w:num>
  <w:num w:numId="17">
    <w:abstractNumId w:val="19"/>
  </w:num>
  <w:num w:numId="18">
    <w:abstractNumId w:val="2"/>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9"/>
    <w:lvlOverride w:ilvl="0">
      <w:startOverride w:val="1"/>
    </w:lvlOverride>
  </w:num>
  <w:num w:numId="22">
    <w:abstractNumId w:val="9"/>
  </w:num>
  <w:num w:numId="23">
    <w:abstractNumId w:val="17"/>
  </w:num>
  <w:num w:numId="24">
    <w:abstractNumId w:val="11"/>
    <w:lvlOverride w:ilvl="0">
      <w:startOverride w:val="1"/>
    </w:lvlOverride>
  </w:num>
  <w:num w:numId="25">
    <w:abstractNumId w:val="16"/>
  </w:num>
  <w:num w:numId="26">
    <w:abstractNumId w:val="13"/>
  </w:num>
  <w:num w:numId="27">
    <w:abstractNumId w:val="14"/>
  </w:num>
  <w:num w:numId="28">
    <w:abstractNumId w:val="1"/>
  </w:num>
  <w:num w:numId="29">
    <w:abstractNumId w:val="11"/>
  </w:num>
  <w:num w:numId="3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FC"/>
    <w:rsid w:val="00003F4A"/>
    <w:rsid w:val="00020BFC"/>
    <w:rsid w:val="00022428"/>
    <w:rsid w:val="000263BA"/>
    <w:rsid w:val="0003530D"/>
    <w:rsid w:val="00044AD2"/>
    <w:rsid w:val="00046ACA"/>
    <w:rsid w:val="0005176E"/>
    <w:rsid w:val="00053680"/>
    <w:rsid w:val="000558C6"/>
    <w:rsid w:val="00063CE9"/>
    <w:rsid w:val="000670F8"/>
    <w:rsid w:val="00073720"/>
    <w:rsid w:val="00074057"/>
    <w:rsid w:val="00077AB7"/>
    <w:rsid w:val="00080E87"/>
    <w:rsid w:val="00081CD8"/>
    <w:rsid w:val="0008329C"/>
    <w:rsid w:val="00092A74"/>
    <w:rsid w:val="000932C3"/>
    <w:rsid w:val="000A7F0E"/>
    <w:rsid w:val="000B7129"/>
    <w:rsid w:val="000D1051"/>
    <w:rsid w:val="000E6CD7"/>
    <w:rsid w:val="000F3A3F"/>
    <w:rsid w:val="000F6086"/>
    <w:rsid w:val="00104F49"/>
    <w:rsid w:val="00130097"/>
    <w:rsid w:val="001372E8"/>
    <w:rsid w:val="00137F77"/>
    <w:rsid w:val="00142862"/>
    <w:rsid w:val="0014656D"/>
    <w:rsid w:val="0014715D"/>
    <w:rsid w:val="00153845"/>
    <w:rsid w:val="00164D56"/>
    <w:rsid w:val="00165170"/>
    <w:rsid w:val="00167B10"/>
    <w:rsid w:val="001772E0"/>
    <w:rsid w:val="001860CC"/>
    <w:rsid w:val="0019264E"/>
    <w:rsid w:val="0019489C"/>
    <w:rsid w:val="00196C1B"/>
    <w:rsid w:val="001A766C"/>
    <w:rsid w:val="001B0F73"/>
    <w:rsid w:val="001B6BAB"/>
    <w:rsid w:val="001C157B"/>
    <w:rsid w:val="001C2B2E"/>
    <w:rsid w:val="001C459B"/>
    <w:rsid w:val="001C6DC4"/>
    <w:rsid w:val="001D2972"/>
    <w:rsid w:val="001F60D1"/>
    <w:rsid w:val="0020150F"/>
    <w:rsid w:val="00221107"/>
    <w:rsid w:val="002219DF"/>
    <w:rsid w:val="00222A2D"/>
    <w:rsid w:val="00231109"/>
    <w:rsid w:val="002337B7"/>
    <w:rsid w:val="002407AF"/>
    <w:rsid w:val="00240F2C"/>
    <w:rsid w:val="00242600"/>
    <w:rsid w:val="0027358D"/>
    <w:rsid w:val="00280D62"/>
    <w:rsid w:val="002846A7"/>
    <w:rsid w:val="00285B40"/>
    <w:rsid w:val="002A6C11"/>
    <w:rsid w:val="002A6F73"/>
    <w:rsid w:val="002C0D14"/>
    <w:rsid w:val="002C0D2D"/>
    <w:rsid w:val="002C149C"/>
    <w:rsid w:val="002D5542"/>
    <w:rsid w:val="002E1AA9"/>
    <w:rsid w:val="002E3D25"/>
    <w:rsid w:val="002E58D4"/>
    <w:rsid w:val="002F242A"/>
    <w:rsid w:val="002F7FD7"/>
    <w:rsid w:val="0030706F"/>
    <w:rsid w:val="00320EBB"/>
    <w:rsid w:val="00322036"/>
    <w:rsid w:val="00322A06"/>
    <w:rsid w:val="00340460"/>
    <w:rsid w:val="00356CAA"/>
    <w:rsid w:val="00366F18"/>
    <w:rsid w:val="00373299"/>
    <w:rsid w:val="003845BE"/>
    <w:rsid w:val="0038590D"/>
    <w:rsid w:val="00387719"/>
    <w:rsid w:val="003A175D"/>
    <w:rsid w:val="003A4CAE"/>
    <w:rsid w:val="003A7CD2"/>
    <w:rsid w:val="003B5490"/>
    <w:rsid w:val="003C1678"/>
    <w:rsid w:val="003C78AF"/>
    <w:rsid w:val="003D069C"/>
    <w:rsid w:val="003D46A3"/>
    <w:rsid w:val="003E07D8"/>
    <w:rsid w:val="003E218C"/>
    <w:rsid w:val="003E2A08"/>
    <w:rsid w:val="003F113A"/>
    <w:rsid w:val="003F6CF1"/>
    <w:rsid w:val="004239C7"/>
    <w:rsid w:val="00430200"/>
    <w:rsid w:val="0043571C"/>
    <w:rsid w:val="00440F9B"/>
    <w:rsid w:val="004421E5"/>
    <w:rsid w:val="00443880"/>
    <w:rsid w:val="00452284"/>
    <w:rsid w:val="00453472"/>
    <w:rsid w:val="00471BC4"/>
    <w:rsid w:val="0048291C"/>
    <w:rsid w:val="004846FE"/>
    <w:rsid w:val="00486948"/>
    <w:rsid w:val="00486AC6"/>
    <w:rsid w:val="00491A7E"/>
    <w:rsid w:val="00491D70"/>
    <w:rsid w:val="0049705E"/>
    <w:rsid w:val="004A26B5"/>
    <w:rsid w:val="004A66A3"/>
    <w:rsid w:val="004A6925"/>
    <w:rsid w:val="004A6C72"/>
    <w:rsid w:val="004C0967"/>
    <w:rsid w:val="004C0B11"/>
    <w:rsid w:val="004C3F3E"/>
    <w:rsid w:val="004D7F87"/>
    <w:rsid w:val="004E63BF"/>
    <w:rsid w:val="005236A7"/>
    <w:rsid w:val="0052591D"/>
    <w:rsid w:val="00526B7B"/>
    <w:rsid w:val="005308CE"/>
    <w:rsid w:val="005428C7"/>
    <w:rsid w:val="00550D94"/>
    <w:rsid w:val="0056060F"/>
    <w:rsid w:val="005620E2"/>
    <w:rsid w:val="005664F8"/>
    <w:rsid w:val="0057439C"/>
    <w:rsid w:val="00580F3E"/>
    <w:rsid w:val="00582435"/>
    <w:rsid w:val="00594D37"/>
    <w:rsid w:val="00595A99"/>
    <w:rsid w:val="00597986"/>
    <w:rsid w:val="005A0084"/>
    <w:rsid w:val="005B0127"/>
    <w:rsid w:val="005C094D"/>
    <w:rsid w:val="005C4B73"/>
    <w:rsid w:val="005E0AC2"/>
    <w:rsid w:val="005E7F4C"/>
    <w:rsid w:val="005F0ECE"/>
    <w:rsid w:val="005F1DA1"/>
    <w:rsid w:val="00600D93"/>
    <w:rsid w:val="00624E06"/>
    <w:rsid w:val="00627C5C"/>
    <w:rsid w:val="006328C0"/>
    <w:rsid w:val="00635F5A"/>
    <w:rsid w:val="006419A9"/>
    <w:rsid w:val="0064685C"/>
    <w:rsid w:val="006553AE"/>
    <w:rsid w:val="00655736"/>
    <w:rsid w:val="006573F7"/>
    <w:rsid w:val="0066364F"/>
    <w:rsid w:val="00663B8D"/>
    <w:rsid w:val="00687F24"/>
    <w:rsid w:val="006923BD"/>
    <w:rsid w:val="00696C8D"/>
    <w:rsid w:val="006A2AC2"/>
    <w:rsid w:val="006A3617"/>
    <w:rsid w:val="006B5001"/>
    <w:rsid w:val="006D1876"/>
    <w:rsid w:val="006D21D9"/>
    <w:rsid w:val="006D2536"/>
    <w:rsid w:val="006E1767"/>
    <w:rsid w:val="006E46E4"/>
    <w:rsid w:val="006F4DA6"/>
    <w:rsid w:val="0070115C"/>
    <w:rsid w:val="00707B1E"/>
    <w:rsid w:val="00717DBD"/>
    <w:rsid w:val="00720151"/>
    <w:rsid w:val="00737842"/>
    <w:rsid w:val="00744D3D"/>
    <w:rsid w:val="00756D12"/>
    <w:rsid w:val="00761349"/>
    <w:rsid w:val="007621FE"/>
    <w:rsid w:val="00762C24"/>
    <w:rsid w:val="00764CF9"/>
    <w:rsid w:val="00764F62"/>
    <w:rsid w:val="00765E61"/>
    <w:rsid w:val="00775718"/>
    <w:rsid w:val="00784B8C"/>
    <w:rsid w:val="00793076"/>
    <w:rsid w:val="007964B5"/>
    <w:rsid w:val="0079699D"/>
    <w:rsid w:val="007C4949"/>
    <w:rsid w:val="007D20E8"/>
    <w:rsid w:val="007F060B"/>
    <w:rsid w:val="008055DE"/>
    <w:rsid w:val="008064F0"/>
    <w:rsid w:val="00817365"/>
    <w:rsid w:val="008237A0"/>
    <w:rsid w:val="00823A11"/>
    <w:rsid w:val="00824EF7"/>
    <w:rsid w:val="00834D59"/>
    <w:rsid w:val="00844105"/>
    <w:rsid w:val="0085414A"/>
    <w:rsid w:val="00860DEB"/>
    <w:rsid w:val="0086269D"/>
    <w:rsid w:val="00863302"/>
    <w:rsid w:val="008712A2"/>
    <w:rsid w:val="00871C8F"/>
    <w:rsid w:val="008724E5"/>
    <w:rsid w:val="0087756E"/>
    <w:rsid w:val="00880142"/>
    <w:rsid w:val="00884A9D"/>
    <w:rsid w:val="00891379"/>
    <w:rsid w:val="008A4610"/>
    <w:rsid w:val="008A4E1E"/>
    <w:rsid w:val="008A71B6"/>
    <w:rsid w:val="008C296C"/>
    <w:rsid w:val="008D2FD1"/>
    <w:rsid w:val="008D3134"/>
    <w:rsid w:val="008D4305"/>
    <w:rsid w:val="008E5043"/>
    <w:rsid w:val="008F2D08"/>
    <w:rsid w:val="009134E8"/>
    <w:rsid w:val="00913D86"/>
    <w:rsid w:val="009163A7"/>
    <w:rsid w:val="00922E3E"/>
    <w:rsid w:val="00923EB1"/>
    <w:rsid w:val="00933C6B"/>
    <w:rsid w:val="00943D79"/>
    <w:rsid w:val="00945DDA"/>
    <w:rsid w:val="00947AA9"/>
    <w:rsid w:val="00950F68"/>
    <w:rsid w:val="009523C1"/>
    <w:rsid w:val="0095371E"/>
    <w:rsid w:val="00962119"/>
    <w:rsid w:val="00964011"/>
    <w:rsid w:val="009712A4"/>
    <w:rsid w:val="00973D27"/>
    <w:rsid w:val="00974249"/>
    <w:rsid w:val="00987E52"/>
    <w:rsid w:val="009938EB"/>
    <w:rsid w:val="009A0697"/>
    <w:rsid w:val="009A18CD"/>
    <w:rsid w:val="009B4755"/>
    <w:rsid w:val="009D650A"/>
    <w:rsid w:val="009E1B50"/>
    <w:rsid w:val="009F17B5"/>
    <w:rsid w:val="00A078D6"/>
    <w:rsid w:val="00A07DB0"/>
    <w:rsid w:val="00A12558"/>
    <w:rsid w:val="00A13903"/>
    <w:rsid w:val="00A152D5"/>
    <w:rsid w:val="00A2639F"/>
    <w:rsid w:val="00A32E09"/>
    <w:rsid w:val="00A34081"/>
    <w:rsid w:val="00A34ED5"/>
    <w:rsid w:val="00A443A6"/>
    <w:rsid w:val="00A45DBF"/>
    <w:rsid w:val="00A5015D"/>
    <w:rsid w:val="00A54E0A"/>
    <w:rsid w:val="00A566DD"/>
    <w:rsid w:val="00A600BA"/>
    <w:rsid w:val="00A61C6E"/>
    <w:rsid w:val="00A755A2"/>
    <w:rsid w:val="00A8458C"/>
    <w:rsid w:val="00A903CF"/>
    <w:rsid w:val="00A90761"/>
    <w:rsid w:val="00A91141"/>
    <w:rsid w:val="00A976DC"/>
    <w:rsid w:val="00AA6E05"/>
    <w:rsid w:val="00AA7D32"/>
    <w:rsid w:val="00AB24B2"/>
    <w:rsid w:val="00AB2C36"/>
    <w:rsid w:val="00AB537D"/>
    <w:rsid w:val="00AC230B"/>
    <w:rsid w:val="00AD1A86"/>
    <w:rsid w:val="00AE103E"/>
    <w:rsid w:val="00AE6A61"/>
    <w:rsid w:val="00AF0A07"/>
    <w:rsid w:val="00AF5AE5"/>
    <w:rsid w:val="00AF625E"/>
    <w:rsid w:val="00AF721B"/>
    <w:rsid w:val="00B0001B"/>
    <w:rsid w:val="00B03E71"/>
    <w:rsid w:val="00B152B1"/>
    <w:rsid w:val="00B216FE"/>
    <w:rsid w:val="00B2299B"/>
    <w:rsid w:val="00B26A2B"/>
    <w:rsid w:val="00B43004"/>
    <w:rsid w:val="00B43974"/>
    <w:rsid w:val="00B653B0"/>
    <w:rsid w:val="00B71C2E"/>
    <w:rsid w:val="00B7552A"/>
    <w:rsid w:val="00B80A05"/>
    <w:rsid w:val="00B90701"/>
    <w:rsid w:val="00BA03D5"/>
    <w:rsid w:val="00BC0335"/>
    <w:rsid w:val="00BC3420"/>
    <w:rsid w:val="00BD52C9"/>
    <w:rsid w:val="00BE40DF"/>
    <w:rsid w:val="00BE6354"/>
    <w:rsid w:val="00C15249"/>
    <w:rsid w:val="00C215D2"/>
    <w:rsid w:val="00C22C21"/>
    <w:rsid w:val="00C2404D"/>
    <w:rsid w:val="00C279FB"/>
    <w:rsid w:val="00C358C4"/>
    <w:rsid w:val="00C377F5"/>
    <w:rsid w:val="00C45EF6"/>
    <w:rsid w:val="00C51625"/>
    <w:rsid w:val="00C5397E"/>
    <w:rsid w:val="00C57AA0"/>
    <w:rsid w:val="00C70EA7"/>
    <w:rsid w:val="00C748CE"/>
    <w:rsid w:val="00C7516E"/>
    <w:rsid w:val="00C77FB5"/>
    <w:rsid w:val="00C802B0"/>
    <w:rsid w:val="00C8048C"/>
    <w:rsid w:val="00C9094B"/>
    <w:rsid w:val="00C96DD2"/>
    <w:rsid w:val="00CB4FB0"/>
    <w:rsid w:val="00CB66E1"/>
    <w:rsid w:val="00CC69D3"/>
    <w:rsid w:val="00CD6B3B"/>
    <w:rsid w:val="00CE7090"/>
    <w:rsid w:val="00CF01A0"/>
    <w:rsid w:val="00CF594D"/>
    <w:rsid w:val="00D23856"/>
    <w:rsid w:val="00D24877"/>
    <w:rsid w:val="00D31A3B"/>
    <w:rsid w:val="00D37E7E"/>
    <w:rsid w:val="00D45AF2"/>
    <w:rsid w:val="00D50C29"/>
    <w:rsid w:val="00D6334C"/>
    <w:rsid w:val="00D75D42"/>
    <w:rsid w:val="00D873B1"/>
    <w:rsid w:val="00DA366E"/>
    <w:rsid w:val="00DA36ED"/>
    <w:rsid w:val="00DB10EF"/>
    <w:rsid w:val="00DB4A84"/>
    <w:rsid w:val="00DC7FFC"/>
    <w:rsid w:val="00DD2024"/>
    <w:rsid w:val="00DE34F1"/>
    <w:rsid w:val="00DE4127"/>
    <w:rsid w:val="00DF2185"/>
    <w:rsid w:val="00DF4942"/>
    <w:rsid w:val="00DF59C3"/>
    <w:rsid w:val="00E016D0"/>
    <w:rsid w:val="00E114B7"/>
    <w:rsid w:val="00E11759"/>
    <w:rsid w:val="00E22288"/>
    <w:rsid w:val="00E32407"/>
    <w:rsid w:val="00E37836"/>
    <w:rsid w:val="00E5011F"/>
    <w:rsid w:val="00E531B4"/>
    <w:rsid w:val="00E61E46"/>
    <w:rsid w:val="00E627B1"/>
    <w:rsid w:val="00E62B4C"/>
    <w:rsid w:val="00E63FE2"/>
    <w:rsid w:val="00E67F32"/>
    <w:rsid w:val="00E80CE1"/>
    <w:rsid w:val="00E81FA1"/>
    <w:rsid w:val="00E84C78"/>
    <w:rsid w:val="00E8577E"/>
    <w:rsid w:val="00E9376C"/>
    <w:rsid w:val="00EA63A5"/>
    <w:rsid w:val="00EC2246"/>
    <w:rsid w:val="00ED7659"/>
    <w:rsid w:val="00EE4F3F"/>
    <w:rsid w:val="00F02EA8"/>
    <w:rsid w:val="00F06974"/>
    <w:rsid w:val="00F134B7"/>
    <w:rsid w:val="00F26FD6"/>
    <w:rsid w:val="00F302DD"/>
    <w:rsid w:val="00F3092C"/>
    <w:rsid w:val="00F36C16"/>
    <w:rsid w:val="00F55E3B"/>
    <w:rsid w:val="00F576CB"/>
    <w:rsid w:val="00F73752"/>
    <w:rsid w:val="00FA43EF"/>
    <w:rsid w:val="00FC2940"/>
    <w:rsid w:val="00FC4715"/>
    <w:rsid w:val="00FD1226"/>
    <w:rsid w:val="00FE5D46"/>
    <w:rsid w:val="00FF5C70"/>
    <w:rsid w:val="00FF7C7A"/>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A99D4FF-A27F-490B-BAC1-2BC3379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20"/>
    <w:rPr>
      <w:rFonts w:ascii="Times New Roman" w:eastAsia="Times New Roman" w:hAnsi="Times New Roman"/>
    </w:rPr>
  </w:style>
  <w:style w:type="paragraph" w:styleId="Heading1">
    <w:name w:val="heading 1"/>
    <w:basedOn w:val="Normal"/>
    <w:next w:val="Normal"/>
    <w:link w:val="Heading1Char"/>
    <w:uiPriority w:val="9"/>
    <w:rsid w:val="006F4D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rPr>
  </w:style>
  <w:style w:type="paragraph" w:customStyle="1" w:styleId="COMParabodytext">
    <w:name w:val="COM Para body text"/>
    <w:basedOn w:val="Marge"/>
    <w:qFormat/>
    <w:rsid w:val="001A766C"/>
    <w:pPr>
      <w:numPr>
        <w:numId w:val="9"/>
      </w:num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rPr>
  </w:style>
  <w:style w:type="paragraph" w:customStyle="1" w:styleId="ListParagraph1">
    <w:name w:val="List Paragraph1"/>
    <w:basedOn w:val="Normal"/>
    <w:uiPriority w:val="34"/>
    <w:qFormat/>
    <w:rsid w:val="00CB66E1"/>
    <w:pPr>
      <w:ind w:left="708"/>
    </w:pPr>
    <w:rPr>
      <w:rFonts w:eastAsia="SimSun"/>
      <w:lang w:val="en-US" w:eastAsia="en-US"/>
    </w:rPr>
  </w:style>
  <w:style w:type="paragraph" w:customStyle="1" w:styleId="COMPara">
    <w:name w:val="COM Para"/>
    <w:qFormat/>
    <w:rsid w:val="00486AC6"/>
    <w:pPr>
      <w:spacing w:after="120"/>
      <w:ind w:left="720" w:hanging="360"/>
    </w:pPr>
    <w:rPr>
      <w:rFonts w:ascii="Arial" w:eastAsia="Times New Roman" w:hAnsi="Arial" w:cs="Arial"/>
      <w:snapToGrid w:val="0"/>
      <w:sz w:val="22"/>
      <w:szCs w:val="22"/>
      <w:lang w:val="en-GB" w:eastAsia="en-US"/>
    </w:rPr>
  </w:style>
  <w:style w:type="paragraph" w:customStyle="1" w:styleId="DocMain">
    <w:name w:val="Doc_Main"/>
    <w:basedOn w:val="Normal"/>
    <w:uiPriority w:val="99"/>
    <w:qFormat/>
    <w:rsid w:val="00486AC6"/>
    <w:pPr>
      <w:spacing w:before="240" w:after="240"/>
      <w:ind w:left="720" w:hanging="360"/>
      <w:jc w:val="both"/>
    </w:pPr>
    <w:rPr>
      <w:rFonts w:ascii="Arial" w:eastAsia="SimSun" w:hAnsi="Arial" w:cs="Arial"/>
      <w:sz w:val="22"/>
      <w:szCs w:val="22"/>
      <w:lang w:eastAsia="zh-CN"/>
    </w:rPr>
  </w:style>
  <w:style w:type="character" w:customStyle="1" w:styleId="hps">
    <w:name w:val="hps"/>
    <w:rsid w:val="00486AC6"/>
  </w:style>
  <w:style w:type="paragraph" w:customStyle="1" w:styleId="NoSpacing1">
    <w:name w:val="No Spacing1"/>
    <w:uiPriority w:val="99"/>
    <w:qFormat/>
    <w:rsid w:val="00486AC6"/>
    <w:rPr>
      <w:sz w:val="22"/>
      <w:szCs w:val="22"/>
      <w:lang w:eastAsia="zh-CN"/>
    </w:rPr>
  </w:style>
  <w:style w:type="character" w:styleId="Hyperlink">
    <w:name w:val="Hyperlink"/>
    <w:uiPriority w:val="99"/>
    <w:unhideWhenUsed/>
    <w:rsid w:val="000932C3"/>
    <w:rPr>
      <w:color w:val="0000FF"/>
      <w:u w:val="single"/>
    </w:rPr>
  </w:style>
  <w:style w:type="character" w:customStyle="1" w:styleId="Heading1Char">
    <w:name w:val="Heading 1 Char"/>
    <w:basedOn w:val="DefaultParagraphFont"/>
    <w:link w:val="Heading1"/>
    <w:uiPriority w:val="9"/>
    <w:rsid w:val="006F4DA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055DE"/>
    <w:rPr>
      <w:color w:val="800080" w:themeColor="followedHyperlink"/>
      <w:u w:val="single"/>
    </w:rPr>
  </w:style>
  <w:style w:type="paragraph" w:styleId="Caption">
    <w:name w:val="caption"/>
    <w:basedOn w:val="Normal"/>
    <w:next w:val="Normal"/>
    <w:uiPriority w:val="35"/>
    <w:unhideWhenUsed/>
    <w:qFormat/>
    <w:rsid w:val="001D2972"/>
    <w:pPr>
      <w:spacing w:after="200"/>
    </w:pPr>
    <w:rPr>
      <w:b/>
      <w:bCs/>
      <w:color w:val="4F81BD" w:themeColor="accent1"/>
      <w:sz w:val="18"/>
      <w:szCs w:val="18"/>
    </w:rPr>
  </w:style>
  <w:style w:type="character" w:customStyle="1" w:styleId="ParagraphChar">
    <w:name w:val="Paragraph Char"/>
    <w:link w:val="Paragraph"/>
    <w:locked/>
    <w:rsid w:val="00D45AF2"/>
    <w:rPr>
      <w:rFonts w:ascii="Arial" w:eastAsia="Times New Roman" w:hAnsi="Arial" w:cs="Arial"/>
      <w:sz w:val="22"/>
      <w:szCs w:val="22"/>
      <w:lang w:val="en-GB" w:eastAsia="en-US"/>
    </w:rPr>
  </w:style>
  <w:style w:type="paragraph" w:customStyle="1" w:styleId="Paragraph">
    <w:name w:val="Paragraph"/>
    <w:basedOn w:val="Normal"/>
    <w:link w:val="ParagraphChar"/>
    <w:qFormat/>
    <w:rsid w:val="00D45AF2"/>
    <w:pPr>
      <w:snapToGrid w:val="0"/>
      <w:spacing w:after="240"/>
      <w:jc w:val="both"/>
    </w:pPr>
    <w:rPr>
      <w:rFonts w:ascii="Arial" w:hAnsi="Arial" w:cs="Arial"/>
      <w:sz w:val="22"/>
      <w:szCs w:val="22"/>
      <w:lang w:val="en-GB" w:eastAsia="en-US"/>
    </w:rPr>
  </w:style>
  <w:style w:type="paragraph" w:customStyle="1" w:styleId="COMTitleDecision">
    <w:name w:val="COM Title Decision"/>
    <w:basedOn w:val="Normal"/>
    <w:qFormat/>
    <w:rsid w:val="00CD6B3B"/>
    <w:pPr>
      <w:keepNext/>
      <w:spacing w:before="240" w:after="120"/>
      <w:ind w:left="567"/>
      <w:jc w:val="both"/>
    </w:pPr>
    <w:rPr>
      <w:rFonts w:ascii="Arial" w:hAnsi="Arial" w:cs="Arial"/>
      <w:b/>
      <w:sz w:val="22"/>
      <w:szCs w:val="22"/>
      <w:lang w:val="en-GB"/>
    </w:rPr>
  </w:style>
  <w:style w:type="character" w:customStyle="1" w:styleId="MargeChar">
    <w:name w:val="Marge Char"/>
    <w:link w:val="Marge"/>
    <w:locked/>
    <w:rsid w:val="001F60D1"/>
    <w:rPr>
      <w:rFonts w:ascii="Arial" w:eastAsia="Times New Roman" w:hAnsi="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72587">
      <w:bodyDiv w:val="1"/>
      <w:marLeft w:val="0"/>
      <w:marRight w:val="0"/>
      <w:marTop w:val="0"/>
      <w:marBottom w:val="0"/>
      <w:divBdr>
        <w:top w:val="none" w:sz="0" w:space="0" w:color="auto"/>
        <w:left w:val="none" w:sz="0" w:space="0" w:color="auto"/>
        <w:bottom w:val="none" w:sz="0" w:space="0" w:color="auto"/>
        <w:right w:val="none" w:sz="0" w:space="0" w:color="auto"/>
      </w:divBdr>
    </w:div>
    <w:div w:id="1438872798">
      <w:bodyDiv w:val="1"/>
      <w:marLeft w:val="0"/>
      <w:marRight w:val="0"/>
      <w:marTop w:val="0"/>
      <w:marBottom w:val="0"/>
      <w:divBdr>
        <w:top w:val="none" w:sz="0" w:space="0" w:color="auto"/>
        <w:left w:val="none" w:sz="0" w:space="0" w:color="auto"/>
        <w:bottom w:val="none" w:sz="0" w:space="0" w:color="auto"/>
        <w:right w:val="none" w:sz="0" w:space="0" w:color="auto"/>
      </w:divBdr>
    </w:div>
    <w:div w:id="154829810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11.com-bure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_varnet\Document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9DDE-A99B-4481-A012-7E51AD7F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420</TotalTime>
  <Pages>12</Pages>
  <Words>5804</Words>
  <Characters>31923</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varnet</dc:creator>
  <cp:lastModifiedBy>Delsol, Christine</cp:lastModifiedBy>
  <cp:revision>38</cp:revision>
  <cp:lastPrinted>2016-03-18T11:07:00Z</cp:lastPrinted>
  <dcterms:created xsi:type="dcterms:W3CDTF">2016-03-16T15:04:00Z</dcterms:created>
  <dcterms:modified xsi:type="dcterms:W3CDTF">2016-03-18T15:34:00Z</dcterms:modified>
</cp:coreProperties>
</file>