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20" w:rsidRPr="00761349" w:rsidRDefault="00BC3420" w:rsidP="00BC3420">
      <w:pPr>
        <w:spacing w:before="1440"/>
        <w:jc w:val="center"/>
        <w:rPr>
          <w:rFonts w:ascii="Arial" w:hAnsi="Arial" w:cs="Arial"/>
          <w:b/>
          <w:sz w:val="22"/>
          <w:szCs w:val="22"/>
        </w:rPr>
      </w:pPr>
      <w:bookmarkStart w:id="0" w:name="_GoBack"/>
      <w:bookmarkEnd w:id="0"/>
      <w:r w:rsidRPr="00761349">
        <w:rPr>
          <w:rFonts w:ascii="Arial" w:hAnsi="Arial" w:cs="Arial"/>
          <w:b/>
          <w:sz w:val="22"/>
          <w:szCs w:val="22"/>
        </w:rPr>
        <w:t>CONVENTION POUR LA SAUVEGARDE DU</w:t>
      </w:r>
      <w:r w:rsidRPr="00761349">
        <w:rPr>
          <w:rFonts w:ascii="Arial" w:hAnsi="Arial" w:cs="Arial"/>
          <w:b/>
          <w:sz w:val="22"/>
          <w:szCs w:val="22"/>
        </w:rPr>
        <w:br/>
        <w:t>PATRIMOINE CULTUREL IMMATÉRIEL</w:t>
      </w:r>
    </w:p>
    <w:p w:rsidR="00BC3420" w:rsidRPr="00761349" w:rsidRDefault="00BC3420" w:rsidP="00BC3420">
      <w:pPr>
        <w:spacing w:before="1200"/>
        <w:jc w:val="center"/>
        <w:rPr>
          <w:rFonts w:ascii="Arial" w:hAnsi="Arial" w:cs="Arial"/>
          <w:b/>
          <w:sz w:val="22"/>
          <w:szCs w:val="22"/>
        </w:rPr>
      </w:pPr>
      <w:r w:rsidRPr="00761349">
        <w:rPr>
          <w:rFonts w:ascii="Arial" w:hAnsi="Arial" w:cs="Arial"/>
          <w:b/>
          <w:sz w:val="22"/>
          <w:szCs w:val="22"/>
        </w:rPr>
        <w:t>COMITÉ INTERGOUVERNEMENTAL DE SAUVEGARDE</w:t>
      </w:r>
      <w:r w:rsidRPr="00761349">
        <w:rPr>
          <w:rFonts w:ascii="Arial" w:hAnsi="Arial" w:cs="Arial"/>
          <w:b/>
          <w:sz w:val="22"/>
          <w:szCs w:val="22"/>
        </w:rPr>
        <w:br/>
        <w:t>DU PATRIMOINE CULTUREL IMMATÉRIEL</w:t>
      </w:r>
    </w:p>
    <w:p w:rsidR="00BB633D" w:rsidRPr="00761349" w:rsidRDefault="00BB633D" w:rsidP="00BB633D">
      <w:pPr>
        <w:spacing w:before="840"/>
        <w:jc w:val="center"/>
        <w:rPr>
          <w:rFonts w:ascii="Arial" w:hAnsi="Arial" w:cs="Arial"/>
          <w:b/>
          <w:sz w:val="22"/>
          <w:szCs w:val="22"/>
        </w:rPr>
      </w:pPr>
      <w:r w:rsidRPr="00761349">
        <w:rPr>
          <w:rFonts w:ascii="Arial" w:hAnsi="Arial" w:cs="Arial"/>
          <w:b/>
          <w:sz w:val="22"/>
          <w:szCs w:val="22"/>
        </w:rPr>
        <w:t>Consultation électronique du Bureau</w:t>
      </w:r>
    </w:p>
    <w:p w:rsidR="00BB633D" w:rsidRPr="00A86A64" w:rsidRDefault="00BB633D" w:rsidP="00BB633D">
      <w:pPr>
        <w:jc w:val="center"/>
        <w:rPr>
          <w:rFonts w:ascii="Arial" w:hAnsi="Arial" w:cs="Arial"/>
          <w:b/>
          <w:sz w:val="22"/>
          <w:szCs w:val="22"/>
        </w:rPr>
      </w:pPr>
      <w:r>
        <w:rPr>
          <w:rFonts w:ascii="Arial" w:hAnsi="Arial" w:cs="Arial"/>
          <w:b/>
          <w:sz w:val="22"/>
          <w:szCs w:val="22"/>
        </w:rPr>
        <w:t>21 mars au 15 avril 2016</w:t>
      </w:r>
    </w:p>
    <w:p w:rsidR="00FF01F1" w:rsidRPr="00BB79A0" w:rsidRDefault="00FF01F1" w:rsidP="00FF01F1">
      <w:pPr>
        <w:adjustRightInd w:val="0"/>
        <w:spacing w:before="1200" w:after="1200"/>
        <w:jc w:val="center"/>
        <w:rPr>
          <w:rFonts w:ascii="Arial" w:hAnsi="Arial" w:cs="Arial"/>
          <w:noProof/>
          <w:sz w:val="22"/>
          <w:szCs w:val="22"/>
        </w:rPr>
      </w:pPr>
      <w:r w:rsidRPr="00BB79A0">
        <w:rPr>
          <w:rFonts w:ascii="Arial" w:hAnsi="Arial" w:cs="Arial"/>
          <w:b/>
          <w:sz w:val="22"/>
          <w:szCs w:val="22"/>
          <w:u w:val="single"/>
        </w:rPr>
        <w:t>DÉCISIONS</w:t>
      </w:r>
    </w:p>
    <w:p w:rsidR="00BB633D" w:rsidRPr="00761349" w:rsidRDefault="00BC3420" w:rsidP="00BB633D">
      <w:pPr>
        <w:pStyle w:val="GATitleResolution"/>
        <w:spacing w:before="360"/>
        <w:ind w:left="0"/>
      </w:pPr>
      <w:r w:rsidRPr="00761349">
        <w:br w:type="page"/>
      </w:r>
      <w:r w:rsidR="00BB633D" w:rsidRPr="00761349">
        <w:lastRenderedPageBreak/>
        <w:t xml:space="preserve">DÉCISION </w:t>
      </w:r>
      <w:r w:rsidR="00BB633D">
        <w:t xml:space="preserve">11.COM 1.BUR 1.2 </w:t>
      </w:r>
    </w:p>
    <w:p w:rsidR="00BB633D" w:rsidRPr="00761349" w:rsidRDefault="00BB633D" w:rsidP="00BB633D">
      <w:pPr>
        <w:pStyle w:val="COMPreambulaDecision"/>
        <w:ind w:left="0"/>
      </w:pPr>
      <w:r w:rsidRPr="00761349">
        <w:t>Le Bureau,</w:t>
      </w:r>
    </w:p>
    <w:p w:rsidR="00BB633D" w:rsidRDefault="00BB633D" w:rsidP="00BB633D">
      <w:pPr>
        <w:pStyle w:val="COMParaDecision"/>
        <w:numPr>
          <w:ilvl w:val="0"/>
          <w:numId w:val="22"/>
        </w:numPr>
        <w:ind w:left="567" w:hanging="594"/>
        <w:rPr>
          <w:snapToGrid w:val="0"/>
          <w:u w:val="none"/>
          <w:lang w:eastAsia="en-US"/>
        </w:rPr>
      </w:pPr>
      <w:r w:rsidRPr="00761349">
        <w:t>Rappelant</w:t>
      </w:r>
      <w:r>
        <w:rPr>
          <w:snapToGrid w:val="0"/>
          <w:u w:val="none"/>
          <w:lang w:eastAsia="en-US"/>
        </w:rPr>
        <w:t xml:space="preserve"> le chapitre V de la Convention et le chapitre I des Directives opérationnelles</w:t>
      </w:r>
      <w:r w:rsidRPr="00761349">
        <w:rPr>
          <w:snapToGrid w:val="0"/>
          <w:u w:val="none"/>
          <w:lang w:eastAsia="en-US"/>
        </w:rPr>
        <w:t>,</w:t>
      </w:r>
    </w:p>
    <w:p w:rsidR="00BB633D" w:rsidRPr="009D650A" w:rsidRDefault="00BB633D" w:rsidP="00BB633D">
      <w:pPr>
        <w:pStyle w:val="COMParaDecision"/>
        <w:numPr>
          <w:ilvl w:val="0"/>
          <w:numId w:val="22"/>
        </w:numPr>
        <w:ind w:left="567" w:hanging="567"/>
      </w:pPr>
      <w:r w:rsidRPr="004A66A3">
        <w:t>Ayant examiné</w:t>
      </w:r>
      <w:r w:rsidRPr="004A66A3">
        <w:rPr>
          <w:u w:val="none"/>
        </w:rPr>
        <w:t xml:space="preserve"> le</w:t>
      </w:r>
      <w:r w:rsidRPr="009D650A">
        <w:rPr>
          <w:u w:val="none"/>
        </w:rPr>
        <w:t xml:space="preserve"> document ITH/16/11.COM 1.BUR/1</w:t>
      </w:r>
      <w:r w:rsidRPr="009D650A">
        <w:rPr>
          <w:snapToGrid w:val="0"/>
          <w:u w:val="none"/>
          <w:lang w:eastAsia="en-US"/>
        </w:rPr>
        <w:t>,</w:t>
      </w:r>
      <w:r>
        <w:rPr>
          <w:snapToGrid w:val="0"/>
          <w:u w:val="none"/>
          <w:lang w:eastAsia="en-US"/>
        </w:rPr>
        <w:t xml:space="preserve"> ainsi que la demande d’assistance internationale n° </w:t>
      </w:r>
      <w:r w:rsidRPr="009516AB">
        <w:rPr>
          <w:u w:val="none"/>
        </w:rPr>
        <w:t>01121</w:t>
      </w:r>
      <w:r>
        <w:rPr>
          <w:u w:val="none"/>
        </w:rPr>
        <w:t>,</w:t>
      </w:r>
    </w:p>
    <w:p w:rsidR="00BB633D" w:rsidRPr="009D650A" w:rsidRDefault="00BB633D" w:rsidP="00BB633D">
      <w:pPr>
        <w:pStyle w:val="COMParaDecision"/>
        <w:numPr>
          <w:ilvl w:val="0"/>
          <w:numId w:val="22"/>
        </w:numPr>
        <w:ind w:left="567" w:hanging="567"/>
      </w:pPr>
      <w:r w:rsidRPr="00761349">
        <w:t>Prend note</w:t>
      </w:r>
      <w:r w:rsidRPr="009D650A">
        <w:rPr>
          <w:u w:val="none"/>
        </w:rPr>
        <w:t xml:space="preserve"> que </w:t>
      </w:r>
      <w:r>
        <w:rPr>
          <w:u w:val="none"/>
        </w:rPr>
        <w:t xml:space="preserve">les </w:t>
      </w:r>
      <w:r w:rsidRPr="009D650A">
        <w:rPr>
          <w:u w:val="none"/>
        </w:rPr>
        <w:t xml:space="preserve">Fidji </w:t>
      </w:r>
      <w:r>
        <w:rPr>
          <w:u w:val="none"/>
        </w:rPr>
        <w:t>ont</w:t>
      </w:r>
      <w:r w:rsidRPr="009D650A">
        <w:rPr>
          <w:u w:val="none"/>
        </w:rPr>
        <w:t xml:space="preserve"> demandé </w:t>
      </w:r>
      <w:r>
        <w:rPr>
          <w:u w:val="none"/>
        </w:rPr>
        <w:t>une</w:t>
      </w:r>
      <w:r w:rsidRPr="009D650A">
        <w:rPr>
          <w:u w:val="none"/>
        </w:rPr>
        <w:t xml:space="preserve"> assistance internationale pour un projet intitulé </w:t>
      </w:r>
      <w:r>
        <w:rPr>
          <w:u w:val="none"/>
        </w:rPr>
        <w:t>« </w:t>
      </w:r>
      <w:r w:rsidRPr="00C2404D">
        <w:rPr>
          <w:b/>
          <w:szCs w:val="20"/>
          <w:u w:val="none"/>
        </w:rPr>
        <w:t>Sauvegarde des systèmes de savoirs associés aux méthodes de construction traditionnelles des maisons (Bure) fidjiennes (</w:t>
      </w:r>
      <w:proofErr w:type="spellStart"/>
      <w:r w:rsidRPr="00C2404D">
        <w:rPr>
          <w:b/>
          <w:szCs w:val="20"/>
          <w:u w:val="none"/>
        </w:rPr>
        <w:t>iTaukei</w:t>
      </w:r>
      <w:proofErr w:type="spellEnd"/>
      <w:r w:rsidRPr="00C2404D">
        <w:rPr>
          <w:b/>
          <w:szCs w:val="20"/>
          <w:u w:val="none"/>
        </w:rPr>
        <w:t xml:space="preserve">) dans le village de </w:t>
      </w:r>
      <w:proofErr w:type="spellStart"/>
      <w:r w:rsidRPr="00C2404D">
        <w:rPr>
          <w:b/>
          <w:szCs w:val="20"/>
          <w:u w:val="none"/>
        </w:rPr>
        <w:t>Navala</w:t>
      </w:r>
      <w:proofErr w:type="spellEnd"/>
      <w:r w:rsidRPr="00C2404D">
        <w:rPr>
          <w:b/>
          <w:szCs w:val="20"/>
          <w:u w:val="none"/>
        </w:rPr>
        <w:t xml:space="preserve"> (Fidji)</w:t>
      </w:r>
      <w:r w:rsidRPr="00C2404D">
        <w:rPr>
          <w:b/>
          <w:u w:val="none"/>
        </w:rPr>
        <w:t> </w:t>
      </w:r>
      <w:r w:rsidRPr="009D650A">
        <w:rPr>
          <w:u w:val="none"/>
        </w:rPr>
        <w:t>» :</w:t>
      </w:r>
      <w:r>
        <w:rPr>
          <w:u w:val="none"/>
        </w:rPr>
        <w:t xml:space="preserve"> </w:t>
      </w:r>
    </w:p>
    <w:p w:rsidR="00BB633D" w:rsidRDefault="00BB633D" w:rsidP="00BB633D">
      <w:pPr>
        <w:pStyle w:val="COMParaDecision"/>
        <w:numPr>
          <w:ilvl w:val="0"/>
          <w:numId w:val="0"/>
        </w:numPr>
        <w:ind w:left="567"/>
        <w:rPr>
          <w:u w:val="none"/>
        </w:rPr>
      </w:pPr>
      <w:r>
        <w:rPr>
          <w:u w:val="none"/>
        </w:rPr>
        <w:t>L’art, les traditions orales et</w:t>
      </w:r>
      <w:r w:rsidRPr="009D650A">
        <w:rPr>
          <w:u w:val="none"/>
        </w:rPr>
        <w:t xml:space="preserve"> les </w:t>
      </w:r>
      <w:r>
        <w:rPr>
          <w:u w:val="none"/>
        </w:rPr>
        <w:t>défenseurs</w:t>
      </w:r>
      <w:r w:rsidRPr="009D650A">
        <w:rPr>
          <w:u w:val="none"/>
        </w:rPr>
        <w:t xml:space="preserve"> hi</w:t>
      </w:r>
      <w:r>
        <w:rPr>
          <w:u w:val="none"/>
        </w:rPr>
        <w:t xml:space="preserve">storiques et culturels de la construction de </w:t>
      </w:r>
      <w:r w:rsidRPr="009D650A">
        <w:rPr>
          <w:u w:val="none"/>
        </w:rPr>
        <w:t>maisons traditionnelles par les populations autochtones de</w:t>
      </w:r>
      <w:r>
        <w:rPr>
          <w:u w:val="none"/>
        </w:rPr>
        <w:t>s</w:t>
      </w:r>
      <w:r w:rsidRPr="009D650A">
        <w:rPr>
          <w:u w:val="none"/>
        </w:rPr>
        <w:t xml:space="preserve"> Fidji </w:t>
      </w:r>
      <w:r>
        <w:rPr>
          <w:u w:val="none"/>
        </w:rPr>
        <w:t>disparaissent peu à peu</w:t>
      </w:r>
      <w:r w:rsidRPr="009D650A">
        <w:rPr>
          <w:u w:val="none"/>
        </w:rPr>
        <w:t xml:space="preserve">. Le projet proposé sera </w:t>
      </w:r>
      <w:r>
        <w:rPr>
          <w:u w:val="none"/>
        </w:rPr>
        <w:t>mis en œuvre</w:t>
      </w:r>
      <w:r w:rsidRPr="009D650A">
        <w:rPr>
          <w:u w:val="none"/>
        </w:rPr>
        <w:t xml:space="preserve"> dans le village de </w:t>
      </w:r>
      <w:proofErr w:type="spellStart"/>
      <w:r w:rsidRPr="009D650A">
        <w:rPr>
          <w:u w:val="none"/>
        </w:rPr>
        <w:t>Navala</w:t>
      </w:r>
      <w:proofErr w:type="spellEnd"/>
      <w:r w:rsidRPr="009D650A">
        <w:rPr>
          <w:u w:val="none"/>
        </w:rPr>
        <w:t xml:space="preserve"> dans le bassin versant supérieur </w:t>
      </w:r>
      <w:r>
        <w:rPr>
          <w:u w:val="none"/>
        </w:rPr>
        <w:t xml:space="preserve">de la rivière </w:t>
      </w:r>
      <w:r w:rsidRPr="009D650A">
        <w:rPr>
          <w:u w:val="none"/>
        </w:rPr>
        <w:t xml:space="preserve">Ba, </w:t>
      </w:r>
      <w:r>
        <w:rPr>
          <w:u w:val="none"/>
        </w:rPr>
        <w:t xml:space="preserve">situé </w:t>
      </w:r>
      <w:r w:rsidRPr="009D650A">
        <w:rPr>
          <w:u w:val="none"/>
        </w:rPr>
        <w:t>dans la province occidentale de</w:t>
      </w:r>
      <w:r>
        <w:rPr>
          <w:u w:val="none"/>
        </w:rPr>
        <w:t>s</w:t>
      </w:r>
      <w:r w:rsidRPr="009D650A">
        <w:rPr>
          <w:u w:val="none"/>
        </w:rPr>
        <w:t xml:space="preserve"> Fidji</w:t>
      </w:r>
      <w:r>
        <w:rPr>
          <w:u w:val="none"/>
        </w:rPr>
        <w:t> ; il</w:t>
      </w:r>
      <w:r w:rsidRPr="009D650A">
        <w:rPr>
          <w:u w:val="none"/>
        </w:rPr>
        <w:t xml:space="preserve"> aura pour but de </w:t>
      </w:r>
      <w:r>
        <w:rPr>
          <w:u w:val="none"/>
        </w:rPr>
        <w:t>main</w:t>
      </w:r>
      <w:r w:rsidRPr="009D650A">
        <w:rPr>
          <w:u w:val="none"/>
        </w:rPr>
        <w:t xml:space="preserve">tenir les connaissances associées </w:t>
      </w:r>
      <w:r>
        <w:rPr>
          <w:u w:val="none"/>
        </w:rPr>
        <w:t>aux</w:t>
      </w:r>
      <w:r w:rsidRPr="009D650A">
        <w:rPr>
          <w:u w:val="none"/>
        </w:rPr>
        <w:t xml:space="preserve"> </w:t>
      </w:r>
      <w:r w:rsidRPr="00F55E3B">
        <w:rPr>
          <w:i/>
          <w:u w:val="none"/>
        </w:rPr>
        <w:t>bures</w:t>
      </w:r>
      <w:r w:rsidRPr="009D650A">
        <w:rPr>
          <w:u w:val="none"/>
        </w:rPr>
        <w:t xml:space="preserve"> (maisons) traditionnelles </w:t>
      </w:r>
      <w:r>
        <w:rPr>
          <w:u w:val="none"/>
        </w:rPr>
        <w:t>par</w:t>
      </w:r>
      <w:r w:rsidRPr="009D650A">
        <w:rPr>
          <w:u w:val="none"/>
        </w:rPr>
        <w:t xml:space="preserve"> la reconst</w:t>
      </w:r>
      <w:r>
        <w:rPr>
          <w:u w:val="none"/>
        </w:rPr>
        <w:t>ruction et la réhabilitation de</w:t>
      </w:r>
      <w:r w:rsidRPr="009D650A">
        <w:rPr>
          <w:u w:val="none"/>
        </w:rPr>
        <w:t xml:space="preserve"> </w:t>
      </w:r>
      <w:r>
        <w:rPr>
          <w:u w:val="none"/>
        </w:rPr>
        <w:t>b</w:t>
      </w:r>
      <w:r w:rsidRPr="009D650A">
        <w:rPr>
          <w:u w:val="none"/>
        </w:rPr>
        <w:t>ures dans le village</w:t>
      </w:r>
      <w:r>
        <w:rPr>
          <w:u w:val="none"/>
        </w:rPr>
        <w:t xml:space="preserve"> de</w:t>
      </w:r>
      <w:r w:rsidRPr="009D650A">
        <w:rPr>
          <w:u w:val="none"/>
        </w:rPr>
        <w:t xml:space="preserve"> </w:t>
      </w:r>
      <w:proofErr w:type="spellStart"/>
      <w:r w:rsidRPr="009D650A">
        <w:rPr>
          <w:u w:val="none"/>
        </w:rPr>
        <w:t>Navala</w:t>
      </w:r>
      <w:proofErr w:type="spellEnd"/>
      <w:r w:rsidRPr="009D650A">
        <w:rPr>
          <w:u w:val="none"/>
        </w:rPr>
        <w:t xml:space="preserve">. </w:t>
      </w:r>
      <w:r>
        <w:rPr>
          <w:u w:val="none"/>
        </w:rPr>
        <w:t>Il</w:t>
      </w:r>
      <w:r w:rsidRPr="009D650A">
        <w:rPr>
          <w:u w:val="none"/>
        </w:rPr>
        <w:t xml:space="preserve"> est </w:t>
      </w:r>
      <w:r>
        <w:rPr>
          <w:u w:val="none"/>
        </w:rPr>
        <w:t xml:space="preserve">également </w:t>
      </w:r>
      <w:r w:rsidRPr="009D650A">
        <w:rPr>
          <w:u w:val="none"/>
        </w:rPr>
        <w:t xml:space="preserve">envisagé </w:t>
      </w:r>
      <w:r>
        <w:rPr>
          <w:u w:val="none"/>
        </w:rPr>
        <w:t>de protéger</w:t>
      </w:r>
      <w:r w:rsidRPr="009D650A">
        <w:rPr>
          <w:u w:val="none"/>
        </w:rPr>
        <w:t xml:space="preserve"> le paysage de l'habitat traditionnel actuel du village de </w:t>
      </w:r>
      <w:proofErr w:type="spellStart"/>
      <w:r w:rsidRPr="009D650A">
        <w:rPr>
          <w:u w:val="none"/>
        </w:rPr>
        <w:t>Navala</w:t>
      </w:r>
      <w:proofErr w:type="spellEnd"/>
      <w:r w:rsidRPr="009D650A">
        <w:rPr>
          <w:u w:val="none"/>
        </w:rPr>
        <w:t xml:space="preserve"> </w:t>
      </w:r>
      <w:r>
        <w:rPr>
          <w:u w:val="none"/>
        </w:rPr>
        <w:t>grâce à l’établissement d’une</w:t>
      </w:r>
      <w:r w:rsidRPr="009D650A">
        <w:rPr>
          <w:u w:val="none"/>
        </w:rPr>
        <w:t xml:space="preserve"> cartographie culturelle, </w:t>
      </w:r>
      <w:r>
        <w:rPr>
          <w:u w:val="none"/>
        </w:rPr>
        <w:t xml:space="preserve">à </w:t>
      </w:r>
      <w:r w:rsidRPr="009D650A">
        <w:rPr>
          <w:u w:val="none"/>
        </w:rPr>
        <w:t>la renaissance des traditions orales</w:t>
      </w:r>
      <w:r>
        <w:rPr>
          <w:u w:val="none"/>
        </w:rPr>
        <w:t>,</w:t>
      </w:r>
      <w:r w:rsidRPr="009D650A">
        <w:rPr>
          <w:u w:val="none"/>
        </w:rPr>
        <w:t xml:space="preserve"> et </w:t>
      </w:r>
      <w:r>
        <w:rPr>
          <w:u w:val="none"/>
        </w:rPr>
        <w:t>au</w:t>
      </w:r>
      <w:r w:rsidRPr="009D650A">
        <w:rPr>
          <w:u w:val="none"/>
        </w:rPr>
        <w:t xml:space="preserve"> renforcement des connaissances connexes sur l'utilisation des ressources environnementales.</w:t>
      </w:r>
      <w:r>
        <w:rPr>
          <w:u w:val="none"/>
        </w:rPr>
        <w:t xml:space="preserve"> On s’attend à ce que le</w:t>
      </w:r>
      <w:r w:rsidRPr="00F55E3B">
        <w:rPr>
          <w:u w:val="none"/>
        </w:rPr>
        <w:t xml:space="preserve"> partage et la revitalisation </w:t>
      </w:r>
      <w:r>
        <w:rPr>
          <w:u w:val="none"/>
        </w:rPr>
        <w:t>du savoir architectural</w:t>
      </w:r>
      <w:r w:rsidRPr="00F55E3B">
        <w:rPr>
          <w:u w:val="none"/>
        </w:rPr>
        <w:t xml:space="preserve"> </w:t>
      </w:r>
      <w:r>
        <w:rPr>
          <w:u w:val="none"/>
        </w:rPr>
        <w:t>aient</w:t>
      </w:r>
      <w:r w:rsidRPr="00F55E3B">
        <w:rPr>
          <w:u w:val="none"/>
        </w:rPr>
        <w:t xml:space="preserve"> </w:t>
      </w:r>
      <w:r>
        <w:rPr>
          <w:u w:val="none"/>
        </w:rPr>
        <w:t xml:space="preserve">comme répercussion un renforcement de </w:t>
      </w:r>
      <w:r w:rsidRPr="00F55E3B">
        <w:rPr>
          <w:u w:val="none"/>
        </w:rPr>
        <w:t xml:space="preserve">la vision du monde du peuple </w:t>
      </w:r>
      <w:proofErr w:type="spellStart"/>
      <w:r w:rsidRPr="00F55E3B">
        <w:rPr>
          <w:u w:val="none"/>
        </w:rPr>
        <w:t>iTaukei</w:t>
      </w:r>
      <w:proofErr w:type="spellEnd"/>
      <w:r w:rsidRPr="00F55E3B">
        <w:rPr>
          <w:u w:val="none"/>
        </w:rPr>
        <w:t xml:space="preserve">, </w:t>
      </w:r>
      <w:r>
        <w:rPr>
          <w:u w:val="none"/>
        </w:rPr>
        <w:t>et notamment</w:t>
      </w:r>
      <w:r w:rsidRPr="00F55E3B">
        <w:rPr>
          <w:u w:val="none"/>
        </w:rPr>
        <w:t xml:space="preserve"> </w:t>
      </w:r>
      <w:r>
        <w:rPr>
          <w:u w:val="none"/>
        </w:rPr>
        <w:t>de l’épistémologie et d</w:t>
      </w:r>
      <w:r w:rsidRPr="00F55E3B">
        <w:rPr>
          <w:u w:val="none"/>
        </w:rPr>
        <w:t>es connaissances</w:t>
      </w:r>
      <w:r>
        <w:rPr>
          <w:u w:val="none"/>
        </w:rPr>
        <w:t xml:space="preserve"> autochtones ancestrales</w:t>
      </w:r>
      <w:r w:rsidRPr="00F55E3B">
        <w:rPr>
          <w:u w:val="none"/>
        </w:rPr>
        <w:t xml:space="preserve"> et </w:t>
      </w:r>
      <w:r>
        <w:rPr>
          <w:u w:val="none"/>
        </w:rPr>
        <w:t>écologiques</w:t>
      </w:r>
      <w:r w:rsidRPr="00F55E3B">
        <w:rPr>
          <w:u w:val="none"/>
        </w:rPr>
        <w:t xml:space="preserve"> de </w:t>
      </w:r>
      <w:proofErr w:type="spellStart"/>
      <w:r w:rsidRPr="00F55E3B">
        <w:rPr>
          <w:u w:val="none"/>
        </w:rPr>
        <w:t>Vanua</w:t>
      </w:r>
      <w:proofErr w:type="spellEnd"/>
      <w:r>
        <w:rPr>
          <w:u w:val="none"/>
        </w:rPr>
        <w:t>,</w:t>
      </w:r>
      <w:r w:rsidRPr="00F55E3B">
        <w:rPr>
          <w:u w:val="none"/>
        </w:rPr>
        <w:t xml:space="preserve"> </w:t>
      </w:r>
      <w:r>
        <w:rPr>
          <w:u w:val="none"/>
        </w:rPr>
        <w:t>fond</w:t>
      </w:r>
      <w:r w:rsidRPr="00F55E3B">
        <w:rPr>
          <w:u w:val="none"/>
        </w:rPr>
        <w:t>ée</w:t>
      </w:r>
      <w:r>
        <w:rPr>
          <w:u w:val="none"/>
        </w:rPr>
        <w:t>s</w:t>
      </w:r>
      <w:r w:rsidRPr="00F55E3B">
        <w:rPr>
          <w:u w:val="none"/>
        </w:rPr>
        <w:t xml:space="preserve"> sur l'interdépendance globale des êtres humains et </w:t>
      </w:r>
      <w:r>
        <w:rPr>
          <w:u w:val="none"/>
        </w:rPr>
        <w:t xml:space="preserve">de </w:t>
      </w:r>
      <w:r w:rsidRPr="00F55E3B">
        <w:rPr>
          <w:u w:val="none"/>
        </w:rPr>
        <w:t xml:space="preserve">leur environnement. Le projet vise à renforcer les capacités des </w:t>
      </w:r>
      <w:proofErr w:type="spellStart"/>
      <w:r w:rsidRPr="00F55E3B">
        <w:rPr>
          <w:u w:val="none"/>
        </w:rPr>
        <w:t>iTaukei</w:t>
      </w:r>
      <w:proofErr w:type="spellEnd"/>
      <w:r w:rsidRPr="00F55E3B">
        <w:rPr>
          <w:u w:val="none"/>
        </w:rPr>
        <w:t xml:space="preserve"> </w:t>
      </w:r>
      <w:r>
        <w:rPr>
          <w:u w:val="none"/>
        </w:rPr>
        <w:t>en matière de</w:t>
      </w:r>
      <w:r w:rsidRPr="00F55E3B">
        <w:rPr>
          <w:u w:val="none"/>
        </w:rPr>
        <w:t xml:space="preserve"> gestion des bassins versants, </w:t>
      </w:r>
      <w:r>
        <w:rPr>
          <w:u w:val="none"/>
        </w:rPr>
        <w:t>à améliorer leur bien-être et</w:t>
      </w:r>
      <w:r w:rsidRPr="00F55E3B">
        <w:rPr>
          <w:u w:val="none"/>
        </w:rPr>
        <w:t xml:space="preserve"> </w:t>
      </w:r>
      <w:r>
        <w:rPr>
          <w:u w:val="none"/>
        </w:rPr>
        <w:t xml:space="preserve">à </w:t>
      </w:r>
      <w:r w:rsidRPr="00F55E3B">
        <w:rPr>
          <w:u w:val="none"/>
        </w:rPr>
        <w:t>favoriser le maintien des modes de vie traditionnels en encourageant la plantation d</w:t>
      </w:r>
      <w:r>
        <w:rPr>
          <w:u w:val="none"/>
        </w:rPr>
        <w:t xml:space="preserve">es </w:t>
      </w:r>
      <w:r w:rsidRPr="00F55E3B">
        <w:rPr>
          <w:u w:val="none"/>
        </w:rPr>
        <w:t xml:space="preserve">espèces d'arbres </w:t>
      </w:r>
      <w:r w:rsidRPr="001860CC">
        <w:rPr>
          <w:u w:val="none"/>
        </w:rPr>
        <w:t>indigènes</w:t>
      </w:r>
      <w:r w:rsidRPr="00F55E3B">
        <w:rPr>
          <w:u w:val="none"/>
        </w:rPr>
        <w:t xml:space="preserve"> utilisées pour la construction des bures, ainsi </w:t>
      </w:r>
      <w:r>
        <w:rPr>
          <w:u w:val="none"/>
        </w:rPr>
        <w:t>qu’en relançant les cultures vivrières</w:t>
      </w:r>
      <w:r w:rsidRPr="00F55E3B">
        <w:rPr>
          <w:u w:val="none"/>
        </w:rPr>
        <w:t xml:space="preserve"> </w:t>
      </w:r>
      <w:r>
        <w:rPr>
          <w:u w:val="none"/>
        </w:rPr>
        <w:t>à l’aide de parcelles de démonstration</w:t>
      </w:r>
      <w:r w:rsidRPr="00F55E3B">
        <w:rPr>
          <w:u w:val="none"/>
        </w:rPr>
        <w:t>. Coordonné</w:t>
      </w:r>
      <w:r>
        <w:rPr>
          <w:u w:val="none"/>
        </w:rPr>
        <w:t>e</w:t>
      </w:r>
      <w:r w:rsidRPr="00F55E3B">
        <w:rPr>
          <w:u w:val="none"/>
        </w:rPr>
        <w:t xml:space="preserve"> par le Centre pour la technologie et le développement durable</w:t>
      </w:r>
      <w:r>
        <w:rPr>
          <w:u w:val="none"/>
        </w:rPr>
        <w:t>s</w:t>
      </w:r>
      <w:r w:rsidRPr="00F55E3B">
        <w:rPr>
          <w:u w:val="none"/>
        </w:rPr>
        <w:t xml:space="preserve"> de l'Université nationale de</w:t>
      </w:r>
      <w:r>
        <w:rPr>
          <w:u w:val="none"/>
        </w:rPr>
        <w:t>s</w:t>
      </w:r>
      <w:r w:rsidRPr="00F55E3B">
        <w:rPr>
          <w:u w:val="none"/>
        </w:rPr>
        <w:t xml:space="preserve"> Fidji, la mise en œuvre du projet sera assurée sur le terrain par le Comité de développement du village</w:t>
      </w:r>
      <w:r>
        <w:rPr>
          <w:u w:val="none"/>
        </w:rPr>
        <w:t xml:space="preserve"> de</w:t>
      </w:r>
      <w:r w:rsidRPr="00F55E3B">
        <w:rPr>
          <w:u w:val="none"/>
        </w:rPr>
        <w:t xml:space="preserve"> </w:t>
      </w:r>
      <w:proofErr w:type="spellStart"/>
      <w:r w:rsidRPr="00F55E3B">
        <w:rPr>
          <w:u w:val="none"/>
        </w:rPr>
        <w:t>Navala</w:t>
      </w:r>
      <w:proofErr w:type="spellEnd"/>
      <w:r w:rsidRPr="00F55E3B">
        <w:rPr>
          <w:u w:val="none"/>
        </w:rPr>
        <w:t>.</w:t>
      </w:r>
    </w:p>
    <w:p w:rsidR="00BB633D" w:rsidRDefault="00BB633D" w:rsidP="00BB633D">
      <w:pPr>
        <w:pStyle w:val="COMParaDecision"/>
        <w:numPr>
          <w:ilvl w:val="0"/>
          <w:numId w:val="22"/>
        </w:numPr>
        <w:ind w:left="567" w:hanging="567"/>
        <w:rPr>
          <w:u w:val="none"/>
        </w:rPr>
      </w:pPr>
      <w:r>
        <w:t>Prend note en outre</w:t>
      </w:r>
      <w:r w:rsidRPr="00AB24B2">
        <w:rPr>
          <w:u w:val="none"/>
        </w:rPr>
        <w:t xml:space="preserve"> que </w:t>
      </w:r>
      <w:r>
        <w:rPr>
          <w:u w:val="none"/>
        </w:rPr>
        <w:t>cette</w:t>
      </w:r>
      <w:r w:rsidRPr="00AB24B2">
        <w:rPr>
          <w:u w:val="none"/>
        </w:rPr>
        <w:t xml:space="preserve"> assistance concerne le soutien à un projet réalisé au niveau local, </w:t>
      </w:r>
      <w:r>
        <w:rPr>
          <w:u w:val="none"/>
        </w:rPr>
        <w:t>en vue de sauvegarder le patrimoine culturel immatériel conformément à l’article 20 (c</w:t>
      </w:r>
      <w:r w:rsidRPr="00AB24B2">
        <w:rPr>
          <w:u w:val="none"/>
        </w:rPr>
        <w:t xml:space="preserve">) de la Convention et </w:t>
      </w:r>
      <w:r>
        <w:rPr>
          <w:u w:val="none"/>
        </w:rPr>
        <w:t>qu’elle prend</w:t>
      </w:r>
      <w:r w:rsidRPr="00AB24B2">
        <w:rPr>
          <w:u w:val="none"/>
        </w:rPr>
        <w:t xml:space="preserve"> </w:t>
      </w:r>
      <w:r>
        <w:rPr>
          <w:u w:val="none"/>
        </w:rPr>
        <w:t xml:space="preserve">la </w:t>
      </w:r>
      <w:r w:rsidRPr="00AB24B2">
        <w:rPr>
          <w:u w:val="none"/>
        </w:rPr>
        <w:t xml:space="preserve">forme d’une donation accordée </w:t>
      </w:r>
      <w:r>
        <w:rPr>
          <w:u w:val="none"/>
        </w:rPr>
        <w:t>en conformité avec l’article 21 </w:t>
      </w:r>
      <w:r w:rsidRPr="00AB24B2">
        <w:rPr>
          <w:u w:val="none"/>
        </w:rPr>
        <w:t>(g) de la Convention ;</w:t>
      </w:r>
    </w:p>
    <w:p w:rsidR="00BB633D" w:rsidRPr="00A2639F" w:rsidRDefault="00BB633D" w:rsidP="00BB633D">
      <w:pPr>
        <w:pStyle w:val="COMParaDecision"/>
        <w:numPr>
          <w:ilvl w:val="0"/>
          <w:numId w:val="22"/>
        </w:numPr>
        <w:ind w:left="567" w:hanging="567"/>
        <w:rPr>
          <w:u w:val="none"/>
        </w:rPr>
      </w:pPr>
      <w:r>
        <w:t>Prend note également</w:t>
      </w:r>
      <w:r w:rsidRPr="00A2639F">
        <w:rPr>
          <w:u w:val="none"/>
        </w:rPr>
        <w:t xml:space="preserve"> </w:t>
      </w:r>
      <w:r>
        <w:rPr>
          <w:u w:val="none"/>
        </w:rPr>
        <w:t xml:space="preserve">que les Fidji ont demandé une allocation de </w:t>
      </w:r>
      <w:r>
        <w:rPr>
          <w:snapToGrid w:val="0"/>
          <w:u w:val="none"/>
        </w:rPr>
        <w:t>25 </w:t>
      </w:r>
      <w:r w:rsidRPr="00A2639F">
        <w:rPr>
          <w:snapToGrid w:val="0"/>
          <w:u w:val="none"/>
        </w:rPr>
        <w:t xml:space="preserve">000 dollars des </w:t>
      </w:r>
      <w:r>
        <w:rPr>
          <w:snapToGrid w:val="0"/>
          <w:u w:val="none"/>
        </w:rPr>
        <w:t>États-Unis du Fonds du patrimoine culturel immatériel pour mettre en œuvre le projet ;</w:t>
      </w:r>
    </w:p>
    <w:p w:rsidR="00BB633D" w:rsidRDefault="00BB633D" w:rsidP="00BB633D">
      <w:pPr>
        <w:pStyle w:val="COMParaDecision"/>
        <w:numPr>
          <w:ilvl w:val="0"/>
          <w:numId w:val="22"/>
        </w:numPr>
        <w:ind w:left="567" w:hanging="567"/>
        <w:rPr>
          <w:u w:val="none"/>
        </w:rPr>
      </w:pPr>
      <w:r w:rsidRPr="00761349">
        <w:t>Décide</w:t>
      </w:r>
      <w:r w:rsidRPr="00D50C29">
        <w:rPr>
          <w:u w:val="none"/>
        </w:rPr>
        <w:t xml:space="preserve"> </w:t>
      </w:r>
      <w:r>
        <w:rPr>
          <w:u w:val="none"/>
        </w:rPr>
        <w:t>que, selon les informations fournies dans le dossier n° 01121, la demande répond comme suit aux critères d’octroi de l’assistance internationale énoncés aux paragraphes 10 et 12 des Directives opérationnelles :</w:t>
      </w:r>
    </w:p>
    <w:p w:rsidR="00BB633D" w:rsidRPr="00AB24B2" w:rsidRDefault="00BB633D" w:rsidP="00BB633D">
      <w:pPr>
        <w:pStyle w:val="COMParaDecision"/>
        <w:numPr>
          <w:ilvl w:val="0"/>
          <w:numId w:val="0"/>
        </w:numPr>
        <w:ind w:left="567"/>
        <w:rPr>
          <w:u w:val="none"/>
        </w:rPr>
      </w:pPr>
      <w:r w:rsidRPr="00AB24B2">
        <w:rPr>
          <w:b/>
          <w:u w:val="none"/>
        </w:rPr>
        <w:t>Critère A.1 </w:t>
      </w:r>
      <w:r w:rsidRPr="00AB24B2">
        <w:rPr>
          <w:u w:val="none"/>
        </w:rPr>
        <w:t>:</w:t>
      </w:r>
      <w:r>
        <w:rPr>
          <w:u w:val="none"/>
        </w:rPr>
        <w:t xml:space="preserve"> </w:t>
      </w:r>
      <w:r w:rsidRPr="00AB24B2">
        <w:rPr>
          <w:u w:val="none"/>
        </w:rPr>
        <w:t>Bien que la demande ne p</w:t>
      </w:r>
      <w:r>
        <w:rPr>
          <w:u w:val="none"/>
        </w:rPr>
        <w:t>récise pas si les communautés du</w:t>
      </w:r>
      <w:r w:rsidRPr="00AB24B2">
        <w:rPr>
          <w:u w:val="none"/>
        </w:rPr>
        <w:t xml:space="preserve"> village</w:t>
      </w:r>
      <w:r>
        <w:rPr>
          <w:u w:val="none"/>
        </w:rPr>
        <w:t xml:space="preserve"> de</w:t>
      </w:r>
      <w:r w:rsidRPr="00AB24B2">
        <w:rPr>
          <w:u w:val="none"/>
        </w:rPr>
        <w:t xml:space="preserve"> </w:t>
      </w:r>
      <w:proofErr w:type="spellStart"/>
      <w:r w:rsidRPr="00AB24B2">
        <w:rPr>
          <w:u w:val="none"/>
        </w:rPr>
        <w:t>Navala</w:t>
      </w:r>
      <w:proofErr w:type="spellEnd"/>
      <w:r w:rsidRPr="00AB24B2">
        <w:rPr>
          <w:u w:val="none"/>
        </w:rPr>
        <w:t xml:space="preserve"> et </w:t>
      </w:r>
      <w:r>
        <w:rPr>
          <w:u w:val="none"/>
        </w:rPr>
        <w:t xml:space="preserve">de </w:t>
      </w:r>
      <w:r w:rsidRPr="00AB24B2">
        <w:rPr>
          <w:u w:val="none"/>
        </w:rPr>
        <w:t>la province supérieure</w:t>
      </w:r>
      <w:r>
        <w:rPr>
          <w:u w:val="none"/>
        </w:rPr>
        <w:t xml:space="preserve"> de</w:t>
      </w:r>
      <w:r w:rsidRPr="00AB24B2">
        <w:rPr>
          <w:u w:val="none"/>
        </w:rPr>
        <w:t xml:space="preserve"> Ba ont participé à sa préparation, leur implication dans la mise en œuvre et l'évaluation du projet proposé est démontré</w:t>
      </w:r>
      <w:r>
        <w:rPr>
          <w:u w:val="none"/>
        </w:rPr>
        <w:t>e</w:t>
      </w:r>
      <w:r w:rsidRPr="00AB24B2">
        <w:rPr>
          <w:u w:val="none"/>
        </w:rPr>
        <w:t xml:space="preserve"> </w:t>
      </w:r>
      <w:r>
        <w:rPr>
          <w:u w:val="none"/>
        </w:rPr>
        <w:t>dans toute</w:t>
      </w:r>
      <w:r w:rsidRPr="00AB24B2">
        <w:rPr>
          <w:u w:val="none"/>
        </w:rPr>
        <w:t xml:space="preserve"> la demande</w:t>
      </w:r>
      <w:r>
        <w:rPr>
          <w:u w:val="none"/>
        </w:rPr>
        <w:t xml:space="preserve"> </w:t>
      </w:r>
      <w:r w:rsidRPr="00AB24B2">
        <w:rPr>
          <w:u w:val="none"/>
        </w:rPr>
        <w:t xml:space="preserve">; </w:t>
      </w:r>
      <w:r>
        <w:rPr>
          <w:u w:val="none"/>
        </w:rPr>
        <w:t xml:space="preserve">les </w:t>
      </w:r>
      <w:r w:rsidRPr="00AB24B2">
        <w:rPr>
          <w:u w:val="none"/>
        </w:rPr>
        <w:t>membres de la communauté sont impliqués actuellement dans des p</w:t>
      </w:r>
      <w:r>
        <w:rPr>
          <w:u w:val="none"/>
        </w:rPr>
        <w:t>rojets semblables mené</w:t>
      </w:r>
      <w:r w:rsidRPr="00AB24B2">
        <w:rPr>
          <w:u w:val="none"/>
        </w:rPr>
        <w:t xml:space="preserve">s par l'Université nationale </w:t>
      </w:r>
      <w:r>
        <w:rPr>
          <w:u w:val="none"/>
        </w:rPr>
        <w:t xml:space="preserve">des </w:t>
      </w:r>
      <w:r w:rsidRPr="00AB24B2">
        <w:rPr>
          <w:u w:val="none"/>
        </w:rPr>
        <w:t xml:space="preserve">Fidji et le </w:t>
      </w:r>
      <w:r>
        <w:rPr>
          <w:u w:val="none"/>
        </w:rPr>
        <w:t>Ministère du P</w:t>
      </w:r>
      <w:r w:rsidRPr="00AB24B2">
        <w:rPr>
          <w:u w:val="none"/>
        </w:rPr>
        <w:t xml:space="preserve">atrimoine </w:t>
      </w:r>
      <w:r>
        <w:rPr>
          <w:u w:val="none"/>
        </w:rPr>
        <w:t>n</w:t>
      </w:r>
      <w:r w:rsidRPr="00AB24B2">
        <w:rPr>
          <w:u w:val="none"/>
        </w:rPr>
        <w:t xml:space="preserve">ational, </w:t>
      </w:r>
      <w:r>
        <w:rPr>
          <w:u w:val="none"/>
        </w:rPr>
        <w:t>de la C</w:t>
      </w:r>
      <w:r w:rsidRPr="00AB24B2">
        <w:rPr>
          <w:u w:val="none"/>
        </w:rPr>
        <w:t xml:space="preserve">ulture et </w:t>
      </w:r>
      <w:r>
        <w:rPr>
          <w:u w:val="none"/>
        </w:rPr>
        <w:t>des A</w:t>
      </w:r>
      <w:r w:rsidRPr="00AB24B2">
        <w:rPr>
          <w:u w:val="none"/>
        </w:rPr>
        <w:t>rts</w:t>
      </w:r>
      <w:r>
        <w:rPr>
          <w:u w:val="none"/>
        </w:rPr>
        <w:t xml:space="preserve"> </w:t>
      </w:r>
      <w:r w:rsidRPr="00AB24B2">
        <w:rPr>
          <w:u w:val="none"/>
        </w:rPr>
        <w:t xml:space="preserve">; </w:t>
      </w:r>
      <w:r>
        <w:rPr>
          <w:u w:val="none"/>
        </w:rPr>
        <w:t>il est prévu</w:t>
      </w:r>
      <w:r w:rsidRPr="00AB24B2">
        <w:rPr>
          <w:u w:val="none"/>
        </w:rPr>
        <w:t xml:space="preserve"> </w:t>
      </w:r>
      <w:r>
        <w:rPr>
          <w:u w:val="none"/>
        </w:rPr>
        <w:t>de faire intervenir</w:t>
      </w:r>
      <w:r w:rsidRPr="00AB24B2">
        <w:rPr>
          <w:u w:val="none"/>
        </w:rPr>
        <w:t xml:space="preserve"> activement</w:t>
      </w:r>
      <w:r>
        <w:rPr>
          <w:u w:val="none"/>
        </w:rPr>
        <w:t xml:space="preserve">, dans </w:t>
      </w:r>
      <w:r w:rsidRPr="00AB24B2">
        <w:rPr>
          <w:u w:val="none"/>
        </w:rPr>
        <w:t xml:space="preserve">toutes </w:t>
      </w:r>
      <w:r>
        <w:rPr>
          <w:u w:val="none"/>
        </w:rPr>
        <w:t>les activités du projet, les différentes générations du</w:t>
      </w:r>
      <w:r w:rsidRPr="00AB24B2">
        <w:rPr>
          <w:u w:val="none"/>
        </w:rPr>
        <w:t xml:space="preserve"> village</w:t>
      </w:r>
      <w:r>
        <w:rPr>
          <w:u w:val="none"/>
        </w:rPr>
        <w:t xml:space="preserve"> de</w:t>
      </w:r>
      <w:r w:rsidRPr="00AB24B2">
        <w:rPr>
          <w:u w:val="none"/>
        </w:rPr>
        <w:t xml:space="preserve"> </w:t>
      </w:r>
      <w:proofErr w:type="spellStart"/>
      <w:r w:rsidRPr="00AB24B2">
        <w:rPr>
          <w:u w:val="none"/>
        </w:rPr>
        <w:t>Navala</w:t>
      </w:r>
      <w:proofErr w:type="spellEnd"/>
      <w:r>
        <w:rPr>
          <w:u w:val="none"/>
        </w:rPr>
        <w:t>,</w:t>
      </w:r>
      <w:r w:rsidRPr="00AB24B2">
        <w:rPr>
          <w:u w:val="none"/>
        </w:rPr>
        <w:t xml:space="preserve"> </w:t>
      </w:r>
      <w:r>
        <w:rPr>
          <w:u w:val="none"/>
        </w:rPr>
        <w:t>en réservant</w:t>
      </w:r>
      <w:r w:rsidRPr="00AB24B2">
        <w:rPr>
          <w:u w:val="none"/>
        </w:rPr>
        <w:t xml:space="preserve"> aux aînés un rôle clé </w:t>
      </w:r>
      <w:r>
        <w:rPr>
          <w:u w:val="none"/>
        </w:rPr>
        <w:t>pour</w:t>
      </w:r>
      <w:r w:rsidRPr="00AB24B2">
        <w:rPr>
          <w:u w:val="none"/>
        </w:rPr>
        <w:t xml:space="preserve"> la construction</w:t>
      </w:r>
      <w:r>
        <w:rPr>
          <w:u w:val="none"/>
        </w:rPr>
        <w:t xml:space="preserve"> et </w:t>
      </w:r>
      <w:r w:rsidRPr="00AB24B2">
        <w:rPr>
          <w:u w:val="none"/>
        </w:rPr>
        <w:t>la réhabilitation de</w:t>
      </w:r>
      <w:r>
        <w:rPr>
          <w:u w:val="none"/>
        </w:rPr>
        <w:t xml:space="preserve"> la bure</w:t>
      </w:r>
      <w:r w:rsidRPr="00AB24B2">
        <w:rPr>
          <w:u w:val="none"/>
        </w:rPr>
        <w:t xml:space="preserve"> et la transmission des compétences</w:t>
      </w:r>
      <w:r>
        <w:rPr>
          <w:u w:val="none"/>
        </w:rPr>
        <w:t>, ainsi qu’</w:t>
      </w:r>
      <w:r w:rsidRPr="00AB24B2">
        <w:rPr>
          <w:u w:val="none"/>
        </w:rPr>
        <w:t>un partenaire local</w:t>
      </w:r>
      <w:r>
        <w:rPr>
          <w:u w:val="none"/>
        </w:rPr>
        <w:t xml:space="preserve">, </w:t>
      </w:r>
      <w:r w:rsidRPr="00AB24B2">
        <w:rPr>
          <w:u w:val="none"/>
        </w:rPr>
        <w:t>le Comité de développement du village</w:t>
      </w:r>
      <w:r>
        <w:rPr>
          <w:u w:val="none"/>
        </w:rPr>
        <w:t xml:space="preserve"> de</w:t>
      </w:r>
      <w:r w:rsidRPr="00AB24B2">
        <w:rPr>
          <w:u w:val="none"/>
        </w:rPr>
        <w:t xml:space="preserve"> </w:t>
      </w:r>
      <w:proofErr w:type="spellStart"/>
      <w:r w:rsidRPr="00AB24B2">
        <w:rPr>
          <w:u w:val="none"/>
        </w:rPr>
        <w:t>Navala</w:t>
      </w:r>
      <w:proofErr w:type="spellEnd"/>
      <w:r>
        <w:rPr>
          <w:u w:val="none"/>
        </w:rPr>
        <w:t>,</w:t>
      </w:r>
      <w:r w:rsidRPr="00AB24B2">
        <w:rPr>
          <w:u w:val="none"/>
        </w:rPr>
        <w:t xml:space="preserve"> pour la mise en œuvre de toutes les ac</w:t>
      </w:r>
      <w:r>
        <w:rPr>
          <w:u w:val="none"/>
        </w:rPr>
        <w:t>tivités sur le terrain</w:t>
      </w:r>
      <w:r w:rsidRPr="00AB24B2">
        <w:rPr>
          <w:u w:val="none"/>
        </w:rPr>
        <w:t>.</w:t>
      </w:r>
    </w:p>
    <w:p w:rsidR="00BB633D" w:rsidRDefault="00BB633D" w:rsidP="00BB633D">
      <w:pPr>
        <w:pStyle w:val="ListParagraph1"/>
        <w:spacing w:after="120"/>
        <w:ind w:left="567"/>
        <w:jc w:val="both"/>
        <w:rPr>
          <w:rFonts w:ascii="Arial" w:hAnsi="Arial" w:cs="Arial"/>
          <w:bCs/>
          <w:sz w:val="22"/>
          <w:szCs w:val="22"/>
          <w:lang w:val="fr-FR"/>
        </w:rPr>
      </w:pPr>
      <w:r w:rsidRPr="00761349">
        <w:rPr>
          <w:rFonts w:ascii="Arial" w:hAnsi="Arial" w:cs="Arial"/>
          <w:b/>
          <w:bCs/>
          <w:sz w:val="22"/>
          <w:szCs w:val="22"/>
          <w:lang w:val="fr-FR"/>
        </w:rPr>
        <w:t>Critère A.2 </w:t>
      </w:r>
      <w:r w:rsidRPr="009712A4">
        <w:rPr>
          <w:rFonts w:ascii="Arial" w:hAnsi="Arial" w:cs="Arial"/>
          <w:bCs/>
          <w:sz w:val="22"/>
          <w:szCs w:val="22"/>
          <w:lang w:val="fr-FR"/>
        </w:rPr>
        <w:t>:</w:t>
      </w:r>
      <w:r w:rsidRPr="00761349">
        <w:rPr>
          <w:rFonts w:ascii="Arial" w:hAnsi="Arial" w:cs="Arial"/>
          <w:bCs/>
          <w:sz w:val="22"/>
          <w:szCs w:val="22"/>
          <w:lang w:val="fr-FR"/>
        </w:rPr>
        <w:t xml:space="preserve"> </w:t>
      </w:r>
      <w:r>
        <w:rPr>
          <w:rFonts w:ascii="Arial" w:hAnsi="Arial" w:cs="Arial"/>
          <w:bCs/>
          <w:sz w:val="22"/>
          <w:szCs w:val="22"/>
          <w:lang w:val="fr-FR"/>
        </w:rPr>
        <w:t>Bien que la demande comprenne</w:t>
      </w:r>
      <w:r w:rsidRPr="007F060B">
        <w:rPr>
          <w:rFonts w:ascii="Arial" w:hAnsi="Arial" w:cs="Arial"/>
          <w:bCs/>
          <w:sz w:val="22"/>
          <w:szCs w:val="22"/>
          <w:lang w:val="fr-FR"/>
        </w:rPr>
        <w:t xml:space="preserve"> un budget détaillé couvrant toutes les activités prévues dans le cadre du projet </w:t>
      </w:r>
      <w:r>
        <w:rPr>
          <w:rFonts w:ascii="Arial" w:hAnsi="Arial" w:cs="Arial"/>
          <w:bCs/>
          <w:sz w:val="22"/>
          <w:szCs w:val="22"/>
          <w:lang w:val="fr-FR"/>
        </w:rPr>
        <w:t xml:space="preserve">et </w:t>
      </w:r>
      <w:r w:rsidRPr="007F060B">
        <w:rPr>
          <w:rFonts w:ascii="Arial" w:hAnsi="Arial" w:cs="Arial"/>
          <w:bCs/>
          <w:sz w:val="22"/>
          <w:szCs w:val="22"/>
          <w:lang w:val="fr-FR"/>
        </w:rPr>
        <w:t xml:space="preserve">démontrant la pertinence du montant demandé, la présentation du budget ne permet pas de visualiser facilement </w:t>
      </w:r>
      <w:r>
        <w:rPr>
          <w:rFonts w:ascii="Arial" w:hAnsi="Arial" w:cs="Arial"/>
          <w:bCs/>
          <w:sz w:val="22"/>
          <w:szCs w:val="22"/>
          <w:lang w:val="fr-FR"/>
        </w:rPr>
        <w:t>l</w:t>
      </w:r>
      <w:r w:rsidRPr="007F060B">
        <w:rPr>
          <w:rFonts w:ascii="Arial" w:hAnsi="Arial" w:cs="Arial"/>
          <w:bCs/>
          <w:sz w:val="22"/>
          <w:szCs w:val="22"/>
          <w:lang w:val="fr-FR"/>
        </w:rPr>
        <w:t>es coûts par activité</w:t>
      </w:r>
      <w:r>
        <w:rPr>
          <w:rFonts w:ascii="Arial" w:hAnsi="Arial" w:cs="Arial"/>
          <w:bCs/>
          <w:sz w:val="22"/>
          <w:szCs w:val="22"/>
          <w:lang w:val="fr-FR"/>
        </w:rPr>
        <w:t xml:space="preserve"> </w:t>
      </w:r>
      <w:r w:rsidRPr="007F060B">
        <w:rPr>
          <w:rFonts w:ascii="Arial" w:hAnsi="Arial" w:cs="Arial"/>
          <w:bCs/>
          <w:sz w:val="22"/>
          <w:szCs w:val="22"/>
          <w:lang w:val="fr-FR"/>
        </w:rPr>
        <w:t xml:space="preserve">; il est </w:t>
      </w:r>
      <w:r w:rsidRPr="007F060B">
        <w:rPr>
          <w:rFonts w:ascii="Arial" w:hAnsi="Arial" w:cs="Arial"/>
          <w:bCs/>
          <w:sz w:val="22"/>
          <w:szCs w:val="22"/>
          <w:lang w:val="fr-FR"/>
        </w:rPr>
        <w:lastRenderedPageBreak/>
        <w:t xml:space="preserve">également difficile de distinguer les activités </w:t>
      </w:r>
      <w:r>
        <w:rPr>
          <w:rFonts w:ascii="Arial" w:hAnsi="Arial" w:cs="Arial"/>
          <w:bCs/>
          <w:sz w:val="22"/>
          <w:szCs w:val="22"/>
          <w:lang w:val="fr-FR"/>
        </w:rPr>
        <w:t>qui seront</w:t>
      </w:r>
      <w:r w:rsidRPr="007F060B">
        <w:rPr>
          <w:rFonts w:ascii="Arial" w:hAnsi="Arial" w:cs="Arial"/>
          <w:bCs/>
          <w:sz w:val="22"/>
          <w:szCs w:val="22"/>
          <w:lang w:val="fr-FR"/>
        </w:rPr>
        <w:t xml:space="preserve"> couvertes par le Fonds du patrimoine culturel immatériel </w:t>
      </w:r>
      <w:r>
        <w:rPr>
          <w:rFonts w:ascii="Arial" w:hAnsi="Arial" w:cs="Arial"/>
          <w:bCs/>
          <w:sz w:val="22"/>
          <w:szCs w:val="22"/>
          <w:lang w:val="fr-FR"/>
        </w:rPr>
        <w:t>de celles</w:t>
      </w:r>
      <w:r w:rsidRPr="007F060B">
        <w:rPr>
          <w:rFonts w:ascii="Arial" w:hAnsi="Arial" w:cs="Arial"/>
          <w:bCs/>
          <w:sz w:val="22"/>
          <w:szCs w:val="22"/>
          <w:lang w:val="fr-FR"/>
        </w:rPr>
        <w:t xml:space="preserve"> qui seront financées </w:t>
      </w:r>
      <w:r>
        <w:rPr>
          <w:rFonts w:ascii="Arial" w:hAnsi="Arial" w:cs="Arial"/>
          <w:bCs/>
          <w:sz w:val="22"/>
          <w:szCs w:val="22"/>
          <w:lang w:val="fr-FR"/>
        </w:rPr>
        <w:t>par</w:t>
      </w:r>
      <w:r w:rsidRPr="007F060B">
        <w:rPr>
          <w:rFonts w:ascii="Arial" w:hAnsi="Arial" w:cs="Arial"/>
          <w:bCs/>
          <w:sz w:val="22"/>
          <w:szCs w:val="22"/>
          <w:lang w:val="fr-FR"/>
        </w:rPr>
        <w:t xml:space="preserve"> les ressources de l'</w:t>
      </w:r>
      <w:r>
        <w:rPr>
          <w:rFonts w:ascii="Arial" w:hAnsi="Arial" w:cs="Arial"/>
          <w:bCs/>
          <w:sz w:val="22"/>
          <w:szCs w:val="22"/>
          <w:lang w:val="fr-FR"/>
        </w:rPr>
        <w:t>É</w:t>
      </w:r>
      <w:r w:rsidRPr="007F060B">
        <w:rPr>
          <w:rFonts w:ascii="Arial" w:hAnsi="Arial" w:cs="Arial"/>
          <w:bCs/>
          <w:sz w:val="22"/>
          <w:szCs w:val="22"/>
          <w:lang w:val="fr-FR"/>
        </w:rPr>
        <w:t xml:space="preserve">tat </w:t>
      </w:r>
      <w:r>
        <w:rPr>
          <w:rFonts w:ascii="Arial" w:hAnsi="Arial" w:cs="Arial"/>
          <w:bCs/>
          <w:sz w:val="22"/>
          <w:szCs w:val="22"/>
          <w:lang w:val="fr-FR"/>
        </w:rPr>
        <w:t>demandeur</w:t>
      </w:r>
      <w:r w:rsidRPr="007F060B">
        <w:rPr>
          <w:rFonts w:ascii="Arial" w:hAnsi="Arial" w:cs="Arial"/>
          <w:bCs/>
          <w:sz w:val="22"/>
          <w:szCs w:val="22"/>
          <w:lang w:val="fr-FR"/>
        </w:rPr>
        <w:t xml:space="preserve"> ou </w:t>
      </w:r>
      <w:r>
        <w:rPr>
          <w:rFonts w:ascii="Arial" w:hAnsi="Arial" w:cs="Arial"/>
          <w:bCs/>
          <w:sz w:val="22"/>
          <w:szCs w:val="22"/>
          <w:lang w:val="fr-FR"/>
        </w:rPr>
        <w:t>par d’</w:t>
      </w:r>
      <w:r w:rsidRPr="007F060B">
        <w:rPr>
          <w:rFonts w:ascii="Arial" w:hAnsi="Arial" w:cs="Arial"/>
          <w:bCs/>
          <w:sz w:val="22"/>
          <w:szCs w:val="22"/>
          <w:lang w:val="fr-FR"/>
        </w:rPr>
        <w:t>autres sources.</w:t>
      </w:r>
    </w:p>
    <w:p w:rsidR="00BB633D" w:rsidRDefault="00BB633D" w:rsidP="00BB633D">
      <w:pPr>
        <w:pStyle w:val="ListParagraph1"/>
        <w:spacing w:after="120"/>
        <w:ind w:left="567"/>
        <w:jc w:val="both"/>
        <w:rPr>
          <w:rFonts w:ascii="Arial" w:hAnsi="Arial" w:cs="Arial"/>
          <w:bCs/>
          <w:sz w:val="22"/>
          <w:szCs w:val="22"/>
          <w:lang w:val="fr-FR"/>
        </w:rPr>
      </w:pPr>
      <w:r w:rsidRPr="00761349">
        <w:rPr>
          <w:rFonts w:ascii="Arial" w:hAnsi="Arial" w:cs="Arial"/>
          <w:b/>
          <w:bCs/>
          <w:sz w:val="22"/>
          <w:szCs w:val="22"/>
          <w:lang w:val="fr-FR"/>
        </w:rPr>
        <w:t>Critère A.3 </w:t>
      </w:r>
      <w:r w:rsidRPr="009712A4">
        <w:rPr>
          <w:rFonts w:ascii="Arial" w:hAnsi="Arial" w:cs="Arial"/>
          <w:bCs/>
          <w:sz w:val="22"/>
          <w:szCs w:val="22"/>
          <w:lang w:val="fr-FR"/>
        </w:rPr>
        <w:t xml:space="preserve">: </w:t>
      </w:r>
      <w:r w:rsidRPr="007F060B">
        <w:rPr>
          <w:rFonts w:ascii="Arial" w:hAnsi="Arial" w:cs="Arial"/>
          <w:bCs/>
          <w:sz w:val="22"/>
          <w:szCs w:val="22"/>
          <w:lang w:val="fr-FR"/>
        </w:rPr>
        <w:t>La demande est structuré</w:t>
      </w:r>
      <w:r>
        <w:rPr>
          <w:rFonts w:ascii="Arial" w:hAnsi="Arial" w:cs="Arial"/>
          <w:bCs/>
          <w:sz w:val="22"/>
          <w:szCs w:val="22"/>
          <w:lang w:val="fr-FR"/>
        </w:rPr>
        <w:t xml:space="preserve">e </w:t>
      </w:r>
      <w:r w:rsidRPr="007F060B">
        <w:rPr>
          <w:rFonts w:ascii="Arial" w:hAnsi="Arial" w:cs="Arial"/>
          <w:bCs/>
          <w:sz w:val="22"/>
          <w:szCs w:val="22"/>
          <w:lang w:val="fr-FR"/>
        </w:rPr>
        <w:t>clairement et comprend une série d'activités qui sont bien conçues et présentées dans un ordre logique</w:t>
      </w:r>
      <w:r>
        <w:rPr>
          <w:rFonts w:ascii="Arial" w:hAnsi="Arial" w:cs="Arial"/>
          <w:bCs/>
          <w:sz w:val="22"/>
          <w:szCs w:val="22"/>
          <w:lang w:val="fr-FR"/>
        </w:rPr>
        <w:t> :</w:t>
      </w:r>
      <w:r w:rsidRPr="007F060B">
        <w:rPr>
          <w:rFonts w:ascii="Arial" w:hAnsi="Arial" w:cs="Arial"/>
          <w:bCs/>
          <w:sz w:val="22"/>
          <w:szCs w:val="22"/>
          <w:lang w:val="fr-FR"/>
        </w:rPr>
        <w:t xml:space="preserve"> consultations préliminaires avec </w:t>
      </w:r>
      <w:r>
        <w:rPr>
          <w:rFonts w:ascii="Arial" w:hAnsi="Arial" w:cs="Arial"/>
          <w:bCs/>
          <w:sz w:val="22"/>
          <w:szCs w:val="22"/>
          <w:lang w:val="fr-FR"/>
        </w:rPr>
        <w:t xml:space="preserve">la communauté </w:t>
      </w:r>
      <w:proofErr w:type="spellStart"/>
      <w:r>
        <w:rPr>
          <w:rFonts w:ascii="Arial" w:hAnsi="Arial" w:cs="Arial"/>
          <w:bCs/>
          <w:sz w:val="22"/>
          <w:szCs w:val="22"/>
          <w:lang w:val="fr-FR"/>
        </w:rPr>
        <w:t>Navala</w:t>
      </w:r>
      <w:proofErr w:type="spellEnd"/>
      <w:r w:rsidRPr="007F060B">
        <w:rPr>
          <w:rFonts w:ascii="Arial" w:hAnsi="Arial" w:cs="Arial"/>
          <w:bCs/>
          <w:sz w:val="22"/>
          <w:szCs w:val="22"/>
          <w:lang w:val="fr-FR"/>
        </w:rPr>
        <w:t xml:space="preserve"> et </w:t>
      </w:r>
      <w:r>
        <w:rPr>
          <w:rFonts w:ascii="Arial" w:hAnsi="Arial" w:cs="Arial"/>
          <w:bCs/>
          <w:sz w:val="22"/>
          <w:szCs w:val="22"/>
          <w:lang w:val="fr-FR"/>
        </w:rPr>
        <w:t>les</w:t>
      </w:r>
      <w:r w:rsidRPr="007F060B">
        <w:rPr>
          <w:rFonts w:ascii="Arial" w:hAnsi="Arial" w:cs="Arial"/>
          <w:bCs/>
          <w:sz w:val="22"/>
          <w:szCs w:val="22"/>
          <w:lang w:val="fr-FR"/>
        </w:rPr>
        <w:t xml:space="preserve"> villages</w:t>
      </w:r>
      <w:r>
        <w:rPr>
          <w:rFonts w:ascii="Arial" w:hAnsi="Arial" w:cs="Arial"/>
          <w:bCs/>
          <w:sz w:val="22"/>
          <w:szCs w:val="22"/>
          <w:lang w:val="fr-FR"/>
        </w:rPr>
        <w:t xml:space="preserve"> voisins</w:t>
      </w:r>
      <w:r w:rsidRPr="007F060B">
        <w:rPr>
          <w:rFonts w:ascii="Arial" w:hAnsi="Arial" w:cs="Arial"/>
          <w:bCs/>
          <w:sz w:val="22"/>
          <w:szCs w:val="22"/>
          <w:lang w:val="fr-FR"/>
        </w:rPr>
        <w:t xml:space="preserve"> du district</w:t>
      </w:r>
      <w:r>
        <w:rPr>
          <w:rFonts w:ascii="Arial" w:hAnsi="Arial" w:cs="Arial"/>
          <w:bCs/>
          <w:sz w:val="22"/>
          <w:szCs w:val="22"/>
          <w:lang w:val="fr-FR"/>
        </w:rPr>
        <w:t xml:space="preserve"> de Ba</w:t>
      </w:r>
      <w:r w:rsidRPr="007F060B">
        <w:rPr>
          <w:rFonts w:ascii="Arial" w:hAnsi="Arial" w:cs="Arial"/>
          <w:bCs/>
          <w:sz w:val="22"/>
          <w:szCs w:val="22"/>
          <w:lang w:val="fr-FR"/>
        </w:rPr>
        <w:t xml:space="preserve">, </w:t>
      </w:r>
      <w:r>
        <w:rPr>
          <w:rFonts w:ascii="Arial" w:hAnsi="Arial" w:cs="Arial"/>
          <w:bCs/>
          <w:sz w:val="22"/>
          <w:szCs w:val="22"/>
          <w:lang w:val="fr-FR"/>
        </w:rPr>
        <w:t>travail sur le</w:t>
      </w:r>
      <w:r w:rsidRPr="007F060B">
        <w:rPr>
          <w:rFonts w:ascii="Arial" w:hAnsi="Arial" w:cs="Arial"/>
          <w:bCs/>
          <w:sz w:val="22"/>
          <w:szCs w:val="22"/>
          <w:lang w:val="fr-FR"/>
        </w:rPr>
        <w:t xml:space="preserve"> terrain</w:t>
      </w:r>
      <w:r>
        <w:rPr>
          <w:rFonts w:ascii="Arial" w:hAnsi="Arial" w:cs="Arial"/>
          <w:bCs/>
          <w:sz w:val="22"/>
          <w:szCs w:val="22"/>
          <w:lang w:val="fr-FR"/>
        </w:rPr>
        <w:t>,</w:t>
      </w:r>
      <w:r w:rsidRPr="007F060B">
        <w:rPr>
          <w:rFonts w:ascii="Arial" w:hAnsi="Arial" w:cs="Arial"/>
          <w:bCs/>
          <w:sz w:val="22"/>
          <w:szCs w:val="22"/>
          <w:lang w:val="fr-FR"/>
        </w:rPr>
        <w:t xml:space="preserve"> </w:t>
      </w:r>
      <w:r>
        <w:rPr>
          <w:rFonts w:ascii="Arial" w:hAnsi="Arial" w:cs="Arial"/>
          <w:bCs/>
          <w:sz w:val="22"/>
          <w:szCs w:val="22"/>
          <w:lang w:val="fr-FR"/>
        </w:rPr>
        <w:t>recueil de</w:t>
      </w:r>
      <w:r w:rsidRPr="007F060B">
        <w:rPr>
          <w:rFonts w:ascii="Arial" w:hAnsi="Arial" w:cs="Arial"/>
          <w:bCs/>
          <w:sz w:val="22"/>
          <w:szCs w:val="22"/>
          <w:lang w:val="fr-FR"/>
        </w:rPr>
        <w:t xml:space="preserve"> données</w:t>
      </w:r>
      <w:r>
        <w:rPr>
          <w:rFonts w:ascii="Arial" w:hAnsi="Arial" w:cs="Arial"/>
          <w:bCs/>
          <w:sz w:val="22"/>
          <w:szCs w:val="22"/>
          <w:lang w:val="fr-FR"/>
        </w:rPr>
        <w:t xml:space="preserve"> et</w:t>
      </w:r>
      <w:r w:rsidRPr="007F060B">
        <w:rPr>
          <w:rFonts w:ascii="Arial" w:hAnsi="Arial" w:cs="Arial"/>
          <w:bCs/>
          <w:sz w:val="22"/>
          <w:szCs w:val="22"/>
          <w:lang w:val="fr-FR"/>
        </w:rPr>
        <w:t xml:space="preserve"> développement d'une série de produits d</w:t>
      </w:r>
      <w:r>
        <w:rPr>
          <w:rFonts w:ascii="Arial" w:hAnsi="Arial" w:cs="Arial"/>
          <w:bCs/>
          <w:sz w:val="22"/>
          <w:szCs w:val="22"/>
          <w:lang w:val="fr-FR"/>
        </w:rPr>
        <w:t>u</w:t>
      </w:r>
      <w:r w:rsidRPr="007F060B">
        <w:rPr>
          <w:rFonts w:ascii="Arial" w:hAnsi="Arial" w:cs="Arial"/>
          <w:bCs/>
          <w:sz w:val="22"/>
          <w:szCs w:val="22"/>
          <w:lang w:val="fr-FR"/>
        </w:rPr>
        <w:t xml:space="preserve"> projet ; la cohérence entre les activités prévues</w:t>
      </w:r>
      <w:r>
        <w:rPr>
          <w:rFonts w:ascii="Arial" w:hAnsi="Arial" w:cs="Arial"/>
          <w:bCs/>
          <w:sz w:val="22"/>
          <w:szCs w:val="22"/>
          <w:lang w:val="fr-FR"/>
        </w:rPr>
        <w:t>,</w:t>
      </w:r>
      <w:r w:rsidRPr="007F060B">
        <w:rPr>
          <w:rFonts w:ascii="Arial" w:hAnsi="Arial" w:cs="Arial"/>
          <w:bCs/>
          <w:sz w:val="22"/>
          <w:szCs w:val="22"/>
          <w:lang w:val="fr-FR"/>
        </w:rPr>
        <w:t xml:space="preserve"> le budget proposé et le calendrier est un </w:t>
      </w:r>
      <w:r>
        <w:rPr>
          <w:rFonts w:ascii="Arial" w:hAnsi="Arial" w:cs="Arial"/>
          <w:bCs/>
          <w:sz w:val="22"/>
          <w:szCs w:val="22"/>
          <w:lang w:val="fr-FR"/>
        </w:rPr>
        <w:t>élément</w:t>
      </w:r>
      <w:r w:rsidRPr="007F060B">
        <w:rPr>
          <w:rFonts w:ascii="Arial" w:hAnsi="Arial" w:cs="Arial"/>
          <w:bCs/>
          <w:sz w:val="22"/>
          <w:szCs w:val="22"/>
          <w:lang w:val="fr-FR"/>
        </w:rPr>
        <w:t xml:space="preserve"> déterminant pour la faisabilité du projet.</w:t>
      </w:r>
    </w:p>
    <w:p w:rsidR="00BB633D" w:rsidRDefault="00BB633D" w:rsidP="00BB633D">
      <w:pPr>
        <w:pStyle w:val="ListParagraph1"/>
        <w:spacing w:after="120"/>
        <w:ind w:left="567"/>
        <w:jc w:val="both"/>
        <w:rPr>
          <w:rFonts w:ascii="Arial" w:hAnsi="Arial" w:cs="Arial"/>
          <w:bCs/>
          <w:sz w:val="22"/>
          <w:szCs w:val="22"/>
          <w:lang w:val="fr-FR"/>
        </w:rPr>
      </w:pPr>
      <w:r w:rsidRPr="00761349">
        <w:rPr>
          <w:rFonts w:ascii="Arial" w:hAnsi="Arial" w:cs="Arial"/>
          <w:b/>
          <w:bCs/>
          <w:sz w:val="22"/>
          <w:szCs w:val="22"/>
          <w:lang w:val="fr-FR"/>
        </w:rPr>
        <w:t>Critère A.4 </w:t>
      </w:r>
      <w:r w:rsidRPr="00761349">
        <w:rPr>
          <w:rFonts w:ascii="Arial" w:hAnsi="Arial" w:cs="Arial"/>
          <w:bCs/>
          <w:sz w:val="22"/>
          <w:szCs w:val="22"/>
          <w:lang w:val="fr-FR"/>
        </w:rPr>
        <w:t xml:space="preserve">: </w:t>
      </w:r>
      <w:r>
        <w:rPr>
          <w:rFonts w:ascii="Arial" w:hAnsi="Arial" w:cs="Arial"/>
          <w:bCs/>
          <w:sz w:val="22"/>
          <w:szCs w:val="22"/>
          <w:lang w:val="fr-FR"/>
        </w:rPr>
        <w:t>L</w:t>
      </w:r>
      <w:r w:rsidRPr="007F060B">
        <w:rPr>
          <w:rFonts w:ascii="Arial" w:hAnsi="Arial" w:cs="Arial"/>
          <w:bCs/>
          <w:sz w:val="22"/>
          <w:szCs w:val="22"/>
          <w:lang w:val="fr-FR"/>
        </w:rPr>
        <w:t>es résultats à long terme du projet</w:t>
      </w:r>
      <w:r>
        <w:rPr>
          <w:rFonts w:ascii="Arial" w:hAnsi="Arial" w:cs="Arial"/>
          <w:bCs/>
          <w:sz w:val="22"/>
          <w:szCs w:val="22"/>
          <w:lang w:val="fr-FR"/>
        </w:rPr>
        <w:t>,</w:t>
      </w:r>
      <w:r w:rsidRPr="007F060B">
        <w:rPr>
          <w:rFonts w:ascii="Arial" w:hAnsi="Arial" w:cs="Arial"/>
          <w:bCs/>
          <w:sz w:val="22"/>
          <w:szCs w:val="22"/>
          <w:lang w:val="fr-FR"/>
        </w:rPr>
        <w:t xml:space="preserve"> </w:t>
      </w:r>
      <w:r>
        <w:rPr>
          <w:rFonts w:ascii="Arial" w:hAnsi="Arial" w:cs="Arial"/>
          <w:bCs/>
          <w:sz w:val="22"/>
          <w:szCs w:val="22"/>
          <w:lang w:val="fr-FR"/>
        </w:rPr>
        <w:t>comme</w:t>
      </w:r>
      <w:r w:rsidRPr="007F060B">
        <w:rPr>
          <w:rFonts w:ascii="Arial" w:hAnsi="Arial" w:cs="Arial"/>
          <w:bCs/>
          <w:sz w:val="22"/>
          <w:szCs w:val="22"/>
          <w:lang w:val="fr-FR"/>
        </w:rPr>
        <w:t xml:space="preserve"> la restauration et la reconstruction</w:t>
      </w:r>
      <w:r>
        <w:rPr>
          <w:rFonts w:ascii="Arial" w:hAnsi="Arial" w:cs="Arial"/>
          <w:bCs/>
          <w:sz w:val="22"/>
          <w:szCs w:val="22"/>
          <w:lang w:val="fr-FR"/>
        </w:rPr>
        <w:t xml:space="preserve"> des</w:t>
      </w:r>
      <w:r w:rsidRPr="007F060B">
        <w:rPr>
          <w:rFonts w:ascii="Arial" w:hAnsi="Arial" w:cs="Arial"/>
          <w:bCs/>
          <w:sz w:val="22"/>
          <w:szCs w:val="22"/>
          <w:lang w:val="fr-FR"/>
        </w:rPr>
        <w:t xml:space="preserve"> bures ou la sauvegarde d</w:t>
      </w:r>
      <w:r>
        <w:rPr>
          <w:rFonts w:ascii="Arial" w:hAnsi="Arial" w:cs="Arial"/>
          <w:bCs/>
          <w:sz w:val="22"/>
          <w:szCs w:val="22"/>
          <w:lang w:val="fr-FR"/>
        </w:rPr>
        <w:t>es croyances traditionnelles, les</w:t>
      </w:r>
      <w:r w:rsidRPr="007F060B">
        <w:rPr>
          <w:rFonts w:ascii="Arial" w:hAnsi="Arial" w:cs="Arial"/>
          <w:bCs/>
          <w:sz w:val="22"/>
          <w:szCs w:val="22"/>
          <w:lang w:val="fr-FR"/>
        </w:rPr>
        <w:t xml:space="preserve"> connaissance</w:t>
      </w:r>
      <w:r>
        <w:rPr>
          <w:rFonts w:ascii="Arial" w:hAnsi="Arial" w:cs="Arial"/>
          <w:bCs/>
          <w:sz w:val="22"/>
          <w:szCs w:val="22"/>
          <w:lang w:val="fr-FR"/>
        </w:rPr>
        <w:t>s</w:t>
      </w:r>
      <w:r w:rsidRPr="007F060B">
        <w:rPr>
          <w:rFonts w:ascii="Arial" w:hAnsi="Arial" w:cs="Arial"/>
          <w:bCs/>
          <w:sz w:val="22"/>
          <w:szCs w:val="22"/>
          <w:lang w:val="fr-FR"/>
        </w:rPr>
        <w:t xml:space="preserve"> historique</w:t>
      </w:r>
      <w:r>
        <w:rPr>
          <w:rFonts w:ascii="Arial" w:hAnsi="Arial" w:cs="Arial"/>
          <w:bCs/>
          <w:sz w:val="22"/>
          <w:szCs w:val="22"/>
          <w:lang w:val="fr-FR"/>
        </w:rPr>
        <w:t>s</w:t>
      </w:r>
      <w:r w:rsidRPr="007F060B">
        <w:rPr>
          <w:rFonts w:ascii="Arial" w:hAnsi="Arial" w:cs="Arial"/>
          <w:bCs/>
          <w:sz w:val="22"/>
          <w:szCs w:val="22"/>
          <w:lang w:val="fr-FR"/>
        </w:rPr>
        <w:t xml:space="preserve"> fondée</w:t>
      </w:r>
      <w:r>
        <w:rPr>
          <w:rFonts w:ascii="Arial" w:hAnsi="Arial" w:cs="Arial"/>
          <w:bCs/>
          <w:sz w:val="22"/>
          <w:szCs w:val="22"/>
          <w:lang w:val="fr-FR"/>
        </w:rPr>
        <w:t>s</w:t>
      </w:r>
      <w:r w:rsidRPr="007F060B">
        <w:rPr>
          <w:rFonts w:ascii="Arial" w:hAnsi="Arial" w:cs="Arial"/>
          <w:bCs/>
          <w:sz w:val="22"/>
          <w:szCs w:val="22"/>
          <w:lang w:val="fr-FR"/>
        </w:rPr>
        <w:t xml:space="preserve"> sur le lieu, les œuvres artistiques et li</w:t>
      </w:r>
      <w:r>
        <w:rPr>
          <w:rFonts w:ascii="Arial" w:hAnsi="Arial" w:cs="Arial"/>
          <w:bCs/>
          <w:sz w:val="22"/>
          <w:szCs w:val="22"/>
          <w:lang w:val="fr-FR"/>
        </w:rPr>
        <w:t>ttéraires, l</w:t>
      </w:r>
      <w:r w:rsidRPr="007F060B">
        <w:rPr>
          <w:rFonts w:ascii="Arial" w:hAnsi="Arial" w:cs="Arial"/>
          <w:bCs/>
          <w:sz w:val="22"/>
          <w:szCs w:val="22"/>
          <w:lang w:val="fr-FR"/>
        </w:rPr>
        <w:t xml:space="preserve">es chansons et </w:t>
      </w:r>
      <w:r>
        <w:rPr>
          <w:rFonts w:ascii="Arial" w:hAnsi="Arial" w:cs="Arial"/>
          <w:bCs/>
          <w:sz w:val="22"/>
          <w:szCs w:val="22"/>
          <w:lang w:val="fr-FR"/>
        </w:rPr>
        <w:t>l</w:t>
      </w:r>
      <w:r w:rsidRPr="007F060B">
        <w:rPr>
          <w:rFonts w:ascii="Arial" w:hAnsi="Arial" w:cs="Arial"/>
          <w:bCs/>
          <w:sz w:val="22"/>
          <w:szCs w:val="22"/>
          <w:lang w:val="fr-FR"/>
        </w:rPr>
        <w:t xml:space="preserve">es récits oraux, </w:t>
      </w:r>
      <w:r>
        <w:rPr>
          <w:rFonts w:ascii="Arial" w:hAnsi="Arial" w:cs="Arial"/>
          <w:bCs/>
          <w:sz w:val="22"/>
          <w:szCs w:val="22"/>
          <w:lang w:val="fr-FR"/>
        </w:rPr>
        <w:t xml:space="preserve">se reproduiront d’eux-mêmes </w:t>
      </w:r>
      <w:r w:rsidRPr="007F060B">
        <w:rPr>
          <w:rFonts w:ascii="Arial" w:hAnsi="Arial" w:cs="Arial"/>
          <w:bCs/>
          <w:sz w:val="22"/>
          <w:szCs w:val="22"/>
          <w:lang w:val="fr-FR"/>
        </w:rPr>
        <w:t xml:space="preserve">; relevant des plans de gestion locaux et </w:t>
      </w:r>
      <w:r>
        <w:rPr>
          <w:rFonts w:ascii="Arial" w:hAnsi="Arial" w:cs="Arial"/>
          <w:bCs/>
          <w:sz w:val="22"/>
          <w:szCs w:val="22"/>
          <w:lang w:val="fr-FR"/>
        </w:rPr>
        <w:t>intégrant le</w:t>
      </w:r>
      <w:r w:rsidRPr="007F060B">
        <w:rPr>
          <w:rFonts w:ascii="Arial" w:hAnsi="Arial" w:cs="Arial"/>
          <w:bCs/>
          <w:sz w:val="22"/>
          <w:szCs w:val="22"/>
          <w:lang w:val="fr-FR"/>
        </w:rPr>
        <w:t xml:space="preserve"> concept holistique de </w:t>
      </w:r>
      <w:proofErr w:type="spellStart"/>
      <w:r w:rsidRPr="007F060B">
        <w:rPr>
          <w:rFonts w:ascii="Arial" w:hAnsi="Arial" w:cs="Arial"/>
          <w:bCs/>
          <w:sz w:val="22"/>
          <w:szCs w:val="22"/>
          <w:lang w:val="fr-FR"/>
        </w:rPr>
        <w:t>Vanua</w:t>
      </w:r>
      <w:proofErr w:type="spellEnd"/>
      <w:r w:rsidRPr="007F060B">
        <w:rPr>
          <w:rFonts w:ascii="Arial" w:hAnsi="Arial" w:cs="Arial"/>
          <w:bCs/>
          <w:sz w:val="22"/>
          <w:szCs w:val="22"/>
          <w:lang w:val="fr-FR"/>
        </w:rPr>
        <w:t xml:space="preserve">, les activités du projet devraient permettre de créer leurs propres synergies, </w:t>
      </w:r>
      <w:r>
        <w:rPr>
          <w:rFonts w:ascii="Arial" w:hAnsi="Arial" w:cs="Arial"/>
          <w:bCs/>
          <w:sz w:val="22"/>
          <w:szCs w:val="22"/>
          <w:lang w:val="fr-FR"/>
        </w:rPr>
        <w:t>d’</w:t>
      </w:r>
      <w:r w:rsidRPr="007F060B">
        <w:rPr>
          <w:rFonts w:ascii="Arial" w:hAnsi="Arial" w:cs="Arial"/>
          <w:bCs/>
          <w:sz w:val="22"/>
          <w:szCs w:val="22"/>
          <w:lang w:val="fr-FR"/>
        </w:rPr>
        <w:t xml:space="preserve">encourager </w:t>
      </w:r>
      <w:r>
        <w:rPr>
          <w:rFonts w:ascii="Arial" w:hAnsi="Arial" w:cs="Arial"/>
          <w:bCs/>
          <w:sz w:val="22"/>
          <w:szCs w:val="22"/>
          <w:lang w:val="fr-FR"/>
        </w:rPr>
        <w:t>l’engagement participatif</w:t>
      </w:r>
      <w:r w:rsidRPr="007F060B">
        <w:rPr>
          <w:rFonts w:ascii="Arial" w:hAnsi="Arial" w:cs="Arial"/>
          <w:bCs/>
          <w:sz w:val="22"/>
          <w:szCs w:val="22"/>
          <w:lang w:val="fr-FR"/>
        </w:rPr>
        <w:t xml:space="preserve"> des </w:t>
      </w:r>
      <w:r>
        <w:rPr>
          <w:rFonts w:ascii="Arial" w:hAnsi="Arial" w:cs="Arial"/>
          <w:bCs/>
          <w:sz w:val="22"/>
          <w:szCs w:val="22"/>
          <w:lang w:val="fr-FR"/>
        </w:rPr>
        <w:t>aînés</w:t>
      </w:r>
      <w:r w:rsidRPr="007F060B">
        <w:rPr>
          <w:rFonts w:ascii="Arial" w:hAnsi="Arial" w:cs="Arial"/>
          <w:bCs/>
          <w:sz w:val="22"/>
          <w:szCs w:val="22"/>
          <w:lang w:val="fr-FR"/>
        </w:rPr>
        <w:t xml:space="preserve"> et de la jeunesse de la communauté </w:t>
      </w:r>
      <w:proofErr w:type="spellStart"/>
      <w:r w:rsidRPr="007F060B">
        <w:rPr>
          <w:rFonts w:ascii="Arial" w:hAnsi="Arial" w:cs="Arial"/>
          <w:bCs/>
          <w:sz w:val="22"/>
          <w:szCs w:val="22"/>
          <w:lang w:val="fr-FR"/>
        </w:rPr>
        <w:t>Navala</w:t>
      </w:r>
      <w:proofErr w:type="spellEnd"/>
      <w:r w:rsidRPr="007F060B">
        <w:rPr>
          <w:rFonts w:ascii="Arial" w:hAnsi="Arial" w:cs="Arial"/>
          <w:bCs/>
          <w:sz w:val="22"/>
          <w:szCs w:val="22"/>
          <w:lang w:val="fr-FR"/>
        </w:rPr>
        <w:t xml:space="preserve"> et </w:t>
      </w:r>
      <w:r>
        <w:rPr>
          <w:rFonts w:ascii="Arial" w:hAnsi="Arial" w:cs="Arial"/>
          <w:bCs/>
          <w:sz w:val="22"/>
          <w:szCs w:val="22"/>
          <w:lang w:val="fr-FR"/>
        </w:rPr>
        <w:t>d’</w:t>
      </w:r>
      <w:r w:rsidRPr="007F060B">
        <w:rPr>
          <w:rFonts w:ascii="Arial" w:hAnsi="Arial" w:cs="Arial"/>
          <w:bCs/>
          <w:sz w:val="22"/>
          <w:szCs w:val="22"/>
          <w:lang w:val="fr-FR"/>
        </w:rPr>
        <w:t>inspirer d'autres jeunes de</w:t>
      </w:r>
      <w:r>
        <w:rPr>
          <w:rFonts w:ascii="Arial" w:hAnsi="Arial" w:cs="Arial"/>
          <w:bCs/>
          <w:sz w:val="22"/>
          <w:szCs w:val="22"/>
          <w:lang w:val="fr-FR"/>
        </w:rPr>
        <w:t xml:space="preserve"> la province supérieure de</w:t>
      </w:r>
      <w:r w:rsidRPr="007F060B">
        <w:rPr>
          <w:rFonts w:ascii="Arial" w:hAnsi="Arial" w:cs="Arial"/>
          <w:bCs/>
          <w:sz w:val="22"/>
          <w:szCs w:val="22"/>
          <w:lang w:val="fr-FR"/>
        </w:rPr>
        <w:t xml:space="preserve"> Ba </w:t>
      </w:r>
      <w:r>
        <w:rPr>
          <w:rFonts w:ascii="Arial" w:hAnsi="Arial" w:cs="Arial"/>
          <w:bCs/>
          <w:sz w:val="22"/>
          <w:szCs w:val="22"/>
          <w:lang w:val="fr-FR"/>
        </w:rPr>
        <w:t>à</w:t>
      </w:r>
      <w:r w:rsidRPr="007F060B">
        <w:rPr>
          <w:rFonts w:ascii="Arial" w:hAnsi="Arial" w:cs="Arial"/>
          <w:bCs/>
          <w:sz w:val="22"/>
          <w:szCs w:val="22"/>
          <w:lang w:val="fr-FR"/>
        </w:rPr>
        <w:t xml:space="preserve"> protéger les systèmes de </w:t>
      </w:r>
      <w:r>
        <w:rPr>
          <w:rFonts w:ascii="Arial" w:hAnsi="Arial" w:cs="Arial"/>
          <w:bCs/>
          <w:sz w:val="22"/>
          <w:szCs w:val="22"/>
          <w:lang w:val="fr-FR"/>
        </w:rPr>
        <w:t>savoirs pour les générations futures</w:t>
      </w:r>
      <w:r w:rsidRPr="007F060B">
        <w:rPr>
          <w:rFonts w:ascii="Arial" w:hAnsi="Arial" w:cs="Arial"/>
          <w:bCs/>
          <w:sz w:val="22"/>
          <w:szCs w:val="22"/>
          <w:lang w:val="fr-FR"/>
        </w:rPr>
        <w:t>.</w:t>
      </w:r>
    </w:p>
    <w:p w:rsidR="00BB633D" w:rsidRDefault="00BB633D" w:rsidP="00BB633D">
      <w:pPr>
        <w:pStyle w:val="ListParagraph1"/>
        <w:spacing w:after="120"/>
        <w:ind w:left="567"/>
        <w:jc w:val="both"/>
        <w:rPr>
          <w:rFonts w:ascii="Arial" w:hAnsi="Arial" w:cs="Arial"/>
          <w:bCs/>
          <w:sz w:val="22"/>
          <w:szCs w:val="22"/>
          <w:lang w:val="fr-FR"/>
        </w:rPr>
      </w:pPr>
      <w:r w:rsidRPr="00761349">
        <w:rPr>
          <w:rFonts w:ascii="Arial" w:hAnsi="Arial" w:cs="Arial"/>
          <w:b/>
          <w:bCs/>
          <w:sz w:val="22"/>
          <w:szCs w:val="22"/>
          <w:lang w:val="fr-FR"/>
        </w:rPr>
        <w:t>Critère A.5 </w:t>
      </w:r>
      <w:r w:rsidRPr="009712A4">
        <w:rPr>
          <w:rFonts w:ascii="Arial" w:hAnsi="Arial" w:cs="Arial"/>
          <w:bCs/>
          <w:sz w:val="22"/>
          <w:szCs w:val="22"/>
          <w:lang w:val="fr-FR"/>
        </w:rPr>
        <w:t xml:space="preserve">: </w:t>
      </w:r>
      <w:r>
        <w:rPr>
          <w:rFonts w:ascii="Arial" w:hAnsi="Arial" w:cs="Arial"/>
          <w:bCs/>
          <w:sz w:val="22"/>
          <w:szCs w:val="22"/>
          <w:lang w:val="fr-FR"/>
        </w:rPr>
        <w:t>15% du budget total du projet faisant l’objet d’une demande d’assistance internationale seront pris en charge par l’État partie et les partenaires du projet.</w:t>
      </w:r>
    </w:p>
    <w:p w:rsidR="00BB633D" w:rsidRDefault="00BB633D" w:rsidP="00BB633D">
      <w:pPr>
        <w:pStyle w:val="ListParagraph1"/>
        <w:spacing w:after="120"/>
        <w:ind w:left="567"/>
        <w:jc w:val="both"/>
        <w:rPr>
          <w:rFonts w:ascii="Arial" w:hAnsi="Arial" w:cs="Arial"/>
          <w:bCs/>
          <w:sz w:val="22"/>
          <w:szCs w:val="22"/>
          <w:lang w:val="fr-FR"/>
        </w:rPr>
      </w:pPr>
      <w:r w:rsidRPr="00761349">
        <w:rPr>
          <w:rFonts w:ascii="Arial" w:hAnsi="Arial" w:cs="Arial"/>
          <w:b/>
          <w:bCs/>
          <w:sz w:val="22"/>
          <w:szCs w:val="22"/>
          <w:lang w:val="fr-FR"/>
        </w:rPr>
        <w:t>Critère A.6 </w:t>
      </w:r>
      <w:r w:rsidRPr="009712A4">
        <w:rPr>
          <w:rFonts w:ascii="Arial" w:hAnsi="Arial" w:cs="Arial"/>
          <w:bCs/>
          <w:sz w:val="22"/>
          <w:szCs w:val="22"/>
          <w:lang w:val="fr-FR"/>
        </w:rPr>
        <w:t xml:space="preserve">: </w:t>
      </w:r>
      <w:r w:rsidRPr="00C5397E">
        <w:rPr>
          <w:rFonts w:ascii="Arial" w:hAnsi="Arial" w:cs="Arial"/>
          <w:bCs/>
          <w:sz w:val="22"/>
          <w:szCs w:val="22"/>
          <w:lang w:val="fr-FR"/>
        </w:rPr>
        <w:t xml:space="preserve">L'engagement </w:t>
      </w:r>
      <w:r>
        <w:rPr>
          <w:rFonts w:ascii="Arial" w:hAnsi="Arial" w:cs="Arial"/>
          <w:bCs/>
          <w:sz w:val="22"/>
          <w:szCs w:val="22"/>
          <w:lang w:val="fr-FR"/>
        </w:rPr>
        <w:t>de la communauté</w:t>
      </w:r>
      <w:r w:rsidRPr="00C5397E">
        <w:rPr>
          <w:rFonts w:ascii="Arial" w:hAnsi="Arial" w:cs="Arial"/>
          <w:bCs/>
          <w:sz w:val="22"/>
          <w:szCs w:val="22"/>
          <w:lang w:val="fr-FR"/>
        </w:rPr>
        <w:t xml:space="preserve"> et le renforcement des capacités sont des éléments clés du projet</w:t>
      </w:r>
      <w:r>
        <w:rPr>
          <w:rFonts w:ascii="Arial" w:hAnsi="Arial" w:cs="Arial"/>
          <w:bCs/>
          <w:sz w:val="22"/>
          <w:szCs w:val="22"/>
          <w:lang w:val="fr-FR"/>
        </w:rPr>
        <w:t xml:space="preserve"> </w:t>
      </w:r>
      <w:r w:rsidRPr="00C5397E">
        <w:rPr>
          <w:rFonts w:ascii="Arial" w:hAnsi="Arial" w:cs="Arial"/>
          <w:bCs/>
          <w:sz w:val="22"/>
          <w:szCs w:val="22"/>
          <w:lang w:val="fr-FR"/>
        </w:rPr>
        <w:t xml:space="preserve">; </w:t>
      </w:r>
      <w:r>
        <w:rPr>
          <w:rFonts w:ascii="Arial" w:hAnsi="Arial" w:cs="Arial"/>
          <w:bCs/>
          <w:sz w:val="22"/>
          <w:szCs w:val="22"/>
          <w:lang w:val="fr-FR"/>
        </w:rPr>
        <w:t>la participation d</w:t>
      </w:r>
      <w:r w:rsidRPr="00C5397E">
        <w:rPr>
          <w:rFonts w:ascii="Arial" w:hAnsi="Arial" w:cs="Arial"/>
          <w:bCs/>
          <w:sz w:val="22"/>
          <w:szCs w:val="22"/>
          <w:lang w:val="fr-FR"/>
        </w:rPr>
        <w:t xml:space="preserve">es membres du village, du district et de la province </w:t>
      </w:r>
      <w:r>
        <w:rPr>
          <w:rFonts w:ascii="Arial" w:hAnsi="Arial" w:cs="Arial"/>
          <w:bCs/>
          <w:sz w:val="22"/>
          <w:szCs w:val="22"/>
          <w:lang w:val="fr-FR"/>
        </w:rPr>
        <w:t>à</w:t>
      </w:r>
      <w:r w:rsidRPr="00C5397E">
        <w:rPr>
          <w:rFonts w:ascii="Arial" w:hAnsi="Arial" w:cs="Arial"/>
          <w:bCs/>
          <w:sz w:val="22"/>
          <w:szCs w:val="22"/>
          <w:lang w:val="fr-FR"/>
        </w:rPr>
        <w:t xml:space="preserve"> la réhabilitation et </w:t>
      </w:r>
      <w:r>
        <w:rPr>
          <w:rFonts w:ascii="Arial" w:hAnsi="Arial" w:cs="Arial"/>
          <w:bCs/>
          <w:sz w:val="22"/>
          <w:szCs w:val="22"/>
          <w:lang w:val="fr-FR"/>
        </w:rPr>
        <w:t xml:space="preserve">à </w:t>
      </w:r>
      <w:r w:rsidRPr="00C5397E">
        <w:rPr>
          <w:rFonts w:ascii="Arial" w:hAnsi="Arial" w:cs="Arial"/>
          <w:bCs/>
          <w:sz w:val="22"/>
          <w:szCs w:val="22"/>
          <w:lang w:val="fr-FR"/>
        </w:rPr>
        <w:t xml:space="preserve">la reconstruction de bures </w:t>
      </w:r>
      <w:r>
        <w:rPr>
          <w:rFonts w:ascii="Arial" w:hAnsi="Arial" w:cs="Arial"/>
          <w:bCs/>
          <w:sz w:val="22"/>
          <w:szCs w:val="22"/>
          <w:lang w:val="fr-FR"/>
        </w:rPr>
        <w:t>dans le</w:t>
      </w:r>
      <w:r w:rsidRPr="00C5397E">
        <w:rPr>
          <w:rFonts w:ascii="Arial" w:hAnsi="Arial" w:cs="Arial"/>
          <w:bCs/>
          <w:sz w:val="22"/>
          <w:szCs w:val="22"/>
          <w:lang w:val="fr-FR"/>
        </w:rPr>
        <w:t xml:space="preserve"> village de </w:t>
      </w:r>
      <w:proofErr w:type="spellStart"/>
      <w:r w:rsidRPr="00C5397E">
        <w:rPr>
          <w:rFonts w:ascii="Arial" w:hAnsi="Arial" w:cs="Arial"/>
          <w:bCs/>
          <w:sz w:val="22"/>
          <w:szCs w:val="22"/>
          <w:lang w:val="fr-FR"/>
        </w:rPr>
        <w:t>Navala</w:t>
      </w:r>
      <w:proofErr w:type="spellEnd"/>
      <w:r w:rsidRPr="00C5397E">
        <w:rPr>
          <w:rFonts w:ascii="Arial" w:hAnsi="Arial" w:cs="Arial"/>
          <w:bCs/>
          <w:sz w:val="22"/>
          <w:szCs w:val="22"/>
          <w:lang w:val="fr-FR"/>
        </w:rPr>
        <w:t>, ainsi qu</w:t>
      </w:r>
      <w:r>
        <w:rPr>
          <w:rFonts w:ascii="Arial" w:hAnsi="Arial" w:cs="Arial"/>
          <w:bCs/>
          <w:sz w:val="22"/>
          <w:szCs w:val="22"/>
          <w:lang w:val="fr-FR"/>
        </w:rPr>
        <w:t>’à l’établissement de</w:t>
      </w:r>
      <w:r w:rsidRPr="00C5397E">
        <w:rPr>
          <w:rFonts w:ascii="Arial" w:hAnsi="Arial" w:cs="Arial"/>
          <w:bCs/>
          <w:sz w:val="22"/>
          <w:szCs w:val="22"/>
          <w:lang w:val="fr-FR"/>
        </w:rPr>
        <w:t xml:space="preserve"> la cartographie culturelle, </w:t>
      </w:r>
      <w:r>
        <w:rPr>
          <w:rFonts w:ascii="Arial" w:hAnsi="Arial" w:cs="Arial"/>
          <w:bCs/>
          <w:sz w:val="22"/>
          <w:szCs w:val="22"/>
          <w:lang w:val="fr-FR"/>
        </w:rPr>
        <w:t>va assurer</w:t>
      </w:r>
      <w:r w:rsidRPr="00C5397E">
        <w:rPr>
          <w:rFonts w:ascii="Arial" w:hAnsi="Arial" w:cs="Arial"/>
          <w:bCs/>
          <w:sz w:val="22"/>
          <w:szCs w:val="22"/>
          <w:lang w:val="fr-FR"/>
        </w:rPr>
        <w:t xml:space="preserve"> le renforcement des capacités </w:t>
      </w:r>
      <w:r>
        <w:rPr>
          <w:rFonts w:ascii="Arial" w:hAnsi="Arial" w:cs="Arial"/>
          <w:bCs/>
          <w:sz w:val="22"/>
          <w:szCs w:val="22"/>
          <w:lang w:val="fr-FR"/>
        </w:rPr>
        <w:t>en matière de</w:t>
      </w:r>
      <w:r w:rsidRPr="00C5397E">
        <w:rPr>
          <w:rFonts w:ascii="Arial" w:hAnsi="Arial" w:cs="Arial"/>
          <w:bCs/>
          <w:sz w:val="22"/>
          <w:szCs w:val="22"/>
          <w:lang w:val="fr-FR"/>
        </w:rPr>
        <w:t xml:space="preserve"> préservation des paysages et de sauvegarde des histoires orales et </w:t>
      </w:r>
      <w:r>
        <w:rPr>
          <w:rFonts w:ascii="Arial" w:hAnsi="Arial" w:cs="Arial"/>
          <w:bCs/>
          <w:sz w:val="22"/>
          <w:szCs w:val="22"/>
          <w:lang w:val="fr-FR"/>
        </w:rPr>
        <w:t>des</w:t>
      </w:r>
      <w:r w:rsidRPr="00C5397E">
        <w:rPr>
          <w:rFonts w:ascii="Arial" w:hAnsi="Arial" w:cs="Arial"/>
          <w:bCs/>
          <w:sz w:val="22"/>
          <w:szCs w:val="22"/>
          <w:lang w:val="fr-FR"/>
        </w:rPr>
        <w:t xml:space="preserve"> connaissances écologiques traditionnelles</w:t>
      </w:r>
      <w:r>
        <w:rPr>
          <w:rFonts w:ascii="Arial" w:hAnsi="Arial" w:cs="Arial"/>
          <w:bCs/>
          <w:sz w:val="22"/>
          <w:szCs w:val="22"/>
          <w:lang w:val="fr-FR"/>
        </w:rPr>
        <w:t xml:space="preserve"> </w:t>
      </w:r>
      <w:r w:rsidRPr="00C5397E">
        <w:rPr>
          <w:rFonts w:ascii="Arial" w:hAnsi="Arial" w:cs="Arial"/>
          <w:bCs/>
          <w:sz w:val="22"/>
          <w:szCs w:val="22"/>
          <w:lang w:val="fr-FR"/>
        </w:rPr>
        <w:t xml:space="preserve">; la capacité des enfants et des jeunes </w:t>
      </w:r>
      <w:r>
        <w:rPr>
          <w:rFonts w:ascii="Arial" w:hAnsi="Arial" w:cs="Arial"/>
          <w:bCs/>
          <w:sz w:val="22"/>
          <w:szCs w:val="22"/>
          <w:lang w:val="fr-FR"/>
        </w:rPr>
        <w:t>s’améliorera également</w:t>
      </w:r>
      <w:r w:rsidRPr="00C5397E">
        <w:rPr>
          <w:rFonts w:ascii="Arial" w:hAnsi="Arial" w:cs="Arial"/>
          <w:bCs/>
          <w:sz w:val="22"/>
          <w:szCs w:val="22"/>
          <w:lang w:val="fr-FR"/>
        </w:rPr>
        <w:t xml:space="preserve"> en travaillant aux côtés des anciens, </w:t>
      </w:r>
      <w:r>
        <w:rPr>
          <w:rFonts w:ascii="Arial" w:hAnsi="Arial" w:cs="Arial"/>
          <w:bCs/>
          <w:sz w:val="22"/>
          <w:szCs w:val="22"/>
          <w:lang w:val="fr-FR"/>
        </w:rPr>
        <w:t>en construisant</w:t>
      </w:r>
      <w:r w:rsidRPr="00C5397E">
        <w:rPr>
          <w:rFonts w:ascii="Arial" w:hAnsi="Arial" w:cs="Arial"/>
          <w:bCs/>
          <w:sz w:val="22"/>
          <w:szCs w:val="22"/>
          <w:lang w:val="fr-FR"/>
        </w:rPr>
        <w:t xml:space="preserve"> de</w:t>
      </w:r>
      <w:r>
        <w:rPr>
          <w:rFonts w:ascii="Arial" w:hAnsi="Arial" w:cs="Arial"/>
          <w:bCs/>
          <w:sz w:val="22"/>
          <w:szCs w:val="22"/>
          <w:lang w:val="fr-FR"/>
        </w:rPr>
        <w:t>s bures et en assimilant</w:t>
      </w:r>
      <w:r w:rsidRPr="00C5397E">
        <w:rPr>
          <w:rFonts w:ascii="Arial" w:hAnsi="Arial" w:cs="Arial"/>
          <w:bCs/>
          <w:sz w:val="22"/>
          <w:szCs w:val="22"/>
          <w:lang w:val="fr-FR"/>
        </w:rPr>
        <w:t xml:space="preserve"> ce qu'ils apprennent </w:t>
      </w:r>
      <w:r>
        <w:rPr>
          <w:rFonts w:ascii="Arial" w:hAnsi="Arial" w:cs="Arial"/>
          <w:bCs/>
          <w:sz w:val="22"/>
          <w:szCs w:val="22"/>
          <w:lang w:val="fr-FR"/>
        </w:rPr>
        <w:t>sur le mode de vie des</w:t>
      </w:r>
      <w:r w:rsidRPr="00C5397E">
        <w:rPr>
          <w:rFonts w:ascii="Arial" w:hAnsi="Arial" w:cs="Arial"/>
          <w:bCs/>
          <w:sz w:val="22"/>
          <w:szCs w:val="22"/>
          <w:lang w:val="fr-FR"/>
        </w:rPr>
        <w:t xml:space="preserve"> </w:t>
      </w:r>
      <w:proofErr w:type="spellStart"/>
      <w:r w:rsidRPr="00C5397E">
        <w:rPr>
          <w:rFonts w:ascii="Arial" w:hAnsi="Arial" w:cs="Arial"/>
          <w:bCs/>
          <w:sz w:val="22"/>
          <w:szCs w:val="22"/>
          <w:lang w:val="fr-FR"/>
        </w:rPr>
        <w:t>iTaukei</w:t>
      </w:r>
      <w:proofErr w:type="spellEnd"/>
      <w:r w:rsidRPr="00C5397E">
        <w:rPr>
          <w:rFonts w:ascii="Arial" w:hAnsi="Arial" w:cs="Arial"/>
          <w:bCs/>
          <w:sz w:val="22"/>
          <w:szCs w:val="22"/>
          <w:lang w:val="fr-FR"/>
        </w:rPr>
        <w:t>.</w:t>
      </w:r>
    </w:p>
    <w:p w:rsidR="00BB633D" w:rsidRDefault="00BB633D" w:rsidP="00BB633D">
      <w:pPr>
        <w:pStyle w:val="ListParagraph1"/>
        <w:spacing w:after="120"/>
        <w:ind w:left="567"/>
        <w:jc w:val="both"/>
        <w:rPr>
          <w:rFonts w:ascii="Arial" w:hAnsi="Arial" w:cs="Arial"/>
          <w:bCs/>
          <w:sz w:val="22"/>
          <w:szCs w:val="22"/>
          <w:lang w:val="fr-FR"/>
        </w:rPr>
      </w:pPr>
      <w:r w:rsidRPr="00761349">
        <w:rPr>
          <w:rFonts w:ascii="Arial" w:hAnsi="Arial" w:cs="Arial"/>
          <w:b/>
          <w:bCs/>
          <w:sz w:val="22"/>
          <w:szCs w:val="22"/>
          <w:lang w:val="fr-FR"/>
        </w:rPr>
        <w:t>Critère A.7 </w:t>
      </w:r>
      <w:r w:rsidRPr="009712A4">
        <w:rPr>
          <w:rFonts w:ascii="Arial" w:hAnsi="Arial" w:cs="Arial"/>
          <w:bCs/>
          <w:sz w:val="22"/>
          <w:szCs w:val="22"/>
          <w:lang w:val="fr-FR"/>
        </w:rPr>
        <w:t xml:space="preserve">: </w:t>
      </w:r>
      <w:r>
        <w:rPr>
          <w:rFonts w:ascii="Arial" w:hAnsi="Arial" w:cs="Arial"/>
          <w:bCs/>
          <w:sz w:val="22"/>
          <w:szCs w:val="22"/>
          <w:lang w:val="fr-FR"/>
        </w:rPr>
        <w:t>Les Fidji n’ont jamais mis en œuvre des activités financées par le Fonds du patrimoine culturel immatériel.</w:t>
      </w:r>
    </w:p>
    <w:p w:rsidR="00BB633D" w:rsidRPr="00761349" w:rsidRDefault="00BB633D" w:rsidP="00BB633D">
      <w:pPr>
        <w:pStyle w:val="ListParagraph1"/>
        <w:spacing w:after="120"/>
        <w:ind w:left="567"/>
        <w:jc w:val="both"/>
        <w:rPr>
          <w:rFonts w:ascii="Arial" w:hAnsi="Arial" w:cs="Arial"/>
          <w:sz w:val="22"/>
          <w:szCs w:val="22"/>
          <w:lang w:val="fr-FR" w:eastAsia="fr-FR"/>
        </w:rPr>
      </w:pPr>
      <w:r>
        <w:rPr>
          <w:rFonts w:ascii="Arial" w:hAnsi="Arial" w:cs="Arial"/>
          <w:b/>
          <w:bCs/>
          <w:sz w:val="22"/>
          <w:szCs w:val="22"/>
          <w:lang w:val="fr-FR"/>
        </w:rPr>
        <w:t>Paragraphe 10(a</w:t>
      </w:r>
      <w:r w:rsidRPr="00761349">
        <w:rPr>
          <w:rFonts w:ascii="Arial" w:hAnsi="Arial" w:cs="Arial"/>
          <w:b/>
          <w:bCs/>
          <w:sz w:val="22"/>
          <w:szCs w:val="22"/>
          <w:lang w:val="fr-FR"/>
        </w:rPr>
        <w:t>)</w:t>
      </w:r>
      <w:r>
        <w:rPr>
          <w:rFonts w:ascii="Arial" w:hAnsi="Arial" w:cs="Arial"/>
          <w:b/>
          <w:bCs/>
          <w:sz w:val="22"/>
          <w:szCs w:val="22"/>
          <w:lang w:val="fr-FR"/>
        </w:rPr>
        <w:t> </w:t>
      </w:r>
      <w:r w:rsidRPr="003D46A3">
        <w:rPr>
          <w:rFonts w:ascii="Arial" w:hAnsi="Arial" w:cs="Arial"/>
          <w:bCs/>
          <w:sz w:val="22"/>
          <w:szCs w:val="22"/>
          <w:lang w:val="fr-FR"/>
        </w:rPr>
        <w:t>:</w:t>
      </w:r>
      <w:r>
        <w:rPr>
          <w:rFonts w:ascii="Arial" w:hAnsi="Arial" w:cs="Arial"/>
          <w:bCs/>
          <w:sz w:val="22"/>
          <w:szCs w:val="22"/>
          <w:lang w:val="fr-FR"/>
        </w:rPr>
        <w:t xml:space="preserve"> D’envergure locale, ce projet implique pour sa mise en œuvre la participation de partenaires locaux et nationaux.</w:t>
      </w:r>
    </w:p>
    <w:p w:rsidR="00BB633D" w:rsidRPr="001F60D1" w:rsidRDefault="00BB633D" w:rsidP="00BB633D">
      <w:pPr>
        <w:pStyle w:val="ListParagraph1"/>
        <w:spacing w:after="120"/>
        <w:ind w:left="567"/>
        <w:jc w:val="both"/>
        <w:rPr>
          <w:lang w:val="fr-FR"/>
        </w:rPr>
      </w:pPr>
      <w:r>
        <w:rPr>
          <w:rFonts w:ascii="Arial" w:hAnsi="Arial" w:cs="Arial"/>
          <w:b/>
          <w:bCs/>
          <w:sz w:val="22"/>
          <w:szCs w:val="22"/>
          <w:lang w:val="fr-FR"/>
        </w:rPr>
        <w:t>Paragraphe</w:t>
      </w:r>
      <w:r w:rsidRPr="00761349">
        <w:rPr>
          <w:rFonts w:ascii="Arial" w:hAnsi="Arial" w:cs="Arial"/>
          <w:b/>
          <w:bCs/>
          <w:sz w:val="22"/>
          <w:szCs w:val="22"/>
          <w:lang w:val="fr-FR"/>
        </w:rPr>
        <w:t xml:space="preserve"> 10(b)</w:t>
      </w:r>
      <w:r>
        <w:rPr>
          <w:rFonts w:ascii="Arial" w:hAnsi="Arial" w:cs="Arial"/>
          <w:b/>
          <w:bCs/>
          <w:sz w:val="22"/>
          <w:szCs w:val="22"/>
          <w:lang w:val="fr-FR"/>
        </w:rPr>
        <w:t> </w:t>
      </w:r>
      <w:r>
        <w:rPr>
          <w:rFonts w:ascii="Arial" w:hAnsi="Arial" w:cs="Arial"/>
          <w:bCs/>
          <w:sz w:val="22"/>
          <w:szCs w:val="22"/>
          <w:lang w:val="fr-FR"/>
        </w:rPr>
        <w:t xml:space="preserve">: </w:t>
      </w:r>
      <w:r w:rsidRPr="003D46A3">
        <w:rPr>
          <w:rFonts w:ascii="Arial" w:hAnsi="Arial" w:cs="Arial"/>
          <w:bCs/>
          <w:sz w:val="22"/>
          <w:szCs w:val="22"/>
          <w:lang w:val="fr-FR"/>
        </w:rPr>
        <w:t xml:space="preserve">Alors que la demande </w:t>
      </w:r>
      <w:r>
        <w:rPr>
          <w:rFonts w:ascii="Arial" w:hAnsi="Arial" w:cs="Arial"/>
          <w:bCs/>
          <w:sz w:val="22"/>
          <w:szCs w:val="22"/>
          <w:lang w:val="fr-FR"/>
        </w:rPr>
        <w:t>précise</w:t>
      </w:r>
      <w:r w:rsidRPr="003D46A3">
        <w:rPr>
          <w:rFonts w:ascii="Arial" w:hAnsi="Arial" w:cs="Arial"/>
          <w:bCs/>
          <w:sz w:val="22"/>
          <w:szCs w:val="22"/>
          <w:lang w:val="fr-FR"/>
        </w:rPr>
        <w:t xml:space="preserve"> certains effets </w:t>
      </w:r>
      <w:r>
        <w:rPr>
          <w:rFonts w:ascii="Arial" w:hAnsi="Arial" w:cs="Arial"/>
          <w:bCs/>
          <w:sz w:val="22"/>
          <w:szCs w:val="22"/>
          <w:lang w:val="fr-FR"/>
        </w:rPr>
        <w:t>susceptibles de</w:t>
      </w:r>
      <w:r w:rsidRPr="003D46A3">
        <w:rPr>
          <w:rFonts w:ascii="Arial" w:hAnsi="Arial" w:cs="Arial"/>
          <w:bCs/>
          <w:sz w:val="22"/>
          <w:szCs w:val="22"/>
          <w:lang w:val="fr-FR"/>
        </w:rPr>
        <w:t xml:space="preserve"> résulter du projet (</w:t>
      </w:r>
      <w:r>
        <w:rPr>
          <w:rFonts w:ascii="Arial" w:hAnsi="Arial" w:cs="Arial"/>
          <w:bCs/>
          <w:sz w:val="22"/>
          <w:szCs w:val="22"/>
          <w:lang w:val="fr-FR"/>
        </w:rPr>
        <w:t>création</w:t>
      </w:r>
      <w:r w:rsidRPr="003D46A3">
        <w:rPr>
          <w:rFonts w:ascii="Arial" w:hAnsi="Arial" w:cs="Arial"/>
          <w:bCs/>
          <w:sz w:val="22"/>
          <w:szCs w:val="22"/>
          <w:lang w:val="fr-FR"/>
        </w:rPr>
        <w:t xml:space="preserve"> de revenus pour </w:t>
      </w:r>
      <w:r>
        <w:rPr>
          <w:rFonts w:ascii="Arial" w:hAnsi="Arial" w:cs="Arial"/>
          <w:bCs/>
          <w:sz w:val="22"/>
          <w:szCs w:val="22"/>
          <w:lang w:val="fr-FR"/>
        </w:rPr>
        <w:t xml:space="preserve">les membres de la communauté, </w:t>
      </w:r>
      <w:r w:rsidRPr="003D46A3">
        <w:rPr>
          <w:rFonts w:ascii="Arial" w:hAnsi="Arial" w:cs="Arial"/>
          <w:bCs/>
          <w:sz w:val="22"/>
          <w:szCs w:val="22"/>
          <w:lang w:val="fr-FR"/>
        </w:rPr>
        <w:t>intégration de programmes environnementaux d</w:t>
      </w:r>
      <w:r>
        <w:rPr>
          <w:rFonts w:ascii="Arial" w:hAnsi="Arial" w:cs="Arial"/>
          <w:bCs/>
          <w:sz w:val="22"/>
          <w:szCs w:val="22"/>
          <w:lang w:val="fr-FR"/>
        </w:rPr>
        <w:t xml:space="preserve">ans les programmes scolaires, </w:t>
      </w:r>
      <w:r w:rsidRPr="003D46A3">
        <w:rPr>
          <w:rFonts w:ascii="Arial" w:hAnsi="Arial" w:cs="Arial"/>
          <w:bCs/>
          <w:sz w:val="22"/>
          <w:szCs w:val="22"/>
          <w:lang w:val="fr-FR"/>
        </w:rPr>
        <w:t>amélioration de la gestion des bass</w:t>
      </w:r>
      <w:r>
        <w:rPr>
          <w:rFonts w:ascii="Arial" w:hAnsi="Arial" w:cs="Arial"/>
          <w:bCs/>
          <w:sz w:val="22"/>
          <w:szCs w:val="22"/>
          <w:lang w:val="fr-FR"/>
        </w:rPr>
        <w:t xml:space="preserve">ins versants ou </w:t>
      </w:r>
      <w:r w:rsidRPr="003D46A3">
        <w:rPr>
          <w:rFonts w:ascii="Arial" w:hAnsi="Arial" w:cs="Arial"/>
          <w:bCs/>
          <w:sz w:val="22"/>
          <w:szCs w:val="22"/>
          <w:lang w:val="fr-FR"/>
        </w:rPr>
        <w:t>expansion des domaines de recherche à d'autres applications scientifiques traditionnelles), il n'explique pas comment ceux-ci pourraient être utilisé</w:t>
      </w:r>
      <w:r>
        <w:rPr>
          <w:rFonts w:ascii="Arial" w:hAnsi="Arial" w:cs="Arial"/>
          <w:bCs/>
          <w:sz w:val="22"/>
          <w:szCs w:val="22"/>
          <w:lang w:val="fr-FR"/>
        </w:rPr>
        <w:t>s</w:t>
      </w:r>
      <w:r w:rsidRPr="003D46A3">
        <w:rPr>
          <w:rFonts w:ascii="Arial" w:hAnsi="Arial" w:cs="Arial"/>
          <w:bCs/>
          <w:sz w:val="22"/>
          <w:szCs w:val="22"/>
          <w:lang w:val="fr-FR"/>
        </w:rPr>
        <w:t xml:space="preserve"> pour stimuler des contributions financières ou techniques provenant </w:t>
      </w:r>
      <w:r>
        <w:rPr>
          <w:rFonts w:ascii="Arial" w:hAnsi="Arial" w:cs="Arial"/>
          <w:bCs/>
          <w:sz w:val="22"/>
          <w:szCs w:val="22"/>
          <w:lang w:val="fr-FR"/>
        </w:rPr>
        <w:t>de</w:t>
      </w:r>
      <w:r w:rsidRPr="003D46A3">
        <w:rPr>
          <w:rFonts w:ascii="Arial" w:hAnsi="Arial" w:cs="Arial"/>
          <w:bCs/>
          <w:sz w:val="22"/>
          <w:szCs w:val="22"/>
          <w:lang w:val="fr-FR"/>
        </w:rPr>
        <w:t xml:space="preserve"> sources</w:t>
      </w:r>
      <w:r>
        <w:rPr>
          <w:rFonts w:ascii="Arial" w:hAnsi="Arial" w:cs="Arial"/>
          <w:bCs/>
          <w:sz w:val="22"/>
          <w:szCs w:val="22"/>
          <w:lang w:val="fr-FR"/>
        </w:rPr>
        <w:t xml:space="preserve"> autres</w:t>
      </w:r>
      <w:r w:rsidRPr="003D46A3">
        <w:rPr>
          <w:rFonts w:ascii="Arial" w:hAnsi="Arial" w:cs="Arial"/>
          <w:bCs/>
          <w:sz w:val="22"/>
          <w:szCs w:val="22"/>
          <w:lang w:val="fr-FR"/>
        </w:rPr>
        <w:t xml:space="preserve"> que le Fonds du patrimoine culturel immatériel.</w:t>
      </w:r>
    </w:p>
    <w:p w:rsidR="00BB633D" w:rsidRDefault="00BB633D" w:rsidP="00BB633D">
      <w:pPr>
        <w:pStyle w:val="COMParaDecision"/>
        <w:numPr>
          <w:ilvl w:val="0"/>
          <w:numId w:val="22"/>
        </w:numPr>
        <w:ind w:left="567" w:hanging="567"/>
        <w:rPr>
          <w:u w:val="none"/>
        </w:rPr>
      </w:pPr>
      <w:r>
        <w:t>Décide d’approuver</w:t>
      </w:r>
      <w:r>
        <w:rPr>
          <w:u w:val="none"/>
        </w:rPr>
        <w:t xml:space="preserve"> la demande d’assistance internationale des Fidji pour un projet intitulé « </w:t>
      </w:r>
      <w:r w:rsidRPr="003D46A3">
        <w:rPr>
          <w:b/>
          <w:szCs w:val="20"/>
          <w:u w:val="none"/>
        </w:rPr>
        <w:t>Sauvegarde des systèmes de savoirs</w:t>
      </w:r>
      <w:r>
        <w:rPr>
          <w:b/>
          <w:szCs w:val="20"/>
          <w:u w:val="none"/>
        </w:rPr>
        <w:t xml:space="preserve"> traditionnels</w:t>
      </w:r>
      <w:r w:rsidRPr="003D46A3">
        <w:rPr>
          <w:b/>
          <w:szCs w:val="20"/>
          <w:u w:val="none"/>
        </w:rPr>
        <w:t xml:space="preserve"> associés aux méthodes de construction des maisons (Bure) </w:t>
      </w:r>
      <w:r>
        <w:rPr>
          <w:b/>
          <w:szCs w:val="20"/>
          <w:u w:val="none"/>
        </w:rPr>
        <w:t>f</w:t>
      </w:r>
      <w:r w:rsidRPr="003D46A3">
        <w:rPr>
          <w:b/>
          <w:szCs w:val="20"/>
          <w:u w:val="none"/>
        </w:rPr>
        <w:t>idjiennes (</w:t>
      </w:r>
      <w:proofErr w:type="spellStart"/>
      <w:r w:rsidRPr="003D46A3">
        <w:rPr>
          <w:b/>
          <w:szCs w:val="20"/>
          <w:u w:val="none"/>
        </w:rPr>
        <w:t>iTaukei</w:t>
      </w:r>
      <w:proofErr w:type="spellEnd"/>
      <w:r w:rsidRPr="003D46A3">
        <w:rPr>
          <w:b/>
          <w:szCs w:val="20"/>
          <w:u w:val="none"/>
        </w:rPr>
        <w:t xml:space="preserve">) dans le village de </w:t>
      </w:r>
      <w:proofErr w:type="spellStart"/>
      <w:r w:rsidRPr="003D46A3">
        <w:rPr>
          <w:b/>
          <w:szCs w:val="20"/>
          <w:u w:val="none"/>
        </w:rPr>
        <w:t>Navala</w:t>
      </w:r>
      <w:proofErr w:type="spellEnd"/>
      <w:r w:rsidRPr="003D46A3">
        <w:rPr>
          <w:b/>
          <w:szCs w:val="20"/>
          <w:u w:val="none"/>
        </w:rPr>
        <w:t xml:space="preserve"> (Fidji)</w:t>
      </w:r>
      <w:r>
        <w:rPr>
          <w:b/>
          <w:szCs w:val="20"/>
          <w:u w:val="none"/>
        </w:rPr>
        <w:t xml:space="preserve"> </w:t>
      </w:r>
      <w:r>
        <w:rPr>
          <w:u w:val="none"/>
        </w:rPr>
        <w:t>» et d’accorder à cette fin un montant de 25 000 dollars des États-Unis à l’État partie ;</w:t>
      </w:r>
    </w:p>
    <w:p w:rsidR="00BB633D" w:rsidRDefault="00BB633D" w:rsidP="00BB633D">
      <w:pPr>
        <w:pStyle w:val="COMParaDecision"/>
        <w:numPr>
          <w:ilvl w:val="0"/>
          <w:numId w:val="22"/>
        </w:numPr>
        <w:ind w:left="567" w:hanging="567"/>
        <w:rPr>
          <w:u w:val="none"/>
        </w:rPr>
      </w:pPr>
      <w:r>
        <w:t>Rappelle</w:t>
      </w:r>
      <w:r>
        <w:rPr>
          <w:u w:val="none"/>
        </w:rPr>
        <w:t xml:space="preserve"> à l’État partie que les </w:t>
      </w:r>
      <w:r w:rsidRPr="003D46A3">
        <w:rPr>
          <w:u w:val="none"/>
        </w:rPr>
        <w:t xml:space="preserve">Directives opérationnelles pour la mise en œuvre de la Convention pour la sauvegarde du patrimoine culturel immatériel ne fournissent pas de </w:t>
      </w:r>
      <w:r>
        <w:rPr>
          <w:u w:val="none"/>
        </w:rPr>
        <w:t>soutien</w:t>
      </w:r>
      <w:r w:rsidRPr="003D46A3">
        <w:rPr>
          <w:u w:val="none"/>
        </w:rPr>
        <w:t xml:space="preserve"> pour la préparation d'un dossier de candidature à la Liste représentative du patrimoine culturel immatériel de l'humanité ou de la documentation connexe</w:t>
      </w:r>
      <w:r>
        <w:rPr>
          <w:u w:val="none"/>
        </w:rPr>
        <w:t>, et que cette activité</w:t>
      </w:r>
      <w:r w:rsidRPr="003D46A3">
        <w:rPr>
          <w:u w:val="none"/>
        </w:rPr>
        <w:t>, ou tout</w:t>
      </w:r>
      <w:r>
        <w:rPr>
          <w:u w:val="none"/>
        </w:rPr>
        <w:t>e</w:t>
      </w:r>
      <w:r w:rsidRPr="003D46A3">
        <w:rPr>
          <w:u w:val="none"/>
        </w:rPr>
        <w:t xml:space="preserve"> </w:t>
      </w:r>
      <w:r>
        <w:rPr>
          <w:u w:val="none"/>
        </w:rPr>
        <w:t xml:space="preserve">dépense qui lui est </w:t>
      </w:r>
      <w:r w:rsidRPr="003D46A3">
        <w:rPr>
          <w:u w:val="none"/>
        </w:rPr>
        <w:t>associé</w:t>
      </w:r>
      <w:r>
        <w:rPr>
          <w:u w:val="none"/>
        </w:rPr>
        <w:t>e</w:t>
      </w:r>
      <w:r w:rsidRPr="003D46A3">
        <w:rPr>
          <w:u w:val="none"/>
        </w:rPr>
        <w:t xml:space="preserve">, ne peut pas être </w:t>
      </w:r>
      <w:r>
        <w:rPr>
          <w:u w:val="none"/>
        </w:rPr>
        <w:t>comprise</w:t>
      </w:r>
      <w:r w:rsidRPr="003D46A3">
        <w:rPr>
          <w:u w:val="none"/>
        </w:rPr>
        <w:t xml:space="preserve"> dans le contrat </w:t>
      </w:r>
      <w:r>
        <w:rPr>
          <w:u w:val="none"/>
        </w:rPr>
        <w:t>qui sera</w:t>
      </w:r>
      <w:r w:rsidRPr="003D46A3">
        <w:rPr>
          <w:u w:val="none"/>
        </w:rPr>
        <w:t xml:space="preserve"> établi entre l'UNESCO et </w:t>
      </w:r>
      <w:r w:rsidRPr="00003F4A">
        <w:rPr>
          <w:u w:val="none"/>
        </w:rPr>
        <w:t>l’organisme d'exécution</w:t>
      </w:r>
      <w:r>
        <w:rPr>
          <w:u w:val="none"/>
        </w:rPr>
        <w:t xml:space="preserve"> désigné</w:t>
      </w:r>
      <w:r w:rsidRPr="003D46A3">
        <w:rPr>
          <w:u w:val="none"/>
        </w:rPr>
        <w:t xml:space="preserve"> par l'État</w:t>
      </w:r>
      <w:r>
        <w:rPr>
          <w:u w:val="none"/>
        </w:rPr>
        <w:t> ;</w:t>
      </w:r>
    </w:p>
    <w:p w:rsidR="00BB633D" w:rsidRDefault="00BB633D" w:rsidP="00BB633D">
      <w:pPr>
        <w:pStyle w:val="COMParaDecision"/>
        <w:numPr>
          <w:ilvl w:val="0"/>
          <w:numId w:val="22"/>
        </w:numPr>
        <w:ind w:left="567" w:hanging="567"/>
        <w:rPr>
          <w:u w:val="none"/>
        </w:rPr>
      </w:pPr>
      <w:r>
        <w:t>Demande</w:t>
      </w:r>
      <w:r w:rsidRPr="00CD6B3B">
        <w:rPr>
          <w:u w:val="none"/>
        </w:rPr>
        <w:t xml:space="preserve"> au Secrétariat de </w:t>
      </w:r>
      <w:r>
        <w:rPr>
          <w:u w:val="none"/>
        </w:rPr>
        <w:t>s’</w:t>
      </w:r>
      <w:r w:rsidRPr="00CD6B3B">
        <w:rPr>
          <w:u w:val="none"/>
        </w:rPr>
        <w:t>accord</w:t>
      </w:r>
      <w:r>
        <w:rPr>
          <w:u w:val="none"/>
        </w:rPr>
        <w:t>er</w:t>
      </w:r>
      <w:r w:rsidRPr="00CD6B3B">
        <w:rPr>
          <w:u w:val="none"/>
        </w:rPr>
        <w:t xml:space="preserve"> avec l'État Partie </w:t>
      </w:r>
      <w:r>
        <w:rPr>
          <w:u w:val="none"/>
        </w:rPr>
        <w:t>demandeur</w:t>
      </w:r>
      <w:r w:rsidRPr="00CD6B3B">
        <w:rPr>
          <w:u w:val="none"/>
        </w:rPr>
        <w:t xml:space="preserve"> sur les </w:t>
      </w:r>
      <w:r>
        <w:rPr>
          <w:u w:val="none"/>
        </w:rPr>
        <w:t>modalités</w:t>
      </w:r>
      <w:r w:rsidRPr="00CD6B3B">
        <w:rPr>
          <w:u w:val="none"/>
        </w:rPr>
        <w:t xml:space="preserve"> techniques de l'assistance, en accordant une attention particulière au</w:t>
      </w:r>
      <w:r>
        <w:rPr>
          <w:u w:val="none"/>
        </w:rPr>
        <w:t xml:space="preserve"> détail du</w:t>
      </w:r>
      <w:r w:rsidRPr="00CD6B3B">
        <w:rPr>
          <w:u w:val="none"/>
        </w:rPr>
        <w:t xml:space="preserve"> budget et </w:t>
      </w:r>
      <w:r>
        <w:rPr>
          <w:u w:val="none"/>
        </w:rPr>
        <w:t>du</w:t>
      </w:r>
      <w:r w:rsidRPr="00CD6B3B">
        <w:rPr>
          <w:u w:val="none"/>
        </w:rPr>
        <w:t xml:space="preserve"> calendrier des activités </w:t>
      </w:r>
      <w:r>
        <w:rPr>
          <w:u w:val="none"/>
        </w:rPr>
        <w:t>qui seront couvert</w:t>
      </w:r>
      <w:r w:rsidRPr="00CD6B3B">
        <w:rPr>
          <w:u w:val="none"/>
        </w:rPr>
        <w:t>s par le Fonds du patrimoine cultu</w:t>
      </w:r>
      <w:r>
        <w:rPr>
          <w:u w:val="none"/>
        </w:rPr>
        <w:t>rel immatériel ;</w:t>
      </w:r>
    </w:p>
    <w:p w:rsidR="00BB633D" w:rsidRDefault="00BB633D" w:rsidP="00BB633D">
      <w:pPr>
        <w:pStyle w:val="COMParaDecision"/>
        <w:numPr>
          <w:ilvl w:val="0"/>
          <w:numId w:val="22"/>
        </w:numPr>
        <w:ind w:left="567" w:hanging="567"/>
        <w:rPr>
          <w:u w:val="none"/>
        </w:rPr>
      </w:pPr>
      <w:r w:rsidRPr="00CD6B3B">
        <w:lastRenderedPageBreak/>
        <w:t>Invite</w:t>
      </w:r>
      <w:r w:rsidRPr="00CD6B3B">
        <w:rPr>
          <w:u w:val="none"/>
        </w:rPr>
        <w:t xml:space="preserve"> l’État partie</w:t>
      </w:r>
      <w:r>
        <w:rPr>
          <w:u w:val="none"/>
        </w:rPr>
        <w:t xml:space="preserve"> à utiliser le Formulaire de rapport ICH-04 pour présenter son rapport sur l’utilisation de l’assistance fournie.</w:t>
      </w:r>
    </w:p>
    <w:p w:rsidR="00BB633D" w:rsidRDefault="00BB633D" w:rsidP="00BB633D">
      <w:pPr>
        <w:pStyle w:val="COMParaDecision"/>
        <w:numPr>
          <w:ilvl w:val="0"/>
          <w:numId w:val="0"/>
        </w:numPr>
        <w:spacing w:before="360"/>
        <w:rPr>
          <w:b/>
          <w:u w:val="none"/>
        </w:rPr>
      </w:pPr>
      <w:r w:rsidRPr="00CD6B3B">
        <w:rPr>
          <w:b/>
          <w:u w:val="none"/>
        </w:rPr>
        <w:t>DECISION 11.COM 1.BUR 1.3</w:t>
      </w:r>
    </w:p>
    <w:p w:rsidR="00BB633D" w:rsidRPr="006F2CD5" w:rsidRDefault="00BB633D" w:rsidP="00BB633D">
      <w:pPr>
        <w:pStyle w:val="COMPreambulaDecision"/>
        <w:ind w:left="0"/>
      </w:pPr>
      <w:r w:rsidRPr="006F2CD5">
        <w:t>Le Bureau,</w:t>
      </w:r>
    </w:p>
    <w:p w:rsidR="00BB633D" w:rsidRPr="006F2CD5" w:rsidRDefault="00BB633D" w:rsidP="00BB633D">
      <w:pPr>
        <w:pStyle w:val="COMParaDecision"/>
        <w:numPr>
          <w:ilvl w:val="0"/>
          <w:numId w:val="21"/>
        </w:numPr>
        <w:ind w:left="567" w:hanging="567"/>
      </w:pPr>
      <w:r w:rsidRPr="006F2CD5">
        <w:t>Rappelant</w:t>
      </w:r>
      <w:r w:rsidRPr="00FF7C7A">
        <w:rPr>
          <w:u w:val="none"/>
        </w:rPr>
        <w:t xml:space="preserve"> </w:t>
      </w:r>
      <w:r w:rsidRPr="00FF7C7A">
        <w:rPr>
          <w:snapToGrid w:val="0"/>
          <w:u w:val="none"/>
          <w:lang w:eastAsia="en-US"/>
        </w:rPr>
        <w:t>le chapitre V de la Convention et le chapitre I des Directives opérationnelles,</w:t>
      </w:r>
    </w:p>
    <w:p w:rsidR="00BB633D" w:rsidRPr="006F2CD5" w:rsidRDefault="00BB633D" w:rsidP="00BB633D">
      <w:pPr>
        <w:pStyle w:val="COMParaDecision"/>
        <w:ind w:left="567"/>
      </w:pPr>
      <w:r w:rsidRPr="006F2CD5">
        <w:t>Ayant examiné</w:t>
      </w:r>
      <w:r>
        <w:rPr>
          <w:u w:val="none"/>
        </w:rPr>
        <w:t xml:space="preserve"> le document ITH/16/11.COM 1</w:t>
      </w:r>
      <w:r w:rsidRPr="006F2CD5">
        <w:rPr>
          <w:u w:val="none"/>
        </w:rPr>
        <w:t>.BUR/1, ainsi que la demande d’assistance internationale n° 01021,</w:t>
      </w:r>
    </w:p>
    <w:p w:rsidR="00BB633D" w:rsidRPr="006F2CD5" w:rsidRDefault="00BB633D" w:rsidP="00BB633D">
      <w:pPr>
        <w:pStyle w:val="COMParaDecision"/>
        <w:ind w:left="567"/>
      </w:pPr>
      <w:r w:rsidRPr="006F2CD5">
        <w:t>Prend note</w:t>
      </w:r>
      <w:r w:rsidRPr="006F2CD5">
        <w:rPr>
          <w:u w:val="none"/>
        </w:rPr>
        <w:t xml:space="preserve"> du fait que le Kenya a demandé l’assistance internationale pour </w:t>
      </w:r>
      <w:r>
        <w:rPr>
          <w:u w:val="none"/>
        </w:rPr>
        <w:t>un projet intitulé « </w:t>
      </w:r>
      <w:r w:rsidRPr="00FF7C7A">
        <w:rPr>
          <w:b/>
          <w:u w:val="none"/>
        </w:rPr>
        <w:t>la Promotion des pratiques traditionnelles de fabrication de poteries dans l’est du Kenya</w:t>
      </w:r>
      <w:r>
        <w:rPr>
          <w:u w:val="none"/>
        </w:rPr>
        <w:t> »</w:t>
      </w:r>
      <w:r w:rsidRPr="006F2CD5">
        <w:rPr>
          <w:u w:val="none"/>
        </w:rPr>
        <w:t> :</w:t>
      </w:r>
    </w:p>
    <w:p w:rsidR="00BB633D" w:rsidRPr="006F2CD5" w:rsidRDefault="00BB633D" w:rsidP="00BB633D">
      <w:pPr>
        <w:pStyle w:val="COMParaDecision"/>
        <w:numPr>
          <w:ilvl w:val="0"/>
          <w:numId w:val="0"/>
        </w:numPr>
        <w:ind w:left="567"/>
        <w:rPr>
          <w:u w:val="none"/>
        </w:rPr>
      </w:pPr>
      <w:r w:rsidRPr="006F2CD5">
        <w:rPr>
          <w:u w:val="none"/>
        </w:rPr>
        <w:t xml:space="preserve">Le projet proposé, élaboré conformément à la loi kenyane de 2006 relative au patrimoine national (2006 National </w:t>
      </w:r>
      <w:proofErr w:type="spellStart"/>
      <w:r w:rsidRPr="006F2CD5">
        <w:rPr>
          <w:u w:val="none"/>
        </w:rPr>
        <w:t>Heritage</w:t>
      </w:r>
      <w:proofErr w:type="spellEnd"/>
      <w:r w:rsidRPr="006F2CD5">
        <w:rPr>
          <w:u w:val="none"/>
        </w:rPr>
        <w:t xml:space="preserve"> </w:t>
      </w:r>
      <w:proofErr w:type="spellStart"/>
      <w:r w:rsidRPr="006F2CD5">
        <w:rPr>
          <w:u w:val="none"/>
        </w:rPr>
        <w:t>Act</w:t>
      </w:r>
      <w:proofErr w:type="spellEnd"/>
      <w:r w:rsidRPr="006F2CD5">
        <w:rPr>
          <w:u w:val="none"/>
        </w:rPr>
        <w:t xml:space="preserve"> of Kenya), a pour but de sauvegarder et de revitaliser les pratiques traditionnelles de fabrication de poteries des communautés du </w:t>
      </w:r>
      <w:proofErr w:type="spellStart"/>
      <w:r w:rsidRPr="006F2CD5">
        <w:rPr>
          <w:u w:val="none"/>
        </w:rPr>
        <w:t>Mbeere</w:t>
      </w:r>
      <w:proofErr w:type="spellEnd"/>
      <w:r w:rsidRPr="006F2CD5">
        <w:rPr>
          <w:u w:val="none"/>
        </w:rPr>
        <w:t xml:space="preserve">, du </w:t>
      </w:r>
      <w:proofErr w:type="spellStart"/>
      <w:r w:rsidRPr="006F2CD5">
        <w:rPr>
          <w:u w:val="none"/>
        </w:rPr>
        <w:t>Tharaka</w:t>
      </w:r>
      <w:proofErr w:type="spellEnd"/>
      <w:r w:rsidRPr="006F2CD5">
        <w:rPr>
          <w:u w:val="none"/>
        </w:rPr>
        <w:t xml:space="preserve"> et du </w:t>
      </w:r>
      <w:proofErr w:type="spellStart"/>
      <w:r w:rsidRPr="006F2CD5">
        <w:rPr>
          <w:u w:val="none"/>
        </w:rPr>
        <w:t>Tigania</w:t>
      </w:r>
      <w:proofErr w:type="spellEnd"/>
      <w:r w:rsidRPr="006F2CD5">
        <w:rPr>
          <w:u w:val="none"/>
        </w:rPr>
        <w:t>, dans l’est du Kenya. Transmise par les femmes au sein des familles, la technique consiste à fabriquer des pots en argile de diverses tailles et formes, selon leur fonction et le style propre à la communauté concernée. Certains pots sont destinés aux rituels, aux cérémonies ou aux réunions entre amis, tandis que d’autres sont destinés à stocker l’eau ou à cuire des aliments.</w:t>
      </w:r>
      <w:r>
        <w:rPr>
          <w:u w:val="none"/>
        </w:rPr>
        <w:t xml:space="preserve"> Cet artisanat </w:t>
      </w:r>
      <w:r w:rsidRPr="006F2CD5">
        <w:rPr>
          <w:u w:val="none"/>
        </w:rPr>
        <w:t>est étroitement lié aux pratiques sociales et aux habitudes alimentai</w:t>
      </w:r>
      <w:r>
        <w:rPr>
          <w:u w:val="none"/>
        </w:rPr>
        <w:t xml:space="preserve">res des communautés concernées, et représente </w:t>
      </w:r>
      <w:r w:rsidRPr="006F2CD5">
        <w:rPr>
          <w:u w:val="none"/>
        </w:rPr>
        <w:t xml:space="preserve">également un moyen de subsistance pour de nombreuses familles. De nos jours, en raison de l’énorme travail </w:t>
      </w:r>
      <w:proofErr w:type="gramStart"/>
      <w:r w:rsidRPr="006F2CD5">
        <w:rPr>
          <w:u w:val="none"/>
        </w:rPr>
        <w:t>qu’exige</w:t>
      </w:r>
      <w:proofErr w:type="gramEnd"/>
      <w:r w:rsidRPr="006F2CD5">
        <w:rPr>
          <w:u w:val="none"/>
        </w:rPr>
        <w:t xml:space="preserve"> cet artisanat et des faibles profits qui en sont tirés, à quoi s’ajoute l’impact de l’éducation formelle, le nombre de praticiennes de la poterie a diminué et l’activité est de moins en moins une priorité au sein des familles de potières. De plus, des pots en aluminium sont de plus en plus utilisés comme alternative aux poteries, ce qui porte également atteinte aux méthodes traditionnelles de préparation des aliments et de conservation de l’eau. </w:t>
      </w:r>
      <w:r>
        <w:rPr>
          <w:u w:val="none"/>
        </w:rPr>
        <w:t>Mis en œuvre par le Musée national du Kenya, l</w:t>
      </w:r>
      <w:r w:rsidRPr="006F2CD5">
        <w:rPr>
          <w:u w:val="none"/>
        </w:rPr>
        <w:t>e projet a pour objet de revitaliser les pratiques traditionnelles de fabrication de poteries et de restaurer les fonctions sociales associées, tout en mettant en valeur les techniques de production existantes. Les activités prévues sont notamment la revitalisation des méthodes de transmission, la diversificat</w:t>
      </w:r>
      <w:r>
        <w:rPr>
          <w:u w:val="none"/>
        </w:rPr>
        <w:t>ion des formes et des styles de</w:t>
      </w:r>
      <w:r w:rsidRPr="006F2CD5">
        <w:rPr>
          <w:u w:val="none"/>
        </w:rPr>
        <w:t xml:space="preserve"> poteries afin de mieux répondre aux demandes du marché, l’intégration de modes de production plus efficaces (par exemple l’amélioration de la performance des fours pour accroître les économies d’énergie), l’organisation des potières en groupes et la documentation aux fins de formation à la tradition ;</w:t>
      </w:r>
    </w:p>
    <w:p w:rsidR="00BB633D" w:rsidRPr="00FF7C7A" w:rsidRDefault="00BB633D" w:rsidP="00BB633D">
      <w:pPr>
        <w:pStyle w:val="COMParaDecision"/>
        <w:ind w:left="567"/>
      </w:pPr>
      <w:r>
        <w:t>Prend</w:t>
      </w:r>
      <w:r w:rsidRPr="006F2CD5">
        <w:t xml:space="preserve"> note</w:t>
      </w:r>
      <w:r>
        <w:t xml:space="preserve"> en outre</w:t>
      </w:r>
      <w:r w:rsidRPr="006F2CD5">
        <w:rPr>
          <w:u w:val="none"/>
        </w:rPr>
        <w:t xml:space="preserve"> </w:t>
      </w:r>
      <w:r>
        <w:rPr>
          <w:u w:val="none"/>
        </w:rPr>
        <w:t xml:space="preserve">que cette assistance concerne le soutien d’un projet réalisé au niveau local, en vue de sauvegarder le patrimoine culturel immatériel conformément à l’article 20 (c) de la Convention, et qu’elle prend la forme d’une donation accordée en conformité avec l’article 21 (g) de la Convention ; </w:t>
      </w:r>
    </w:p>
    <w:p w:rsidR="00BB633D" w:rsidRPr="006F2CD5" w:rsidRDefault="00BB633D" w:rsidP="00BB633D">
      <w:pPr>
        <w:pStyle w:val="COMParaDecision"/>
        <w:ind w:left="567"/>
      </w:pPr>
      <w:r w:rsidRPr="007C4949">
        <w:t>Prend également note</w:t>
      </w:r>
      <w:r>
        <w:rPr>
          <w:u w:val="none"/>
        </w:rPr>
        <w:t xml:space="preserve"> </w:t>
      </w:r>
      <w:r w:rsidRPr="006F2CD5">
        <w:rPr>
          <w:u w:val="none"/>
        </w:rPr>
        <w:t>du fait que le Kenya a demandé une allocation de 23 388 dollars des États-Unis au titre du Fonds du patrimoine culturel immatériel pour mettre en œuvre le projet ;</w:t>
      </w:r>
    </w:p>
    <w:p w:rsidR="00BB633D" w:rsidRPr="006F2CD5" w:rsidRDefault="00BB633D" w:rsidP="00BB633D">
      <w:pPr>
        <w:pStyle w:val="COMParaDecision"/>
        <w:ind w:left="567"/>
      </w:pPr>
      <w:r w:rsidRPr="006F2CD5">
        <w:t>Décide</w:t>
      </w:r>
      <w:r w:rsidRPr="006F2CD5">
        <w:rPr>
          <w:u w:val="none"/>
        </w:rPr>
        <w:t xml:space="preserve">, sur la base des informations fournies dans le dossier n° 01021, que la demande satisfait </w:t>
      </w:r>
      <w:r>
        <w:rPr>
          <w:u w:val="none"/>
        </w:rPr>
        <w:t>comme suit aux critères d’octroi de l’assistance internationale énoncés aux paragraphes 10 et 12 des Directives opérationnelles </w:t>
      </w:r>
      <w:r w:rsidRPr="006F2CD5">
        <w:rPr>
          <w:u w:val="none"/>
        </w:rPr>
        <w:t>:</w:t>
      </w:r>
    </w:p>
    <w:p w:rsidR="00BB633D" w:rsidRPr="006F2CD5" w:rsidRDefault="00BB633D" w:rsidP="00BB633D">
      <w:pPr>
        <w:pStyle w:val="COMParaDecision"/>
        <w:numPr>
          <w:ilvl w:val="0"/>
          <w:numId w:val="0"/>
        </w:numPr>
        <w:ind w:left="567"/>
      </w:pPr>
      <w:r w:rsidRPr="006F2CD5">
        <w:rPr>
          <w:b/>
          <w:u w:val="none"/>
        </w:rPr>
        <w:t>Critère A.1 </w:t>
      </w:r>
      <w:r w:rsidRPr="006F2CD5">
        <w:rPr>
          <w:u w:val="none"/>
        </w:rPr>
        <w:t xml:space="preserve">: </w:t>
      </w:r>
      <w:r w:rsidRPr="006F2CD5">
        <w:rPr>
          <w:bCs/>
          <w:u w:val="none"/>
        </w:rPr>
        <w:t xml:space="preserve">La demande démontre clairement la participation des communautés à la préparation, à la mise en œuvre et à l’évaluation du projet. Les activités ont été conçues en réponse à la demande d’assistance du </w:t>
      </w:r>
      <w:proofErr w:type="spellStart"/>
      <w:r w:rsidRPr="006F2CD5">
        <w:rPr>
          <w:bCs/>
          <w:u w:val="none"/>
        </w:rPr>
        <w:t>Mbeere</w:t>
      </w:r>
      <w:proofErr w:type="spellEnd"/>
      <w:r w:rsidRPr="006F2CD5">
        <w:rPr>
          <w:bCs/>
          <w:u w:val="none"/>
        </w:rPr>
        <w:t xml:space="preserve"> et en consultation étroite avec les communautés de potières du </w:t>
      </w:r>
      <w:proofErr w:type="spellStart"/>
      <w:r w:rsidRPr="006F2CD5">
        <w:rPr>
          <w:bCs/>
          <w:u w:val="none"/>
        </w:rPr>
        <w:t>Tharaka</w:t>
      </w:r>
      <w:proofErr w:type="spellEnd"/>
      <w:r w:rsidRPr="006F2CD5">
        <w:rPr>
          <w:bCs/>
          <w:u w:val="none"/>
        </w:rPr>
        <w:t xml:space="preserve"> et du </w:t>
      </w:r>
      <w:proofErr w:type="spellStart"/>
      <w:r w:rsidRPr="006F2CD5">
        <w:rPr>
          <w:bCs/>
          <w:u w:val="none"/>
        </w:rPr>
        <w:t>Tigania</w:t>
      </w:r>
      <w:proofErr w:type="spellEnd"/>
      <w:r w:rsidRPr="006F2CD5">
        <w:rPr>
          <w:bCs/>
          <w:u w:val="none"/>
        </w:rPr>
        <w:t xml:space="preserve">. Un coordinateur du projet de chaque communauté participera avec l’équipe de coordination du projet à la planification et à la mise en œuvre des activités. Le rôle central des potières dans les activités, comme la formation des enfants et la promotion des pratiques de fabrication des poteries dans les écoles, est </w:t>
      </w:r>
      <w:r w:rsidRPr="006F2CD5">
        <w:rPr>
          <w:bCs/>
          <w:u w:val="none"/>
        </w:rPr>
        <w:lastRenderedPageBreak/>
        <w:t xml:space="preserve">clairement </w:t>
      </w:r>
      <w:r>
        <w:rPr>
          <w:bCs/>
          <w:u w:val="none"/>
        </w:rPr>
        <w:t>défini</w:t>
      </w:r>
      <w:r w:rsidRPr="006F2CD5">
        <w:rPr>
          <w:bCs/>
          <w:u w:val="none"/>
        </w:rPr>
        <w:t xml:space="preserve"> dans la demande</w:t>
      </w:r>
      <w:r>
        <w:rPr>
          <w:u w:val="none"/>
        </w:rPr>
        <w:t xml:space="preserve">, tout comme l’est leur contribution active </w:t>
      </w:r>
      <w:r w:rsidRPr="006F2CD5">
        <w:rPr>
          <w:bCs/>
          <w:u w:val="none"/>
        </w:rPr>
        <w:t xml:space="preserve">à l’évaluation du projet et à la production de rapports en tenant un journal </w:t>
      </w:r>
      <w:r>
        <w:rPr>
          <w:bCs/>
          <w:u w:val="none"/>
        </w:rPr>
        <w:t>où elles consigneront</w:t>
      </w:r>
      <w:r w:rsidRPr="006F2CD5">
        <w:rPr>
          <w:bCs/>
          <w:u w:val="none"/>
        </w:rPr>
        <w:t xml:space="preserve"> leurs activités quotidiennes </w:t>
      </w:r>
      <w:r>
        <w:rPr>
          <w:bCs/>
          <w:u w:val="none"/>
        </w:rPr>
        <w:t xml:space="preserve">et </w:t>
      </w:r>
      <w:r w:rsidRPr="006F2CD5">
        <w:rPr>
          <w:bCs/>
          <w:u w:val="none"/>
        </w:rPr>
        <w:t>qui figurera également dans le rapport final.</w:t>
      </w:r>
    </w:p>
    <w:p w:rsidR="00BB633D" w:rsidRPr="006F2CD5" w:rsidRDefault="00BB633D" w:rsidP="00BB633D">
      <w:pPr>
        <w:pStyle w:val="Marge"/>
        <w:spacing w:after="120"/>
        <w:ind w:left="567"/>
      </w:pPr>
      <w:r w:rsidRPr="006F2CD5">
        <w:rPr>
          <w:b/>
        </w:rPr>
        <w:t>Critèr</w:t>
      </w:r>
      <w:r>
        <w:rPr>
          <w:b/>
        </w:rPr>
        <w:t>e</w:t>
      </w:r>
      <w:r w:rsidRPr="006F2CD5">
        <w:rPr>
          <w:b/>
        </w:rPr>
        <w:t xml:space="preserve"> A.2 </w:t>
      </w:r>
      <w:r w:rsidRPr="006F2CD5">
        <w:t xml:space="preserve">: Le montant total demandé semble </w:t>
      </w:r>
      <w:proofErr w:type="gramStart"/>
      <w:r w:rsidRPr="006F2CD5">
        <w:t>approprié</w:t>
      </w:r>
      <w:proofErr w:type="gramEnd"/>
      <w:r w:rsidRPr="006F2CD5">
        <w:t xml:space="preserve"> et couvre de façon satisfaisante chacune des activités proposées</w:t>
      </w:r>
      <w:r w:rsidRPr="006F2CD5">
        <w:rPr>
          <w:rFonts w:cs="Arial"/>
          <w:bCs/>
          <w:szCs w:val="22"/>
        </w:rPr>
        <w:t>.</w:t>
      </w:r>
    </w:p>
    <w:p w:rsidR="00BB633D" w:rsidRPr="006F2CD5" w:rsidRDefault="00BB633D" w:rsidP="00BB633D">
      <w:pPr>
        <w:pStyle w:val="Marge"/>
        <w:spacing w:after="120"/>
        <w:ind w:left="567"/>
      </w:pPr>
      <w:r w:rsidRPr="006F2CD5">
        <w:rPr>
          <w:b/>
        </w:rPr>
        <w:t>Critère A.3 </w:t>
      </w:r>
      <w:r w:rsidRPr="006F2CD5">
        <w:t xml:space="preserve">: </w:t>
      </w:r>
      <w:r w:rsidRPr="006F2CD5">
        <w:rPr>
          <w:rFonts w:cs="Arial"/>
          <w:szCs w:val="22"/>
        </w:rPr>
        <w:t>La demande est structurée de façon claire et comprend une série de 11</w:t>
      </w:r>
      <w:r>
        <w:rPr>
          <w:rFonts w:cs="Arial"/>
          <w:szCs w:val="22"/>
        </w:rPr>
        <w:t> </w:t>
      </w:r>
      <w:r w:rsidRPr="006F2CD5">
        <w:rPr>
          <w:rFonts w:cs="Arial"/>
          <w:szCs w:val="22"/>
        </w:rPr>
        <w:t>activités bien conçues et présentées dans un ordre logique. Les activités proposées correspondent aux objectifs du projet et sont planifiées selon un calendrier qui semble réaliste dans les délais impartis.</w:t>
      </w:r>
    </w:p>
    <w:p w:rsidR="00BB633D" w:rsidRPr="006F2CD5" w:rsidRDefault="00BB633D" w:rsidP="00BB633D">
      <w:pPr>
        <w:pStyle w:val="Marge"/>
        <w:spacing w:after="120"/>
        <w:ind w:left="567"/>
      </w:pPr>
      <w:r w:rsidRPr="006F2CD5">
        <w:rPr>
          <w:b/>
        </w:rPr>
        <w:t>Critère A.4 </w:t>
      </w:r>
      <w:r w:rsidRPr="006F2CD5">
        <w:t>: La participation de tous les groupes, notamment les femmes et les enfants, devrait contribuer à la pérennité du projet au-delà de son achèvement officiel</w:t>
      </w:r>
      <w:r w:rsidRPr="006F2CD5">
        <w:rPr>
          <w:rFonts w:cs="Arial"/>
          <w:bCs/>
          <w:szCs w:val="22"/>
        </w:rPr>
        <w:t xml:space="preserve">. Les activités proposées, axées sur </w:t>
      </w:r>
      <w:r>
        <w:rPr>
          <w:rFonts w:cs="Arial"/>
          <w:bCs/>
          <w:szCs w:val="22"/>
        </w:rPr>
        <w:t>les</w:t>
      </w:r>
      <w:r w:rsidRPr="006F2CD5">
        <w:rPr>
          <w:rFonts w:cs="Arial"/>
          <w:bCs/>
          <w:szCs w:val="22"/>
        </w:rPr>
        <w:t xml:space="preserve"> femmes </w:t>
      </w:r>
      <w:r>
        <w:rPr>
          <w:rFonts w:cs="Arial"/>
          <w:bCs/>
          <w:szCs w:val="22"/>
        </w:rPr>
        <w:t>qui jouent un rôle essentiel dans la transmission de la pratique</w:t>
      </w:r>
      <w:r w:rsidRPr="006F2CD5">
        <w:rPr>
          <w:rFonts w:cs="Arial"/>
          <w:bCs/>
          <w:szCs w:val="22"/>
        </w:rPr>
        <w:t>, prévoient notamment la création de groupes de potières au sein des communautés afin que les praticiennes puissent faire entendre plus efficacement leurs préoccupations et avoir davantage accès à des mécanismes de microcrédit. Le projet cherche également à éveiller l’intérêt des jeunes afin d’ass</w:t>
      </w:r>
      <w:r>
        <w:rPr>
          <w:rFonts w:cs="Arial"/>
          <w:bCs/>
          <w:szCs w:val="22"/>
        </w:rPr>
        <w:t xml:space="preserve">urer la viabilité </w:t>
      </w:r>
      <w:r w:rsidRPr="00737842">
        <w:t xml:space="preserve">des pratiques traditionnelles de fabrication de poteries, </w:t>
      </w:r>
      <w:r>
        <w:rPr>
          <w:rFonts w:cs="Arial"/>
          <w:bCs/>
          <w:szCs w:val="22"/>
        </w:rPr>
        <w:t>et l</w:t>
      </w:r>
      <w:r w:rsidRPr="006F2CD5">
        <w:rPr>
          <w:rFonts w:cs="Arial"/>
          <w:bCs/>
          <w:szCs w:val="22"/>
        </w:rPr>
        <w:t>es enfants participeront à de nombreuses activités, notamment des ateliers de sensibilisation dans les écoles et l’utilisation d’une brochure personnalisée.</w:t>
      </w:r>
    </w:p>
    <w:p w:rsidR="00BB633D" w:rsidRPr="006F2CD5" w:rsidRDefault="00BB633D" w:rsidP="00BB633D">
      <w:pPr>
        <w:pStyle w:val="Marge"/>
        <w:spacing w:after="120"/>
        <w:ind w:left="567"/>
      </w:pPr>
      <w:r w:rsidRPr="006F2CD5">
        <w:rPr>
          <w:b/>
        </w:rPr>
        <w:t>Critère A.5 </w:t>
      </w:r>
      <w:r w:rsidRPr="006F2CD5">
        <w:t xml:space="preserve">: </w:t>
      </w:r>
      <w:r w:rsidRPr="006F2CD5">
        <w:rPr>
          <w:rFonts w:cs="Arial"/>
          <w:bCs/>
          <w:szCs w:val="22"/>
        </w:rPr>
        <w:t>L’État demandeur prendra à sa charge 12 % du montant total du projet pour lequel l’assistance internationale est demandée.</w:t>
      </w:r>
    </w:p>
    <w:p w:rsidR="00BB633D" w:rsidRPr="006F2CD5" w:rsidRDefault="00BB633D" w:rsidP="00BB633D">
      <w:pPr>
        <w:pStyle w:val="Marge"/>
        <w:spacing w:after="120"/>
        <w:ind w:left="567"/>
        <w:rPr>
          <w:highlight w:val="cyan"/>
        </w:rPr>
      </w:pPr>
      <w:r w:rsidRPr="006F2CD5">
        <w:rPr>
          <w:b/>
        </w:rPr>
        <w:t>Critère A.6 </w:t>
      </w:r>
      <w:r w:rsidRPr="006F2CD5">
        <w:t xml:space="preserve">: </w:t>
      </w:r>
      <w:r w:rsidRPr="006F2CD5">
        <w:rPr>
          <w:rFonts w:cs="Arial"/>
          <w:bCs/>
          <w:szCs w:val="22"/>
        </w:rPr>
        <w:t xml:space="preserve">Le principal objectif du projet est de doter les communautés de potières du </w:t>
      </w:r>
      <w:proofErr w:type="spellStart"/>
      <w:r w:rsidRPr="006F2CD5">
        <w:rPr>
          <w:szCs w:val="22"/>
        </w:rPr>
        <w:t>Mbeere</w:t>
      </w:r>
      <w:proofErr w:type="spellEnd"/>
      <w:r w:rsidRPr="006F2CD5">
        <w:rPr>
          <w:szCs w:val="22"/>
        </w:rPr>
        <w:t xml:space="preserve">, du </w:t>
      </w:r>
      <w:proofErr w:type="spellStart"/>
      <w:r w:rsidRPr="006F2CD5">
        <w:rPr>
          <w:szCs w:val="22"/>
        </w:rPr>
        <w:t>Tharaka</w:t>
      </w:r>
      <w:proofErr w:type="spellEnd"/>
      <w:r w:rsidRPr="006F2CD5">
        <w:rPr>
          <w:szCs w:val="22"/>
        </w:rPr>
        <w:t xml:space="preserve"> et du </w:t>
      </w:r>
      <w:proofErr w:type="spellStart"/>
      <w:r w:rsidRPr="006F2CD5">
        <w:rPr>
          <w:szCs w:val="22"/>
        </w:rPr>
        <w:t>Tigania</w:t>
      </w:r>
      <w:proofErr w:type="spellEnd"/>
      <w:r w:rsidRPr="006F2CD5">
        <w:rPr>
          <w:szCs w:val="22"/>
        </w:rPr>
        <w:t xml:space="preserve"> de nouveaux savoir-faire et outils pour revitaliser leurs pratiques de fabrication de poteries</w:t>
      </w:r>
      <w:r w:rsidRPr="006F2CD5">
        <w:rPr>
          <w:rFonts w:cs="Arial"/>
          <w:bCs/>
          <w:szCs w:val="22"/>
        </w:rPr>
        <w:t>. La demande indique que les capacités des communautés seront renforcées par l’organisation des potières en groupes, des processus de consultation participative et l’établissement de réseaux d’apprentissage. Des personnes et des groupes seront formés pour animer régulièrement des réunions au niveau des communautés et documenter leur patrimoine vivant, avec le soutien d’anthropologues et d’historiens locaux.</w:t>
      </w:r>
    </w:p>
    <w:p w:rsidR="00BB633D" w:rsidRPr="006F2CD5" w:rsidRDefault="00BB633D" w:rsidP="00BB633D">
      <w:pPr>
        <w:pStyle w:val="Marge"/>
        <w:spacing w:after="120"/>
        <w:ind w:left="567"/>
      </w:pPr>
      <w:r w:rsidRPr="006F2CD5">
        <w:rPr>
          <w:b/>
        </w:rPr>
        <w:t>Critère A.7 </w:t>
      </w:r>
      <w:r w:rsidRPr="006F2CD5">
        <w:t xml:space="preserve">: En 2008, le Kenya a bénéficié </w:t>
      </w:r>
      <w:r>
        <w:t>de l’assistance internationale quatre fois –</w:t>
      </w:r>
      <w:r w:rsidRPr="006F2CD5">
        <w:rPr>
          <w:rFonts w:cs="Arial"/>
          <w:bCs/>
          <w:szCs w:val="22"/>
        </w:rPr>
        <w:t xml:space="preserve"> </w:t>
      </w:r>
      <w:r>
        <w:rPr>
          <w:rFonts w:cs="Arial"/>
          <w:bCs/>
          <w:szCs w:val="22"/>
        </w:rPr>
        <w:t>deux fois sous la forme d’une</w:t>
      </w:r>
      <w:r w:rsidRPr="006F2CD5">
        <w:rPr>
          <w:rFonts w:cs="Arial"/>
          <w:bCs/>
          <w:szCs w:val="22"/>
        </w:rPr>
        <w:t xml:space="preserve"> assistance </w:t>
      </w:r>
      <w:r>
        <w:rPr>
          <w:rFonts w:cs="Arial"/>
          <w:bCs/>
          <w:szCs w:val="22"/>
        </w:rPr>
        <w:t>préparatoire pour des dossiers de candidature sur la Liste du patrimoine culturel immatériel nécessitant une sauvegarde urgente</w:t>
      </w:r>
      <w:r w:rsidRPr="006F2CD5">
        <w:rPr>
          <w:rFonts w:cs="Arial"/>
          <w:bCs/>
          <w:szCs w:val="22"/>
        </w:rPr>
        <w:t>,</w:t>
      </w:r>
      <w:r w:rsidRPr="006F2CD5">
        <w:t xml:space="preserve"> </w:t>
      </w:r>
      <w:r>
        <w:t>à savoir pour les « T</w:t>
      </w:r>
      <w:r w:rsidRPr="006F2CD5">
        <w:rPr>
          <w:rFonts w:cs="Arial"/>
          <w:bCs/>
          <w:szCs w:val="22"/>
        </w:rPr>
        <w:t xml:space="preserve">raditions et pratiques associées aux </w:t>
      </w:r>
      <w:proofErr w:type="spellStart"/>
      <w:r w:rsidRPr="006F2CD5">
        <w:rPr>
          <w:rFonts w:cs="Arial"/>
          <w:bCs/>
          <w:szCs w:val="22"/>
        </w:rPr>
        <w:t>Kayas</w:t>
      </w:r>
      <w:proofErr w:type="spellEnd"/>
      <w:r>
        <w:rPr>
          <w:rFonts w:cs="Arial"/>
          <w:bCs/>
          <w:szCs w:val="22"/>
        </w:rPr>
        <w:t> »</w:t>
      </w:r>
      <w:r w:rsidRPr="006F2CD5">
        <w:rPr>
          <w:rFonts w:cs="Arial"/>
          <w:bCs/>
          <w:szCs w:val="22"/>
        </w:rPr>
        <w:t xml:space="preserve"> </w:t>
      </w:r>
      <w:r>
        <w:rPr>
          <w:rFonts w:cs="Arial"/>
          <w:bCs/>
          <w:szCs w:val="22"/>
        </w:rPr>
        <w:t>(2009</w:t>
      </w:r>
      <w:r w:rsidRPr="006F2CD5">
        <w:rPr>
          <w:rFonts w:cs="Arial"/>
          <w:bCs/>
          <w:szCs w:val="22"/>
        </w:rPr>
        <w:t>-</w:t>
      </w:r>
      <w:r>
        <w:rPr>
          <w:rFonts w:cs="Arial"/>
          <w:bCs/>
          <w:szCs w:val="22"/>
        </w:rPr>
        <w:t>10</w:t>
      </w:r>
      <w:r w:rsidRPr="006F2CD5">
        <w:rPr>
          <w:rFonts w:cs="Arial"/>
          <w:bCs/>
          <w:szCs w:val="22"/>
        </w:rPr>
        <w:t xml:space="preserve"> ; </w:t>
      </w:r>
      <w:r>
        <w:rPr>
          <w:rFonts w:cs="Arial"/>
          <w:bCs/>
          <w:szCs w:val="22"/>
        </w:rPr>
        <w:t>6 000</w:t>
      </w:r>
      <w:r w:rsidRPr="006F2CD5">
        <w:rPr>
          <w:rFonts w:cs="Arial"/>
          <w:bCs/>
          <w:szCs w:val="22"/>
        </w:rPr>
        <w:t xml:space="preserve"> dollars des États-Unis), </w:t>
      </w:r>
      <w:r>
        <w:rPr>
          <w:rFonts w:cs="Arial"/>
          <w:bCs/>
          <w:szCs w:val="22"/>
        </w:rPr>
        <w:t>pour les</w:t>
      </w:r>
      <w:r w:rsidRPr="006F2CD5">
        <w:rPr>
          <w:rFonts w:cs="Arial"/>
          <w:bCs/>
          <w:szCs w:val="22"/>
        </w:rPr>
        <w:t xml:space="preserve"> « Rituels et pratiques associés au sanctuaire de Kit </w:t>
      </w:r>
      <w:proofErr w:type="spellStart"/>
      <w:r w:rsidRPr="006F2CD5">
        <w:rPr>
          <w:rFonts w:cs="Arial"/>
          <w:bCs/>
          <w:szCs w:val="22"/>
        </w:rPr>
        <w:t>Mikayi</w:t>
      </w:r>
      <w:proofErr w:type="spellEnd"/>
      <w:r w:rsidRPr="006F2CD5">
        <w:rPr>
          <w:rFonts w:cs="Arial"/>
          <w:bCs/>
          <w:szCs w:val="22"/>
        </w:rPr>
        <w:t xml:space="preserve"> chez les communautés </w:t>
      </w:r>
      <w:proofErr w:type="spellStart"/>
      <w:r w:rsidRPr="006F2CD5">
        <w:rPr>
          <w:rFonts w:cs="Arial"/>
          <w:bCs/>
          <w:szCs w:val="22"/>
        </w:rPr>
        <w:t>luo</w:t>
      </w:r>
      <w:proofErr w:type="spellEnd"/>
      <w:r w:rsidRPr="006F2CD5">
        <w:rPr>
          <w:rFonts w:cs="Arial"/>
          <w:bCs/>
          <w:szCs w:val="22"/>
        </w:rPr>
        <w:t xml:space="preserve"> au Kenya » (2013-2015 ; 17 668 dollars des États-Unis)</w:t>
      </w:r>
      <w:r>
        <w:rPr>
          <w:rFonts w:cs="Arial"/>
          <w:bCs/>
          <w:szCs w:val="22"/>
        </w:rPr>
        <w:t xml:space="preserve"> et deux fois sous la forme d’une assistance financière pour un projet intitulé : </w:t>
      </w:r>
      <w:r w:rsidRPr="00720151">
        <w:rPr>
          <w:rFonts w:cs="Arial"/>
          <w:bCs/>
          <w:szCs w:val="22"/>
        </w:rPr>
        <w:t>« </w:t>
      </w:r>
      <w:r w:rsidRPr="00720151">
        <w:rPr>
          <w:rFonts w:cs="Arial"/>
        </w:rPr>
        <w:t xml:space="preserve">Les traditions et pratiques associées aux </w:t>
      </w:r>
      <w:proofErr w:type="spellStart"/>
      <w:r w:rsidRPr="00720151">
        <w:rPr>
          <w:rFonts w:cs="Arial"/>
        </w:rPr>
        <w:t>Kayas</w:t>
      </w:r>
      <w:proofErr w:type="spellEnd"/>
      <w:r w:rsidRPr="00720151">
        <w:rPr>
          <w:rFonts w:cs="Arial"/>
        </w:rPr>
        <w:t xml:space="preserve"> dans les forêts sacrées des </w:t>
      </w:r>
      <w:proofErr w:type="spellStart"/>
      <w:r w:rsidRPr="00720151">
        <w:rPr>
          <w:rFonts w:cs="Arial"/>
        </w:rPr>
        <w:t>Mijikenda</w:t>
      </w:r>
      <w:proofErr w:type="spellEnd"/>
      <w:r>
        <w:rPr>
          <w:rFonts w:cs="Arial"/>
          <w:bCs/>
          <w:szCs w:val="22"/>
        </w:rPr>
        <w:t> »</w:t>
      </w:r>
      <w:r w:rsidRPr="00720151">
        <w:rPr>
          <w:rFonts w:cs="Arial"/>
          <w:bCs/>
          <w:szCs w:val="22"/>
        </w:rPr>
        <w:t xml:space="preserve"> </w:t>
      </w:r>
      <w:r>
        <w:rPr>
          <w:rFonts w:cs="Arial"/>
          <w:bCs/>
          <w:szCs w:val="22"/>
        </w:rPr>
        <w:t xml:space="preserve">(2011-14, </w:t>
      </w:r>
      <w:r w:rsidRPr="00720151">
        <w:rPr>
          <w:rFonts w:cs="Arial"/>
          <w:bCs/>
          <w:szCs w:val="22"/>
        </w:rPr>
        <w:t>126</w:t>
      </w:r>
      <w:r>
        <w:rPr>
          <w:rFonts w:cs="Arial"/>
          <w:bCs/>
          <w:szCs w:val="22"/>
        </w:rPr>
        <w:t> </w:t>
      </w:r>
      <w:r w:rsidRPr="00720151">
        <w:rPr>
          <w:rFonts w:cs="Arial"/>
          <w:bCs/>
          <w:szCs w:val="22"/>
        </w:rPr>
        <w:t>580</w:t>
      </w:r>
      <w:r>
        <w:rPr>
          <w:rFonts w:cs="Arial"/>
          <w:bCs/>
          <w:szCs w:val="22"/>
        </w:rPr>
        <w:t xml:space="preserve"> dollars des </w:t>
      </w:r>
      <w:r w:rsidRPr="006F2CD5">
        <w:rPr>
          <w:rFonts w:cs="Arial"/>
          <w:bCs/>
          <w:szCs w:val="22"/>
        </w:rPr>
        <w:t>États-Unis</w:t>
      </w:r>
      <w:r>
        <w:rPr>
          <w:rFonts w:cs="Arial"/>
          <w:bCs/>
          <w:szCs w:val="22"/>
        </w:rPr>
        <w:t>) et un projet intitulé : « </w:t>
      </w:r>
      <w:r w:rsidRPr="00720151">
        <w:rPr>
          <w:rFonts w:cs="Arial"/>
        </w:rPr>
        <w:t xml:space="preserve">La documentation et l'inventaire du patrimoine culturel immatériel de la communauté pastorale </w:t>
      </w:r>
      <w:proofErr w:type="spellStart"/>
      <w:r w:rsidRPr="00720151">
        <w:rPr>
          <w:rFonts w:cs="Arial"/>
        </w:rPr>
        <w:t>Samburu</w:t>
      </w:r>
      <w:proofErr w:type="spellEnd"/>
      <w:r w:rsidRPr="00720151">
        <w:rPr>
          <w:rFonts w:cs="Arial"/>
        </w:rPr>
        <w:t xml:space="preserve"> du nord du Kenya, particulièrement dans la région de la réserve de biosphère du mont </w:t>
      </w:r>
      <w:proofErr w:type="spellStart"/>
      <w:r w:rsidRPr="00720151">
        <w:rPr>
          <w:rFonts w:cs="Arial"/>
        </w:rPr>
        <w:t>Kulal</w:t>
      </w:r>
      <w:proofErr w:type="spellEnd"/>
      <w:r>
        <w:rPr>
          <w:rFonts w:cs="Arial"/>
        </w:rPr>
        <w:t xml:space="preserve"> » (2015-en cours ; </w:t>
      </w:r>
      <w:r w:rsidRPr="00720151">
        <w:rPr>
          <w:rFonts w:cs="Arial"/>
          <w:bCs/>
          <w:szCs w:val="22"/>
        </w:rPr>
        <w:t>24</w:t>
      </w:r>
      <w:r>
        <w:rPr>
          <w:rFonts w:cs="Arial"/>
          <w:bCs/>
          <w:szCs w:val="22"/>
        </w:rPr>
        <w:t> </w:t>
      </w:r>
      <w:r w:rsidRPr="00720151">
        <w:rPr>
          <w:rFonts w:cs="Arial"/>
          <w:bCs/>
          <w:szCs w:val="22"/>
        </w:rPr>
        <w:t>038</w:t>
      </w:r>
      <w:r>
        <w:rPr>
          <w:rFonts w:cs="Arial"/>
          <w:bCs/>
          <w:szCs w:val="22"/>
        </w:rPr>
        <w:t xml:space="preserve"> dollars des</w:t>
      </w:r>
      <w:r w:rsidRPr="00720151">
        <w:rPr>
          <w:rFonts w:cs="Arial"/>
          <w:bCs/>
          <w:szCs w:val="22"/>
        </w:rPr>
        <w:t xml:space="preserve"> </w:t>
      </w:r>
      <w:r w:rsidRPr="006F2CD5">
        <w:rPr>
          <w:rFonts w:cs="Arial"/>
          <w:bCs/>
          <w:szCs w:val="22"/>
        </w:rPr>
        <w:t>États-Unis</w:t>
      </w:r>
      <w:r>
        <w:rPr>
          <w:rFonts w:cs="Arial"/>
          <w:bCs/>
          <w:szCs w:val="22"/>
        </w:rPr>
        <w:t>)</w:t>
      </w:r>
      <w:r w:rsidRPr="006F2CD5">
        <w:rPr>
          <w:rFonts w:cs="Arial"/>
          <w:bCs/>
          <w:szCs w:val="22"/>
        </w:rPr>
        <w:t xml:space="preserve">. </w:t>
      </w:r>
      <w:r w:rsidRPr="006F2CD5">
        <w:t>Le travail stipulé</w:t>
      </w:r>
      <w:r>
        <w:t xml:space="preserve"> dans les contrats signés pour l</w:t>
      </w:r>
      <w:r w:rsidRPr="006F2CD5">
        <w:t xml:space="preserve">es projets </w:t>
      </w:r>
      <w:r>
        <w:t xml:space="preserve">réalisés </w:t>
      </w:r>
      <w:r w:rsidRPr="006F2CD5">
        <w:t>a été mené à bien conformément aux règlements de l’UNESCO</w:t>
      </w:r>
      <w:r>
        <w:t>,</w:t>
      </w:r>
      <w:r w:rsidRPr="006F2CD5">
        <w:t xml:space="preserve"> </w:t>
      </w:r>
      <w:r>
        <w:rPr>
          <w:rFonts w:cs="Arial"/>
          <w:bCs/>
          <w:szCs w:val="22"/>
        </w:rPr>
        <w:t>bien que le</w:t>
      </w:r>
      <w:r w:rsidRPr="006F2CD5">
        <w:rPr>
          <w:rFonts w:cs="Arial"/>
          <w:bCs/>
          <w:szCs w:val="22"/>
        </w:rPr>
        <w:t xml:space="preserve"> projet </w:t>
      </w:r>
      <w:r>
        <w:rPr>
          <w:rFonts w:cs="Arial"/>
          <w:bCs/>
          <w:szCs w:val="22"/>
        </w:rPr>
        <w:t xml:space="preserve">intitulé : </w:t>
      </w:r>
      <w:r w:rsidRPr="00E5011F">
        <w:rPr>
          <w:rFonts w:cs="Arial"/>
          <w:bCs/>
          <w:szCs w:val="22"/>
        </w:rPr>
        <w:t>« </w:t>
      </w:r>
      <w:r w:rsidRPr="00E5011F">
        <w:rPr>
          <w:rFonts w:cs="Arial"/>
        </w:rPr>
        <w:t xml:space="preserve">Les traditions et pratiques associées aux </w:t>
      </w:r>
      <w:proofErr w:type="spellStart"/>
      <w:r w:rsidRPr="00E5011F">
        <w:rPr>
          <w:rFonts w:cs="Arial"/>
        </w:rPr>
        <w:t>Kayas</w:t>
      </w:r>
      <w:proofErr w:type="spellEnd"/>
      <w:r w:rsidRPr="00E5011F">
        <w:rPr>
          <w:rFonts w:cs="Arial"/>
        </w:rPr>
        <w:t xml:space="preserve"> dans les forêts sacrées des </w:t>
      </w:r>
      <w:proofErr w:type="spellStart"/>
      <w:r w:rsidRPr="00E5011F">
        <w:rPr>
          <w:rFonts w:cs="Arial"/>
        </w:rPr>
        <w:t>Mijikenda</w:t>
      </w:r>
      <w:proofErr w:type="spellEnd"/>
      <w:r w:rsidRPr="00E5011F">
        <w:rPr>
          <w:rFonts w:cs="Arial"/>
          <w:bCs/>
          <w:szCs w:val="22"/>
        </w:rPr>
        <w:t> »,  mis en œuvre par le Département de</w:t>
      </w:r>
      <w:r>
        <w:rPr>
          <w:rFonts w:cs="Arial"/>
          <w:bCs/>
          <w:szCs w:val="22"/>
        </w:rPr>
        <w:t xml:space="preserve"> la Culture du Ministère de la Culture, des Sports et des A</w:t>
      </w:r>
      <w:r w:rsidRPr="00E5011F">
        <w:rPr>
          <w:rFonts w:cs="Arial"/>
          <w:bCs/>
          <w:szCs w:val="22"/>
        </w:rPr>
        <w:t>rts</w:t>
      </w:r>
      <w:r>
        <w:rPr>
          <w:rFonts w:cs="Arial"/>
          <w:bCs/>
          <w:szCs w:val="22"/>
        </w:rPr>
        <w:t xml:space="preserve">, a </w:t>
      </w:r>
      <w:r w:rsidRPr="00E5011F">
        <w:rPr>
          <w:rFonts w:cs="Arial"/>
          <w:bCs/>
          <w:szCs w:val="22"/>
        </w:rPr>
        <w:t xml:space="preserve">été considérablement retardé. </w:t>
      </w:r>
      <w:r>
        <w:rPr>
          <w:rFonts w:cs="Arial"/>
          <w:bCs/>
          <w:szCs w:val="22"/>
        </w:rPr>
        <w:t>Cependant, au moment de rédiger ce rapport, toutes les activités prévues ont été terminées et le projet est en cours de clôture administrative</w:t>
      </w:r>
      <w:r w:rsidRPr="00E5011F">
        <w:rPr>
          <w:rFonts w:cs="Arial"/>
          <w:bCs/>
          <w:szCs w:val="22"/>
        </w:rPr>
        <w:t>.</w:t>
      </w:r>
      <w:r>
        <w:rPr>
          <w:rFonts w:cs="Arial"/>
          <w:bCs/>
          <w:szCs w:val="22"/>
        </w:rPr>
        <w:t xml:space="preserve"> </w:t>
      </w:r>
      <w:r w:rsidRPr="006F2CD5">
        <w:rPr>
          <w:rFonts w:cs="Arial"/>
          <w:bCs/>
          <w:szCs w:val="22"/>
        </w:rPr>
        <w:t xml:space="preserve">  </w:t>
      </w:r>
    </w:p>
    <w:p w:rsidR="00BB633D" w:rsidRPr="006F2CD5" w:rsidRDefault="00BB633D" w:rsidP="00BB633D">
      <w:pPr>
        <w:pStyle w:val="Marge"/>
        <w:spacing w:after="120"/>
        <w:ind w:left="567"/>
      </w:pPr>
      <w:r w:rsidRPr="006F2CD5">
        <w:rPr>
          <w:b/>
        </w:rPr>
        <w:t>Paragraphe 10(a) </w:t>
      </w:r>
      <w:r w:rsidRPr="006F2CD5">
        <w:t>: Le projet est d’application locale et implique des partenaires de mise en œuvre nationaux et locaux.</w:t>
      </w:r>
    </w:p>
    <w:p w:rsidR="00BB633D" w:rsidRPr="006F2CD5" w:rsidRDefault="00BB633D" w:rsidP="00BB633D">
      <w:pPr>
        <w:pStyle w:val="COMParaDecision"/>
        <w:numPr>
          <w:ilvl w:val="0"/>
          <w:numId w:val="0"/>
        </w:numPr>
        <w:ind w:left="567"/>
        <w:rPr>
          <w:u w:val="none"/>
        </w:rPr>
      </w:pPr>
      <w:r w:rsidRPr="004A26B5">
        <w:rPr>
          <w:b/>
          <w:u w:val="none"/>
        </w:rPr>
        <w:t>Paragraphe 10(b) :</w:t>
      </w:r>
      <w:r w:rsidRPr="006F2CD5">
        <w:rPr>
          <w:u w:val="none"/>
        </w:rPr>
        <w:t xml:space="preserve"> La demande démontre un effet multiplicateur potentiel en termes de financement futur, car le projet a pour but de mieux organiser les poti</w:t>
      </w:r>
      <w:r>
        <w:rPr>
          <w:u w:val="none"/>
        </w:rPr>
        <w:t>ères en groupes au sein de leur</w:t>
      </w:r>
      <w:r w:rsidRPr="006F2CD5">
        <w:rPr>
          <w:u w:val="none"/>
        </w:rPr>
        <w:t xml:space="preserve"> </w:t>
      </w:r>
      <w:r>
        <w:rPr>
          <w:u w:val="none"/>
        </w:rPr>
        <w:t>communauté respective</w:t>
      </w:r>
      <w:r w:rsidRPr="006F2CD5">
        <w:rPr>
          <w:u w:val="none"/>
        </w:rPr>
        <w:t xml:space="preserve"> afin de pouvoir coordonner les efforts pour une revitalisation à long terme de leurs pratiques de fabrication de poteries. Les activités de </w:t>
      </w:r>
      <w:r w:rsidRPr="006F2CD5">
        <w:rPr>
          <w:u w:val="none"/>
        </w:rPr>
        <w:lastRenderedPageBreak/>
        <w:t>visibilité dans les écoles grâce à des informations documentées au sein des communautés contribueront également à conférer au projet un effet multiplicateur ;</w:t>
      </w:r>
    </w:p>
    <w:p w:rsidR="00BB633D" w:rsidRPr="004A26B5" w:rsidRDefault="00BB633D" w:rsidP="00BB633D">
      <w:pPr>
        <w:pStyle w:val="COMParaDecision"/>
        <w:ind w:left="567"/>
        <w:rPr>
          <w:u w:val="none"/>
        </w:rPr>
      </w:pPr>
      <w:r w:rsidRPr="004A26B5">
        <w:t>Décide</w:t>
      </w:r>
      <w:r w:rsidRPr="004A26B5">
        <w:rPr>
          <w:u w:val="none"/>
        </w:rPr>
        <w:t xml:space="preserve"> d’approuver la demande d’assistance internationale du Kenya pour un projet intitulé « </w:t>
      </w:r>
      <w:r w:rsidRPr="004A26B5">
        <w:rPr>
          <w:b/>
          <w:u w:val="none"/>
        </w:rPr>
        <w:t>la</w:t>
      </w:r>
      <w:r w:rsidRPr="004A26B5">
        <w:rPr>
          <w:u w:val="none"/>
        </w:rPr>
        <w:t xml:space="preserve"> </w:t>
      </w:r>
      <w:r w:rsidRPr="004A26B5">
        <w:rPr>
          <w:b/>
          <w:u w:val="none"/>
        </w:rPr>
        <w:t xml:space="preserve">Promotion des pratiques traditionnelles de fabrication de poteries dans l’est du Kenya » </w:t>
      </w:r>
      <w:r w:rsidRPr="004A26B5">
        <w:rPr>
          <w:u w:val="none"/>
        </w:rPr>
        <w:t>et d’accorder à cette fin u</w:t>
      </w:r>
      <w:r>
        <w:rPr>
          <w:u w:val="none"/>
        </w:rPr>
        <w:t>n montant de 23 </w:t>
      </w:r>
      <w:r w:rsidRPr="004A26B5">
        <w:rPr>
          <w:u w:val="none"/>
        </w:rPr>
        <w:t>388 dollars des États-Unis à l’État partie ;</w:t>
      </w:r>
    </w:p>
    <w:p w:rsidR="00BB633D" w:rsidRPr="006F2CD5" w:rsidRDefault="00BB633D" w:rsidP="00BB633D">
      <w:pPr>
        <w:pStyle w:val="COMParaDecision"/>
        <w:ind w:left="567"/>
      </w:pPr>
      <w:r w:rsidRPr="006F2CD5">
        <w:t>Demande</w:t>
      </w:r>
      <w:r w:rsidRPr="006F2CD5">
        <w:rPr>
          <w:u w:val="none"/>
        </w:rPr>
        <w:t xml:space="preserve"> au Secrétariat de se mettre d’accord avec l’État partie demandeur sur les détails techniques de l’assistance, en accordant une attention particulière au budget détaillé </w:t>
      </w:r>
      <w:r>
        <w:rPr>
          <w:u w:val="none"/>
        </w:rPr>
        <w:t xml:space="preserve">et au calendrier </w:t>
      </w:r>
      <w:r w:rsidRPr="006F2CD5">
        <w:rPr>
          <w:u w:val="none"/>
        </w:rPr>
        <w:t>des activités qui doivent être couvertes par le Fonds du patrimoine culturel immatériel</w:t>
      </w:r>
      <w:r>
        <w:rPr>
          <w:u w:val="none"/>
        </w:rPr>
        <w:t xml:space="preserve"> et de libérer les fonds seulement une fois que le contrat se rapportant au </w:t>
      </w:r>
      <w:r w:rsidRPr="008A71B6">
        <w:rPr>
          <w:u w:val="none"/>
        </w:rPr>
        <w:t xml:space="preserve">projet « Traditions et pratiques associées aux </w:t>
      </w:r>
      <w:proofErr w:type="spellStart"/>
      <w:r w:rsidRPr="008A71B6">
        <w:rPr>
          <w:u w:val="none"/>
        </w:rPr>
        <w:t>Kayas</w:t>
      </w:r>
      <w:proofErr w:type="spellEnd"/>
      <w:r w:rsidRPr="008A71B6">
        <w:rPr>
          <w:u w:val="none"/>
        </w:rPr>
        <w:t xml:space="preserve"> dans les fo</w:t>
      </w:r>
      <w:r>
        <w:rPr>
          <w:u w:val="none"/>
        </w:rPr>
        <w:t xml:space="preserve">rêts sacrées des </w:t>
      </w:r>
      <w:proofErr w:type="spellStart"/>
      <w:r>
        <w:rPr>
          <w:u w:val="none"/>
        </w:rPr>
        <w:t>Mijikenda</w:t>
      </w:r>
      <w:proofErr w:type="spellEnd"/>
      <w:r>
        <w:rPr>
          <w:u w:val="none"/>
        </w:rPr>
        <w:t> » a</w:t>
      </w:r>
      <w:r w:rsidRPr="008A71B6">
        <w:rPr>
          <w:u w:val="none"/>
        </w:rPr>
        <w:t xml:space="preserve"> été </w:t>
      </w:r>
      <w:r>
        <w:rPr>
          <w:u w:val="none"/>
        </w:rPr>
        <w:t>clos (dossier 00326)</w:t>
      </w:r>
      <w:r w:rsidRPr="008A71B6">
        <w:rPr>
          <w:u w:val="none"/>
        </w:rPr>
        <w:t> ;</w:t>
      </w:r>
    </w:p>
    <w:p w:rsidR="00BB633D" w:rsidRPr="006F2CD5" w:rsidRDefault="00BB633D" w:rsidP="00BB633D">
      <w:pPr>
        <w:pStyle w:val="COMParaDecision"/>
        <w:ind w:left="567"/>
      </w:pPr>
      <w:r w:rsidRPr="006F2CD5">
        <w:t>Invite</w:t>
      </w:r>
      <w:r w:rsidRPr="006F2CD5">
        <w:rPr>
          <w:u w:val="none"/>
        </w:rPr>
        <w:t xml:space="preserve"> l’État partie à utiliser le formulaire ICH-04-Rapport pour rendre compte de l’utilisation de l’assistance accordée.</w:t>
      </w:r>
    </w:p>
    <w:p w:rsidR="00BB633D" w:rsidRPr="001F60D1" w:rsidRDefault="00BB633D" w:rsidP="00BB633D">
      <w:pPr>
        <w:pStyle w:val="COMParaDecision"/>
        <w:numPr>
          <w:ilvl w:val="0"/>
          <w:numId w:val="0"/>
        </w:numPr>
        <w:spacing w:before="240"/>
        <w:rPr>
          <w:b/>
          <w:u w:val="none"/>
        </w:rPr>
      </w:pPr>
      <w:r w:rsidRPr="001F60D1">
        <w:rPr>
          <w:b/>
          <w:u w:val="none"/>
        </w:rPr>
        <w:t>DECISION 11.COM 1.BUR 1.4</w:t>
      </w:r>
    </w:p>
    <w:p w:rsidR="00BB633D" w:rsidRDefault="00BB633D" w:rsidP="00BB633D">
      <w:pPr>
        <w:pStyle w:val="COMParaDecision"/>
        <w:numPr>
          <w:ilvl w:val="0"/>
          <w:numId w:val="0"/>
        </w:numPr>
        <w:rPr>
          <w:u w:val="none"/>
        </w:rPr>
      </w:pPr>
      <w:r w:rsidRPr="00CD6B3B">
        <w:rPr>
          <w:u w:val="none"/>
        </w:rPr>
        <w:t>Le Bureau,</w:t>
      </w:r>
    </w:p>
    <w:p w:rsidR="00BB633D" w:rsidRPr="00CD6B3B" w:rsidRDefault="00BB633D" w:rsidP="00BB633D">
      <w:pPr>
        <w:pStyle w:val="COMParaDecision"/>
        <w:numPr>
          <w:ilvl w:val="0"/>
          <w:numId w:val="23"/>
        </w:numPr>
        <w:ind w:left="567" w:hanging="567"/>
        <w:rPr>
          <w:u w:val="none"/>
        </w:rPr>
      </w:pPr>
      <w:r>
        <w:t>Rappelant</w:t>
      </w:r>
      <w:r>
        <w:rPr>
          <w:u w:val="none"/>
        </w:rPr>
        <w:t xml:space="preserve"> </w:t>
      </w:r>
      <w:r>
        <w:rPr>
          <w:snapToGrid w:val="0"/>
          <w:u w:val="none"/>
          <w:lang w:eastAsia="en-US"/>
        </w:rPr>
        <w:t>le chapitre V de la Convention et le chapitre I des Directives opérationnelles</w:t>
      </w:r>
      <w:r w:rsidRPr="00761349">
        <w:rPr>
          <w:snapToGrid w:val="0"/>
          <w:u w:val="none"/>
          <w:lang w:eastAsia="en-US"/>
        </w:rPr>
        <w:t>,</w:t>
      </w:r>
    </w:p>
    <w:p w:rsidR="00BB633D" w:rsidRDefault="00BB633D" w:rsidP="00BB633D">
      <w:pPr>
        <w:pStyle w:val="COMParaDecision"/>
        <w:numPr>
          <w:ilvl w:val="0"/>
          <w:numId w:val="23"/>
        </w:numPr>
        <w:ind w:left="567" w:hanging="567"/>
        <w:rPr>
          <w:u w:val="none"/>
        </w:rPr>
      </w:pPr>
      <w:r>
        <w:t>Ayant examiné</w:t>
      </w:r>
      <w:r>
        <w:rPr>
          <w:u w:val="none"/>
        </w:rPr>
        <w:t xml:space="preserve"> le Document ITH/16/11.COM 1. BUR/1, ainsi que la demande d’assistance internationale n° 01216,</w:t>
      </w:r>
    </w:p>
    <w:p w:rsidR="00BB633D" w:rsidRDefault="00BB633D" w:rsidP="00BB633D">
      <w:pPr>
        <w:pStyle w:val="COMParaDecision"/>
        <w:numPr>
          <w:ilvl w:val="0"/>
          <w:numId w:val="23"/>
        </w:numPr>
        <w:ind w:left="567" w:hanging="567"/>
        <w:rPr>
          <w:u w:val="none"/>
        </w:rPr>
      </w:pPr>
      <w:r>
        <w:t>Prend note</w:t>
      </w:r>
      <w:r>
        <w:rPr>
          <w:u w:val="none"/>
        </w:rPr>
        <w:t xml:space="preserve"> que la Zambie a demandé </w:t>
      </w:r>
      <w:r w:rsidRPr="00F302DD">
        <w:rPr>
          <w:u w:val="none"/>
        </w:rPr>
        <w:t>une</w:t>
      </w:r>
      <w:r>
        <w:rPr>
          <w:u w:val="none"/>
        </w:rPr>
        <w:t xml:space="preserve"> assistance internationale pour un projet intitulé « </w:t>
      </w:r>
      <w:r>
        <w:rPr>
          <w:b/>
          <w:szCs w:val="20"/>
          <w:u w:val="none"/>
        </w:rPr>
        <w:t>I</w:t>
      </w:r>
      <w:r w:rsidRPr="00973D27">
        <w:rPr>
          <w:b/>
          <w:szCs w:val="20"/>
          <w:u w:val="none"/>
        </w:rPr>
        <w:t xml:space="preserve">nventaire des proverbes de la communauté Lala du district de </w:t>
      </w:r>
      <w:proofErr w:type="spellStart"/>
      <w:r w:rsidRPr="00973D27">
        <w:rPr>
          <w:b/>
          <w:szCs w:val="20"/>
          <w:u w:val="none"/>
        </w:rPr>
        <w:t>Luano</w:t>
      </w:r>
      <w:proofErr w:type="spellEnd"/>
      <w:r w:rsidRPr="00973D27">
        <w:rPr>
          <w:b/>
          <w:szCs w:val="20"/>
          <w:u w:val="none"/>
        </w:rPr>
        <w:t xml:space="preserve"> en Zambie</w:t>
      </w:r>
      <w:r>
        <w:rPr>
          <w:u w:val="none"/>
        </w:rPr>
        <w:t> » :</w:t>
      </w:r>
    </w:p>
    <w:p w:rsidR="00BB633D" w:rsidRDefault="00BB633D" w:rsidP="00BB633D">
      <w:pPr>
        <w:pStyle w:val="COMParaDecision"/>
        <w:numPr>
          <w:ilvl w:val="0"/>
          <w:numId w:val="0"/>
        </w:numPr>
        <w:ind w:left="567"/>
        <w:rPr>
          <w:u w:val="none"/>
        </w:rPr>
      </w:pPr>
      <w:r>
        <w:rPr>
          <w:u w:val="none"/>
        </w:rPr>
        <w:t>Le peuple Lala vi</w:t>
      </w:r>
      <w:r w:rsidRPr="00973D27">
        <w:rPr>
          <w:u w:val="none"/>
        </w:rPr>
        <w:t xml:space="preserve">t le long </w:t>
      </w:r>
      <w:r>
        <w:rPr>
          <w:u w:val="none"/>
        </w:rPr>
        <w:t>des parties</w:t>
      </w:r>
      <w:r w:rsidRPr="00973D27">
        <w:rPr>
          <w:u w:val="none"/>
        </w:rPr>
        <w:t xml:space="preserve"> orien</w:t>
      </w:r>
      <w:r>
        <w:rPr>
          <w:u w:val="none"/>
        </w:rPr>
        <w:t>tales de la rivière Luangwa dans le</w:t>
      </w:r>
      <w:r w:rsidRPr="00973D27">
        <w:rPr>
          <w:u w:val="none"/>
        </w:rPr>
        <w:t xml:space="preserve"> district </w:t>
      </w:r>
      <w:proofErr w:type="spellStart"/>
      <w:r w:rsidRPr="00973D27">
        <w:rPr>
          <w:u w:val="none"/>
        </w:rPr>
        <w:t>Luano</w:t>
      </w:r>
      <w:proofErr w:type="spellEnd"/>
      <w:r w:rsidRPr="00973D27">
        <w:rPr>
          <w:u w:val="none"/>
        </w:rPr>
        <w:t xml:space="preserve"> </w:t>
      </w:r>
      <w:r>
        <w:rPr>
          <w:u w:val="none"/>
        </w:rPr>
        <w:t>de</w:t>
      </w:r>
      <w:r w:rsidRPr="00973D27">
        <w:rPr>
          <w:u w:val="none"/>
        </w:rPr>
        <w:t xml:space="preserve"> la province centrale de la Zambie. Parmi leurs diverses pratiques culturelles </w:t>
      </w:r>
      <w:r>
        <w:rPr>
          <w:u w:val="none"/>
        </w:rPr>
        <w:t>qui comprennent</w:t>
      </w:r>
      <w:r w:rsidRPr="00973D27">
        <w:rPr>
          <w:u w:val="none"/>
        </w:rPr>
        <w:t xml:space="preserve"> des </w:t>
      </w:r>
      <w:r>
        <w:rPr>
          <w:u w:val="none"/>
        </w:rPr>
        <w:t>rassemblements sociaux</w:t>
      </w:r>
      <w:r w:rsidRPr="00973D27">
        <w:rPr>
          <w:u w:val="none"/>
        </w:rPr>
        <w:t>, des festivals, des célébrations et des rituels du cycle de vie, les proverbes</w:t>
      </w:r>
      <w:r>
        <w:rPr>
          <w:u w:val="none"/>
        </w:rPr>
        <w:t xml:space="preserve">, en particulier, </w:t>
      </w:r>
      <w:r w:rsidRPr="00973D27">
        <w:rPr>
          <w:u w:val="none"/>
        </w:rPr>
        <w:t xml:space="preserve">occupent une place centrale dans la transmission des valeurs de la communauté à la jeune génération. </w:t>
      </w:r>
      <w:r>
        <w:rPr>
          <w:u w:val="none"/>
        </w:rPr>
        <w:t>Reflets du patrimoine vivant</w:t>
      </w:r>
      <w:r w:rsidRPr="00973D27">
        <w:rPr>
          <w:u w:val="none"/>
        </w:rPr>
        <w:t xml:space="preserve"> et </w:t>
      </w:r>
      <w:r>
        <w:rPr>
          <w:u w:val="none"/>
        </w:rPr>
        <w:t xml:space="preserve">de </w:t>
      </w:r>
      <w:r w:rsidRPr="00973D27">
        <w:rPr>
          <w:u w:val="none"/>
        </w:rPr>
        <w:t xml:space="preserve">la sagesse </w:t>
      </w:r>
      <w:r>
        <w:rPr>
          <w:u w:val="none"/>
        </w:rPr>
        <w:t>du peuple</w:t>
      </w:r>
      <w:r w:rsidRPr="00973D27">
        <w:rPr>
          <w:u w:val="none"/>
        </w:rPr>
        <w:t>, les proverbes Lala sont utilisés dans différents</w:t>
      </w:r>
      <w:r>
        <w:rPr>
          <w:u w:val="none"/>
        </w:rPr>
        <w:t xml:space="preserve"> </w:t>
      </w:r>
      <w:r w:rsidRPr="00973D27">
        <w:rPr>
          <w:u w:val="none"/>
        </w:rPr>
        <w:t xml:space="preserve">contextes, </w:t>
      </w:r>
      <w:r>
        <w:rPr>
          <w:u w:val="none"/>
        </w:rPr>
        <w:t>qu’il s’agisse de</w:t>
      </w:r>
      <w:r w:rsidRPr="00973D27">
        <w:rPr>
          <w:u w:val="none"/>
        </w:rPr>
        <w:t xml:space="preserve"> la question du mariage </w:t>
      </w:r>
      <w:r>
        <w:rPr>
          <w:u w:val="none"/>
        </w:rPr>
        <w:t>ou du règlement des</w:t>
      </w:r>
      <w:r w:rsidRPr="00973D27">
        <w:rPr>
          <w:u w:val="none"/>
        </w:rPr>
        <w:t xml:space="preserve"> différends entre les membres de la communauté. Malgré le rôle essentiel qu'ils jouent, plusieurs facteurs menacent la viabilité des proverbes</w:t>
      </w:r>
      <w:r>
        <w:rPr>
          <w:u w:val="none"/>
        </w:rPr>
        <w:t>,</w:t>
      </w:r>
      <w:r w:rsidRPr="00973D27">
        <w:rPr>
          <w:u w:val="none"/>
        </w:rPr>
        <w:t xml:space="preserve"> qui </w:t>
      </w:r>
      <w:r>
        <w:rPr>
          <w:u w:val="none"/>
        </w:rPr>
        <w:t xml:space="preserve">disparaissent avec </w:t>
      </w:r>
      <w:r w:rsidRPr="00973D27">
        <w:rPr>
          <w:u w:val="none"/>
        </w:rPr>
        <w:t xml:space="preserve">leurs pratiques culturelles associées, </w:t>
      </w:r>
      <w:r>
        <w:rPr>
          <w:u w:val="none"/>
        </w:rPr>
        <w:t>ce qui affecte</w:t>
      </w:r>
      <w:r w:rsidRPr="00973D27">
        <w:rPr>
          <w:u w:val="none"/>
        </w:rPr>
        <w:t xml:space="preserve"> l'identité et le mode de vie communautaire. Le projet proposé vise à dresser un inventaire des proverbes de la communauté Lala</w:t>
      </w:r>
      <w:r>
        <w:rPr>
          <w:u w:val="none"/>
        </w:rPr>
        <w:t>,</w:t>
      </w:r>
      <w:r w:rsidRPr="00973D27">
        <w:rPr>
          <w:u w:val="none"/>
        </w:rPr>
        <w:t xml:space="preserve"> en vue de sauvegarde</w:t>
      </w:r>
      <w:r>
        <w:rPr>
          <w:u w:val="none"/>
        </w:rPr>
        <w:t>r</w:t>
      </w:r>
      <w:r w:rsidRPr="00973D27">
        <w:rPr>
          <w:u w:val="none"/>
        </w:rPr>
        <w:t xml:space="preserve"> </w:t>
      </w:r>
      <w:r>
        <w:rPr>
          <w:u w:val="none"/>
        </w:rPr>
        <w:t>l</w:t>
      </w:r>
      <w:r w:rsidRPr="00973D27">
        <w:rPr>
          <w:u w:val="none"/>
        </w:rPr>
        <w:t>es pratiques, les modes de transmission et les connaissances qui leur sont associés. Mis</w:t>
      </w:r>
      <w:r>
        <w:rPr>
          <w:u w:val="none"/>
        </w:rPr>
        <w:t>es</w:t>
      </w:r>
      <w:r w:rsidRPr="00973D27">
        <w:rPr>
          <w:u w:val="none"/>
        </w:rPr>
        <w:t xml:space="preserve"> en œuvre par le </w:t>
      </w:r>
      <w:r>
        <w:rPr>
          <w:u w:val="none"/>
        </w:rPr>
        <w:t>Département</w:t>
      </w:r>
      <w:r w:rsidRPr="00973D27">
        <w:rPr>
          <w:u w:val="none"/>
        </w:rPr>
        <w:t xml:space="preserve"> des Arts et de la Culture du Ministère du Tourisme et des Arts, les activités comprennent l'identification des dépositaires et des praticiens de</w:t>
      </w:r>
      <w:r>
        <w:rPr>
          <w:u w:val="none"/>
        </w:rPr>
        <w:t>s</w:t>
      </w:r>
      <w:r w:rsidRPr="00973D27">
        <w:rPr>
          <w:u w:val="none"/>
        </w:rPr>
        <w:t xml:space="preserve"> proverbes, la formation </w:t>
      </w:r>
      <w:r>
        <w:rPr>
          <w:u w:val="none"/>
        </w:rPr>
        <w:t>à la pratique de</w:t>
      </w:r>
      <w:r w:rsidRPr="00973D27">
        <w:rPr>
          <w:u w:val="none"/>
        </w:rPr>
        <w:t xml:space="preserve"> l'inventaire communautaire pour les communautés locales, le travail de terrain et le traitement et l'analyse des données recueillies.</w:t>
      </w:r>
      <w:r>
        <w:rPr>
          <w:u w:val="none"/>
        </w:rPr>
        <w:t xml:space="preserve"> </w:t>
      </w:r>
      <w:r w:rsidRPr="00744D3D">
        <w:rPr>
          <w:u w:val="none"/>
        </w:rPr>
        <w:t>Le projet prévoit également de diffuser ses résultats et de sensibiliser</w:t>
      </w:r>
      <w:r>
        <w:rPr>
          <w:u w:val="none"/>
        </w:rPr>
        <w:t xml:space="preserve"> </w:t>
      </w:r>
      <w:r w:rsidRPr="00744D3D">
        <w:rPr>
          <w:u w:val="none"/>
        </w:rPr>
        <w:t xml:space="preserve">les jeunes à l'importance de la sauvegarde de ce patrimoine vivant par le biais de clubs de culture dans les écoles et </w:t>
      </w:r>
      <w:r>
        <w:rPr>
          <w:u w:val="none"/>
        </w:rPr>
        <w:t>dans le cadre</w:t>
      </w:r>
      <w:r w:rsidRPr="00744D3D">
        <w:rPr>
          <w:u w:val="none"/>
        </w:rPr>
        <w:t xml:space="preserve"> d</w:t>
      </w:r>
      <w:r>
        <w:rPr>
          <w:u w:val="none"/>
        </w:rPr>
        <w:t>e l</w:t>
      </w:r>
      <w:r w:rsidRPr="00744D3D">
        <w:rPr>
          <w:u w:val="none"/>
        </w:rPr>
        <w:t>'éducation non formelle.</w:t>
      </w:r>
    </w:p>
    <w:p w:rsidR="00BB633D" w:rsidRDefault="00BB633D" w:rsidP="00BB633D">
      <w:pPr>
        <w:pStyle w:val="COMParaDecision"/>
        <w:numPr>
          <w:ilvl w:val="0"/>
          <w:numId w:val="23"/>
        </w:numPr>
        <w:ind w:left="567" w:hanging="567"/>
        <w:rPr>
          <w:u w:val="none"/>
        </w:rPr>
      </w:pPr>
      <w:r>
        <w:t>Prend note en outre</w:t>
      </w:r>
      <w:r>
        <w:rPr>
          <w:u w:val="none"/>
        </w:rPr>
        <w:t xml:space="preserve"> q</w:t>
      </w:r>
      <w:r w:rsidRPr="00744D3D">
        <w:rPr>
          <w:u w:val="none"/>
        </w:rPr>
        <w:t xml:space="preserve">ue cette </w:t>
      </w:r>
      <w:r>
        <w:rPr>
          <w:u w:val="none"/>
        </w:rPr>
        <w:t>assistance</w:t>
      </w:r>
      <w:r w:rsidRPr="00744D3D">
        <w:rPr>
          <w:u w:val="none"/>
        </w:rPr>
        <w:t xml:space="preserve"> vise à soutenir un projet réalisé au niveau local dans le but de dresser un inventaire conformément à l'</w:t>
      </w:r>
      <w:r>
        <w:rPr>
          <w:u w:val="none"/>
        </w:rPr>
        <w:t>article 20 (b) de la Convention et qu'e</w:t>
      </w:r>
      <w:r w:rsidRPr="00744D3D">
        <w:rPr>
          <w:u w:val="none"/>
        </w:rPr>
        <w:t>l</w:t>
      </w:r>
      <w:r>
        <w:rPr>
          <w:u w:val="none"/>
        </w:rPr>
        <w:t>le</w:t>
      </w:r>
      <w:r w:rsidRPr="00744D3D">
        <w:rPr>
          <w:u w:val="none"/>
        </w:rPr>
        <w:t xml:space="preserve"> prend la forme </w:t>
      </w:r>
      <w:r>
        <w:rPr>
          <w:u w:val="none"/>
        </w:rPr>
        <w:t>d’une donation accordée</w:t>
      </w:r>
      <w:r w:rsidRPr="00744D3D">
        <w:rPr>
          <w:u w:val="none"/>
        </w:rPr>
        <w:t xml:space="preserve"> </w:t>
      </w:r>
      <w:r>
        <w:rPr>
          <w:u w:val="none"/>
        </w:rPr>
        <w:t>en conformité</w:t>
      </w:r>
      <w:r w:rsidRPr="00744D3D">
        <w:rPr>
          <w:u w:val="none"/>
        </w:rPr>
        <w:t xml:space="preserve"> </w:t>
      </w:r>
      <w:r>
        <w:rPr>
          <w:u w:val="none"/>
        </w:rPr>
        <w:t xml:space="preserve">avec </w:t>
      </w:r>
      <w:r w:rsidRPr="00744D3D">
        <w:rPr>
          <w:u w:val="none"/>
        </w:rPr>
        <w:t>l'article 21</w:t>
      </w:r>
      <w:r>
        <w:rPr>
          <w:u w:val="none"/>
        </w:rPr>
        <w:t> </w:t>
      </w:r>
      <w:r w:rsidRPr="00744D3D">
        <w:rPr>
          <w:u w:val="none"/>
        </w:rPr>
        <w:t>(g) de la Convention</w:t>
      </w:r>
      <w:r>
        <w:rPr>
          <w:u w:val="none"/>
        </w:rPr>
        <w:t> ;</w:t>
      </w:r>
    </w:p>
    <w:p w:rsidR="00BB633D" w:rsidRDefault="00BB633D" w:rsidP="00BB633D">
      <w:pPr>
        <w:pStyle w:val="COMParaDecision"/>
        <w:numPr>
          <w:ilvl w:val="0"/>
          <w:numId w:val="23"/>
        </w:numPr>
        <w:ind w:left="567" w:hanging="567"/>
        <w:rPr>
          <w:u w:val="none"/>
        </w:rPr>
      </w:pPr>
      <w:r w:rsidRPr="00744D3D">
        <w:t>Prend note également</w:t>
      </w:r>
      <w:r>
        <w:rPr>
          <w:u w:val="none"/>
        </w:rPr>
        <w:t xml:space="preserve"> que la Zambie a demandé une allocation de 24 999,90 dollars des États-Unis </w:t>
      </w:r>
      <w:r w:rsidRPr="00E61E46">
        <w:rPr>
          <w:u w:val="none"/>
        </w:rPr>
        <w:t>au Fonds du patrimoine culturel immatériel</w:t>
      </w:r>
      <w:r>
        <w:rPr>
          <w:u w:val="none"/>
        </w:rPr>
        <w:t xml:space="preserve"> pour la mise en œuvre du projet ;</w:t>
      </w:r>
    </w:p>
    <w:p w:rsidR="00BB633D" w:rsidRDefault="00BB633D" w:rsidP="00BB633D">
      <w:pPr>
        <w:pStyle w:val="COMParaDecision"/>
        <w:numPr>
          <w:ilvl w:val="0"/>
          <w:numId w:val="23"/>
        </w:numPr>
        <w:ind w:left="567" w:hanging="567"/>
        <w:rPr>
          <w:u w:val="none"/>
        </w:rPr>
      </w:pPr>
      <w:r>
        <w:t>Décide</w:t>
      </w:r>
      <w:r>
        <w:rPr>
          <w:u w:val="none"/>
        </w:rPr>
        <w:t xml:space="preserve"> que, selon les informations fournies dans le dossier n° 01216, la demande répond comme suit aux critères d’octroi de l’assistance internationale énoncés aux paragraphes 10 et 12 des Directives opérationnelles :</w:t>
      </w:r>
    </w:p>
    <w:p w:rsidR="00BB633D" w:rsidRDefault="00BB633D" w:rsidP="00BB633D">
      <w:pPr>
        <w:pStyle w:val="COMParaDecision"/>
        <w:numPr>
          <w:ilvl w:val="0"/>
          <w:numId w:val="0"/>
        </w:numPr>
        <w:ind w:left="567"/>
        <w:rPr>
          <w:u w:val="none"/>
        </w:rPr>
      </w:pPr>
      <w:r>
        <w:rPr>
          <w:b/>
          <w:u w:val="none"/>
        </w:rPr>
        <w:lastRenderedPageBreak/>
        <w:t>Critère A.1 </w:t>
      </w:r>
      <w:r>
        <w:rPr>
          <w:u w:val="none"/>
        </w:rPr>
        <w:t xml:space="preserve">: </w:t>
      </w:r>
      <w:r w:rsidRPr="00E61E46">
        <w:rPr>
          <w:u w:val="none"/>
        </w:rPr>
        <w:t xml:space="preserve">Le projet </w:t>
      </w:r>
      <w:r>
        <w:rPr>
          <w:u w:val="none"/>
        </w:rPr>
        <w:t>est issu</w:t>
      </w:r>
      <w:r w:rsidRPr="00E61E46">
        <w:rPr>
          <w:u w:val="none"/>
        </w:rPr>
        <w:t xml:space="preserve"> d'une réunion de consultation avec le comité de développement des chefferies au cours de laquelle la nécessité de sauvegarder les proverbes de la communauté Lala a été soulignée. La demande assigne un rôle central aux membres de la communauté, </w:t>
      </w:r>
      <w:r>
        <w:rPr>
          <w:u w:val="none"/>
        </w:rPr>
        <w:t>aux dépositaires et aux</w:t>
      </w:r>
      <w:r w:rsidRPr="00E61E46">
        <w:rPr>
          <w:u w:val="none"/>
        </w:rPr>
        <w:t xml:space="preserve"> praticiens en tant que membres du comité de projet dans la planification, l'exécution et l'évaluation du projet</w:t>
      </w:r>
      <w:r>
        <w:rPr>
          <w:u w:val="none"/>
        </w:rPr>
        <w:t xml:space="preserve"> </w:t>
      </w:r>
      <w:r w:rsidRPr="00E61E46">
        <w:rPr>
          <w:u w:val="none"/>
        </w:rPr>
        <w:t>; l'obtention du consentement de la communauté est prévue comme une phase préliminaire du processus d'inventaire.</w:t>
      </w:r>
    </w:p>
    <w:p w:rsidR="00BB633D" w:rsidRPr="00E61E46" w:rsidRDefault="00BB633D" w:rsidP="00BB633D">
      <w:pPr>
        <w:pStyle w:val="COMParaDecision"/>
        <w:numPr>
          <w:ilvl w:val="0"/>
          <w:numId w:val="0"/>
        </w:numPr>
        <w:ind w:left="567"/>
        <w:rPr>
          <w:u w:val="none"/>
        </w:rPr>
      </w:pPr>
      <w:r w:rsidRPr="00E61E46">
        <w:rPr>
          <w:b/>
          <w:u w:val="none"/>
        </w:rPr>
        <w:t>Critère A.2</w:t>
      </w:r>
      <w:r>
        <w:rPr>
          <w:u w:val="none"/>
        </w:rPr>
        <w:t xml:space="preserve"> </w:t>
      </w:r>
      <w:r w:rsidRPr="00E61E46">
        <w:rPr>
          <w:u w:val="none"/>
        </w:rPr>
        <w:t>: Le projet de budget est ventilé de façon suffisamment détaillée pour démontrer que le montant d</w:t>
      </w:r>
      <w:r>
        <w:rPr>
          <w:u w:val="none"/>
        </w:rPr>
        <w:t>e l'aide demandée est approprié</w:t>
      </w:r>
      <w:r w:rsidRPr="00E61E46">
        <w:rPr>
          <w:u w:val="none"/>
        </w:rPr>
        <w:t xml:space="preserve"> </w:t>
      </w:r>
      <w:r>
        <w:rPr>
          <w:u w:val="none"/>
        </w:rPr>
        <w:t>aux</w:t>
      </w:r>
      <w:r w:rsidRPr="00E61E46">
        <w:rPr>
          <w:u w:val="none"/>
        </w:rPr>
        <w:t xml:space="preserve"> activités proposées.</w:t>
      </w:r>
    </w:p>
    <w:p w:rsidR="00BB633D" w:rsidRDefault="00BB633D" w:rsidP="00BB633D">
      <w:pPr>
        <w:pStyle w:val="COMParaDecision"/>
        <w:numPr>
          <w:ilvl w:val="0"/>
          <w:numId w:val="0"/>
        </w:numPr>
        <w:ind w:left="567"/>
        <w:rPr>
          <w:u w:val="none"/>
        </w:rPr>
      </w:pPr>
      <w:r w:rsidRPr="00E61E46">
        <w:rPr>
          <w:b/>
          <w:u w:val="none"/>
        </w:rPr>
        <w:t>Critère A.3</w:t>
      </w:r>
      <w:r>
        <w:rPr>
          <w:u w:val="none"/>
        </w:rPr>
        <w:t xml:space="preserve"> </w:t>
      </w:r>
      <w:r w:rsidRPr="00E61E46">
        <w:rPr>
          <w:u w:val="none"/>
        </w:rPr>
        <w:t xml:space="preserve">: La structure globale du projet, </w:t>
      </w:r>
      <w:r>
        <w:rPr>
          <w:u w:val="none"/>
        </w:rPr>
        <w:t>qui comprend une série de 10 </w:t>
      </w:r>
      <w:r w:rsidRPr="00E61E46">
        <w:rPr>
          <w:u w:val="none"/>
        </w:rPr>
        <w:t>activités, est soigneusement conçu</w:t>
      </w:r>
      <w:r>
        <w:rPr>
          <w:u w:val="none"/>
        </w:rPr>
        <w:t>e et susceptible</w:t>
      </w:r>
      <w:r w:rsidRPr="00E61E46">
        <w:rPr>
          <w:u w:val="none"/>
        </w:rPr>
        <w:t xml:space="preserve"> de produire les résultats escomptés</w:t>
      </w:r>
      <w:r>
        <w:rPr>
          <w:u w:val="none"/>
        </w:rPr>
        <w:t xml:space="preserve"> </w:t>
      </w:r>
      <w:r w:rsidRPr="00E61E46">
        <w:rPr>
          <w:u w:val="none"/>
        </w:rPr>
        <w:t>; les mesures nécessaires à l'élaboration d'un inventaire communautaire</w:t>
      </w:r>
      <w:r>
        <w:rPr>
          <w:u w:val="none"/>
        </w:rPr>
        <w:t xml:space="preserve"> </w:t>
      </w:r>
      <w:r w:rsidRPr="00E61E46">
        <w:rPr>
          <w:u w:val="none"/>
        </w:rPr>
        <w:t xml:space="preserve">semblent </w:t>
      </w:r>
      <w:r>
        <w:rPr>
          <w:u w:val="none"/>
        </w:rPr>
        <w:t>cependant</w:t>
      </w:r>
      <w:r w:rsidRPr="00E61E46">
        <w:rPr>
          <w:u w:val="none"/>
        </w:rPr>
        <w:t xml:space="preserve"> prévoir </w:t>
      </w:r>
      <w:r>
        <w:rPr>
          <w:u w:val="none"/>
        </w:rPr>
        <w:t>simultanément l</w:t>
      </w:r>
      <w:r w:rsidRPr="00E61E46">
        <w:rPr>
          <w:u w:val="none"/>
        </w:rPr>
        <w:t>e</w:t>
      </w:r>
      <w:r>
        <w:rPr>
          <w:u w:val="none"/>
        </w:rPr>
        <w:t xml:space="preserve"> travail de</w:t>
      </w:r>
      <w:r w:rsidRPr="00E61E46">
        <w:rPr>
          <w:u w:val="none"/>
        </w:rPr>
        <w:t xml:space="preserve"> terrain et l'analyse des données</w:t>
      </w:r>
      <w:r>
        <w:rPr>
          <w:u w:val="none"/>
        </w:rPr>
        <w:t>,</w:t>
      </w:r>
      <w:r w:rsidRPr="00E61E46">
        <w:rPr>
          <w:u w:val="none"/>
        </w:rPr>
        <w:t xml:space="preserve"> </w:t>
      </w:r>
      <w:r>
        <w:rPr>
          <w:u w:val="none"/>
        </w:rPr>
        <w:t>ce qui semble irréaliste</w:t>
      </w:r>
      <w:r w:rsidRPr="00E61E46">
        <w:rPr>
          <w:u w:val="none"/>
        </w:rPr>
        <w:t xml:space="preserve"> </w:t>
      </w:r>
      <w:r>
        <w:rPr>
          <w:u w:val="none"/>
        </w:rPr>
        <w:t xml:space="preserve">et rend contestable </w:t>
      </w:r>
      <w:r w:rsidRPr="00E61E46">
        <w:rPr>
          <w:u w:val="none"/>
        </w:rPr>
        <w:t xml:space="preserve">la durée totale du projet (neuf mois, </w:t>
      </w:r>
      <w:r>
        <w:rPr>
          <w:u w:val="none"/>
        </w:rPr>
        <w:t>préparation du rapport final incluse).</w:t>
      </w:r>
    </w:p>
    <w:p w:rsidR="00BB633D" w:rsidRPr="00073720" w:rsidRDefault="00BB633D" w:rsidP="00BB633D">
      <w:pPr>
        <w:pStyle w:val="COMParaDecision"/>
        <w:numPr>
          <w:ilvl w:val="0"/>
          <w:numId w:val="0"/>
        </w:numPr>
        <w:ind w:left="567"/>
        <w:rPr>
          <w:u w:val="none"/>
        </w:rPr>
      </w:pPr>
      <w:r w:rsidRPr="00073720">
        <w:rPr>
          <w:b/>
          <w:u w:val="none"/>
        </w:rPr>
        <w:t>Critère A.4</w:t>
      </w:r>
      <w:r>
        <w:rPr>
          <w:u w:val="none"/>
        </w:rPr>
        <w:t xml:space="preserve"> </w:t>
      </w:r>
      <w:r w:rsidRPr="00073720">
        <w:rPr>
          <w:u w:val="none"/>
        </w:rPr>
        <w:t xml:space="preserve">: En </w:t>
      </w:r>
      <w:r>
        <w:rPr>
          <w:u w:val="none"/>
        </w:rPr>
        <w:t>fa</w:t>
      </w:r>
      <w:r w:rsidRPr="00073720">
        <w:rPr>
          <w:u w:val="none"/>
        </w:rPr>
        <w:t>i</w:t>
      </w:r>
      <w:r>
        <w:rPr>
          <w:u w:val="none"/>
        </w:rPr>
        <w:t>s</w:t>
      </w:r>
      <w:r w:rsidRPr="00073720">
        <w:rPr>
          <w:u w:val="none"/>
        </w:rPr>
        <w:t xml:space="preserve">ant </w:t>
      </w:r>
      <w:r>
        <w:rPr>
          <w:u w:val="none"/>
        </w:rPr>
        <w:t xml:space="preserve">participer </w:t>
      </w:r>
      <w:r w:rsidRPr="00073720">
        <w:rPr>
          <w:u w:val="none"/>
        </w:rPr>
        <w:t xml:space="preserve">les jeunes </w:t>
      </w:r>
      <w:r>
        <w:rPr>
          <w:u w:val="none"/>
        </w:rPr>
        <w:t>par le biais notamment d</w:t>
      </w:r>
      <w:r w:rsidRPr="00073720">
        <w:rPr>
          <w:u w:val="none"/>
        </w:rPr>
        <w:t>es clubs culture</w:t>
      </w:r>
      <w:r>
        <w:rPr>
          <w:u w:val="none"/>
        </w:rPr>
        <w:t>ls</w:t>
      </w:r>
      <w:r w:rsidRPr="00073720">
        <w:rPr>
          <w:u w:val="none"/>
        </w:rPr>
        <w:t xml:space="preserve"> dans les écoles, </w:t>
      </w:r>
      <w:r>
        <w:rPr>
          <w:u w:val="none"/>
        </w:rPr>
        <w:t>de l’établissement royal</w:t>
      </w:r>
      <w:r w:rsidRPr="00073720">
        <w:rPr>
          <w:u w:val="none"/>
        </w:rPr>
        <w:t xml:space="preserve"> et </w:t>
      </w:r>
      <w:r>
        <w:rPr>
          <w:u w:val="none"/>
        </w:rPr>
        <w:t xml:space="preserve">des chefs de </w:t>
      </w:r>
      <w:r w:rsidRPr="00073720">
        <w:rPr>
          <w:u w:val="none"/>
        </w:rPr>
        <w:t xml:space="preserve">villages du comité de projet, la transmission du patrimoine oral inventorié pourrait </w:t>
      </w:r>
      <w:r>
        <w:rPr>
          <w:u w:val="none"/>
        </w:rPr>
        <w:t>se poursuivre</w:t>
      </w:r>
      <w:r w:rsidRPr="00073720">
        <w:rPr>
          <w:u w:val="none"/>
        </w:rPr>
        <w:t xml:space="preserve"> au-delà de la fin du projet</w:t>
      </w:r>
      <w:r>
        <w:rPr>
          <w:u w:val="none"/>
        </w:rPr>
        <w:t xml:space="preserve"> </w:t>
      </w:r>
      <w:r w:rsidRPr="00073720">
        <w:rPr>
          <w:u w:val="none"/>
        </w:rPr>
        <w:t xml:space="preserve">; puisque le projet est présenté comme </w:t>
      </w:r>
      <w:r>
        <w:rPr>
          <w:u w:val="none"/>
        </w:rPr>
        <w:t>la</w:t>
      </w:r>
      <w:r w:rsidRPr="00073720">
        <w:rPr>
          <w:u w:val="none"/>
        </w:rPr>
        <w:t xml:space="preserve"> première étape </w:t>
      </w:r>
      <w:r>
        <w:rPr>
          <w:u w:val="none"/>
        </w:rPr>
        <w:t>d’une</w:t>
      </w:r>
      <w:r w:rsidRPr="00073720">
        <w:rPr>
          <w:u w:val="none"/>
        </w:rPr>
        <w:t xml:space="preserve"> cartographie culturelle plus </w:t>
      </w:r>
      <w:r>
        <w:rPr>
          <w:u w:val="none"/>
        </w:rPr>
        <w:t>vast</w:t>
      </w:r>
      <w:r w:rsidRPr="00073720">
        <w:rPr>
          <w:u w:val="none"/>
        </w:rPr>
        <w:t>e, les participants formés seront en mesure de contribuer non seulement à la mise à jour de l'inventaire du projet, mais aussi à des initiatives similaires prévues dans le district, la province ou même le pays.</w:t>
      </w:r>
    </w:p>
    <w:p w:rsidR="00BB633D" w:rsidRDefault="00BB633D" w:rsidP="00BB633D">
      <w:pPr>
        <w:pStyle w:val="COMParaDecision"/>
        <w:numPr>
          <w:ilvl w:val="0"/>
          <w:numId w:val="0"/>
        </w:numPr>
        <w:ind w:left="567"/>
        <w:rPr>
          <w:u w:val="none"/>
        </w:rPr>
      </w:pPr>
      <w:r w:rsidRPr="00073720">
        <w:rPr>
          <w:b/>
          <w:u w:val="none"/>
        </w:rPr>
        <w:t>Critère A.5</w:t>
      </w:r>
      <w:r>
        <w:rPr>
          <w:b/>
          <w:u w:val="none"/>
        </w:rPr>
        <w:t xml:space="preserve"> </w:t>
      </w:r>
      <w:r w:rsidRPr="00073720">
        <w:rPr>
          <w:u w:val="none"/>
        </w:rPr>
        <w:t>: L'</w:t>
      </w:r>
      <w:r>
        <w:rPr>
          <w:u w:val="none"/>
        </w:rPr>
        <w:t>É</w:t>
      </w:r>
      <w:r w:rsidRPr="00073720">
        <w:rPr>
          <w:u w:val="none"/>
        </w:rPr>
        <w:t xml:space="preserve">tat </w:t>
      </w:r>
      <w:r>
        <w:rPr>
          <w:u w:val="none"/>
        </w:rPr>
        <w:t>demandeur</w:t>
      </w:r>
      <w:r w:rsidRPr="00073720">
        <w:rPr>
          <w:u w:val="none"/>
        </w:rPr>
        <w:t xml:space="preserve"> </w:t>
      </w:r>
      <w:r>
        <w:rPr>
          <w:u w:val="none"/>
        </w:rPr>
        <w:t>prendra à sa charge</w:t>
      </w:r>
      <w:r w:rsidRPr="00073720">
        <w:rPr>
          <w:u w:val="none"/>
        </w:rPr>
        <w:t xml:space="preserve"> </w:t>
      </w:r>
      <w:r>
        <w:rPr>
          <w:u w:val="none"/>
        </w:rPr>
        <w:t>cinq pourcents</w:t>
      </w:r>
      <w:r w:rsidRPr="00073720">
        <w:rPr>
          <w:u w:val="none"/>
        </w:rPr>
        <w:t xml:space="preserve"> du montant total du projet pour lequel l'assistance internationale est demandée.</w:t>
      </w:r>
    </w:p>
    <w:p w:rsidR="00BB633D" w:rsidRPr="008A4610" w:rsidRDefault="00BB633D" w:rsidP="00BB633D">
      <w:pPr>
        <w:pStyle w:val="COMParaDecision"/>
        <w:numPr>
          <w:ilvl w:val="0"/>
          <w:numId w:val="0"/>
        </w:numPr>
        <w:ind w:left="567"/>
        <w:rPr>
          <w:u w:val="none"/>
        </w:rPr>
      </w:pPr>
      <w:r w:rsidRPr="008A4610">
        <w:rPr>
          <w:b/>
          <w:u w:val="none"/>
        </w:rPr>
        <w:t>Critère A.6</w:t>
      </w:r>
      <w:r>
        <w:rPr>
          <w:u w:val="none"/>
        </w:rPr>
        <w:t xml:space="preserve"> </w:t>
      </w:r>
      <w:r w:rsidRPr="008A4610">
        <w:rPr>
          <w:u w:val="none"/>
        </w:rPr>
        <w:t xml:space="preserve">: Dans le but de sensibiliser les membres de la communauté Lala </w:t>
      </w:r>
      <w:r>
        <w:rPr>
          <w:u w:val="none"/>
        </w:rPr>
        <w:t>à</w:t>
      </w:r>
      <w:r w:rsidRPr="008A4610">
        <w:rPr>
          <w:u w:val="none"/>
        </w:rPr>
        <w:t xml:space="preserve"> l'importance de leurs proverbes et de les </w:t>
      </w:r>
      <w:r>
        <w:rPr>
          <w:u w:val="none"/>
        </w:rPr>
        <w:t>doter de</w:t>
      </w:r>
      <w:r w:rsidRPr="008A4610">
        <w:rPr>
          <w:u w:val="none"/>
        </w:rPr>
        <w:t xml:space="preserve"> </w:t>
      </w:r>
      <w:r>
        <w:rPr>
          <w:u w:val="none"/>
        </w:rPr>
        <w:t xml:space="preserve">véritables </w:t>
      </w:r>
      <w:r w:rsidRPr="008A4610">
        <w:rPr>
          <w:u w:val="none"/>
        </w:rPr>
        <w:t xml:space="preserve">compétences </w:t>
      </w:r>
      <w:r>
        <w:rPr>
          <w:u w:val="none"/>
        </w:rPr>
        <w:t>en matière</w:t>
      </w:r>
      <w:r w:rsidRPr="008A4610">
        <w:rPr>
          <w:u w:val="none"/>
        </w:rPr>
        <w:t xml:space="preserve"> d'inventaires, la demande démontre clairement que les activités proposées renforcer</w:t>
      </w:r>
      <w:r>
        <w:rPr>
          <w:u w:val="none"/>
        </w:rPr>
        <w:t>ont</w:t>
      </w:r>
      <w:r w:rsidRPr="008A4610">
        <w:rPr>
          <w:u w:val="none"/>
        </w:rPr>
        <w:t xml:space="preserve"> les capacités des groupes et </w:t>
      </w:r>
      <w:r>
        <w:rPr>
          <w:u w:val="none"/>
        </w:rPr>
        <w:t xml:space="preserve">des </w:t>
      </w:r>
      <w:r w:rsidRPr="008A4610">
        <w:rPr>
          <w:u w:val="none"/>
        </w:rPr>
        <w:t xml:space="preserve">individus concernés </w:t>
      </w:r>
      <w:r>
        <w:rPr>
          <w:u w:val="none"/>
        </w:rPr>
        <w:t>à identifier et définir</w:t>
      </w:r>
      <w:r w:rsidRPr="008A4610">
        <w:rPr>
          <w:u w:val="none"/>
        </w:rPr>
        <w:t xml:space="preserve"> le</w:t>
      </w:r>
      <w:r>
        <w:rPr>
          <w:u w:val="none"/>
        </w:rPr>
        <w:t>s</w:t>
      </w:r>
      <w:r w:rsidRPr="008A4610">
        <w:rPr>
          <w:u w:val="none"/>
        </w:rPr>
        <w:t xml:space="preserve"> éléments du patrimoine culturel</w:t>
      </w:r>
      <w:r>
        <w:rPr>
          <w:u w:val="none"/>
        </w:rPr>
        <w:t xml:space="preserve"> immatériel et d</w:t>
      </w:r>
      <w:r w:rsidRPr="008A4610">
        <w:rPr>
          <w:u w:val="none"/>
        </w:rPr>
        <w:t>es mesures de sauvegarde.</w:t>
      </w:r>
    </w:p>
    <w:p w:rsidR="00BB633D" w:rsidRPr="008A4610" w:rsidRDefault="00BB633D" w:rsidP="00BB633D">
      <w:pPr>
        <w:pStyle w:val="COMParaDecision"/>
        <w:numPr>
          <w:ilvl w:val="0"/>
          <w:numId w:val="0"/>
        </w:numPr>
        <w:ind w:left="567"/>
        <w:rPr>
          <w:u w:val="none"/>
        </w:rPr>
      </w:pPr>
      <w:r w:rsidRPr="008A4610">
        <w:rPr>
          <w:b/>
          <w:u w:val="none"/>
        </w:rPr>
        <w:t>Critère A.7</w:t>
      </w:r>
      <w:r>
        <w:rPr>
          <w:u w:val="none"/>
        </w:rPr>
        <w:t xml:space="preserve"> </w:t>
      </w:r>
      <w:r w:rsidRPr="008A4610">
        <w:rPr>
          <w:u w:val="none"/>
        </w:rPr>
        <w:t xml:space="preserve">: </w:t>
      </w:r>
      <w:r>
        <w:rPr>
          <w:u w:val="none"/>
        </w:rPr>
        <w:t>L</w:t>
      </w:r>
      <w:r w:rsidRPr="008A4610">
        <w:rPr>
          <w:u w:val="none"/>
        </w:rPr>
        <w:t>a Zambie n'a jamais mis en œuvre des activités financées par le Fonds du patrimoine culturel immatériel.</w:t>
      </w:r>
    </w:p>
    <w:p w:rsidR="00BB633D" w:rsidRDefault="00BB633D" w:rsidP="00BB633D">
      <w:pPr>
        <w:pStyle w:val="COMParaDecision"/>
        <w:numPr>
          <w:ilvl w:val="0"/>
          <w:numId w:val="0"/>
        </w:numPr>
        <w:ind w:left="567"/>
        <w:rPr>
          <w:u w:val="none"/>
        </w:rPr>
      </w:pPr>
      <w:r w:rsidRPr="008A4610">
        <w:rPr>
          <w:b/>
          <w:u w:val="none"/>
        </w:rPr>
        <w:t>Paragraphe 10(a)</w:t>
      </w:r>
      <w:r>
        <w:rPr>
          <w:u w:val="none"/>
        </w:rPr>
        <w:t xml:space="preserve"> </w:t>
      </w:r>
      <w:r w:rsidRPr="008A4610">
        <w:rPr>
          <w:u w:val="none"/>
        </w:rPr>
        <w:t xml:space="preserve">: Le projet est de portée locale et implique </w:t>
      </w:r>
      <w:r>
        <w:rPr>
          <w:u w:val="none"/>
        </w:rPr>
        <w:t>à la fois des</w:t>
      </w:r>
      <w:r w:rsidRPr="008A4610">
        <w:rPr>
          <w:u w:val="none"/>
        </w:rPr>
        <w:t xml:space="preserve"> partenaires nationaux </w:t>
      </w:r>
      <w:r>
        <w:rPr>
          <w:u w:val="none"/>
        </w:rPr>
        <w:t>comme l'Université de Zambie et d</w:t>
      </w:r>
      <w:r w:rsidRPr="008A4610">
        <w:rPr>
          <w:u w:val="none"/>
        </w:rPr>
        <w:t>es associations locales.</w:t>
      </w:r>
    </w:p>
    <w:p w:rsidR="00BB633D" w:rsidRDefault="00BB633D" w:rsidP="00BB633D">
      <w:pPr>
        <w:pStyle w:val="COMParaDecision"/>
        <w:numPr>
          <w:ilvl w:val="0"/>
          <w:numId w:val="0"/>
        </w:numPr>
        <w:ind w:left="567"/>
        <w:rPr>
          <w:u w:val="none"/>
        </w:rPr>
      </w:pPr>
      <w:r>
        <w:rPr>
          <w:b/>
          <w:u w:val="none"/>
        </w:rPr>
        <w:t>Paragraphe 10</w:t>
      </w:r>
      <w:r w:rsidRPr="008A4610">
        <w:rPr>
          <w:b/>
          <w:u w:val="none"/>
        </w:rPr>
        <w:t>(b)</w:t>
      </w:r>
      <w:r>
        <w:rPr>
          <w:b/>
          <w:u w:val="none"/>
        </w:rPr>
        <w:t xml:space="preserve"> </w:t>
      </w:r>
      <w:r w:rsidRPr="008A4610">
        <w:rPr>
          <w:u w:val="none"/>
        </w:rPr>
        <w:t>: La demande peut stimuler un soutien financier pour des activités similaires dans d'autres chefferies</w:t>
      </w:r>
      <w:r>
        <w:rPr>
          <w:u w:val="none"/>
        </w:rPr>
        <w:t>,</w:t>
      </w:r>
      <w:r w:rsidRPr="008A4610">
        <w:rPr>
          <w:u w:val="none"/>
        </w:rPr>
        <w:t xml:space="preserve"> </w:t>
      </w:r>
      <w:r>
        <w:rPr>
          <w:u w:val="none"/>
        </w:rPr>
        <w:t>car les dépositaires</w:t>
      </w:r>
      <w:r w:rsidRPr="008A4610">
        <w:rPr>
          <w:u w:val="none"/>
        </w:rPr>
        <w:t xml:space="preserve"> et praticiens formés seront motivés, suite </w:t>
      </w:r>
      <w:r>
        <w:rPr>
          <w:u w:val="none"/>
        </w:rPr>
        <w:t>a</w:t>
      </w:r>
      <w:r w:rsidRPr="008A4610">
        <w:rPr>
          <w:u w:val="none"/>
        </w:rPr>
        <w:t xml:space="preserve">u projet, </w:t>
      </w:r>
      <w:r>
        <w:rPr>
          <w:u w:val="none"/>
        </w:rPr>
        <w:t>à</w:t>
      </w:r>
      <w:r w:rsidRPr="008A4610">
        <w:rPr>
          <w:u w:val="none"/>
        </w:rPr>
        <w:t xml:space="preserve"> rechercher des ressources financières pour </w:t>
      </w:r>
      <w:r>
        <w:rPr>
          <w:u w:val="none"/>
        </w:rPr>
        <w:t xml:space="preserve">réaliser </w:t>
      </w:r>
      <w:r w:rsidRPr="008A4610">
        <w:rPr>
          <w:u w:val="none"/>
        </w:rPr>
        <w:t>le suivi du projet</w:t>
      </w:r>
      <w:r>
        <w:rPr>
          <w:u w:val="none"/>
        </w:rPr>
        <w:t xml:space="preserve"> </w:t>
      </w:r>
      <w:r w:rsidRPr="008A4610">
        <w:rPr>
          <w:u w:val="none"/>
        </w:rPr>
        <w:t xml:space="preserve">; </w:t>
      </w:r>
      <w:r>
        <w:rPr>
          <w:u w:val="none"/>
        </w:rPr>
        <w:t xml:space="preserve">les </w:t>
      </w:r>
      <w:r w:rsidRPr="008A4610">
        <w:rPr>
          <w:u w:val="none"/>
        </w:rPr>
        <w:t xml:space="preserve">documents publiés </w:t>
      </w:r>
      <w:r>
        <w:rPr>
          <w:u w:val="none"/>
        </w:rPr>
        <w:t>suite aux activités d'inventaire</w:t>
      </w:r>
      <w:r w:rsidRPr="008A4610">
        <w:rPr>
          <w:u w:val="none"/>
        </w:rPr>
        <w:t xml:space="preserve"> et de documentation seront utilisés pour encourager </w:t>
      </w:r>
      <w:r>
        <w:rPr>
          <w:u w:val="none"/>
        </w:rPr>
        <w:t>d</w:t>
      </w:r>
      <w:r w:rsidRPr="008A4610">
        <w:rPr>
          <w:u w:val="none"/>
        </w:rPr>
        <w:t xml:space="preserve">es contributions financières pour la recherche universitaire </w:t>
      </w:r>
      <w:r>
        <w:rPr>
          <w:u w:val="none"/>
        </w:rPr>
        <w:t>sur le</w:t>
      </w:r>
      <w:r w:rsidRPr="008A4610">
        <w:rPr>
          <w:u w:val="none"/>
        </w:rPr>
        <w:t xml:space="preserve"> patrimoine culturel immatériel.</w:t>
      </w:r>
    </w:p>
    <w:p w:rsidR="00BB633D" w:rsidRDefault="00BB633D" w:rsidP="00BB633D">
      <w:pPr>
        <w:pStyle w:val="COMParaDecision"/>
        <w:numPr>
          <w:ilvl w:val="0"/>
          <w:numId w:val="23"/>
        </w:numPr>
        <w:ind w:left="567" w:hanging="567"/>
        <w:rPr>
          <w:u w:val="none"/>
        </w:rPr>
      </w:pPr>
      <w:r>
        <w:t>Décide d’approuver</w:t>
      </w:r>
      <w:r>
        <w:rPr>
          <w:u w:val="none"/>
        </w:rPr>
        <w:t xml:space="preserve"> l’assistance internationale demandée par la Zambie pour un projet intitulé « </w:t>
      </w:r>
      <w:r w:rsidRPr="006419A9">
        <w:rPr>
          <w:b/>
          <w:szCs w:val="20"/>
          <w:u w:val="none"/>
        </w:rPr>
        <w:t xml:space="preserve">Inventaire des proverbes de la communauté Lala du district de </w:t>
      </w:r>
      <w:proofErr w:type="spellStart"/>
      <w:r w:rsidRPr="006419A9">
        <w:rPr>
          <w:b/>
          <w:szCs w:val="20"/>
          <w:u w:val="none"/>
        </w:rPr>
        <w:t>Luano</w:t>
      </w:r>
      <w:proofErr w:type="spellEnd"/>
      <w:r w:rsidRPr="006419A9">
        <w:rPr>
          <w:b/>
          <w:szCs w:val="20"/>
          <w:u w:val="none"/>
        </w:rPr>
        <w:t xml:space="preserve"> en Zambie</w:t>
      </w:r>
      <w:r>
        <w:rPr>
          <w:u w:val="none"/>
        </w:rPr>
        <w:t xml:space="preserve"> » et d’accorder à cette fin un montant de 24 999,90 dollars des États-Unis ;</w:t>
      </w:r>
      <w:r w:rsidRPr="006419A9">
        <w:rPr>
          <w:u w:val="none"/>
        </w:rPr>
        <w:t xml:space="preserve"> </w:t>
      </w:r>
    </w:p>
    <w:p w:rsidR="00BB633D" w:rsidRPr="006419A9" w:rsidRDefault="00BB633D" w:rsidP="00BB633D">
      <w:pPr>
        <w:pStyle w:val="COMParaDecision"/>
        <w:numPr>
          <w:ilvl w:val="0"/>
          <w:numId w:val="23"/>
        </w:numPr>
        <w:ind w:left="567" w:hanging="567"/>
        <w:rPr>
          <w:u w:val="none"/>
        </w:rPr>
      </w:pPr>
      <w:r>
        <w:t>Demande</w:t>
      </w:r>
      <w:r w:rsidRPr="006419A9">
        <w:rPr>
          <w:u w:val="none"/>
        </w:rPr>
        <w:t xml:space="preserve"> au Secrétariat de </w:t>
      </w:r>
      <w:r>
        <w:rPr>
          <w:u w:val="none"/>
        </w:rPr>
        <w:t>se mettre d’accord</w:t>
      </w:r>
      <w:r w:rsidRPr="006419A9">
        <w:rPr>
          <w:u w:val="none"/>
        </w:rPr>
        <w:t xml:space="preserve"> avec l'État Partie </w:t>
      </w:r>
      <w:r>
        <w:rPr>
          <w:u w:val="none"/>
        </w:rPr>
        <w:t>demandeur</w:t>
      </w:r>
      <w:r w:rsidRPr="006419A9">
        <w:rPr>
          <w:u w:val="none"/>
        </w:rPr>
        <w:t xml:space="preserve"> sur les </w:t>
      </w:r>
      <w:r>
        <w:rPr>
          <w:u w:val="none"/>
        </w:rPr>
        <w:t>modalités</w:t>
      </w:r>
      <w:r w:rsidRPr="006419A9">
        <w:rPr>
          <w:u w:val="none"/>
        </w:rPr>
        <w:t xml:space="preserve"> techniques de l'assistance, en accordant une attention particulière au budget détaillé et </w:t>
      </w:r>
      <w:r>
        <w:rPr>
          <w:u w:val="none"/>
        </w:rPr>
        <w:t>au</w:t>
      </w:r>
      <w:r w:rsidRPr="006419A9">
        <w:rPr>
          <w:u w:val="none"/>
        </w:rPr>
        <w:t xml:space="preserve"> calendrier des activités couvertes par le Fonds du patrimoine culturel immatériel, </w:t>
      </w:r>
      <w:r>
        <w:rPr>
          <w:u w:val="none"/>
        </w:rPr>
        <w:t>ainsi qu’</w:t>
      </w:r>
      <w:r w:rsidRPr="006419A9">
        <w:rPr>
          <w:u w:val="none"/>
        </w:rPr>
        <w:t xml:space="preserve">aux questions soulevées </w:t>
      </w:r>
      <w:r>
        <w:rPr>
          <w:u w:val="none"/>
        </w:rPr>
        <w:t>par l’</w:t>
      </w:r>
      <w:r w:rsidRPr="006419A9">
        <w:rPr>
          <w:u w:val="none"/>
        </w:rPr>
        <w:t>évaluation du critère A.3</w:t>
      </w:r>
      <w:r>
        <w:rPr>
          <w:u w:val="none"/>
        </w:rPr>
        <w:t xml:space="preserve"> </w:t>
      </w:r>
      <w:r w:rsidRPr="006419A9">
        <w:rPr>
          <w:u w:val="none"/>
        </w:rPr>
        <w:t>;</w:t>
      </w:r>
    </w:p>
    <w:p w:rsidR="00780D14" w:rsidRDefault="00BB633D" w:rsidP="00BB633D">
      <w:pPr>
        <w:pStyle w:val="COMParaDecision"/>
        <w:numPr>
          <w:ilvl w:val="0"/>
          <w:numId w:val="23"/>
        </w:numPr>
        <w:spacing w:before="240"/>
        <w:ind w:left="567" w:hanging="567"/>
        <w:rPr>
          <w:u w:val="none"/>
        </w:rPr>
      </w:pPr>
      <w:r w:rsidRPr="006419A9">
        <w:t>Invite</w:t>
      </w:r>
      <w:r>
        <w:rPr>
          <w:u w:val="none"/>
        </w:rPr>
        <w:t xml:space="preserve"> l’</w:t>
      </w:r>
      <w:r w:rsidRPr="006419A9">
        <w:rPr>
          <w:u w:val="none"/>
        </w:rPr>
        <w:t xml:space="preserve">État partie à utiliser le formulaire ICH-04-Report </w:t>
      </w:r>
      <w:r>
        <w:rPr>
          <w:u w:val="none"/>
        </w:rPr>
        <w:t>lorsqu’il fera rapport</w:t>
      </w:r>
      <w:r w:rsidRPr="006419A9">
        <w:rPr>
          <w:u w:val="none"/>
        </w:rPr>
        <w:t xml:space="preserve"> sur</w:t>
      </w:r>
      <w:r>
        <w:rPr>
          <w:u w:val="none"/>
        </w:rPr>
        <w:t xml:space="preserve"> l’utilisation de l’</w:t>
      </w:r>
      <w:r w:rsidRPr="006419A9">
        <w:rPr>
          <w:u w:val="none"/>
        </w:rPr>
        <w:t>aide fournie.</w:t>
      </w:r>
    </w:p>
    <w:p w:rsidR="00BB633D" w:rsidRPr="00D66A35" w:rsidRDefault="00BB633D" w:rsidP="00BB633D">
      <w:pPr>
        <w:pStyle w:val="COMTitleDecision"/>
        <w:ind w:left="0"/>
        <w:rPr>
          <w:rFonts w:eastAsia="SimSun"/>
          <w:lang w:val="fr-FR"/>
        </w:rPr>
      </w:pPr>
      <w:r w:rsidRPr="00D66A35">
        <w:rPr>
          <w:lang w:val="fr-FR"/>
        </w:rPr>
        <w:lastRenderedPageBreak/>
        <w:t>DÉCISION 1</w:t>
      </w:r>
      <w:r>
        <w:rPr>
          <w:lang w:val="fr-FR"/>
        </w:rPr>
        <w:t>1</w:t>
      </w:r>
      <w:r w:rsidRPr="00D66A35">
        <w:rPr>
          <w:lang w:val="fr-FR"/>
        </w:rPr>
        <w:t>.COM</w:t>
      </w:r>
      <w:r>
        <w:rPr>
          <w:lang w:val="fr-FR"/>
        </w:rPr>
        <w:t> 1.BUR </w:t>
      </w:r>
      <w:r w:rsidRPr="00AB5C1F">
        <w:rPr>
          <w:lang w:val="fr-FR"/>
        </w:rPr>
        <w:t>2</w:t>
      </w:r>
    </w:p>
    <w:p w:rsidR="00BB633D" w:rsidRPr="00D66A35" w:rsidRDefault="00BB633D" w:rsidP="00BB633D">
      <w:pPr>
        <w:pStyle w:val="COMPreambulaDecisions"/>
        <w:spacing w:after="100"/>
        <w:ind w:left="0"/>
        <w:rPr>
          <w:rFonts w:eastAsia="SimSun"/>
          <w:lang w:val="fr-FR"/>
        </w:rPr>
      </w:pPr>
      <w:r>
        <w:rPr>
          <w:lang w:val="fr-FR"/>
        </w:rPr>
        <w:t>Le Bureau,</w:t>
      </w:r>
    </w:p>
    <w:p w:rsidR="00BB633D" w:rsidRPr="00D66A35" w:rsidRDefault="00BB633D" w:rsidP="00BB633D">
      <w:pPr>
        <w:pStyle w:val="COMParaDecision"/>
        <w:spacing w:after="100"/>
        <w:ind w:left="567"/>
      </w:pPr>
      <w:r>
        <w:t>Ayant examiné</w:t>
      </w:r>
      <w:r>
        <w:rPr>
          <w:u w:val="none"/>
        </w:rPr>
        <w:t xml:space="preserve"> le</w:t>
      </w:r>
      <w:r w:rsidRPr="00D66A35">
        <w:rPr>
          <w:u w:val="none"/>
        </w:rPr>
        <w:t xml:space="preserve"> document </w:t>
      </w:r>
      <w:r>
        <w:rPr>
          <w:u w:val="none"/>
        </w:rPr>
        <w:t>ITH/16</w:t>
      </w:r>
      <w:r w:rsidRPr="00D66A35">
        <w:rPr>
          <w:u w:val="none"/>
        </w:rPr>
        <w:t>/</w:t>
      </w:r>
      <w:r>
        <w:rPr>
          <w:u w:val="none"/>
        </w:rPr>
        <w:t>11</w:t>
      </w:r>
      <w:r w:rsidRPr="00D66A35">
        <w:rPr>
          <w:u w:val="none"/>
        </w:rPr>
        <w:t>.COM</w:t>
      </w:r>
      <w:r>
        <w:rPr>
          <w:u w:val="none"/>
        </w:rPr>
        <w:t> 1.BUR</w:t>
      </w:r>
      <w:r w:rsidRPr="00D66A35">
        <w:rPr>
          <w:u w:val="none"/>
        </w:rPr>
        <w:t>/</w:t>
      </w:r>
      <w:r w:rsidRPr="00AB5C1F">
        <w:rPr>
          <w:u w:val="none"/>
        </w:rPr>
        <w:t>2,</w:t>
      </w:r>
    </w:p>
    <w:p w:rsidR="00BB633D" w:rsidRPr="004658E6" w:rsidRDefault="00BB633D" w:rsidP="00BB633D">
      <w:pPr>
        <w:pStyle w:val="COMParaDecision"/>
        <w:spacing w:after="100"/>
        <w:ind w:left="567"/>
      </w:pPr>
      <w:r>
        <w:t>Rappelant</w:t>
      </w:r>
      <w:r>
        <w:rPr>
          <w:u w:val="none"/>
        </w:rPr>
        <w:t xml:space="preserve"> les a</w:t>
      </w:r>
      <w:r w:rsidRPr="00D66A35">
        <w:rPr>
          <w:u w:val="none"/>
        </w:rPr>
        <w:t>rticles 7, 29</w:t>
      </w:r>
      <w:r>
        <w:rPr>
          <w:u w:val="none"/>
        </w:rPr>
        <w:t xml:space="preserve"> et 30 de la</w:t>
      </w:r>
      <w:r w:rsidRPr="00D66A35">
        <w:rPr>
          <w:u w:val="none"/>
        </w:rPr>
        <w:t xml:space="preserve"> Convention </w:t>
      </w:r>
      <w:r>
        <w:rPr>
          <w:u w:val="none"/>
        </w:rPr>
        <w:t>consacrés aux rap</w:t>
      </w:r>
      <w:r w:rsidRPr="00D66A35">
        <w:rPr>
          <w:u w:val="none"/>
        </w:rPr>
        <w:t>ports</w:t>
      </w:r>
      <w:r>
        <w:rPr>
          <w:u w:val="none"/>
        </w:rPr>
        <w:t xml:space="preserve"> à soumettre par les États parties,</w:t>
      </w:r>
    </w:p>
    <w:p w:rsidR="00BB633D" w:rsidRPr="00D66A35" w:rsidRDefault="00BB633D" w:rsidP="00BB633D">
      <w:pPr>
        <w:pStyle w:val="COMParaDecision"/>
        <w:spacing w:after="100"/>
        <w:ind w:left="567"/>
      </w:pPr>
      <w:r w:rsidRPr="004658E6">
        <w:t>Rappelant en outre</w:t>
      </w:r>
      <w:r>
        <w:rPr>
          <w:u w:val="none"/>
        </w:rPr>
        <w:t xml:space="preserve"> la décision </w:t>
      </w:r>
      <w:r w:rsidRPr="004658E6">
        <w:rPr>
          <w:u w:val="none"/>
        </w:rPr>
        <w:t>10.COM 6.a</w:t>
      </w:r>
      <w:r>
        <w:rPr>
          <w:u w:val="none"/>
        </w:rPr>
        <w:t>,</w:t>
      </w:r>
    </w:p>
    <w:p w:rsidR="00BB633D" w:rsidRPr="009D3549" w:rsidRDefault="00BB633D" w:rsidP="00BB633D">
      <w:pPr>
        <w:pStyle w:val="COMParaDecision"/>
        <w:spacing w:after="100"/>
        <w:ind w:left="567"/>
      </w:pPr>
      <w:r w:rsidRPr="00287DE2">
        <w:rPr>
          <w:rFonts w:eastAsia="Arial"/>
          <w:spacing w:val="-2"/>
          <w:u w:color="000000"/>
        </w:rPr>
        <w:t>Accueille avec satisfaction</w:t>
      </w:r>
      <w:r w:rsidRPr="00287DE2">
        <w:rPr>
          <w:rFonts w:eastAsia="Arial"/>
          <w:spacing w:val="-2"/>
          <w:u w:val="none"/>
        </w:rPr>
        <w:t xml:space="preserve"> le document </w:t>
      </w:r>
      <w:r>
        <w:rPr>
          <w:rFonts w:eastAsia="Arial"/>
          <w:spacing w:val="-2"/>
          <w:u w:val="none"/>
        </w:rPr>
        <w:t xml:space="preserve">révisé </w:t>
      </w:r>
      <w:r w:rsidRPr="00287DE2">
        <w:rPr>
          <w:rFonts w:eastAsia="Arial"/>
          <w:spacing w:val="-2"/>
          <w:u w:val="none"/>
        </w:rPr>
        <w:t>intitulé « Aperçu et résumé</w:t>
      </w:r>
      <w:r>
        <w:rPr>
          <w:rFonts w:eastAsia="Arial"/>
          <w:spacing w:val="-2"/>
          <w:u w:val="none"/>
        </w:rPr>
        <w:t>s</w:t>
      </w:r>
      <w:r w:rsidRPr="00287DE2">
        <w:rPr>
          <w:rFonts w:eastAsia="Arial"/>
          <w:spacing w:val="-2"/>
          <w:u w:val="none"/>
        </w:rPr>
        <w:t xml:space="preserve"> des rapports 2015 des États parties sur la mise </w:t>
      </w:r>
      <w:r>
        <w:rPr>
          <w:rFonts w:eastAsia="Arial"/>
          <w:spacing w:val="-2"/>
          <w:u w:val="none"/>
        </w:rPr>
        <w:t>en œuvre de la Convention et l’état actuel d’éléments inscrits sur</w:t>
      </w:r>
      <w:r w:rsidRPr="00287DE2">
        <w:rPr>
          <w:rFonts w:eastAsia="Arial"/>
          <w:spacing w:val="-2"/>
          <w:u w:val="none"/>
        </w:rPr>
        <w:t xml:space="preserve"> la Liste représentative », </w:t>
      </w:r>
      <w:r>
        <w:rPr>
          <w:rFonts w:eastAsia="Arial"/>
          <w:spacing w:val="-2"/>
          <w:u w:val="none"/>
        </w:rPr>
        <w:t xml:space="preserve">tel que </w:t>
      </w:r>
      <w:r w:rsidRPr="00287DE2">
        <w:rPr>
          <w:rFonts w:eastAsia="Arial"/>
          <w:spacing w:val="-2"/>
          <w:u w:val="none"/>
        </w:rPr>
        <w:t>présenté dans l</w:t>
      </w:r>
      <w:r>
        <w:rPr>
          <w:rFonts w:eastAsia="Arial"/>
          <w:spacing w:val="-2"/>
          <w:u w:val="none"/>
        </w:rPr>
        <w:t>’</w:t>
      </w:r>
      <w:r w:rsidRPr="00287DE2">
        <w:rPr>
          <w:rFonts w:eastAsia="Arial"/>
          <w:spacing w:val="-2"/>
          <w:u w:val="none"/>
        </w:rPr>
        <w:t>annexe du do</w:t>
      </w:r>
      <w:r>
        <w:rPr>
          <w:rFonts w:eastAsia="Arial"/>
          <w:spacing w:val="-2"/>
          <w:u w:val="none"/>
        </w:rPr>
        <w:t>cument ITH/16/11</w:t>
      </w:r>
      <w:r w:rsidRPr="00287DE2">
        <w:rPr>
          <w:rFonts w:eastAsia="Arial"/>
          <w:spacing w:val="-2"/>
          <w:u w:val="none"/>
        </w:rPr>
        <w:t>.COM</w:t>
      </w:r>
      <w:r>
        <w:rPr>
          <w:rFonts w:eastAsia="Arial"/>
          <w:spacing w:val="-2"/>
          <w:u w:val="none"/>
        </w:rPr>
        <w:t> 1.BUR/</w:t>
      </w:r>
      <w:r w:rsidRPr="00AB5C1F">
        <w:rPr>
          <w:rFonts w:eastAsia="Arial"/>
          <w:spacing w:val="-2"/>
          <w:u w:val="none"/>
        </w:rPr>
        <w:t>2</w:t>
      </w:r>
      <w:r>
        <w:rPr>
          <w:rFonts w:eastAsia="Arial"/>
          <w:spacing w:val="-2"/>
          <w:u w:val="none"/>
        </w:rPr>
        <w:t> </w:t>
      </w:r>
      <w:proofErr w:type="spellStart"/>
      <w:r>
        <w:rPr>
          <w:rFonts w:eastAsia="Arial"/>
          <w:spacing w:val="-2"/>
          <w:u w:val="none"/>
        </w:rPr>
        <w:t>Rev</w:t>
      </w:r>
      <w:proofErr w:type="spellEnd"/>
      <w:r w:rsidR="00155D13">
        <w:rPr>
          <w:rStyle w:val="FootnoteReference"/>
          <w:rFonts w:eastAsia="Arial"/>
          <w:spacing w:val="-2"/>
          <w:u w:val="none"/>
        </w:rPr>
        <w:footnoteReference w:id="1"/>
      </w:r>
      <w:r>
        <w:rPr>
          <w:rFonts w:eastAsia="Arial"/>
          <w:spacing w:val="-2"/>
          <w:u w:val="none"/>
        </w:rPr>
        <w:t>.</w:t>
      </w:r>
      <w:r w:rsidRPr="00287DE2">
        <w:rPr>
          <w:rFonts w:eastAsia="Arial"/>
          <w:spacing w:val="-2"/>
          <w:u w:val="none"/>
        </w:rPr>
        <w:t xml:space="preserve"> et </w:t>
      </w:r>
      <w:r w:rsidRPr="00397EA1">
        <w:rPr>
          <w:rFonts w:eastAsia="Arial"/>
          <w:spacing w:val="-2"/>
        </w:rPr>
        <w:t>décide</w:t>
      </w:r>
      <w:r>
        <w:rPr>
          <w:rFonts w:eastAsia="Arial"/>
          <w:spacing w:val="-2"/>
          <w:u w:val="none"/>
        </w:rPr>
        <w:t xml:space="preserve"> de le soumettre à l’Assemblée générale. </w:t>
      </w:r>
    </w:p>
    <w:p w:rsidR="009D3549" w:rsidRPr="00B71ED6" w:rsidRDefault="009D3549" w:rsidP="009D3549">
      <w:pPr>
        <w:pStyle w:val="Heading4"/>
        <w:numPr>
          <w:ilvl w:val="0"/>
          <w:numId w:val="0"/>
        </w:numPr>
        <w:jc w:val="both"/>
      </w:pPr>
      <w:r w:rsidRPr="00B71ED6">
        <w:rPr>
          <w:bCs/>
        </w:rPr>
        <w:t>DÉCISION</w:t>
      </w:r>
      <w:r>
        <w:rPr>
          <w:b w:val="0"/>
          <w:bCs/>
        </w:rPr>
        <w:t xml:space="preserve"> </w:t>
      </w:r>
      <w:r w:rsidRPr="00B71ED6">
        <w:t>11.COM 1.BUR 3</w:t>
      </w:r>
    </w:p>
    <w:p w:rsidR="009D3549" w:rsidRPr="006A24CC" w:rsidRDefault="009D3549" w:rsidP="009D3549">
      <w:pPr>
        <w:pStyle w:val="Par"/>
        <w:keepNext/>
        <w:spacing w:before="240"/>
        <w:ind w:left="567" w:hanging="567"/>
        <w:rPr>
          <w:rFonts w:cs="Arial"/>
          <w:szCs w:val="22"/>
        </w:rPr>
      </w:pPr>
      <w:r w:rsidRPr="006A24CC">
        <w:rPr>
          <w:rFonts w:cs="Arial"/>
          <w:szCs w:val="22"/>
        </w:rPr>
        <w:t>Le Bureau,</w:t>
      </w:r>
    </w:p>
    <w:p w:rsidR="009D3549" w:rsidRPr="00B71ED6" w:rsidRDefault="009D3549" w:rsidP="009D3549">
      <w:pPr>
        <w:pStyle w:val="b"/>
        <w:numPr>
          <w:ilvl w:val="0"/>
          <w:numId w:val="24"/>
        </w:numPr>
        <w:tabs>
          <w:tab w:val="clear" w:pos="1134"/>
        </w:tabs>
        <w:spacing w:before="120" w:after="0"/>
        <w:ind w:left="567" w:hanging="567"/>
        <w:rPr>
          <w:rFonts w:cs="Arial"/>
          <w:szCs w:val="22"/>
        </w:rPr>
      </w:pPr>
      <w:r w:rsidRPr="008E2D03">
        <w:rPr>
          <w:rFonts w:cs="Arial"/>
          <w:szCs w:val="22"/>
          <w:u w:val="single"/>
        </w:rPr>
        <w:t>Ayant examiné</w:t>
      </w:r>
      <w:r>
        <w:rPr>
          <w:rFonts w:cs="Arial"/>
          <w:szCs w:val="22"/>
        </w:rPr>
        <w:t xml:space="preserve"> le document </w:t>
      </w:r>
      <w:r w:rsidRPr="00B71ED6">
        <w:rPr>
          <w:rFonts w:cs="Arial"/>
          <w:szCs w:val="22"/>
        </w:rPr>
        <w:t>ITH/16/6.GA/5,</w:t>
      </w:r>
    </w:p>
    <w:p w:rsidR="009D3549" w:rsidRPr="00B71ED6" w:rsidRDefault="009D3549" w:rsidP="009D3549">
      <w:pPr>
        <w:pStyle w:val="b"/>
        <w:numPr>
          <w:ilvl w:val="0"/>
          <w:numId w:val="24"/>
        </w:numPr>
        <w:tabs>
          <w:tab w:val="clear" w:pos="1134"/>
        </w:tabs>
        <w:spacing w:before="120" w:after="0"/>
        <w:ind w:left="567" w:hanging="567"/>
        <w:rPr>
          <w:rFonts w:cs="Arial"/>
          <w:szCs w:val="22"/>
        </w:rPr>
      </w:pPr>
      <w:r w:rsidRPr="00702BD8">
        <w:rPr>
          <w:rFonts w:cs="Arial"/>
          <w:szCs w:val="22"/>
          <w:u w:val="single"/>
        </w:rPr>
        <w:t>Rappelant</w:t>
      </w:r>
      <w:r>
        <w:rPr>
          <w:rFonts w:cs="Arial"/>
          <w:szCs w:val="22"/>
        </w:rPr>
        <w:t xml:space="preserve"> l’article 30</w:t>
      </w:r>
      <w:r w:rsidRPr="00702BD8">
        <w:rPr>
          <w:rFonts w:cs="Arial"/>
          <w:szCs w:val="22"/>
        </w:rPr>
        <w:t xml:space="preserve"> de la Convention</w:t>
      </w:r>
      <w:r w:rsidRPr="00B71ED6">
        <w:rPr>
          <w:rFonts w:cs="Arial"/>
          <w:szCs w:val="22"/>
        </w:rPr>
        <w:t>,</w:t>
      </w:r>
    </w:p>
    <w:p w:rsidR="009D3549" w:rsidRPr="00B71ED6" w:rsidRDefault="009D3549" w:rsidP="009D3549">
      <w:pPr>
        <w:pStyle w:val="b"/>
        <w:numPr>
          <w:ilvl w:val="0"/>
          <w:numId w:val="24"/>
        </w:numPr>
        <w:tabs>
          <w:tab w:val="clear" w:pos="1134"/>
        </w:tabs>
        <w:spacing w:before="120" w:after="0"/>
        <w:ind w:left="567" w:hanging="567"/>
        <w:rPr>
          <w:rFonts w:cs="Arial"/>
          <w:szCs w:val="22"/>
        </w:rPr>
      </w:pPr>
      <w:r w:rsidRPr="00702BD8">
        <w:rPr>
          <w:rFonts w:cs="Arial"/>
          <w:szCs w:val="22"/>
          <w:u w:val="single"/>
        </w:rPr>
        <w:t>Rappelant également</w:t>
      </w:r>
      <w:r w:rsidRPr="00702BD8">
        <w:rPr>
          <w:rFonts w:cs="Arial"/>
          <w:szCs w:val="22"/>
        </w:rPr>
        <w:t xml:space="preserve"> </w:t>
      </w:r>
      <w:r>
        <w:rPr>
          <w:rFonts w:cs="Arial"/>
          <w:szCs w:val="22"/>
        </w:rPr>
        <w:t xml:space="preserve">la décision </w:t>
      </w:r>
      <w:r w:rsidRPr="00B71ED6">
        <w:rPr>
          <w:rFonts w:cs="Arial"/>
          <w:szCs w:val="22"/>
        </w:rPr>
        <w:t xml:space="preserve">10.COM 7.a, adoptée par le Comité intergouvernemental lors de sa dixième session à Windhoek, </w:t>
      </w:r>
      <w:r>
        <w:rPr>
          <w:rFonts w:cs="Arial"/>
          <w:szCs w:val="22"/>
        </w:rPr>
        <w:t>Namibie</w:t>
      </w:r>
      <w:r w:rsidRPr="00B71ED6">
        <w:rPr>
          <w:rFonts w:cs="Arial"/>
          <w:szCs w:val="22"/>
        </w:rPr>
        <w:t xml:space="preserve"> (</w:t>
      </w:r>
      <w:r>
        <w:rPr>
          <w:rFonts w:cs="Arial"/>
          <w:szCs w:val="22"/>
        </w:rPr>
        <w:t>novembre</w:t>
      </w:r>
      <w:r w:rsidRPr="00B71ED6">
        <w:rPr>
          <w:rFonts w:cs="Arial"/>
          <w:szCs w:val="22"/>
        </w:rPr>
        <w:t xml:space="preserve"> 2015),</w:t>
      </w:r>
    </w:p>
    <w:p w:rsidR="009D3549" w:rsidRPr="004C2EBA" w:rsidRDefault="009D3549" w:rsidP="009D3549">
      <w:pPr>
        <w:pStyle w:val="b"/>
        <w:numPr>
          <w:ilvl w:val="0"/>
          <w:numId w:val="24"/>
        </w:numPr>
        <w:tabs>
          <w:tab w:val="clear" w:pos="1134"/>
        </w:tabs>
        <w:spacing w:before="120" w:after="0"/>
        <w:ind w:left="567" w:hanging="567"/>
        <w:rPr>
          <w:rFonts w:cs="Arial"/>
          <w:szCs w:val="22"/>
        </w:rPr>
      </w:pPr>
      <w:r w:rsidRPr="008E2D03">
        <w:rPr>
          <w:rFonts w:cs="Arial"/>
          <w:szCs w:val="22"/>
          <w:u w:val="single"/>
        </w:rPr>
        <w:t>A</w:t>
      </w:r>
      <w:r>
        <w:rPr>
          <w:rFonts w:cs="Arial"/>
          <w:szCs w:val="22"/>
          <w:u w:val="single"/>
        </w:rPr>
        <w:t>pprouve le texte</w:t>
      </w:r>
      <w:r w:rsidRPr="008E2D03">
        <w:rPr>
          <w:rFonts w:cs="Arial"/>
          <w:szCs w:val="22"/>
        </w:rPr>
        <w:t xml:space="preserve"> </w:t>
      </w:r>
      <w:r>
        <w:rPr>
          <w:rFonts w:cs="Arial"/>
          <w:szCs w:val="22"/>
        </w:rPr>
        <w:t>du</w:t>
      </w:r>
      <w:r w:rsidRPr="008E2D03">
        <w:rPr>
          <w:rFonts w:cs="Arial"/>
          <w:szCs w:val="22"/>
        </w:rPr>
        <w:t xml:space="preserve"> rapport révisé sur les activités du Comi</w:t>
      </w:r>
      <w:r>
        <w:rPr>
          <w:rFonts w:cs="Arial"/>
          <w:szCs w:val="22"/>
        </w:rPr>
        <w:t xml:space="preserve">té entre </w:t>
      </w:r>
      <w:proofErr w:type="gramStart"/>
      <w:r>
        <w:rPr>
          <w:rFonts w:cs="Arial"/>
          <w:szCs w:val="22"/>
        </w:rPr>
        <w:t>les cinquième</w:t>
      </w:r>
      <w:proofErr w:type="gramEnd"/>
      <w:r>
        <w:rPr>
          <w:rFonts w:cs="Arial"/>
          <w:szCs w:val="22"/>
        </w:rPr>
        <w:t xml:space="preserve"> et sixième sessions de l’Assemblée générale inclus dans le document </w:t>
      </w:r>
      <w:r w:rsidRPr="004C2EBA">
        <w:rPr>
          <w:rFonts w:cs="Arial"/>
          <w:szCs w:val="22"/>
        </w:rPr>
        <w:t>ITH/16/6.GA/5.</w:t>
      </w:r>
    </w:p>
    <w:p w:rsidR="009D3549" w:rsidRPr="00397EA1" w:rsidRDefault="009D3549" w:rsidP="009D3549">
      <w:pPr>
        <w:pStyle w:val="COMParaDecision"/>
        <w:numPr>
          <w:ilvl w:val="0"/>
          <w:numId w:val="0"/>
        </w:numPr>
        <w:spacing w:after="100"/>
      </w:pPr>
    </w:p>
    <w:sectPr w:rsidR="009D3549" w:rsidRPr="00397EA1"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A3" w:rsidRDefault="00C460A3" w:rsidP="00655736">
      <w:r>
        <w:separator/>
      </w:r>
    </w:p>
    <w:p w:rsidR="00C460A3" w:rsidRDefault="00C460A3"/>
    <w:p w:rsidR="00C460A3" w:rsidRDefault="00C460A3" w:rsidP="002E58D4"/>
    <w:p w:rsidR="00C460A3" w:rsidRDefault="00C460A3" w:rsidP="002E58D4"/>
    <w:p w:rsidR="00C460A3" w:rsidRDefault="00C460A3" w:rsidP="002E58D4"/>
  </w:endnote>
  <w:end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A3" w:rsidRDefault="00C460A3" w:rsidP="00655736">
      <w:r>
        <w:separator/>
      </w:r>
    </w:p>
  </w:footnote>
  <w:foot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footnote>
  <w:footnote w:id="1">
    <w:p w:rsidR="00155D13" w:rsidRDefault="00155D13">
      <w:pPr>
        <w:pStyle w:val="FootnoteText"/>
      </w:pPr>
      <w:r>
        <w:rPr>
          <w:rStyle w:val="FootnoteReference"/>
        </w:rPr>
        <w:footnoteRef/>
      </w:r>
      <w:r>
        <w:t xml:space="preserve"> Le </w:t>
      </w:r>
      <w:r>
        <w:rPr>
          <w:color w:val="222222"/>
        </w:rPr>
        <w:t xml:space="preserve">document </w:t>
      </w:r>
      <w:r w:rsidRPr="00155D13">
        <w:rPr>
          <w:color w:val="222222"/>
        </w:rPr>
        <w:t>ITH/16/11.COM 1.BUR/2</w:t>
      </w:r>
      <w:r>
        <w:rPr>
          <w:color w:val="222222"/>
        </w:rPr>
        <w:t xml:space="preserve"> a été révisé suite </w:t>
      </w:r>
      <w:r w:rsidR="00497829">
        <w:rPr>
          <w:color w:val="222222"/>
        </w:rPr>
        <w:t>aux</w:t>
      </w:r>
      <w:r>
        <w:rPr>
          <w:color w:val="222222"/>
        </w:rPr>
        <w:t xml:space="preserve"> modifications de la Turquie approuvé</w:t>
      </w:r>
      <w:r w:rsidR="00497829">
        <w:rPr>
          <w:color w:val="222222"/>
        </w:rPr>
        <w:t>e</w:t>
      </w:r>
      <w:r>
        <w:rPr>
          <w:color w:val="222222"/>
        </w:rPr>
        <w:t>s par le Bureau</w:t>
      </w:r>
      <w:r w:rsidR="00497829">
        <w:rPr>
          <w:color w:val="2222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42" w:rsidRPr="002E58D4" w:rsidRDefault="00BB633D" w:rsidP="002E58D4">
    <w:pPr>
      <w:pStyle w:val="Header"/>
      <w:rPr>
        <w:rFonts w:ascii="Arial" w:hAnsi="Arial" w:cs="Arial"/>
        <w:lang w:val="en-US"/>
      </w:rPr>
    </w:pPr>
    <w:r>
      <w:rPr>
        <w:rFonts w:ascii="Arial" w:hAnsi="Arial" w:cs="Arial"/>
        <w:sz w:val="20"/>
        <w:szCs w:val="20"/>
      </w:rPr>
      <w:t>ITH/16/11</w:t>
    </w:r>
    <w:r w:rsidR="00880142" w:rsidRPr="00FF01F1">
      <w:rPr>
        <w:rFonts w:ascii="Arial" w:hAnsi="Arial" w:cs="Arial"/>
        <w:sz w:val="20"/>
        <w:szCs w:val="20"/>
      </w:rPr>
      <w:t>.COM 1.BUR/</w:t>
    </w:r>
    <w:r w:rsidR="00FF01F1" w:rsidRPr="00FF01F1">
      <w:rPr>
        <w:rFonts w:ascii="Arial" w:hAnsi="Arial" w:cs="Arial"/>
        <w:sz w:val="20"/>
        <w:szCs w:val="20"/>
      </w:rPr>
      <w:t>Décisions</w:t>
    </w:r>
    <w:r w:rsidR="009712A4" w:rsidRPr="00FF01F1">
      <w:rPr>
        <w:rFonts w:ascii="Arial" w:hAnsi="Arial" w:cs="Arial"/>
        <w:sz w:val="20"/>
        <w:szCs w:val="20"/>
      </w:rPr>
      <w:t xml:space="preserve"> </w:t>
    </w:r>
    <w:r w:rsidR="00880142" w:rsidRPr="00FF01F1">
      <w:rPr>
        <w:rFonts w:ascii="Arial" w:hAnsi="Arial" w:cs="Arial"/>
        <w:sz w:val="20"/>
        <w:szCs w:val="20"/>
      </w:rPr>
      <w:t xml:space="preserve">– page </w:t>
    </w:r>
    <w:r w:rsidR="00880142" w:rsidRPr="00EF563B">
      <w:rPr>
        <w:rStyle w:val="PageNumber"/>
        <w:rFonts w:ascii="Arial" w:hAnsi="Arial" w:cs="Arial"/>
        <w:sz w:val="20"/>
        <w:szCs w:val="20"/>
      </w:rPr>
      <w:fldChar w:fldCharType="begin"/>
    </w:r>
    <w:r w:rsidR="00880142" w:rsidRPr="00EF563B">
      <w:rPr>
        <w:rStyle w:val="PageNumber"/>
        <w:rFonts w:ascii="Arial" w:hAnsi="Arial" w:cs="Arial"/>
        <w:sz w:val="20"/>
        <w:szCs w:val="20"/>
        <w:lang w:val="en-US"/>
      </w:rPr>
      <w:instrText xml:space="preserve"> </w:instrText>
    </w:r>
    <w:r w:rsidR="00880142">
      <w:rPr>
        <w:rStyle w:val="PageNumber"/>
        <w:rFonts w:ascii="Arial" w:hAnsi="Arial" w:cs="Arial"/>
        <w:sz w:val="20"/>
        <w:szCs w:val="20"/>
        <w:lang w:val="en-US"/>
      </w:rPr>
      <w:instrText>PAGE</w:instrText>
    </w:r>
    <w:r w:rsidR="00880142" w:rsidRPr="00EF563B">
      <w:rPr>
        <w:rStyle w:val="PageNumber"/>
        <w:rFonts w:ascii="Arial" w:hAnsi="Arial" w:cs="Arial"/>
        <w:sz w:val="20"/>
        <w:szCs w:val="20"/>
        <w:lang w:val="en-US"/>
      </w:rPr>
      <w:instrText xml:space="preserve"> </w:instrText>
    </w:r>
    <w:r w:rsidR="00880142" w:rsidRPr="00EF563B">
      <w:rPr>
        <w:rStyle w:val="PageNumber"/>
        <w:rFonts w:ascii="Arial" w:hAnsi="Arial" w:cs="Arial"/>
        <w:sz w:val="20"/>
        <w:szCs w:val="20"/>
      </w:rPr>
      <w:fldChar w:fldCharType="separate"/>
    </w:r>
    <w:r w:rsidR="006A24CC">
      <w:rPr>
        <w:rStyle w:val="PageNumber"/>
        <w:rFonts w:ascii="Arial" w:hAnsi="Arial" w:cs="Arial"/>
        <w:noProof/>
        <w:sz w:val="20"/>
        <w:szCs w:val="20"/>
        <w:lang w:val="en-US"/>
      </w:rPr>
      <w:t>8</w:t>
    </w:r>
    <w:r w:rsidR="0088014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42" w:rsidRPr="00D40EFD" w:rsidRDefault="00BB633D" w:rsidP="00BC3420">
    <w:pPr>
      <w:pStyle w:val="Header"/>
      <w:jc w:val="right"/>
      <w:rPr>
        <w:rFonts w:ascii="Arial" w:hAnsi="Arial" w:cs="Arial"/>
      </w:rPr>
    </w:pPr>
    <w:r>
      <w:rPr>
        <w:rFonts w:ascii="Arial" w:hAnsi="Arial" w:cs="Arial"/>
        <w:sz w:val="20"/>
        <w:szCs w:val="20"/>
      </w:rPr>
      <w:t>ITH/16</w:t>
    </w:r>
    <w:r w:rsidR="00880142" w:rsidRPr="00D40EFD">
      <w:rPr>
        <w:rFonts w:ascii="Arial" w:hAnsi="Arial" w:cs="Arial"/>
        <w:sz w:val="20"/>
        <w:szCs w:val="20"/>
      </w:rPr>
      <w:t>/</w:t>
    </w:r>
    <w:r>
      <w:rPr>
        <w:rFonts w:ascii="Arial" w:hAnsi="Arial" w:cs="Arial"/>
        <w:sz w:val="20"/>
        <w:szCs w:val="20"/>
      </w:rPr>
      <w:t>11.</w:t>
    </w:r>
    <w:r w:rsidR="00FF01F1" w:rsidRPr="00D40EFD">
      <w:rPr>
        <w:rFonts w:ascii="Arial" w:hAnsi="Arial" w:cs="Arial"/>
        <w:sz w:val="20"/>
        <w:szCs w:val="20"/>
      </w:rPr>
      <w:t>COM 1.BUR/Décisions</w:t>
    </w:r>
    <w:r w:rsidR="009712A4" w:rsidRPr="00D40EFD">
      <w:rPr>
        <w:rFonts w:ascii="Arial" w:hAnsi="Arial" w:cs="Arial"/>
        <w:sz w:val="20"/>
        <w:szCs w:val="20"/>
      </w:rPr>
      <w:t xml:space="preserve"> </w:t>
    </w:r>
    <w:r w:rsidR="00880142" w:rsidRPr="00D40EFD">
      <w:rPr>
        <w:rFonts w:ascii="Arial" w:hAnsi="Arial" w:cs="Arial"/>
        <w:sz w:val="20"/>
        <w:szCs w:val="20"/>
      </w:rPr>
      <w:t xml:space="preserve">– page </w:t>
    </w:r>
    <w:r w:rsidR="00880142" w:rsidRPr="00D40EFD">
      <w:rPr>
        <w:rStyle w:val="PageNumber"/>
        <w:rFonts w:ascii="Arial" w:hAnsi="Arial" w:cs="Arial"/>
        <w:sz w:val="20"/>
        <w:szCs w:val="20"/>
      </w:rPr>
      <w:fldChar w:fldCharType="begin"/>
    </w:r>
    <w:r w:rsidR="00880142" w:rsidRPr="00D40EFD">
      <w:rPr>
        <w:rStyle w:val="PageNumber"/>
        <w:rFonts w:ascii="Arial" w:hAnsi="Arial" w:cs="Arial"/>
        <w:sz w:val="20"/>
        <w:szCs w:val="20"/>
      </w:rPr>
      <w:instrText xml:space="preserve"> PAGE </w:instrText>
    </w:r>
    <w:r w:rsidR="00880142" w:rsidRPr="00D40EFD">
      <w:rPr>
        <w:rStyle w:val="PageNumber"/>
        <w:rFonts w:ascii="Arial" w:hAnsi="Arial" w:cs="Arial"/>
        <w:sz w:val="20"/>
        <w:szCs w:val="20"/>
      </w:rPr>
      <w:fldChar w:fldCharType="separate"/>
    </w:r>
    <w:r w:rsidR="006A24CC">
      <w:rPr>
        <w:rStyle w:val="PageNumber"/>
        <w:rFonts w:ascii="Arial" w:hAnsi="Arial" w:cs="Arial"/>
        <w:noProof/>
        <w:sz w:val="20"/>
        <w:szCs w:val="20"/>
      </w:rPr>
      <w:t>7</w:t>
    </w:r>
    <w:r w:rsidR="00880142" w:rsidRPr="00D40EFD">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42" w:rsidRPr="008724E5" w:rsidRDefault="008F3CE1">
    <w:pPr>
      <w:pStyle w:val="Header"/>
    </w:pPr>
    <w:r>
      <w:rPr>
        <w:noProof/>
      </w:rPr>
      <w:drawing>
        <wp:anchor distT="0" distB="0" distL="114300" distR="114300" simplePos="0" relativeHeight="251657728" behindDoc="0" locked="0" layoutInCell="1" allowOverlap="1" wp14:anchorId="6A4022D7" wp14:editId="3985820D">
          <wp:simplePos x="0" y="0"/>
          <wp:positionH relativeFrom="column">
            <wp:posOffset>-499110</wp:posOffset>
          </wp:positionH>
          <wp:positionV relativeFrom="paragraph">
            <wp:posOffset>-208280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142" w:rsidRPr="00A91141" w:rsidRDefault="00BB633D" w:rsidP="00655736">
    <w:pPr>
      <w:pStyle w:val="Header"/>
      <w:spacing w:after="520"/>
      <w:jc w:val="right"/>
      <w:rPr>
        <w:rFonts w:ascii="Arial" w:hAnsi="Arial" w:cs="Arial"/>
        <w:b/>
        <w:sz w:val="44"/>
        <w:szCs w:val="44"/>
        <w:lang w:val="en-US"/>
      </w:rPr>
    </w:pPr>
    <w:r>
      <w:rPr>
        <w:rFonts w:ascii="Arial" w:hAnsi="Arial" w:cs="Arial"/>
        <w:b/>
        <w:sz w:val="44"/>
        <w:szCs w:val="44"/>
        <w:lang w:val="en-US"/>
      </w:rPr>
      <w:t>11</w:t>
    </w:r>
    <w:r w:rsidR="00880142" w:rsidRPr="00A91141">
      <w:rPr>
        <w:rFonts w:ascii="Arial" w:hAnsi="Arial" w:cs="Arial"/>
        <w:b/>
        <w:sz w:val="44"/>
        <w:szCs w:val="44"/>
        <w:lang w:val="en-US"/>
      </w:rPr>
      <w:t xml:space="preserve"> </w:t>
    </w:r>
    <w:r w:rsidR="00880142" w:rsidRPr="00AA1D1D">
      <w:rPr>
        <w:rFonts w:ascii="Arial" w:hAnsi="Arial" w:cs="Arial"/>
        <w:b/>
        <w:sz w:val="44"/>
        <w:szCs w:val="44"/>
        <w:lang w:val="en-GB"/>
      </w:rPr>
      <w:t>COM </w:t>
    </w:r>
    <w:r w:rsidR="00880142">
      <w:rPr>
        <w:rFonts w:ascii="Arial" w:hAnsi="Arial" w:cs="Arial"/>
        <w:b/>
        <w:sz w:val="44"/>
        <w:szCs w:val="44"/>
        <w:lang w:val="en-GB"/>
      </w:rPr>
      <w:t>1 </w:t>
    </w:r>
    <w:r w:rsidR="00880142" w:rsidRPr="00AA1D1D">
      <w:rPr>
        <w:rFonts w:ascii="Arial" w:hAnsi="Arial" w:cs="Arial"/>
        <w:b/>
        <w:sz w:val="44"/>
        <w:szCs w:val="44"/>
        <w:lang w:val="en-GB"/>
      </w:rPr>
      <w:t>BUR</w:t>
    </w:r>
  </w:p>
  <w:p w:rsidR="00880142" w:rsidRPr="00BB633D" w:rsidRDefault="00BB633D" w:rsidP="00655736">
    <w:pPr>
      <w:jc w:val="right"/>
      <w:rPr>
        <w:rFonts w:ascii="Arial" w:hAnsi="Arial" w:cs="Arial"/>
        <w:b/>
        <w:sz w:val="22"/>
        <w:szCs w:val="22"/>
        <w:lang w:val="en-US"/>
      </w:rPr>
    </w:pPr>
    <w:r w:rsidRPr="00BB633D">
      <w:rPr>
        <w:rFonts w:ascii="Arial" w:hAnsi="Arial" w:cs="Arial"/>
        <w:b/>
        <w:sz w:val="22"/>
        <w:szCs w:val="22"/>
        <w:lang w:val="en-US"/>
      </w:rPr>
      <w:t>ITH/16/11</w:t>
    </w:r>
    <w:r w:rsidR="00880142" w:rsidRPr="00BB633D">
      <w:rPr>
        <w:rFonts w:ascii="Arial" w:hAnsi="Arial" w:cs="Arial"/>
        <w:b/>
        <w:sz w:val="22"/>
        <w:szCs w:val="22"/>
        <w:lang w:val="en-US"/>
      </w:rPr>
      <w:t>.COM 1.BUR/</w:t>
    </w:r>
    <w:r w:rsidR="00FF01F1" w:rsidRPr="00497829">
      <w:rPr>
        <w:rFonts w:ascii="Arial" w:hAnsi="Arial" w:cs="Arial"/>
        <w:b/>
        <w:sz w:val="22"/>
        <w:szCs w:val="22"/>
      </w:rPr>
      <w:t>Décisions</w:t>
    </w:r>
  </w:p>
  <w:p w:rsidR="00880142" w:rsidRPr="00FF01F1" w:rsidRDefault="00880142" w:rsidP="00655736">
    <w:pPr>
      <w:jc w:val="right"/>
      <w:rPr>
        <w:rFonts w:ascii="Arial" w:hAnsi="Arial" w:cs="Arial"/>
        <w:b/>
        <w:sz w:val="22"/>
        <w:szCs w:val="22"/>
      </w:rPr>
    </w:pPr>
    <w:r w:rsidRPr="00FF01F1">
      <w:rPr>
        <w:rFonts w:ascii="Arial" w:hAnsi="Arial" w:cs="Arial"/>
        <w:b/>
        <w:sz w:val="22"/>
        <w:szCs w:val="22"/>
      </w:rPr>
      <w:t xml:space="preserve">Paris, le </w:t>
    </w:r>
    <w:r w:rsidR="00BB633D">
      <w:rPr>
        <w:rFonts w:ascii="Arial" w:hAnsi="Arial" w:cs="Arial"/>
        <w:b/>
        <w:sz w:val="22"/>
        <w:szCs w:val="22"/>
      </w:rPr>
      <w:t>26</w:t>
    </w:r>
    <w:r w:rsidR="00BB79A0">
      <w:rPr>
        <w:rFonts w:ascii="Arial" w:hAnsi="Arial" w:cs="Arial"/>
        <w:b/>
        <w:sz w:val="22"/>
        <w:szCs w:val="22"/>
      </w:rPr>
      <w:t xml:space="preserve"> </w:t>
    </w:r>
    <w:r w:rsidR="00BB633D">
      <w:rPr>
        <w:rFonts w:ascii="Arial" w:hAnsi="Arial" w:cs="Arial"/>
        <w:b/>
        <w:sz w:val="22"/>
        <w:szCs w:val="22"/>
      </w:rPr>
      <w:t>avril 2016</w:t>
    </w:r>
  </w:p>
  <w:p w:rsidR="00880142" w:rsidRPr="00FF01F1" w:rsidRDefault="00880142" w:rsidP="003E2A08">
    <w:pPr>
      <w:jc w:val="right"/>
      <w:rPr>
        <w:rFonts w:ascii="Arial" w:hAnsi="Arial" w:cs="Arial"/>
        <w:b/>
        <w:sz w:val="22"/>
        <w:szCs w:val="22"/>
      </w:rPr>
    </w:pPr>
    <w:r w:rsidRPr="00FF01F1">
      <w:rPr>
        <w:rFonts w:ascii="Arial" w:hAnsi="Arial" w:cs="Arial"/>
        <w:b/>
        <w:sz w:val="22"/>
        <w:szCs w:val="22"/>
      </w:rPr>
      <w:t>Original : anglais/français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55C"/>
    <w:multiLevelType w:val="hybridMultilevel"/>
    <w:tmpl w:val="3B3C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B62BB"/>
    <w:multiLevelType w:val="hybridMultilevel"/>
    <w:tmpl w:val="AF4A4A54"/>
    <w:lvl w:ilvl="0" w:tplc="10E0E66E">
      <w:start w:val="1"/>
      <w:numFmt w:val="decimal"/>
      <w:lvlText w:val="%1."/>
      <w:lvlJc w:val="left"/>
      <w:pPr>
        <w:ind w:left="1070"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551983"/>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0B5902D6"/>
    <w:multiLevelType w:val="hybridMultilevel"/>
    <w:tmpl w:val="40126DAC"/>
    <w:lvl w:ilvl="0" w:tplc="C02E1EB6">
      <w:start w:val="1"/>
      <w:numFmt w:val="decimal"/>
      <w:lvlText w:val="%1."/>
      <w:lvlJc w:val="left"/>
      <w:pPr>
        <w:ind w:left="928"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6BF2D02"/>
    <w:multiLevelType w:val="hybridMultilevel"/>
    <w:tmpl w:val="A17E05EC"/>
    <w:lvl w:ilvl="0" w:tplc="968AB60A">
      <w:start w:val="1"/>
      <w:numFmt w:val="bullet"/>
      <w:lvlText w:val=""/>
      <w:lvlJc w:val="left"/>
      <w:pPr>
        <w:ind w:left="927" w:hanging="360"/>
      </w:pPr>
      <w:rPr>
        <w:rFonts w:ascii="Symbol" w:hAnsi="Symbol" w:hint="default"/>
        <w:b w:val="0"/>
        <w:lang w:val="fr-FR"/>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A48E5304"/>
    <w:lvl w:ilvl="0" w:tplc="4B3A4790">
      <w:start w:val="1"/>
      <w:numFmt w:val="decimal"/>
      <w:pStyle w:val="COM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41360434"/>
    <w:lvl w:ilvl="0" w:tplc="B35A244C">
      <w:start w:val="1"/>
      <w:numFmt w:val="decimal"/>
      <w:pStyle w:val="COMParaDecision"/>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7A13562"/>
    <w:multiLevelType w:val="hybridMultilevel"/>
    <w:tmpl w:val="8D4E94E0"/>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676892"/>
    <w:multiLevelType w:val="hybridMultilevel"/>
    <w:tmpl w:val="D2C6A28A"/>
    <w:lvl w:ilvl="0" w:tplc="D1D0C9D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D8B77A0"/>
    <w:multiLevelType w:val="hybridMultilevel"/>
    <w:tmpl w:val="9AC4E7AA"/>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6260B9"/>
    <w:multiLevelType w:val="hybridMultilevel"/>
    <w:tmpl w:val="E85CBBD0"/>
    <w:lvl w:ilvl="0" w:tplc="42E600FC">
      <w:start w:val="1"/>
      <w:numFmt w:val="bullet"/>
      <w:lvlText w:val=""/>
      <w:lvlJc w:val="left"/>
      <w:pPr>
        <w:ind w:left="927" w:hanging="360"/>
      </w:pPr>
      <w:rPr>
        <w:rFonts w:ascii="Symbol" w:hAnsi="Symbol" w:hint="default"/>
        <w:b w:val="0"/>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8"/>
  </w:num>
  <w:num w:numId="2">
    <w:abstractNumId w:val="11"/>
  </w:num>
  <w:num w:numId="3">
    <w:abstractNumId w:val="5"/>
  </w:num>
  <w:num w:numId="4">
    <w:abstractNumId w:val="21"/>
  </w:num>
  <w:num w:numId="5">
    <w:abstractNumId w:val="20"/>
  </w:num>
  <w:num w:numId="6">
    <w:abstractNumId w:val="4"/>
  </w:num>
  <w:num w:numId="7">
    <w:abstractNumId w:val="6"/>
  </w:num>
  <w:num w:numId="8">
    <w:abstractNumId w:val="14"/>
  </w:num>
  <w:num w:numId="9">
    <w:abstractNumId w:val="10"/>
  </w:num>
  <w:num w:numId="10">
    <w:abstractNumId w:val="12"/>
  </w:num>
  <w:num w:numId="11">
    <w:abstractNumId w:val="9"/>
  </w:num>
  <w:num w:numId="12">
    <w:abstractNumId w:val="7"/>
  </w:num>
  <w:num w:numId="13">
    <w:abstractNumId w:val="22"/>
  </w:num>
  <w:num w:numId="14">
    <w:abstractNumId w:val="0"/>
  </w:num>
  <w:num w:numId="15">
    <w:abstractNumId w:val="16"/>
  </w:num>
  <w:num w:numId="16">
    <w:abstractNumId w:val="8"/>
  </w:num>
  <w:num w:numId="17">
    <w:abstractNumId w:val="19"/>
  </w:num>
  <w:num w:numId="18">
    <w:abstractNumId w:val="3"/>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lvlOverride w:ilvl="0">
      <w:startOverride w:val="1"/>
    </w:lvlOverride>
  </w:num>
  <w:num w:numId="22">
    <w:abstractNumId w:val="17"/>
  </w:num>
  <w:num w:numId="23">
    <w:abstractNumId w:val="15"/>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FC"/>
    <w:rsid w:val="00020BFC"/>
    <w:rsid w:val="00022428"/>
    <w:rsid w:val="000263BA"/>
    <w:rsid w:val="0003530D"/>
    <w:rsid w:val="00044AD2"/>
    <w:rsid w:val="0005176E"/>
    <w:rsid w:val="00053680"/>
    <w:rsid w:val="00063CE9"/>
    <w:rsid w:val="000670F8"/>
    <w:rsid w:val="00077AB7"/>
    <w:rsid w:val="00080E87"/>
    <w:rsid w:val="00081CD8"/>
    <w:rsid w:val="0008329C"/>
    <w:rsid w:val="000932C3"/>
    <w:rsid w:val="000A7F0E"/>
    <w:rsid w:val="000D1051"/>
    <w:rsid w:val="000E6CD7"/>
    <w:rsid w:val="000F3A3F"/>
    <w:rsid w:val="000F6086"/>
    <w:rsid w:val="00137F77"/>
    <w:rsid w:val="0014715D"/>
    <w:rsid w:val="00153845"/>
    <w:rsid w:val="00155D13"/>
    <w:rsid w:val="00164D56"/>
    <w:rsid w:val="00165170"/>
    <w:rsid w:val="00167B10"/>
    <w:rsid w:val="001772E0"/>
    <w:rsid w:val="0019264E"/>
    <w:rsid w:val="0019489C"/>
    <w:rsid w:val="00196C1B"/>
    <w:rsid w:val="001A766C"/>
    <w:rsid w:val="001B0F73"/>
    <w:rsid w:val="001B612C"/>
    <w:rsid w:val="001C157B"/>
    <w:rsid w:val="001C2B2E"/>
    <w:rsid w:val="001C459B"/>
    <w:rsid w:val="001C6DC4"/>
    <w:rsid w:val="001D2972"/>
    <w:rsid w:val="0020150F"/>
    <w:rsid w:val="002219DF"/>
    <w:rsid w:val="00222966"/>
    <w:rsid w:val="00222A2D"/>
    <w:rsid w:val="002407AF"/>
    <w:rsid w:val="00240F2C"/>
    <w:rsid w:val="00280D62"/>
    <w:rsid w:val="002A6C11"/>
    <w:rsid w:val="002A6F73"/>
    <w:rsid w:val="002C0D14"/>
    <w:rsid w:val="002C0D2D"/>
    <w:rsid w:val="002E3D25"/>
    <w:rsid w:val="002E58D4"/>
    <w:rsid w:val="002F242A"/>
    <w:rsid w:val="002F7FD7"/>
    <w:rsid w:val="0030706F"/>
    <w:rsid w:val="00322A06"/>
    <w:rsid w:val="00356CAA"/>
    <w:rsid w:val="00366F18"/>
    <w:rsid w:val="003845BE"/>
    <w:rsid w:val="00387719"/>
    <w:rsid w:val="003A175D"/>
    <w:rsid w:val="003A7CD2"/>
    <w:rsid w:val="003B5490"/>
    <w:rsid w:val="003C1678"/>
    <w:rsid w:val="003C78AF"/>
    <w:rsid w:val="003D069C"/>
    <w:rsid w:val="003E07D8"/>
    <w:rsid w:val="003E218C"/>
    <w:rsid w:val="003E2A08"/>
    <w:rsid w:val="003F113A"/>
    <w:rsid w:val="003F6CF1"/>
    <w:rsid w:val="004239C7"/>
    <w:rsid w:val="00430200"/>
    <w:rsid w:val="00440F9B"/>
    <w:rsid w:val="004421E5"/>
    <w:rsid w:val="00443880"/>
    <w:rsid w:val="00452284"/>
    <w:rsid w:val="00453472"/>
    <w:rsid w:val="004544F9"/>
    <w:rsid w:val="004624CA"/>
    <w:rsid w:val="004846FE"/>
    <w:rsid w:val="00486948"/>
    <w:rsid w:val="00486AC6"/>
    <w:rsid w:val="00491A7E"/>
    <w:rsid w:val="00491D70"/>
    <w:rsid w:val="0049705E"/>
    <w:rsid w:val="00497829"/>
    <w:rsid w:val="004A6925"/>
    <w:rsid w:val="004A6C72"/>
    <w:rsid w:val="004C0967"/>
    <w:rsid w:val="004C3F3E"/>
    <w:rsid w:val="004D7F87"/>
    <w:rsid w:val="004E63BF"/>
    <w:rsid w:val="005152DE"/>
    <w:rsid w:val="005236A7"/>
    <w:rsid w:val="00526B7B"/>
    <w:rsid w:val="005308CE"/>
    <w:rsid w:val="00550D94"/>
    <w:rsid w:val="0056060F"/>
    <w:rsid w:val="005620E2"/>
    <w:rsid w:val="005664F8"/>
    <w:rsid w:val="0057439C"/>
    <w:rsid w:val="00580F3E"/>
    <w:rsid w:val="00582435"/>
    <w:rsid w:val="005A1EF7"/>
    <w:rsid w:val="005B0127"/>
    <w:rsid w:val="005C094D"/>
    <w:rsid w:val="005C4B73"/>
    <w:rsid w:val="005D7581"/>
    <w:rsid w:val="005F0ECE"/>
    <w:rsid w:val="005F1DA1"/>
    <w:rsid w:val="00600D93"/>
    <w:rsid w:val="00615C3C"/>
    <w:rsid w:val="00624E06"/>
    <w:rsid w:val="00627C5C"/>
    <w:rsid w:val="006344DC"/>
    <w:rsid w:val="00635F5A"/>
    <w:rsid w:val="006476A3"/>
    <w:rsid w:val="00655736"/>
    <w:rsid w:val="006573F7"/>
    <w:rsid w:val="0066364F"/>
    <w:rsid w:val="00663B8D"/>
    <w:rsid w:val="00687F24"/>
    <w:rsid w:val="006923BD"/>
    <w:rsid w:val="00692AEF"/>
    <w:rsid w:val="00696C8D"/>
    <w:rsid w:val="006A24CC"/>
    <w:rsid w:val="006A2AC2"/>
    <w:rsid w:val="006A3617"/>
    <w:rsid w:val="006B5001"/>
    <w:rsid w:val="006D21D9"/>
    <w:rsid w:val="006D2536"/>
    <w:rsid w:val="006E46E4"/>
    <w:rsid w:val="006F4DA6"/>
    <w:rsid w:val="00707B1E"/>
    <w:rsid w:val="00717DBD"/>
    <w:rsid w:val="00761349"/>
    <w:rsid w:val="00762C24"/>
    <w:rsid w:val="00764CF9"/>
    <w:rsid w:val="00780D14"/>
    <w:rsid w:val="00784B8C"/>
    <w:rsid w:val="00802676"/>
    <w:rsid w:val="008055DE"/>
    <w:rsid w:val="008064F0"/>
    <w:rsid w:val="008237A0"/>
    <w:rsid w:val="00823A11"/>
    <w:rsid w:val="00824EF7"/>
    <w:rsid w:val="00844105"/>
    <w:rsid w:val="0085414A"/>
    <w:rsid w:val="00860DEB"/>
    <w:rsid w:val="0086269D"/>
    <w:rsid w:val="00863302"/>
    <w:rsid w:val="008637F6"/>
    <w:rsid w:val="008712A2"/>
    <w:rsid w:val="00871C8F"/>
    <w:rsid w:val="008724E5"/>
    <w:rsid w:val="0087756E"/>
    <w:rsid w:val="00880142"/>
    <w:rsid w:val="00884A9D"/>
    <w:rsid w:val="008A4E1E"/>
    <w:rsid w:val="008C09BF"/>
    <w:rsid w:val="008C296C"/>
    <w:rsid w:val="008D2FD1"/>
    <w:rsid w:val="008D3134"/>
    <w:rsid w:val="008D4305"/>
    <w:rsid w:val="008E5043"/>
    <w:rsid w:val="008F3CE1"/>
    <w:rsid w:val="00913D86"/>
    <w:rsid w:val="009163A7"/>
    <w:rsid w:val="00922E3E"/>
    <w:rsid w:val="00933C6B"/>
    <w:rsid w:val="00950F68"/>
    <w:rsid w:val="009523C1"/>
    <w:rsid w:val="0095371E"/>
    <w:rsid w:val="00962119"/>
    <w:rsid w:val="009712A4"/>
    <w:rsid w:val="00974249"/>
    <w:rsid w:val="009A0697"/>
    <w:rsid w:val="009A18CD"/>
    <w:rsid w:val="009B4755"/>
    <w:rsid w:val="009D3549"/>
    <w:rsid w:val="009E1B50"/>
    <w:rsid w:val="009F17B5"/>
    <w:rsid w:val="00A078D6"/>
    <w:rsid w:val="00A12558"/>
    <w:rsid w:val="00A13903"/>
    <w:rsid w:val="00A32E09"/>
    <w:rsid w:val="00A34ED5"/>
    <w:rsid w:val="00A443A6"/>
    <w:rsid w:val="00A45DBF"/>
    <w:rsid w:val="00A600BA"/>
    <w:rsid w:val="00A61C6E"/>
    <w:rsid w:val="00A755A2"/>
    <w:rsid w:val="00A8458C"/>
    <w:rsid w:val="00A903CF"/>
    <w:rsid w:val="00A90761"/>
    <w:rsid w:val="00A91141"/>
    <w:rsid w:val="00A93AE4"/>
    <w:rsid w:val="00A976DC"/>
    <w:rsid w:val="00AA6E05"/>
    <w:rsid w:val="00AA7D32"/>
    <w:rsid w:val="00AB2C36"/>
    <w:rsid w:val="00AB537D"/>
    <w:rsid w:val="00AC230B"/>
    <w:rsid w:val="00AD1A86"/>
    <w:rsid w:val="00AE103E"/>
    <w:rsid w:val="00AE6A61"/>
    <w:rsid w:val="00AF0A07"/>
    <w:rsid w:val="00AF5AE5"/>
    <w:rsid w:val="00AF625E"/>
    <w:rsid w:val="00AF721B"/>
    <w:rsid w:val="00B03E71"/>
    <w:rsid w:val="00B152B1"/>
    <w:rsid w:val="00B216FE"/>
    <w:rsid w:val="00B2299B"/>
    <w:rsid w:val="00B43004"/>
    <w:rsid w:val="00B43974"/>
    <w:rsid w:val="00B653B0"/>
    <w:rsid w:val="00B71C2E"/>
    <w:rsid w:val="00B80A05"/>
    <w:rsid w:val="00B90701"/>
    <w:rsid w:val="00BB633D"/>
    <w:rsid w:val="00BB79A0"/>
    <w:rsid w:val="00BC0335"/>
    <w:rsid w:val="00BC3420"/>
    <w:rsid w:val="00BD52C9"/>
    <w:rsid w:val="00BE6354"/>
    <w:rsid w:val="00C10211"/>
    <w:rsid w:val="00C15249"/>
    <w:rsid w:val="00C22C21"/>
    <w:rsid w:val="00C279FB"/>
    <w:rsid w:val="00C358C4"/>
    <w:rsid w:val="00C377F5"/>
    <w:rsid w:val="00C460A3"/>
    <w:rsid w:val="00C51625"/>
    <w:rsid w:val="00C57AA0"/>
    <w:rsid w:val="00C70EA7"/>
    <w:rsid w:val="00C748CE"/>
    <w:rsid w:val="00C7516E"/>
    <w:rsid w:val="00C77FB5"/>
    <w:rsid w:val="00C802B0"/>
    <w:rsid w:val="00C96DD2"/>
    <w:rsid w:val="00CB4FB0"/>
    <w:rsid w:val="00CB66E1"/>
    <w:rsid w:val="00CC69D3"/>
    <w:rsid w:val="00D24877"/>
    <w:rsid w:val="00D40EFD"/>
    <w:rsid w:val="00D45AF2"/>
    <w:rsid w:val="00D6334C"/>
    <w:rsid w:val="00D75D42"/>
    <w:rsid w:val="00D94C2F"/>
    <w:rsid w:val="00DA36ED"/>
    <w:rsid w:val="00DB4A84"/>
    <w:rsid w:val="00DB7718"/>
    <w:rsid w:val="00DC7FFC"/>
    <w:rsid w:val="00DD2024"/>
    <w:rsid w:val="00DE34F1"/>
    <w:rsid w:val="00DF2185"/>
    <w:rsid w:val="00DF4942"/>
    <w:rsid w:val="00E114B7"/>
    <w:rsid w:val="00E11759"/>
    <w:rsid w:val="00E22288"/>
    <w:rsid w:val="00E32407"/>
    <w:rsid w:val="00E37836"/>
    <w:rsid w:val="00E531B4"/>
    <w:rsid w:val="00E627B1"/>
    <w:rsid w:val="00E62B4C"/>
    <w:rsid w:val="00E80CE1"/>
    <w:rsid w:val="00E81FA1"/>
    <w:rsid w:val="00E84C78"/>
    <w:rsid w:val="00E9376C"/>
    <w:rsid w:val="00ED7659"/>
    <w:rsid w:val="00F02EA8"/>
    <w:rsid w:val="00F06974"/>
    <w:rsid w:val="00F134B7"/>
    <w:rsid w:val="00F26FD6"/>
    <w:rsid w:val="00F36C16"/>
    <w:rsid w:val="00F576CB"/>
    <w:rsid w:val="00F73752"/>
    <w:rsid w:val="00FC2940"/>
    <w:rsid w:val="00FC4715"/>
    <w:rsid w:val="00FD1226"/>
    <w:rsid w:val="00FE5D46"/>
    <w:rsid w:val="00FF0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EC961E60-5712-4536-9583-565ABD23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72587">
      <w:bodyDiv w:val="1"/>
      <w:marLeft w:val="0"/>
      <w:marRight w:val="0"/>
      <w:marTop w:val="0"/>
      <w:marBottom w:val="0"/>
      <w:divBdr>
        <w:top w:val="none" w:sz="0" w:space="0" w:color="auto"/>
        <w:left w:val="none" w:sz="0" w:space="0" w:color="auto"/>
        <w:bottom w:val="none" w:sz="0" w:space="0" w:color="auto"/>
        <w:right w:val="none" w:sz="0" w:space="0" w:color="auto"/>
      </w:divBdr>
    </w:div>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5482981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D8FD-762D-433D-9B1C-1D23EFE9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74</TotalTime>
  <Pages>8</Pages>
  <Words>3871</Words>
  <Characters>21293</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varnet</dc:creator>
  <cp:lastModifiedBy>Delsol, Christine</cp:lastModifiedBy>
  <cp:revision>7</cp:revision>
  <cp:lastPrinted>2015-07-23T13:56:00Z</cp:lastPrinted>
  <dcterms:created xsi:type="dcterms:W3CDTF">2016-04-25T11:34:00Z</dcterms:created>
  <dcterms:modified xsi:type="dcterms:W3CDTF">2016-04-26T12:10:00Z</dcterms:modified>
</cp:coreProperties>
</file>