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F51BD" w14:textId="77777777" w:rsidR="00A0254B" w:rsidRPr="009C7F4B" w:rsidRDefault="00A0254B" w:rsidP="001E5F2C">
      <w:pPr>
        <w:spacing w:before="1080"/>
        <w:jc w:val="center"/>
        <w:rPr>
          <w:rFonts w:ascii="Arial" w:hAnsi="Arial" w:cs="Arial"/>
          <w:b/>
          <w:sz w:val="22"/>
          <w:szCs w:val="22"/>
        </w:rPr>
      </w:pPr>
      <w:r w:rsidRPr="009C7F4B">
        <w:rPr>
          <w:rFonts w:ascii="Arial" w:hAnsi="Arial"/>
          <w:b/>
          <w:sz w:val="22"/>
        </w:rPr>
        <w:t>CONVENTION POUR LA SAUVEGARDE DU</w:t>
      </w:r>
      <w:r w:rsidRPr="009C7F4B">
        <w:t xml:space="preserve"> </w:t>
      </w:r>
      <w:r w:rsidRPr="009C7F4B">
        <w:br/>
      </w:r>
      <w:r w:rsidRPr="009C7F4B">
        <w:rPr>
          <w:rFonts w:ascii="Arial" w:hAnsi="Arial"/>
          <w:b/>
          <w:sz w:val="22"/>
        </w:rPr>
        <w:t>PATRIMOINE CULTUREL IMMATÉRIEL</w:t>
      </w:r>
    </w:p>
    <w:p w14:paraId="7FFFC04F" w14:textId="77777777" w:rsidR="00985DAD" w:rsidRPr="009C7F4B" w:rsidRDefault="00985DAD" w:rsidP="00985DAD">
      <w:pPr>
        <w:spacing w:before="1200" w:after="120"/>
        <w:jc w:val="center"/>
        <w:rPr>
          <w:rFonts w:ascii="Arial" w:eastAsia="SimSun" w:hAnsi="Arial" w:cs="Arial"/>
          <w:b/>
          <w:sz w:val="22"/>
          <w:szCs w:val="22"/>
        </w:rPr>
      </w:pPr>
      <w:r w:rsidRPr="009C7F4B">
        <w:rPr>
          <w:rFonts w:ascii="Arial" w:eastAsia="SimSun" w:hAnsi="Arial" w:cs="Arial"/>
          <w:b/>
          <w:sz w:val="22"/>
          <w:szCs w:val="22"/>
        </w:rPr>
        <w:t>COMITÉ INTERGOUVERNEMENTAL DE SAUVEGARDE</w:t>
      </w:r>
      <w:r w:rsidRPr="009C7F4B">
        <w:rPr>
          <w:rFonts w:ascii="Arial" w:eastAsia="SimSun" w:hAnsi="Arial" w:cs="Arial"/>
          <w:b/>
          <w:sz w:val="22"/>
          <w:szCs w:val="22"/>
        </w:rPr>
        <w:br/>
        <w:t>DU PATRIMOINE CULTUREL IMMATÉRIEL</w:t>
      </w:r>
    </w:p>
    <w:p w14:paraId="32D1D5BD" w14:textId="77777777" w:rsidR="00A0254B" w:rsidRPr="009C7F4B" w:rsidRDefault="00985DAD" w:rsidP="00BF6D09">
      <w:pPr>
        <w:spacing w:before="840"/>
        <w:jc w:val="center"/>
        <w:rPr>
          <w:rFonts w:ascii="Arial" w:hAnsi="Arial" w:cs="Arial"/>
          <w:b/>
          <w:sz w:val="22"/>
          <w:szCs w:val="22"/>
        </w:rPr>
      </w:pPr>
      <w:r w:rsidRPr="009C7F4B">
        <w:rPr>
          <w:rFonts w:ascii="Arial" w:hAnsi="Arial"/>
          <w:b/>
          <w:sz w:val="22"/>
        </w:rPr>
        <w:t>Consultation électronique du Bureau</w:t>
      </w:r>
    </w:p>
    <w:p w14:paraId="37018422" w14:textId="77777777" w:rsidR="00A0254B" w:rsidRPr="009C7F4B" w:rsidRDefault="00A0254B" w:rsidP="00A0254B">
      <w:pPr>
        <w:jc w:val="center"/>
        <w:rPr>
          <w:rFonts w:ascii="Arial" w:hAnsi="Arial" w:cs="Arial"/>
          <w:b/>
          <w:sz w:val="22"/>
          <w:szCs w:val="22"/>
        </w:rPr>
      </w:pPr>
      <w:r w:rsidRPr="009C7F4B">
        <w:rPr>
          <w:rFonts w:ascii="Arial" w:hAnsi="Arial"/>
          <w:b/>
          <w:sz w:val="22"/>
        </w:rPr>
        <w:t> juin 2016</w:t>
      </w:r>
    </w:p>
    <w:p w14:paraId="5036E956" w14:textId="42130737" w:rsidR="001E5F2C" w:rsidRPr="009C7F4B" w:rsidRDefault="00B148B7" w:rsidP="00730B9B">
      <w:pPr>
        <w:pStyle w:val="Sansinterligne2"/>
        <w:spacing w:before="840"/>
        <w:jc w:val="center"/>
        <w:rPr>
          <w:rFonts w:ascii="Arial" w:hAnsi="Arial" w:cs="Arial"/>
          <w:b/>
          <w:sz w:val="22"/>
          <w:szCs w:val="22"/>
        </w:rPr>
      </w:pPr>
      <w:r w:rsidRPr="009C7F4B">
        <w:rPr>
          <w:rFonts w:ascii="Arial" w:hAnsi="Arial" w:cs="Arial"/>
          <w:b/>
          <w:sz w:val="22"/>
          <w:szCs w:val="22"/>
          <w:u w:val="single"/>
        </w:rPr>
        <w:t xml:space="preserve">Point </w:t>
      </w:r>
      <w:r w:rsidR="001E5F2C" w:rsidRPr="009C7F4B">
        <w:rPr>
          <w:rFonts w:ascii="Arial" w:hAnsi="Arial" w:cs="Arial"/>
          <w:b/>
          <w:sz w:val="22"/>
          <w:szCs w:val="22"/>
          <w:u w:val="single"/>
        </w:rPr>
        <w:t>1</w:t>
      </w:r>
      <w:r w:rsidR="001E5F2C" w:rsidRPr="009C7F4B">
        <w:rPr>
          <w:rFonts w:ascii="Arial" w:hAnsi="Arial" w:cs="Arial"/>
          <w:b/>
          <w:sz w:val="22"/>
          <w:szCs w:val="22"/>
        </w:rPr>
        <w:t>:</w:t>
      </w:r>
    </w:p>
    <w:p w14:paraId="65A2720A" w14:textId="3A04BC55" w:rsidR="00A0254B" w:rsidRPr="009C7F4B" w:rsidRDefault="001E5F2C" w:rsidP="00BF6D09">
      <w:pPr>
        <w:pStyle w:val="Sansinterligne2"/>
        <w:spacing w:after="1200"/>
        <w:jc w:val="center"/>
        <w:rPr>
          <w:rFonts w:ascii="Arial" w:hAnsi="Arial" w:cs="Arial"/>
          <w:b/>
          <w:sz w:val="22"/>
          <w:szCs w:val="22"/>
        </w:rPr>
      </w:pPr>
      <w:r w:rsidRPr="009C7F4B">
        <w:rPr>
          <w:rFonts w:ascii="Arial" w:hAnsi="Arial" w:cs="Arial"/>
          <w:b/>
          <w:sz w:val="22"/>
          <w:szCs w:val="22"/>
        </w:rPr>
        <w:t>Utili</w:t>
      </w:r>
      <w:r w:rsidR="00B148B7" w:rsidRPr="009C7F4B">
        <w:rPr>
          <w:rFonts w:ascii="Arial" w:hAnsi="Arial" w:cs="Arial"/>
          <w:b/>
          <w:sz w:val="22"/>
          <w:szCs w:val="22"/>
        </w:rPr>
        <w:t>s</w:t>
      </w:r>
      <w:r w:rsidRPr="009C7F4B">
        <w:rPr>
          <w:rFonts w:ascii="Arial" w:hAnsi="Arial" w:cs="Arial"/>
          <w:b/>
          <w:sz w:val="22"/>
          <w:szCs w:val="22"/>
        </w:rPr>
        <w:t xml:space="preserve">ation </w:t>
      </w:r>
      <w:r w:rsidR="00B148B7" w:rsidRPr="009C7F4B">
        <w:rPr>
          <w:rFonts w:ascii="Arial" w:hAnsi="Arial" w:cs="Arial"/>
          <w:b/>
          <w:sz w:val="22"/>
          <w:szCs w:val="22"/>
        </w:rPr>
        <w:t xml:space="preserve">des fonds alloués aux </w:t>
      </w:r>
      <w:r w:rsidR="00D63952" w:rsidRPr="009C7F4B">
        <w:rPr>
          <w:rFonts w:ascii="Arial" w:hAnsi="Arial" w:cs="Arial"/>
          <w:b/>
          <w:sz w:val="22"/>
          <w:szCs w:val="22"/>
        </w:rPr>
        <w:t>« </w:t>
      </w:r>
      <w:r w:rsidR="00B148B7" w:rsidRPr="009C7F4B">
        <w:rPr>
          <w:rFonts w:ascii="Arial" w:hAnsi="Arial" w:cs="Arial"/>
          <w:b/>
          <w:sz w:val="22"/>
          <w:szCs w:val="22"/>
        </w:rPr>
        <w:t>autres fonctions du Comité</w:t>
      </w:r>
      <w:r w:rsidR="00D63952" w:rsidRPr="009C7F4B">
        <w:rPr>
          <w:rFonts w:ascii="Arial" w:hAnsi="Arial" w:cs="Arial"/>
          <w:b/>
          <w:sz w:val="22"/>
          <w:szCs w:val="22"/>
        </w:rPr>
        <w:t> »</w:t>
      </w:r>
      <w:r w:rsidR="00B148B7" w:rsidRPr="009C7F4B">
        <w:rPr>
          <w:rFonts w:ascii="Arial" w:hAnsi="Arial" w:cs="Arial"/>
          <w:b/>
          <w:sz w:val="22"/>
          <w:szCs w:val="22"/>
        </w:rPr>
        <w:t xml:space="preserve"> </w:t>
      </w:r>
      <w:r w:rsidR="00B148B7" w:rsidRPr="009C7F4B">
        <w:rPr>
          <w:rFonts w:ascii="Arial" w:hAnsi="Arial" w:cs="Arial"/>
          <w:b/>
          <w:sz w:val="22"/>
          <w:szCs w:val="22"/>
        </w:rPr>
        <w:br/>
      </w:r>
      <w:r w:rsidR="00EE433E" w:rsidRPr="009C7F4B">
        <w:rPr>
          <w:rFonts w:ascii="Arial" w:hAnsi="Arial" w:cs="Arial"/>
          <w:b/>
          <w:sz w:val="22"/>
          <w:szCs w:val="22"/>
        </w:rPr>
        <w:t xml:space="preserve">dans le cadre </w:t>
      </w:r>
      <w:r w:rsidR="00B148B7" w:rsidRPr="009C7F4B">
        <w:rPr>
          <w:rFonts w:ascii="Arial" w:hAnsi="Arial" w:cs="Arial"/>
          <w:b/>
          <w:sz w:val="22"/>
          <w:szCs w:val="22"/>
        </w:rPr>
        <w:t xml:space="preserve">du </w:t>
      </w:r>
      <w:r w:rsidR="007D7143" w:rsidRPr="009C7F4B">
        <w:rPr>
          <w:rFonts w:ascii="Arial" w:hAnsi="Arial" w:cs="Arial"/>
          <w:b/>
          <w:sz w:val="22"/>
          <w:szCs w:val="22"/>
        </w:rPr>
        <w:t xml:space="preserve">Plan </w:t>
      </w:r>
      <w:r w:rsidR="00EE433E" w:rsidRPr="009C7F4B">
        <w:rPr>
          <w:rFonts w:ascii="Arial" w:hAnsi="Arial" w:cs="Arial"/>
          <w:b/>
          <w:sz w:val="22"/>
          <w:szCs w:val="22"/>
        </w:rPr>
        <w:t>d’utilisation des ressources du</w:t>
      </w:r>
      <w:r w:rsidR="007D7143" w:rsidRPr="009C7F4B">
        <w:rPr>
          <w:rFonts w:ascii="Arial" w:hAnsi="Arial" w:cs="Arial"/>
          <w:b/>
          <w:sz w:val="22"/>
          <w:szCs w:val="22"/>
        </w:rPr>
        <w:br/>
      </w:r>
      <w:r w:rsidR="00EE433E" w:rsidRPr="009C7F4B">
        <w:rPr>
          <w:rFonts w:ascii="Arial" w:hAnsi="Arial" w:cs="Arial"/>
          <w:b/>
          <w:sz w:val="22"/>
          <w:szCs w:val="22"/>
        </w:rPr>
        <w:t>Fonds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0254B" w:rsidRPr="009C7F4B" w14:paraId="7113D984" w14:textId="77777777" w:rsidTr="000A2819">
        <w:trPr>
          <w:jc w:val="center"/>
        </w:trPr>
        <w:tc>
          <w:tcPr>
            <w:tcW w:w="5670" w:type="dxa"/>
            <w:vAlign w:val="center"/>
          </w:tcPr>
          <w:p w14:paraId="5BFE2B12" w14:textId="77777777" w:rsidR="00A0254B" w:rsidRPr="009C7F4B" w:rsidRDefault="00A0254B" w:rsidP="000A2819">
            <w:pPr>
              <w:pStyle w:val="Sansinterligne1"/>
              <w:spacing w:before="200" w:after="200"/>
              <w:jc w:val="center"/>
              <w:rPr>
                <w:rFonts w:ascii="Arial" w:hAnsi="Arial" w:cs="Arial"/>
                <w:b/>
                <w:sz w:val="22"/>
                <w:szCs w:val="22"/>
              </w:rPr>
            </w:pPr>
            <w:r w:rsidRPr="009C7F4B">
              <w:rPr>
                <w:rFonts w:ascii="Arial" w:hAnsi="Arial"/>
                <w:b/>
                <w:sz w:val="22"/>
              </w:rPr>
              <w:t>Résumé</w:t>
            </w:r>
          </w:p>
          <w:p w14:paraId="40C74933" w14:textId="3FE77401" w:rsidR="00A0254B" w:rsidRPr="009C7F4B" w:rsidRDefault="00EE433E" w:rsidP="000A2819">
            <w:pPr>
              <w:pStyle w:val="Sansinterligne2"/>
              <w:spacing w:after="120"/>
              <w:jc w:val="both"/>
              <w:rPr>
                <w:rFonts w:ascii="Arial" w:hAnsi="Arial" w:cs="Arial"/>
                <w:sz w:val="22"/>
                <w:szCs w:val="22"/>
              </w:rPr>
            </w:pPr>
            <w:r w:rsidRPr="009C7F4B">
              <w:rPr>
                <w:rFonts w:ascii="Arial" w:hAnsi="Arial" w:cs="Arial"/>
                <w:sz w:val="22"/>
                <w:szCs w:val="22"/>
              </w:rPr>
              <w:t>L</w:t>
            </w:r>
            <w:r w:rsidR="001E5F2C" w:rsidRPr="009C7F4B">
              <w:rPr>
                <w:rFonts w:ascii="Arial" w:hAnsi="Arial" w:cs="Arial"/>
                <w:sz w:val="22"/>
                <w:szCs w:val="22"/>
              </w:rPr>
              <w:t xml:space="preserve">e </w:t>
            </w:r>
            <w:r w:rsidR="007D7143" w:rsidRPr="009C7F4B">
              <w:rPr>
                <w:rFonts w:ascii="Arial" w:hAnsi="Arial" w:cs="Arial"/>
                <w:sz w:val="22"/>
                <w:szCs w:val="22"/>
              </w:rPr>
              <w:t>P</w:t>
            </w:r>
            <w:r w:rsidR="001E5F2C" w:rsidRPr="009C7F4B">
              <w:rPr>
                <w:rFonts w:ascii="Arial" w:hAnsi="Arial" w:cs="Arial"/>
                <w:sz w:val="22"/>
                <w:szCs w:val="22"/>
              </w:rPr>
              <w:t xml:space="preserve">lan </w:t>
            </w:r>
            <w:r w:rsidRPr="009C7F4B">
              <w:rPr>
                <w:rFonts w:ascii="Arial" w:hAnsi="Arial" w:cs="Arial"/>
                <w:sz w:val="22"/>
                <w:szCs w:val="22"/>
              </w:rPr>
              <w:t xml:space="preserve">d’utilisation des ressources du Fonds du patrimoine culturel immatériel approuvé par l’Assemblée générale pour la période du </w:t>
            </w:r>
            <w:r w:rsidR="001E5F2C" w:rsidRPr="009C7F4B">
              <w:rPr>
                <w:rFonts w:ascii="Arial" w:hAnsi="Arial" w:cs="Arial"/>
                <w:sz w:val="22"/>
                <w:szCs w:val="22"/>
              </w:rPr>
              <w:t>1</w:t>
            </w:r>
            <w:r w:rsidRPr="009C7F4B">
              <w:rPr>
                <w:rFonts w:ascii="Arial" w:hAnsi="Arial" w:cs="Arial"/>
                <w:sz w:val="22"/>
                <w:szCs w:val="22"/>
                <w:vertAlign w:val="superscript"/>
              </w:rPr>
              <w:t>er</w:t>
            </w:r>
            <w:r w:rsidR="009B638F" w:rsidRPr="009C7F4B">
              <w:rPr>
                <w:rFonts w:ascii="Arial" w:hAnsi="Arial" w:cs="Arial"/>
                <w:sz w:val="22"/>
                <w:szCs w:val="22"/>
              </w:rPr>
              <w:t xml:space="preserve"> </w:t>
            </w:r>
            <w:r w:rsidRPr="009C7F4B">
              <w:rPr>
                <w:rFonts w:ascii="Arial" w:hAnsi="Arial" w:cs="Arial"/>
                <w:sz w:val="22"/>
                <w:szCs w:val="22"/>
              </w:rPr>
              <w:t>janvier</w:t>
            </w:r>
            <w:r w:rsidR="001E5F2C" w:rsidRPr="009C7F4B">
              <w:rPr>
                <w:rFonts w:ascii="Arial" w:hAnsi="Arial" w:cs="Arial"/>
                <w:sz w:val="22"/>
                <w:szCs w:val="22"/>
              </w:rPr>
              <w:t xml:space="preserve"> 2016 </w:t>
            </w:r>
            <w:r w:rsidRPr="009C7F4B">
              <w:rPr>
                <w:rFonts w:ascii="Arial" w:hAnsi="Arial" w:cs="Arial"/>
                <w:sz w:val="22"/>
                <w:szCs w:val="22"/>
              </w:rPr>
              <w:t xml:space="preserve">au </w:t>
            </w:r>
            <w:r w:rsidR="001E5F2C" w:rsidRPr="009C7F4B">
              <w:rPr>
                <w:rFonts w:ascii="Arial" w:hAnsi="Arial" w:cs="Arial"/>
                <w:sz w:val="22"/>
                <w:szCs w:val="22"/>
              </w:rPr>
              <w:t>31</w:t>
            </w:r>
            <w:r w:rsidRPr="009C7F4B">
              <w:rPr>
                <w:rFonts w:ascii="Arial" w:hAnsi="Arial" w:cs="Arial"/>
                <w:sz w:val="22"/>
                <w:szCs w:val="22"/>
              </w:rPr>
              <w:t xml:space="preserve"> déc</w:t>
            </w:r>
            <w:r w:rsidR="001E5F2C" w:rsidRPr="009C7F4B">
              <w:rPr>
                <w:rFonts w:ascii="Arial" w:hAnsi="Arial" w:cs="Arial"/>
                <w:sz w:val="22"/>
                <w:szCs w:val="22"/>
              </w:rPr>
              <w:t>emb</w:t>
            </w:r>
            <w:r w:rsidRPr="009C7F4B">
              <w:rPr>
                <w:rFonts w:ascii="Arial" w:hAnsi="Arial" w:cs="Arial"/>
                <w:sz w:val="22"/>
                <w:szCs w:val="22"/>
              </w:rPr>
              <w:t>r</w:t>
            </w:r>
            <w:r w:rsidR="001E5F2C" w:rsidRPr="009C7F4B">
              <w:rPr>
                <w:rFonts w:ascii="Arial" w:hAnsi="Arial" w:cs="Arial"/>
                <w:sz w:val="22"/>
                <w:szCs w:val="22"/>
              </w:rPr>
              <w:t xml:space="preserve">e 2017 </w:t>
            </w:r>
            <w:r w:rsidRPr="009C7F4B">
              <w:rPr>
                <w:rFonts w:ascii="Arial" w:hAnsi="Arial" w:cs="Arial"/>
                <w:sz w:val="22"/>
                <w:szCs w:val="22"/>
              </w:rPr>
              <w:t xml:space="preserve">et du </w:t>
            </w:r>
            <w:r w:rsidR="001E5F2C" w:rsidRPr="009C7F4B">
              <w:rPr>
                <w:rFonts w:ascii="Arial" w:hAnsi="Arial" w:cs="Arial"/>
                <w:sz w:val="22"/>
                <w:szCs w:val="22"/>
              </w:rPr>
              <w:t>1</w:t>
            </w:r>
            <w:r w:rsidRPr="009C7F4B">
              <w:rPr>
                <w:rFonts w:ascii="Arial" w:hAnsi="Arial" w:cs="Arial"/>
                <w:sz w:val="22"/>
                <w:szCs w:val="22"/>
                <w:vertAlign w:val="superscript"/>
              </w:rPr>
              <w:t>er</w:t>
            </w:r>
            <w:r w:rsidRPr="009C7F4B">
              <w:rPr>
                <w:rFonts w:ascii="Arial" w:hAnsi="Arial" w:cs="Arial"/>
                <w:sz w:val="22"/>
                <w:szCs w:val="22"/>
              </w:rPr>
              <w:t xml:space="preserve"> janvier au </w:t>
            </w:r>
            <w:r w:rsidR="001E5F2C" w:rsidRPr="009C7F4B">
              <w:rPr>
                <w:rFonts w:ascii="Arial" w:hAnsi="Arial" w:cs="Arial"/>
                <w:sz w:val="22"/>
                <w:szCs w:val="22"/>
              </w:rPr>
              <w:t>30 </w:t>
            </w:r>
            <w:r w:rsidRPr="009C7F4B">
              <w:rPr>
                <w:rFonts w:ascii="Arial" w:hAnsi="Arial" w:cs="Arial"/>
                <w:sz w:val="22"/>
                <w:szCs w:val="22"/>
              </w:rPr>
              <w:t>juin</w:t>
            </w:r>
            <w:r w:rsidR="001E5F2C" w:rsidRPr="009C7F4B">
              <w:rPr>
                <w:rFonts w:ascii="Arial" w:hAnsi="Arial" w:cs="Arial"/>
                <w:sz w:val="22"/>
                <w:szCs w:val="22"/>
              </w:rPr>
              <w:t> 2018 pr</w:t>
            </w:r>
            <w:r w:rsidRPr="009C7F4B">
              <w:rPr>
                <w:rFonts w:ascii="Arial" w:hAnsi="Arial" w:cs="Arial"/>
                <w:sz w:val="22"/>
                <w:szCs w:val="22"/>
              </w:rPr>
              <w:t xml:space="preserve">évoit que </w:t>
            </w:r>
            <w:r w:rsidR="001E5F2C" w:rsidRPr="009C7F4B">
              <w:rPr>
                <w:rFonts w:ascii="Arial" w:hAnsi="Arial" w:cs="Arial"/>
                <w:sz w:val="22"/>
                <w:szCs w:val="22"/>
              </w:rPr>
              <w:t>20</w:t>
            </w:r>
            <w:r w:rsidRPr="009C7F4B">
              <w:rPr>
                <w:rFonts w:ascii="Arial" w:hAnsi="Arial" w:cs="Arial"/>
                <w:sz w:val="22"/>
                <w:szCs w:val="22"/>
              </w:rPr>
              <w:t> </w:t>
            </w:r>
            <w:r w:rsidR="001E5F2C" w:rsidRPr="009C7F4B">
              <w:rPr>
                <w:rFonts w:ascii="Arial" w:hAnsi="Arial" w:cs="Arial"/>
                <w:sz w:val="22"/>
                <w:szCs w:val="22"/>
              </w:rPr>
              <w:t xml:space="preserve">% </w:t>
            </w:r>
            <w:r w:rsidRPr="009C7F4B">
              <w:rPr>
                <w:rFonts w:ascii="Arial" w:hAnsi="Arial" w:cs="Arial"/>
                <w:sz w:val="22"/>
                <w:szCs w:val="22"/>
              </w:rPr>
              <w:t>des ressources soient alloués aux « autres fonctions du Comité » telles que décrites à l’a</w:t>
            </w:r>
            <w:r w:rsidR="001E5F2C" w:rsidRPr="009C7F4B">
              <w:rPr>
                <w:rFonts w:ascii="Arial" w:hAnsi="Arial" w:cs="Arial"/>
                <w:sz w:val="22"/>
                <w:szCs w:val="22"/>
              </w:rPr>
              <w:t xml:space="preserve">rticle 7 </w:t>
            </w:r>
            <w:r w:rsidRPr="009C7F4B">
              <w:rPr>
                <w:rFonts w:ascii="Arial" w:hAnsi="Arial" w:cs="Arial"/>
                <w:sz w:val="22"/>
                <w:szCs w:val="22"/>
              </w:rPr>
              <w:t xml:space="preserve">de la </w:t>
            </w:r>
            <w:r w:rsidR="001E5F2C" w:rsidRPr="009C7F4B">
              <w:rPr>
                <w:rFonts w:ascii="Arial" w:hAnsi="Arial" w:cs="Arial"/>
                <w:sz w:val="22"/>
                <w:szCs w:val="22"/>
              </w:rPr>
              <w:t xml:space="preserve">Convention </w:t>
            </w:r>
            <w:r w:rsidR="00157D43" w:rsidRPr="009C7F4B">
              <w:rPr>
                <w:rFonts w:ascii="Arial" w:hAnsi="Arial" w:cs="Arial"/>
                <w:sz w:val="22"/>
                <w:szCs w:val="22"/>
              </w:rPr>
              <w:t>et dans les Directives opérationnelles.</w:t>
            </w:r>
            <w:r w:rsidR="001E5F2C" w:rsidRPr="009C7F4B">
              <w:rPr>
                <w:rFonts w:ascii="Arial" w:hAnsi="Arial" w:cs="Arial"/>
                <w:sz w:val="22"/>
                <w:szCs w:val="22"/>
              </w:rPr>
              <w:t xml:space="preserve"> </w:t>
            </w:r>
            <w:r w:rsidR="00D63952" w:rsidRPr="009C7F4B">
              <w:rPr>
                <w:rFonts w:ascii="Arial" w:hAnsi="Arial" w:cs="Arial"/>
                <w:sz w:val="22"/>
                <w:szCs w:val="22"/>
              </w:rPr>
              <w:t>Le présent</w:t>
            </w:r>
            <w:r w:rsidR="00157D43" w:rsidRPr="009C7F4B">
              <w:rPr>
                <w:rFonts w:ascii="Arial" w:hAnsi="Arial" w:cs="Arial"/>
                <w:sz w:val="22"/>
                <w:szCs w:val="22"/>
              </w:rPr>
              <w:t xml:space="preserve"> document </w:t>
            </w:r>
            <w:r w:rsidR="00D63952" w:rsidRPr="009C7F4B">
              <w:rPr>
                <w:rFonts w:ascii="Arial" w:hAnsi="Arial" w:cs="Arial"/>
                <w:sz w:val="22"/>
                <w:szCs w:val="22"/>
              </w:rPr>
              <w:t xml:space="preserve">contient </w:t>
            </w:r>
            <w:r w:rsidR="009B638F" w:rsidRPr="009C7F4B">
              <w:rPr>
                <w:rFonts w:ascii="Arial" w:hAnsi="Arial" w:cs="Arial"/>
                <w:sz w:val="22"/>
                <w:szCs w:val="22"/>
              </w:rPr>
              <w:t xml:space="preserve">une proposition spécifique préparée par le </w:t>
            </w:r>
            <w:r w:rsidR="001E5F2C" w:rsidRPr="009C7F4B">
              <w:rPr>
                <w:rFonts w:ascii="Arial" w:hAnsi="Arial" w:cs="Arial"/>
                <w:sz w:val="22"/>
                <w:szCs w:val="22"/>
              </w:rPr>
              <w:t>Secr</w:t>
            </w:r>
            <w:r w:rsidR="009B638F" w:rsidRPr="009C7F4B">
              <w:rPr>
                <w:rFonts w:ascii="Arial" w:hAnsi="Arial" w:cs="Arial"/>
                <w:sz w:val="22"/>
                <w:szCs w:val="22"/>
              </w:rPr>
              <w:t>é</w:t>
            </w:r>
            <w:r w:rsidR="001E5F2C" w:rsidRPr="009C7F4B">
              <w:rPr>
                <w:rFonts w:ascii="Arial" w:hAnsi="Arial" w:cs="Arial"/>
                <w:sz w:val="22"/>
                <w:szCs w:val="22"/>
              </w:rPr>
              <w:t xml:space="preserve">tariat </w:t>
            </w:r>
            <w:r w:rsidR="009B638F" w:rsidRPr="009C7F4B">
              <w:rPr>
                <w:rFonts w:ascii="Arial" w:hAnsi="Arial" w:cs="Arial"/>
                <w:sz w:val="22"/>
                <w:szCs w:val="22"/>
              </w:rPr>
              <w:t xml:space="preserve">pour l’utilisation de ces fonds pendant la période du </w:t>
            </w:r>
            <w:r w:rsidR="007D7143" w:rsidRPr="009C7F4B">
              <w:rPr>
                <w:rFonts w:ascii="Arial" w:hAnsi="Arial" w:cs="Arial"/>
                <w:sz w:val="22"/>
                <w:szCs w:val="22"/>
              </w:rPr>
              <w:t>1</w:t>
            </w:r>
            <w:r w:rsidR="007D7143" w:rsidRPr="009C7F4B">
              <w:rPr>
                <w:rFonts w:ascii="Arial" w:hAnsi="Arial" w:cs="Arial"/>
                <w:sz w:val="22"/>
                <w:szCs w:val="22"/>
                <w:vertAlign w:val="superscript"/>
              </w:rPr>
              <w:t>er</w:t>
            </w:r>
            <w:r w:rsidR="007D7143" w:rsidRPr="009C7F4B">
              <w:rPr>
                <w:rFonts w:ascii="Arial" w:hAnsi="Arial" w:cs="Arial"/>
                <w:sz w:val="22"/>
                <w:szCs w:val="22"/>
              </w:rPr>
              <w:t> janvier </w:t>
            </w:r>
            <w:r w:rsidR="001E5F2C" w:rsidRPr="009C7F4B">
              <w:rPr>
                <w:rFonts w:ascii="Arial" w:hAnsi="Arial" w:cs="Arial"/>
                <w:sz w:val="22"/>
                <w:szCs w:val="22"/>
              </w:rPr>
              <w:t xml:space="preserve">2016 </w:t>
            </w:r>
            <w:r w:rsidR="009B638F" w:rsidRPr="009C7F4B">
              <w:rPr>
                <w:rFonts w:ascii="Arial" w:hAnsi="Arial" w:cs="Arial"/>
                <w:sz w:val="22"/>
                <w:szCs w:val="22"/>
              </w:rPr>
              <w:t>au</w:t>
            </w:r>
            <w:r w:rsidR="001E5F2C" w:rsidRPr="009C7F4B">
              <w:rPr>
                <w:rFonts w:ascii="Arial" w:hAnsi="Arial" w:cs="Arial"/>
                <w:sz w:val="22"/>
                <w:szCs w:val="22"/>
              </w:rPr>
              <w:t xml:space="preserve"> 31 </w:t>
            </w:r>
            <w:r w:rsidR="009B638F" w:rsidRPr="009C7F4B">
              <w:rPr>
                <w:rFonts w:ascii="Arial" w:hAnsi="Arial" w:cs="Arial"/>
                <w:sz w:val="22"/>
                <w:szCs w:val="22"/>
              </w:rPr>
              <w:t>dé</w:t>
            </w:r>
            <w:r w:rsidR="001E5F2C" w:rsidRPr="009C7F4B">
              <w:rPr>
                <w:rFonts w:ascii="Arial" w:hAnsi="Arial" w:cs="Arial"/>
                <w:sz w:val="22"/>
                <w:szCs w:val="22"/>
              </w:rPr>
              <w:t>cemb</w:t>
            </w:r>
            <w:r w:rsidR="009B638F" w:rsidRPr="009C7F4B">
              <w:rPr>
                <w:rFonts w:ascii="Arial" w:hAnsi="Arial" w:cs="Arial"/>
                <w:sz w:val="22"/>
                <w:szCs w:val="22"/>
              </w:rPr>
              <w:t>r</w:t>
            </w:r>
            <w:r w:rsidR="001E5F2C" w:rsidRPr="009C7F4B">
              <w:rPr>
                <w:rFonts w:ascii="Arial" w:hAnsi="Arial" w:cs="Arial"/>
                <w:sz w:val="22"/>
                <w:szCs w:val="22"/>
              </w:rPr>
              <w:t>e 2017. Exer</w:t>
            </w:r>
            <w:r w:rsidR="009B638F" w:rsidRPr="009C7F4B">
              <w:rPr>
                <w:rFonts w:ascii="Arial" w:hAnsi="Arial" w:cs="Arial"/>
                <w:sz w:val="22"/>
                <w:szCs w:val="22"/>
              </w:rPr>
              <w:t xml:space="preserve">çant le pouvoir qui lui a été délégué par le Comité, le </w:t>
            </w:r>
            <w:r w:rsidR="001E5F2C" w:rsidRPr="009C7F4B">
              <w:rPr>
                <w:rFonts w:ascii="Arial" w:hAnsi="Arial" w:cs="Arial"/>
                <w:sz w:val="22"/>
                <w:szCs w:val="22"/>
              </w:rPr>
              <w:t xml:space="preserve">Bureau </w:t>
            </w:r>
            <w:r w:rsidR="009B638F" w:rsidRPr="009C7F4B">
              <w:rPr>
                <w:rFonts w:ascii="Arial" w:hAnsi="Arial" w:cs="Arial"/>
                <w:sz w:val="22"/>
                <w:szCs w:val="22"/>
              </w:rPr>
              <w:t>est invité à décider de l’utilisation de ces fonds</w:t>
            </w:r>
            <w:r w:rsidR="001E5F2C" w:rsidRPr="009C7F4B">
              <w:rPr>
                <w:rFonts w:ascii="Arial" w:hAnsi="Arial" w:cs="Arial"/>
                <w:sz w:val="22"/>
                <w:szCs w:val="22"/>
              </w:rPr>
              <w:t xml:space="preserve">. </w:t>
            </w:r>
            <w:r w:rsidR="009B638F" w:rsidRPr="009C7F4B">
              <w:rPr>
                <w:rFonts w:ascii="Arial" w:hAnsi="Arial" w:cs="Arial"/>
                <w:sz w:val="22"/>
                <w:szCs w:val="22"/>
              </w:rPr>
              <w:t xml:space="preserve">Il est demandé au </w:t>
            </w:r>
            <w:r w:rsidR="001E5F2C" w:rsidRPr="009C7F4B">
              <w:rPr>
                <w:rFonts w:ascii="Arial" w:hAnsi="Arial" w:cs="Arial"/>
                <w:sz w:val="22"/>
                <w:szCs w:val="22"/>
              </w:rPr>
              <w:t xml:space="preserve">Bureau </w:t>
            </w:r>
            <w:r w:rsidR="000E7224" w:rsidRPr="009C7F4B">
              <w:rPr>
                <w:rFonts w:ascii="Arial" w:hAnsi="Arial" w:cs="Arial"/>
                <w:sz w:val="22"/>
                <w:szCs w:val="22"/>
              </w:rPr>
              <w:t>de prendre une décision par consultation électronique</w:t>
            </w:r>
            <w:r w:rsidR="001E5F2C" w:rsidRPr="009C7F4B">
              <w:rPr>
                <w:rFonts w:ascii="Arial" w:hAnsi="Arial" w:cs="Arial"/>
                <w:sz w:val="22"/>
                <w:szCs w:val="22"/>
              </w:rPr>
              <w:t>.</w:t>
            </w:r>
          </w:p>
          <w:p w14:paraId="38500670" w14:textId="77777777" w:rsidR="00A0254B" w:rsidRPr="009C7F4B" w:rsidRDefault="00A0254B" w:rsidP="00985DAD">
            <w:pPr>
              <w:pStyle w:val="Sansinterligne2"/>
              <w:spacing w:after="120"/>
              <w:jc w:val="both"/>
              <w:rPr>
                <w:rFonts w:ascii="Arial" w:hAnsi="Arial" w:cs="Arial"/>
                <w:b/>
                <w:sz w:val="22"/>
                <w:szCs w:val="22"/>
              </w:rPr>
            </w:pPr>
            <w:r w:rsidRPr="009C7F4B">
              <w:rPr>
                <w:rFonts w:ascii="Arial" w:hAnsi="Arial"/>
                <w:b/>
                <w:sz w:val="22"/>
              </w:rPr>
              <w:t xml:space="preserve">Décision requise : </w:t>
            </w:r>
            <w:r w:rsidR="001E5F2C" w:rsidRPr="009C7F4B">
              <w:rPr>
                <w:rFonts w:ascii="Arial" w:hAnsi="Arial" w:cs="Arial"/>
                <w:bCs/>
                <w:sz w:val="22"/>
                <w:szCs w:val="22"/>
              </w:rPr>
              <w:t>paragraph</w:t>
            </w:r>
            <w:r w:rsidR="00730B9B" w:rsidRPr="009C7F4B">
              <w:rPr>
                <w:rFonts w:ascii="Arial" w:hAnsi="Arial" w:cs="Arial"/>
                <w:bCs/>
                <w:sz w:val="22"/>
                <w:szCs w:val="22"/>
              </w:rPr>
              <w:t>e</w:t>
            </w:r>
            <w:r w:rsidR="001E5F2C" w:rsidRPr="009C7F4B">
              <w:rPr>
                <w:rFonts w:ascii="Arial" w:hAnsi="Arial" w:cs="Arial"/>
                <w:bCs/>
                <w:sz w:val="22"/>
                <w:szCs w:val="22"/>
              </w:rPr>
              <w:t> 31</w:t>
            </w:r>
          </w:p>
        </w:tc>
      </w:tr>
    </w:tbl>
    <w:p w14:paraId="218C8D33" w14:textId="77777777" w:rsidR="00A0254B" w:rsidRPr="009C7F4B" w:rsidRDefault="00A0254B" w:rsidP="00A0254B">
      <w:pPr>
        <w:pStyle w:val="GAPara"/>
        <w:jc w:val="both"/>
      </w:pPr>
      <w:r w:rsidRPr="009C7F4B">
        <w:br w:type="page"/>
      </w:r>
    </w:p>
    <w:p w14:paraId="281194E7" w14:textId="77777777" w:rsidR="00730B9B" w:rsidRPr="009C7F4B" w:rsidRDefault="00730B9B" w:rsidP="00D63952">
      <w:pPr>
        <w:keepNext/>
        <w:keepLines/>
        <w:numPr>
          <w:ilvl w:val="0"/>
          <w:numId w:val="11"/>
        </w:numPr>
        <w:snapToGrid w:val="0"/>
        <w:spacing w:before="360" w:after="120"/>
        <w:ind w:left="567" w:hanging="567"/>
        <w:jc w:val="both"/>
        <w:outlineLvl w:val="3"/>
        <w:rPr>
          <w:rFonts w:ascii="Arial" w:hAnsi="Arial"/>
          <w:b/>
          <w:bCs/>
          <w:caps/>
          <w:sz w:val="22"/>
          <w:lang w:eastAsia="en-US"/>
        </w:rPr>
      </w:pPr>
      <w:r w:rsidRPr="009C7F4B">
        <w:rPr>
          <w:rFonts w:ascii="Arial" w:hAnsi="Arial"/>
          <w:b/>
          <w:bCs/>
          <w:caps/>
          <w:snapToGrid w:val="0"/>
          <w:sz w:val="22"/>
          <w:lang w:eastAsia="en-US"/>
        </w:rPr>
        <w:lastRenderedPageBreak/>
        <w:t>Introduction</w:t>
      </w:r>
    </w:p>
    <w:p w14:paraId="458A1E4F" w14:textId="42281F5D" w:rsidR="00730B9B" w:rsidRPr="009C7F4B" w:rsidRDefault="000E7224" w:rsidP="00BF6D09">
      <w:pPr>
        <w:pStyle w:val="Heading4"/>
        <w:keepNext w:val="0"/>
        <w:numPr>
          <w:ilvl w:val="0"/>
          <w:numId w:val="14"/>
        </w:numPr>
        <w:spacing w:before="0" w:after="120"/>
        <w:ind w:left="567" w:hanging="567"/>
        <w:jc w:val="both"/>
        <w:rPr>
          <w:b w:val="0"/>
          <w:snapToGrid w:val="0"/>
          <w:lang w:eastAsia="en-US"/>
        </w:rPr>
      </w:pPr>
      <w:r w:rsidRPr="009C7F4B">
        <w:rPr>
          <w:b w:val="0"/>
          <w:snapToGrid w:val="0"/>
          <w:lang w:eastAsia="en-US"/>
        </w:rPr>
        <w:t xml:space="preserve">Le </w:t>
      </w:r>
      <w:r w:rsidR="007D7143" w:rsidRPr="009C7F4B">
        <w:rPr>
          <w:b w:val="0"/>
          <w:snapToGrid w:val="0"/>
          <w:lang w:eastAsia="en-US"/>
        </w:rPr>
        <w:t xml:space="preserve">Plan </w:t>
      </w:r>
      <w:r w:rsidRPr="009C7F4B">
        <w:rPr>
          <w:b w:val="0"/>
          <w:snapToGrid w:val="0"/>
          <w:lang w:eastAsia="en-US"/>
        </w:rPr>
        <w:t>d’utilisation des ressources du Fonds du patrimoine culturel immatériel et le plan budgétaire adoptés par l’Assemblée générale lors de sa sixième session</w:t>
      </w:r>
      <w:r w:rsidR="00730B9B" w:rsidRPr="009C7F4B">
        <w:rPr>
          <w:b w:val="0"/>
          <w:snapToGrid w:val="0"/>
          <w:lang w:eastAsia="en-US"/>
        </w:rPr>
        <w:t xml:space="preserve"> (</w:t>
      </w:r>
      <w:r w:rsidRPr="009C7F4B">
        <w:rPr>
          <w:b w:val="0"/>
          <w:snapToGrid w:val="0"/>
          <w:lang w:eastAsia="en-US"/>
        </w:rPr>
        <w:t>ré</w:t>
      </w:r>
      <w:r w:rsidR="00730B9B" w:rsidRPr="009C7F4B">
        <w:rPr>
          <w:b w:val="0"/>
          <w:snapToGrid w:val="0"/>
          <w:lang w:eastAsia="en-US"/>
        </w:rPr>
        <w:t>solution 6.GA 9) allo</w:t>
      </w:r>
      <w:r w:rsidRPr="009C7F4B">
        <w:rPr>
          <w:b w:val="0"/>
          <w:snapToGrid w:val="0"/>
          <w:lang w:eastAsia="en-US"/>
        </w:rPr>
        <w:t>uent</w:t>
      </w:r>
      <w:r w:rsidR="00730B9B" w:rsidRPr="009C7F4B">
        <w:rPr>
          <w:b w:val="0"/>
          <w:snapToGrid w:val="0"/>
          <w:lang w:eastAsia="en-US"/>
        </w:rPr>
        <w:t xml:space="preserve"> 20</w:t>
      </w:r>
      <w:r w:rsidRPr="009C7F4B">
        <w:rPr>
          <w:b w:val="0"/>
          <w:snapToGrid w:val="0"/>
          <w:lang w:eastAsia="en-US"/>
        </w:rPr>
        <w:t> </w:t>
      </w:r>
      <w:r w:rsidR="00730B9B" w:rsidRPr="009C7F4B">
        <w:rPr>
          <w:b w:val="0"/>
          <w:snapToGrid w:val="0"/>
          <w:lang w:eastAsia="en-US"/>
        </w:rPr>
        <w:t xml:space="preserve">% </w:t>
      </w:r>
      <w:r w:rsidRPr="009C7F4B">
        <w:rPr>
          <w:b w:val="0"/>
          <w:snapToGrid w:val="0"/>
          <w:lang w:eastAsia="en-US"/>
        </w:rPr>
        <w:t xml:space="preserve">du </w:t>
      </w:r>
      <w:r w:rsidR="00F818D5" w:rsidRPr="009C7F4B">
        <w:rPr>
          <w:b w:val="0"/>
          <w:snapToGrid w:val="0"/>
          <w:lang w:eastAsia="en-US"/>
        </w:rPr>
        <w:t xml:space="preserve">budget </w:t>
      </w:r>
      <w:r w:rsidRPr="009C7F4B">
        <w:rPr>
          <w:b w:val="0"/>
          <w:snapToGrid w:val="0"/>
          <w:lang w:eastAsia="en-US"/>
        </w:rPr>
        <w:t>total aux « autres fonctions du Comité »</w:t>
      </w:r>
      <w:r w:rsidR="00D63952" w:rsidRPr="009C7F4B">
        <w:rPr>
          <w:b w:val="0"/>
          <w:snapToGrid w:val="0"/>
          <w:lang w:eastAsia="en-US"/>
        </w:rPr>
        <w:t>,</w:t>
      </w:r>
      <w:r w:rsidR="00730B9B" w:rsidRPr="009C7F4B">
        <w:rPr>
          <w:b w:val="0"/>
          <w:snapToGrid w:val="0"/>
          <w:lang w:eastAsia="en-US"/>
        </w:rPr>
        <w:t xml:space="preserve"> </w:t>
      </w:r>
      <w:r w:rsidR="00F818D5" w:rsidRPr="009C7F4B">
        <w:rPr>
          <w:b w:val="0"/>
          <w:snapToGrid w:val="0"/>
          <w:lang w:eastAsia="en-US"/>
        </w:rPr>
        <w:t>telles que décrites à l’a</w:t>
      </w:r>
      <w:r w:rsidR="00730B9B" w:rsidRPr="009C7F4B">
        <w:rPr>
          <w:b w:val="0"/>
          <w:snapToGrid w:val="0"/>
          <w:lang w:eastAsia="en-US"/>
        </w:rPr>
        <w:t xml:space="preserve">rticle 7 </w:t>
      </w:r>
      <w:r w:rsidR="00F818D5" w:rsidRPr="009C7F4B">
        <w:rPr>
          <w:b w:val="0"/>
          <w:snapToGrid w:val="0"/>
          <w:lang w:eastAsia="en-US"/>
        </w:rPr>
        <w:t xml:space="preserve">de la </w:t>
      </w:r>
      <w:r w:rsidR="00730B9B" w:rsidRPr="009C7F4B">
        <w:rPr>
          <w:b w:val="0"/>
          <w:snapToGrid w:val="0"/>
          <w:lang w:eastAsia="en-US"/>
        </w:rPr>
        <w:t xml:space="preserve">Convention </w:t>
      </w:r>
      <w:r w:rsidR="00F818D5" w:rsidRPr="009C7F4B">
        <w:rPr>
          <w:b w:val="0"/>
          <w:snapToGrid w:val="0"/>
          <w:lang w:eastAsia="en-US"/>
        </w:rPr>
        <w:t>et dans les Directives opérationnelles</w:t>
      </w:r>
      <w:r w:rsidR="00730B9B" w:rsidRPr="009C7F4B">
        <w:rPr>
          <w:b w:val="0"/>
          <w:snapToGrid w:val="0"/>
          <w:lang w:eastAsia="en-US"/>
        </w:rPr>
        <w:t>.</w:t>
      </w:r>
      <w:r w:rsidR="00F818D5" w:rsidRPr="009C7F4B">
        <w:rPr>
          <w:b w:val="0"/>
          <w:snapToGrid w:val="0"/>
          <w:lang w:eastAsia="en-US"/>
        </w:rPr>
        <w:t xml:space="preserve"> Par conséquent, l</w:t>
      </w:r>
      <w:r w:rsidR="00730B9B" w:rsidRPr="009C7F4B">
        <w:rPr>
          <w:b w:val="0"/>
          <w:snapToGrid w:val="0"/>
          <w:lang w:eastAsia="en-US"/>
        </w:rPr>
        <w:t>e Secr</w:t>
      </w:r>
      <w:r w:rsidR="00F818D5" w:rsidRPr="009C7F4B">
        <w:rPr>
          <w:b w:val="0"/>
          <w:snapToGrid w:val="0"/>
          <w:lang w:eastAsia="en-US"/>
        </w:rPr>
        <w:t>é</w:t>
      </w:r>
      <w:r w:rsidR="00730B9B" w:rsidRPr="009C7F4B">
        <w:rPr>
          <w:b w:val="0"/>
          <w:snapToGrid w:val="0"/>
          <w:lang w:eastAsia="en-US"/>
        </w:rPr>
        <w:t xml:space="preserve">tariat </w:t>
      </w:r>
      <w:r w:rsidR="00F818D5" w:rsidRPr="009C7F4B">
        <w:rPr>
          <w:b w:val="0"/>
          <w:snapToGrid w:val="0"/>
          <w:lang w:eastAsia="en-US"/>
        </w:rPr>
        <w:t xml:space="preserve">utilisera ces fonds pour aider le Comité à accomplir ces fonctions, </w:t>
      </w:r>
      <w:r w:rsidR="00E06740" w:rsidRPr="009C7F4B">
        <w:rPr>
          <w:b w:val="0"/>
          <w:snapToGrid w:val="0"/>
          <w:lang w:eastAsia="en-US"/>
        </w:rPr>
        <w:t>ainsi qu’</w:t>
      </w:r>
      <w:r w:rsidR="00F818D5" w:rsidRPr="009C7F4B">
        <w:rPr>
          <w:b w:val="0"/>
          <w:snapToGrid w:val="0"/>
          <w:lang w:eastAsia="en-US"/>
        </w:rPr>
        <w:t>il est demandé à l’a</w:t>
      </w:r>
      <w:r w:rsidR="00730B9B" w:rsidRPr="009C7F4B">
        <w:rPr>
          <w:b w:val="0"/>
          <w:snapToGrid w:val="0"/>
          <w:lang w:eastAsia="en-US"/>
        </w:rPr>
        <w:t xml:space="preserve">rticle 10 </w:t>
      </w:r>
      <w:r w:rsidR="00F818D5" w:rsidRPr="009C7F4B">
        <w:rPr>
          <w:b w:val="0"/>
          <w:snapToGrid w:val="0"/>
          <w:lang w:eastAsia="en-US"/>
        </w:rPr>
        <w:t>de la</w:t>
      </w:r>
      <w:r w:rsidR="00730B9B" w:rsidRPr="009C7F4B">
        <w:rPr>
          <w:b w:val="0"/>
          <w:snapToGrid w:val="0"/>
          <w:lang w:eastAsia="en-US"/>
        </w:rPr>
        <w:t xml:space="preserve"> Convention. </w:t>
      </w:r>
      <w:r w:rsidR="000F015D" w:rsidRPr="009C7F4B">
        <w:rPr>
          <w:b w:val="0"/>
          <w:snapToGrid w:val="0"/>
          <w:lang w:eastAsia="en-US"/>
        </w:rPr>
        <w:t xml:space="preserve">Dans toutes ses activités d’assistance au Comité, le Secrétariat s’attachera à </w:t>
      </w:r>
      <w:r w:rsidR="00692FD1" w:rsidRPr="009C7F4B">
        <w:rPr>
          <w:b w:val="0"/>
          <w:snapToGrid w:val="0"/>
          <w:lang w:eastAsia="en-US"/>
        </w:rPr>
        <w:t>donner</w:t>
      </w:r>
      <w:r w:rsidR="000F015D" w:rsidRPr="009C7F4B">
        <w:rPr>
          <w:b w:val="0"/>
          <w:snapToGrid w:val="0"/>
          <w:lang w:eastAsia="en-US"/>
        </w:rPr>
        <w:t xml:space="preserve"> suite aux recommandations du Service d’évaluation et d’audit (IOS) de l’UNESCO </w:t>
      </w:r>
      <w:r w:rsidR="0054255C" w:rsidRPr="009C7F4B">
        <w:rPr>
          <w:b w:val="0"/>
          <w:snapToGrid w:val="0"/>
          <w:lang w:eastAsia="en-US"/>
        </w:rPr>
        <w:t xml:space="preserve">concernant le travail normatif du Secteur de la </w:t>
      </w:r>
      <w:r w:rsidR="007D7143" w:rsidRPr="009C7F4B">
        <w:rPr>
          <w:b w:val="0"/>
          <w:snapToGrid w:val="0"/>
          <w:lang w:eastAsia="en-US"/>
        </w:rPr>
        <w:t xml:space="preserve">culture </w:t>
      </w:r>
      <w:r w:rsidR="0054255C" w:rsidRPr="009C7F4B">
        <w:rPr>
          <w:b w:val="0"/>
          <w:snapToGrid w:val="0"/>
          <w:lang w:eastAsia="en-US"/>
        </w:rPr>
        <w:t>de l’Organisation relatif à la Convention, comme il l’a fait lors de l’exercice biennal précédent</w:t>
      </w:r>
      <w:r w:rsidR="00730B9B" w:rsidRPr="009C7F4B">
        <w:rPr>
          <w:b w:val="0"/>
          <w:snapToGrid w:val="0"/>
          <w:lang w:eastAsia="en-US"/>
        </w:rPr>
        <w:t xml:space="preserve">. </w:t>
      </w:r>
      <w:r w:rsidR="00692FD1" w:rsidRPr="009C7F4B">
        <w:rPr>
          <w:b w:val="0"/>
          <w:snapToGrid w:val="0"/>
          <w:lang w:eastAsia="en-US"/>
        </w:rPr>
        <w:t>Un</w:t>
      </w:r>
      <w:r w:rsidR="00E06740" w:rsidRPr="009C7F4B">
        <w:rPr>
          <w:b w:val="0"/>
          <w:snapToGrid w:val="0"/>
          <w:lang w:eastAsia="en-US"/>
        </w:rPr>
        <w:t>e grande partie</w:t>
      </w:r>
      <w:r w:rsidR="00692FD1" w:rsidRPr="009C7F4B">
        <w:rPr>
          <w:b w:val="0"/>
          <w:snapToGrid w:val="0"/>
          <w:lang w:eastAsia="en-US"/>
        </w:rPr>
        <w:t xml:space="preserve"> de ces </w:t>
      </w:r>
      <w:r w:rsidR="00AA2645" w:rsidRPr="009C7F4B">
        <w:rPr>
          <w:b w:val="0"/>
          <w:snapToGrid w:val="0"/>
          <w:lang w:eastAsia="en-US"/>
        </w:rPr>
        <w:t xml:space="preserve">actions de </w:t>
      </w:r>
      <w:r w:rsidR="007D7143" w:rsidRPr="009C7F4B">
        <w:rPr>
          <w:b w:val="0"/>
          <w:snapToGrid w:val="0"/>
          <w:lang w:eastAsia="en-US"/>
        </w:rPr>
        <w:t>suivi</w:t>
      </w:r>
      <w:r w:rsidR="00AA2645" w:rsidRPr="009C7F4B">
        <w:rPr>
          <w:b w:val="0"/>
          <w:snapToGrid w:val="0"/>
          <w:lang w:eastAsia="en-US"/>
        </w:rPr>
        <w:t xml:space="preserve"> ne ser</w:t>
      </w:r>
      <w:r w:rsidR="00E06740" w:rsidRPr="009C7F4B">
        <w:rPr>
          <w:b w:val="0"/>
          <w:snapToGrid w:val="0"/>
          <w:lang w:eastAsia="en-US"/>
        </w:rPr>
        <w:t>a</w:t>
      </w:r>
      <w:r w:rsidR="00AA2645" w:rsidRPr="009C7F4B">
        <w:rPr>
          <w:b w:val="0"/>
          <w:snapToGrid w:val="0"/>
          <w:lang w:eastAsia="en-US"/>
        </w:rPr>
        <w:t xml:space="preserve"> possible que grâce au soutien de cette ligne budgétaire</w:t>
      </w:r>
      <w:r w:rsidR="00730B9B" w:rsidRPr="009C7F4B">
        <w:rPr>
          <w:rFonts w:eastAsia="SimSun"/>
          <w:b w:val="0"/>
          <w:lang w:eastAsia="en-US" w:bidi="en-US"/>
        </w:rPr>
        <w:t>.</w:t>
      </w:r>
    </w:p>
    <w:p w14:paraId="5EB9A5F9" w14:textId="476EDA0B" w:rsidR="00730B9B" w:rsidRPr="009C7F4B" w:rsidRDefault="00AA2645" w:rsidP="00BF6D09">
      <w:pPr>
        <w:pStyle w:val="Heading4"/>
        <w:keepNext w:val="0"/>
        <w:numPr>
          <w:ilvl w:val="0"/>
          <w:numId w:val="14"/>
        </w:numPr>
        <w:spacing w:before="0" w:after="120"/>
        <w:ind w:left="567" w:hanging="567"/>
        <w:jc w:val="both"/>
        <w:rPr>
          <w:b w:val="0"/>
          <w:snapToGrid w:val="0"/>
          <w:lang w:eastAsia="en-US"/>
        </w:rPr>
      </w:pPr>
      <w:r w:rsidRPr="009C7F4B">
        <w:rPr>
          <w:b w:val="0"/>
          <w:snapToGrid w:val="0"/>
          <w:lang w:eastAsia="en-US"/>
        </w:rPr>
        <w:t xml:space="preserve">Le montant de </w:t>
      </w:r>
      <w:r w:rsidR="00730B9B" w:rsidRPr="009C7F4B">
        <w:rPr>
          <w:b w:val="0"/>
          <w:snapToGrid w:val="0"/>
          <w:lang w:eastAsia="en-US"/>
        </w:rPr>
        <w:t>1</w:t>
      </w:r>
      <w:r w:rsidRPr="009C7F4B">
        <w:rPr>
          <w:b w:val="0"/>
          <w:snapToGrid w:val="0"/>
          <w:lang w:eastAsia="en-US"/>
        </w:rPr>
        <w:t> </w:t>
      </w:r>
      <w:r w:rsidR="00730B9B" w:rsidRPr="009C7F4B">
        <w:rPr>
          <w:b w:val="0"/>
          <w:snapToGrid w:val="0"/>
          <w:lang w:eastAsia="en-US"/>
        </w:rPr>
        <w:t>590</w:t>
      </w:r>
      <w:r w:rsidRPr="009C7F4B">
        <w:rPr>
          <w:b w:val="0"/>
          <w:snapToGrid w:val="0"/>
          <w:lang w:eastAsia="en-US"/>
        </w:rPr>
        <w:t> </w:t>
      </w:r>
      <w:r w:rsidR="00730B9B" w:rsidRPr="009C7F4B">
        <w:rPr>
          <w:b w:val="0"/>
          <w:snapToGrid w:val="0"/>
          <w:lang w:eastAsia="en-US"/>
        </w:rPr>
        <w:t>746</w:t>
      </w:r>
      <w:r w:rsidRPr="009C7F4B">
        <w:rPr>
          <w:b w:val="0"/>
          <w:snapToGrid w:val="0"/>
          <w:lang w:eastAsia="en-US"/>
        </w:rPr>
        <w:t xml:space="preserve"> dollars des </w:t>
      </w:r>
      <w:r w:rsidR="004312CB" w:rsidRPr="009C7F4B">
        <w:rPr>
          <w:b w:val="0"/>
          <w:snapToGrid w:val="0"/>
          <w:lang w:eastAsia="en-US"/>
        </w:rPr>
        <w:t>États-Unis</w:t>
      </w:r>
      <w:r w:rsidRPr="009C7F4B">
        <w:rPr>
          <w:b w:val="0"/>
          <w:snapToGrid w:val="0"/>
          <w:lang w:eastAsia="en-US"/>
        </w:rPr>
        <w:t xml:space="preserve"> est disponible à cet effet pour la période du </w:t>
      </w:r>
      <w:r w:rsidR="007D7143" w:rsidRPr="009C7F4B">
        <w:rPr>
          <w:b w:val="0"/>
          <w:snapToGrid w:val="0"/>
          <w:lang w:eastAsia="en-US"/>
        </w:rPr>
        <w:t>1</w:t>
      </w:r>
      <w:r w:rsidR="007D7143" w:rsidRPr="009C7F4B">
        <w:rPr>
          <w:b w:val="0"/>
          <w:snapToGrid w:val="0"/>
          <w:vertAlign w:val="superscript"/>
          <w:lang w:eastAsia="en-US"/>
        </w:rPr>
        <w:t>er</w:t>
      </w:r>
      <w:r w:rsidR="007D7143" w:rsidRPr="009C7F4B">
        <w:rPr>
          <w:b w:val="0"/>
          <w:snapToGrid w:val="0"/>
          <w:lang w:eastAsia="en-US"/>
        </w:rPr>
        <w:t> </w:t>
      </w:r>
      <w:r w:rsidRPr="009C7F4B">
        <w:rPr>
          <w:b w:val="0"/>
          <w:snapToGrid w:val="0"/>
          <w:lang w:eastAsia="en-US"/>
        </w:rPr>
        <w:t>janvier</w:t>
      </w:r>
      <w:r w:rsidR="00730B9B" w:rsidRPr="009C7F4B">
        <w:rPr>
          <w:b w:val="0"/>
          <w:snapToGrid w:val="0"/>
          <w:lang w:eastAsia="en-US"/>
        </w:rPr>
        <w:t xml:space="preserve"> 2016 </w:t>
      </w:r>
      <w:r w:rsidRPr="009C7F4B">
        <w:rPr>
          <w:b w:val="0"/>
          <w:snapToGrid w:val="0"/>
          <w:lang w:eastAsia="en-US"/>
        </w:rPr>
        <w:t>au</w:t>
      </w:r>
      <w:r w:rsidR="00730B9B" w:rsidRPr="009C7F4B">
        <w:rPr>
          <w:b w:val="0"/>
          <w:snapToGrid w:val="0"/>
          <w:lang w:eastAsia="en-US"/>
        </w:rPr>
        <w:t xml:space="preserve"> 31 </w:t>
      </w:r>
      <w:r w:rsidRPr="009C7F4B">
        <w:rPr>
          <w:b w:val="0"/>
          <w:snapToGrid w:val="0"/>
          <w:lang w:eastAsia="en-US"/>
        </w:rPr>
        <w:t>dé</w:t>
      </w:r>
      <w:r w:rsidR="00730B9B" w:rsidRPr="009C7F4B">
        <w:rPr>
          <w:b w:val="0"/>
          <w:snapToGrid w:val="0"/>
          <w:lang w:eastAsia="en-US"/>
        </w:rPr>
        <w:t>cemb</w:t>
      </w:r>
      <w:r w:rsidRPr="009C7F4B">
        <w:rPr>
          <w:b w:val="0"/>
          <w:snapToGrid w:val="0"/>
          <w:lang w:eastAsia="en-US"/>
        </w:rPr>
        <w:t>r</w:t>
      </w:r>
      <w:r w:rsidR="00730B9B" w:rsidRPr="009C7F4B">
        <w:rPr>
          <w:b w:val="0"/>
          <w:snapToGrid w:val="0"/>
          <w:lang w:eastAsia="en-US"/>
        </w:rPr>
        <w:t xml:space="preserve">e 2017, </w:t>
      </w:r>
      <w:r w:rsidRPr="009C7F4B">
        <w:rPr>
          <w:b w:val="0"/>
          <w:snapToGrid w:val="0"/>
          <w:lang w:eastAsia="en-US"/>
        </w:rPr>
        <w:t>avec un montant provis</w:t>
      </w:r>
      <w:r w:rsidR="001B7D0F" w:rsidRPr="009C7F4B">
        <w:rPr>
          <w:b w:val="0"/>
          <w:snapToGrid w:val="0"/>
          <w:lang w:eastAsia="en-US"/>
        </w:rPr>
        <w:t>o</w:t>
      </w:r>
      <w:r w:rsidRPr="009C7F4B">
        <w:rPr>
          <w:b w:val="0"/>
          <w:snapToGrid w:val="0"/>
          <w:lang w:eastAsia="en-US"/>
        </w:rPr>
        <w:t>i</w:t>
      </w:r>
      <w:r w:rsidR="001B7D0F" w:rsidRPr="009C7F4B">
        <w:rPr>
          <w:b w:val="0"/>
          <w:snapToGrid w:val="0"/>
          <w:lang w:eastAsia="en-US"/>
        </w:rPr>
        <w:t>re</w:t>
      </w:r>
      <w:r w:rsidRPr="009C7F4B">
        <w:rPr>
          <w:b w:val="0"/>
          <w:snapToGrid w:val="0"/>
          <w:lang w:eastAsia="en-US"/>
        </w:rPr>
        <w:t xml:space="preserve"> supplémentaire de </w:t>
      </w:r>
      <w:r w:rsidR="00730B9B" w:rsidRPr="009C7F4B">
        <w:rPr>
          <w:b w:val="0"/>
          <w:snapToGrid w:val="0"/>
          <w:lang w:eastAsia="en-US"/>
        </w:rPr>
        <w:t>397</w:t>
      </w:r>
      <w:r w:rsidR="001B7D0F" w:rsidRPr="009C7F4B">
        <w:rPr>
          <w:b w:val="0"/>
          <w:snapToGrid w:val="0"/>
          <w:lang w:eastAsia="en-US"/>
        </w:rPr>
        <w:t> </w:t>
      </w:r>
      <w:r w:rsidR="00730B9B" w:rsidRPr="009C7F4B">
        <w:rPr>
          <w:b w:val="0"/>
          <w:snapToGrid w:val="0"/>
          <w:lang w:eastAsia="en-US"/>
        </w:rPr>
        <w:t>687</w:t>
      </w:r>
      <w:r w:rsidR="001B7D0F" w:rsidRPr="009C7F4B">
        <w:rPr>
          <w:b w:val="0"/>
          <w:snapToGrid w:val="0"/>
          <w:lang w:eastAsia="en-US"/>
        </w:rPr>
        <w:t xml:space="preserve"> dollars des </w:t>
      </w:r>
      <w:r w:rsidR="004312CB" w:rsidRPr="009C7F4B">
        <w:rPr>
          <w:b w:val="0"/>
          <w:snapToGrid w:val="0"/>
          <w:lang w:eastAsia="en-US"/>
        </w:rPr>
        <w:t>États-Unis</w:t>
      </w:r>
      <w:r w:rsidR="001B7D0F" w:rsidRPr="009C7F4B">
        <w:rPr>
          <w:b w:val="0"/>
          <w:snapToGrid w:val="0"/>
          <w:lang w:eastAsia="en-US"/>
        </w:rPr>
        <w:t xml:space="preserve"> disponible pour la période du </w:t>
      </w:r>
      <w:r w:rsidR="007D7143" w:rsidRPr="009C7F4B">
        <w:rPr>
          <w:b w:val="0"/>
          <w:snapToGrid w:val="0"/>
          <w:lang w:eastAsia="en-US"/>
        </w:rPr>
        <w:t>1</w:t>
      </w:r>
      <w:r w:rsidR="007D7143" w:rsidRPr="009C7F4B">
        <w:rPr>
          <w:b w:val="0"/>
          <w:snapToGrid w:val="0"/>
          <w:vertAlign w:val="superscript"/>
          <w:lang w:eastAsia="en-US"/>
        </w:rPr>
        <w:t>er</w:t>
      </w:r>
      <w:r w:rsidR="007D7143" w:rsidRPr="009C7F4B">
        <w:rPr>
          <w:b w:val="0"/>
          <w:snapToGrid w:val="0"/>
          <w:lang w:eastAsia="en-US"/>
        </w:rPr>
        <w:t> </w:t>
      </w:r>
      <w:r w:rsidR="001B7D0F" w:rsidRPr="009C7F4B">
        <w:rPr>
          <w:b w:val="0"/>
          <w:snapToGrid w:val="0"/>
          <w:lang w:eastAsia="en-US"/>
        </w:rPr>
        <w:t>janvier au</w:t>
      </w:r>
      <w:r w:rsidR="00730B9B" w:rsidRPr="009C7F4B">
        <w:rPr>
          <w:b w:val="0"/>
          <w:snapToGrid w:val="0"/>
          <w:lang w:eastAsia="en-US"/>
        </w:rPr>
        <w:t xml:space="preserve"> 30 </w:t>
      </w:r>
      <w:r w:rsidR="001B7D0F" w:rsidRPr="009C7F4B">
        <w:rPr>
          <w:b w:val="0"/>
          <w:snapToGrid w:val="0"/>
          <w:lang w:eastAsia="en-US"/>
        </w:rPr>
        <w:t>juin</w:t>
      </w:r>
      <w:r w:rsidR="00730B9B" w:rsidRPr="009C7F4B">
        <w:rPr>
          <w:b w:val="0"/>
          <w:snapToGrid w:val="0"/>
          <w:lang w:eastAsia="en-US"/>
        </w:rPr>
        <w:t xml:space="preserve"> 2018.</w:t>
      </w:r>
    </w:p>
    <w:p w14:paraId="1321232B" w14:textId="0851663D" w:rsidR="00730B9B" w:rsidRPr="009C7F4B" w:rsidRDefault="001B7D0F" w:rsidP="00BF6D09">
      <w:pPr>
        <w:pStyle w:val="Heading4"/>
        <w:keepNext w:val="0"/>
        <w:numPr>
          <w:ilvl w:val="0"/>
          <w:numId w:val="14"/>
        </w:numPr>
        <w:spacing w:before="0" w:after="120"/>
        <w:ind w:left="567" w:hanging="567"/>
        <w:jc w:val="both"/>
        <w:rPr>
          <w:b w:val="0"/>
          <w:snapToGrid w:val="0"/>
          <w:lang w:eastAsia="en-US"/>
        </w:rPr>
      </w:pPr>
      <w:r w:rsidRPr="009C7F4B">
        <w:rPr>
          <w:b w:val="0"/>
          <w:snapToGrid w:val="0"/>
          <w:lang w:eastAsia="en-US"/>
        </w:rPr>
        <w:t xml:space="preserve">Dans sa </w:t>
      </w:r>
      <w:hyperlink r:id="rId8" w:history="1">
        <w:r w:rsidRPr="009C7F4B">
          <w:rPr>
            <w:rStyle w:val="Hyperlink"/>
            <w:b w:val="0"/>
            <w:snapToGrid w:val="0"/>
            <w:lang w:eastAsia="en-US"/>
          </w:rPr>
          <w:t>dé</w:t>
        </w:r>
        <w:r w:rsidR="00730B9B" w:rsidRPr="009C7F4B">
          <w:rPr>
            <w:rStyle w:val="Hyperlink"/>
            <w:b w:val="0"/>
            <w:snapToGrid w:val="0"/>
            <w:lang w:eastAsia="en-US"/>
          </w:rPr>
          <w:t>cision 10.COM 8</w:t>
        </w:r>
      </w:hyperlink>
      <w:r w:rsidR="00730B9B" w:rsidRPr="009C7F4B">
        <w:rPr>
          <w:b w:val="0"/>
          <w:snapToGrid w:val="0"/>
          <w:lang w:eastAsia="en-US"/>
        </w:rPr>
        <w:t xml:space="preserve">, </w:t>
      </w:r>
      <w:r w:rsidRPr="009C7F4B">
        <w:rPr>
          <w:b w:val="0"/>
          <w:snapToGrid w:val="0"/>
          <w:lang w:eastAsia="en-US"/>
        </w:rPr>
        <w:t>l</w:t>
      </w:r>
      <w:r w:rsidR="00730B9B" w:rsidRPr="009C7F4B">
        <w:rPr>
          <w:b w:val="0"/>
          <w:snapToGrid w:val="0"/>
          <w:lang w:eastAsia="en-US"/>
        </w:rPr>
        <w:t>e Comit</w:t>
      </w:r>
      <w:r w:rsidRPr="009C7F4B">
        <w:rPr>
          <w:b w:val="0"/>
          <w:snapToGrid w:val="0"/>
          <w:lang w:eastAsia="en-US"/>
        </w:rPr>
        <w:t xml:space="preserve">é a décidé de </w:t>
      </w:r>
      <w:r w:rsidR="006C6860" w:rsidRPr="009C7F4B">
        <w:rPr>
          <w:b w:val="0"/>
          <w:snapToGrid w:val="0"/>
          <w:lang w:eastAsia="en-US"/>
        </w:rPr>
        <w:t>continuer à utiliser le mécanisme mis en place lors de</w:t>
      </w:r>
      <w:r w:rsidR="00E06740" w:rsidRPr="009C7F4B">
        <w:rPr>
          <w:b w:val="0"/>
          <w:snapToGrid w:val="0"/>
          <w:lang w:eastAsia="en-US"/>
        </w:rPr>
        <w:t>s</w:t>
      </w:r>
      <w:r w:rsidR="006C6860" w:rsidRPr="009C7F4B">
        <w:rPr>
          <w:b w:val="0"/>
          <w:snapToGrid w:val="0"/>
          <w:lang w:eastAsia="en-US"/>
        </w:rPr>
        <w:t xml:space="preserve"> sessions antérieures pour autoriser les dépenses </w:t>
      </w:r>
      <w:r w:rsidR="007D7143" w:rsidRPr="009C7F4B">
        <w:rPr>
          <w:b w:val="0"/>
          <w:snapToGrid w:val="0"/>
          <w:lang w:eastAsia="en-US"/>
        </w:rPr>
        <w:t xml:space="preserve">dans </w:t>
      </w:r>
      <w:r w:rsidR="006C6860" w:rsidRPr="009C7F4B">
        <w:rPr>
          <w:b w:val="0"/>
          <w:snapToGrid w:val="0"/>
          <w:lang w:eastAsia="en-US"/>
        </w:rPr>
        <w:t>cette catégorie</w:t>
      </w:r>
      <w:r w:rsidR="00730B9B" w:rsidRPr="009C7F4B">
        <w:rPr>
          <w:b w:val="0"/>
          <w:snapToGrid w:val="0"/>
          <w:lang w:eastAsia="en-US"/>
        </w:rPr>
        <w:t xml:space="preserve">. </w:t>
      </w:r>
      <w:r w:rsidR="006C6860" w:rsidRPr="009C7F4B">
        <w:rPr>
          <w:b w:val="0"/>
          <w:snapToGrid w:val="0"/>
          <w:lang w:eastAsia="en-US"/>
        </w:rPr>
        <w:t>Dans cette décision</w:t>
      </w:r>
      <w:r w:rsidR="007D7143" w:rsidRPr="009C7F4B">
        <w:rPr>
          <w:b w:val="0"/>
          <w:snapToGrid w:val="0"/>
          <w:lang w:eastAsia="en-US"/>
        </w:rPr>
        <w:t>,</w:t>
      </w:r>
      <w:r w:rsidR="006C6860" w:rsidRPr="009C7F4B">
        <w:rPr>
          <w:b w:val="0"/>
          <w:snapToGrid w:val="0"/>
          <w:lang w:eastAsia="en-US"/>
        </w:rPr>
        <w:t xml:space="preserve"> le </w:t>
      </w:r>
      <w:r w:rsidR="00730B9B" w:rsidRPr="009C7F4B">
        <w:rPr>
          <w:b w:val="0"/>
          <w:snapToGrid w:val="0"/>
          <w:lang w:eastAsia="en-US"/>
        </w:rPr>
        <w:t>Comit</w:t>
      </w:r>
      <w:r w:rsidR="006C6860" w:rsidRPr="009C7F4B">
        <w:rPr>
          <w:b w:val="0"/>
          <w:snapToGrid w:val="0"/>
          <w:lang w:eastAsia="en-US"/>
        </w:rPr>
        <w:t>é</w:t>
      </w:r>
      <w:r w:rsidR="00730B9B" w:rsidRPr="009C7F4B">
        <w:rPr>
          <w:b w:val="0"/>
          <w:snapToGrid w:val="0"/>
          <w:lang w:eastAsia="en-US"/>
        </w:rPr>
        <w:t xml:space="preserve"> </w:t>
      </w:r>
      <w:r w:rsidR="00E06740" w:rsidRPr="009C7F4B">
        <w:rPr>
          <w:b w:val="0"/>
          <w:snapToGrid w:val="0"/>
          <w:lang w:eastAsia="en-US"/>
        </w:rPr>
        <w:t>« </w:t>
      </w:r>
      <w:r w:rsidR="00730B9B" w:rsidRPr="009C7F4B">
        <w:rPr>
          <w:b w:val="0"/>
          <w:snapToGrid w:val="0"/>
          <w:lang w:eastAsia="en-US"/>
        </w:rPr>
        <w:t>d</w:t>
      </w:r>
      <w:r w:rsidR="00642248" w:rsidRPr="009C7F4B">
        <w:rPr>
          <w:b w:val="0"/>
          <w:snapToGrid w:val="0"/>
          <w:lang w:eastAsia="en-US"/>
        </w:rPr>
        <w:t>é</w:t>
      </w:r>
      <w:r w:rsidR="00730B9B" w:rsidRPr="009C7F4B">
        <w:rPr>
          <w:b w:val="0"/>
          <w:snapToGrid w:val="0"/>
          <w:lang w:eastAsia="en-US"/>
        </w:rPr>
        <w:t>l</w:t>
      </w:r>
      <w:r w:rsidR="00642248" w:rsidRPr="009C7F4B">
        <w:rPr>
          <w:b w:val="0"/>
          <w:snapToGrid w:val="0"/>
          <w:lang w:eastAsia="en-US"/>
        </w:rPr>
        <w:t>è</w:t>
      </w:r>
      <w:r w:rsidR="00730B9B" w:rsidRPr="009C7F4B">
        <w:rPr>
          <w:b w:val="0"/>
          <w:snapToGrid w:val="0"/>
          <w:lang w:eastAsia="en-US"/>
        </w:rPr>
        <w:t>g</w:t>
      </w:r>
      <w:r w:rsidR="00642248" w:rsidRPr="009C7F4B">
        <w:rPr>
          <w:b w:val="0"/>
          <w:snapToGrid w:val="0"/>
          <w:lang w:eastAsia="en-US"/>
        </w:rPr>
        <w:t>ue</w:t>
      </w:r>
      <w:r w:rsidR="00730B9B" w:rsidRPr="009C7F4B">
        <w:rPr>
          <w:b w:val="0"/>
          <w:snapToGrid w:val="0"/>
          <w:lang w:eastAsia="en-US"/>
        </w:rPr>
        <w:t xml:space="preserve"> </w:t>
      </w:r>
      <w:r w:rsidR="00642248" w:rsidRPr="009C7F4B">
        <w:rPr>
          <w:b w:val="0"/>
          <w:snapToGrid w:val="0"/>
          <w:lang w:eastAsia="en-US"/>
        </w:rPr>
        <w:t>à son Bureau le pouvoir de décider de l’utilisation des fonds alloués au titre du point 3 du plan sur la base de propositions spécifiques à préparer par le Secrétariat »</w:t>
      </w:r>
      <w:r w:rsidR="00730B9B" w:rsidRPr="009C7F4B">
        <w:rPr>
          <w:b w:val="0"/>
          <w:snapToGrid w:val="0"/>
          <w:lang w:eastAsia="en-US"/>
        </w:rPr>
        <w:t xml:space="preserve">. </w:t>
      </w:r>
      <w:r w:rsidR="007D7143" w:rsidRPr="009C7F4B">
        <w:rPr>
          <w:b w:val="0"/>
          <w:snapToGrid w:val="0"/>
          <w:lang w:eastAsia="en-US"/>
        </w:rPr>
        <w:t xml:space="preserve">En </w:t>
      </w:r>
      <w:r w:rsidR="00642248" w:rsidRPr="009C7F4B">
        <w:rPr>
          <w:b w:val="0"/>
          <w:snapToGrid w:val="0"/>
          <w:lang w:eastAsia="en-US"/>
        </w:rPr>
        <w:t xml:space="preserve">conséquence, la </w:t>
      </w:r>
      <w:r w:rsidR="007D7143" w:rsidRPr="009C7F4B">
        <w:rPr>
          <w:b w:val="0"/>
          <w:snapToGrid w:val="0"/>
          <w:lang w:eastAsia="en-US"/>
        </w:rPr>
        <w:t>partie </w:t>
      </w:r>
      <w:r w:rsidR="00730B9B" w:rsidRPr="009C7F4B">
        <w:rPr>
          <w:b w:val="0"/>
          <w:snapToGrid w:val="0"/>
          <w:lang w:eastAsia="en-US"/>
        </w:rPr>
        <w:t xml:space="preserve">II </w:t>
      </w:r>
      <w:r w:rsidR="00642248" w:rsidRPr="009C7F4B">
        <w:rPr>
          <w:b w:val="0"/>
          <w:snapToGrid w:val="0"/>
          <w:lang w:eastAsia="en-US"/>
        </w:rPr>
        <w:t xml:space="preserve">du présent </w:t>
      </w:r>
      <w:r w:rsidR="00D4697F" w:rsidRPr="009C7F4B">
        <w:rPr>
          <w:b w:val="0"/>
          <w:snapToGrid w:val="0"/>
          <w:lang w:eastAsia="en-US"/>
        </w:rPr>
        <w:t>document</w:t>
      </w:r>
      <w:r w:rsidR="00730B9B" w:rsidRPr="009C7F4B">
        <w:rPr>
          <w:b w:val="0"/>
          <w:snapToGrid w:val="0"/>
          <w:lang w:eastAsia="en-US"/>
        </w:rPr>
        <w:t xml:space="preserve"> </w:t>
      </w:r>
      <w:r w:rsidR="00642248" w:rsidRPr="009C7F4B">
        <w:rPr>
          <w:b w:val="0"/>
          <w:snapToGrid w:val="0"/>
          <w:lang w:eastAsia="en-US"/>
        </w:rPr>
        <w:t xml:space="preserve">présente une proposition spécifique préparée par le Secrétariat pour l’utilisation de ces fonds pendant la période du </w:t>
      </w:r>
      <w:r w:rsidR="007D7143" w:rsidRPr="009C7F4B">
        <w:rPr>
          <w:b w:val="0"/>
          <w:snapToGrid w:val="0"/>
          <w:lang w:eastAsia="en-US"/>
        </w:rPr>
        <w:t>1</w:t>
      </w:r>
      <w:r w:rsidR="007D7143" w:rsidRPr="009C7F4B">
        <w:rPr>
          <w:b w:val="0"/>
          <w:snapToGrid w:val="0"/>
          <w:vertAlign w:val="superscript"/>
          <w:lang w:eastAsia="en-US"/>
        </w:rPr>
        <w:t>er</w:t>
      </w:r>
      <w:r w:rsidR="007D7143" w:rsidRPr="009C7F4B">
        <w:rPr>
          <w:b w:val="0"/>
          <w:snapToGrid w:val="0"/>
          <w:lang w:eastAsia="en-US"/>
        </w:rPr>
        <w:t> </w:t>
      </w:r>
      <w:r w:rsidR="00642248" w:rsidRPr="009C7F4B">
        <w:rPr>
          <w:b w:val="0"/>
          <w:snapToGrid w:val="0"/>
          <w:lang w:eastAsia="en-US"/>
        </w:rPr>
        <w:t>janvier</w:t>
      </w:r>
      <w:r w:rsidR="00730B9B" w:rsidRPr="009C7F4B">
        <w:rPr>
          <w:b w:val="0"/>
          <w:snapToGrid w:val="0"/>
          <w:lang w:eastAsia="en-US"/>
        </w:rPr>
        <w:t xml:space="preserve"> 2016 </w:t>
      </w:r>
      <w:r w:rsidR="00642248" w:rsidRPr="009C7F4B">
        <w:rPr>
          <w:b w:val="0"/>
          <w:snapToGrid w:val="0"/>
          <w:lang w:eastAsia="en-US"/>
        </w:rPr>
        <w:t>au</w:t>
      </w:r>
      <w:r w:rsidR="00730B9B" w:rsidRPr="009C7F4B">
        <w:rPr>
          <w:b w:val="0"/>
          <w:snapToGrid w:val="0"/>
          <w:lang w:eastAsia="en-US"/>
        </w:rPr>
        <w:t xml:space="preserve"> 31 </w:t>
      </w:r>
      <w:r w:rsidR="00642248" w:rsidRPr="009C7F4B">
        <w:rPr>
          <w:b w:val="0"/>
          <w:snapToGrid w:val="0"/>
          <w:lang w:eastAsia="en-US"/>
        </w:rPr>
        <w:t>déc</w:t>
      </w:r>
      <w:r w:rsidR="00730B9B" w:rsidRPr="009C7F4B">
        <w:rPr>
          <w:b w:val="0"/>
          <w:snapToGrid w:val="0"/>
          <w:lang w:eastAsia="en-US"/>
        </w:rPr>
        <w:t>emb</w:t>
      </w:r>
      <w:r w:rsidR="00642248" w:rsidRPr="009C7F4B">
        <w:rPr>
          <w:b w:val="0"/>
          <w:snapToGrid w:val="0"/>
          <w:lang w:eastAsia="en-US"/>
        </w:rPr>
        <w:t>r</w:t>
      </w:r>
      <w:r w:rsidR="00730B9B" w:rsidRPr="009C7F4B">
        <w:rPr>
          <w:b w:val="0"/>
          <w:snapToGrid w:val="0"/>
          <w:lang w:eastAsia="en-US"/>
        </w:rPr>
        <w:t>e 2017</w:t>
      </w:r>
      <w:r w:rsidR="00642248" w:rsidRPr="009C7F4B">
        <w:rPr>
          <w:b w:val="0"/>
          <w:snapToGrid w:val="0"/>
          <w:lang w:eastAsia="en-US"/>
        </w:rPr>
        <w:t> </w:t>
      </w:r>
      <w:r w:rsidR="00730B9B" w:rsidRPr="009C7F4B">
        <w:rPr>
          <w:b w:val="0"/>
          <w:snapToGrid w:val="0"/>
          <w:lang w:eastAsia="en-US"/>
        </w:rPr>
        <w:t xml:space="preserve">; </w:t>
      </w:r>
      <w:r w:rsidR="00642248" w:rsidRPr="009C7F4B">
        <w:rPr>
          <w:b w:val="0"/>
          <w:snapToGrid w:val="0"/>
          <w:lang w:eastAsia="en-US"/>
        </w:rPr>
        <w:t>cette proposition constitue l’annexe au projet de décision proposé ci-dessous</w:t>
      </w:r>
      <w:r w:rsidR="00730B9B" w:rsidRPr="009C7F4B">
        <w:rPr>
          <w:b w:val="0"/>
          <w:snapToGrid w:val="0"/>
          <w:lang w:eastAsia="en-US"/>
        </w:rPr>
        <w:t xml:space="preserve">. </w:t>
      </w:r>
      <w:r w:rsidR="00856EE2" w:rsidRPr="009C7F4B">
        <w:rPr>
          <w:b w:val="0"/>
          <w:snapToGrid w:val="0"/>
          <w:lang w:eastAsia="en-US"/>
        </w:rPr>
        <w:t xml:space="preserve">Le </w:t>
      </w:r>
      <w:r w:rsidR="00730B9B" w:rsidRPr="009C7F4B">
        <w:rPr>
          <w:b w:val="0"/>
          <w:snapToGrid w:val="0"/>
          <w:lang w:eastAsia="en-US"/>
        </w:rPr>
        <w:t xml:space="preserve">Bureau </w:t>
      </w:r>
      <w:r w:rsidR="00856EE2" w:rsidRPr="009C7F4B">
        <w:rPr>
          <w:b w:val="0"/>
          <w:snapToGrid w:val="0"/>
          <w:lang w:eastAsia="en-US"/>
        </w:rPr>
        <w:t>de la onzième session du Comité aura pour tâche</w:t>
      </w:r>
      <w:r w:rsidR="00730B9B" w:rsidRPr="009C7F4B">
        <w:rPr>
          <w:b w:val="0"/>
          <w:snapToGrid w:val="0"/>
          <w:lang w:eastAsia="en-US"/>
        </w:rPr>
        <w:t xml:space="preserve">, </w:t>
      </w:r>
      <w:r w:rsidR="007D7143" w:rsidRPr="009C7F4B">
        <w:rPr>
          <w:b w:val="0"/>
          <w:snapToGrid w:val="0"/>
          <w:lang w:eastAsia="en-US"/>
        </w:rPr>
        <w:t xml:space="preserve">vers </w:t>
      </w:r>
      <w:r w:rsidR="00856EE2" w:rsidRPr="009C7F4B">
        <w:rPr>
          <w:b w:val="0"/>
          <w:snapToGrid w:val="0"/>
          <w:lang w:eastAsia="en-US"/>
        </w:rPr>
        <w:t xml:space="preserve">la fin du </w:t>
      </w:r>
      <w:r w:rsidR="007D7143" w:rsidRPr="009C7F4B">
        <w:rPr>
          <w:b w:val="0"/>
          <w:snapToGrid w:val="0"/>
          <w:lang w:eastAsia="en-US"/>
        </w:rPr>
        <w:t>1</w:t>
      </w:r>
      <w:r w:rsidR="007D7143" w:rsidRPr="009C7F4B">
        <w:rPr>
          <w:b w:val="0"/>
          <w:snapToGrid w:val="0"/>
          <w:vertAlign w:val="superscript"/>
          <w:lang w:eastAsia="en-US"/>
        </w:rPr>
        <w:t>er</w:t>
      </w:r>
      <w:r w:rsidR="007D7143" w:rsidRPr="009C7F4B">
        <w:rPr>
          <w:b w:val="0"/>
          <w:snapToGrid w:val="0"/>
          <w:lang w:eastAsia="en-US"/>
        </w:rPr>
        <w:t> </w:t>
      </w:r>
      <w:r w:rsidR="00856EE2" w:rsidRPr="009C7F4B">
        <w:rPr>
          <w:b w:val="0"/>
          <w:snapToGrid w:val="0"/>
          <w:lang w:eastAsia="en-US"/>
        </w:rPr>
        <w:t xml:space="preserve">semestre </w:t>
      </w:r>
      <w:r w:rsidR="00730B9B" w:rsidRPr="009C7F4B">
        <w:rPr>
          <w:b w:val="0"/>
          <w:snapToGrid w:val="0"/>
          <w:lang w:eastAsia="en-US"/>
        </w:rPr>
        <w:t xml:space="preserve">2017, </w:t>
      </w:r>
      <w:r w:rsidR="00856EE2" w:rsidRPr="009C7F4B">
        <w:rPr>
          <w:b w:val="0"/>
          <w:snapToGrid w:val="0"/>
          <w:lang w:eastAsia="en-US"/>
        </w:rPr>
        <w:t xml:space="preserve">d’approuver la proposition d’utilisation de ces fonds pour la période du </w:t>
      </w:r>
      <w:r w:rsidR="007D7143" w:rsidRPr="009C7F4B">
        <w:rPr>
          <w:b w:val="0"/>
          <w:snapToGrid w:val="0"/>
          <w:lang w:eastAsia="en-US"/>
        </w:rPr>
        <w:t>1</w:t>
      </w:r>
      <w:r w:rsidR="007D7143" w:rsidRPr="009C7F4B">
        <w:rPr>
          <w:b w:val="0"/>
          <w:snapToGrid w:val="0"/>
          <w:vertAlign w:val="superscript"/>
          <w:lang w:eastAsia="en-US"/>
        </w:rPr>
        <w:t>er</w:t>
      </w:r>
      <w:r w:rsidR="007D7143" w:rsidRPr="009C7F4B">
        <w:rPr>
          <w:b w:val="0"/>
          <w:snapToGrid w:val="0"/>
          <w:lang w:eastAsia="en-US"/>
        </w:rPr>
        <w:t> </w:t>
      </w:r>
      <w:r w:rsidR="00856EE2" w:rsidRPr="009C7F4B">
        <w:rPr>
          <w:b w:val="0"/>
          <w:snapToGrid w:val="0"/>
          <w:lang w:eastAsia="en-US"/>
        </w:rPr>
        <w:t>janvier</w:t>
      </w:r>
      <w:r w:rsidR="00730B9B" w:rsidRPr="009C7F4B">
        <w:rPr>
          <w:b w:val="0"/>
          <w:snapToGrid w:val="0"/>
          <w:lang w:eastAsia="en-US"/>
        </w:rPr>
        <w:t xml:space="preserve"> 2018 </w:t>
      </w:r>
      <w:r w:rsidR="00856EE2" w:rsidRPr="009C7F4B">
        <w:rPr>
          <w:b w:val="0"/>
          <w:snapToGrid w:val="0"/>
          <w:lang w:eastAsia="en-US"/>
        </w:rPr>
        <w:t>au</w:t>
      </w:r>
      <w:r w:rsidR="00730B9B" w:rsidRPr="009C7F4B">
        <w:rPr>
          <w:b w:val="0"/>
          <w:snapToGrid w:val="0"/>
          <w:lang w:eastAsia="en-US"/>
        </w:rPr>
        <w:t xml:space="preserve"> </w:t>
      </w:r>
      <w:r w:rsidR="005F1239" w:rsidRPr="009C7F4B">
        <w:rPr>
          <w:b w:val="0"/>
          <w:snapToGrid w:val="0"/>
          <w:lang w:eastAsia="en-US"/>
        </w:rPr>
        <w:t>30</w:t>
      </w:r>
      <w:r w:rsidR="007D7143" w:rsidRPr="009C7F4B">
        <w:rPr>
          <w:b w:val="0"/>
          <w:snapToGrid w:val="0"/>
          <w:lang w:eastAsia="en-US"/>
        </w:rPr>
        <w:t> juin </w:t>
      </w:r>
      <w:r w:rsidR="00730B9B" w:rsidRPr="009C7F4B">
        <w:rPr>
          <w:b w:val="0"/>
          <w:snapToGrid w:val="0"/>
          <w:lang w:eastAsia="en-US"/>
        </w:rPr>
        <w:t xml:space="preserve">2018. </w:t>
      </w:r>
      <w:r w:rsidR="00856EE2" w:rsidRPr="009C7F4B">
        <w:rPr>
          <w:b w:val="0"/>
          <w:snapToGrid w:val="0"/>
          <w:lang w:eastAsia="en-US"/>
        </w:rPr>
        <w:t>L’</w:t>
      </w:r>
      <w:r w:rsidR="00730B9B" w:rsidRPr="009C7F4B">
        <w:rPr>
          <w:b w:val="0"/>
          <w:snapToGrid w:val="0"/>
          <w:lang w:eastAsia="en-US"/>
        </w:rPr>
        <w:t xml:space="preserve">intention </w:t>
      </w:r>
      <w:r w:rsidR="00856EE2" w:rsidRPr="009C7F4B">
        <w:rPr>
          <w:b w:val="0"/>
          <w:snapToGrid w:val="0"/>
          <w:lang w:eastAsia="en-US"/>
        </w:rPr>
        <w:t xml:space="preserve">est </w:t>
      </w:r>
      <w:r w:rsidR="007D7143" w:rsidRPr="009C7F4B">
        <w:rPr>
          <w:b w:val="0"/>
          <w:snapToGrid w:val="0"/>
          <w:lang w:eastAsia="en-US"/>
        </w:rPr>
        <w:t>d’aligner</w:t>
      </w:r>
      <w:r w:rsidR="00856EE2" w:rsidRPr="009C7F4B">
        <w:rPr>
          <w:b w:val="0"/>
          <w:snapToGrid w:val="0"/>
          <w:lang w:eastAsia="en-US"/>
        </w:rPr>
        <w:t xml:space="preserve"> les résultats escomptés de la proposition </w:t>
      </w:r>
      <w:r w:rsidR="007D7143" w:rsidRPr="009C7F4B">
        <w:rPr>
          <w:b w:val="0"/>
          <w:snapToGrid w:val="0"/>
          <w:lang w:eastAsia="en-US"/>
        </w:rPr>
        <w:t xml:space="preserve">avec </w:t>
      </w:r>
      <w:r w:rsidR="00856EE2" w:rsidRPr="009C7F4B">
        <w:rPr>
          <w:b w:val="0"/>
          <w:snapToGrid w:val="0"/>
          <w:lang w:eastAsia="en-US"/>
        </w:rPr>
        <w:t xml:space="preserve">ceux du projet de </w:t>
      </w:r>
      <w:r w:rsidR="007D7143" w:rsidRPr="009C7F4B">
        <w:rPr>
          <w:b w:val="0"/>
          <w:snapToGrid w:val="0"/>
          <w:lang w:eastAsia="en-US"/>
        </w:rPr>
        <w:t>document </w:t>
      </w:r>
      <w:r w:rsidR="00730B9B" w:rsidRPr="009C7F4B">
        <w:rPr>
          <w:b w:val="0"/>
          <w:snapToGrid w:val="0"/>
          <w:lang w:eastAsia="en-US"/>
        </w:rPr>
        <w:t>39C/5</w:t>
      </w:r>
      <w:r w:rsidR="007D7143" w:rsidRPr="009C7F4B">
        <w:rPr>
          <w:b w:val="0"/>
          <w:snapToGrid w:val="0"/>
          <w:lang w:eastAsia="en-US"/>
        </w:rPr>
        <w:t xml:space="preserve"> qui devrait être </w:t>
      </w:r>
      <w:r w:rsidR="00856EE2" w:rsidRPr="009C7F4B">
        <w:rPr>
          <w:b w:val="0"/>
          <w:snapToGrid w:val="0"/>
          <w:lang w:eastAsia="en-US"/>
        </w:rPr>
        <w:t xml:space="preserve">considérablement </w:t>
      </w:r>
      <w:r w:rsidR="007D7143" w:rsidRPr="009C7F4B">
        <w:rPr>
          <w:b w:val="0"/>
          <w:snapToGrid w:val="0"/>
          <w:lang w:eastAsia="en-US"/>
        </w:rPr>
        <w:t xml:space="preserve">avancé à ce </w:t>
      </w:r>
      <w:r w:rsidR="00A40154" w:rsidRPr="009C7F4B">
        <w:rPr>
          <w:b w:val="0"/>
          <w:snapToGrid w:val="0"/>
          <w:lang w:eastAsia="en-US"/>
        </w:rPr>
        <w:t>moment-là</w:t>
      </w:r>
      <w:r w:rsidR="00730B9B" w:rsidRPr="009C7F4B">
        <w:rPr>
          <w:b w:val="0"/>
          <w:snapToGrid w:val="0"/>
          <w:lang w:eastAsia="en-US"/>
        </w:rPr>
        <w:t>.</w:t>
      </w:r>
    </w:p>
    <w:p w14:paraId="794ED6B3" w14:textId="2E44A672" w:rsidR="00730B9B" w:rsidRPr="009C7F4B" w:rsidRDefault="00856EE2" w:rsidP="00BF6D09">
      <w:pPr>
        <w:pStyle w:val="Heading4"/>
        <w:keepNext w:val="0"/>
        <w:numPr>
          <w:ilvl w:val="0"/>
          <w:numId w:val="14"/>
        </w:numPr>
        <w:spacing w:before="0" w:after="120"/>
        <w:ind w:left="567" w:hanging="567"/>
        <w:jc w:val="both"/>
        <w:rPr>
          <w:b w:val="0"/>
          <w:snapToGrid w:val="0"/>
          <w:lang w:eastAsia="en-US"/>
        </w:rPr>
      </w:pPr>
      <w:r w:rsidRPr="009C7F4B">
        <w:rPr>
          <w:b w:val="0"/>
          <w:snapToGrid w:val="0"/>
          <w:lang w:eastAsia="en-US"/>
        </w:rPr>
        <w:t xml:space="preserve">Dans sa </w:t>
      </w:r>
      <w:hyperlink r:id="rId9" w:history="1">
        <w:r w:rsidRPr="009C7F4B">
          <w:rPr>
            <w:rStyle w:val="Hyperlink"/>
            <w:b w:val="0"/>
            <w:snapToGrid w:val="0"/>
            <w:lang w:eastAsia="en-US"/>
          </w:rPr>
          <w:t>dé</w:t>
        </w:r>
        <w:r w:rsidR="00730B9B" w:rsidRPr="009C7F4B">
          <w:rPr>
            <w:rStyle w:val="Hyperlink"/>
            <w:b w:val="0"/>
            <w:snapToGrid w:val="0"/>
            <w:lang w:eastAsia="en-US"/>
          </w:rPr>
          <w:t>cision 9.COM 2.BUR 1</w:t>
        </w:r>
      </w:hyperlink>
      <w:r w:rsidR="00730B9B" w:rsidRPr="009C7F4B">
        <w:rPr>
          <w:b w:val="0"/>
          <w:snapToGrid w:val="0"/>
          <w:lang w:eastAsia="en-US"/>
        </w:rPr>
        <w:t xml:space="preserve">, </w:t>
      </w:r>
      <w:r w:rsidRPr="009C7F4B">
        <w:rPr>
          <w:b w:val="0"/>
          <w:snapToGrid w:val="0"/>
          <w:lang w:eastAsia="en-US"/>
        </w:rPr>
        <w:t>l</w:t>
      </w:r>
      <w:r w:rsidR="00730B9B" w:rsidRPr="009C7F4B">
        <w:rPr>
          <w:b w:val="0"/>
          <w:snapToGrid w:val="0"/>
          <w:lang w:eastAsia="en-US"/>
        </w:rPr>
        <w:t xml:space="preserve">e Bureau </w:t>
      </w:r>
      <w:r w:rsidRPr="009C7F4B">
        <w:rPr>
          <w:b w:val="0"/>
          <w:snapToGrid w:val="0"/>
          <w:lang w:eastAsia="en-US"/>
        </w:rPr>
        <w:t xml:space="preserve">du Comité a approuvé la proposition du </w:t>
      </w:r>
      <w:r w:rsidR="00730B9B" w:rsidRPr="009C7F4B">
        <w:rPr>
          <w:b w:val="0"/>
          <w:snapToGrid w:val="0"/>
          <w:lang w:eastAsia="en-US"/>
        </w:rPr>
        <w:t>Secr</w:t>
      </w:r>
      <w:r w:rsidRPr="009C7F4B">
        <w:rPr>
          <w:b w:val="0"/>
          <w:snapToGrid w:val="0"/>
          <w:lang w:eastAsia="en-US"/>
        </w:rPr>
        <w:t>é</w:t>
      </w:r>
      <w:r w:rsidR="00730B9B" w:rsidRPr="009C7F4B">
        <w:rPr>
          <w:b w:val="0"/>
          <w:snapToGrid w:val="0"/>
          <w:lang w:eastAsia="en-US"/>
        </w:rPr>
        <w:t>tariat</w:t>
      </w:r>
      <w:r w:rsidRPr="009C7F4B">
        <w:rPr>
          <w:b w:val="0"/>
          <w:snapToGrid w:val="0"/>
          <w:lang w:eastAsia="en-US"/>
        </w:rPr>
        <w:t xml:space="preserve"> de dépenser </w:t>
      </w:r>
      <w:r w:rsidR="00730B9B" w:rsidRPr="009C7F4B">
        <w:rPr>
          <w:b w:val="0"/>
          <w:snapToGrid w:val="0"/>
          <w:lang w:eastAsia="en-US"/>
        </w:rPr>
        <w:t>337</w:t>
      </w:r>
      <w:r w:rsidRPr="009C7F4B">
        <w:rPr>
          <w:b w:val="0"/>
          <w:snapToGrid w:val="0"/>
          <w:lang w:eastAsia="en-US"/>
        </w:rPr>
        <w:t> </w:t>
      </w:r>
      <w:r w:rsidR="00730B9B" w:rsidRPr="009C7F4B">
        <w:rPr>
          <w:b w:val="0"/>
          <w:snapToGrid w:val="0"/>
          <w:lang w:eastAsia="en-US"/>
        </w:rPr>
        <w:t>772</w:t>
      </w:r>
      <w:r w:rsidRPr="009C7F4B">
        <w:rPr>
          <w:b w:val="0"/>
          <w:snapToGrid w:val="0"/>
          <w:lang w:eastAsia="en-US"/>
        </w:rPr>
        <w:t xml:space="preserve"> dollars des </w:t>
      </w:r>
      <w:r w:rsidR="004312CB" w:rsidRPr="009C7F4B">
        <w:rPr>
          <w:b w:val="0"/>
          <w:snapToGrid w:val="0"/>
          <w:lang w:eastAsia="en-US"/>
        </w:rPr>
        <w:t>États-Unis</w:t>
      </w:r>
      <w:r w:rsidRPr="009C7F4B">
        <w:rPr>
          <w:b w:val="0"/>
          <w:snapToGrid w:val="0"/>
          <w:lang w:eastAsia="en-US"/>
        </w:rPr>
        <w:t xml:space="preserve"> au cours du premier semestre de l’exerci</w:t>
      </w:r>
      <w:r w:rsidR="00D4697F" w:rsidRPr="009C7F4B">
        <w:rPr>
          <w:b w:val="0"/>
          <w:snapToGrid w:val="0"/>
          <w:lang w:eastAsia="en-US"/>
        </w:rPr>
        <w:t>c</w:t>
      </w:r>
      <w:r w:rsidRPr="009C7F4B">
        <w:rPr>
          <w:b w:val="0"/>
          <w:snapToGrid w:val="0"/>
          <w:lang w:eastAsia="en-US"/>
        </w:rPr>
        <w:t xml:space="preserve">e, c’est-à-dire du </w:t>
      </w:r>
      <w:r w:rsidR="00A40154" w:rsidRPr="009C7F4B">
        <w:rPr>
          <w:b w:val="0"/>
          <w:snapToGrid w:val="0"/>
          <w:lang w:eastAsia="en-US"/>
        </w:rPr>
        <w:t>1</w:t>
      </w:r>
      <w:r w:rsidR="00A40154" w:rsidRPr="009C7F4B">
        <w:rPr>
          <w:b w:val="0"/>
          <w:snapToGrid w:val="0"/>
          <w:vertAlign w:val="superscript"/>
          <w:lang w:eastAsia="en-US"/>
        </w:rPr>
        <w:t>er</w:t>
      </w:r>
      <w:r w:rsidR="00A40154" w:rsidRPr="009C7F4B">
        <w:rPr>
          <w:b w:val="0"/>
          <w:snapToGrid w:val="0"/>
          <w:lang w:eastAsia="en-US"/>
        </w:rPr>
        <w:t> </w:t>
      </w:r>
      <w:r w:rsidRPr="009C7F4B">
        <w:rPr>
          <w:b w:val="0"/>
          <w:snapToGrid w:val="0"/>
          <w:lang w:eastAsia="en-US"/>
        </w:rPr>
        <w:t xml:space="preserve">janvier au </w:t>
      </w:r>
      <w:r w:rsidR="00730B9B" w:rsidRPr="009C7F4B">
        <w:rPr>
          <w:b w:val="0"/>
          <w:snapToGrid w:val="0"/>
          <w:lang w:eastAsia="en-US"/>
        </w:rPr>
        <w:t>30 </w:t>
      </w:r>
      <w:r w:rsidR="00A40154" w:rsidRPr="009C7F4B">
        <w:rPr>
          <w:b w:val="0"/>
          <w:snapToGrid w:val="0"/>
          <w:lang w:eastAsia="en-US"/>
        </w:rPr>
        <w:t>juin </w:t>
      </w:r>
      <w:r w:rsidR="00730B9B" w:rsidRPr="009C7F4B">
        <w:rPr>
          <w:b w:val="0"/>
          <w:snapToGrid w:val="0"/>
          <w:lang w:eastAsia="en-US"/>
        </w:rPr>
        <w:t xml:space="preserve">2016. </w:t>
      </w:r>
      <w:r w:rsidR="00A902BD" w:rsidRPr="009C7F4B">
        <w:rPr>
          <w:b w:val="0"/>
          <w:snapToGrid w:val="0"/>
          <w:lang w:eastAsia="en-US"/>
        </w:rPr>
        <w:t xml:space="preserve">Si elle est </w:t>
      </w:r>
      <w:r w:rsidR="00730B9B" w:rsidRPr="009C7F4B">
        <w:rPr>
          <w:b w:val="0"/>
          <w:snapToGrid w:val="0"/>
          <w:lang w:eastAsia="en-US"/>
        </w:rPr>
        <w:t>adopt</w:t>
      </w:r>
      <w:r w:rsidR="00A902BD" w:rsidRPr="009C7F4B">
        <w:rPr>
          <w:b w:val="0"/>
          <w:snapToGrid w:val="0"/>
          <w:lang w:eastAsia="en-US"/>
        </w:rPr>
        <w:t>é</w:t>
      </w:r>
      <w:r w:rsidR="00730B9B" w:rsidRPr="009C7F4B">
        <w:rPr>
          <w:b w:val="0"/>
          <w:snapToGrid w:val="0"/>
          <w:lang w:eastAsia="en-US"/>
        </w:rPr>
        <w:t xml:space="preserve">e, </w:t>
      </w:r>
      <w:r w:rsidR="00A902BD" w:rsidRPr="009C7F4B">
        <w:rPr>
          <w:b w:val="0"/>
          <w:snapToGrid w:val="0"/>
          <w:lang w:eastAsia="en-US"/>
        </w:rPr>
        <w:t xml:space="preserve">la présente proposition remplacera le plan précédemment approuvé par le </w:t>
      </w:r>
      <w:r w:rsidR="00730B9B" w:rsidRPr="009C7F4B">
        <w:rPr>
          <w:b w:val="0"/>
          <w:snapToGrid w:val="0"/>
          <w:lang w:eastAsia="en-US"/>
        </w:rPr>
        <w:t xml:space="preserve">Bureau </w:t>
      </w:r>
      <w:r w:rsidR="00A902BD" w:rsidRPr="009C7F4B">
        <w:rPr>
          <w:b w:val="0"/>
          <w:snapToGrid w:val="0"/>
          <w:lang w:eastAsia="en-US"/>
        </w:rPr>
        <w:t>dans sa décision</w:t>
      </w:r>
      <w:r w:rsidR="00730B9B" w:rsidRPr="009C7F4B">
        <w:rPr>
          <w:b w:val="0"/>
          <w:snapToGrid w:val="0"/>
          <w:lang w:eastAsia="en-US"/>
        </w:rPr>
        <w:t> 9.COM 2.BUR 1</w:t>
      </w:r>
      <w:r w:rsidR="00A902BD" w:rsidRPr="009C7F4B">
        <w:rPr>
          <w:b w:val="0"/>
          <w:snapToGrid w:val="0"/>
          <w:lang w:eastAsia="en-US"/>
        </w:rPr>
        <w:t> </w:t>
      </w:r>
      <w:r w:rsidR="00730B9B" w:rsidRPr="009C7F4B">
        <w:rPr>
          <w:b w:val="0"/>
          <w:snapToGrid w:val="0"/>
          <w:lang w:eastAsia="en-US"/>
        </w:rPr>
        <w:t xml:space="preserve">; </w:t>
      </w:r>
      <w:r w:rsidR="00A902BD" w:rsidRPr="009C7F4B">
        <w:rPr>
          <w:b w:val="0"/>
          <w:snapToGrid w:val="0"/>
          <w:lang w:eastAsia="en-US"/>
        </w:rPr>
        <w:t>les dotations budgétaires proposées dans le plan incluent par conséquent les dépenses déjà engagées à ce jour au cours du présent exercice</w:t>
      </w:r>
      <w:r w:rsidR="00730B9B" w:rsidRPr="009C7F4B">
        <w:rPr>
          <w:b w:val="0"/>
          <w:snapToGrid w:val="0"/>
          <w:lang w:eastAsia="en-US"/>
        </w:rPr>
        <w:t xml:space="preserve">. </w:t>
      </w:r>
      <w:r w:rsidR="00A902BD" w:rsidRPr="009C7F4B">
        <w:rPr>
          <w:b w:val="0"/>
          <w:snapToGrid w:val="0"/>
          <w:lang w:eastAsia="en-US"/>
        </w:rPr>
        <w:t>Dans cette même dé</w:t>
      </w:r>
      <w:r w:rsidR="00730B9B" w:rsidRPr="009C7F4B">
        <w:rPr>
          <w:b w:val="0"/>
          <w:snapToGrid w:val="0"/>
          <w:lang w:eastAsia="en-US"/>
        </w:rPr>
        <w:t xml:space="preserve">cision, </w:t>
      </w:r>
      <w:r w:rsidR="00A902BD" w:rsidRPr="009C7F4B">
        <w:rPr>
          <w:b w:val="0"/>
          <w:snapToGrid w:val="0"/>
          <w:lang w:eastAsia="en-US"/>
        </w:rPr>
        <w:t>l</w:t>
      </w:r>
      <w:r w:rsidR="00730B9B" w:rsidRPr="009C7F4B">
        <w:rPr>
          <w:b w:val="0"/>
          <w:snapToGrid w:val="0"/>
          <w:lang w:eastAsia="en-US"/>
        </w:rPr>
        <w:t xml:space="preserve">e Bureau </w:t>
      </w:r>
      <w:r w:rsidR="00A902BD" w:rsidRPr="009C7F4B">
        <w:rPr>
          <w:b w:val="0"/>
          <w:snapToGrid w:val="0"/>
          <w:lang w:eastAsia="en-US"/>
        </w:rPr>
        <w:t xml:space="preserve">a demandé au </w:t>
      </w:r>
      <w:r w:rsidR="00730B9B" w:rsidRPr="009C7F4B">
        <w:rPr>
          <w:b w:val="0"/>
          <w:snapToGrid w:val="0"/>
          <w:lang w:eastAsia="en-US"/>
        </w:rPr>
        <w:t>Secr</w:t>
      </w:r>
      <w:r w:rsidR="00A902BD" w:rsidRPr="009C7F4B">
        <w:rPr>
          <w:b w:val="0"/>
          <w:snapToGrid w:val="0"/>
          <w:lang w:eastAsia="en-US"/>
        </w:rPr>
        <w:t>é</w:t>
      </w:r>
      <w:r w:rsidR="00730B9B" w:rsidRPr="009C7F4B">
        <w:rPr>
          <w:b w:val="0"/>
          <w:snapToGrid w:val="0"/>
          <w:lang w:eastAsia="en-US"/>
        </w:rPr>
        <w:t xml:space="preserve">tariat </w:t>
      </w:r>
      <w:r w:rsidR="00A902BD" w:rsidRPr="009C7F4B">
        <w:rPr>
          <w:b w:val="0"/>
          <w:snapToGrid w:val="0"/>
          <w:lang w:eastAsia="en-US"/>
        </w:rPr>
        <w:t>de</w:t>
      </w:r>
      <w:r w:rsidR="00730B9B" w:rsidRPr="009C7F4B">
        <w:rPr>
          <w:b w:val="0"/>
          <w:snapToGrid w:val="0"/>
          <w:lang w:eastAsia="en-US"/>
        </w:rPr>
        <w:t xml:space="preserve"> </w:t>
      </w:r>
      <w:r w:rsidR="00D4697F" w:rsidRPr="009C7F4B">
        <w:rPr>
          <w:b w:val="0"/>
          <w:snapToGrid w:val="0"/>
          <w:lang w:eastAsia="en-US"/>
        </w:rPr>
        <w:t>« </w:t>
      </w:r>
      <w:r w:rsidR="00D6008F" w:rsidRPr="009C7F4B">
        <w:rPr>
          <w:b w:val="0"/>
          <w:snapToGrid w:val="0"/>
          <w:lang w:eastAsia="en-US"/>
        </w:rPr>
        <w:t>rendre compte de l’avancement de la mise en œuvre et de la façon dont les fonds sont dépensés. »</w:t>
      </w:r>
      <w:r w:rsidR="00C417D1" w:rsidRPr="009C7F4B">
        <w:rPr>
          <w:b w:val="0"/>
          <w:snapToGrid w:val="0"/>
          <w:lang w:eastAsia="en-US"/>
        </w:rPr>
        <w:t>.</w:t>
      </w:r>
      <w:r w:rsidR="00D6008F" w:rsidRPr="009C7F4B">
        <w:rPr>
          <w:b w:val="0"/>
          <w:snapToGrid w:val="0"/>
          <w:lang w:eastAsia="en-US"/>
        </w:rPr>
        <w:t xml:space="preserve"> </w:t>
      </w:r>
      <w:r w:rsidR="00C417D1" w:rsidRPr="009C7F4B">
        <w:rPr>
          <w:b w:val="0"/>
          <w:snapToGrid w:val="0"/>
          <w:lang w:eastAsia="en-US"/>
        </w:rPr>
        <w:t xml:space="preserve">Ce rapport pour la période du </w:t>
      </w:r>
      <w:r w:rsidR="00A40154" w:rsidRPr="009C7F4B">
        <w:rPr>
          <w:b w:val="0"/>
          <w:snapToGrid w:val="0"/>
          <w:lang w:eastAsia="en-US"/>
        </w:rPr>
        <w:t>1</w:t>
      </w:r>
      <w:r w:rsidR="00A40154" w:rsidRPr="009C7F4B">
        <w:rPr>
          <w:b w:val="0"/>
          <w:snapToGrid w:val="0"/>
          <w:vertAlign w:val="superscript"/>
          <w:lang w:eastAsia="en-US"/>
        </w:rPr>
        <w:t>er</w:t>
      </w:r>
      <w:r w:rsidR="00A40154" w:rsidRPr="009C7F4B">
        <w:rPr>
          <w:b w:val="0"/>
          <w:snapToGrid w:val="0"/>
          <w:lang w:eastAsia="en-US"/>
        </w:rPr>
        <w:t> </w:t>
      </w:r>
      <w:r w:rsidR="00C417D1" w:rsidRPr="009C7F4B">
        <w:rPr>
          <w:b w:val="0"/>
          <w:snapToGrid w:val="0"/>
          <w:lang w:eastAsia="en-US"/>
        </w:rPr>
        <w:t>janvier</w:t>
      </w:r>
      <w:r w:rsidR="00730B9B" w:rsidRPr="009C7F4B">
        <w:rPr>
          <w:b w:val="0"/>
          <w:snapToGrid w:val="0"/>
          <w:lang w:eastAsia="en-US"/>
        </w:rPr>
        <w:t xml:space="preserve"> 2014 </w:t>
      </w:r>
      <w:r w:rsidR="00C417D1" w:rsidRPr="009C7F4B">
        <w:rPr>
          <w:b w:val="0"/>
          <w:snapToGrid w:val="0"/>
          <w:lang w:eastAsia="en-US"/>
        </w:rPr>
        <w:t>au</w:t>
      </w:r>
      <w:r w:rsidR="00730B9B" w:rsidRPr="009C7F4B">
        <w:rPr>
          <w:b w:val="0"/>
          <w:snapToGrid w:val="0"/>
          <w:lang w:eastAsia="en-US"/>
        </w:rPr>
        <w:t xml:space="preserve"> 31 </w:t>
      </w:r>
      <w:r w:rsidR="00C417D1" w:rsidRPr="009C7F4B">
        <w:rPr>
          <w:b w:val="0"/>
          <w:snapToGrid w:val="0"/>
          <w:lang w:eastAsia="en-US"/>
        </w:rPr>
        <w:t>dé</w:t>
      </w:r>
      <w:r w:rsidR="00730B9B" w:rsidRPr="009C7F4B">
        <w:rPr>
          <w:b w:val="0"/>
          <w:snapToGrid w:val="0"/>
          <w:lang w:eastAsia="en-US"/>
        </w:rPr>
        <w:t>cemb</w:t>
      </w:r>
      <w:r w:rsidR="00C417D1" w:rsidRPr="009C7F4B">
        <w:rPr>
          <w:b w:val="0"/>
          <w:snapToGrid w:val="0"/>
          <w:lang w:eastAsia="en-US"/>
        </w:rPr>
        <w:t>r</w:t>
      </w:r>
      <w:r w:rsidR="00730B9B" w:rsidRPr="009C7F4B">
        <w:rPr>
          <w:b w:val="0"/>
          <w:snapToGrid w:val="0"/>
          <w:lang w:eastAsia="en-US"/>
        </w:rPr>
        <w:t xml:space="preserve">e 2015 </w:t>
      </w:r>
      <w:r w:rsidR="00C417D1" w:rsidRPr="009C7F4B">
        <w:rPr>
          <w:b w:val="0"/>
          <w:snapToGrid w:val="0"/>
          <w:lang w:eastAsia="en-US"/>
        </w:rPr>
        <w:t xml:space="preserve">figure dans le </w:t>
      </w:r>
      <w:hyperlink r:id="rId10" w:history="1">
        <w:r w:rsidR="00730B9B" w:rsidRPr="009C7F4B">
          <w:rPr>
            <w:rStyle w:val="Hyperlink"/>
            <w:b w:val="0"/>
            <w:snapToGrid w:val="0"/>
            <w:lang w:eastAsia="en-US"/>
          </w:rPr>
          <w:t>document ITH/16/11.</w:t>
        </w:r>
        <w:r w:rsidR="00A40154" w:rsidRPr="009C7F4B">
          <w:rPr>
            <w:rStyle w:val="Hyperlink"/>
            <w:b w:val="0"/>
            <w:snapToGrid w:val="0"/>
            <w:lang w:eastAsia="en-US"/>
          </w:rPr>
          <w:t>COM </w:t>
        </w:r>
        <w:r w:rsidR="00730B9B" w:rsidRPr="009C7F4B">
          <w:rPr>
            <w:rStyle w:val="Hyperlink"/>
            <w:b w:val="0"/>
            <w:snapToGrid w:val="0"/>
            <w:lang w:eastAsia="en-US"/>
          </w:rPr>
          <w:t>2.BUR/</w:t>
        </w:r>
        <w:r w:rsidR="00A40154" w:rsidRPr="009C7F4B">
          <w:rPr>
            <w:rStyle w:val="Hyperlink"/>
            <w:b w:val="0"/>
            <w:snapToGrid w:val="0"/>
            <w:lang w:eastAsia="en-US"/>
          </w:rPr>
          <w:t>1 </w:t>
        </w:r>
        <w:r w:rsidR="00730B9B" w:rsidRPr="009C7F4B">
          <w:rPr>
            <w:rStyle w:val="Hyperlink"/>
            <w:b w:val="0"/>
            <w:snapToGrid w:val="0"/>
            <w:lang w:eastAsia="en-US"/>
          </w:rPr>
          <w:t>INF</w:t>
        </w:r>
      </w:hyperlink>
      <w:r w:rsidR="00730B9B" w:rsidRPr="009C7F4B">
        <w:rPr>
          <w:b w:val="0"/>
          <w:snapToGrid w:val="0"/>
          <w:lang w:eastAsia="en-US"/>
        </w:rPr>
        <w:t xml:space="preserve">. </w:t>
      </w:r>
      <w:r w:rsidR="002971F0" w:rsidRPr="009C7F4B">
        <w:rPr>
          <w:b w:val="0"/>
          <w:snapToGrid w:val="0"/>
          <w:lang w:eastAsia="en-US"/>
        </w:rPr>
        <w:t xml:space="preserve">Dans la mesure où toutes les activités entreprises au premier semestre </w:t>
      </w:r>
      <w:r w:rsidR="00730B9B" w:rsidRPr="009C7F4B">
        <w:rPr>
          <w:b w:val="0"/>
          <w:snapToGrid w:val="0"/>
          <w:lang w:eastAsia="en-US"/>
        </w:rPr>
        <w:t>2016 figure</w:t>
      </w:r>
      <w:r w:rsidR="002971F0" w:rsidRPr="009C7F4B">
        <w:rPr>
          <w:b w:val="0"/>
          <w:snapToGrid w:val="0"/>
          <w:lang w:eastAsia="en-US"/>
        </w:rPr>
        <w:t>nt également dans le plan général de l’exercice</w:t>
      </w:r>
      <w:r w:rsidR="00730B9B" w:rsidRPr="009C7F4B">
        <w:rPr>
          <w:b w:val="0"/>
          <w:snapToGrid w:val="0"/>
          <w:lang w:eastAsia="en-US"/>
        </w:rPr>
        <w:t xml:space="preserve"> </w:t>
      </w:r>
      <w:r w:rsidR="00A40154" w:rsidRPr="009C7F4B">
        <w:rPr>
          <w:b w:val="0"/>
          <w:snapToGrid w:val="0"/>
          <w:lang w:eastAsia="en-US"/>
        </w:rPr>
        <w:t xml:space="preserve">biennal </w:t>
      </w:r>
      <w:r w:rsidR="002971F0" w:rsidRPr="009C7F4B">
        <w:rPr>
          <w:b w:val="0"/>
          <w:snapToGrid w:val="0"/>
          <w:lang w:eastAsia="en-US"/>
        </w:rPr>
        <w:t xml:space="preserve">et sont </w:t>
      </w:r>
      <w:r w:rsidR="00124D67" w:rsidRPr="009C7F4B">
        <w:rPr>
          <w:b w:val="0"/>
          <w:snapToGrid w:val="0"/>
          <w:lang w:eastAsia="en-US"/>
        </w:rPr>
        <w:t>pour la plupart</w:t>
      </w:r>
      <w:r w:rsidR="002971F0" w:rsidRPr="009C7F4B">
        <w:rPr>
          <w:b w:val="0"/>
          <w:snapToGrid w:val="0"/>
          <w:lang w:eastAsia="en-US"/>
        </w:rPr>
        <w:t xml:space="preserve"> en cours au moment où nous écrivons, le rapport sur le premier semestre </w:t>
      </w:r>
      <w:r w:rsidR="00730B9B" w:rsidRPr="009C7F4B">
        <w:rPr>
          <w:b w:val="0"/>
          <w:snapToGrid w:val="0"/>
          <w:lang w:eastAsia="en-US"/>
        </w:rPr>
        <w:t xml:space="preserve">2016 </w:t>
      </w:r>
      <w:r w:rsidR="002971F0" w:rsidRPr="009C7F4B">
        <w:rPr>
          <w:b w:val="0"/>
          <w:snapToGrid w:val="0"/>
          <w:lang w:eastAsia="en-US"/>
        </w:rPr>
        <w:t xml:space="preserve">fera partie du rapport sur les activités du </w:t>
      </w:r>
      <w:r w:rsidR="004312CB" w:rsidRPr="009C7F4B">
        <w:rPr>
          <w:b w:val="0"/>
          <w:snapToGrid w:val="0"/>
          <w:lang w:eastAsia="en-US"/>
        </w:rPr>
        <w:t>Secrétariat</w:t>
      </w:r>
      <w:r w:rsidR="00730B9B" w:rsidRPr="009C7F4B">
        <w:rPr>
          <w:b w:val="0"/>
          <w:snapToGrid w:val="0"/>
          <w:lang w:eastAsia="en-US"/>
        </w:rPr>
        <w:t xml:space="preserve"> </w:t>
      </w:r>
      <w:r w:rsidR="002971F0" w:rsidRPr="009C7F4B">
        <w:rPr>
          <w:b w:val="0"/>
          <w:snapToGrid w:val="0"/>
          <w:lang w:eastAsia="en-US"/>
        </w:rPr>
        <w:t>qui doit être examiné lors de la onzième session du Comité et</w:t>
      </w:r>
      <w:r w:rsidR="00605512" w:rsidRPr="009C7F4B">
        <w:rPr>
          <w:b w:val="0"/>
          <w:snapToGrid w:val="0"/>
          <w:lang w:eastAsia="en-US"/>
        </w:rPr>
        <w:t xml:space="preserve"> une version plus détaillée figurera dans le rapport qui sera examiné par le Bureau du Comité lorsqu’il se réunira à la fin du premier semestre </w:t>
      </w:r>
      <w:r w:rsidR="00730B9B" w:rsidRPr="009C7F4B">
        <w:rPr>
          <w:b w:val="0"/>
          <w:snapToGrid w:val="0"/>
          <w:lang w:eastAsia="en-US"/>
        </w:rPr>
        <w:t>2017.</w:t>
      </w:r>
    </w:p>
    <w:p w14:paraId="608F8610" w14:textId="0F7F654C" w:rsidR="00730B9B" w:rsidRPr="009C7F4B" w:rsidRDefault="00BF6D09" w:rsidP="00BF6D09">
      <w:pPr>
        <w:pStyle w:val="Heading4"/>
        <w:rPr>
          <w:smallCaps/>
          <w:snapToGrid w:val="0"/>
          <w:lang w:eastAsia="en-US"/>
        </w:rPr>
      </w:pPr>
      <w:r w:rsidRPr="009C7F4B">
        <w:rPr>
          <w:snapToGrid w:val="0"/>
          <w:lang w:eastAsia="en-US"/>
        </w:rPr>
        <w:t>PROPOSITION D’UTILISATION DES FONDS ALLOUES AUX « AUTRES FONCTIONS DU COMITE »</w:t>
      </w:r>
    </w:p>
    <w:p w14:paraId="7D170985" w14:textId="1AB22248" w:rsidR="00730B9B" w:rsidRPr="009C7F4B" w:rsidRDefault="00605512" w:rsidP="00BF6D09">
      <w:pPr>
        <w:pStyle w:val="Heading4"/>
        <w:keepNext w:val="0"/>
        <w:numPr>
          <w:ilvl w:val="0"/>
          <w:numId w:val="14"/>
        </w:numPr>
        <w:spacing w:before="0" w:after="120"/>
        <w:ind w:left="567" w:hanging="567"/>
        <w:jc w:val="both"/>
        <w:rPr>
          <w:b w:val="0"/>
          <w:snapToGrid w:val="0"/>
          <w:lang w:eastAsia="en-US"/>
        </w:rPr>
      </w:pPr>
      <w:r w:rsidRPr="009C7F4B">
        <w:rPr>
          <w:b w:val="0"/>
          <w:snapToGrid w:val="0"/>
          <w:lang w:eastAsia="en-US"/>
        </w:rPr>
        <w:t xml:space="preserve">Selon l’approche déjà adoptée par le </w:t>
      </w:r>
      <w:r w:rsidR="00730B9B" w:rsidRPr="009C7F4B">
        <w:rPr>
          <w:b w:val="0"/>
          <w:snapToGrid w:val="0"/>
          <w:lang w:eastAsia="en-US"/>
        </w:rPr>
        <w:t xml:space="preserve">Bureau </w:t>
      </w:r>
      <w:r w:rsidRPr="009C7F4B">
        <w:rPr>
          <w:b w:val="0"/>
          <w:snapToGrid w:val="0"/>
          <w:lang w:eastAsia="en-US"/>
        </w:rPr>
        <w:t xml:space="preserve">de la neuvième </w:t>
      </w:r>
      <w:r w:rsidR="00730B9B" w:rsidRPr="009C7F4B">
        <w:rPr>
          <w:b w:val="0"/>
          <w:snapToGrid w:val="0"/>
          <w:lang w:eastAsia="en-US"/>
        </w:rPr>
        <w:t xml:space="preserve">session </w:t>
      </w:r>
      <w:r w:rsidRPr="009C7F4B">
        <w:rPr>
          <w:b w:val="0"/>
          <w:snapToGrid w:val="0"/>
          <w:lang w:eastAsia="en-US"/>
        </w:rPr>
        <w:t xml:space="preserve">du Comité, qui consiste à approuver un plan de dépenses </w:t>
      </w:r>
      <w:r w:rsidR="00A40154" w:rsidRPr="009C7F4B">
        <w:rPr>
          <w:b w:val="0"/>
          <w:snapToGrid w:val="0"/>
          <w:lang w:eastAsia="en-US"/>
        </w:rPr>
        <w:t xml:space="preserve">formulé </w:t>
      </w:r>
      <w:r w:rsidRPr="009C7F4B">
        <w:rPr>
          <w:b w:val="0"/>
          <w:snapToGrid w:val="0"/>
          <w:lang w:eastAsia="en-US"/>
        </w:rPr>
        <w:t>en termes de résultats, de produits et d’indicateurs</w:t>
      </w:r>
      <w:r w:rsidR="00730B9B" w:rsidRPr="009C7F4B">
        <w:rPr>
          <w:b w:val="0"/>
          <w:snapToGrid w:val="0"/>
          <w:lang w:eastAsia="en-US"/>
        </w:rPr>
        <w:t xml:space="preserve"> – </w:t>
      </w:r>
      <w:r w:rsidRPr="009C7F4B">
        <w:rPr>
          <w:b w:val="0"/>
          <w:snapToGrid w:val="0"/>
          <w:lang w:eastAsia="en-US"/>
        </w:rPr>
        <w:t>plutôt qu’en termes d’activités spécifiques ou de catégories de dépenses</w:t>
      </w:r>
      <w:r w:rsidR="00730B9B" w:rsidRPr="009C7F4B">
        <w:rPr>
          <w:b w:val="0"/>
          <w:snapToGrid w:val="0"/>
          <w:lang w:eastAsia="en-US"/>
        </w:rPr>
        <w:t xml:space="preserve"> –</w:t>
      </w:r>
      <w:r w:rsidR="00124D67" w:rsidRPr="009C7F4B">
        <w:rPr>
          <w:b w:val="0"/>
          <w:snapToGrid w:val="0"/>
          <w:lang w:eastAsia="en-US"/>
        </w:rPr>
        <w:t>,</w:t>
      </w:r>
      <w:r w:rsidR="00730B9B" w:rsidRPr="009C7F4B">
        <w:rPr>
          <w:b w:val="0"/>
          <w:snapToGrid w:val="0"/>
          <w:lang w:eastAsia="en-US"/>
        </w:rPr>
        <w:t xml:space="preserve"> </w:t>
      </w:r>
      <w:r w:rsidR="000A2819" w:rsidRPr="009C7F4B">
        <w:rPr>
          <w:b w:val="0"/>
          <w:snapToGrid w:val="0"/>
          <w:lang w:eastAsia="en-US"/>
        </w:rPr>
        <w:t>il est demandé par les présentes au</w:t>
      </w:r>
      <w:r w:rsidR="00730B9B" w:rsidRPr="009C7F4B">
        <w:rPr>
          <w:b w:val="0"/>
          <w:snapToGrid w:val="0"/>
          <w:lang w:eastAsia="en-US"/>
        </w:rPr>
        <w:t xml:space="preserve"> Bureau </w:t>
      </w:r>
      <w:r w:rsidR="000A2819" w:rsidRPr="009C7F4B">
        <w:rPr>
          <w:b w:val="0"/>
          <w:snapToGrid w:val="0"/>
          <w:lang w:eastAsia="en-US"/>
        </w:rPr>
        <w:t>d’approuver la proposition</w:t>
      </w:r>
      <w:r w:rsidR="00730B9B" w:rsidRPr="009C7F4B">
        <w:rPr>
          <w:b w:val="0"/>
          <w:snapToGrid w:val="0"/>
          <w:lang w:eastAsia="en-US"/>
        </w:rPr>
        <w:t xml:space="preserve"> </w:t>
      </w:r>
      <w:r w:rsidR="000A2819" w:rsidRPr="009C7F4B">
        <w:rPr>
          <w:b w:val="0"/>
          <w:snapToGrid w:val="0"/>
          <w:lang w:eastAsia="en-US"/>
        </w:rPr>
        <w:t>jointe en annexe</w:t>
      </w:r>
      <w:r w:rsidR="00730B9B" w:rsidRPr="009C7F4B">
        <w:rPr>
          <w:b w:val="0"/>
          <w:snapToGrid w:val="0"/>
          <w:lang w:eastAsia="en-US"/>
        </w:rPr>
        <w:t xml:space="preserve">, </w:t>
      </w:r>
      <w:r w:rsidR="00551DDB" w:rsidRPr="009C7F4B">
        <w:rPr>
          <w:b w:val="0"/>
          <w:snapToGrid w:val="0"/>
          <w:lang w:eastAsia="en-US"/>
        </w:rPr>
        <w:t xml:space="preserve">laquelle </w:t>
      </w:r>
      <w:r w:rsidR="00730B9B" w:rsidRPr="009C7F4B">
        <w:rPr>
          <w:b w:val="0"/>
          <w:snapToGrid w:val="0"/>
          <w:lang w:eastAsia="en-US"/>
        </w:rPr>
        <w:t>int</w:t>
      </w:r>
      <w:r w:rsidR="00551DDB" w:rsidRPr="009C7F4B">
        <w:rPr>
          <w:b w:val="0"/>
          <w:snapToGrid w:val="0"/>
          <w:lang w:eastAsia="en-US"/>
        </w:rPr>
        <w:t>è</w:t>
      </w:r>
      <w:r w:rsidR="00730B9B" w:rsidRPr="009C7F4B">
        <w:rPr>
          <w:b w:val="0"/>
          <w:snapToGrid w:val="0"/>
          <w:lang w:eastAsia="en-US"/>
        </w:rPr>
        <w:t>gr</w:t>
      </w:r>
      <w:r w:rsidR="00551DDB" w:rsidRPr="009C7F4B">
        <w:rPr>
          <w:b w:val="0"/>
          <w:snapToGrid w:val="0"/>
          <w:lang w:eastAsia="en-US"/>
        </w:rPr>
        <w:t>e</w:t>
      </w:r>
      <w:r w:rsidR="000A2819" w:rsidRPr="009C7F4B">
        <w:rPr>
          <w:b w:val="0"/>
          <w:snapToGrid w:val="0"/>
          <w:lang w:eastAsia="en-US"/>
        </w:rPr>
        <w:t xml:space="preserve"> le cadre de résultats avec dotations budgétaires pour chaque résultat</w:t>
      </w:r>
      <w:r w:rsidR="00730B9B" w:rsidRPr="009C7F4B">
        <w:rPr>
          <w:b w:val="0"/>
          <w:snapToGrid w:val="0"/>
          <w:lang w:eastAsia="en-US"/>
        </w:rPr>
        <w:t xml:space="preserve">. </w:t>
      </w:r>
      <w:r w:rsidR="000A2819" w:rsidRPr="009C7F4B">
        <w:rPr>
          <w:b w:val="0"/>
          <w:snapToGrid w:val="0"/>
          <w:lang w:eastAsia="en-US"/>
        </w:rPr>
        <w:t xml:space="preserve">La proposition tient compte des enseignements tirés des activités menées lors de l’exercice précédent </w:t>
      </w:r>
      <w:r w:rsidR="00730B9B" w:rsidRPr="009C7F4B">
        <w:rPr>
          <w:b w:val="0"/>
          <w:snapToGrid w:val="0"/>
          <w:lang w:eastAsia="en-US"/>
        </w:rPr>
        <w:t xml:space="preserve">– </w:t>
      </w:r>
      <w:r w:rsidR="000A2819" w:rsidRPr="009C7F4B">
        <w:rPr>
          <w:b w:val="0"/>
          <w:snapToGrid w:val="0"/>
          <w:lang w:eastAsia="en-US"/>
        </w:rPr>
        <w:t xml:space="preserve">et dont le rapport est fourni au </w:t>
      </w:r>
      <w:r w:rsidR="00730B9B" w:rsidRPr="009C7F4B">
        <w:rPr>
          <w:b w:val="0"/>
          <w:snapToGrid w:val="0"/>
          <w:lang w:eastAsia="en-US"/>
        </w:rPr>
        <w:t>Bureau (</w:t>
      </w:r>
      <w:hyperlink r:id="rId11" w:history="1">
        <w:r w:rsidR="00730B9B" w:rsidRPr="009C7F4B">
          <w:rPr>
            <w:rStyle w:val="Hyperlink"/>
            <w:lang w:eastAsia="en-US"/>
          </w:rPr>
          <w:t>document ITH/16/11.COM 2.BUR/INF.1</w:t>
        </w:r>
      </w:hyperlink>
      <w:r w:rsidR="00730B9B" w:rsidRPr="009C7F4B">
        <w:rPr>
          <w:b w:val="0"/>
          <w:snapToGrid w:val="0"/>
          <w:lang w:eastAsia="en-US"/>
        </w:rPr>
        <w:t xml:space="preserve">). </w:t>
      </w:r>
      <w:r w:rsidR="000A2819" w:rsidRPr="009C7F4B">
        <w:rPr>
          <w:b w:val="0"/>
          <w:snapToGrid w:val="0"/>
          <w:lang w:eastAsia="en-US"/>
        </w:rPr>
        <w:t>Pour plus de cohérence avec le document</w:t>
      </w:r>
      <w:r w:rsidR="00730B9B" w:rsidRPr="009C7F4B">
        <w:rPr>
          <w:b w:val="0"/>
          <w:snapToGrid w:val="0"/>
          <w:lang w:eastAsia="en-US"/>
        </w:rPr>
        <w:t xml:space="preserve"> </w:t>
      </w:r>
      <w:hyperlink r:id="rId12" w:history="1">
        <w:r w:rsidR="00730B9B" w:rsidRPr="009C7F4B">
          <w:rPr>
            <w:b w:val="0"/>
            <w:snapToGrid w:val="0"/>
            <w:color w:val="0000FF" w:themeColor="hyperlink"/>
            <w:u w:val="single"/>
            <w:lang w:eastAsia="en-US"/>
          </w:rPr>
          <w:t>38C/5 Appro</w:t>
        </w:r>
        <w:r w:rsidR="000A2819" w:rsidRPr="009C7F4B">
          <w:rPr>
            <w:b w:val="0"/>
            <w:snapToGrid w:val="0"/>
            <w:color w:val="0000FF" w:themeColor="hyperlink"/>
            <w:u w:val="single"/>
            <w:lang w:eastAsia="en-US"/>
          </w:rPr>
          <w:t>uvé</w:t>
        </w:r>
      </w:hyperlink>
      <w:r w:rsidR="000A2819" w:rsidRPr="009C7F4B">
        <w:rPr>
          <w:b w:val="0"/>
          <w:snapToGrid w:val="0"/>
          <w:lang w:eastAsia="en-US"/>
        </w:rPr>
        <w:t xml:space="preserve"> et</w:t>
      </w:r>
      <w:r w:rsidR="00730B9B" w:rsidRPr="009C7F4B">
        <w:rPr>
          <w:b w:val="0"/>
          <w:snapToGrid w:val="0"/>
          <w:lang w:eastAsia="en-US"/>
        </w:rPr>
        <w:t xml:space="preserve"> </w:t>
      </w:r>
      <w:r w:rsidR="000A2819" w:rsidRPr="009C7F4B">
        <w:rPr>
          <w:b w:val="0"/>
          <w:snapToGrid w:val="0"/>
          <w:lang w:eastAsia="en-US"/>
        </w:rPr>
        <w:t xml:space="preserve">une meilleure </w:t>
      </w:r>
      <w:r w:rsidR="004B2151" w:rsidRPr="009C7F4B">
        <w:rPr>
          <w:b w:val="0"/>
          <w:snapToGrid w:val="0"/>
          <w:lang w:eastAsia="en-US"/>
        </w:rPr>
        <w:t>harmonisation</w:t>
      </w:r>
      <w:r w:rsidR="000A2819" w:rsidRPr="009C7F4B">
        <w:rPr>
          <w:b w:val="0"/>
          <w:snapToGrid w:val="0"/>
          <w:lang w:eastAsia="en-US"/>
        </w:rPr>
        <w:t xml:space="preserve"> avec</w:t>
      </w:r>
      <w:r w:rsidR="00E83EDB" w:rsidRPr="009C7F4B">
        <w:rPr>
          <w:b w:val="0"/>
          <w:snapToGrid w:val="0"/>
          <w:lang w:eastAsia="en-US"/>
        </w:rPr>
        <w:t xml:space="preserve"> les </w:t>
      </w:r>
      <w:r w:rsidR="00E83EDB" w:rsidRPr="009C7F4B">
        <w:rPr>
          <w:b w:val="0"/>
          <w:snapToGrid w:val="0"/>
          <w:lang w:eastAsia="en-US"/>
        </w:rPr>
        <w:lastRenderedPageBreak/>
        <w:t xml:space="preserve">rapports correspondants destinés aux organes directeurs de la </w:t>
      </w:r>
      <w:r w:rsidR="00730B9B" w:rsidRPr="009C7F4B">
        <w:rPr>
          <w:b w:val="0"/>
          <w:snapToGrid w:val="0"/>
          <w:lang w:eastAsia="en-US"/>
        </w:rPr>
        <w:t xml:space="preserve">Convention </w:t>
      </w:r>
      <w:r w:rsidR="00E83EDB" w:rsidRPr="009C7F4B">
        <w:rPr>
          <w:b w:val="0"/>
          <w:snapToGrid w:val="0"/>
          <w:lang w:eastAsia="en-US"/>
        </w:rPr>
        <w:t>et de l’</w:t>
      </w:r>
      <w:r w:rsidR="00730B9B" w:rsidRPr="009C7F4B">
        <w:rPr>
          <w:b w:val="0"/>
          <w:snapToGrid w:val="0"/>
          <w:lang w:eastAsia="en-US"/>
        </w:rPr>
        <w:t xml:space="preserve">UNESCO, </w:t>
      </w:r>
      <w:r w:rsidR="00E83EDB" w:rsidRPr="009C7F4B">
        <w:rPr>
          <w:b w:val="0"/>
          <w:snapToGrid w:val="0"/>
          <w:lang w:eastAsia="en-US"/>
        </w:rPr>
        <w:t>le cadre de résultats proposé reprend le modèle adopté dans le document 38C/5 pour le Grand programme</w:t>
      </w:r>
      <w:r w:rsidR="00730B9B" w:rsidRPr="009C7F4B">
        <w:rPr>
          <w:b w:val="0"/>
          <w:snapToGrid w:val="0"/>
          <w:lang w:eastAsia="en-US"/>
        </w:rPr>
        <w:t xml:space="preserve"> IV Culture, </w:t>
      </w:r>
      <w:r w:rsidR="002365F7" w:rsidRPr="009C7F4B">
        <w:rPr>
          <w:b w:val="0"/>
          <w:snapToGrid w:val="0"/>
          <w:lang w:eastAsia="en-US"/>
        </w:rPr>
        <w:t xml:space="preserve">Axe d’action 2, </w:t>
      </w:r>
      <w:r w:rsidR="004F0072" w:rsidRPr="009C7F4B">
        <w:rPr>
          <w:b w:val="0"/>
          <w:snapToGrid w:val="0"/>
          <w:lang w:eastAsia="en-US"/>
        </w:rPr>
        <w:t>Résultat escompté</w:t>
      </w:r>
      <w:r w:rsidR="00730B9B" w:rsidRPr="009C7F4B">
        <w:rPr>
          <w:b w:val="0"/>
          <w:snapToGrid w:val="0"/>
          <w:lang w:eastAsia="en-US"/>
        </w:rPr>
        <w:t xml:space="preserve"> 5 </w:t>
      </w:r>
      <w:r w:rsidR="00895937" w:rsidRPr="009C7F4B">
        <w:rPr>
          <w:b w:val="0"/>
          <w:snapToGrid w:val="0"/>
          <w:lang w:eastAsia="en-US"/>
        </w:rPr>
        <w:t>« </w:t>
      </w:r>
      <w:r w:rsidR="00CF55E7" w:rsidRPr="009C7F4B">
        <w:rPr>
          <w:b w:val="0"/>
          <w:snapToGrid w:val="0"/>
          <w:lang w:eastAsia="en-US"/>
        </w:rPr>
        <w:t>Renforcement et utilisation des capacités nationales en vue de la sauvegarde du patrimoine culturel immatériel, y compris les langues autochtones et en péril, par la mise en œuvre effective de la Convention de 200</w:t>
      </w:r>
      <w:r w:rsidR="00895937" w:rsidRPr="009C7F4B">
        <w:rPr>
          <w:b w:val="0"/>
          <w:snapToGrid w:val="0"/>
          <w:lang w:eastAsia="en-US"/>
        </w:rPr>
        <w:t>3 »</w:t>
      </w:r>
      <w:r w:rsidR="00730B9B" w:rsidRPr="009C7F4B">
        <w:rPr>
          <w:b w:val="0"/>
          <w:snapToGrid w:val="0"/>
          <w:lang w:eastAsia="en-US"/>
        </w:rPr>
        <w:t xml:space="preserve">. </w:t>
      </w:r>
      <w:r w:rsidR="00EB1B39" w:rsidRPr="009C7F4B">
        <w:rPr>
          <w:b w:val="0"/>
          <w:snapToGrid w:val="0"/>
          <w:lang w:eastAsia="en-US"/>
        </w:rPr>
        <w:t xml:space="preserve">La proposition jointe en annexe couvrant la totalité de l’exercice biennal </w:t>
      </w:r>
      <w:r w:rsidR="00730B9B" w:rsidRPr="009C7F4B">
        <w:rPr>
          <w:b w:val="0"/>
          <w:snapToGrid w:val="0"/>
          <w:lang w:eastAsia="en-US"/>
        </w:rPr>
        <w:t xml:space="preserve">2016-2017 </w:t>
      </w:r>
      <w:r w:rsidR="00EB1B39" w:rsidRPr="009C7F4B">
        <w:rPr>
          <w:b w:val="0"/>
          <w:snapToGrid w:val="0"/>
          <w:lang w:eastAsia="en-US"/>
        </w:rPr>
        <w:t xml:space="preserve">et remplaçant le plan de dépenses provisoire approuvé précédemment, les résultats escomptés, les produits et les indicateurs donnés pour cette période incluent également le travail accompli au premier semestre </w:t>
      </w:r>
      <w:r w:rsidR="00730B9B" w:rsidRPr="009C7F4B">
        <w:rPr>
          <w:b w:val="0"/>
          <w:snapToGrid w:val="0"/>
          <w:lang w:eastAsia="en-US"/>
        </w:rPr>
        <w:t>2016.</w:t>
      </w:r>
    </w:p>
    <w:p w14:paraId="77D5413A" w14:textId="689BB5A7" w:rsidR="00730B9B" w:rsidRPr="009C7F4B" w:rsidRDefault="002365F7" w:rsidP="00BF6D09">
      <w:pPr>
        <w:pStyle w:val="Heading4"/>
        <w:keepNext w:val="0"/>
        <w:numPr>
          <w:ilvl w:val="0"/>
          <w:numId w:val="14"/>
        </w:numPr>
        <w:spacing w:before="0" w:after="120"/>
        <w:ind w:left="567" w:hanging="567"/>
        <w:jc w:val="both"/>
        <w:rPr>
          <w:b w:val="0"/>
          <w:snapToGrid w:val="0"/>
          <w:lang w:eastAsia="en-US"/>
        </w:rPr>
      </w:pPr>
      <w:r w:rsidRPr="009C7F4B">
        <w:rPr>
          <w:b w:val="0"/>
          <w:snapToGrid w:val="0"/>
          <w:lang w:eastAsia="en-US"/>
        </w:rPr>
        <w:t>Bien que</w:t>
      </w:r>
      <w:r w:rsidR="00F357A8" w:rsidRPr="009C7F4B">
        <w:rPr>
          <w:b w:val="0"/>
          <w:snapToGrid w:val="0"/>
          <w:lang w:eastAsia="en-US"/>
        </w:rPr>
        <w:t xml:space="preserve"> </w:t>
      </w:r>
      <w:r w:rsidRPr="009C7F4B">
        <w:rPr>
          <w:b w:val="0"/>
          <w:snapToGrid w:val="0"/>
          <w:lang w:eastAsia="en-US"/>
        </w:rPr>
        <w:t>l’alignement</w:t>
      </w:r>
      <w:r w:rsidR="00F357A8" w:rsidRPr="009C7F4B">
        <w:rPr>
          <w:b w:val="0"/>
          <w:snapToGrid w:val="0"/>
          <w:lang w:eastAsia="en-US"/>
        </w:rPr>
        <w:t xml:space="preserve"> des résultats escomptés du plan de dépenses pour les </w:t>
      </w:r>
      <w:r w:rsidR="0067086A" w:rsidRPr="009C7F4B">
        <w:rPr>
          <w:b w:val="0"/>
          <w:snapToGrid w:val="0"/>
          <w:lang w:eastAsia="en-US"/>
        </w:rPr>
        <w:t>« </w:t>
      </w:r>
      <w:r w:rsidR="00F357A8" w:rsidRPr="009C7F4B">
        <w:rPr>
          <w:b w:val="0"/>
          <w:snapToGrid w:val="0"/>
          <w:lang w:eastAsia="en-US"/>
        </w:rPr>
        <w:t xml:space="preserve">autres fonctions du </w:t>
      </w:r>
      <w:r w:rsidRPr="009C7F4B">
        <w:rPr>
          <w:b w:val="0"/>
          <w:snapToGrid w:val="0"/>
          <w:lang w:eastAsia="en-US"/>
        </w:rPr>
        <w:t>Comité </w:t>
      </w:r>
      <w:r w:rsidR="0067086A" w:rsidRPr="009C7F4B">
        <w:rPr>
          <w:b w:val="0"/>
          <w:snapToGrid w:val="0"/>
          <w:lang w:eastAsia="en-US"/>
        </w:rPr>
        <w:t>»</w:t>
      </w:r>
      <w:r w:rsidR="00F357A8" w:rsidRPr="009C7F4B">
        <w:rPr>
          <w:b w:val="0"/>
          <w:snapToGrid w:val="0"/>
          <w:lang w:eastAsia="en-US"/>
        </w:rPr>
        <w:t xml:space="preserve"> pour la période du </w:t>
      </w:r>
      <w:r w:rsidRPr="009C7F4B">
        <w:rPr>
          <w:b w:val="0"/>
          <w:snapToGrid w:val="0"/>
          <w:lang w:eastAsia="en-US"/>
        </w:rPr>
        <w:t>1</w:t>
      </w:r>
      <w:r w:rsidRPr="009C7F4B">
        <w:rPr>
          <w:b w:val="0"/>
          <w:snapToGrid w:val="0"/>
          <w:vertAlign w:val="superscript"/>
          <w:lang w:eastAsia="en-US"/>
        </w:rPr>
        <w:t>er</w:t>
      </w:r>
      <w:r w:rsidRPr="009C7F4B">
        <w:rPr>
          <w:b w:val="0"/>
          <w:snapToGrid w:val="0"/>
          <w:lang w:eastAsia="en-US"/>
        </w:rPr>
        <w:t> janvier </w:t>
      </w:r>
      <w:r w:rsidR="00730B9B" w:rsidRPr="009C7F4B">
        <w:rPr>
          <w:b w:val="0"/>
          <w:snapToGrid w:val="0"/>
          <w:lang w:eastAsia="en-US"/>
        </w:rPr>
        <w:t xml:space="preserve">2016 </w:t>
      </w:r>
      <w:r w:rsidR="00F357A8" w:rsidRPr="009C7F4B">
        <w:rPr>
          <w:b w:val="0"/>
          <w:snapToGrid w:val="0"/>
          <w:lang w:eastAsia="en-US"/>
        </w:rPr>
        <w:t>au</w:t>
      </w:r>
      <w:r w:rsidR="00730B9B" w:rsidRPr="009C7F4B">
        <w:rPr>
          <w:b w:val="0"/>
          <w:snapToGrid w:val="0"/>
          <w:lang w:eastAsia="en-US"/>
        </w:rPr>
        <w:t xml:space="preserve"> </w:t>
      </w:r>
      <w:r w:rsidRPr="009C7F4B">
        <w:rPr>
          <w:b w:val="0"/>
          <w:snapToGrid w:val="0"/>
          <w:lang w:eastAsia="en-US"/>
        </w:rPr>
        <w:t>31 décembre </w:t>
      </w:r>
      <w:r w:rsidR="00730B9B" w:rsidRPr="009C7F4B">
        <w:rPr>
          <w:b w:val="0"/>
          <w:snapToGrid w:val="0"/>
          <w:lang w:eastAsia="en-US"/>
        </w:rPr>
        <w:t xml:space="preserve">2017 </w:t>
      </w:r>
      <w:r w:rsidR="00025641" w:rsidRPr="009C7F4B">
        <w:rPr>
          <w:b w:val="0"/>
          <w:snapToGrid w:val="0"/>
          <w:lang w:eastAsia="en-US"/>
        </w:rPr>
        <w:t xml:space="preserve">avec ceux du </w:t>
      </w:r>
      <w:r w:rsidRPr="009C7F4B">
        <w:rPr>
          <w:b w:val="0"/>
          <w:snapToGrid w:val="0"/>
          <w:lang w:eastAsia="en-US"/>
        </w:rPr>
        <w:t>document </w:t>
      </w:r>
      <w:r w:rsidR="00730B9B" w:rsidRPr="009C7F4B">
        <w:rPr>
          <w:b w:val="0"/>
          <w:snapToGrid w:val="0"/>
          <w:lang w:eastAsia="en-US"/>
        </w:rPr>
        <w:t xml:space="preserve">38C/5 </w:t>
      </w:r>
      <w:r w:rsidR="00025641" w:rsidRPr="009C7F4B">
        <w:rPr>
          <w:b w:val="0"/>
          <w:snapToGrid w:val="0"/>
          <w:lang w:eastAsia="en-US"/>
        </w:rPr>
        <w:t>rend</w:t>
      </w:r>
      <w:r w:rsidRPr="009C7F4B">
        <w:rPr>
          <w:b w:val="0"/>
          <w:snapToGrid w:val="0"/>
          <w:lang w:eastAsia="en-US"/>
        </w:rPr>
        <w:t>e</w:t>
      </w:r>
      <w:r w:rsidR="00025641" w:rsidRPr="009C7F4B">
        <w:rPr>
          <w:b w:val="0"/>
          <w:snapToGrid w:val="0"/>
          <w:lang w:eastAsia="en-US"/>
        </w:rPr>
        <w:t xml:space="preserve"> difficile la comparaison entre les dotations proposées et celles de l’exercice précédent</w:t>
      </w:r>
      <w:r w:rsidRPr="009C7F4B">
        <w:rPr>
          <w:b w:val="0"/>
          <w:snapToGrid w:val="0"/>
          <w:lang w:eastAsia="en-US"/>
        </w:rPr>
        <w:t>, l</w:t>
      </w:r>
      <w:r w:rsidR="00025641" w:rsidRPr="009C7F4B">
        <w:rPr>
          <w:b w:val="0"/>
          <w:snapToGrid w:val="0"/>
          <w:lang w:eastAsia="en-US"/>
        </w:rPr>
        <w:t xml:space="preserve">e </w:t>
      </w:r>
      <w:r w:rsidR="00730B9B" w:rsidRPr="009C7F4B">
        <w:rPr>
          <w:b w:val="0"/>
          <w:snapToGrid w:val="0"/>
          <w:lang w:eastAsia="en-US"/>
        </w:rPr>
        <w:t>table</w:t>
      </w:r>
      <w:r w:rsidR="00025641" w:rsidRPr="009C7F4B">
        <w:rPr>
          <w:b w:val="0"/>
          <w:snapToGrid w:val="0"/>
          <w:lang w:eastAsia="en-US"/>
        </w:rPr>
        <w:t xml:space="preserve">au ci-dessous montre que la priorité reste l’aide apportée aux </w:t>
      </w:r>
      <w:r w:rsidR="004312CB" w:rsidRPr="009C7F4B">
        <w:rPr>
          <w:b w:val="0"/>
          <w:snapToGrid w:val="0"/>
          <w:lang w:eastAsia="en-US"/>
        </w:rPr>
        <w:t>États</w:t>
      </w:r>
      <w:r w:rsidR="00025641" w:rsidRPr="009C7F4B">
        <w:rPr>
          <w:b w:val="0"/>
          <w:snapToGrid w:val="0"/>
          <w:lang w:eastAsia="en-US"/>
        </w:rPr>
        <w:t xml:space="preserve"> membres pour la mise en </w:t>
      </w:r>
      <w:r w:rsidR="00134C6C" w:rsidRPr="009C7F4B">
        <w:rPr>
          <w:b w:val="0"/>
          <w:snapToGrid w:val="0"/>
          <w:lang w:eastAsia="en-US"/>
        </w:rPr>
        <w:t xml:space="preserve">œuvre </w:t>
      </w:r>
      <w:r w:rsidR="00025641" w:rsidRPr="009C7F4B">
        <w:rPr>
          <w:b w:val="0"/>
          <w:snapToGrid w:val="0"/>
          <w:lang w:eastAsia="en-US"/>
        </w:rPr>
        <w:t xml:space="preserve">de la </w:t>
      </w:r>
      <w:r w:rsidR="00730B9B" w:rsidRPr="009C7F4B">
        <w:rPr>
          <w:b w:val="0"/>
          <w:snapToGrid w:val="0"/>
          <w:lang w:eastAsia="en-US"/>
        </w:rPr>
        <w:t>Convention a</w:t>
      </w:r>
      <w:r w:rsidR="00025641" w:rsidRPr="009C7F4B">
        <w:rPr>
          <w:b w:val="0"/>
          <w:snapToGrid w:val="0"/>
          <w:lang w:eastAsia="en-US"/>
        </w:rPr>
        <w:t>u niveau national par le biais du programme global de renforcement de capacités</w:t>
      </w:r>
      <w:r w:rsidR="00730B9B" w:rsidRPr="009C7F4B">
        <w:rPr>
          <w:b w:val="0"/>
          <w:snapToGrid w:val="0"/>
          <w:lang w:eastAsia="en-US"/>
        </w:rPr>
        <w:t xml:space="preserve">. </w:t>
      </w:r>
      <w:r w:rsidR="00025641" w:rsidRPr="009C7F4B">
        <w:rPr>
          <w:b w:val="0"/>
          <w:snapToGrid w:val="0"/>
          <w:lang w:eastAsia="en-US"/>
        </w:rPr>
        <w:t>Comme dans les plans antérieurs, les dotations budgétaires traduisent le rôle important que joue la gestion des connaissances dans la mise en œuvre effective de la Convention au niveau international.</w:t>
      </w:r>
      <w:r w:rsidR="00730B9B" w:rsidRPr="009C7F4B">
        <w:rPr>
          <w:b w:val="0"/>
          <w:snapToGrid w:val="0"/>
          <w:lang w:eastAsia="en-US"/>
        </w:rPr>
        <w:t xml:space="preserve"> </w:t>
      </w:r>
      <w:r w:rsidR="00F33588" w:rsidRPr="009C7F4B">
        <w:rPr>
          <w:b w:val="0"/>
          <w:snapToGrid w:val="0"/>
          <w:lang w:eastAsia="en-US"/>
        </w:rPr>
        <w:t>Si les efforts de sensibilisation semblent plus importants qu’au cours de l’exercice précédent</w:t>
      </w:r>
      <w:r w:rsidR="00134C6C" w:rsidRPr="009C7F4B">
        <w:rPr>
          <w:b w:val="0"/>
          <w:snapToGrid w:val="0"/>
          <w:lang w:eastAsia="en-US"/>
        </w:rPr>
        <w:t xml:space="preserve"> en termes de budget</w:t>
      </w:r>
      <w:r w:rsidR="00F33588" w:rsidRPr="009C7F4B">
        <w:rPr>
          <w:b w:val="0"/>
          <w:snapToGrid w:val="0"/>
          <w:lang w:eastAsia="en-US"/>
        </w:rPr>
        <w:t xml:space="preserve">, c’est principalement parce que le résultat escompté correspondant </w:t>
      </w:r>
      <w:r w:rsidR="00730B9B" w:rsidRPr="009C7F4B">
        <w:rPr>
          <w:b w:val="0"/>
          <w:snapToGrid w:val="0"/>
          <w:lang w:eastAsia="en-US"/>
        </w:rPr>
        <w:t>(</w:t>
      </w:r>
      <w:r w:rsidR="0067086A" w:rsidRPr="009C7F4B">
        <w:rPr>
          <w:b w:val="0"/>
          <w:snapToGrid w:val="0"/>
          <w:lang w:eastAsia="en-US"/>
        </w:rPr>
        <w:t>R</w:t>
      </w:r>
      <w:r w:rsidRPr="009C7F4B">
        <w:rPr>
          <w:b w:val="0"/>
          <w:snapToGrid w:val="0"/>
          <w:lang w:eastAsia="en-US"/>
        </w:rPr>
        <w:t>E </w:t>
      </w:r>
      <w:r w:rsidR="00730B9B" w:rsidRPr="009C7F4B">
        <w:rPr>
          <w:b w:val="0"/>
          <w:snapToGrid w:val="0"/>
          <w:lang w:eastAsia="en-US"/>
        </w:rPr>
        <w:t>4) en</w:t>
      </w:r>
      <w:r w:rsidR="00F33588" w:rsidRPr="009C7F4B">
        <w:rPr>
          <w:b w:val="0"/>
          <w:snapToGrid w:val="0"/>
          <w:lang w:eastAsia="en-US"/>
        </w:rPr>
        <w:t xml:space="preserve">globe les diverses activités proposées pour mobiliser </w:t>
      </w:r>
      <w:r w:rsidR="00AB399C" w:rsidRPr="009C7F4B">
        <w:rPr>
          <w:b w:val="0"/>
          <w:snapToGrid w:val="0"/>
          <w:lang w:eastAsia="en-US"/>
        </w:rPr>
        <w:t xml:space="preserve">efficacement </w:t>
      </w:r>
      <w:r w:rsidR="00F33588" w:rsidRPr="009C7F4B">
        <w:rPr>
          <w:b w:val="0"/>
          <w:snapToGrid w:val="0"/>
          <w:lang w:eastAsia="en-US"/>
        </w:rPr>
        <w:t>u</w:t>
      </w:r>
      <w:r w:rsidR="00AB399C" w:rsidRPr="009C7F4B">
        <w:rPr>
          <w:b w:val="0"/>
          <w:snapToGrid w:val="0"/>
          <w:lang w:eastAsia="en-US"/>
        </w:rPr>
        <w:t>ne plus grande diversité de parties prenantes</w:t>
      </w:r>
      <w:r w:rsidR="00730B9B" w:rsidRPr="009C7F4B">
        <w:rPr>
          <w:b w:val="0"/>
          <w:snapToGrid w:val="0"/>
          <w:lang w:eastAsia="en-US"/>
        </w:rPr>
        <w:t xml:space="preserve">. </w:t>
      </w:r>
      <w:r w:rsidR="00AB399C" w:rsidRPr="009C7F4B">
        <w:rPr>
          <w:b w:val="0"/>
          <w:snapToGrid w:val="0"/>
          <w:lang w:eastAsia="en-US"/>
        </w:rPr>
        <w:t xml:space="preserve">Enfin, les ressources limitées allouées au résultat </w:t>
      </w:r>
      <w:r w:rsidRPr="009C7F4B">
        <w:rPr>
          <w:b w:val="0"/>
          <w:snapToGrid w:val="0"/>
          <w:lang w:eastAsia="en-US"/>
        </w:rPr>
        <w:t>escompté </w:t>
      </w:r>
      <w:r w:rsidR="00730B9B" w:rsidRPr="009C7F4B">
        <w:rPr>
          <w:b w:val="0"/>
          <w:snapToGrid w:val="0"/>
          <w:lang w:eastAsia="en-US"/>
        </w:rPr>
        <w:t xml:space="preserve">3 </w:t>
      </w:r>
      <w:r w:rsidR="00AB399C" w:rsidRPr="009C7F4B">
        <w:rPr>
          <w:b w:val="0"/>
          <w:snapToGrid w:val="0"/>
          <w:lang w:eastAsia="en-US"/>
        </w:rPr>
        <w:t>ne rendent pas justice à son impact à long terme, puisqu’elle</w:t>
      </w:r>
      <w:r w:rsidR="00655629" w:rsidRPr="009C7F4B">
        <w:rPr>
          <w:b w:val="0"/>
          <w:snapToGrid w:val="0"/>
          <w:lang w:eastAsia="en-US"/>
        </w:rPr>
        <w:t xml:space="preserve">s </w:t>
      </w:r>
      <w:r w:rsidR="00730B9B" w:rsidRPr="009C7F4B">
        <w:rPr>
          <w:b w:val="0"/>
          <w:snapToGrid w:val="0"/>
          <w:lang w:eastAsia="en-US"/>
        </w:rPr>
        <w:t>d</w:t>
      </w:r>
      <w:r w:rsidR="00655629" w:rsidRPr="009C7F4B">
        <w:rPr>
          <w:b w:val="0"/>
          <w:snapToGrid w:val="0"/>
          <w:lang w:eastAsia="en-US"/>
        </w:rPr>
        <w:t>evraient être financées par des fonds extrabudgétaires, comme l’a demandé le Comité</w:t>
      </w:r>
      <w:r w:rsidR="00730B9B" w:rsidRPr="009C7F4B">
        <w:rPr>
          <w:b w:val="0"/>
          <w:snapToGrid w:val="0"/>
          <w:lang w:eastAsia="en-US"/>
        </w:rPr>
        <w:t xml:space="preserve"> (</w:t>
      </w:r>
      <w:hyperlink r:id="rId13" w:history="1">
        <w:r w:rsidR="00655629" w:rsidRPr="009C7F4B">
          <w:rPr>
            <w:rStyle w:val="Hyperlink"/>
            <w:b w:val="0"/>
            <w:snapToGrid w:val="0"/>
            <w:lang w:eastAsia="en-US"/>
          </w:rPr>
          <w:t>dé</w:t>
        </w:r>
        <w:r w:rsidR="00730B9B" w:rsidRPr="009C7F4B">
          <w:rPr>
            <w:rStyle w:val="Hyperlink"/>
            <w:b w:val="0"/>
            <w:snapToGrid w:val="0"/>
            <w:lang w:eastAsia="en-US"/>
          </w:rPr>
          <w:t>cision 9.COM 13.e</w:t>
        </w:r>
      </w:hyperlink>
      <w:r w:rsidR="00730B9B" w:rsidRPr="009C7F4B">
        <w:rPr>
          <w:b w:val="0"/>
          <w:snapToGrid w:val="0"/>
          <w:lang w:eastAsia="en-US"/>
        </w:rPr>
        <w:t>).</w:t>
      </w:r>
    </w:p>
    <w:tbl>
      <w:tblPr>
        <w:tblW w:w="0" w:type="auto"/>
        <w:tblInd w:w="1016" w:type="dxa"/>
        <w:tblLook w:val="04A0" w:firstRow="1" w:lastRow="0" w:firstColumn="1" w:lastColumn="0" w:noHBand="0" w:noVBand="1"/>
      </w:tblPr>
      <w:tblGrid>
        <w:gridCol w:w="6662"/>
        <w:gridCol w:w="1960"/>
      </w:tblGrid>
      <w:tr w:rsidR="00730B9B" w:rsidRPr="009C7F4B" w14:paraId="28532DF5" w14:textId="77777777" w:rsidTr="000A2819">
        <w:tc>
          <w:tcPr>
            <w:tcW w:w="6662" w:type="dxa"/>
            <w:shd w:val="clear" w:color="auto" w:fill="BFBFBF"/>
            <w:vAlign w:val="center"/>
          </w:tcPr>
          <w:p w14:paraId="4B344F79" w14:textId="77777777" w:rsidR="00730B9B" w:rsidRPr="009C7F4B" w:rsidRDefault="00137529" w:rsidP="00BF6D09">
            <w:pPr>
              <w:spacing w:before="60" w:after="60"/>
              <w:rPr>
                <w:b/>
                <w:sz w:val="20"/>
                <w:szCs w:val="20"/>
              </w:rPr>
            </w:pPr>
            <w:r w:rsidRPr="009C7F4B">
              <w:rPr>
                <w:rFonts w:ascii="Arial" w:hAnsi="Arial" w:cs="Arial"/>
                <w:b/>
                <w:sz w:val="20"/>
                <w:szCs w:val="20"/>
              </w:rPr>
              <w:t>Résultat escompté</w:t>
            </w:r>
          </w:p>
        </w:tc>
        <w:tc>
          <w:tcPr>
            <w:tcW w:w="1960" w:type="dxa"/>
            <w:shd w:val="clear" w:color="auto" w:fill="BFBFBF"/>
            <w:vAlign w:val="center"/>
          </w:tcPr>
          <w:p w14:paraId="30D9A31C" w14:textId="77777777" w:rsidR="00730B9B" w:rsidRPr="009C7F4B" w:rsidRDefault="00730B9B" w:rsidP="00BF6D09">
            <w:pPr>
              <w:spacing w:before="60" w:after="60"/>
              <w:jc w:val="center"/>
              <w:rPr>
                <w:b/>
                <w:sz w:val="20"/>
                <w:szCs w:val="20"/>
              </w:rPr>
            </w:pPr>
            <w:r w:rsidRPr="009C7F4B">
              <w:rPr>
                <w:rFonts w:ascii="Arial" w:hAnsi="Arial" w:cs="Arial"/>
                <w:b/>
                <w:sz w:val="20"/>
                <w:szCs w:val="20"/>
              </w:rPr>
              <w:t>2016-2017</w:t>
            </w:r>
          </w:p>
        </w:tc>
      </w:tr>
      <w:tr w:rsidR="00730B9B" w:rsidRPr="009C7F4B" w14:paraId="6CDCD9AE" w14:textId="77777777" w:rsidTr="000A2819">
        <w:tc>
          <w:tcPr>
            <w:tcW w:w="6662" w:type="dxa"/>
            <w:shd w:val="clear" w:color="auto" w:fill="auto"/>
          </w:tcPr>
          <w:p w14:paraId="1A16E01B" w14:textId="13C40770" w:rsidR="00730B9B" w:rsidRPr="009C7F4B" w:rsidRDefault="00F43CDE" w:rsidP="00BF6D09">
            <w:pPr>
              <w:pStyle w:val="Heading4"/>
              <w:keepNext w:val="0"/>
              <w:numPr>
                <w:ilvl w:val="0"/>
                <w:numId w:val="0"/>
              </w:numPr>
              <w:spacing w:before="60" w:after="60"/>
              <w:ind w:left="360"/>
              <w:rPr>
                <w:b w:val="0"/>
                <w:sz w:val="20"/>
                <w:szCs w:val="20"/>
              </w:rPr>
            </w:pPr>
            <w:r w:rsidRPr="009C7F4B">
              <w:rPr>
                <w:b w:val="0"/>
                <w:sz w:val="20"/>
                <w:szCs w:val="20"/>
              </w:rPr>
              <w:t>RE </w:t>
            </w:r>
            <w:r w:rsidR="00730B9B" w:rsidRPr="009C7F4B">
              <w:rPr>
                <w:b w:val="0"/>
                <w:sz w:val="20"/>
                <w:szCs w:val="20"/>
              </w:rPr>
              <w:t>1</w:t>
            </w:r>
            <w:r w:rsidR="0067086A" w:rsidRPr="009C7F4B">
              <w:rPr>
                <w:b w:val="0"/>
                <w:sz w:val="20"/>
                <w:szCs w:val="20"/>
              </w:rPr>
              <w:t> </w:t>
            </w:r>
            <w:r w:rsidR="00730B9B" w:rsidRPr="009C7F4B">
              <w:rPr>
                <w:b w:val="0"/>
                <w:sz w:val="20"/>
                <w:szCs w:val="20"/>
              </w:rPr>
              <w:t xml:space="preserve">: </w:t>
            </w:r>
            <w:r w:rsidR="00653EC6" w:rsidRPr="009C7F4B">
              <w:rPr>
                <w:b w:val="0"/>
                <w:sz w:val="20"/>
                <w:szCs w:val="20"/>
              </w:rPr>
              <w:t xml:space="preserve">Bonne </w:t>
            </w:r>
            <w:r w:rsidR="0067086A" w:rsidRPr="009C7F4B">
              <w:rPr>
                <w:b w:val="0"/>
                <w:sz w:val="20"/>
                <w:szCs w:val="20"/>
              </w:rPr>
              <w:t>gouvernance de la Convention de</w:t>
            </w:r>
            <w:r w:rsidR="00730B9B" w:rsidRPr="009C7F4B">
              <w:rPr>
                <w:b w:val="0"/>
                <w:sz w:val="20"/>
                <w:szCs w:val="20"/>
              </w:rPr>
              <w:t xml:space="preserve"> 2003 facilit</w:t>
            </w:r>
            <w:r w:rsidR="0067086A" w:rsidRPr="009C7F4B">
              <w:rPr>
                <w:b w:val="0"/>
                <w:sz w:val="20"/>
                <w:szCs w:val="20"/>
              </w:rPr>
              <w:t>ée</w:t>
            </w:r>
            <w:r w:rsidR="00730B9B" w:rsidRPr="009C7F4B">
              <w:rPr>
                <w:b w:val="0"/>
                <w:sz w:val="20"/>
                <w:szCs w:val="20"/>
              </w:rPr>
              <w:t xml:space="preserve"> </w:t>
            </w:r>
            <w:r w:rsidR="00532304" w:rsidRPr="009C7F4B">
              <w:rPr>
                <w:b w:val="0"/>
                <w:sz w:val="20"/>
                <w:szCs w:val="20"/>
              </w:rPr>
              <w:t xml:space="preserve">par </w:t>
            </w:r>
            <w:r w:rsidR="0067086A" w:rsidRPr="009C7F4B">
              <w:rPr>
                <w:b w:val="0"/>
                <w:sz w:val="20"/>
                <w:szCs w:val="20"/>
              </w:rPr>
              <w:t>de</w:t>
            </w:r>
            <w:r w:rsidR="00653EC6" w:rsidRPr="009C7F4B">
              <w:rPr>
                <w:b w:val="0"/>
                <w:sz w:val="20"/>
                <w:szCs w:val="20"/>
              </w:rPr>
              <w:t>s</w:t>
            </w:r>
            <w:r w:rsidR="00532304" w:rsidRPr="009C7F4B">
              <w:rPr>
                <w:b w:val="0"/>
                <w:sz w:val="20"/>
                <w:szCs w:val="20"/>
              </w:rPr>
              <w:t xml:space="preserve"> </w:t>
            </w:r>
            <w:r w:rsidR="0067086A" w:rsidRPr="009C7F4B">
              <w:rPr>
                <w:b w:val="0"/>
                <w:sz w:val="20"/>
                <w:szCs w:val="20"/>
              </w:rPr>
              <w:t>services de gestion des connaissances</w:t>
            </w:r>
            <w:r w:rsidR="00653EC6" w:rsidRPr="009C7F4B">
              <w:rPr>
                <w:b w:val="0"/>
                <w:sz w:val="20"/>
                <w:szCs w:val="20"/>
              </w:rPr>
              <w:t xml:space="preserve"> améliorées</w:t>
            </w:r>
          </w:p>
        </w:tc>
        <w:tc>
          <w:tcPr>
            <w:tcW w:w="1960" w:type="dxa"/>
            <w:shd w:val="clear" w:color="auto" w:fill="auto"/>
          </w:tcPr>
          <w:p w14:paraId="7AA025F3" w14:textId="77777777" w:rsidR="00730B9B" w:rsidRPr="009C7F4B" w:rsidRDefault="00730B9B" w:rsidP="00BF6D09">
            <w:pPr>
              <w:pStyle w:val="Heading4"/>
              <w:keepNext w:val="0"/>
              <w:numPr>
                <w:ilvl w:val="0"/>
                <w:numId w:val="0"/>
              </w:numPr>
              <w:spacing w:before="60" w:after="60"/>
              <w:ind w:left="357"/>
              <w:jc w:val="both"/>
              <w:rPr>
                <w:b w:val="0"/>
                <w:sz w:val="20"/>
                <w:szCs w:val="20"/>
              </w:rPr>
            </w:pPr>
            <w:r w:rsidRPr="009C7F4B">
              <w:rPr>
                <w:b w:val="0"/>
                <w:sz w:val="20"/>
                <w:szCs w:val="20"/>
              </w:rPr>
              <w:t>24</w:t>
            </w:r>
            <w:r w:rsidR="00BE3D0F" w:rsidRPr="009C7F4B">
              <w:rPr>
                <w:b w:val="0"/>
                <w:sz w:val="20"/>
                <w:szCs w:val="20"/>
              </w:rPr>
              <w:t>,32</w:t>
            </w:r>
            <w:r w:rsidR="00137529" w:rsidRPr="009C7F4B">
              <w:rPr>
                <w:b w:val="0"/>
                <w:sz w:val="20"/>
                <w:szCs w:val="20"/>
              </w:rPr>
              <w:t> </w:t>
            </w:r>
            <w:r w:rsidRPr="009C7F4B">
              <w:rPr>
                <w:b w:val="0"/>
                <w:sz w:val="20"/>
                <w:szCs w:val="20"/>
              </w:rPr>
              <w:t>%</w:t>
            </w:r>
          </w:p>
        </w:tc>
      </w:tr>
      <w:tr w:rsidR="00730B9B" w:rsidRPr="009C7F4B" w14:paraId="64536439" w14:textId="77777777" w:rsidTr="000A2819">
        <w:tc>
          <w:tcPr>
            <w:tcW w:w="6662" w:type="dxa"/>
            <w:shd w:val="clear" w:color="auto" w:fill="auto"/>
          </w:tcPr>
          <w:p w14:paraId="6F97D288" w14:textId="6AEE744E" w:rsidR="00730B9B" w:rsidRPr="009C7F4B" w:rsidRDefault="00F43CDE" w:rsidP="00BF6D09">
            <w:pPr>
              <w:pStyle w:val="Heading4"/>
              <w:keepNext w:val="0"/>
              <w:numPr>
                <w:ilvl w:val="0"/>
                <w:numId w:val="0"/>
              </w:numPr>
              <w:spacing w:before="60" w:after="60"/>
              <w:ind w:left="360"/>
              <w:rPr>
                <w:b w:val="0"/>
                <w:sz w:val="20"/>
                <w:szCs w:val="20"/>
              </w:rPr>
            </w:pPr>
            <w:r w:rsidRPr="009C7F4B">
              <w:rPr>
                <w:b w:val="0"/>
                <w:sz w:val="20"/>
                <w:szCs w:val="20"/>
              </w:rPr>
              <w:t>RE </w:t>
            </w:r>
            <w:r w:rsidR="00730B9B" w:rsidRPr="009C7F4B">
              <w:rPr>
                <w:b w:val="0"/>
                <w:sz w:val="20"/>
                <w:szCs w:val="20"/>
              </w:rPr>
              <w:t>2</w:t>
            </w:r>
            <w:r w:rsidR="0067086A" w:rsidRPr="009C7F4B">
              <w:rPr>
                <w:b w:val="0"/>
                <w:sz w:val="20"/>
                <w:szCs w:val="20"/>
              </w:rPr>
              <w:t> </w:t>
            </w:r>
            <w:r w:rsidR="00730B9B" w:rsidRPr="009C7F4B">
              <w:rPr>
                <w:b w:val="0"/>
                <w:sz w:val="20"/>
                <w:szCs w:val="20"/>
              </w:rPr>
              <w:t xml:space="preserve">: </w:t>
            </w:r>
            <w:r w:rsidR="0067086A" w:rsidRPr="009C7F4B">
              <w:rPr>
                <w:b w:val="0"/>
                <w:sz w:val="20"/>
                <w:szCs w:val="20"/>
              </w:rPr>
              <w:t xml:space="preserve">Mise en </w:t>
            </w:r>
            <w:r w:rsidR="00696A10" w:rsidRPr="009C7F4B">
              <w:rPr>
                <w:b w:val="0"/>
                <w:sz w:val="20"/>
                <w:szCs w:val="20"/>
              </w:rPr>
              <w:t xml:space="preserve">œuvre </w:t>
            </w:r>
            <w:r w:rsidR="0067086A" w:rsidRPr="009C7F4B">
              <w:rPr>
                <w:b w:val="0"/>
                <w:sz w:val="20"/>
                <w:szCs w:val="20"/>
              </w:rPr>
              <w:t xml:space="preserve">de la Convention dans les </w:t>
            </w:r>
            <w:r w:rsidR="004312CB" w:rsidRPr="009C7F4B">
              <w:rPr>
                <w:b w:val="0"/>
                <w:sz w:val="20"/>
                <w:szCs w:val="20"/>
              </w:rPr>
              <w:t>États</w:t>
            </w:r>
            <w:r w:rsidR="0067086A" w:rsidRPr="009C7F4B">
              <w:rPr>
                <w:b w:val="0"/>
                <w:sz w:val="20"/>
                <w:szCs w:val="20"/>
              </w:rPr>
              <w:t xml:space="preserve"> membres encouragée par un programme de renforcement de capacités </w:t>
            </w:r>
            <w:r w:rsidR="00E87CFE" w:rsidRPr="009C7F4B">
              <w:rPr>
                <w:b w:val="0"/>
                <w:sz w:val="20"/>
                <w:szCs w:val="20"/>
              </w:rPr>
              <w:t xml:space="preserve">consolidé et des conseils sur </w:t>
            </w:r>
            <w:r w:rsidR="00EA6FA4" w:rsidRPr="009C7F4B">
              <w:rPr>
                <w:b w:val="0"/>
                <w:sz w:val="20"/>
                <w:szCs w:val="20"/>
              </w:rPr>
              <w:t xml:space="preserve">des </w:t>
            </w:r>
            <w:r w:rsidR="004312CB" w:rsidRPr="009C7F4B">
              <w:rPr>
                <w:b w:val="0"/>
                <w:sz w:val="20"/>
                <w:szCs w:val="20"/>
              </w:rPr>
              <w:t>mesures</w:t>
            </w:r>
            <w:r w:rsidR="00E87CFE" w:rsidRPr="009C7F4B">
              <w:rPr>
                <w:b w:val="0"/>
                <w:sz w:val="20"/>
                <w:szCs w:val="20"/>
              </w:rPr>
              <w:t xml:space="preserve"> de sauvegarde et </w:t>
            </w:r>
            <w:r w:rsidR="0009576F" w:rsidRPr="009C7F4B">
              <w:rPr>
                <w:b w:val="0"/>
                <w:sz w:val="20"/>
                <w:szCs w:val="20"/>
              </w:rPr>
              <w:t xml:space="preserve">des </w:t>
            </w:r>
            <w:r w:rsidR="00E87CFE" w:rsidRPr="009C7F4B">
              <w:rPr>
                <w:b w:val="0"/>
                <w:sz w:val="20"/>
                <w:szCs w:val="20"/>
              </w:rPr>
              <w:t>bonnes pratiques</w:t>
            </w:r>
          </w:p>
        </w:tc>
        <w:tc>
          <w:tcPr>
            <w:tcW w:w="1960" w:type="dxa"/>
            <w:shd w:val="clear" w:color="auto" w:fill="auto"/>
          </w:tcPr>
          <w:p w14:paraId="4B7861F9" w14:textId="77777777" w:rsidR="00730B9B" w:rsidRPr="009C7F4B" w:rsidRDefault="00730B9B" w:rsidP="00BF6D09">
            <w:pPr>
              <w:pStyle w:val="Heading4"/>
              <w:keepNext w:val="0"/>
              <w:numPr>
                <w:ilvl w:val="0"/>
                <w:numId w:val="0"/>
              </w:numPr>
              <w:spacing w:before="60" w:after="60"/>
              <w:ind w:left="402"/>
              <w:jc w:val="both"/>
              <w:rPr>
                <w:b w:val="0"/>
                <w:sz w:val="20"/>
                <w:szCs w:val="20"/>
              </w:rPr>
            </w:pPr>
            <w:r w:rsidRPr="009C7F4B">
              <w:rPr>
                <w:b w:val="0"/>
                <w:sz w:val="20"/>
                <w:szCs w:val="20"/>
              </w:rPr>
              <w:t>51</w:t>
            </w:r>
            <w:r w:rsidR="00BE3D0F" w:rsidRPr="009C7F4B">
              <w:rPr>
                <w:b w:val="0"/>
                <w:sz w:val="20"/>
                <w:szCs w:val="20"/>
              </w:rPr>
              <w:t>,38</w:t>
            </w:r>
            <w:r w:rsidR="00137529" w:rsidRPr="009C7F4B">
              <w:rPr>
                <w:b w:val="0"/>
                <w:sz w:val="20"/>
                <w:szCs w:val="20"/>
              </w:rPr>
              <w:t> </w:t>
            </w:r>
            <w:r w:rsidRPr="009C7F4B">
              <w:rPr>
                <w:b w:val="0"/>
                <w:sz w:val="20"/>
                <w:szCs w:val="20"/>
              </w:rPr>
              <w:t>%</w:t>
            </w:r>
          </w:p>
        </w:tc>
      </w:tr>
      <w:tr w:rsidR="00730B9B" w:rsidRPr="009C7F4B" w14:paraId="20ECC7C6" w14:textId="77777777" w:rsidTr="000A2819">
        <w:tc>
          <w:tcPr>
            <w:tcW w:w="6662" w:type="dxa"/>
            <w:shd w:val="clear" w:color="auto" w:fill="auto"/>
          </w:tcPr>
          <w:p w14:paraId="6E38C595" w14:textId="58F0B4FE" w:rsidR="00730B9B" w:rsidRPr="009C7F4B" w:rsidRDefault="00F43CDE" w:rsidP="00BF6D09">
            <w:pPr>
              <w:pStyle w:val="Heading4"/>
              <w:keepNext w:val="0"/>
              <w:numPr>
                <w:ilvl w:val="0"/>
                <w:numId w:val="0"/>
              </w:numPr>
              <w:spacing w:before="60" w:after="60"/>
              <w:ind w:left="360"/>
              <w:rPr>
                <w:b w:val="0"/>
                <w:sz w:val="20"/>
                <w:szCs w:val="20"/>
              </w:rPr>
            </w:pPr>
            <w:r w:rsidRPr="009C7F4B">
              <w:rPr>
                <w:b w:val="0"/>
                <w:sz w:val="20"/>
                <w:szCs w:val="20"/>
              </w:rPr>
              <w:t>RE </w:t>
            </w:r>
            <w:r w:rsidR="00730B9B" w:rsidRPr="009C7F4B">
              <w:rPr>
                <w:b w:val="0"/>
                <w:sz w:val="20"/>
                <w:szCs w:val="20"/>
              </w:rPr>
              <w:t>3</w:t>
            </w:r>
            <w:r w:rsidR="0067086A" w:rsidRPr="009C7F4B">
              <w:rPr>
                <w:b w:val="0"/>
                <w:sz w:val="20"/>
                <w:szCs w:val="20"/>
              </w:rPr>
              <w:t> </w:t>
            </w:r>
            <w:r w:rsidR="00730B9B" w:rsidRPr="009C7F4B">
              <w:rPr>
                <w:b w:val="0"/>
                <w:sz w:val="20"/>
                <w:szCs w:val="20"/>
              </w:rPr>
              <w:t xml:space="preserve">: </w:t>
            </w:r>
            <w:r w:rsidR="00E87CFE" w:rsidRPr="009C7F4B">
              <w:rPr>
                <w:b w:val="0"/>
                <w:sz w:val="20"/>
                <w:szCs w:val="20"/>
              </w:rPr>
              <w:t xml:space="preserve">Cadre </w:t>
            </w:r>
            <w:r w:rsidR="00701EC9" w:rsidRPr="009C7F4B">
              <w:rPr>
                <w:b w:val="0"/>
                <w:sz w:val="20"/>
                <w:szCs w:val="20"/>
              </w:rPr>
              <w:t xml:space="preserve">global </w:t>
            </w:r>
            <w:r w:rsidR="00E87CFE" w:rsidRPr="009C7F4B">
              <w:rPr>
                <w:b w:val="0"/>
                <w:sz w:val="20"/>
                <w:szCs w:val="20"/>
              </w:rPr>
              <w:t xml:space="preserve">de résultats </w:t>
            </w:r>
            <w:r w:rsidR="00494B2A" w:rsidRPr="009C7F4B">
              <w:rPr>
                <w:b w:val="0"/>
                <w:sz w:val="20"/>
                <w:szCs w:val="20"/>
              </w:rPr>
              <w:t xml:space="preserve">élaboré pour suivre la mise en œuvre de la </w:t>
            </w:r>
            <w:r w:rsidR="00730B9B" w:rsidRPr="009C7F4B">
              <w:rPr>
                <w:b w:val="0"/>
                <w:sz w:val="20"/>
                <w:szCs w:val="20"/>
              </w:rPr>
              <w:t>Convention</w:t>
            </w:r>
          </w:p>
        </w:tc>
        <w:tc>
          <w:tcPr>
            <w:tcW w:w="1960" w:type="dxa"/>
            <w:shd w:val="clear" w:color="auto" w:fill="auto"/>
          </w:tcPr>
          <w:p w14:paraId="1300CE08" w14:textId="77777777" w:rsidR="00730B9B" w:rsidRPr="009C7F4B" w:rsidRDefault="00730B9B" w:rsidP="00BF6D09">
            <w:pPr>
              <w:pStyle w:val="Heading4"/>
              <w:keepNext w:val="0"/>
              <w:numPr>
                <w:ilvl w:val="0"/>
                <w:numId w:val="0"/>
              </w:numPr>
              <w:spacing w:before="60" w:after="60"/>
              <w:ind w:left="357"/>
              <w:jc w:val="both"/>
              <w:rPr>
                <w:b w:val="0"/>
                <w:sz w:val="20"/>
                <w:szCs w:val="20"/>
              </w:rPr>
            </w:pPr>
            <w:r w:rsidRPr="009C7F4B">
              <w:rPr>
                <w:b w:val="0"/>
                <w:sz w:val="20"/>
                <w:szCs w:val="20"/>
              </w:rPr>
              <w:t>3</w:t>
            </w:r>
            <w:r w:rsidR="00BE3D0F" w:rsidRPr="009C7F4B">
              <w:rPr>
                <w:b w:val="0"/>
                <w:sz w:val="20"/>
                <w:szCs w:val="20"/>
              </w:rPr>
              <w:t>,15</w:t>
            </w:r>
            <w:r w:rsidR="00137529" w:rsidRPr="009C7F4B">
              <w:rPr>
                <w:b w:val="0"/>
                <w:sz w:val="20"/>
                <w:szCs w:val="20"/>
              </w:rPr>
              <w:t> </w:t>
            </w:r>
            <w:r w:rsidRPr="009C7F4B">
              <w:rPr>
                <w:b w:val="0"/>
                <w:sz w:val="20"/>
                <w:szCs w:val="20"/>
              </w:rPr>
              <w:t>%</w:t>
            </w:r>
          </w:p>
        </w:tc>
      </w:tr>
      <w:tr w:rsidR="00730B9B" w:rsidRPr="009C7F4B" w14:paraId="400F1856" w14:textId="77777777" w:rsidTr="000A2819">
        <w:tc>
          <w:tcPr>
            <w:tcW w:w="6662" w:type="dxa"/>
            <w:shd w:val="clear" w:color="auto" w:fill="auto"/>
          </w:tcPr>
          <w:p w14:paraId="36B8B99E" w14:textId="255C5A67" w:rsidR="00730B9B" w:rsidRPr="009C7F4B" w:rsidRDefault="00F43CDE" w:rsidP="00BF6D09">
            <w:pPr>
              <w:pStyle w:val="Heading4"/>
              <w:keepNext w:val="0"/>
              <w:numPr>
                <w:ilvl w:val="0"/>
                <w:numId w:val="0"/>
              </w:numPr>
              <w:spacing w:before="60" w:after="60"/>
              <w:ind w:left="360"/>
              <w:rPr>
                <w:b w:val="0"/>
                <w:sz w:val="20"/>
                <w:szCs w:val="20"/>
              </w:rPr>
            </w:pPr>
            <w:r w:rsidRPr="009C7F4B">
              <w:rPr>
                <w:b w:val="0"/>
                <w:sz w:val="20"/>
                <w:szCs w:val="20"/>
              </w:rPr>
              <w:t>RE </w:t>
            </w:r>
            <w:r w:rsidR="00730B9B" w:rsidRPr="009C7F4B">
              <w:rPr>
                <w:b w:val="0"/>
                <w:sz w:val="20"/>
                <w:szCs w:val="20"/>
              </w:rPr>
              <w:t>4</w:t>
            </w:r>
            <w:r w:rsidR="0067086A" w:rsidRPr="009C7F4B">
              <w:rPr>
                <w:b w:val="0"/>
                <w:sz w:val="20"/>
                <w:szCs w:val="20"/>
              </w:rPr>
              <w:t> </w:t>
            </w:r>
            <w:r w:rsidR="00730B9B" w:rsidRPr="009C7F4B">
              <w:rPr>
                <w:b w:val="0"/>
                <w:sz w:val="20"/>
                <w:szCs w:val="20"/>
              </w:rPr>
              <w:t>: Objecti</w:t>
            </w:r>
            <w:r w:rsidR="00494B2A" w:rsidRPr="009C7F4B">
              <w:rPr>
                <w:b w:val="0"/>
                <w:sz w:val="20"/>
                <w:szCs w:val="20"/>
              </w:rPr>
              <w:t>f</w:t>
            </w:r>
            <w:r w:rsidR="00730B9B" w:rsidRPr="009C7F4B">
              <w:rPr>
                <w:b w:val="0"/>
                <w:sz w:val="20"/>
                <w:szCs w:val="20"/>
              </w:rPr>
              <w:t xml:space="preserve">s </w:t>
            </w:r>
            <w:r w:rsidR="00494B2A" w:rsidRPr="009C7F4B">
              <w:rPr>
                <w:b w:val="0"/>
                <w:sz w:val="20"/>
                <w:szCs w:val="20"/>
              </w:rPr>
              <w:t>de la</w:t>
            </w:r>
            <w:r w:rsidR="00730B9B" w:rsidRPr="009C7F4B">
              <w:rPr>
                <w:b w:val="0"/>
                <w:sz w:val="20"/>
                <w:szCs w:val="20"/>
              </w:rPr>
              <w:t xml:space="preserve"> Convention prom</w:t>
            </w:r>
            <w:r w:rsidR="00494B2A" w:rsidRPr="009C7F4B">
              <w:rPr>
                <w:b w:val="0"/>
                <w:sz w:val="20"/>
                <w:szCs w:val="20"/>
              </w:rPr>
              <w:t>us par des actions de sensibilisation et d’information</w:t>
            </w:r>
          </w:p>
        </w:tc>
        <w:tc>
          <w:tcPr>
            <w:tcW w:w="1960" w:type="dxa"/>
            <w:shd w:val="clear" w:color="auto" w:fill="auto"/>
          </w:tcPr>
          <w:p w14:paraId="67B5AF33" w14:textId="77777777" w:rsidR="00730B9B" w:rsidRPr="009C7F4B" w:rsidRDefault="00730B9B" w:rsidP="00BF6D09">
            <w:pPr>
              <w:pStyle w:val="Heading4"/>
              <w:keepNext w:val="0"/>
              <w:numPr>
                <w:ilvl w:val="0"/>
                <w:numId w:val="0"/>
              </w:numPr>
              <w:spacing w:before="60" w:after="60"/>
              <w:ind w:left="357"/>
              <w:jc w:val="both"/>
              <w:rPr>
                <w:b w:val="0"/>
                <w:sz w:val="20"/>
                <w:szCs w:val="20"/>
              </w:rPr>
            </w:pPr>
            <w:r w:rsidRPr="009C7F4B">
              <w:rPr>
                <w:b w:val="0"/>
                <w:sz w:val="20"/>
                <w:szCs w:val="20"/>
              </w:rPr>
              <w:t>22</w:t>
            </w:r>
            <w:r w:rsidR="00BE3D0F" w:rsidRPr="009C7F4B">
              <w:rPr>
                <w:b w:val="0"/>
                <w:sz w:val="20"/>
                <w:szCs w:val="20"/>
              </w:rPr>
              <w:t>,15</w:t>
            </w:r>
            <w:r w:rsidR="00137529" w:rsidRPr="009C7F4B">
              <w:rPr>
                <w:b w:val="0"/>
                <w:sz w:val="20"/>
                <w:szCs w:val="20"/>
              </w:rPr>
              <w:t> </w:t>
            </w:r>
            <w:r w:rsidRPr="009C7F4B">
              <w:rPr>
                <w:b w:val="0"/>
                <w:sz w:val="20"/>
                <w:szCs w:val="20"/>
              </w:rPr>
              <w:t>%</w:t>
            </w:r>
          </w:p>
        </w:tc>
      </w:tr>
      <w:tr w:rsidR="00730B9B" w:rsidRPr="009C7F4B" w14:paraId="473D254B" w14:textId="77777777" w:rsidTr="000A2819">
        <w:tc>
          <w:tcPr>
            <w:tcW w:w="6662" w:type="dxa"/>
            <w:shd w:val="clear" w:color="auto" w:fill="auto"/>
          </w:tcPr>
          <w:p w14:paraId="1E2568CC" w14:textId="77777777" w:rsidR="00730B9B" w:rsidRPr="009C7F4B" w:rsidRDefault="004C2176" w:rsidP="00BF6D09">
            <w:pPr>
              <w:pStyle w:val="Heading4"/>
              <w:keepNext w:val="0"/>
              <w:numPr>
                <w:ilvl w:val="0"/>
                <w:numId w:val="0"/>
              </w:numPr>
              <w:spacing w:before="60" w:after="60"/>
              <w:ind w:left="360"/>
              <w:rPr>
                <w:b w:val="0"/>
                <w:sz w:val="20"/>
                <w:szCs w:val="20"/>
              </w:rPr>
            </w:pPr>
            <w:r w:rsidRPr="009C7F4B">
              <w:rPr>
                <w:b w:val="0"/>
                <w:sz w:val="20"/>
                <w:szCs w:val="20"/>
              </w:rPr>
              <w:tab/>
            </w:r>
            <w:r w:rsidR="004312CB" w:rsidRPr="009C7F4B">
              <w:rPr>
                <w:b w:val="0"/>
                <w:sz w:val="20"/>
                <w:szCs w:val="20"/>
              </w:rPr>
              <w:t>Budget</w:t>
            </w:r>
            <w:r w:rsidR="00494B2A" w:rsidRPr="009C7F4B">
              <w:rPr>
                <w:b w:val="0"/>
                <w:sz w:val="20"/>
                <w:szCs w:val="20"/>
              </w:rPr>
              <w:t xml:space="preserve"> t</w:t>
            </w:r>
            <w:r w:rsidR="00730B9B" w:rsidRPr="009C7F4B">
              <w:rPr>
                <w:b w:val="0"/>
                <w:sz w:val="20"/>
                <w:szCs w:val="20"/>
              </w:rPr>
              <w:t>otal</w:t>
            </w:r>
          </w:p>
        </w:tc>
        <w:tc>
          <w:tcPr>
            <w:tcW w:w="1960" w:type="dxa"/>
            <w:shd w:val="clear" w:color="auto" w:fill="auto"/>
          </w:tcPr>
          <w:p w14:paraId="1C320D83" w14:textId="77777777" w:rsidR="00730B9B" w:rsidRPr="009C7F4B" w:rsidRDefault="00730B9B" w:rsidP="00BF6D09">
            <w:pPr>
              <w:pStyle w:val="Heading4"/>
              <w:keepNext w:val="0"/>
              <w:numPr>
                <w:ilvl w:val="0"/>
                <w:numId w:val="0"/>
              </w:numPr>
              <w:spacing w:before="60" w:after="60"/>
              <w:ind w:left="357"/>
              <w:jc w:val="both"/>
              <w:rPr>
                <w:b w:val="0"/>
                <w:sz w:val="20"/>
                <w:szCs w:val="20"/>
              </w:rPr>
            </w:pPr>
            <w:r w:rsidRPr="009C7F4B">
              <w:rPr>
                <w:b w:val="0"/>
                <w:sz w:val="20"/>
                <w:szCs w:val="20"/>
              </w:rPr>
              <w:t>100</w:t>
            </w:r>
            <w:r w:rsidR="00137529" w:rsidRPr="009C7F4B">
              <w:rPr>
                <w:b w:val="0"/>
                <w:sz w:val="20"/>
                <w:szCs w:val="20"/>
              </w:rPr>
              <w:t> </w:t>
            </w:r>
            <w:r w:rsidRPr="009C7F4B">
              <w:rPr>
                <w:b w:val="0"/>
                <w:sz w:val="20"/>
                <w:szCs w:val="20"/>
              </w:rPr>
              <w:t>%</w:t>
            </w:r>
          </w:p>
        </w:tc>
      </w:tr>
    </w:tbl>
    <w:p w14:paraId="0FCC8BC3" w14:textId="5BAA5268" w:rsidR="00730B9B" w:rsidRPr="009C7F4B" w:rsidRDefault="00494B2A" w:rsidP="00BF6D09">
      <w:pPr>
        <w:pStyle w:val="Heading4"/>
        <w:numPr>
          <w:ilvl w:val="0"/>
          <w:numId w:val="0"/>
        </w:numPr>
        <w:ind w:left="1134"/>
        <w:jc w:val="both"/>
        <w:rPr>
          <w:snapToGrid w:val="0"/>
          <w:lang w:eastAsia="en-US"/>
        </w:rPr>
      </w:pPr>
      <w:r w:rsidRPr="009C7F4B">
        <w:rPr>
          <w:snapToGrid w:val="0"/>
          <w:lang w:eastAsia="en-US"/>
        </w:rPr>
        <w:t>Résultat escompté</w:t>
      </w:r>
      <w:r w:rsidR="00730B9B" w:rsidRPr="009C7F4B">
        <w:rPr>
          <w:snapToGrid w:val="0"/>
          <w:lang w:eastAsia="en-US"/>
        </w:rPr>
        <w:t> 1</w:t>
      </w:r>
      <w:r w:rsidRPr="009C7F4B">
        <w:rPr>
          <w:snapToGrid w:val="0"/>
          <w:lang w:eastAsia="en-US"/>
        </w:rPr>
        <w:t> </w:t>
      </w:r>
      <w:r w:rsidR="00730B9B" w:rsidRPr="009C7F4B">
        <w:rPr>
          <w:snapToGrid w:val="0"/>
          <w:lang w:eastAsia="en-US"/>
        </w:rPr>
        <w:t xml:space="preserve">: </w:t>
      </w:r>
      <w:r w:rsidR="00EA6FA4" w:rsidRPr="009C7F4B">
        <w:rPr>
          <w:snapToGrid w:val="0"/>
          <w:lang w:eastAsia="en-US"/>
        </w:rPr>
        <w:t>Bonne gouvernance de la Convention de 2003 facilitée par des meilleurs services de gestion des connaissances améliorées</w:t>
      </w:r>
    </w:p>
    <w:p w14:paraId="4FC7E8CA" w14:textId="2638BC0B" w:rsidR="00730B9B" w:rsidRPr="009C7F4B" w:rsidRDefault="00532304" w:rsidP="00BF6D09">
      <w:pPr>
        <w:pStyle w:val="Heading4"/>
        <w:keepNext w:val="0"/>
        <w:numPr>
          <w:ilvl w:val="0"/>
          <w:numId w:val="16"/>
        </w:numPr>
        <w:spacing w:before="0" w:after="120"/>
        <w:ind w:left="567" w:hanging="567"/>
        <w:jc w:val="both"/>
        <w:rPr>
          <w:rFonts w:ascii="Cambria" w:hAnsi="Cambria"/>
          <w:b w:val="0"/>
          <w:bCs/>
          <w:iCs/>
          <w:sz w:val="28"/>
          <w:szCs w:val="28"/>
        </w:rPr>
      </w:pPr>
      <w:r w:rsidRPr="009C7F4B">
        <w:rPr>
          <w:b w:val="0"/>
          <w:snapToGrid w:val="0"/>
          <w:lang w:eastAsia="en-US"/>
        </w:rPr>
        <w:t>Le système de gestion des connaissances de la</w:t>
      </w:r>
      <w:r w:rsidR="00730B9B" w:rsidRPr="009C7F4B">
        <w:rPr>
          <w:b w:val="0"/>
          <w:snapToGrid w:val="0"/>
          <w:lang w:eastAsia="en-US"/>
        </w:rPr>
        <w:t xml:space="preserve"> Convention</w:t>
      </w:r>
      <w:r w:rsidRPr="009C7F4B">
        <w:rPr>
          <w:b w:val="0"/>
          <w:snapToGrid w:val="0"/>
          <w:lang w:eastAsia="en-US"/>
        </w:rPr>
        <w:t xml:space="preserve"> est non seulement un outil de travail fondamental pour </w:t>
      </w:r>
      <w:r w:rsidR="00EA6FA4" w:rsidRPr="009C7F4B">
        <w:rPr>
          <w:b w:val="0"/>
          <w:snapToGrid w:val="0"/>
          <w:lang w:eastAsia="en-US"/>
        </w:rPr>
        <w:t xml:space="preserve">ses </w:t>
      </w:r>
      <w:r w:rsidRPr="009C7F4B">
        <w:rPr>
          <w:b w:val="0"/>
          <w:snapToGrid w:val="0"/>
          <w:lang w:eastAsia="en-US"/>
        </w:rPr>
        <w:t xml:space="preserve">organes directeurs et consultatifs et </w:t>
      </w:r>
      <w:r w:rsidR="00EA6FA4" w:rsidRPr="009C7F4B">
        <w:rPr>
          <w:b w:val="0"/>
          <w:snapToGrid w:val="0"/>
          <w:lang w:eastAsia="en-US"/>
        </w:rPr>
        <w:t xml:space="preserve">son </w:t>
      </w:r>
      <w:r w:rsidR="00730B9B" w:rsidRPr="009C7F4B">
        <w:rPr>
          <w:b w:val="0"/>
          <w:snapToGrid w:val="0"/>
          <w:lang w:eastAsia="en-US"/>
        </w:rPr>
        <w:t>Secr</w:t>
      </w:r>
      <w:r w:rsidRPr="009C7F4B">
        <w:rPr>
          <w:b w:val="0"/>
          <w:snapToGrid w:val="0"/>
          <w:lang w:eastAsia="en-US"/>
        </w:rPr>
        <w:t>é</w:t>
      </w:r>
      <w:r w:rsidR="00730B9B" w:rsidRPr="009C7F4B">
        <w:rPr>
          <w:b w:val="0"/>
          <w:snapToGrid w:val="0"/>
          <w:lang w:eastAsia="en-US"/>
        </w:rPr>
        <w:t>tariat</w:t>
      </w:r>
      <w:r w:rsidRPr="009C7F4B">
        <w:rPr>
          <w:b w:val="0"/>
          <w:snapToGrid w:val="0"/>
          <w:lang w:eastAsia="en-US"/>
        </w:rPr>
        <w:t xml:space="preserve">, mais aussi un </w:t>
      </w:r>
      <w:r w:rsidR="00EA6FA4" w:rsidRPr="009C7F4B">
        <w:rPr>
          <w:b w:val="0"/>
          <w:snapToGrid w:val="0"/>
          <w:lang w:eastAsia="en-US"/>
        </w:rPr>
        <w:t xml:space="preserve">référentiel unique </w:t>
      </w:r>
      <w:r w:rsidR="0056240E" w:rsidRPr="009C7F4B">
        <w:rPr>
          <w:b w:val="0"/>
          <w:snapToGrid w:val="0"/>
          <w:lang w:eastAsia="en-US"/>
        </w:rPr>
        <w:t>d’informations à la disposition de toutes les parties intéressées</w:t>
      </w:r>
      <w:r w:rsidR="00730B9B" w:rsidRPr="009C7F4B">
        <w:rPr>
          <w:b w:val="0"/>
          <w:snapToGrid w:val="0"/>
          <w:lang w:eastAsia="en-US"/>
        </w:rPr>
        <w:t xml:space="preserve">. </w:t>
      </w:r>
      <w:r w:rsidR="0056240E" w:rsidRPr="009C7F4B">
        <w:rPr>
          <w:b w:val="0"/>
          <w:snapToGrid w:val="0"/>
          <w:lang w:eastAsia="en-US"/>
        </w:rPr>
        <w:t xml:space="preserve">La </w:t>
      </w:r>
      <w:r w:rsidR="00730B9B" w:rsidRPr="009C7F4B">
        <w:rPr>
          <w:b w:val="0"/>
          <w:snapToGrid w:val="0"/>
          <w:lang w:eastAsia="en-US"/>
        </w:rPr>
        <w:t xml:space="preserve">Convention </w:t>
      </w:r>
      <w:r w:rsidR="009B5500" w:rsidRPr="009C7F4B">
        <w:rPr>
          <w:b w:val="0"/>
          <w:snapToGrid w:val="0"/>
          <w:lang w:eastAsia="en-US"/>
        </w:rPr>
        <w:t xml:space="preserve">est </w:t>
      </w:r>
      <w:r w:rsidR="00696A10" w:rsidRPr="009C7F4B">
        <w:rPr>
          <w:b w:val="0"/>
          <w:snapToGrid w:val="0"/>
          <w:lang w:eastAsia="en-US"/>
        </w:rPr>
        <w:t>toutefois</w:t>
      </w:r>
      <w:r w:rsidR="009B5500" w:rsidRPr="009C7F4B">
        <w:rPr>
          <w:b w:val="0"/>
          <w:snapToGrid w:val="0"/>
          <w:lang w:eastAsia="en-US"/>
        </w:rPr>
        <w:t xml:space="preserve"> une réalité en constante évolution, </w:t>
      </w:r>
      <w:r w:rsidR="00696A10" w:rsidRPr="009C7F4B">
        <w:rPr>
          <w:b w:val="0"/>
          <w:snapToGrid w:val="0"/>
          <w:lang w:eastAsia="en-US"/>
        </w:rPr>
        <w:t xml:space="preserve">tant </w:t>
      </w:r>
      <w:r w:rsidR="009B5500" w:rsidRPr="009C7F4B">
        <w:rPr>
          <w:b w:val="0"/>
          <w:snapToGrid w:val="0"/>
          <w:lang w:eastAsia="en-US"/>
        </w:rPr>
        <w:t>au niveau international qu</w:t>
      </w:r>
      <w:r w:rsidR="00696A10" w:rsidRPr="009C7F4B">
        <w:rPr>
          <w:b w:val="0"/>
          <w:snapToGrid w:val="0"/>
          <w:lang w:eastAsia="en-US"/>
        </w:rPr>
        <w:t>’au niveau</w:t>
      </w:r>
      <w:r w:rsidR="009B5500" w:rsidRPr="009C7F4B">
        <w:rPr>
          <w:b w:val="0"/>
          <w:snapToGrid w:val="0"/>
          <w:lang w:eastAsia="en-US"/>
        </w:rPr>
        <w:t xml:space="preserve"> national, ce qui exige un système de gestion des connaissance</w:t>
      </w:r>
      <w:r w:rsidR="005A1B1E" w:rsidRPr="009C7F4B">
        <w:rPr>
          <w:b w:val="0"/>
          <w:snapToGrid w:val="0"/>
          <w:lang w:eastAsia="en-US"/>
        </w:rPr>
        <w:t>s</w:t>
      </w:r>
      <w:r w:rsidR="009B5500" w:rsidRPr="009C7F4B">
        <w:rPr>
          <w:b w:val="0"/>
          <w:snapToGrid w:val="0"/>
          <w:lang w:eastAsia="en-US"/>
        </w:rPr>
        <w:t xml:space="preserve"> capable d’évoluer pour répondre aux besoins </w:t>
      </w:r>
      <w:r w:rsidR="005A1B1E" w:rsidRPr="009C7F4B">
        <w:rPr>
          <w:b w:val="0"/>
          <w:snapToGrid w:val="0"/>
          <w:lang w:eastAsia="en-US"/>
        </w:rPr>
        <w:t xml:space="preserve">de </w:t>
      </w:r>
      <w:r w:rsidR="00696A10" w:rsidRPr="009C7F4B">
        <w:rPr>
          <w:b w:val="0"/>
          <w:snapToGrid w:val="0"/>
          <w:lang w:eastAsia="en-US"/>
        </w:rPr>
        <w:t xml:space="preserve">nombreuses </w:t>
      </w:r>
      <w:r w:rsidR="005A1B1E" w:rsidRPr="009C7F4B">
        <w:rPr>
          <w:b w:val="0"/>
          <w:snapToGrid w:val="0"/>
          <w:lang w:eastAsia="en-US"/>
        </w:rPr>
        <w:t>parties prenantes</w:t>
      </w:r>
      <w:r w:rsidR="00696A10" w:rsidRPr="009C7F4B">
        <w:rPr>
          <w:b w:val="0"/>
          <w:snapToGrid w:val="0"/>
          <w:lang w:eastAsia="en-US"/>
        </w:rPr>
        <w:t xml:space="preserve"> différentes</w:t>
      </w:r>
      <w:r w:rsidR="00730B9B" w:rsidRPr="009C7F4B">
        <w:rPr>
          <w:b w:val="0"/>
          <w:snapToGrid w:val="0"/>
          <w:lang w:eastAsia="en-US"/>
        </w:rPr>
        <w:t xml:space="preserve">. </w:t>
      </w:r>
      <w:r w:rsidR="005A1B1E" w:rsidRPr="009C7F4B">
        <w:rPr>
          <w:b w:val="0"/>
          <w:snapToGrid w:val="0"/>
          <w:lang w:eastAsia="en-US"/>
        </w:rPr>
        <w:t>L’amélioration progressive de la gestion des connaissances et des informations est</w:t>
      </w:r>
      <w:r w:rsidR="00BA275F" w:rsidRPr="009C7F4B">
        <w:rPr>
          <w:b w:val="0"/>
          <w:snapToGrid w:val="0"/>
          <w:lang w:eastAsia="en-US"/>
        </w:rPr>
        <w:t xml:space="preserve"> donc</w:t>
      </w:r>
      <w:r w:rsidR="005A1B1E" w:rsidRPr="009C7F4B">
        <w:rPr>
          <w:b w:val="0"/>
          <w:snapToGrid w:val="0"/>
          <w:lang w:eastAsia="en-US"/>
        </w:rPr>
        <w:t xml:space="preserve"> une condition préalable pour assurer une bonne gouvernance de la </w:t>
      </w:r>
      <w:r w:rsidR="00730B9B" w:rsidRPr="009C7F4B">
        <w:rPr>
          <w:b w:val="0"/>
          <w:snapToGrid w:val="0"/>
          <w:lang w:eastAsia="en-US"/>
        </w:rPr>
        <w:t xml:space="preserve">Convention. </w:t>
      </w:r>
      <w:r w:rsidR="005A1B1E" w:rsidRPr="009C7F4B">
        <w:rPr>
          <w:b w:val="0"/>
          <w:snapToGrid w:val="0"/>
          <w:lang w:eastAsia="en-US"/>
        </w:rPr>
        <w:t>Au cours de l’exercice</w:t>
      </w:r>
      <w:r w:rsidR="00730B9B" w:rsidRPr="009C7F4B">
        <w:rPr>
          <w:b w:val="0"/>
          <w:snapToGrid w:val="0"/>
          <w:lang w:eastAsia="en-US"/>
        </w:rPr>
        <w:t xml:space="preserve"> 2016-2017, </w:t>
      </w:r>
      <w:r w:rsidR="005A1B1E" w:rsidRPr="009C7F4B">
        <w:rPr>
          <w:b w:val="0"/>
          <w:snapToGrid w:val="0"/>
          <w:lang w:eastAsia="en-US"/>
        </w:rPr>
        <w:t>les efforts pour améliorer le fonctionnement du système de gestion des connaissances de la Convention</w:t>
      </w:r>
      <w:r w:rsidR="002E2525" w:rsidRPr="009C7F4B">
        <w:rPr>
          <w:b w:val="0"/>
          <w:snapToGrid w:val="0"/>
          <w:lang w:eastAsia="en-US"/>
        </w:rPr>
        <w:t xml:space="preserve"> et son utilité pour les diverses parties intéressées se poursuivront</w:t>
      </w:r>
      <w:r w:rsidR="00730B9B" w:rsidRPr="009C7F4B">
        <w:rPr>
          <w:b w:val="0"/>
          <w:snapToGrid w:val="0"/>
          <w:lang w:eastAsia="en-US"/>
        </w:rPr>
        <w:t xml:space="preserve">. </w:t>
      </w:r>
      <w:r w:rsidR="002E2525" w:rsidRPr="009C7F4B">
        <w:rPr>
          <w:b w:val="0"/>
          <w:snapToGrid w:val="0"/>
          <w:lang w:eastAsia="en-US"/>
        </w:rPr>
        <w:t xml:space="preserve">C’est pourquoi les produits proposés sont pour l’essentiel les mêmes que </w:t>
      </w:r>
      <w:r w:rsidR="00BA275F" w:rsidRPr="009C7F4B">
        <w:rPr>
          <w:b w:val="0"/>
          <w:snapToGrid w:val="0"/>
          <w:lang w:eastAsia="en-US"/>
        </w:rPr>
        <w:t>pour</w:t>
      </w:r>
      <w:r w:rsidR="002E2525" w:rsidRPr="009C7F4B">
        <w:rPr>
          <w:b w:val="0"/>
          <w:snapToGrid w:val="0"/>
          <w:lang w:eastAsia="en-US"/>
        </w:rPr>
        <w:t xml:space="preserve"> l’exercice précédent</w:t>
      </w:r>
      <w:r w:rsidR="00730B9B" w:rsidRPr="009C7F4B">
        <w:rPr>
          <w:b w:val="0"/>
          <w:snapToGrid w:val="0"/>
          <w:lang w:eastAsia="en-US"/>
        </w:rPr>
        <w:t>.</w:t>
      </w:r>
    </w:p>
    <w:p w14:paraId="433A6DF7" w14:textId="289CC458" w:rsidR="00730B9B" w:rsidRPr="009C7F4B" w:rsidRDefault="002E2525"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lastRenderedPageBreak/>
        <w:t>L’un des aspects qui appelle des améliorations est l’accès aux informations concernant les activités de la Convention, qui est l’objet du premier produit</w:t>
      </w:r>
      <w:r w:rsidR="00730B9B" w:rsidRPr="009C7F4B">
        <w:rPr>
          <w:b w:val="0"/>
          <w:snapToGrid w:val="0"/>
          <w:lang w:eastAsia="en-US"/>
        </w:rPr>
        <w:t xml:space="preserve">. </w:t>
      </w:r>
      <w:r w:rsidR="00B346D4" w:rsidRPr="009C7F4B">
        <w:rPr>
          <w:b w:val="0"/>
          <w:snapToGrid w:val="0"/>
          <w:lang w:eastAsia="en-US"/>
        </w:rPr>
        <w:t xml:space="preserve">Pouvoir accéder aux informations par des interfaces qui les affichent de façon cohérente et ciblée est vivement apprécié par toutes les parties prenantes, en particulier celles qui sont censées prendre des mesures spécifiques pour mettre en œuvre la </w:t>
      </w:r>
      <w:r w:rsidR="00730B9B" w:rsidRPr="009C7F4B">
        <w:rPr>
          <w:b w:val="0"/>
          <w:snapToGrid w:val="0"/>
          <w:lang w:eastAsia="en-US"/>
        </w:rPr>
        <w:t xml:space="preserve">Convention. </w:t>
      </w:r>
      <w:r w:rsidR="00B346D4" w:rsidRPr="009C7F4B">
        <w:rPr>
          <w:b w:val="0"/>
          <w:snapToGrid w:val="0"/>
          <w:lang w:eastAsia="en-US"/>
        </w:rPr>
        <w:t xml:space="preserve">Le </w:t>
      </w:r>
      <w:r w:rsidR="00730B9B" w:rsidRPr="009C7F4B">
        <w:rPr>
          <w:b w:val="0"/>
          <w:snapToGrid w:val="0"/>
          <w:lang w:eastAsia="en-US"/>
        </w:rPr>
        <w:t>Secr</w:t>
      </w:r>
      <w:r w:rsidR="00B346D4" w:rsidRPr="009C7F4B">
        <w:rPr>
          <w:b w:val="0"/>
          <w:snapToGrid w:val="0"/>
          <w:lang w:eastAsia="en-US"/>
        </w:rPr>
        <w:t>é</w:t>
      </w:r>
      <w:r w:rsidR="00730B9B" w:rsidRPr="009C7F4B">
        <w:rPr>
          <w:b w:val="0"/>
          <w:snapToGrid w:val="0"/>
          <w:lang w:eastAsia="en-US"/>
        </w:rPr>
        <w:t xml:space="preserve">tariat </w:t>
      </w:r>
      <w:r w:rsidR="00B346D4" w:rsidRPr="009C7F4B">
        <w:rPr>
          <w:b w:val="0"/>
          <w:snapToGrid w:val="0"/>
          <w:lang w:eastAsia="en-US"/>
        </w:rPr>
        <w:t>est ainsi en train d</w:t>
      </w:r>
      <w:r w:rsidR="00BA275F" w:rsidRPr="009C7F4B">
        <w:rPr>
          <w:b w:val="0"/>
          <w:snapToGrid w:val="0"/>
          <w:lang w:eastAsia="en-US"/>
        </w:rPr>
        <w:t>’achever</w:t>
      </w:r>
      <w:r w:rsidR="00B346D4" w:rsidRPr="009C7F4B">
        <w:rPr>
          <w:b w:val="0"/>
          <w:snapToGrid w:val="0"/>
          <w:lang w:eastAsia="en-US"/>
        </w:rPr>
        <w:t xml:space="preserve"> le travail engagé au cours de l’exercice précédent </w:t>
      </w:r>
      <w:r w:rsidR="00BA275F" w:rsidRPr="009C7F4B">
        <w:rPr>
          <w:b w:val="0"/>
          <w:snapToGrid w:val="0"/>
          <w:lang w:eastAsia="en-US"/>
        </w:rPr>
        <w:t>pour</w:t>
      </w:r>
      <w:r w:rsidR="00B346D4" w:rsidRPr="009C7F4B">
        <w:rPr>
          <w:b w:val="0"/>
          <w:snapToGrid w:val="0"/>
          <w:lang w:eastAsia="en-US"/>
        </w:rPr>
        <w:t xml:space="preserve"> </w:t>
      </w:r>
      <w:r w:rsidR="00BF5D47" w:rsidRPr="009C7F4B">
        <w:rPr>
          <w:b w:val="0"/>
          <w:snapToGrid w:val="0"/>
          <w:lang w:eastAsia="en-US"/>
        </w:rPr>
        <w:t>mettre en place</w:t>
      </w:r>
      <w:r w:rsidR="009C5974" w:rsidRPr="009C7F4B">
        <w:rPr>
          <w:b w:val="0"/>
          <w:snapToGrid w:val="0"/>
          <w:lang w:eastAsia="en-US"/>
        </w:rPr>
        <w:t xml:space="preserve"> une interface de suivi des rapports périodiques soumis par les </w:t>
      </w:r>
      <w:r w:rsidR="004312CB" w:rsidRPr="009C7F4B">
        <w:rPr>
          <w:b w:val="0"/>
          <w:snapToGrid w:val="0"/>
          <w:lang w:eastAsia="en-US"/>
        </w:rPr>
        <w:t>États</w:t>
      </w:r>
      <w:r w:rsidR="009C5974" w:rsidRPr="009C7F4B">
        <w:rPr>
          <w:b w:val="0"/>
          <w:snapToGrid w:val="0"/>
          <w:lang w:eastAsia="en-US"/>
        </w:rPr>
        <w:t xml:space="preserve"> parties concernant les mesures prises pour la mise en œuvre de la Convention et </w:t>
      </w:r>
      <w:r w:rsidR="00EA6FA4" w:rsidRPr="009C7F4B">
        <w:rPr>
          <w:b w:val="0"/>
          <w:snapToGrid w:val="0"/>
          <w:lang w:eastAsia="en-US"/>
        </w:rPr>
        <w:t>l’état actuel</w:t>
      </w:r>
      <w:r w:rsidR="009C5974" w:rsidRPr="009C7F4B">
        <w:rPr>
          <w:b w:val="0"/>
          <w:snapToGrid w:val="0"/>
          <w:lang w:eastAsia="en-US"/>
        </w:rPr>
        <w:t xml:space="preserve"> des éléments du patrimoine culturel immatériel inscrits sur les Listes</w:t>
      </w:r>
      <w:r w:rsidR="00730B9B" w:rsidRPr="009C7F4B">
        <w:rPr>
          <w:b w:val="0"/>
          <w:snapToGrid w:val="0"/>
          <w:lang w:eastAsia="en-US"/>
        </w:rPr>
        <w:t xml:space="preserve">. </w:t>
      </w:r>
      <w:r w:rsidR="009C5974" w:rsidRPr="009C7F4B">
        <w:rPr>
          <w:b w:val="0"/>
          <w:snapToGrid w:val="0"/>
          <w:lang w:eastAsia="en-US"/>
        </w:rPr>
        <w:t xml:space="preserve">Avec cette </w:t>
      </w:r>
      <w:r w:rsidR="00730B9B" w:rsidRPr="009C7F4B">
        <w:rPr>
          <w:b w:val="0"/>
          <w:snapToGrid w:val="0"/>
          <w:lang w:eastAsia="en-US"/>
        </w:rPr>
        <w:t>interface</w:t>
      </w:r>
      <w:r w:rsidR="009C5974" w:rsidRPr="009C7F4B">
        <w:rPr>
          <w:b w:val="0"/>
          <w:snapToGrid w:val="0"/>
          <w:lang w:eastAsia="en-US"/>
        </w:rPr>
        <w:t xml:space="preserve">, tous les </w:t>
      </w:r>
      <w:r w:rsidR="004312CB" w:rsidRPr="009C7F4B">
        <w:rPr>
          <w:b w:val="0"/>
          <w:snapToGrid w:val="0"/>
          <w:lang w:eastAsia="en-US"/>
        </w:rPr>
        <w:t>États</w:t>
      </w:r>
      <w:r w:rsidR="009C5974" w:rsidRPr="009C7F4B">
        <w:rPr>
          <w:b w:val="0"/>
          <w:snapToGrid w:val="0"/>
          <w:lang w:eastAsia="en-US"/>
        </w:rPr>
        <w:t xml:space="preserve"> parties pourront mieux voir leur situation </w:t>
      </w:r>
      <w:r w:rsidR="00CD451F" w:rsidRPr="009C7F4B">
        <w:rPr>
          <w:b w:val="0"/>
          <w:snapToGrid w:val="0"/>
          <w:lang w:eastAsia="en-US"/>
        </w:rPr>
        <w:t>par rapport aux rapports périodiques et disposeront de liens directs entre les rapports et les éléments concernés</w:t>
      </w:r>
      <w:r w:rsidR="00730B9B" w:rsidRPr="009C7F4B">
        <w:rPr>
          <w:b w:val="0"/>
          <w:snapToGrid w:val="0"/>
          <w:lang w:eastAsia="en-US"/>
        </w:rPr>
        <w:t xml:space="preserve">. </w:t>
      </w:r>
      <w:r w:rsidR="00CD451F" w:rsidRPr="009C7F4B">
        <w:rPr>
          <w:b w:val="0"/>
          <w:snapToGrid w:val="0"/>
          <w:lang w:eastAsia="en-US"/>
        </w:rPr>
        <w:t>Dans le même esprit, un tableau de bord</w:t>
      </w:r>
      <w:r w:rsidR="00EA6FA4" w:rsidRPr="009C7F4B">
        <w:rPr>
          <w:b w:val="0"/>
          <w:snapToGrid w:val="0"/>
          <w:lang w:eastAsia="en-US"/>
        </w:rPr>
        <w:t>,</w:t>
      </w:r>
      <w:r w:rsidR="00CD451F" w:rsidRPr="009C7F4B">
        <w:rPr>
          <w:b w:val="0"/>
          <w:snapToGrid w:val="0"/>
          <w:lang w:eastAsia="en-US"/>
        </w:rPr>
        <w:t xml:space="preserve"> </w:t>
      </w:r>
      <w:r w:rsidR="00EA6FA4" w:rsidRPr="009C7F4B">
        <w:rPr>
          <w:b w:val="0"/>
          <w:snapToGrid w:val="0"/>
          <w:lang w:eastAsia="en-US"/>
        </w:rPr>
        <w:t xml:space="preserve">prévu lors de l’exercice précédent, </w:t>
      </w:r>
      <w:r w:rsidR="00CD451F" w:rsidRPr="009C7F4B">
        <w:rPr>
          <w:b w:val="0"/>
          <w:snapToGrid w:val="0"/>
          <w:lang w:eastAsia="en-US"/>
        </w:rPr>
        <w:t xml:space="preserve">regroupant les informations sur les diverses tâches dont est </w:t>
      </w:r>
      <w:r w:rsidR="001257A8" w:rsidRPr="009C7F4B">
        <w:rPr>
          <w:b w:val="0"/>
          <w:snapToGrid w:val="0"/>
          <w:lang w:eastAsia="en-US"/>
        </w:rPr>
        <w:t>chargé</w:t>
      </w:r>
      <w:r w:rsidR="00CD451F" w:rsidRPr="009C7F4B">
        <w:rPr>
          <w:b w:val="0"/>
          <w:snapToGrid w:val="0"/>
          <w:lang w:eastAsia="en-US"/>
        </w:rPr>
        <w:t xml:space="preserve"> </w:t>
      </w:r>
      <w:r w:rsidR="00EA6FA4" w:rsidRPr="009C7F4B">
        <w:rPr>
          <w:b w:val="0"/>
          <w:snapToGrid w:val="0"/>
          <w:lang w:eastAsia="en-US"/>
        </w:rPr>
        <w:t>le Secrétariat</w:t>
      </w:r>
      <w:r w:rsidR="00397F15" w:rsidRPr="009C7F4B">
        <w:rPr>
          <w:b w:val="0"/>
          <w:snapToGrid w:val="0"/>
          <w:lang w:eastAsia="en-US"/>
        </w:rPr>
        <w:t xml:space="preserve"> sera développé au cours de l’actuel exercice</w:t>
      </w:r>
      <w:r w:rsidR="00730B9B" w:rsidRPr="009C7F4B">
        <w:rPr>
          <w:b w:val="0"/>
          <w:snapToGrid w:val="0"/>
          <w:lang w:eastAsia="en-US"/>
        </w:rPr>
        <w:t xml:space="preserve">. </w:t>
      </w:r>
      <w:r w:rsidR="00397F15" w:rsidRPr="009C7F4B">
        <w:rPr>
          <w:b w:val="0"/>
          <w:snapToGrid w:val="0"/>
          <w:lang w:eastAsia="en-US"/>
        </w:rPr>
        <w:t xml:space="preserve">Une troisième </w:t>
      </w:r>
      <w:r w:rsidR="00730B9B" w:rsidRPr="009C7F4B">
        <w:rPr>
          <w:b w:val="0"/>
          <w:snapToGrid w:val="0"/>
          <w:lang w:eastAsia="en-US"/>
        </w:rPr>
        <w:t>interface</w:t>
      </w:r>
      <w:r w:rsidR="00397F15" w:rsidRPr="009C7F4B">
        <w:rPr>
          <w:b w:val="0"/>
          <w:snapToGrid w:val="0"/>
          <w:lang w:eastAsia="en-US"/>
        </w:rPr>
        <w:t>,</w:t>
      </w:r>
      <w:r w:rsidR="00730B9B" w:rsidRPr="009C7F4B">
        <w:rPr>
          <w:b w:val="0"/>
          <w:snapToGrid w:val="0"/>
          <w:lang w:eastAsia="en-US"/>
        </w:rPr>
        <w:t xml:space="preserve"> </w:t>
      </w:r>
      <w:r w:rsidR="00397F15" w:rsidRPr="009C7F4B">
        <w:rPr>
          <w:b w:val="0"/>
          <w:snapToGrid w:val="0"/>
          <w:lang w:eastAsia="en-US"/>
        </w:rPr>
        <w:t xml:space="preserve">dont le développement devrait s’achever au cours du présent exercice, devrait améliorer considérablement le traitement de la </w:t>
      </w:r>
      <w:r w:rsidR="00730B9B" w:rsidRPr="009C7F4B">
        <w:rPr>
          <w:b w:val="0"/>
          <w:snapToGrid w:val="0"/>
          <w:lang w:eastAsia="en-US"/>
        </w:rPr>
        <w:t>correspond</w:t>
      </w:r>
      <w:r w:rsidR="00397F15" w:rsidRPr="009C7F4B">
        <w:rPr>
          <w:b w:val="0"/>
          <w:snapToGrid w:val="0"/>
          <w:lang w:eastAsia="en-US"/>
        </w:rPr>
        <w:t>a</w:t>
      </w:r>
      <w:r w:rsidR="00730B9B" w:rsidRPr="009C7F4B">
        <w:rPr>
          <w:b w:val="0"/>
          <w:snapToGrid w:val="0"/>
          <w:lang w:eastAsia="en-US"/>
        </w:rPr>
        <w:t>nce relati</w:t>
      </w:r>
      <w:r w:rsidR="00397F15" w:rsidRPr="009C7F4B">
        <w:rPr>
          <w:b w:val="0"/>
          <w:snapToGrid w:val="0"/>
          <w:lang w:eastAsia="en-US"/>
        </w:rPr>
        <w:t>ve à la</w:t>
      </w:r>
      <w:r w:rsidR="00730B9B" w:rsidRPr="009C7F4B">
        <w:rPr>
          <w:b w:val="0"/>
          <w:snapToGrid w:val="0"/>
          <w:lang w:eastAsia="en-US"/>
        </w:rPr>
        <w:t xml:space="preserve"> Convention. </w:t>
      </w:r>
    </w:p>
    <w:p w14:paraId="33997BBE" w14:textId="77777777" w:rsidR="00730B9B" w:rsidRPr="009C7F4B" w:rsidRDefault="009A46A3"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Poursuivant les efforts du</w:t>
      </w:r>
      <w:r w:rsidR="00C810EF" w:rsidRPr="009C7F4B">
        <w:rPr>
          <w:b w:val="0"/>
          <w:snapToGrid w:val="0"/>
          <w:lang w:eastAsia="en-US"/>
        </w:rPr>
        <w:t xml:space="preserve"> dernier exercice</w:t>
      </w:r>
      <w:r w:rsidRPr="009C7F4B">
        <w:rPr>
          <w:b w:val="0"/>
          <w:snapToGrid w:val="0"/>
          <w:lang w:eastAsia="en-US"/>
        </w:rPr>
        <w:t xml:space="preserve"> </w:t>
      </w:r>
      <w:r w:rsidR="00C810EF" w:rsidRPr="009C7F4B">
        <w:rPr>
          <w:b w:val="0"/>
          <w:snapToGrid w:val="0"/>
          <w:lang w:eastAsia="en-US"/>
        </w:rPr>
        <w:t xml:space="preserve">pour améliorer l’accessibilité et la </w:t>
      </w:r>
      <w:r w:rsidR="004312CB" w:rsidRPr="009C7F4B">
        <w:rPr>
          <w:b w:val="0"/>
          <w:snapToGrid w:val="0"/>
          <w:lang w:eastAsia="en-US"/>
        </w:rPr>
        <w:t>facilité</w:t>
      </w:r>
      <w:r w:rsidR="00C810EF" w:rsidRPr="009C7F4B">
        <w:rPr>
          <w:b w:val="0"/>
          <w:snapToGrid w:val="0"/>
          <w:lang w:eastAsia="en-US"/>
        </w:rPr>
        <w:t xml:space="preserve"> d’utilisation des documents et décisions des organes directeurs de la </w:t>
      </w:r>
      <w:r w:rsidR="00730B9B" w:rsidRPr="009C7F4B">
        <w:rPr>
          <w:b w:val="0"/>
          <w:snapToGrid w:val="0"/>
          <w:lang w:eastAsia="en-US"/>
        </w:rPr>
        <w:t>Convention (</w:t>
      </w:r>
      <w:r w:rsidR="00C810EF" w:rsidRPr="009C7F4B">
        <w:rPr>
          <w:b w:val="0"/>
          <w:snapToGrid w:val="0"/>
          <w:lang w:eastAsia="en-US"/>
        </w:rPr>
        <w:t xml:space="preserve">jusqu’en </w:t>
      </w:r>
      <w:r w:rsidR="00730B9B" w:rsidRPr="009C7F4B">
        <w:rPr>
          <w:b w:val="0"/>
          <w:snapToGrid w:val="0"/>
          <w:lang w:eastAsia="en-US"/>
        </w:rPr>
        <w:t xml:space="preserve">2012), </w:t>
      </w:r>
      <w:r w:rsidRPr="009C7F4B">
        <w:rPr>
          <w:b w:val="0"/>
          <w:snapToGrid w:val="0"/>
          <w:lang w:eastAsia="en-US"/>
        </w:rPr>
        <w:t xml:space="preserve">le deuxième </w:t>
      </w:r>
      <w:r w:rsidR="00BB021D" w:rsidRPr="009C7F4B">
        <w:rPr>
          <w:b w:val="0"/>
          <w:snapToGrid w:val="0"/>
          <w:lang w:eastAsia="en-US"/>
        </w:rPr>
        <w:t>produit sera de nouveau axé sur le traitement des documents des réunions statutaires a</w:t>
      </w:r>
      <w:r w:rsidR="00BF5D47" w:rsidRPr="009C7F4B">
        <w:rPr>
          <w:b w:val="0"/>
          <w:snapToGrid w:val="0"/>
          <w:lang w:eastAsia="en-US"/>
        </w:rPr>
        <w:t xml:space="preserve">vec l’insertion </w:t>
      </w:r>
      <w:r w:rsidR="00BB021D" w:rsidRPr="009C7F4B">
        <w:rPr>
          <w:b w:val="0"/>
          <w:snapToGrid w:val="0"/>
          <w:lang w:eastAsia="en-US"/>
        </w:rPr>
        <w:t xml:space="preserve">systématique </w:t>
      </w:r>
      <w:r w:rsidR="00BF5D47" w:rsidRPr="009C7F4B">
        <w:rPr>
          <w:b w:val="0"/>
          <w:snapToGrid w:val="0"/>
          <w:lang w:eastAsia="en-US"/>
        </w:rPr>
        <w:t>d</w:t>
      </w:r>
      <w:r w:rsidR="00BB021D" w:rsidRPr="009C7F4B">
        <w:rPr>
          <w:b w:val="0"/>
          <w:snapToGrid w:val="0"/>
          <w:lang w:eastAsia="en-US"/>
        </w:rPr>
        <w:t>e liens croisés et le</w:t>
      </w:r>
      <w:r w:rsidR="00BF5D47" w:rsidRPr="009C7F4B">
        <w:rPr>
          <w:b w:val="0"/>
          <w:snapToGrid w:val="0"/>
          <w:lang w:eastAsia="en-US"/>
        </w:rPr>
        <w:t>ur</w:t>
      </w:r>
      <w:r w:rsidR="00BB021D" w:rsidRPr="009C7F4B">
        <w:rPr>
          <w:b w:val="0"/>
          <w:snapToGrid w:val="0"/>
          <w:lang w:eastAsia="en-US"/>
        </w:rPr>
        <w:t xml:space="preserve"> inclu</w:t>
      </w:r>
      <w:r w:rsidR="00BF5D47" w:rsidRPr="009C7F4B">
        <w:rPr>
          <w:b w:val="0"/>
          <w:snapToGrid w:val="0"/>
          <w:lang w:eastAsia="en-US"/>
        </w:rPr>
        <w:t xml:space="preserve">sion </w:t>
      </w:r>
      <w:r w:rsidR="00BB021D" w:rsidRPr="009C7F4B">
        <w:rPr>
          <w:b w:val="0"/>
          <w:snapToGrid w:val="0"/>
          <w:lang w:eastAsia="en-US"/>
        </w:rPr>
        <w:t xml:space="preserve">dans </w:t>
      </w:r>
      <w:r w:rsidR="00730B9B" w:rsidRPr="009C7F4B">
        <w:rPr>
          <w:b w:val="0"/>
          <w:snapToGrid w:val="0"/>
          <w:lang w:eastAsia="en-US"/>
        </w:rPr>
        <w:t>UNESDOC</w:t>
      </w:r>
      <w:r w:rsidR="00BF5D47" w:rsidRPr="009C7F4B">
        <w:rPr>
          <w:b w:val="0"/>
          <w:snapToGrid w:val="0"/>
          <w:lang w:eastAsia="en-US"/>
        </w:rPr>
        <w:t>,</w:t>
      </w:r>
      <w:r w:rsidR="00730B9B" w:rsidRPr="009C7F4B">
        <w:rPr>
          <w:b w:val="0"/>
          <w:snapToGrid w:val="0"/>
          <w:lang w:eastAsia="en-US"/>
        </w:rPr>
        <w:t xml:space="preserve"> </w:t>
      </w:r>
      <w:r w:rsidR="0026593A" w:rsidRPr="009C7F4B">
        <w:rPr>
          <w:b w:val="0"/>
          <w:snapToGrid w:val="0"/>
          <w:lang w:eastAsia="en-US"/>
        </w:rPr>
        <w:t>le service d’archivage des documents de l’</w:t>
      </w:r>
      <w:r w:rsidR="00730B9B" w:rsidRPr="009C7F4B">
        <w:rPr>
          <w:b w:val="0"/>
          <w:snapToGrid w:val="0"/>
          <w:lang w:eastAsia="en-US"/>
        </w:rPr>
        <w:t xml:space="preserve">UNESCO. </w:t>
      </w:r>
      <w:r w:rsidR="0026593A" w:rsidRPr="009C7F4B">
        <w:rPr>
          <w:b w:val="0"/>
          <w:snapToGrid w:val="0"/>
          <w:lang w:eastAsia="en-US"/>
        </w:rPr>
        <w:t>Lors de l’actuel exercice, les réunions de la onzième session du Comité et de son Bureau, ainsi que celles de la sixième session de l’Assemblée générale devraient être couvertes</w:t>
      </w:r>
      <w:r w:rsidR="00730B9B" w:rsidRPr="009C7F4B">
        <w:rPr>
          <w:b w:val="0"/>
          <w:snapToGrid w:val="0"/>
          <w:lang w:eastAsia="en-US"/>
        </w:rPr>
        <w:t xml:space="preserve">. </w:t>
      </w:r>
    </w:p>
    <w:p w14:paraId="222CE7CA" w14:textId="2125332C" w:rsidR="00730B9B" w:rsidRPr="009C7F4B" w:rsidRDefault="0026593A"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En plus d’amélio</w:t>
      </w:r>
      <w:r w:rsidR="00BF5D47" w:rsidRPr="009C7F4B">
        <w:rPr>
          <w:b w:val="0"/>
          <w:snapToGrid w:val="0"/>
          <w:lang w:eastAsia="en-US"/>
        </w:rPr>
        <w:t>r</w:t>
      </w:r>
      <w:r w:rsidRPr="009C7F4B">
        <w:rPr>
          <w:b w:val="0"/>
          <w:snapToGrid w:val="0"/>
          <w:lang w:eastAsia="en-US"/>
        </w:rPr>
        <w:t>er l’accès aux informations et leur facilité d’utilisation</w:t>
      </w:r>
      <w:r w:rsidR="006711EC" w:rsidRPr="009C7F4B">
        <w:rPr>
          <w:b w:val="0"/>
          <w:snapToGrid w:val="0"/>
          <w:lang w:eastAsia="en-US"/>
        </w:rPr>
        <w:t xml:space="preserve">, et afin de limiter l’impact du manque de ressources humaines sur la qualité des services fournis aux </w:t>
      </w:r>
      <w:r w:rsidR="004312CB" w:rsidRPr="009C7F4B">
        <w:rPr>
          <w:b w:val="0"/>
          <w:snapToGrid w:val="0"/>
          <w:lang w:eastAsia="en-US"/>
        </w:rPr>
        <w:t>États</w:t>
      </w:r>
      <w:r w:rsidR="006711EC" w:rsidRPr="009C7F4B">
        <w:rPr>
          <w:b w:val="0"/>
          <w:snapToGrid w:val="0"/>
          <w:lang w:eastAsia="en-US"/>
        </w:rPr>
        <w:t xml:space="preserve"> parties, le troisième produit de ce résultat escompté sera axé sur la mise à disposition d’outils en ligne pour faciliter le fonctionnement de trois mécanismes fondamentaux de la </w:t>
      </w:r>
      <w:r w:rsidR="00730B9B" w:rsidRPr="009C7F4B">
        <w:rPr>
          <w:b w:val="0"/>
          <w:snapToGrid w:val="0"/>
          <w:lang w:eastAsia="en-US"/>
        </w:rPr>
        <w:t>Convention</w:t>
      </w:r>
      <w:r w:rsidR="006711EC" w:rsidRPr="009C7F4B">
        <w:rPr>
          <w:b w:val="0"/>
          <w:snapToGrid w:val="0"/>
          <w:lang w:eastAsia="en-US"/>
        </w:rPr>
        <w:t> </w:t>
      </w:r>
      <w:r w:rsidR="00730B9B" w:rsidRPr="009C7F4B">
        <w:rPr>
          <w:b w:val="0"/>
          <w:snapToGrid w:val="0"/>
          <w:lang w:eastAsia="en-US"/>
        </w:rPr>
        <w:t xml:space="preserve">: </w:t>
      </w:r>
      <w:r w:rsidR="006711EC" w:rsidRPr="009C7F4B">
        <w:rPr>
          <w:b w:val="0"/>
          <w:snapToGrid w:val="0"/>
          <w:lang w:eastAsia="en-US"/>
        </w:rPr>
        <w:t>les rapport</w:t>
      </w:r>
      <w:r w:rsidR="00EA6FA4" w:rsidRPr="009C7F4B">
        <w:rPr>
          <w:b w:val="0"/>
          <w:snapToGrid w:val="0"/>
          <w:lang w:eastAsia="en-US"/>
        </w:rPr>
        <w:t>s</w:t>
      </w:r>
      <w:r w:rsidR="006711EC" w:rsidRPr="009C7F4B">
        <w:rPr>
          <w:b w:val="0"/>
          <w:snapToGrid w:val="0"/>
          <w:lang w:eastAsia="en-US"/>
        </w:rPr>
        <w:t xml:space="preserve"> pé</w:t>
      </w:r>
      <w:r w:rsidR="00730B9B" w:rsidRPr="009C7F4B">
        <w:rPr>
          <w:b w:val="0"/>
          <w:snapToGrid w:val="0"/>
          <w:lang w:eastAsia="en-US"/>
        </w:rPr>
        <w:t>riodi</w:t>
      </w:r>
      <w:r w:rsidR="006711EC" w:rsidRPr="009C7F4B">
        <w:rPr>
          <w:b w:val="0"/>
          <w:snapToGrid w:val="0"/>
          <w:lang w:eastAsia="en-US"/>
        </w:rPr>
        <w:t xml:space="preserve">ques, l’assistance </w:t>
      </w:r>
      <w:r w:rsidR="00730B9B" w:rsidRPr="009C7F4B">
        <w:rPr>
          <w:b w:val="0"/>
          <w:snapToGrid w:val="0"/>
          <w:lang w:eastAsia="en-US"/>
        </w:rPr>
        <w:t>international</w:t>
      </w:r>
      <w:r w:rsidR="006711EC" w:rsidRPr="009C7F4B">
        <w:rPr>
          <w:b w:val="0"/>
          <w:snapToGrid w:val="0"/>
          <w:lang w:eastAsia="en-US"/>
        </w:rPr>
        <w:t>e du Fonds du patrimoine culturel immatériel et l’accréditation des organisations non gouvernementales</w:t>
      </w:r>
      <w:r w:rsidR="00730B9B" w:rsidRPr="009C7F4B">
        <w:rPr>
          <w:b w:val="0"/>
          <w:snapToGrid w:val="0"/>
          <w:lang w:eastAsia="en-US"/>
        </w:rPr>
        <w:t xml:space="preserve">. </w:t>
      </w:r>
      <w:r w:rsidR="006711EC" w:rsidRPr="009C7F4B">
        <w:rPr>
          <w:b w:val="0"/>
          <w:snapToGrid w:val="0"/>
          <w:lang w:eastAsia="en-US"/>
        </w:rPr>
        <w:t>C</w:t>
      </w:r>
      <w:r w:rsidR="00730B9B" w:rsidRPr="009C7F4B">
        <w:rPr>
          <w:b w:val="0"/>
          <w:snapToGrid w:val="0"/>
          <w:lang w:eastAsia="en-US"/>
        </w:rPr>
        <w:t>es n</w:t>
      </w:r>
      <w:r w:rsidR="006711EC" w:rsidRPr="009C7F4B">
        <w:rPr>
          <w:b w:val="0"/>
          <w:snapToGrid w:val="0"/>
          <w:lang w:eastAsia="en-US"/>
        </w:rPr>
        <w:t>ouvelles fonctionnalités devraient accélérer considérablement la circulation et le traitement des dossiers</w:t>
      </w:r>
      <w:r w:rsidR="00730B9B" w:rsidRPr="009C7F4B">
        <w:rPr>
          <w:b w:val="0"/>
          <w:snapToGrid w:val="0"/>
          <w:lang w:eastAsia="en-US"/>
        </w:rPr>
        <w:t>.</w:t>
      </w:r>
    </w:p>
    <w:p w14:paraId="2FC4F9F7" w14:textId="77777777" w:rsidR="00730B9B" w:rsidRPr="009C7F4B" w:rsidRDefault="006711EC"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Le quatrième produit concerne la partie visible du système de gestion des connaissances, à savoir le site web de la </w:t>
      </w:r>
      <w:r w:rsidR="00730B9B" w:rsidRPr="009C7F4B">
        <w:rPr>
          <w:b w:val="0"/>
          <w:snapToGrid w:val="0"/>
          <w:lang w:eastAsia="en-US"/>
        </w:rPr>
        <w:t>Convention</w:t>
      </w:r>
      <w:r w:rsidRPr="009C7F4B">
        <w:rPr>
          <w:b w:val="0"/>
          <w:snapToGrid w:val="0"/>
          <w:lang w:eastAsia="en-US"/>
        </w:rPr>
        <w:t xml:space="preserve"> de 2003</w:t>
      </w:r>
      <w:r w:rsidR="00730B9B" w:rsidRPr="009C7F4B">
        <w:rPr>
          <w:b w:val="0"/>
          <w:snapToGrid w:val="0"/>
          <w:lang w:eastAsia="en-US"/>
        </w:rPr>
        <w:t xml:space="preserve">. </w:t>
      </w:r>
      <w:r w:rsidR="00A123BA" w:rsidRPr="009C7F4B">
        <w:rPr>
          <w:b w:val="0"/>
          <w:snapToGrid w:val="0"/>
          <w:lang w:eastAsia="en-US"/>
        </w:rPr>
        <w:t>Le site entièrement r</w:t>
      </w:r>
      <w:r w:rsidR="002F4062" w:rsidRPr="009C7F4B">
        <w:rPr>
          <w:b w:val="0"/>
          <w:snapToGrid w:val="0"/>
          <w:lang w:eastAsia="en-US"/>
        </w:rPr>
        <w:t>énové</w:t>
      </w:r>
      <w:r w:rsidR="00014681" w:rsidRPr="009C7F4B">
        <w:rPr>
          <w:b w:val="0"/>
          <w:snapToGrid w:val="0"/>
          <w:lang w:eastAsia="en-US"/>
        </w:rPr>
        <w:t>,</w:t>
      </w:r>
      <w:r w:rsidR="00A123BA" w:rsidRPr="009C7F4B">
        <w:rPr>
          <w:b w:val="0"/>
          <w:snapToGrid w:val="0"/>
          <w:lang w:eastAsia="en-US"/>
        </w:rPr>
        <w:t xml:space="preserve"> lancé par le </w:t>
      </w:r>
      <w:r w:rsidR="00730B9B" w:rsidRPr="009C7F4B">
        <w:rPr>
          <w:b w:val="0"/>
          <w:snapToGrid w:val="0"/>
          <w:lang w:eastAsia="en-US"/>
        </w:rPr>
        <w:t>Secr</w:t>
      </w:r>
      <w:r w:rsidR="00A123BA" w:rsidRPr="009C7F4B">
        <w:rPr>
          <w:b w:val="0"/>
          <w:snapToGrid w:val="0"/>
          <w:lang w:eastAsia="en-US"/>
        </w:rPr>
        <w:t>é</w:t>
      </w:r>
      <w:r w:rsidR="00730B9B" w:rsidRPr="009C7F4B">
        <w:rPr>
          <w:b w:val="0"/>
          <w:snapToGrid w:val="0"/>
          <w:lang w:eastAsia="en-US"/>
        </w:rPr>
        <w:t xml:space="preserve">tariat </w:t>
      </w:r>
      <w:r w:rsidR="00A123BA" w:rsidRPr="009C7F4B">
        <w:rPr>
          <w:b w:val="0"/>
          <w:snapToGrid w:val="0"/>
          <w:lang w:eastAsia="en-US"/>
        </w:rPr>
        <w:t>e</w:t>
      </w:r>
      <w:r w:rsidR="00730B9B" w:rsidRPr="009C7F4B">
        <w:rPr>
          <w:b w:val="0"/>
          <w:snapToGrid w:val="0"/>
          <w:lang w:eastAsia="en-US"/>
        </w:rPr>
        <w:t xml:space="preserve">n </w:t>
      </w:r>
      <w:r w:rsidR="00A123BA" w:rsidRPr="009C7F4B">
        <w:rPr>
          <w:b w:val="0"/>
          <w:snapToGrid w:val="0"/>
          <w:lang w:eastAsia="en-US"/>
        </w:rPr>
        <w:t>n</w:t>
      </w:r>
      <w:r w:rsidR="00730B9B" w:rsidRPr="009C7F4B">
        <w:rPr>
          <w:b w:val="0"/>
          <w:snapToGrid w:val="0"/>
          <w:lang w:eastAsia="en-US"/>
        </w:rPr>
        <w:t>ovemb</w:t>
      </w:r>
      <w:r w:rsidR="00A123BA" w:rsidRPr="009C7F4B">
        <w:rPr>
          <w:b w:val="0"/>
          <w:snapToGrid w:val="0"/>
          <w:lang w:eastAsia="en-US"/>
        </w:rPr>
        <w:t>r</w:t>
      </w:r>
      <w:r w:rsidR="00730B9B" w:rsidRPr="009C7F4B">
        <w:rPr>
          <w:b w:val="0"/>
          <w:snapToGrid w:val="0"/>
          <w:lang w:eastAsia="en-US"/>
        </w:rPr>
        <w:t>e 2015</w:t>
      </w:r>
      <w:r w:rsidR="00014681" w:rsidRPr="009C7F4B">
        <w:rPr>
          <w:b w:val="0"/>
          <w:snapToGrid w:val="0"/>
          <w:lang w:eastAsia="en-US"/>
        </w:rPr>
        <w:t>,</w:t>
      </w:r>
      <w:r w:rsidR="00730B9B" w:rsidRPr="009C7F4B">
        <w:rPr>
          <w:b w:val="0"/>
          <w:snapToGrid w:val="0"/>
          <w:lang w:eastAsia="en-US"/>
        </w:rPr>
        <w:t xml:space="preserve"> </w:t>
      </w:r>
      <w:r w:rsidR="00A123BA" w:rsidRPr="009C7F4B">
        <w:rPr>
          <w:b w:val="0"/>
          <w:snapToGrid w:val="0"/>
          <w:lang w:eastAsia="en-US"/>
        </w:rPr>
        <w:t xml:space="preserve">a besoin de ressources pour sa maintenance, son développement et sa sécurité, mais aussi pour être facile à lire et consultable depuis de nouveaux </w:t>
      </w:r>
      <w:r w:rsidR="00762E4B" w:rsidRPr="009C7F4B">
        <w:rPr>
          <w:b w:val="0"/>
          <w:snapToGrid w:val="0"/>
          <w:lang w:eastAsia="en-US"/>
        </w:rPr>
        <w:t>appareils connectés</w:t>
      </w:r>
      <w:r w:rsidR="00A123BA" w:rsidRPr="009C7F4B">
        <w:rPr>
          <w:b w:val="0"/>
          <w:snapToGrid w:val="0"/>
          <w:lang w:eastAsia="en-US"/>
        </w:rPr>
        <w:t xml:space="preserve"> (téléphones mobiles, tablettes, </w:t>
      </w:r>
      <w:r w:rsidR="00730B9B" w:rsidRPr="009C7F4B">
        <w:rPr>
          <w:b w:val="0"/>
          <w:snapToGrid w:val="0"/>
          <w:lang w:eastAsia="en-US"/>
        </w:rPr>
        <w:t xml:space="preserve">etc.). </w:t>
      </w:r>
      <w:r w:rsidR="00A123BA" w:rsidRPr="009C7F4B">
        <w:rPr>
          <w:b w:val="0"/>
          <w:snapToGrid w:val="0"/>
          <w:lang w:eastAsia="en-US"/>
        </w:rPr>
        <w:t>En effet, un</w:t>
      </w:r>
      <w:r w:rsidR="00970F1F" w:rsidRPr="009C7F4B">
        <w:rPr>
          <w:b w:val="0"/>
          <w:snapToGrid w:val="0"/>
          <w:lang w:eastAsia="en-US"/>
        </w:rPr>
        <w:t>e</w:t>
      </w:r>
      <w:r w:rsidR="00A123BA" w:rsidRPr="009C7F4B">
        <w:rPr>
          <w:b w:val="0"/>
          <w:snapToGrid w:val="0"/>
          <w:lang w:eastAsia="en-US"/>
        </w:rPr>
        <w:t xml:space="preserve"> conception </w:t>
      </w:r>
      <w:r w:rsidR="00970F1F" w:rsidRPr="009C7F4B">
        <w:rPr>
          <w:b w:val="0"/>
          <w:snapToGrid w:val="0"/>
          <w:lang w:eastAsia="en-US"/>
        </w:rPr>
        <w:t xml:space="preserve">du web attentive aux besoins </w:t>
      </w:r>
      <w:r w:rsidR="00730B9B" w:rsidRPr="009C7F4B">
        <w:rPr>
          <w:b w:val="0"/>
          <w:snapToGrid w:val="0"/>
          <w:lang w:eastAsia="en-US"/>
        </w:rPr>
        <w:t xml:space="preserve">– </w:t>
      </w:r>
      <w:r w:rsidR="00970F1F" w:rsidRPr="009C7F4B">
        <w:rPr>
          <w:b w:val="0"/>
          <w:snapToGrid w:val="0"/>
          <w:lang w:eastAsia="en-US"/>
        </w:rPr>
        <w:t>une approche de la conception du web visant à fournir une expérience visuelle et interactive optimale</w:t>
      </w:r>
      <w:r w:rsidR="00730B9B" w:rsidRPr="009C7F4B">
        <w:rPr>
          <w:b w:val="0"/>
          <w:snapToGrid w:val="0"/>
          <w:lang w:eastAsia="en-US"/>
        </w:rPr>
        <w:t xml:space="preserve"> – </w:t>
      </w:r>
      <w:r w:rsidR="00014681" w:rsidRPr="009C7F4B">
        <w:rPr>
          <w:b w:val="0"/>
          <w:snapToGrid w:val="0"/>
          <w:lang w:eastAsia="en-US"/>
        </w:rPr>
        <w:t xml:space="preserve">prend </w:t>
      </w:r>
      <w:r w:rsidR="00970F1F" w:rsidRPr="009C7F4B">
        <w:rPr>
          <w:b w:val="0"/>
          <w:snapToGrid w:val="0"/>
          <w:lang w:eastAsia="en-US"/>
        </w:rPr>
        <w:t xml:space="preserve">de plus </w:t>
      </w:r>
      <w:r w:rsidR="0077106C" w:rsidRPr="009C7F4B">
        <w:rPr>
          <w:b w:val="0"/>
          <w:snapToGrid w:val="0"/>
          <w:lang w:eastAsia="en-US"/>
        </w:rPr>
        <w:t xml:space="preserve">en plus </w:t>
      </w:r>
      <w:r w:rsidR="00014681" w:rsidRPr="009C7F4B">
        <w:rPr>
          <w:b w:val="0"/>
          <w:snapToGrid w:val="0"/>
          <w:lang w:eastAsia="en-US"/>
        </w:rPr>
        <w:t>d’</w:t>
      </w:r>
      <w:r w:rsidR="00730B9B" w:rsidRPr="009C7F4B">
        <w:rPr>
          <w:b w:val="0"/>
          <w:snapToGrid w:val="0"/>
          <w:lang w:eastAsia="en-US"/>
        </w:rPr>
        <w:t>importan</w:t>
      </w:r>
      <w:r w:rsidR="00014681" w:rsidRPr="009C7F4B">
        <w:rPr>
          <w:b w:val="0"/>
          <w:snapToGrid w:val="0"/>
          <w:lang w:eastAsia="en-US"/>
        </w:rPr>
        <w:t>c</w:t>
      </w:r>
      <w:r w:rsidR="00970F1F" w:rsidRPr="009C7F4B">
        <w:rPr>
          <w:b w:val="0"/>
          <w:snapToGrid w:val="0"/>
          <w:lang w:eastAsia="en-US"/>
        </w:rPr>
        <w:t>e</w:t>
      </w:r>
      <w:r w:rsidR="0077106C" w:rsidRPr="009C7F4B">
        <w:rPr>
          <w:b w:val="0"/>
          <w:snapToGrid w:val="0"/>
          <w:lang w:eastAsia="en-US"/>
        </w:rPr>
        <w:t xml:space="preserve">, </w:t>
      </w:r>
      <w:r w:rsidR="00014681" w:rsidRPr="009C7F4B">
        <w:rPr>
          <w:b w:val="0"/>
          <w:snapToGrid w:val="0"/>
          <w:lang w:eastAsia="en-US"/>
        </w:rPr>
        <w:t xml:space="preserve">sachant </w:t>
      </w:r>
      <w:r w:rsidR="0077106C" w:rsidRPr="009C7F4B">
        <w:rPr>
          <w:b w:val="0"/>
          <w:snapToGrid w:val="0"/>
          <w:lang w:eastAsia="en-US"/>
        </w:rPr>
        <w:t xml:space="preserve">que le volume du trafic mobile représente actuellement plus de la moitié du trafic </w:t>
      </w:r>
      <w:r w:rsidR="00B605DD" w:rsidRPr="009C7F4B">
        <w:rPr>
          <w:b w:val="0"/>
          <w:snapToGrid w:val="0"/>
          <w:lang w:eastAsia="en-US"/>
        </w:rPr>
        <w:t>internet total</w:t>
      </w:r>
      <w:r w:rsidR="00730B9B" w:rsidRPr="009C7F4B">
        <w:rPr>
          <w:b w:val="0"/>
          <w:snapToGrid w:val="0"/>
          <w:lang w:eastAsia="en-US"/>
        </w:rPr>
        <w:t xml:space="preserve">. </w:t>
      </w:r>
      <w:r w:rsidR="00B605DD" w:rsidRPr="009C7F4B">
        <w:rPr>
          <w:b w:val="0"/>
          <w:snapToGrid w:val="0"/>
          <w:lang w:eastAsia="en-US"/>
        </w:rPr>
        <w:t>L</w:t>
      </w:r>
      <w:r w:rsidR="00730B9B" w:rsidRPr="009C7F4B">
        <w:rPr>
          <w:b w:val="0"/>
          <w:snapToGrid w:val="0"/>
          <w:lang w:eastAsia="en-US"/>
        </w:rPr>
        <w:t>e Secr</w:t>
      </w:r>
      <w:r w:rsidR="00B605DD" w:rsidRPr="009C7F4B">
        <w:rPr>
          <w:b w:val="0"/>
          <w:snapToGrid w:val="0"/>
          <w:lang w:eastAsia="en-US"/>
        </w:rPr>
        <w:t>é</w:t>
      </w:r>
      <w:r w:rsidR="00730B9B" w:rsidRPr="009C7F4B">
        <w:rPr>
          <w:b w:val="0"/>
          <w:snapToGrid w:val="0"/>
          <w:lang w:eastAsia="en-US"/>
        </w:rPr>
        <w:t xml:space="preserve">tariat </w:t>
      </w:r>
      <w:r w:rsidR="00B605DD" w:rsidRPr="009C7F4B">
        <w:rPr>
          <w:b w:val="0"/>
          <w:snapToGrid w:val="0"/>
          <w:lang w:eastAsia="en-US"/>
        </w:rPr>
        <w:t xml:space="preserve">s’appuiera donc sur ses efforts pour améliorer l’expérience de navigation et fournir des interfaces plus conviviales sur le </w:t>
      </w:r>
      <w:r w:rsidR="00E4629C" w:rsidRPr="009C7F4B">
        <w:rPr>
          <w:b w:val="0"/>
          <w:snapToGrid w:val="0"/>
          <w:lang w:eastAsia="en-US"/>
        </w:rPr>
        <w:t>site web r</w:t>
      </w:r>
      <w:r w:rsidR="00165A1E" w:rsidRPr="009C7F4B">
        <w:rPr>
          <w:b w:val="0"/>
          <w:snapToGrid w:val="0"/>
          <w:lang w:eastAsia="en-US"/>
        </w:rPr>
        <w:t>énové,</w:t>
      </w:r>
      <w:r w:rsidR="00E4629C" w:rsidRPr="009C7F4B">
        <w:rPr>
          <w:b w:val="0"/>
          <w:snapToGrid w:val="0"/>
          <w:lang w:eastAsia="en-US"/>
        </w:rPr>
        <w:t xml:space="preserve"> afin d’adapter la présentation du site à d’autres environnements de visualisation</w:t>
      </w:r>
      <w:r w:rsidR="00730B9B" w:rsidRPr="009C7F4B">
        <w:rPr>
          <w:b w:val="0"/>
          <w:snapToGrid w:val="0"/>
          <w:color w:val="252525"/>
          <w:sz w:val="21"/>
          <w:szCs w:val="21"/>
          <w:shd w:val="clear" w:color="auto" w:fill="FFFFFF"/>
          <w:lang w:eastAsia="en-US"/>
        </w:rPr>
        <w:t xml:space="preserve">. </w:t>
      </w:r>
    </w:p>
    <w:p w14:paraId="32B63A72" w14:textId="2B28D23D" w:rsidR="00730B9B" w:rsidRPr="009C7F4B" w:rsidRDefault="008602E4"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Le dernier produit concerne l’une des ressources fondamentales de la </w:t>
      </w:r>
      <w:r w:rsidR="00730B9B" w:rsidRPr="009C7F4B">
        <w:rPr>
          <w:b w:val="0"/>
          <w:snapToGrid w:val="0"/>
          <w:lang w:eastAsia="en-US"/>
        </w:rPr>
        <w:t>Convention</w:t>
      </w:r>
      <w:r w:rsidR="00165A1E" w:rsidRPr="009C7F4B">
        <w:rPr>
          <w:b w:val="0"/>
          <w:snapToGrid w:val="0"/>
          <w:lang w:eastAsia="en-US"/>
        </w:rPr>
        <w:t> :</w:t>
      </w:r>
      <w:r w:rsidR="00730B9B" w:rsidRPr="009C7F4B">
        <w:rPr>
          <w:b w:val="0"/>
          <w:snapToGrid w:val="0"/>
          <w:lang w:eastAsia="en-US"/>
        </w:rPr>
        <w:t xml:space="preserve"> </w:t>
      </w:r>
      <w:r w:rsidRPr="009C7F4B">
        <w:rPr>
          <w:b w:val="0"/>
          <w:snapToGrid w:val="0"/>
          <w:lang w:eastAsia="en-US"/>
        </w:rPr>
        <w:t>ses</w:t>
      </w:r>
      <w:r w:rsidR="00730B9B" w:rsidRPr="009C7F4B">
        <w:rPr>
          <w:b w:val="0"/>
          <w:snapToGrid w:val="0"/>
          <w:lang w:eastAsia="en-US"/>
        </w:rPr>
        <w:t xml:space="preserve"> </w:t>
      </w:r>
      <w:r w:rsidR="0009576F" w:rsidRPr="009C7F4B">
        <w:rPr>
          <w:b w:val="0"/>
          <w:snapToGrid w:val="0"/>
          <w:lang w:eastAsia="en-US"/>
        </w:rPr>
        <w:t xml:space="preserve">Textes </w:t>
      </w:r>
      <w:r w:rsidRPr="009C7F4B">
        <w:rPr>
          <w:b w:val="0"/>
          <w:snapToGrid w:val="0"/>
          <w:lang w:eastAsia="en-US"/>
        </w:rPr>
        <w:t>fondamentaux</w:t>
      </w:r>
      <w:r w:rsidR="00730B9B" w:rsidRPr="009C7F4B">
        <w:rPr>
          <w:b w:val="0"/>
          <w:snapToGrid w:val="0"/>
          <w:lang w:eastAsia="en-US"/>
        </w:rPr>
        <w:t xml:space="preserve">. </w:t>
      </w:r>
      <w:r w:rsidRPr="009C7F4B">
        <w:rPr>
          <w:b w:val="0"/>
          <w:snapToGrid w:val="0"/>
          <w:lang w:eastAsia="en-US"/>
        </w:rPr>
        <w:t>Une édition</w:t>
      </w:r>
      <w:r w:rsidR="00730B9B" w:rsidRPr="009C7F4B">
        <w:rPr>
          <w:b w:val="0"/>
          <w:snapToGrid w:val="0"/>
          <w:lang w:eastAsia="en-US"/>
        </w:rPr>
        <w:t xml:space="preserve"> 2016 </w:t>
      </w:r>
      <w:r w:rsidRPr="009C7F4B">
        <w:rPr>
          <w:b w:val="0"/>
          <w:snapToGrid w:val="0"/>
          <w:lang w:eastAsia="en-US"/>
        </w:rPr>
        <w:t xml:space="preserve">de ces textes intégrera les amendements substantiels </w:t>
      </w:r>
      <w:r w:rsidR="00165A1E" w:rsidRPr="009C7F4B">
        <w:rPr>
          <w:b w:val="0"/>
          <w:snapToGrid w:val="0"/>
          <w:lang w:eastAsia="en-US"/>
        </w:rPr>
        <w:t>apportés aux</w:t>
      </w:r>
      <w:r w:rsidRPr="009C7F4B">
        <w:rPr>
          <w:b w:val="0"/>
          <w:snapToGrid w:val="0"/>
          <w:lang w:eastAsia="en-US"/>
        </w:rPr>
        <w:t xml:space="preserve"> Directives opérationnelles </w:t>
      </w:r>
      <w:r w:rsidR="00165A1E" w:rsidRPr="009C7F4B">
        <w:rPr>
          <w:b w:val="0"/>
          <w:snapToGrid w:val="0"/>
          <w:lang w:eastAsia="en-US"/>
        </w:rPr>
        <w:t xml:space="preserve">et </w:t>
      </w:r>
      <w:r w:rsidRPr="009C7F4B">
        <w:rPr>
          <w:b w:val="0"/>
          <w:snapToGrid w:val="0"/>
          <w:lang w:eastAsia="en-US"/>
        </w:rPr>
        <w:t>adoptés par l’Assemblée générale lors de sa sixième session, ainsi que les amendements a</w:t>
      </w:r>
      <w:r w:rsidR="00794A78" w:rsidRPr="009C7F4B">
        <w:rPr>
          <w:b w:val="0"/>
          <w:snapToGrid w:val="0"/>
          <w:lang w:eastAsia="en-US"/>
        </w:rPr>
        <w:t>pportés</w:t>
      </w:r>
      <w:r w:rsidRPr="009C7F4B">
        <w:rPr>
          <w:b w:val="0"/>
          <w:snapToGrid w:val="0"/>
          <w:lang w:eastAsia="en-US"/>
        </w:rPr>
        <w:t xml:space="preserve"> par le Comité </w:t>
      </w:r>
      <w:r w:rsidR="00A276AB" w:rsidRPr="009C7F4B">
        <w:rPr>
          <w:b w:val="0"/>
          <w:snapToGrid w:val="0"/>
          <w:lang w:eastAsia="en-US"/>
        </w:rPr>
        <w:t xml:space="preserve">à son Règlement intérieur. Des efforts majeurs ont </w:t>
      </w:r>
      <w:r w:rsidR="00794A78" w:rsidRPr="009C7F4B">
        <w:rPr>
          <w:b w:val="0"/>
          <w:snapToGrid w:val="0"/>
          <w:lang w:eastAsia="en-US"/>
        </w:rPr>
        <w:t xml:space="preserve">d’ores et </w:t>
      </w:r>
      <w:r w:rsidR="00A276AB" w:rsidRPr="009C7F4B">
        <w:rPr>
          <w:b w:val="0"/>
          <w:snapToGrid w:val="0"/>
          <w:lang w:eastAsia="en-US"/>
        </w:rPr>
        <w:t xml:space="preserve">déjà été faits au premier semestre </w:t>
      </w:r>
      <w:r w:rsidR="00730B9B" w:rsidRPr="009C7F4B">
        <w:rPr>
          <w:b w:val="0"/>
          <w:snapToGrid w:val="0"/>
          <w:lang w:eastAsia="en-US"/>
        </w:rPr>
        <w:t xml:space="preserve">2016 </w:t>
      </w:r>
      <w:r w:rsidR="00A276AB" w:rsidRPr="009C7F4B">
        <w:rPr>
          <w:b w:val="0"/>
          <w:snapToGrid w:val="0"/>
          <w:lang w:eastAsia="en-US"/>
        </w:rPr>
        <w:t>pour que la version révisée puisse être imprimée avant la onzième session du Comité en novembre</w:t>
      </w:r>
      <w:r w:rsidR="00730B9B" w:rsidRPr="009C7F4B">
        <w:rPr>
          <w:b w:val="0"/>
          <w:snapToGrid w:val="0"/>
          <w:lang w:eastAsia="en-US"/>
        </w:rPr>
        <w:t>/</w:t>
      </w:r>
      <w:r w:rsidR="00A276AB" w:rsidRPr="009C7F4B">
        <w:rPr>
          <w:b w:val="0"/>
          <w:snapToGrid w:val="0"/>
          <w:lang w:eastAsia="en-US"/>
        </w:rPr>
        <w:t>dé</w:t>
      </w:r>
      <w:r w:rsidR="00730B9B" w:rsidRPr="009C7F4B">
        <w:rPr>
          <w:b w:val="0"/>
          <w:snapToGrid w:val="0"/>
          <w:lang w:eastAsia="en-US"/>
        </w:rPr>
        <w:t>cemb</w:t>
      </w:r>
      <w:r w:rsidR="00A276AB" w:rsidRPr="009C7F4B">
        <w:rPr>
          <w:b w:val="0"/>
          <w:snapToGrid w:val="0"/>
          <w:lang w:eastAsia="en-US"/>
        </w:rPr>
        <w:t>r</w:t>
      </w:r>
      <w:r w:rsidR="00730B9B" w:rsidRPr="009C7F4B">
        <w:rPr>
          <w:b w:val="0"/>
          <w:snapToGrid w:val="0"/>
          <w:lang w:eastAsia="en-US"/>
        </w:rPr>
        <w:t xml:space="preserve">e 2016. </w:t>
      </w:r>
    </w:p>
    <w:p w14:paraId="13ECE65B" w14:textId="18917686" w:rsidR="00730B9B" w:rsidRPr="009C7F4B" w:rsidRDefault="001E3E79" w:rsidP="00BF6D09">
      <w:pPr>
        <w:pStyle w:val="Heading4"/>
        <w:numPr>
          <w:ilvl w:val="0"/>
          <w:numId w:val="0"/>
        </w:numPr>
        <w:ind w:left="1134"/>
        <w:jc w:val="both"/>
        <w:rPr>
          <w:snapToGrid w:val="0"/>
          <w:lang w:eastAsia="en-US"/>
        </w:rPr>
      </w:pPr>
      <w:r w:rsidRPr="009C7F4B">
        <w:rPr>
          <w:snapToGrid w:val="0"/>
          <w:lang w:eastAsia="en-US"/>
        </w:rPr>
        <w:lastRenderedPageBreak/>
        <w:t>Résultat escompté</w:t>
      </w:r>
      <w:r w:rsidR="00730B9B" w:rsidRPr="009C7F4B">
        <w:rPr>
          <w:snapToGrid w:val="0"/>
          <w:lang w:eastAsia="en-US"/>
        </w:rPr>
        <w:t> 2</w:t>
      </w:r>
      <w:r w:rsidRPr="009C7F4B">
        <w:rPr>
          <w:snapToGrid w:val="0"/>
          <w:lang w:eastAsia="en-US"/>
        </w:rPr>
        <w:t> </w:t>
      </w:r>
      <w:r w:rsidR="00730B9B" w:rsidRPr="009C7F4B">
        <w:rPr>
          <w:snapToGrid w:val="0"/>
          <w:lang w:eastAsia="en-US"/>
        </w:rPr>
        <w:t xml:space="preserve">: </w:t>
      </w:r>
      <w:r w:rsidR="0009576F" w:rsidRPr="009C7F4B">
        <w:rPr>
          <w:snapToGrid w:val="0"/>
          <w:lang w:eastAsia="en-US"/>
        </w:rPr>
        <w:t>Mise en œuvre de la Convention dans les États membres encouragée par un programme de renforcement de capacités consolidé et des conseils sur des mesures de sauvegarde et des bonnes pratiques</w:t>
      </w:r>
      <w:r w:rsidR="0009576F" w:rsidRPr="009C7F4B" w:rsidDel="0009576F">
        <w:rPr>
          <w:snapToGrid w:val="0"/>
          <w:lang w:eastAsia="en-US"/>
        </w:rPr>
        <w:t xml:space="preserve"> </w:t>
      </w:r>
    </w:p>
    <w:p w14:paraId="024DFAB8" w14:textId="0AD9EB66" w:rsidR="00730B9B" w:rsidRPr="009C7F4B" w:rsidRDefault="00794A78" w:rsidP="00BF6D09">
      <w:pPr>
        <w:pStyle w:val="Heading4"/>
        <w:keepNext w:val="0"/>
        <w:numPr>
          <w:ilvl w:val="0"/>
          <w:numId w:val="16"/>
        </w:numPr>
        <w:spacing w:before="0" w:after="120"/>
        <w:ind w:left="567" w:hanging="567"/>
        <w:jc w:val="both"/>
        <w:rPr>
          <w:rFonts w:ascii="Cambria" w:hAnsi="Cambria"/>
          <w:b w:val="0"/>
          <w:bCs/>
          <w:iCs/>
          <w:sz w:val="28"/>
          <w:szCs w:val="28"/>
          <w:u w:val="single"/>
        </w:rPr>
      </w:pPr>
      <w:r w:rsidRPr="009C7F4B">
        <w:rPr>
          <w:b w:val="0"/>
          <w:snapToGrid w:val="0"/>
          <w:lang w:eastAsia="en-US"/>
        </w:rPr>
        <w:t>Le</w:t>
      </w:r>
      <w:r w:rsidR="00475332" w:rsidRPr="009C7F4B">
        <w:rPr>
          <w:b w:val="0"/>
          <w:snapToGrid w:val="0"/>
          <w:lang w:eastAsia="en-US"/>
        </w:rPr>
        <w:t xml:space="preserve"> Comité </w:t>
      </w:r>
      <w:r w:rsidRPr="009C7F4B">
        <w:rPr>
          <w:b w:val="0"/>
          <w:snapToGrid w:val="0"/>
          <w:lang w:eastAsia="en-US"/>
        </w:rPr>
        <w:t xml:space="preserve">a </w:t>
      </w:r>
      <w:r w:rsidR="00475332" w:rsidRPr="009C7F4B">
        <w:rPr>
          <w:b w:val="0"/>
          <w:snapToGrid w:val="0"/>
          <w:lang w:eastAsia="en-US"/>
        </w:rPr>
        <w:t xml:space="preserve">la responsabilité d’encourager la mise en </w:t>
      </w:r>
      <w:r w:rsidRPr="009C7F4B">
        <w:rPr>
          <w:b w:val="0"/>
          <w:snapToGrid w:val="0"/>
          <w:lang w:eastAsia="en-US"/>
        </w:rPr>
        <w:t xml:space="preserve">œuvre </w:t>
      </w:r>
      <w:r w:rsidR="00475332" w:rsidRPr="009C7F4B">
        <w:rPr>
          <w:b w:val="0"/>
          <w:snapToGrid w:val="0"/>
          <w:lang w:eastAsia="en-US"/>
        </w:rPr>
        <w:t xml:space="preserve">de la Convention </w:t>
      </w:r>
      <w:r w:rsidR="00730B9B" w:rsidRPr="009C7F4B">
        <w:rPr>
          <w:b w:val="0"/>
          <w:snapToGrid w:val="0"/>
          <w:lang w:eastAsia="en-US"/>
        </w:rPr>
        <w:t>(</w:t>
      </w:r>
      <w:r w:rsidR="00475332" w:rsidRPr="009C7F4B">
        <w:rPr>
          <w:b w:val="0"/>
          <w:snapToGrid w:val="0"/>
          <w:lang w:eastAsia="en-US"/>
        </w:rPr>
        <w:t>a</w:t>
      </w:r>
      <w:r w:rsidR="00730B9B" w:rsidRPr="009C7F4B">
        <w:rPr>
          <w:b w:val="0"/>
          <w:snapToGrid w:val="0"/>
          <w:lang w:eastAsia="en-US"/>
        </w:rPr>
        <w:t xml:space="preserve">rticle 7 [a]). </w:t>
      </w:r>
      <w:r w:rsidR="00475332" w:rsidRPr="009C7F4B">
        <w:rPr>
          <w:b w:val="0"/>
          <w:snapToGrid w:val="0"/>
          <w:lang w:eastAsia="en-US"/>
        </w:rPr>
        <w:t>Jusqu’à présent, le programme de renforcement des capacités a été la stratégie choisie</w:t>
      </w:r>
      <w:r w:rsidRPr="009C7F4B">
        <w:rPr>
          <w:b w:val="0"/>
          <w:snapToGrid w:val="0"/>
          <w:lang w:eastAsia="en-US"/>
        </w:rPr>
        <w:t xml:space="preserve"> par le</w:t>
      </w:r>
      <w:r w:rsidR="00B149B9" w:rsidRPr="009C7F4B">
        <w:rPr>
          <w:b w:val="0"/>
          <w:snapToGrid w:val="0"/>
          <w:lang w:eastAsia="en-US"/>
        </w:rPr>
        <w:t xml:space="preserve"> Comité </w:t>
      </w:r>
      <w:r w:rsidR="00475332" w:rsidRPr="009C7F4B">
        <w:rPr>
          <w:b w:val="0"/>
          <w:snapToGrid w:val="0"/>
          <w:lang w:eastAsia="en-US"/>
        </w:rPr>
        <w:t xml:space="preserve">pour </w:t>
      </w:r>
      <w:r w:rsidR="00B149B9" w:rsidRPr="009C7F4B">
        <w:rPr>
          <w:b w:val="0"/>
          <w:snapToGrid w:val="0"/>
          <w:lang w:eastAsia="en-US"/>
        </w:rPr>
        <w:t>s’acquitter de cette responsabilité et il le restera au cours de l’exercice</w:t>
      </w:r>
      <w:r w:rsidRPr="009C7F4B">
        <w:rPr>
          <w:b w:val="0"/>
          <w:snapToGrid w:val="0"/>
          <w:lang w:eastAsia="en-US"/>
        </w:rPr>
        <w:t xml:space="preserve"> actuel</w:t>
      </w:r>
      <w:r w:rsidR="00B149B9" w:rsidRPr="009C7F4B">
        <w:rPr>
          <w:b w:val="0"/>
          <w:snapToGrid w:val="0"/>
          <w:lang w:eastAsia="en-US"/>
        </w:rPr>
        <w:t xml:space="preserve">, compte tenu de la demande croissante </w:t>
      </w:r>
      <w:r w:rsidRPr="009C7F4B">
        <w:rPr>
          <w:b w:val="0"/>
          <w:snapToGrid w:val="0"/>
          <w:lang w:eastAsia="en-US"/>
        </w:rPr>
        <w:t xml:space="preserve">émanant </w:t>
      </w:r>
      <w:r w:rsidR="00B149B9" w:rsidRPr="009C7F4B">
        <w:rPr>
          <w:b w:val="0"/>
          <w:snapToGrid w:val="0"/>
          <w:lang w:eastAsia="en-US"/>
        </w:rPr>
        <w:t xml:space="preserve">des </w:t>
      </w:r>
      <w:r w:rsidR="004312CB" w:rsidRPr="009C7F4B">
        <w:rPr>
          <w:b w:val="0"/>
          <w:snapToGrid w:val="0"/>
          <w:lang w:eastAsia="en-US"/>
        </w:rPr>
        <w:t>États</w:t>
      </w:r>
      <w:r w:rsidR="00B149B9" w:rsidRPr="009C7F4B">
        <w:rPr>
          <w:b w:val="0"/>
          <w:snapToGrid w:val="0"/>
          <w:lang w:eastAsia="en-US"/>
        </w:rPr>
        <w:t xml:space="preserve"> membres</w:t>
      </w:r>
      <w:r w:rsidR="00730B9B" w:rsidRPr="009C7F4B">
        <w:rPr>
          <w:b w:val="0"/>
          <w:snapToGrid w:val="0"/>
          <w:lang w:eastAsia="en-US"/>
        </w:rPr>
        <w:t xml:space="preserve">. </w:t>
      </w:r>
      <w:r w:rsidR="00B149B9" w:rsidRPr="009C7F4B">
        <w:rPr>
          <w:b w:val="0"/>
          <w:snapToGrid w:val="0"/>
          <w:lang w:eastAsia="en-US"/>
        </w:rPr>
        <w:t xml:space="preserve">Toutefois, les </w:t>
      </w:r>
      <w:r w:rsidR="004312CB" w:rsidRPr="009C7F4B">
        <w:rPr>
          <w:b w:val="0"/>
          <w:snapToGrid w:val="0"/>
          <w:lang w:eastAsia="en-US"/>
        </w:rPr>
        <w:t>États</w:t>
      </w:r>
      <w:r w:rsidR="00B149B9" w:rsidRPr="009C7F4B">
        <w:rPr>
          <w:b w:val="0"/>
          <w:snapToGrid w:val="0"/>
          <w:lang w:eastAsia="en-US"/>
        </w:rPr>
        <w:t xml:space="preserve"> membres </w:t>
      </w:r>
      <w:r w:rsidR="009E3DAD" w:rsidRPr="009C7F4B">
        <w:rPr>
          <w:b w:val="0"/>
          <w:snapToGrid w:val="0"/>
          <w:lang w:eastAsia="en-US"/>
        </w:rPr>
        <w:t xml:space="preserve">sont </w:t>
      </w:r>
      <w:r w:rsidR="00B149B9" w:rsidRPr="009C7F4B">
        <w:rPr>
          <w:b w:val="0"/>
          <w:snapToGrid w:val="0"/>
          <w:lang w:eastAsia="en-US"/>
        </w:rPr>
        <w:t>également de plus en plus intér</w:t>
      </w:r>
      <w:r w:rsidR="009E3DAD" w:rsidRPr="009C7F4B">
        <w:rPr>
          <w:b w:val="0"/>
          <w:snapToGrid w:val="0"/>
          <w:lang w:eastAsia="en-US"/>
        </w:rPr>
        <w:t xml:space="preserve">essés par la possibilité de bénéficier de l’expérience des autres </w:t>
      </w:r>
      <w:r w:rsidR="004312CB" w:rsidRPr="009C7F4B">
        <w:rPr>
          <w:b w:val="0"/>
          <w:snapToGrid w:val="0"/>
          <w:lang w:eastAsia="en-US"/>
        </w:rPr>
        <w:t>États</w:t>
      </w:r>
      <w:r w:rsidRPr="009C7F4B">
        <w:rPr>
          <w:b w:val="0"/>
          <w:snapToGrid w:val="0"/>
          <w:lang w:eastAsia="en-US"/>
        </w:rPr>
        <w:t xml:space="preserve"> </w:t>
      </w:r>
      <w:r w:rsidR="009E3DAD" w:rsidRPr="009C7F4B">
        <w:rPr>
          <w:b w:val="0"/>
          <w:snapToGrid w:val="0"/>
          <w:lang w:eastAsia="en-US"/>
        </w:rPr>
        <w:t>en matière de sauvegarde</w:t>
      </w:r>
      <w:r w:rsidRPr="009C7F4B">
        <w:rPr>
          <w:b w:val="0"/>
          <w:snapToGrid w:val="0"/>
          <w:lang w:eastAsia="en-US"/>
        </w:rPr>
        <w:t>,</w:t>
      </w:r>
      <w:r w:rsidR="009E3DAD" w:rsidRPr="009C7F4B">
        <w:rPr>
          <w:b w:val="0"/>
          <w:snapToGrid w:val="0"/>
          <w:lang w:eastAsia="en-US"/>
        </w:rPr>
        <w:t xml:space="preserve"> afin d’en tirer des </w:t>
      </w:r>
      <w:r w:rsidRPr="009C7F4B">
        <w:rPr>
          <w:b w:val="0"/>
          <w:snapToGrid w:val="0"/>
          <w:lang w:eastAsia="en-US"/>
        </w:rPr>
        <w:t>enseignements</w:t>
      </w:r>
      <w:r w:rsidR="009E3DAD" w:rsidRPr="009C7F4B">
        <w:rPr>
          <w:b w:val="0"/>
          <w:snapToGrid w:val="0"/>
          <w:lang w:eastAsia="en-US"/>
        </w:rPr>
        <w:t xml:space="preserve"> utiles pour la mise en œuvre de la Convention dans leur propre pays</w:t>
      </w:r>
      <w:r w:rsidR="00730B9B" w:rsidRPr="009C7F4B">
        <w:rPr>
          <w:b w:val="0"/>
          <w:snapToGrid w:val="0"/>
          <w:lang w:eastAsia="en-US"/>
        </w:rPr>
        <w:t xml:space="preserve">. </w:t>
      </w:r>
      <w:r w:rsidR="009E3DAD" w:rsidRPr="009C7F4B">
        <w:rPr>
          <w:b w:val="0"/>
          <w:snapToGrid w:val="0"/>
          <w:lang w:eastAsia="en-US"/>
        </w:rPr>
        <w:t>L</w:t>
      </w:r>
      <w:r w:rsidR="00730B9B" w:rsidRPr="009C7F4B">
        <w:rPr>
          <w:b w:val="0"/>
          <w:snapToGrid w:val="0"/>
          <w:lang w:eastAsia="en-US"/>
        </w:rPr>
        <w:t>e Comit</w:t>
      </w:r>
      <w:r w:rsidR="009E3DAD" w:rsidRPr="009C7F4B">
        <w:rPr>
          <w:b w:val="0"/>
          <w:snapToGrid w:val="0"/>
          <w:lang w:eastAsia="en-US"/>
        </w:rPr>
        <w:t>é est en outre censé « </w:t>
      </w:r>
      <w:r w:rsidR="00A4380F" w:rsidRPr="009C7F4B">
        <w:rPr>
          <w:b w:val="0"/>
          <w:snapToGrid w:val="0"/>
          <w:lang w:eastAsia="en-US"/>
        </w:rPr>
        <w:t>donner</w:t>
      </w:r>
      <w:r w:rsidR="009E3DAD" w:rsidRPr="009C7F4B">
        <w:rPr>
          <w:b w:val="0"/>
          <w:snapToGrid w:val="0"/>
          <w:lang w:eastAsia="en-US"/>
        </w:rPr>
        <w:t xml:space="preserve"> des conseils sur le</w:t>
      </w:r>
      <w:r w:rsidR="00A4380F" w:rsidRPr="009C7F4B">
        <w:rPr>
          <w:b w:val="0"/>
          <w:snapToGrid w:val="0"/>
          <w:lang w:eastAsia="en-US"/>
        </w:rPr>
        <w:t>s</w:t>
      </w:r>
      <w:r w:rsidR="009E3DAD" w:rsidRPr="009C7F4B">
        <w:rPr>
          <w:b w:val="0"/>
          <w:snapToGrid w:val="0"/>
          <w:lang w:eastAsia="en-US"/>
        </w:rPr>
        <w:t xml:space="preserve"> meilleures pratiques et formuler des recommandations sur les mesures en faveur de la sauvegarde du patrimoine culturel immatériel »</w:t>
      </w:r>
      <w:r w:rsidR="00730B9B" w:rsidRPr="009C7F4B">
        <w:rPr>
          <w:b w:val="0"/>
          <w:snapToGrid w:val="0"/>
          <w:lang w:eastAsia="en-US"/>
        </w:rPr>
        <w:t xml:space="preserve"> (</w:t>
      </w:r>
      <w:r w:rsidR="00A4380F" w:rsidRPr="009C7F4B">
        <w:rPr>
          <w:b w:val="0"/>
          <w:snapToGrid w:val="0"/>
          <w:lang w:eastAsia="en-US"/>
        </w:rPr>
        <w:t>a</w:t>
      </w:r>
      <w:r w:rsidR="00730B9B" w:rsidRPr="009C7F4B">
        <w:rPr>
          <w:b w:val="0"/>
          <w:snapToGrid w:val="0"/>
          <w:lang w:eastAsia="en-US"/>
        </w:rPr>
        <w:t xml:space="preserve">rticle 7 [b]). </w:t>
      </w:r>
      <w:r w:rsidR="00A4380F" w:rsidRPr="009C7F4B">
        <w:rPr>
          <w:b w:val="0"/>
          <w:snapToGrid w:val="0"/>
          <w:lang w:eastAsia="en-US"/>
        </w:rPr>
        <w:t>C’est pourquoi le</w:t>
      </w:r>
      <w:r w:rsidR="00730B9B" w:rsidRPr="009C7F4B">
        <w:rPr>
          <w:b w:val="0"/>
          <w:snapToGrid w:val="0"/>
          <w:lang w:eastAsia="en-US"/>
        </w:rPr>
        <w:t xml:space="preserve"> Secr</w:t>
      </w:r>
      <w:r w:rsidR="00A4380F" w:rsidRPr="009C7F4B">
        <w:rPr>
          <w:b w:val="0"/>
          <w:snapToGrid w:val="0"/>
          <w:lang w:eastAsia="en-US"/>
        </w:rPr>
        <w:t>é</w:t>
      </w:r>
      <w:r w:rsidR="00730B9B" w:rsidRPr="009C7F4B">
        <w:rPr>
          <w:b w:val="0"/>
          <w:snapToGrid w:val="0"/>
          <w:lang w:eastAsia="en-US"/>
        </w:rPr>
        <w:t>tariat</w:t>
      </w:r>
      <w:r w:rsidR="00A4380F" w:rsidRPr="009C7F4B">
        <w:rPr>
          <w:b w:val="0"/>
          <w:snapToGrid w:val="0"/>
          <w:lang w:eastAsia="en-US"/>
        </w:rPr>
        <w:t xml:space="preserve"> prévoit d’utiliser les fonds alloués aux </w:t>
      </w:r>
      <w:r w:rsidR="00571B2A" w:rsidRPr="009C7F4B">
        <w:rPr>
          <w:b w:val="0"/>
          <w:snapToGrid w:val="0"/>
          <w:lang w:eastAsia="en-US"/>
        </w:rPr>
        <w:t>« </w:t>
      </w:r>
      <w:r w:rsidR="00A4380F" w:rsidRPr="009C7F4B">
        <w:rPr>
          <w:b w:val="0"/>
          <w:snapToGrid w:val="0"/>
          <w:lang w:eastAsia="en-US"/>
        </w:rPr>
        <w:t>autres fonctions du Comité</w:t>
      </w:r>
      <w:r w:rsidR="00571B2A" w:rsidRPr="009C7F4B">
        <w:rPr>
          <w:b w:val="0"/>
          <w:snapToGrid w:val="0"/>
          <w:lang w:eastAsia="en-US"/>
        </w:rPr>
        <w:t> »</w:t>
      </w:r>
      <w:r w:rsidR="00A4380F" w:rsidRPr="009C7F4B">
        <w:rPr>
          <w:b w:val="0"/>
          <w:snapToGrid w:val="0"/>
          <w:lang w:eastAsia="en-US"/>
        </w:rPr>
        <w:t xml:space="preserve"> pour </w:t>
      </w:r>
      <w:r w:rsidR="00730B9B" w:rsidRPr="009C7F4B">
        <w:rPr>
          <w:b w:val="0"/>
          <w:snapToGrid w:val="0"/>
          <w:lang w:eastAsia="en-US"/>
        </w:rPr>
        <w:t>(i) continue</w:t>
      </w:r>
      <w:r w:rsidR="00A4380F" w:rsidRPr="009C7F4B">
        <w:rPr>
          <w:b w:val="0"/>
          <w:snapToGrid w:val="0"/>
          <w:lang w:eastAsia="en-US"/>
        </w:rPr>
        <w:t xml:space="preserve">r à </w:t>
      </w:r>
      <w:r w:rsidR="00571B2A" w:rsidRPr="009C7F4B">
        <w:rPr>
          <w:b w:val="0"/>
          <w:snapToGrid w:val="0"/>
          <w:lang w:eastAsia="en-US"/>
        </w:rPr>
        <w:t xml:space="preserve">doter </w:t>
      </w:r>
      <w:r w:rsidR="00A4380F" w:rsidRPr="009C7F4B">
        <w:rPr>
          <w:b w:val="0"/>
          <w:snapToGrid w:val="0"/>
          <w:lang w:eastAsia="en-US"/>
        </w:rPr>
        <w:t xml:space="preserve">le programme de renforcement des capacités </w:t>
      </w:r>
      <w:r w:rsidR="00571B2A" w:rsidRPr="009C7F4B">
        <w:rPr>
          <w:b w:val="0"/>
          <w:snapToGrid w:val="0"/>
          <w:lang w:eastAsia="en-US"/>
        </w:rPr>
        <w:t>des moyens nécessaires pour répondre</w:t>
      </w:r>
      <w:r w:rsidR="00A4380F" w:rsidRPr="009C7F4B">
        <w:rPr>
          <w:b w:val="0"/>
          <w:snapToGrid w:val="0"/>
          <w:lang w:eastAsia="en-US"/>
        </w:rPr>
        <w:t xml:space="preserve"> de façon satisfaisante à la demande et reste</w:t>
      </w:r>
      <w:r w:rsidR="00571B2A" w:rsidRPr="009C7F4B">
        <w:rPr>
          <w:b w:val="0"/>
          <w:snapToGrid w:val="0"/>
          <w:lang w:eastAsia="en-US"/>
        </w:rPr>
        <w:t>r</w:t>
      </w:r>
      <w:r w:rsidR="00A4380F" w:rsidRPr="009C7F4B">
        <w:rPr>
          <w:b w:val="0"/>
          <w:snapToGrid w:val="0"/>
          <w:lang w:eastAsia="en-US"/>
        </w:rPr>
        <w:t xml:space="preserve"> en phase avec </w:t>
      </w:r>
      <w:r w:rsidR="0009576F" w:rsidRPr="009C7F4B">
        <w:rPr>
          <w:b w:val="0"/>
          <w:snapToGrid w:val="0"/>
          <w:lang w:eastAsia="en-US"/>
        </w:rPr>
        <w:t>les dernières évolutions</w:t>
      </w:r>
      <w:r w:rsidR="00A4380F" w:rsidRPr="009C7F4B">
        <w:rPr>
          <w:b w:val="0"/>
          <w:snapToGrid w:val="0"/>
          <w:lang w:eastAsia="en-US"/>
        </w:rPr>
        <w:t xml:space="preserve"> dans la vie de la </w:t>
      </w:r>
      <w:r w:rsidR="00730B9B" w:rsidRPr="009C7F4B">
        <w:rPr>
          <w:b w:val="0"/>
          <w:snapToGrid w:val="0"/>
          <w:lang w:eastAsia="en-US"/>
        </w:rPr>
        <w:t>Convention</w:t>
      </w:r>
      <w:r w:rsidR="00571B2A" w:rsidRPr="009C7F4B">
        <w:rPr>
          <w:b w:val="0"/>
          <w:snapToGrid w:val="0"/>
          <w:lang w:eastAsia="en-US"/>
        </w:rPr>
        <w:t> ;</w:t>
      </w:r>
      <w:r w:rsidR="00730B9B" w:rsidRPr="009C7F4B">
        <w:rPr>
          <w:b w:val="0"/>
          <w:snapToGrid w:val="0"/>
          <w:lang w:eastAsia="en-US"/>
        </w:rPr>
        <w:t xml:space="preserve"> (ii) </w:t>
      </w:r>
      <w:r w:rsidR="00C41C06" w:rsidRPr="009C7F4B">
        <w:rPr>
          <w:b w:val="0"/>
          <w:snapToGrid w:val="0"/>
          <w:lang w:eastAsia="en-US"/>
        </w:rPr>
        <w:t xml:space="preserve">étudier des mécanismes destinés à promouvoir un plus large partage des bonnes pratiques de sauvegarde et à formuler des conseils sur </w:t>
      </w:r>
      <w:r w:rsidR="00571B2A" w:rsidRPr="009C7F4B">
        <w:rPr>
          <w:b w:val="0"/>
          <w:snapToGrid w:val="0"/>
          <w:lang w:eastAsia="en-US"/>
        </w:rPr>
        <w:t>certains</w:t>
      </w:r>
      <w:r w:rsidR="00C41C06" w:rsidRPr="009C7F4B">
        <w:rPr>
          <w:b w:val="0"/>
          <w:snapToGrid w:val="0"/>
          <w:lang w:eastAsia="en-US"/>
        </w:rPr>
        <w:t xml:space="preserve"> thèmes spécifiques qui retiennent plus particulièrement l’attention du Comité</w:t>
      </w:r>
      <w:r w:rsidR="00730B9B" w:rsidRPr="009C7F4B">
        <w:rPr>
          <w:b w:val="0"/>
          <w:snapToGrid w:val="0"/>
          <w:lang w:eastAsia="en-US"/>
        </w:rPr>
        <w:t>.</w:t>
      </w:r>
    </w:p>
    <w:p w14:paraId="0498072A" w14:textId="77777777" w:rsidR="00730B9B" w:rsidRPr="009C7F4B" w:rsidRDefault="00C41C06"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Les fonds alloués aux </w:t>
      </w:r>
      <w:r w:rsidR="00571B2A" w:rsidRPr="009C7F4B">
        <w:rPr>
          <w:b w:val="0"/>
          <w:snapToGrid w:val="0"/>
          <w:lang w:eastAsia="en-US"/>
        </w:rPr>
        <w:t>« </w:t>
      </w:r>
      <w:r w:rsidRPr="009C7F4B">
        <w:rPr>
          <w:b w:val="0"/>
          <w:snapToGrid w:val="0"/>
          <w:lang w:eastAsia="en-US"/>
        </w:rPr>
        <w:t>autres fonctions du Comité</w:t>
      </w:r>
      <w:r w:rsidR="00571B2A" w:rsidRPr="009C7F4B">
        <w:rPr>
          <w:b w:val="0"/>
          <w:snapToGrid w:val="0"/>
          <w:lang w:eastAsia="en-US"/>
        </w:rPr>
        <w:t> »</w:t>
      </w:r>
      <w:r w:rsidR="00FD342A" w:rsidRPr="009C7F4B">
        <w:rPr>
          <w:b w:val="0"/>
          <w:snapToGrid w:val="0"/>
          <w:lang w:eastAsia="en-US"/>
        </w:rPr>
        <w:t xml:space="preserve"> </w:t>
      </w:r>
      <w:r w:rsidR="00094248" w:rsidRPr="009C7F4B">
        <w:rPr>
          <w:b w:val="0"/>
          <w:snapToGrid w:val="0"/>
          <w:lang w:eastAsia="en-US"/>
        </w:rPr>
        <w:t xml:space="preserve">sont déterminants pour </w:t>
      </w:r>
      <w:r w:rsidR="00FD342A" w:rsidRPr="009C7F4B">
        <w:rPr>
          <w:b w:val="0"/>
          <w:snapToGrid w:val="0"/>
          <w:lang w:eastAsia="en-US"/>
        </w:rPr>
        <w:t>le développement et le maintien de fonctions générales p</w:t>
      </w:r>
      <w:r w:rsidR="00094248" w:rsidRPr="009C7F4B">
        <w:rPr>
          <w:b w:val="0"/>
          <w:snapToGrid w:val="0"/>
          <w:lang w:eastAsia="en-US"/>
        </w:rPr>
        <w:t>ermettant d’</w:t>
      </w:r>
      <w:r w:rsidR="00FD342A" w:rsidRPr="009C7F4B">
        <w:rPr>
          <w:b w:val="0"/>
          <w:snapToGrid w:val="0"/>
          <w:lang w:eastAsia="en-US"/>
        </w:rPr>
        <w:t>exécu</w:t>
      </w:r>
      <w:r w:rsidR="00094248" w:rsidRPr="009C7F4B">
        <w:rPr>
          <w:b w:val="0"/>
          <w:snapToGrid w:val="0"/>
          <w:lang w:eastAsia="en-US"/>
        </w:rPr>
        <w:t>ter efficacement le</w:t>
      </w:r>
      <w:r w:rsidR="00FD342A" w:rsidRPr="009C7F4B">
        <w:rPr>
          <w:b w:val="0"/>
          <w:snapToGrid w:val="0"/>
          <w:lang w:eastAsia="en-US"/>
        </w:rPr>
        <w:t xml:space="preserve"> programme, tandis que la mise en </w:t>
      </w:r>
      <w:r w:rsidR="00094248" w:rsidRPr="009C7F4B">
        <w:rPr>
          <w:b w:val="0"/>
          <w:snapToGrid w:val="0"/>
          <w:lang w:eastAsia="en-US"/>
        </w:rPr>
        <w:t xml:space="preserve">œuvre </w:t>
      </w:r>
      <w:r w:rsidR="00FD342A" w:rsidRPr="009C7F4B">
        <w:rPr>
          <w:b w:val="0"/>
          <w:snapToGrid w:val="0"/>
          <w:lang w:eastAsia="en-US"/>
        </w:rPr>
        <w:t>effective au niveau des pays est rendue possible par les contributions</w:t>
      </w:r>
      <w:r w:rsidR="008C2348" w:rsidRPr="009C7F4B">
        <w:rPr>
          <w:b w:val="0"/>
          <w:snapToGrid w:val="0"/>
          <w:lang w:eastAsia="en-US"/>
        </w:rPr>
        <w:t xml:space="preserve"> à affectation spécifique versés</w:t>
      </w:r>
      <w:r w:rsidR="00FD342A" w:rsidRPr="009C7F4B">
        <w:rPr>
          <w:b w:val="0"/>
          <w:snapToGrid w:val="0"/>
          <w:lang w:eastAsia="en-US"/>
        </w:rPr>
        <w:t xml:space="preserve"> </w:t>
      </w:r>
      <w:r w:rsidR="008C2348" w:rsidRPr="009C7F4B">
        <w:rPr>
          <w:b w:val="0"/>
          <w:snapToGrid w:val="0"/>
          <w:lang w:eastAsia="en-US"/>
        </w:rPr>
        <w:t>au Fonds</w:t>
      </w:r>
      <w:r w:rsidR="00094248" w:rsidRPr="009C7F4B">
        <w:rPr>
          <w:b w:val="0"/>
          <w:snapToGrid w:val="0"/>
          <w:lang w:eastAsia="en-US"/>
        </w:rPr>
        <w:t>,</w:t>
      </w:r>
      <w:r w:rsidR="008C2348" w:rsidRPr="009C7F4B">
        <w:rPr>
          <w:b w:val="0"/>
          <w:snapToGrid w:val="0"/>
          <w:lang w:eastAsia="en-US"/>
        </w:rPr>
        <w:t xml:space="preserve"> ainsi que par les accords de fonds-en-dépôt. </w:t>
      </w:r>
      <w:r w:rsidR="00094248" w:rsidRPr="009C7F4B">
        <w:rPr>
          <w:b w:val="0"/>
          <w:snapToGrid w:val="0"/>
          <w:lang w:eastAsia="en-US"/>
        </w:rPr>
        <w:t>L</w:t>
      </w:r>
      <w:r w:rsidR="008C2348" w:rsidRPr="009C7F4B">
        <w:rPr>
          <w:b w:val="0"/>
          <w:snapToGrid w:val="0"/>
          <w:lang w:eastAsia="en-US"/>
        </w:rPr>
        <w:t xml:space="preserve">es fonctions transversales </w:t>
      </w:r>
      <w:r w:rsidR="00094248" w:rsidRPr="009C7F4B">
        <w:rPr>
          <w:b w:val="0"/>
          <w:snapToGrid w:val="0"/>
          <w:lang w:eastAsia="en-US"/>
        </w:rPr>
        <w:t xml:space="preserve">concernées </w:t>
      </w:r>
      <w:r w:rsidR="008C2348" w:rsidRPr="009C7F4B">
        <w:rPr>
          <w:b w:val="0"/>
          <w:snapToGrid w:val="0"/>
          <w:lang w:eastAsia="en-US"/>
        </w:rPr>
        <w:t>sont </w:t>
      </w:r>
      <w:r w:rsidR="00730B9B" w:rsidRPr="009C7F4B">
        <w:rPr>
          <w:b w:val="0"/>
          <w:snapToGrid w:val="0"/>
          <w:lang w:eastAsia="en-US"/>
        </w:rPr>
        <w:t>: (i) </w:t>
      </w:r>
      <w:r w:rsidR="00094248" w:rsidRPr="009C7F4B">
        <w:rPr>
          <w:b w:val="0"/>
          <w:snapToGrid w:val="0"/>
          <w:lang w:eastAsia="en-US"/>
        </w:rPr>
        <w:t xml:space="preserve">le </w:t>
      </w:r>
      <w:r w:rsidR="008C2348" w:rsidRPr="009C7F4B">
        <w:rPr>
          <w:b w:val="0"/>
          <w:snapToGrid w:val="0"/>
          <w:lang w:eastAsia="en-US"/>
        </w:rPr>
        <w:t>renforcement du réseau d’experts facilitateurs</w:t>
      </w:r>
      <w:r w:rsidR="00730B9B" w:rsidRPr="009C7F4B">
        <w:rPr>
          <w:b w:val="0"/>
          <w:snapToGrid w:val="0"/>
          <w:lang w:eastAsia="en-US"/>
        </w:rPr>
        <w:t xml:space="preserve">, (ii) </w:t>
      </w:r>
      <w:r w:rsidR="00094248" w:rsidRPr="009C7F4B">
        <w:rPr>
          <w:b w:val="0"/>
          <w:snapToGrid w:val="0"/>
          <w:lang w:eastAsia="en-US"/>
        </w:rPr>
        <w:t>l’</w:t>
      </w:r>
      <w:r w:rsidR="008C2348" w:rsidRPr="009C7F4B">
        <w:rPr>
          <w:b w:val="0"/>
          <w:snapToGrid w:val="0"/>
          <w:lang w:eastAsia="en-US"/>
        </w:rPr>
        <w:t>élaboration de contenus, formes et matériels adéquats,</w:t>
      </w:r>
      <w:r w:rsidR="00730B9B" w:rsidRPr="009C7F4B">
        <w:rPr>
          <w:b w:val="0"/>
          <w:snapToGrid w:val="0"/>
          <w:lang w:eastAsia="en-US"/>
        </w:rPr>
        <w:t xml:space="preserve"> (iii) </w:t>
      </w:r>
      <w:r w:rsidR="00094248" w:rsidRPr="009C7F4B">
        <w:rPr>
          <w:b w:val="0"/>
          <w:snapToGrid w:val="0"/>
          <w:lang w:eastAsia="en-US"/>
        </w:rPr>
        <w:t xml:space="preserve">le </w:t>
      </w:r>
      <w:r w:rsidR="008C2348" w:rsidRPr="009C7F4B">
        <w:rPr>
          <w:b w:val="0"/>
          <w:snapToGrid w:val="0"/>
          <w:lang w:eastAsia="en-US"/>
        </w:rPr>
        <w:t xml:space="preserve">suivi, </w:t>
      </w:r>
      <w:r w:rsidR="00094248" w:rsidRPr="009C7F4B">
        <w:rPr>
          <w:b w:val="0"/>
          <w:snapToGrid w:val="0"/>
          <w:lang w:eastAsia="en-US"/>
        </w:rPr>
        <w:t>l’</w:t>
      </w:r>
      <w:r w:rsidR="008C2348" w:rsidRPr="009C7F4B">
        <w:rPr>
          <w:b w:val="0"/>
          <w:snapToGrid w:val="0"/>
          <w:lang w:eastAsia="en-US"/>
        </w:rPr>
        <w:t xml:space="preserve">évaluation et </w:t>
      </w:r>
      <w:r w:rsidR="00094248" w:rsidRPr="009C7F4B">
        <w:rPr>
          <w:b w:val="0"/>
          <w:snapToGrid w:val="0"/>
          <w:lang w:eastAsia="en-US"/>
        </w:rPr>
        <w:t>l’</w:t>
      </w:r>
      <w:r w:rsidR="008C2348" w:rsidRPr="009C7F4B">
        <w:rPr>
          <w:b w:val="0"/>
          <w:snapToGrid w:val="0"/>
          <w:lang w:eastAsia="en-US"/>
        </w:rPr>
        <w:t>adaptation de la stratégie</w:t>
      </w:r>
      <w:r w:rsidR="00730B9B" w:rsidRPr="009C7F4B">
        <w:rPr>
          <w:b w:val="0"/>
          <w:snapToGrid w:val="0"/>
          <w:lang w:eastAsia="en-US"/>
        </w:rPr>
        <w:t>.</w:t>
      </w:r>
    </w:p>
    <w:p w14:paraId="57579114" w14:textId="2E833266" w:rsidR="00730B9B" w:rsidRPr="009C7F4B" w:rsidRDefault="00FD0D84"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C’est pourquoi</w:t>
      </w:r>
      <w:r w:rsidR="008C2348" w:rsidRPr="009C7F4B">
        <w:rPr>
          <w:b w:val="0"/>
          <w:snapToGrid w:val="0"/>
          <w:lang w:eastAsia="en-US"/>
        </w:rPr>
        <w:t xml:space="preserve">, le cadre de résultats présenté ci-dessous propose </w:t>
      </w:r>
      <w:r w:rsidRPr="009C7F4B">
        <w:rPr>
          <w:b w:val="0"/>
          <w:snapToGrid w:val="0"/>
          <w:lang w:eastAsia="en-US"/>
        </w:rPr>
        <w:t>trois produits clés pour ce deuxième résultat escompté</w:t>
      </w:r>
      <w:r w:rsidR="00730B9B" w:rsidRPr="009C7F4B">
        <w:rPr>
          <w:b w:val="0"/>
          <w:snapToGrid w:val="0"/>
          <w:lang w:eastAsia="en-US"/>
        </w:rPr>
        <w:t xml:space="preserve">. </w:t>
      </w:r>
      <w:r w:rsidRPr="009C7F4B">
        <w:rPr>
          <w:b w:val="0"/>
          <w:snapToGrid w:val="0"/>
          <w:lang w:eastAsia="en-US"/>
        </w:rPr>
        <w:t xml:space="preserve">Le premier concerne le travail en cours </w:t>
      </w:r>
      <w:r w:rsidR="006B6824" w:rsidRPr="009C7F4B">
        <w:rPr>
          <w:b w:val="0"/>
          <w:snapToGrid w:val="0"/>
          <w:lang w:eastAsia="en-US"/>
        </w:rPr>
        <w:t xml:space="preserve">pour </w:t>
      </w:r>
      <w:r w:rsidRPr="009C7F4B">
        <w:rPr>
          <w:b w:val="0"/>
          <w:snapToGrid w:val="0"/>
          <w:lang w:eastAsia="en-US"/>
        </w:rPr>
        <w:t>renforce</w:t>
      </w:r>
      <w:r w:rsidR="006B6824" w:rsidRPr="009C7F4B">
        <w:rPr>
          <w:b w:val="0"/>
          <w:snapToGrid w:val="0"/>
          <w:lang w:eastAsia="en-US"/>
        </w:rPr>
        <w:t>r le</w:t>
      </w:r>
      <w:r w:rsidRPr="009C7F4B">
        <w:rPr>
          <w:b w:val="0"/>
          <w:snapToGrid w:val="0"/>
          <w:lang w:eastAsia="en-US"/>
        </w:rPr>
        <w:t xml:space="preserve"> réseau de facilitateurs formés par l’UNESCO et chargés de fournir des services aux pays bénéficiaires</w:t>
      </w:r>
      <w:r w:rsidR="00730B9B" w:rsidRPr="009C7F4B">
        <w:rPr>
          <w:b w:val="0"/>
          <w:snapToGrid w:val="0"/>
          <w:lang w:eastAsia="en-US"/>
        </w:rPr>
        <w:t xml:space="preserve">. </w:t>
      </w:r>
      <w:r w:rsidRPr="009C7F4B">
        <w:rPr>
          <w:b w:val="0"/>
          <w:snapToGrid w:val="0"/>
          <w:lang w:eastAsia="en-US"/>
        </w:rPr>
        <w:t xml:space="preserve">Comme il est expliqué dans le rapport </w:t>
      </w:r>
      <w:r w:rsidR="0009576F" w:rsidRPr="009C7F4B">
        <w:rPr>
          <w:b w:val="0"/>
          <w:snapToGrid w:val="0"/>
          <w:lang w:eastAsia="en-US"/>
        </w:rPr>
        <w:t>d’exécution</w:t>
      </w:r>
      <w:r w:rsidRPr="009C7F4B">
        <w:rPr>
          <w:b w:val="0"/>
          <w:snapToGrid w:val="0"/>
          <w:lang w:eastAsia="en-US"/>
        </w:rPr>
        <w:t xml:space="preserve"> </w:t>
      </w:r>
      <w:r w:rsidR="00444409" w:rsidRPr="009C7F4B">
        <w:rPr>
          <w:b w:val="0"/>
          <w:snapToGrid w:val="0"/>
          <w:lang w:eastAsia="en-US"/>
        </w:rPr>
        <w:t>pour la période du 1</w:t>
      </w:r>
      <w:r w:rsidR="00444409" w:rsidRPr="009C7F4B">
        <w:rPr>
          <w:b w:val="0"/>
          <w:snapToGrid w:val="0"/>
          <w:vertAlign w:val="superscript"/>
          <w:lang w:eastAsia="en-US"/>
        </w:rPr>
        <w:t>er</w:t>
      </w:r>
      <w:r w:rsidR="006B6824" w:rsidRPr="009C7F4B">
        <w:rPr>
          <w:b w:val="0"/>
          <w:snapToGrid w:val="0"/>
          <w:lang w:eastAsia="en-US"/>
        </w:rPr>
        <w:t xml:space="preserve"> </w:t>
      </w:r>
      <w:r w:rsidR="00444409" w:rsidRPr="009C7F4B">
        <w:rPr>
          <w:b w:val="0"/>
          <w:snapToGrid w:val="0"/>
          <w:lang w:eastAsia="en-US"/>
        </w:rPr>
        <w:t>janvier</w:t>
      </w:r>
      <w:r w:rsidR="00730B9B" w:rsidRPr="009C7F4B">
        <w:rPr>
          <w:b w:val="0"/>
          <w:snapToGrid w:val="0"/>
          <w:lang w:eastAsia="en-US"/>
        </w:rPr>
        <w:t xml:space="preserve"> 2014 </w:t>
      </w:r>
      <w:r w:rsidR="00444409" w:rsidRPr="009C7F4B">
        <w:rPr>
          <w:b w:val="0"/>
          <w:snapToGrid w:val="0"/>
          <w:lang w:eastAsia="en-US"/>
        </w:rPr>
        <w:t>au</w:t>
      </w:r>
      <w:r w:rsidR="00730B9B" w:rsidRPr="009C7F4B">
        <w:rPr>
          <w:b w:val="0"/>
          <w:snapToGrid w:val="0"/>
          <w:lang w:eastAsia="en-US"/>
        </w:rPr>
        <w:t xml:space="preserve"> 31 </w:t>
      </w:r>
      <w:r w:rsidR="00444409" w:rsidRPr="009C7F4B">
        <w:rPr>
          <w:b w:val="0"/>
          <w:snapToGrid w:val="0"/>
          <w:lang w:eastAsia="en-US"/>
        </w:rPr>
        <w:t>dé</w:t>
      </w:r>
      <w:r w:rsidR="00730B9B" w:rsidRPr="009C7F4B">
        <w:rPr>
          <w:b w:val="0"/>
          <w:snapToGrid w:val="0"/>
          <w:lang w:eastAsia="en-US"/>
        </w:rPr>
        <w:t>cemb</w:t>
      </w:r>
      <w:r w:rsidR="00444409" w:rsidRPr="009C7F4B">
        <w:rPr>
          <w:b w:val="0"/>
          <w:snapToGrid w:val="0"/>
          <w:lang w:eastAsia="en-US"/>
        </w:rPr>
        <w:t>r</w:t>
      </w:r>
      <w:r w:rsidR="00730B9B" w:rsidRPr="009C7F4B">
        <w:rPr>
          <w:b w:val="0"/>
          <w:snapToGrid w:val="0"/>
          <w:lang w:eastAsia="en-US"/>
        </w:rPr>
        <w:t>e 2015 (</w:t>
      </w:r>
      <w:hyperlink r:id="rId14" w:history="1">
        <w:r w:rsidR="00730B9B" w:rsidRPr="009C7F4B">
          <w:rPr>
            <w:rStyle w:val="Hyperlink"/>
            <w:lang w:eastAsia="en-US"/>
          </w:rPr>
          <w:t>ITH/16/11.COM 2.BUR/INF.1</w:t>
        </w:r>
      </w:hyperlink>
      <w:r w:rsidR="00730B9B" w:rsidRPr="009C7F4B">
        <w:rPr>
          <w:b w:val="0"/>
          <w:snapToGrid w:val="0"/>
          <w:lang w:eastAsia="en-US"/>
        </w:rPr>
        <w:t xml:space="preserve">), </w:t>
      </w:r>
      <w:r w:rsidR="00444409" w:rsidRPr="009C7F4B">
        <w:rPr>
          <w:b w:val="0"/>
          <w:snapToGrid w:val="0"/>
          <w:lang w:eastAsia="en-US"/>
        </w:rPr>
        <w:t>l</w:t>
      </w:r>
      <w:r w:rsidR="00730B9B" w:rsidRPr="009C7F4B">
        <w:rPr>
          <w:b w:val="0"/>
          <w:snapToGrid w:val="0"/>
          <w:lang w:eastAsia="en-US"/>
        </w:rPr>
        <w:t xml:space="preserve">e </w:t>
      </w:r>
      <w:r w:rsidR="00444409" w:rsidRPr="009C7F4B">
        <w:rPr>
          <w:b w:val="0"/>
          <w:snapToGrid w:val="0"/>
          <w:lang w:eastAsia="en-US"/>
        </w:rPr>
        <w:t xml:space="preserve">réseau doit évoluer en termes d’expertise et de portée régionale pour </w:t>
      </w:r>
      <w:r w:rsidR="006B6824" w:rsidRPr="009C7F4B">
        <w:rPr>
          <w:b w:val="0"/>
          <w:snapToGrid w:val="0"/>
          <w:lang w:eastAsia="en-US"/>
        </w:rPr>
        <w:t>pouvoir</w:t>
      </w:r>
      <w:r w:rsidR="00444409" w:rsidRPr="009C7F4B">
        <w:rPr>
          <w:b w:val="0"/>
          <w:snapToGrid w:val="0"/>
          <w:lang w:eastAsia="en-US"/>
        </w:rPr>
        <w:t xml:space="preserve"> fournir de nouveau contenus et satisfaire une demande croissante</w:t>
      </w:r>
      <w:r w:rsidR="00730B9B" w:rsidRPr="009C7F4B">
        <w:rPr>
          <w:b w:val="0"/>
          <w:snapToGrid w:val="0"/>
          <w:lang w:eastAsia="en-US"/>
        </w:rPr>
        <w:t xml:space="preserve">. </w:t>
      </w:r>
      <w:r w:rsidR="00444409" w:rsidRPr="009C7F4B">
        <w:rPr>
          <w:b w:val="0"/>
          <w:snapToGrid w:val="0"/>
          <w:lang w:eastAsia="en-US"/>
        </w:rPr>
        <w:t xml:space="preserve">Le </w:t>
      </w:r>
      <w:r w:rsidR="00730B9B" w:rsidRPr="009C7F4B">
        <w:rPr>
          <w:b w:val="0"/>
          <w:snapToGrid w:val="0"/>
          <w:lang w:eastAsia="en-US"/>
        </w:rPr>
        <w:t>Secr</w:t>
      </w:r>
      <w:r w:rsidR="00444409" w:rsidRPr="009C7F4B">
        <w:rPr>
          <w:b w:val="0"/>
          <w:snapToGrid w:val="0"/>
          <w:lang w:eastAsia="en-US"/>
        </w:rPr>
        <w:t>é</w:t>
      </w:r>
      <w:r w:rsidR="00730B9B" w:rsidRPr="009C7F4B">
        <w:rPr>
          <w:b w:val="0"/>
          <w:snapToGrid w:val="0"/>
          <w:lang w:eastAsia="en-US"/>
        </w:rPr>
        <w:t>tariat continue</w:t>
      </w:r>
      <w:r w:rsidR="00444409" w:rsidRPr="009C7F4B">
        <w:rPr>
          <w:b w:val="0"/>
          <w:snapToGrid w:val="0"/>
          <w:lang w:eastAsia="en-US"/>
        </w:rPr>
        <w:t>ra donc d’o</w:t>
      </w:r>
      <w:r w:rsidR="00730B9B" w:rsidRPr="009C7F4B">
        <w:rPr>
          <w:b w:val="0"/>
          <w:snapToGrid w:val="0"/>
          <w:lang w:eastAsia="en-US"/>
        </w:rPr>
        <w:t>rgani</w:t>
      </w:r>
      <w:r w:rsidR="00444409" w:rsidRPr="009C7F4B">
        <w:rPr>
          <w:b w:val="0"/>
          <w:snapToGrid w:val="0"/>
          <w:lang w:eastAsia="en-US"/>
        </w:rPr>
        <w:t>ser des ateliers régionaux pour former des facilitateurs ou mettre leurs connaissances à niveau</w:t>
      </w:r>
      <w:r w:rsidR="00730B9B" w:rsidRPr="009C7F4B">
        <w:rPr>
          <w:b w:val="0"/>
          <w:snapToGrid w:val="0"/>
          <w:lang w:eastAsia="en-US"/>
        </w:rPr>
        <w:t xml:space="preserve">, </w:t>
      </w:r>
      <w:r w:rsidR="00444409" w:rsidRPr="009C7F4B">
        <w:rPr>
          <w:b w:val="0"/>
          <w:snapToGrid w:val="0"/>
          <w:lang w:eastAsia="en-US"/>
        </w:rPr>
        <w:t>en couvrant les domaines de contenu développés au cours du dernier exercice</w:t>
      </w:r>
      <w:r w:rsidR="00730B9B" w:rsidRPr="009C7F4B">
        <w:rPr>
          <w:b w:val="0"/>
          <w:snapToGrid w:val="0"/>
          <w:lang w:eastAsia="en-US"/>
        </w:rPr>
        <w:t xml:space="preserve">, </w:t>
      </w:r>
      <w:r w:rsidR="00444409" w:rsidRPr="009C7F4B">
        <w:rPr>
          <w:b w:val="0"/>
          <w:snapToGrid w:val="0"/>
          <w:lang w:eastAsia="en-US"/>
        </w:rPr>
        <w:t>à savoir l’élaboration de politique</w:t>
      </w:r>
      <w:r w:rsidR="0009576F" w:rsidRPr="009C7F4B">
        <w:rPr>
          <w:b w:val="0"/>
          <w:snapToGrid w:val="0"/>
          <w:lang w:eastAsia="en-US"/>
        </w:rPr>
        <w:t>s</w:t>
      </w:r>
      <w:r w:rsidR="00444409" w:rsidRPr="009C7F4B">
        <w:rPr>
          <w:b w:val="0"/>
          <w:snapToGrid w:val="0"/>
          <w:lang w:eastAsia="en-US"/>
        </w:rPr>
        <w:t xml:space="preserve"> et de législation</w:t>
      </w:r>
      <w:r w:rsidR="0009576F" w:rsidRPr="009C7F4B">
        <w:rPr>
          <w:b w:val="0"/>
          <w:snapToGrid w:val="0"/>
          <w:lang w:eastAsia="en-US"/>
        </w:rPr>
        <w:t>s</w:t>
      </w:r>
      <w:r w:rsidR="00730B9B" w:rsidRPr="009C7F4B">
        <w:rPr>
          <w:b w:val="0"/>
          <w:snapToGrid w:val="0"/>
          <w:lang w:eastAsia="en-US"/>
        </w:rPr>
        <w:t xml:space="preserve">, </w:t>
      </w:r>
      <w:r w:rsidR="00444409" w:rsidRPr="009C7F4B">
        <w:rPr>
          <w:b w:val="0"/>
          <w:snapToGrid w:val="0"/>
          <w:lang w:eastAsia="en-US"/>
        </w:rPr>
        <w:t>les plans de sauvegarde</w:t>
      </w:r>
      <w:r w:rsidR="00730B9B" w:rsidRPr="009C7F4B">
        <w:rPr>
          <w:b w:val="0"/>
          <w:snapToGrid w:val="0"/>
          <w:lang w:eastAsia="en-US"/>
        </w:rPr>
        <w:t xml:space="preserve">, </w:t>
      </w:r>
      <w:r w:rsidR="00444409" w:rsidRPr="009C7F4B">
        <w:rPr>
          <w:b w:val="0"/>
          <w:snapToGrid w:val="0"/>
          <w:lang w:eastAsia="en-US"/>
        </w:rPr>
        <w:t>les questions de genre et de développement durable</w:t>
      </w:r>
      <w:r w:rsidR="00730B9B" w:rsidRPr="009C7F4B">
        <w:rPr>
          <w:b w:val="0"/>
          <w:snapToGrid w:val="0"/>
          <w:lang w:eastAsia="en-US"/>
        </w:rPr>
        <w:t xml:space="preserve">. </w:t>
      </w:r>
      <w:r w:rsidR="00444409" w:rsidRPr="009C7F4B">
        <w:rPr>
          <w:b w:val="0"/>
          <w:snapToGrid w:val="0"/>
          <w:lang w:eastAsia="en-US"/>
        </w:rPr>
        <w:t>Plusieurs ateliers de formation et de mise à niveau sont programmés </w:t>
      </w:r>
      <w:r w:rsidR="00730B9B" w:rsidRPr="009C7F4B">
        <w:rPr>
          <w:b w:val="0"/>
          <w:snapToGrid w:val="0"/>
          <w:lang w:eastAsia="en-US"/>
        </w:rPr>
        <w:t xml:space="preserve">: </w:t>
      </w:r>
      <w:r w:rsidR="00444409" w:rsidRPr="009C7F4B">
        <w:rPr>
          <w:b w:val="0"/>
          <w:snapToGrid w:val="0"/>
          <w:lang w:eastAsia="en-US"/>
        </w:rPr>
        <w:t>u</w:t>
      </w:r>
      <w:r w:rsidR="00730B9B" w:rsidRPr="009C7F4B">
        <w:rPr>
          <w:b w:val="0"/>
          <w:snapToGrid w:val="0"/>
          <w:lang w:eastAsia="en-US"/>
        </w:rPr>
        <w:t xml:space="preserve">n </w:t>
      </w:r>
      <w:r w:rsidR="00444409" w:rsidRPr="009C7F4B">
        <w:rPr>
          <w:b w:val="0"/>
          <w:snapToGrid w:val="0"/>
          <w:lang w:eastAsia="en-US"/>
        </w:rPr>
        <w:t>pour l’Amérique latine et les Caraïbes, qui sera accueilli conjointement par le Centre régional pour la sauvegarde du patrimoine culturel immatériel en</w:t>
      </w:r>
      <w:r w:rsidR="00730B9B" w:rsidRPr="009C7F4B">
        <w:rPr>
          <w:b w:val="0"/>
          <w:snapToGrid w:val="0"/>
          <w:lang w:eastAsia="en-US"/>
        </w:rPr>
        <w:t xml:space="preserve"> </w:t>
      </w:r>
      <w:r w:rsidR="00444409" w:rsidRPr="009C7F4B">
        <w:rPr>
          <w:b w:val="0"/>
          <w:snapToGrid w:val="0"/>
          <w:lang w:eastAsia="en-US"/>
        </w:rPr>
        <w:t>Amérique latine</w:t>
      </w:r>
      <w:r w:rsidR="00730B9B" w:rsidRPr="009C7F4B">
        <w:rPr>
          <w:b w:val="0"/>
          <w:snapToGrid w:val="0"/>
          <w:lang w:eastAsia="en-US"/>
        </w:rPr>
        <w:t xml:space="preserve"> (CRESPIAL)</w:t>
      </w:r>
      <w:r w:rsidR="00444409" w:rsidRPr="009C7F4B">
        <w:rPr>
          <w:b w:val="0"/>
          <w:snapToGrid w:val="0"/>
          <w:lang w:eastAsia="en-US"/>
        </w:rPr>
        <w:t xml:space="preserve"> en 2016 </w:t>
      </w:r>
      <w:r w:rsidR="00730B9B" w:rsidRPr="009C7F4B">
        <w:rPr>
          <w:b w:val="0"/>
          <w:snapToGrid w:val="0"/>
          <w:lang w:eastAsia="en-US"/>
        </w:rPr>
        <w:t xml:space="preserve">; </w:t>
      </w:r>
      <w:r w:rsidR="009E2D5F" w:rsidRPr="009C7F4B">
        <w:rPr>
          <w:b w:val="0"/>
          <w:snapToGrid w:val="0"/>
          <w:lang w:eastAsia="en-US"/>
        </w:rPr>
        <w:t xml:space="preserve">un deuxième est prévu en 2017 pour les facilitateurs d’Europe avec un cofinancement à confirmer ; et un troisième pour les </w:t>
      </w:r>
      <w:r w:rsidR="00730B9B" w:rsidRPr="009C7F4B">
        <w:rPr>
          <w:b w:val="0"/>
          <w:snapToGrid w:val="0"/>
          <w:lang w:eastAsia="en-US"/>
        </w:rPr>
        <w:t>facilitat</w:t>
      </w:r>
      <w:r w:rsidR="009E2D5F" w:rsidRPr="009C7F4B">
        <w:rPr>
          <w:b w:val="0"/>
          <w:snapToGrid w:val="0"/>
          <w:lang w:eastAsia="en-US"/>
        </w:rPr>
        <w:t xml:space="preserve">eurs des </w:t>
      </w:r>
      <w:r w:rsidR="004312CB" w:rsidRPr="009C7F4B">
        <w:rPr>
          <w:b w:val="0"/>
          <w:snapToGrid w:val="0"/>
          <w:lang w:eastAsia="en-US"/>
        </w:rPr>
        <w:t>États</w:t>
      </w:r>
      <w:r w:rsidR="009E2D5F" w:rsidRPr="009C7F4B">
        <w:rPr>
          <w:b w:val="0"/>
          <w:snapToGrid w:val="0"/>
          <w:lang w:eastAsia="en-US"/>
        </w:rPr>
        <w:t xml:space="preserve"> arabes, également en </w:t>
      </w:r>
      <w:r w:rsidR="00730B9B" w:rsidRPr="009C7F4B">
        <w:rPr>
          <w:b w:val="0"/>
          <w:snapToGrid w:val="0"/>
          <w:lang w:eastAsia="en-US"/>
        </w:rPr>
        <w:t xml:space="preserve">2017, </w:t>
      </w:r>
      <w:r w:rsidR="009E2D5F" w:rsidRPr="009C7F4B">
        <w:rPr>
          <w:b w:val="0"/>
          <w:snapToGrid w:val="0"/>
          <w:lang w:eastAsia="en-US"/>
        </w:rPr>
        <w:t>avec un cofinancement à négocier</w:t>
      </w:r>
      <w:r w:rsidR="00730B9B" w:rsidRPr="009C7F4B">
        <w:rPr>
          <w:b w:val="0"/>
          <w:snapToGrid w:val="0"/>
          <w:lang w:eastAsia="en-US"/>
        </w:rPr>
        <w:t xml:space="preserve">. </w:t>
      </w:r>
      <w:r w:rsidR="009E2D5F" w:rsidRPr="009C7F4B">
        <w:rPr>
          <w:b w:val="0"/>
          <w:snapToGrid w:val="0"/>
          <w:lang w:eastAsia="en-US"/>
        </w:rPr>
        <w:t>Compte tenu de l’urgence des besoins en facilitateurs russophones</w:t>
      </w:r>
      <w:r w:rsidR="00730B9B" w:rsidRPr="009C7F4B">
        <w:rPr>
          <w:b w:val="0"/>
          <w:snapToGrid w:val="0"/>
          <w:lang w:eastAsia="en-US"/>
        </w:rPr>
        <w:t xml:space="preserve"> </w:t>
      </w:r>
      <w:r w:rsidR="009E2D5F" w:rsidRPr="009C7F4B">
        <w:rPr>
          <w:b w:val="0"/>
          <w:snapToGrid w:val="0"/>
          <w:lang w:eastAsia="en-US"/>
        </w:rPr>
        <w:t>e</w:t>
      </w:r>
      <w:r w:rsidR="00730B9B" w:rsidRPr="009C7F4B">
        <w:rPr>
          <w:b w:val="0"/>
          <w:snapToGrid w:val="0"/>
          <w:lang w:eastAsia="en-US"/>
        </w:rPr>
        <w:t>n</w:t>
      </w:r>
      <w:r w:rsidR="009E2D5F" w:rsidRPr="009C7F4B">
        <w:rPr>
          <w:b w:val="0"/>
          <w:snapToGrid w:val="0"/>
          <w:lang w:eastAsia="en-US"/>
        </w:rPr>
        <w:t xml:space="preserve"> Asie</w:t>
      </w:r>
      <w:r w:rsidR="00730B9B" w:rsidRPr="009C7F4B">
        <w:rPr>
          <w:b w:val="0"/>
          <w:snapToGrid w:val="0"/>
          <w:lang w:eastAsia="en-US"/>
        </w:rPr>
        <w:t xml:space="preserve"> </w:t>
      </w:r>
      <w:r w:rsidR="009E2D5F" w:rsidRPr="009C7F4B">
        <w:rPr>
          <w:b w:val="0"/>
          <w:snapToGrid w:val="0"/>
          <w:lang w:eastAsia="en-US"/>
        </w:rPr>
        <w:t>ce</w:t>
      </w:r>
      <w:r w:rsidR="00730B9B" w:rsidRPr="009C7F4B">
        <w:rPr>
          <w:b w:val="0"/>
          <w:snapToGrid w:val="0"/>
          <w:lang w:eastAsia="en-US"/>
        </w:rPr>
        <w:t>ntral</w:t>
      </w:r>
      <w:r w:rsidR="009E2D5F" w:rsidRPr="009C7F4B">
        <w:rPr>
          <w:b w:val="0"/>
          <w:snapToGrid w:val="0"/>
          <w:lang w:eastAsia="en-US"/>
        </w:rPr>
        <w:t>e</w:t>
      </w:r>
      <w:r w:rsidR="00730B9B" w:rsidRPr="009C7F4B">
        <w:rPr>
          <w:b w:val="0"/>
          <w:snapToGrid w:val="0"/>
          <w:lang w:eastAsia="en-US"/>
        </w:rPr>
        <w:t xml:space="preserve">, </w:t>
      </w:r>
      <w:r w:rsidR="009E2D5F" w:rsidRPr="009C7F4B">
        <w:rPr>
          <w:b w:val="0"/>
          <w:snapToGrid w:val="0"/>
          <w:lang w:eastAsia="en-US"/>
        </w:rPr>
        <w:t>le Centre international de formation pour le patrimoine culturel immatériel de la région Asie-Pacifique</w:t>
      </w:r>
      <w:r w:rsidR="00730B9B" w:rsidRPr="009C7F4B" w:rsidDel="00903EE0">
        <w:rPr>
          <w:b w:val="0"/>
          <w:snapToGrid w:val="0"/>
          <w:lang w:eastAsia="en-US"/>
        </w:rPr>
        <w:t xml:space="preserve"> </w:t>
      </w:r>
      <w:r w:rsidR="00730B9B" w:rsidRPr="009C7F4B">
        <w:rPr>
          <w:b w:val="0"/>
          <w:snapToGrid w:val="0"/>
          <w:lang w:eastAsia="en-US"/>
        </w:rPr>
        <w:t>(CRIHAP) a a</w:t>
      </w:r>
      <w:r w:rsidR="009E2D5F" w:rsidRPr="009C7F4B">
        <w:rPr>
          <w:b w:val="0"/>
          <w:snapToGrid w:val="0"/>
          <w:lang w:eastAsia="en-US"/>
        </w:rPr>
        <w:t xml:space="preserve">ccepté d’accueillir conjointement un premier atelier </w:t>
      </w:r>
      <w:r w:rsidR="008D5BCF" w:rsidRPr="009C7F4B">
        <w:rPr>
          <w:b w:val="0"/>
          <w:snapToGrid w:val="0"/>
          <w:lang w:eastAsia="en-US"/>
        </w:rPr>
        <w:t>sous-</w:t>
      </w:r>
      <w:r w:rsidR="009E2D5F" w:rsidRPr="009C7F4B">
        <w:rPr>
          <w:b w:val="0"/>
          <w:snapToGrid w:val="0"/>
          <w:lang w:eastAsia="en-US"/>
        </w:rPr>
        <w:t>régional de formation de formateurs</w:t>
      </w:r>
      <w:r w:rsidR="00730B9B" w:rsidRPr="009C7F4B">
        <w:rPr>
          <w:b w:val="0"/>
          <w:snapToGrid w:val="0"/>
          <w:lang w:eastAsia="en-US"/>
        </w:rPr>
        <w:t xml:space="preserve">. </w:t>
      </w:r>
      <w:r w:rsidR="008D5BCF" w:rsidRPr="009C7F4B">
        <w:rPr>
          <w:b w:val="0"/>
          <w:snapToGrid w:val="0"/>
          <w:lang w:eastAsia="en-US"/>
        </w:rPr>
        <w:t xml:space="preserve">La formation en présentiel sera complétée par des tutoriels audiovisuels à l’usage des facilitateurs qui </w:t>
      </w:r>
      <w:r w:rsidR="0009576F" w:rsidRPr="009C7F4B">
        <w:rPr>
          <w:b w:val="0"/>
          <w:snapToGrid w:val="0"/>
          <w:lang w:eastAsia="en-US"/>
        </w:rPr>
        <w:t>seront</w:t>
      </w:r>
      <w:r w:rsidR="008D5BCF" w:rsidRPr="009C7F4B">
        <w:rPr>
          <w:b w:val="0"/>
          <w:snapToGrid w:val="0"/>
          <w:lang w:eastAsia="en-US"/>
        </w:rPr>
        <w:t xml:space="preserve"> développ</w:t>
      </w:r>
      <w:r w:rsidR="0009576F" w:rsidRPr="009C7F4B">
        <w:rPr>
          <w:b w:val="0"/>
          <w:snapToGrid w:val="0"/>
          <w:lang w:eastAsia="en-US"/>
        </w:rPr>
        <w:t>és sur des thèmes choisis</w:t>
      </w:r>
      <w:r w:rsidR="00730B9B" w:rsidRPr="009C7F4B">
        <w:rPr>
          <w:b w:val="0"/>
          <w:snapToGrid w:val="0"/>
          <w:lang w:eastAsia="en-US"/>
        </w:rPr>
        <w:t xml:space="preserve">. </w:t>
      </w:r>
    </w:p>
    <w:p w14:paraId="55658D4A" w14:textId="70C7BDCA" w:rsidR="00730B9B" w:rsidRPr="009C7F4B" w:rsidRDefault="001125A3"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A</w:t>
      </w:r>
      <w:r w:rsidR="00AA4063" w:rsidRPr="009C7F4B">
        <w:rPr>
          <w:b w:val="0"/>
          <w:snapToGrid w:val="0"/>
          <w:lang w:eastAsia="en-US"/>
        </w:rPr>
        <w:t>méliorer l’accessibilité du Fonds du patrimoine culturel immatériel</w:t>
      </w:r>
      <w:r w:rsidRPr="009C7F4B">
        <w:rPr>
          <w:b w:val="0"/>
          <w:snapToGrid w:val="0"/>
          <w:lang w:eastAsia="en-US"/>
        </w:rPr>
        <w:t xml:space="preserve"> </w:t>
      </w:r>
      <w:r w:rsidR="00316A74" w:rsidRPr="009C7F4B">
        <w:rPr>
          <w:b w:val="0"/>
          <w:snapToGrid w:val="0"/>
          <w:lang w:eastAsia="en-US"/>
        </w:rPr>
        <w:t>est</w:t>
      </w:r>
      <w:r w:rsidRPr="009C7F4B">
        <w:rPr>
          <w:b w:val="0"/>
          <w:snapToGrid w:val="0"/>
          <w:lang w:eastAsia="en-US"/>
        </w:rPr>
        <w:t xml:space="preserve"> l’une des préoccupations </w:t>
      </w:r>
      <w:r w:rsidR="00316A74" w:rsidRPr="009C7F4B">
        <w:rPr>
          <w:b w:val="0"/>
          <w:snapToGrid w:val="0"/>
          <w:lang w:eastAsia="en-US"/>
        </w:rPr>
        <w:t xml:space="preserve">majeures </w:t>
      </w:r>
      <w:r w:rsidRPr="009C7F4B">
        <w:rPr>
          <w:b w:val="0"/>
          <w:snapToGrid w:val="0"/>
          <w:lang w:eastAsia="en-US"/>
        </w:rPr>
        <w:t>des organes directeurs</w:t>
      </w:r>
      <w:r w:rsidR="00316A74" w:rsidRPr="009C7F4B">
        <w:rPr>
          <w:b w:val="0"/>
          <w:snapToGrid w:val="0"/>
          <w:lang w:eastAsia="en-US"/>
        </w:rPr>
        <w:t> ; c’est pourquoi</w:t>
      </w:r>
      <w:r w:rsidR="00AA4063" w:rsidRPr="009C7F4B">
        <w:rPr>
          <w:b w:val="0"/>
          <w:snapToGrid w:val="0"/>
          <w:lang w:eastAsia="en-US"/>
        </w:rPr>
        <w:t xml:space="preserve"> le </w:t>
      </w:r>
      <w:r w:rsidR="00730B9B" w:rsidRPr="009C7F4B">
        <w:rPr>
          <w:b w:val="0"/>
          <w:snapToGrid w:val="0"/>
          <w:lang w:eastAsia="en-US"/>
        </w:rPr>
        <w:t>Secr</w:t>
      </w:r>
      <w:r w:rsidR="00AA4063" w:rsidRPr="009C7F4B">
        <w:rPr>
          <w:b w:val="0"/>
          <w:snapToGrid w:val="0"/>
          <w:lang w:eastAsia="en-US"/>
        </w:rPr>
        <w:t>é</w:t>
      </w:r>
      <w:r w:rsidR="00730B9B" w:rsidRPr="009C7F4B">
        <w:rPr>
          <w:b w:val="0"/>
          <w:snapToGrid w:val="0"/>
          <w:lang w:eastAsia="en-US"/>
        </w:rPr>
        <w:t xml:space="preserve">tariat </w:t>
      </w:r>
      <w:r w:rsidR="00AA4063" w:rsidRPr="009C7F4B">
        <w:rPr>
          <w:b w:val="0"/>
          <w:snapToGrid w:val="0"/>
          <w:lang w:eastAsia="en-US"/>
        </w:rPr>
        <w:t xml:space="preserve">est en train de finaliser une série complète de matériels pédagogiques </w:t>
      </w:r>
      <w:r w:rsidR="001354B8" w:rsidRPr="009C7F4B">
        <w:rPr>
          <w:b w:val="0"/>
          <w:snapToGrid w:val="0"/>
          <w:lang w:eastAsia="en-US"/>
        </w:rPr>
        <w:t>sur la préparation des demandes d’assistance internationale</w:t>
      </w:r>
      <w:r w:rsidR="00730B9B" w:rsidRPr="009C7F4B">
        <w:rPr>
          <w:b w:val="0"/>
          <w:snapToGrid w:val="0"/>
          <w:lang w:eastAsia="en-US"/>
        </w:rPr>
        <w:t xml:space="preserve">. </w:t>
      </w:r>
      <w:r w:rsidR="001354B8" w:rsidRPr="009C7F4B">
        <w:rPr>
          <w:b w:val="0"/>
          <w:snapToGrid w:val="0"/>
          <w:lang w:eastAsia="en-US"/>
        </w:rPr>
        <w:t xml:space="preserve">Un atelier sera organisé à l’échelle mondiale pour tester ces matériels auprès de facilitateurs et de </w:t>
      </w:r>
      <w:r w:rsidR="0009576F" w:rsidRPr="009C7F4B">
        <w:rPr>
          <w:b w:val="0"/>
          <w:snapToGrid w:val="0"/>
          <w:lang w:eastAsia="en-US"/>
        </w:rPr>
        <w:t xml:space="preserve">collègues </w:t>
      </w:r>
      <w:r w:rsidR="001354B8" w:rsidRPr="009C7F4B">
        <w:rPr>
          <w:b w:val="0"/>
          <w:snapToGrid w:val="0"/>
          <w:lang w:eastAsia="en-US"/>
        </w:rPr>
        <w:t>des bureaux hors siège</w:t>
      </w:r>
      <w:r w:rsidR="00730B9B" w:rsidRPr="009C7F4B">
        <w:rPr>
          <w:b w:val="0"/>
          <w:snapToGrid w:val="0"/>
          <w:lang w:eastAsia="en-US"/>
        </w:rPr>
        <w:t xml:space="preserve">, </w:t>
      </w:r>
      <w:r w:rsidR="001354B8" w:rsidRPr="009C7F4B">
        <w:rPr>
          <w:b w:val="0"/>
          <w:snapToGrid w:val="0"/>
          <w:lang w:eastAsia="en-US"/>
        </w:rPr>
        <w:t>ce qui renforcera leur connaissance du sujet et leur donnera la capacité d’assurer efficacement les formations</w:t>
      </w:r>
      <w:r w:rsidR="00730B9B" w:rsidRPr="009C7F4B">
        <w:rPr>
          <w:b w:val="0"/>
          <w:snapToGrid w:val="0"/>
          <w:lang w:eastAsia="en-US"/>
        </w:rPr>
        <w:t xml:space="preserve">. </w:t>
      </w:r>
      <w:r w:rsidR="00DF205E" w:rsidRPr="009C7F4B">
        <w:rPr>
          <w:b w:val="0"/>
          <w:snapToGrid w:val="0"/>
          <w:lang w:eastAsia="en-US"/>
        </w:rPr>
        <w:t xml:space="preserve">Immédiatement après l’atelier, les facilitateurs examineront la stratégie globale de </w:t>
      </w:r>
      <w:r w:rsidR="00DF205E" w:rsidRPr="009C7F4B">
        <w:rPr>
          <w:b w:val="0"/>
          <w:snapToGrid w:val="0"/>
          <w:lang w:eastAsia="en-US"/>
        </w:rPr>
        <w:lastRenderedPageBreak/>
        <w:t xml:space="preserve">renforcement des capacités, en particulier le rôle clé des facilitateurs et </w:t>
      </w:r>
      <w:r w:rsidR="00316A74" w:rsidRPr="009C7F4B">
        <w:rPr>
          <w:b w:val="0"/>
          <w:snapToGrid w:val="0"/>
          <w:lang w:eastAsia="en-US"/>
        </w:rPr>
        <w:t xml:space="preserve">réfléchiront à la façon dont </w:t>
      </w:r>
      <w:r w:rsidR="00DF205E" w:rsidRPr="009C7F4B">
        <w:rPr>
          <w:b w:val="0"/>
          <w:snapToGrid w:val="0"/>
          <w:lang w:eastAsia="en-US"/>
        </w:rPr>
        <w:t xml:space="preserve">l’UNESCO pourrait de nouveau exploiter le potentiel offert par le réseau de facilitateurs, non seulement pour l’exécution du programme, mais aussi pour </w:t>
      </w:r>
      <w:r w:rsidRPr="009C7F4B">
        <w:rPr>
          <w:b w:val="0"/>
          <w:snapToGrid w:val="0"/>
          <w:lang w:eastAsia="en-US"/>
        </w:rPr>
        <w:t xml:space="preserve">son </w:t>
      </w:r>
      <w:r w:rsidR="00DF205E" w:rsidRPr="009C7F4B">
        <w:rPr>
          <w:b w:val="0"/>
          <w:snapToGrid w:val="0"/>
          <w:lang w:eastAsia="en-US"/>
        </w:rPr>
        <w:t>suivi</w:t>
      </w:r>
      <w:r w:rsidRPr="009C7F4B">
        <w:rPr>
          <w:b w:val="0"/>
          <w:snapToGrid w:val="0"/>
          <w:lang w:eastAsia="en-US"/>
        </w:rPr>
        <w:t xml:space="preserve"> et son évaluation</w:t>
      </w:r>
      <w:r w:rsidR="00730B9B" w:rsidRPr="009C7F4B">
        <w:rPr>
          <w:b w:val="0"/>
          <w:snapToGrid w:val="0"/>
          <w:lang w:eastAsia="en-US"/>
        </w:rPr>
        <w:t xml:space="preserve">. </w:t>
      </w:r>
      <w:r w:rsidRPr="009C7F4B">
        <w:rPr>
          <w:b w:val="0"/>
          <w:snapToGrid w:val="0"/>
          <w:lang w:eastAsia="en-US"/>
        </w:rPr>
        <w:t>Enfin, le système de gestion des connaissances pour le programme de renforcement des capacités sera encore amélioré</w:t>
      </w:r>
      <w:r w:rsidR="00730B9B" w:rsidRPr="009C7F4B">
        <w:rPr>
          <w:b w:val="0"/>
          <w:snapToGrid w:val="0"/>
          <w:lang w:eastAsia="en-US"/>
        </w:rPr>
        <w:t xml:space="preserve">, </w:t>
      </w:r>
      <w:r w:rsidRPr="009C7F4B">
        <w:rPr>
          <w:b w:val="0"/>
          <w:snapToGrid w:val="0"/>
          <w:lang w:eastAsia="en-US"/>
        </w:rPr>
        <w:t xml:space="preserve">notamment en finalisant l’interface de reporting en ligne </w:t>
      </w:r>
      <w:r w:rsidR="00C01EA0" w:rsidRPr="009C7F4B">
        <w:rPr>
          <w:b w:val="0"/>
          <w:snapToGrid w:val="0"/>
          <w:lang w:eastAsia="en-US"/>
        </w:rPr>
        <w:t>qui permettra d’extraire des</w:t>
      </w:r>
      <w:r w:rsidRPr="009C7F4B">
        <w:rPr>
          <w:b w:val="0"/>
          <w:snapToGrid w:val="0"/>
          <w:lang w:eastAsia="en-US"/>
        </w:rPr>
        <w:t xml:space="preserve"> données en vue d’une analyse transrégionale</w:t>
      </w:r>
      <w:r w:rsidR="00730B9B" w:rsidRPr="009C7F4B">
        <w:rPr>
          <w:b w:val="0"/>
          <w:snapToGrid w:val="0"/>
          <w:lang w:eastAsia="en-US"/>
        </w:rPr>
        <w:t>.</w:t>
      </w:r>
    </w:p>
    <w:p w14:paraId="33EA230E" w14:textId="37D63F94" w:rsidR="00730B9B" w:rsidRPr="009C7F4B" w:rsidRDefault="001125A3" w:rsidP="00BF6D09">
      <w:pPr>
        <w:pStyle w:val="Heading4"/>
        <w:keepNext w:val="0"/>
        <w:keepLines/>
        <w:numPr>
          <w:ilvl w:val="0"/>
          <w:numId w:val="16"/>
        </w:numPr>
        <w:spacing w:before="0" w:after="120"/>
        <w:ind w:left="567" w:hanging="567"/>
        <w:jc w:val="both"/>
        <w:rPr>
          <w:b w:val="0"/>
          <w:snapToGrid w:val="0"/>
          <w:lang w:eastAsia="en-US"/>
        </w:rPr>
      </w:pPr>
      <w:r w:rsidRPr="009C7F4B">
        <w:rPr>
          <w:b w:val="0"/>
          <w:snapToGrid w:val="0"/>
          <w:lang w:eastAsia="en-US"/>
        </w:rPr>
        <w:t xml:space="preserve">Plusieurs décisions du Comité </w:t>
      </w:r>
      <w:r w:rsidR="00283C9A" w:rsidRPr="009C7F4B">
        <w:rPr>
          <w:b w:val="0"/>
          <w:snapToGrid w:val="0"/>
          <w:lang w:eastAsia="en-US"/>
        </w:rPr>
        <w:t>demand</w:t>
      </w:r>
      <w:r w:rsidR="00C01EA0" w:rsidRPr="009C7F4B">
        <w:rPr>
          <w:b w:val="0"/>
          <w:snapToGrid w:val="0"/>
          <w:lang w:eastAsia="en-US"/>
        </w:rPr>
        <w:t>ai</w:t>
      </w:r>
      <w:r w:rsidR="00283C9A" w:rsidRPr="009C7F4B">
        <w:rPr>
          <w:b w:val="0"/>
          <w:snapToGrid w:val="0"/>
          <w:lang w:eastAsia="en-US"/>
        </w:rPr>
        <w:t>e</w:t>
      </w:r>
      <w:r w:rsidR="00C01EA0" w:rsidRPr="009C7F4B">
        <w:rPr>
          <w:b w:val="0"/>
          <w:snapToGrid w:val="0"/>
          <w:lang w:eastAsia="en-US"/>
        </w:rPr>
        <w:t>nt</w:t>
      </w:r>
      <w:r w:rsidR="00283C9A" w:rsidRPr="009C7F4B">
        <w:rPr>
          <w:b w:val="0"/>
          <w:snapToGrid w:val="0"/>
          <w:lang w:eastAsia="en-US"/>
        </w:rPr>
        <w:t xml:space="preserve"> </w:t>
      </w:r>
      <w:r w:rsidR="00C01EA0" w:rsidRPr="009C7F4B">
        <w:rPr>
          <w:b w:val="0"/>
          <w:snapToGrid w:val="0"/>
          <w:lang w:eastAsia="en-US"/>
        </w:rPr>
        <w:t xml:space="preserve">notamment </w:t>
      </w:r>
      <w:r w:rsidR="00283C9A" w:rsidRPr="009C7F4B">
        <w:rPr>
          <w:b w:val="0"/>
          <w:snapToGrid w:val="0"/>
          <w:lang w:eastAsia="en-US"/>
        </w:rPr>
        <w:t>au Secrétariat d’actualiser et d’élargir le périmètre thématique du programme de renforcement des capacités</w:t>
      </w:r>
      <w:r w:rsidR="00730B9B" w:rsidRPr="009C7F4B">
        <w:rPr>
          <w:b w:val="0"/>
          <w:snapToGrid w:val="0"/>
          <w:lang w:eastAsia="en-US"/>
        </w:rPr>
        <w:t xml:space="preserve">, </w:t>
      </w:r>
      <w:r w:rsidR="00C01EA0" w:rsidRPr="009C7F4B">
        <w:rPr>
          <w:b w:val="0"/>
          <w:snapToGrid w:val="0"/>
          <w:lang w:eastAsia="en-US"/>
        </w:rPr>
        <w:t>lequel</w:t>
      </w:r>
      <w:r w:rsidR="00283C9A" w:rsidRPr="009C7F4B">
        <w:rPr>
          <w:b w:val="0"/>
          <w:snapToGrid w:val="0"/>
          <w:lang w:eastAsia="en-US"/>
        </w:rPr>
        <w:t xml:space="preserve"> s’est transformé en un système en ligne de plus de </w:t>
      </w:r>
      <w:r w:rsidR="00730B9B" w:rsidRPr="009C7F4B">
        <w:rPr>
          <w:b w:val="0"/>
          <w:snapToGrid w:val="0"/>
          <w:lang w:eastAsia="en-US"/>
        </w:rPr>
        <w:t xml:space="preserve">50 </w:t>
      </w:r>
      <w:r w:rsidR="00283C9A" w:rsidRPr="009C7F4B">
        <w:rPr>
          <w:b w:val="0"/>
          <w:snapToGrid w:val="0"/>
          <w:lang w:eastAsia="en-US"/>
        </w:rPr>
        <w:t>unités de formation</w:t>
      </w:r>
      <w:r w:rsidR="00730B9B" w:rsidRPr="009C7F4B">
        <w:rPr>
          <w:b w:val="0"/>
          <w:snapToGrid w:val="0"/>
          <w:lang w:eastAsia="en-US"/>
        </w:rPr>
        <w:t xml:space="preserve"> </w:t>
      </w:r>
      <w:r w:rsidR="00283C9A" w:rsidRPr="009C7F4B">
        <w:rPr>
          <w:b w:val="0"/>
          <w:snapToGrid w:val="0"/>
          <w:lang w:eastAsia="en-US"/>
        </w:rPr>
        <w:t>e</w:t>
      </w:r>
      <w:r w:rsidR="00730B9B" w:rsidRPr="009C7F4B">
        <w:rPr>
          <w:b w:val="0"/>
          <w:snapToGrid w:val="0"/>
          <w:lang w:eastAsia="en-US"/>
        </w:rPr>
        <w:t>n tr</w:t>
      </w:r>
      <w:r w:rsidR="00283C9A" w:rsidRPr="009C7F4B">
        <w:rPr>
          <w:b w:val="0"/>
          <w:snapToGrid w:val="0"/>
          <w:lang w:eastAsia="en-US"/>
        </w:rPr>
        <w:t xml:space="preserve">ois langues, quelques matériels </w:t>
      </w:r>
      <w:r w:rsidR="00C01EA0" w:rsidRPr="009C7F4B">
        <w:rPr>
          <w:b w:val="0"/>
          <w:snapToGrid w:val="0"/>
          <w:lang w:eastAsia="en-US"/>
        </w:rPr>
        <w:t xml:space="preserve">étant également </w:t>
      </w:r>
      <w:r w:rsidR="00283C9A" w:rsidRPr="009C7F4B">
        <w:rPr>
          <w:b w:val="0"/>
          <w:snapToGrid w:val="0"/>
          <w:lang w:eastAsia="en-US"/>
        </w:rPr>
        <w:t>disponibles en russe et en arabe</w:t>
      </w:r>
      <w:r w:rsidR="00730B9B" w:rsidRPr="009C7F4B">
        <w:rPr>
          <w:b w:val="0"/>
          <w:snapToGrid w:val="0"/>
          <w:lang w:eastAsia="en-US"/>
        </w:rPr>
        <w:t xml:space="preserve">. </w:t>
      </w:r>
      <w:r w:rsidR="00283C9A" w:rsidRPr="009C7F4B">
        <w:rPr>
          <w:b w:val="0"/>
          <w:snapToGrid w:val="0"/>
          <w:lang w:eastAsia="en-US"/>
        </w:rPr>
        <w:t>À la suite de l’adoption par la sixième Assemblée générale d’un nouveau chapitre des Directives opérationnelles</w:t>
      </w:r>
      <w:r w:rsidR="00AB1A1C" w:rsidRPr="009C7F4B">
        <w:rPr>
          <w:b w:val="0"/>
          <w:snapToGrid w:val="0"/>
          <w:lang w:eastAsia="en-US"/>
        </w:rPr>
        <w:t xml:space="preserve"> concernant la sauvegarde du patrimoine culturel immatériel et le développement durable au niveau national</w:t>
      </w:r>
      <w:r w:rsidR="00730B9B" w:rsidRPr="009C7F4B">
        <w:rPr>
          <w:b w:val="0"/>
          <w:snapToGrid w:val="0"/>
          <w:lang w:eastAsia="en-US"/>
        </w:rPr>
        <w:t xml:space="preserve"> (</w:t>
      </w:r>
      <w:r w:rsidR="00AB1A1C" w:rsidRPr="009C7F4B">
        <w:rPr>
          <w:b w:val="0"/>
          <w:snapToGrid w:val="0"/>
          <w:lang w:eastAsia="en-US"/>
        </w:rPr>
        <w:t>ré</w:t>
      </w:r>
      <w:r w:rsidR="00730B9B" w:rsidRPr="009C7F4B">
        <w:rPr>
          <w:b w:val="0"/>
          <w:snapToGrid w:val="0"/>
          <w:lang w:eastAsia="en-US"/>
        </w:rPr>
        <w:t xml:space="preserve">solution 6.GA 7), </w:t>
      </w:r>
      <w:r w:rsidR="00AB1A1C" w:rsidRPr="009C7F4B">
        <w:rPr>
          <w:b w:val="0"/>
          <w:snapToGrid w:val="0"/>
          <w:lang w:eastAsia="en-US"/>
        </w:rPr>
        <w:t>le deuxième produit prévoit l’élaboration d’un nouveau contenu pour le programme basé sur ces nouvelles dispositions</w:t>
      </w:r>
      <w:r w:rsidR="00730B9B" w:rsidRPr="009C7F4B">
        <w:rPr>
          <w:b w:val="0"/>
          <w:snapToGrid w:val="0"/>
          <w:lang w:eastAsia="en-US"/>
        </w:rPr>
        <w:t xml:space="preserve"> (</w:t>
      </w:r>
      <w:hyperlink r:id="rId15" w:history="1">
        <w:r w:rsidR="00AB1A1C"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10.COM 14.a</w:t>
        </w:r>
      </w:hyperlink>
      <w:r w:rsidR="00730B9B" w:rsidRPr="009C7F4B">
        <w:rPr>
          <w:b w:val="0"/>
          <w:snapToGrid w:val="0"/>
          <w:lang w:eastAsia="en-US"/>
        </w:rPr>
        <w:t xml:space="preserve">). </w:t>
      </w:r>
      <w:r w:rsidR="000D2CB7" w:rsidRPr="009C7F4B">
        <w:rPr>
          <w:b w:val="0"/>
          <w:snapToGrid w:val="0"/>
          <w:lang w:eastAsia="en-US"/>
        </w:rPr>
        <w:t xml:space="preserve">Cette </w:t>
      </w:r>
      <w:r w:rsidR="00EF1C92" w:rsidRPr="009C7F4B">
        <w:rPr>
          <w:b w:val="0"/>
          <w:snapToGrid w:val="0"/>
          <w:lang w:eastAsia="en-US"/>
        </w:rPr>
        <w:t xml:space="preserve">unité complètera les matériels précédemment produits sur le sujet et contribuera à l’engagement du </w:t>
      </w:r>
      <w:r w:rsidR="006975A1" w:rsidRPr="009C7F4B">
        <w:rPr>
          <w:b w:val="0"/>
          <w:snapToGrid w:val="0"/>
          <w:lang w:eastAsia="en-US"/>
        </w:rPr>
        <w:t xml:space="preserve">Secteur </w:t>
      </w:r>
      <w:r w:rsidR="00EF1C92" w:rsidRPr="009C7F4B">
        <w:rPr>
          <w:b w:val="0"/>
          <w:snapToGrid w:val="0"/>
          <w:lang w:eastAsia="en-US"/>
        </w:rPr>
        <w:t xml:space="preserve">de la </w:t>
      </w:r>
      <w:r w:rsidR="006975A1" w:rsidRPr="009C7F4B">
        <w:rPr>
          <w:b w:val="0"/>
          <w:snapToGrid w:val="0"/>
          <w:lang w:eastAsia="en-US"/>
        </w:rPr>
        <w:t xml:space="preserve">culture </w:t>
      </w:r>
      <w:r w:rsidR="00EF1C92" w:rsidRPr="009C7F4B">
        <w:rPr>
          <w:b w:val="0"/>
          <w:snapToGrid w:val="0"/>
          <w:lang w:eastAsia="en-US"/>
        </w:rPr>
        <w:t xml:space="preserve">dans la mise en œuvre du l’Agenda </w:t>
      </w:r>
      <w:r w:rsidR="00730B9B" w:rsidRPr="009C7F4B">
        <w:rPr>
          <w:b w:val="0"/>
          <w:snapToGrid w:val="0"/>
          <w:lang w:eastAsia="en-US"/>
        </w:rPr>
        <w:t xml:space="preserve">2030. </w:t>
      </w:r>
      <w:r w:rsidR="00550592" w:rsidRPr="009C7F4B">
        <w:rPr>
          <w:b w:val="0"/>
          <w:snapToGrid w:val="0"/>
          <w:lang w:eastAsia="en-US"/>
        </w:rPr>
        <w:t>L’approbation</w:t>
      </w:r>
      <w:r w:rsidR="000D2CB7" w:rsidRPr="009C7F4B">
        <w:rPr>
          <w:b w:val="0"/>
          <w:snapToGrid w:val="0"/>
          <w:lang w:eastAsia="en-US"/>
        </w:rPr>
        <w:t>,</w:t>
      </w:r>
      <w:r w:rsidR="00550592" w:rsidRPr="009C7F4B">
        <w:rPr>
          <w:b w:val="0"/>
          <w:snapToGrid w:val="0"/>
          <w:lang w:eastAsia="en-US"/>
        </w:rPr>
        <w:t xml:space="preserve"> par le Comité</w:t>
      </w:r>
      <w:r w:rsidR="000D2CB7" w:rsidRPr="009C7F4B">
        <w:rPr>
          <w:b w:val="0"/>
          <w:snapToGrid w:val="0"/>
          <w:lang w:eastAsia="en-US"/>
        </w:rPr>
        <w:t>,</w:t>
      </w:r>
      <w:r w:rsidR="00550592" w:rsidRPr="009C7F4B">
        <w:rPr>
          <w:b w:val="0"/>
          <w:snapToGrid w:val="0"/>
          <w:lang w:eastAsia="en-US"/>
        </w:rPr>
        <w:t xml:space="preserve"> de </w:t>
      </w:r>
      <w:r w:rsidR="00730B9B" w:rsidRPr="009C7F4B">
        <w:rPr>
          <w:b w:val="0"/>
          <w:snapToGrid w:val="0"/>
          <w:lang w:eastAsia="en-US"/>
        </w:rPr>
        <w:t xml:space="preserve">12 </w:t>
      </w:r>
      <w:r w:rsidR="00550592" w:rsidRPr="009C7F4B">
        <w:rPr>
          <w:b w:val="0"/>
          <w:snapToGrid w:val="0"/>
          <w:lang w:eastAsia="en-US"/>
        </w:rPr>
        <w:t xml:space="preserve">principes éthiques pour la sauvegarde du patrimoine culturel immatériel s’est également accompagnée de nouvelles demandes concernant le programme de renforcement des capacités, en particulier </w:t>
      </w:r>
      <w:r w:rsidR="00F05290" w:rsidRPr="009C7F4B">
        <w:rPr>
          <w:b w:val="0"/>
          <w:snapToGrid w:val="0"/>
          <w:lang w:eastAsia="en-US"/>
        </w:rPr>
        <w:t>« </w:t>
      </w:r>
      <w:r w:rsidR="00550592" w:rsidRPr="009C7F4B">
        <w:rPr>
          <w:b w:val="0"/>
          <w:snapToGrid w:val="0"/>
          <w:lang w:eastAsia="en-US"/>
        </w:rPr>
        <w:t>d’incl</w:t>
      </w:r>
      <w:r w:rsidR="00F05290" w:rsidRPr="009C7F4B">
        <w:rPr>
          <w:b w:val="0"/>
          <w:snapToGrid w:val="0"/>
          <w:lang w:eastAsia="en-US"/>
        </w:rPr>
        <w:t>ure des considérations éthiques »</w:t>
      </w:r>
      <w:r w:rsidR="00730B9B" w:rsidRPr="009C7F4B">
        <w:rPr>
          <w:b w:val="0"/>
          <w:snapToGrid w:val="0"/>
          <w:lang w:eastAsia="en-US"/>
        </w:rPr>
        <w:t xml:space="preserve"> (</w:t>
      </w:r>
      <w:hyperlink r:id="rId16" w:history="1">
        <w:r w:rsidR="00F05290"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10.COM 15.a</w:t>
        </w:r>
      </w:hyperlink>
      <w:r w:rsidR="00730B9B" w:rsidRPr="009C7F4B">
        <w:rPr>
          <w:b w:val="0"/>
          <w:snapToGrid w:val="0"/>
          <w:lang w:eastAsia="en-US"/>
        </w:rPr>
        <w:t>)</w:t>
      </w:r>
      <w:r w:rsidR="00F05290" w:rsidRPr="009C7F4B">
        <w:rPr>
          <w:b w:val="0"/>
          <w:snapToGrid w:val="0"/>
          <w:lang w:eastAsia="en-US"/>
        </w:rPr>
        <w:t xml:space="preserve">, auxquelles le </w:t>
      </w:r>
      <w:r w:rsidR="00730B9B" w:rsidRPr="009C7F4B">
        <w:rPr>
          <w:b w:val="0"/>
          <w:snapToGrid w:val="0"/>
          <w:lang w:eastAsia="en-US"/>
        </w:rPr>
        <w:t>Secr</w:t>
      </w:r>
      <w:r w:rsidR="00F05290" w:rsidRPr="009C7F4B">
        <w:rPr>
          <w:b w:val="0"/>
          <w:snapToGrid w:val="0"/>
          <w:lang w:eastAsia="en-US"/>
        </w:rPr>
        <w:t>é</w:t>
      </w:r>
      <w:r w:rsidR="00730B9B" w:rsidRPr="009C7F4B">
        <w:rPr>
          <w:b w:val="0"/>
          <w:snapToGrid w:val="0"/>
          <w:lang w:eastAsia="en-US"/>
        </w:rPr>
        <w:t xml:space="preserve">tariat </w:t>
      </w:r>
      <w:r w:rsidR="00F05290" w:rsidRPr="009C7F4B">
        <w:rPr>
          <w:b w:val="0"/>
          <w:snapToGrid w:val="0"/>
          <w:lang w:eastAsia="en-US"/>
        </w:rPr>
        <w:t>s’efforcera de répondre avec le soutien des ressources du Fonds</w:t>
      </w:r>
      <w:r w:rsidR="00730B9B" w:rsidRPr="009C7F4B">
        <w:rPr>
          <w:b w:val="0"/>
          <w:snapToGrid w:val="0"/>
          <w:lang w:eastAsia="en-US"/>
        </w:rPr>
        <w:t xml:space="preserve">. </w:t>
      </w:r>
      <w:r w:rsidR="00F05290" w:rsidRPr="009C7F4B">
        <w:rPr>
          <w:b w:val="0"/>
          <w:snapToGrid w:val="0"/>
          <w:lang w:eastAsia="en-US"/>
        </w:rPr>
        <w:t xml:space="preserve">D’autres développements de contenu répondront à la </w:t>
      </w:r>
      <w:r w:rsidR="00730B9B" w:rsidRPr="009C7F4B">
        <w:rPr>
          <w:b w:val="0"/>
          <w:snapToGrid w:val="0"/>
          <w:lang w:eastAsia="en-US"/>
        </w:rPr>
        <w:t>recomm</w:t>
      </w:r>
      <w:r w:rsidR="00F05290" w:rsidRPr="009C7F4B">
        <w:rPr>
          <w:b w:val="0"/>
          <w:snapToGrid w:val="0"/>
          <w:lang w:eastAsia="en-US"/>
        </w:rPr>
        <w:t>a</w:t>
      </w:r>
      <w:r w:rsidR="00730B9B" w:rsidRPr="009C7F4B">
        <w:rPr>
          <w:b w:val="0"/>
          <w:snapToGrid w:val="0"/>
          <w:lang w:eastAsia="en-US"/>
        </w:rPr>
        <w:t xml:space="preserve">ndation </w:t>
      </w:r>
      <w:r w:rsidR="00F05290" w:rsidRPr="009C7F4B">
        <w:rPr>
          <w:b w:val="0"/>
          <w:snapToGrid w:val="0"/>
          <w:lang w:eastAsia="en-US"/>
        </w:rPr>
        <w:t xml:space="preserve">de </w:t>
      </w:r>
      <w:hyperlink r:id="rId17" w:history="1">
        <w:r w:rsidR="00F05290" w:rsidRPr="009C7F4B">
          <w:rPr>
            <w:b w:val="0"/>
            <w:snapToGrid w:val="0"/>
            <w:color w:val="0000FF" w:themeColor="hyperlink"/>
            <w:u w:val="single"/>
            <w:lang w:eastAsia="en-US"/>
          </w:rPr>
          <w:t>l’évaluation par l’IOS d</w:t>
        </w:r>
        <w:r w:rsidR="008658B2" w:rsidRPr="009C7F4B">
          <w:rPr>
            <w:b w:val="0"/>
            <w:snapToGrid w:val="0"/>
            <w:color w:val="0000FF" w:themeColor="hyperlink"/>
            <w:u w:val="single"/>
            <w:lang w:eastAsia="en-US"/>
          </w:rPr>
          <w:t xml:space="preserve">es </w:t>
        </w:r>
        <w:r w:rsidR="00F05290" w:rsidRPr="009C7F4B">
          <w:rPr>
            <w:b w:val="0"/>
            <w:snapToGrid w:val="0"/>
            <w:color w:val="0000FF" w:themeColor="hyperlink"/>
            <w:u w:val="single"/>
            <w:lang w:eastAsia="en-US"/>
          </w:rPr>
          <w:t>trava</w:t>
        </w:r>
        <w:r w:rsidR="008658B2" w:rsidRPr="009C7F4B">
          <w:rPr>
            <w:b w:val="0"/>
            <w:snapToGrid w:val="0"/>
            <w:color w:val="0000FF" w:themeColor="hyperlink"/>
            <w:u w:val="single"/>
            <w:lang w:eastAsia="en-US"/>
          </w:rPr>
          <w:t xml:space="preserve">ux menés par </w:t>
        </w:r>
        <w:r w:rsidR="00F05290" w:rsidRPr="009C7F4B">
          <w:rPr>
            <w:b w:val="0"/>
            <w:snapToGrid w:val="0"/>
            <w:color w:val="0000FF" w:themeColor="hyperlink"/>
            <w:u w:val="single"/>
            <w:lang w:eastAsia="en-US"/>
          </w:rPr>
          <w:t>l’UNESCO sur la culture et le développement durable</w:t>
        </w:r>
      </w:hyperlink>
      <w:r w:rsidR="008658B2" w:rsidRPr="009C7F4B">
        <w:rPr>
          <w:b w:val="0"/>
          <w:snapToGrid w:val="0"/>
          <w:lang w:eastAsia="en-US"/>
        </w:rPr>
        <w:t xml:space="preserve"> de </w:t>
      </w:r>
      <w:r w:rsidR="000D2CB7" w:rsidRPr="009C7F4B">
        <w:rPr>
          <w:b w:val="0"/>
          <w:snapToGrid w:val="0"/>
          <w:lang w:eastAsia="en-US"/>
        </w:rPr>
        <w:t xml:space="preserve">profiter </w:t>
      </w:r>
      <w:r w:rsidR="008658B2" w:rsidRPr="009C7F4B">
        <w:rPr>
          <w:b w:val="0"/>
          <w:snapToGrid w:val="0"/>
          <w:lang w:eastAsia="en-US"/>
        </w:rPr>
        <w:t xml:space="preserve">du programme de renforcement des capacités </w:t>
      </w:r>
      <w:r w:rsidR="009772FC" w:rsidRPr="009C7F4B">
        <w:rPr>
          <w:b w:val="0"/>
          <w:snapToGrid w:val="0"/>
          <w:lang w:eastAsia="en-US"/>
        </w:rPr>
        <w:t xml:space="preserve">pour « engager un processus de réflexion sur la sauvegarde du patrimoine culturel immatériel dans les  contextes urbains et sur la façon dont elle contribue à créer des villes durables » </w:t>
      </w:r>
      <w:r w:rsidR="00730B9B" w:rsidRPr="009C7F4B">
        <w:rPr>
          <w:b w:val="0"/>
          <w:snapToGrid w:val="0"/>
          <w:lang w:eastAsia="en-US"/>
        </w:rPr>
        <w:t>(</w:t>
      </w:r>
      <w:r w:rsidR="009772FC" w:rsidRPr="009C7F4B">
        <w:rPr>
          <w:b w:val="0"/>
          <w:snapToGrid w:val="0"/>
          <w:lang w:eastAsia="en-US"/>
        </w:rPr>
        <w:t>Action s</w:t>
      </w:r>
      <w:r w:rsidR="00730B9B" w:rsidRPr="009C7F4B">
        <w:rPr>
          <w:b w:val="0"/>
          <w:snapToGrid w:val="0"/>
          <w:lang w:eastAsia="en-US"/>
        </w:rPr>
        <w:t>trat</w:t>
      </w:r>
      <w:r w:rsidR="009772FC" w:rsidRPr="009C7F4B">
        <w:rPr>
          <w:b w:val="0"/>
          <w:snapToGrid w:val="0"/>
          <w:lang w:eastAsia="en-US"/>
        </w:rPr>
        <w:t>é</w:t>
      </w:r>
      <w:r w:rsidR="00730B9B" w:rsidRPr="009C7F4B">
        <w:rPr>
          <w:b w:val="0"/>
          <w:snapToGrid w:val="0"/>
          <w:lang w:eastAsia="en-US"/>
        </w:rPr>
        <w:t>gi</w:t>
      </w:r>
      <w:r w:rsidR="009772FC" w:rsidRPr="009C7F4B">
        <w:rPr>
          <w:b w:val="0"/>
          <w:snapToGrid w:val="0"/>
          <w:lang w:eastAsia="en-US"/>
        </w:rPr>
        <w:t>que</w:t>
      </w:r>
      <w:r w:rsidR="00730B9B" w:rsidRPr="009C7F4B">
        <w:rPr>
          <w:b w:val="0"/>
          <w:snapToGrid w:val="0"/>
          <w:lang w:eastAsia="en-US"/>
        </w:rPr>
        <w:t xml:space="preserve"> 3). </w:t>
      </w:r>
      <w:r w:rsidR="009772FC" w:rsidRPr="009C7F4B">
        <w:rPr>
          <w:b w:val="0"/>
          <w:snapToGrid w:val="0"/>
          <w:lang w:eastAsia="en-US"/>
        </w:rPr>
        <w:t>Les matériels sur le genre et l’élaboration de politique</w:t>
      </w:r>
      <w:r w:rsidR="006975A1" w:rsidRPr="009C7F4B">
        <w:rPr>
          <w:b w:val="0"/>
          <w:snapToGrid w:val="0"/>
          <w:lang w:eastAsia="en-US"/>
        </w:rPr>
        <w:t>s</w:t>
      </w:r>
      <w:r w:rsidR="009772FC" w:rsidRPr="009C7F4B">
        <w:rPr>
          <w:b w:val="0"/>
          <w:snapToGrid w:val="0"/>
          <w:lang w:eastAsia="en-US"/>
        </w:rPr>
        <w:t xml:space="preserve"> seront également enrichis pour combler certaines lacunes </w:t>
      </w:r>
      <w:r w:rsidR="005437ED" w:rsidRPr="009C7F4B">
        <w:rPr>
          <w:b w:val="0"/>
          <w:snapToGrid w:val="0"/>
          <w:lang w:eastAsia="en-US"/>
        </w:rPr>
        <w:t>relevées</w:t>
      </w:r>
      <w:r w:rsidR="009772FC" w:rsidRPr="009C7F4B">
        <w:rPr>
          <w:b w:val="0"/>
          <w:snapToGrid w:val="0"/>
          <w:lang w:eastAsia="en-US"/>
        </w:rPr>
        <w:t xml:space="preserve"> par les facilitateurs</w:t>
      </w:r>
      <w:r w:rsidR="00730B9B" w:rsidRPr="009C7F4B">
        <w:rPr>
          <w:b w:val="0"/>
          <w:snapToGrid w:val="0"/>
          <w:lang w:eastAsia="en-US"/>
        </w:rPr>
        <w:t xml:space="preserve">. </w:t>
      </w:r>
      <w:r w:rsidR="009772FC" w:rsidRPr="009C7F4B">
        <w:rPr>
          <w:b w:val="0"/>
          <w:snapToGrid w:val="0"/>
          <w:lang w:eastAsia="en-US"/>
        </w:rPr>
        <w:t xml:space="preserve">Le système de gestion des connaissances continuera à jouer un rôle </w:t>
      </w:r>
      <w:r w:rsidR="00B03E2E" w:rsidRPr="009C7F4B">
        <w:rPr>
          <w:b w:val="0"/>
          <w:snapToGrid w:val="0"/>
          <w:lang w:eastAsia="en-US"/>
        </w:rPr>
        <w:t>majeur</w:t>
      </w:r>
      <w:r w:rsidR="009772FC" w:rsidRPr="009C7F4B">
        <w:rPr>
          <w:b w:val="0"/>
          <w:snapToGrid w:val="0"/>
          <w:lang w:eastAsia="en-US"/>
        </w:rPr>
        <w:t xml:space="preserve"> dans</w:t>
      </w:r>
      <w:r w:rsidR="00DA6D43" w:rsidRPr="009C7F4B">
        <w:rPr>
          <w:b w:val="0"/>
          <w:snapToGrid w:val="0"/>
          <w:lang w:eastAsia="en-US"/>
        </w:rPr>
        <w:t xml:space="preserve"> le maintien et l’amélioration </w:t>
      </w:r>
      <w:r w:rsidR="005437ED" w:rsidRPr="009C7F4B">
        <w:rPr>
          <w:b w:val="0"/>
          <w:snapToGrid w:val="0"/>
          <w:lang w:eastAsia="en-US"/>
        </w:rPr>
        <w:t>du</w:t>
      </w:r>
      <w:r w:rsidR="00DA6D43" w:rsidRPr="009C7F4B">
        <w:rPr>
          <w:b w:val="0"/>
          <w:snapToGrid w:val="0"/>
          <w:lang w:eastAsia="en-US"/>
        </w:rPr>
        <w:t xml:space="preserve"> navigateur des matériels, interface clé pour le travail des facilitateurs au quotidien</w:t>
      </w:r>
      <w:r w:rsidR="00730B9B" w:rsidRPr="009C7F4B">
        <w:rPr>
          <w:b w:val="0"/>
          <w:snapToGrid w:val="0"/>
          <w:lang w:eastAsia="en-US"/>
        </w:rPr>
        <w:t xml:space="preserve">. </w:t>
      </w:r>
      <w:r w:rsidR="00DA6D43" w:rsidRPr="009C7F4B">
        <w:rPr>
          <w:b w:val="0"/>
          <w:snapToGrid w:val="0"/>
          <w:lang w:eastAsia="en-US"/>
        </w:rPr>
        <w:t xml:space="preserve">De plus, lors de l’exercice </w:t>
      </w:r>
      <w:r w:rsidR="00730B9B" w:rsidRPr="009C7F4B">
        <w:rPr>
          <w:b w:val="0"/>
          <w:snapToGrid w:val="0"/>
          <w:lang w:eastAsia="en-US"/>
        </w:rPr>
        <w:t xml:space="preserve">2016-2017, </w:t>
      </w:r>
      <w:r w:rsidR="00DA6D43" w:rsidRPr="009C7F4B">
        <w:rPr>
          <w:b w:val="0"/>
          <w:snapToGrid w:val="0"/>
          <w:lang w:eastAsia="en-US"/>
        </w:rPr>
        <w:t>l</w:t>
      </w:r>
      <w:r w:rsidR="00730B9B" w:rsidRPr="009C7F4B">
        <w:rPr>
          <w:b w:val="0"/>
          <w:snapToGrid w:val="0"/>
          <w:lang w:eastAsia="en-US"/>
        </w:rPr>
        <w:t>e Secr</w:t>
      </w:r>
      <w:r w:rsidR="00DA6D43" w:rsidRPr="009C7F4B">
        <w:rPr>
          <w:b w:val="0"/>
          <w:snapToGrid w:val="0"/>
          <w:lang w:eastAsia="en-US"/>
        </w:rPr>
        <w:t>é</w:t>
      </w:r>
      <w:r w:rsidR="00730B9B" w:rsidRPr="009C7F4B">
        <w:rPr>
          <w:b w:val="0"/>
          <w:snapToGrid w:val="0"/>
          <w:lang w:eastAsia="en-US"/>
        </w:rPr>
        <w:t xml:space="preserve">tariat </w:t>
      </w:r>
      <w:r w:rsidR="00DA6D43" w:rsidRPr="009C7F4B">
        <w:rPr>
          <w:b w:val="0"/>
          <w:snapToGrid w:val="0"/>
          <w:lang w:eastAsia="en-US"/>
        </w:rPr>
        <w:t>engagera une réflexion sur les moyens d’élargir la portée de son programme de renforcement de capacités, en s’appuyant notamment sur les technologies de l’information</w:t>
      </w:r>
      <w:r w:rsidR="00B03E2E" w:rsidRPr="009C7F4B">
        <w:rPr>
          <w:b w:val="0"/>
          <w:snapToGrid w:val="0"/>
          <w:lang w:eastAsia="en-US"/>
        </w:rPr>
        <w:t>,</w:t>
      </w:r>
      <w:r w:rsidR="00DA6D43" w:rsidRPr="009C7F4B">
        <w:rPr>
          <w:b w:val="0"/>
          <w:snapToGrid w:val="0"/>
          <w:lang w:eastAsia="en-US"/>
        </w:rPr>
        <w:t xml:space="preserve"> </w:t>
      </w:r>
      <w:r w:rsidR="000235DC" w:rsidRPr="009C7F4B">
        <w:rPr>
          <w:b w:val="0"/>
          <w:snapToGrid w:val="0"/>
          <w:lang w:eastAsia="en-US"/>
        </w:rPr>
        <w:t xml:space="preserve">et commandera </w:t>
      </w:r>
      <w:r w:rsidR="00B03E2E" w:rsidRPr="009C7F4B">
        <w:rPr>
          <w:b w:val="0"/>
          <w:snapToGrid w:val="0"/>
          <w:lang w:eastAsia="en-US"/>
        </w:rPr>
        <w:t xml:space="preserve">à cet effet </w:t>
      </w:r>
      <w:r w:rsidR="000235DC" w:rsidRPr="009C7F4B">
        <w:rPr>
          <w:b w:val="0"/>
          <w:snapToGrid w:val="0"/>
          <w:lang w:eastAsia="en-US"/>
        </w:rPr>
        <w:t>une étude de faisabilité sur l’utilisation de technologie</w:t>
      </w:r>
      <w:r w:rsidR="006975A1" w:rsidRPr="009C7F4B">
        <w:rPr>
          <w:b w:val="0"/>
          <w:snapToGrid w:val="0"/>
          <w:lang w:eastAsia="en-US"/>
        </w:rPr>
        <w:t>s</w:t>
      </w:r>
      <w:r w:rsidR="000235DC" w:rsidRPr="009C7F4B">
        <w:rPr>
          <w:b w:val="0"/>
          <w:snapToGrid w:val="0"/>
          <w:lang w:eastAsia="en-US"/>
        </w:rPr>
        <w:t xml:space="preserve"> pédagogique</w:t>
      </w:r>
      <w:r w:rsidR="006975A1" w:rsidRPr="009C7F4B">
        <w:rPr>
          <w:b w:val="0"/>
          <w:snapToGrid w:val="0"/>
          <w:lang w:eastAsia="en-US"/>
        </w:rPr>
        <w:t>s</w:t>
      </w:r>
      <w:r w:rsidR="000235DC" w:rsidRPr="009C7F4B">
        <w:rPr>
          <w:b w:val="0"/>
          <w:snapToGrid w:val="0"/>
          <w:lang w:eastAsia="en-US"/>
        </w:rPr>
        <w:t xml:space="preserve"> pour l’apprentissage en ligne </w:t>
      </w:r>
      <w:r w:rsidR="00B03E2E" w:rsidRPr="009C7F4B">
        <w:rPr>
          <w:b w:val="0"/>
          <w:snapToGrid w:val="0"/>
          <w:lang w:eastAsia="en-US"/>
        </w:rPr>
        <w:t>concernant</w:t>
      </w:r>
      <w:r w:rsidR="000235DC" w:rsidRPr="009C7F4B">
        <w:rPr>
          <w:b w:val="0"/>
          <w:snapToGrid w:val="0"/>
          <w:lang w:eastAsia="en-US"/>
        </w:rPr>
        <w:t xml:space="preserve"> certains sujets du programme de renforcement de capacités</w:t>
      </w:r>
      <w:r w:rsidR="00730B9B" w:rsidRPr="009C7F4B">
        <w:rPr>
          <w:b w:val="0"/>
          <w:snapToGrid w:val="0"/>
          <w:lang w:eastAsia="en-US"/>
        </w:rPr>
        <w:t>.</w:t>
      </w:r>
    </w:p>
    <w:p w14:paraId="384F9B64" w14:textId="3FCFBEC9" w:rsidR="00730B9B" w:rsidRPr="009C7F4B" w:rsidRDefault="000235DC"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En attendant la mise en place d’un cadre global de résultats de la Convention vers la fin de l’exercice, le travail d’élaboration d’un mécanisme de suivi et d’évaluation du programme de renforcement de capacités </w:t>
      </w:r>
      <w:r w:rsidR="00C51B2F" w:rsidRPr="009C7F4B">
        <w:rPr>
          <w:b w:val="0"/>
          <w:snapToGrid w:val="0"/>
          <w:lang w:eastAsia="en-US"/>
        </w:rPr>
        <w:t>consistera principalement à mener une étude pilote</w:t>
      </w:r>
      <w:r w:rsidR="00466BC5" w:rsidRPr="009C7F4B">
        <w:rPr>
          <w:b w:val="0"/>
          <w:snapToGrid w:val="0"/>
          <w:lang w:eastAsia="en-US"/>
        </w:rPr>
        <w:t xml:space="preserve"> </w:t>
      </w:r>
      <w:r w:rsidR="006975A1" w:rsidRPr="009C7F4B">
        <w:rPr>
          <w:b w:val="0"/>
          <w:snapToGrid w:val="0"/>
          <w:lang w:eastAsia="en-US"/>
        </w:rPr>
        <w:t>de suivi</w:t>
      </w:r>
      <w:r w:rsidR="00C51B2F" w:rsidRPr="009C7F4B">
        <w:rPr>
          <w:b w:val="0"/>
          <w:snapToGrid w:val="0"/>
          <w:lang w:eastAsia="en-US"/>
        </w:rPr>
        <w:t xml:space="preserve"> dans un certain nombre de pays ayant bénéficié d’activités de renforcement de capacités</w:t>
      </w:r>
      <w:r w:rsidR="00730B9B" w:rsidRPr="009C7F4B">
        <w:rPr>
          <w:b w:val="0"/>
          <w:snapToGrid w:val="0"/>
          <w:lang w:eastAsia="en-US"/>
        </w:rPr>
        <w:t xml:space="preserve">. </w:t>
      </w:r>
      <w:r w:rsidR="00C51B2F" w:rsidRPr="009C7F4B">
        <w:rPr>
          <w:b w:val="0"/>
          <w:snapToGrid w:val="0"/>
          <w:lang w:eastAsia="en-US"/>
        </w:rPr>
        <w:t>Le but de cette étude est de déterminer ce que la participation des individus au programme de renforcement de capacités a changé dans leur pratique en faveur du patrimoine culturel immatériel et ce qu’ils recommandent pour améliorer encore le programme</w:t>
      </w:r>
      <w:r w:rsidR="00730B9B" w:rsidRPr="009C7F4B">
        <w:rPr>
          <w:b w:val="0"/>
          <w:snapToGrid w:val="0"/>
          <w:lang w:eastAsia="en-US"/>
        </w:rPr>
        <w:t xml:space="preserve">. </w:t>
      </w:r>
      <w:r w:rsidR="00C51B2F" w:rsidRPr="009C7F4B">
        <w:rPr>
          <w:b w:val="0"/>
          <w:snapToGrid w:val="0"/>
          <w:lang w:eastAsia="en-US"/>
        </w:rPr>
        <w:t xml:space="preserve">L’étude pilote permettra de vérifier la pertinence et l’efficacité de </w:t>
      </w:r>
      <w:r w:rsidR="006975A1" w:rsidRPr="009C7F4B">
        <w:rPr>
          <w:b w:val="0"/>
          <w:snapToGrid w:val="0"/>
          <w:lang w:eastAsia="en-US"/>
        </w:rPr>
        <w:t>ces études de suivi</w:t>
      </w:r>
      <w:r w:rsidR="00466BC5" w:rsidRPr="009C7F4B">
        <w:rPr>
          <w:b w:val="0"/>
          <w:snapToGrid w:val="0"/>
          <w:lang w:eastAsia="en-US"/>
        </w:rPr>
        <w:t xml:space="preserve"> en tant qu’approche</w:t>
      </w:r>
      <w:r w:rsidR="00BC5644" w:rsidRPr="009C7F4B">
        <w:rPr>
          <w:b w:val="0"/>
          <w:snapToGrid w:val="0"/>
          <w:lang w:eastAsia="en-US"/>
        </w:rPr>
        <w:t>,</w:t>
      </w:r>
      <w:r w:rsidR="00466BC5" w:rsidRPr="009C7F4B">
        <w:rPr>
          <w:b w:val="0"/>
          <w:snapToGrid w:val="0"/>
          <w:lang w:eastAsia="en-US"/>
        </w:rPr>
        <w:t xml:space="preserve"> </w:t>
      </w:r>
      <w:r w:rsidR="00B03E2E" w:rsidRPr="009C7F4B">
        <w:rPr>
          <w:b w:val="0"/>
          <w:snapToGrid w:val="0"/>
          <w:lang w:eastAsia="en-US"/>
        </w:rPr>
        <w:t xml:space="preserve">ainsi que celles </w:t>
      </w:r>
      <w:r w:rsidR="00466BC5" w:rsidRPr="009C7F4B">
        <w:rPr>
          <w:b w:val="0"/>
          <w:snapToGrid w:val="0"/>
          <w:lang w:eastAsia="en-US"/>
        </w:rPr>
        <w:t>du questionnaire correspondant</w:t>
      </w:r>
      <w:r w:rsidR="00730B9B" w:rsidRPr="009C7F4B">
        <w:rPr>
          <w:b w:val="0"/>
          <w:snapToGrid w:val="0"/>
          <w:lang w:eastAsia="en-US"/>
        </w:rPr>
        <w:t xml:space="preserve">. </w:t>
      </w:r>
      <w:r w:rsidR="00466BC5" w:rsidRPr="009C7F4B">
        <w:rPr>
          <w:b w:val="0"/>
          <w:snapToGrid w:val="0"/>
          <w:lang w:eastAsia="en-US"/>
        </w:rPr>
        <w:t xml:space="preserve">Le </w:t>
      </w:r>
      <w:r w:rsidR="00730B9B" w:rsidRPr="009C7F4B">
        <w:rPr>
          <w:b w:val="0"/>
          <w:snapToGrid w:val="0"/>
          <w:lang w:eastAsia="en-US"/>
        </w:rPr>
        <w:t>Secr</w:t>
      </w:r>
      <w:r w:rsidR="00466BC5" w:rsidRPr="009C7F4B">
        <w:rPr>
          <w:b w:val="0"/>
          <w:snapToGrid w:val="0"/>
          <w:lang w:eastAsia="en-US"/>
        </w:rPr>
        <w:t>é</w:t>
      </w:r>
      <w:r w:rsidR="00730B9B" w:rsidRPr="009C7F4B">
        <w:rPr>
          <w:b w:val="0"/>
          <w:snapToGrid w:val="0"/>
          <w:lang w:eastAsia="en-US"/>
        </w:rPr>
        <w:t xml:space="preserve">tariat </w:t>
      </w:r>
      <w:r w:rsidR="00BC5644" w:rsidRPr="009C7F4B">
        <w:rPr>
          <w:b w:val="0"/>
          <w:snapToGrid w:val="0"/>
          <w:lang w:eastAsia="en-US"/>
        </w:rPr>
        <w:t>procédera</w:t>
      </w:r>
      <w:r w:rsidR="00466BC5" w:rsidRPr="009C7F4B">
        <w:rPr>
          <w:b w:val="0"/>
          <w:snapToGrid w:val="0"/>
          <w:lang w:eastAsia="en-US"/>
        </w:rPr>
        <w:t xml:space="preserve"> en outre </w:t>
      </w:r>
      <w:r w:rsidR="00BC5644" w:rsidRPr="009C7F4B">
        <w:rPr>
          <w:b w:val="0"/>
          <w:snapToGrid w:val="0"/>
          <w:lang w:eastAsia="en-US"/>
        </w:rPr>
        <w:t xml:space="preserve">à </w:t>
      </w:r>
      <w:r w:rsidR="00466BC5" w:rsidRPr="009C7F4B">
        <w:rPr>
          <w:b w:val="0"/>
          <w:snapToGrid w:val="0"/>
          <w:lang w:eastAsia="en-US"/>
        </w:rPr>
        <w:t>une enquête sur l’utilisation du matériel de formation de l’UNESCO par des utilisateurs extérieurs à l’</w:t>
      </w:r>
      <w:r w:rsidR="00730B9B" w:rsidRPr="009C7F4B">
        <w:rPr>
          <w:b w:val="0"/>
          <w:snapToGrid w:val="0"/>
          <w:lang w:eastAsia="en-US"/>
        </w:rPr>
        <w:t>UNESCO. I</w:t>
      </w:r>
      <w:r w:rsidR="00BC5644" w:rsidRPr="009C7F4B">
        <w:rPr>
          <w:b w:val="0"/>
          <w:snapToGrid w:val="0"/>
          <w:lang w:eastAsia="en-US"/>
        </w:rPr>
        <w:t>l recueillera l</w:t>
      </w:r>
      <w:r w:rsidR="00C57D6A" w:rsidRPr="009C7F4B">
        <w:rPr>
          <w:b w:val="0"/>
          <w:snapToGrid w:val="0"/>
          <w:lang w:eastAsia="en-US"/>
        </w:rPr>
        <w:t>es informations sur les utilisateurs générées par le système de gestion des connaissances</w:t>
      </w:r>
      <w:r w:rsidR="00BC5644" w:rsidRPr="009C7F4B">
        <w:rPr>
          <w:b w:val="0"/>
          <w:snapToGrid w:val="0"/>
          <w:lang w:eastAsia="en-US"/>
        </w:rPr>
        <w:t>,</w:t>
      </w:r>
      <w:r w:rsidR="00C57D6A" w:rsidRPr="009C7F4B">
        <w:rPr>
          <w:b w:val="0"/>
          <w:snapToGrid w:val="0"/>
          <w:lang w:eastAsia="en-US"/>
        </w:rPr>
        <w:t xml:space="preserve"> </w:t>
      </w:r>
      <w:r w:rsidR="00BC5644" w:rsidRPr="009C7F4B">
        <w:rPr>
          <w:b w:val="0"/>
          <w:snapToGrid w:val="0"/>
          <w:lang w:eastAsia="en-US"/>
        </w:rPr>
        <w:t xml:space="preserve">dans un premier temps </w:t>
      </w:r>
      <w:r w:rsidR="00C57D6A" w:rsidRPr="009C7F4B">
        <w:rPr>
          <w:b w:val="0"/>
          <w:snapToGrid w:val="0"/>
          <w:lang w:eastAsia="en-US"/>
        </w:rPr>
        <w:t>via un formulaire d’enquête en ligne automatique</w:t>
      </w:r>
      <w:r w:rsidR="00730B9B" w:rsidRPr="009C7F4B">
        <w:rPr>
          <w:b w:val="0"/>
          <w:snapToGrid w:val="0"/>
          <w:lang w:eastAsia="en-US"/>
        </w:rPr>
        <w:t xml:space="preserve">. </w:t>
      </w:r>
      <w:r w:rsidR="00C57D6A" w:rsidRPr="009C7F4B">
        <w:rPr>
          <w:b w:val="0"/>
          <w:snapToGrid w:val="0"/>
          <w:lang w:eastAsia="en-US"/>
        </w:rPr>
        <w:t xml:space="preserve">Quand un projet de cadre global de résultats de la </w:t>
      </w:r>
      <w:r w:rsidR="00730B9B" w:rsidRPr="009C7F4B">
        <w:rPr>
          <w:b w:val="0"/>
          <w:snapToGrid w:val="0"/>
          <w:lang w:eastAsia="en-US"/>
        </w:rPr>
        <w:t xml:space="preserve">Convention </w:t>
      </w:r>
      <w:r w:rsidR="00C57D6A" w:rsidRPr="009C7F4B">
        <w:rPr>
          <w:b w:val="0"/>
          <w:snapToGrid w:val="0"/>
          <w:lang w:eastAsia="en-US"/>
        </w:rPr>
        <w:t>commencera à émerger</w:t>
      </w:r>
      <w:r w:rsidR="00730B9B" w:rsidRPr="009C7F4B">
        <w:rPr>
          <w:b w:val="0"/>
          <w:snapToGrid w:val="0"/>
          <w:lang w:eastAsia="en-US"/>
        </w:rPr>
        <w:t xml:space="preserve">, </w:t>
      </w:r>
      <w:r w:rsidR="00C57D6A" w:rsidRPr="009C7F4B">
        <w:rPr>
          <w:b w:val="0"/>
          <w:snapToGrid w:val="0"/>
          <w:lang w:eastAsia="en-US"/>
        </w:rPr>
        <w:t>l</w:t>
      </w:r>
      <w:r w:rsidR="00730B9B" w:rsidRPr="009C7F4B">
        <w:rPr>
          <w:b w:val="0"/>
          <w:snapToGrid w:val="0"/>
          <w:lang w:eastAsia="en-US"/>
        </w:rPr>
        <w:t>e Secr</w:t>
      </w:r>
      <w:r w:rsidR="00C57D6A" w:rsidRPr="009C7F4B">
        <w:rPr>
          <w:b w:val="0"/>
          <w:snapToGrid w:val="0"/>
          <w:lang w:eastAsia="en-US"/>
        </w:rPr>
        <w:t>é</w:t>
      </w:r>
      <w:r w:rsidR="00730B9B" w:rsidRPr="009C7F4B">
        <w:rPr>
          <w:b w:val="0"/>
          <w:snapToGrid w:val="0"/>
          <w:lang w:eastAsia="en-US"/>
        </w:rPr>
        <w:t xml:space="preserve">tariat </w:t>
      </w:r>
      <w:r w:rsidR="00D77F18" w:rsidRPr="009C7F4B">
        <w:rPr>
          <w:b w:val="0"/>
          <w:snapToGrid w:val="0"/>
          <w:lang w:eastAsia="en-US"/>
        </w:rPr>
        <w:t>s’attachera à faire concorder les deux mécanismes</w:t>
      </w:r>
      <w:r w:rsidR="00730B9B" w:rsidRPr="009C7F4B">
        <w:rPr>
          <w:b w:val="0"/>
          <w:snapToGrid w:val="0"/>
          <w:lang w:eastAsia="en-US"/>
        </w:rPr>
        <w:t>.</w:t>
      </w:r>
    </w:p>
    <w:p w14:paraId="610913DB" w14:textId="1FD6F259" w:rsidR="00730B9B" w:rsidRPr="009C7F4B" w:rsidRDefault="00D77F18"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Les efforts passés pour prodiguer des conseils sur les bonnes pratiques s’appuyaient essentiellement sur le Registre des meilleures pratiques de sauvegarde et sur la publication de l’expérience </w:t>
      </w:r>
      <w:r w:rsidR="00E72D1E" w:rsidRPr="009C7F4B">
        <w:rPr>
          <w:b w:val="0"/>
          <w:snapToGrid w:val="0"/>
          <w:lang w:eastAsia="en-US"/>
        </w:rPr>
        <w:t>de certains projets</w:t>
      </w:r>
      <w:r w:rsidR="00730B9B" w:rsidRPr="009C7F4B">
        <w:rPr>
          <w:b w:val="0"/>
          <w:snapToGrid w:val="0"/>
          <w:lang w:eastAsia="en-US"/>
        </w:rPr>
        <w:t xml:space="preserve">. </w:t>
      </w:r>
      <w:r w:rsidR="00E72D1E" w:rsidRPr="009C7F4B">
        <w:rPr>
          <w:b w:val="0"/>
          <w:snapToGrid w:val="0"/>
          <w:lang w:eastAsia="en-US"/>
        </w:rPr>
        <w:t xml:space="preserve">Mais, comme il est expliqué dans l’évaluation </w:t>
      </w:r>
      <w:r w:rsidR="00730B9B" w:rsidRPr="009C7F4B">
        <w:rPr>
          <w:b w:val="0"/>
          <w:snapToGrid w:val="0"/>
          <w:lang w:eastAsia="en-US"/>
        </w:rPr>
        <w:t xml:space="preserve">2013 </w:t>
      </w:r>
      <w:r w:rsidR="00E72D1E" w:rsidRPr="009C7F4B">
        <w:rPr>
          <w:b w:val="0"/>
          <w:snapToGrid w:val="0"/>
          <w:lang w:eastAsia="en-US"/>
        </w:rPr>
        <w:t xml:space="preserve">du Service d’évaluation et d’audit </w:t>
      </w:r>
      <w:r w:rsidR="00730B9B" w:rsidRPr="009C7F4B">
        <w:rPr>
          <w:b w:val="0"/>
          <w:snapToGrid w:val="0"/>
          <w:lang w:eastAsia="en-US"/>
        </w:rPr>
        <w:t>(</w:t>
      </w:r>
      <w:hyperlink r:id="rId18" w:history="1">
        <w:r w:rsidR="00730B9B" w:rsidRPr="009C7F4B">
          <w:rPr>
            <w:rStyle w:val="Hyperlink"/>
            <w:b w:val="0"/>
            <w:snapToGrid w:val="0"/>
            <w:lang w:eastAsia="en-US"/>
          </w:rPr>
          <w:t>Document ITH/13/8.COM/INF.5.c</w:t>
        </w:r>
      </w:hyperlink>
      <w:r w:rsidR="00730B9B" w:rsidRPr="009C7F4B">
        <w:rPr>
          <w:b w:val="0"/>
          <w:snapToGrid w:val="0"/>
          <w:lang w:eastAsia="en-US"/>
        </w:rPr>
        <w:t xml:space="preserve">), </w:t>
      </w:r>
      <w:r w:rsidR="00102686" w:rsidRPr="009C7F4B">
        <w:rPr>
          <w:b w:val="0"/>
          <w:snapToGrid w:val="0"/>
          <w:lang w:eastAsia="en-US"/>
        </w:rPr>
        <w:t>l</w:t>
      </w:r>
      <w:r w:rsidR="00730B9B" w:rsidRPr="009C7F4B">
        <w:rPr>
          <w:b w:val="0"/>
          <w:snapToGrid w:val="0"/>
          <w:lang w:eastAsia="en-US"/>
        </w:rPr>
        <w:t xml:space="preserve">e </w:t>
      </w:r>
      <w:r w:rsidR="00730B9B" w:rsidRPr="009C7F4B">
        <w:rPr>
          <w:rFonts w:eastAsia="Calibri"/>
          <w:b w:val="0"/>
          <w:snapToGrid w:val="0"/>
          <w:lang w:eastAsia="en-US"/>
        </w:rPr>
        <w:t>Regist</w:t>
      </w:r>
      <w:r w:rsidR="00102686" w:rsidRPr="009C7F4B">
        <w:rPr>
          <w:rFonts w:eastAsia="Calibri"/>
          <w:b w:val="0"/>
          <w:snapToGrid w:val="0"/>
          <w:lang w:eastAsia="en-US"/>
        </w:rPr>
        <w:t>r</w:t>
      </w:r>
      <w:r w:rsidR="00730B9B" w:rsidRPr="009C7F4B">
        <w:rPr>
          <w:rFonts w:eastAsia="Calibri"/>
          <w:b w:val="0"/>
          <w:snapToGrid w:val="0"/>
          <w:lang w:eastAsia="en-US"/>
        </w:rPr>
        <w:t xml:space="preserve">e </w:t>
      </w:r>
      <w:r w:rsidR="00102686" w:rsidRPr="009C7F4B">
        <w:rPr>
          <w:rFonts w:eastAsia="Calibri"/>
          <w:b w:val="0"/>
          <w:snapToGrid w:val="0"/>
          <w:lang w:eastAsia="en-US"/>
        </w:rPr>
        <w:t>ne s’est pas avéré aussi efficace qu’on l’espérait </w:t>
      </w:r>
      <w:r w:rsidR="00730B9B" w:rsidRPr="009C7F4B">
        <w:rPr>
          <w:rFonts w:eastAsia="Calibri"/>
          <w:b w:val="0"/>
          <w:snapToGrid w:val="0"/>
          <w:lang w:eastAsia="en-US"/>
        </w:rPr>
        <w:t xml:space="preserve">: </w:t>
      </w:r>
      <w:r w:rsidR="00BC5644" w:rsidRPr="009C7F4B">
        <w:rPr>
          <w:rFonts w:eastAsia="Calibri"/>
          <w:b w:val="0"/>
          <w:snapToGrid w:val="0"/>
          <w:lang w:eastAsia="en-US"/>
        </w:rPr>
        <w:t>« </w:t>
      </w:r>
      <w:r w:rsidR="00102686" w:rsidRPr="009C7F4B">
        <w:rPr>
          <w:rFonts w:eastAsia="Calibri"/>
          <w:b w:val="0"/>
          <w:snapToGrid w:val="0"/>
          <w:lang w:eastAsia="en-US"/>
        </w:rPr>
        <w:t>globalement</w:t>
      </w:r>
      <w:r w:rsidR="00730B9B" w:rsidRPr="009C7F4B">
        <w:rPr>
          <w:rFonts w:eastAsia="Calibri"/>
          <w:b w:val="0"/>
          <w:snapToGrid w:val="0"/>
          <w:lang w:eastAsia="en-US"/>
        </w:rPr>
        <w:t xml:space="preserve">, </w:t>
      </w:r>
      <w:r w:rsidR="00102686" w:rsidRPr="009C7F4B">
        <w:rPr>
          <w:rFonts w:eastAsia="Calibri"/>
          <w:b w:val="0"/>
          <w:snapToGrid w:val="0"/>
          <w:lang w:eastAsia="en-US"/>
        </w:rPr>
        <w:t>la demande actuelle d’échange de connaissances, d’expériences et de conseils semble considérablement excéder l’offre ».</w:t>
      </w:r>
      <w:r w:rsidR="00730B9B" w:rsidRPr="009C7F4B">
        <w:rPr>
          <w:b w:val="0"/>
          <w:snapToGrid w:val="0"/>
          <w:lang w:eastAsia="en-US"/>
        </w:rPr>
        <w:t xml:space="preserve"> </w:t>
      </w:r>
      <w:r w:rsidR="00102686" w:rsidRPr="009C7F4B">
        <w:rPr>
          <w:b w:val="0"/>
          <w:snapToGrid w:val="0"/>
          <w:lang w:eastAsia="en-US"/>
        </w:rPr>
        <w:t>Répondant aux recommandations de l’</w:t>
      </w:r>
      <w:r w:rsidR="00730B9B" w:rsidRPr="009C7F4B">
        <w:rPr>
          <w:b w:val="0"/>
          <w:snapToGrid w:val="0"/>
          <w:lang w:eastAsia="en-US"/>
        </w:rPr>
        <w:t xml:space="preserve">IOS, </w:t>
      </w:r>
      <w:r w:rsidR="00102686" w:rsidRPr="009C7F4B">
        <w:rPr>
          <w:b w:val="0"/>
          <w:snapToGrid w:val="0"/>
          <w:lang w:eastAsia="en-US"/>
        </w:rPr>
        <w:t>l</w:t>
      </w:r>
      <w:r w:rsidR="00730B9B" w:rsidRPr="009C7F4B">
        <w:rPr>
          <w:b w:val="0"/>
          <w:snapToGrid w:val="0"/>
          <w:lang w:eastAsia="en-US"/>
        </w:rPr>
        <w:t>e Comit</w:t>
      </w:r>
      <w:r w:rsidR="00102686" w:rsidRPr="009C7F4B">
        <w:rPr>
          <w:b w:val="0"/>
          <w:snapToGrid w:val="0"/>
          <w:lang w:eastAsia="en-US"/>
        </w:rPr>
        <w:t>é</w:t>
      </w:r>
      <w:r w:rsidR="00730B9B" w:rsidRPr="009C7F4B">
        <w:rPr>
          <w:b w:val="0"/>
          <w:snapToGrid w:val="0"/>
          <w:lang w:eastAsia="en-US"/>
        </w:rPr>
        <w:t xml:space="preserve"> </w:t>
      </w:r>
      <w:r w:rsidR="00102686" w:rsidRPr="009C7F4B">
        <w:rPr>
          <w:b w:val="0"/>
          <w:snapToGrid w:val="0"/>
          <w:lang w:eastAsia="en-US"/>
        </w:rPr>
        <w:t xml:space="preserve">a </w:t>
      </w:r>
      <w:r w:rsidR="00E30E82" w:rsidRPr="009C7F4B">
        <w:rPr>
          <w:b w:val="0"/>
          <w:snapToGrid w:val="0"/>
          <w:lang w:eastAsia="en-US"/>
        </w:rPr>
        <w:t>appelé</w:t>
      </w:r>
      <w:r w:rsidR="00102686" w:rsidRPr="009C7F4B">
        <w:rPr>
          <w:b w:val="0"/>
          <w:snapToGrid w:val="0"/>
          <w:lang w:eastAsia="en-US"/>
        </w:rPr>
        <w:t xml:space="preserve"> différentes parties prenantes, </w:t>
      </w:r>
      <w:r w:rsidR="00102686" w:rsidRPr="009C7F4B">
        <w:rPr>
          <w:b w:val="0"/>
          <w:snapToGrid w:val="0"/>
          <w:lang w:eastAsia="en-US"/>
        </w:rPr>
        <w:lastRenderedPageBreak/>
        <w:t xml:space="preserve">notamment le </w:t>
      </w:r>
      <w:r w:rsidR="00730B9B" w:rsidRPr="009C7F4B">
        <w:rPr>
          <w:b w:val="0"/>
          <w:snapToGrid w:val="0"/>
          <w:lang w:eastAsia="en-US"/>
        </w:rPr>
        <w:t>Secr</w:t>
      </w:r>
      <w:r w:rsidR="00102686" w:rsidRPr="009C7F4B">
        <w:rPr>
          <w:b w:val="0"/>
          <w:snapToGrid w:val="0"/>
          <w:lang w:eastAsia="en-US"/>
        </w:rPr>
        <w:t>é</w:t>
      </w:r>
      <w:r w:rsidR="00730B9B" w:rsidRPr="009C7F4B">
        <w:rPr>
          <w:b w:val="0"/>
          <w:snapToGrid w:val="0"/>
          <w:lang w:eastAsia="en-US"/>
        </w:rPr>
        <w:t>tariat,</w:t>
      </w:r>
      <w:r w:rsidR="00102686" w:rsidRPr="009C7F4B">
        <w:rPr>
          <w:b w:val="0"/>
          <w:snapToGrid w:val="0"/>
          <w:lang w:eastAsia="en-US"/>
        </w:rPr>
        <w:t xml:space="preserve"> à</w:t>
      </w:r>
      <w:r w:rsidR="00730B9B" w:rsidRPr="009C7F4B">
        <w:rPr>
          <w:b w:val="0"/>
          <w:snapToGrid w:val="0"/>
          <w:lang w:eastAsia="en-US"/>
        </w:rPr>
        <w:t xml:space="preserve"> </w:t>
      </w:r>
      <w:r w:rsidR="00E30E82" w:rsidRPr="009C7F4B">
        <w:rPr>
          <w:b w:val="0"/>
          <w:snapToGrid w:val="0"/>
          <w:lang w:eastAsia="en-US"/>
        </w:rPr>
        <w:t>« compléter le Registre des meilleures pratiques de sauvegarde en développant d’autres moyens plus légers pour partager les expériences de sauvegarde tels que des sites web dédiés, des bulletins d’information électroniques, des forums en ligne, etc. »</w:t>
      </w:r>
      <w:r w:rsidR="00730B9B" w:rsidRPr="009C7F4B">
        <w:rPr>
          <w:b w:val="0"/>
          <w:snapToGrid w:val="0"/>
          <w:lang w:eastAsia="en-US"/>
        </w:rPr>
        <w:t xml:space="preserve"> (</w:t>
      </w:r>
      <w:hyperlink r:id="rId19" w:history="1">
        <w:r w:rsidR="00012D7D"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8.COM 5.c.1</w:t>
        </w:r>
      </w:hyperlink>
      <w:r w:rsidR="00730B9B" w:rsidRPr="009C7F4B">
        <w:rPr>
          <w:b w:val="0"/>
          <w:snapToGrid w:val="0"/>
          <w:lang w:eastAsia="en-US"/>
        </w:rPr>
        <w:t xml:space="preserve">). </w:t>
      </w:r>
      <w:r w:rsidR="00E30E82" w:rsidRPr="009C7F4B">
        <w:rPr>
          <w:b w:val="0"/>
          <w:snapToGrid w:val="0"/>
          <w:lang w:eastAsia="en-US"/>
        </w:rPr>
        <w:t>À ce jour</w:t>
      </w:r>
      <w:r w:rsidR="00730B9B" w:rsidRPr="009C7F4B">
        <w:rPr>
          <w:b w:val="0"/>
          <w:snapToGrid w:val="0"/>
          <w:lang w:eastAsia="en-US"/>
        </w:rPr>
        <w:t xml:space="preserve">, </w:t>
      </w:r>
      <w:r w:rsidR="00E30E82" w:rsidRPr="009C7F4B">
        <w:rPr>
          <w:b w:val="0"/>
          <w:snapToGrid w:val="0"/>
          <w:lang w:eastAsia="en-US"/>
        </w:rPr>
        <w:t>l</w:t>
      </w:r>
      <w:r w:rsidR="00730B9B" w:rsidRPr="009C7F4B">
        <w:rPr>
          <w:b w:val="0"/>
          <w:snapToGrid w:val="0"/>
          <w:lang w:eastAsia="en-US"/>
        </w:rPr>
        <w:t>e Secr</w:t>
      </w:r>
      <w:r w:rsidR="00E30E82" w:rsidRPr="009C7F4B">
        <w:rPr>
          <w:b w:val="0"/>
          <w:snapToGrid w:val="0"/>
          <w:lang w:eastAsia="en-US"/>
        </w:rPr>
        <w:t>é</w:t>
      </w:r>
      <w:r w:rsidR="00730B9B" w:rsidRPr="009C7F4B">
        <w:rPr>
          <w:b w:val="0"/>
          <w:snapToGrid w:val="0"/>
          <w:lang w:eastAsia="en-US"/>
        </w:rPr>
        <w:t xml:space="preserve">tariat </w:t>
      </w:r>
      <w:r w:rsidR="00E30E82" w:rsidRPr="009C7F4B">
        <w:rPr>
          <w:b w:val="0"/>
          <w:snapToGrid w:val="0"/>
          <w:lang w:eastAsia="en-US"/>
        </w:rPr>
        <w:t>n’a pas été en mesure de répondre de façon satisfaisante à la demande du Comité</w:t>
      </w:r>
      <w:r w:rsidR="00730B9B" w:rsidRPr="009C7F4B">
        <w:rPr>
          <w:b w:val="0"/>
          <w:snapToGrid w:val="0"/>
          <w:lang w:eastAsia="en-US"/>
        </w:rPr>
        <w:t xml:space="preserve">. </w:t>
      </w:r>
      <w:r w:rsidR="00E30E82" w:rsidRPr="009C7F4B">
        <w:rPr>
          <w:b w:val="0"/>
          <w:snapToGrid w:val="0"/>
          <w:lang w:eastAsia="en-US"/>
        </w:rPr>
        <w:t>Lors de l’actuel exercice, il aimerait mener un processus de consultation des parties prenantes pour explorer différentes possibilités de partager efficacement les pratiques de sauvegarde ayant fait la preuve de leur efficacité</w:t>
      </w:r>
      <w:r w:rsidR="00730B9B" w:rsidRPr="009C7F4B">
        <w:rPr>
          <w:b w:val="0"/>
          <w:snapToGrid w:val="0"/>
          <w:lang w:eastAsia="en-US"/>
        </w:rPr>
        <w:t xml:space="preserve">. </w:t>
      </w:r>
    </w:p>
    <w:p w14:paraId="344BB22B" w14:textId="01FF2B4C" w:rsidR="00730B9B" w:rsidRPr="009C7F4B" w:rsidRDefault="00E30E82"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Par ailleurs, le</w:t>
      </w:r>
      <w:r w:rsidR="00730B9B" w:rsidRPr="009C7F4B">
        <w:rPr>
          <w:b w:val="0"/>
          <w:snapToGrid w:val="0"/>
          <w:lang w:eastAsia="en-US"/>
        </w:rPr>
        <w:t xml:space="preserve"> Secr</w:t>
      </w:r>
      <w:r w:rsidRPr="009C7F4B">
        <w:rPr>
          <w:b w:val="0"/>
          <w:snapToGrid w:val="0"/>
          <w:lang w:eastAsia="en-US"/>
        </w:rPr>
        <w:t>é</w:t>
      </w:r>
      <w:r w:rsidR="00730B9B" w:rsidRPr="009C7F4B">
        <w:rPr>
          <w:b w:val="0"/>
          <w:snapToGrid w:val="0"/>
          <w:lang w:eastAsia="en-US"/>
        </w:rPr>
        <w:t xml:space="preserve">tariat </w:t>
      </w:r>
      <w:r w:rsidRPr="009C7F4B">
        <w:rPr>
          <w:b w:val="0"/>
          <w:snapToGrid w:val="0"/>
          <w:lang w:eastAsia="en-US"/>
        </w:rPr>
        <w:t xml:space="preserve">développera deux des matériels demandés par le Comité pour aider les </w:t>
      </w:r>
      <w:r w:rsidR="004312CB" w:rsidRPr="009C7F4B">
        <w:rPr>
          <w:b w:val="0"/>
          <w:snapToGrid w:val="0"/>
          <w:lang w:eastAsia="en-US"/>
        </w:rPr>
        <w:t>États</w:t>
      </w:r>
      <w:r w:rsidRPr="009C7F4B">
        <w:rPr>
          <w:b w:val="0"/>
          <w:snapToGrid w:val="0"/>
          <w:lang w:eastAsia="en-US"/>
        </w:rPr>
        <w:t xml:space="preserve"> membres </w:t>
      </w:r>
      <w:r w:rsidR="008E55CE" w:rsidRPr="009C7F4B">
        <w:rPr>
          <w:b w:val="0"/>
          <w:snapToGrid w:val="0"/>
          <w:lang w:eastAsia="en-US"/>
        </w:rPr>
        <w:t>dans leurs initiatives de sauvegarde</w:t>
      </w:r>
      <w:r w:rsidR="00730B9B" w:rsidRPr="009C7F4B">
        <w:rPr>
          <w:b w:val="0"/>
          <w:snapToGrid w:val="0"/>
          <w:lang w:eastAsia="en-US"/>
        </w:rPr>
        <w:t xml:space="preserve">. </w:t>
      </w:r>
      <w:r w:rsidR="008E55CE" w:rsidRPr="009C7F4B">
        <w:rPr>
          <w:b w:val="0"/>
          <w:snapToGrid w:val="0"/>
          <w:lang w:eastAsia="en-US"/>
        </w:rPr>
        <w:t>D’un</w:t>
      </w:r>
      <w:r w:rsidR="00C76DE6" w:rsidRPr="009C7F4B">
        <w:rPr>
          <w:b w:val="0"/>
          <w:snapToGrid w:val="0"/>
          <w:lang w:eastAsia="en-US"/>
        </w:rPr>
        <w:t>e part,</w:t>
      </w:r>
      <w:r w:rsidR="008E55CE" w:rsidRPr="009C7F4B">
        <w:rPr>
          <w:b w:val="0"/>
          <w:snapToGrid w:val="0"/>
          <w:lang w:eastAsia="en-US"/>
        </w:rPr>
        <w:t xml:space="preserve"> il préparera </w:t>
      </w:r>
      <w:r w:rsidR="00C76DE6" w:rsidRPr="009C7F4B">
        <w:rPr>
          <w:b w:val="0"/>
          <w:snapToGrid w:val="0"/>
          <w:lang w:eastAsia="en-US"/>
        </w:rPr>
        <w:t xml:space="preserve">à l’usage des </w:t>
      </w:r>
      <w:r w:rsidR="004312CB" w:rsidRPr="009C7F4B">
        <w:rPr>
          <w:b w:val="0"/>
          <w:snapToGrid w:val="0"/>
          <w:lang w:eastAsia="en-US"/>
        </w:rPr>
        <w:t>États</w:t>
      </w:r>
      <w:r w:rsidR="00C76DE6" w:rsidRPr="009C7F4B">
        <w:rPr>
          <w:b w:val="0"/>
          <w:snapToGrid w:val="0"/>
          <w:lang w:eastAsia="en-US"/>
        </w:rPr>
        <w:t xml:space="preserve"> parties </w:t>
      </w:r>
      <w:r w:rsidR="00012D7D" w:rsidRPr="009C7F4B">
        <w:rPr>
          <w:b w:val="0"/>
          <w:snapToGrid w:val="0"/>
          <w:lang w:eastAsia="en-US"/>
        </w:rPr>
        <w:t xml:space="preserve">un ensemble d’orientations sur </w:t>
      </w:r>
      <w:r w:rsidR="008E55CE" w:rsidRPr="009C7F4B">
        <w:rPr>
          <w:b w:val="0"/>
          <w:snapToGrid w:val="0"/>
          <w:lang w:eastAsia="en-US"/>
        </w:rPr>
        <w:t xml:space="preserve">les inventaires, avec notamment les </w:t>
      </w:r>
      <w:r w:rsidR="00012D7D" w:rsidRPr="009C7F4B">
        <w:rPr>
          <w:b w:val="0"/>
          <w:snapToGrid w:val="0"/>
          <w:lang w:eastAsia="en-US"/>
        </w:rPr>
        <w:t xml:space="preserve">normes </w:t>
      </w:r>
      <w:r w:rsidR="008E55CE" w:rsidRPr="009C7F4B">
        <w:rPr>
          <w:b w:val="0"/>
          <w:snapToGrid w:val="0"/>
          <w:lang w:eastAsia="en-US"/>
        </w:rPr>
        <w:t>minim</w:t>
      </w:r>
      <w:r w:rsidR="00012D7D" w:rsidRPr="009C7F4B">
        <w:rPr>
          <w:b w:val="0"/>
          <w:snapToGrid w:val="0"/>
          <w:lang w:eastAsia="en-US"/>
        </w:rPr>
        <w:t xml:space="preserve">ales </w:t>
      </w:r>
      <w:r w:rsidR="008E55CE" w:rsidRPr="009C7F4B">
        <w:rPr>
          <w:b w:val="0"/>
          <w:snapToGrid w:val="0"/>
          <w:lang w:eastAsia="en-US"/>
        </w:rPr>
        <w:t>requis</w:t>
      </w:r>
      <w:r w:rsidR="00012D7D" w:rsidRPr="009C7F4B">
        <w:rPr>
          <w:b w:val="0"/>
          <w:snapToGrid w:val="0"/>
          <w:lang w:eastAsia="en-US"/>
        </w:rPr>
        <w:t>es</w:t>
      </w:r>
      <w:r w:rsidR="008E55CE" w:rsidRPr="009C7F4B">
        <w:rPr>
          <w:b w:val="0"/>
          <w:snapToGrid w:val="0"/>
          <w:lang w:eastAsia="en-US"/>
        </w:rPr>
        <w:t xml:space="preserve"> pour les candidatures aux Listes de la Convention et en tenant compte des décisions antérieures du Comité </w:t>
      </w:r>
      <w:r w:rsidR="00012D7D" w:rsidRPr="009C7F4B">
        <w:rPr>
          <w:b w:val="0"/>
          <w:snapToGrid w:val="0"/>
          <w:lang w:eastAsia="en-US"/>
        </w:rPr>
        <w:t>ainsi que</w:t>
      </w:r>
      <w:r w:rsidR="008E55CE" w:rsidRPr="009C7F4B">
        <w:rPr>
          <w:b w:val="0"/>
          <w:snapToGrid w:val="0"/>
          <w:lang w:eastAsia="en-US"/>
        </w:rPr>
        <w:t xml:space="preserve"> des recommandations des organes</w:t>
      </w:r>
      <w:r w:rsidR="00730B9B" w:rsidRPr="009C7F4B">
        <w:rPr>
          <w:b w:val="0"/>
          <w:snapToGrid w:val="0"/>
          <w:lang w:eastAsia="en-US"/>
        </w:rPr>
        <w:t xml:space="preserve"> (</w:t>
      </w:r>
      <w:hyperlink r:id="rId20" w:history="1">
        <w:r w:rsidR="00012D7D"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10.COM 10</w:t>
        </w:r>
      </w:hyperlink>
      <w:r w:rsidR="00730B9B" w:rsidRPr="009C7F4B">
        <w:rPr>
          <w:b w:val="0"/>
          <w:snapToGrid w:val="0"/>
          <w:lang w:eastAsia="en-US"/>
        </w:rPr>
        <w:t xml:space="preserve">). </w:t>
      </w:r>
      <w:r w:rsidR="00C76DE6" w:rsidRPr="009C7F4B">
        <w:rPr>
          <w:b w:val="0"/>
          <w:snapToGrid w:val="0"/>
          <w:lang w:eastAsia="en-US"/>
        </w:rPr>
        <w:t>D</w:t>
      </w:r>
      <w:r w:rsidR="00012D7D" w:rsidRPr="009C7F4B">
        <w:rPr>
          <w:b w:val="0"/>
          <w:snapToGrid w:val="0"/>
          <w:lang w:eastAsia="en-US"/>
        </w:rPr>
        <w:t>’autre</w:t>
      </w:r>
      <w:r w:rsidR="00C76DE6" w:rsidRPr="009C7F4B">
        <w:rPr>
          <w:b w:val="0"/>
          <w:snapToGrid w:val="0"/>
          <w:lang w:eastAsia="en-US"/>
        </w:rPr>
        <w:t xml:space="preserve"> part</w:t>
      </w:r>
      <w:r w:rsidR="00012D7D" w:rsidRPr="009C7F4B">
        <w:rPr>
          <w:b w:val="0"/>
          <w:snapToGrid w:val="0"/>
          <w:lang w:eastAsia="en-US"/>
        </w:rPr>
        <w:t xml:space="preserve">, à la suite de l’approbation par le Comité des </w:t>
      </w:r>
      <w:r w:rsidR="006975A1" w:rsidRPr="009C7F4B">
        <w:rPr>
          <w:b w:val="0"/>
          <w:snapToGrid w:val="0"/>
          <w:lang w:eastAsia="en-US"/>
        </w:rPr>
        <w:t>douze </w:t>
      </w:r>
      <w:r w:rsidR="00012D7D" w:rsidRPr="009C7F4B">
        <w:rPr>
          <w:b w:val="0"/>
          <w:snapToGrid w:val="0"/>
          <w:lang w:eastAsia="en-US"/>
        </w:rPr>
        <w:t xml:space="preserve">principes éthiques </w:t>
      </w:r>
      <w:r w:rsidR="006975A1" w:rsidRPr="009C7F4B">
        <w:rPr>
          <w:b w:val="0"/>
          <w:snapToGrid w:val="0"/>
          <w:lang w:eastAsia="en-US"/>
        </w:rPr>
        <w:t xml:space="preserve">pour </w:t>
      </w:r>
      <w:r w:rsidR="00012D7D" w:rsidRPr="009C7F4B">
        <w:rPr>
          <w:b w:val="0"/>
          <w:snapToGrid w:val="0"/>
          <w:lang w:eastAsia="en-US"/>
        </w:rPr>
        <w:t>la sauvegarde du patrimoine culturel immatériel</w:t>
      </w:r>
      <w:r w:rsidR="00730B9B" w:rsidRPr="009C7F4B">
        <w:rPr>
          <w:b w:val="0"/>
          <w:snapToGrid w:val="0"/>
          <w:lang w:eastAsia="en-US"/>
        </w:rPr>
        <w:t xml:space="preserve">, </w:t>
      </w:r>
      <w:r w:rsidR="00012D7D" w:rsidRPr="009C7F4B">
        <w:rPr>
          <w:b w:val="0"/>
          <w:snapToGrid w:val="0"/>
          <w:lang w:eastAsia="en-US"/>
        </w:rPr>
        <w:t>il a été demandé au</w:t>
      </w:r>
      <w:r w:rsidR="00730B9B" w:rsidRPr="009C7F4B">
        <w:rPr>
          <w:b w:val="0"/>
          <w:snapToGrid w:val="0"/>
          <w:lang w:eastAsia="en-US"/>
        </w:rPr>
        <w:t xml:space="preserve"> Secr</w:t>
      </w:r>
      <w:r w:rsidR="00012D7D" w:rsidRPr="009C7F4B">
        <w:rPr>
          <w:b w:val="0"/>
          <w:snapToGrid w:val="0"/>
          <w:lang w:eastAsia="en-US"/>
        </w:rPr>
        <w:t>é</w:t>
      </w:r>
      <w:r w:rsidR="00730B9B" w:rsidRPr="009C7F4B">
        <w:rPr>
          <w:b w:val="0"/>
          <w:snapToGrid w:val="0"/>
          <w:lang w:eastAsia="en-US"/>
        </w:rPr>
        <w:t xml:space="preserve">tariat </w:t>
      </w:r>
      <w:r w:rsidR="00012D7D" w:rsidRPr="009C7F4B">
        <w:rPr>
          <w:b w:val="0"/>
          <w:snapToGrid w:val="0"/>
          <w:lang w:eastAsia="en-US"/>
        </w:rPr>
        <w:t>d</w:t>
      </w:r>
      <w:r w:rsidR="002F695C" w:rsidRPr="009C7F4B">
        <w:rPr>
          <w:b w:val="0"/>
          <w:snapToGrid w:val="0"/>
          <w:lang w:eastAsia="en-US"/>
        </w:rPr>
        <w:t>e produire</w:t>
      </w:r>
      <w:r w:rsidR="00012D7D" w:rsidRPr="009C7F4B">
        <w:rPr>
          <w:b w:val="0"/>
          <w:snapToGrid w:val="0"/>
          <w:lang w:eastAsia="en-US"/>
        </w:rPr>
        <w:t xml:space="preserve"> </w:t>
      </w:r>
      <w:r w:rsidR="002F695C" w:rsidRPr="009C7F4B">
        <w:rPr>
          <w:b w:val="0"/>
          <w:snapToGrid w:val="0"/>
          <w:lang w:eastAsia="en-US"/>
        </w:rPr>
        <w:t>« du matériel de formation qui sensibilise les gouvernements, les communautés, groupes et autres parties prenantes et intermédiaires pertinents aux préoccupations d’ordre éthique dans la sauvegarde du patrimoine culturel immatériel, en aidant les gouvernements, les communautés, groupes et autres parties prenantes et intermédiaires pertinents à élaborer des codes et des outils d’éthique spécifiques »</w:t>
      </w:r>
      <w:r w:rsidR="00730B9B" w:rsidRPr="009C7F4B">
        <w:rPr>
          <w:b w:val="0"/>
          <w:snapToGrid w:val="0"/>
          <w:lang w:eastAsia="en-US"/>
        </w:rPr>
        <w:t xml:space="preserve"> (</w:t>
      </w:r>
      <w:hyperlink r:id="rId21" w:history="1">
        <w:r w:rsidR="00012D7D"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10.COM 15.a</w:t>
        </w:r>
      </w:hyperlink>
      <w:r w:rsidR="00730B9B" w:rsidRPr="009C7F4B">
        <w:rPr>
          <w:b w:val="0"/>
          <w:snapToGrid w:val="0"/>
          <w:lang w:eastAsia="en-US"/>
        </w:rPr>
        <w:t xml:space="preserve">). </w:t>
      </w:r>
      <w:r w:rsidR="002F695C" w:rsidRPr="009C7F4B">
        <w:rPr>
          <w:b w:val="0"/>
          <w:snapToGrid w:val="0"/>
          <w:lang w:eastAsia="en-US"/>
        </w:rPr>
        <w:t>Lors de l’exercice</w:t>
      </w:r>
      <w:r w:rsidR="00730B9B" w:rsidRPr="009C7F4B">
        <w:rPr>
          <w:b w:val="0"/>
          <w:snapToGrid w:val="0"/>
          <w:lang w:eastAsia="en-US"/>
        </w:rPr>
        <w:t xml:space="preserve"> 2016-2017, </w:t>
      </w:r>
      <w:r w:rsidR="002F695C" w:rsidRPr="009C7F4B">
        <w:rPr>
          <w:b w:val="0"/>
          <w:snapToGrid w:val="0"/>
          <w:lang w:eastAsia="en-US"/>
        </w:rPr>
        <w:t>l</w:t>
      </w:r>
      <w:r w:rsidR="00730B9B" w:rsidRPr="009C7F4B">
        <w:rPr>
          <w:b w:val="0"/>
          <w:snapToGrid w:val="0"/>
          <w:lang w:eastAsia="en-US"/>
        </w:rPr>
        <w:t>e Secr</w:t>
      </w:r>
      <w:r w:rsidR="002F695C" w:rsidRPr="009C7F4B">
        <w:rPr>
          <w:b w:val="0"/>
          <w:snapToGrid w:val="0"/>
          <w:lang w:eastAsia="en-US"/>
        </w:rPr>
        <w:t>é</w:t>
      </w:r>
      <w:r w:rsidR="00730B9B" w:rsidRPr="009C7F4B">
        <w:rPr>
          <w:b w:val="0"/>
          <w:snapToGrid w:val="0"/>
          <w:lang w:eastAsia="en-US"/>
        </w:rPr>
        <w:t xml:space="preserve">tariat </w:t>
      </w:r>
      <w:r w:rsidR="002F695C" w:rsidRPr="009C7F4B">
        <w:rPr>
          <w:b w:val="0"/>
          <w:snapToGrid w:val="0"/>
          <w:lang w:eastAsia="en-US"/>
        </w:rPr>
        <w:t>entend élaborer du matériel de formation basé sur les principes susmentionnés</w:t>
      </w:r>
      <w:r w:rsidR="00C76DE6" w:rsidRPr="009C7F4B">
        <w:rPr>
          <w:b w:val="0"/>
          <w:snapToGrid w:val="0"/>
          <w:lang w:eastAsia="en-US"/>
        </w:rPr>
        <w:t>,</w:t>
      </w:r>
      <w:r w:rsidR="002F695C" w:rsidRPr="009C7F4B">
        <w:rPr>
          <w:b w:val="0"/>
          <w:snapToGrid w:val="0"/>
          <w:lang w:eastAsia="en-US"/>
        </w:rPr>
        <w:t xml:space="preserve"> comp</w:t>
      </w:r>
      <w:r w:rsidR="00C76DE6" w:rsidRPr="009C7F4B">
        <w:rPr>
          <w:b w:val="0"/>
          <w:snapToGrid w:val="0"/>
          <w:lang w:eastAsia="en-US"/>
        </w:rPr>
        <w:t>o</w:t>
      </w:r>
      <w:r w:rsidR="002F695C" w:rsidRPr="009C7F4B">
        <w:rPr>
          <w:b w:val="0"/>
          <w:snapToGrid w:val="0"/>
          <w:lang w:eastAsia="en-US"/>
        </w:rPr>
        <w:t>r</w:t>
      </w:r>
      <w:r w:rsidR="00C76DE6" w:rsidRPr="009C7F4B">
        <w:rPr>
          <w:b w:val="0"/>
          <w:snapToGrid w:val="0"/>
          <w:lang w:eastAsia="en-US"/>
        </w:rPr>
        <w:t>ta</w:t>
      </w:r>
      <w:r w:rsidR="002F695C" w:rsidRPr="009C7F4B">
        <w:rPr>
          <w:b w:val="0"/>
          <w:snapToGrid w:val="0"/>
          <w:lang w:eastAsia="en-US"/>
        </w:rPr>
        <w:t xml:space="preserve">nt </w:t>
      </w:r>
      <w:r w:rsidR="006E1D1D" w:rsidRPr="009C7F4B">
        <w:rPr>
          <w:b w:val="0"/>
          <w:snapToGrid w:val="0"/>
          <w:lang w:eastAsia="en-US"/>
        </w:rPr>
        <w:t xml:space="preserve">à la fois des </w:t>
      </w:r>
      <w:r w:rsidR="006975A1" w:rsidRPr="009C7F4B">
        <w:rPr>
          <w:b w:val="0"/>
          <w:snapToGrid w:val="0"/>
          <w:lang w:eastAsia="en-US"/>
        </w:rPr>
        <w:t xml:space="preserve">orientations </w:t>
      </w:r>
      <w:r w:rsidR="006E1D1D" w:rsidRPr="009C7F4B">
        <w:rPr>
          <w:b w:val="0"/>
          <w:snapToGrid w:val="0"/>
          <w:lang w:eastAsia="en-US"/>
        </w:rPr>
        <w:t>pratiques pour l’élaboration d’outils et de codes d’éthique spécifiques</w:t>
      </w:r>
      <w:r w:rsidR="00882A63" w:rsidRPr="009C7F4B">
        <w:rPr>
          <w:b w:val="0"/>
          <w:snapToGrid w:val="0"/>
          <w:lang w:eastAsia="en-US"/>
        </w:rPr>
        <w:t>,</w:t>
      </w:r>
      <w:r w:rsidR="006E1D1D" w:rsidRPr="009C7F4B">
        <w:rPr>
          <w:b w:val="0"/>
          <w:snapToGrid w:val="0"/>
          <w:lang w:eastAsia="en-US"/>
        </w:rPr>
        <w:t xml:space="preserve"> et des exemples de codes d’éthique existants</w:t>
      </w:r>
      <w:r w:rsidR="00730B9B" w:rsidRPr="009C7F4B">
        <w:rPr>
          <w:b w:val="0"/>
          <w:snapToGrid w:val="0"/>
          <w:lang w:eastAsia="en-US"/>
        </w:rPr>
        <w:t xml:space="preserve">. </w:t>
      </w:r>
    </w:p>
    <w:p w14:paraId="56FEEDE4" w14:textId="085D86AA" w:rsidR="00730B9B" w:rsidRPr="009C7F4B" w:rsidRDefault="006E1D1D"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L’UNESCO e</w:t>
      </w:r>
      <w:r w:rsidR="00730B9B" w:rsidRPr="009C7F4B">
        <w:rPr>
          <w:b w:val="0"/>
          <w:snapToGrid w:val="0"/>
          <w:lang w:eastAsia="en-US"/>
        </w:rPr>
        <w:t>s</w:t>
      </w:r>
      <w:r w:rsidRPr="009C7F4B">
        <w:rPr>
          <w:b w:val="0"/>
          <w:snapToGrid w:val="0"/>
          <w:lang w:eastAsia="en-US"/>
        </w:rPr>
        <w:t>t censée répondre aux menaces croissantes qui pèsent sur la culture</w:t>
      </w:r>
      <w:r w:rsidR="00730B9B" w:rsidRPr="009C7F4B">
        <w:rPr>
          <w:b w:val="0"/>
          <w:snapToGrid w:val="0"/>
          <w:lang w:eastAsia="en-US"/>
        </w:rPr>
        <w:t xml:space="preserve"> </w:t>
      </w:r>
      <w:r w:rsidR="00026F3B" w:rsidRPr="009C7F4B">
        <w:rPr>
          <w:b w:val="0"/>
          <w:snapToGrid w:val="0"/>
          <w:lang w:eastAsia="en-US"/>
        </w:rPr>
        <w:t>et la diversité</w:t>
      </w:r>
      <w:r w:rsidR="00730B9B" w:rsidRPr="009C7F4B">
        <w:rPr>
          <w:b w:val="0"/>
          <w:snapToGrid w:val="0"/>
          <w:lang w:eastAsia="en-US"/>
        </w:rPr>
        <w:t xml:space="preserve">. </w:t>
      </w:r>
      <w:r w:rsidR="00026F3B" w:rsidRPr="009C7F4B">
        <w:rPr>
          <w:b w:val="0"/>
          <w:snapToGrid w:val="0"/>
          <w:lang w:eastAsia="en-US"/>
        </w:rPr>
        <w:t xml:space="preserve">Les Directives opérationnelles reconnaissent clairement que les </w:t>
      </w:r>
      <w:r w:rsidR="00DB5EE2" w:rsidRPr="009C7F4B">
        <w:rPr>
          <w:b w:val="0"/>
          <w:snapToGrid w:val="0"/>
          <w:lang w:eastAsia="en-US"/>
        </w:rPr>
        <w:t>situations dues à « un désastre, une catastrophe naturelle, un conflit armé, une grave épidémie ou tout autre événement d’origine naturelle ou humaine » peuvent avoir « de graves conséquences pour le patrimoine culturel immatériel ainsi que pour les communautés, groupes et, le cas échéant, individus détenteurs de ce patrimoine »</w:t>
      </w:r>
      <w:r w:rsidR="00730B9B" w:rsidRPr="009C7F4B">
        <w:rPr>
          <w:b w:val="0"/>
          <w:snapToGrid w:val="0"/>
          <w:lang w:eastAsia="en-US"/>
        </w:rPr>
        <w:t xml:space="preserve"> (paragraph</w:t>
      </w:r>
      <w:r w:rsidR="00DB5EE2" w:rsidRPr="009C7F4B">
        <w:rPr>
          <w:b w:val="0"/>
          <w:snapToGrid w:val="0"/>
          <w:lang w:eastAsia="en-US"/>
        </w:rPr>
        <w:t>e</w:t>
      </w:r>
      <w:r w:rsidR="00730B9B" w:rsidRPr="009C7F4B">
        <w:rPr>
          <w:b w:val="0"/>
          <w:snapToGrid w:val="0"/>
          <w:lang w:eastAsia="en-US"/>
        </w:rPr>
        <w:t xml:space="preserve"> 50). </w:t>
      </w:r>
      <w:r w:rsidR="00C63992" w:rsidRPr="009C7F4B">
        <w:rPr>
          <w:b w:val="0"/>
          <w:snapToGrid w:val="0"/>
          <w:lang w:eastAsia="en-US"/>
        </w:rPr>
        <w:t>S’il existe des cadres d’action mondiaux pour les situations d’urgence qui reconnaissent le rôle stratégique de la culture</w:t>
      </w:r>
      <w:r w:rsidR="00730B9B" w:rsidRPr="009C7F4B">
        <w:rPr>
          <w:b w:val="0"/>
          <w:snapToGrid w:val="0"/>
          <w:lang w:eastAsia="en-US"/>
        </w:rPr>
        <w:t xml:space="preserve"> (</w:t>
      </w:r>
      <w:r w:rsidR="00C63992" w:rsidRPr="009C7F4B">
        <w:rPr>
          <w:b w:val="0"/>
          <w:snapToGrid w:val="0"/>
          <w:lang w:eastAsia="en-US"/>
        </w:rPr>
        <w:t xml:space="preserve">à savoir le Cadre d’action de </w:t>
      </w:r>
      <w:r w:rsidR="00730B9B" w:rsidRPr="009C7F4B">
        <w:rPr>
          <w:b w:val="0"/>
          <w:snapToGrid w:val="0"/>
          <w:lang w:eastAsia="en-US"/>
        </w:rPr>
        <w:t xml:space="preserve">Sendai </w:t>
      </w:r>
      <w:r w:rsidR="00C63992" w:rsidRPr="009C7F4B">
        <w:rPr>
          <w:b w:val="0"/>
          <w:snapToGrid w:val="0"/>
          <w:lang w:eastAsia="en-US"/>
        </w:rPr>
        <w:t>pour la réduction des risques de catastrophe</w:t>
      </w:r>
      <w:r w:rsidR="00730B9B" w:rsidRPr="009C7F4B">
        <w:rPr>
          <w:b w:val="0"/>
          <w:snapToGrid w:val="0"/>
          <w:lang w:eastAsia="en-US"/>
        </w:rPr>
        <w:t xml:space="preserve"> 2015-2030 o</w:t>
      </w:r>
      <w:r w:rsidR="00C63992" w:rsidRPr="009C7F4B">
        <w:rPr>
          <w:b w:val="0"/>
          <w:snapToGrid w:val="0"/>
          <w:lang w:eastAsia="en-US"/>
        </w:rPr>
        <w:t xml:space="preserve">u </w:t>
      </w:r>
      <w:r w:rsidR="00952C14" w:rsidRPr="009C7F4B">
        <w:rPr>
          <w:b w:val="0"/>
          <w:snapToGrid w:val="0"/>
          <w:lang w:eastAsia="en-US"/>
        </w:rPr>
        <w:t xml:space="preserve">la stratégie </w:t>
      </w:r>
      <w:r w:rsidR="00C63992" w:rsidRPr="009C7F4B">
        <w:rPr>
          <w:b w:val="0"/>
          <w:snapToGrid w:val="0"/>
          <w:lang w:eastAsia="en-US"/>
        </w:rPr>
        <w:t>de l’</w:t>
      </w:r>
      <w:r w:rsidR="00730B9B" w:rsidRPr="009C7F4B">
        <w:rPr>
          <w:b w:val="0"/>
          <w:snapToGrid w:val="0"/>
          <w:lang w:eastAsia="en-US"/>
        </w:rPr>
        <w:t>UNESCO</w:t>
      </w:r>
      <w:r w:rsidR="00C63992" w:rsidRPr="009C7F4B">
        <w:rPr>
          <w:b w:val="0"/>
          <w:snapToGrid w:val="0"/>
          <w:lang w:eastAsia="en-US"/>
        </w:rPr>
        <w:t xml:space="preserve"> </w:t>
      </w:r>
      <w:r w:rsidR="00952C14" w:rsidRPr="009C7F4B">
        <w:rPr>
          <w:b w:val="0"/>
          <w:snapToGrid w:val="0"/>
          <w:lang w:eastAsia="en-US"/>
        </w:rPr>
        <w:t>pour renforcer son action de</w:t>
      </w:r>
      <w:r w:rsidR="00C63992" w:rsidRPr="009C7F4B">
        <w:rPr>
          <w:b w:val="0"/>
          <w:snapToGrid w:val="0"/>
          <w:lang w:eastAsia="en-US"/>
        </w:rPr>
        <w:t xml:space="preserve"> protection de la </w:t>
      </w:r>
      <w:r w:rsidR="00730B9B" w:rsidRPr="009C7F4B">
        <w:rPr>
          <w:b w:val="0"/>
          <w:snapToGrid w:val="0"/>
          <w:lang w:eastAsia="en-US"/>
        </w:rPr>
        <w:t xml:space="preserve">culture </w:t>
      </w:r>
      <w:r w:rsidR="00C63992" w:rsidRPr="009C7F4B">
        <w:rPr>
          <w:b w:val="0"/>
          <w:snapToGrid w:val="0"/>
          <w:lang w:eastAsia="en-US"/>
        </w:rPr>
        <w:t>et promotion du pluralisme culturel en cas de conflit armé</w:t>
      </w:r>
      <w:r w:rsidR="00730B9B" w:rsidRPr="009C7F4B">
        <w:rPr>
          <w:b w:val="0"/>
          <w:snapToGrid w:val="0"/>
          <w:lang w:eastAsia="en-US"/>
        </w:rPr>
        <w:t xml:space="preserve">), </w:t>
      </w:r>
      <w:r w:rsidR="00C63992" w:rsidRPr="009C7F4B">
        <w:rPr>
          <w:b w:val="0"/>
          <w:snapToGrid w:val="0"/>
          <w:lang w:eastAsia="en-US"/>
        </w:rPr>
        <w:t xml:space="preserve">une stratégie est nécessaire pour </w:t>
      </w:r>
      <w:r w:rsidR="003D36A1" w:rsidRPr="009C7F4B">
        <w:rPr>
          <w:b w:val="0"/>
          <w:snapToGrid w:val="0"/>
          <w:lang w:eastAsia="en-US"/>
        </w:rPr>
        <w:t>aborder spécifiquement l</w:t>
      </w:r>
      <w:r w:rsidR="00882A63" w:rsidRPr="009C7F4B">
        <w:rPr>
          <w:b w:val="0"/>
          <w:snapToGrid w:val="0"/>
          <w:lang w:eastAsia="en-US"/>
        </w:rPr>
        <w:t>es questions de</w:t>
      </w:r>
      <w:r w:rsidR="003D36A1" w:rsidRPr="009C7F4B">
        <w:rPr>
          <w:b w:val="0"/>
          <w:snapToGrid w:val="0"/>
          <w:lang w:eastAsia="en-US"/>
        </w:rPr>
        <w:t xml:space="preserve"> sauvegarde du patrimoine culturel immatériel dans le cadre de cette action glo</w:t>
      </w:r>
      <w:r w:rsidR="00882A63" w:rsidRPr="009C7F4B">
        <w:rPr>
          <w:b w:val="0"/>
          <w:snapToGrid w:val="0"/>
          <w:lang w:eastAsia="en-US"/>
        </w:rPr>
        <w:t>b</w:t>
      </w:r>
      <w:r w:rsidR="003D36A1" w:rsidRPr="009C7F4B">
        <w:rPr>
          <w:b w:val="0"/>
          <w:snapToGrid w:val="0"/>
          <w:lang w:eastAsia="en-US"/>
        </w:rPr>
        <w:t>ale</w:t>
      </w:r>
      <w:r w:rsidR="00730B9B" w:rsidRPr="009C7F4B">
        <w:rPr>
          <w:b w:val="0"/>
          <w:snapToGrid w:val="0"/>
          <w:lang w:eastAsia="en-US"/>
        </w:rPr>
        <w:t xml:space="preserve">. </w:t>
      </w:r>
      <w:r w:rsidR="003D36A1" w:rsidRPr="009C7F4B">
        <w:rPr>
          <w:b w:val="0"/>
          <w:snapToGrid w:val="0"/>
          <w:lang w:eastAsia="en-US"/>
        </w:rPr>
        <w:t xml:space="preserve">Cette stratégie doit permettre à la </w:t>
      </w:r>
      <w:r w:rsidR="00F43CDE" w:rsidRPr="009C7F4B">
        <w:rPr>
          <w:b w:val="0"/>
          <w:snapToGrid w:val="0"/>
          <w:lang w:eastAsia="en-US"/>
        </w:rPr>
        <w:t xml:space="preserve">Section </w:t>
      </w:r>
      <w:r w:rsidR="003D36A1" w:rsidRPr="009C7F4B">
        <w:rPr>
          <w:b w:val="0"/>
          <w:snapToGrid w:val="0"/>
          <w:lang w:eastAsia="en-US"/>
        </w:rPr>
        <w:t xml:space="preserve">du </w:t>
      </w:r>
      <w:r w:rsidR="00F43CDE" w:rsidRPr="009C7F4B">
        <w:rPr>
          <w:b w:val="0"/>
          <w:snapToGrid w:val="0"/>
          <w:lang w:eastAsia="en-US"/>
        </w:rPr>
        <w:t xml:space="preserve">patrimoine </w:t>
      </w:r>
      <w:r w:rsidR="003D36A1" w:rsidRPr="009C7F4B">
        <w:rPr>
          <w:b w:val="0"/>
          <w:snapToGrid w:val="0"/>
          <w:lang w:eastAsia="en-US"/>
        </w:rPr>
        <w:t xml:space="preserve">culturel immatériel de contribuer efficacement aux efforts du </w:t>
      </w:r>
      <w:r w:rsidR="00F43CDE" w:rsidRPr="009C7F4B">
        <w:rPr>
          <w:b w:val="0"/>
          <w:snapToGrid w:val="0"/>
          <w:lang w:eastAsia="en-US"/>
        </w:rPr>
        <w:t xml:space="preserve">Secteur </w:t>
      </w:r>
      <w:r w:rsidR="003D36A1" w:rsidRPr="009C7F4B">
        <w:rPr>
          <w:b w:val="0"/>
          <w:snapToGrid w:val="0"/>
          <w:lang w:eastAsia="en-US"/>
        </w:rPr>
        <w:t xml:space="preserve">de la </w:t>
      </w:r>
      <w:r w:rsidR="00F43CDE" w:rsidRPr="009C7F4B">
        <w:rPr>
          <w:b w:val="0"/>
          <w:snapToGrid w:val="0"/>
          <w:lang w:eastAsia="en-US"/>
        </w:rPr>
        <w:t xml:space="preserve">culture </w:t>
      </w:r>
      <w:r w:rsidR="003D36A1" w:rsidRPr="009C7F4B">
        <w:rPr>
          <w:b w:val="0"/>
          <w:snapToGrid w:val="0"/>
          <w:lang w:eastAsia="en-US"/>
        </w:rPr>
        <w:t xml:space="preserve">pour élaborer des </w:t>
      </w:r>
      <w:r w:rsidR="00730B9B" w:rsidRPr="009C7F4B">
        <w:rPr>
          <w:b w:val="0"/>
          <w:snapToGrid w:val="0"/>
          <w:lang w:eastAsia="en-US"/>
        </w:rPr>
        <w:t xml:space="preserve">programmes </w:t>
      </w:r>
      <w:r w:rsidR="00882A63" w:rsidRPr="009C7F4B">
        <w:rPr>
          <w:b w:val="0"/>
          <w:snapToGrid w:val="0"/>
          <w:lang w:eastAsia="en-US"/>
        </w:rPr>
        <w:t xml:space="preserve">fondés sur </w:t>
      </w:r>
      <w:r w:rsidR="003D36A1" w:rsidRPr="009C7F4B">
        <w:rPr>
          <w:b w:val="0"/>
          <w:snapToGrid w:val="0"/>
          <w:lang w:eastAsia="en-US"/>
        </w:rPr>
        <w:t>une approche plus transversale</w:t>
      </w:r>
      <w:r w:rsidR="00730B9B" w:rsidRPr="009C7F4B">
        <w:rPr>
          <w:b w:val="0"/>
          <w:snapToGrid w:val="0"/>
          <w:lang w:eastAsia="en-US"/>
        </w:rPr>
        <w:t xml:space="preserve"> </w:t>
      </w:r>
      <w:r w:rsidR="00701EC9" w:rsidRPr="009C7F4B">
        <w:rPr>
          <w:b w:val="0"/>
          <w:snapToGrid w:val="0"/>
          <w:lang w:eastAsia="en-US"/>
        </w:rPr>
        <w:t>pour</w:t>
      </w:r>
      <w:r w:rsidR="003D36A1" w:rsidRPr="009C7F4B">
        <w:rPr>
          <w:b w:val="0"/>
          <w:snapToGrid w:val="0"/>
          <w:lang w:eastAsia="en-US"/>
        </w:rPr>
        <w:t xml:space="preserve"> tou</w:t>
      </w:r>
      <w:r w:rsidR="00701EC9" w:rsidRPr="009C7F4B">
        <w:rPr>
          <w:b w:val="0"/>
          <w:snapToGrid w:val="0"/>
          <w:lang w:eastAsia="en-US"/>
        </w:rPr>
        <w:t>te</w:t>
      </w:r>
      <w:r w:rsidR="003D36A1" w:rsidRPr="009C7F4B">
        <w:rPr>
          <w:b w:val="0"/>
          <w:snapToGrid w:val="0"/>
          <w:lang w:eastAsia="en-US"/>
        </w:rPr>
        <w:t xml:space="preserve">s les </w:t>
      </w:r>
      <w:r w:rsidR="00730B9B" w:rsidRPr="009C7F4B">
        <w:rPr>
          <w:b w:val="0"/>
          <w:snapToGrid w:val="0"/>
          <w:lang w:eastAsia="en-US"/>
        </w:rPr>
        <w:t xml:space="preserve">Conventions. </w:t>
      </w:r>
    </w:p>
    <w:p w14:paraId="0CF92E9B" w14:textId="77777777" w:rsidR="00730B9B" w:rsidRPr="009C7F4B" w:rsidRDefault="001E3E79" w:rsidP="00BF6D09">
      <w:pPr>
        <w:pStyle w:val="Heading4"/>
        <w:numPr>
          <w:ilvl w:val="0"/>
          <w:numId w:val="0"/>
        </w:numPr>
        <w:ind w:left="1134"/>
        <w:jc w:val="both"/>
        <w:rPr>
          <w:snapToGrid w:val="0"/>
          <w:lang w:eastAsia="en-US"/>
        </w:rPr>
      </w:pPr>
      <w:r w:rsidRPr="009C7F4B">
        <w:rPr>
          <w:snapToGrid w:val="0"/>
          <w:lang w:eastAsia="en-US"/>
        </w:rPr>
        <w:t>Résultat escompté</w:t>
      </w:r>
      <w:r w:rsidR="00730B9B" w:rsidRPr="009C7F4B">
        <w:rPr>
          <w:snapToGrid w:val="0"/>
          <w:lang w:eastAsia="en-US"/>
        </w:rPr>
        <w:t> 3</w:t>
      </w:r>
      <w:r w:rsidRPr="009C7F4B">
        <w:rPr>
          <w:snapToGrid w:val="0"/>
          <w:lang w:eastAsia="en-US"/>
        </w:rPr>
        <w:t> </w:t>
      </w:r>
      <w:r w:rsidR="00730B9B" w:rsidRPr="009C7F4B">
        <w:rPr>
          <w:snapToGrid w:val="0"/>
          <w:lang w:eastAsia="en-US"/>
        </w:rPr>
        <w:t xml:space="preserve">: </w:t>
      </w:r>
      <w:r w:rsidRPr="009C7F4B">
        <w:rPr>
          <w:snapToGrid w:val="0"/>
          <w:lang w:eastAsia="en-US"/>
        </w:rPr>
        <w:t xml:space="preserve">Cadre global </w:t>
      </w:r>
      <w:r w:rsidR="00701EC9" w:rsidRPr="009C7F4B">
        <w:rPr>
          <w:snapToGrid w:val="0"/>
          <w:lang w:eastAsia="en-US"/>
        </w:rPr>
        <w:t xml:space="preserve">de résultats </w:t>
      </w:r>
      <w:r w:rsidRPr="009C7F4B">
        <w:rPr>
          <w:snapToGrid w:val="0"/>
          <w:lang w:eastAsia="en-US"/>
        </w:rPr>
        <w:t xml:space="preserve">développé pour suivre la mise en œuvre de la </w:t>
      </w:r>
      <w:r w:rsidR="00730B9B" w:rsidRPr="009C7F4B">
        <w:rPr>
          <w:snapToGrid w:val="0"/>
          <w:lang w:eastAsia="en-US"/>
        </w:rPr>
        <w:t>Convention</w:t>
      </w:r>
    </w:p>
    <w:p w14:paraId="4E7D9D91" w14:textId="390169DA" w:rsidR="00730B9B" w:rsidRPr="009C7F4B" w:rsidRDefault="003D36A1" w:rsidP="00BF6D09">
      <w:pPr>
        <w:pStyle w:val="Heading4"/>
        <w:keepNext w:val="0"/>
        <w:numPr>
          <w:ilvl w:val="0"/>
          <w:numId w:val="16"/>
        </w:numPr>
        <w:spacing w:before="0" w:after="120"/>
        <w:ind w:left="567" w:hanging="567"/>
        <w:jc w:val="both"/>
        <w:rPr>
          <w:rFonts w:ascii="Cambria" w:hAnsi="Cambria"/>
          <w:b w:val="0"/>
          <w:bCs/>
          <w:iCs/>
          <w:sz w:val="28"/>
          <w:szCs w:val="28"/>
        </w:rPr>
      </w:pPr>
      <w:r w:rsidRPr="009C7F4B">
        <w:rPr>
          <w:b w:val="0"/>
          <w:snapToGrid w:val="0"/>
          <w:lang w:eastAsia="en-US"/>
        </w:rPr>
        <w:t xml:space="preserve">Il est demandé aux </w:t>
      </w:r>
      <w:r w:rsidR="004312CB" w:rsidRPr="009C7F4B">
        <w:rPr>
          <w:b w:val="0"/>
          <w:snapToGrid w:val="0"/>
          <w:lang w:eastAsia="en-US"/>
        </w:rPr>
        <w:t>États</w:t>
      </w:r>
      <w:r w:rsidRPr="009C7F4B">
        <w:rPr>
          <w:b w:val="0"/>
          <w:snapToGrid w:val="0"/>
          <w:lang w:eastAsia="en-US"/>
        </w:rPr>
        <w:t xml:space="preserve"> parties de rendre compte périodiquement au Comité intergouvernemental de la Convention des mesures législatives, réglementaires et autres prises pour la mise en œuvre de la Convention de </w:t>
      </w:r>
      <w:r w:rsidR="00730B9B" w:rsidRPr="009C7F4B">
        <w:rPr>
          <w:b w:val="0"/>
          <w:snapToGrid w:val="0"/>
          <w:lang w:eastAsia="en-US"/>
        </w:rPr>
        <w:t xml:space="preserve">2003 </w:t>
      </w:r>
      <w:r w:rsidRPr="009C7F4B">
        <w:rPr>
          <w:b w:val="0"/>
          <w:snapToGrid w:val="0"/>
          <w:lang w:eastAsia="en-US"/>
        </w:rPr>
        <w:t>au niveau national, bilatéral, régional et international</w:t>
      </w:r>
      <w:r w:rsidR="00730B9B" w:rsidRPr="009C7F4B">
        <w:rPr>
          <w:b w:val="0"/>
          <w:snapToGrid w:val="0"/>
          <w:lang w:eastAsia="en-US"/>
        </w:rPr>
        <w:t xml:space="preserve">. </w:t>
      </w:r>
      <w:r w:rsidR="00503045" w:rsidRPr="009C7F4B">
        <w:rPr>
          <w:b w:val="0"/>
          <w:snapToGrid w:val="0"/>
          <w:lang w:eastAsia="en-US"/>
        </w:rPr>
        <w:t xml:space="preserve">Cependant, pour </w:t>
      </w:r>
      <w:r w:rsidR="00952C14" w:rsidRPr="009C7F4B">
        <w:rPr>
          <w:b w:val="0"/>
          <w:snapToGrid w:val="0"/>
          <w:lang w:eastAsia="en-US"/>
        </w:rPr>
        <w:t xml:space="preserve">suivre </w:t>
      </w:r>
      <w:r w:rsidR="00503045" w:rsidRPr="009C7F4B">
        <w:rPr>
          <w:b w:val="0"/>
          <w:snapToGrid w:val="0"/>
          <w:lang w:eastAsia="en-US"/>
        </w:rPr>
        <w:t xml:space="preserve">la mise en </w:t>
      </w:r>
      <w:r w:rsidR="00701EC9" w:rsidRPr="009C7F4B">
        <w:rPr>
          <w:b w:val="0"/>
          <w:snapToGrid w:val="0"/>
          <w:lang w:eastAsia="en-US"/>
        </w:rPr>
        <w:t xml:space="preserve">œuvre </w:t>
      </w:r>
      <w:r w:rsidR="00503045" w:rsidRPr="009C7F4B">
        <w:rPr>
          <w:b w:val="0"/>
          <w:snapToGrid w:val="0"/>
          <w:lang w:eastAsia="en-US"/>
        </w:rPr>
        <w:t>de la Convention au niveau mondial</w:t>
      </w:r>
      <w:r w:rsidR="00701EC9" w:rsidRPr="009C7F4B">
        <w:rPr>
          <w:b w:val="0"/>
          <w:snapToGrid w:val="0"/>
          <w:lang w:eastAsia="en-US"/>
        </w:rPr>
        <w:t>,</w:t>
      </w:r>
      <w:r w:rsidR="00503045" w:rsidRPr="009C7F4B">
        <w:rPr>
          <w:b w:val="0"/>
          <w:snapToGrid w:val="0"/>
          <w:lang w:eastAsia="en-US"/>
        </w:rPr>
        <w:t xml:space="preserve"> les rapports périodiques ne fournissent pas, à eux seuls, toutes les informations requises</w:t>
      </w:r>
      <w:r w:rsidR="00730B9B" w:rsidRPr="009C7F4B">
        <w:rPr>
          <w:b w:val="0"/>
          <w:snapToGrid w:val="0"/>
          <w:lang w:eastAsia="en-US"/>
        </w:rPr>
        <w:t xml:space="preserve">. </w:t>
      </w:r>
      <w:r w:rsidR="00503045" w:rsidRPr="009C7F4B">
        <w:rPr>
          <w:b w:val="0"/>
          <w:snapToGrid w:val="0"/>
          <w:lang w:eastAsia="en-US"/>
        </w:rPr>
        <w:t>L’un</w:t>
      </w:r>
      <w:r w:rsidR="009B58EE" w:rsidRPr="009C7F4B">
        <w:rPr>
          <w:b w:val="0"/>
          <w:snapToGrid w:val="0"/>
          <w:lang w:eastAsia="en-US"/>
        </w:rPr>
        <w:t xml:space="preserve">e des raisons en </w:t>
      </w:r>
      <w:r w:rsidR="00503045" w:rsidRPr="009C7F4B">
        <w:rPr>
          <w:b w:val="0"/>
          <w:snapToGrid w:val="0"/>
          <w:lang w:eastAsia="en-US"/>
        </w:rPr>
        <w:t>est qu</w:t>
      </w:r>
      <w:r w:rsidR="009B58EE" w:rsidRPr="009C7F4B">
        <w:rPr>
          <w:b w:val="0"/>
          <w:snapToGrid w:val="0"/>
          <w:lang w:eastAsia="en-US"/>
        </w:rPr>
        <w:t>’il n’est possible d</w:t>
      </w:r>
      <w:r w:rsidR="00503045" w:rsidRPr="009C7F4B">
        <w:rPr>
          <w:b w:val="0"/>
          <w:snapToGrid w:val="0"/>
          <w:lang w:eastAsia="en-US"/>
        </w:rPr>
        <w:t xml:space="preserve">e </w:t>
      </w:r>
      <w:r w:rsidR="00F36BA6" w:rsidRPr="009C7F4B">
        <w:rPr>
          <w:b w:val="0"/>
          <w:snapToGrid w:val="0"/>
          <w:lang w:eastAsia="en-US"/>
        </w:rPr>
        <w:t xml:space="preserve">recueillir et </w:t>
      </w:r>
      <w:r w:rsidR="009B58EE" w:rsidRPr="009C7F4B">
        <w:rPr>
          <w:b w:val="0"/>
          <w:snapToGrid w:val="0"/>
          <w:lang w:eastAsia="en-US"/>
        </w:rPr>
        <w:t xml:space="preserve">de </w:t>
      </w:r>
      <w:r w:rsidR="00F36BA6" w:rsidRPr="009C7F4B">
        <w:rPr>
          <w:b w:val="0"/>
          <w:snapToGrid w:val="0"/>
          <w:lang w:eastAsia="en-US"/>
        </w:rPr>
        <w:t>rendre compte de résultats (produits et effets) que si l’on sait clairement quels résultats il faut obtenir</w:t>
      </w:r>
      <w:r w:rsidR="00730B9B" w:rsidRPr="009C7F4B">
        <w:rPr>
          <w:b w:val="0"/>
          <w:snapToGrid w:val="0"/>
          <w:lang w:eastAsia="en-US"/>
        </w:rPr>
        <w:t xml:space="preserve">. </w:t>
      </w:r>
      <w:r w:rsidR="00F36BA6" w:rsidRPr="009C7F4B">
        <w:rPr>
          <w:b w:val="0"/>
          <w:snapToGrid w:val="0"/>
          <w:lang w:eastAsia="en-US"/>
        </w:rPr>
        <w:t>Ce n’est malheureusement pas le cas pour le moment</w:t>
      </w:r>
      <w:r w:rsidR="00730B9B" w:rsidRPr="009C7F4B">
        <w:rPr>
          <w:b w:val="0"/>
          <w:snapToGrid w:val="0"/>
          <w:lang w:eastAsia="en-US"/>
        </w:rPr>
        <w:t xml:space="preserve">. </w:t>
      </w:r>
      <w:r w:rsidR="00F36BA6" w:rsidRPr="009C7F4B">
        <w:rPr>
          <w:b w:val="0"/>
          <w:snapToGrid w:val="0"/>
          <w:lang w:eastAsia="en-US"/>
        </w:rPr>
        <w:t xml:space="preserve">Si certains </w:t>
      </w:r>
      <w:r w:rsidR="004312CB" w:rsidRPr="009C7F4B">
        <w:rPr>
          <w:b w:val="0"/>
          <w:snapToGrid w:val="0"/>
          <w:lang w:eastAsia="en-US"/>
        </w:rPr>
        <w:t>États</w:t>
      </w:r>
      <w:r w:rsidR="00F36BA6" w:rsidRPr="009C7F4B">
        <w:rPr>
          <w:b w:val="0"/>
          <w:snapToGrid w:val="0"/>
          <w:lang w:eastAsia="en-US"/>
        </w:rPr>
        <w:t xml:space="preserve"> parties ont des cadres de </w:t>
      </w:r>
      <w:r w:rsidR="00952C14" w:rsidRPr="009C7F4B">
        <w:rPr>
          <w:b w:val="0"/>
          <w:snapToGrid w:val="0"/>
          <w:lang w:eastAsia="en-US"/>
        </w:rPr>
        <w:t xml:space="preserve">suivi </w:t>
      </w:r>
      <w:r w:rsidR="00F36BA6" w:rsidRPr="009C7F4B">
        <w:rPr>
          <w:b w:val="0"/>
          <w:snapToGrid w:val="0"/>
          <w:lang w:eastAsia="en-US"/>
        </w:rPr>
        <w:t>et d’évaluation nationaux, provinciaux ou locaux</w:t>
      </w:r>
      <w:r w:rsidR="00730B9B" w:rsidRPr="009C7F4B">
        <w:rPr>
          <w:b w:val="0"/>
          <w:snapToGrid w:val="0"/>
          <w:lang w:eastAsia="en-US"/>
        </w:rPr>
        <w:t xml:space="preserve"> </w:t>
      </w:r>
      <w:r w:rsidR="00F36BA6" w:rsidRPr="009C7F4B">
        <w:rPr>
          <w:b w:val="0"/>
          <w:snapToGrid w:val="0"/>
          <w:lang w:eastAsia="en-US"/>
        </w:rPr>
        <w:t>pour leur travail de sauvegarde</w:t>
      </w:r>
      <w:r w:rsidR="00730B9B" w:rsidRPr="009C7F4B">
        <w:rPr>
          <w:b w:val="0"/>
          <w:snapToGrid w:val="0"/>
          <w:lang w:eastAsia="en-US"/>
        </w:rPr>
        <w:t xml:space="preserve">, </w:t>
      </w:r>
      <w:r w:rsidR="00F36BA6" w:rsidRPr="009C7F4B">
        <w:rPr>
          <w:b w:val="0"/>
          <w:snapToGrid w:val="0"/>
          <w:lang w:eastAsia="en-US"/>
        </w:rPr>
        <w:t xml:space="preserve">il n’existe aucun cadre global de résultats au niveau de la Convention de </w:t>
      </w:r>
      <w:r w:rsidR="00730B9B" w:rsidRPr="009C7F4B">
        <w:rPr>
          <w:b w:val="0"/>
          <w:snapToGrid w:val="0"/>
          <w:lang w:eastAsia="en-US"/>
        </w:rPr>
        <w:t xml:space="preserve">2003. </w:t>
      </w:r>
      <w:r w:rsidR="008B16CB" w:rsidRPr="009C7F4B">
        <w:rPr>
          <w:b w:val="0"/>
          <w:snapToGrid w:val="0"/>
          <w:lang w:eastAsia="en-US"/>
        </w:rPr>
        <w:t xml:space="preserve">En l’absence d’objectifs, d’indicateurs et de références, il est difficile de tirer des </w:t>
      </w:r>
      <w:r w:rsidR="00730B9B" w:rsidRPr="009C7F4B">
        <w:rPr>
          <w:b w:val="0"/>
          <w:snapToGrid w:val="0"/>
          <w:lang w:eastAsia="en-US"/>
        </w:rPr>
        <w:t xml:space="preserve">conclusions </w:t>
      </w:r>
      <w:r w:rsidR="008B16CB" w:rsidRPr="009C7F4B">
        <w:rPr>
          <w:b w:val="0"/>
          <w:snapToGrid w:val="0"/>
          <w:lang w:eastAsia="en-US"/>
        </w:rPr>
        <w:t xml:space="preserve">sur les progrès réalisés </w:t>
      </w:r>
      <w:r w:rsidR="009B58EE" w:rsidRPr="009C7F4B">
        <w:rPr>
          <w:b w:val="0"/>
          <w:snapToGrid w:val="0"/>
          <w:lang w:eastAsia="en-US"/>
        </w:rPr>
        <w:t>dans la</w:t>
      </w:r>
      <w:r w:rsidR="008B16CB" w:rsidRPr="009C7F4B">
        <w:rPr>
          <w:b w:val="0"/>
          <w:snapToGrid w:val="0"/>
          <w:lang w:eastAsia="en-US"/>
        </w:rPr>
        <w:t xml:space="preserve"> mise en </w:t>
      </w:r>
      <w:r w:rsidR="009B58EE" w:rsidRPr="009C7F4B">
        <w:rPr>
          <w:b w:val="0"/>
          <w:snapToGrid w:val="0"/>
          <w:lang w:eastAsia="en-US"/>
        </w:rPr>
        <w:t xml:space="preserve">œuvre </w:t>
      </w:r>
      <w:r w:rsidR="008B16CB" w:rsidRPr="009C7F4B">
        <w:rPr>
          <w:b w:val="0"/>
          <w:snapToGrid w:val="0"/>
          <w:lang w:eastAsia="en-US"/>
        </w:rPr>
        <w:t xml:space="preserve">de la </w:t>
      </w:r>
      <w:r w:rsidR="00730B9B" w:rsidRPr="009C7F4B">
        <w:rPr>
          <w:b w:val="0"/>
          <w:snapToGrid w:val="0"/>
          <w:lang w:eastAsia="en-US"/>
        </w:rPr>
        <w:t>Convention.</w:t>
      </w:r>
    </w:p>
    <w:p w14:paraId="4412926D" w14:textId="0646949C" w:rsidR="00730B9B" w:rsidRPr="009C7F4B" w:rsidRDefault="008B16CB"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lastRenderedPageBreak/>
        <w:t xml:space="preserve">Quand le Comité intergouvernemental s’est penché sur la question en </w:t>
      </w:r>
      <w:r w:rsidR="00730B9B" w:rsidRPr="009C7F4B">
        <w:rPr>
          <w:b w:val="0"/>
          <w:snapToGrid w:val="0"/>
          <w:lang w:eastAsia="en-US"/>
        </w:rPr>
        <w:t xml:space="preserve">2013, </w:t>
      </w:r>
      <w:r w:rsidRPr="009C7F4B">
        <w:rPr>
          <w:b w:val="0"/>
          <w:snapToGrid w:val="0"/>
          <w:lang w:eastAsia="en-US"/>
        </w:rPr>
        <w:t xml:space="preserve">les </w:t>
      </w:r>
      <w:r w:rsidR="004312CB" w:rsidRPr="009C7F4B">
        <w:rPr>
          <w:b w:val="0"/>
          <w:snapToGrid w:val="0"/>
          <w:lang w:eastAsia="en-US"/>
        </w:rPr>
        <w:t>États</w:t>
      </w:r>
      <w:r w:rsidRPr="009C7F4B">
        <w:rPr>
          <w:b w:val="0"/>
          <w:snapToGrid w:val="0"/>
          <w:lang w:eastAsia="en-US"/>
        </w:rPr>
        <w:t xml:space="preserve"> membres étaient tous d’accord qu’un </w:t>
      </w:r>
      <w:r w:rsidR="009B58EE" w:rsidRPr="009C7F4B">
        <w:rPr>
          <w:b w:val="0"/>
          <w:snapToGrid w:val="0"/>
          <w:lang w:eastAsia="en-US"/>
        </w:rPr>
        <w:t>cadre global de résultats était absolument</w:t>
      </w:r>
      <w:r w:rsidRPr="009C7F4B">
        <w:rPr>
          <w:b w:val="0"/>
          <w:snapToGrid w:val="0"/>
          <w:lang w:eastAsia="en-US"/>
        </w:rPr>
        <w:t xml:space="preserve"> nécessaire </w:t>
      </w:r>
      <w:r w:rsidR="007666F7" w:rsidRPr="009C7F4B">
        <w:rPr>
          <w:b w:val="0"/>
          <w:snapToGrid w:val="0"/>
          <w:lang w:eastAsia="en-US"/>
        </w:rPr>
        <w:t xml:space="preserve">pour pouvoir évaluer en permanence dans quelle mesure la Convention </w:t>
      </w:r>
      <w:r w:rsidR="009B58EE" w:rsidRPr="009C7F4B">
        <w:rPr>
          <w:b w:val="0"/>
          <w:snapToGrid w:val="0"/>
          <w:lang w:eastAsia="en-US"/>
        </w:rPr>
        <w:t>remplit</w:t>
      </w:r>
      <w:r w:rsidR="007666F7" w:rsidRPr="009C7F4B">
        <w:rPr>
          <w:b w:val="0"/>
          <w:snapToGrid w:val="0"/>
          <w:lang w:eastAsia="en-US"/>
        </w:rPr>
        <w:t xml:space="preserve"> sa mission</w:t>
      </w:r>
      <w:r w:rsidR="00730B9B" w:rsidRPr="009C7F4B">
        <w:rPr>
          <w:b w:val="0"/>
          <w:snapToGrid w:val="0"/>
          <w:lang w:eastAsia="en-US"/>
        </w:rPr>
        <w:t>.</w:t>
      </w:r>
      <w:r w:rsidR="007666F7" w:rsidRPr="009C7F4B">
        <w:rPr>
          <w:b w:val="0"/>
          <w:snapToGrid w:val="0"/>
          <w:lang w:eastAsia="en-US"/>
        </w:rPr>
        <w:t xml:space="preserve"> En dépit d</w:t>
      </w:r>
      <w:r w:rsidR="00505D1E" w:rsidRPr="009C7F4B">
        <w:rPr>
          <w:b w:val="0"/>
          <w:snapToGrid w:val="0"/>
          <w:lang w:eastAsia="en-US"/>
        </w:rPr>
        <w:t>e la</w:t>
      </w:r>
      <w:r w:rsidR="00BE6CF8" w:rsidRPr="009C7F4B">
        <w:rPr>
          <w:b w:val="0"/>
          <w:snapToGrid w:val="0"/>
          <w:lang w:eastAsia="en-US"/>
        </w:rPr>
        <w:t xml:space="preserve"> satisfaction </w:t>
      </w:r>
      <w:r w:rsidR="00505D1E" w:rsidRPr="009C7F4B">
        <w:rPr>
          <w:b w:val="0"/>
          <w:snapToGrid w:val="0"/>
          <w:lang w:eastAsia="en-US"/>
        </w:rPr>
        <w:t xml:space="preserve">largement partagée </w:t>
      </w:r>
      <w:r w:rsidR="00BE6CF8" w:rsidRPr="009C7F4B">
        <w:rPr>
          <w:b w:val="0"/>
          <w:snapToGrid w:val="0"/>
          <w:lang w:eastAsia="en-US"/>
        </w:rPr>
        <w:t>à l’égard</w:t>
      </w:r>
      <w:r w:rsidR="00E13AF7" w:rsidRPr="009C7F4B">
        <w:rPr>
          <w:b w:val="0"/>
          <w:snapToGrid w:val="0"/>
          <w:lang w:eastAsia="en-US"/>
        </w:rPr>
        <w:t xml:space="preserve"> </w:t>
      </w:r>
      <w:r w:rsidR="007666F7" w:rsidRPr="009C7F4B">
        <w:rPr>
          <w:b w:val="0"/>
          <w:snapToGrid w:val="0"/>
          <w:lang w:eastAsia="en-US"/>
        </w:rPr>
        <w:t xml:space="preserve">des résultats obtenus par la </w:t>
      </w:r>
      <w:r w:rsidR="00730B9B" w:rsidRPr="009C7F4B">
        <w:rPr>
          <w:b w:val="0"/>
          <w:snapToGrid w:val="0"/>
          <w:lang w:eastAsia="en-US"/>
        </w:rPr>
        <w:t xml:space="preserve">Convention, </w:t>
      </w:r>
      <w:r w:rsidR="007666F7" w:rsidRPr="009C7F4B">
        <w:rPr>
          <w:b w:val="0"/>
          <w:snapToGrid w:val="0"/>
          <w:lang w:eastAsia="en-US"/>
        </w:rPr>
        <w:t>les membres ont reconnu qu’il était difficile de démontrer son impact de façon aussi convaincante qu’avec un cadre de résultats escomptés par rapport auxquels les progrès pourraient être systématiquement évalués</w:t>
      </w:r>
      <w:r w:rsidR="00730B9B" w:rsidRPr="009C7F4B">
        <w:rPr>
          <w:b w:val="0"/>
          <w:snapToGrid w:val="0"/>
          <w:lang w:eastAsia="en-US"/>
        </w:rPr>
        <w:t xml:space="preserve">. </w:t>
      </w:r>
      <w:r w:rsidR="004A6B0D" w:rsidRPr="009C7F4B">
        <w:rPr>
          <w:b w:val="0"/>
          <w:snapToGrid w:val="0"/>
          <w:lang w:eastAsia="en-US"/>
        </w:rPr>
        <w:t xml:space="preserve">Les membres du Comité ont également souligné que le processus d’élaboration d’un cadre global de résultats devait être conduit par les </w:t>
      </w:r>
      <w:r w:rsidR="004312CB" w:rsidRPr="009C7F4B">
        <w:rPr>
          <w:b w:val="0"/>
          <w:snapToGrid w:val="0"/>
          <w:lang w:eastAsia="en-US"/>
        </w:rPr>
        <w:t>États</w:t>
      </w:r>
      <w:r w:rsidR="004A6B0D" w:rsidRPr="009C7F4B">
        <w:rPr>
          <w:b w:val="0"/>
          <w:snapToGrid w:val="0"/>
          <w:lang w:eastAsia="en-US"/>
        </w:rPr>
        <w:t xml:space="preserve"> parties et </w:t>
      </w:r>
      <w:r w:rsidR="00505D1E" w:rsidRPr="009C7F4B">
        <w:rPr>
          <w:b w:val="0"/>
          <w:snapToGrid w:val="0"/>
          <w:lang w:eastAsia="en-US"/>
        </w:rPr>
        <w:t>avec leur pleine participation</w:t>
      </w:r>
      <w:r w:rsidR="00730B9B" w:rsidRPr="009C7F4B">
        <w:rPr>
          <w:b w:val="0"/>
          <w:snapToGrid w:val="0"/>
          <w:lang w:eastAsia="en-US"/>
        </w:rPr>
        <w:t>.</w:t>
      </w:r>
    </w:p>
    <w:p w14:paraId="178835C5" w14:textId="0C8EFBCA" w:rsidR="00730B9B" w:rsidRPr="009C7F4B" w:rsidRDefault="004A6B0D"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Lors de l’exercice en cours, deux jalons du processus devant déboucher sur l’élaboration d’un cadre global de résultats de la </w:t>
      </w:r>
      <w:r w:rsidR="00730B9B" w:rsidRPr="009C7F4B">
        <w:rPr>
          <w:b w:val="0"/>
          <w:snapToGrid w:val="0"/>
          <w:lang w:eastAsia="en-US"/>
        </w:rPr>
        <w:t xml:space="preserve">Convention </w:t>
      </w:r>
      <w:r w:rsidRPr="009C7F4B">
        <w:rPr>
          <w:b w:val="0"/>
          <w:snapToGrid w:val="0"/>
          <w:lang w:eastAsia="en-US"/>
        </w:rPr>
        <w:t xml:space="preserve">devraient être </w:t>
      </w:r>
      <w:r w:rsidR="00F674F9" w:rsidRPr="009C7F4B">
        <w:rPr>
          <w:b w:val="0"/>
          <w:snapToGrid w:val="0"/>
          <w:lang w:eastAsia="en-US"/>
        </w:rPr>
        <w:t>atteints, principalement grâce au soutien de généreux donateurs</w:t>
      </w:r>
      <w:r w:rsidR="009C3F65" w:rsidRPr="009C7F4B">
        <w:rPr>
          <w:b w:val="0"/>
          <w:snapToGrid w:val="0"/>
          <w:lang w:eastAsia="en-US"/>
        </w:rPr>
        <w:t>,</w:t>
      </w:r>
      <w:r w:rsidR="00F674F9" w:rsidRPr="009C7F4B">
        <w:rPr>
          <w:b w:val="0"/>
          <w:snapToGrid w:val="0"/>
          <w:lang w:eastAsia="en-US"/>
        </w:rPr>
        <w:t xml:space="preserve"> mais aussi de cette ligne budgétaire du Fonds du patrimoine culturel immatériel</w:t>
      </w:r>
      <w:r w:rsidR="00730B9B" w:rsidRPr="009C7F4B">
        <w:rPr>
          <w:b w:val="0"/>
          <w:snapToGrid w:val="0"/>
          <w:lang w:eastAsia="en-US"/>
        </w:rPr>
        <w:t xml:space="preserve">. </w:t>
      </w:r>
      <w:r w:rsidR="00F674F9" w:rsidRPr="009C7F4B">
        <w:rPr>
          <w:b w:val="0"/>
          <w:snapToGrid w:val="0"/>
          <w:lang w:eastAsia="en-US"/>
        </w:rPr>
        <w:t>Une première réunion d’</w:t>
      </w:r>
      <w:r w:rsidR="00730B9B" w:rsidRPr="009C7F4B">
        <w:rPr>
          <w:b w:val="0"/>
          <w:snapToGrid w:val="0"/>
          <w:lang w:eastAsia="en-US"/>
        </w:rPr>
        <w:t>expert</w:t>
      </w:r>
      <w:r w:rsidR="00F674F9" w:rsidRPr="009C7F4B">
        <w:rPr>
          <w:b w:val="0"/>
          <w:snapToGrid w:val="0"/>
          <w:lang w:eastAsia="en-US"/>
        </w:rPr>
        <w:t>s</w:t>
      </w:r>
      <w:r w:rsidR="00730B9B" w:rsidRPr="009C7F4B">
        <w:rPr>
          <w:b w:val="0"/>
          <w:snapToGrid w:val="0"/>
          <w:lang w:eastAsia="en-US"/>
        </w:rPr>
        <w:t xml:space="preserve"> </w:t>
      </w:r>
      <w:r w:rsidR="00F674F9" w:rsidRPr="009C7F4B">
        <w:rPr>
          <w:b w:val="0"/>
          <w:snapToGrid w:val="0"/>
          <w:lang w:eastAsia="en-US"/>
        </w:rPr>
        <w:t>aura lieu</w:t>
      </w:r>
      <w:r w:rsidR="00730B9B" w:rsidRPr="009C7F4B">
        <w:rPr>
          <w:b w:val="0"/>
          <w:snapToGrid w:val="0"/>
          <w:lang w:eastAsia="en-US"/>
        </w:rPr>
        <w:t xml:space="preserve"> </w:t>
      </w:r>
      <w:r w:rsidR="00F674F9" w:rsidRPr="009C7F4B">
        <w:rPr>
          <w:b w:val="0"/>
          <w:snapToGrid w:val="0"/>
          <w:lang w:eastAsia="en-US"/>
        </w:rPr>
        <w:t>en juillet</w:t>
      </w:r>
      <w:r w:rsidR="00730B9B" w:rsidRPr="009C7F4B">
        <w:rPr>
          <w:b w:val="0"/>
          <w:snapToGrid w:val="0"/>
          <w:lang w:eastAsia="en-US"/>
        </w:rPr>
        <w:t> 2016</w:t>
      </w:r>
      <w:r w:rsidR="000569AB" w:rsidRPr="009C7F4B">
        <w:rPr>
          <w:b w:val="0"/>
          <w:snapToGrid w:val="0"/>
          <w:lang w:eastAsia="en-US"/>
        </w:rPr>
        <w:t>,</w:t>
      </w:r>
      <w:r w:rsidR="00730B9B" w:rsidRPr="009C7F4B">
        <w:rPr>
          <w:b w:val="0"/>
          <w:snapToGrid w:val="0"/>
          <w:lang w:eastAsia="en-US"/>
        </w:rPr>
        <w:t xml:space="preserve"> </w:t>
      </w:r>
      <w:r w:rsidR="00F674F9" w:rsidRPr="009C7F4B">
        <w:rPr>
          <w:b w:val="0"/>
          <w:snapToGrid w:val="0"/>
          <w:lang w:eastAsia="en-US"/>
        </w:rPr>
        <w:t>avec</w:t>
      </w:r>
      <w:r w:rsidR="00730B9B" w:rsidRPr="009C7F4B">
        <w:rPr>
          <w:b w:val="0"/>
          <w:snapToGrid w:val="0"/>
          <w:lang w:eastAsia="en-US"/>
        </w:rPr>
        <w:t xml:space="preserve"> </w:t>
      </w:r>
      <w:r w:rsidR="00F674F9" w:rsidRPr="009C7F4B">
        <w:rPr>
          <w:b w:val="0"/>
          <w:snapToGrid w:val="0"/>
          <w:lang w:eastAsia="en-US"/>
        </w:rPr>
        <w:t>le soutien généreux de la Commission nationale de la République populaire de Chine pour l’</w:t>
      </w:r>
      <w:r w:rsidR="00730B9B" w:rsidRPr="009C7F4B">
        <w:rPr>
          <w:b w:val="0"/>
          <w:snapToGrid w:val="0"/>
          <w:lang w:eastAsia="en-US"/>
        </w:rPr>
        <w:t>UNESCO (</w:t>
      </w:r>
      <w:hyperlink r:id="rId22" w:history="1">
        <w:r w:rsidR="000569AB"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10.COM 9</w:t>
        </w:r>
      </w:hyperlink>
      <w:r w:rsidR="00730B9B" w:rsidRPr="009C7F4B">
        <w:rPr>
          <w:b w:val="0"/>
          <w:snapToGrid w:val="0"/>
          <w:lang w:eastAsia="en-US"/>
        </w:rPr>
        <w:t xml:space="preserve">). </w:t>
      </w:r>
      <w:r w:rsidR="000569AB" w:rsidRPr="009C7F4B">
        <w:rPr>
          <w:b w:val="0"/>
          <w:snapToGrid w:val="0"/>
          <w:lang w:eastAsia="en-US"/>
        </w:rPr>
        <w:t>L’objet de cette réunion est d’élabor</w:t>
      </w:r>
      <w:r w:rsidR="009C3F65" w:rsidRPr="009C7F4B">
        <w:rPr>
          <w:b w:val="0"/>
          <w:snapToGrid w:val="0"/>
          <w:lang w:eastAsia="en-US"/>
        </w:rPr>
        <w:t>er</w:t>
      </w:r>
      <w:r w:rsidR="000569AB" w:rsidRPr="009C7F4B">
        <w:rPr>
          <w:b w:val="0"/>
          <w:snapToGrid w:val="0"/>
          <w:lang w:eastAsia="en-US"/>
        </w:rPr>
        <w:t xml:space="preserve"> un cadre préliminaire pour soumission à un groupe de travail intergouvernemental ultérieur</w:t>
      </w:r>
      <w:r w:rsidR="00730B9B" w:rsidRPr="009C7F4B">
        <w:rPr>
          <w:b w:val="0"/>
          <w:snapToGrid w:val="0"/>
          <w:lang w:eastAsia="en-US"/>
        </w:rPr>
        <w:t xml:space="preserve">. </w:t>
      </w:r>
      <w:r w:rsidR="000569AB" w:rsidRPr="009C7F4B">
        <w:rPr>
          <w:b w:val="0"/>
          <w:snapToGrid w:val="0"/>
          <w:lang w:eastAsia="en-US"/>
        </w:rPr>
        <w:t xml:space="preserve">De cette manière, quand le groupe de travail se réunira en </w:t>
      </w:r>
      <w:r w:rsidR="00730B9B" w:rsidRPr="009C7F4B">
        <w:rPr>
          <w:b w:val="0"/>
          <w:snapToGrid w:val="0"/>
          <w:lang w:eastAsia="en-US"/>
        </w:rPr>
        <w:t>2017</w:t>
      </w:r>
      <w:r w:rsidR="000569AB" w:rsidRPr="009C7F4B">
        <w:rPr>
          <w:b w:val="0"/>
          <w:snapToGrid w:val="0"/>
          <w:lang w:eastAsia="en-US"/>
        </w:rPr>
        <w:t xml:space="preserve">, il pourra bénéficier des points de vue et de l’expérience d’un groupe </w:t>
      </w:r>
      <w:r w:rsidR="00DF0773" w:rsidRPr="009C7F4B">
        <w:rPr>
          <w:b w:val="0"/>
          <w:snapToGrid w:val="0"/>
          <w:lang w:eastAsia="en-US"/>
        </w:rPr>
        <w:t xml:space="preserve">diversifié et géographiquement représentatif d’experts, afin que le cadre reflète </w:t>
      </w:r>
      <w:r w:rsidR="009C3F65" w:rsidRPr="009C7F4B">
        <w:rPr>
          <w:b w:val="0"/>
          <w:snapToGrid w:val="0"/>
          <w:lang w:eastAsia="en-US"/>
        </w:rPr>
        <w:t xml:space="preserve">dès le début </w:t>
      </w:r>
      <w:r w:rsidR="00DF0773" w:rsidRPr="009C7F4B">
        <w:rPr>
          <w:b w:val="0"/>
          <w:snapToGrid w:val="0"/>
          <w:lang w:eastAsia="en-US"/>
        </w:rPr>
        <w:t>le « processus inclusif de consultation et de discussion » souhaité</w:t>
      </w:r>
      <w:r w:rsidR="00730B9B" w:rsidRPr="009C7F4B">
        <w:rPr>
          <w:b w:val="0"/>
          <w:snapToGrid w:val="0"/>
          <w:lang w:eastAsia="en-US"/>
        </w:rPr>
        <w:t xml:space="preserve"> (</w:t>
      </w:r>
      <w:hyperlink r:id="rId23" w:history="1">
        <w:r w:rsidR="00DF0773"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9.COM 13.e</w:t>
        </w:r>
      </w:hyperlink>
      <w:r w:rsidR="00730B9B" w:rsidRPr="009C7F4B">
        <w:rPr>
          <w:b w:val="0"/>
          <w:snapToGrid w:val="0"/>
          <w:color w:val="0000FF" w:themeColor="hyperlink"/>
          <w:u w:val="single"/>
          <w:lang w:eastAsia="en-US"/>
        </w:rPr>
        <w:t>)</w:t>
      </w:r>
      <w:r w:rsidR="00730B9B" w:rsidRPr="009C7F4B">
        <w:rPr>
          <w:b w:val="0"/>
          <w:snapToGrid w:val="0"/>
          <w:lang w:eastAsia="en-US"/>
        </w:rPr>
        <w:t>.</w:t>
      </w:r>
    </w:p>
    <w:p w14:paraId="5F8375B2" w14:textId="645E2383" w:rsidR="00730B9B" w:rsidRPr="009C7F4B" w:rsidRDefault="00DF0773"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Si ces deux réunions et leur suivi constituent les principales étapes pour élaborer un cadre global de résultats pour la </w:t>
      </w:r>
      <w:r w:rsidR="00730B9B" w:rsidRPr="009C7F4B">
        <w:rPr>
          <w:b w:val="0"/>
          <w:snapToGrid w:val="0"/>
          <w:lang w:eastAsia="en-US"/>
        </w:rPr>
        <w:t xml:space="preserve">Convention, </w:t>
      </w:r>
      <w:r w:rsidRPr="009C7F4B">
        <w:rPr>
          <w:b w:val="0"/>
          <w:snapToGrid w:val="0"/>
          <w:lang w:eastAsia="en-US"/>
        </w:rPr>
        <w:t xml:space="preserve">un travail préliminaire sera également entrepris pour analyser les données quantitatives déjà disponibles dans </w:t>
      </w:r>
      <w:r w:rsidR="009C3F65" w:rsidRPr="009C7F4B">
        <w:rPr>
          <w:b w:val="0"/>
          <w:snapToGrid w:val="0"/>
          <w:lang w:eastAsia="en-US"/>
        </w:rPr>
        <w:t>plusieurs</w:t>
      </w:r>
      <w:r w:rsidRPr="009C7F4B">
        <w:rPr>
          <w:b w:val="0"/>
          <w:snapToGrid w:val="0"/>
          <w:lang w:eastAsia="en-US"/>
        </w:rPr>
        <w:t xml:space="preserve"> ressources</w:t>
      </w:r>
      <w:r w:rsidR="00730B9B" w:rsidRPr="009C7F4B">
        <w:rPr>
          <w:b w:val="0"/>
          <w:snapToGrid w:val="0"/>
          <w:lang w:eastAsia="en-US"/>
        </w:rPr>
        <w:t xml:space="preserve">, </w:t>
      </w:r>
      <w:r w:rsidR="009C3F65" w:rsidRPr="009C7F4B">
        <w:rPr>
          <w:b w:val="0"/>
          <w:snapToGrid w:val="0"/>
          <w:lang w:eastAsia="en-US"/>
        </w:rPr>
        <w:t>notamment l</w:t>
      </w:r>
      <w:r w:rsidRPr="009C7F4B">
        <w:rPr>
          <w:b w:val="0"/>
          <w:snapToGrid w:val="0"/>
          <w:lang w:eastAsia="en-US"/>
        </w:rPr>
        <w:t>es rapports périodiques ou les rapports des experts facilitateurs</w:t>
      </w:r>
      <w:r w:rsidR="00730B9B" w:rsidRPr="009C7F4B">
        <w:rPr>
          <w:b w:val="0"/>
          <w:snapToGrid w:val="0"/>
          <w:lang w:eastAsia="en-US"/>
        </w:rPr>
        <w:t xml:space="preserve">. </w:t>
      </w:r>
      <w:r w:rsidRPr="009C7F4B">
        <w:rPr>
          <w:b w:val="0"/>
          <w:snapToGrid w:val="0"/>
          <w:lang w:eastAsia="en-US"/>
        </w:rPr>
        <w:t xml:space="preserve">Ce travail sera </w:t>
      </w:r>
      <w:r w:rsidR="00711046" w:rsidRPr="009C7F4B">
        <w:rPr>
          <w:b w:val="0"/>
          <w:snapToGrid w:val="0"/>
          <w:lang w:eastAsia="en-US"/>
        </w:rPr>
        <w:t xml:space="preserve">nourri par les consignes qui </w:t>
      </w:r>
      <w:r w:rsidR="00952C14" w:rsidRPr="009C7F4B">
        <w:rPr>
          <w:b w:val="0"/>
          <w:snapToGrid w:val="0"/>
          <w:lang w:eastAsia="en-US"/>
        </w:rPr>
        <w:t xml:space="preserve">pourraient </w:t>
      </w:r>
      <w:r w:rsidR="00711046" w:rsidRPr="009C7F4B">
        <w:rPr>
          <w:b w:val="0"/>
          <w:snapToGrid w:val="0"/>
          <w:lang w:eastAsia="en-US"/>
        </w:rPr>
        <w:t>émerger lors de la réunion d’experts e</w:t>
      </w:r>
      <w:r w:rsidR="00730B9B" w:rsidRPr="009C7F4B">
        <w:rPr>
          <w:b w:val="0"/>
          <w:snapToGrid w:val="0"/>
          <w:lang w:eastAsia="en-US"/>
        </w:rPr>
        <w:t>n Chin</w:t>
      </w:r>
      <w:r w:rsidR="00711046" w:rsidRPr="009C7F4B">
        <w:rPr>
          <w:b w:val="0"/>
          <w:snapToGrid w:val="0"/>
          <w:lang w:eastAsia="en-US"/>
        </w:rPr>
        <w:t>e</w:t>
      </w:r>
      <w:r w:rsidR="00730B9B" w:rsidRPr="009C7F4B">
        <w:rPr>
          <w:b w:val="0"/>
          <w:snapToGrid w:val="0"/>
          <w:lang w:eastAsia="en-US"/>
        </w:rPr>
        <w:t xml:space="preserve"> </w:t>
      </w:r>
      <w:r w:rsidR="00711046" w:rsidRPr="009C7F4B">
        <w:rPr>
          <w:b w:val="0"/>
          <w:snapToGrid w:val="0"/>
          <w:lang w:eastAsia="en-US"/>
        </w:rPr>
        <w:t>à propos de ce qu’il convient de mesurer et de quelle manière</w:t>
      </w:r>
      <w:r w:rsidR="00730B9B" w:rsidRPr="009C7F4B">
        <w:rPr>
          <w:b w:val="0"/>
          <w:snapToGrid w:val="0"/>
          <w:lang w:eastAsia="en-US"/>
        </w:rPr>
        <w:t xml:space="preserve">. </w:t>
      </w:r>
    </w:p>
    <w:p w14:paraId="5147112B" w14:textId="77777777" w:rsidR="00730B9B" w:rsidRPr="009C7F4B" w:rsidRDefault="001E3E79" w:rsidP="00BF6D09">
      <w:pPr>
        <w:pStyle w:val="Heading4"/>
        <w:numPr>
          <w:ilvl w:val="0"/>
          <w:numId w:val="0"/>
        </w:numPr>
        <w:ind w:left="1134"/>
        <w:jc w:val="both"/>
        <w:rPr>
          <w:snapToGrid w:val="0"/>
          <w:lang w:eastAsia="en-US"/>
        </w:rPr>
      </w:pPr>
      <w:r w:rsidRPr="009C7F4B">
        <w:rPr>
          <w:snapToGrid w:val="0"/>
          <w:lang w:eastAsia="en-US"/>
        </w:rPr>
        <w:t>Résultat escompté</w:t>
      </w:r>
      <w:r w:rsidR="00730B9B" w:rsidRPr="009C7F4B">
        <w:rPr>
          <w:snapToGrid w:val="0"/>
          <w:lang w:eastAsia="en-US"/>
        </w:rPr>
        <w:t> 4</w:t>
      </w:r>
      <w:r w:rsidRPr="009C7F4B">
        <w:rPr>
          <w:snapToGrid w:val="0"/>
          <w:lang w:eastAsia="en-US"/>
        </w:rPr>
        <w:t xml:space="preserve"> </w:t>
      </w:r>
      <w:r w:rsidR="00730B9B" w:rsidRPr="009C7F4B">
        <w:rPr>
          <w:snapToGrid w:val="0"/>
          <w:lang w:eastAsia="en-US"/>
        </w:rPr>
        <w:t>: Objecti</w:t>
      </w:r>
      <w:r w:rsidRPr="009C7F4B">
        <w:rPr>
          <w:snapToGrid w:val="0"/>
          <w:lang w:eastAsia="en-US"/>
        </w:rPr>
        <w:t>f</w:t>
      </w:r>
      <w:r w:rsidR="00730B9B" w:rsidRPr="009C7F4B">
        <w:rPr>
          <w:snapToGrid w:val="0"/>
          <w:lang w:eastAsia="en-US"/>
        </w:rPr>
        <w:t xml:space="preserve">s </w:t>
      </w:r>
      <w:r w:rsidRPr="009C7F4B">
        <w:rPr>
          <w:snapToGrid w:val="0"/>
          <w:lang w:eastAsia="en-US"/>
        </w:rPr>
        <w:t xml:space="preserve">de la </w:t>
      </w:r>
      <w:r w:rsidR="00730B9B" w:rsidRPr="009C7F4B">
        <w:rPr>
          <w:snapToGrid w:val="0"/>
          <w:lang w:eastAsia="en-US"/>
        </w:rPr>
        <w:t>Convention prom</w:t>
      </w:r>
      <w:r w:rsidRPr="009C7F4B">
        <w:rPr>
          <w:snapToGrid w:val="0"/>
          <w:lang w:eastAsia="en-US"/>
        </w:rPr>
        <w:t>us par des actions de sensibilisation et d’information</w:t>
      </w:r>
    </w:p>
    <w:p w14:paraId="2E6A80DA" w14:textId="77777777" w:rsidR="00730B9B" w:rsidRPr="009C7F4B" w:rsidRDefault="0025087E"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Nouer des partenariats institutionnels est essentiel pour promouvoir les objectifs de la </w:t>
      </w:r>
      <w:r w:rsidR="00730B9B" w:rsidRPr="009C7F4B">
        <w:rPr>
          <w:b w:val="0"/>
          <w:snapToGrid w:val="0"/>
          <w:lang w:eastAsia="en-US"/>
        </w:rPr>
        <w:t xml:space="preserve">Convention </w:t>
      </w:r>
      <w:r w:rsidRPr="009C7F4B">
        <w:rPr>
          <w:b w:val="0"/>
          <w:snapToGrid w:val="0"/>
          <w:lang w:eastAsia="en-US"/>
        </w:rPr>
        <w:t xml:space="preserve">dans le contexte de l’Agenda </w:t>
      </w:r>
      <w:r w:rsidR="00730B9B" w:rsidRPr="009C7F4B">
        <w:rPr>
          <w:b w:val="0"/>
          <w:snapToGrid w:val="0"/>
          <w:lang w:eastAsia="en-US"/>
        </w:rPr>
        <w:t xml:space="preserve">2030 </w:t>
      </w:r>
      <w:r w:rsidRPr="009C7F4B">
        <w:rPr>
          <w:b w:val="0"/>
          <w:snapToGrid w:val="0"/>
          <w:lang w:eastAsia="en-US"/>
        </w:rPr>
        <w:t>du développement durable</w:t>
      </w:r>
      <w:r w:rsidR="00730B9B" w:rsidRPr="009C7F4B">
        <w:rPr>
          <w:b w:val="0"/>
          <w:snapToGrid w:val="0"/>
          <w:lang w:eastAsia="en-US"/>
        </w:rPr>
        <w:t xml:space="preserve">. </w:t>
      </w:r>
      <w:r w:rsidRPr="009C7F4B">
        <w:rPr>
          <w:b w:val="0"/>
          <w:snapToGrid w:val="0"/>
          <w:lang w:eastAsia="en-US"/>
        </w:rPr>
        <w:t xml:space="preserve">Au cours des deux derniers exercices, le </w:t>
      </w:r>
      <w:r w:rsidR="00730B9B" w:rsidRPr="009C7F4B">
        <w:rPr>
          <w:b w:val="0"/>
          <w:snapToGrid w:val="0"/>
          <w:lang w:eastAsia="en-US"/>
        </w:rPr>
        <w:t>Secr</w:t>
      </w:r>
      <w:r w:rsidRPr="009C7F4B">
        <w:rPr>
          <w:b w:val="0"/>
          <w:snapToGrid w:val="0"/>
          <w:lang w:eastAsia="en-US"/>
        </w:rPr>
        <w:t>é</w:t>
      </w:r>
      <w:r w:rsidR="00730B9B" w:rsidRPr="009C7F4B">
        <w:rPr>
          <w:b w:val="0"/>
          <w:snapToGrid w:val="0"/>
          <w:lang w:eastAsia="en-US"/>
        </w:rPr>
        <w:t xml:space="preserve">tariat </w:t>
      </w:r>
      <w:r w:rsidRPr="009C7F4B">
        <w:rPr>
          <w:b w:val="0"/>
          <w:snapToGrid w:val="0"/>
          <w:lang w:eastAsia="en-US"/>
        </w:rPr>
        <w:t>s’est rapproché d’établissements d’enseignement supérieur</w:t>
      </w:r>
      <w:r w:rsidR="00730B9B" w:rsidRPr="009C7F4B">
        <w:rPr>
          <w:b w:val="0"/>
          <w:snapToGrid w:val="0"/>
          <w:lang w:eastAsia="en-US"/>
        </w:rPr>
        <w:t xml:space="preserve">, </w:t>
      </w:r>
      <w:r w:rsidRPr="009C7F4B">
        <w:rPr>
          <w:b w:val="0"/>
          <w:snapToGrid w:val="0"/>
          <w:lang w:eastAsia="en-US"/>
        </w:rPr>
        <w:t xml:space="preserve">d’abord en Afrique australe et </w:t>
      </w:r>
      <w:r w:rsidR="000E57E0" w:rsidRPr="009C7F4B">
        <w:rPr>
          <w:b w:val="0"/>
          <w:snapToGrid w:val="0"/>
          <w:lang w:eastAsia="en-US"/>
        </w:rPr>
        <w:t>orientale, puis en Asie et dans le Pacifique, pour soutenir l’intégration du patrimoine culturel immatériel dans les cursus universitaires dans des domaines tels que les études sur le patrimoine, la politique culturelle, les études sur le développement, et autres</w:t>
      </w:r>
      <w:r w:rsidR="00730B9B" w:rsidRPr="009C7F4B">
        <w:rPr>
          <w:b w:val="0"/>
          <w:snapToGrid w:val="0"/>
          <w:lang w:eastAsia="en-US"/>
        </w:rPr>
        <w:t xml:space="preserve">. </w:t>
      </w:r>
      <w:r w:rsidR="000E57E0" w:rsidRPr="009C7F4B">
        <w:rPr>
          <w:b w:val="0"/>
          <w:snapToGrid w:val="0"/>
          <w:lang w:eastAsia="en-US"/>
        </w:rPr>
        <w:t>Lors de l’actuel exercice</w:t>
      </w:r>
      <w:r w:rsidR="00730B9B" w:rsidRPr="009C7F4B">
        <w:rPr>
          <w:b w:val="0"/>
          <w:snapToGrid w:val="0"/>
          <w:lang w:eastAsia="en-US"/>
        </w:rPr>
        <w:t xml:space="preserve">, </w:t>
      </w:r>
      <w:r w:rsidR="000E57E0" w:rsidRPr="009C7F4B">
        <w:rPr>
          <w:b w:val="0"/>
          <w:snapToGrid w:val="0"/>
          <w:lang w:eastAsia="en-US"/>
        </w:rPr>
        <w:t>le</w:t>
      </w:r>
      <w:r w:rsidR="00730B9B" w:rsidRPr="009C7F4B">
        <w:rPr>
          <w:b w:val="0"/>
          <w:snapToGrid w:val="0"/>
          <w:lang w:eastAsia="en-US"/>
        </w:rPr>
        <w:t xml:space="preserve"> Secr</w:t>
      </w:r>
      <w:r w:rsidR="000E57E0" w:rsidRPr="009C7F4B">
        <w:rPr>
          <w:b w:val="0"/>
          <w:snapToGrid w:val="0"/>
          <w:lang w:eastAsia="en-US"/>
        </w:rPr>
        <w:t>é</w:t>
      </w:r>
      <w:r w:rsidR="00730B9B" w:rsidRPr="009C7F4B">
        <w:rPr>
          <w:b w:val="0"/>
          <w:snapToGrid w:val="0"/>
          <w:lang w:eastAsia="en-US"/>
        </w:rPr>
        <w:t xml:space="preserve">tariat </w:t>
      </w:r>
      <w:r w:rsidR="00C352F8" w:rsidRPr="009C7F4B">
        <w:rPr>
          <w:b w:val="0"/>
          <w:snapToGrid w:val="0"/>
          <w:lang w:eastAsia="en-US"/>
        </w:rPr>
        <w:t>a l’intention d’</w:t>
      </w:r>
      <w:r w:rsidR="000E57E0" w:rsidRPr="009C7F4B">
        <w:rPr>
          <w:b w:val="0"/>
          <w:snapToGrid w:val="0"/>
          <w:lang w:eastAsia="en-US"/>
        </w:rPr>
        <w:t xml:space="preserve">organiser une activité similaire avec </w:t>
      </w:r>
      <w:r w:rsidR="00C352F8" w:rsidRPr="009C7F4B">
        <w:rPr>
          <w:b w:val="0"/>
          <w:snapToGrid w:val="0"/>
          <w:lang w:eastAsia="en-US"/>
        </w:rPr>
        <w:t>d</w:t>
      </w:r>
      <w:r w:rsidR="000E57E0" w:rsidRPr="009C7F4B">
        <w:rPr>
          <w:b w:val="0"/>
          <w:snapToGrid w:val="0"/>
          <w:lang w:eastAsia="en-US"/>
        </w:rPr>
        <w:t>es établissements d’enseignement supérieur d’autres régions du monde</w:t>
      </w:r>
      <w:r w:rsidR="00730B9B" w:rsidRPr="009C7F4B">
        <w:rPr>
          <w:b w:val="0"/>
          <w:snapToGrid w:val="0"/>
          <w:lang w:eastAsia="en-US"/>
        </w:rPr>
        <w:t xml:space="preserve">. </w:t>
      </w:r>
      <w:r w:rsidR="000E57E0" w:rsidRPr="009C7F4B">
        <w:rPr>
          <w:b w:val="0"/>
          <w:snapToGrid w:val="0"/>
          <w:lang w:eastAsia="en-US"/>
        </w:rPr>
        <w:t xml:space="preserve">En ce qui concerne l’enseignement primaire et secondaire, et à la suite d’un projet pilote mené en Asie et dans le Pacifique avec le programme </w:t>
      </w:r>
      <w:r w:rsidR="005364E9" w:rsidRPr="009C7F4B">
        <w:rPr>
          <w:b w:val="0"/>
          <w:snapToGrid w:val="0"/>
          <w:lang w:eastAsia="en-US"/>
        </w:rPr>
        <w:t>L’é</w:t>
      </w:r>
      <w:r w:rsidR="000E57E0" w:rsidRPr="009C7F4B">
        <w:rPr>
          <w:b w:val="0"/>
          <w:snapToGrid w:val="0"/>
          <w:lang w:eastAsia="en-US"/>
        </w:rPr>
        <w:t xml:space="preserve">ducation </w:t>
      </w:r>
      <w:r w:rsidR="005364E9" w:rsidRPr="009C7F4B">
        <w:rPr>
          <w:b w:val="0"/>
          <w:snapToGrid w:val="0"/>
          <w:lang w:eastAsia="en-US"/>
        </w:rPr>
        <w:t>au</w:t>
      </w:r>
      <w:r w:rsidR="000E57E0" w:rsidRPr="009C7F4B">
        <w:rPr>
          <w:b w:val="0"/>
          <w:snapToGrid w:val="0"/>
          <w:lang w:eastAsia="en-US"/>
        </w:rPr>
        <w:t xml:space="preserve"> développement durable</w:t>
      </w:r>
      <w:r w:rsidR="00730B9B" w:rsidRPr="009C7F4B">
        <w:rPr>
          <w:b w:val="0"/>
          <w:snapToGrid w:val="0"/>
          <w:lang w:eastAsia="en-US"/>
        </w:rPr>
        <w:t xml:space="preserve">, </w:t>
      </w:r>
      <w:r w:rsidR="005364E9" w:rsidRPr="009C7F4B">
        <w:rPr>
          <w:b w:val="0"/>
          <w:snapToGrid w:val="0"/>
          <w:lang w:eastAsia="en-US"/>
        </w:rPr>
        <w:t>l</w:t>
      </w:r>
      <w:r w:rsidR="00730B9B" w:rsidRPr="009C7F4B">
        <w:rPr>
          <w:b w:val="0"/>
          <w:snapToGrid w:val="0"/>
          <w:lang w:eastAsia="en-US"/>
        </w:rPr>
        <w:t>e Secr</w:t>
      </w:r>
      <w:r w:rsidR="005364E9" w:rsidRPr="009C7F4B">
        <w:rPr>
          <w:b w:val="0"/>
          <w:snapToGrid w:val="0"/>
          <w:lang w:eastAsia="en-US"/>
        </w:rPr>
        <w:t>é</w:t>
      </w:r>
      <w:r w:rsidR="00730B9B" w:rsidRPr="009C7F4B">
        <w:rPr>
          <w:b w:val="0"/>
          <w:snapToGrid w:val="0"/>
          <w:lang w:eastAsia="en-US"/>
        </w:rPr>
        <w:t xml:space="preserve">tariat </w:t>
      </w:r>
      <w:r w:rsidR="005364E9" w:rsidRPr="009C7F4B">
        <w:rPr>
          <w:b w:val="0"/>
          <w:snapToGrid w:val="0"/>
          <w:lang w:eastAsia="en-US"/>
        </w:rPr>
        <w:t>s’appuiera sur le réseau de partenaires de l’</w:t>
      </w:r>
      <w:r w:rsidR="00730B9B" w:rsidRPr="009C7F4B">
        <w:rPr>
          <w:b w:val="0"/>
          <w:snapToGrid w:val="0"/>
          <w:lang w:eastAsia="en-US"/>
        </w:rPr>
        <w:t>UNESCO</w:t>
      </w:r>
      <w:r w:rsidR="005364E9" w:rsidRPr="009C7F4B">
        <w:rPr>
          <w:b w:val="0"/>
          <w:snapToGrid w:val="0"/>
          <w:lang w:eastAsia="en-US"/>
        </w:rPr>
        <w:t xml:space="preserve"> dans le domaine de l’éducation pour organiser une consultation sur la façon d’intégrer le patrimoine culturel immatériel dans les programmes de formation des enseignants et des professionnels de l’éducation</w:t>
      </w:r>
      <w:r w:rsidR="00730B9B" w:rsidRPr="009C7F4B">
        <w:rPr>
          <w:b w:val="0"/>
          <w:snapToGrid w:val="0"/>
          <w:lang w:eastAsia="en-US"/>
        </w:rPr>
        <w:t xml:space="preserve">. </w:t>
      </w:r>
      <w:r w:rsidR="005364E9" w:rsidRPr="009C7F4B">
        <w:rPr>
          <w:b w:val="0"/>
          <w:snapToGrid w:val="0"/>
          <w:lang w:eastAsia="en-US"/>
        </w:rPr>
        <w:t xml:space="preserve">Cette activité sera menée en coopération étroite avec </w:t>
      </w:r>
      <w:r w:rsidR="00C352F8" w:rsidRPr="009C7F4B">
        <w:rPr>
          <w:b w:val="0"/>
          <w:snapToGrid w:val="0"/>
          <w:lang w:eastAsia="en-US"/>
        </w:rPr>
        <w:t>d</w:t>
      </w:r>
      <w:r w:rsidR="005364E9" w:rsidRPr="009C7F4B">
        <w:rPr>
          <w:b w:val="0"/>
          <w:snapToGrid w:val="0"/>
          <w:lang w:eastAsia="en-US"/>
        </w:rPr>
        <w:t>es ins</w:t>
      </w:r>
      <w:r w:rsidR="00C352F8" w:rsidRPr="009C7F4B">
        <w:rPr>
          <w:b w:val="0"/>
          <w:snapToGrid w:val="0"/>
          <w:lang w:eastAsia="en-US"/>
        </w:rPr>
        <w:t>t</w:t>
      </w:r>
      <w:r w:rsidR="005364E9" w:rsidRPr="009C7F4B">
        <w:rPr>
          <w:b w:val="0"/>
          <w:snapToGrid w:val="0"/>
          <w:lang w:eastAsia="en-US"/>
        </w:rPr>
        <w:t>ituts de catégorie 1 de l’UNESCO.</w:t>
      </w:r>
    </w:p>
    <w:p w14:paraId="46DE0A0E" w14:textId="7C4B91E7" w:rsidR="00730B9B" w:rsidRPr="009C7F4B" w:rsidRDefault="005364E9"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À la suite de la</w:t>
      </w:r>
      <w:r w:rsidR="00730B9B" w:rsidRPr="009C7F4B">
        <w:rPr>
          <w:b w:val="0"/>
          <w:snapToGrid w:val="0"/>
          <w:lang w:eastAsia="en-US"/>
        </w:rPr>
        <w:t xml:space="preserve"> </w:t>
      </w:r>
      <w:hyperlink r:id="rId24" w:history="1">
        <w:r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8.COM 5.c.1</w:t>
        </w:r>
      </w:hyperlink>
      <w:r w:rsidRPr="009C7F4B">
        <w:rPr>
          <w:b w:val="0"/>
          <w:snapToGrid w:val="0"/>
          <w:lang w:eastAsia="en-US"/>
        </w:rPr>
        <w:t xml:space="preserve"> da</w:t>
      </w:r>
      <w:r w:rsidR="00730B9B" w:rsidRPr="009C7F4B">
        <w:rPr>
          <w:b w:val="0"/>
          <w:snapToGrid w:val="0"/>
          <w:lang w:eastAsia="en-US"/>
        </w:rPr>
        <w:t>n</w:t>
      </w:r>
      <w:r w:rsidRPr="009C7F4B">
        <w:rPr>
          <w:b w:val="0"/>
          <w:snapToGrid w:val="0"/>
          <w:lang w:eastAsia="en-US"/>
        </w:rPr>
        <w:t>s laquelle le Comité appel</w:t>
      </w:r>
      <w:r w:rsidR="00C352F8" w:rsidRPr="009C7F4B">
        <w:rPr>
          <w:b w:val="0"/>
          <w:snapToGrid w:val="0"/>
          <w:lang w:eastAsia="en-US"/>
        </w:rPr>
        <w:t>ait</w:t>
      </w:r>
      <w:r w:rsidRPr="009C7F4B">
        <w:rPr>
          <w:b w:val="0"/>
          <w:snapToGrid w:val="0"/>
          <w:lang w:eastAsia="en-US"/>
        </w:rPr>
        <w:t xml:space="preserve"> à </w:t>
      </w:r>
      <w:r w:rsidR="000767AD" w:rsidRPr="009C7F4B">
        <w:rPr>
          <w:b w:val="0"/>
          <w:snapToGrid w:val="0"/>
          <w:lang w:eastAsia="en-US"/>
        </w:rPr>
        <w:t>« renforcer la coopération de longue date entre l’UNESCO et l’OMPI sur les savoirs traditionnels et la culture afin d’assurer un échange et un apprentissage continus entre les deux organisations et leurs États membres »</w:t>
      </w:r>
      <w:r w:rsidR="00730B9B" w:rsidRPr="009C7F4B">
        <w:rPr>
          <w:b w:val="0"/>
          <w:snapToGrid w:val="0"/>
          <w:lang w:eastAsia="en-US"/>
        </w:rPr>
        <w:t xml:space="preserve"> </w:t>
      </w:r>
      <w:r w:rsidR="000767AD" w:rsidRPr="009C7F4B">
        <w:rPr>
          <w:b w:val="0"/>
          <w:snapToGrid w:val="0"/>
          <w:lang w:eastAsia="en-US"/>
        </w:rPr>
        <w:t xml:space="preserve">et </w:t>
      </w:r>
      <w:r w:rsidR="00306381" w:rsidRPr="009C7F4B">
        <w:rPr>
          <w:b w:val="0"/>
          <w:snapToGrid w:val="0"/>
          <w:lang w:eastAsia="en-US"/>
        </w:rPr>
        <w:t xml:space="preserve">dans le droit fil du renforcement de la </w:t>
      </w:r>
      <w:r w:rsidR="000767AD" w:rsidRPr="009C7F4B">
        <w:rPr>
          <w:b w:val="0"/>
          <w:snapToGrid w:val="0"/>
          <w:lang w:eastAsia="en-US"/>
        </w:rPr>
        <w:t>coopération entre les deux o</w:t>
      </w:r>
      <w:r w:rsidR="00730B9B" w:rsidRPr="009C7F4B">
        <w:rPr>
          <w:b w:val="0"/>
          <w:snapToGrid w:val="0"/>
          <w:lang w:eastAsia="en-US"/>
        </w:rPr>
        <w:t>rgani</w:t>
      </w:r>
      <w:r w:rsidR="000767AD" w:rsidRPr="009C7F4B">
        <w:rPr>
          <w:b w:val="0"/>
          <w:snapToGrid w:val="0"/>
          <w:lang w:eastAsia="en-US"/>
        </w:rPr>
        <w:t>s</w:t>
      </w:r>
      <w:r w:rsidR="00730B9B" w:rsidRPr="009C7F4B">
        <w:rPr>
          <w:b w:val="0"/>
          <w:snapToGrid w:val="0"/>
          <w:lang w:eastAsia="en-US"/>
        </w:rPr>
        <w:t xml:space="preserve">ations </w:t>
      </w:r>
      <w:r w:rsidR="000767AD" w:rsidRPr="009C7F4B">
        <w:rPr>
          <w:b w:val="0"/>
          <w:snapToGrid w:val="0"/>
          <w:lang w:eastAsia="en-US"/>
        </w:rPr>
        <w:t>au cours du dernier exercice</w:t>
      </w:r>
      <w:r w:rsidR="00730B9B" w:rsidRPr="009C7F4B">
        <w:rPr>
          <w:b w:val="0"/>
          <w:snapToGrid w:val="0"/>
          <w:lang w:eastAsia="en-US"/>
        </w:rPr>
        <w:t xml:space="preserve">, </w:t>
      </w:r>
      <w:r w:rsidR="000767AD" w:rsidRPr="009C7F4B">
        <w:rPr>
          <w:b w:val="0"/>
          <w:snapToGrid w:val="0"/>
          <w:lang w:eastAsia="en-US"/>
        </w:rPr>
        <w:t xml:space="preserve">la Section du patrimoine culturel immatériel s’efforcera de participer aux réunions périodiques du Comité intergouvernemental de l’OMPI </w:t>
      </w:r>
      <w:r w:rsidR="00BB3D24" w:rsidRPr="009C7F4B">
        <w:rPr>
          <w:b w:val="0"/>
          <w:snapToGrid w:val="0"/>
          <w:lang w:eastAsia="en-US"/>
        </w:rPr>
        <w:t>sur la propriété intellectuelle et les ressources génétiques</w:t>
      </w:r>
      <w:r w:rsidR="00730B9B" w:rsidRPr="009C7F4B">
        <w:rPr>
          <w:b w:val="0"/>
          <w:snapToGrid w:val="0"/>
          <w:lang w:eastAsia="en-US"/>
        </w:rPr>
        <w:t xml:space="preserve">, </w:t>
      </w:r>
      <w:r w:rsidR="00BB3D24" w:rsidRPr="009C7F4B">
        <w:rPr>
          <w:b w:val="0"/>
          <w:snapToGrid w:val="0"/>
          <w:lang w:eastAsia="en-US"/>
        </w:rPr>
        <w:t>les connaissances traditionnelles et le folklore</w:t>
      </w:r>
      <w:r w:rsidR="00730B9B" w:rsidRPr="009C7F4B">
        <w:rPr>
          <w:b w:val="0"/>
          <w:snapToGrid w:val="0"/>
          <w:lang w:eastAsia="en-US"/>
        </w:rPr>
        <w:t xml:space="preserve">, </w:t>
      </w:r>
      <w:r w:rsidR="00BB3D24" w:rsidRPr="009C7F4B">
        <w:rPr>
          <w:b w:val="0"/>
          <w:snapToGrid w:val="0"/>
          <w:lang w:eastAsia="en-US"/>
        </w:rPr>
        <w:t>dans la mesure où les diverses réunions statutaires le permettent</w:t>
      </w:r>
      <w:r w:rsidR="00730B9B" w:rsidRPr="009C7F4B">
        <w:rPr>
          <w:b w:val="0"/>
          <w:snapToGrid w:val="0"/>
          <w:lang w:eastAsia="en-US"/>
        </w:rPr>
        <w:t xml:space="preserve">. </w:t>
      </w:r>
      <w:r w:rsidR="00BB3D24" w:rsidRPr="009C7F4B">
        <w:rPr>
          <w:b w:val="0"/>
          <w:snapToGrid w:val="0"/>
          <w:lang w:eastAsia="en-US"/>
        </w:rPr>
        <w:t>La c</w:t>
      </w:r>
      <w:r w:rsidR="00730B9B" w:rsidRPr="009C7F4B">
        <w:rPr>
          <w:b w:val="0"/>
          <w:snapToGrid w:val="0"/>
          <w:lang w:eastAsia="en-US"/>
        </w:rPr>
        <w:t xml:space="preserve">ollaboration </w:t>
      </w:r>
      <w:r w:rsidR="00BB3D24" w:rsidRPr="009C7F4B">
        <w:rPr>
          <w:b w:val="0"/>
          <w:snapToGrid w:val="0"/>
          <w:lang w:eastAsia="en-US"/>
        </w:rPr>
        <w:t xml:space="preserve">avec d’autres </w:t>
      </w:r>
      <w:r w:rsidR="007C6D0E" w:rsidRPr="009C7F4B">
        <w:rPr>
          <w:b w:val="0"/>
          <w:snapToGrid w:val="0"/>
          <w:lang w:eastAsia="en-US"/>
        </w:rPr>
        <w:t xml:space="preserve">Organisations </w:t>
      </w:r>
      <w:r w:rsidR="00BB3D24" w:rsidRPr="009C7F4B">
        <w:rPr>
          <w:b w:val="0"/>
          <w:snapToGrid w:val="0"/>
          <w:lang w:eastAsia="en-US"/>
        </w:rPr>
        <w:t xml:space="preserve">des Nations </w:t>
      </w:r>
      <w:r w:rsidR="007C6D0E" w:rsidRPr="009C7F4B">
        <w:rPr>
          <w:b w:val="0"/>
          <w:snapToGrid w:val="0"/>
          <w:lang w:eastAsia="en-US"/>
        </w:rPr>
        <w:t xml:space="preserve">unies </w:t>
      </w:r>
      <w:r w:rsidR="00BB3D24" w:rsidRPr="009C7F4B">
        <w:rPr>
          <w:b w:val="0"/>
          <w:snapToGrid w:val="0"/>
          <w:lang w:eastAsia="en-US"/>
        </w:rPr>
        <w:t>sera activement étudiée</w:t>
      </w:r>
      <w:r w:rsidR="00730B9B" w:rsidRPr="009C7F4B">
        <w:rPr>
          <w:b w:val="0"/>
          <w:snapToGrid w:val="0"/>
          <w:lang w:eastAsia="en-US"/>
        </w:rPr>
        <w:t xml:space="preserve">. </w:t>
      </w:r>
      <w:r w:rsidR="00BB3D24" w:rsidRPr="009C7F4B">
        <w:rPr>
          <w:b w:val="0"/>
          <w:snapToGrid w:val="0"/>
          <w:lang w:eastAsia="en-US"/>
        </w:rPr>
        <w:t xml:space="preserve">À titre </w:t>
      </w:r>
      <w:r w:rsidR="00BB3D24" w:rsidRPr="009C7F4B">
        <w:rPr>
          <w:b w:val="0"/>
          <w:snapToGrid w:val="0"/>
          <w:lang w:eastAsia="en-US"/>
        </w:rPr>
        <w:lastRenderedPageBreak/>
        <w:t xml:space="preserve">d’exemple, le </w:t>
      </w:r>
      <w:r w:rsidR="00730B9B" w:rsidRPr="009C7F4B">
        <w:rPr>
          <w:b w:val="0"/>
          <w:snapToGrid w:val="0"/>
          <w:lang w:eastAsia="en-US"/>
        </w:rPr>
        <w:t>Secr</w:t>
      </w:r>
      <w:r w:rsidR="00BB3D24" w:rsidRPr="009C7F4B">
        <w:rPr>
          <w:b w:val="0"/>
          <w:snapToGrid w:val="0"/>
          <w:lang w:eastAsia="en-US"/>
        </w:rPr>
        <w:t>é</w:t>
      </w:r>
      <w:r w:rsidR="00730B9B" w:rsidRPr="009C7F4B">
        <w:rPr>
          <w:b w:val="0"/>
          <w:snapToGrid w:val="0"/>
          <w:lang w:eastAsia="en-US"/>
        </w:rPr>
        <w:t xml:space="preserve">tariat a </w:t>
      </w:r>
      <w:r w:rsidR="00BB3D24" w:rsidRPr="009C7F4B">
        <w:rPr>
          <w:b w:val="0"/>
          <w:snapToGrid w:val="0"/>
          <w:lang w:eastAsia="en-US"/>
        </w:rPr>
        <w:t xml:space="preserve">déjà été approché par l’Organisation mondiale de la santé </w:t>
      </w:r>
      <w:r w:rsidR="00734506" w:rsidRPr="009C7F4B">
        <w:rPr>
          <w:b w:val="0"/>
          <w:snapToGrid w:val="0"/>
          <w:lang w:eastAsia="en-US"/>
        </w:rPr>
        <w:t>pour coopérer sur un projet piloté par son Bureau régional pour l’Europe sur les contextes culturels de la santé</w:t>
      </w:r>
      <w:r w:rsidR="00730B9B" w:rsidRPr="009C7F4B">
        <w:rPr>
          <w:b w:val="0"/>
          <w:snapToGrid w:val="0"/>
          <w:lang w:eastAsia="en-US"/>
        </w:rPr>
        <w:t xml:space="preserve">. </w:t>
      </w:r>
      <w:r w:rsidR="00734506" w:rsidRPr="009C7F4B">
        <w:rPr>
          <w:b w:val="0"/>
          <w:snapToGrid w:val="0"/>
          <w:lang w:eastAsia="en-US"/>
        </w:rPr>
        <w:t xml:space="preserve">Le </w:t>
      </w:r>
      <w:r w:rsidR="00730B9B" w:rsidRPr="009C7F4B">
        <w:rPr>
          <w:b w:val="0"/>
          <w:snapToGrid w:val="0"/>
          <w:lang w:eastAsia="en-US"/>
        </w:rPr>
        <w:t>Secr</w:t>
      </w:r>
      <w:r w:rsidR="00734506" w:rsidRPr="009C7F4B">
        <w:rPr>
          <w:b w:val="0"/>
          <w:snapToGrid w:val="0"/>
          <w:lang w:eastAsia="en-US"/>
        </w:rPr>
        <w:t>é</w:t>
      </w:r>
      <w:r w:rsidR="00730B9B" w:rsidRPr="009C7F4B">
        <w:rPr>
          <w:b w:val="0"/>
          <w:snapToGrid w:val="0"/>
          <w:lang w:eastAsia="en-US"/>
        </w:rPr>
        <w:t xml:space="preserve">tariat </w:t>
      </w:r>
      <w:r w:rsidR="00734506" w:rsidRPr="009C7F4B">
        <w:rPr>
          <w:b w:val="0"/>
          <w:snapToGrid w:val="0"/>
          <w:lang w:eastAsia="en-US"/>
        </w:rPr>
        <w:t xml:space="preserve">a l’intention de s’engager activement dans ce travail interagences, en particulier </w:t>
      </w:r>
      <w:r w:rsidR="00426104" w:rsidRPr="009C7F4B">
        <w:rPr>
          <w:b w:val="0"/>
          <w:snapToGrid w:val="0"/>
          <w:lang w:eastAsia="en-US"/>
        </w:rPr>
        <w:t>dans</w:t>
      </w:r>
      <w:r w:rsidR="00734506" w:rsidRPr="009C7F4B">
        <w:rPr>
          <w:b w:val="0"/>
          <w:snapToGrid w:val="0"/>
          <w:lang w:eastAsia="en-US"/>
        </w:rPr>
        <w:t xml:space="preserve"> le contexte du nouveau chapitre des Directives opérationnelles sur la sauvegarde du patrimoine culturel immatériel et le développement durable</w:t>
      </w:r>
      <w:r w:rsidR="00730B9B" w:rsidRPr="009C7F4B">
        <w:rPr>
          <w:b w:val="0"/>
          <w:snapToGrid w:val="0"/>
          <w:lang w:eastAsia="en-US"/>
        </w:rPr>
        <w:t xml:space="preserve"> a</w:t>
      </w:r>
      <w:r w:rsidR="00734506" w:rsidRPr="009C7F4B">
        <w:rPr>
          <w:b w:val="0"/>
          <w:snapToGrid w:val="0"/>
          <w:lang w:eastAsia="en-US"/>
        </w:rPr>
        <w:t>u niveau national, approuvé par la sixième session de l’Assemblée générale</w:t>
      </w:r>
      <w:r w:rsidR="00426104" w:rsidRPr="009C7F4B">
        <w:rPr>
          <w:b w:val="0"/>
          <w:snapToGrid w:val="0"/>
          <w:lang w:eastAsia="en-US"/>
        </w:rPr>
        <w:t>, ainsi que</w:t>
      </w:r>
      <w:r w:rsidR="00734506" w:rsidRPr="009C7F4B">
        <w:rPr>
          <w:b w:val="0"/>
          <w:snapToGrid w:val="0"/>
          <w:lang w:eastAsia="en-US"/>
        </w:rPr>
        <w:t xml:space="preserve"> dans le contexte général du </w:t>
      </w:r>
      <w:r w:rsidR="00C91884" w:rsidRPr="009C7F4B">
        <w:rPr>
          <w:b w:val="0"/>
          <w:snapToGrid w:val="0"/>
          <w:lang w:eastAsia="en-US"/>
        </w:rPr>
        <w:t xml:space="preserve">soutien du </w:t>
      </w:r>
      <w:r w:rsidR="00734506" w:rsidRPr="009C7F4B">
        <w:rPr>
          <w:b w:val="0"/>
          <w:snapToGrid w:val="0"/>
          <w:lang w:eastAsia="en-US"/>
        </w:rPr>
        <w:t>Secteur de la cul</w:t>
      </w:r>
      <w:r w:rsidR="00426104" w:rsidRPr="009C7F4B">
        <w:rPr>
          <w:b w:val="0"/>
          <w:snapToGrid w:val="0"/>
          <w:lang w:eastAsia="en-US"/>
        </w:rPr>
        <w:t>t</w:t>
      </w:r>
      <w:r w:rsidR="00734506" w:rsidRPr="009C7F4B">
        <w:rPr>
          <w:b w:val="0"/>
          <w:snapToGrid w:val="0"/>
          <w:lang w:eastAsia="en-US"/>
        </w:rPr>
        <w:t>ure de l’</w:t>
      </w:r>
      <w:r w:rsidR="00730B9B" w:rsidRPr="009C7F4B">
        <w:rPr>
          <w:b w:val="0"/>
          <w:snapToGrid w:val="0"/>
          <w:lang w:eastAsia="en-US"/>
        </w:rPr>
        <w:t xml:space="preserve">UNESCO </w:t>
      </w:r>
      <w:r w:rsidR="00C91884" w:rsidRPr="009C7F4B">
        <w:rPr>
          <w:b w:val="0"/>
          <w:snapToGrid w:val="0"/>
          <w:lang w:eastAsia="en-US"/>
        </w:rPr>
        <w:t xml:space="preserve">à la mise en œuvre de l’Agenda </w:t>
      </w:r>
      <w:r w:rsidR="00730B9B" w:rsidRPr="009C7F4B">
        <w:rPr>
          <w:b w:val="0"/>
          <w:snapToGrid w:val="0"/>
          <w:lang w:eastAsia="en-US"/>
        </w:rPr>
        <w:t xml:space="preserve">2030 </w:t>
      </w:r>
      <w:r w:rsidR="00C91884" w:rsidRPr="009C7F4B">
        <w:rPr>
          <w:b w:val="0"/>
          <w:snapToGrid w:val="0"/>
          <w:lang w:eastAsia="en-US"/>
        </w:rPr>
        <w:t>du développement durable</w:t>
      </w:r>
      <w:r w:rsidR="00730B9B" w:rsidRPr="009C7F4B">
        <w:rPr>
          <w:b w:val="0"/>
          <w:snapToGrid w:val="0"/>
          <w:lang w:eastAsia="en-US"/>
        </w:rPr>
        <w:t>.</w:t>
      </w:r>
    </w:p>
    <w:p w14:paraId="4F349347" w14:textId="77619DFD" w:rsidR="00730B9B" w:rsidRPr="009C7F4B" w:rsidRDefault="00C91884"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 xml:space="preserve">Sensibiliser à l’importance du patrimoine culturel immatériel et susciter l’appréciation mutuelle de celui-ci est l’un des buts de la Convention de </w:t>
      </w:r>
      <w:r w:rsidR="00730B9B" w:rsidRPr="009C7F4B">
        <w:rPr>
          <w:b w:val="0"/>
          <w:snapToGrid w:val="0"/>
          <w:lang w:eastAsia="en-US"/>
        </w:rPr>
        <w:t xml:space="preserve">2003. </w:t>
      </w:r>
      <w:r w:rsidRPr="009C7F4B">
        <w:rPr>
          <w:b w:val="0"/>
          <w:snapToGrid w:val="0"/>
          <w:lang w:eastAsia="en-US"/>
        </w:rPr>
        <w:t xml:space="preserve">Lors de la première décennie de mise en œuvre de la </w:t>
      </w:r>
      <w:r w:rsidR="00730B9B" w:rsidRPr="009C7F4B">
        <w:rPr>
          <w:b w:val="0"/>
          <w:snapToGrid w:val="0"/>
          <w:lang w:eastAsia="en-US"/>
        </w:rPr>
        <w:t xml:space="preserve">Convention, </w:t>
      </w:r>
      <w:r w:rsidRPr="009C7F4B">
        <w:rPr>
          <w:b w:val="0"/>
          <w:snapToGrid w:val="0"/>
          <w:lang w:eastAsia="en-US"/>
        </w:rPr>
        <w:t xml:space="preserve">ce but a été poursuivi principalement </w:t>
      </w:r>
      <w:r w:rsidR="002D4F21" w:rsidRPr="009C7F4B">
        <w:rPr>
          <w:b w:val="0"/>
          <w:snapToGrid w:val="0"/>
          <w:lang w:eastAsia="en-US"/>
        </w:rPr>
        <w:t>par le biais du programme global de renforcement de capacités,</w:t>
      </w:r>
      <w:r w:rsidR="00730B9B" w:rsidRPr="009C7F4B">
        <w:rPr>
          <w:b w:val="0"/>
          <w:snapToGrid w:val="0"/>
          <w:lang w:eastAsia="en-US"/>
        </w:rPr>
        <w:t xml:space="preserve"> </w:t>
      </w:r>
      <w:r w:rsidR="002D4F21" w:rsidRPr="009C7F4B">
        <w:rPr>
          <w:b w:val="0"/>
          <w:snapToGrid w:val="0"/>
          <w:lang w:eastAsia="en-US"/>
        </w:rPr>
        <w:t xml:space="preserve">en partant de l’hypothèse que son impact serait plus grand que celui d’activités </w:t>
      </w:r>
      <w:r w:rsidR="00716B96" w:rsidRPr="009C7F4B">
        <w:rPr>
          <w:b w:val="0"/>
          <w:snapToGrid w:val="0"/>
          <w:lang w:eastAsia="en-US"/>
        </w:rPr>
        <w:t xml:space="preserve">de sensibilisation </w:t>
      </w:r>
      <w:r w:rsidR="002D4F21" w:rsidRPr="009C7F4B">
        <w:rPr>
          <w:b w:val="0"/>
          <w:snapToGrid w:val="0"/>
          <w:lang w:eastAsia="en-US"/>
        </w:rPr>
        <w:t xml:space="preserve">isolées </w:t>
      </w:r>
      <w:r w:rsidR="00716B96" w:rsidRPr="009C7F4B">
        <w:rPr>
          <w:b w:val="0"/>
          <w:snapToGrid w:val="0"/>
          <w:lang w:eastAsia="en-US"/>
        </w:rPr>
        <w:t>n’impliquant</w:t>
      </w:r>
      <w:r w:rsidR="00E60F35" w:rsidRPr="009C7F4B">
        <w:rPr>
          <w:b w:val="0"/>
          <w:snapToGrid w:val="0"/>
          <w:lang w:eastAsia="en-US"/>
        </w:rPr>
        <w:t xml:space="preserve"> pas de réelle transmission de connaissances et de savoir-faire</w:t>
      </w:r>
      <w:r w:rsidR="00730B9B" w:rsidRPr="009C7F4B">
        <w:rPr>
          <w:b w:val="0"/>
          <w:snapToGrid w:val="0"/>
          <w:lang w:eastAsia="en-US"/>
        </w:rPr>
        <w:t xml:space="preserve">. </w:t>
      </w:r>
      <w:r w:rsidR="00E60F35" w:rsidRPr="009C7F4B">
        <w:rPr>
          <w:b w:val="0"/>
          <w:snapToGrid w:val="0"/>
          <w:lang w:eastAsia="en-US"/>
        </w:rPr>
        <w:t>Maintenant que ce travail est bien engagé</w:t>
      </w:r>
      <w:r w:rsidR="00730B9B" w:rsidRPr="009C7F4B">
        <w:rPr>
          <w:b w:val="0"/>
          <w:snapToGrid w:val="0"/>
          <w:lang w:eastAsia="en-US"/>
        </w:rPr>
        <w:t xml:space="preserve">, </w:t>
      </w:r>
      <w:r w:rsidR="00E60F35" w:rsidRPr="009C7F4B">
        <w:rPr>
          <w:b w:val="0"/>
          <w:snapToGrid w:val="0"/>
          <w:lang w:eastAsia="en-US"/>
        </w:rPr>
        <w:t>le</w:t>
      </w:r>
      <w:r w:rsidR="00730B9B" w:rsidRPr="009C7F4B">
        <w:rPr>
          <w:b w:val="0"/>
          <w:snapToGrid w:val="0"/>
          <w:lang w:eastAsia="en-US"/>
        </w:rPr>
        <w:t xml:space="preserve"> Secr</w:t>
      </w:r>
      <w:r w:rsidR="00E60F35" w:rsidRPr="009C7F4B">
        <w:rPr>
          <w:b w:val="0"/>
          <w:snapToGrid w:val="0"/>
          <w:lang w:eastAsia="en-US"/>
        </w:rPr>
        <w:t>é</w:t>
      </w:r>
      <w:r w:rsidR="00730B9B" w:rsidRPr="009C7F4B">
        <w:rPr>
          <w:b w:val="0"/>
          <w:snapToGrid w:val="0"/>
          <w:lang w:eastAsia="en-US"/>
        </w:rPr>
        <w:t xml:space="preserve">tariat </w:t>
      </w:r>
      <w:r w:rsidR="00E60F35" w:rsidRPr="009C7F4B">
        <w:rPr>
          <w:b w:val="0"/>
          <w:snapToGrid w:val="0"/>
          <w:lang w:eastAsia="en-US"/>
        </w:rPr>
        <w:t xml:space="preserve">souhaite compléter ces efforts en donnant une </w:t>
      </w:r>
      <w:r w:rsidR="00426104" w:rsidRPr="009C7F4B">
        <w:rPr>
          <w:b w:val="0"/>
          <w:snapToGrid w:val="0"/>
          <w:lang w:eastAsia="en-US"/>
        </w:rPr>
        <w:t xml:space="preserve">plus grande </w:t>
      </w:r>
      <w:r w:rsidR="00E60F35" w:rsidRPr="009C7F4B">
        <w:rPr>
          <w:b w:val="0"/>
          <w:snapToGrid w:val="0"/>
          <w:lang w:eastAsia="en-US"/>
        </w:rPr>
        <w:t>visibilité aux résultats</w:t>
      </w:r>
      <w:r w:rsidR="00730B9B" w:rsidRPr="009C7F4B">
        <w:rPr>
          <w:b w:val="0"/>
          <w:snapToGrid w:val="0"/>
          <w:lang w:eastAsia="en-US"/>
        </w:rPr>
        <w:t xml:space="preserve">. </w:t>
      </w:r>
      <w:r w:rsidR="00E60F35" w:rsidRPr="009C7F4B">
        <w:rPr>
          <w:b w:val="0"/>
          <w:snapToGrid w:val="0"/>
          <w:lang w:eastAsia="en-US"/>
        </w:rPr>
        <w:t xml:space="preserve">Élaborer une stratégie solide </w:t>
      </w:r>
      <w:r w:rsidR="00716B96" w:rsidRPr="009C7F4B">
        <w:rPr>
          <w:b w:val="0"/>
          <w:snapToGrid w:val="0"/>
          <w:lang w:eastAsia="en-US"/>
        </w:rPr>
        <w:t xml:space="preserve">de sensibilisation </w:t>
      </w:r>
      <w:r w:rsidR="00E60F35" w:rsidRPr="009C7F4B">
        <w:rPr>
          <w:b w:val="0"/>
          <w:snapToGrid w:val="0"/>
          <w:lang w:eastAsia="en-US"/>
        </w:rPr>
        <w:t xml:space="preserve">est devenu essentiel pour promouvoir les objectifs de la </w:t>
      </w:r>
      <w:r w:rsidR="00730B9B" w:rsidRPr="009C7F4B">
        <w:rPr>
          <w:b w:val="0"/>
          <w:snapToGrid w:val="0"/>
          <w:lang w:eastAsia="en-US"/>
        </w:rPr>
        <w:t xml:space="preserve">Convention </w:t>
      </w:r>
      <w:r w:rsidR="00E60F35" w:rsidRPr="009C7F4B">
        <w:rPr>
          <w:b w:val="0"/>
          <w:snapToGrid w:val="0"/>
          <w:lang w:eastAsia="en-US"/>
        </w:rPr>
        <w:t>et</w:t>
      </w:r>
      <w:r w:rsidR="00730B9B" w:rsidRPr="009C7F4B">
        <w:rPr>
          <w:b w:val="0"/>
          <w:snapToGrid w:val="0"/>
          <w:lang w:eastAsia="en-US"/>
        </w:rPr>
        <w:t xml:space="preserve"> </w:t>
      </w:r>
      <w:r w:rsidR="00EF6DAC" w:rsidRPr="009C7F4B">
        <w:rPr>
          <w:b w:val="0"/>
          <w:snapToGrid w:val="0"/>
          <w:lang w:eastAsia="en-US"/>
        </w:rPr>
        <w:t>toucher</w:t>
      </w:r>
      <w:r w:rsidR="008A1E14" w:rsidRPr="009C7F4B">
        <w:rPr>
          <w:b w:val="0"/>
          <w:snapToGrid w:val="0"/>
          <w:lang w:eastAsia="en-US"/>
        </w:rPr>
        <w:t xml:space="preserve"> l</w:t>
      </w:r>
      <w:r w:rsidR="00EF6DAC" w:rsidRPr="009C7F4B">
        <w:rPr>
          <w:b w:val="0"/>
          <w:snapToGrid w:val="0"/>
          <w:lang w:eastAsia="en-US"/>
        </w:rPr>
        <w:t xml:space="preserve">es nombreuses </w:t>
      </w:r>
      <w:r w:rsidR="008A1E14" w:rsidRPr="009C7F4B">
        <w:rPr>
          <w:b w:val="0"/>
          <w:snapToGrid w:val="0"/>
          <w:lang w:eastAsia="en-US"/>
        </w:rPr>
        <w:t xml:space="preserve">parties prenantes concernées, depuis celles qui travaillent activement dans le domaine du patrimoine culturel immatériel jusqu’à celles dont le travail a un </w:t>
      </w:r>
      <w:r w:rsidR="00730B9B" w:rsidRPr="009C7F4B">
        <w:rPr>
          <w:b w:val="0"/>
          <w:snapToGrid w:val="0"/>
          <w:lang w:eastAsia="en-US"/>
        </w:rPr>
        <w:t xml:space="preserve">impact </w:t>
      </w:r>
      <w:r w:rsidR="008A1E14" w:rsidRPr="009C7F4B">
        <w:rPr>
          <w:b w:val="0"/>
          <w:snapToGrid w:val="0"/>
          <w:lang w:eastAsia="en-US"/>
        </w:rPr>
        <w:t>sur la sauvegarde du patrimoine</w:t>
      </w:r>
      <w:r w:rsidR="00730B9B" w:rsidRPr="009C7F4B">
        <w:rPr>
          <w:b w:val="0"/>
          <w:snapToGrid w:val="0"/>
          <w:lang w:eastAsia="en-US"/>
        </w:rPr>
        <w:t>.</w:t>
      </w:r>
    </w:p>
    <w:p w14:paraId="2F02DC9E" w14:textId="77777777" w:rsidR="00730B9B" w:rsidRPr="009C7F4B" w:rsidRDefault="001E3E79" w:rsidP="00D63952">
      <w:pPr>
        <w:keepNext/>
        <w:keepLines/>
        <w:numPr>
          <w:ilvl w:val="0"/>
          <w:numId w:val="11"/>
        </w:numPr>
        <w:tabs>
          <w:tab w:val="left" w:pos="567"/>
        </w:tabs>
        <w:snapToGrid w:val="0"/>
        <w:spacing w:before="360" w:after="120"/>
        <w:ind w:left="567" w:hanging="567"/>
        <w:jc w:val="both"/>
        <w:outlineLvl w:val="3"/>
        <w:rPr>
          <w:rFonts w:ascii="Arial" w:hAnsi="Arial"/>
          <w:b/>
          <w:bCs/>
          <w:caps/>
          <w:snapToGrid w:val="0"/>
          <w:sz w:val="22"/>
          <w:lang w:eastAsia="en-US"/>
        </w:rPr>
      </w:pPr>
      <w:r w:rsidRPr="009C7F4B">
        <w:rPr>
          <w:rFonts w:ascii="Arial" w:hAnsi="Arial"/>
          <w:b/>
          <w:bCs/>
          <w:caps/>
          <w:snapToGrid w:val="0"/>
          <w:sz w:val="22"/>
          <w:lang w:eastAsia="en-US"/>
        </w:rPr>
        <w:t>autres dispositions et projet de décision</w:t>
      </w:r>
    </w:p>
    <w:p w14:paraId="1BD65A5D" w14:textId="17DF1247" w:rsidR="00730B9B" w:rsidRPr="009C7F4B" w:rsidRDefault="008A1E14" w:rsidP="00BF6D09">
      <w:pPr>
        <w:pStyle w:val="Heading4"/>
        <w:keepNext w:val="0"/>
        <w:numPr>
          <w:ilvl w:val="0"/>
          <w:numId w:val="16"/>
        </w:numPr>
        <w:spacing w:before="0" w:after="120"/>
        <w:ind w:left="567" w:hanging="567"/>
        <w:jc w:val="both"/>
        <w:rPr>
          <w:b w:val="0"/>
          <w:bCs/>
          <w:caps/>
          <w:snapToGrid w:val="0"/>
          <w:lang w:eastAsia="en-US"/>
        </w:rPr>
      </w:pPr>
      <w:r w:rsidRPr="009C7F4B">
        <w:rPr>
          <w:b w:val="0"/>
          <w:snapToGrid w:val="0"/>
          <w:lang w:eastAsia="en-US"/>
        </w:rPr>
        <w:t>Il est rappelé au</w:t>
      </w:r>
      <w:r w:rsidR="00730B9B" w:rsidRPr="009C7F4B">
        <w:rPr>
          <w:b w:val="0"/>
          <w:snapToGrid w:val="0"/>
          <w:lang w:eastAsia="en-US"/>
        </w:rPr>
        <w:t xml:space="preserve"> Bureau </w:t>
      </w:r>
      <w:r w:rsidRPr="009C7F4B">
        <w:rPr>
          <w:b w:val="0"/>
          <w:snapToGrid w:val="0"/>
          <w:lang w:eastAsia="en-US"/>
        </w:rPr>
        <w:t>que, pour éviter les interruptions ou retards d’exécution</w:t>
      </w:r>
      <w:r w:rsidR="00730B9B" w:rsidRPr="009C7F4B">
        <w:rPr>
          <w:b w:val="0"/>
          <w:snapToGrid w:val="0"/>
          <w:lang w:eastAsia="en-US"/>
        </w:rPr>
        <w:t xml:space="preserve">, </w:t>
      </w:r>
      <w:r w:rsidRPr="009C7F4B">
        <w:rPr>
          <w:b w:val="0"/>
          <w:snapToGrid w:val="0"/>
          <w:lang w:eastAsia="en-US"/>
        </w:rPr>
        <w:t>l</w:t>
      </w:r>
      <w:r w:rsidR="00730B9B" w:rsidRPr="009C7F4B">
        <w:rPr>
          <w:b w:val="0"/>
          <w:snapToGrid w:val="0"/>
          <w:lang w:eastAsia="en-US"/>
        </w:rPr>
        <w:t>e Comit</w:t>
      </w:r>
      <w:r w:rsidRPr="009C7F4B">
        <w:rPr>
          <w:b w:val="0"/>
          <w:snapToGrid w:val="0"/>
          <w:lang w:eastAsia="en-US"/>
        </w:rPr>
        <w:t>é a décidé</w:t>
      </w:r>
      <w:r w:rsidR="00730B9B" w:rsidRPr="009C7F4B">
        <w:rPr>
          <w:b w:val="0"/>
          <w:snapToGrid w:val="0"/>
          <w:lang w:eastAsia="en-US"/>
        </w:rPr>
        <w:t xml:space="preserve"> (</w:t>
      </w:r>
      <w:hyperlink r:id="rId25" w:history="1">
        <w:r w:rsidRPr="009C7F4B">
          <w:rPr>
            <w:b w:val="0"/>
            <w:snapToGrid w:val="0"/>
            <w:color w:val="0000FF" w:themeColor="hyperlink"/>
            <w:u w:val="single"/>
            <w:lang w:eastAsia="en-US"/>
          </w:rPr>
          <w:t>dé</w:t>
        </w:r>
        <w:r w:rsidR="00730B9B" w:rsidRPr="009C7F4B">
          <w:rPr>
            <w:b w:val="0"/>
            <w:snapToGrid w:val="0"/>
            <w:color w:val="0000FF" w:themeColor="hyperlink"/>
            <w:u w:val="single"/>
            <w:lang w:eastAsia="en-US"/>
          </w:rPr>
          <w:t>cision 10.COM 8</w:t>
        </w:r>
      </w:hyperlink>
      <w:r w:rsidR="00730B9B" w:rsidRPr="009C7F4B">
        <w:rPr>
          <w:b w:val="0"/>
          <w:snapToGrid w:val="0"/>
          <w:lang w:eastAsia="en-US"/>
        </w:rPr>
        <w:t xml:space="preserve">) </w:t>
      </w:r>
      <w:r w:rsidR="00476028" w:rsidRPr="009C7F4B">
        <w:rPr>
          <w:b w:val="0"/>
          <w:snapToGrid w:val="0"/>
          <w:lang w:eastAsia="en-US"/>
        </w:rPr>
        <w:t xml:space="preserve">d’autoriser </w:t>
      </w:r>
      <w:r w:rsidR="00314237" w:rsidRPr="009C7F4B">
        <w:rPr>
          <w:b w:val="0"/>
          <w:snapToGrid w:val="0"/>
          <w:lang w:eastAsia="en-US"/>
        </w:rPr>
        <w:t xml:space="preserve">la Directrice générale </w:t>
      </w:r>
      <w:r w:rsidR="00476028" w:rsidRPr="009C7F4B">
        <w:rPr>
          <w:b w:val="0"/>
          <w:snapToGrid w:val="0"/>
          <w:lang w:eastAsia="en-US"/>
        </w:rPr>
        <w:t>à procéder à des transferts entre les activités incluses dans les propositions spécifiques approuvées par le Bureau à concurrence d’un montant cumulé équivalent à 2 % de l</w:t>
      </w:r>
      <w:r w:rsidR="00EF6DAC" w:rsidRPr="009C7F4B">
        <w:rPr>
          <w:b w:val="0"/>
          <w:snapToGrid w:val="0"/>
          <w:lang w:eastAsia="en-US"/>
        </w:rPr>
        <w:t>a dotation</w:t>
      </w:r>
      <w:r w:rsidR="00476028" w:rsidRPr="009C7F4B">
        <w:rPr>
          <w:b w:val="0"/>
          <w:snapToGrid w:val="0"/>
          <w:lang w:eastAsia="en-US"/>
        </w:rPr>
        <w:t xml:space="preserve"> initiale totale proposée à l’Assemblée générale à cet effet, </w:t>
      </w:r>
      <w:r w:rsidR="00EF6DAC" w:rsidRPr="009C7F4B">
        <w:rPr>
          <w:b w:val="0"/>
          <w:snapToGrid w:val="0"/>
          <w:lang w:eastAsia="en-US"/>
        </w:rPr>
        <w:t xml:space="preserve">soit </w:t>
      </w:r>
      <w:r w:rsidR="00730B9B" w:rsidRPr="009C7F4B">
        <w:rPr>
          <w:b w:val="0"/>
          <w:snapToGrid w:val="0"/>
          <w:lang w:eastAsia="en-US"/>
        </w:rPr>
        <w:t>31</w:t>
      </w:r>
      <w:r w:rsidR="00893A7D" w:rsidRPr="009C7F4B">
        <w:rPr>
          <w:b w:val="0"/>
          <w:snapToGrid w:val="0"/>
          <w:lang w:eastAsia="en-US"/>
        </w:rPr>
        <w:t> </w:t>
      </w:r>
      <w:r w:rsidR="00730B9B" w:rsidRPr="009C7F4B">
        <w:rPr>
          <w:b w:val="0"/>
          <w:snapToGrid w:val="0"/>
          <w:lang w:eastAsia="en-US"/>
        </w:rPr>
        <w:t>815</w:t>
      </w:r>
      <w:r w:rsidR="00893A7D" w:rsidRPr="009C7F4B">
        <w:rPr>
          <w:b w:val="0"/>
          <w:snapToGrid w:val="0"/>
          <w:lang w:eastAsia="en-US"/>
        </w:rPr>
        <w:t xml:space="preserve"> dollars des </w:t>
      </w:r>
      <w:r w:rsidR="004312CB" w:rsidRPr="009C7F4B">
        <w:rPr>
          <w:b w:val="0"/>
          <w:snapToGrid w:val="0"/>
          <w:lang w:eastAsia="en-US"/>
        </w:rPr>
        <w:t>États-Unis</w:t>
      </w:r>
      <w:r w:rsidR="00730B9B" w:rsidRPr="009C7F4B">
        <w:rPr>
          <w:b w:val="0"/>
          <w:snapToGrid w:val="0"/>
          <w:lang w:eastAsia="en-US"/>
        </w:rPr>
        <w:t xml:space="preserve">. </w:t>
      </w:r>
      <w:r w:rsidR="00893A7D" w:rsidRPr="009C7F4B">
        <w:rPr>
          <w:b w:val="0"/>
          <w:snapToGrid w:val="0"/>
          <w:lang w:eastAsia="en-US"/>
        </w:rPr>
        <w:t>Le</w:t>
      </w:r>
      <w:r w:rsidR="00730B9B" w:rsidRPr="009C7F4B">
        <w:rPr>
          <w:b w:val="0"/>
          <w:snapToGrid w:val="0"/>
          <w:lang w:eastAsia="en-US"/>
        </w:rPr>
        <w:t xml:space="preserve"> Secr</w:t>
      </w:r>
      <w:r w:rsidR="00893A7D" w:rsidRPr="009C7F4B">
        <w:rPr>
          <w:b w:val="0"/>
          <w:snapToGrid w:val="0"/>
          <w:lang w:eastAsia="en-US"/>
        </w:rPr>
        <w:t>é</w:t>
      </w:r>
      <w:r w:rsidR="00730B9B" w:rsidRPr="009C7F4B">
        <w:rPr>
          <w:b w:val="0"/>
          <w:snapToGrid w:val="0"/>
          <w:lang w:eastAsia="en-US"/>
        </w:rPr>
        <w:t xml:space="preserve">tariat </w:t>
      </w:r>
      <w:r w:rsidR="00893A7D" w:rsidRPr="009C7F4B">
        <w:rPr>
          <w:b w:val="0"/>
          <w:snapToGrid w:val="0"/>
          <w:lang w:eastAsia="en-US"/>
        </w:rPr>
        <w:t xml:space="preserve">doit alors informer le </w:t>
      </w:r>
      <w:r w:rsidR="00730B9B" w:rsidRPr="009C7F4B">
        <w:rPr>
          <w:b w:val="0"/>
          <w:snapToGrid w:val="0"/>
          <w:lang w:eastAsia="en-US"/>
        </w:rPr>
        <w:t xml:space="preserve">Bureau </w:t>
      </w:r>
      <w:r w:rsidR="00893A7D" w:rsidRPr="009C7F4B">
        <w:rPr>
          <w:b w:val="0"/>
          <w:snapToGrid w:val="0"/>
          <w:lang w:eastAsia="en-US"/>
        </w:rPr>
        <w:t>par écrit</w:t>
      </w:r>
      <w:r w:rsidR="00730B9B" w:rsidRPr="009C7F4B">
        <w:rPr>
          <w:b w:val="0"/>
          <w:snapToGrid w:val="0"/>
          <w:lang w:eastAsia="en-US"/>
        </w:rPr>
        <w:t xml:space="preserve">, </w:t>
      </w:r>
      <w:r w:rsidR="00893A7D" w:rsidRPr="009C7F4B">
        <w:rPr>
          <w:b w:val="0"/>
          <w:snapToGrid w:val="0"/>
          <w:lang w:eastAsia="en-US"/>
        </w:rPr>
        <w:t xml:space="preserve">lors de la session qui suivra cette </w:t>
      </w:r>
      <w:r w:rsidR="0041529A" w:rsidRPr="009C7F4B">
        <w:rPr>
          <w:b w:val="0"/>
          <w:snapToGrid w:val="0"/>
          <w:lang w:eastAsia="en-US"/>
        </w:rPr>
        <w:t>action, des détails et des raisons de ce transfert</w:t>
      </w:r>
      <w:r w:rsidR="00730B9B" w:rsidRPr="009C7F4B">
        <w:rPr>
          <w:b w:val="0"/>
          <w:snapToGrid w:val="0"/>
          <w:lang w:eastAsia="en-US"/>
        </w:rPr>
        <w:t xml:space="preserve">. </w:t>
      </w:r>
      <w:r w:rsidR="0041529A" w:rsidRPr="009C7F4B">
        <w:rPr>
          <w:b w:val="0"/>
          <w:snapToGrid w:val="0"/>
          <w:lang w:eastAsia="en-US"/>
        </w:rPr>
        <w:t xml:space="preserve">Comme l’a décidé le Comité, tout transfert supérieur à ce montant nécessite l’approbation </w:t>
      </w:r>
      <w:r w:rsidR="006B3F73" w:rsidRPr="009C7F4B">
        <w:rPr>
          <w:b w:val="0"/>
          <w:snapToGrid w:val="0"/>
          <w:lang w:eastAsia="en-US"/>
        </w:rPr>
        <w:t>préalable par le Bureau d’un plan de dépenses révisé</w:t>
      </w:r>
      <w:r w:rsidR="00730B9B" w:rsidRPr="009C7F4B">
        <w:rPr>
          <w:b w:val="0"/>
          <w:snapToGrid w:val="0"/>
          <w:lang w:eastAsia="en-US"/>
        </w:rPr>
        <w:t>.</w:t>
      </w:r>
    </w:p>
    <w:p w14:paraId="095567C6" w14:textId="77777777" w:rsidR="00730B9B" w:rsidRPr="009C7F4B" w:rsidRDefault="00C85562" w:rsidP="00BF6D09">
      <w:pPr>
        <w:pStyle w:val="Heading4"/>
        <w:keepNext w:val="0"/>
        <w:numPr>
          <w:ilvl w:val="0"/>
          <w:numId w:val="16"/>
        </w:numPr>
        <w:spacing w:before="0" w:after="120"/>
        <w:ind w:left="567" w:hanging="567"/>
        <w:jc w:val="both"/>
        <w:rPr>
          <w:b w:val="0"/>
          <w:snapToGrid w:val="0"/>
          <w:lang w:eastAsia="en-US"/>
        </w:rPr>
      </w:pPr>
      <w:r w:rsidRPr="009C7F4B">
        <w:rPr>
          <w:b w:val="0"/>
          <w:snapToGrid w:val="0"/>
          <w:lang w:eastAsia="en-US"/>
        </w:rPr>
        <w:t>Il est demandé au</w:t>
      </w:r>
      <w:r w:rsidR="00730B9B" w:rsidRPr="009C7F4B">
        <w:rPr>
          <w:b w:val="0"/>
          <w:snapToGrid w:val="0"/>
          <w:lang w:eastAsia="en-US"/>
        </w:rPr>
        <w:t xml:space="preserve"> Bureau </w:t>
      </w:r>
      <w:r w:rsidRPr="009C7F4B">
        <w:rPr>
          <w:b w:val="0"/>
          <w:snapToGrid w:val="0"/>
          <w:lang w:eastAsia="en-US"/>
        </w:rPr>
        <w:t xml:space="preserve">d’examiner et de prendre une décision par consultation électronique concernant la proposition d’utilisation des fonds pour les </w:t>
      </w:r>
      <w:r w:rsidR="00EF6DAC" w:rsidRPr="009C7F4B">
        <w:rPr>
          <w:b w:val="0"/>
          <w:snapToGrid w:val="0"/>
          <w:lang w:eastAsia="en-US"/>
        </w:rPr>
        <w:t>« </w:t>
      </w:r>
      <w:r w:rsidRPr="009C7F4B">
        <w:rPr>
          <w:b w:val="0"/>
          <w:snapToGrid w:val="0"/>
          <w:lang w:eastAsia="en-US"/>
        </w:rPr>
        <w:t>autres fonctions du Comité</w:t>
      </w:r>
      <w:r w:rsidR="00EF6DAC" w:rsidRPr="009C7F4B">
        <w:rPr>
          <w:b w:val="0"/>
          <w:snapToGrid w:val="0"/>
          <w:lang w:eastAsia="en-US"/>
        </w:rPr>
        <w:t> »</w:t>
      </w:r>
      <w:r w:rsidRPr="009C7F4B">
        <w:rPr>
          <w:b w:val="0"/>
          <w:snapToGrid w:val="0"/>
          <w:lang w:eastAsia="en-US"/>
        </w:rPr>
        <w:t xml:space="preserve"> jointe en annexe</w:t>
      </w:r>
      <w:r w:rsidR="00730B9B" w:rsidRPr="009C7F4B">
        <w:rPr>
          <w:b w:val="0"/>
          <w:snapToGrid w:val="0"/>
          <w:lang w:eastAsia="en-US"/>
        </w:rPr>
        <w:t xml:space="preserve">, </w:t>
      </w:r>
      <w:r w:rsidRPr="009C7F4B">
        <w:rPr>
          <w:b w:val="0"/>
          <w:snapToGrid w:val="0"/>
          <w:lang w:eastAsia="en-US"/>
        </w:rPr>
        <w:t>ainsi qu’il est prévu à l’article</w:t>
      </w:r>
      <w:r w:rsidR="00730B9B" w:rsidRPr="009C7F4B">
        <w:rPr>
          <w:b w:val="0"/>
          <w:snapToGrid w:val="0"/>
          <w:lang w:eastAsia="en-US"/>
        </w:rPr>
        <w:t xml:space="preserve"> 12.3 </w:t>
      </w:r>
      <w:r w:rsidRPr="009C7F4B">
        <w:rPr>
          <w:b w:val="0"/>
          <w:snapToGrid w:val="0"/>
          <w:lang w:eastAsia="en-US"/>
        </w:rPr>
        <w:t>du Règlement intérieur du Comité</w:t>
      </w:r>
      <w:r w:rsidR="00730B9B" w:rsidRPr="009C7F4B">
        <w:rPr>
          <w:b w:val="0"/>
          <w:snapToGrid w:val="0"/>
          <w:lang w:eastAsia="en-US"/>
        </w:rPr>
        <w:t xml:space="preserve">. </w:t>
      </w:r>
    </w:p>
    <w:p w14:paraId="2C7ABD12" w14:textId="77777777" w:rsidR="00730B9B" w:rsidRPr="009C7F4B" w:rsidRDefault="00A276AB" w:rsidP="00D63952">
      <w:pPr>
        <w:pStyle w:val="ListParagraph"/>
        <w:keepNext/>
        <w:numPr>
          <w:ilvl w:val="0"/>
          <w:numId w:val="16"/>
        </w:numPr>
        <w:tabs>
          <w:tab w:val="left" w:pos="567"/>
        </w:tabs>
        <w:snapToGrid w:val="0"/>
        <w:spacing w:after="120"/>
        <w:ind w:left="567" w:hanging="567"/>
        <w:jc w:val="both"/>
        <w:rPr>
          <w:rFonts w:ascii="Arial" w:hAnsi="Arial" w:cs="Arial"/>
          <w:snapToGrid w:val="0"/>
          <w:sz w:val="22"/>
          <w:szCs w:val="22"/>
          <w:lang w:eastAsia="en-US"/>
        </w:rPr>
      </w:pPr>
      <w:r w:rsidRPr="009C7F4B">
        <w:rPr>
          <w:rFonts w:ascii="Arial" w:hAnsi="Arial" w:cs="Arial"/>
          <w:snapToGrid w:val="0"/>
          <w:sz w:val="22"/>
          <w:szCs w:val="22"/>
          <w:lang w:eastAsia="en-US"/>
        </w:rPr>
        <w:t>Le</w:t>
      </w:r>
      <w:r w:rsidR="00730B9B" w:rsidRPr="009C7F4B">
        <w:rPr>
          <w:rFonts w:ascii="Arial" w:hAnsi="Arial" w:cs="Arial"/>
          <w:snapToGrid w:val="0"/>
          <w:sz w:val="22"/>
          <w:szCs w:val="22"/>
          <w:lang w:eastAsia="en-US"/>
        </w:rPr>
        <w:t xml:space="preserve"> Bureau </w:t>
      </w:r>
      <w:r w:rsidR="00F340B1" w:rsidRPr="009C7F4B">
        <w:rPr>
          <w:rFonts w:ascii="Arial" w:hAnsi="Arial" w:cs="Arial"/>
          <w:snapToGrid w:val="0"/>
          <w:sz w:val="22"/>
          <w:szCs w:val="22"/>
          <w:lang w:eastAsia="en-US"/>
        </w:rPr>
        <w:t>souhaitera peut-être adopter la décision suivante </w:t>
      </w:r>
      <w:r w:rsidR="00730B9B" w:rsidRPr="009C7F4B">
        <w:rPr>
          <w:rFonts w:ascii="Arial" w:hAnsi="Arial" w:cs="Arial"/>
          <w:snapToGrid w:val="0"/>
          <w:sz w:val="22"/>
          <w:szCs w:val="22"/>
          <w:lang w:eastAsia="en-US"/>
        </w:rPr>
        <w:t>:</w:t>
      </w:r>
    </w:p>
    <w:p w14:paraId="7BB42078" w14:textId="77777777" w:rsidR="00730B9B" w:rsidRPr="009C7F4B" w:rsidRDefault="00A276AB" w:rsidP="00D63952">
      <w:pPr>
        <w:keepNext/>
        <w:spacing w:before="240" w:after="120"/>
        <w:ind w:left="567"/>
        <w:jc w:val="both"/>
        <w:rPr>
          <w:rFonts w:ascii="Arial" w:eastAsia="SimSun" w:hAnsi="Arial" w:cs="Arial"/>
          <w:b/>
          <w:sz w:val="22"/>
          <w:szCs w:val="22"/>
        </w:rPr>
      </w:pPr>
      <w:r w:rsidRPr="009C7F4B">
        <w:rPr>
          <w:rFonts w:ascii="Arial" w:hAnsi="Arial" w:cs="Arial"/>
          <w:b/>
          <w:sz w:val="22"/>
          <w:szCs w:val="22"/>
        </w:rPr>
        <w:t xml:space="preserve">PROJET DE DÉCISION </w:t>
      </w:r>
      <w:r w:rsidR="00730B9B" w:rsidRPr="009C7F4B">
        <w:rPr>
          <w:rFonts w:ascii="Arial" w:hAnsi="Arial" w:cs="Arial"/>
          <w:b/>
          <w:sz w:val="22"/>
          <w:szCs w:val="22"/>
        </w:rPr>
        <w:t>11.COM 2.BUR 1</w:t>
      </w:r>
    </w:p>
    <w:p w14:paraId="484E9FFE" w14:textId="77777777" w:rsidR="00730B9B" w:rsidRPr="009C7F4B" w:rsidRDefault="00A276AB" w:rsidP="00D63952">
      <w:pPr>
        <w:keepNext/>
        <w:spacing w:after="120"/>
        <w:ind w:left="567"/>
        <w:jc w:val="both"/>
        <w:rPr>
          <w:rFonts w:ascii="Arial" w:eastAsia="SimSun" w:hAnsi="Arial" w:cs="Arial"/>
          <w:sz w:val="22"/>
          <w:szCs w:val="22"/>
        </w:rPr>
      </w:pPr>
      <w:r w:rsidRPr="009C7F4B">
        <w:rPr>
          <w:rFonts w:ascii="Arial" w:hAnsi="Arial" w:cs="Arial"/>
          <w:sz w:val="22"/>
          <w:szCs w:val="22"/>
        </w:rPr>
        <w:t>L</w:t>
      </w:r>
      <w:r w:rsidR="00730B9B" w:rsidRPr="009C7F4B">
        <w:rPr>
          <w:rFonts w:ascii="Arial" w:hAnsi="Arial" w:cs="Arial"/>
          <w:sz w:val="22"/>
          <w:szCs w:val="22"/>
        </w:rPr>
        <w:t xml:space="preserve">e </w:t>
      </w:r>
      <w:r w:rsidR="007D5EAD" w:rsidRPr="009C7F4B">
        <w:rPr>
          <w:rFonts w:ascii="Arial" w:hAnsi="Arial" w:cs="Arial"/>
          <w:sz w:val="22"/>
          <w:szCs w:val="22"/>
        </w:rPr>
        <w:t>Bureau</w:t>
      </w:r>
      <w:r w:rsidR="00730B9B" w:rsidRPr="009C7F4B">
        <w:rPr>
          <w:rFonts w:ascii="Arial" w:hAnsi="Arial" w:cs="Arial"/>
          <w:sz w:val="22"/>
          <w:szCs w:val="22"/>
        </w:rPr>
        <w:t>,</w:t>
      </w:r>
    </w:p>
    <w:p w14:paraId="0B5CAB9E" w14:textId="47D0AFE2" w:rsidR="00730B9B" w:rsidRPr="009C7F4B" w:rsidRDefault="00A276AB" w:rsidP="00BF6D09">
      <w:pPr>
        <w:pStyle w:val="ListParagraph"/>
        <w:numPr>
          <w:ilvl w:val="0"/>
          <w:numId w:val="22"/>
        </w:numPr>
        <w:autoSpaceDE w:val="0"/>
        <w:autoSpaceDN w:val="0"/>
        <w:adjustRightInd w:val="0"/>
        <w:spacing w:after="120"/>
        <w:ind w:left="1134" w:hanging="567"/>
        <w:contextualSpacing w:val="0"/>
        <w:jc w:val="both"/>
        <w:rPr>
          <w:rFonts w:ascii="Arial" w:eastAsia="SimSun" w:hAnsi="Arial" w:cs="Arial"/>
          <w:sz w:val="22"/>
          <w:szCs w:val="22"/>
          <w:u w:val="single"/>
        </w:rPr>
      </w:pPr>
      <w:r w:rsidRPr="009C7F4B">
        <w:rPr>
          <w:rFonts w:ascii="Arial" w:eastAsia="SimSun" w:hAnsi="Arial" w:cs="Arial"/>
          <w:sz w:val="22"/>
          <w:szCs w:val="22"/>
          <w:u w:val="single"/>
        </w:rPr>
        <w:t>Ayant examiné</w:t>
      </w:r>
      <w:r w:rsidR="00730B9B" w:rsidRPr="009C7F4B">
        <w:rPr>
          <w:rFonts w:ascii="Arial" w:eastAsia="SimSun" w:hAnsi="Arial" w:cs="Arial"/>
          <w:sz w:val="22"/>
          <w:szCs w:val="22"/>
        </w:rPr>
        <w:t xml:space="preserve"> </w:t>
      </w:r>
      <w:r w:rsidRPr="009C7F4B">
        <w:rPr>
          <w:rFonts w:ascii="Arial" w:eastAsia="SimSun" w:hAnsi="Arial" w:cs="Arial"/>
          <w:sz w:val="22"/>
          <w:szCs w:val="22"/>
        </w:rPr>
        <w:t xml:space="preserve">le </w:t>
      </w:r>
      <w:r w:rsidR="00730B9B" w:rsidRPr="009C7F4B">
        <w:rPr>
          <w:rFonts w:ascii="Arial" w:eastAsia="SimSun" w:hAnsi="Arial" w:cs="Arial"/>
          <w:sz w:val="22"/>
          <w:szCs w:val="22"/>
        </w:rPr>
        <w:t>document ITH/16/11.</w:t>
      </w:r>
      <w:r w:rsidR="0068436D" w:rsidRPr="009C7F4B">
        <w:rPr>
          <w:rFonts w:ascii="Arial" w:eastAsia="SimSun" w:hAnsi="Arial" w:cs="Arial"/>
          <w:sz w:val="22"/>
          <w:szCs w:val="22"/>
        </w:rPr>
        <w:t>COM </w:t>
      </w:r>
      <w:r w:rsidR="00730B9B" w:rsidRPr="009C7F4B">
        <w:rPr>
          <w:rFonts w:ascii="Arial" w:eastAsia="SimSun" w:hAnsi="Arial" w:cs="Arial"/>
          <w:sz w:val="22"/>
          <w:szCs w:val="22"/>
        </w:rPr>
        <w:t xml:space="preserve">2.BUR/1 </w:t>
      </w:r>
      <w:r w:rsidR="00365F48" w:rsidRPr="009C7F4B">
        <w:rPr>
          <w:rFonts w:ascii="Arial" w:eastAsia="SimSun" w:hAnsi="Arial" w:cs="Arial"/>
          <w:sz w:val="22"/>
          <w:szCs w:val="22"/>
        </w:rPr>
        <w:t xml:space="preserve">et son annexe, ainsi que le </w:t>
      </w:r>
      <w:r w:rsidR="00730B9B" w:rsidRPr="009C7F4B">
        <w:rPr>
          <w:rFonts w:ascii="Arial" w:eastAsia="SimSun" w:hAnsi="Arial" w:cs="Arial"/>
          <w:sz w:val="22"/>
          <w:szCs w:val="22"/>
        </w:rPr>
        <w:t>document ITH/16/11.</w:t>
      </w:r>
      <w:r w:rsidR="0068436D" w:rsidRPr="009C7F4B">
        <w:rPr>
          <w:rFonts w:ascii="Arial" w:eastAsia="SimSun" w:hAnsi="Arial" w:cs="Arial"/>
          <w:sz w:val="22"/>
          <w:szCs w:val="22"/>
        </w:rPr>
        <w:t>COM </w:t>
      </w:r>
      <w:r w:rsidR="00730B9B" w:rsidRPr="009C7F4B">
        <w:rPr>
          <w:rFonts w:ascii="Arial" w:eastAsia="SimSun" w:hAnsi="Arial" w:cs="Arial"/>
          <w:sz w:val="22"/>
          <w:szCs w:val="22"/>
        </w:rPr>
        <w:t xml:space="preserve">2.BUR/INF.1, </w:t>
      </w:r>
    </w:p>
    <w:p w14:paraId="7D3085CA" w14:textId="77777777" w:rsidR="00730B9B" w:rsidRPr="009C7F4B" w:rsidRDefault="00730B9B" w:rsidP="00BF6D09">
      <w:pPr>
        <w:pStyle w:val="ListParagraph"/>
        <w:numPr>
          <w:ilvl w:val="0"/>
          <w:numId w:val="22"/>
        </w:numPr>
        <w:autoSpaceDE w:val="0"/>
        <w:autoSpaceDN w:val="0"/>
        <w:adjustRightInd w:val="0"/>
        <w:spacing w:after="120"/>
        <w:ind w:left="1134" w:hanging="567"/>
        <w:contextualSpacing w:val="0"/>
        <w:jc w:val="both"/>
        <w:rPr>
          <w:rFonts w:ascii="Arial" w:eastAsia="SimSun" w:hAnsi="Arial" w:cs="Arial"/>
          <w:sz w:val="22"/>
          <w:szCs w:val="22"/>
          <w:u w:val="single"/>
        </w:rPr>
      </w:pPr>
      <w:r w:rsidRPr="009C7F4B">
        <w:rPr>
          <w:rFonts w:ascii="Arial" w:eastAsia="SimSun" w:hAnsi="Arial" w:cs="Arial"/>
          <w:sz w:val="22"/>
          <w:szCs w:val="22"/>
          <w:u w:val="single"/>
        </w:rPr>
        <w:t>R</w:t>
      </w:r>
      <w:r w:rsidR="00365F48" w:rsidRPr="009C7F4B">
        <w:rPr>
          <w:rFonts w:ascii="Arial" w:eastAsia="SimSun" w:hAnsi="Arial" w:cs="Arial"/>
          <w:sz w:val="22"/>
          <w:szCs w:val="22"/>
          <w:u w:val="single"/>
        </w:rPr>
        <w:t>appelant</w:t>
      </w:r>
      <w:r w:rsidRPr="009C7F4B">
        <w:rPr>
          <w:rFonts w:ascii="Arial" w:eastAsia="SimSun" w:hAnsi="Arial" w:cs="Arial"/>
          <w:sz w:val="22"/>
          <w:szCs w:val="22"/>
        </w:rPr>
        <w:t xml:space="preserve"> </w:t>
      </w:r>
      <w:r w:rsidR="00365F48" w:rsidRPr="009C7F4B">
        <w:rPr>
          <w:rFonts w:ascii="Arial" w:eastAsia="SimSun" w:hAnsi="Arial" w:cs="Arial"/>
          <w:sz w:val="22"/>
          <w:szCs w:val="22"/>
        </w:rPr>
        <w:t>la ré</w:t>
      </w:r>
      <w:r w:rsidRPr="009C7F4B">
        <w:rPr>
          <w:rFonts w:ascii="Arial" w:eastAsia="SimSun" w:hAnsi="Arial" w:cs="Arial"/>
          <w:sz w:val="22"/>
          <w:szCs w:val="22"/>
        </w:rPr>
        <w:t xml:space="preserve">solution 6.GA 9 </w:t>
      </w:r>
      <w:r w:rsidR="00365F48" w:rsidRPr="009C7F4B">
        <w:rPr>
          <w:rFonts w:ascii="Arial" w:eastAsia="SimSun" w:hAnsi="Arial" w:cs="Arial"/>
          <w:sz w:val="22"/>
          <w:szCs w:val="22"/>
        </w:rPr>
        <w:t>et la dé</w:t>
      </w:r>
      <w:r w:rsidRPr="009C7F4B">
        <w:rPr>
          <w:rFonts w:ascii="Arial" w:eastAsia="SimSun" w:hAnsi="Arial" w:cs="Arial"/>
          <w:sz w:val="22"/>
          <w:szCs w:val="22"/>
        </w:rPr>
        <w:t>cision 10.COM 8,</w:t>
      </w:r>
    </w:p>
    <w:p w14:paraId="49899BD4" w14:textId="77777777" w:rsidR="00730B9B" w:rsidRPr="009C7F4B" w:rsidRDefault="00730B9B" w:rsidP="00BF6D09">
      <w:pPr>
        <w:pStyle w:val="ListParagraph"/>
        <w:numPr>
          <w:ilvl w:val="0"/>
          <w:numId w:val="22"/>
        </w:numPr>
        <w:autoSpaceDE w:val="0"/>
        <w:autoSpaceDN w:val="0"/>
        <w:adjustRightInd w:val="0"/>
        <w:spacing w:after="120"/>
        <w:ind w:left="1134" w:hanging="567"/>
        <w:contextualSpacing w:val="0"/>
        <w:jc w:val="both"/>
        <w:rPr>
          <w:rFonts w:ascii="Arial" w:eastAsia="SimSun" w:hAnsi="Arial" w:cs="Arial"/>
          <w:sz w:val="22"/>
          <w:szCs w:val="22"/>
        </w:rPr>
      </w:pPr>
      <w:r w:rsidRPr="009C7F4B">
        <w:rPr>
          <w:rFonts w:ascii="Arial" w:eastAsia="SimSun" w:hAnsi="Arial" w:cs="Arial"/>
          <w:sz w:val="22"/>
          <w:szCs w:val="22"/>
          <w:u w:val="single"/>
        </w:rPr>
        <w:t>Appro</w:t>
      </w:r>
      <w:r w:rsidR="00365F48" w:rsidRPr="009C7F4B">
        <w:rPr>
          <w:rFonts w:ascii="Arial" w:eastAsia="SimSun" w:hAnsi="Arial" w:cs="Arial"/>
          <w:sz w:val="22"/>
          <w:szCs w:val="22"/>
          <w:u w:val="single"/>
        </w:rPr>
        <w:t>u</w:t>
      </w:r>
      <w:r w:rsidRPr="009C7F4B">
        <w:rPr>
          <w:rFonts w:ascii="Arial" w:eastAsia="SimSun" w:hAnsi="Arial" w:cs="Arial"/>
          <w:sz w:val="22"/>
          <w:szCs w:val="22"/>
          <w:u w:val="single"/>
        </w:rPr>
        <w:t>ve</w:t>
      </w:r>
      <w:r w:rsidR="00365F48" w:rsidRPr="009C7F4B">
        <w:rPr>
          <w:rFonts w:ascii="Arial" w:eastAsia="SimSun" w:hAnsi="Arial" w:cs="Arial"/>
          <w:sz w:val="22"/>
          <w:szCs w:val="22"/>
        </w:rPr>
        <w:t xml:space="preserve"> la proposition d’utilisation des fonds pour les </w:t>
      </w:r>
      <w:r w:rsidR="00EF6DAC" w:rsidRPr="009C7F4B">
        <w:rPr>
          <w:rFonts w:ascii="Arial" w:eastAsia="SimSun" w:hAnsi="Arial" w:cs="Arial"/>
          <w:sz w:val="22"/>
          <w:szCs w:val="22"/>
        </w:rPr>
        <w:t>« </w:t>
      </w:r>
      <w:r w:rsidR="00365F48" w:rsidRPr="009C7F4B">
        <w:rPr>
          <w:rFonts w:ascii="Arial" w:eastAsia="SimSun" w:hAnsi="Arial" w:cs="Arial"/>
          <w:sz w:val="22"/>
          <w:szCs w:val="22"/>
        </w:rPr>
        <w:t>autres fonctions du Comité</w:t>
      </w:r>
      <w:r w:rsidR="00EF6DAC" w:rsidRPr="009C7F4B">
        <w:rPr>
          <w:rFonts w:ascii="Arial" w:eastAsia="SimSun" w:hAnsi="Arial" w:cs="Arial"/>
          <w:sz w:val="22"/>
          <w:szCs w:val="22"/>
        </w:rPr>
        <w:t> »</w:t>
      </w:r>
      <w:r w:rsidR="00365F48" w:rsidRPr="009C7F4B">
        <w:rPr>
          <w:rFonts w:ascii="Arial" w:eastAsia="SimSun" w:hAnsi="Arial" w:cs="Arial"/>
          <w:sz w:val="22"/>
          <w:szCs w:val="22"/>
        </w:rPr>
        <w:t xml:space="preserve"> telle qu’annexée à la présente décision </w:t>
      </w:r>
      <w:r w:rsidRPr="009C7F4B">
        <w:rPr>
          <w:rFonts w:ascii="Arial" w:eastAsia="SimSun" w:hAnsi="Arial" w:cs="Arial"/>
          <w:sz w:val="22"/>
          <w:szCs w:val="22"/>
        </w:rPr>
        <w:t>;</w:t>
      </w:r>
    </w:p>
    <w:p w14:paraId="3F2C0130" w14:textId="2BF84493" w:rsidR="00730B9B" w:rsidRPr="009C7F4B" w:rsidRDefault="00365F48" w:rsidP="00BF6D09">
      <w:pPr>
        <w:pStyle w:val="ListParagraph"/>
        <w:numPr>
          <w:ilvl w:val="0"/>
          <w:numId w:val="22"/>
        </w:numPr>
        <w:autoSpaceDE w:val="0"/>
        <w:autoSpaceDN w:val="0"/>
        <w:adjustRightInd w:val="0"/>
        <w:spacing w:after="120"/>
        <w:ind w:left="1134" w:hanging="567"/>
        <w:contextualSpacing w:val="0"/>
        <w:jc w:val="both"/>
        <w:rPr>
          <w:rFonts w:ascii="Arial" w:eastAsia="SimSun" w:hAnsi="Arial" w:cs="Arial"/>
          <w:sz w:val="22"/>
          <w:szCs w:val="22"/>
        </w:rPr>
      </w:pPr>
      <w:r w:rsidRPr="009C7F4B">
        <w:rPr>
          <w:rFonts w:ascii="Arial" w:eastAsia="SimSun" w:hAnsi="Arial" w:cs="Arial"/>
          <w:sz w:val="22"/>
          <w:szCs w:val="22"/>
          <w:u w:val="single"/>
        </w:rPr>
        <w:t>Demande</w:t>
      </w:r>
      <w:r w:rsidRPr="009C7F4B">
        <w:rPr>
          <w:rFonts w:ascii="Arial" w:eastAsia="SimSun" w:hAnsi="Arial" w:cs="Arial"/>
          <w:sz w:val="22"/>
          <w:szCs w:val="22"/>
        </w:rPr>
        <w:t xml:space="preserve"> au </w:t>
      </w:r>
      <w:r w:rsidR="00730B9B" w:rsidRPr="009C7F4B">
        <w:rPr>
          <w:rFonts w:ascii="Arial" w:eastAsia="SimSun" w:hAnsi="Arial" w:cs="Arial"/>
          <w:sz w:val="22"/>
          <w:szCs w:val="22"/>
        </w:rPr>
        <w:t>Secr</w:t>
      </w:r>
      <w:r w:rsidRPr="009C7F4B">
        <w:rPr>
          <w:rFonts w:ascii="Arial" w:eastAsia="SimSun" w:hAnsi="Arial" w:cs="Arial"/>
          <w:sz w:val="22"/>
          <w:szCs w:val="22"/>
        </w:rPr>
        <w:t>é</w:t>
      </w:r>
      <w:r w:rsidR="00730B9B" w:rsidRPr="009C7F4B">
        <w:rPr>
          <w:rFonts w:ascii="Arial" w:eastAsia="SimSun" w:hAnsi="Arial" w:cs="Arial"/>
          <w:sz w:val="22"/>
          <w:szCs w:val="22"/>
        </w:rPr>
        <w:t xml:space="preserve">tariat </w:t>
      </w:r>
      <w:r w:rsidRPr="009C7F4B">
        <w:rPr>
          <w:rFonts w:ascii="Arial" w:eastAsia="SimSun" w:hAnsi="Arial" w:cs="Arial"/>
          <w:sz w:val="22"/>
          <w:szCs w:val="22"/>
        </w:rPr>
        <w:t xml:space="preserve">de rendre compte </w:t>
      </w:r>
      <w:r w:rsidR="00EF6DAC" w:rsidRPr="009C7F4B">
        <w:rPr>
          <w:rFonts w:ascii="Arial" w:eastAsia="SimSun" w:hAnsi="Arial" w:cs="Arial"/>
          <w:sz w:val="22"/>
          <w:szCs w:val="22"/>
        </w:rPr>
        <w:t>de</w:t>
      </w:r>
      <w:r w:rsidRPr="009C7F4B">
        <w:rPr>
          <w:rFonts w:ascii="Arial" w:eastAsia="SimSun" w:hAnsi="Arial" w:cs="Arial"/>
          <w:sz w:val="22"/>
          <w:szCs w:val="22"/>
        </w:rPr>
        <w:t xml:space="preserve"> l’avancement de la mise en </w:t>
      </w:r>
      <w:r w:rsidR="00EF6DAC" w:rsidRPr="009C7F4B">
        <w:rPr>
          <w:rFonts w:ascii="Arial" w:eastAsia="SimSun" w:hAnsi="Arial" w:cs="Arial"/>
          <w:sz w:val="22"/>
          <w:szCs w:val="22"/>
        </w:rPr>
        <w:t xml:space="preserve">œuvre </w:t>
      </w:r>
      <w:r w:rsidRPr="009C7F4B">
        <w:rPr>
          <w:rFonts w:ascii="Arial" w:eastAsia="SimSun" w:hAnsi="Arial" w:cs="Arial"/>
          <w:sz w:val="22"/>
          <w:szCs w:val="22"/>
        </w:rPr>
        <w:t xml:space="preserve">et </w:t>
      </w:r>
      <w:r w:rsidR="00EF6DAC" w:rsidRPr="009C7F4B">
        <w:rPr>
          <w:rFonts w:ascii="Arial" w:eastAsia="SimSun" w:hAnsi="Arial" w:cs="Arial"/>
          <w:sz w:val="22"/>
          <w:szCs w:val="22"/>
        </w:rPr>
        <w:t xml:space="preserve">de </w:t>
      </w:r>
      <w:r w:rsidRPr="009C7F4B">
        <w:rPr>
          <w:rFonts w:ascii="Arial" w:eastAsia="SimSun" w:hAnsi="Arial" w:cs="Arial"/>
          <w:sz w:val="22"/>
          <w:szCs w:val="22"/>
        </w:rPr>
        <w:t>la façon dont les fonds sont dépensés </w:t>
      </w:r>
      <w:r w:rsidR="00730B9B" w:rsidRPr="009C7F4B">
        <w:rPr>
          <w:rFonts w:ascii="Arial" w:eastAsia="SimSun" w:hAnsi="Arial" w:cs="Arial"/>
          <w:sz w:val="22"/>
          <w:szCs w:val="22"/>
        </w:rPr>
        <w:t>;</w:t>
      </w:r>
    </w:p>
    <w:p w14:paraId="16365ADE" w14:textId="77777777" w:rsidR="00730B9B" w:rsidRPr="009C7F4B" w:rsidRDefault="00730B9B" w:rsidP="00BF6D09">
      <w:pPr>
        <w:pStyle w:val="ListParagraph"/>
        <w:numPr>
          <w:ilvl w:val="0"/>
          <w:numId w:val="22"/>
        </w:numPr>
        <w:autoSpaceDE w:val="0"/>
        <w:autoSpaceDN w:val="0"/>
        <w:adjustRightInd w:val="0"/>
        <w:spacing w:after="120"/>
        <w:ind w:left="1134" w:hanging="567"/>
        <w:contextualSpacing w:val="0"/>
        <w:jc w:val="both"/>
        <w:rPr>
          <w:rFonts w:ascii="Arial" w:eastAsia="SimSun" w:hAnsi="Arial" w:cs="Arial"/>
          <w:sz w:val="22"/>
          <w:szCs w:val="22"/>
        </w:rPr>
      </w:pPr>
      <w:r w:rsidRPr="009C7F4B">
        <w:rPr>
          <w:rFonts w:ascii="Arial" w:eastAsia="SimSun" w:hAnsi="Arial" w:cs="Arial"/>
          <w:sz w:val="22"/>
          <w:szCs w:val="22"/>
          <w:u w:val="single"/>
        </w:rPr>
        <w:t>Invite</w:t>
      </w:r>
      <w:r w:rsidR="00365F48" w:rsidRPr="009C7F4B">
        <w:rPr>
          <w:rFonts w:ascii="Arial" w:eastAsia="SimSun" w:hAnsi="Arial" w:cs="Arial"/>
          <w:sz w:val="22"/>
          <w:szCs w:val="22"/>
        </w:rPr>
        <w:t xml:space="preserve"> le Président du Comité </w:t>
      </w:r>
      <w:r w:rsidR="004312CB" w:rsidRPr="009C7F4B">
        <w:rPr>
          <w:rFonts w:ascii="Arial" w:eastAsia="SimSun" w:hAnsi="Arial" w:cs="Arial"/>
          <w:sz w:val="22"/>
          <w:szCs w:val="22"/>
        </w:rPr>
        <w:t>à</w:t>
      </w:r>
      <w:r w:rsidR="00365F48" w:rsidRPr="009C7F4B">
        <w:rPr>
          <w:rFonts w:ascii="Arial" w:eastAsia="SimSun" w:hAnsi="Arial" w:cs="Arial"/>
          <w:sz w:val="22"/>
          <w:szCs w:val="22"/>
        </w:rPr>
        <w:t xml:space="preserve"> porter </w:t>
      </w:r>
      <w:r w:rsidR="001E3E79" w:rsidRPr="009C7F4B">
        <w:rPr>
          <w:rFonts w:ascii="Arial" w:eastAsia="SimSun" w:hAnsi="Arial" w:cs="Arial"/>
          <w:sz w:val="22"/>
          <w:szCs w:val="22"/>
        </w:rPr>
        <w:t>cette</w:t>
      </w:r>
      <w:r w:rsidR="00365F48" w:rsidRPr="009C7F4B">
        <w:rPr>
          <w:rFonts w:ascii="Arial" w:eastAsia="SimSun" w:hAnsi="Arial" w:cs="Arial"/>
          <w:sz w:val="22"/>
          <w:szCs w:val="22"/>
        </w:rPr>
        <w:t xml:space="preserve"> décision à l’attention du Comité lors de sa onzième session</w:t>
      </w:r>
      <w:r w:rsidRPr="009C7F4B">
        <w:rPr>
          <w:rFonts w:ascii="Arial" w:eastAsia="SimSun" w:hAnsi="Arial" w:cs="Arial"/>
          <w:sz w:val="22"/>
          <w:szCs w:val="22"/>
        </w:rPr>
        <w:t>.</w:t>
      </w:r>
    </w:p>
    <w:p w14:paraId="3E48B49D" w14:textId="77777777" w:rsidR="00D4131A" w:rsidRPr="009C7F4B" w:rsidRDefault="00D4131A" w:rsidP="00D63952">
      <w:pPr>
        <w:jc w:val="both"/>
        <w:rPr>
          <w:rFonts w:ascii="Arial" w:hAnsi="Arial" w:cs="Arial"/>
          <w:snapToGrid w:val="0"/>
          <w:sz w:val="22"/>
          <w:szCs w:val="22"/>
          <w:lang w:eastAsia="en-US"/>
        </w:rPr>
      </w:pPr>
      <w:r w:rsidRPr="009C7F4B">
        <w:br w:type="page"/>
      </w:r>
    </w:p>
    <w:p w14:paraId="0645CD32" w14:textId="77777777" w:rsidR="004E1B8E" w:rsidRPr="009C7F4B" w:rsidRDefault="004E1B8E" w:rsidP="004E1B8E">
      <w:pPr>
        <w:pageBreakBefore/>
        <w:snapToGrid w:val="0"/>
        <w:spacing w:before="120" w:after="120"/>
        <w:jc w:val="center"/>
        <w:rPr>
          <w:rFonts w:ascii="Arial" w:hAnsi="Arial" w:cs="Arial"/>
          <w:b/>
          <w:bCs/>
          <w:snapToGrid w:val="0"/>
          <w:sz w:val="22"/>
          <w:szCs w:val="22"/>
          <w:lang w:eastAsia="en-US"/>
        </w:rPr>
      </w:pPr>
      <w:r w:rsidRPr="009C7F4B">
        <w:rPr>
          <w:rFonts w:ascii="Arial" w:hAnsi="Arial" w:cs="Arial"/>
          <w:b/>
          <w:bCs/>
          <w:snapToGrid w:val="0"/>
          <w:sz w:val="22"/>
          <w:szCs w:val="22"/>
          <w:lang w:eastAsia="en-US"/>
        </w:rPr>
        <w:lastRenderedPageBreak/>
        <w:t>ANNEX</w:t>
      </w:r>
      <w:r w:rsidR="00F340B1" w:rsidRPr="009C7F4B">
        <w:rPr>
          <w:rFonts w:ascii="Arial" w:hAnsi="Arial" w:cs="Arial"/>
          <w:b/>
          <w:bCs/>
          <w:snapToGrid w:val="0"/>
          <w:sz w:val="22"/>
          <w:szCs w:val="22"/>
          <w:lang w:eastAsia="en-US"/>
        </w:rPr>
        <w:t>E</w:t>
      </w:r>
    </w:p>
    <w:p w14:paraId="3EDDA8B1" w14:textId="77777777" w:rsidR="004E1B8E" w:rsidRPr="009C7F4B" w:rsidRDefault="004E1B8E" w:rsidP="004E1B8E">
      <w:pPr>
        <w:snapToGrid w:val="0"/>
        <w:spacing w:before="120" w:after="120"/>
        <w:jc w:val="center"/>
        <w:rPr>
          <w:rFonts w:ascii="Arial" w:hAnsi="Arial" w:cs="Arial"/>
          <w:b/>
          <w:bCs/>
          <w:snapToGrid w:val="0"/>
          <w:sz w:val="22"/>
          <w:szCs w:val="22"/>
          <w:lang w:eastAsia="en-US"/>
        </w:rPr>
      </w:pPr>
      <w:r w:rsidRPr="009C7F4B">
        <w:rPr>
          <w:rFonts w:ascii="Arial" w:hAnsi="Arial" w:cs="Arial"/>
          <w:b/>
          <w:bCs/>
          <w:snapToGrid w:val="0"/>
          <w:sz w:val="22"/>
          <w:szCs w:val="22"/>
          <w:lang w:eastAsia="en-US"/>
        </w:rPr>
        <w:t>Propos</w:t>
      </w:r>
      <w:r w:rsidR="00F340B1" w:rsidRPr="009C7F4B">
        <w:rPr>
          <w:rFonts w:ascii="Arial" w:hAnsi="Arial" w:cs="Arial"/>
          <w:b/>
          <w:bCs/>
          <w:snapToGrid w:val="0"/>
          <w:sz w:val="22"/>
          <w:szCs w:val="22"/>
          <w:lang w:eastAsia="en-US"/>
        </w:rPr>
        <w:t xml:space="preserve">ition d’utilisation des fonds pour les </w:t>
      </w:r>
      <w:r w:rsidR="001045EB" w:rsidRPr="009C7F4B">
        <w:rPr>
          <w:rFonts w:ascii="Arial" w:hAnsi="Arial" w:cs="Arial"/>
          <w:b/>
          <w:bCs/>
          <w:snapToGrid w:val="0"/>
          <w:sz w:val="22"/>
          <w:szCs w:val="22"/>
          <w:lang w:eastAsia="en-US"/>
        </w:rPr>
        <w:t>« </w:t>
      </w:r>
      <w:r w:rsidR="00F340B1" w:rsidRPr="009C7F4B">
        <w:rPr>
          <w:rFonts w:ascii="Arial" w:hAnsi="Arial" w:cs="Arial"/>
          <w:b/>
          <w:bCs/>
          <w:snapToGrid w:val="0"/>
          <w:sz w:val="22"/>
          <w:szCs w:val="22"/>
          <w:lang w:eastAsia="en-US"/>
        </w:rPr>
        <w:t>autres fonctions du comité »</w:t>
      </w:r>
      <w:r w:rsidRPr="009C7F4B">
        <w:rPr>
          <w:rFonts w:ascii="Arial" w:hAnsi="Arial" w:cs="Arial"/>
          <w:b/>
          <w:bCs/>
          <w:snapToGrid w:val="0"/>
          <w:sz w:val="22"/>
          <w:szCs w:val="22"/>
          <w:lang w:eastAsia="en-US"/>
        </w:rPr>
        <w:br/>
      </w:r>
      <w:r w:rsidR="00F340B1" w:rsidRPr="009C7F4B">
        <w:rPr>
          <w:rFonts w:ascii="Arial" w:hAnsi="Arial" w:cs="Arial"/>
          <w:b/>
          <w:bCs/>
          <w:snapToGrid w:val="0"/>
          <w:sz w:val="22"/>
          <w:szCs w:val="22"/>
          <w:lang w:eastAsia="en-US"/>
        </w:rPr>
        <w:t xml:space="preserve">pour la période du </w:t>
      </w:r>
      <w:r w:rsidRPr="009C7F4B">
        <w:rPr>
          <w:rFonts w:ascii="Arial" w:hAnsi="Arial" w:cs="Arial"/>
          <w:b/>
          <w:bCs/>
          <w:snapToGrid w:val="0"/>
          <w:sz w:val="22"/>
          <w:szCs w:val="22"/>
          <w:lang w:eastAsia="en-US"/>
        </w:rPr>
        <w:t>1</w:t>
      </w:r>
      <w:r w:rsidR="00F340B1" w:rsidRPr="009C7F4B">
        <w:rPr>
          <w:rFonts w:ascii="Arial" w:hAnsi="Arial" w:cs="Arial"/>
          <w:b/>
          <w:bCs/>
          <w:snapToGrid w:val="0"/>
          <w:sz w:val="22"/>
          <w:szCs w:val="22"/>
          <w:vertAlign w:val="superscript"/>
          <w:lang w:eastAsia="en-US"/>
        </w:rPr>
        <w:t>er</w:t>
      </w:r>
      <w:r w:rsidR="00F340B1" w:rsidRPr="009C7F4B">
        <w:rPr>
          <w:rFonts w:ascii="Arial" w:hAnsi="Arial" w:cs="Arial"/>
          <w:b/>
          <w:bCs/>
          <w:snapToGrid w:val="0"/>
          <w:sz w:val="22"/>
          <w:szCs w:val="22"/>
          <w:lang w:eastAsia="en-US"/>
        </w:rPr>
        <w:t xml:space="preserve"> janvier</w:t>
      </w:r>
      <w:r w:rsidRPr="009C7F4B">
        <w:rPr>
          <w:rFonts w:ascii="Arial" w:hAnsi="Arial" w:cs="Arial"/>
          <w:b/>
          <w:bCs/>
          <w:snapToGrid w:val="0"/>
          <w:sz w:val="22"/>
          <w:szCs w:val="22"/>
          <w:lang w:eastAsia="en-US"/>
        </w:rPr>
        <w:t xml:space="preserve"> 2016 </w:t>
      </w:r>
      <w:r w:rsidR="00F340B1" w:rsidRPr="009C7F4B">
        <w:rPr>
          <w:rFonts w:ascii="Arial" w:hAnsi="Arial" w:cs="Arial"/>
          <w:b/>
          <w:bCs/>
          <w:snapToGrid w:val="0"/>
          <w:sz w:val="22"/>
          <w:szCs w:val="22"/>
          <w:lang w:eastAsia="en-US"/>
        </w:rPr>
        <w:t>au</w:t>
      </w:r>
      <w:r w:rsidRPr="009C7F4B">
        <w:rPr>
          <w:rFonts w:ascii="Arial" w:hAnsi="Arial" w:cs="Arial"/>
          <w:b/>
          <w:bCs/>
          <w:snapToGrid w:val="0"/>
          <w:sz w:val="22"/>
          <w:szCs w:val="22"/>
          <w:lang w:eastAsia="en-US"/>
        </w:rPr>
        <w:t xml:space="preserve"> 31 </w:t>
      </w:r>
      <w:r w:rsidR="00F340B1" w:rsidRPr="009C7F4B">
        <w:rPr>
          <w:rFonts w:ascii="Arial" w:hAnsi="Arial" w:cs="Arial"/>
          <w:b/>
          <w:bCs/>
          <w:snapToGrid w:val="0"/>
          <w:sz w:val="22"/>
          <w:szCs w:val="22"/>
          <w:lang w:eastAsia="en-US"/>
        </w:rPr>
        <w:t>dé</w:t>
      </w:r>
      <w:r w:rsidRPr="009C7F4B">
        <w:rPr>
          <w:rFonts w:ascii="Arial" w:hAnsi="Arial" w:cs="Arial"/>
          <w:b/>
          <w:bCs/>
          <w:snapToGrid w:val="0"/>
          <w:sz w:val="22"/>
          <w:szCs w:val="22"/>
          <w:lang w:eastAsia="en-US"/>
        </w:rPr>
        <w:t>cemb</w:t>
      </w:r>
      <w:r w:rsidR="00F340B1" w:rsidRPr="009C7F4B">
        <w:rPr>
          <w:rFonts w:ascii="Arial" w:hAnsi="Arial" w:cs="Arial"/>
          <w:b/>
          <w:bCs/>
          <w:snapToGrid w:val="0"/>
          <w:sz w:val="22"/>
          <w:szCs w:val="22"/>
          <w:lang w:eastAsia="en-US"/>
        </w:rPr>
        <w:t>r</w:t>
      </w:r>
      <w:r w:rsidRPr="009C7F4B">
        <w:rPr>
          <w:rFonts w:ascii="Arial" w:hAnsi="Arial" w:cs="Arial"/>
          <w:b/>
          <w:bCs/>
          <w:snapToGrid w:val="0"/>
          <w:sz w:val="22"/>
          <w:szCs w:val="22"/>
          <w:lang w:eastAsia="en-US"/>
        </w:rPr>
        <w:t>e 2017</w:t>
      </w:r>
    </w:p>
    <w:p w14:paraId="589D6A9C" w14:textId="2C892864" w:rsidR="004E1B8E" w:rsidRPr="009C7F4B" w:rsidRDefault="008137C5" w:rsidP="004E1B8E">
      <w:pPr>
        <w:tabs>
          <w:tab w:val="left" w:pos="567"/>
        </w:tabs>
        <w:snapToGrid w:val="0"/>
        <w:spacing w:before="360" w:after="360"/>
        <w:jc w:val="both"/>
        <w:rPr>
          <w:rFonts w:ascii="Arial" w:hAnsi="Arial" w:cs="Arial"/>
          <w:snapToGrid w:val="0"/>
          <w:sz w:val="22"/>
          <w:szCs w:val="22"/>
          <w:lang w:eastAsia="en-US"/>
        </w:rPr>
      </w:pPr>
      <w:r w:rsidRPr="009C7F4B">
        <w:rPr>
          <w:rFonts w:ascii="Arial" w:hAnsi="Arial" w:cs="Arial"/>
          <w:snapToGrid w:val="0"/>
          <w:sz w:val="22"/>
          <w:szCs w:val="22"/>
          <w:lang w:eastAsia="en-US"/>
        </w:rPr>
        <w:t>Les fonds seront utilisés conformément au Règlement financier du Compte spécial pour le Fonds pour la sauvegarde du patrimoine culturel immatériel et au Règlement financier de l’UNESCO</w:t>
      </w:r>
      <w:r w:rsidR="00A24843" w:rsidRPr="009C7F4B">
        <w:rPr>
          <w:rFonts w:ascii="Arial" w:hAnsi="Arial" w:cs="Arial"/>
          <w:snapToGrid w:val="0"/>
          <w:sz w:val="22"/>
          <w:szCs w:val="22"/>
          <w:lang w:eastAsia="en-US"/>
        </w:rPr>
        <w:t xml:space="preserve"> </w:t>
      </w:r>
      <w:r w:rsidR="00924542" w:rsidRPr="009C7F4B">
        <w:rPr>
          <w:rFonts w:ascii="Arial" w:hAnsi="Arial" w:cs="Arial"/>
          <w:snapToGrid w:val="0"/>
          <w:sz w:val="22"/>
          <w:szCs w:val="22"/>
          <w:lang w:eastAsia="en-US"/>
        </w:rPr>
        <w:t>qui exigent de</w:t>
      </w:r>
      <w:r w:rsidR="00AA2C8B" w:rsidRPr="009C7F4B">
        <w:rPr>
          <w:rFonts w:ascii="Arial" w:hAnsi="Arial" w:cs="Arial"/>
          <w:snapToGrid w:val="0"/>
          <w:sz w:val="22"/>
          <w:szCs w:val="22"/>
          <w:lang w:eastAsia="en-US"/>
        </w:rPr>
        <w:t xml:space="preserve"> couvrir tous les coûts selon les principes de </w:t>
      </w:r>
      <w:r w:rsidR="00924542" w:rsidRPr="009C7F4B">
        <w:rPr>
          <w:rFonts w:ascii="Arial" w:hAnsi="Arial" w:cs="Arial"/>
          <w:snapToGrid w:val="0"/>
          <w:sz w:val="22"/>
          <w:szCs w:val="22"/>
          <w:lang w:eastAsia="en-US"/>
        </w:rPr>
        <w:t xml:space="preserve">la </w:t>
      </w:r>
      <w:r w:rsidR="00AA2C8B" w:rsidRPr="009C7F4B">
        <w:rPr>
          <w:rFonts w:ascii="Arial" w:hAnsi="Arial" w:cs="Arial"/>
          <w:snapToGrid w:val="0"/>
          <w:sz w:val="22"/>
          <w:szCs w:val="22"/>
          <w:lang w:eastAsia="en-US"/>
        </w:rPr>
        <w:t>budgétisation intégrale pour atteindre les objectifs du projet</w:t>
      </w:r>
      <w:r w:rsidR="004E1B8E" w:rsidRPr="009C7F4B">
        <w:rPr>
          <w:rFonts w:ascii="Arial" w:hAnsi="Arial" w:cs="Arial"/>
          <w:snapToGrid w:val="0"/>
          <w:sz w:val="22"/>
          <w:szCs w:val="22"/>
          <w:lang w:eastAsia="en-US"/>
        </w:rPr>
        <w:t xml:space="preserve">. </w:t>
      </w:r>
      <w:r w:rsidR="00AA2C8B" w:rsidRPr="009C7F4B">
        <w:rPr>
          <w:rFonts w:ascii="Arial" w:hAnsi="Arial" w:cs="Arial"/>
          <w:snapToGrid w:val="0"/>
          <w:sz w:val="22"/>
          <w:szCs w:val="22"/>
          <w:lang w:eastAsia="en-US"/>
        </w:rPr>
        <w:t xml:space="preserve">Ces coûts </w:t>
      </w:r>
      <w:r w:rsidR="00653EC6" w:rsidRPr="009C7F4B">
        <w:rPr>
          <w:rFonts w:ascii="Arial" w:hAnsi="Arial" w:cs="Arial"/>
          <w:snapToGrid w:val="0"/>
          <w:sz w:val="22"/>
          <w:szCs w:val="22"/>
          <w:lang w:eastAsia="en-US"/>
        </w:rPr>
        <w:t>incluent </w:t>
      </w:r>
      <w:r w:rsidR="00AA2C8B" w:rsidRPr="009C7F4B">
        <w:rPr>
          <w:rFonts w:ascii="Arial" w:hAnsi="Arial" w:cs="Arial"/>
          <w:snapToGrid w:val="0"/>
          <w:sz w:val="22"/>
          <w:szCs w:val="22"/>
          <w:lang w:eastAsia="en-US"/>
        </w:rPr>
        <w:t>:</w:t>
      </w:r>
      <w:r w:rsidR="004E1B8E" w:rsidRPr="009C7F4B">
        <w:rPr>
          <w:rFonts w:ascii="Arial" w:hAnsi="Arial" w:cs="Arial"/>
          <w:snapToGrid w:val="0"/>
          <w:sz w:val="22"/>
          <w:szCs w:val="22"/>
          <w:lang w:eastAsia="en-US"/>
        </w:rPr>
        <w:t xml:space="preserve"> </w:t>
      </w:r>
      <w:r w:rsidR="00AA2C8B" w:rsidRPr="009C7F4B">
        <w:rPr>
          <w:rFonts w:ascii="Arial" w:hAnsi="Arial" w:cs="Arial"/>
          <w:snapToGrid w:val="0"/>
          <w:sz w:val="22"/>
          <w:szCs w:val="22"/>
          <w:lang w:eastAsia="en-US"/>
        </w:rPr>
        <w:t xml:space="preserve">la formation, les séminaires et les </w:t>
      </w:r>
      <w:r w:rsidR="00653EC6" w:rsidRPr="009C7F4B">
        <w:rPr>
          <w:rFonts w:ascii="Arial" w:hAnsi="Arial" w:cs="Arial"/>
          <w:snapToGrid w:val="0"/>
          <w:sz w:val="22"/>
          <w:szCs w:val="22"/>
          <w:lang w:eastAsia="en-US"/>
        </w:rPr>
        <w:t>réunions </w:t>
      </w:r>
      <w:r w:rsidR="00AA2C8B" w:rsidRPr="009C7F4B">
        <w:rPr>
          <w:rFonts w:ascii="Arial" w:hAnsi="Arial" w:cs="Arial"/>
          <w:snapToGrid w:val="0"/>
          <w:sz w:val="22"/>
          <w:szCs w:val="22"/>
          <w:lang w:eastAsia="en-US"/>
        </w:rPr>
        <w:t>; la préparation des rapports techniques </w:t>
      </w:r>
      <w:r w:rsidR="004E1B8E" w:rsidRPr="009C7F4B">
        <w:rPr>
          <w:rFonts w:ascii="Arial" w:hAnsi="Arial" w:cs="Arial"/>
          <w:snapToGrid w:val="0"/>
          <w:sz w:val="22"/>
          <w:szCs w:val="22"/>
          <w:lang w:eastAsia="en-US"/>
        </w:rPr>
        <w:t xml:space="preserve">; </w:t>
      </w:r>
      <w:r w:rsidR="00AA2C8B" w:rsidRPr="009C7F4B">
        <w:rPr>
          <w:rFonts w:ascii="Arial" w:hAnsi="Arial" w:cs="Arial"/>
          <w:snapToGrid w:val="0"/>
          <w:sz w:val="22"/>
          <w:szCs w:val="22"/>
          <w:lang w:eastAsia="en-US"/>
        </w:rPr>
        <w:t xml:space="preserve">le suivi et l’évaluation ; la sous-traitance ; le personnel ; les voyages ; le matériel et tout autre </w:t>
      </w:r>
      <w:r w:rsidR="00983577" w:rsidRPr="009C7F4B">
        <w:rPr>
          <w:rFonts w:ascii="Arial" w:hAnsi="Arial" w:cs="Arial"/>
          <w:snapToGrid w:val="0"/>
          <w:sz w:val="22"/>
          <w:szCs w:val="22"/>
          <w:lang w:eastAsia="en-US"/>
        </w:rPr>
        <w:t>élément nécessaire pour mettre en œuvre les activités du projet</w:t>
      </w:r>
      <w:r w:rsidR="004E1B8E" w:rsidRPr="009C7F4B">
        <w:rPr>
          <w:rFonts w:ascii="Arial" w:hAnsi="Arial" w:cs="Arial"/>
          <w:snapToGrid w:val="0"/>
          <w:sz w:val="22"/>
          <w:szCs w:val="22"/>
          <w:lang w:eastAsia="en-US"/>
        </w:rPr>
        <w:t>.</w:t>
      </w:r>
    </w:p>
    <w:tbl>
      <w:tblPr>
        <w:tblStyle w:val="Grilledutableau1"/>
        <w:tblW w:w="5000" w:type="pct"/>
        <w:tblLayout w:type="fixed"/>
        <w:tblLook w:val="04A0" w:firstRow="1" w:lastRow="0" w:firstColumn="1" w:lastColumn="0" w:noHBand="0" w:noVBand="1"/>
      </w:tblPr>
      <w:tblGrid>
        <w:gridCol w:w="2316"/>
        <w:gridCol w:w="7538"/>
      </w:tblGrid>
      <w:tr w:rsidR="004E1B8E" w:rsidRPr="009C7F4B" w14:paraId="7D1EBAFE" w14:textId="77777777" w:rsidTr="000A2819">
        <w:trPr>
          <w:cantSplit/>
        </w:trPr>
        <w:tc>
          <w:tcPr>
            <w:tcW w:w="1175" w:type="pct"/>
            <w:shd w:val="clear" w:color="auto" w:fill="F2F2F2" w:themeFill="background1" w:themeFillShade="F2"/>
            <w:vAlign w:val="center"/>
          </w:tcPr>
          <w:p w14:paraId="2A0FDA7C" w14:textId="77777777" w:rsidR="004E1B8E" w:rsidRPr="009C7F4B" w:rsidRDefault="004E1B8E" w:rsidP="004E1B8E">
            <w:pPr>
              <w:keepNext/>
              <w:spacing w:before="120" w:after="120"/>
              <w:rPr>
                <w:rFonts w:ascii="Arial" w:hAnsi="Arial" w:cs="Arial"/>
                <w:b/>
                <w:bCs/>
                <w:sz w:val="22"/>
                <w:szCs w:val="22"/>
              </w:rPr>
            </w:pPr>
            <w:r w:rsidRPr="009C7F4B">
              <w:rPr>
                <w:rFonts w:ascii="Arial" w:hAnsi="Arial" w:cs="Arial"/>
                <w:b/>
                <w:bCs/>
                <w:sz w:val="22"/>
                <w:szCs w:val="22"/>
              </w:rPr>
              <w:t>199OTH4138</w:t>
            </w:r>
          </w:p>
        </w:tc>
        <w:tc>
          <w:tcPr>
            <w:tcW w:w="3825" w:type="pct"/>
            <w:shd w:val="clear" w:color="auto" w:fill="F2F2F2" w:themeFill="background1" w:themeFillShade="F2"/>
            <w:vAlign w:val="center"/>
          </w:tcPr>
          <w:p w14:paraId="3D3D8B88" w14:textId="77777777" w:rsidR="004E1B8E" w:rsidRPr="009C7F4B" w:rsidRDefault="001045EB" w:rsidP="001045EB">
            <w:pPr>
              <w:keepNext/>
              <w:spacing w:before="120" w:after="120"/>
              <w:rPr>
                <w:rFonts w:ascii="Arial" w:hAnsi="Arial" w:cs="Arial"/>
                <w:b/>
                <w:bCs/>
                <w:sz w:val="22"/>
                <w:szCs w:val="22"/>
              </w:rPr>
            </w:pPr>
            <w:r w:rsidRPr="009C7F4B">
              <w:rPr>
                <w:rFonts w:ascii="Arial" w:hAnsi="Arial" w:cs="Arial"/>
                <w:b/>
                <w:bCs/>
                <w:sz w:val="22"/>
                <w:szCs w:val="22"/>
              </w:rPr>
              <w:t>Dotation budgétaire totale </w:t>
            </w:r>
            <w:r w:rsidR="004E1B8E" w:rsidRPr="009C7F4B">
              <w:rPr>
                <w:rFonts w:ascii="Arial" w:hAnsi="Arial" w:cs="Arial"/>
                <w:b/>
                <w:bCs/>
                <w:sz w:val="22"/>
                <w:szCs w:val="22"/>
              </w:rPr>
              <w:t xml:space="preserve">: </w:t>
            </w:r>
            <w:r w:rsidR="004E1B8E" w:rsidRPr="009C7F4B">
              <w:rPr>
                <w:rFonts w:ascii="Arial" w:hAnsi="Arial" w:cs="Arial"/>
                <w:b/>
                <w:bCs/>
                <w:sz w:val="22"/>
                <w:szCs w:val="22"/>
              </w:rPr>
              <w:br/>
              <w:t>1</w:t>
            </w:r>
            <w:r w:rsidRPr="009C7F4B">
              <w:rPr>
                <w:rFonts w:ascii="Arial" w:hAnsi="Arial" w:cs="Arial"/>
                <w:b/>
                <w:bCs/>
                <w:sz w:val="22"/>
                <w:szCs w:val="22"/>
              </w:rPr>
              <w:t> </w:t>
            </w:r>
            <w:r w:rsidR="004E1B8E" w:rsidRPr="009C7F4B">
              <w:rPr>
                <w:rFonts w:ascii="Arial" w:hAnsi="Arial" w:cs="Arial"/>
                <w:b/>
                <w:bCs/>
                <w:sz w:val="22"/>
                <w:szCs w:val="22"/>
              </w:rPr>
              <w:t>590</w:t>
            </w:r>
            <w:r w:rsidRPr="009C7F4B">
              <w:rPr>
                <w:rFonts w:ascii="Arial" w:hAnsi="Arial" w:cs="Arial"/>
                <w:b/>
                <w:bCs/>
                <w:sz w:val="22"/>
                <w:szCs w:val="22"/>
              </w:rPr>
              <w:t> </w:t>
            </w:r>
            <w:r w:rsidR="004E1B8E" w:rsidRPr="009C7F4B">
              <w:rPr>
                <w:rFonts w:ascii="Arial" w:hAnsi="Arial" w:cs="Arial"/>
                <w:b/>
                <w:bCs/>
                <w:sz w:val="22"/>
                <w:szCs w:val="22"/>
              </w:rPr>
              <w:t>746</w:t>
            </w:r>
            <w:r w:rsidRPr="009C7F4B">
              <w:rPr>
                <w:rFonts w:ascii="Arial" w:hAnsi="Arial" w:cs="Arial"/>
                <w:b/>
                <w:bCs/>
                <w:sz w:val="22"/>
                <w:szCs w:val="22"/>
              </w:rPr>
              <w:t>,</w:t>
            </w:r>
            <w:r w:rsidR="004E1B8E" w:rsidRPr="009C7F4B">
              <w:rPr>
                <w:rFonts w:ascii="Arial" w:hAnsi="Arial" w:cs="Arial"/>
                <w:b/>
                <w:bCs/>
                <w:sz w:val="22"/>
                <w:szCs w:val="22"/>
              </w:rPr>
              <w:t>00</w:t>
            </w:r>
            <w:r w:rsidRPr="009C7F4B">
              <w:rPr>
                <w:rFonts w:ascii="Arial" w:hAnsi="Arial" w:cs="Arial"/>
                <w:b/>
                <w:bCs/>
                <w:sz w:val="22"/>
                <w:szCs w:val="22"/>
              </w:rPr>
              <w:t xml:space="preserve"> dollars des </w:t>
            </w:r>
            <w:r w:rsidR="004312CB" w:rsidRPr="009C7F4B">
              <w:rPr>
                <w:rFonts w:ascii="Arial" w:hAnsi="Arial" w:cs="Arial"/>
                <w:b/>
                <w:bCs/>
                <w:sz w:val="22"/>
                <w:szCs w:val="22"/>
              </w:rPr>
              <w:t>États-Unis</w:t>
            </w:r>
            <w:r w:rsidR="004E1B8E" w:rsidRPr="009C7F4B">
              <w:rPr>
                <w:rFonts w:ascii="Arial" w:hAnsi="Arial" w:cs="Arial"/>
                <w:b/>
                <w:bCs/>
                <w:sz w:val="22"/>
                <w:szCs w:val="22"/>
              </w:rPr>
              <w:t xml:space="preserve"> </w:t>
            </w:r>
          </w:p>
        </w:tc>
      </w:tr>
    </w:tbl>
    <w:p w14:paraId="1EF89345" w14:textId="77777777" w:rsidR="004E1B8E" w:rsidRPr="009C7F4B" w:rsidRDefault="004E1B8E" w:rsidP="004E1B8E">
      <w:pPr>
        <w:tabs>
          <w:tab w:val="left" w:pos="567"/>
        </w:tabs>
        <w:snapToGrid w:val="0"/>
        <w:spacing w:before="120" w:after="120"/>
        <w:jc w:val="both"/>
        <w:rPr>
          <w:rFonts w:ascii="Arial" w:hAnsi="Arial" w:cs="Arial"/>
          <w:b/>
          <w:bCs/>
          <w:snapToGrid w:val="0"/>
          <w:sz w:val="22"/>
          <w:szCs w:val="22"/>
          <w:lang w:eastAsia="en-US"/>
        </w:rPr>
      </w:pPr>
    </w:p>
    <w:tbl>
      <w:tblPr>
        <w:tblStyle w:val="Grilledutableau1"/>
        <w:tblW w:w="5000" w:type="pct"/>
        <w:tblLook w:val="04A0" w:firstRow="1" w:lastRow="0" w:firstColumn="1" w:lastColumn="0" w:noHBand="0" w:noVBand="1"/>
      </w:tblPr>
      <w:tblGrid>
        <w:gridCol w:w="747"/>
        <w:gridCol w:w="1594"/>
        <w:gridCol w:w="2958"/>
        <w:gridCol w:w="4555"/>
      </w:tblGrid>
      <w:tr w:rsidR="004E1B8E" w:rsidRPr="009C7F4B" w14:paraId="35021ED3" w14:textId="77777777" w:rsidTr="000A2819">
        <w:trPr>
          <w:cantSplit/>
        </w:trPr>
        <w:tc>
          <w:tcPr>
            <w:tcW w:w="1188" w:type="pct"/>
            <w:gridSpan w:val="2"/>
            <w:shd w:val="clear" w:color="auto" w:fill="808080" w:themeFill="background1" w:themeFillShade="80"/>
            <w:vAlign w:val="center"/>
          </w:tcPr>
          <w:p w14:paraId="41366E3F" w14:textId="77777777" w:rsidR="004E1B8E" w:rsidRPr="009C7F4B" w:rsidRDefault="004E1B8E" w:rsidP="008D69F4">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 xml:space="preserve">38C/5 </w:t>
            </w:r>
            <w:r w:rsidR="008D69F4" w:rsidRPr="009C7F4B">
              <w:rPr>
                <w:rFonts w:ascii="Arial" w:hAnsi="Arial" w:cs="Arial"/>
                <w:b/>
                <w:bCs/>
                <w:color w:val="FFFFFF" w:themeColor="background1"/>
                <w:sz w:val="22"/>
                <w:szCs w:val="22"/>
              </w:rPr>
              <w:t>Indicateur de p</w:t>
            </w:r>
            <w:r w:rsidRPr="009C7F4B">
              <w:rPr>
                <w:rFonts w:ascii="Arial" w:hAnsi="Arial" w:cs="Arial"/>
                <w:b/>
                <w:bCs/>
                <w:color w:val="FFFFFF" w:themeColor="background1"/>
                <w:sz w:val="22"/>
                <w:szCs w:val="22"/>
              </w:rPr>
              <w:t>erformance 1</w:t>
            </w:r>
          </w:p>
        </w:tc>
        <w:tc>
          <w:tcPr>
            <w:tcW w:w="3812" w:type="pct"/>
            <w:gridSpan w:val="2"/>
            <w:shd w:val="clear" w:color="auto" w:fill="808080" w:themeFill="background1" w:themeFillShade="80"/>
            <w:vAlign w:val="center"/>
          </w:tcPr>
          <w:p w14:paraId="603038DB" w14:textId="39BA47B7" w:rsidR="004E1B8E" w:rsidRPr="009C7F4B" w:rsidRDefault="00653EC6" w:rsidP="00653EC6">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Bonne gouvernance exercée par les organes directeurs de la Convention de 2003 grâce à l’organisation efficace de leurs réunions statutaires</w:t>
            </w:r>
          </w:p>
        </w:tc>
      </w:tr>
      <w:tr w:rsidR="004E1B8E" w:rsidRPr="009C7F4B" w14:paraId="3E0BA6CE" w14:textId="77777777" w:rsidTr="000A2819">
        <w:trPr>
          <w:cantSplit/>
        </w:trPr>
        <w:tc>
          <w:tcPr>
            <w:tcW w:w="1188" w:type="pct"/>
            <w:gridSpan w:val="2"/>
            <w:shd w:val="clear" w:color="auto" w:fill="F2F2F2" w:themeFill="background1" w:themeFillShade="F2"/>
            <w:vAlign w:val="center"/>
          </w:tcPr>
          <w:p w14:paraId="2D654265" w14:textId="3A5DFF90" w:rsidR="004E1B8E" w:rsidRPr="009C7F4B" w:rsidRDefault="004249FF" w:rsidP="000A7BA2">
            <w:pPr>
              <w:keepNext/>
              <w:spacing w:before="60" w:after="60"/>
              <w:rPr>
                <w:rFonts w:ascii="Arial" w:hAnsi="Arial" w:cs="Arial"/>
                <w:b/>
                <w:bCs/>
                <w:sz w:val="22"/>
                <w:szCs w:val="22"/>
              </w:rPr>
            </w:pPr>
            <w:r w:rsidRPr="009C7F4B">
              <w:rPr>
                <w:rFonts w:ascii="Arial" w:hAnsi="Arial" w:cs="Arial"/>
                <w:b/>
                <w:bCs/>
                <w:sz w:val="22"/>
                <w:szCs w:val="22"/>
              </w:rPr>
              <w:t>Résultat escompté</w:t>
            </w:r>
            <w:r w:rsidR="0068436D" w:rsidRPr="009C7F4B">
              <w:rPr>
                <w:rFonts w:ascii="Arial" w:hAnsi="Arial" w:cs="Arial"/>
                <w:b/>
                <w:bCs/>
                <w:sz w:val="22"/>
                <w:szCs w:val="22"/>
              </w:rPr>
              <w:t> </w:t>
            </w:r>
            <w:r w:rsidRPr="009C7F4B">
              <w:rPr>
                <w:rFonts w:ascii="Arial" w:hAnsi="Arial" w:cs="Arial"/>
                <w:b/>
                <w:bCs/>
                <w:sz w:val="22"/>
                <w:szCs w:val="22"/>
              </w:rPr>
              <w:t xml:space="preserve">1 du Fonds du </w:t>
            </w:r>
            <w:r w:rsidR="000A7BA2" w:rsidRPr="009C7F4B">
              <w:rPr>
                <w:rFonts w:ascii="Arial" w:hAnsi="Arial" w:cs="Arial"/>
                <w:b/>
                <w:bCs/>
                <w:sz w:val="22"/>
                <w:szCs w:val="22"/>
              </w:rPr>
              <w:t>PCI</w:t>
            </w:r>
          </w:p>
        </w:tc>
        <w:tc>
          <w:tcPr>
            <w:tcW w:w="3812" w:type="pct"/>
            <w:gridSpan w:val="2"/>
            <w:shd w:val="clear" w:color="auto" w:fill="F2F2F2" w:themeFill="background1" w:themeFillShade="F2"/>
            <w:vAlign w:val="center"/>
          </w:tcPr>
          <w:p w14:paraId="20B0E9F2" w14:textId="0B77A82C" w:rsidR="004E1B8E" w:rsidRPr="009C7F4B" w:rsidRDefault="00653EC6" w:rsidP="004249FF">
            <w:pPr>
              <w:keepNext/>
              <w:spacing w:before="60" w:after="60"/>
              <w:rPr>
                <w:rFonts w:ascii="Arial" w:hAnsi="Arial" w:cs="Arial"/>
                <w:b/>
                <w:bCs/>
                <w:sz w:val="22"/>
                <w:szCs w:val="22"/>
              </w:rPr>
            </w:pPr>
            <w:r w:rsidRPr="009C7F4B">
              <w:rPr>
                <w:rFonts w:ascii="Arial" w:hAnsi="Arial" w:cs="Arial"/>
                <w:b/>
                <w:bCs/>
                <w:sz w:val="22"/>
                <w:szCs w:val="22"/>
              </w:rPr>
              <w:t xml:space="preserve">Bonne </w:t>
            </w:r>
            <w:r w:rsidR="004249FF" w:rsidRPr="009C7F4B">
              <w:rPr>
                <w:rFonts w:ascii="Arial" w:hAnsi="Arial" w:cs="Arial"/>
                <w:b/>
                <w:bCs/>
                <w:sz w:val="22"/>
                <w:szCs w:val="22"/>
              </w:rPr>
              <w:t xml:space="preserve">gouvernance de la Convention de </w:t>
            </w:r>
            <w:r w:rsidR="004E1B8E" w:rsidRPr="009C7F4B">
              <w:rPr>
                <w:rFonts w:ascii="Arial" w:hAnsi="Arial" w:cs="Arial"/>
                <w:b/>
                <w:bCs/>
                <w:sz w:val="22"/>
                <w:szCs w:val="22"/>
              </w:rPr>
              <w:t xml:space="preserve">2003 </w:t>
            </w:r>
            <w:r w:rsidR="004249FF" w:rsidRPr="009C7F4B">
              <w:rPr>
                <w:rFonts w:ascii="Arial" w:hAnsi="Arial" w:cs="Arial"/>
                <w:b/>
                <w:bCs/>
                <w:sz w:val="22"/>
                <w:szCs w:val="22"/>
              </w:rPr>
              <w:t>facilitée par l’amélioration des services de gestion des connaissances</w:t>
            </w:r>
          </w:p>
        </w:tc>
      </w:tr>
      <w:tr w:rsidR="004E1B8E" w:rsidRPr="009C7F4B" w14:paraId="7F70F5BC" w14:textId="77777777" w:rsidTr="000A2819">
        <w:trPr>
          <w:cantSplit/>
        </w:trPr>
        <w:tc>
          <w:tcPr>
            <w:tcW w:w="1188" w:type="pct"/>
            <w:gridSpan w:val="2"/>
            <w:shd w:val="clear" w:color="auto" w:fill="auto"/>
            <w:vAlign w:val="center"/>
          </w:tcPr>
          <w:p w14:paraId="600B0806" w14:textId="77777777" w:rsidR="004E1B8E" w:rsidRPr="009C7F4B" w:rsidRDefault="004E1B8E" w:rsidP="004E1B8E">
            <w:pPr>
              <w:keepNext/>
              <w:spacing w:before="60" w:after="60"/>
              <w:rPr>
                <w:rFonts w:ascii="Arial" w:hAnsi="Arial" w:cs="Arial"/>
                <w:b/>
                <w:bCs/>
                <w:sz w:val="22"/>
                <w:szCs w:val="22"/>
              </w:rPr>
            </w:pPr>
            <w:r w:rsidRPr="009C7F4B">
              <w:rPr>
                <w:rFonts w:ascii="Arial" w:hAnsi="Arial" w:cs="Arial"/>
                <w:b/>
                <w:bCs/>
                <w:sz w:val="22"/>
                <w:szCs w:val="22"/>
              </w:rPr>
              <w:t>199OTH4138.2</w:t>
            </w:r>
          </w:p>
        </w:tc>
        <w:tc>
          <w:tcPr>
            <w:tcW w:w="3812" w:type="pct"/>
            <w:gridSpan w:val="2"/>
            <w:shd w:val="clear" w:color="auto" w:fill="F2F2F2" w:themeFill="background1" w:themeFillShade="F2"/>
            <w:vAlign w:val="center"/>
          </w:tcPr>
          <w:p w14:paraId="223FAA32" w14:textId="77777777" w:rsidR="004E1B8E" w:rsidRPr="009C7F4B" w:rsidRDefault="004249FF" w:rsidP="004249FF">
            <w:pPr>
              <w:keepNext/>
              <w:spacing w:before="60" w:after="60"/>
              <w:rPr>
                <w:rFonts w:ascii="Arial" w:hAnsi="Arial" w:cs="Arial"/>
                <w:b/>
                <w:bCs/>
                <w:sz w:val="22"/>
                <w:szCs w:val="22"/>
              </w:rPr>
            </w:pPr>
            <w:r w:rsidRPr="009C7F4B">
              <w:rPr>
                <w:rFonts w:ascii="Arial" w:hAnsi="Arial" w:cs="Arial"/>
                <w:b/>
                <w:bCs/>
                <w:sz w:val="22"/>
                <w:szCs w:val="22"/>
              </w:rPr>
              <w:t>Dotation budgétaire </w:t>
            </w:r>
            <w:r w:rsidR="004E1B8E" w:rsidRPr="009C7F4B">
              <w:rPr>
                <w:rFonts w:ascii="Arial" w:hAnsi="Arial" w:cs="Arial"/>
                <w:b/>
                <w:bCs/>
                <w:sz w:val="22"/>
                <w:szCs w:val="22"/>
              </w:rPr>
              <w:t>: 386</w:t>
            </w:r>
            <w:r w:rsidRPr="009C7F4B">
              <w:rPr>
                <w:rFonts w:ascii="Arial" w:hAnsi="Arial" w:cs="Arial"/>
                <w:b/>
                <w:bCs/>
                <w:sz w:val="22"/>
                <w:szCs w:val="22"/>
              </w:rPr>
              <w:t> </w:t>
            </w:r>
            <w:r w:rsidR="004E1B8E" w:rsidRPr="009C7F4B">
              <w:rPr>
                <w:rFonts w:ascii="Arial" w:hAnsi="Arial" w:cs="Arial"/>
                <w:b/>
                <w:bCs/>
                <w:sz w:val="22"/>
                <w:szCs w:val="22"/>
              </w:rPr>
              <w:t>900</w:t>
            </w:r>
            <w:r w:rsidRPr="009C7F4B">
              <w:rPr>
                <w:rFonts w:ascii="Arial" w:hAnsi="Arial" w:cs="Arial"/>
                <w:b/>
                <w:bCs/>
                <w:sz w:val="22"/>
                <w:szCs w:val="22"/>
              </w:rPr>
              <w:t xml:space="preserve"> dollars des </w:t>
            </w:r>
            <w:r w:rsidR="004312CB" w:rsidRPr="009C7F4B">
              <w:rPr>
                <w:rFonts w:ascii="Arial" w:hAnsi="Arial" w:cs="Arial"/>
                <w:b/>
                <w:bCs/>
                <w:sz w:val="22"/>
                <w:szCs w:val="22"/>
              </w:rPr>
              <w:t>États-Unis</w:t>
            </w:r>
          </w:p>
        </w:tc>
      </w:tr>
      <w:tr w:rsidR="004E1B8E" w:rsidRPr="009C7F4B" w14:paraId="5A3695B3" w14:textId="77777777" w:rsidTr="000A2819">
        <w:trPr>
          <w:cantSplit/>
        </w:trPr>
        <w:tc>
          <w:tcPr>
            <w:tcW w:w="379" w:type="pct"/>
            <w:shd w:val="clear" w:color="auto" w:fill="F2F2F2" w:themeFill="background1" w:themeFillShade="F2"/>
            <w:vAlign w:val="center"/>
          </w:tcPr>
          <w:p w14:paraId="2B9028A1" w14:textId="77777777" w:rsidR="004E1B8E" w:rsidRPr="009C7F4B" w:rsidRDefault="004E1B8E" w:rsidP="004E1B8E">
            <w:pPr>
              <w:keepNext/>
              <w:spacing w:before="60" w:after="60"/>
              <w:jc w:val="center"/>
              <w:rPr>
                <w:rFonts w:ascii="Arial" w:hAnsi="Arial" w:cs="Arial"/>
                <w:i/>
                <w:iCs/>
                <w:sz w:val="22"/>
                <w:szCs w:val="22"/>
              </w:rPr>
            </w:pPr>
          </w:p>
        </w:tc>
        <w:tc>
          <w:tcPr>
            <w:tcW w:w="2310" w:type="pct"/>
            <w:gridSpan w:val="2"/>
            <w:shd w:val="clear" w:color="auto" w:fill="F2F2F2" w:themeFill="background1" w:themeFillShade="F2"/>
            <w:vAlign w:val="center"/>
          </w:tcPr>
          <w:p w14:paraId="547381BA" w14:textId="77777777" w:rsidR="004E1B8E" w:rsidRPr="009C7F4B" w:rsidRDefault="004249FF" w:rsidP="004249FF">
            <w:pPr>
              <w:keepNext/>
              <w:spacing w:before="60" w:after="60"/>
              <w:jc w:val="center"/>
              <w:rPr>
                <w:rFonts w:ascii="Arial" w:hAnsi="Arial" w:cs="Arial"/>
                <w:i/>
                <w:iCs/>
                <w:sz w:val="22"/>
                <w:szCs w:val="22"/>
              </w:rPr>
            </w:pPr>
            <w:r w:rsidRPr="009C7F4B">
              <w:rPr>
                <w:rFonts w:ascii="Arial" w:hAnsi="Arial" w:cs="Arial"/>
                <w:i/>
                <w:iCs/>
                <w:sz w:val="22"/>
                <w:szCs w:val="22"/>
              </w:rPr>
              <w:t>Produits</w:t>
            </w:r>
          </w:p>
        </w:tc>
        <w:tc>
          <w:tcPr>
            <w:tcW w:w="2311" w:type="pct"/>
            <w:shd w:val="clear" w:color="auto" w:fill="F2F2F2" w:themeFill="background1" w:themeFillShade="F2"/>
            <w:vAlign w:val="center"/>
          </w:tcPr>
          <w:p w14:paraId="6E44A338" w14:textId="77777777" w:rsidR="004E1B8E" w:rsidRPr="009C7F4B" w:rsidRDefault="004E1B8E" w:rsidP="004249FF">
            <w:pPr>
              <w:keepNext/>
              <w:spacing w:before="60" w:after="60"/>
              <w:jc w:val="center"/>
              <w:rPr>
                <w:rFonts w:ascii="Arial" w:hAnsi="Arial" w:cs="Arial"/>
                <w:i/>
                <w:iCs/>
                <w:sz w:val="22"/>
                <w:szCs w:val="22"/>
              </w:rPr>
            </w:pPr>
            <w:r w:rsidRPr="009C7F4B">
              <w:rPr>
                <w:rFonts w:ascii="Arial" w:hAnsi="Arial" w:cs="Arial"/>
                <w:i/>
                <w:iCs/>
                <w:sz w:val="22"/>
                <w:szCs w:val="22"/>
              </w:rPr>
              <w:t>Indicat</w:t>
            </w:r>
            <w:r w:rsidR="004249FF" w:rsidRPr="009C7F4B">
              <w:rPr>
                <w:rFonts w:ascii="Arial" w:hAnsi="Arial" w:cs="Arial"/>
                <w:i/>
                <w:iCs/>
                <w:sz w:val="22"/>
                <w:szCs w:val="22"/>
              </w:rPr>
              <w:t>eu</w:t>
            </w:r>
            <w:r w:rsidRPr="009C7F4B">
              <w:rPr>
                <w:rFonts w:ascii="Arial" w:hAnsi="Arial" w:cs="Arial"/>
                <w:i/>
                <w:iCs/>
                <w:sz w:val="22"/>
                <w:szCs w:val="22"/>
              </w:rPr>
              <w:t>rs (</w:t>
            </w:r>
            <w:r w:rsidR="004249FF" w:rsidRPr="009C7F4B">
              <w:rPr>
                <w:rFonts w:ascii="Arial" w:hAnsi="Arial" w:cs="Arial"/>
                <w:i/>
                <w:iCs/>
                <w:sz w:val="22"/>
                <w:szCs w:val="22"/>
              </w:rPr>
              <w:t>Références</w:t>
            </w:r>
            <w:r w:rsidRPr="009C7F4B">
              <w:rPr>
                <w:rFonts w:ascii="Arial" w:hAnsi="Arial" w:cs="Arial"/>
                <w:i/>
                <w:iCs/>
                <w:sz w:val="22"/>
                <w:szCs w:val="22"/>
              </w:rPr>
              <w:t>) 2016-2017</w:t>
            </w:r>
          </w:p>
        </w:tc>
      </w:tr>
      <w:tr w:rsidR="004E1B8E" w:rsidRPr="009C7F4B" w14:paraId="1549516B" w14:textId="77777777" w:rsidTr="000A2819">
        <w:trPr>
          <w:cantSplit/>
        </w:trPr>
        <w:tc>
          <w:tcPr>
            <w:tcW w:w="379" w:type="pct"/>
            <w:shd w:val="clear" w:color="auto" w:fill="auto"/>
            <w:vAlign w:val="center"/>
          </w:tcPr>
          <w:p w14:paraId="7B19E5B1"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1.1</w:t>
            </w:r>
          </w:p>
        </w:tc>
        <w:tc>
          <w:tcPr>
            <w:tcW w:w="2310" w:type="pct"/>
            <w:gridSpan w:val="2"/>
            <w:shd w:val="clear" w:color="auto" w:fill="auto"/>
            <w:vAlign w:val="center"/>
          </w:tcPr>
          <w:p w14:paraId="2B8DA632" w14:textId="77777777" w:rsidR="004E1B8E" w:rsidRPr="009C7F4B" w:rsidRDefault="00AC3764" w:rsidP="00AC3764">
            <w:pPr>
              <w:spacing w:before="60" w:after="60"/>
              <w:rPr>
                <w:rFonts w:ascii="Arial" w:hAnsi="Arial" w:cs="Arial"/>
                <w:i/>
                <w:iCs/>
                <w:sz w:val="22"/>
                <w:szCs w:val="22"/>
              </w:rPr>
            </w:pPr>
            <w:r w:rsidRPr="009C7F4B">
              <w:rPr>
                <w:rFonts w:ascii="Arial" w:hAnsi="Arial" w:cs="Arial"/>
                <w:color w:val="000000"/>
                <w:sz w:val="22"/>
                <w:szCs w:val="22"/>
              </w:rPr>
              <w:t>Accès externe et interne à l’information accru et processus, flux de travail et délais de réaction optimisés grâce aux interfaces de suivi</w:t>
            </w:r>
          </w:p>
        </w:tc>
        <w:tc>
          <w:tcPr>
            <w:tcW w:w="2311" w:type="pct"/>
            <w:shd w:val="clear" w:color="auto" w:fill="auto"/>
            <w:vAlign w:val="center"/>
          </w:tcPr>
          <w:p w14:paraId="742D9F68" w14:textId="77777777" w:rsidR="004E1B8E" w:rsidRPr="009C7F4B" w:rsidRDefault="004E1B8E" w:rsidP="00924542">
            <w:pPr>
              <w:spacing w:before="60" w:after="60"/>
              <w:rPr>
                <w:rFonts w:ascii="Arial" w:hAnsi="Arial" w:cs="Arial"/>
                <w:i/>
                <w:iCs/>
                <w:sz w:val="22"/>
                <w:szCs w:val="22"/>
              </w:rPr>
            </w:pPr>
            <w:r w:rsidRPr="009C7F4B">
              <w:rPr>
                <w:rFonts w:ascii="Arial" w:hAnsi="Arial" w:cs="Arial"/>
                <w:color w:val="000000"/>
                <w:sz w:val="22"/>
                <w:szCs w:val="22"/>
              </w:rPr>
              <w:t>N</w:t>
            </w:r>
            <w:r w:rsidR="00AC3764" w:rsidRPr="009C7F4B">
              <w:rPr>
                <w:rFonts w:ascii="Arial" w:hAnsi="Arial" w:cs="Arial"/>
                <w:color w:val="000000"/>
                <w:sz w:val="22"/>
                <w:szCs w:val="22"/>
              </w:rPr>
              <w:t>o</w:t>
            </w:r>
            <w:r w:rsidRPr="009C7F4B">
              <w:rPr>
                <w:rFonts w:ascii="Arial" w:hAnsi="Arial" w:cs="Arial"/>
                <w:color w:val="000000"/>
                <w:sz w:val="22"/>
                <w:szCs w:val="22"/>
              </w:rPr>
              <w:t>mbr</w:t>
            </w:r>
            <w:r w:rsidR="00AC3764" w:rsidRPr="009C7F4B">
              <w:rPr>
                <w:rFonts w:ascii="Arial" w:hAnsi="Arial" w:cs="Arial"/>
                <w:color w:val="000000"/>
                <w:sz w:val="22"/>
                <w:szCs w:val="22"/>
              </w:rPr>
              <w:t>e</w:t>
            </w:r>
            <w:r w:rsidRPr="009C7F4B">
              <w:rPr>
                <w:rFonts w:ascii="Arial" w:hAnsi="Arial" w:cs="Arial"/>
                <w:color w:val="000000"/>
                <w:sz w:val="22"/>
                <w:szCs w:val="22"/>
              </w:rPr>
              <w:t xml:space="preserve"> </w:t>
            </w:r>
            <w:r w:rsidR="00AC3764" w:rsidRPr="009C7F4B">
              <w:rPr>
                <w:rFonts w:ascii="Arial" w:hAnsi="Arial" w:cs="Arial"/>
                <w:color w:val="000000"/>
                <w:sz w:val="22"/>
                <w:szCs w:val="22"/>
              </w:rPr>
              <w:t>d’interfaces de suivi</w:t>
            </w:r>
            <w:r w:rsidRPr="009C7F4B">
              <w:rPr>
                <w:rFonts w:ascii="Arial" w:hAnsi="Arial" w:cs="Arial"/>
                <w:color w:val="000000"/>
                <w:sz w:val="22"/>
                <w:szCs w:val="22"/>
              </w:rPr>
              <w:t xml:space="preserve"> (</w:t>
            </w:r>
            <w:r w:rsidR="00924542" w:rsidRPr="009C7F4B">
              <w:rPr>
                <w:rFonts w:ascii="Arial" w:hAnsi="Arial" w:cs="Arial"/>
                <w:color w:val="000000"/>
                <w:sz w:val="22"/>
                <w:szCs w:val="22"/>
              </w:rPr>
              <w:t>R</w:t>
            </w:r>
            <w:r w:rsidRPr="009C7F4B">
              <w:rPr>
                <w:rFonts w:ascii="Arial" w:hAnsi="Arial" w:cs="Arial"/>
                <w:color w:val="000000"/>
                <w:sz w:val="22"/>
                <w:szCs w:val="22"/>
              </w:rPr>
              <w:t>=3)</w:t>
            </w:r>
          </w:p>
        </w:tc>
      </w:tr>
      <w:tr w:rsidR="004E1B8E" w:rsidRPr="009C7F4B" w14:paraId="63CDBAF3" w14:textId="77777777" w:rsidTr="000A2819">
        <w:trPr>
          <w:cantSplit/>
        </w:trPr>
        <w:tc>
          <w:tcPr>
            <w:tcW w:w="379" w:type="pct"/>
            <w:shd w:val="clear" w:color="auto" w:fill="auto"/>
            <w:vAlign w:val="center"/>
          </w:tcPr>
          <w:p w14:paraId="38C53A6E"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1.2</w:t>
            </w:r>
          </w:p>
        </w:tc>
        <w:tc>
          <w:tcPr>
            <w:tcW w:w="2310" w:type="pct"/>
            <w:gridSpan w:val="2"/>
            <w:shd w:val="clear" w:color="auto" w:fill="auto"/>
            <w:vAlign w:val="center"/>
          </w:tcPr>
          <w:p w14:paraId="015F6F86" w14:textId="77777777" w:rsidR="004E1B8E" w:rsidRPr="009C7F4B" w:rsidRDefault="00AC3764" w:rsidP="003444F9">
            <w:pPr>
              <w:spacing w:before="60" w:after="60"/>
              <w:rPr>
                <w:rFonts w:ascii="Arial" w:hAnsi="Arial" w:cs="Arial"/>
                <w:i/>
                <w:iCs/>
                <w:sz w:val="22"/>
                <w:szCs w:val="22"/>
              </w:rPr>
            </w:pPr>
            <w:r w:rsidRPr="009C7F4B">
              <w:rPr>
                <w:rFonts w:ascii="Arial" w:hAnsi="Arial" w:cs="Arial"/>
                <w:color w:val="000000"/>
                <w:sz w:val="22"/>
                <w:szCs w:val="22"/>
              </w:rPr>
              <w:t xml:space="preserve">Accessibilité et facilité d’utilisation des documents et décisions de la </w:t>
            </w:r>
            <w:r w:rsidR="004E1B8E" w:rsidRPr="009C7F4B">
              <w:rPr>
                <w:rFonts w:ascii="Arial" w:hAnsi="Arial" w:cs="Arial"/>
                <w:color w:val="000000"/>
                <w:sz w:val="22"/>
                <w:szCs w:val="22"/>
              </w:rPr>
              <w:t xml:space="preserve">Convention </w:t>
            </w:r>
            <w:r w:rsidRPr="009C7F4B">
              <w:rPr>
                <w:rFonts w:ascii="Arial" w:hAnsi="Arial" w:cs="Arial"/>
                <w:color w:val="000000"/>
                <w:sz w:val="22"/>
                <w:szCs w:val="22"/>
              </w:rPr>
              <w:t>améliorées </w:t>
            </w:r>
            <w:r w:rsidR="004E1B8E" w:rsidRPr="009C7F4B">
              <w:rPr>
                <w:rFonts w:ascii="Arial" w:hAnsi="Arial" w:cs="Arial"/>
                <w:color w:val="000000"/>
                <w:sz w:val="22"/>
                <w:szCs w:val="22"/>
              </w:rPr>
              <w:t xml:space="preserve">; </w:t>
            </w:r>
            <w:r w:rsidR="003444F9" w:rsidRPr="009C7F4B">
              <w:rPr>
                <w:rFonts w:ascii="Arial" w:hAnsi="Arial" w:cs="Arial"/>
                <w:color w:val="000000"/>
                <w:sz w:val="22"/>
                <w:szCs w:val="22"/>
              </w:rPr>
              <w:t>meilleure indexation et possibilités de recherche amélioré</w:t>
            </w:r>
            <w:r w:rsidR="00447976" w:rsidRPr="009C7F4B">
              <w:rPr>
                <w:rFonts w:ascii="Arial" w:hAnsi="Arial" w:cs="Arial"/>
                <w:color w:val="000000"/>
                <w:sz w:val="22"/>
                <w:szCs w:val="22"/>
              </w:rPr>
              <w:t>e</w:t>
            </w:r>
            <w:r w:rsidR="003444F9" w:rsidRPr="009C7F4B">
              <w:rPr>
                <w:rFonts w:ascii="Arial" w:hAnsi="Arial" w:cs="Arial"/>
                <w:color w:val="000000"/>
                <w:sz w:val="22"/>
                <w:szCs w:val="22"/>
              </w:rPr>
              <w:t>s</w:t>
            </w:r>
          </w:p>
        </w:tc>
        <w:tc>
          <w:tcPr>
            <w:tcW w:w="2311" w:type="pct"/>
            <w:shd w:val="clear" w:color="auto" w:fill="auto"/>
            <w:vAlign w:val="center"/>
          </w:tcPr>
          <w:p w14:paraId="454607D3" w14:textId="77777777" w:rsidR="004E1B8E" w:rsidRPr="009C7F4B" w:rsidRDefault="004E1B8E" w:rsidP="004E1B8E">
            <w:pPr>
              <w:spacing w:before="60" w:after="60"/>
              <w:rPr>
                <w:rFonts w:ascii="Arial" w:hAnsi="Arial" w:cs="Arial"/>
                <w:color w:val="000000"/>
                <w:sz w:val="22"/>
                <w:szCs w:val="22"/>
              </w:rPr>
            </w:pPr>
            <w:r w:rsidRPr="009C7F4B">
              <w:rPr>
                <w:rFonts w:ascii="Arial" w:hAnsi="Arial" w:cs="Arial"/>
                <w:color w:val="000000"/>
                <w:sz w:val="22"/>
                <w:szCs w:val="22"/>
              </w:rPr>
              <w:t>N</w:t>
            </w:r>
            <w:r w:rsidR="00447976" w:rsidRPr="009C7F4B">
              <w:rPr>
                <w:rFonts w:ascii="Arial" w:hAnsi="Arial" w:cs="Arial"/>
                <w:color w:val="000000"/>
                <w:sz w:val="22"/>
                <w:szCs w:val="22"/>
              </w:rPr>
              <w:t>o</w:t>
            </w:r>
            <w:r w:rsidRPr="009C7F4B">
              <w:rPr>
                <w:rFonts w:ascii="Arial" w:hAnsi="Arial" w:cs="Arial"/>
                <w:color w:val="000000"/>
                <w:sz w:val="22"/>
                <w:szCs w:val="22"/>
              </w:rPr>
              <w:t>mbr</w:t>
            </w:r>
            <w:r w:rsidR="00447976" w:rsidRPr="009C7F4B">
              <w:rPr>
                <w:rFonts w:ascii="Arial" w:hAnsi="Arial" w:cs="Arial"/>
                <w:color w:val="000000"/>
                <w:sz w:val="22"/>
                <w:szCs w:val="22"/>
              </w:rPr>
              <w:t>e</w:t>
            </w:r>
            <w:r w:rsidRPr="009C7F4B">
              <w:rPr>
                <w:rFonts w:ascii="Arial" w:hAnsi="Arial" w:cs="Arial"/>
                <w:color w:val="000000"/>
                <w:sz w:val="22"/>
                <w:szCs w:val="22"/>
              </w:rPr>
              <w:t xml:space="preserve"> </w:t>
            </w:r>
            <w:r w:rsidR="00447976" w:rsidRPr="009C7F4B">
              <w:rPr>
                <w:rFonts w:ascii="Arial" w:hAnsi="Arial" w:cs="Arial"/>
                <w:color w:val="000000"/>
                <w:sz w:val="22"/>
                <w:szCs w:val="22"/>
              </w:rPr>
              <w:t xml:space="preserve">de documents de décisions </w:t>
            </w:r>
            <w:r w:rsidR="00EA25D5" w:rsidRPr="009C7F4B">
              <w:rPr>
                <w:rFonts w:ascii="Arial" w:hAnsi="Arial" w:cs="Arial"/>
                <w:color w:val="000000"/>
                <w:sz w:val="22"/>
                <w:szCs w:val="22"/>
              </w:rPr>
              <w:t xml:space="preserve">supplémentaires chargés dans </w:t>
            </w:r>
            <w:r w:rsidRPr="009C7F4B">
              <w:rPr>
                <w:rFonts w:ascii="Arial" w:hAnsi="Arial" w:cs="Arial"/>
                <w:color w:val="000000"/>
                <w:sz w:val="22"/>
                <w:szCs w:val="22"/>
              </w:rPr>
              <w:t>UNESDOC (</w:t>
            </w:r>
            <w:r w:rsidR="00EA25D5" w:rsidRPr="009C7F4B">
              <w:rPr>
                <w:rFonts w:ascii="Arial" w:hAnsi="Arial" w:cs="Arial"/>
                <w:color w:val="000000"/>
                <w:sz w:val="22"/>
                <w:szCs w:val="22"/>
              </w:rPr>
              <w:t>R</w:t>
            </w:r>
            <w:r w:rsidRPr="009C7F4B">
              <w:rPr>
                <w:rFonts w:ascii="Arial" w:hAnsi="Arial" w:cs="Arial"/>
                <w:color w:val="000000"/>
                <w:sz w:val="22"/>
                <w:szCs w:val="22"/>
              </w:rPr>
              <w:t>=8)</w:t>
            </w:r>
          </w:p>
          <w:p w14:paraId="2AA70092" w14:textId="77777777" w:rsidR="004E1B8E" w:rsidRPr="009C7F4B" w:rsidRDefault="004E1B8E" w:rsidP="00EA25D5">
            <w:pPr>
              <w:spacing w:before="60" w:after="60"/>
              <w:rPr>
                <w:rFonts w:ascii="Arial" w:hAnsi="Arial" w:cs="Arial"/>
                <w:iCs/>
                <w:sz w:val="22"/>
                <w:szCs w:val="22"/>
              </w:rPr>
            </w:pPr>
            <w:r w:rsidRPr="009C7F4B">
              <w:rPr>
                <w:rFonts w:ascii="Arial" w:hAnsi="Arial" w:cs="Arial"/>
                <w:color w:val="000000"/>
                <w:sz w:val="22"/>
                <w:szCs w:val="22"/>
              </w:rPr>
              <w:t>N</w:t>
            </w:r>
            <w:r w:rsidR="00EA25D5" w:rsidRPr="009C7F4B">
              <w:rPr>
                <w:rFonts w:ascii="Arial" w:hAnsi="Arial" w:cs="Arial"/>
                <w:color w:val="000000"/>
                <w:sz w:val="22"/>
                <w:szCs w:val="22"/>
              </w:rPr>
              <w:t xml:space="preserve">ombre de décisions/résolutions supplémentaires référencées dans le SGC </w:t>
            </w:r>
            <w:r w:rsidRPr="009C7F4B">
              <w:rPr>
                <w:rFonts w:ascii="Arial" w:hAnsi="Arial" w:cs="Arial"/>
                <w:color w:val="000000"/>
                <w:sz w:val="22"/>
                <w:szCs w:val="22"/>
              </w:rPr>
              <w:t>(</w:t>
            </w:r>
            <w:r w:rsidR="00EA25D5" w:rsidRPr="009C7F4B">
              <w:rPr>
                <w:rFonts w:ascii="Arial" w:hAnsi="Arial" w:cs="Arial"/>
                <w:color w:val="000000"/>
                <w:sz w:val="22"/>
                <w:szCs w:val="22"/>
              </w:rPr>
              <w:t>R</w:t>
            </w:r>
            <w:r w:rsidRPr="009C7F4B">
              <w:rPr>
                <w:rFonts w:ascii="Arial" w:hAnsi="Arial" w:cs="Arial"/>
                <w:color w:val="000000"/>
                <w:sz w:val="22"/>
                <w:szCs w:val="22"/>
              </w:rPr>
              <w:t>=70)</w:t>
            </w:r>
          </w:p>
        </w:tc>
      </w:tr>
      <w:tr w:rsidR="004E1B8E" w:rsidRPr="009C7F4B" w14:paraId="4CBB3EC2" w14:textId="77777777" w:rsidTr="000A2819">
        <w:trPr>
          <w:cantSplit/>
        </w:trPr>
        <w:tc>
          <w:tcPr>
            <w:tcW w:w="379" w:type="pct"/>
            <w:shd w:val="clear" w:color="auto" w:fill="auto"/>
            <w:vAlign w:val="center"/>
          </w:tcPr>
          <w:p w14:paraId="6689FB47"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1.3</w:t>
            </w:r>
          </w:p>
        </w:tc>
        <w:tc>
          <w:tcPr>
            <w:tcW w:w="2310" w:type="pct"/>
            <w:gridSpan w:val="2"/>
            <w:shd w:val="clear" w:color="auto" w:fill="auto"/>
            <w:vAlign w:val="center"/>
          </w:tcPr>
          <w:p w14:paraId="5679CE6C" w14:textId="77777777" w:rsidR="004E1B8E" w:rsidRPr="009C7F4B" w:rsidRDefault="004E1B8E" w:rsidP="00EA25D5">
            <w:pPr>
              <w:spacing w:before="60" w:after="60"/>
              <w:rPr>
                <w:rFonts w:ascii="Arial" w:hAnsi="Arial" w:cs="Arial"/>
                <w:color w:val="000000"/>
                <w:sz w:val="22"/>
                <w:szCs w:val="22"/>
              </w:rPr>
            </w:pPr>
            <w:r w:rsidRPr="009C7F4B">
              <w:rPr>
                <w:rFonts w:ascii="Arial" w:hAnsi="Arial" w:cs="Arial"/>
                <w:color w:val="000000"/>
                <w:sz w:val="22"/>
                <w:szCs w:val="22"/>
              </w:rPr>
              <w:t>N</w:t>
            </w:r>
            <w:r w:rsidR="00EA25D5" w:rsidRPr="009C7F4B">
              <w:rPr>
                <w:rFonts w:ascii="Arial" w:hAnsi="Arial" w:cs="Arial"/>
                <w:color w:val="000000"/>
                <w:sz w:val="22"/>
                <w:szCs w:val="22"/>
              </w:rPr>
              <w:t>ouv</w:t>
            </w:r>
            <w:r w:rsidRPr="009C7F4B">
              <w:rPr>
                <w:rFonts w:ascii="Arial" w:hAnsi="Arial" w:cs="Arial"/>
                <w:color w:val="000000"/>
                <w:sz w:val="22"/>
                <w:szCs w:val="22"/>
              </w:rPr>
              <w:t>e</w:t>
            </w:r>
            <w:r w:rsidR="00EA25D5" w:rsidRPr="009C7F4B">
              <w:rPr>
                <w:rFonts w:ascii="Arial" w:hAnsi="Arial" w:cs="Arial"/>
                <w:color w:val="000000"/>
                <w:sz w:val="22"/>
                <w:szCs w:val="22"/>
              </w:rPr>
              <w:t>lles fonctionnalités en ligne pour les parties prenantes extérieures</w:t>
            </w:r>
          </w:p>
        </w:tc>
        <w:tc>
          <w:tcPr>
            <w:tcW w:w="2311" w:type="pct"/>
            <w:shd w:val="clear" w:color="auto" w:fill="auto"/>
            <w:vAlign w:val="center"/>
          </w:tcPr>
          <w:p w14:paraId="19F0FA33" w14:textId="77777777" w:rsidR="004E1B8E" w:rsidRPr="009C7F4B" w:rsidRDefault="004E1B8E" w:rsidP="00EA25D5">
            <w:pPr>
              <w:spacing w:before="60" w:after="60"/>
              <w:rPr>
                <w:rFonts w:ascii="Arial" w:hAnsi="Arial" w:cs="Arial"/>
                <w:i/>
                <w:iCs/>
                <w:sz w:val="22"/>
                <w:szCs w:val="22"/>
              </w:rPr>
            </w:pPr>
            <w:r w:rsidRPr="009C7F4B">
              <w:rPr>
                <w:rFonts w:ascii="Arial" w:hAnsi="Arial" w:cs="Arial"/>
                <w:color w:val="000000"/>
                <w:sz w:val="22"/>
                <w:szCs w:val="22"/>
              </w:rPr>
              <w:t>N</w:t>
            </w:r>
            <w:r w:rsidR="00EA25D5" w:rsidRPr="009C7F4B">
              <w:rPr>
                <w:rFonts w:ascii="Arial" w:hAnsi="Arial" w:cs="Arial"/>
                <w:color w:val="000000"/>
                <w:sz w:val="22"/>
                <w:szCs w:val="22"/>
              </w:rPr>
              <w:t>o</w:t>
            </w:r>
            <w:r w:rsidRPr="009C7F4B">
              <w:rPr>
                <w:rFonts w:ascii="Arial" w:hAnsi="Arial" w:cs="Arial"/>
                <w:color w:val="000000"/>
                <w:sz w:val="22"/>
                <w:szCs w:val="22"/>
              </w:rPr>
              <w:t>mbr</w:t>
            </w:r>
            <w:r w:rsidR="00EA25D5" w:rsidRPr="009C7F4B">
              <w:rPr>
                <w:rFonts w:ascii="Arial" w:hAnsi="Arial" w:cs="Arial"/>
                <w:color w:val="000000"/>
                <w:sz w:val="22"/>
                <w:szCs w:val="22"/>
              </w:rPr>
              <w:t>e</w:t>
            </w:r>
            <w:r w:rsidRPr="009C7F4B">
              <w:rPr>
                <w:rFonts w:ascii="Arial" w:hAnsi="Arial" w:cs="Arial"/>
                <w:color w:val="000000"/>
                <w:sz w:val="22"/>
                <w:szCs w:val="22"/>
              </w:rPr>
              <w:t xml:space="preserve"> </w:t>
            </w:r>
            <w:r w:rsidR="00EA25D5" w:rsidRPr="009C7F4B">
              <w:rPr>
                <w:rFonts w:ascii="Arial" w:hAnsi="Arial" w:cs="Arial"/>
                <w:color w:val="000000"/>
                <w:sz w:val="22"/>
                <w:szCs w:val="22"/>
              </w:rPr>
              <w:t>de nouveaux processus en ligne</w:t>
            </w:r>
            <w:r w:rsidRPr="009C7F4B">
              <w:rPr>
                <w:rFonts w:ascii="Arial" w:hAnsi="Arial" w:cs="Arial"/>
                <w:color w:val="000000"/>
                <w:sz w:val="22"/>
                <w:szCs w:val="22"/>
              </w:rPr>
              <w:t xml:space="preserve"> (</w:t>
            </w:r>
            <w:r w:rsidR="00EA25D5" w:rsidRPr="009C7F4B">
              <w:rPr>
                <w:rFonts w:ascii="Arial" w:hAnsi="Arial" w:cs="Arial"/>
                <w:color w:val="000000"/>
                <w:sz w:val="22"/>
                <w:szCs w:val="22"/>
              </w:rPr>
              <w:t>R</w:t>
            </w:r>
            <w:r w:rsidRPr="009C7F4B">
              <w:rPr>
                <w:rFonts w:ascii="Arial" w:hAnsi="Arial" w:cs="Arial"/>
                <w:color w:val="000000"/>
                <w:sz w:val="22"/>
                <w:szCs w:val="22"/>
              </w:rPr>
              <w:t>=3)</w:t>
            </w:r>
          </w:p>
        </w:tc>
      </w:tr>
      <w:tr w:rsidR="004E1B8E" w:rsidRPr="009C7F4B" w14:paraId="767A4704" w14:textId="77777777" w:rsidTr="000A2819">
        <w:trPr>
          <w:cantSplit/>
        </w:trPr>
        <w:tc>
          <w:tcPr>
            <w:tcW w:w="379" w:type="pct"/>
            <w:shd w:val="clear" w:color="auto" w:fill="auto"/>
            <w:vAlign w:val="center"/>
          </w:tcPr>
          <w:p w14:paraId="46637636"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1.4</w:t>
            </w:r>
          </w:p>
        </w:tc>
        <w:tc>
          <w:tcPr>
            <w:tcW w:w="2310" w:type="pct"/>
            <w:gridSpan w:val="2"/>
            <w:shd w:val="clear" w:color="auto" w:fill="auto"/>
            <w:vAlign w:val="center"/>
          </w:tcPr>
          <w:p w14:paraId="70BAD85F" w14:textId="77777777" w:rsidR="004E1B8E" w:rsidRPr="009C7F4B" w:rsidRDefault="0040496A" w:rsidP="008B70D9">
            <w:pPr>
              <w:spacing w:before="60" w:after="60"/>
              <w:rPr>
                <w:rFonts w:ascii="Arial" w:hAnsi="Arial" w:cs="Arial"/>
                <w:i/>
                <w:iCs/>
                <w:sz w:val="22"/>
                <w:szCs w:val="22"/>
              </w:rPr>
            </w:pPr>
            <w:r w:rsidRPr="009C7F4B">
              <w:rPr>
                <w:rFonts w:ascii="Arial" w:hAnsi="Arial" w:cs="Arial"/>
                <w:color w:val="000000"/>
                <w:sz w:val="22"/>
                <w:szCs w:val="22"/>
              </w:rPr>
              <w:t xml:space="preserve">Site web de la </w:t>
            </w:r>
            <w:r w:rsidR="004E1B8E" w:rsidRPr="009C7F4B">
              <w:rPr>
                <w:rFonts w:ascii="Arial" w:hAnsi="Arial" w:cs="Arial"/>
                <w:color w:val="000000"/>
                <w:sz w:val="22"/>
                <w:szCs w:val="22"/>
              </w:rPr>
              <w:t xml:space="preserve">Convention </w:t>
            </w:r>
            <w:r w:rsidR="00D7737D" w:rsidRPr="009C7F4B">
              <w:rPr>
                <w:rFonts w:ascii="Arial" w:hAnsi="Arial" w:cs="Arial"/>
                <w:color w:val="000000"/>
                <w:sz w:val="22"/>
                <w:szCs w:val="22"/>
              </w:rPr>
              <w:t xml:space="preserve">renforcé par </w:t>
            </w:r>
            <w:r w:rsidR="008B70D9" w:rsidRPr="009C7F4B">
              <w:rPr>
                <w:rFonts w:ascii="Arial" w:hAnsi="Arial" w:cs="Arial"/>
                <w:color w:val="000000"/>
                <w:sz w:val="22"/>
                <w:szCs w:val="22"/>
              </w:rPr>
              <w:t>l’amélioration de la</w:t>
            </w:r>
            <w:r w:rsidR="00D7737D" w:rsidRPr="009C7F4B">
              <w:rPr>
                <w:rFonts w:ascii="Arial" w:hAnsi="Arial" w:cs="Arial"/>
                <w:color w:val="000000"/>
                <w:sz w:val="22"/>
                <w:szCs w:val="22"/>
              </w:rPr>
              <w:t xml:space="preserve"> navigation et </w:t>
            </w:r>
            <w:r w:rsidR="008B70D9" w:rsidRPr="009C7F4B">
              <w:rPr>
                <w:rFonts w:ascii="Arial" w:hAnsi="Arial" w:cs="Arial"/>
                <w:color w:val="000000"/>
                <w:sz w:val="22"/>
                <w:szCs w:val="22"/>
              </w:rPr>
              <w:t>de l’</w:t>
            </w:r>
            <w:r w:rsidR="00D7737D" w:rsidRPr="009C7F4B">
              <w:rPr>
                <w:rFonts w:ascii="Arial" w:hAnsi="Arial" w:cs="Arial"/>
                <w:color w:val="000000"/>
                <w:sz w:val="22"/>
                <w:szCs w:val="22"/>
              </w:rPr>
              <w:t>ergonomie</w:t>
            </w:r>
            <w:r w:rsidR="008B70D9" w:rsidRPr="009C7F4B">
              <w:rPr>
                <w:rFonts w:ascii="Arial" w:hAnsi="Arial" w:cs="Arial"/>
                <w:color w:val="000000"/>
                <w:sz w:val="22"/>
                <w:szCs w:val="22"/>
              </w:rPr>
              <w:t xml:space="preserve">, l’optimisation des </w:t>
            </w:r>
            <w:r w:rsidR="00D7737D" w:rsidRPr="009C7F4B">
              <w:rPr>
                <w:rFonts w:ascii="Arial" w:hAnsi="Arial" w:cs="Arial"/>
                <w:color w:val="000000"/>
                <w:sz w:val="22"/>
                <w:szCs w:val="22"/>
              </w:rPr>
              <w:t>moteur</w:t>
            </w:r>
            <w:r w:rsidR="008B70D9" w:rsidRPr="009C7F4B">
              <w:rPr>
                <w:rFonts w:ascii="Arial" w:hAnsi="Arial" w:cs="Arial"/>
                <w:color w:val="000000"/>
                <w:sz w:val="22"/>
                <w:szCs w:val="22"/>
              </w:rPr>
              <w:t xml:space="preserve">s </w:t>
            </w:r>
            <w:r w:rsidR="00D7737D" w:rsidRPr="009C7F4B">
              <w:rPr>
                <w:rFonts w:ascii="Arial" w:hAnsi="Arial" w:cs="Arial"/>
                <w:color w:val="000000"/>
                <w:sz w:val="22"/>
                <w:szCs w:val="22"/>
              </w:rPr>
              <w:t>de recherche et des contenus multilingues supplémentaires</w:t>
            </w:r>
          </w:p>
        </w:tc>
        <w:tc>
          <w:tcPr>
            <w:tcW w:w="2311" w:type="pct"/>
            <w:shd w:val="clear" w:color="auto" w:fill="auto"/>
            <w:vAlign w:val="center"/>
          </w:tcPr>
          <w:p w14:paraId="4B0B9DC9" w14:textId="77777777" w:rsidR="004E1B8E" w:rsidRPr="009C7F4B" w:rsidRDefault="004E1B8E" w:rsidP="004E1B8E">
            <w:pPr>
              <w:spacing w:before="60" w:after="60"/>
              <w:rPr>
                <w:rFonts w:ascii="Arial" w:hAnsi="Arial" w:cs="Arial"/>
                <w:color w:val="000000"/>
                <w:sz w:val="22"/>
                <w:szCs w:val="22"/>
              </w:rPr>
            </w:pPr>
            <w:r w:rsidRPr="009C7F4B">
              <w:rPr>
                <w:rFonts w:ascii="Arial" w:hAnsi="Arial" w:cs="Arial"/>
                <w:color w:val="000000"/>
                <w:sz w:val="22"/>
                <w:szCs w:val="22"/>
              </w:rPr>
              <w:t>N</w:t>
            </w:r>
            <w:r w:rsidR="00D7737D" w:rsidRPr="009C7F4B">
              <w:rPr>
                <w:rFonts w:ascii="Arial" w:hAnsi="Arial" w:cs="Arial"/>
                <w:color w:val="000000"/>
                <w:sz w:val="22"/>
                <w:szCs w:val="22"/>
              </w:rPr>
              <w:t>omb</w:t>
            </w:r>
            <w:r w:rsidRPr="009C7F4B">
              <w:rPr>
                <w:rFonts w:ascii="Arial" w:hAnsi="Arial" w:cs="Arial"/>
                <w:color w:val="000000"/>
                <w:sz w:val="22"/>
                <w:szCs w:val="22"/>
              </w:rPr>
              <w:t>r</w:t>
            </w:r>
            <w:r w:rsidR="00D7737D" w:rsidRPr="009C7F4B">
              <w:rPr>
                <w:rFonts w:ascii="Arial" w:hAnsi="Arial" w:cs="Arial"/>
                <w:color w:val="000000"/>
                <w:sz w:val="22"/>
                <w:szCs w:val="22"/>
              </w:rPr>
              <w:t>e</w:t>
            </w:r>
            <w:r w:rsidRPr="009C7F4B">
              <w:rPr>
                <w:rFonts w:ascii="Arial" w:hAnsi="Arial" w:cs="Arial"/>
                <w:color w:val="000000"/>
                <w:sz w:val="22"/>
                <w:szCs w:val="22"/>
              </w:rPr>
              <w:t xml:space="preserve"> </w:t>
            </w:r>
            <w:r w:rsidR="00D7737D" w:rsidRPr="009C7F4B">
              <w:rPr>
                <w:rFonts w:ascii="Arial" w:hAnsi="Arial" w:cs="Arial"/>
                <w:color w:val="000000"/>
                <w:sz w:val="22"/>
                <w:szCs w:val="22"/>
              </w:rPr>
              <w:t>de</w:t>
            </w:r>
            <w:r w:rsidRPr="009C7F4B">
              <w:rPr>
                <w:rFonts w:ascii="Arial" w:hAnsi="Arial" w:cs="Arial"/>
                <w:color w:val="000000"/>
                <w:sz w:val="22"/>
                <w:szCs w:val="22"/>
              </w:rPr>
              <w:t xml:space="preserve"> page vi</w:t>
            </w:r>
            <w:r w:rsidR="00D7737D" w:rsidRPr="009C7F4B">
              <w:rPr>
                <w:rFonts w:ascii="Arial" w:hAnsi="Arial" w:cs="Arial"/>
                <w:color w:val="000000"/>
                <w:sz w:val="22"/>
                <w:szCs w:val="22"/>
              </w:rPr>
              <w:t>sitées</w:t>
            </w:r>
            <w:r w:rsidRPr="009C7F4B">
              <w:rPr>
                <w:rFonts w:ascii="Arial" w:hAnsi="Arial" w:cs="Arial"/>
                <w:color w:val="000000"/>
                <w:sz w:val="22"/>
                <w:szCs w:val="22"/>
              </w:rPr>
              <w:t xml:space="preserve"> (</w:t>
            </w:r>
            <w:r w:rsidR="00D7737D" w:rsidRPr="009C7F4B">
              <w:rPr>
                <w:rFonts w:ascii="Arial" w:hAnsi="Arial" w:cs="Arial"/>
                <w:color w:val="000000"/>
                <w:sz w:val="22"/>
                <w:szCs w:val="22"/>
              </w:rPr>
              <w:t>R</w:t>
            </w:r>
            <w:r w:rsidRPr="009C7F4B">
              <w:rPr>
                <w:rFonts w:ascii="Arial" w:hAnsi="Arial" w:cs="Arial"/>
                <w:color w:val="000000"/>
                <w:sz w:val="22"/>
                <w:szCs w:val="22"/>
              </w:rPr>
              <w:t>=4</w:t>
            </w:r>
            <w:r w:rsidR="00D7737D" w:rsidRPr="009C7F4B">
              <w:rPr>
                <w:rFonts w:ascii="Arial" w:hAnsi="Arial" w:cs="Arial"/>
                <w:color w:val="000000"/>
                <w:sz w:val="22"/>
                <w:szCs w:val="22"/>
              </w:rPr>
              <w:t> </w:t>
            </w:r>
            <w:r w:rsidRPr="009C7F4B">
              <w:rPr>
                <w:rFonts w:ascii="Arial" w:hAnsi="Arial" w:cs="Arial"/>
                <w:color w:val="000000"/>
                <w:sz w:val="22"/>
                <w:szCs w:val="22"/>
              </w:rPr>
              <w:t>500</w:t>
            </w:r>
            <w:r w:rsidR="00D7737D" w:rsidRPr="009C7F4B">
              <w:rPr>
                <w:rFonts w:ascii="Arial" w:hAnsi="Arial" w:cs="Arial"/>
                <w:color w:val="000000"/>
                <w:sz w:val="22"/>
                <w:szCs w:val="22"/>
              </w:rPr>
              <w:t> </w:t>
            </w:r>
            <w:r w:rsidRPr="009C7F4B">
              <w:rPr>
                <w:rFonts w:ascii="Arial" w:hAnsi="Arial" w:cs="Arial"/>
                <w:color w:val="000000"/>
                <w:sz w:val="22"/>
                <w:szCs w:val="22"/>
              </w:rPr>
              <w:t>000)</w:t>
            </w:r>
          </w:p>
          <w:p w14:paraId="17B109CE" w14:textId="77777777" w:rsidR="004E1B8E" w:rsidRPr="009C7F4B" w:rsidRDefault="00D7737D" w:rsidP="004E1B8E">
            <w:pPr>
              <w:spacing w:before="60" w:after="60"/>
              <w:rPr>
                <w:rFonts w:ascii="Arial" w:hAnsi="Arial" w:cs="Arial"/>
                <w:color w:val="000000"/>
                <w:sz w:val="22"/>
                <w:szCs w:val="22"/>
              </w:rPr>
            </w:pPr>
            <w:r w:rsidRPr="009C7F4B">
              <w:rPr>
                <w:rFonts w:ascii="Arial" w:hAnsi="Arial" w:cs="Arial"/>
                <w:color w:val="000000"/>
                <w:sz w:val="22"/>
                <w:szCs w:val="22"/>
              </w:rPr>
              <w:t xml:space="preserve">Site web de la </w:t>
            </w:r>
            <w:r w:rsidR="004E1B8E" w:rsidRPr="009C7F4B">
              <w:rPr>
                <w:rFonts w:ascii="Arial" w:hAnsi="Arial" w:cs="Arial"/>
                <w:color w:val="000000"/>
                <w:sz w:val="22"/>
                <w:szCs w:val="22"/>
              </w:rPr>
              <w:t>Convention c</w:t>
            </w:r>
            <w:r w:rsidR="005F7399" w:rsidRPr="009C7F4B">
              <w:rPr>
                <w:rFonts w:ascii="Arial" w:hAnsi="Arial" w:cs="Arial"/>
                <w:color w:val="000000"/>
                <w:sz w:val="22"/>
                <w:szCs w:val="22"/>
              </w:rPr>
              <w:t>onçu pour une visualisation et une interaction optimales à partir des terminaux mobiles</w:t>
            </w:r>
            <w:r w:rsidR="004E1B8E" w:rsidRPr="009C7F4B">
              <w:rPr>
                <w:rFonts w:ascii="Arial" w:hAnsi="Arial" w:cs="Arial"/>
                <w:color w:val="000000"/>
                <w:sz w:val="22"/>
                <w:szCs w:val="22"/>
              </w:rPr>
              <w:t xml:space="preserve"> (</w:t>
            </w:r>
            <w:r w:rsidR="005F7399" w:rsidRPr="009C7F4B">
              <w:rPr>
                <w:rFonts w:ascii="Arial" w:hAnsi="Arial" w:cs="Arial"/>
                <w:color w:val="000000"/>
                <w:sz w:val="22"/>
                <w:szCs w:val="22"/>
              </w:rPr>
              <w:t>R</w:t>
            </w:r>
            <w:r w:rsidR="004E1B8E" w:rsidRPr="009C7F4B">
              <w:rPr>
                <w:rFonts w:ascii="Arial" w:hAnsi="Arial" w:cs="Arial"/>
                <w:color w:val="000000"/>
                <w:sz w:val="22"/>
                <w:szCs w:val="22"/>
              </w:rPr>
              <w:t xml:space="preserve">=1) </w:t>
            </w:r>
          </w:p>
          <w:p w14:paraId="7DD1D8E2" w14:textId="77777777" w:rsidR="004E1B8E" w:rsidRPr="009C7F4B" w:rsidRDefault="004E1B8E" w:rsidP="00157371">
            <w:pPr>
              <w:spacing w:before="60" w:after="60"/>
              <w:rPr>
                <w:rFonts w:ascii="Arial" w:hAnsi="Arial" w:cs="Arial"/>
                <w:iCs/>
                <w:sz w:val="22"/>
                <w:szCs w:val="22"/>
              </w:rPr>
            </w:pPr>
            <w:r w:rsidRPr="009C7F4B">
              <w:rPr>
                <w:rFonts w:ascii="Arial" w:hAnsi="Arial" w:cs="Arial"/>
                <w:color w:val="000000"/>
                <w:sz w:val="22"/>
                <w:szCs w:val="22"/>
              </w:rPr>
              <w:t>N</w:t>
            </w:r>
            <w:r w:rsidR="005F7399" w:rsidRPr="009C7F4B">
              <w:rPr>
                <w:rFonts w:ascii="Arial" w:hAnsi="Arial" w:cs="Arial"/>
                <w:color w:val="000000"/>
                <w:sz w:val="22"/>
                <w:szCs w:val="22"/>
              </w:rPr>
              <w:t>o</w:t>
            </w:r>
            <w:r w:rsidRPr="009C7F4B">
              <w:rPr>
                <w:rFonts w:ascii="Arial" w:hAnsi="Arial" w:cs="Arial"/>
                <w:color w:val="000000"/>
                <w:sz w:val="22"/>
                <w:szCs w:val="22"/>
              </w:rPr>
              <w:t>mbr</w:t>
            </w:r>
            <w:r w:rsidR="005F7399" w:rsidRPr="009C7F4B">
              <w:rPr>
                <w:rFonts w:ascii="Arial" w:hAnsi="Arial" w:cs="Arial"/>
                <w:color w:val="000000"/>
                <w:sz w:val="22"/>
                <w:szCs w:val="22"/>
              </w:rPr>
              <w:t>e</w:t>
            </w:r>
            <w:r w:rsidRPr="009C7F4B">
              <w:rPr>
                <w:rFonts w:ascii="Arial" w:hAnsi="Arial" w:cs="Arial"/>
                <w:color w:val="000000"/>
                <w:sz w:val="22"/>
                <w:szCs w:val="22"/>
              </w:rPr>
              <w:t xml:space="preserve"> </w:t>
            </w:r>
            <w:r w:rsidR="005F7399" w:rsidRPr="009C7F4B">
              <w:rPr>
                <w:rFonts w:ascii="Arial" w:hAnsi="Arial" w:cs="Arial"/>
                <w:color w:val="000000"/>
                <w:sz w:val="22"/>
                <w:szCs w:val="22"/>
              </w:rPr>
              <w:t xml:space="preserve">de nouvelles pages </w:t>
            </w:r>
            <w:r w:rsidRPr="009C7F4B">
              <w:rPr>
                <w:rFonts w:ascii="Arial" w:hAnsi="Arial" w:cs="Arial"/>
                <w:color w:val="000000"/>
                <w:sz w:val="22"/>
                <w:szCs w:val="22"/>
              </w:rPr>
              <w:t>web p</w:t>
            </w:r>
            <w:r w:rsidR="005F7399" w:rsidRPr="009C7F4B">
              <w:rPr>
                <w:rFonts w:ascii="Arial" w:hAnsi="Arial" w:cs="Arial"/>
                <w:color w:val="000000"/>
                <w:sz w:val="22"/>
                <w:szCs w:val="22"/>
              </w:rPr>
              <w:t xml:space="preserve">ubliées en </w:t>
            </w:r>
            <w:r w:rsidRPr="009C7F4B">
              <w:rPr>
                <w:rFonts w:ascii="Arial" w:hAnsi="Arial" w:cs="Arial"/>
                <w:color w:val="000000"/>
                <w:sz w:val="22"/>
                <w:szCs w:val="22"/>
              </w:rPr>
              <w:t>a</w:t>
            </w:r>
            <w:r w:rsidR="005F7399" w:rsidRPr="009C7F4B">
              <w:rPr>
                <w:rFonts w:ascii="Arial" w:hAnsi="Arial" w:cs="Arial"/>
                <w:color w:val="000000"/>
                <w:sz w:val="22"/>
                <w:szCs w:val="22"/>
              </w:rPr>
              <w:t>nglais, français et espagnol (R</w:t>
            </w:r>
            <w:r w:rsidRPr="009C7F4B">
              <w:rPr>
                <w:rFonts w:ascii="Arial" w:hAnsi="Arial" w:cs="Arial"/>
                <w:color w:val="000000"/>
                <w:sz w:val="22"/>
                <w:szCs w:val="22"/>
              </w:rPr>
              <w:t>=200)</w:t>
            </w:r>
          </w:p>
        </w:tc>
      </w:tr>
      <w:tr w:rsidR="004E1B8E" w:rsidRPr="009C7F4B" w14:paraId="3372F9E0" w14:textId="77777777" w:rsidTr="000A2819">
        <w:trPr>
          <w:cantSplit/>
        </w:trPr>
        <w:tc>
          <w:tcPr>
            <w:tcW w:w="379" w:type="pct"/>
            <w:shd w:val="clear" w:color="auto" w:fill="auto"/>
            <w:vAlign w:val="center"/>
          </w:tcPr>
          <w:p w14:paraId="4C035A77"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1.5</w:t>
            </w:r>
          </w:p>
        </w:tc>
        <w:tc>
          <w:tcPr>
            <w:tcW w:w="2310" w:type="pct"/>
            <w:gridSpan w:val="2"/>
            <w:shd w:val="clear" w:color="auto" w:fill="auto"/>
            <w:vAlign w:val="center"/>
          </w:tcPr>
          <w:p w14:paraId="37B2645E" w14:textId="77777777" w:rsidR="004E1B8E" w:rsidRPr="009C7F4B" w:rsidRDefault="00157371" w:rsidP="00157371">
            <w:pPr>
              <w:spacing w:before="60" w:after="60"/>
              <w:rPr>
                <w:rFonts w:ascii="Arial" w:hAnsi="Arial" w:cs="Arial"/>
                <w:i/>
                <w:iCs/>
                <w:sz w:val="22"/>
                <w:szCs w:val="22"/>
              </w:rPr>
            </w:pPr>
            <w:r w:rsidRPr="009C7F4B">
              <w:rPr>
                <w:rFonts w:ascii="Arial" w:hAnsi="Arial" w:cs="Arial"/>
                <w:sz w:val="22"/>
                <w:szCs w:val="22"/>
              </w:rPr>
              <w:t xml:space="preserve">Textes fondamentaux de la </w:t>
            </w:r>
            <w:r w:rsidR="004E1B8E" w:rsidRPr="009C7F4B">
              <w:rPr>
                <w:rFonts w:ascii="Arial" w:hAnsi="Arial" w:cs="Arial"/>
                <w:sz w:val="22"/>
                <w:szCs w:val="22"/>
              </w:rPr>
              <w:t xml:space="preserve">Convention </w:t>
            </w:r>
            <w:r w:rsidRPr="009C7F4B">
              <w:rPr>
                <w:rFonts w:ascii="Arial" w:hAnsi="Arial" w:cs="Arial"/>
                <w:sz w:val="22"/>
                <w:szCs w:val="22"/>
              </w:rPr>
              <w:t>et autres publications statutaires révisés et publiés</w:t>
            </w:r>
          </w:p>
        </w:tc>
        <w:tc>
          <w:tcPr>
            <w:tcW w:w="2311" w:type="pct"/>
            <w:shd w:val="clear" w:color="auto" w:fill="auto"/>
            <w:vAlign w:val="center"/>
          </w:tcPr>
          <w:p w14:paraId="51C13B85" w14:textId="087B6226" w:rsidR="004E1B8E" w:rsidRPr="009C7F4B" w:rsidRDefault="004E1B8E" w:rsidP="004E1B8E">
            <w:pPr>
              <w:spacing w:before="60" w:after="60"/>
              <w:rPr>
                <w:rFonts w:ascii="Arial" w:hAnsi="Arial" w:cs="Arial"/>
                <w:sz w:val="22"/>
                <w:szCs w:val="22"/>
              </w:rPr>
            </w:pPr>
            <w:r w:rsidRPr="009C7F4B">
              <w:rPr>
                <w:rFonts w:ascii="Arial" w:hAnsi="Arial" w:cs="Arial"/>
                <w:sz w:val="22"/>
                <w:szCs w:val="22"/>
              </w:rPr>
              <w:t xml:space="preserve">Publication </w:t>
            </w:r>
            <w:r w:rsidR="00157371" w:rsidRPr="009C7F4B">
              <w:rPr>
                <w:rFonts w:ascii="Arial" w:hAnsi="Arial" w:cs="Arial"/>
                <w:sz w:val="22"/>
                <w:szCs w:val="22"/>
              </w:rPr>
              <w:t xml:space="preserve">de la version </w:t>
            </w:r>
            <w:r w:rsidRPr="009C7F4B">
              <w:rPr>
                <w:rFonts w:ascii="Arial" w:hAnsi="Arial" w:cs="Arial"/>
                <w:sz w:val="22"/>
                <w:szCs w:val="22"/>
              </w:rPr>
              <w:t xml:space="preserve">2016 </w:t>
            </w:r>
            <w:r w:rsidR="00157371" w:rsidRPr="009C7F4B">
              <w:rPr>
                <w:rFonts w:ascii="Arial" w:hAnsi="Arial" w:cs="Arial"/>
                <w:sz w:val="22"/>
                <w:szCs w:val="22"/>
              </w:rPr>
              <w:t xml:space="preserve">des </w:t>
            </w:r>
            <w:r w:rsidR="0068436D" w:rsidRPr="009C7F4B">
              <w:rPr>
                <w:rFonts w:ascii="Arial" w:hAnsi="Arial" w:cs="Arial"/>
                <w:sz w:val="22"/>
                <w:szCs w:val="22"/>
              </w:rPr>
              <w:t>T</w:t>
            </w:r>
            <w:r w:rsidR="00157371" w:rsidRPr="009C7F4B">
              <w:rPr>
                <w:rFonts w:ascii="Arial" w:hAnsi="Arial" w:cs="Arial"/>
                <w:sz w:val="22"/>
                <w:szCs w:val="22"/>
              </w:rPr>
              <w:t>extes fondamentaux</w:t>
            </w:r>
            <w:r w:rsidRPr="009C7F4B">
              <w:rPr>
                <w:rFonts w:ascii="Arial" w:hAnsi="Arial" w:cs="Arial"/>
                <w:sz w:val="22"/>
                <w:szCs w:val="22"/>
              </w:rPr>
              <w:t xml:space="preserve"> (</w:t>
            </w:r>
            <w:r w:rsidR="00157371" w:rsidRPr="009C7F4B">
              <w:rPr>
                <w:rFonts w:ascii="Arial" w:hAnsi="Arial" w:cs="Arial"/>
                <w:sz w:val="22"/>
                <w:szCs w:val="22"/>
              </w:rPr>
              <w:t>R</w:t>
            </w:r>
            <w:r w:rsidRPr="009C7F4B">
              <w:rPr>
                <w:rFonts w:ascii="Arial" w:hAnsi="Arial" w:cs="Arial"/>
                <w:sz w:val="22"/>
                <w:szCs w:val="22"/>
              </w:rPr>
              <w:t>=1)</w:t>
            </w:r>
          </w:p>
          <w:p w14:paraId="7D154131" w14:textId="77777777" w:rsidR="004E1B8E" w:rsidRPr="009C7F4B" w:rsidRDefault="00157371" w:rsidP="00157371">
            <w:pPr>
              <w:spacing w:before="60" w:after="60"/>
              <w:rPr>
                <w:rFonts w:ascii="Arial" w:hAnsi="Arial" w:cs="Arial"/>
                <w:iCs/>
                <w:sz w:val="22"/>
                <w:szCs w:val="22"/>
              </w:rPr>
            </w:pPr>
            <w:r w:rsidRPr="009C7F4B">
              <w:rPr>
                <w:rFonts w:ascii="Arial" w:hAnsi="Arial" w:cs="Arial"/>
                <w:iCs/>
                <w:sz w:val="22"/>
                <w:szCs w:val="22"/>
              </w:rPr>
              <w:t xml:space="preserve">Listes </w:t>
            </w:r>
            <w:r w:rsidR="004E1B8E" w:rsidRPr="009C7F4B">
              <w:rPr>
                <w:rFonts w:ascii="Arial" w:hAnsi="Arial" w:cs="Arial"/>
                <w:iCs/>
                <w:sz w:val="22"/>
                <w:szCs w:val="22"/>
              </w:rPr>
              <w:t xml:space="preserve">2014-2015 </w:t>
            </w:r>
            <w:r w:rsidRPr="009C7F4B">
              <w:rPr>
                <w:rFonts w:ascii="Arial" w:hAnsi="Arial" w:cs="Arial"/>
                <w:iCs/>
                <w:sz w:val="22"/>
                <w:szCs w:val="22"/>
              </w:rPr>
              <w:t xml:space="preserve">de la </w:t>
            </w:r>
            <w:r w:rsidR="004E1B8E" w:rsidRPr="009C7F4B">
              <w:rPr>
                <w:rFonts w:ascii="Arial" w:hAnsi="Arial" w:cs="Arial"/>
                <w:iCs/>
                <w:sz w:val="22"/>
                <w:szCs w:val="22"/>
              </w:rPr>
              <w:t>Convention publi</w:t>
            </w:r>
            <w:r w:rsidRPr="009C7F4B">
              <w:rPr>
                <w:rFonts w:ascii="Arial" w:hAnsi="Arial" w:cs="Arial"/>
                <w:iCs/>
                <w:sz w:val="22"/>
                <w:szCs w:val="22"/>
              </w:rPr>
              <w:t>ées</w:t>
            </w:r>
            <w:r w:rsidR="004E1B8E" w:rsidRPr="009C7F4B">
              <w:rPr>
                <w:rFonts w:ascii="Arial" w:hAnsi="Arial" w:cs="Arial"/>
                <w:iCs/>
                <w:sz w:val="22"/>
                <w:szCs w:val="22"/>
              </w:rPr>
              <w:t xml:space="preserve"> (</w:t>
            </w:r>
            <w:r w:rsidRPr="009C7F4B">
              <w:rPr>
                <w:rFonts w:ascii="Arial" w:hAnsi="Arial" w:cs="Arial"/>
                <w:iCs/>
                <w:sz w:val="22"/>
                <w:szCs w:val="22"/>
              </w:rPr>
              <w:t>R</w:t>
            </w:r>
            <w:r w:rsidR="004E1B8E" w:rsidRPr="009C7F4B">
              <w:rPr>
                <w:rFonts w:ascii="Arial" w:hAnsi="Arial" w:cs="Arial"/>
                <w:iCs/>
                <w:sz w:val="22"/>
                <w:szCs w:val="22"/>
              </w:rPr>
              <w:t>=1)</w:t>
            </w:r>
          </w:p>
        </w:tc>
      </w:tr>
    </w:tbl>
    <w:p w14:paraId="5CE8D0A1" w14:textId="77777777" w:rsidR="004E1B8E" w:rsidRPr="009C7F4B" w:rsidRDefault="004E1B8E" w:rsidP="004E1B8E"/>
    <w:tbl>
      <w:tblPr>
        <w:tblStyle w:val="Grilledutableau1"/>
        <w:tblW w:w="5000" w:type="pct"/>
        <w:tblLook w:val="04A0" w:firstRow="1" w:lastRow="0" w:firstColumn="1" w:lastColumn="0" w:noHBand="0" w:noVBand="1"/>
      </w:tblPr>
      <w:tblGrid>
        <w:gridCol w:w="716"/>
        <w:gridCol w:w="1600"/>
        <w:gridCol w:w="2968"/>
        <w:gridCol w:w="4570"/>
      </w:tblGrid>
      <w:tr w:rsidR="004E1B8E" w:rsidRPr="009C7F4B" w14:paraId="49386A80" w14:textId="77777777" w:rsidTr="000A2819">
        <w:trPr>
          <w:cantSplit/>
        </w:trPr>
        <w:tc>
          <w:tcPr>
            <w:tcW w:w="1175" w:type="pct"/>
            <w:gridSpan w:val="2"/>
            <w:shd w:val="clear" w:color="auto" w:fill="808080" w:themeFill="background1" w:themeFillShade="80"/>
            <w:vAlign w:val="center"/>
          </w:tcPr>
          <w:p w14:paraId="6A988A8D" w14:textId="77777777" w:rsidR="004E1B8E" w:rsidRPr="009C7F4B" w:rsidRDefault="004E1B8E" w:rsidP="008D69F4">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lastRenderedPageBreak/>
              <w:t xml:space="preserve">38C/5 </w:t>
            </w:r>
            <w:r w:rsidR="008D69F4" w:rsidRPr="009C7F4B">
              <w:rPr>
                <w:rFonts w:ascii="Arial" w:hAnsi="Arial" w:cs="Arial"/>
                <w:b/>
                <w:bCs/>
                <w:color w:val="FFFFFF" w:themeColor="background1"/>
                <w:sz w:val="22"/>
                <w:szCs w:val="22"/>
              </w:rPr>
              <w:t>Indicateur de p</w:t>
            </w:r>
            <w:r w:rsidRPr="009C7F4B">
              <w:rPr>
                <w:rFonts w:ascii="Arial" w:hAnsi="Arial" w:cs="Arial"/>
                <w:b/>
                <w:bCs/>
                <w:color w:val="FFFFFF" w:themeColor="background1"/>
                <w:sz w:val="22"/>
                <w:szCs w:val="22"/>
              </w:rPr>
              <w:t>erformance 2</w:t>
            </w:r>
          </w:p>
        </w:tc>
        <w:tc>
          <w:tcPr>
            <w:tcW w:w="3825" w:type="pct"/>
            <w:gridSpan w:val="2"/>
            <w:shd w:val="clear" w:color="auto" w:fill="808080" w:themeFill="background1" w:themeFillShade="80"/>
            <w:vAlign w:val="center"/>
          </w:tcPr>
          <w:p w14:paraId="790829CC" w14:textId="05EB2BD5" w:rsidR="004E1B8E" w:rsidRPr="009C7F4B" w:rsidRDefault="00653EC6" w:rsidP="00653EC6">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Nombre d’États membres aidés mettant à profit les ressources humaines et institutionnelles renforcées pour le patrimoine culturel immatériel et intégrant ce dernier dans leurs politiques nationales</w:t>
            </w:r>
          </w:p>
        </w:tc>
      </w:tr>
      <w:tr w:rsidR="004E1B8E" w:rsidRPr="009C7F4B" w14:paraId="44747D7D" w14:textId="77777777" w:rsidTr="000A2819">
        <w:trPr>
          <w:cantSplit/>
        </w:trPr>
        <w:tc>
          <w:tcPr>
            <w:tcW w:w="1175" w:type="pct"/>
            <w:gridSpan w:val="2"/>
            <w:shd w:val="clear" w:color="auto" w:fill="F2F2F2" w:themeFill="background1" w:themeFillShade="F2"/>
            <w:vAlign w:val="center"/>
          </w:tcPr>
          <w:p w14:paraId="145A7FDA" w14:textId="29FD4D97" w:rsidR="004E1B8E" w:rsidRPr="009C7F4B" w:rsidRDefault="004F055F" w:rsidP="004F055F">
            <w:pPr>
              <w:keepNext/>
              <w:spacing w:before="60" w:after="60"/>
              <w:rPr>
                <w:rFonts w:ascii="Arial" w:hAnsi="Arial" w:cs="Arial"/>
                <w:b/>
                <w:bCs/>
                <w:sz w:val="22"/>
                <w:szCs w:val="22"/>
              </w:rPr>
            </w:pPr>
            <w:r w:rsidRPr="009C7F4B">
              <w:rPr>
                <w:rFonts w:ascii="Arial" w:hAnsi="Arial" w:cs="Arial"/>
                <w:b/>
                <w:bCs/>
                <w:sz w:val="22"/>
                <w:szCs w:val="22"/>
              </w:rPr>
              <w:t>Résultat escompté</w:t>
            </w:r>
            <w:r w:rsidR="0068436D" w:rsidRPr="009C7F4B">
              <w:rPr>
                <w:rFonts w:ascii="Arial" w:hAnsi="Arial" w:cs="Arial"/>
                <w:b/>
                <w:bCs/>
                <w:sz w:val="22"/>
                <w:szCs w:val="22"/>
              </w:rPr>
              <w:t> </w:t>
            </w:r>
            <w:r w:rsidRPr="009C7F4B">
              <w:rPr>
                <w:rFonts w:ascii="Arial" w:hAnsi="Arial" w:cs="Arial"/>
                <w:b/>
                <w:bCs/>
                <w:sz w:val="22"/>
                <w:szCs w:val="22"/>
              </w:rPr>
              <w:t>2 du Fonds du PCI</w:t>
            </w:r>
          </w:p>
        </w:tc>
        <w:tc>
          <w:tcPr>
            <w:tcW w:w="3825" w:type="pct"/>
            <w:gridSpan w:val="2"/>
            <w:shd w:val="clear" w:color="auto" w:fill="F2F2F2" w:themeFill="background1" w:themeFillShade="F2"/>
            <w:vAlign w:val="center"/>
          </w:tcPr>
          <w:p w14:paraId="6EE78F61" w14:textId="2238FE47" w:rsidR="004E1B8E" w:rsidRPr="009C7F4B" w:rsidRDefault="009C7F4B" w:rsidP="004F055F">
            <w:pPr>
              <w:keepNext/>
              <w:spacing w:before="60" w:after="60"/>
              <w:rPr>
                <w:rFonts w:ascii="Arial" w:hAnsi="Arial" w:cs="Arial"/>
                <w:b/>
                <w:bCs/>
                <w:sz w:val="22"/>
                <w:szCs w:val="22"/>
              </w:rPr>
            </w:pPr>
            <w:r w:rsidRPr="009C7F4B">
              <w:rPr>
                <w:rFonts w:ascii="Arial" w:hAnsi="Arial" w:cs="Arial"/>
                <w:b/>
                <w:bCs/>
                <w:sz w:val="22"/>
                <w:szCs w:val="22"/>
              </w:rPr>
              <w:t>Mise en œuvre de la Convention dans les États membres encouragée par un programme de renforcement de capacités consolidé et des conseils sur des mesures de sauvegarde et des bonnes pratiques</w:t>
            </w:r>
            <w:bookmarkStart w:id="0" w:name="_GoBack"/>
            <w:bookmarkEnd w:id="0"/>
          </w:p>
        </w:tc>
      </w:tr>
      <w:tr w:rsidR="004E1B8E" w:rsidRPr="009C7F4B" w14:paraId="2741BE8A" w14:textId="77777777" w:rsidTr="000A2819">
        <w:trPr>
          <w:cantSplit/>
        </w:trPr>
        <w:tc>
          <w:tcPr>
            <w:tcW w:w="1175" w:type="pct"/>
            <w:gridSpan w:val="2"/>
            <w:shd w:val="clear" w:color="auto" w:fill="F2F2F2" w:themeFill="background1" w:themeFillShade="F2"/>
            <w:vAlign w:val="center"/>
          </w:tcPr>
          <w:p w14:paraId="43FF0AFD" w14:textId="77777777" w:rsidR="004E1B8E" w:rsidRPr="009C7F4B" w:rsidRDefault="004E1B8E" w:rsidP="004E1B8E">
            <w:pPr>
              <w:keepNext/>
              <w:spacing w:before="60" w:after="60"/>
              <w:rPr>
                <w:rFonts w:ascii="Arial" w:hAnsi="Arial" w:cs="Arial"/>
                <w:b/>
                <w:bCs/>
                <w:sz w:val="22"/>
                <w:szCs w:val="22"/>
              </w:rPr>
            </w:pPr>
            <w:r w:rsidRPr="009C7F4B">
              <w:rPr>
                <w:rFonts w:ascii="Arial" w:hAnsi="Arial" w:cs="Arial"/>
                <w:b/>
                <w:bCs/>
                <w:sz w:val="22"/>
                <w:szCs w:val="22"/>
              </w:rPr>
              <w:t>199OTH4138.1</w:t>
            </w:r>
          </w:p>
        </w:tc>
        <w:tc>
          <w:tcPr>
            <w:tcW w:w="3825" w:type="pct"/>
            <w:gridSpan w:val="2"/>
            <w:shd w:val="clear" w:color="auto" w:fill="F2F2F2" w:themeFill="background1" w:themeFillShade="F2"/>
            <w:vAlign w:val="center"/>
          </w:tcPr>
          <w:p w14:paraId="2A5558F0" w14:textId="77777777" w:rsidR="004E1B8E" w:rsidRPr="009C7F4B" w:rsidRDefault="004F055F" w:rsidP="000A7BA2">
            <w:pPr>
              <w:keepNext/>
              <w:spacing w:before="60" w:after="60"/>
              <w:rPr>
                <w:rFonts w:ascii="Arial" w:hAnsi="Arial" w:cs="Arial"/>
                <w:b/>
                <w:bCs/>
                <w:sz w:val="22"/>
                <w:szCs w:val="22"/>
              </w:rPr>
            </w:pPr>
            <w:r w:rsidRPr="009C7F4B">
              <w:rPr>
                <w:rFonts w:ascii="Arial" w:hAnsi="Arial" w:cs="Arial"/>
                <w:b/>
                <w:bCs/>
                <w:sz w:val="22"/>
                <w:szCs w:val="22"/>
              </w:rPr>
              <w:t>Dotation budgétaire </w:t>
            </w:r>
            <w:r w:rsidR="004E1B8E" w:rsidRPr="009C7F4B">
              <w:rPr>
                <w:rFonts w:ascii="Arial" w:hAnsi="Arial" w:cs="Arial"/>
                <w:b/>
                <w:bCs/>
                <w:sz w:val="22"/>
                <w:szCs w:val="22"/>
              </w:rPr>
              <w:t>: 817</w:t>
            </w:r>
            <w:r w:rsidRPr="009C7F4B">
              <w:rPr>
                <w:rFonts w:ascii="Arial" w:hAnsi="Arial" w:cs="Arial"/>
                <w:b/>
                <w:bCs/>
                <w:sz w:val="22"/>
                <w:szCs w:val="22"/>
              </w:rPr>
              <w:t> </w:t>
            </w:r>
            <w:r w:rsidR="004E1B8E" w:rsidRPr="009C7F4B">
              <w:rPr>
                <w:rFonts w:ascii="Arial" w:hAnsi="Arial" w:cs="Arial"/>
                <w:b/>
                <w:bCs/>
                <w:sz w:val="22"/>
                <w:szCs w:val="22"/>
              </w:rPr>
              <w:t>346</w:t>
            </w:r>
            <w:r w:rsidRPr="009C7F4B">
              <w:rPr>
                <w:rFonts w:ascii="Arial" w:hAnsi="Arial" w:cs="Arial"/>
                <w:b/>
                <w:bCs/>
                <w:sz w:val="22"/>
                <w:szCs w:val="22"/>
              </w:rPr>
              <w:t xml:space="preserve"> dollars des </w:t>
            </w:r>
            <w:r w:rsidR="004312CB" w:rsidRPr="009C7F4B">
              <w:rPr>
                <w:rFonts w:ascii="Arial" w:hAnsi="Arial" w:cs="Arial"/>
                <w:b/>
                <w:bCs/>
                <w:sz w:val="22"/>
                <w:szCs w:val="22"/>
              </w:rPr>
              <w:t>États-Unis</w:t>
            </w:r>
          </w:p>
        </w:tc>
      </w:tr>
      <w:tr w:rsidR="004E1B8E" w:rsidRPr="009C7F4B" w14:paraId="515576C1" w14:textId="77777777" w:rsidTr="000A2819">
        <w:trPr>
          <w:cantSplit/>
        </w:trPr>
        <w:tc>
          <w:tcPr>
            <w:tcW w:w="363" w:type="pct"/>
            <w:shd w:val="clear" w:color="auto" w:fill="F2F2F2" w:themeFill="background1" w:themeFillShade="F2"/>
            <w:vAlign w:val="center"/>
          </w:tcPr>
          <w:p w14:paraId="20377553" w14:textId="77777777" w:rsidR="004E1B8E" w:rsidRPr="009C7F4B" w:rsidRDefault="004E1B8E" w:rsidP="004E1B8E">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0A9CA5AE" w14:textId="77777777" w:rsidR="004E1B8E" w:rsidRPr="009C7F4B" w:rsidRDefault="004F055F" w:rsidP="004F055F">
            <w:pPr>
              <w:keepNext/>
              <w:spacing w:before="60" w:after="60"/>
              <w:jc w:val="center"/>
              <w:rPr>
                <w:rFonts w:ascii="Arial" w:hAnsi="Arial" w:cs="Arial"/>
                <w:i/>
                <w:iCs/>
                <w:sz w:val="22"/>
                <w:szCs w:val="22"/>
              </w:rPr>
            </w:pPr>
            <w:r w:rsidRPr="009C7F4B">
              <w:rPr>
                <w:rFonts w:ascii="Arial" w:hAnsi="Arial" w:cs="Arial"/>
                <w:i/>
                <w:iCs/>
                <w:sz w:val="22"/>
                <w:szCs w:val="22"/>
              </w:rPr>
              <w:t>Produit</w:t>
            </w:r>
            <w:r w:rsidR="004E1B8E" w:rsidRPr="009C7F4B">
              <w:rPr>
                <w:rFonts w:ascii="Arial" w:hAnsi="Arial" w:cs="Arial"/>
                <w:i/>
                <w:iCs/>
                <w:sz w:val="22"/>
                <w:szCs w:val="22"/>
              </w:rPr>
              <w:t>s</w:t>
            </w:r>
          </w:p>
        </w:tc>
        <w:tc>
          <w:tcPr>
            <w:tcW w:w="2319" w:type="pct"/>
            <w:shd w:val="clear" w:color="auto" w:fill="F2F2F2" w:themeFill="background1" w:themeFillShade="F2"/>
            <w:vAlign w:val="center"/>
          </w:tcPr>
          <w:p w14:paraId="368CC45A" w14:textId="77777777" w:rsidR="004E1B8E" w:rsidRPr="009C7F4B" w:rsidRDefault="004E1B8E" w:rsidP="004F055F">
            <w:pPr>
              <w:keepNext/>
              <w:spacing w:before="60" w:after="60"/>
              <w:jc w:val="center"/>
              <w:rPr>
                <w:rFonts w:ascii="Arial" w:hAnsi="Arial" w:cs="Arial"/>
                <w:i/>
                <w:iCs/>
                <w:sz w:val="22"/>
                <w:szCs w:val="22"/>
              </w:rPr>
            </w:pPr>
            <w:r w:rsidRPr="009C7F4B">
              <w:rPr>
                <w:rFonts w:ascii="Arial" w:hAnsi="Arial" w:cs="Arial"/>
                <w:i/>
                <w:iCs/>
                <w:sz w:val="22"/>
                <w:szCs w:val="22"/>
              </w:rPr>
              <w:t>Indicat</w:t>
            </w:r>
            <w:r w:rsidR="004F055F" w:rsidRPr="009C7F4B">
              <w:rPr>
                <w:rFonts w:ascii="Arial" w:hAnsi="Arial" w:cs="Arial"/>
                <w:i/>
                <w:iCs/>
                <w:sz w:val="22"/>
                <w:szCs w:val="22"/>
              </w:rPr>
              <w:t>eu</w:t>
            </w:r>
            <w:r w:rsidRPr="009C7F4B">
              <w:rPr>
                <w:rFonts w:ascii="Arial" w:hAnsi="Arial" w:cs="Arial"/>
                <w:i/>
                <w:iCs/>
                <w:sz w:val="22"/>
                <w:szCs w:val="22"/>
              </w:rPr>
              <w:t>rs (</w:t>
            </w:r>
            <w:r w:rsidR="004F055F" w:rsidRPr="009C7F4B">
              <w:rPr>
                <w:rFonts w:ascii="Arial" w:hAnsi="Arial" w:cs="Arial"/>
                <w:i/>
                <w:iCs/>
                <w:sz w:val="22"/>
                <w:szCs w:val="22"/>
              </w:rPr>
              <w:t>Références</w:t>
            </w:r>
            <w:r w:rsidRPr="009C7F4B">
              <w:rPr>
                <w:rFonts w:ascii="Arial" w:hAnsi="Arial" w:cs="Arial"/>
                <w:i/>
                <w:iCs/>
                <w:sz w:val="22"/>
                <w:szCs w:val="22"/>
              </w:rPr>
              <w:t>) 2016-2017</w:t>
            </w:r>
          </w:p>
        </w:tc>
      </w:tr>
      <w:tr w:rsidR="004E1B8E" w:rsidRPr="009C7F4B" w14:paraId="2750E7D6" w14:textId="77777777" w:rsidTr="000A2819">
        <w:trPr>
          <w:cantSplit/>
        </w:trPr>
        <w:tc>
          <w:tcPr>
            <w:tcW w:w="363" w:type="pct"/>
            <w:shd w:val="clear" w:color="auto" w:fill="auto"/>
            <w:vAlign w:val="center"/>
          </w:tcPr>
          <w:p w14:paraId="56B99D95"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2.1</w:t>
            </w:r>
          </w:p>
        </w:tc>
        <w:tc>
          <w:tcPr>
            <w:tcW w:w="2318" w:type="pct"/>
            <w:gridSpan w:val="2"/>
            <w:shd w:val="clear" w:color="auto" w:fill="auto"/>
            <w:vAlign w:val="center"/>
          </w:tcPr>
          <w:p w14:paraId="29DF444F" w14:textId="77777777" w:rsidR="004E1B8E" w:rsidRPr="009C7F4B" w:rsidRDefault="00260465" w:rsidP="00260465">
            <w:pPr>
              <w:spacing w:before="60" w:after="60"/>
              <w:rPr>
                <w:rFonts w:ascii="Arial" w:hAnsi="Arial" w:cs="Arial"/>
                <w:i/>
                <w:iCs/>
                <w:sz w:val="22"/>
                <w:szCs w:val="22"/>
              </w:rPr>
            </w:pPr>
            <w:r w:rsidRPr="009C7F4B">
              <w:rPr>
                <w:rFonts w:ascii="Arial" w:hAnsi="Arial" w:cs="Arial"/>
                <w:sz w:val="22"/>
                <w:szCs w:val="22"/>
              </w:rPr>
              <w:t>Réseau de facilitateurs renforcé</w:t>
            </w:r>
            <w:r w:rsidR="004E1B8E" w:rsidRPr="009C7F4B">
              <w:rPr>
                <w:rFonts w:ascii="Arial" w:hAnsi="Arial" w:cs="Arial"/>
                <w:sz w:val="22"/>
                <w:szCs w:val="22"/>
              </w:rPr>
              <w:t xml:space="preserve"> </w:t>
            </w:r>
          </w:p>
        </w:tc>
        <w:tc>
          <w:tcPr>
            <w:tcW w:w="2319" w:type="pct"/>
            <w:shd w:val="clear" w:color="auto" w:fill="auto"/>
            <w:vAlign w:val="center"/>
          </w:tcPr>
          <w:p w14:paraId="754C42BE" w14:textId="28EEB317" w:rsidR="004E1B8E" w:rsidRPr="009C7F4B" w:rsidRDefault="00260465" w:rsidP="004E1B8E">
            <w:pPr>
              <w:numPr>
                <w:ilvl w:val="0"/>
                <w:numId w:val="23"/>
              </w:numPr>
              <w:spacing w:before="60" w:after="60"/>
              <w:ind w:left="357" w:hanging="357"/>
              <w:rPr>
                <w:rFonts w:ascii="Arial" w:hAnsi="Arial" w:cs="Arial"/>
                <w:sz w:val="22"/>
                <w:szCs w:val="22"/>
              </w:rPr>
            </w:pPr>
            <w:r w:rsidRPr="009C7F4B">
              <w:rPr>
                <w:rFonts w:ascii="Arial" w:hAnsi="Arial" w:cs="Arial"/>
                <w:sz w:val="22"/>
                <w:szCs w:val="22"/>
              </w:rPr>
              <w:t xml:space="preserve">Ateliers régionaux pour former des facilitateurs et mettre à niveau </w:t>
            </w:r>
            <w:r w:rsidR="0068436D" w:rsidRPr="009C7F4B">
              <w:rPr>
                <w:rFonts w:ascii="Arial" w:hAnsi="Arial" w:cs="Arial"/>
                <w:sz w:val="22"/>
                <w:szCs w:val="22"/>
              </w:rPr>
              <w:t xml:space="preserve">leurs </w:t>
            </w:r>
            <w:r w:rsidRPr="009C7F4B">
              <w:rPr>
                <w:rFonts w:ascii="Arial" w:hAnsi="Arial" w:cs="Arial"/>
                <w:sz w:val="22"/>
                <w:szCs w:val="22"/>
              </w:rPr>
              <w:t xml:space="preserve">compétences </w:t>
            </w:r>
            <w:r w:rsidR="004E1B8E" w:rsidRPr="009C7F4B">
              <w:rPr>
                <w:rFonts w:ascii="Arial" w:hAnsi="Arial" w:cs="Arial"/>
                <w:sz w:val="22"/>
                <w:szCs w:val="22"/>
              </w:rPr>
              <w:br/>
              <w:t>(</w:t>
            </w:r>
            <w:r w:rsidRPr="009C7F4B">
              <w:rPr>
                <w:rFonts w:ascii="Arial" w:hAnsi="Arial" w:cs="Arial"/>
                <w:sz w:val="22"/>
                <w:szCs w:val="22"/>
              </w:rPr>
              <w:t>R</w:t>
            </w:r>
            <w:r w:rsidR="004E1B8E" w:rsidRPr="009C7F4B">
              <w:rPr>
                <w:rFonts w:ascii="Arial" w:hAnsi="Arial" w:cs="Arial"/>
                <w:sz w:val="22"/>
                <w:szCs w:val="22"/>
              </w:rPr>
              <w:t xml:space="preserve">=4, </w:t>
            </w:r>
            <w:r w:rsidRPr="009C7F4B">
              <w:rPr>
                <w:rFonts w:ascii="Arial" w:hAnsi="Arial" w:cs="Arial"/>
                <w:sz w:val="22"/>
                <w:szCs w:val="22"/>
              </w:rPr>
              <w:t>subordonnés au soutien d’un pays-hôte ou d’un partenaire</w:t>
            </w:r>
            <w:r w:rsidR="004E1B8E" w:rsidRPr="009C7F4B">
              <w:rPr>
                <w:rFonts w:ascii="Arial" w:hAnsi="Arial" w:cs="Arial"/>
                <w:sz w:val="22"/>
                <w:szCs w:val="22"/>
              </w:rPr>
              <w:t>)</w:t>
            </w:r>
          </w:p>
          <w:p w14:paraId="09A96E22" w14:textId="68593A3E" w:rsidR="004E1B8E" w:rsidRPr="009C7F4B" w:rsidRDefault="00260465" w:rsidP="004E1B8E">
            <w:pPr>
              <w:numPr>
                <w:ilvl w:val="0"/>
                <w:numId w:val="23"/>
              </w:numPr>
              <w:spacing w:before="60" w:after="60"/>
              <w:ind w:left="357" w:hanging="357"/>
              <w:rPr>
                <w:rFonts w:ascii="Arial" w:hAnsi="Arial" w:cs="Arial"/>
                <w:sz w:val="22"/>
                <w:szCs w:val="22"/>
              </w:rPr>
            </w:pPr>
            <w:r w:rsidRPr="009C7F4B">
              <w:rPr>
                <w:rFonts w:ascii="Arial" w:hAnsi="Arial" w:cs="Arial"/>
                <w:sz w:val="22"/>
                <w:szCs w:val="22"/>
              </w:rPr>
              <w:t xml:space="preserve">Atelier mondial sur l’examen du programme de renforcement des capacités et </w:t>
            </w:r>
            <w:r w:rsidR="001B1B7C" w:rsidRPr="009C7F4B">
              <w:rPr>
                <w:rFonts w:ascii="Arial" w:hAnsi="Arial" w:cs="Arial"/>
                <w:sz w:val="22"/>
                <w:szCs w:val="22"/>
              </w:rPr>
              <w:t xml:space="preserve">initiation </w:t>
            </w:r>
            <w:r w:rsidR="0068436D" w:rsidRPr="009C7F4B">
              <w:rPr>
                <w:rFonts w:ascii="Arial" w:hAnsi="Arial" w:cs="Arial"/>
                <w:sz w:val="22"/>
                <w:szCs w:val="22"/>
              </w:rPr>
              <w:t>au soutien pour</w:t>
            </w:r>
            <w:r w:rsidR="001B1B7C" w:rsidRPr="009C7F4B">
              <w:rPr>
                <w:rFonts w:ascii="Arial" w:hAnsi="Arial" w:cs="Arial"/>
                <w:sz w:val="22"/>
                <w:szCs w:val="22"/>
              </w:rPr>
              <w:t xml:space="preserve"> la préparation des demandes d’assistance internationale</w:t>
            </w:r>
            <w:r w:rsidR="004E1B8E" w:rsidRPr="009C7F4B">
              <w:rPr>
                <w:rFonts w:ascii="Arial" w:hAnsi="Arial" w:cs="Arial"/>
                <w:sz w:val="22"/>
                <w:szCs w:val="22"/>
              </w:rPr>
              <w:t xml:space="preserve"> (</w:t>
            </w:r>
            <w:r w:rsidR="001B1B7C" w:rsidRPr="009C7F4B">
              <w:rPr>
                <w:rFonts w:ascii="Arial" w:hAnsi="Arial" w:cs="Arial"/>
                <w:sz w:val="22"/>
                <w:szCs w:val="22"/>
              </w:rPr>
              <w:t>R</w:t>
            </w:r>
            <w:r w:rsidR="004E1B8E" w:rsidRPr="009C7F4B">
              <w:rPr>
                <w:rFonts w:ascii="Arial" w:hAnsi="Arial" w:cs="Arial"/>
                <w:sz w:val="22"/>
                <w:szCs w:val="22"/>
              </w:rPr>
              <w:t>=1)</w:t>
            </w:r>
          </w:p>
          <w:p w14:paraId="43F2D29C" w14:textId="77777777" w:rsidR="004E1B8E" w:rsidRPr="009C7F4B" w:rsidRDefault="001B1B7C" w:rsidP="004E1B8E">
            <w:pPr>
              <w:numPr>
                <w:ilvl w:val="0"/>
                <w:numId w:val="23"/>
              </w:numPr>
              <w:spacing w:before="60" w:after="60"/>
              <w:ind w:left="357" w:hanging="357"/>
              <w:rPr>
                <w:rFonts w:ascii="Arial" w:hAnsi="Arial" w:cs="Arial"/>
                <w:iCs/>
                <w:sz w:val="22"/>
                <w:szCs w:val="22"/>
              </w:rPr>
            </w:pPr>
            <w:r w:rsidRPr="009C7F4B">
              <w:rPr>
                <w:rFonts w:ascii="Arial" w:hAnsi="Arial" w:cs="Arial"/>
                <w:sz w:val="22"/>
                <w:szCs w:val="22"/>
              </w:rPr>
              <w:t>Tutoriels a</w:t>
            </w:r>
            <w:r w:rsidR="004E1B8E" w:rsidRPr="009C7F4B">
              <w:rPr>
                <w:rFonts w:ascii="Arial" w:hAnsi="Arial" w:cs="Arial"/>
                <w:sz w:val="22"/>
                <w:szCs w:val="22"/>
              </w:rPr>
              <w:t>udiovisu</w:t>
            </w:r>
            <w:r w:rsidRPr="009C7F4B">
              <w:rPr>
                <w:rFonts w:ascii="Arial" w:hAnsi="Arial" w:cs="Arial"/>
                <w:sz w:val="22"/>
                <w:szCs w:val="22"/>
              </w:rPr>
              <w:t>e</w:t>
            </w:r>
            <w:r w:rsidR="004E1B8E" w:rsidRPr="009C7F4B">
              <w:rPr>
                <w:rFonts w:ascii="Arial" w:hAnsi="Arial" w:cs="Arial"/>
                <w:sz w:val="22"/>
                <w:szCs w:val="22"/>
              </w:rPr>
              <w:t>l</w:t>
            </w:r>
            <w:r w:rsidRPr="009C7F4B">
              <w:rPr>
                <w:rFonts w:ascii="Arial" w:hAnsi="Arial" w:cs="Arial"/>
                <w:sz w:val="22"/>
                <w:szCs w:val="22"/>
              </w:rPr>
              <w:t>s réalisés sur certains sujets</w:t>
            </w:r>
            <w:r w:rsidR="004E1B8E" w:rsidRPr="009C7F4B">
              <w:rPr>
                <w:rFonts w:ascii="Arial" w:hAnsi="Arial" w:cs="Arial"/>
                <w:sz w:val="22"/>
                <w:szCs w:val="22"/>
              </w:rPr>
              <w:t xml:space="preserve"> (</w:t>
            </w:r>
            <w:r w:rsidRPr="009C7F4B">
              <w:rPr>
                <w:rFonts w:ascii="Arial" w:hAnsi="Arial" w:cs="Arial"/>
                <w:sz w:val="22"/>
                <w:szCs w:val="22"/>
              </w:rPr>
              <w:t>R</w:t>
            </w:r>
            <w:r w:rsidR="004E1B8E" w:rsidRPr="009C7F4B">
              <w:rPr>
                <w:rFonts w:ascii="Arial" w:hAnsi="Arial" w:cs="Arial"/>
                <w:sz w:val="22"/>
                <w:szCs w:val="22"/>
              </w:rPr>
              <w:t>=3)</w:t>
            </w:r>
          </w:p>
          <w:p w14:paraId="558696B8" w14:textId="77777777" w:rsidR="004E1B8E" w:rsidRPr="009C7F4B" w:rsidRDefault="001B1B7C" w:rsidP="000A7BA2">
            <w:pPr>
              <w:numPr>
                <w:ilvl w:val="0"/>
                <w:numId w:val="23"/>
              </w:numPr>
              <w:spacing w:before="60" w:after="60"/>
              <w:ind w:left="357" w:hanging="357"/>
              <w:rPr>
                <w:rFonts w:ascii="Arial" w:hAnsi="Arial" w:cs="Arial"/>
                <w:iCs/>
                <w:sz w:val="22"/>
                <w:szCs w:val="22"/>
              </w:rPr>
            </w:pPr>
            <w:r w:rsidRPr="009C7F4B">
              <w:rPr>
                <w:rFonts w:ascii="Arial" w:hAnsi="Arial" w:cs="Arial"/>
                <w:sz w:val="22"/>
                <w:szCs w:val="22"/>
              </w:rPr>
              <w:t>Fonctionnalité</w:t>
            </w:r>
            <w:r w:rsidR="000A7BA2" w:rsidRPr="009C7F4B">
              <w:rPr>
                <w:rFonts w:ascii="Arial" w:hAnsi="Arial" w:cs="Arial"/>
                <w:sz w:val="22"/>
                <w:szCs w:val="22"/>
              </w:rPr>
              <w:t>s</w:t>
            </w:r>
            <w:r w:rsidRPr="009C7F4B">
              <w:rPr>
                <w:rFonts w:ascii="Arial" w:hAnsi="Arial" w:cs="Arial"/>
                <w:sz w:val="22"/>
                <w:szCs w:val="22"/>
              </w:rPr>
              <w:t xml:space="preserve"> informatiques mises à jour pour le programme de renforcement des capacités</w:t>
            </w:r>
            <w:r w:rsidR="004E1B8E" w:rsidRPr="009C7F4B">
              <w:rPr>
                <w:rFonts w:ascii="Arial" w:hAnsi="Arial" w:cs="Arial"/>
                <w:sz w:val="22"/>
                <w:szCs w:val="22"/>
              </w:rPr>
              <w:t xml:space="preserve"> (</w:t>
            </w:r>
            <w:r w:rsidRPr="009C7F4B">
              <w:rPr>
                <w:rFonts w:ascii="Arial" w:hAnsi="Arial" w:cs="Arial"/>
                <w:sz w:val="22"/>
                <w:szCs w:val="22"/>
              </w:rPr>
              <w:t>R</w:t>
            </w:r>
            <w:r w:rsidR="004E1B8E" w:rsidRPr="009C7F4B">
              <w:rPr>
                <w:rFonts w:ascii="Arial" w:hAnsi="Arial" w:cs="Arial"/>
                <w:sz w:val="22"/>
                <w:szCs w:val="22"/>
              </w:rPr>
              <w:t>=1)</w:t>
            </w:r>
          </w:p>
        </w:tc>
      </w:tr>
      <w:tr w:rsidR="004E1B8E" w:rsidRPr="009C7F4B" w14:paraId="1B4B385F" w14:textId="77777777" w:rsidTr="000A2819">
        <w:trPr>
          <w:cantSplit/>
        </w:trPr>
        <w:tc>
          <w:tcPr>
            <w:tcW w:w="363" w:type="pct"/>
            <w:shd w:val="clear" w:color="auto" w:fill="auto"/>
            <w:vAlign w:val="center"/>
          </w:tcPr>
          <w:p w14:paraId="65DAD229"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2.2</w:t>
            </w:r>
          </w:p>
        </w:tc>
        <w:tc>
          <w:tcPr>
            <w:tcW w:w="2318" w:type="pct"/>
            <w:gridSpan w:val="2"/>
            <w:shd w:val="clear" w:color="auto" w:fill="auto"/>
            <w:vAlign w:val="center"/>
          </w:tcPr>
          <w:p w14:paraId="16BD4B6F" w14:textId="221DAA73" w:rsidR="004E1B8E" w:rsidRPr="009C7F4B" w:rsidRDefault="004E1B8E" w:rsidP="0068436D">
            <w:pPr>
              <w:spacing w:before="60" w:after="60"/>
              <w:rPr>
                <w:rFonts w:ascii="Arial" w:hAnsi="Arial" w:cs="Arial"/>
                <w:i/>
                <w:iCs/>
                <w:sz w:val="22"/>
                <w:szCs w:val="22"/>
              </w:rPr>
            </w:pPr>
            <w:r w:rsidRPr="009C7F4B">
              <w:rPr>
                <w:rFonts w:ascii="Arial" w:hAnsi="Arial" w:cs="Arial"/>
                <w:color w:val="000000"/>
                <w:sz w:val="22"/>
                <w:szCs w:val="22"/>
              </w:rPr>
              <w:t>Conten</w:t>
            </w:r>
            <w:r w:rsidR="00830CAE" w:rsidRPr="009C7F4B">
              <w:rPr>
                <w:rFonts w:ascii="Arial" w:hAnsi="Arial" w:cs="Arial"/>
                <w:color w:val="000000"/>
                <w:sz w:val="22"/>
                <w:szCs w:val="22"/>
              </w:rPr>
              <w:t>u</w:t>
            </w:r>
            <w:r w:rsidR="000A7BA2" w:rsidRPr="009C7F4B">
              <w:rPr>
                <w:rFonts w:ascii="Arial" w:hAnsi="Arial" w:cs="Arial"/>
                <w:color w:val="000000"/>
                <w:sz w:val="22"/>
                <w:szCs w:val="22"/>
              </w:rPr>
              <w:t xml:space="preserve"> et </w:t>
            </w:r>
            <w:r w:rsidR="0068436D" w:rsidRPr="009C7F4B">
              <w:rPr>
                <w:rFonts w:ascii="Arial" w:hAnsi="Arial" w:cs="Arial"/>
                <w:color w:val="000000"/>
                <w:sz w:val="22"/>
                <w:szCs w:val="22"/>
              </w:rPr>
              <w:t xml:space="preserve">format </w:t>
            </w:r>
            <w:r w:rsidR="00830CAE" w:rsidRPr="009C7F4B">
              <w:rPr>
                <w:rFonts w:ascii="Arial" w:hAnsi="Arial" w:cs="Arial"/>
                <w:color w:val="000000"/>
                <w:sz w:val="22"/>
                <w:szCs w:val="22"/>
              </w:rPr>
              <w:t>du programme de renforcement de capacités revu</w:t>
            </w:r>
            <w:r w:rsidR="000A7BA2" w:rsidRPr="009C7F4B">
              <w:rPr>
                <w:rFonts w:ascii="Arial" w:hAnsi="Arial" w:cs="Arial"/>
                <w:color w:val="000000"/>
                <w:sz w:val="22"/>
                <w:szCs w:val="22"/>
              </w:rPr>
              <w:t>s</w:t>
            </w:r>
            <w:r w:rsidR="00830CAE" w:rsidRPr="009C7F4B">
              <w:rPr>
                <w:rFonts w:ascii="Arial" w:hAnsi="Arial" w:cs="Arial"/>
                <w:color w:val="000000"/>
                <w:sz w:val="22"/>
                <w:szCs w:val="22"/>
              </w:rPr>
              <w:t xml:space="preserve"> et adapté</w:t>
            </w:r>
            <w:r w:rsidR="000A7BA2" w:rsidRPr="009C7F4B">
              <w:rPr>
                <w:rFonts w:ascii="Arial" w:hAnsi="Arial" w:cs="Arial"/>
                <w:color w:val="000000"/>
                <w:sz w:val="22"/>
                <w:szCs w:val="22"/>
              </w:rPr>
              <w:t>s</w:t>
            </w:r>
            <w:r w:rsidR="00830CAE" w:rsidRPr="009C7F4B">
              <w:rPr>
                <w:rFonts w:ascii="Arial" w:hAnsi="Arial" w:cs="Arial"/>
                <w:color w:val="000000"/>
                <w:sz w:val="22"/>
                <w:szCs w:val="22"/>
              </w:rPr>
              <w:t xml:space="preserve"> pour répondre aux </w:t>
            </w:r>
            <w:r w:rsidR="0068436D" w:rsidRPr="009C7F4B">
              <w:rPr>
                <w:rFonts w:ascii="Arial" w:hAnsi="Arial" w:cs="Arial"/>
                <w:color w:val="000000"/>
                <w:sz w:val="22"/>
                <w:szCs w:val="22"/>
              </w:rPr>
              <w:t xml:space="preserve">principaux défis </w:t>
            </w:r>
            <w:r w:rsidR="00830CAE" w:rsidRPr="009C7F4B">
              <w:rPr>
                <w:rFonts w:ascii="Arial" w:hAnsi="Arial" w:cs="Arial"/>
                <w:color w:val="000000"/>
                <w:sz w:val="22"/>
                <w:szCs w:val="22"/>
              </w:rPr>
              <w:t xml:space="preserve">de mise en </w:t>
            </w:r>
            <w:r w:rsidR="000A7BA2" w:rsidRPr="009C7F4B">
              <w:rPr>
                <w:rFonts w:ascii="Arial" w:hAnsi="Arial" w:cs="Arial"/>
                <w:color w:val="000000"/>
                <w:sz w:val="22"/>
                <w:szCs w:val="22"/>
              </w:rPr>
              <w:t>œuvre</w:t>
            </w:r>
            <w:r w:rsidRPr="009C7F4B">
              <w:rPr>
                <w:rFonts w:ascii="Arial" w:hAnsi="Arial" w:cs="Arial"/>
                <w:color w:val="000000"/>
                <w:sz w:val="22"/>
                <w:szCs w:val="22"/>
              </w:rPr>
              <w:t xml:space="preserve"> </w:t>
            </w:r>
          </w:p>
        </w:tc>
        <w:tc>
          <w:tcPr>
            <w:tcW w:w="2319" w:type="pct"/>
            <w:shd w:val="clear" w:color="auto" w:fill="auto"/>
            <w:vAlign w:val="center"/>
          </w:tcPr>
          <w:p w14:paraId="7703A14F" w14:textId="718C7F1C" w:rsidR="004E1B8E" w:rsidRPr="009C7F4B" w:rsidRDefault="00830CAE" w:rsidP="004E1B8E">
            <w:pPr>
              <w:numPr>
                <w:ilvl w:val="0"/>
                <w:numId w:val="23"/>
              </w:numPr>
              <w:spacing w:before="60" w:after="60"/>
              <w:ind w:left="357" w:hanging="357"/>
              <w:rPr>
                <w:rFonts w:ascii="Arial" w:hAnsi="Arial" w:cs="Arial"/>
                <w:sz w:val="22"/>
                <w:szCs w:val="22"/>
              </w:rPr>
            </w:pPr>
            <w:r w:rsidRPr="009C7F4B">
              <w:rPr>
                <w:rFonts w:ascii="Arial" w:hAnsi="Arial" w:cs="Arial"/>
                <w:sz w:val="22"/>
                <w:szCs w:val="22"/>
              </w:rPr>
              <w:t xml:space="preserve">Principaux matériels de formation mis à jour pour </w:t>
            </w:r>
            <w:r w:rsidR="0068436D" w:rsidRPr="009C7F4B">
              <w:rPr>
                <w:rFonts w:ascii="Arial" w:hAnsi="Arial" w:cs="Arial"/>
                <w:sz w:val="22"/>
                <w:szCs w:val="22"/>
              </w:rPr>
              <w:t>refléter</w:t>
            </w:r>
            <w:r w:rsidRPr="009C7F4B">
              <w:rPr>
                <w:rFonts w:ascii="Arial" w:hAnsi="Arial" w:cs="Arial"/>
                <w:sz w:val="22"/>
                <w:szCs w:val="22"/>
              </w:rPr>
              <w:t xml:space="preserve"> les décisions des réunions statutaires</w:t>
            </w:r>
            <w:r w:rsidR="0068436D" w:rsidRPr="009C7F4B">
              <w:rPr>
                <w:rFonts w:ascii="Arial" w:hAnsi="Arial" w:cs="Arial"/>
                <w:sz w:val="22"/>
                <w:szCs w:val="22"/>
              </w:rPr>
              <w:br/>
            </w:r>
            <w:r w:rsidR="004E1B8E" w:rsidRPr="009C7F4B">
              <w:rPr>
                <w:rFonts w:ascii="Arial" w:hAnsi="Arial" w:cs="Arial"/>
                <w:sz w:val="22"/>
                <w:szCs w:val="22"/>
              </w:rPr>
              <w:t>(</w:t>
            </w:r>
            <w:r w:rsidRPr="009C7F4B">
              <w:rPr>
                <w:rFonts w:ascii="Arial" w:hAnsi="Arial" w:cs="Arial"/>
                <w:sz w:val="22"/>
                <w:szCs w:val="22"/>
              </w:rPr>
              <w:t>R</w:t>
            </w:r>
            <w:r w:rsidR="004E1B8E" w:rsidRPr="009C7F4B">
              <w:rPr>
                <w:rFonts w:ascii="Arial" w:hAnsi="Arial" w:cs="Arial"/>
                <w:sz w:val="22"/>
                <w:szCs w:val="22"/>
              </w:rPr>
              <w:t>=20 unit</w:t>
            </w:r>
            <w:r w:rsidRPr="009C7F4B">
              <w:rPr>
                <w:rFonts w:ascii="Arial" w:hAnsi="Arial" w:cs="Arial"/>
                <w:sz w:val="22"/>
                <w:szCs w:val="22"/>
              </w:rPr>
              <w:t>é</w:t>
            </w:r>
            <w:r w:rsidR="004E1B8E" w:rsidRPr="009C7F4B">
              <w:rPr>
                <w:rFonts w:ascii="Arial" w:hAnsi="Arial" w:cs="Arial"/>
                <w:sz w:val="22"/>
                <w:szCs w:val="22"/>
              </w:rPr>
              <w:t>s</w:t>
            </w:r>
            <w:r w:rsidRPr="009C7F4B">
              <w:rPr>
                <w:rFonts w:ascii="Arial" w:hAnsi="Arial" w:cs="Arial"/>
                <w:sz w:val="22"/>
                <w:szCs w:val="22"/>
              </w:rPr>
              <w:t> </w:t>
            </w:r>
            <w:r w:rsidR="004E1B8E" w:rsidRPr="009C7F4B">
              <w:rPr>
                <w:rFonts w:ascii="Arial" w:hAnsi="Arial" w:cs="Arial"/>
                <w:sz w:val="22"/>
                <w:szCs w:val="22"/>
              </w:rPr>
              <w:t>; 3 langues)</w:t>
            </w:r>
          </w:p>
          <w:p w14:paraId="6150588C" w14:textId="35F55C32" w:rsidR="004E1B8E" w:rsidRPr="009C7F4B" w:rsidRDefault="00830CAE" w:rsidP="004E1B8E">
            <w:pPr>
              <w:numPr>
                <w:ilvl w:val="0"/>
                <w:numId w:val="23"/>
              </w:numPr>
              <w:spacing w:before="60" w:after="60"/>
              <w:ind w:left="357" w:hanging="357"/>
              <w:rPr>
                <w:rFonts w:ascii="Arial" w:hAnsi="Arial" w:cs="Arial"/>
                <w:sz w:val="22"/>
                <w:szCs w:val="22"/>
              </w:rPr>
            </w:pPr>
            <w:r w:rsidRPr="009C7F4B">
              <w:rPr>
                <w:rFonts w:ascii="Arial" w:hAnsi="Arial" w:cs="Arial"/>
                <w:sz w:val="22"/>
                <w:szCs w:val="22"/>
              </w:rPr>
              <w:t>Programme de formation de base sur la préparation des demandes d’assistance internationale disponible</w:t>
            </w:r>
            <w:r w:rsidR="004E1B8E" w:rsidRPr="009C7F4B">
              <w:rPr>
                <w:rFonts w:ascii="Arial" w:hAnsi="Arial" w:cs="Arial"/>
                <w:sz w:val="22"/>
                <w:szCs w:val="22"/>
              </w:rPr>
              <w:t xml:space="preserve"> (</w:t>
            </w:r>
            <w:r w:rsidRPr="009C7F4B">
              <w:rPr>
                <w:rFonts w:ascii="Arial" w:hAnsi="Arial" w:cs="Arial"/>
                <w:sz w:val="22"/>
                <w:szCs w:val="22"/>
              </w:rPr>
              <w:t>R</w:t>
            </w:r>
            <w:r w:rsidR="004E1B8E" w:rsidRPr="009C7F4B">
              <w:rPr>
                <w:rFonts w:ascii="Arial" w:hAnsi="Arial" w:cs="Arial"/>
                <w:sz w:val="22"/>
                <w:szCs w:val="22"/>
              </w:rPr>
              <w:t>=1</w:t>
            </w:r>
            <w:r w:rsidRPr="009C7F4B">
              <w:rPr>
                <w:rFonts w:ascii="Arial" w:hAnsi="Arial" w:cs="Arial"/>
                <w:sz w:val="22"/>
                <w:szCs w:val="22"/>
              </w:rPr>
              <w:t> </w:t>
            </w:r>
            <w:r w:rsidR="004E1B8E" w:rsidRPr="009C7F4B">
              <w:rPr>
                <w:rFonts w:ascii="Arial" w:hAnsi="Arial" w:cs="Arial"/>
                <w:sz w:val="22"/>
                <w:szCs w:val="22"/>
              </w:rPr>
              <w:t>; 2</w:t>
            </w:r>
            <w:r w:rsidR="0068436D" w:rsidRPr="009C7F4B">
              <w:rPr>
                <w:rFonts w:ascii="Arial" w:hAnsi="Arial" w:cs="Arial"/>
                <w:sz w:val="22"/>
                <w:szCs w:val="22"/>
              </w:rPr>
              <w:t> </w:t>
            </w:r>
            <w:r w:rsidR="004E1B8E" w:rsidRPr="009C7F4B">
              <w:rPr>
                <w:rFonts w:ascii="Arial" w:hAnsi="Arial" w:cs="Arial"/>
                <w:sz w:val="22"/>
                <w:szCs w:val="22"/>
              </w:rPr>
              <w:t xml:space="preserve">langues) </w:t>
            </w:r>
          </w:p>
          <w:p w14:paraId="6261CEA5" w14:textId="1929D90B" w:rsidR="004E1B8E" w:rsidRPr="009C7F4B" w:rsidRDefault="004E1B8E" w:rsidP="004E1B8E">
            <w:pPr>
              <w:numPr>
                <w:ilvl w:val="0"/>
                <w:numId w:val="23"/>
              </w:numPr>
              <w:spacing w:before="60" w:after="60"/>
              <w:ind w:left="357" w:hanging="357"/>
              <w:rPr>
                <w:rFonts w:ascii="Arial" w:hAnsi="Arial" w:cs="Arial"/>
                <w:sz w:val="22"/>
                <w:szCs w:val="22"/>
              </w:rPr>
            </w:pPr>
            <w:r w:rsidRPr="009C7F4B">
              <w:rPr>
                <w:rFonts w:ascii="Arial" w:hAnsi="Arial" w:cs="Arial"/>
                <w:sz w:val="22"/>
                <w:szCs w:val="22"/>
              </w:rPr>
              <w:t>N</w:t>
            </w:r>
            <w:r w:rsidR="00830CAE" w:rsidRPr="009C7F4B">
              <w:rPr>
                <w:rFonts w:ascii="Arial" w:hAnsi="Arial" w:cs="Arial"/>
                <w:sz w:val="22"/>
                <w:szCs w:val="22"/>
              </w:rPr>
              <w:t>ouv</w:t>
            </w:r>
            <w:r w:rsidRPr="009C7F4B">
              <w:rPr>
                <w:rFonts w:ascii="Arial" w:hAnsi="Arial" w:cs="Arial"/>
                <w:sz w:val="22"/>
                <w:szCs w:val="22"/>
              </w:rPr>
              <w:t>e</w:t>
            </w:r>
            <w:r w:rsidR="00830CAE" w:rsidRPr="009C7F4B">
              <w:rPr>
                <w:rFonts w:ascii="Arial" w:hAnsi="Arial" w:cs="Arial"/>
                <w:sz w:val="22"/>
                <w:szCs w:val="22"/>
              </w:rPr>
              <w:t>au contenu de formation développé</w:t>
            </w:r>
            <w:r w:rsidRPr="009C7F4B">
              <w:rPr>
                <w:rFonts w:ascii="Arial" w:hAnsi="Arial" w:cs="Arial"/>
                <w:sz w:val="22"/>
                <w:szCs w:val="22"/>
              </w:rPr>
              <w:t xml:space="preserve"> (</w:t>
            </w:r>
            <w:r w:rsidR="00830CAE" w:rsidRPr="009C7F4B">
              <w:rPr>
                <w:rFonts w:ascii="Arial" w:hAnsi="Arial" w:cs="Arial"/>
                <w:sz w:val="22"/>
                <w:szCs w:val="22"/>
              </w:rPr>
              <w:t>R</w:t>
            </w:r>
            <w:r w:rsidRPr="009C7F4B">
              <w:rPr>
                <w:rFonts w:ascii="Arial" w:hAnsi="Arial" w:cs="Arial"/>
                <w:sz w:val="22"/>
                <w:szCs w:val="22"/>
              </w:rPr>
              <w:t>=7</w:t>
            </w:r>
            <w:r w:rsidR="00830CAE" w:rsidRPr="009C7F4B">
              <w:rPr>
                <w:rFonts w:ascii="Arial" w:hAnsi="Arial" w:cs="Arial"/>
                <w:sz w:val="22"/>
                <w:szCs w:val="22"/>
              </w:rPr>
              <w:t> </w:t>
            </w:r>
            <w:r w:rsidRPr="009C7F4B">
              <w:rPr>
                <w:rFonts w:ascii="Arial" w:hAnsi="Arial" w:cs="Arial"/>
                <w:sz w:val="22"/>
                <w:szCs w:val="22"/>
              </w:rPr>
              <w:t xml:space="preserve">: </w:t>
            </w:r>
            <w:r w:rsidR="00830CAE" w:rsidRPr="009C7F4B">
              <w:rPr>
                <w:rFonts w:ascii="Arial" w:hAnsi="Arial" w:cs="Arial"/>
                <w:sz w:val="22"/>
                <w:szCs w:val="22"/>
              </w:rPr>
              <w:t>u</w:t>
            </w:r>
            <w:r w:rsidRPr="009C7F4B">
              <w:rPr>
                <w:rFonts w:ascii="Arial" w:hAnsi="Arial" w:cs="Arial"/>
                <w:sz w:val="22"/>
                <w:szCs w:val="22"/>
              </w:rPr>
              <w:t>ne unit</w:t>
            </w:r>
            <w:r w:rsidR="00830CAE" w:rsidRPr="009C7F4B">
              <w:rPr>
                <w:rFonts w:ascii="Arial" w:hAnsi="Arial" w:cs="Arial"/>
                <w:sz w:val="22"/>
                <w:szCs w:val="22"/>
              </w:rPr>
              <w:t>é</w:t>
            </w:r>
            <w:r w:rsidRPr="009C7F4B">
              <w:rPr>
                <w:rFonts w:ascii="Arial" w:hAnsi="Arial" w:cs="Arial"/>
                <w:sz w:val="22"/>
                <w:szCs w:val="22"/>
              </w:rPr>
              <w:t xml:space="preserve"> bas</w:t>
            </w:r>
            <w:r w:rsidR="00830CAE" w:rsidRPr="009C7F4B">
              <w:rPr>
                <w:rFonts w:ascii="Arial" w:hAnsi="Arial" w:cs="Arial"/>
                <w:sz w:val="22"/>
                <w:szCs w:val="22"/>
              </w:rPr>
              <w:t>é</w:t>
            </w:r>
            <w:r w:rsidRPr="009C7F4B">
              <w:rPr>
                <w:rFonts w:ascii="Arial" w:hAnsi="Arial" w:cs="Arial"/>
                <w:sz w:val="22"/>
                <w:szCs w:val="22"/>
              </w:rPr>
              <w:t xml:space="preserve">e </w:t>
            </w:r>
            <w:r w:rsidR="001E0E9C" w:rsidRPr="009C7F4B">
              <w:rPr>
                <w:rFonts w:ascii="Arial" w:hAnsi="Arial" w:cs="Arial"/>
                <w:sz w:val="22"/>
                <w:szCs w:val="22"/>
              </w:rPr>
              <w:t>sur les nouvelles DO consacrées au patrimoine culturel immatériel et au développement durable, et six études de cas sur les processus d’élaboration de politique</w:t>
            </w:r>
            <w:r w:rsidR="0068436D" w:rsidRPr="009C7F4B">
              <w:rPr>
                <w:rFonts w:ascii="Arial" w:hAnsi="Arial" w:cs="Arial"/>
                <w:sz w:val="22"/>
                <w:szCs w:val="22"/>
              </w:rPr>
              <w:t>s</w:t>
            </w:r>
            <w:r w:rsidR="001E0E9C" w:rsidRPr="009C7F4B">
              <w:rPr>
                <w:rFonts w:ascii="Arial" w:hAnsi="Arial" w:cs="Arial"/>
                <w:sz w:val="22"/>
                <w:szCs w:val="22"/>
              </w:rPr>
              <w:t>, la sauvegarde du patrimoine culturel immatériel en milieu urbain et les questions de genre </w:t>
            </w:r>
            <w:r w:rsidRPr="009C7F4B">
              <w:rPr>
                <w:rFonts w:ascii="Arial" w:hAnsi="Arial" w:cs="Arial"/>
                <w:sz w:val="22"/>
                <w:szCs w:val="22"/>
              </w:rPr>
              <w:t>; 1 langue)</w:t>
            </w:r>
          </w:p>
          <w:p w14:paraId="5D417D56" w14:textId="75783CB5" w:rsidR="004E1B8E" w:rsidRPr="009C7F4B" w:rsidRDefault="001E0E9C" w:rsidP="004E1B8E">
            <w:pPr>
              <w:numPr>
                <w:ilvl w:val="0"/>
                <w:numId w:val="23"/>
              </w:numPr>
              <w:spacing w:before="60" w:after="60"/>
              <w:ind w:left="357" w:hanging="357"/>
              <w:rPr>
                <w:rFonts w:ascii="Arial" w:hAnsi="Arial" w:cs="Arial"/>
                <w:sz w:val="22"/>
                <w:szCs w:val="22"/>
              </w:rPr>
            </w:pPr>
            <w:r w:rsidRPr="009C7F4B">
              <w:rPr>
                <w:rFonts w:ascii="Arial" w:hAnsi="Arial" w:cs="Arial"/>
                <w:sz w:val="22"/>
                <w:szCs w:val="22"/>
              </w:rPr>
              <w:t xml:space="preserve">Une étude de faisabilité </w:t>
            </w:r>
            <w:r w:rsidR="00160351" w:rsidRPr="009C7F4B">
              <w:rPr>
                <w:rFonts w:ascii="Arial" w:hAnsi="Arial" w:cs="Arial"/>
                <w:sz w:val="22"/>
                <w:szCs w:val="22"/>
              </w:rPr>
              <w:t>entreprise concernant</w:t>
            </w:r>
            <w:r w:rsidRPr="009C7F4B">
              <w:rPr>
                <w:rFonts w:ascii="Arial" w:hAnsi="Arial" w:cs="Arial"/>
                <w:sz w:val="22"/>
                <w:szCs w:val="22"/>
              </w:rPr>
              <w:t xml:space="preserve"> l’emploi de technologie</w:t>
            </w:r>
            <w:r w:rsidR="0068436D" w:rsidRPr="009C7F4B">
              <w:rPr>
                <w:rFonts w:ascii="Arial" w:hAnsi="Arial" w:cs="Arial"/>
                <w:sz w:val="22"/>
                <w:szCs w:val="22"/>
              </w:rPr>
              <w:t>s</w:t>
            </w:r>
            <w:r w:rsidRPr="009C7F4B">
              <w:rPr>
                <w:rFonts w:ascii="Arial" w:hAnsi="Arial" w:cs="Arial"/>
                <w:sz w:val="22"/>
                <w:szCs w:val="22"/>
              </w:rPr>
              <w:t xml:space="preserve"> pédagogique</w:t>
            </w:r>
            <w:r w:rsidR="0068436D" w:rsidRPr="009C7F4B">
              <w:rPr>
                <w:rFonts w:ascii="Arial" w:hAnsi="Arial" w:cs="Arial"/>
                <w:sz w:val="22"/>
                <w:szCs w:val="22"/>
              </w:rPr>
              <w:t>s</w:t>
            </w:r>
            <w:r w:rsidRPr="009C7F4B">
              <w:rPr>
                <w:rFonts w:ascii="Arial" w:hAnsi="Arial" w:cs="Arial"/>
                <w:sz w:val="22"/>
                <w:szCs w:val="22"/>
              </w:rPr>
              <w:t xml:space="preserve"> pour l’apprentissage en ligne </w:t>
            </w:r>
            <w:r w:rsidR="004E1B8E" w:rsidRPr="009C7F4B">
              <w:rPr>
                <w:rFonts w:ascii="Arial" w:hAnsi="Arial" w:cs="Arial"/>
                <w:sz w:val="22"/>
                <w:szCs w:val="22"/>
              </w:rPr>
              <w:t>(</w:t>
            </w:r>
            <w:r w:rsidRPr="009C7F4B">
              <w:rPr>
                <w:rFonts w:ascii="Arial" w:hAnsi="Arial" w:cs="Arial"/>
                <w:sz w:val="22"/>
                <w:szCs w:val="22"/>
              </w:rPr>
              <w:t>R</w:t>
            </w:r>
            <w:r w:rsidR="004E1B8E" w:rsidRPr="009C7F4B">
              <w:rPr>
                <w:rFonts w:ascii="Arial" w:hAnsi="Arial" w:cs="Arial"/>
                <w:sz w:val="22"/>
                <w:szCs w:val="22"/>
              </w:rPr>
              <w:t>=1)</w:t>
            </w:r>
          </w:p>
          <w:p w14:paraId="34722D93" w14:textId="77777777" w:rsidR="004E1B8E" w:rsidRPr="009C7F4B" w:rsidRDefault="001E0E9C" w:rsidP="001E0E9C">
            <w:pPr>
              <w:numPr>
                <w:ilvl w:val="0"/>
                <w:numId w:val="23"/>
              </w:numPr>
              <w:spacing w:before="60" w:after="60"/>
              <w:ind w:left="357" w:hanging="357"/>
              <w:rPr>
                <w:rFonts w:ascii="Arial" w:hAnsi="Arial" w:cs="Arial"/>
                <w:iCs/>
                <w:sz w:val="22"/>
                <w:szCs w:val="22"/>
              </w:rPr>
            </w:pPr>
            <w:r w:rsidRPr="009C7F4B">
              <w:rPr>
                <w:rFonts w:ascii="Arial" w:hAnsi="Arial" w:cs="Arial"/>
                <w:sz w:val="22"/>
                <w:szCs w:val="22"/>
              </w:rPr>
              <w:t>Fonctionnalités informatiques mise</w:t>
            </w:r>
            <w:r w:rsidR="00160351" w:rsidRPr="009C7F4B">
              <w:rPr>
                <w:rFonts w:ascii="Arial" w:hAnsi="Arial" w:cs="Arial"/>
                <w:sz w:val="22"/>
                <w:szCs w:val="22"/>
              </w:rPr>
              <w:t>s</w:t>
            </w:r>
            <w:r w:rsidRPr="009C7F4B">
              <w:rPr>
                <w:rFonts w:ascii="Arial" w:hAnsi="Arial" w:cs="Arial"/>
                <w:sz w:val="22"/>
                <w:szCs w:val="22"/>
              </w:rPr>
              <w:t xml:space="preserve"> à jour pour le programme de renforcement des capacités</w:t>
            </w:r>
            <w:r w:rsidR="004E1B8E" w:rsidRPr="009C7F4B">
              <w:rPr>
                <w:rFonts w:ascii="Arial" w:hAnsi="Arial" w:cs="Arial"/>
                <w:sz w:val="22"/>
                <w:szCs w:val="22"/>
              </w:rPr>
              <w:t xml:space="preserve"> (</w:t>
            </w:r>
            <w:r w:rsidRPr="009C7F4B">
              <w:rPr>
                <w:rFonts w:ascii="Arial" w:hAnsi="Arial" w:cs="Arial"/>
                <w:sz w:val="22"/>
                <w:szCs w:val="22"/>
              </w:rPr>
              <w:t>R</w:t>
            </w:r>
            <w:r w:rsidR="004E1B8E" w:rsidRPr="009C7F4B">
              <w:rPr>
                <w:rFonts w:ascii="Arial" w:hAnsi="Arial" w:cs="Arial"/>
                <w:sz w:val="22"/>
                <w:szCs w:val="22"/>
              </w:rPr>
              <w:t>=1)</w:t>
            </w:r>
          </w:p>
        </w:tc>
      </w:tr>
      <w:tr w:rsidR="004E1B8E" w:rsidRPr="009C7F4B" w14:paraId="22EDDFBF" w14:textId="77777777" w:rsidTr="000A2819">
        <w:trPr>
          <w:cantSplit/>
        </w:trPr>
        <w:tc>
          <w:tcPr>
            <w:tcW w:w="363" w:type="pct"/>
            <w:shd w:val="clear" w:color="auto" w:fill="auto"/>
            <w:vAlign w:val="center"/>
          </w:tcPr>
          <w:p w14:paraId="2FBE516E"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lastRenderedPageBreak/>
              <w:t>2.3</w:t>
            </w:r>
          </w:p>
        </w:tc>
        <w:tc>
          <w:tcPr>
            <w:tcW w:w="2318" w:type="pct"/>
            <w:gridSpan w:val="2"/>
            <w:shd w:val="clear" w:color="auto" w:fill="auto"/>
            <w:vAlign w:val="center"/>
          </w:tcPr>
          <w:p w14:paraId="3346B64A" w14:textId="77777777" w:rsidR="004E1B8E" w:rsidRPr="009C7F4B" w:rsidRDefault="00D40A73" w:rsidP="00160351">
            <w:pPr>
              <w:spacing w:before="60" w:after="60"/>
              <w:rPr>
                <w:rFonts w:ascii="Arial" w:hAnsi="Arial" w:cs="Arial"/>
                <w:i/>
                <w:iCs/>
                <w:sz w:val="22"/>
                <w:szCs w:val="22"/>
              </w:rPr>
            </w:pPr>
            <w:r w:rsidRPr="009C7F4B">
              <w:rPr>
                <w:rFonts w:ascii="Arial" w:hAnsi="Arial" w:cs="Arial"/>
                <w:sz w:val="22"/>
                <w:szCs w:val="22"/>
              </w:rPr>
              <w:t xml:space="preserve">Mécanisme préliminaire de suivi et d’évaluation pour le renforcement des capacités </w:t>
            </w:r>
            <w:r w:rsidR="00160351" w:rsidRPr="009C7F4B">
              <w:rPr>
                <w:rFonts w:ascii="Arial" w:hAnsi="Arial" w:cs="Arial"/>
                <w:sz w:val="22"/>
                <w:szCs w:val="22"/>
              </w:rPr>
              <w:t>mis à l’essai</w:t>
            </w:r>
            <w:r w:rsidRPr="009C7F4B">
              <w:rPr>
                <w:rFonts w:ascii="Arial" w:hAnsi="Arial" w:cs="Arial"/>
                <w:sz w:val="22"/>
                <w:szCs w:val="22"/>
              </w:rPr>
              <w:t xml:space="preserve"> </w:t>
            </w:r>
          </w:p>
        </w:tc>
        <w:tc>
          <w:tcPr>
            <w:tcW w:w="2319" w:type="pct"/>
            <w:shd w:val="clear" w:color="auto" w:fill="auto"/>
            <w:vAlign w:val="center"/>
          </w:tcPr>
          <w:p w14:paraId="3ACBF9BE" w14:textId="2D09F61B" w:rsidR="004E1B8E" w:rsidRPr="009C7F4B" w:rsidRDefault="004312CB" w:rsidP="004E1B8E">
            <w:pPr>
              <w:numPr>
                <w:ilvl w:val="0"/>
                <w:numId w:val="23"/>
              </w:numPr>
              <w:spacing w:before="60" w:after="60"/>
              <w:ind w:left="357" w:hanging="357"/>
              <w:rPr>
                <w:rFonts w:ascii="Arial" w:hAnsi="Arial" w:cs="Arial"/>
                <w:sz w:val="22"/>
                <w:szCs w:val="22"/>
              </w:rPr>
            </w:pPr>
            <w:r w:rsidRPr="009C7F4B">
              <w:rPr>
                <w:rFonts w:ascii="Arial" w:hAnsi="Arial" w:cs="Arial"/>
                <w:sz w:val="22"/>
                <w:szCs w:val="22"/>
              </w:rPr>
              <w:t>Études</w:t>
            </w:r>
            <w:r w:rsidR="00D40A73" w:rsidRPr="009C7F4B">
              <w:rPr>
                <w:rFonts w:ascii="Arial" w:hAnsi="Arial" w:cs="Arial"/>
                <w:sz w:val="22"/>
                <w:szCs w:val="22"/>
              </w:rPr>
              <w:t xml:space="preserve"> pilote </w:t>
            </w:r>
            <w:r w:rsidR="0068436D" w:rsidRPr="009C7F4B">
              <w:rPr>
                <w:rFonts w:ascii="Arial" w:hAnsi="Arial" w:cs="Arial"/>
                <w:sz w:val="22"/>
                <w:szCs w:val="22"/>
              </w:rPr>
              <w:t>de suivi</w:t>
            </w:r>
            <w:r w:rsidR="00D40A73" w:rsidRPr="009C7F4B">
              <w:rPr>
                <w:rFonts w:ascii="Arial" w:hAnsi="Arial" w:cs="Arial"/>
                <w:sz w:val="22"/>
                <w:szCs w:val="22"/>
              </w:rPr>
              <w:t xml:space="preserve"> menées dans les pays bénéficiaires</w:t>
            </w:r>
            <w:r w:rsidR="004E1B8E" w:rsidRPr="009C7F4B">
              <w:rPr>
                <w:rFonts w:ascii="Arial" w:hAnsi="Arial" w:cs="Arial"/>
                <w:sz w:val="22"/>
                <w:szCs w:val="22"/>
              </w:rPr>
              <w:t xml:space="preserve"> (</w:t>
            </w:r>
            <w:r w:rsidR="00D40A73" w:rsidRPr="009C7F4B">
              <w:rPr>
                <w:rFonts w:ascii="Arial" w:hAnsi="Arial" w:cs="Arial"/>
                <w:sz w:val="22"/>
                <w:szCs w:val="22"/>
              </w:rPr>
              <w:t>R</w:t>
            </w:r>
            <w:r w:rsidR="004E1B8E" w:rsidRPr="009C7F4B">
              <w:rPr>
                <w:rFonts w:ascii="Arial" w:hAnsi="Arial" w:cs="Arial"/>
                <w:sz w:val="22"/>
                <w:szCs w:val="22"/>
              </w:rPr>
              <w:t>=3)</w:t>
            </w:r>
          </w:p>
          <w:p w14:paraId="3E38C517" w14:textId="77777777" w:rsidR="004E1B8E" w:rsidRPr="009C7F4B" w:rsidRDefault="00497FD3" w:rsidP="00497FD3">
            <w:pPr>
              <w:numPr>
                <w:ilvl w:val="0"/>
                <w:numId w:val="23"/>
              </w:numPr>
              <w:spacing w:before="60" w:after="60"/>
              <w:ind w:left="357" w:hanging="357"/>
              <w:rPr>
                <w:rFonts w:ascii="Arial" w:hAnsi="Arial" w:cs="Arial"/>
                <w:sz w:val="22"/>
                <w:szCs w:val="22"/>
              </w:rPr>
            </w:pPr>
            <w:r w:rsidRPr="009C7F4B">
              <w:rPr>
                <w:rFonts w:ascii="Arial" w:hAnsi="Arial" w:cs="Arial"/>
                <w:sz w:val="22"/>
                <w:szCs w:val="22"/>
              </w:rPr>
              <w:t>Enquête sur l’utilisation des matériels de renforcement des capacités de l’U</w:t>
            </w:r>
            <w:r w:rsidR="004E1B8E" w:rsidRPr="009C7F4B">
              <w:rPr>
                <w:rFonts w:ascii="Arial" w:hAnsi="Arial" w:cs="Arial"/>
                <w:sz w:val="22"/>
                <w:szCs w:val="22"/>
              </w:rPr>
              <w:t xml:space="preserve">NESCO </w:t>
            </w:r>
            <w:r w:rsidRPr="009C7F4B">
              <w:rPr>
                <w:rFonts w:ascii="Arial" w:hAnsi="Arial" w:cs="Arial"/>
                <w:sz w:val="22"/>
                <w:szCs w:val="22"/>
              </w:rPr>
              <w:t xml:space="preserve">par d’autres </w:t>
            </w:r>
            <w:r w:rsidR="004E1B8E" w:rsidRPr="009C7F4B">
              <w:rPr>
                <w:rFonts w:ascii="Arial" w:hAnsi="Arial" w:cs="Arial"/>
                <w:sz w:val="22"/>
                <w:szCs w:val="22"/>
              </w:rPr>
              <w:t>institutions (</w:t>
            </w:r>
            <w:r w:rsidRPr="009C7F4B">
              <w:rPr>
                <w:rFonts w:ascii="Arial" w:hAnsi="Arial" w:cs="Arial"/>
                <w:sz w:val="22"/>
                <w:szCs w:val="22"/>
              </w:rPr>
              <w:t>R</w:t>
            </w:r>
            <w:r w:rsidR="004E1B8E" w:rsidRPr="009C7F4B">
              <w:rPr>
                <w:rFonts w:ascii="Arial" w:hAnsi="Arial" w:cs="Arial"/>
                <w:sz w:val="22"/>
                <w:szCs w:val="22"/>
              </w:rPr>
              <w:t>=1)</w:t>
            </w:r>
          </w:p>
        </w:tc>
      </w:tr>
      <w:tr w:rsidR="004E1B8E" w:rsidRPr="009C7F4B" w14:paraId="201121C9" w14:textId="77777777" w:rsidTr="000A2819">
        <w:trPr>
          <w:cantSplit/>
        </w:trPr>
        <w:tc>
          <w:tcPr>
            <w:tcW w:w="363" w:type="pct"/>
            <w:shd w:val="clear" w:color="auto" w:fill="auto"/>
            <w:vAlign w:val="center"/>
          </w:tcPr>
          <w:p w14:paraId="1AAD5471"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2.4</w:t>
            </w:r>
          </w:p>
        </w:tc>
        <w:tc>
          <w:tcPr>
            <w:tcW w:w="2318" w:type="pct"/>
            <w:gridSpan w:val="2"/>
            <w:shd w:val="clear" w:color="auto" w:fill="auto"/>
            <w:vAlign w:val="center"/>
          </w:tcPr>
          <w:p w14:paraId="068D336B" w14:textId="77777777" w:rsidR="004E1B8E" w:rsidRPr="009C7F4B" w:rsidRDefault="00497FD3" w:rsidP="00160351">
            <w:pPr>
              <w:spacing w:before="60" w:after="60"/>
              <w:rPr>
                <w:rFonts w:ascii="Arial" w:hAnsi="Arial" w:cs="Arial"/>
                <w:iCs/>
                <w:sz w:val="22"/>
                <w:szCs w:val="22"/>
              </w:rPr>
            </w:pPr>
            <w:r w:rsidRPr="009C7F4B">
              <w:rPr>
                <w:rFonts w:ascii="Arial" w:hAnsi="Arial" w:cs="Arial"/>
                <w:iCs/>
                <w:sz w:val="22"/>
                <w:szCs w:val="22"/>
              </w:rPr>
              <w:t xml:space="preserve">Conseils </w:t>
            </w:r>
            <w:r w:rsidR="00160351" w:rsidRPr="009C7F4B">
              <w:rPr>
                <w:rFonts w:ascii="Arial" w:hAnsi="Arial" w:cs="Arial"/>
                <w:iCs/>
                <w:sz w:val="22"/>
                <w:szCs w:val="22"/>
              </w:rPr>
              <w:t xml:space="preserve">renforcés sur </w:t>
            </w:r>
            <w:r w:rsidRPr="009C7F4B">
              <w:rPr>
                <w:rFonts w:ascii="Arial" w:hAnsi="Arial" w:cs="Arial"/>
                <w:iCs/>
                <w:sz w:val="22"/>
                <w:szCs w:val="22"/>
              </w:rPr>
              <w:t xml:space="preserve">les mesures de sauvegarde et les bonnes pratiques </w:t>
            </w:r>
          </w:p>
        </w:tc>
        <w:tc>
          <w:tcPr>
            <w:tcW w:w="2319" w:type="pct"/>
            <w:shd w:val="clear" w:color="auto" w:fill="auto"/>
            <w:vAlign w:val="center"/>
          </w:tcPr>
          <w:p w14:paraId="71FA4478" w14:textId="7233327C" w:rsidR="004E1B8E" w:rsidRPr="009C7F4B" w:rsidRDefault="00AB4722" w:rsidP="004E1B8E">
            <w:pPr>
              <w:numPr>
                <w:ilvl w:val="0"/>
                <w:numId w:val="23"/>
              </w:numPr>
              <w:spacing w:before="60" w:after="60"/>
              <w:ind w:left="357" w:hanging="357"/>
              <w:rPr>
                <w:rFonts w:ascii="Arial" w:hAnsi="Arial" w:cs="Arial"/>
                <w:i/>
                <w:iCs/>
                <w:sz w:val="22"/>
                <w:szCs w:val="22"/>
              </w:rPr>
            </w:pPr>
            <w:r w:rsidRPr="009C7F4B">
              <w:rPr>
                <w:rFonts w:ascii="Arial" w:hAnsi="Arial" w:cs="Arial"/>
                <w:iCs/>
                <w:sz w:val="22"/>
                <w:szCs w:val="22"/>
              </w:rPr>
              <w:t>Orientations</w:t>
            </w:r>
            <w:r w:rsidR="00497FD3" w:rsidRPr="009C7F4B">
              <w:rPr>
                <w:rFonts w:ascii="Arial" w:hAnsi="Arial" w:cs="Arial"/>
                <w:iCs/>
                <w:sz w:val="22"/>
                <w:szCs w:val="22"/>
              </w:rPr>
              <w:t xml:space="preserve"> concernant les inventaires </w:t>
            </w:r>
            <w:r w:rsidR="00160351" w:rsidRPr="009C7F4B">
              <w:rPr>
                <w:rFonts w:ascii="Arial" w:hAnsi="Arial" w:cs="Arial"/>
                <w:iCs/>
                <w:sz w:val="22"/>
                <w:szCs w:val="22"/>
              </w:rPr>
              <w:t xml:space="preserve">formulées </w:t>
            </w:r>
            <w:r w:rsidR="00497FD3" w:rsidRPr="009C7F4B">
              <w:rPr>
                <w:rFonts w:ascii="Arial" w:hAnsi="Arial" w:cs="Arial"/>
                <w:iCs/>
                <w:sz w:val="22"/>
                <w:szCs w:val="22"/>
              </w:rPr>
              <w:t xml:space="preserve">à l’intention des </w:t>
            </w:r>
            <w:r w:rsidR="004312CB" w:rsidRPr="009C7F4B">
              <w:rPr>
                <w:rFonts w:ascii="Arial" w:hAnsi="Arial" w:cs="Arial"/>
                <w:iCs/>
                <w:sz w:val="22"/>
                <w:szCs w:val="22"/>
              </w:rPr>
              <w:t>États</w:t>
            </w:r>
            <w:r w:rsidR="00497FD3" w:rsidRPr="009C7F4B">
              <w:rPr>
                <w:rFonts w:ascii="Arial" w:hAnsi="Arial" w:cs="Arial"/>
                <w:iCs/>
                <w:sz w:val="22"/>
                <w:szCs w:val="22"/>
              </w:rPr>
              <w:t xml:space="preserve"> parties, en tenant compte des décisions et recommandations des organes directeurs de la Convention </w:t>
            </w:r>
            <w:r w:rsidR="00FD5205" w:rsidRPr="009C7F4B">
              <w:rPr>
                <w:rFonts w:ascii="Arial" w:hAnsi="Arial" w:cs="Arial"/>
                <w:iCs/>
                <w:sz w:val="22"/>
                <w:szCs w:val="22"/>
              </w:rPr>
              <w:t>(R</w:t>
            </w:r>
            <w:r w:rsidR="004E1B8E" w:rsidRPr="009C7F4B">
              <w:rPr>
                <w:rFonts w:ascii="Arial" w:hAnsi="Arial" w:cs="Arial"/>
                <w:iCs/>
                <w:sz w:val="22"/>
                <w:szCs w:val="22"/>
              </w:rPr>
              <w:t>=1)</w:t>
            </w:r>
          </w:p>
          <w:p w14:paraId="29219D11" w14:textId="77777777" w:rsidR="004E1B8E" w:rsidRPr="009C7F4B" w:rsidRDefault="004E1B8E" w:rsidP="004E1B8E">
            <w:pPr>
              <w:numPr>
                <w:ilvl w:val="0"/>
                <w:numId w:val="23"/>
              </w:numPr>
              <w:spacing w:before="60" w:after="60"/>
              <w:ind w:left="357" w:hanging="357"/>
              <w:rPr>
                <w:rFonts w:ascii="Arial" w:hAnsi="Arial" w:cs="Arial"/>
                <w:i/>
                <w:iCs/>
                <w:sz w:val="22"/>
                <w:szCs w:val="22"/>
              </w:rPr>
            </w:pPr>
            <w:r w:rsidRPr="009C7F4B">
              <w:rPr>
                <w:rFonts w:ascii="Arial" w:hAnsi="Arial" w:cs="Arial"/>
                <w:iCs/>
                <w:sz w:val="22"/>
                <w:szCs w:val="22"/>
              </w:rPr>
              <w:t>Propos</w:t>
            </w:r>
            <w:r w:rsidR="00FD5205" w:rsidRPr="009C7F4B">
              <w:rPr>
                <w:rFonts w:ascii="Arial" w:hAnsi="Arial" w:cs="Arial"/>
                <w:iCs/>
                <w:sz w:val="22"/>
                <w:szCs w:val="22"/>
              </w:rPr>
              <w:t>itions de moyens plus légers de partage</w:t>
            </w:r>
            <w:r w:rsidR="003831B0" w:rsidRPr="009C7F4B">
              <w:rPr>
                <w:rFonts w:ascii="Arial" w:hAnsi="Arial" w:cs="Arial"/>
                <w:iCs/>
                <w:sz w:val="22"/>
                <w:szCs w:val="22"/>
              </w:rPr>
              <w:t xml:space="preserve"> d</w:t>
            </w:r>
            <w:r w:rsidR="00FD5205" w:rsidRPr="009C7F4B">
              <w:rPr>
                <w:rFonts w:ascii="Arial" w:hAnsi="Arial" w:cs="Arial"/>
                <w:iCs/>
                <w:sz w:val="22"/>
                <w:szCs w:val="22"/>
              </w:rPr>
              <w:t xml:space="preserve">es expériences de sauvegarde </w:t>
            </w:r>
            <w:r w:rsidR="003831B0" w:rsidRPr="009C7F4B">
              <w:rPr>
                <w:rFonts w:ascii="Arial" w:hAnsi="Arial" w:cs="Arial"/>
                <w:iCs/>
                <w:sz w:val="22"/>
                <w:szCs w:val="22"/>
              </w:rPr>
              <w:t>recueillies</w:t>
            </w:r>
            <w:r w:rsidR="00FD5205" w:rsidRPr="009C7F4B">
              <w:rPr>
                <w:rFonts w:ascii="Arial" w:hAnsi="Arial" w:cs="Arial"/>
                <w:iCs/>
                <w:sz w:val="22"/>
                <w:szCs w:val="22"/>
              </w:rPr>
              <w:t xml:space="preserve"> pour compléter le Registre des meilleures pratiques de sauvegarde</w:t>
            </w:r>
            <w:r w:rsidRPr="009C7F4B">
              <w:rPr>
                <w:rFonts w:ascii="Arial" w:hAnsi="Arial" w:cs="Arial"/>
                <w:iCs/>
                <w:sz w:val="22"/>
                <w:szCs w:val="22"/>
              </w:rPr>
              <w:t xml:space="preserve"> (</w:t>
            </w:r>
            <w:r w:rsidR="00FD5205" w:rsidRPr="009C7F4B">
              <w:rPr>
                <w:rFonts w:ascii="Arial" w:hAnsi="Arial" w:cs="Arial"/>
                <w:iCs/>
                <w:sz w:val="22"/>
                <w:szCs w:val="22"/>
              </w:rPr>
              <w:t>R</w:t>
            </w:r>
            <w:r w:rsidRPr="009C7F4B">
              <w:rPr>
                <w:rFonts w:ascii="Arial" w:hAnsi="Arial" w:cs="Arial"/>
                <w:iCs/>
                <w:sz w:val="22"/>
                <w:szCs w:val="22"/>
              </w:rPr>
              <w:t>=3)</w:t>
            </w:r>
          </w:p>
          <w:p w14:paraId="09935731" w14:textId="77777777" w:rsidR="004E1B8E" w:rsidRPr="009C7F4B" w:rsidRDefault="00FD5205" w:rsidP="004E1B8E">
            <w:pPr>
              <w:numPr>
                <w:ilvl w:val="0"/>
                <w:numId w:val="23"/>
              </w:numPr>
              <w:spacing w:before="60" w:after="60"/>
              <w:ind w:left="357" w:hanging="357"/>
              <w:rPr>
                <w:rFonts w:ascii="Arial" w:hAnsi="Arial" w:cs="Arial"/>
                <w:i/>
                <w:iCs/>
                <w:sz w:val="22"/>
                <w:szCs w:val="22"/>
              </w:rPr>
            </w:pPr>
            <w:r w:rsidRPr="009C7F4B">
              <w:rPr>
                <w:rFonts w:ascii="Arial" w:hAnsi="Arial" w:cs="Arial"/>
                <w:iCs/>
                <w:sz w:val="22"/>
                <w:szCs w:val="22"/>
              </w:rPr>
              <w:t>Matériels de formation développés pour sensibiliser les gouvernements, les communautés</w:t>
            </w:r>
            <w:r w:rsidR="004E1B8E" w:rsidRPr="009C7F4B">
              <w:rPr>
                <w:rFonts w:ascii="Arial" w:hAnsi="Arial" w:cs="Arial"/>
                <w:iCs/>
                <w:sz w:val="22"/>
                <w:szCs w:val="22"/>
              </w:rPr>
              <w:t xml:space="preserve">, </w:t>
            </w:r>
            <w:r w:rsidRPr="009C7F4B">
              <w:rPr>
                <w:rFonts w:ascii="Arial" w:hAnsi="Arial" w:cs="Arial"/>
                <w:iCs/>
                <w:sz w:val="22"/>
                <w:szCs w:val="22"/>
              </w:rPr>
              <w:t xml:space="preserve">les </w:t>
            </w:r>
            <w:r w:rsidR="004E1B8E" w:rsidRPr="009C7F4B">
              <w:rPr>
                <w:rFonts w:ascii="Arial" w:hAnsi="Arial" w:cs="Arial"/>
                <w:iCs/>
                <w:sz w:val="22"/>
                <w:szCs w:val="22"/>
              </w:rPr>
              <w:t>group</w:t>
            </w:r>
            <w:r w:rsidRPr="009C7F4B">
              <w:rPr>
                <w:rFonts w:ascii="Arial" w:hAnsi="Arial" w:cs="Arial"/>
                <w:iCs/>
                <w:sz w:val="22"/>
                <w:szCs w:val="22"/>
              </w:rPr>
              <w:t>e</w:t>
            </w:r>
            <w:r w:rsidR="004E1B8E" w:rsidRPr="009C7F4B">
              <w:rPr>
                <w:rFonts w:ascii="Arial" w:hAnsi="Arial" w:cs="Arial"/>
                <w:iCs/>
                <w:sz w:val="22"/>
                <w:szCs w:val="22"/>
              </w:rPr>
              <w:t xml:space="preserve">s </w:t>
            </w:r>
            <w:r w:rsidRPr="009C7F4B">
              <w:rPr>
                <w:rFonts w:ascii="Arial" w:hAnsi="Arial" w:cs="Arial"/>
                <w:iCs/>
                <w:sz w:val="22"/>
                <w:szCs w:val="22"/>
              </w:rPr>
              <w:t>et autres parties prenantes et intermédiaires concernés aux préoccupations éthiques dans le c</w:t>
            </w:r>
            <w:r w:rsidR="003831B0" w:rsidRPr="009C7F4B">
              <w:rPr>
                <w:rFonts w:ascii="Arial" w:hAnsi="Arial" w:cs="Arial"/>
                <w:iCs/>
                <w:sz w:val="22"/>
                <w:szCs w:val="22"/>
              </w:rPr>
              <w:t>adre</w:t>
            </w:r>
            <w:r w:rsidRPr="009C7F4B">
              <w:rPr>
                <w:rFonts w:ascii="Arial" w:hAnsi="Arial" w:cs="Arial"/>
                <w:iCs/>
                <w:sz w:val="22"/>
                <w:szCs w:val="22"/>
              </w:rPr>
              <w:t xml:space="preserve"> de la sauvegarde du patrimoine culturel immatériel</w:t>
            </w:r>
            <w:r w:rsidR="004E1B8E" w:rsidRPr="009C7F4B">
              <w:rPr>
                <w:rFonts w:ascii="Arial" w:hAnsi="Arial" w:cs="Arial"/>
                <w:iCs/>
                <w:sz w:val="22"/>
                <w:szCs w:val="22"/>
              </w:rPr>
              <w:t xml:space="preserve"> (</w:t>
            </w:r>
            <w:r w:rsidRPr="009C7F4B">
              <w:rPr>
                <w:rFonts w:ascii="Arial" w:hAnsi="Arial" w:cs="Arial"/>
                <w:iCs/>
                <w:sz w:val="22"/>
                <w:szCs w:val="22"/>
              </w:rPr>
              <w:t>R</w:t>
            </w:r>
            <w:r w:rsidR="004E1B8E" w:rsidRPr="009C7F4B">
              <w:rPr>
                <w:rFonts w:ascii="Arial" w:hAnsi="Arial" w:cs="Arial"/>
                <w:iCs/>
                <w:sz w:val="22"/>
                <w:szCs w:val="22"/>
              </w:rPr>
              <w:t xml:space="preserve">=1) </w:t>
            </w:r>
          </w:p>
          <w:p w14:paraId="7484A73F" w14:textId="77777777" w:rsidR="004E1B8E" w:rsidRPr="009C7F4B" w:rsidRDefault="00FD5205" w:rsidP="00AB5A68">
            <w:pPr>
              <w:numPr>
                <w:ilvl w:val="0"/>
                <w:numId w:val="23"/>
              </w:numPr>
              <w:spacing w:before="60" w:after="60"/>
              <w:ind w:left="357" w:hanging="357"/>
              <w:rPr>
                <w:rFonts w:ascii="Arial" w:hAnsi="Arial" w:cs="Arial"/>
                <w:iCs/>
                <w:sz w:val="22"/>
                <w:szCs w:val="22"/>
              </w:rPr>
            </w:pPr>
            <w:r w:rsidRPr="009C7F4B">
              <w:rPr>
                <w:rFonts w:ascii="Arial" w:hAnsi="Arial" w:cs="Arial"/>
                <w:iCs/>
                <w:sz w:val="22"/>
                <w:szCs w:val="22"/>
              </w:rPr>
              <w:t xml:space="preserve">Une stratégie élaborée pour </w:t>
            </w:r>
            <w:r w:rsidR="00AB5A68" w:rsidRPr="009C7F4B">
              <w:rPr>
                <w:rFonts w:ascii="Arial" w:hAnsi="Arial" w:cs="Arial"/>
                <w:iCs/>
                <w:sz w:val="22"/>
                <w:szCs w:val="22"/>
              </w:rPr>
              <w:t>sauvegarder le patrimoine culturel immatériel dans les situations d’urgence telles que décrite</w:t>
            </w:r>
            <w:r w:rsidR="003831B0" w:rsidRPr="009C7F4B">
              <w:rPr>
                <w:rFonts w:ascii="Arial" w:hAnsi="Arial" w:cs="Arial"/>
                <w:iCs/>
                <w:sz w:val="22"/>
                <w:szCs w:val="22"/>
              </w:rPr>
              <w:t>s</w:t>
            </w:r>
            <w:r w:rsidR="00AB5A68" w:rsidRPr="009C7F4B">
              <w:rPr>
                <w:rFonts w:ascii="Arial" w:hAnsi="Arial" w:cs="Arial"/>
                <w:iCs/>
                <w:sz w:val="22"/>
                <w:szCs w:val="22"/>
              </w:rPr>
              <w:t xml:space="preserve"> au §50 des DO (R</w:t>
            </w:r>
            <w:r w:rsidR="004E1B8E" w:rsidRPr="009C7F4B">
              <w:rPr>
                <w:rFonts w:ascii="Arial" w:hAnsi="Arial" w:cs="Arial"/>
                <w:iCs/>
                <w:sz w:val="22"/>
                <w:szCs w:val="22"/>
              </w:rPr>
              <w:t xml:space="preserve">=1) </w:t>
            </w:r>
          </w:p>
        </w:tc>
      </w:tr>
    </w:tbl>
    <w:p w14:paraId="4C49E646" w14:textId="77777777" w:rsidR="004E1B8E" w:rsidRPr="009C7F4B" w:rsidRDefault="004E1B8E" w:rsidP="004E1B8E">
      <w:pPr>
        <w:tabs>
          <w:tab w:val="left" w:pos="567"/>
        </w:tabs>
        <w:snapToGrid w:val="0"/>
        <w:spacing w:before="120" w:after="120"/>
        <w:jc w:val="both"/>
        <w:rPr>
          <w:rFonts w:ascii="Arial" w:hAnsi="Arial" w:cs="Arial"/>
          <w:b/>
          <w:bCs/>
          <w:snapToGrid w:val="0"/>
          <w:sz w:val="22"/>
          <w:szCs w:val="22"/>
          <w:lang w:eastAsia="en-US"/>
        </w:rPr>
      </w:pPr>
    </w:p>
    <w:tbl>
      <w:tblPr>
        <w:tblStyle w:val="Grilledutableau1"/>
        <w:tblW w:w="5002" w:type="pct"/>
        <w:tblLayout w:type="fixed"/>
        <w:tblLook w:val="04A0" w:firstRow="1" w:lastRow="0" w:firstColumn="1" w:lastColumn="0" w:noHBand="0" w:noVBand="1"/>
      </w:tblPr>
      <w:tblGrid>
        <w:gridCol w:w="716"/>
        <w:gridCol w:w="1601"/>
        <w:gridCol w:w="2969"/>
        <w:gridCol w:w="4572"/>
      </w:tblGrid>
      <w:tr w:rsidR="004E1B8E" w:rsidRPr="009C7F4B" w14:paraId="6205BEB8" w14:textId="77777777" w:rsidTr="000A2819">
        <w:trPr>
          <w:cantSplit/>
        </w:trPr>
        <w:tc>
          <w:tcPr>
            <w:tcW w:w="1175" w:type="pct"/>
            <w:gridSpan w:val="2"/>
            <w:shd w:val="clear" w:color="auto" w:fill="808080" w:themeFill="background1" w:themeFillShade="80"/>
            <w:vAlign w:val="center"/>
          </w:tcPr>
          <w:p w14:paraId="4A13E57E" w14:textId="77777777" w:rsidR="004E1B8E" w:rsidRPr="009C7F4B" w:rsidRDefault="004E1B8E" w:rsidP="008D69F4">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lastRenderedPageBreak/>
              <w:t xml:space="preserve">38C/5 </w:t>
            </w:r>
            <w:r w:rsidR="008D69F4" w:rsidRPr="009C7F4B">
              <w:rPr>
                <w:rFonts w:ascii="Arial" w:hAnsi="Arial" w:cs="Arial"/>
                <w:b/>
                <w:bCs/>
                <w:color w:val="FFFFFF" w:themeColor="background1"/>
                <w:sz w:val="22"/>
                <w:szCs w:val="22"/>
              </w:rPr>
              <w:t>Indicateur de p</w:t>
            </w:r>
            <w:r w:rsidRPr="009C7F4B">
              <w:rPr>
                <w:rFonts w:ascii="Arial" w:hAnsi="Arial" w:cs="Arial"/>
                <w:b/>
                <w:bCs/>
                <w:color w:val="FFFFFF" w:themeColor="background1"/>
                <w:sz w:val="22"/>
                <w:szCs w:val="22"/>
              </w:rPr>
              <w:t>erformance 3</w:t>
            </w:r>
          </w:p>
        </w:tc>
        <w:tc>
          <w:tcPr>
            <w:tcW w:w="3825" w:type="pct"/>
            <w:gridSpan w:val="2"/>
            <w:shd w:val="clear" w:color="auto" w:fill="808080" w:themeFill="background1" w:themeFillShade="80"/>
            <w:vAlign w:val="center"/>
          </w:tcPr>
          <w:p w14:paraId="7857F959" w14:textId="38DEE351" w:rsidR="004E1B8E" w:rsidRPr="009C7F4B" w:rsidRDefault="004E1B8E" w:rsidP="00653EC6">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N</w:t>
            </w:r>
            <w:r w:rsidR="004D5687" w:rsidRPr="009C7F4B">
              <w:rPr>
                <w:rFonts w:ascii="Arial" w:hAnsi="Arial" w:cs="Arial"/>
                <w:b/>
                <w:bCs/>
                <w:color w:val="FFFFFF" w:themeColor="background1"/>
                <w:sz w:val="22"/>
                <w:szCs w:val="22"/>
              </w:rPr>
              <w:t>o</w:t>
            </w:r>
            <w:r w:rsidRPr="009C7F4B">
              <w:rPr>
                <w:rFonts w:ascii="Arial" w:hAnsi="Arial" w:cs="Arial"/>
                <w:b/>
                <w:bCs/>
                <w:color w:val="FFFFFF" w:themeColor="background1"/>
                <w:sz w:val="22"/>
                <w:szCs w:val="22"/>
              </w:rPr>
              <w:t>mbr</w:t>
            </w:r>
            <w:r w:rsidR="004D5687" w:rsidRPr="009C7F4B">
              <w:rPr>
                <w:rFonts w:ascii="Arial" w:hAnsi="Arial" w:cs="Arial"/>
                <w:b/>
                <w:bCs/>
                <w:color w:val="FFFFFF" w:themeColor="background1"/>
                <w:sz w:val="22"/>
                <w:szCs w:val="22"/>
              </w:rPr>
              <w:t>e</w:t>
            </w:r>
            <w:r w:rsidRPr="009C7F4B">
              <w:rPr>
                <w:rFonts w:ascii="Arial" w:hAnsi="Arial" w:cs="Arial"/>
                <w:b/>
                <w:bCs/>
                <w:color w:val="FFFFFF" w:themeColor="background1"/>
                <w:sz w:val="22"/>
                <w:szCs w:val="22"/>
              </w:rPr>
              <w:t xml:space="preserve"> </w:t>
            </w:r>
            <w:r w:rsidR="004D5687" w:rsidRPr="009C7F4B">
              <w:rPr>
                <w:rFonts w:ascii="Arial" w:hAnsi="Arial" w:cs="Arial"/>
                <w:b/>
                <w:bCs/>
                <w:color w:val="FFFFFF" w:themeColor="background1"/>
                <w:sz w:val="22"/>
                <w:szCs w:val="22"/>
              </w:rPr>
              <w:t xml:space="preserve">de rapports périodiques sur la mise </w:t>
            </w:r>
            <w:r w:rsidR="003831B0" w:rsidRPr="009C7F4B">
              <w:rPr>
                <w:rFonts w:ascii="Arial" w:hAnsi="Arial" w:cs="Arial"/>
                <w:b/>
                <w:bCs/>
                <w:color w:val="FFFFFF" w:themeColor="background1"/>
                <w:sz w:val="22"/>
                <w:szCs w:val="22"/>
              </w:rPr>
              <w:t>e</w:t>
            </w:r>
            <w:r w:rsidR="004D5687" w:rsidRPr="009C7F4B">
              <w:rPr>
                <w:rFonts w:ascii="Arial" w:hAnsi="Arial" w:cs="Arial"/>
                <w:b/>
                <w:bCs/>
                <w:color w:val="FFFFFF" w:themeColor="background1"/>
                <w:sz w:val="22"/>
                <w:szCs w:val="22"/>
              </w:rPr>
              <w:t xml:space="preserve">n </w:t>
            </w:r>
            <w:r w:rsidR="003831B0" w:rsidRPr="009C7F4B">
              <w:rPr>
                <w:rFonts w:ascii="Arial" w:hAnsi="Arial" w:cs="Arial"/>
                <w:b/>
                <w:bCs/>
                <w:color w:val="FFFFFF" w:themeColor="background1"/>
                <w:sz w:val="22"/>
                <w:szCs w:val="22"/>
              </w:rPr>
              <w:t xml:space="preserve">œuvre </w:t>
            </w:r>
            <w:r w:rsidR="004D5687" w:rsidRPr="009C7F4B">
              <w:rPr>
                <w:rFonts w:ascii="Arial" w:hAnsi="Arial" w:cs="Arial"/>
                <w:b/>
                <w:bCs/>
                <w:color w:val="FFFFFF" w:themeColor="background1"/>
                <w:sz w:val="22"/>
                <w:szCs w:val="22"/>
              </w:rPr>
              <w:t xml:space="preserve">de la Convention </w:t>
            </w:r>
            <w:r w:rsidR="00653EC6" w:rsidRPr="009C7F4B">
              <w:rPr>
                <w:rFonts w:ascii="Arial" w:hAnsi="Arial" w:cs="Arial"/>
                <w:b/>
                <w:bCs/>
                <w:color w:val="FFFFFF" w:themeColor="background1"/>
                <w:sz w:val="22"/>
                <w:szCs w:val="22"/>
              </w:rPr>
              <w:t>à l’échelon national soumis par les États parties et examinés par le Comité, et nombre de ces rapports traitant des questions d’égalité des genres et faisant état de politiques destinées à promouvoir un accès et une participation équilibrés à la vie culturelle</w:t>
            </w:r>
          </w:p>
        </w:tc>
      </w:tr>
      <w:tr w:rsidR="004E1B8E" w:rsidRPr="009C7F4B" w14:paraId="413EAA9A" w14:textId="77777777" w:rsidTr="000A2819">
        <w:trPr>
          <w:cantSplit/>
        </w:trPr>
        <w:tc>
          <w:tcPr>
            <w:tcW w:w="1175" w:type="pct"/>
            <w:gridSpan w:val="2"/>
            <w:shd w:val="clear" w:color="auto" w:fill="F2F2F2" w:themeFill="background1" w:themeFillShade="F2"/>
            <w:vAlign w:val="center"/>
          </w:tcPr>
          <w:p w14:paraId="11728E8F" w14:textId="77777777" w:rsidR="004E1B8E" w:rsidRPr="009C7F4B" w:rsidRDefault="004D5687" w:rsidP="004D5687">
            <w:pPr>
              <w:keepNext/>
              <w:spacing w:before="60" w:after="60"/>
              <w:rPr>
                <w:rFonts w:ascii="Arial" w:hAnsi="Arial" w:cs="Arial"/>
                <w:b/>
                <w:bCs/>
                <w:sz w:val="22"/>
                <w:szCs w:val="22"/>
              </w:rPr>
            </w:pPr>
            <w:r w:rsidRPr="009C7F4B">
              <w:rPr>
                <w:rFonts w:ascii="Arial" w:hAnsi="Arial" w:cs="Arial"/>
                <w:b/>
                <w:bCs/>
                <w:sz w:val="22"/>
                <w:szCs w:val="22"/>
              </w:rPr>
              <w:t>Résultat escompté</w:t>
            </w:r>
            <w:r w:rsidR="004E1B8E" w:rsidRPr="009C7F4B">
              <w:rPr>
                <w:rFonts w:ascii="Arial" w:hAnsi="Arial" w:cs="Arial"/>
                <w:b/>
                <w:bCs/>
                <w:sz w:val="22"/>
                <w:szCs w:val="22"/>
              </w:rPr>
              <w:t> 3</w:t>
            </w:r>
            <w:r w:rsidRPr="009C7F4B">
              <w:rPr>
                <w:rFonts w:ascii="Arial" w:hAnsi="Arial" w:cs="Arial"/>
                <w:b/>
                <w:bCs/>
                <w:sz w:val="22"/>
                <w:szCs w:val="22"/>
              </w:rPr>
              <w:t xml:space="preserve"> du Fonds du PCI</w:t>
            </w:r>
          </w:p>
        </w:tc>
        <w:tc>
          <w:tcPr>
            <w:tcW w:w="3825" w:type="pct"/>
            <w:gridSpan w:val="2"/>
            <w:shd w:val="clear" w:color="auto" w:fill="F2F2F2" w:themeFill="background1" w:themeFillShade="F2"/>
            <w:vAlign w:val="center"/>
          </w:tcPr>
          <w:p w14:paraId="72D3C522" w14:textId="77777777" w:rsidR="004E1B8E" w:rsidRPr="009C7F4B" w:rsidRDefault="004D5687" w:rsidP="004D5687">
            <w:pPr>
              <w:keepNext/>
              <w:spacing w:before="60" w:after="60"/>
              <w:rPr>
                <w:rFonts w:ascii="Arial" w:hAnsi="Arial" w:cs="Arial"/>
                <w:b/>
                <w:bCs/>
                <w:sz w:val="22"/>
                <w:szCs w:val="22"/>
              </w:rPr>
            </w:pPr>
            <w:r w:rsidRPr="009C7F4B">
              <w:rPr>
                <w:rFonts w:ascii="Arial" w:hAnsi="Arial" w:cs="Arial"/>
                <w:b/>
                <w:bCs/>
                <w:sz w:val="22"/>
                <w:szCs w:val="22"/>
              </w:rPr>
              <w:t xml:space="preserve">Cadre global de résultats élaboré pour suivre la mise en œuvre de la </w:t>
            </w:r>
            <w:r w:rsidR="004E1B8E" w:rsidRPr="009C7F4B">
              <w:rPr>
                <w:rFonts w:ascii="Arial" w:hAnsi="Arial" w:cs="Arial"/>
                <w:b/>
                <w:bCs/>
                <w:sz w:val="22"/>
                <w:szCs w:val="22"/>
              </w:rPr>
              <w:t>Convention</w:t>
            </w:r>
          </w:p>
        </w:tc>
      </w:tr>
      <w:tr w:rsidR="004E1B8E" w:rsidRPr="009C7F4B" w14:paraId="155A481B" w14:textId="77777777" w:rsidTr="000A2819">
        <w:trPr>
          <w:cantSplit/>
        </w:trPr>
        <w:tc>
          <w:tcPr>
            <w:tcW w:w="1175" w:type="pct"/>
            <w:gridSpan w:val="2"/>
            <w:shd w:val="clear" w:color="auto" w:fill="F2F2F2" w:themeFill="background1" w:themeFillShade="F2"/>
            <w:vAlign w:val="center"/>
          </w:tcPr>
          <w:p w14:paraId="1C23BC86" w14:textId="77777777" w:rsidR="004E1B8E" w:rsidRPr="009C7F4B" w:rsidRDefault="004E1B8E" w:rsidP="004E1B8E">
            <w:pPr>
              <w:keepNext/>
              <w:spacing w:before="60" w:after="60"/>
              <w:rPr>
                <w:rFonts w:ascii="Arial" w:hAnsi="Arial" w:cs="Arial"/>
                <w:b/>
                <w:bCs/>
                <w:sz w:val="22"/>
                <w:szCs w:val="22"/>
              </w:rPr>
            </w:pPr>
            <w:r w:rsidRPr="009C7F4B">
              <w:rPr>
                <w:rFonts w:ascii="Arial" w:hAnsi="Arial" w:cs="Arial"/>
                <w:b/>
                <w:bCs/>
                <w:sz w:val="22"/>
                <w:szCs w:val="22"/>
              </w:rPr>
              <w:t>199OTH4138.3</w:t>
            </w:r>
          </w:p>
        </w:tc>
        <w:tc>
          <w:tcPr>
            <w:tcW w:w="3825" w:type="pct"/>
            <w:gridSpan w:val="2"/>
            <w:shd w:val="clear" w:color="auto" w:fill="F2F2F2" w:themeFill="background1" w:themeFillShade="F2"/>
            <w:vAlign w:val="center"/>
          </w:tcPr>
          <w:p w14:paraId="22042DB5" w14:textId="77777777" w:rsidR="004E1B8E" w:rsidRPr="009C7F4B" w:rsidRDefault="004D5687" w:rsidP="004D5687">
            <w:pPr>
              <w:keepNext/>
              <w:spacing w:before="60" w:after="60"/>
              <w:rPr>
                <w:rFonts w:ascii="Arial" w:hAnsi="Arial" w:cs="Arial"/>
                <w:b/>
                <w:bCs/>
                <w:sz w:val="22"/>
                <w:szCs w:val="22"/>
              </w:rPr>
            </w:pPr>
            <w:r w:rsidRPr="009C7F4B">
              <w:rPr>
                <w:rFonts w:ascii="Arial" w:hAnsi="Arial" w:cs="Arial"/>
                <w:b/>
                <w:bCs/>
                <w:sz w:val="22"/>
                <w:szCs w:val="22"/>
              </w:rPr>
              <w:t>Dotation budgétaire </w:t>
            </w:r>
            <w:r w:rsidR="004E1B8E" w:rsidRPr="009C7F4B">
              <w:rPr>
                <w:rFonts w:ascii="Arial" w:hAnsi="Arial" w:cs="Arial"/>
                <w:b/>
                <w:bCs/>
                <w:sz w:val="22"/>
                <w:szCs w:val="22"/>
              </w:rPr>
              <w:t>: 50</w:t>
            </w:r>
            <w:r w:rsidRPr="009C7F4B">
              <w:rPr>
                <w:rFonts w:ascii="Arial" w:hAnsi="Arial" w:cs="Arial"/>
                <w:b/>
                <w:bCs/>
                <w:sz w:val="22"/>
                <w:szCs w:val="22"/>
              </w:rPr>
              <w:t> </w:t>
            </w:r>
            <w:r w:rsidR="004E1B8E" w:rsidRPr="009C7F4B">
              <w:rPr>
                <w:rFonts w:ascii="Arial" w:hAnsi="Arial" w:cs="Arial"/>
                <w:b/>
                <w:bCs/>
                <w:sz w:val="22"/>
                <w:szCs w:val="22"/>
              </w:rPr>
              <w:t>000</w:t>
            </w:r>
            <w:r w:rsidRPr="009C7F4B">
              <w:rPr>
                <w:rFonts w:ascii="Arial" w:hAnsi="Arial" w:cs="Arial"/>
                <w:b/>
                <w:bCs/>
                <w:sz w:val="22"/>
                <w:szCs w:val="22"/>
              </w:rPr>
              <w:t xml:space="preserve"> dollars des </w:t>
            </w:r>
            <w:r w:rsidR="004312CB" w:rsidRPr="009C7F4B">
              <w:rPr>
                <w:rFonts w:ascii="Arial" w:hAnsi="Arial" w:cs="Arial"/>
                <w:b/>
                <w:bCs/>
                <w:sz w:val="22"/>
                <w:szCs w:val="22"/>
              </w:rPr>
              <w:t>États-Unis</w:t>
            </w:r>
          </w:p>
        </w:tc>
      </w:tr>
      <w:tr w:rsidR="004E1B8E" w:rsidRPr="009C7F4B" w14:paraId="25571D22" w14:textId="77777777" w:rsidTr="000A2819">
        <w:trPr>
          <w:cantSplit/>
        </w:trPr>
        <w:tc>
          <w:tcPr>
            <w:tcW w:w="363" w:type="pct"/>
            <w:shd w:val="clear" w:color="auto" w:fill="F2F2F2" w:themeFill="background1" w:themeFillShade="F2"/>
            <w:vAlign w:val="center"/>
          </w:tcPr>
          <w:p w14:paraId="438CF4FF" w14:textId="77777777" w:rsidR="004E1B8E" w:rsidRPr="009C7F4B" w:rsidRDefault="004E1B8E" w:rsidP="004E1B8E">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119FB587" w14:textId="77777777" w:rsidR="004E1B8E" w:rsidRPr="009C7F4B" w:rsidRDefault="004D5687" w:rsidP="004D5687">
            <w:pPr>
              <w:keepNext/>
              <w:spacing w:before="60" w:after="60"/>
              <w:jc w:val="center"/>
              <w:rPr>
                <w:rFonts w:ascii="Arial" w:hAnsi="Arial" w:cs="Arial"/>
                <w:i/>
                <w:iCs/>
                <w:sz w:val="22"/>
                <w:szCs w:val="22"/>
              </w:rPr>
            </w:pPr>
            <w:r w:rsidRPr="009C7F4B">
              <w:rPr>
                <w:rFonts w:ascii="Arial" w:hAnsi="Arial" w:cs="Arial"/>
                <w:i/>
                <w:iCs/>
                <w:sz w:val="22"/>
                <w:szCs w:val="22"/>
              </w:rPr>
              <w:t>Produit</w:t>
            </w:r>
            <w:r w:rsidR="004E1B8E" w:rsidRPr="009C7F4B">
              <w:rPr>
                <w:rFonts w:ascii="Arial" w:hAnsi="Arial" w:cs="Arial"/>
                <w:i/>
                <w:iCs/>
                <w:sz w:val="22"/>
                <w:szCs w:val="22"/>
              </w:rPr>
              <w:t>s</w:t>
            </w:r>
          </w:p>
        </w:tc>
        <w:tc>
          <w:tcPr>
            <w:tcW w:w="2319" w:type="pct"/>
            <w:shd w:val="clear" w:color="auto" w:fill="F2F2F2" w:themeFill="background1" w:themeFillShade="F2"/>
            <w:vAlign w:val="center"/>
          </w:tcPr>
          <w:p w14:paraId="3703BC2F" w14:textId="77777777" w:rsidR="004E1B8E" w:rsidRPr="009C7F4B" w:rsidRDefault="004E1B8E" w:rsidP="0057449B">
            <w:pPr>
              <w:keepNext/>
              <w:spacing w:before="60" w:after="60"/>
              <w:jc w:val="center"/>
              <w:rPr>
                <w:rFonts w:ascii="Arial" w:hAnsi="Arial" w:cs="Arial"/>
                <w:i/>
                <w:iCs/>
                <w:sz w:val="22"/>
                <w:szCs w:val="22"/>
              </w:rPr>
            </w:pPr>
            <w:r w:rsidRPr="009C7F4B">
              <w:rPr>
                <w:rFonts w:ascii="Arial" w:hAnsi="Arial" w:cs="Arial"/>
                <w:i/>
                <w:iCs/>
                <w:sz w:val="22"/>
                <w:szCs w:val="22"/>
              </w:rPr>
              <w:t>Indicat</w:t>
            </w:r>
            <w:r w:rsidR="0057449B" w:rsidRPr="009C7F4B">
              <w:rPr>
                <w:rFonts w:ascii="Arial" w:hAnsi="Arial" w:cs="Arial"/>
                <w:i/>
                <w:iCs/>
                <w:sz w:val="22"/>
                <w:szCs w:val="22"/>
              </w:rPr>
              <w:t>eu</w:t>
            </w:r>
            <w:r w:rsidRPr="009C7F4B">
              <w:rPr>
                <w:rFonts w:ascii="Arial" w:hAnsi="Arial" w:cs="Arial"/>
                <w:i/>
                <w:iCs/>
                <w:sz w:val="22"/>
                <w:szCs w:val="22"/>
              </w:rPr>
              <w:t>rs (</w:t>
            </w:r>
            <w:r w:rsidR="0057449B" w:rsidRPr="009C7F4B">
              <w:rPr>
                <w:rFonts w:ascii="Arial" w:hAnsi="Arial" w:cs="Arial"/>
                <w:i/>
                <w:iCs/>
                <w:sz w:val="22"/>
                <w:szCs w:val="22"/>
              </w:rPr>
              <w:t>Références</w:t>
            </w:r>
            <w:r w:rsidRPr="009C7F4B">
              <w:rPr>
                <w:rFonts w:ascii="Arial" w:hAnsi="Arial" w:cs="Arial"/>
                <w:i/>
                <w:iCs/>
                <w:sz w:val="22"/>
                <w:szCs w:val="22"/>
              </w:rPr>
              <w:t>)</w:t>
            </w:r>
          </w:p>
        </w:tc>
      </w:tr>
      <w:tr w:rsidR="004E1B8E" w:rsidRPr="009C7F4B" w14:paraId="1D40C653" w14:textId="77777777" w:rsidTr="000A2819">
        <w:trPr>
          <w:cantSplit/>
        </w:trPr>
        <w:tc>
          <w:tcPr>
            <w:tcW w:w="363" w:type="pct"/>
            <w:shd w:val="clear" w:color="auto" w:fill="auto"/>
            <w:vAlign w:val="center"/>
          </w:tcPr>
          <w:p w14:paraId="1A0574D3"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3.1</w:t>
            </w:r>
          </w:p>
        </w:tc>
        <w:tc>
          <w:tcPr>
            <w:tcW w:w="2318" w:type="pct"/>
            <w:gridSpan w:val="2"/>
            <w:shd w:val="clear" w:color="auto" w:fill="auto"/>
            <w:vAlign w:val="center"/>
          </w:tcPr>
          <w:p w14:paraId="5E5F8377" w14:textId="77777777" w:rsidR="004E1B8E" w:rsidRPr="009C7F4B" w:rsidRDefault="0057449B" w:rsidP="0057449B">
            <w:pPr>
              <w:spacing w:before="60" w:after="60"/>
              <w:rPr>
                <w:rFonts w:ascii="Arial" w:hAnsi="Arial" w:cs="Arial"/>
                <w:iCs/>
                <w:sz w:val="22"/>
                <w:szCs w:val="22"/>
              </w:rPr>
            </w:pPr>
            <w:r w:rsidRPr="009C7F4B">
              <w:rPr>
                <w:rFonts w:ascii="Arial" w:hAnsi="Arial" w:cs="Arial"/>
                <w:iCs/>
                <w:sz w:val="22"/>
                <w:szCs w:val="22"/>
              </w:rPr>
              <w:t xml:space="preserve">Un cadre global de résultats pour la </w:t>
            </w:r>
            <w:r w:rsidR="004E1B8E" w:rsidRPr="009C7F4B">
              <w:rPr>
                <w:rFonts w:ascii="Arial" w:hAnsi="Arial" w:cs="Arial"/>
                <w:iCs/>
                <w:sz w:val="22"/>
                <w:szCs w:val="22"/>
              </w:rPr>
              <w:t xml:space="preserve">Convention </w:t>
            </w:r>
            <w:r w:rsidRPr="009C7F4B">
              <w:rPr>
                <w:rFonts w:ascii="Arial" w:hAnsi="Arial" w:cs="Arial"/>
                <w:iCs/>
                <w:sz w:val="22"/>
                <w:szCs w:val="22"/>
              </w:rPr>
              <w:t>é</w:t>
            </w:r>
            <w:r w:rsidR="004E1B8E" w:rsidRPr="009C7F4B">
              <w:rPr>
                <w:rFonts w:ascii="Arial" w:hAnsi="Arial" w:cs="Arial"/>
                <w:iCs/>
                <w:sz w:val="22"/>
                <w:szCs w:val="22"/>
              </w:rPr>
              <w:t>labor</w:t>
            </w:r>
            <w:r w:rsidRPr="009C7F4B">
              <w:rPr>
                <w:rFonts w:ascii="Arial" w:hAnsi="Arial" w:cs="Arial"/>
                <w:iCs/>
                <w:sz w:val="22"/>
                <w:szCs w:val="22"/>
              </w:rPr>
              <w:t>é</w:t>
            </w:r>
          </w:p>
        </w:tc>
        <w:tc>
          <w:tcPr>
            <w:tcW w:w="2319" w:type="pct"/>
            <w:shd w:val="clear" w:color="auto" w:fill="auto"/>
            <w:vAlign w:val="center"/>
          </w:tcPr>
          <w:p w14:paraId="11434AA5" w14:textId="77777777" w:rsidR="004E1B8E" w:rsidRPr="009C7F4B" w:rsidRDefault="0057449B" w:rsidP="004E1B8E">
            <w:pPr>
              <w:numPr>
                <w:ilvl w:val="0"/>
                <w:numId w:val="23"/>
              </w:numPr>
              <w:spacing w:before="60" w:after="60"/>
              <w:ind w:left="357" w:hanging="357"/>
              <w:rPr>
                <w:rFonts w:ascii="Arial" w:hAnsi="Arial" w:cs="Arial"/>
                <w:iCs/>
                <w:sz w:val="22"/>
                <w:szCs w:val="22"/>
              </w:rPr>
            </w:pPr>
            <w:r w:rsidRPr="009C7F4B">
              <w:rPr>
                <w:rFonts w:ascii="Arial" w:hAnsi="Arial" w:cs="Arial"/>
                <w:iCs/>
                <w:sz w:val="22"/>
                <w:szCs w:val="22"/>
              </w:rPr>
              <w:t xml:space="preserve">Réunion </w:t>
            </w:r>
            <w:r w:rsidR="00AD13F6" w:rsidRPr="009C7F4B">
              <w:rPr>
                <w:rFonts w:ascii="Arial" w:hAnsi="Arial" w:cs="Arial"/>
                <w:iCs/>
                <w:sz w:val="22"/>
                <w:szCs w:val="22"/>
              </w:rPr>
              <w:t xml:space="preserve">préliminaire </w:t>
            </w:r>
            <w:r w:rsidRPr="009C7F4B">
              <w:rPr>
                <w:rFonts w:ascii="Arial" w:hAnsi="Arial" w:cs="Arial"/>
                <w:iCs/>
                <w:sz w:val="22"/>
                <w:szCs w:val="22"/>
              </w:rPr>
              <w:t>d’experts de catégorie</w:t>
            </w:r>
            <w:r w:rsidR="004E1B8E" w:rsidRPr="009C7F4B">
              <w:rPr>
                <w:rFonts w:ascii="Arial" w:hAnsi="Arial" w:cs="Arial"/>
                <w:iCs/>
                <w:sz w:val="22"/>
                <w:szCs w:val="22"/>
              </w:rPr>
              <w:t> VI</w:t>
            </w:r>
            <w:r w:rsidRPr="009C7F4B">
              <w:rPr>
                <w:rFonts w:ascii="Arial" w:hAnsi="Arial" w:cs="Arial"/>
                <w:iCs/>
                <w:sz w:val="22"/>
                <w:szCs w:val="22"/>
              </w:rPr>
              <w:t xml:space="preserve"> pour poser les fondements sur lesquels un futur cadre global de résultats de la </w:t>
            </w:r>
            <w:r w:rsidR="004E1B8E" w:rsidRPr="009C7F4B">
              <w:rPr>
                <w:rFonts w:ascii="Arial" w:hAnsi="Arial" w:cs="Arial"/>
                <w:iCs/>
                <w:sz w:val="22"/>
                <w:szCs w:val="22"/>
              </w:rPr>
              <w:t>Convention</w:t>
            </w:r>
            <w:r w:rsidRPr="009C7F4B">
              <w:rPr>
                <w:rFonts w:ascii="Arial" w:hAnsi="Arial" w:cs="Arial"/>
                <w:iCs/>
                <w:sz w:val="22"/>
                <w:szCs w:val="22"/>
              </w:rPr>
              <w:t xml:space="preserve"> pourra être é</w:t>
            </w:r>
            <w:r w:rsidR="00AD13F6" w:rsidRPr="009C7F4B">
              <w:rPr>
                <w:rFonts w:ascii="Arial" w:hAnsi="Arial" w:cs="Arial"/>
                <w:iCs/>
                <w:sz w:val="22"/>
                <w:szCs w:val="22"/>
              </w:rPr>
              <w:t>laboré</w:t>
            </w:r>
            <w:r w:rsidR="004E1B8E" w:rsidRPr="009C7F4B">
              <w:rPr>
                <w:rFonts w:ascii="Arial" w:hAnsi="Arial" w:cs="Arial"/>
                <w:iCs/>
                <w:sz w:val="22"/>
                <w:szCs w:val="22"/>
              </w:rPr>
              <w:t xml:space="preserve"> (</w:t>
            </w:r>
            <w:r w:rsidRPr="009C7F4B">
              <w:rPr>
                <w:rFonts w:ascii="Arial" w:hAnsi="Arial" w:cs="Arial"/>
                <w:iCs/>
                <w:sz w:val="22"/>
                <w:szCs w:val="22"/>
              </w:rPr>
              <w:t>R</w:t>
            </w:r>
            <w:r w:rsidR="004E1B8E" w:rsidRPr="009C7F4B">
              <w:rPr>
                <w:rFonts w:ascii="Arial" w:hAnsi="Arial" w:cs="Arial"/>
                <w:iCs/>
                <w:sz w:val="22"/>
                <w:szCs w:val="22"/>
              </w:rPr>
              <w:t>=1, cofinanc</w:t>
            </w:r>
            <w:r w:rsidRPr="009C7F4B">
              <w:rPr>
                <w:rFonts w:ascii="Arial" w:hAnsi="Arial" w:cs="Arial"/>
                <w:iCs/>
                <w:sz w:val="22"/>
                <w:szCs w:val="22"/>
              </w:rPr>
              <w:t>ée par le Commission nationale de la République populaire de Chine</w:t>
            </w:r>
            <w:r w:rsidR="004E1B8E" w:rsidRPr="009C7F4B">
              <w:rPr>
                <w:rFonts w:ascii="Arial" w:hAnsi="Arial" w:cs="Arial"/>
                <w:iCs/>
                <w:sz w:val="22"/>
                <w:szCs w:val="22"/>
              </w:rPr>
              <w:t>)</w:t>
            </w:r>
          </w:p>
          <w:p w14:paraId="5D934A52" w14:textId="77777777" w:rsidR="004E1B8E" w:rsidRPr="009C7F4B" w:rsidRDefault="00AD13F6" w:rsidP="004E1B8E">
            <w:pPr>
              <w:numPr>
                <w:ilvl w:val="0"/>
                <w:numId w:val="23"/>
              </w:numPr>
              <w:spacing w:before="60" w:after="60"/>
              <w:ind w:left="357" w:hanging="357"/>
              <w:rPr>
                <w:rFonts w:ascii="Arial" w:hAnsi="Arial" w:cs="Arial"/>
                <w:iCs/>
                <w:sz w:val="22"/>
                <w:szCs w:val="22"/>
              </w:rPr>
            </w:pPr>
            <w:r w:rsidRPr="009C7F4B">
              <w:rPr>
                <w:rFonts w:ascii="Arial" w:hAnsi="Arial" w:cs="Arial"/>
                <w:sz w:val="22"/>
                <w:szCs w:val="22"/>
              </w:rPr>
              <w:t>Un groupe de travail intergouvernemental à composition non limitée pour examiner les recommandations préliminaires de directives possibles (R</w:t>
            </w:r>
            <w:r w:rsidR="004E1B8E" w:rsidRPr="009C7F4B">
              <w:rPr>
                <w:rFonts w:ascii="Arial" w:hAnsi="Arial" w:cs="Arial"/>
                <w:sz w:val="22"/>
                <w:szCs w:val="22"/>
              </w:rPr>
              <w:t xml:space="preserve">=1, </w:t>
            </w:r>
            <w:r w:rsidRPr="009C7F4B">
              <w:rPr>
                <w:rFonts w:ascii="Arial" w:hAnsi="Arial" w:cs="Arial"/>
                <w:sz w:val="22"/>
                <w:szCs w:val="22"/>
              </w:rPr>
              <w:t>subordonné à des contributions supplémentaires volontaires au Fonds du patrimoine culturel immatériel</w:t>
            </w:r>
            <w:r w:rsidR="004E1B8E" w:rsidRPr="009C7F4B">
              <w:rPr>
                <w:rFonts w:ascii="Arial" w:hAnsi="Arial" w:cs="Arial"/>
                <w:sz w:val="22"/>
                <w:szCs w:val="22"/>
              </w:rPr>
              <w:t>)</w:t>
            </w:r>
          </w:p>
          <w:p w14:paraId="76971656" w14:textId="77777777" w:rsidR="004E1B8E" w:rsidRPr="009C7F4B" w:rsidRDefault="00AD13F6" w:rsidP="001146C4">
            <w:pPr>
              <w:numPr>
                <w:ilvl w:val="0"/>
                <w:numId w:val="23"/>
              </w:numPr>
              <w:spacing w:before="60" w:after="60"/>
              <w:ind w:left="357" w:hanging="357"/>
              <w:rPr>
                <w:rFonts w:ascii="Arial" w:hAnsi="Arial" w:cs="Arial"/>
                <w:iCs/>
                <w:sz w:val="22"/>
                <w:szCs w:val="22"/>
              </w:rPr>
            </w:pPr>
            <w:r w:rsidRPr="009C7F4B">
              <w:rPr>
                <w:rFonts w:ascii="Arial" w:hAnsi="Arial" w:cs="Arial"/>
                <w:sz w:val="22"/>
                <w:szCs w:val="22"/>
              </w:rPr>
              <w:t xml:space="preserve">Un outil préliminaire développé pour </w:t>
            </w:r>
            <w:r w:rsidR="004E1B8E" w:rsidRPr="009C7F4B">
              <w:rPr>
                <w:rFonts w:ascii="Arial" w:hAnsi="Arial" w:cs="Arial"/>
                <w:sz w:val="22"/>
                <w:szCs w:val="22"/>
              </w:rPr>
              <w:t>syst</w:t>
            </w:r>
            <w:r w:rsidR="00FF6994" w:rsidRPr="009C7F4B">
              <w:rPr>
                <w:rFonts w:ascii="Arial" w:hAnsi="Arial" w:cs="Arial"/>
                <w:sz w:val="22"/>
                <w:szCs w:val="22"/>
              </w:rPr>
              <w:t>é</w:t>
            </w:r>
            <w:r w:rsidR="004E1B8E" w:rsidRPr="009C7F4B">
              <w:rPr>
                <w:rFonts w:ascii="Arial" w:hAnsi="Arial" w:cs="Arial"/>
                <w:sz w:val="22"/>
                <w:szCs w:val="22"/>
              </w:rPr>
              <w:t>mati</w:t>
            </w:r>
            <w:r w:rsidR="00FF6994" w:rsidRPr="009C7F4B">
              <w:rPr>
                <w:rFonts w:ascii="Arial" w:hAnsi="Arial" w:cs="Arial"/>
                <w:sz w:val="22"/>
                <w:szCs w:val="22"/>
              </w:rPr>
              <w:t xml:space="preserve">ser la collecte et l’analyse de données afin de suivre la mise en </w:t>
            </w:r>
            <w:r w:rsidR="001146C4" w:rsidRPr="009C7F4B">
              <w:rPr>
                <w:rFonts w:ascii="Arial" w:hAnsi="Arial" w:cs="Arial"/>
                <w:sz w:val="22"/>
                <w:szCs w:val="22"/>
              </w:rPr>
              <w:t xml:space="preserve">œuvre </w:t>
            </w:r>
            <w:r w:rsidR="00FF6994" w:rsidRPr="009C7F4B">
              <w:rPr>
                <w:rFonts w:ascii="Arial" w:hAnsi="Arial" w:cs="Arial"/>
                <w:sz w:val="22"/>
                <w:szCs w:val="22"/>
              </w:rPr>
              <w:t xml:space="preserve">de la </w:t>
            </w:r>
            <w:r w:rsidR="004E1B8E" w:rsidRPr="009C7F4B">
              <w:rPr>
                <w:rFonts w:ascii="Arial" w:hAnsi="Arial" w:cs="Arial"/>
                <w:sz w:val="22"/>
                <w:szCs w:val="22"/>
              </w:rPr>
              <w:t>Convention (</w:t>
            </w:r>
            <w:r w:rsidR="00FF6994" w:rsidRPr="009C7F4B">
              <w:rPr>
                <w:rFonts w:ascii="Arial" w:hAnsi="Arial" w:cs="Arial"/>
                <w:sz w:val="22"/>
                <w:szCs w:val="22"/>
              </w:rPr>
              <w:t>R</w:t>
            </w:r>
            <w:r w:rsidR="004E1B8E" w:rsidRPr="009C7F4B">
              <w:rPr>
                <w:rFonts w:ascii="Arial" w:hAnsi="Arial" w:cs="Arial"/>
                <w:sz w:val="22"/>
                <w:szCs w:val="22"/>
              </w:rPr>
              <w:t>=1)</w:t>
            </w:r>
          </w:p>
        </w:tc>
      </w:tr>
    </w:tbl>
    <w:p w14:paraId="590512FA" w14:textId="77777777" w:rsidR="004E1B8E" w:rsidRPr="009C7F4B" w:rsidRDefault="004E1B8E" w:rsidP="004E1B8E">
      <w:pPr>
        <w:tabs>
          <w:tab w:val="left" w:pos="567"/>
        </w:tabs>
        <w:snapToGrid w:val="0"/>
        <w:spacing w:before="120" w:after="120"/>
        <w:jc w:val="both"/>
        <w:rPr>
          <w:rFonts w:ascii="Arial" w:hAnsi="Arial" w:cs="Arial"/>
          <w:b/>
          <w:bCs/>
          <w:snapToGrid w:val="0"/>
          <w:sz w:val="22"/>
          <w:szCs w:val="22"/>
          <w:lang w:eastAsia="en-US"/>
        </w:rPr>
      </w:pPr>
    </w:p>
    <w:tbl>
      <w:tblPr>
        <w:tblStyle w:val="Grilledutableau1"/>
        <w:tblW w:w="5002" w:type="pct"/>
        <w:tblLayout w:type="fixed"/>
        <w:tblLook w:val="04A0" w:firstRow="1" w:lastRow="0" w:firstColumn="1" w:lastColumn="0" w:noHBand="0" w:noVBand="1"/>
      </w:tblPr>
      <w:tblGrid>
        <w:gridCol w:w="716"/>
        <w:gridCol w:w="1601"/>
        <w:gridCol w:w="2969"/>
        <w:gridCol w:w="4572"/>
      </w:tblGrid>
      <w:tr w:rsidR="004E1B8E" w:rsidRPr="009C7F4B" w14:paraId="581CFF65" w14:textId="77777777" w:rsidTr="000A2819">
        <w:trPr>
          <w:cantSplit/>
        </w:trPr>
        <w:tc>
          <w:tcPr>
            <w:tcW w:w="1175" w:type="pct"/>
            <w:gridSpan w:val="2"/>
            <w:shd w:val="clear" w:color="auto" w:fill="808080" w:themeFill="background1" w:themeFillShade="80"/>
            <w:vAlign w:val="center"/>
          </w:tcPr>
          <w:p w14:paraId="32B5DCD5" w14:textId="77777777" w:rsidR="004E1B8E" w:rsidRPr="009C7F4B" w:rsidRDefault="004E1B8E" w:rsidP="00FF6994">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 xml:space="preserve">38C/5 </w:t>
            </w:r>
            <w:r w:rsidR="00FF6994" w:rsidRPr="009C7F4B">
              <w:rPr>
                <w:rFonts w:ascii="Arial" w:hAnsi="Arial" w:cs="Arial"/>
                <w:b/>
                <w:bCs/>
                <w:color w:val="FFFFFF" w:themeColor="background1"/>
                <w:sz w:val="22"/>
                <w:szCs w:val="22"/>
              </w:rPr>
              <w:t>Indicateur de p</w:t>
            </w:r>
            <w:r w:rsidRPr="009C7F4B">
              <w:rPr>
                <w:rFonts w:ascii="Arial" w:hAnsi="Arial" w:cs="Arial"/>
                <w:b/>
                <w:bCs/>
                <w:color w:val="FFFFFF" w:themeColor="background1"/>
                <w:sz w:val="22"/>
                <w:szCs w:val="22"/>
              </w:rPr>
              <w:t>erformance 5</w:t>
            </w:r>
          </w:p>
        </w:tc>
        <w:tc>
          <w:tcPr>
            <w:tcW w:w="3825" w:type="pct"/>
            <w:gridSpan w:val="2"/>
            <w:shd w:val="clear" w:color="auto" w:fill="808080" w:themeFill="background1" w:themeFillShade="80"/>
            <w:vAlign w:val="center"/>
          </w:tcPr>
          <w:p w14:paraId="05E5B352" w14:textId="12238CEC" w:rsidR="004E1B8E" w:rsidRPr="009C7F4B" w:rsidRDefault="00653EC6" w:rsidP="00653EC6">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Nombre d’organisations au sein et en dehors du système des Nations Unies, de la société civile et du secteur privé contribuant à l’exécution du programme</w:t>
            </w:r>
          </w:p>
        </w:tc>
      </w:tr>
      <w:tr w:rsidR="004E1B8E" w:rsidRPr="009C7F4B" w14:paraId="17BF13C0" w14:textId="77777777" w:rsidTr="000A2819">
        <w:trPr>
          <w:cantSplit/>
        </w:trPr>
        <w:tc>
          <w:tcPr>
            <w:tcW w:w="1175" w:type="pct"/>
            <w:gridSpan w:val="2"/>
            <w:shd w:val="clear" w:color="auto" w:fill="F2F2F2" w:themeFill="background1" w:themeFillShade="F2"/>
            <w:vAlign w:val="center"/>
          </w:tcPr>
          <w:p w14:paraId="6B7E9EC7" w14:textId="50875A44" w:rsidR="004E1B8E" w:rsidRPr="009C7F4B" w:rsidRDefault="00BF6D09" w:rsidP="00DF30C3">
            <w:pPr>
              <w:keepNext/>
              <w:spacing w:before="60" w:after="60"/>
              <w:rPr>
                <w:rFonts w:ascii="Arial" w:hAnsi="Arial" w:cs="Arial"/>
                <w:b/>
                <w:bCs/>
                <w:sz w:val="22"/>
                <w:szCs w:val="22"/>
              </w:rPr>
            </w:pPr>
            <w:r w:rsidRPr="009C7F4B">
              <w:rPr>
                <w:rFonts w:ascii="Arial" w:hAnsi="Arial" w:cs="Arial"/>
                <w:b/>
                <w:bCs/>
                <w:sz w:val="22"/>
                <w:szCs w:val="22"/>
              </w:rPr>
              <w:t>Résultat escompté </w:t>
            </w:r>
            <w:r w:rsidR="00DF30C3" w:rsidRPr="009C7F4B">
              <w:rPr>
                <w:rFonts w:ascii="Arial" w:hAnsi="Arial" w:cs="Arial"/>
                <w:b/>
                <w:bCs/>
                <w:sz w:val="22"/>
                <w:szCs w:val="22"/>
              </w:rPr>
              <w:t>4 du Fonds du PCI</w:t>
            </w:r>
          </w:p>
        </w:tc>
        <w:tc>
          <w:tcPr>
            <w:tcW w:w="3825" w:type="pct"/>
            <w:gridSpan w:val="2"/>
            <w:shd w:val="clear" w:color="auto" w:fill="F2F2F2" w:themeFill="background1" w:themeFillShade="F2"/>
            <w:vAlign w:val="center"/>
          </w:tcPr>
          <w:p w14:paraId="739E375E" w14:textId="77777777" w:rsidR="004E1B8E" w:rsidRPr="009C7F4B" w:rsidRDefault="004E1B8E" w:rsidP="00DF30C3">
            <w:pPr>
              <w:keepNext/>
              <w:spacing w:before="60" w:after="60"/>
              <w:rPr>
                <w:rFonts w:ascii="Arial" w:hAnsi="Arial" w:cs="Arial"/>
                <w:b/>
                <w:bCs/>
                <w:sz w:val="22"/>
                <w:szCs w:val="22"/>
              </w:rPr>
            </w:pPr>
            <w:r w:rsidRPr="009C7F4B">
              <w:rPr>
                <w:rFonts w:ascii="Arial" w:hAnsi="Arial" w:cs="Arial"/>
                <w:b/>
                <w:bCs/>
                <w:sz w:val="22"/>
                <w:szCs w:val="22"/>
              </w:rPr>
              <w:t>Objecti</w:t>
            </w:r>
            <w:r w:rsidR="00DF30C3" w:rsidRPr="009C7F4B">
              <w:rPr>
                <w:rFonts w:ascii="Arial" w:hAnsi="Arial" w:cs="Arial"/>
                <w:b/>
                <w:bCs/>
                <w:sz w:val="22"/>
                <w:szCs w:val="22"/>
              </w:rPr>
              <w:t>f</w:t>
            </w:r>
            <w:r w:rsidRPr="009C7F4B">
              <w:rPr>
                <w:rFonts w:ascii="Arial" w:hAnsi="Arial" w:cs="Arial"/>
                <w:b/>
                <w:bCs/>
                <w:sz w:val="22"/>
                <w:szCs w:val="22"/>
              </w:rPr>
              <w:t xml:space="preserve">s </w:t>
            </w:r>
            <w:r w:rsidR="00DF30C3" w:rsidRPr="009C7F4B">
              <w:rPr>
                <w:rFonts w:ascii="Arial" w:hAnsi="Arial" w:cs="Arial"/>
                <w:b/>
                <w:bCs/>
                <w:sz w:val="22"/>
                <w:szCs w:val="22"/>
              </w:rPr>
              <w:t>de la</w:t>
            </w:r>
            <w:r w:rsidRPr="009C7F4B">
              <w:rPr>
                <w:rFonts w:ascii="Arial" w:hAnsi="Arial" w:cs="Arial"/>
                <w:b/>
                <w:bCs/>
                <w:sz w:val="22"/>
                <w:szCs w:val="22"/>
              </w:rPr>
              <w:t xml:space="preserve"> Convention prom</w:t>
            </w:r>
            <w:r w:rsidR="00DF30C3" w:rsidRPr="009C7F4B">
              <w:rPr>
                <w:rFonts w:ascii="Arial" w:hAnsi="Arial" w:cs="Arial"/>
                <w:b/>
                <w:bCs/>
                <w:sz w:val="22"/>
                <w:szCs w:val="22"/>
              </w:rPr>
              <w:t>us par des actions de sensibilisation et d’information</w:t>
            </w:r>
          </w:p>
        </w:tc>
      </w:tr>
      <w:tr w:rsidR="004E1B8E" w:rsidRPr="009C7F4B" w14:paraId="6F7552BC" w14:textId="77777777" w:rsidTr="000A2819">
        <w:trPr>
          <w:cantSplit/>
        </w:trPr>
        <w:tc>
          <w:tcPr>
            <w:tcW w:w="1175" w:type="pct"/>
            <w:gridSpan w:val="2"/>
            <w:shd w:val="clear" w:color="auto" w:fill="F2F2F2" w:themeFill="background1" w:themeFillShade="F2"/>
            <w:vAlign w:val="center"/>
          </w:tcPr>
          <w:p w14:paraId="1865774E" w14:textId="77777777" w:rsidR="004E1B8E" w:rsidRPr="009C7F4B" w:rsidRDefault="004E1B8E" w:rsidP="004E1B8E">
            <w:pPr>
              <w:keepNext/>
              <w:spacing w:before="60" w:after="60"/>
              <w:rPr>
                <w:rFonts w:ascii="Arial" w:hAnsi="Arial" w:cs="Arial"/>
                <w:b/>
                <w:bCs/>
                <w:sz w:val="22"/>
                <w:szCs w:val="22"/>
              </w:rPr>
            </w:pPr>
            <w:r w:rsidRPr="009C7F4B">
              <w:rPr>
                <w:rFonts w:ascii="Arial" w:hAnsi="Arial" w:cs="Arial"/>
                <w:b/>
                <w:bCs/>
                <w:sz w:val="22"/>
                <w:szCs w:val="22"/>
              </w:rPr>
              <w:t>199OTH4138.4</w:t>
            </w:r>
          </w:p>
        </w:tc>
        <w:tc>
          <w:tcPr>
            <w:tcW w:w="3825" w:type="pct"/>
            <w:gridSpan w:val="2"/>
            <w:shd w:val="clear" w:color="auto" w:fill="F2F2F2" w:themeFill="background1" w:themeFillShade="F2"/>
            <w:vAlign w:val="center"/>
          </w:tcPr>
          <w:p w14:paraId="079EBAEA" w14:textId="77777777" w:rsidR="004E1B8E" w:rsidRPr="009C7F4B" w:rsidRDefault="00DF30C3" w:rsidP="00DF30C3">
            <w:pPr>
              <w:keepNext/>
              <w:spacing w:before="60" w:after="60"/>
              <w:rPr>
                <w:rFonts w:ascii="Arial" w:hAnsi="Arial" w:cs="Arial"/>
                <w:b/>
                <w:bCs/>
                <w:sz w:val="22"/>
                <w:szCs w:val="22"/>
              </w:rPr>
            </w:pPr>
            <w:r w:rsidRPr="009C7F4B">
              <w:rPr>
                <w:rFonts w:ascii="Arial" w:hAnsi="Arial" w:cs="Arial"/>
                <w:b/>
                <w:bCs/>
                <w:sz w:val="22"/>
                <w:szCs w:val="22"/>
              </w:rPr>
              <w:t>Dotation budgé</w:t>
            </w:r>
            <w:r w:rsidR="004E1B8E" w:rsidRPr="009C7F4B">
              <w:rPr>
                <w:rFonts w:ascii="Arial" w:hAnsi="Arial" w:cs="Arial"/>
                <w:b/>
                <w:bCs/>
                <w:sz w:val="22"/>
                <w:szCs w:val="22"/>
              </w:rPr>
              <w:t>ta</w:t>
            </w:r>
            <w:r w:rsidRPr="009C7F4B">
              <w:rPr>
                <w:rFonts w:ascii="Arial" w:hAnsi="Arial" w:cs="Arial"/>
                <w:b/>
                <w:bCs/>
                <w:sz w:val="22"/>
                <w:szCs w:val="22"/>
              </w:rPr>
              <w:t>ire :</w:t>
            </w:r>
            <w:r w:rsidR="004E1B8E" w:rsidRPr="009C7F4B">
              <w:rPr>
                <w:rFonts w:ascii="Arial" w:hAnsi="Arial" w:cs="Arial"/>
                <w:b/>
                <w:bCs/>
                <w:sz w:val="22"/>
                <w:szCs w:val="22"/>
              </w:rPr>
              <w:t xml:space="preserve"> 336</w:t>
            </w:r>
            <w:r w:rsidRPr="009C7F4B">
              <w:rPr>
                <w:rFonts w:ascii="Arial" w:hAnsi="Arial" w:cs="Arial"/>
                <w:b/>
                <w:bCs/>
                <w:sz w:val="22"/>
                <w:szCs w:val="22"/>
              </w:rPr>
              <w:t> </w:t>
            </w:r>
            <w:r w:rsidR="004E1B8E" w:rsidRPr="009C7F4B">
              <w:rPr>
                <w:rFonts w:ascii="Arial" w:hAnsi="Arial" w:cs="Arial"/>
                <w:b/>
                <w:bCs/>
                <w:sz w:val="22"/>
                <w:szCs w:val="22"/>
              </w:rPr>
              <w:t>500</w:t>
            </w:r>
            <w:r w:rsidRPr="009C7F4B">
              <w:rPr>
                <w:rFonts w:ascii="Arial" w:hAnsi="Arial" w:cs="Arial"/>
                <w:b/>
                <w:bCs/>
                <w:sz w:val="22"/>
                <w:szCs w:val="22"/>
              </w:rPr>
              <w:t xml:space="preserve"> dollars des </w:t>
            </w:r>
            <w:r w:rsidR="004312CB" w:rsidRPr="009C7F4B">
              <w:rPr>
                <w:rFonts w:ascii="Arial" w:hAnsi="Arial" w:cs="Arial"/>
                <w:b/>
                <w:bCs/>
                <w:sz w:val="22"/>
                <w:szCs w:val="22"/>
              </w:rPr>
              <w:t>États-Unis</w:t>
            </w:r>
          </w:p>
        </w:tc>
      </w:tr>
      <w:tr w:rsidR="004E1B8E" w:rsidRPr="009C7F4B" w14:paraId="3701D47C" w14:textId="77777777" w:rsidTr="000A2819">
        <w:trPr>
          <w:cantSplit/>
        </w:trPr>
        <w:tc>
          <w:tcPr>
            <w:tcW w:w="363" w:type="pct"/>
            <w:shd w:val="clear" w:color="auto" w:fill="F2F2F2" w:themeFill="background1" w:themeFillShade="F2"/>
            <w:vAlign w:val="center"/>
          </w:tcPr>
          <w:p w14:paraId="02F3EB30" w14:textId="77777777" w:rsidR="004E1B8E" w:rsidRPr="009C7F4B" w:rsidRDefault="004E1B8E" w:rsidP="004E1B8E">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629251B3" w14:textId="77777777" w:rsidR="004E1B8E" w:rsidRPr="009C7F4B" w:rsidRDefault="00DF30C3" w:rsidP="00DF30C3">
            <w:pPr>
              <w:keepNext/>
              <w:spacing w:before="60" w:after="60"/>
              <w:jc w:val="center"/>
              <w:rPr>
                <w:rFonts w:ascii="Arial" w:hAnsi="Arial" w:cs="Arial"/>
                <w:i/>
                <w:iCs/>
                <w:sz w:val="22"/>
                <w:szCs w:val="22"/>
              </w:rPr>
            </w:pPr>
            <w:r w:rsidRPr="009C7F4B">
              <w:rPr>
                <w:rFonts w:ascii="Arial" w:hAnsi="Arial" w:cs="Arial"/>
                <w:i/>
                <w:iCs/>
                <w:sz w:val="22"/>
                <w:szCs w:val="22"/>
              </w:rPr>
              <w:t>Produits</w:t>
            </w:r>
          </w:p>
        </w:tc>
        <w:tc>
          <w:tcPr>
            <w:tcW w:w="2319" w:type="pct"/>
            <w:shd w:val="clear" w:color="auto" w:fill="F2F2F2" w:themeFill="background1" w:themeFillShade="F2"/>
            <w:vAlign w:val="center"/>
          </w:tcPr>
          <w:p w14:paraId="225521E3" w14:textId="77777777" w:rsidR="004E1B8E" w:rsidRPr="009C7F4B" w:rsidRDefault="004E1B8E" w:rsidP="00DF30C3">
            <w:pPr>
              <w:keepNext/>
              <w:spacing w:before="60" w:after="60"/>
              <w:jc w:val="center"/>
              <w:rPr>
                <w:rFonts w:ascii="Arial" w:hAnsi="Arial" w:cs="Arial"/>
                <w:i/>
                <w:iCs/>
                <w:sz w:val="22"/>
                <w:szCs w:val="22"/>
              </w:rPr>
            </w:pPr>
            <w:r w:rsidRPr="009C7F4B">
              <w:rPr>
                <w:rFonts w:ascii="Arial" w:hAnsi="Arial" w:cs="Arial"/>
                <w:i/>
                <w:iCs/>
                <w:sz w:val="22"/>
                <w:szCs w:val="22"/>
              </w:rPr>
              <w:t>Indicat</w:t>
            </w:r>
            <w:r w:rsidR="00DF30C3" w:rsidRPr="009C7F4B">
              <w:rPr>
                <w:rFonts w:ascii="Arial" w:hAnsi="Arial" w:cs="Arial"/>
                <w:i/>
                <w:iCs/>
                <w:sz w:val="22"/>
                <w:szCs w:val="22"/>
              </w:rPr>
              <w:t>eu</w:t>
            </w:r>
            <w:r w:rsidRPr="009C7F4B">
              <w:rPr>
                <w:rFonts w:ascii="Arial" w:hAnsi="Arial" w:cs="Arial"/>
                <w:i/>
                <w:iCs/>
                <w:sz w:val="22"/>
                <w:szCs w:val="22"/>
              </w:rPr>
              <w:t>rs (</w:t>
            </w:r>
            <w:r w:rsidR="00DF30C3" w:rsidRPr="009C7F4B">
              <w:rPr>
                <w:rFonts w:ascii="Arial" w:hAnsi="Arial" w:cs="Arial"/>
                <w:i/>
                <w:iCs/>
                <w:sz w:val="22"/>
                <w:szCs w:val="22"/>
              </w:rPr>
              <w:t>Références</w:t>
            </w:r>
            <w:r w:rsidRPr="009C7F4B">
              <w:rPr>
                <w:rFonts w:ascii="Arial" w:hAnsi="Arial" w:cs="Arial"/>
                <w:i/>
                <w:iCs/>
                <w:sz w:val="22"/>
                <w:szCs w:val="22"/>
              </w:rPr>
              <w:t>) 2016-2017</w:t>
            </w:r>
          </w:p>
        </w:tc>
      </w:tr>
      <w:tr w:rsidR="004E1B8E" w:rsidRPr="009C7F4B" w14:paraId="47CB7BBB" w14:textId="77777777" w:rsidTr="000A2819">
        <w:trPr>
          <w:cantSplit/>
        </w:trPr>
        <w:tc>
          <w:tcPr>
            <w:tcW w:w="363" w:type="pct"/>
            <w:shd w:val="clear" w:color="auto" w:fill="auto"/>
            <w:vAlign w:val="center"/>
          </w:tcPr>
          <w:p w14:paraId="5C417CC6"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4.1</w:t>
            </w:r>
          </w:p>
        </w:tc>
        <w:tc>
          <w:tcPr>
            <w:tcW w:w="2318" w:type="pct"/>
            <w:gridSpan w:val="2"/>
            <w:shd w:val="clear" w:color="auto" w:fill="auto"/>
            <w:vAlign w:val="center"/>
          </w:tcPr>
          <w:p w14:paraId="575CAF11" w14:textId="78E1E69D" w:rsidR="004E1B8E" w:rsidRPr="009C7F4B" w:rsidRDefault="004E1B8E" w:rsidP="00AB4722">
            <w:pPr>
              <w:spacing w:before="60" w:after="60"/>
              <w:rPr>
                <w:rFonts w:ascii="Arial" w:hAnsi="Arial" w:cs="Arial"/>
                <w:i/>
                <w:iCs/>
                <w:sz w:val="22"/>
                <w:szCs w:val="22"/>
              </w:rPr>
            </w:pPr>
            <w:r w:rsidRPr="009C7F4B">
              <w:rPr>
                <w:rFonts w:ascii="Arial" w:hAnsi="Arial" w:cs="Arial"/>
                <w:sz w:val="22"/>
                <w:szCs w:val="22"/>
              </w:rPr>
              <w:t>N</w:t>
            </w:r>
            <w:r w:rsidR="00F12786" w:rsidRPr="009C7F4B">
              <w:rPr>
                <w:rFonts w:ascii="Arial" w:hAnsi="Arial" w:cs="Arial"/>
                <w:sz w:val="22"/>
                <w:szCs w:val="22"/>
              </w:rPr>
              <w:t xml:space="preserve">ouveaux </w:t>
            </w:r>
            <w:r w:rsidRPr="009C7F4B">
              <w:rPr>
                <w:rFonts w:ascii="Arial" w:hAnsi="Arial" w:cs="Arial"/>
                <w:sz w:val="22"/>
                <w:szCs w:val="22"/>
              </w:rPr>
              <w:t>part</w:t>
            </w:r>
            <w:r w:rsidR="00F12786" w:rsidRPr="009C7F4B">
              <w:rPr>
                <w:rFonts w:ascii="Arial" w:hAnsi="Arial" w:cs="Arial"/>
                <w:sz w:val="22"/>
                <w:szCs w:val="22"/>
              </w:rPr>
              <w:t>e</w:t>
            </w:r>
            <w:r w:rsidRPr="009C7F4B">
              <w:rPr>
                <w:rFonts w:ascii="Arial" w:hAnsi="Arial" w:cs="Arial"/>
                <w:sz w:val="22"/>
                <w:szCs w:val="22"/>
              </w:rPr>
              <w:t>n</w:t>
            </w:r>
            <w:r w:rsidR="00F12786" w:rsidRPr="009C7F4B">
              <w:rPr>
                <w:rFonts w:ascii="Arial" w:hAnsi="Arial" w:cs="Arial"/>
                <w:sz w:val="22"/>
                <w:szCs w:val="22"/>
              </w:rPr>
              <w:t>a</w:t>
            </w:r>
            <w:r w:rsidRPr="009C7F4B">
              <w:rPr>
                <w:rFonts w:ascii="Arial" w:hAnsi="Arial" w:cs="Arial"/>
                <w:sz w:val="22"/>
                <w:szCs w:val="22"/>
              </w:rPr>
              <w:t>ri</w:t>
            </w:r>
            <w:r w:rsidR="00F12786" w:rsidRPr="009C7F4B">
              <w:rPr>
                <w:rFonts w:ascii="Arial" w:hAnsi="Arial" w:cs="Arial"/>
                <w:sz w:val="22"/>
                <w:szCs w:val="22"/>
              </w:rPr>
              <w:t>at</w:t>
            </w:r>
            <w:r w:rsidRPr="009C7F4B">
              <w:rPr>
                <w:rFonts w:ascii="Arial" w:hAnsi="Arial" w:cs="Arial"/>
                <w:sz w:val="22"/>
                <w:szCs w:val="22"/>
              </w:rPr>
              <w:t xml:space="preserve">s </w:t>
            </w:r>
            <w:r w:rsidR="00F12786" w:rsidRPr="009C7F4B">
              <w:rPr>
                <w:rFonts w:ascii="Arial" w:hAnsi="Arial" w:cs="Arial"/>
                <w:sz w:val="22"/>
                <w:szCs w:val="22"/>
              </w:rPr>
              <w:t xml:space="preserve">avec </w:t>
            </w:r>
            <w:r w:rsidR="00AB4722" w:rsidRPr="009C7F4B">
              <w:rPr>
                <w:rFonts w:ascii="Arial" w:hAnsi="Arial" w:cs="Arial"/>
                <w:sz w:val="22"/>
                <w:szCs w:val="22"/>
              </w:rPr>
              <w:t xml:space="preserve">des </w:t>
            </w:r>
            <w:r w:rsidR="00F12786" w:rsidRPr="009C7F4B">
              <w:rPr>
                <w:rFonts w:ascii="Arial" w:hAnsi="Arial" w:cs="Arial"/>
                <w:sz w:val="22"/>
                <w:szCs w:val="22"/>
              </w:rPr>
              <w:t>institutions compétentes établis pour intégrer le patrimoine culturel immatériel dans l’éducation</w:t>
            </w:r>
          </w:p>
        </w:tc>
        <w:tc>
          <w:tcPr>
            <w:tcW w:w="2319" w:type="pct"/>
            <w:shd w:val="clear" w:color="auto" w:fill="auto"/>
            <w:vAlign w:val="center"/>
          </w:tcPr>
          <w:p w14:paraId="19B4F1AD" w14:textId="77777777" w:rsidR="004E1B8E" w:rsidRPr="009C7F4B" w:rsidRDefault="001146C4" w:rsidP="004E1B8E">
            <w:pPr>
              <w:numPr>
                <w:ilvl w:val="0"/>
                <w:numId w:val="24"/>
              </w:numPr>
              <w:spacing w:before="60" w:after="60"/>
              <w:ind w:left="357" w:hanging="357"/>
              <w:rPr>
                <w:rFonts w:ascii="Arial" w:hAnsi="Arial" w:cs="Arial"/>
                <w:sz w:val="22"/>
                <w:szCs w:val="22"/>
              </w:rPr>
            </w:pPr>
            <w:r w:rsidRPr="009C7F4B">
              <w:rPr>
                <w:rFonts w:ascii="Arial" w:hAnsi="Arial" w:cs="Arial"/>
                <w:sz w:val="22"/>
                <w:szCs w:val="22"/>
              </w:rPr>
              <w:t>Un a</w:t>
            </w:r>
            <w:r w:rsidR="00F12786" w:rsidRPr="009C7F4B">
              <w:rPr>
                <w:rFonts w:ascii="Arial" w:hAnsi="Arial" w:cs="Arial"/>
                <w:sz w:val="22"/>
                <w:szCs w:val="22"/>
              </w:rPr>
              <w:t xml:space="preserve">telier régional </w:t>
            </w:r>
            <w:r w:rsidRPr="009C7F4B">
              <w:rPr>
                <w:rFonts w:ascii="Arial" w:hAnsi="Arial" w:cs="Arial"/>
                <w:sz w:val="22"/>
                <w:szCs w:val="22"/>
              </w:rPr>
              <w:t xml:space="preserve">organisé </w:t>
            </w:r>
            <w:r w:rsidR="00F12786" w:rsidRPr="009C7F4B">
              <w:rPr>
                <w:rFonts w:ascii="Arial" w:hAnsi="Arial" w:cs="Arial"/>
                <w:sz w:val="22"/>
                <w:szCs w:val="22"/>
              </w:rPr>
              <w:t xml:space="preserve">avec des établissements d’enseignement supérieur </w:t>
            </w:r>
            <w:r w:rsidR="004E1B8E" w:rsidRPr="009C7F4B">
              <w:rPr>
                <w:rFonts w:ascii="Arial" w:hAnsi="Arial" w:cs="Arial"/>
                <w:sz w:val="22"/>
                <w:szCs w:val="22"/>
              </w:rPr>
              <w:t>(</w:t>
            </w:r>
            <w:r w:rsidR="00F12786" w:rsidRPr="009C7F4B">
              <w:rPr>
                <w:rFonts w:ascii="Arial" w:hAnsi="Arial" w:cs="Arial"/>
                <w:sz w:val="22"/>
                <w:szCs w:val="22"/>
              </w:rPr>
              <w:t>R</w:t>
            </w:r>
            <w:r w:rsidR="004E1B8E" w:rsidRPr="009C7F4B">
              <w:rPr>
                <w:rFonts w:ascii="Arial" w:hAnsi="Arial" w:cs="Arial"/>
                <w:sz w:val="22"/>
                <w:szCs w:val="22"/>
              </w:rPr>
              <w:t>=1)</w:t>
            </w:r>
          </w:p>
          <w:p w14:paraId="4DA82CCC" w14:textId="1D353B8E" w:rsidR="004E1B8E" w:rsidRPr="009C7F4B" w:rsidRDefault="004E1B8E" w:rsidP="00BF6D09">
            <w:pPr>
              <w:numPr>
                <w:ilvl w:val="0"/>
                <w:numId w:val="24"/>
              </w:numPr>
              <w:spacing w:before="60" w:after="60"/>
              <w:ind w:left="357" w:hanging="357"/>
              <w:rPr>
                <w:rFonts w:ascii="Arial" w:hAnsi="Arial" w:cs="Arial"/>
                <w:sz w:val="22"/>
                <w:szCs w:val="22"/>
              </w:rPr>
            </w:pPr>
            <w:r w:rsidRPr="009C7F4B">
              <w:rPr>
                <w:rFonts w:ascii="Arial" w:hAnsi="Arial" w:cs="Arial"/>
                <w:sz w:val="22"/>
                <w:szCs w:val="22"/>
              </w:rPr>
              <w:t xml:space="preserve">Consultation </w:t>
            </w:r>
            <w:r w:rsidR="00AB4722" w:rsidRPr="009C7F4B">
              <w:rPr>
                <w:rFonts w:ascii="Arial" w:hAnsi="Arial" w:cs="Arial"/>
                <w:sz w:val="22"/>
                <w:szCs w:val="22"/>
              </w:rPr>
              <w:t>d’</w:t>
            </w:r>
            <w:r w:rsidR="00F12786" w:rsidRPr="009C7F4B">
              <w:rPr>
                <w:rFonts w:ascii="Arial" w:hAnsi="Arial" w:cs="Arial"/>
                <w:sz w:val="22"/>
                <w:szCs w:val="22"/>
              </w:rPr>
              <w:t xml:space="preserve">établissements d’enseignement </w:t>
            </w:r>
            <w:r w:rsidR="00AB4722" w:rsidRPr="009C7F4B">
              <w:rPr>
                <w:rFonts w:ascii="Arial" w:hAnsi="Arial" w:cs="Arial"/>
                <w:sz w:val="22"/>
                <w:szCs w:val="22"/>
              </w:rPr>
              <w:t xml:space="preserve">compétents </w:t>
            </w:r>
            <w:r w:rsidR="00F12786" w:rsidRPr="009C7F4B">
              <w:rPr>
                <w:rFonts w:ascii="Arial" w:hAnsi="Arial" w:cs="Arial"/>
                <w:sz w:val="22"/>
                <w:szCs w:val="22"/>
              </w:rPr>
              <w:t>sur l’intégration du patrimoine culturel immatériel dans leurs programmes</w:t>
            </w:r>
            <w:r w:rsidRPr="009C7F4B">
              <w:rPr>
                <w:rFonts w:ascii="Arial" w:hAnsi="Arial" w:cs="Arial"/>
                <w:sz w:val="22"/>
                <w:szCs w:val="22"/>
              </w:rPr>
              <w:t xml:space="preserve"> (</w:t>
            </w:r>
            <w:r w:rsidR="00F12786" w:rsidRPr="009C7F4B">
              <w:rPr>
                <w:rFonts w:ascii="Arial" w:hAnsi="Arial" w:cs="Arial"/>
                <w:sz w:val="22"/>
                <w:szCs w:val="22"/>
              </w:rPr>
              <w:t>R</w:t>
            </w:r>
            <w:r w:rsidRPr="009C7F4B">
              <w:rPr>
                <w:rFonts w:ascii="Arial" w:hAnsi="Arial" w:cs="Arial"/>
                <w:sz w:val="22"/>
                <w:szCs w:val="22"/>
              </w:rPr>
              <w:t>=1)</w:t>
            </w:r>
          </w:p>
        </w:tc>
      </w:tr>
      <w:tr w:rsidR="004E1B8E" w:rsidRPr="009C7F4B" w14:paraId="29F50A80" w14:textId="77777777" w:rsidTr="000A2819">
        <w:trPr>
          <w:cantSplit/>
        </w:trPr>
        <w:tc>
          <w:tcPr>
            <w:tcW w:w="363" w:type="pct"/>
            <w:shd w:val="clear" w:color="auto" w:fill="auto"/>
            <w:vAlign w:val="center"/>
          </w:tcPr>
          <w:p w14:paraId="645684CE"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lastRenderedPageBreak/>
              <w:t>4.2</w:t>
            </w:r>
          </w:p>
        </w:tc>
        <w:tc>
          <w:tcPr>
            <w:tcW w:w="2318" w:type="pct"/>
            <w:gridSpan w:val="2"/>
            <w:shd w:val="clear" w:color="auto" w:fill="auto"/>
            <w:vAlign w:val="center"/>
          </w:tcPr>
          <w:p w14:paraId="6631C4CD" w14:textId="1E3A7D19" w:rsidR="004E1B8E" w:rsidRPr="009C7F4B" w:rsidRDefault="00F12786" w:rsidP="00AB4722">
            <w:pPr>
              <w:spacing w:before="60" w:after="60"/>
              <w:rPr>
                <w:rFonts w:ascii="Arial" w:hAnsi="Arial" w:cs="Arial"/>
                <w:iCs/>
                <w:sz w:val="22"/>
                <w:szCs w:val="22"/>
              </w:rPr>
            </w:pPr>
            <w:r w:rsidRPr="009C7F4B">
              <w:rPr>
                <w:rFonts w:ascii="Arial" w:hAnsi="Arial" w:cs="Arial"/>
                <w:sz w:val="22"/>
                <w:szCs w:val="22"/>
              </w:rPr>
              <w:t xml:space="preserve">Coopération </w:t>
            </w:r>
            <w:r w:rsidR="001146C4" w:rsidRPr="009C7F4B">
              <w:rPr>
                <w:rFonts w:ascii="Arial" w:hAnsi="Arial" w:cs="Arial"/>
                <w:sz w:val="22"/>
                <w:szCs w:val="22"/>
              </w:rPr>
              <w:t xml:space="preserve">renforcée </w:t>
            </w:r>
            <w:r w:rsidRPr="009C7F4B">
              <w:rPr>
                <w:rFonts w:ascii="Arial" w:hAnsi="Arial" w:cs="Arial"/>
                <w:sz w:val="22"/>
                <w:szCs w:val="22"/>
              </w:rPr>
              <w:t>de l’</w:t>
            </w:r>
            <w:r w:rsidR="004E1B8E" w:rsidRPr="009C7F4B">
              <w:rPr>
                <w:rFonts w:ascii="Arial" w:hAnsi="Arial" w:cs="Arial"/>
                <w:sz w:val="22"/>
                <w:szCs w:val="22"/>
              </w:rPr>
              <w:t>UNESCO</w:t>
            </w:r>
            <w:r w:rsidRPr="009C7F4B">
              <w:rPr>
                <w:rFonts w:ascii="Arial" w:hAnsi="Arial" w:cs="Arial"/>
                <w:sz w:val="22"/>
                <w:szCs w:val="22"/>
              </w:rPr>
              <w:t xml:space="preserve"> avec l’OMPI ou d’autres organisations des Nations </w:t>
            </w:r>
            <w:r w:rsidR="00AB4722" w:rsidRPr="009C7F4B">
              <w:rPr>
                <w:rFonts w:ascii="Arial" w:hAnsi="Arial" w:cs="Arial"/>
                <w:sz w:val="22"/>
                <w:szCs w:val="22"/>
              </w:rPr>
              <w:t xml:space="preserve">unies </w:t>
            </w:r>
            <w:r w:rsidRPr="009C7F4B">
              <w:rPr>
                <w:rFonts w:ascii="Arial" w:hAnsi="Arial" w:cs="Arial"/>
                <w:sz w:val="22"/>
                <w:szCs w:val="22"/>
              </w:rPr>
              <w:t>pour permettre un échange et un apprentissage permanent</w:t>
            </w:r>
            <w:r w:rsidR="001146C4" w:rsidRPr="009C7F4B">
              <w:rPr>
                <w:rFonts w:ascii="Arial" w:hAnsi="Arial" w:cs="Arial"/>
                <w:sz w:val="22"/>
                <w:szCs w:val="22"/>
              </w:rPr>
              <w:t>s</w:t>
            </w:r>
            <w:r w:rsidRPr="009C7F4B">
              <w:rPr>
                <w:rFonts w:ascii="Arial" w:hAnsi="Arial" w:cs="Arial"/>
                <w:sz w:val="22"/>
                <w:szCs w:val="22"/>
              </w:rPr>
              <w:t xml:space="preserve"> entre les organisations et leurs </w:t>
            </w:r>
            <w:r w:rsidR="004312CB" w:rsidRPr="009C7F4B">
              <w:rPr>
                <w:rFonts w:ascii="Arial" w:hAnsi="Arial" w:cs="Arial"/>
                <w:sz w:val="22"/>
                <w:szCs w:val="22"/>
              </w:rPr>
              <w:t>États</w:t>
            </w:r>
            <w:r w:rsidRPr="009C7F4B">
              <w:rPr>
                <w:rFonts w:ascii="Arial" w:hAnsi="Arial" w:cs="Arial"/>
                <w:sz w:val="22"/>
                <w:szCs w:val="22"/>
              </w:rPr>
              <w:t xml:space="preserve"> membres</w:t>
            </w:r>
          </w:p>
        </w:tc>
        <w:tc>
          <w:tcPr>
            <w:tcW w:w="2319" w:type="pct"/>
            <w:shd w:val="clear" w:color="auto" w:fill="auto"/>
            <w:vAlign w:val="center"/>
          </w:tcPr>
          <w:p w14:paraId="1E57D0E1" w14:textId="77777777" w:rsidR="004E1B8E" w:rsidRPr="009C7F4B" w:rsidRDefault="004E1B8E" w:rsidP="004D15E4">
            <w:pPr>
              <w:spacing w:before="60" w:after="60"/>
              <w:rPr>
                <w:rFonts w:ascii="Arial" w:hAnsi="Arial" w:cs="Arial"/>
                <w:i/>
                <w:iCs/>
                <w:sz w:val="22"/>
                <w:szCs w:val="22"/>
              </w:rPr>
            </w:pPr>
            <w:r w:rsidRPr="009C7F4B">
              <w:rPr>
                <w:rFonts w:ascii="Arial" w:hAnsi="Arial" w:cs="Arial"/>
                <w:sz w:val="22"/>
                <w:szCs w:val="22"/>
              </w:rPr>
              <w:t xml:space="preserve">Participation </w:t>
            </w:r>
            <w:r w:rsidR="004D15E4" w:rsidRPr="009C7F4B">
              <w:rPr>
                <w:rFonts w:ascii="Arial" w:hAnsi="Arial" w:cs="Arial"/>
                <w:sz w:val="22"/>
                <w:szCs w:val="22"/>
              </w:rPr>
              <w:t>aux réunions organisées par l’OMPI ou d’autres organisations des Nations Unies</w:t>
            </w:r>
            <w:r w:rsidRPr="009C7F4B">
              <w:rPr>
                <w:rFonts w:ascii="Arial" w:hAnsi="Arial" w:cs="Arial"/>
                <w:sz w:val="22"/>
                <w:szCs w:val="22"/>
              </w:rPr>
              <w:t xml:space="preserve"> (</w:t>
            </w:r>
            <w:r w:rsidR="004D15E4" w:rsidRPr="009C7F4B">
              <w:rPr>
                <w:rFonts w:ascii="Arial" w:hAnsi="Arial" w:cs="Arial"/>
                <w:sz w:val="22"/>
                <w:szCs w:val="22"/>
              </w:rPr>
              <w:t>R</w:t>
            </w:r>
            <w:r w:rsidRPr="009C7F4B">
              <w:rPr>
                <w:rFonts w:ascii="Arial" w:hAnsi="Arial" w:cs="Arial"/>
                <w:sz w:val="22"/>
                <w:szCs w:val="22"/>
              </w:rPr>
              <w:t>=3)</w:t>
            </w:r>
          </w:p>
        </w:tc>
      </w:tr>
      <w:tr w:rsidR="004E1B8E" w:rsidRPr="009C7F4B" w14:paraId="05843BD7" w14:textId="77777777" w:rsidTr="000A2819">
        <w:trPr>
          <w:cantSplit/>
        </w:trPr>
        <w:tc>
          <w:tcPr>
            <w:tcW w:w="363" w:type="pct"/>
            <w:shd w:val="clear" w:color="auto" w:fill="auto"/>
            <w:vAlign w:val="center"/>
          </w:tcPr>
          <w:p w14:paraId="38A0A445" w14:textId="77777777" w:rsidR="004E1B8E" w:rsidRPr="009C7F4B" w:rsidRDefault="004E1B8E" w:rsidP="004E1B8E">
            <w:pPr>
              <w:spacing w:before="60" w:after="60"/>
              <w:jc w:val="center"/>
              <w:rPr>
                <w:rFonts w:ascii="Arial" w:hAnsi="Arial" w:cs="Arial"/>
                <w:iCs/>
                <w:sz w:val="22"/>
                <w:szCs w:val="22"/>
              </w:rPr>
            </w:pPr>
            <w:r w:rsidRPr="009C7F4B">
              <w:rPr>
                <w:rFonts w:ascii="Arial" w:hAnsi="Arial" w:cs="Arial"/>
                <w:iCs/>
                <w:sz w:val="22"/>
                <w:szCs w:val="22"/>
              </w:rPr>
              <w:t>4.3</w:t>
            </w:r>
          </w:p>
        </w:tc>
        <w:tc>
          <w:tcPr>
            <w:tcW w:w="2318" w:type="pct"/>
            <w:gridSpan w:val="2"/>
            <w:shd w:val="clear" w:color="auto" w:fill="auto"/>
            <w:vAlign w:val="center"/>
          </w:tcPr>
          <w:p w14:paraId="05CAC7C2" w14:textId="44DDD8A3" w:rsidR="004E1B8E" w:rsidRPr="009C7F4B" w:rsidRDefault="004D15E4" w:rsidP="00AB4722">
            <w:pPr>
              <w:spacing w:before="60" w:after="60"/>
              <w:rPr>
                <w:rFonts w:ascii="Arial" w:hAnsi="Arial" w:cs="Arial"/>
                <w:color w:val="000000"/>
                <w:sz w:val="22"/>
                <w:szCs w:val="22"/>
              </w:rPr>
            </w:pPr>
            <w:r w:rsidRPr="009C7F4B">
              <w:rPr>
                <w:rFonts w:ascii="Arial" w:hAnsi="Arial" w:cs="Arial"/>
                <w:color w:val="000000"/>
                <w:sz w:val="22"/>
                <w:szCs w:val="22"/>
              </w:rPr>
              <w:t xml:space="preserve">Une stratégie </w:t>
            </w:r>
            <w:r w:rsidR="00AB4722" w:rsidRPr="009C7F4B">
              <w:rPr>
                <w:rFonts w:ascii="Arial" w:hAnsi="Arial" w:cs="Arial"/>
                <w:color w:val="000000"/>
                <w:sz w:val="22"/>
                <w:szCs w:val="22"/>
              </w:rPr>
              <w:t xml:space="preserve">de sensibilisation </w:t>
            </w:r>
            <w:r w:rsidRPr="009C7F4B">
              <w:rPr>
                <w:rFonts w:ascii="Arial" w:hAnsi="Arial" w:cs="Arial"/>
                <w:color w:val="000000"/>
                <w:sz w:val="22"/>
                <w:szCs w:val="22"/>
              </w:rPr>
              <w:t xml:space="preserve">élaborée pour promouvoir les objectifs de la </w:t>
            </w:r>
            <w:r w:rsidR="004E1B8E" w:rsidRPr="009C7F4B">
              <w:rPr>
                <w:rFonts w:ascii="Arial" w:hAnsi="Arial" w:cs="Arial"/>
                <w:color w:val="000000"/>
                <w:sz w:val="22"/>
                <w:szCs w:val="22"/>
              </w:rPr>
              <w:t xml:space="preserve">Convention </w:t>
            </w:r>
            <w:r w:rsidRPr="009C7F4B">
              <w:rPr>
                <w:rFonts w:ascii="Arial" w:hAnsi="Arial" w:cs="Arial"/>
                <w:color w:val="000000"/>
                <w:sz w:val="22"/>
                <w:szCs w:val="22"/>
              </w:rPr>
              <w:t>et mobiliser efficacement les parties prenantes</w:t>
            </w:r>
            <w:r w:rsidR="004E1B8E" w:rsidRPr="009C7F4B">
              <w:rPr>
                <w:rFonts w:ascii="Arial" w:hAnsi="Arial" w:cs="Arial"/>
                <w:color w:val="000000"/>
                <w:sz w:val="22"/>
                <w:szCs w:val="22"/>
              </w:rPr>
              <w:t xml:space="preserve"> </w:t>
            </w:r>
          </w:p>
        </w:tc>
        <w:tc>
          <w:tcPr>
            <w:tcW w:w="2319" w:type="pct"/>
            <w:shd w:val="clear" w:color="auto" w:fill="auto"/>
            <w:vAlign w:val="center"/>
          </w:tcPr>
          <w:p w14:paraId="4F5E050A" w14:textId="0115616B" w:rsidR="004E1B8E" w:rsidRPr="009C7F4B" w:rsidRDefault="004E1B8E" w:rsidP="004E1B8E">
            <w:pPr>
              <w:numPr>
                <w:ilvl w:val="0"/>
                <w:numId w:val="24"/>
              </w:numPr>
              <w:spacing w:before="60" w:after="60"/>
              <w:ind w:left="357" w:hanging="357"/>
              <w:rPr>
                <w:rFonts w:ascii="Arial" w:hAnsi="Arial" w:cs="Arial"/>
                <w:iCs/>
                <w:sz w:val="22"/>
                <w:szCs w:val="22"/>
              </w:rPr>
            </w:pPr>
            <w:r w:rsidRPr="009C7F4B">
              <w:rPr>
                <w:rFonts w:ascii="Arial" w:hAnsi="Arial" w:cs="Arial"/>
                <w:iCs/>
                <w:sz w:val="22"/>
                <w:szCs w:val="22"/>
              </w:rPr>
              <w:t>Part</w:t>
            </w:r>
            <w:r w:rsidR="004D15E4" w:rsidRPr="009C7F4B">
              <w:rPr>
                <w:rFonts w:ascii="Arial" w:hAnsi="Arial" w:cs="Arial"/>
                <w:iCs/>
                <w:sz w:val="22"/>
                <w:szCs w:val="22"/>
              </w:rPr>
              <w:t>e</w:t>
            </w:r>
            <w:r w:rsidRPr="009C7F4B">
              <w:rPr>
                <w:rFonts w:ascii="Arial" w:hAnsi="Arial" w:cs="Arial"/>
                <w:iCs/>
                <w:sz w:val="22"/>
                <w:szCs w:val="22"/>
              </w:rPr>
              <w:t>n</w:t>
            </w:r>
            <w:r w:rsidR="004D15E4" w:rsidRPr="009C7F4B">
              <w:rPr>
                <w:rFonts w:ascii="Arial" w:hAnsi="Arial" w:cs="Arial"/>
                <w:iCs/>
                <w:sz w:val="22"/>
                <w:szCs w:val="22"/>
              </w:rPr>
              <w:t>a</w:t>
            </w:r>
            <w:r w:rsidRPr="009C7F4B">
              <w:rPr>
                <w:rFonts w:ascii="Arial" w:hAnsi="Arial" w:cs="Arial"/>
                <w:iCs/>
                <w:sz w:val="22"/>
                <w:szCs w:val="22"/>
              </w:rPr>
              <w:t>ri</w:t>
            </w:r>
            <w:r w:rsidR="004D15E4" w:rsidRPr="009C7F4B">
              <w:rPr>
                <w:rFonts w:ascii="Arial" w:hAnsi="Arial" w:cs="Arial"/>
                <w:iCs/>
                <w:sz w:val="22"/>
                <w:szCs w:val="22"/>
              </w:rPr>
              <w:t xml:space="preserve">at établi pour l’élaboration d’une stratégie </w:t>
            </w:r>
            <w:r w:rsidR="00AB4722" w:rsidRPr="009C7F4B">
              <w:rPr>
                <w:rFonts w:ascii="Arial" w:hAnsi="Arial" w:cs="Arial"/>
                <w:iCs/>
                <w:sz w:val="22"/>
                <w:szCs w:val="22"/>
              </w:rPr>
              <w:t xml:space="preserve">de sensibilisation </w:t>
            </w:r>
            <w:r w:rsidRPr="009C7F4B">
              <w:rPr>
                <w:rFonts w:ascii="Arial" w:hAnsi="Arial" w:cs="Arial"/>
                <w:iCs/>
                <w:sz w:val="22"/>
                <w:szCs w:val="22"/>
              </w:rPr>
              <w:t>(</w:t>
            </w:r>
            <w:r w:rsidR="004D15E4" w:rsidRPr="009C7F4B">
              <w:rPr>
                <w:rFonts w:ascii="Arial" w:hAnsi="Arial" w:cs="Arial"/>
                <w:iCs/>
                <w:sz w:val="22"/>
                <w:szCs w:val="22"/>
              </w:rPr>
              <w:t>R</w:t>
            </w:r>
            <w:r w:rsidRPr="009C7F4B">
              <w:rPr>
                <w:rFonts w:ascii="Arial" w:hAnsi="Arial" w:cs="Arial"/>
                <w:iCs/>
                <w:sz w:val="22"/>
                <w:szCs w:val="22"/>
              </w:rPr>
              <w:t>=1)</w:t>
            </w:r>
          </w:p>
          <w:p w14:paraId="64F426E0" w14:textId="2C47057D" w:rsidR="004E1B8E" w:rsidRPr="009C7F4B" w:rsidRDefault="004D15E4" w:rsidP="00AB4722">
            <w:pPr>
              <w:numPr>
                <w:ilvl w:val="0"/>
                <w:numId w:val="24"/>
              </w:numPr>
              <w:spacing w:before="60" w:after="60"/>
              <w:ind w:left="357" w:hanging="357"/>
              <w:rPr>
                <w:rFonts w:ascii="Arial" w:hAnsi="Arial" w:cs="Arial"/>
                <w:iCs/>
                <w:sz w:val="22"/>
                <w:szCs w:val="22"/>
              </w:rPr>
            </w:pPr>
            <w:r w:rsidRPr="009C7F4B">
              <w:rPr>
                <w:rFonts w:ascii="Arial" w:hAnsi="Arial" w:cs="Arial"/>
                <w:iCs/>
                <w:sz w:val="22"/>
                <w:szCs w:val="22"/>
              </w:rPr>
              <w:t xml:space="preserve">Matériels/outils </w:t>
            </w:r>
            <w:r w:rsidR="00AB4722" w:rsidRPr="009C7F4B">
              <w:rPr>
                <w:rFonts w:ascii="Arial" w:hAnsi="Arial" w:cs="Arial"/>
                <w:iCs/>
                <w:sz w:val="22"/>
                <w:szCs w:val="22"/>
              </w:rPr>
              <w:t xml:space="preserve">de sensibilisation </w:t>
            </w:r>
            <w:r w:rsidRPr="009C7F4B">
              <w:rPr>
                <w:rFonts w:ascii="Arial" w:hAnsi="Arial" w:cs="Arial"/>
                <w:iCs/>
                <w:sz w:val="22"/>
                <w:szCs w:val="22"/>
              </w:rPr>
              <w:t>conçus et produits</w:t>
            </w:r>
            <w:r w:rsidR="004E1B8E" w:rsidRPr="009C7F4B">
              <w:rPr>
                <w:rFonts w:ascii="Arial" w:hAnsi="Arial" w:cs="Arial"/>
                <w:iCs/>
                <w:sz w:val="22"/>
                <w:szCs w:val="22"/>
              </w:rPr>
              <w:t xml:space="preserve"> (</w:t>
            </w:r>
            <w:r w:rsidRPr="009C7F4B">
              <w:rPr>
                <w:rFonts w:ascii="Arial" w:hAnsi="Arial" w:cs="Arial"/>
                <w:iCs/>
                <w:sz w:val="22"/>
                <w:szCs w:val="22"/>
              </w:rPr>
              <w:t>R</w:t>
            </w:r>
            <w:r w:rsidR="004E1B8E" w:rsidRPr="009C7F4B">
              <w:rPr>
                <w:rFonts w:ascii="Arial" w:hAnsi="Arial" w:cs="Arial"/>
                <w:iCs/>
                <w:sz w:val="22"/>
                <w:szCs w:val="22"/>
              </w:rPr>
              <w:t>=2)</w:t>
            </w:r>
          </w:p>
        </w:tc>
      </w:tr>
    </w:tbl>
    <w:p w14:paraId="6E3948C5" w14:textId="77777777" w:rsidR="002E58D4" w:rsidRPr="009C7F4B" w:rsidRDefault="002E58D4" w:rsidP="00653EC6">
      <w:pPr>
        <w:pStyle w:val="5GAparabodytext"/>
        <w:numPr>
          <w:ilvl w:val="0"/>
          <w:numId w:val="0"/>
        </w:numPr>
        <w:ind w:left="567" w:hanging="567"/>
      </w:pPr>
    </w:p>
    <w:sectPr w:rsidR="002E58D4" w:rsidRPr="009C7F4B" w:rsidSect="00655736">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F6BC6" w14:textId="77777777" w:rsidR="006975A1" w:rsidRDefault="006975A1" w:rsidP="00655736">
      <w:r>
        <w:separator/>
      </w:r>
    </w:p>
    <w:p w14:paraId="13365EED" w14:textId="77777777" w:rsidR="006975A1" w:rsidRDefault="006975A1"/>
    <w:p w14:paraId="27E47554" w14:textId="77777777" w:rsidR="006975A1" w:rsidRDefault="006975A1" w:rsidP="002E58D4"/>
    <w:p w14:paraId="0275D915" w14:textId="77777777" w:rsidR="006975A1" w:rsidRDefault="006975A1" w:rsidP="002E58D4"/>
    <w:p w14:paraId="7E15ABA1" w14:textId="77777777" w:rsidR="006975A1" w:rsidRDefault="006975A1" w:rsidP="002E58D4"/>
  </w:endnote>
  <w:endnote w:type="continuationSeparator" w:id="0">
    <w:p w14:paraId="0C759FB0" w14:textId="77777777" w:rsidR="006975A1" w:rsidRDefault="006975A1" w:rsidP="00655736">
      <w:r>
        <w:continuationSeparator/>
      </w:r>
    </w:p>
    <w:p w14:paraId="177BDBBC" w14:textId="77777777" w:rsidR="006975A1" w:rsidRDefault="006975A1"/>
    <w:p w14:paraId="05A98900" w14:textId="77777777" w:rsidR="006975A1" w:rsidRDefault="006975A1" w:rsidP="002E58D4"/>
    <w:p w14:paraId="53F98656" w14:textId="77777777" w:rsidR="006975A1" w:rsidRDefault="006975A1" w:rsidP="002E58D4"/>
    <w:p w14:paraId="26A37A12" w14:textId="77777777" w:rsidR="006975A1" w:rsidRDefault="006975A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52B06" w14:textId="77777777" w:rsidR="0082424E" w:rsidRDefault="00824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4A59F" w14:textId="77777777" w:rsidR="0082424E" w:rsidRDefault="00824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0605" w14:textId="77777777" w:rsidR="0082424E" w:rsidRDefault="00824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3E163" w14:textId="77777777" w:rsidR="006975A1" w:rsidRDefault="006975A1" w:rsidP="00655736">
      <w:r>
        <w:separator/>
      </w:r>
    </w:p>
    <w:p w14:paraId="2E9A63D0" w14:textId="77777777" w:rsidR="006975A1" w:rsidRDefault="006975A1"/>
    <w:p w14:paraId="73F3FC06" w14:textId="77777777" w:rsidR="006975A1" w:rsidRDefault="006975A1" w:rsidP="002E58D4"/>
    <w:p w14:paraId="72186DBC" w14:textId="77777777" w:rsidR="006975A1" w:rsidRDefault="006975A1" w:rsidP="002E58D4"/>
    <w:p w14:paraId="2E36B35E" w14:textId="77777777" w:rsidR="006975A1" w:rsidRDefault="006975A1" w:rsidP="002E58D4"/>
  </w:footnote>
  <w:footnote w:type="continuationSeparator" w:id="0">
    <w:p w14:paraId="2A97E4B5" w14:textId="77777777" w:rsidR="006975A1" w:rsidRDefault="006975A1" w:rsidP="00655736">
      <w:r>
        <w:continuationSeparator/>
      </w:r>
    </w:p>
    <w:p w14:paraId="202DAFEC" w14:textId="77777777" w:rsidR="006975A1" w:rsidRDefault="006975A1"/>
    <w:p w14:paraId="13C2C51B" w14:textId="77777777" w:rsidR="006975A1" w:rsidRDefault="006975A1" w:rsidP="002E58D4"/>
    <w:p w14:paraId="32106484" w14:textId="77777777" w:rsidR="006975A1" w:rsidRDefault="006975A1" w:rsidP="002E58D4"/>
    <w:p w14:paraId="39ECEF46" w14:textId="77777777" w:rsidR="006975A1" w:rsidRDefault="006975A1"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DB7F" w14:textId="77777777" w:rsidR="006975A1" w:rsidRPr="002E58D4" w:rsidRDefault="006975A1" w:rsidP="002E58D4">
    <w:pPr>
      <w:pStyle w:val="Header"/>
      <w:rPr>
        <w:rFonts w:ascii="Arial" w:hAnsi="Arial" w:cs="Arial"/>
        <w:lang w:val="en-US"/>
      </w:rPr>
    </w:pPr>
    <w:r>
      <w:rPr>
        <w:rFonts w:ascii="Arial" w:hAnsi="Arial" w:cs="Arial"/>
        <w:sz w:val="20"/>
        <w:szCs w:val="20"/>
        <w:lang w:val="en-US"/>
      </w:rPr>
      <w:t>ITH/16</w:t>
    </w:r>
    <w:r w:rsidRPr="00350080">
      <w:rPr>
        <w:rFonts w:ascii="Arial" w:hAnsi="Arial" w:cs="Arial"/>
        <w:sz w:val="20"/>
        <w:szCs w:val="20"/>
        <w:lang w:val="en-GB"/>
      </w:rPr>
      <w:t>/11.COM</w:t>
    </w:r>
    <w:r>
      <w:rPr>
        <w:rFonts w:ascii="Arial" w:hAnsi="Arial" w:cs="Arial"/>
        <w:sz w:val="20"/>
        <w:szCs w:val="20"/>
        <w:lang w:val="en-GB"/>
      </w:rPr>
      <w:t> </w:t>
    </w:r>
    <w:r w:rsidRPr="00350080">
      <w:rPr>
        <w:rFonts w:ascii="Arial" w:hAnsi="Arial" w:cs="Arial"/>
        <w:sz w:val="20"/>
        <w:szCs w:val="20"/>
        <w:lang w:val="en-GB"/>
      </w:rPr>
      <w:t>2.BUR/</w:t>
    </w:r>
    <w:r>
      <w:rPr>
        <w:rFonts w:ascii="Arial" w:hAnsi="Arial" w:cs="Arial"/>
        <w:sz w:val="20"/>
        <w:szCs w:val="20"/>
        <w:lang w:val="en-GB"/>
      </w:rPr>
      <w:t>1</w:t>
    </w:r>
    <w:r w:rsidRPr="00C23A97">
      <w:rPr>
        <w:rFonts w:ascii="Arial" w:hAnsi="Arial" w:cs="Arial"/>
        <w:sz w:val="20"/>
        <w:szCs w:val="20"/>
        <w:lang w:val="en-GB"/>
      </w:rPr>
      <w:t xml:space="preserve"> – page</w:t>
    </w:r>
    <w:r>
      <w:rPr>
        <w:rFonts w:ascii="Arial" w:hAnsi="Arial" w:cs="Arial"/>
        <w:sz w:val="20"/>
        <w:szCs w:val="20"/>
        <w:lang w:val="en-GB"/>
      </w:rPr>
      <w:t xml:space="preserve">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6FA3" w14:textId="5FF9EFC5" w:rsidR="006975A1" w:rsidRPr="004D71E7" w:rsidRDefault="006975A1" w:rsidP="002C0D14">
    <w:pPr>
      <w:pStyle w:val="Header"/>
      <w:jc w:val="right"/>
      <w:rPr>
        <w:rFonts w:ascii="Arial" w:hAnsi="Arial" w:cs="Arial"/>
        <w:lang w:val="en-US"/>
      </w:rPr>
    </w:pPr>
    <w:r>
      <w:rPr>
        <w:rFonts w:ascii="Arial" w:hAnsi="Arial" w:cs="Arial"/>
        <w:sz w:val="20"/>
        <w:szCs w:val="20"/>
        <w:lang w:val="en-US"/>
      </w:rPr>
      <w:t>ITH/16</w:t>
    </w:r>
    <w:r w:rsidRPr="00350080">
      <w:rPr>
        <w:rFonts w:ascii="Arial" w:hAnsi="Arial" w:cs="Arial"/>
        <w:sz w:val="20"/>
        <w:szCs w:val="20"/>
        <w:lang w:val="en-GB"/>
      </w:rPr>
      <w:t>/11.COM</w:t>
    </w:r>
    <w:r>
      <w:rPr>
        <w:rFonts w:ascii="Arial" w:hAnsi="Arial" w:cs="Arial"/>
        <w:sz w:val="20"/>
        <w:szCs w:val="20"/>
        <w:lang w:val="en-GB"/>
      </w:rPr>
      <w:t> </w:t>
    </w:r>
    <w:r w:rsidRPr="00350080">
      <w:rPr>
        <w:rFonts w:ascii="Arial" w:hAnsi="Arial" w:cs="Arial"/>
        <w:sz w:val="20"/>
        <w:szCs w:val="20"/>
        <w:lang w:val="en-GB"/>
      </w:rPr>
      <w:t>2.BUR/</w:t>
    </w:r>
    <w:r>
      <w:rPr>
        <w:rFonts w:ascii="Arial" w:hAnsi="Arial" w:cs="Arial"/>
        <w:sz w:val="20"/>
        <w:szCs w:val="20"/>
        <w:lang w:val="en-GB"/>
      </w:rPr>
      <w:t>1</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9C7F4B">
      <w:rPr>
        <w:rStyle w:val="PageNumber"/>
        <w:rFonts w:ascii="Arial" w:hAnsi="Arial" w:cs="Arial"/>
        <w:noProof/>
        <w:sz w:val="20"/>
        <w:szCs w:val="20"/>
        <w:lang w:val="en-US"/>
      </w:rPr>
      <w:t>11</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497D" w14:textId="77777777" w:rsidR="006975A1" w:rsidRPr="007D7143" w:rsidRDefault="006975A1">
    <w:pPr>
      <w:pStyle w:val="Header"/>
    </w:pPr>
    <w:r w:rsidRPr="00F95C06">
      <w:rPr>
        <w:noProof/>
      </w:rPr>
      <w:drawing>
        <wp:anchor distT="0" distB="0" distL="114300" distR="114300" simplePos="0" relativeHeight="251657728" behindDoc="0" locked="0" layoutInCell="1" allowOverlap="1" wp14:anchorId="0C5AB884" wp14:editId="0F6544F9">
          <wp:simplePos x="0" y="0"/>
          <wp:positionH relativeFrom="column">
            <wp:posOffset>-377190</wp:posOffset>
          </wp:positionH>
          <wp:positionV relativeFrom="paragraph">
            <wp:posOffset>5080</wp:posOffset>
          </wp:positionV>
          <wp:extent cx="2038350" cy="1529080"/>
          <wp:effectExtent l="0" t="0" r="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82FFA" w14:textId="77777777" w:rsidR="006975A1" w:rsidRPr="005D6B4B" w:rsidRDefault="006975A1" w:rsidP="00985DAD">
    <w:pPr>
      <w:tabs>
        <w:tab w:val="center" w:pos="4536"/>
        <w:tab w:val="right" w:pos="9072"/>
      </w:tabs>
      <w:spacing w:after="520"/>
      <w:jc w:val="right"/>
      <w:rPr>
        <w:rFonts w:ascii="Arial" w:hAnsi="Arial" w:cs="Arial"/>
        <w:b/>
        <w:sz w:val="44"/>
        <w:szCs w:val="44"/>
        <w:lang w:val="en-US"/>
      </w:rPr>
    </w:pPr>
    <w:r w:rsidRPr="005D6B4B">
      <w:rPr>
        <w:rFonts w:ascii="Arial" w:hAnsi="Arial" w:cs="Arial"/>
        <w:b/>
        <w:sz w:val="44"/>
        <w:szCs w:val="44"/>
        <w:lang w:val="en-US"/>
      </w:rPr>
      <w:t>11 COM 2 BUR</w:t>
    </w:r>
  </w:p>
  <w:p w14:paraId="3475757E" w14:textId="346FBDF3" w:rsidR="006975A1" w:rsidRPr="005D6B4B" w:rsidRDefault="0082424E" w:rsidP="00A0254B">
    <w:pPr>
      <w:jc w:val="right"/>
      <w:rPr>
        <w:rFonts w:ascii="Arial" w:hAnsi="Arial" w:cs="Arial"/>
        <w:b/>
        <w:sz w:val="22"/>
        <w:szCs w:val="22"/>
        <w:lang w:val="en-US"/>
      </w:rPr>
    </w:pPr>
    <w:r w:rsidRPr="005D6B4B">
      <w:rPr>
        <w:rFonts w:ascii="Arial" w:hAnsi="Arial"/>
        <w:b/>
        <w:sz w:val="22"/>
        <w:lang w:val="en-US"/>
      </w:rPr>
      <w:t>ITH/16/11.</w:t>
    </w:r>
    <w:r w:rsidR="006975A1" w:rsidRPr="005D6B4B">
      <w:rPr>
        <w:rFonts w:ascii="Arial" w:hAnsi="Arial"/>
        <w:b/>
        <w:sz w:val="22"/>
        <w:lang w:val="en-US"/>
      </w:rPr>
      <w:t>COM</w:t>
    </w:r>
    <w:r w:rsidRPr="005D6B4B">
      <w:rPr>
        <w:rFonts w:ascii="Arial" w:hAnsi="Arial"/>
        <w:b/>
        <w:sz w:val="22"/>
        <w:lang w:val="en-US"/>
      </w:rPr>
      <w:t> </w:t>
    </w:r>
    <w:r w:rsidR="006975A1" w:rsidRPr="005D6B4B">
      <w:rPr>
        <w:rFonts w:ascii="Arial" w:hAnsi="Arial"/>
        <w:b/>
        <w:sz w:val="22"/>
        <w:lang w:val="en-US"/>
      </w:rPr>
      <w:t>2</w:t>
    </w:r>
    <w:r w:rsidRPr="005D6B4B">
      <w:rPr>
        <w:rFonts w:ascii="Arial" w:hAnsi="Arial"/>
        <w:b/>
        <w:sz w:val="22"/>
        <w:lang w:val="en-US"/>
      </w:rPr>
      <w:t>.</w:t>
    </w:r>
    <w:r w:rsidR="006975A1" w:rsidRPr="005D6B4B">
      <w:rPr>
        <w:rFonts w:ascii="Arial" w:hAnsi="Arial"/>
        <w:b/>
        <w:sz w:val="22"/>
        <w:lang w:val="en-US"/>
      </w:rPr>
      <w:t>BUR/1</w:t>
    </w:r>
  </w:p>
  <w:p w14:paraId="19293D4A" w14:textId="0E9B168C" w:rsidR="006975A1" w:rsidRPr="00BF6D09" w:rsidRDefault="006975A1" w:rsidP="00A0254B">
    <w:pPr>
      <w:jc w:val="right"/>
      <w:rPr>
        <w:rFonts w:ascii="Arial" w:hAnsi="Arial" w:cs="Arial"/>
        <w:b/>
        <w:sz w:val="22"/>
        <w:szCs w:val="22"/>
      </w:rPr>
    </w:pPr>
    <w:r w:rsidRPr="00BF6D09">
      <w:rPr>
        <w:rFonts w:ascii="Arial" w:hAnsi="Arial"/>
        <w:b/>
        <w:sz w:val="22"/>
      </w:rPr>
      <w:t>Paris, le 2 juin 2016</w:t>
    </w:r>
  </w:p>
  <w:p w14:paraId="5E21038B" w14:textId="77777777" w:rsidR="006975A1" w:rsidRPr="007D7143" w:rsidRDefault="006975A1" w:rsidP="00A0254B">
    <w:pPr>
      <w:jc w:val="right"/>
      <w:rPr>
        <w:rFonts w:ascii="Arial" w:hAnsi="Arial" w:cs="Arial"/>
        <w:b/>
        <w:sz w:val="22"/>
        <w:szCs w:val="22"/>
      </w:rPr>
    </w:pPr>
    <w:r w:rsidRPr="007D7143">
      <w:rPr>
        <w:rFonts w:ascii="Arial" w:hAnsi="Arial"/>
        <w:b/>
        <w:sz w:val="22"/>
      </w:rPr>
      <w:t>Original : anglais</w:t>
    </w:r>
  </w:p>
  <w:p w14:paraId="3391C629" w14:textId="77777777" w:rsidR="006975A1" w:rsidRPr="007D7143" w:rsidRDefault="00697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D7D728D"/>
    <w:multiLevelType w:val="hybridMultilevel"/>
    <w:tmpl w:val="2102979A"/>
    <w:lvl w:ilvl="0" w:tplc="F48C4D34">
      <w:start w:val="1"/>
      <w:numFmt w:val="decimal"/>
      <w:pStyle w:val="5GAparabodytext"/>
      <w:lvlText w:val="%1."/>
      <w:lvlJc w:val="left"/>
      <w:pPr>
        <w:ind w:left="720" w:hanging="360"/>
      </w:pPr>
    </w:lvl>
    <w:lvl w:ilvl="1" w:tplc="57388994" w:tentative="1">
      <w:start w:val="1"/>
      <w:numFmt w:val="lowerLetter"/>
      <w:lvlText w:val="%2."/>
      <w:lvlJc w:val="left"/>
      <w:pPr>
        <w:ind w:left="1440" w:hanging="360"/>
      </w:pPr>
    </w:lvl>
    <w:lvl w:ilvl="2" w:tplc="6F4C3284" w:tentative="1">
      <w:start w:val="1"/>
      <w:numFmt w:val="lowerRoman"/>
      <w:lvlText w:val="%3."/>
      <w:lvlJc w:val="right"/>
      <w:pPr>
        <w:ind w:left="2160" w:hanging="180"/>
      </w:pPr>
    </w:lvl>
    <w:lvl w:ilvl="3" w:tplc="4A2CF920" w:tentative="1">
      <w:start w:val="1"/>
      <w:numFmt w:val="decimal"/>
      <w:lvlText w:val="%4."/>
      <w:lvlJc w:val="left"/>
      <w:pPr>
        <w:ind w:left="2880" w:hanging="360"/>
      </w:pPr>
    </w:lvl>
    <w:lvl w:ilvl="4" w:tplc="ED7E8FB0" w:tentative="1">
      <w:start w:val="1"/>
      <w:numFmt w:val="lowerLetter"/>
      <w:lvlText w:val="%5."/>
      <w:lvlJc w:val="left"/>
      <w:pPr>
        <w:ind w:left="3600" w:hanging="360"/>
      </w:pPr>
    </w:lvl>
    <w:lvl w:ilvl="5" w:tplc="BADC1196" w:tentative="1">
      <w:start w:val="1"/>
      <w:numFmt w:val="lowerRoman"/>
      <w:lvlText w:val="%6."/>
      <w:lvlJc w:val="right"/>
      <w:pPr>
        <w:ind w:left="4320" w:hanging="180"/>
      </w:pPr>
    </w:lvl>
    <w:lvl w:ilvl="6" w:tplc="1F406640" w:tentative="1">
      <w:start w:val="1"/>
      <w:numFmt w:val="decimal"/>
      <w:lvlText w:val="%7."/>
      <w:lvlJc w:val="left"/>
      <w:pPr>
        <w:ind w:left="5040" w:hanging="360"/>
      </w:pPr>
    </w:lvl>
    <w:lvl w:ilvl="7" w:tplc="219CD41E" w:tentative="1">
      <w:start w:val="1"/>
      <w:numFmt w:val="lowerLetter"/>
      <w:lvlText w:val="%8."/>
      <w:lvlJc w:val="left"/>
      <w:pPr>
        <w:ind w:left="5760" w:hanging="360"/>
      </w:pPr>
    </w:lvl>
    <w:lvl w:ilvl="8" w:tplc="2F1A577C" w:tentative="1">
      <w:start w:val="1"/>
      <w:numFmt w:val="lowerRoman"/>
      <w:lvlText w:val="%9."/>
      <w:lvlJc w:val="right"/>
      <w:pPr>
        <w:ind w:left="6480" w:hanging="180"/>
      </w:pPr>
    </w:lvl>
  </w:abstractNum>
  <w:abstractNum w:abstractNumId="3" w15:restartNumberingAfterBreak="0">
    <w:nsid w:val="1DDF3220"/>
    <w:multiLevelType w:val="hybridMultilevel"/>
    <w:tmpl w:val="2C203A24"/>
    <w:lvl w:ilvl="0" w:tplc="E61A1000">
      <w:start w:val="7"/>
      <w:numFmt w:val="decimal"/>
      <w:lvlText w:val="%1."/>
      <w:lvlJc w:val="left"/>
      <w:pPr>
        <w:ind w:left="1070" w:hanging="360"/>
      </w:pPr>
      <w:rPr>
        <w:rFonts w:ascii="Arial" w:hAnsi="Arial" w:hint="default"/>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766499"/>
    <w:multiLevelType w:val="hybridMultilevel"/>
    <w:tmpl w:val="06F0947A"/>
    <w:lvl w:ilvl="0" w:tplc="1040DB30">
      <w:start w:val="7"/>
      <w:numFmt w:val="decimal"/>
      <w:lvlText w:val="%1."/>
      <w:lvlJc w:val="left"/>
      <w:pPr>
        <w:ind w:left="1070" w:hanging="360"/>
      </w:pPr>
      <w:rPr>
        <w:rFonts w:ascii="Arial" w:hAnsi="Arial"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CA55A2"/>
    <w:multiLevelType w:val="hybridMultilevel"/>
    <w:tmpl w:val="C73C074A"/>
    <w:lvl w:ilvl="0" w:tplc="D5EC6526">
      <w:start w:val="7"/>
      <w:numFmt w:val="decimal"/>
      <w:lvlText w:val="%1."/>
      <w:lvlJc w:val="left"/>
      <w:pPr>
        <w:ind w:left="720" w:hanging="360"/>
      </w:pPr>
      <w:rPr>
        <w:rFonts w:ascii="Arial" w:hAnsi="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F960B4"/>
    <w:multiLevelType w:val="hybridMultilevel"/>
    <w:tmpl w:val="1E3EB40E"/>
    <w:lvl w:ilvl="0" w:tplc="FD368BB8">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4E47B5"/>
    <w:multiLevelType w:val="hybridMultilevel"/>
    <w:tmpl w:val="ADCCDC8E"/>
    <w:lvl w:ilvl="0" w:tplc="4CD86B8E">
      <w:start w:val="1"/>
      <w:numFmt w:val="upperRoman"/>
      <w:pStyle w:val="Heading4"/>
      <w:lvlText w:val="%1."/>
      <w:lvlJc w:val="left"/>
      <w:pPr>
        <w:ind w:left="2421" w:hanging="360"/>
      </w:pPr>
      <w:rPr>
        <w:rFonts w:hint="default"/>
        <w:lang w:val="fr-FR"/>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9" w15:restartNumberingAfterBreak="0">
    <w:nsid w:val="35F07BFE"/>
    <w:multiLevelType w:val="hybridMultilevel"/>
    <w:tmpl w:val="1A1C2972"/>
    <w:lvl w:ilvl="0" w:tplc="6FB8652A">
      <w:start w:val="1"/>
      <w:numFmt w:val="decimal"/>
      <w:pStyle w:val="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41360434"/>
    <w:lvl w:ilvl="0" w:tplc="B35A244C">
      <w:start w:val="1"/>
      <w:numFmt w:val="decimal"/>
      <w:pStyle w:val="GAParaResolut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DF614B"/>
    <w:multiLevelType w:val="hybridMultilevel"/>
    <w:tmpl w:val="A57630EA"/>
    <w:lvl w:ilvl="0" w:tplc="D5EC6526">
      <w:start w:val="7"/>
      <w:numFmt w:val="decimal"/>
      <w:lvlText w:val="%1."/>
      <w:lvlJc w:val="left"/>
      <w:pPr>
        <w:ind w:left="720" w:hanging="360"/>
      </w:pPr>
      <w:rPr>
        <w:rFonts w:ascii="Arial" w:hAnsi="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7A66CBA"/>
    <w:multiLevelType w:val="hybridMultilevel"/>
    <w:tmpl w:val="2676D780"/>
    <w:lvl w:ilvl="0" w:tplc="77080C30">
      <w:start w:val="1"/>
      <w:numFmt w:val="decimal"/>
      <w:lvlText w:val="%1."/>
      <w:lvlJc w:val="left"/>
      <w:pPr>
        <w:ind w:left="1137" w:hanging="570"/>
      </w:pPr>
      <w:rPr>
        <w:rFonts w:hint="default"/>
      </w:rPr>
    </w:lvl>
    <w:lvl w:ilvl="1" w:tplc="C8561FE2" w:tentative="1">
      <w:start w:val="1"/>
      <w:numFmt w:val="lowerLetter"/>
      <w:lvlText w:val="%2."/>
      <w:lvlJc w:val="left"/>
      <w:pPr>
        <w:ind w:left="1647" w:hanging="360"/>
      </w:pPr>
    </w:lvl>
    <w:lvl w:ilvl="2" w:tplc="8ED27B6C" w:tentative="1">
      <w:start w:val="1"/>
      <w:numFmt w:val="lowerRoman"/>
      <w:lvlText w:val="%3."/>
      <w:lvlJc w:val="right"/>
      <w:pPr>
        <w:ind w:left="2367" w:hanging="180"/>
      </w:pPr>
    </w:lvl>
    <w:lvl w:ilvl="3" w:tplc="4EF6A39E" w:tentative="1">
      <w:start w:val="1"/>
      <w:numFmt w:val="decimal"/>
      <w:lvlText w:val="%4."/>
      <w:lvlJc w:val="left"/>
      <w:pPr>
        <w:ind w:left="3087" w:hanging="360"/>
      </w:pPr>
    </w:lvl>
    <w:lvl w:ilvl="4" w:tplc="624C5D1A" w:tentative="1">
      <w:start w:val="1"/>
      <w:numFmt w:val="lowerLetter"/>
      <w:lvlText w:val="%5."/>
      <w:lvlJc w:val="left"/>
      <w:pPr>
        <w:ind w:left="3807" w:hanging="360"/>
      </w:pPr>
    </w:lvl>
    <w:lvl w:ilvl="5" w:tplc="33EE84A0" w:tentative="1">
      <w:start w:val="1"/>
      <w:numFmt w:val="lowerRoman"/>
      <w:lvlText w:val="%6."/>
      <w:lvlJc w:val="right"/>
      <w:pPr>
        <w:ind w:left="4527" w:hanging="180"/>
      </w:pPr>
    </w:lvl>
    <w:lvl w:ilvl="6" w:tplc="7A323466" w:tentative="1">
      <w:start w:val="1"/>
      <w:numFmt w:val="decimal"/>
      <w:lvlText w:val="%7."/>
      <w:lvlJc w:val="left"/>
      <w:pPr>
        <w:ind w:left="5247" w:hanging="360"/>
      </w:pPr>
    </w:lvl>
    <w:lvl w:ilvl="7" w:tplc="876830A4" w:tentative="1">
      <w:start w:val="1"/>
      <w:numFmt w:val="lowerLetter"/>
      <w:lvlText w:val="%8."/>
      <w:lvlJc w:val="left"/>
      <w:pPr>
        <w:ind w:left="5967" w:hanging="360"/>
      </w:pPr>
    </w:lvl>
    <w:lvl w:ilvl="8" w:tplc="5E265756" w:tentative="1">
      <w:start w:val="1"/>
      <w:numFmt w:val="lowerRoman"/>
      <w:lvlText w:val="%9."/>
      <w:lvlJc w:val="right"/>
      <w:pPr>
        <w:ind w:left="6687" w:hanging="180"/>
      </w:pPr>
    </w:lvl>
  </w:abstractNum>
  <w:abstractNum w:abstractNumId="15" w15:restartNumberingAfterBreak="0">
    <w:nsid w:val="51DD5152"/>
    <w:multiLevelType w:val="hybridMultilevel"/>
    <w:tmpl w:val="E8B63406"/>
    <w:lvl w:ilvl="0" w:tplc="61B4A006">
      <w:start w:val="7"/>
      <w:numFmt w:val="decimal"/>
      <w:lvlText w:val="%1."/>
      <w:lvlJc w:val="left"/>
      <w:pPr>
        <w:ind w:left="1070" w:hanging="360"/>
      </w:pPr>
      <w:rPr>
        <w:rFonts w:ascii="Arial" w:hAnsi="Arial"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45147E"/>
    <w:multiLevelType w:val="hybridMultilevel"/>
    <w:tmpl w:val="19BCADFC"/>
    <w:lvl w:ilvl="0" w:tplc="0818D410">
      <w:start w:val="1"/>
      <w:numFmt w:val="decimal"/>
      <w:lvlText w:val="%1."/>
      <w:lvlJc w:val="left"/>
      <w:pPr>
        <w:ind w:left="360" w:hanging="360"/>
      </w:pPr>
      <w:rPr>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3C96967"/>
    <w:multiLevelType w:val="hybridMultilevel"/>
    <w:tmpl w:val="D99027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8120B4"/>
    <w:multiLevelType w:val="hybridMultilevel"/>
    <w:tmpl w:val="1966DD76"/>
    <w:lvl w:ilvl="0" w:tplc="AD0E9A7C">
      <w:start w:val="1"/>
      <w:numFmt w:val="decimal"/>
      <w:lvlText w:val="%1."/>
      <w:lvlJc w:val="left"/>
      <w:pPr>
        <w:ind w:left="1070" w:hanging="360"/>
      </w:pPr>
      <w:rPr>
        <w:rFonts w:ascii="Arial" w:hAnsi="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EE0CBC"/>
    <w:multiLevelType w:val="hybridMultilevel"/>
    <w:tmpl w:val="712404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0"/>
  </w:num>
  <w:num w:numId="3">
    <w:abstractNumId w:val="1"/>
  </w:num>
  <w:num w:numId="4">
    <w:abstractNumId w:val="23"/>
  </w:num>
  <w:num w:numId="5">
    <w:abstractNumId w:val="19"/>
  </w:num>
  <w:num w:numId="6">
    <w:abstractNumId w:val="0"/>
  </w:num>
  <w:num w:numId="7">
    <w:abstractNumId w:val="4"/>
  </w:num>
  <w:num w:numId="8">
    <w:abstractNumId w:val="13"/>
  </w:num>
  <w:num w:numId="9">
    <w:abstractNumId w:val="9"/>
  </w:num>
  <w:num w:numId="10">
    <w:abstractNumId w:val="11"/>
  </w:num>
  <w:num w:numId="11">
    <w:abstractNumId w:val="8"/>
  </w:num>
  <w:num w:numId="12">
    <w:abstractNumId w:val="2"/>
  </w:num>
  <w:num w:numId="13">
    <w:abstractNumId w:val="14"/>
  </w:num>
  <w:num w:numId="14">
    <w:abstractNumId w:val="16"/>
  </w:num>
  <w:num w:numId="15">
    <w:abstractNumId w:val="18"/>
  </w:num>
  <w:num w:numId="16">
    <w:abstractNumId w:val="3"/>
  </w:num>
  <w:num w:numId="17">
    <w:abstractNumId w:val="5"/>
  </w:num>
  <w:num w:numId="18">
    <w:abstractNumId w:val="15"/>
  </w:num>
  <w:num w:numId="19">
    <w:abstractNumId w:val="6"/>
  </w:num>
  <w:num w:numId="20">
    <w:abstractNumId w:val="12"/>
  </w:num>
  <w:num w:numId="21">
    <w:abstractNumId w:val="3"/>
    <w:lvlOverride w:ilvl="0">
      <w:lvl w:ilvl="0" w:tplc="E61A1000">
        <w:start w:val="7"/>
        <w:numFmt w:val="decimal"/>
        <w:lvlText w:val="%1."/>
        <w:lvlJc w:val="left"/>
        <w:pPr>
          <w:ind w:left="1070" w:hanging="360"/>
        </w:pPr>
        <w:rPr>
          <w:rFonts w:ascii="Arial" w:hAnsi="Arial" w:hint="default"/>
          <w:sz w:val="20"/>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22">
    <w:abstractNumId w:val="20"/>
  </w:num>
  <w:num w:numId="23">
    <w:abstractNumId w:val="7"/>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4B"/>
    <w:rsid w:val="00012D7D"/>
    <w:rsid w:val="00014681"/>
    <w:rsid w:val="00020BFC"/>
    <w:rsid w:val="000235DC"/>
    <w:rsid w:val="00025641"/>
    <w:rsid w:val="00026F3B"/>
    <w:rsid w:val="0005176E"/>
    <w:rsid w:val="000569AB"/>
    <w:rsid w:val="000767AD"/>
    <w:rsid w:val="00077AB7"/>
    <w:rsid w:val="00081CD8"/>
    <w:rsid w:val="0008329C"/>
    <w:rsid w:val="00094248"/>
    <w:rsid w:val="0009576F"/>
    <w:rsid w:val="000A2819"/>
    <w:rsid w:val="000A7BA2"/>
    <w:rsid w:val="000A7F0E"/>
    <w:rsid w:val="000D2CB7"/>
    <w:rsid w:val="000E57E0"/>
    <w:rsid w:val="000E6CD7"/>
    <w:rsid w:val="000E7224"/>
    <w:rsid w:val="000F015D"/>
    <w:rsid w:val="000F3A3F"/>
    <w:rsid w:val="00102686"/>
    <w:rsid w:val="001045EB"/>
    <w:rsid w:val="001125A3"/>
    <w:rsid w:val="001146C4"/>
    <w:rsid w:val="00124D67"/>
    <w:rsid w:val="001257A8"/>
    <w:rsid w:val="00134C6C"/>
    <w:rsid w:val="001354B8"/>
    <w:rsid w:val="00137529"/>
    <w:rsid w:val="00157371"/>
    <w:rsid w:val="0015754A"/>
    <w:rsid w:val="00157D43"/>
    <w:rsid w:val="00160351"/>
    <w:rsid w:val="00164D56"/>
    <w:rsid w:val="00165A1E"/>
    <w:rsid w:val="00167B10"/>
    <w:rsid w:val="00196C1B"/>
    <w:rsid w:val="001A766C"/>
    <w:rsid w:val="001B0F73"/>
    <w:rsid w:val="001B1B7C"/>
    <w:rsid w:val="001B7D0F"/>
    <w:rsid w:val="001E0E9C"/>
    <w:rsid w:val="001E3E79"/>
    <w:rsid w:val="001E5F2C"/>
    <w:rsid w:val="00222A2D"/>
    <w:rsid w:val="002365F7"/>
    <w:rsid w:val="002407AF"/>
    <w:rsid w:val="0025087E"/>
    <w:rsid w:val="00260465"/>
    <w:rsid w:val="0026593A"/>
    <w:rsid w:val="00283C9A"/>
    <w:rsid w:val="002971F0"/>
    <w:rsid w:val="002A6C11"/>
    <w:rsid w:val="002C0D14"/>
    <w:rsid w:val="002D4F21"/>
    <w:rsid w:val="002D5CAD"/>
    <w:rsid w:val="002E2525"/>
    <w:rsid w:val="002E3D25"/>
    <w:rsid w:val="002E58D4"/>
    <w:rsid w:val="002F4062"/>
    <w:rsid w:val="002F695C"/>
    <w:rsid w:val="00306381"/>
    <w:rsid w:val="00314237"/>
    <w:rsid w:val="00316A74"/>
    <w:rsid w:val="003444F9"/>
    <w:rsid w:val="00365F48"/>
    <w:rsid w:val="003831B0"/>
    <w:rsid w:val="003845BE"/>
    <w:rsid w:val="00397F15"/>
    <w:rsid w:val="003A2C8F"/>
    <w:rsid w:val="003C1678"/>
    <w:rsid w:val="003D069C"/>
    <w:rsid w:val="003D36A1"/>
    <w:rsid w:val="003E07D8"/>
    <w:rsid w:val="003E2A08"/>
    <w:rsid w:val="003F10E5"/>
    <w:rsid w:val="003F113A"/>
    <w:rsid w:val="00402272"/>
    <w:rsid w:val="0040496A"/>
    <w:rsid w:val="0041529A"/>
    <w:rsid w:val="004239C7"/>
    <w:rsid w:val="004249FF"/>
    <w:rsid w:val="00426104"/>
    <w:rsid w:val="004312CB"/>
    <w:rsid w:val="00440F9B"/>
    <w:rsid w:val="004421E5"/>
    <w:rsid w:val="00443880"/>
    <w:rsid w:val="00444409"/>
    <w:rsid w:val="00447976"/>
    <w:rsid w:val="00452284"/>
    <w:rsid w:val="004566DE"/>
    <w:rsid w:val="00466BC5"/>
    <w:rsid w:val="00475332"/>
    <w:rsid w:val="00476028"/>
    <w:rsid w:val="00494B2A"/>
    <w:rsid w:val="0049705E"/>
    <w:rsid w:val="00497FD3"/>
    <w:rsid w:val="004A6B0D"/>
    <w:rsid w:val="004B2151"/>
    <w:rsid w:val="004C2176"/>
    <w:rsid w:val="004D15E4"/>
    <w:rsid w:val="004D5687"/>
    <w:rsid w:val="004E1B8E"/>
    <w:rsid w:val="004F0072"/>
    <w:rsid w:val="004F055F"/>
    <w:rsid w:val="00503045"/>
    <w:rsid w:val="00505D1E"/>
    <w:rsid w:val="00526B7B"/>
    <w:rsid w:val="005308CE"/>
    <w:rsid w:val="00532304"/>
    <w:rsid w:val="005364E9"/>
    <w:rsid w:val="0054255C"/>
    <w:rsid w:val="005437ED"/>
    <w:rsid w:val="00550592"/>
    <w:rsid w:val="00551DDB"/>
    <w:rsid w:val="0056240E"/>
    <w:rsid w:val="00571B2A"/>
    <w:rsid w:val="0057439C"/>
    <w:rsid w:val="0057449B"/>
    <w:rsid w:val="005A1B1E"/>
    <w:rsid w:val="005B0127"/>
    <w:rsid w:val="005C094D"/>
    <w:rsid w:val="005C20A6"/>
    <w:rsid w:val="005C4B73"/>
    <w:rsid w:val="005D6B4B"/>
    <w:rsid w:val="005F1239"/>
    <w:rsid w:val="005F7399"/>
    <w:rsid w:val="00600D93"/>
    <w:rsid w:val="00605512"/>
    <w:rsid w:val="00627C5C"/>
    <w:rsid w:val="00642248"/>
    <w:rsid w:val="00653EC6"/>
    <w:rsid w:val="00655629"/>
    <w:rsid w:val="00655736"/>
    <w:rsid w:val="00656FA0"/>
    <w:rsid w:val="00663B8D"/>
    <w:rsid w:val="0067086A"/>
    <w:rsid w:val="006711EC"/>
    <w:rsid w:val="0068436D"/>
    <w:rsid w:val="006923BD"/>
    <w:rsid w:val="00692FD1"/>
    <w:rsid w:val="00696A10"/>
    <w:rsid w:val="00696C8D"/>
    <w:rsid w:val="006975A1"/>
    <w:rsid w:val="006A2AC2"/>
    <w:rsid w:val="006A3617"/>
    <w:rsid w:val="006B3F73"/>
    <w:rsid w:val="006B5001"/>
    <w:rsid w:val="006B6824"/>
    <w:rsid w:val="006C6860"/>
    <w:rsid w:val="006D21D9"/>
    <w:rsid w:val="006D5DE1"/>
    <w:rsid w:val="006E1D1D"/>
    <w:rsid w:val="006E46E4"/>
    <w:rsid w:val="00701EC9"/>
    <w:rsid w:val="00711046"/>
    <w:rsid w:val="00716B96"/>
    <w:rsid w:val="00717DBD"/>
    <w:rsid w:val="00730B9B"/>
    <w:rsid w:val="00734506"/>
    <w:rsid w:val="00762E4B"/>
    <w:rsid w:val="007666F7"/>
    <w:rsid w:val="0077106C"/>
    <w:rsid w:val="007770C9"/>
    <w:rsid w:val="00784B8C"/>
    <w:rsid w:val="00794A78"/>
    <w:rsid w:val="007B6219"/>
    <w:rsid w:val="007C0B25"/>
    <w:rsid w:val="007C6D0E"/>
    <w:rsid w:val="007D5EAD"/>
    <w:rsid w:val="007D7143"/>
    <w:rsid w:val="008064F0"/>
    <w:rsid w:val="008137C5"/>
    <w:rsid w:val="00823A11"/>
    <w:rsid w:val="0082424E"/>
    <w:rsid w:val="00824EF7"/>
    <w:rsid w:val="00830CAE"/>
    <w:rsid w:val="00842051"/>
    <w:rsid w:val="0085414A"/>
    <w:rsid w:val="00856EE2"/>
    <w:rsid w:val="008602E4"/>
    <w:rsid w:val="0086269D"/>
    <w:rsid w:val="008658B2"/>
    <w:rsid w:val="008712A2"/>
    <w:rsid w:val="008724E5"/>
    <w:rsid w:val="00882A63"/>
    <w:rsid w:val="00884A9D"/>
    <w:rsid w:val="00884CD4"/>
    <w:rsid w:val="00893A7D"/>
    <w:rsid w:val="00895937"/>
    <w:rsid w:val="008A1E14"/>
    <w:rsid w:val="008A4E1E"/>
    <w:rsid w:val="008B16CB"/>
    <w:rsid w:val="008B70D9"/>
    <w:rsid w:val="008C2348"/>
    <w:rsid w:val="008C296C"/>
    <w:rsid w:val="008D388E"/>
    <w:rsid w:val="008D4305"/>
    <w:rsid w:val="008D5BCF"/>
    <w:rsid w:val="008D69F4"/>
    <w:rsid w:val="008E55CE"/>
    <w:rsid w:val="00913D86"/>
    <w:rsid w:val="009163A7"/>
    <w:rsid w:val="00924542"/>
    <w:rsid w:val="00952C14"/>
    <w:rsid w:val="00962119"/>
    <w:rsid w:val="00970F1F"/>
    <w:rsid w:val="00974249"/>
    <w:rsid w:val="009772FC"/>
    <w:rsid w:val="00983577"/>
    <w:rsid w:val="00985DAD"/>
    <w:rsid w:val="009A18CD"/>
    <w:rsid w:val="009A46A3"/>
    <w:rsid w:val="009B5500"/>
    <w:rsid w:val="009B58EE"/>
    <w:rsid w:val="009B638F"/>
    <w:rsid w:val="009C3F65"/>
    <w:rsid w:val="009C5974"/>
    <w:rsid w:val="009C7F4B"/>
    <w:rsid w:val="009E2D5F"/>
    <w:rsid w:val="009E3DAD"/>
    <w:rsid w:val="009F3C4B"/>
    <w:rsid w:val="00A0254B"/>
    <w:rsid w:val="00A123BA"/>
    <w:rsid w:val="00A12558"/>
    <w:rsid w:val="00A13903"/>
    <w:rsid w:val="00A20612"/>
    <w:rsid w:val="00A24843"/>
    <w:rsid w:val="00A276AB"/>
    <w:rsid w:val="00A34ED5"/>
    <w:rsid w:val="00A40154"/>
    <w:rsid w:val="00A4380F"/>
    <w:rsid w:val="00A45DBF"/>
    <w:rsid w:val="00A755A2"/>
    <w:rsid w:val="00A902BD"/>
    <w:rsid w:val="00A90761"/>
    <w:rsid w:val="00AA2645"/>
    <w:rsid w:val="00AA2C8B"/>
    <w:rsid w:val="00AA4063"/>
    <w:rsid w:val="00AB1A1C"/>
    <w:rsid w:val="00AB2C36"/>
    <w:rsid w:val="00AB399C"/>
    <w:rsid w:val="00AB4722"/>
    <w:rsid w:val="00AB5A68"/>
    <w:rsid w:val="00AC3764"/>
    <w:rsid w:val="00AD13F6"/>
    <w:rsid w:val="00AD1A86"/>
    <w:rsid w:val="00AE103E"/>
    <w:rsid w:val="00AF0A07"/>
    <w:rsid w:val="00AF625E"/>
    <w:rsid w:val="00B010EE"/>
    <w:rsid w:val="00B03E2E"/>
    <w:rsid w:val="00B07C98"/>
    <w:rsid w:val="00B148B7"/>
    <w:rsid w:val="00B149B9"/>
    <w:rsid w:val="00B346D4"/>
    <w:rsid w:val="00B46770"/>
    <w:rsid w:val="00B605DD"/>
    <w:rsid w:val="00B9033B"/>
    <w:rsid w:val="00BA275F"/>
    <w:rsid w:val="00BB021D"/>
    <w:rsid w:val="00BB3D24"/>
    <w:rsid w:val="00BC5644"/>
    <w:rsid w:val="00BD52C9"/>
    <w:rsid w:val="00BE3D0F"/>
    <w:rsid w:val="00BE6354"/>
    <w:rsid w:val="00BE6CF8"/>
    <w:rsid w:val="00BF5D47"/>
    <w:rsid w:val="00BF6D09"/>
    <w:rsid w:val="00C01EA0"/>
    <w:rsid w:val="00C352F8"/>
    <w:rsid w:val="00C417D1"/>
    <w:rsid w:val="00C41C06"/>
    <w:rsid w:val="00C51B2F"/>
    <w:rsid w:val="00C57D6A"/>
    <w:rsid w:val="00C63992"/>
    <w:rsid w:val="00C70EA7"/>
    <w:rsid w:val="00C7516E"/>
    <w:rsid w:val="00C76DE6"/>
    <w:rsid w:val="00C810EF"/>
    <w:rsid w:val="00C85562"/>
    <w:rsid w:val="00C91884"/>
    <w:rsid w:val="00CD451F"/>
    <w:rsid w:val="00CF55E7"/>
    <w:rsid w:val="00CF7E1D"/>
    <w:rsid w:val="00D119E7"/>
    <w:rsid w:val="00D24877"/>
    <w:rsid w:val="00D40A73"/>
    <w:rsid w:val="00D4131A"/>
    <w:rsid w:val="00D4697F"/>
    <w:rsid w:val="00D6008F"/>
    <w:rsid w:val="00D63952"/>
    <w:rsid w:val="00D75D42"/>
    <w:rsid w:val="00D7737D"/>
    <w:rsid w:val="00D77F18"/>
    <w:rsid w:val="00DA36ED"/>
    <w:rsid w:val="00DA6D43"/>
    <w:rsid w:val="00DB4A84"/>
    <w:rsid w:val="00DB5EE2"/>
    <w:rsid w:val="00DE34F1"/>
    <w:rsid w:val="00DF0773"/>
    <w:rsid w:val="00DF136E"/>
    <w:rsid w:val="00DF205E"/>
    <w:rsid w:val="00DF30C3"/>
    <w:rsid w:val="00DF4942"/>
    <w:rsid w:val="00E0285C"/>
    <w:rsid w:val="00E06740"/>
    <w:rsid w:val="00E13AF7"/>
    <w:rsid w:val="00E145AD"/>
    <w:rsid w:val="00E22288"/>
    <w:rsid w:val="00E270A6"/>
    <w:rsid w:val="00E30E82"/>
    <w:rsid w:val="00E4629C"/>
    <w:rsid w:val="00E60F35"/>
    <w:rsid w:val="00E627B1"/>
    <w:rsid w:val="00E72D1E"/>
    <w:rsid w:val="00E83EDB"/>
    <w:rsid w:val="00E87CFE"/>
    <w:rsid w:val="00E9376C"/>
    <w:rsid w:val="00EA25D5"/>
    <w:rsid w:val="00EA6FA4"/>
    <w:rsid w:val="00EB1B39"/>
    <w:rsid w:val="00EE433E"/>
    <w:rsid w:val="00EF1C92"/>
    <w:rsid w:val="00EF6DAC"/>
    <w:rsid w:val="00F05290"/>
    <w:rsid w:val="00F12786"/>
    <w:rsid w:val="00F33588"/>
    <w:rsid w:val="00F340B1"/>
    <w:rsid w:val="00F357A8"/>
    <w:rsid w:val="00F36BA6"/>
    <w:rsid w:val="00F43CDE"/>
    <w:rsid w:val="00F576CB"/>
    <w:rsid w:val="00F6581D"/>
    <w:rsid w:val="00F674F9"/>
    <w:rsid w:val="00F729A0"/>
    <w:rsid w:val="00F818D5"/>
    <w:rsid w:val="00F95C06"/>
    <w:rsid w:val="00FC2940"/>
    <w:rsid w:val="00FC2DE6"/>
    <w:rsid w:val="00FD0D84"/>
    <w:rsid w:val="00FD1226"/>
    <w:rsid w:val="00FD342A"/>
    <w:rsid w:val="00FD5205"/>
    <w:rsid w:val="00FF6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1C4F5C"/>
  <w15:docId w15:val="{A09C7564-39FE-48C8-AF0C-A596DAF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A08"/>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BF6D09"/>
    <w:pPr>
      <w:keepNext/>
      <w:numPr>
        <w:numId w:val="11"/>
      </w:numPr>
      <w:spacing w:before="360" w:after="240"/>
      <w:ind w:left="567" w:hanging="567"/>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BF6D09"/>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GAParabodytext">
    <w:name w:val="GA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1A766C"/>
    <w:pPr>
      <w:keepNext/>
      <w:spacing w:before="240" w:after="120"/>
      <w:ind w:left="567"/>
    </w:pPr>
    <w:rPr>
      <w:rFonts w:eastAsia="SimSun" w:cs="Arial"/>
      <w:b/>
      <w:szCs w:val="22"/>
    </w:rPr>
  </w:style>
  <w:style w:type="paragraph" w:customStyle="1" w:styleId="GAPreambulaResolution">
    <w:name w:val="GA Preambula Resolution"/>
    <w:basedOn w:val="Marge"/>
    <w:qFormat/>
    <w:rsid w:val="001A766C"/>
    <w:pPr>
      <w:keepNext/>
      <w:spacing w:after="120"/>
      <w:ind w:left="567"/>
    </w:pPr>
    <w:rPr>
      <w:rFonts w:eastAsia="SimSun" w:cs="Arial"/>
      <w:szCs w:val="22"/>
    </w:rPr>
  </w:style>
  <w:style w:type="paragraph" w:customStyle="1" w:styleId="GAParaResolution">
    <w:name w:val="GA Para Resolut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ListParagraph">
    <w:name w:val="List Paragraph"/>
    <w:basedOn w:val="Normal"/>
    <w:uiPriority w:val="34"/>
    <w:qFormat/>
    <w:rsid w:val="00A0254B"/>
    <w:pPr>
      <w:ind w:left="720"/>
      <w:contextualSpacing/>
    </w:pPr>
  </w:style>
  <w:style w:type="character" w:customStyle="1" w:styleId="hps">
    <w:name w:val="hps"/>
    <w:rsid w:val="00A0254B"/>
  </w:style>
  <w:style w:type="paragraph" w:customStyle="1" w:styleId="5GAparabodytext">
    <w:name w:val="5GA para body text"/>
    <w:basedOn w:val="Marge"/>
    <w:autoRedefine/>
    <w:qFormat/>
    <w:rsid w:val="00A0254B"/>
    <w:pPr>
      <w:numPr>
        <w:numId w:val="12"/>
      </w:numPr>
      <w:spacing w:after="120"/>
      <w:ind w:left="567" w:hanging="567"/>
    </w:pPr>
    <w:rPr>
      <w:rFonts w:cs="Arial"/>
      <w:szCs w:val="22"/>
      <w:lang w:eastAsia="fr-FR"/>
    </w:rPr>
  </w:style>
  <w:style w:type="character" w:styleId="Hyperlink">
    <w:name w:val="Hyperlink"/>
    <w:unhideWhenUsed/>
    <w:rsid w:val="00A0254B"/>
    <w:rPr>
      <w:color w:val="0000FF"/>
      <w:u w:val="single"/>
      <w:lang w:val="fr-FR" w:eastAsia="fr-FR"/>
    </w:rPr>
  </w:style>
  <w:style w:type="paragraph" w:styleId="FootnoteText">
    <w:name w:val="footnote text"/>
    <w:basedOn w:val="Normal"/>
    <w:link w:val="FootnoteTextChar"/>
    <w:uiPriority w:val="99"/>
    <w:semiHidden/>
    <w:unhideWhenUsed/>
    <w:rsid w:val="00A0254B"/>
    <w:rPr>
      <w:sz w:val="20"/>
      <w:szCs w:val="20"/>
    </w:rPr>
  </w:style>
  <w:style w:type="character" w:customStyle="1" w:styleId="FootnoteTextChar">
    <w:name w:val="Footnote Text Char"/>
    <w:basedOn w:val="DefaultParagraphFont"/>
    <w:link w:val="FootnoteText"/>
    <w:uiPriority w:val="99"/>
    <w:semiHidden/>
    <w:rsid w:val="00A0254B"/>
    <w:rPr>
      <w:rFonts w:ascii="Times New Roman" w:eastAsia="Times New Roman" w:hAnsi="Times New Roman"/>
    </w:rPr>
  </w:style>
  <w:style w:type="character" w:styleId="FootnoteReference">
    <w:name w:val="footnote reference"/>
    <w:uiPriority w:val="99"/>
    <w:unhideWhenUsed/>
    <w:rsid w:val="00A0254B"/>
    <w:rPr>
      <w:vertAlign w:val="superscript"/>
      <w:lang w:val="fr-FR" w:eastAsia="fr-FR"/>
    </w:rPr>
  </w:style>
  <w:style w:type="paragraph" w:customStyle="1" w:styleId="Default">
    <w:name w:val="Default"/>
    <w:link w:val="DefaultChar"/>
    <w:uiPriority w:val="99"/>
    <w:rsid w:val="00A0254B"/>
    <w:pPr>
      <w:autoSpaceDE w:val="0"/>
      <w:autoSpaceDN w:val="0"/>
      <w:adjustRightInd w:val="0"/>
    </w:pPr>
    <w:rPr>
      <w:rFonts w:ascii="Arial" w:hAnsi="Arial" w:cs="Arial"/>
      <w:color w:val="000000"/>
      <w:sz w:val="24"/>
      <w:szCs w:val="24"/>
    </w:rPr>
  </w:style>
  <w:style w:type="character" w:customStyle="1" w:styleId="DefaultChar">
    <w:name w:val="Default Char"/>
    <w:link w:val="Default"/>
    <w:uiPriority w:val="99"/>
    <w:rsid w:val="00A0254B"/>
    <w:rPr>
      <w:rFonts w:ascii="Arial" w:hAnsi="Arial" w:cs="Arial"/>
      <w:color w:val="000000"/>
      <w:sz w:val="24"/>
      <w:szCs w:val="24"/>
    </w:rPr>
  </w:style>
  <w:style w:type="paragraph" w:customStyle="1" w:styleId="5GAParaResolution">
    <w:name w:val="5GA Para Resolution"/>
    <w:basedOn w:val="Normal"/>
    <w:qFormat/>
    <w:rsid w:val="00A0254B"/>
    <w:pPr>
      <w:autoSpaceDE w:val="0"/>
      <w:autoSpaceDN w:val="0"/>
      <w:adjustRightInd w:val="0"/>
      <w:spacing w:after="120"/>
      <w:ind w:left="1134" w:hanging="567"/>
      <w:jc w:val="both"/>
    </w:pPr>
    <w:rPr>
      <w:rFonts w:ascii="Arial" w:eastAsia="SimSun" w:hAnsi="Arial" w:cs="Arial"/>
      <w:sz w:val="22"/>
      <w:szCs w:val="22"/>
    </w:rPr>
  </w:style>
  <w:style w:type="paragraph" w:customStyle="1" w:styleId="5GATitleResolution">
    <w:name w:val="5GA Title Resolution"/>
    <w:basedOn w:val="Normal"/>
    <w:qFormat/>
    <w:rsid w:val="00A0254B"/>
    <w:pPr>
      <w:keepNext/>
      <w:spacing w:before="240" w:after="120"/>
      <w:ind w:left="567"/>
      <w:jc w:val="both"/>
    </w:pPr>
    <w:rPr>
      <w:rFonts w:ascii="Arial" w:hAnsi="Arial" w:cs="Arial"/>
      <w:b/>
      <w:sz w:val="22"/>
      <w:szCs w:val="22"/>
    </w:rPr>
  </w:style>
  <w:style w:type="paragraph" w:customStyle="1" w:styleId="5GAPreambulaResolution">
    <w:name w:val="5GA Preambula Resolution"/>
    <w:basedOn w:val="Normal"/>
    <w:qFormat/>
    <w:rsid w:val="00A0254B"/>
    <w:pPr>
      <w:keepNext/>
      <w:spacing w:after="120"/>
      <w:ind w:left="567"/>
      <w:jc w:val="both"/>
    </w:pPr>
    <w:rPr>
      <w:rFonts w:ascii="Arial" w:hAnsi="Arial" w:cs="Arial"/>
      <w:sz w:val="22"/>
      <w:szCs w:val="22"/>
    </w:rPr>
  </w:style>
  <w:style w:type="paragraph" w:customStyle="1" w:styleId="GAPara">
    <w:name w:val="GA Para"/>
    <w:qFormat/>
    <w:rsid w:val="00A0254B"/>
    <w:pPr>
      <w:spacing w:after="120"/>
    </w:pPr>
    <w:rPr>
      <w:rFonts w:ascii="Arial" w:eastAsia="Times New Roman" w:hAnsi="Arial" w:cs="Arial"/>
      <w:snapToGrid w:val="0"/>
      <w:sz w:val="22"/>
      <w:szCs w:val="22"/>
    </w:rPr>
  </w:style>
  <w:style w:type="paragraph" w:customStyle="1" w:styleId="1GAParabodytext">
    <w:name w:val="1.GA Para body text"/>
    <w:basedOn w:val="Marge"/>
    <w:qFormat/>
    <w:rsid w:val="00985DAD"/>
    <w:pPr>
      <w:spacing w:after="120"/>
      <w:ind w:left="567" w:hanging="567"/>
    </w:pPr>
    <w:rPr>
      <w:rFonts w:cs="Arial"/>
      <w:szCs w:val="22"/>
    </w:rPr>
  </w:style>
  <w:style w:type="table" w:customStyle="1" w:styleId="Grilledutableau1">
    <w:name w:val="Grille du tableau1"/>
    <w:basedOn w:val="TableNormal"/>
    <w:next w:val="TableGrid"/>
    <w:uiPriority w:val="59"/>
    <w:rsid w:val="004E1B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417D1"/>
    <w:rPr>
      <w:sz w:val="16"/>
      <w:szCs w:val="16"/>
    </w:rPr>
  </w:style>
  <w:style w:type="paragraph" w:styleId="CommentText">
    <w:name w:val="annotation text"/>
    <w:basedOn w:val="Normal"/>
    <w:link w:val="CommentTextChar"/>
    <w:uiPriority w:val="99"/>
    <w:semiHidden/>
    <w:unhideWhenUsed/>
    <w:rsid w:val="00C417D1"/>
    <w:rPr>
      <w:sz w:val="20"/>
      <w:szCs w:val="20"/>
    </w:rPr>
  </w:style>
  <w:style w:type="character" w:customStyle="1" w:styleId="CommentTextChar">
    <w:name w:val="Comment Text Char"/>
    <w:basedOn w:val="DefaultParagraphFont"/>
    <w:link w:val="CommentText"/>
    <w:uiPriority w:val="99"/>
    <w:semiHidden/>
    <w:rsid w:val="00C417D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417D1"/>
    <w:rPr>
      <w:b/>
      <w:bCs/>
    </w:rPr>
  </w:style>
  <w:style w:type="character" w:customStyle="1" w:styleId="CommentSubjectChar">
    <w:name w:val="Comment Subject Char"/>
    <w:basedOn w:val="CommentTextChar"/>
    <w:link w:val="CommentSubject"/>
    <w:uiPriority w:val="99"/>
    <w:semiHidden/>
    <w:rsid w:val="00C417D1"/>
    <w:rPr>
      <w:rFonts w:ascii="Times New Roman" w:eastAsia="Times New Roman" w:hAnsi="Times New Roman"/>
      <w:b/>
      <w:bCs/>
    </w:rPr>
  </w:style>
  <w:style w:type="character" w:styleId="FollowedHyperlink">
    <w:name w:val="FollowedHyperlink"/>
    <w:basedOn w:val="DefaultParagraphFont"/>
    <w:uiPriority w:val="99"/>
    <w:semiHidden/>
    <w:unhideWhenUsed/>
    <w:rsid w:val="007D7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78681">
      <w:bodyDiv w:val="1"/>
      <w:marLeft w:val="0"/>
      <w:marRight w:val="0"/>
      <w:marTop w:val="0"/>
      <w:marBottom w:val="0"/>
      <w:divBdr>
        <w:top w:val="none" w:sz="0" w:space="0" w:color="auto"/>
        <w:left w:val="none" w:sz="0" w:space="0" w:color="auto"/>
        <w:bottom w:val="none" w:sz="0" w:space="0" w:color="auto"/>
        <w:right w:val="none" w:sz="0" w:space="0" w:color="auto"/>
      </w:divBdr>
      <w:divsChild>
        <w:div w:id="1631203522">
          <w:marLeft w:val="0"/>
          <w:marRight w:val="0"/>
          <w:marTop w:val="0"/>
          <w:marBottom w:val="0"/>
          <w:divBdr>
            <w:top w:val="none" w:sz="0" w:space="0" w:color="auto"/>
            <w:left w:val="none" w:sz="0" w:space="0" w:color="auto"/>
            <w:bottom w:val="none" w:sz="0" w:space="0" w:color="auto"/>
            <w:right w:val="none" w:sz="0" w:space="0" w:color="auto"/>
          </w:divBdr>
        </w:div>
        <w:div w:id="321855504">
          <w:marLeft w:val="0"/>
          <w:marRight w:val="0"/>
          <w:marTop w:val="0"/>
          <w:marBottom w:val="0"/>
          <w:divBdr>
            <w:top w:val="none" w:sz="0" w:space="0" w:color="auto"/>
            <w:left w:val="none" w:sz="0" w:space="0" w:color="auto"/>
            <w:bottom w:val="none" w:sz="0" w:space="0" w:color="auto"/>
            <w:right w:val="none" w:sz="0" w:space="0" w:color="auto"/>
          </w:divBdr>
        </w:div>
        <w:div w:id="195123690">
          <w:marLeft w:val="0"/>
          <w:marRight w:val="0"/>
          <w:marTop w:val="0"/>
          <w:marBottom w:val="0"/>
          <w:divBdr>
            <w:top w:val="none" w:sz="0" w:space="0" w:color="auto"/>
            <w:left w:val="none" w:sz="0" w:space="0" w:color="auto"/>
            <w:bottom w:val="none" w:sz="0" w:space="0" w:color="auto"/>
            <w:right w:val="none" w:sz="0" w:space="0" w:color="auto"/>
          </w:divBdr>
        </w:div>
        <w:div w:id="1979724841">
          <w:marLeft w:val="0"/>
          <w:marRight w:val="0"/>
          <w:marTop w:val="0"/>
          <w:marBottom w:val="0"/>
          <w:divBdr>
            <w:top w:val="none" w:sz="0" w:space="0" w:color="auto"/>
            <w:left w:val="none" w:sz="0" w:space="0" w:color="auto"/>
            <w:bottom w:val="none" w:sz="0" w:space="0" w:color="auto"/>
            <w:right w:val="none" w:sz="0" w:space="0" w:color="auto"/>
          </w:divBdr>
        </w:div>
        <w:div w:id="600576889">
          <w:marLeft w:val="0"/>
          <w:marRight w:val="0"/>
          <w:marTop w:val="0"/>
          <w:marBottom w:val="0"/>
          <w:divBdr>
            <w:top w:val="none" w:sz="0" w:space="0" w:color="auto"/>
            <w:left w:val="none" w:sz="0" w:space="0" w:color="auto"/>
            <w:bottom w:val="none" w:sz="0" w:space="0" w:color="auto"/>
            <w:right w:val="none" w:sz="0" w:space="0" w:color="auto"/>
          </w:divBdr>
        </w:div>
        <w:div w:id="328749504">
          <w:marLeft w:val="0"/>
          <w:marRight w:val="0"/>
          <w:marTop w:val="0"/>
          <w:marBottom w:val="0"/>
          <w:divBdr>
            <w:top w:val="none" w:sz="0" w:space="0" w:color="auto"/>
            <w:left w:val="none" w:sz="0" w:space="0" w:color="auto"/>
            <w:bottom w:val="none" w:sz="0" w:space="0" w:color="auto"/>
            <w:right w:val="none" w:sz="0" w:space="0" w:color="auto"/>
          </w:divBdr>
        </w:div>
        <w:div w:id="1378357230">
          <w:marLeft w:val="0"/>
          <w:marRight w:val="0"/>
          <w:marTop w:val="0"/>
          <w:marBottom w:val="0"/>
          <w:divBdr>
            <w:top w:val="none" w:sz="0" w:space="0" w:color="auto"/>
            <w:left w:val="none" w:sz="0" w:space="0" w:color="auto"/>
            <w:bottom w:val="none" w:sz="0" w:space="0" w:color="auto"/>
            <w:right w:val="none" w:sz="0" w:space="0" w:color="auto"/>
          </w:divBdr>
        </w:div>
      </w:divsChild>
    </w:div>
    <w:div w:id="8966667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fr/D&#233;cisions/9.COM/13.e" TargetMode="External"/><Relationship Id="rId18" Type="http://schemas.openxmlformats.org/officeDocument/2006/relationships/hyperlink" Target="http://unesdoc.unesco.org/images/0022/002230/223095F.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nesco.org/culture/ich/fr/Decisions/10.COM/15.a" TargetMode="External"/><Relationship Id="rId7" Type="http://schemas.openxmlformats.org/officeDocument/2006/relationships/endnotes" Target="endnotes.xml"/><Relationship Id="rId12" Type="http://schemas.openxmlformats.org/officeDocument/2006/relationships/hyperlink" Target="http://unesdoc.unesco.org/images/0024/002443/244305e.pdf" TargetMode="External"/><Relationship Id="rId17" Type="http://schemas.openxmlformats.org/officeDocument/2006/relationships/hyperlink" Target="http://unesdoc.unesco.org/images/0023/002344/234443F.pdf" TargetMode="External"/><Relationship Id="rId25" Type="http://schemas.openxmlformats.org/officeDocument/2006/relationships/hyperlink" Target="http://www.unesco.org/culture/ich/fr/Decisions/10.COM/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esco.org/culture/ich/fr/Decisions/10.COM/15.a" TargetMode="External"/><Relationship Id="rId20" Type="http://schemas.openxmlformats.org/officeDocument/2006/relationships/hyperlink" Target="http://www.unesco.org/culture/ich/fr/Decisions/10.COM/1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doc/src/ITH-16-11.COM_2.BUR-INF.1_FR.docx" TargetMode="External"/><Relationship Id="rId24" Type="http://schemas.openxmlformats.org/officeDocument/2006/relationships/hyperlink" Target="http://www.unesco.org/culture/ich/fr/Decisions/8.COM/5.c.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sco.org/culture/ich/fr/Decisions/10.COM/14.a" TargetMode="External"/><Relationship Id="rId23" Type="http://schemas.openxmlformats.org/officeDocument/2006/relationships/hyperlink" Target="http://www.unesco.org/culture/ich/fr/Decisions/9.COM/13.e" TargetMode="External"/><Relationship Id="rId28" Type="http://schemas.openxmlformats.org/officeDocument/2006/relationships/footer" Target="footer1.xml"/><Relationship Id="rId10" Type="http://schemas.openxmlformats.org/officeDocument/2006/relationships/hyperlink" Target="http://www.unesco.org/culture/ich/doc/src/ITH-16-11.COM_2.BUR-INF.1_FR.docx" TargetMode="External"/><Relationship Id="rId19" Type="http://schemas.openxmlformats.org/officeDocument/2006/relationships/hyperlink" Target="http://www.unesco.org/culture/ich/fr/Decisions/8.COM/5.c.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esco.org/culture/ich/doc/src/ITH-14-9.COM_2.BUR-Decision-FR.doc" TargetMode="External"/><Relationship Id="rId14" Type="http://schemas.openxmlformats.org/officeDocument/2006/relationships/hyperlink" Target="http://www.unesco.org/culture/ich/doc/src/ITH-16-11.COM_2.BUR-INF.1_FR.docx" TargetMode="External"/><Relationship Id="rId22" Type="http://schemas.openxmlformats.org/officeDocument/2006/relationships/hyperlink" Target="http://www.unesco.org/culture/ich/fr/Decisions/10.COM/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unesco.org/culture/ich/fr/D&#233;cisions/10.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8420-2C0E-40A3-B6CE-8B7ADAE8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document_FR</Template>
  <TotalTime>61</TotalTime>
  <Pages>14</Pages>
  <Words>6858</Words>
  <Characters>37725</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De Sancristobal, Berta</cp:lastModifiedBy>
  <cp:revision>7</cp:revision>
  <cp:lastPrinted>2011-08-06T09:22:00Z</cp:lastPrinted>
  <dcterms:created xsi:type="dcterms:W3CDTF">2016-05-29T14:54:00Z</dcterms:created>
  <dcterms:modified xsi:type="dcterms:W3CDTF">2016-06-02T09:33:00Z</dcterms:modified>
</cp:coreProperties>
</file>