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E5" w:rsidRPr="00DC2DAE" w:rsidRDefault="00415FA1" w:rsidP="0005458E">
      <w:pPr>
        <w:spacing w:before="1440"/>
        <w:jc w:val="center"/>
        <w:rPr>
          <w:rFonts w:ascii="Arial" w:hAnsi="Arial" w:cs="Arial"/>
          <w:b/>
          <w:sz w:val="22"/>
          <w:szCs w:val="22"/>
        </w:rPr>
      </w:pPr>
      <w:r>
        <w:rPr>
          <w:rFonts w:ascii="Arial" w:hAnsi="Arial" w:cs="Arial"/>
          <w:b/>
          <w:sz w:val="22"/>
          <w:szCs w:val="22"/>
        </w:rPr>
        <w:t>C</w:t>
      </w:r>
      <w:r w:rsidR="00F3749C" w:rsidRPr="00DC2DAE">
        <w:rPr>
          <w:rFonts w:ascii="Arial" w:hAnsi="Arial" w:cs="Arial"/>
          <w:b/>
          <w:sz w:val="22"/>
          <w:szCs w:val="22"/>
        </w:rPr>
        <w:t xml:space="preserve">ONVENTION FOR THE SAFEGUARDING OF THE </w:t>
      </w:r>
      <w:r w:rsidR="00F3749C" w:rsidRPr="00DC2DAE">
        <w:rPr>
          <w:rFonts w:ascii="Arial" w:hAnsi="Arial" w:cs="Arial"/>
          <w:b/>
          <w:sz w:val="22"/>
          <w:szCs w:val="22"/>
        </w:rPr>
        <w:br/>
        <w:t>INTANGIBLE CULTURAL HERITAGE</w:t>
      </w:r>
    </w:p>
    <w:p w:rsidR="008724E5" w:rsidRPr="00DC2DAE" w:rsidRDefault="00CB149B" w:rsidP="0005458E">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 xml:space="preserve"> SAFEGUARDING OF THE INTANGIBLE CULTURAL HERITAGE</w:t>
      </w:r>
    </w:p>
    <w:p w:rsidR="00400C15" w:rsidRPr="00C16DFA" w:rsidRDefault="00400C15" w:rsidP="00400C15">
      <w:pPr>
        <w:spacing w:before="840"/>
        <w:jc w:val="center"/>
        <w:rPr>
          <w:rFonts w:ascii="Arial" w:hAnsi="Arial" w:cs="Arial"/>
          <w:b/>
          <w:sz w:val="22"/>
          <w:szCs w:val="22"/>
          <w:lang w:val="en-US"/>
        </w:rPr>
      </w:pPr>
      <w:r w:rsidRPr="00C16DFA">
        <w:rPr>
          <w:rFonts w:ascii="Arial" w:hAnsi="Arial" w:cs="Arial"/>
          <w:b/>
          <w:sz w:val="22"/>
          <w:szCs w:val="22"/>
          <w:lang w:val="en-US"/>
        </w:rPr>
        <w:t>Electronic Bureau consultation</w:t>
      </w:r>
    </w:p>
    <w:p w:rsidR="00400C15" w:rsidRPr="00C16DFA" w:rsidRDefault="003650A4" w:rsidP="00400C15">
      <w:pPr>
        <w:spacing w:after="1920"/>
        <w:jc w:val="center"/>
        <w:rPr>
          <w:rFonts w:ascii="Arial" w:hAnsi="Arial" w:cs="Arial"/>
          <w:b/>
          <w:sz w:val="22"/>
          <w:szCs w:val="22"/>
          <w:lang w:val="en-US"/>
        </w:rPr>
      </w:pPr>
      <w:r>
        <w:rPr>
          <w:rFonts w:ascii="Arial" w:hAnsi="Arial" w:cs="Arial"/>
          <w:b/>
          <w:sz w:val="22"/>
          <w:szCs w:val="22"/>
          <w:lang w:val="en-US"/>
        </w:rPr>
        <w:t>2</w:t>
      </w:r>
      <w:r w:rsidR="00400C15" w:rsidRPr="00C16DFA">
        <w:rPr>
          <w:rFonts w:ascii="Arial" w:hAnsi="Arial" w:cs="Arial"/>
          <w:b/>
          <w:sz w:val="22"/>
          <w:szCs w:val="22"/>
          <w:lang w:val="en-US"/>
        </w:rPr>
        <w:t xml:space="preserve"> to 1</w:t>
      </w:r>
      <w:r w:rsidR="00775EDA">
        <w:rPr>
          <w:rFonts w:ascii="Arial" w:hAnsi="Arial" w:cs="Arial"/>
          <w:b/>
          <w:sz w:val="22"/>
          <w:szCs w:val="22"/>
          <w:lang w:val="en-US"/>
        </w:rPr>
        <w:t>7</w:t>
      </w:r>
      <w:r w:rsidR="00400C15" w:rsidRPr="00C16DFA">
        <w:rPr>
          <w:rFonts w:ascii="Arial" w:hAnsi="Arial" w:cs="Arial"/>
          <w:b/>
          <w:sz w:val="22"/>
          <w:szCs w:val="22"/>
          <w:lang w:val="en-US"/>
        </w:rPr>
        <w:t xml:space="preserve"> </w:t>
      </w:r>
      <w:r>
        <w:rPr>
          <w:rFonts w:ascii="Arial" w:hAnsi="Arial" w:cs="Arial"/>
          <w:b/>
          <w:sz w:val="22"/>
          <w:szCs w:val="22"/>
          <w:lang w:val="en-US"/>
        </w:rPr>
        <w:t>June</w:t>
      </w:r>
      <w:r w:rsidR="00400C15" w:rsidRPr="00C16DFA">
        <w:rPr>
          <w:rFonts w:ascii="Arial" w:hAnsi="Arial" w:cs="Arial"/>
          <w:b/>
          <w:sz w:val="22"/>
          <w:szCs w:val="22"/>
          <w:lang w:val="en-US"/>
        </w:rPr>
        <w:t xml:space="preserve"> 2016</w:t>
      </w:r>
    </w:p>
    <w:p w:rsidR="005C2A56" w:rsidRPr="00905D57" w:rsidRDefault="005C2A56" w:rsidP="005C2A56">
      <w:pPr>
        <w:spacing w:after="240"/>
        <w:jc w:val="center"/>
        <w:rPr>
          <w:rFonts w:ascii="Arial" w:eastAsia="SimSun" w:hAnsi="Arial" w:cs="Arial"/>
          <w:sz w:val="22"/>
          <w:szCs w:val="22"/>
        </w:rPr>
      </w:pPr>
      <w:bookmarkStart w:id="0" w:name="_GoBack"/>
      <w:bookmarkEnd w:id="0"/>
      <w:r w:rsidRPr="00905D57">
        <w:rPr>
          <w:rFonts w:ascii="Arial" w:hAnsi="Arial" w:cs="Arial"/>
          <w:b/>
          <w:sz w:val="22"/>
          <w:szCs w:val="22"/>
          <w:u w:val="single"/>
        </w:rPr>
        <w:t>DECISIONS</w:t>
      </w:r>
    </w:p>
    <w:p w:rsidR="00400C15" w:rsidRDefault="00EF563B" w:rsidP="00661B42">
      <w:pPr>
        <w:pStyle w:val="COMTitleDecision"/>
        <w:spacing w:before="360"/>
        <w:ind w:left="0"/>
      </w:pPr>
      <w:r w:rsidRPr="00DC2DAE">
        <w:br w:type="page"/>
      </w:r>
      <w:r w:rsidR="003650A4" w:rsidRPr="00696A00">
        <w:lastRenderedPageBreak/>
        <w:t>DECISION 11.COM 2.BUR </w:t>
      </w:r>
      <w:r w:rsidR="003650A4">
        <w:t>1</w:t>
      </w:r>
    </w:p>
    <w:p w:rsidR="003650A4" w:rsidRPr="003650A4" w:rsidRDefault="003650A4" w:rsidP="003650A4">
      <w:pPr>
        <w:pStyle w:val="Marge"/>
        <w:keepNext/>
        <w:spacing w:before="240" w:after="120"/>
        <w:ind w:left="567" w:hanging="567"/>
        <w:rPr>
          <w:rFonts w:cs="Arial"/>
          <w:szCs w:val="22"/>
        </w:rPr>
      </w:pPr>
      <w:r w:rsidRPr="003650A4">
        <w:rPr>
          <w:rFonts w:cs="Arial"/>
          <w:szCs w:val="22"/>
        </w:rPr>
        <w:t>The Bureau,</w:t>
      </w:r>
    </w:p>
    <w:p w:rsidR="003650A4" w:rsidRPr="00696A00" w:rsidRDefault="003650A4" w:rsidP="003650A4">
      <w:pPr>
        <w:pStyle w:val="COMParaDecision"/>
        <w:ind w:left="567" w:hanging="567"/>
      </w:pPr>
      <w:r w:rsidRPr="00696A00">
        <w:t>Having examined</w:t>
      </w:r>
      <w:r w:rsidRPr="00696A00">
        <w:rPr>
          <w:u w:val="none"/>
        </w:rPr>
        <w:t xml:space="preserve"> document</w:t>
      </w:r>
      <w:r>
        <w:rPr>
          <w:u w:val="none"/>
        </w:rPr>
        <w:t>s</w:t>
      </w:r>
      <w:r w:rsidRPr="00696A00">
        <w:rPr>
          <w:u w:val="none"/>
        </w:rPr>
        <w:t xml:space="preserve"> </w:t>
      </w:r>
      <w:r w:rsidRPr="00005E68">
        <w:rPr>
          <w:u w:val="none"/>
        </w:rPr>
        <w:t>ITH/16/11.COM</w:t>
      </w:r>
      <w:r>
        <w:rPr>
          <w:u w:val="none"/>
        </w:rPr>
        <w:t> </w:t>
      </w:r>
      <w:r w:rsidRPr="00005E68">
        <w:rPr>
          <w:u w:val="none"/>
        </w:rPr>
        <w:t>2.BUR/1</w:t>
      </w:r>
      <w:r>
        <w:rPr>
          <w:u w:val="none"/>
        </w:rPr>
        <w:t xml:space="preserve"> and its annex and document </w:t>
      </w:r>
      <w:r w:rsidRPr="00005E68">
        <w:rPr>
          <w:u w:val="none"/>
        </w:rPr>
        <w:t>ITH/16/11.COM 2.BUR/INF.1</w:t>
      </w:r>
      <w:r>
        <w:rPr>
          <w:u w:val="none"/>
        </w:rPr>
        <w:t xml:space="preserve">, </w:t>
      </w:r>
    </w:p>
    <w:p w:rsidR="003650A4" w:rsidRPr="00005E68" w:rsidRDefault="003650A4" w:rsidP="003650A4">
      <w:pPr>
        <w:pStyle w:val="COMParaDecision"/>
        <w:ind w:left="567" w:hanging="567"/>
        <w:jc w:val="left"/>
      </w:pPr>
      <w:r w:rsidRPr="00696A00">
        <w:t>Recalling</w:t>
      </w:r>
      <w:r w:rsidRPr="00696A00">
        <w:rPr>
          <w:u w:val="none"/>
        </w:rPr>
        <w:t xml:space="preserve"> </w:t>
      </w:r>
      <w:r>
        <w:rPr>
          <w:u w:val="none"/>
        </w:rPr>
        <w:t>Resolution 6.GA 9 and Decision 10.COM 8</w:t>
      </w:r>
      <w:r w:rsidRPr="00696A00">
        <w:rPr>
          <w:u w:val="none"/>
        </w:rPr>
        <w:t>,</w:t>
      </w:r>
    </w:p>
    <w:p w:rsidR="003650A4" w:rsidRPr="003A19C0" w:rsidRDefault="003650A4" w:rsidP="003650A4">
      <w:pPr>
        <w:pStyle w:val="COMParaDecision"/>
        <w:ind w:left="567" w:hanging="567"/>
        <w:rPr>
          <w:u w:val="none"/>
        </w:rPr>
      </w:pPr>
      <w:r w:rsidRPr="003A19C0">
        <w:t>Approves</w:t>
      </w:r>
      <w:r w:rsidRPr="003A19C0">
        <w:rPr>
          <w:u w:val="none"/>
        </w:rPr>
        <w:t xml:space="preserve"> the Proposal for the utilization of the funds for ‘other functions of the Committee’ as annexed to this Decision;</w:t>
      </w:r>
    </w:p>
    <w:p w:rsidR="003650A4" w:rsidRPr="003A19C0" w:rsidRDefault="003650A4" w:rsidP="003650A4">
      <w:pPr>
        <w:pStyle w:val="COMParaDecision"/>
        <w:ind w:left="567" w:hanging="567"/>
        <w:rPr>
          <w:u w:val="none"/>
        </w:rPr>
      </w:pPr>
      <w:r w:rsidRPr="003A19C0">
        <w:t>Requests</w:t>
      </w:r>
      <w:r w:rsidRPr="003A19C0">
        <w:rPr>
          <w:u w:val="none"/>
        </w:rPr>
        <w:t xml:space="preserve"> the Secretariat to report on the progress of implementation and the way the funds are spent;</w:t>
      </w:r>
    </w:p>
    <w:p w:rsidR="003650A4" w:rsidRDefault="003650A4" w:rsidP="003650A4">
      <w:pPr>
        <w:pStyle w:val="COMParaDecision"/>
        <w:ind w:left="567" w:hanging="567"/>
        <w:rPr>
          <w:u w:val="none"/>
        </w:rPr>
      </w:pPr>
      <w:r w:rsidRPr="003A19C0">
        <w:t>Invites</w:t>
      </w:r>
      <w:r w:rsidRPr="003A19C0">
        <w:rPr>
          <w:u w:val="none"/>
        </w:rPr>
        <w:t xml:space="preserve"> the Chairperson of the Committee to bring this decision to the attention of the Committee at its </w:t>
      </w:r>
      <w:r>
        <w:rPr>
          <w:u w:val="none"/>
        </w:rPr>
        <w:t>eleventh</w:t>
      </w:r>
      <w:r w:rsidRPr="003A19C0">
        <w:rPr>
          <w:u w:val="none"/>
        </w:rPr>
        <w:t xml:space="preserve"> session.</w:t>
      </w:r>
    </w:p>
    <w:p w:rsidR="003650A4" w:rsidRPr="00696A00" w:rsidRDefault="003650A4" w:rsidP="003650A4">
      <w:pPr>
        <w:pStyle w:val="Marge"/>
        <w:tabs>
          <w:tab w:val="clear" w:pos="567"/>
        </w:tabs>
        <w:spacing w:before="120" w:after="120"/>
        <w:jc w:val="center"/>
        <w:rPr>
          <w:rFonts w:cs="Arial"/>
          <w:b/>
          <w:bCs/>
          <w:szCs w:val="22"/>
        </w:rPr>
      </w:pPr>
      <w:r w:rsidRPr="00696A00">
        <w:rPr>
          <w:rFonts w:cs="Arial"/>
          <w:b/>
          <w:bCs/>
          <w:szCs w:val="22"/>
        </w:rPr>
        <w:t>ANNEX</w:t>
      </w:r>
    </w:p>
    <w:p w:rsidR="003650A4" w:rsidRPr="00696A00" w:rsidRDefault="003650A4" w:rsidP="003650A4">
      <w:pPr>
        <w:pStyle w:val="Marge"/>
        <w:tabs>
          <w:tab w:val="clear" w:pos="567"/>
        </w:tabs>
        <w:spacing w:before="120" w:after="120"/>
        <w:jc w:val="center"/>
        <w:rPr>
          <w:rFonts w:cs="Arial"/>
          <w:b/>
          <w:bCs/>
          <w:szCs w:val="22"/>
        </w:rPr>
      </w:pPr>
      <w:r w:rsidRPr="00696A00">
        <w:rPr>
          <w:rFonts w:cs="Arial"/>
          <w:b/>
          <w:bCs/>
          <w:szCs w:val="22"/>
        </w:rPr>
        <w:t>Proposal for the utilization of the funds for ‘other functions of the Committee’</w:t>
      </w:r>
      <w:r>
        <w:rPr>
          <w:rFonts w:cs="Arial"/>
          <w:b/>
          <w:bCs/>
          <w:szCs w:val="22"/>
        </w:rPr>
        <w:br/>
        <w:t>for the period</w:t>
      </w:r>
      <w:r w:rsidRPr="00696A00">
        <w:rPr>
          <w:rFonts w:cs="Arial"/>
          <w:b/>
          <w:bCs/>
          <w:szCs w:val="22"/>
        </w:rPr>
        <w:t xml:space="preserve"> 1 January 2016 to 31 December 2017</w:t>
      </w:r>
    </w:p>
    <w:p w:rsidR="003650A4" w:rsidRPr="00696A00" w:rsidRDefault="003650A4" w:rsidP="003650A4">
      <w:pPr>
        <w:pStyle w:val="Marge"/>
        <w:spacing w:before="360" w:after="360"/>
        <w:rPr>
          <w:rFonts w:cs="Arial"/>
          <w:szCs w:val="22"/>
        </w:rPr>
      </w:pPr>
      <w:r w:rsidRPr="00696A00">
        <w:rPr>
          <w:rFonts w:cs="Arial"/>
          <w:szCs w:val="22"/>
        </w:rPr>
        <w:t>Funds shall be used in conformity with the Financial Regulations of the Special Account for the Fund for the Safeguarding of the Intangible Cultural Heritage and the Financial Regulations of UNESCO to cover all costs in line with full budgeting principles to achieve the project’s objectives. These costs include</w:t>
      </w:r>
      <w:r>
        <w:rPr>
          <w:rFonts w:cs="Arial"/>
          <w:szCs w:val="22"/>
        </w:rPr>
        <w:t>:</w:t>
      </w:r>
      <w:r w:rsidRPr="00696A00">
        <w:rPr>
          <w:rFonts w:cs="Arial"/>
          <w:szCs w:val="22"/>
        </w:rPr>
        <w:t xml:space="preserve"> training, seminars and meetings; preparation of technical reports; monitoring and evaluation; subcontracts; staff; travel; equipment</w:t>
      </w:r>
      <w:r>
        <w:rPr>
          <w:rFonts w:cs="Arial"/>
          <w:szCs w:val="22"/>
        </w:rPr>
        <w:t>;</w:t>
      </w:r>
      <w:r w:rsidRPr="00696A00">
        <w:rPr>
          <w:rFonts w:cs="Arial"/>
          <w:szCs w:val="22"/>
        </w:rPr>
        <w:t xml:space="preserve"> and any other item necessary to implement the project’s activities.</w:t>
      </w:r>
    </w:p>
    <w:tbl>
      <w:tblPr>
        <w:tblStyle w:val="TableGrid"/>
        <w:tblW w:w="5000" w:type="pct"/>
        <w:tblLayout w:type="fixed"/>
        <w:tblLook w:val="04A0" w:firstRow="1" w:lastRow="0" w:firstColumn="1" w:lastColumn="0" w:noHBand="0" w:noVBand="1"/>
      </w:tblPr>
      <w:tblGrid>
        <w:gridCol w:w="2263"/>
        <w:gridCol w:w="7365"/>
      </w:tblGrid>
      <w:tr w:rsidR="003650A4" w:rsidRPr="00696A00" w:rsidTr="00246717">
        <w:trPr>
          <w:cantSplit/>
        </w:trPr>
        <w:tc>
          <w:tcPr>
            <w:tcW w:w="1175" w:type="pct"/>
            <w:shd w:val="clear" w:color="auto" w:fill="F2F2F2" w:themeFill="background1" w:themeFillShade="F2"/>
            <w:vAlign w:val="center"/>
          </w:tcPr>
          <w:p w:rsidR="003650A4" w:rsidRPr="00696A00" w:rsidRDefault="003650A4" w:rsidP="00246717">
            <w:pPr>
              <w:keepNext/>
              <w:spacing w:before="120" w:after="120"/>
              <w:rPr>
                <w:rFonts w:ascii="Arial" w:hAnsi="Arial" w:cs="Arial"/>
                <w:b/>
                <w:bCs/>
                <w:sz w:val="22"/>
                <w:szCs w:val="22"/>
              </w:rPr>
            </w:pPr>
            <w:r w:rsidRPr="00696A00">
              <w:rPr>
                <w:rFonts w:ascii="Arial" w:hAnsi="Arial" w:cs="Arial"/>
                <w:b/>
                <w:bCs/>
                <w:sz w:val="22"/>
                <w:szCs w:val="22"/>
              </w:rPr>
              <w:t>199OTH4138</w:t>
            </w:r>
          </w:p>
        </w:tc>
        <w:tc>
          <w:tcPr>
            <w:tcW w:w="3825" w:type="pct"/>
            <w:shd w:val="clear" w:color="auto" w:fill="F2F2F2" w:themeFill="background1" w:themeFillShade="F2"/>
            <w:vAlign w:val="center"/>
          </w:tcPr>
          <w:p w:rsidR="003650A4" w:rsidRPr="00696A00" w:rsidRDefault="003650A4" w:rsidP="00246717">
            <w:pPr>
              <w:keepNext/>
              <w:spacing w:before="120" w:after="120"/>
              <w:rPr>
                <w:rFonts w:ascii="Arial" w:hAnsi="Arial" w:cs="Arial"/>
                <w:b/>
                <w:bCs/>
                <w:sz w:val="22"/>
                <w:szCs w:val="22"/>
              </w:rPr>
            </w:pPr>
            <w:r w:rsidRPr="00696A00">
              <w:rPr>
                <w:rFonts w:ascii="Arial" w:hAnsi="Arial" w:cs="Arial"/>
                <w:b/>
                <w:bCs/>
                <w:sz w:val="22"/>
                <w:szCs w:val="22"/>
              </w:rPr>
              <w:t xml:space="preserve">Total budgetary allocation: </w:t>
            </w:r>
            <w:r w:rsidRPr="00696A00">
              <w:rPr>
                <w:rFonts w:ascii="Arial" w:hAnsi="Arial" w:cs="Arial"/>
                <w:b/>
                <w:bCs/>
                <w:sz w:val="22"/>
                <w:szCs w:val="22"/>
              </w:rPr>
              <w:br/>
              <w:t xml:space="preserve">US$1,590,746.00 </w:t>
            </w:r>
          </w:p>
        </w:tc>
      </w:tr>
    </w:tbl>
    <w:p w:rsidR="003650A4" w:rsidRPr="00696A00" w:rsidRDefault="003650A4" w:rsidP="003650A4">
      <w:pPr>
        <w:pStyle w:val="Marge"/>
        <w:spacing w:before="120" w:after="120"/>
        <w:rPr>
          <w:rFonts w:cs="Arial"/>
          <w:b/>
          <w:bCs/>
          <w:szCs w:val="22"/>
        </w:rPr>
      </w:pPr>
    </w:p>
    <w:tbl>
      <w:tblPr>
        <w:tblStyle w:val="TableGrid"/>
        <w:tblW w:w="5000" w:type="pct"/>
        <w:tblLook w:val="04A0" w:firstRow="1" w:lastRow="0" w:firstColumn="1" w:lastColumn="0" w:noHBand="0" w:noVBand="1"/>
      </w:tblPr>
      <w:tblGrid>
        <w:gridCol w:w="730"/>
        <w:gridCol w:w="1558"/>
        <w:gridCol w:w="2890"/>
        <w:gridCol w:w="4450"/>
      </w:tblGrid>
      <w:tr w:rsidR="003650A4" w:rsidRPr="00104B05" w:rsidTr="003650A4">
        <w:tc>
          <w:tcPr>
            <w:tcW w:w="1188" w:type="pct"/>
            <w:gridSpan w:val="2"/>
            <w:shd w:val="clear" w:color="auto" w:fill="808080" w:themeFill="background1" w:themeFillShade="80"/>
            <w:vAlign w:val="center"/>
          </w:tcPr>
          <w:p w:rsidR="003650A4" w:rsidRPr="00696A00" w:rsidRDefault="003650A4" w:rsidP="00246717">
            <w:pPr>
              <w:keepNext/>
              <w:spacing w:before="120" w:after="120"/>
              <w:rPr>
                <w:rFonts w:ascii="Arial" w:hAnsi="Arial" w:cs="Arial"/>
                <w:b/>
                <w:bCs/>
                <w:color w:val="FFFFFF" w:themeColor="background1"/>
                <w:sz w:val="22"/>
                <w:szCs w:val="22"/>
              </w:rPr>
            </w:pPr>
            <w:r w:rsidRPr="00696A00">
              <w:rPr>
                <w:rFonts w:ascii="Arial" w:hAnsi="Arial" w:cs="Arial"/>
                <w:b/>
                <w:bCs/>
                <w:color w:val="FFFFFF" w:themeColor="background1"/>
                <w:sz w:val="22"/>
                <w:szCs w:val="22"/>
              </w:rPr>
              <w:t>38C/5 Performance Indicator 1</w:t>
            </w:r>
          </w:p>
        </w:tc>
        <w:tc>
          <w:tcPr>
            <w:tcW w:w="3812" w:type="pct"/>
            <w:gridSpan w:val="2"/>
            <w:shd w:val="clear" w:color="auto" w:fill="808080" w:themeFill="background1" w:themeFillShade="80"/>
            <w:vAlign w:val="center"/>
          </w:tcPr>
          <w:p w:rsidR="003650A4" w:rsidRPr="00696A00" w:rsidRDefault="003650A4" w:rsidP="00246717">
            <w:pPr>
              <w:keepNext/>
              <w:spacing w:before="120" w:after="120"/>
              <w:rPr>
                <w:rFonts w:ascii="Arial" w:hAnsi="Arial" w:cs="Arial"/>
                <w:b/>
                <w:bCs/>
                <w:color w:val="FFFFFF" w:themeColor="background1"/>
                <w:sz w:val="22"/>
                <w:szCs w:val="22"/>
              </w:rPr>
            </w:pPr>
            <w:r w:rsidRPr="00696A00">
              <w:rPr>
                <w:rFonts w:ascii="Arial" w:hAnsi="Arial" w:cs="Arial"/>
                <w:b/>
                <w:bCs/>
                <w:color w:val="FFFFFF" w:themeColor="background1"/>
                <w:sz w:val="22"/>
                <w:szCs w:val="22"/>
              </w:rPr>
              <w:t>Governing bodies of the 2003 Convention exercise sound governance thanks to effective organization of their statutory meetings</w:t>
            </w:r>
          </w:p>
        </w:tc>
      </w:tr>
      <w:tr w:rsidR="003650A4" w:rsidRPr="00104B05" w:rsidTr="003650A4">
        <w:tc>
          <w:tcPr>
            <w:tcW w:w="1188"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ICH Fund Expected Result 1</w:t>
            </w:r>
          </w:p>
        </w:tc>
        <w:tc>
          <w:tcPr>
            <w:tcW w:w="3812"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Sound governance of the 2003 Convention facilitated by enhanced knowledge management services</w:t>
            </w:r>
          </w:p>
        </w:tc>
      </w:tr>
      <w:tr w:rsidR="003650A4" w:rsidRPr="00696A00" w:rsidTr="003650A4">
        <w:tc>
          <w:tcPr>
            <w:tcW w:w="1188" w:type="pct"/>
            <w:gridSpan w:val="2"/>
            <w:shd w:val="clear" w:color="auto" w:fill="auto"/>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199OTH4138.2</w:t>
            </w:r>
          </w:p>
        </w:tc>
        <w:tc>
          <w:tcPr>
            <w:tcW w:w="3812"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 xml:space="preserve">Budgetary allocation: </w:t>
            </w:r>
            <w:r w:rsidRPr="00C06F15">
              <w:rPr>
                <w:rFonts w:ascii="Arial" w:hAnsi="Arial" w:cs="Arial"/>
                <w:b/>
                <w:bCs/>
                <w:sz w:val="22"/>
                <w:szCs w:val="22"/>
              </w:rPr>
              <w:t>US$386,900</w:t>
            </w:r>
          </w:p>
        </w:tc>
      </w:tr>
      <w:tr w:rsidR="003650A4" w:rsidRPr="00696A00" w:rsidTr="003650A4">
        <w:tc>
          <w:tcPr>
            <w:tcW w:w="379" w:type="pct"/>
            <w:shd w:val="clear" w:color="auto" w:fill="F2F2F2" w:themeFill="background1" w:themeFillShade="F2"/>
            <w:vAlign w:val="center"/>
          </w:tcPr>
          <w:p w:rsidR="003650A4" w:rsidRPr="00696A00" w:rsidRDefault="003650A4" w:rsidP="00246717">
            <w:pPr>
              <w:keepNext/>
              <w:spacing w:before="60" w:after="60"/>
              <w:jc w:val="center"/>
              <w:rPr>
                <w:rFonts w:ascii="Arial" w:hAnsi="Arial" w:cs="Arial"/>
                <w:i/>
                <w:iCs/>
                <w:sz w:val="22"/>
                <w:szCs w:val="22"/>
              </w:rPr>
            </w:pPr>
          </w:p>
        </w:tc>
        <w:tc>
          <w:tcPr>
            <w:tcW w:w="2310" w:type="pct"/>
            <w:gridSpan w:val="2"/>
            <w:shd w:val="clear" w:color="auto" w:fill="F2F2F2" w:themeFill="background1" w:themeFillShade="F2"/>
            <w:vAlign w:val="center"/>
          </w:tcPr>
          <w:p w:rsidR="003650A4" w:rsidRPr="00696A00" w:rsidRDefault="003650A4" w:rsidP="00246717">
            <w:pPr>
              <w:keepNext/>
              <w:spacing w:before="60" w:after="60"/>
              <w:jc w:val="center"/>
              <w:rPr>
                <w:rFonts w:ascii="Arial" w:hAnsi="Arial" w:cs="Arial"/>
                <w:i/>
                <w:iCs/>
                <w:sz w:val="22"/>
                <w:szCs w:val="22"/>
              </w:rPr>
            </w:pPr>
            <w:r w:rsidRPr="00696A00">
              <w:rPr>
                <w:rFonts w:ascii="Arial" w:hAnsi="Arial" w:cs="Arial"/>
                <w:i/>
                <w:iCs/>
                <w:sz w:val="22"/>
                <w:szCs w:val="22"/>
              </w:rPr>
              <w:t>Outputs</w:t>
            </w:r>
          </w:p>
        </w:tc>
        <w:tc>
          <w:tcPr>
            <w:tcW w:w="2311" w:type="pct"/>
            <w:shd w:val="clear" w:color="auto" w:fill="F2F2F2" w:themeFill="background1" w:themeFillShade="F2"/>
            <w:vAlign w:val="center"/>
          </w:tcPr>
          <w:p w:rsidR="003650A4" w:rsidRPr="00696A00" w:rsidRDefault="003650A4" w:rsidP="00246717">
            <w:pPr>
              <w:keepNext/>
              <w:spacing w:before="60" w:after="60"/>
              <w:jc w:val="center"/>
              <w:rPr>
                <w:rFonts w:ascii="Arial" w:hAnsi="Arial" w:cs="Arial"/>
                <w:i/>
                <w:iCs/>
                <w:sz w:val="22"/>
                <w:szCs w:val="22"/>
              </w:rPr>
            </w:pPr>
            <w:r w:rsidRPr="00696A00">
              <w:rPr>
                <w:rFonts w:ascii="Arial" w:hAnsi="Arial" w:cs="Arial"/>
                <w:i/>
                <w:iCs/>
                <w:sz w:val="22"/>
                <w:szCs w:val="22"/>
              </w:rPr>
              <w:t>Indicators (Benchmarks) 2016-2017</w:t>
            </w:r>
          </w:p>
        </w:tc>
      </w:tr>
      <w:tr w:rsidR="003650A4" w:rsidRPr="00104B05" w:rsidTr="003650A4">
        <w:tc>
          <w:tcPr>
            <w:tcW w:w="379"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1.1</w:t>
            </w:r>
          </w:p>
        </w:tc>
        <w:tc>
          <w:tcPr>
            <w:tcW w:w="2310" w:type="pct"/>
            <w:gridSpan w:val="2"/>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color w:val="000000"/>
                <w:sz w:val="22"/>
                <w:szCs w:val="22"/>
              </w:rPr>
              <w:t>External and internal access to information increased and processes, workflows and response time optimized thanks to monitoring interfaces</w:t>
            </w:r>
          </w:p>
        </w:tc>
        <w:tc>
          <w:tcPr>
            <w:tcW w:w="2311" w:type="pct"/>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color w:val="000000"/>
                <w:sz w:val="22"/>
                <w:szCs w:val="22"/>
              </w:rPr>
              <w:t>Number of monitoring interfaces (B=3)</w:t>
            </w:r>
          </w:p>
        </w:tc>
      </w:tr>
      <w:tr w:rsidR="003650A4" w:rsidRPr="00104B05" w:rsidTr="003650A4">
        <w:tc>
          <w:tcPr>
            <w:tcW w:w="379"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1.2</w:t>
            </w:r>
          </w:p>
        </w:tc>
        <w:tc>
          <w:tcPr>
            <w:tcW w:w="2310" w:type="pct"/>
            <w:gridSpan w:val="2"/>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color w:val="000000"/>
                <w:sz w:val="22"/>
                <w:szCs w:val="22"/>
              </w:rPr>
              <w:t>Improved accessibility and usability of Convention documents and decisions; better indexing and improved search capacities</w:t>
            </w:r>
          </w:p>
        </w:tc>
        <w:tc>
          <w:tcPr>
            <w:tcW w:w="2311" w:type="pct"/>
            <w:shd w:val="clear" w:color="auto" w:fill="auto"/>
            <w:vAlign w:val="center"/>
          </w:tcPr>
          <w:p w:rsidR="003650A4" w:rsidRPr="00696A00" w:rsidRDefault="003650A4" w:rsidP="00246717">
            <w:pPr>
              <w:spacing w:before="60" w:after="60"/>
              <w:rPr>
                <w:rFonts w:ascii="Arial" w:hAnsi="Arial" w:cs="Arial"/>
                <w:color w:val="000000"/>
                <w:sz w:val="22"/>
                <w:szCs w:val="22"/>
              </w:rPr>
            </w:pPr>
            <w:r w:rsidRPr="00696A00">
              <w:rPr>
                <w:rFonts w:ascii="Arial" w:hAnsi="Arial" w:cs="Arial"/>
                <w:color w:val="000000"/>
                <w:sz w:val="22"/>
                <w:szCs w:val="22"/>
              </w:rPr>
              <w:t>Number of additional decision documents loaded in UNESDOC (B=8)</w:t>
            </w:r>
          </w:p>
          <w:p w:rsidR="003650A4" w:rsidRPr="00696A00" w:rsidRDefault="003650A4" w:rsidP="00246717">
            <w:pPr>
              <w:spacing w:before="60" w:after="60"/>
              <w:rPr>
                <w:rFonts w:ascii="Arial" w:hAnsi="Arial" w:cs="Arial"/>
                <w:iCs/>
                <w:sz w:val="22"/>
                <w:szCs w:val="22"/>
              </w:rPr>
            </w:pPr>
            <w:r w:rsidRPr="00696A00">
              <w:rPr>
                <w:rFonts w:ascii="Arial" w:hAnsi="Arial" w:cs="Arial"/>
                <w:color w:val="000000"/>
                <w:sz w:val="22"/>
                <w:szCs w:val="22"/>
              </w:rPr>
              <w:t>Number of additional decisions/resolutions referenced in the KMS (B=70)</w:t>
            </w:r>
          </w:p>
        </w:tc>
      </w:tr>
      <w:tr w:rsidR="003650A4" w:rsidRPr="00104B05" w:rsidTr="003650A4">
        <w:tc>
          <w:tcPr>
            <w:tcW w:w="379"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1.3</w:t>
            </w:r>
          </w:p>
        </w:tc>
        <w:tc>
          <w:tcPr>
            <w:tcW w:w="2310" w:type="pct"/>
            <w:gridSpan w:val="2"/>
            <w:shd w:val="clear" w:color="auto" w:fill="auto"/>
            <w:vAlign w:val="center"/>
          </w:tcPr>
          <w:p w:rsidR="003650A4" w:rsidRPr="00696A00" w:rsidRDefault="003650A4" w:rsidP="00246717">
            <w:pPr>
              <w:spacing w:before="60" w:after="60"/>
              <w:rPr>
                <w:rFonts w:ascii="Arial" w:hAnsi="Arial" w:cs="Arial"/>
                <w:color w:val="000000"/>
                <w:sz w:val="22"/>
                <w:szCs w:val="22"/>
              </w:rPr>
            </w:pPr>
            <w:r w:rsidRPr="00696A00">
              <w:rPr>
                <w:rFonts w:ascii="Arial" w:hAnsi="Arial" w:cs="Arial"/>
                <w:color w:val="000000"/>
                <w:sz w:val="22"/>
                <w:szCs w:val="22"/>
              </w:rPr>
              <w:t>New online functionalities for external stakeholders</w:t>
            </w:r>
          </w:p>
        </w:tc>
        <w:tc>
          <w:tcPr>
            <w:tcW w:w="2311" w:type="pct"/>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color w:val="000000"/>
                <w:sz w:val="22"/>
                <w:szCs w:val="22"/>
              </w:rPr>
              <w:t>Number of new online processes (B=3)</w:t>
            </w:r>
          </w:p>
        </w:tc>
      </w:tr>
      <w:tr w:rsidR="003650A4" w:rsidRPr="00104B05" w:rsidTr="003650A4">
        <w:tc>
          <w:tcPr>
            <w:tcW w:w="379"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1.4</w:t>
            </w:r>
          </w:p>
        </w:tc>
        <w:tc>
          <w:tcPr>
            <w:tcW w:w="2310" w:type="pct"/>
            <w:gridSpan w:val="2"/>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color w:val="000000"/>
                <w:sz w:val="22"/>
                <w:szCs w:val="22"/>
              </w:rPr>
              <w:t>Convention website enhanced with improved navigation and ergonomics, search engine optimization and additional multilingual web content</w:t>
            </w:r>
          </w:p>
        </w:tc>
        <w:tc>
          <w:tcPr>
            <w:tcW w:w="2311" w:type="pct"/>
            <w:shd w:val="clear" w:color="auto" w:fill="auto"/>
            <w:vAlign w:val="center"/>
          </w:tcPr>
          <w:p w:rsidR="003650A4" w:rsidRPr="00696A00" w:rsidRDefault="003650A4" w:rsidP="00246717">
            <w:pPr>
              <w:spacing w:before="60" w:after="60"/>
              <w:rPr>
                <w:rFonts w:ascii="Arial" w:hAnsi="Arial" w:cs="Arial"/>
                <w:color w:val="000000"/>
                <w:sz w:val="22"/>
                <w:szCs w:val="22"/>
              </w:rPr>
            </w:pPr>
            <w:r w:rsidRPr="00696A00">
              <w:rPr>
                <w:rFonts w:ascii="Arial" w:hAnsi="Arial" w:cs="Arial"/>
                <w:color w:val="000000"/>
                <w:sz w:val="22"/>
                <w:szCs w:val="22"/>
              </w:rPr>
              <w:t>Number of page views (B=4,500,000)</w:t>
            </w:r>
          </w:p>
          <w:p w:rsidR="003650A4" w:rsidRPr="00696A00" w:rsidRDefault="003650A4" w:rsidP="00246717">
            <w:pPr>
              <w:spacing w:before="60" w:after="60"/>
              <w:rPr>
                <w:rFonts w:ascii="Arial" w:hAnsi="Arial" w:cs="Arial"/>
                <w:color w:val="000000"/>
                <w:sz w:val="22"/>
                <w:szCs w:val="22"/>
              </w:rPr>
            </w:pPr>
            <w:r w:rsidRPr="00696A00">
              <w:rPr>
                <w:rFonts w:ascii="Arial" w:hAnsi="Arial" w:cs="Arial"/>
                <w:color w:val="000000"/>
                <w:sz w:val="22"/>
                <w:szCs w:val="22"/>
              </w:rPr>
              <w:t xml:space="preserve">Convention website crafted to provide optimal viewing and interaction from mobile devices (B=1) </w:t>
            </w:r>
          </w:p>
          <w:p w:rsidR="003650A4" w:rsidRPr="00696A00" w:rsidRDefault="003650A4" w:rsidP="00246717">
            <w:pPr>
              <w:spacing w:before="60" w:after="60"/>
              <w:rPr>
                <w:rFonts w:ascii="Arial" w:hAnsi="Arial" w:cs="Arial"/>
                <w:iCs/>
                <w:sz w:val="22"/>
                <w:szCs w:val="22"/>
              </w:rPr>
            </w:pPr>
            <w:r w:rsidRPr="00696A00">
              <w:rPr>
                <w:rFonts w:ascii="Arial" w:hAnsi="Arial" w:cs="Arial"/>
                <w:color w:val="000000"/>
                <w:sz w:val="22"/>
                <w:szCs w:val="22"/>
              </w:rPr>
              <w:t>Number of new web</w:t>
            </w:r>
            <w:r>
              <w:rPr>
                <w:rFonts w:ascii="Arial" w:hAnsi="Arial" w:cs="Arial"/>
                <w:color w:val="000000"/>
                <w:sz w:val="22"/>
                <w:szCs w:val="22"/>
              </w:rPr>
              <w:t xml:space="preserve"> </w:t>
            </w:r>
            <w:r w:rsidRPr="00696A00">
              <w:rPr>
                <w:rFonts w:ascii="Arial" w:hAnsi="Arial" w:cs="Arial"/>
                <w:color w:val="000000"/>
                <w:sz w:val="22"/>
                <w:szCs w:val="22"/>
              </w:rPr>
              <w:t>pages published in English, French, Spanish (B=200)</w:t>
            </w:r>
          </w:p>
        </w:tc>
      </w:tr>
      <w:tr w:rsidR="003650A4" w:rsidRPr="00696A00" w:rsidTr="003650A4">
        <w:tc>
          <w:tcPr>
            <w:tcW w:w="379"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1.5</w:t>
            </w:r>
          </w:p>
        </w:tc>
        <w:tc>
          <w:tcPr>
            <w:tcW w:w="2310" w:type="pct"/>
            <w:gridSpan w:val="2"/>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sz w:val="22"/>
                <w:szCs w:val="22"/>
              </w:rPr>
              <w:t>Basic Texts of the Convention and other statutory publication revised and published</w:t>
            </w:r>
          </w:p>
        </w:tc>
        <w:tc>
          <w:tcPr>
            <w:tcW w:w="2311" w:type="pct"/>
            <w:shd w:val="clear" w:color="auto" w:fill="auto"/>
            <w:vAlign w:val="center"/>
          </w:tcPr>
          <w:p w:rsidR="003650A4" w:rsidRPr="00696A00" w:rsidRDefault="003650A4" w:rsidP="00246717">
            <w:pPr>
              <w:spacing w:before="60" w:after="60"/>
              <w:rPr>
                <w:rFonts w:ascii="Arial" w:hAnsi="Arial" w:cs="Arial"/>
                <w:sz w:val="22"/>
                <w:szCs w:val="22"/>
              </w:rPr>
            </w:pPr>
            <w:r w:rsidRPr="00696A00">
              <w:rPr>
                <w:rFonts w:ascii="Arial" w:hAnsi="Arial" w:cs="Arial"/>
                <w:sz w:val="22"/>
                <w:szCs w:val="22"/>
              </w:rPr>
              <w:t>Publication of 2016 version of the Basic Text</w:t>
            </w:r>
            <w:r>
              <w:rPr>
                <w:rFonts w:ascii="Arial" w:hAnsi="Arial" w:cs="Arial"/>
                <w:sz w:val="22"/>
                <w:szCs w:val="22"/>
              </w:rPr>
              <w:t xml:space="preserve">s </w:t>
            </w:r>
            <w:r w:rsidRPr="00696A00">
              <w:rPr>
                <w:rFonts w:ascii="Arial" w:hAnsi="Arial" w:cs="Arial"/>
                <w:sz w:val="22"/>
                <w:szCs w:val="22"/>
              </w:rPr>
              <w:t>(B=1)</w:t>
            </w:r>
          </w:p>
          <w:p w:rsidR="003650A4" w:rsidRPr="00696A00" w:rsidRDefault="003650A4" w:rsidP="00246717">
            <w:pPr>
              <w:spacing w:before="60" w:after="60"/>
              <w:rPr>
                <w:rFonts w:ascii="Arial" w:hAnsi="Arial" w:cs="Arial"/>
                <w:iCs/>
                <w:sz w:val="22"/>
                <w:szCs w:val="22"/>
              </w:rPr>
            </w:pPr>
            <w:r w:rsidRPr="00696A00">
              <w:rPr>
                <w:rFonts w:ascii="Arial" w:hAnsi="Arial" w:cs="Arial"/>
                <w:iCs/>
                <w:sz w:val="22"/>
                <w:szCs w:val="22"/>
              </w:rPr>
              <w:t xml:space="preserve">2014-2015 Convention’s </w:t>
            </w:r>
            <w:r>
              <w:rPr>
                <w:rFonts w:ascii="Arial" w:hAnsi="Arial" w:cs="Arial"/>
                <w:iCs/>
                <w:sz w:val="22"/>
                <w:szCs w:val="22"/>
              </w:rPr>
              <w:t>L</w:t>
            </w:r>
            <w:r w:rsidRPr="00696A00">
              <w:rPr>
                <w:rFonts w:ascii="Arial" w:hAnsi="Arial" w:cs="Arial"/>
                <w:iCs/>
                <w:sz w:val="22"/>
                <w:szCs w:val="22"/>
              </w:rPr>
              <w:t>ists published (B=1)</w:t>
            </w:r>
          </w:p>
        </w:tc>
      </w:tr>
    </w:tbl>
    <w:p w:rsidR="003650A4" w:rsidRPr="00696A00" w:rsidRDefault="003650A4" w:rsidP="003650A4"/>
    <w:tbl>
      <w:tblPr>
        <w:tblStyle w:val="TableGrid"/>
        <w:tblW w:w="5000" w:type="pct"/>
        <w:tblLook w:val="04A0" w:firstRow="1" w:lastRow="0" w:firstColumn="1" w:lastColumn="0" w:noHBand="0" w:noVBand="1"/>
      </w:tblPr>
      <w:tblGrid>
        <w:gridCol w:w="699"/>
        <w:gridCol w:w="1564"/>
        <w:gridCol w:w="2900"/>
        <w:gridCol w:w="4465"/>
      </w:tblGrid>
      <w:tr w:rsidR="003650A4" w:rsidRPr="00104B05" w:rsidTr="003650A4">
        <w:tc>
          <w:tcPr>
            <w:tcW w:w="1175" w:type="pct"/>
            <w:gridSpan w:val="2"/>
            <w:shd w:val="clear" w:color="auto" w:fill="808080" w:themeFill="background1" w:themeFillShade="80"/>
            <w:vAlign w:val="center"/>
          </w:tcPr>
          <w:p w:rsidR="003650A4" w:rsidRPr="00696A00" w:rsidRDefault="003650A4" w:rsidP="00246717">
            <w:pPr>
              <w:keepNext/>
              <w:spacing w:before="120" w:after="120"/>
              <w:rPr>
                <w:rFonts w:ascii="Arial" w:hAnsi="Arial" w:cs="Arial"/>
                <w:b/>
                <w:bCs/>
                <w:color w:val="FFFFFF" w:themeColor="background1"/>
                <w:sz w:val="22"/>
                <w:szCs w:val="22"/>
              </w:rPr>
            </w:pPr>
            <w:r w:rsidRPr="00696A00">
              <w:rPr>
                <w:rFonts w:ascii="Arial" w:hAnsi="Arial" w:cs="Arial"/>
                <w:b/>
                <w:bCs/>
                <w:color w:val="FFFFFF" w:themeColor="background1"/>
                <w:sz w:val="22"/>
                <w:szCs w:val="22"/>
              </w:rPr>
              <w:t>38C/5 Performance Indicator 2</w:t>
            </w:r>
          </w:p>
        </w:tc>
        <w:tc>
          <w:tcPr>
            <w:tcW w:w="3825" w:type="pct"/>
            <w:gridSpan w:val="2"/>
            <w:shd w:val="clear" w:color="auto" w:fill="808080" w:themeFill="background1" w:themeFillShade="80"/>
            <w:vAlign w:val="center"/>
          </w:tcPr>
          <w:p w:rsidR="003650A4" w:rsidRPr="00696A00" w:rsidRDefault="003650A4" w:rsidP="00246717">
            <w:pPr>
              <w:keepNext/>
              <w:spacing w:before="120" w:after="120"/>
              <w:rPr>
                <w:rFonts w:ascii="Arial" w:hAnsi="Arial" w:cs="Arial"/>
                <w:b/>
                <w:bCs/>
                <w:color w:val="FFFFFF" w:themeColor="background1"/>
                <w:sz w:val="22"/>
                <w:szCs w:val="22"/>
              </w:rPr>
            </w:pPr>
            <w:r w:rsidRPr="00696A00">
              <w:rPr>
                <w:rFonts w:ascii="Arial" w:hAnsi="Arial" w:cs="Arial"/>
                <w:b/>
                <w:bCs/>
                <w:color w:val="FFFFFF" w:themeColor="background1"/>
                <w:sz w:val="22"/>
                <w:szCs w:val="22"/>
              </w:rPr>
              <w:t>Number of supported Member States utilizing strengthened human and institutional resources for intangible cultural heritage and integrating ICH into national policies</w:t>
            </w:r>
          </w:p>
        </w:tc>
      </w:tr>
      <w:tr w:rsidR="003650A4" w:rsidRPr="00104B05" w:rsidTr="003650A4">
        <w:tc>
          <w:tcPr>
            <w:tcW w:w="117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ICH Fund Expected Result 2</w:t>
            </w:r>
          </w:p>
        </w:tc>
        <w:tc>
          <w:tcPr>
            <w:tcW w:w="382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Implementation of the Convention in Member States encouraged through a strengthened capacity-building programme and guidance on safeguarding measures and good practices</w:t>
            </w:r>
          </w:p>
        </w:tc>
      </w:tr>
      <w:tr w:rsidR="003650A4" w:rsidRPr="00696A00" w:rsidTr="003650A4">
        <w:tc>
          <w:tcPr>
            <w:tcW w:w="117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199OTH4138.1</w:t>
            </w:r>
          </w:p>
        </w:tc>
        <w:tc>
          <w:tcPr>
            <w:tcW w:w="382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 xml:space="preserve">Budgetary allocations: </w:t>
            </w:r>
            <w:r w:rsidRPr="00C06F15">
              <w:rPr>
                <w:rFonts w:ascii="Arial" w:hAnsi="Arial" w:cs="Arial"/>
                <w:b/>
                <w:bCs/>
                <w:sz w:val="22"/>
                <w:szCs w:val="22"/>
              </w:rPr>
              <w:t>US$</w:t>
            </w:r>
            <w:r w:rsidRPr="00323D97">
              <w:rPr>
                <w:rFonts w:ascii="Arial" w:hAnsi="Arial" w:cs="Arial"/>
                <w:b/>
                <w:bCs/>
                <w:sz w:val="22"/>
                <w:szCs w:val="22"/>
              </w:rPr>
              <w:t>817,346</w:t>
            </w:r>
          </w:p>
        </w:tc>
      </w:tr>
      <w:tr w:rsidR="003650A4" w:rsidRPr="00696A00" w:rsidTr="003650A4">
        <w:tc>
          <w:tcPr>
            <w:tcW w:w="363" w:type="pct"/>
            <w:shd w:val="clear" w:color="auto" w:fill="F2F2F2" w:themeFill="background1" w:themeFillShade="F2"/>
            <w:vAlign w:val="center"/>
          </w:tcPr>
          <w:p w:rsidR="003650A4" w:rsidRPr="00696A00" w:rsidRDefault="003650A4" w:rsidP="00246717">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rsidR="003650A4" w:rsidRPr="00696A00" w:rsidRDefault="003650A4" w:rsidP="00246717">
            <w:pPr>
              <w:keepNext/>
              <w:spacing w:before="60" w:after="60"/>
              <w:jc w:val="center"/>
              <w:rPr>
                <w:rFonts w:ascii="Arial" w:hAnsi="Arial" w:cs="Arial"/>
                <w:i/>
                <w:iCs/>
                <w:sz w:val="22"/>
                <w:szCs w:val="22"/>
              </w:rPr>
            </w:pPr>
            <w:r w:rsidRPr="00696A00">
              <w:rPr>
                <w:rFonts w:ascii="Arial" w:hAnsi="Arial" w:cs="Arial"/>
                <w:i/>
                <w:iCs/>
                <w:sz w:val="22"/>
                <w:szCs w:val="22"/>
              </w:rPr>
              <w:t>Outputs</w:t>
            </w:r>
          </w:p>
        </w:tc>
        <w:tc>
          <w:tcPr>
            <w:tcW w:w="2319" w:type="pct"/>
            <w:shd w:val="clear" w:color="auto" w:fill="F2F2F2" w:themeFill="background1" w:themeFillShade="F2"/>
            <w:vAlign w:val="center"/>
          </w:tcPr>
          <w:p w:rsidR="003650A4" w:rsidRPr="00696A00" w:rsidRDefault="003650A4" w:rsidP="00246717">
            <w:pPr>
              <w:keepNext/>
              <w:spacing w:before="60" w:after="60"/>
              <w:jc w:val="center"/>
              <w:rPr>
                <w:rFonts w:ascii="Arial" w:hAnsi="Arial" w:cs="Arial"/>
                <w:i/>
                <w:iCs/>
                <w:sz w:val="22"/>
                <w:szCs w:val="22"/>
              </w:rPr>
            </w:pPr>
            <w:r w:rsidRPr="00696A00">
              <w:rPr>
                <w:rFonts w:ascii="Arial" w:hAnsi="Arial" w:cs="Arial"/>
                <w:i/>
                <w:iCs/>
                <w:sz w:val="22"/>
                <w:szCs w:val="22"/>
              </w:rPr>
              <w:t>Indicators (Benchmarks) 2016-2017</w:t>
            </w:r>
          </w:p>
        </w:tc>
      </w:tr>
      <w:tr w:rsidR="003650A4" w:rsidRPr="00104B05" w:rsidTr="003650A4">
        <w:tc>
          <w:tcPr>
            <w:tcW w:w="363"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2.1</w:t>
            </w:r>
          </w:p>
        </w:tc>
        <w:tc>
          <w:tcPr>
            <w:tcW w:w="2318" w:type="pct"/>
            <w:gridSpan w:val="2"/>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sz w:val="22"/>
                <w:szCs w:val="22"/>
              </w:rPr>
              <w:t xml:space="preserve">Facilitators’ network strengthened </w:t>
            </w:r>
          </w:p>
        </w:tc>
        <w:tc>
          <w:tcPr>
            <w:tcW w:w="2319" w:type="pct"/>
            <w:shd w:val="clear" w:color="auto" w:fill="auto"/>
            <w:vAlign w:val="center"/>
          </w:tcPr>
          <w:p w:rsidR="003650A4" w:rsidRPr="00696A00" w:rsidRDefault="003650A4" w:rsidP="003650A4">
            <w:pPr>
              <w:pStyle w:val="ListParagraph"/>
              <w:numPr>
                <w:ilvl w:val="0"/>
                <w:numId w:val="11"/>
              </w:numPr>
              <w:spacing w:before="60" w:after="60"/>
              <w:ind w:left="357" w:hanging="357"/>
              <w:contextualSpacing w:val="0"/>
              <w:rPr>
                <w:rFonts w:ascii="Arial" w:hAnsi="Arial" w:cs="Arial"/>
                <w:sz w:val="22"/>
                <w:szCs w:val="22"/>
              </w:rPr>
            </w:pPr>
            <w:r w:rsidRPr="00696A00">
              <w:rPr>
                <w:rFonts w:ascii="Arial" w:hAnsi="Arial" w:cs="Arial"/>
                <w:sz w:val="22"/>
                <w:szCs w:val="22"/>
              </w:rPr>
              <w:t>Regional workshops to train facilitators and update skills</w:t>
            </w:r>
            <w:r w:rsidRPr="00696A00">
              <w:rPr>
                <w:rFonts w:ascii="Arial" w:hAnsi="Arial" w:cs="Arial"/>
                <w:sz w:val="22"/>
                <w:szCs w:val="22"/>
              </w:rPr>
              <w:br/>
              <w:t>(B=4, contingent on host-country or partner support)</w:t>
            </w:r>
          </w:p>
          <w:p w:rsidR="003650A4" w:rsidRPr="00696A00" w:rsidRDefault="003650A4" w:rsidP="003650A4">
            <w:pPr>
              <w:pStyle w:val="ListParagraph"/>
              <w:numPr>
                <w:ilvl w:val="0"/>
                <w:numId w:val="11"/>
              </w:numPr>
              <w:spacing w:before="60" w:after="60"/>
              <w:ind w:left="357" w:hanging="357"/>
              <w:contextualSpacing w:val="0"/>
              <w:rPr>
                <w:rFonts w:ascii="Arial" w:hAnsi="Arial" w:cs="Arial"/>
                <w:sz w:val="22"/>
                <w:szCs w:val="22"/>
              </w:rPr>
            </w:pPr>
            <w:r w:rsidRPr="00696A00">
              <w:rPr>
                <w:rFonts w:ascii="Arial" w:hAnsi="Arial" w:cs="Arial"/>
                <w:sz w:val="22"/>
                <w:szCs w:val="22"/>
              </w:rPr>
              <w:t>Global workshop on review of the capacity-building programme and introduction to providing support for international assistance requests (B=1)</w:t>
            </w:r>
          </w:p>
          <w:p w:rsidR="003650A4" w:rsidRPr="00903EE0" w:rsidRDefault="003650A4" w:rsidP="003650A4">
            <w:pPr>
              <w:pStyle w:val="ListParagraph"/>
              <w:numPr>
                <w:ilvl w:val="0"/>
                <w:numId w:val="11"/>
              </w:numPr>
              <w:spacing w:before="60" w:after="60"/>
              <w:ind w:left="357" w:hanging="357"/>
              <w:contextualSpacing w:val="0"/>
              <w:rPr>
                <w:rFonts w:ascii="Arial" w:hAnsi="Arial" w:cs="Arial"/>
                <w:iCs/>
                <w:sz w:val="22"/>
                <w:szCs w:val="22"/>
              </w:rPr>
            </w:pPr>
            <w:r w:rsidRPr="00696A00">
              <w:rPr>
                <w:rFonts w:ascii="Arial" w:hAnsi="Arial" w:cs="Arial"/>
                <w:sz w:val="22"/>
                <w:szCs w:val="22"/>
              </w:rPr>
              <w:t>Audiovisual tutorials developed on selected topics (B=3)</w:t>
            </w:r>
          </w:p>
          <w:p w:rsidR="003650A4" w:rsidRPr="00696A00" w:rsidRDefault="003650A4" w:rsidP="003650A4">
            <w:pPr>
              <w:pStyle w:val="ListParagraph"/>
              <w:numPr>
                <w:ilvl w:val="0"/>
                <w:numId w:val="11"/>
              </w:numPr>
              <w:spacing w:before="60" w:after="60"/>
              <w:ind w:left="357" w:hanging="357"/>
              <w:contextualSpacing w:val="0"/>
              <w:rPr>
                <w:rFonts w:ascii="Arial" w:hAnsi="Arial" w:cs="Arial"/>
                <w:iCs/>
                <w:sz w:val="22"/>
                <w:szCs w:val="22"/>
              </w:rPr>
            </w:pPr>
            <w:r w:rsidRPr="00696A00">
              <w:rPr>
                <w:rFonts w:ascii="Arial" w:hAnsi="Arial" w:cs="Arial"/>
                <w:sz w:val="22"/>
                <w:szCs w:val="22"/>
              </w:rPr>
              <w:t>IT functionalities updated for the capacity-building programme (B=</w:t>
            </w:r>
            <w:r>
              <w:rPr>
                <w:rFonts w:ascii="Arial" w:hAnsi="Arial" w:cs="Arial"/>
                <w:sz w:val="22"/>
                <w:szCs w:val="22"/>
              </w:rPr>
              <w:t>1</w:t>
            </w:r>
            <w:r w:rsidRPr="00696A00">
              <w:rPr>
                <w:rFonts w:ascii="Arial" w:hAnsi="Arial" w:cs="Arial"/>
                <w:sz w:val="22"/>
                <w:szCs w:val="22"/>
              </w:rPr>
              <w:t>)</w:t>
            </w:r>
          </w:p>
        </w:tc>
      </w:tr>
      <w:tr w:rsidR="003650A4" w:rsidRPr="00104B05" w:rsidTr="003650A4">
        <w:tc>
          <w:tcPr>
            <w:tcW w:w="363"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2.2</w:t>
            </w:r>
          </w:p>
        </w:tc>
        <w:tc>
          <w:tcPr>
            <w:tcW w:w="2318" w:type="pct"/>
            <w:gridSpan w:val="2"/>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color w:val="000000"/>
                <w:sz w:val="22"/>
                <w:szCs w:val="22"/>
              </w:rPr>
              <w:t xml:space="preserve">Content and format of the capacity-building programme reviewed and adapted to respond to major implementation challenges </w:t>
            </w:r>
          </w:p>
        </w:tc>
        <w:tc>
          <w:tcPr>
            <w:tcW w:w="2319" w:type="pct"/>
            <w:shd w:val="clear" w:color="auto" w:fill="auto"/>
            <w:vAlign w:val="center"/>
          </w:tcPr>
          <w:p w:rsidR="003650A4" w:rsidRPr="00696A00" w:rsidRDefault="003650A4" w:rsidP="003650A4">
            <w:pPr>
              <w:pStyle w:val="ListParagraph"/>
              <w:numPr>
                <w:ilvl w:val="0"/>
                <w:numId w:val="11"/>
              </w:numPr>
              <w:spacing w:before="60" w:after="60"/>
              <w:ind w:left="357" w:hanging="357"/>
              <w:contextualSpacing w:val="0"/>
              <w:rPr>
                <w:rFonts w:ascii="Arial" w:hAnsi="Arial" w:cs="Arial"/>
                <w:sz w:val="22"/>
                <w:szCs w:val="22"/>
              </w:rPr>
            </w:pPr>
            <w:r w:rsidRPr="00696A00">
              <w:rPr>
                <w:rFonts w:ascii="Arial" w:hAnsi="Arial" w:cs="Arial"/>
                <w:sz w:val="22"/>
                <w:szCs w:val="22"/>
              </w:rPr>
              <w:t>Core curriculum materials updated to reflect decisions of statutory meetings (B=20 units; 3 languages)</w:t>
            </w:r>
          </w:p>
          <w:p w:rsidR="003650A4" w:rsidRPr="00696A00" w:rsidRDefault="003650A4" w:rsidP="003650A4">
            <w:pPr>
              <w:pStyle w:val="ListParagraph"/>
              <w:numPr>
                <w:ilvl w:val="0"/>
                <w:numId w:val="11"/>
              </w:numPr>
              <w:spacing w:before="60" w:after="60"/>
              <w:ind w:left="357" w:hanging="357"/>
              <w:contextualSpacing w:val="0"/>
              <w:rPr>
                <w:rFonts w:ascii="Arial" w:hAnsi="Arial" w:cs="Arial"/>
                <w:sz w:val="22"/>
                <w:szCs w:val="22"/>
              </w:rPr>
            </w:pPr>
            <w:r w:rsidRPr="00696A00">
              <w:rPr>
                <w:rFonts w:ascii="Arial" w:hAnsi="Arial" w:cs="Arial"/>
                <w:sz w:val="22"/>
                <w:szCs w:val="22"/>
              </w:rPr>
              <w:t xml:space="preserve">Core curriculum on preparing international assistance requests available (B=1; 2 languages) </w:t>
            </w:r>
          </w:p>
          <w:p w:rsidR="003650A4" w:rsidRPr="00696A00" w:rsidRDefault="003650A4" w:rsidP="003650A4">
            <w:pPr>
              <w:pStyle w:val="ListParagraph"/>
              <w:numPr>
                <w:ilvl w:val="0"/>
                <w:numId w:val="11"/>
              </w:numPr>
              <w:spacing w:before="60" w:after="60"/>
              <w:ind w:left="357" w:hanging="357"/>
              <w:contextualSpacing w:val="0"/>
              <w:rPr>
                <w:rFonts w:ascii="Arial" w:hAnsi="Arial" w:cs="Arial"/>
                <w:sz w:val="22"/>
                <w:szCs w:val="22"/>
              </w:rPr>
            </w:pPr>
            <w:r w:rsidRPr="00696A00">
              <w:rPr>
                <w:rFonts w:ascii="Arial" w:hAnsi="Arial" w:cs="Arial"/>
                <w:sz w:val="22"/>
                <w:szCs w:val="22"/>
              </w:rPr>
              <w:t>New curricular content developed (B=7: one unit based on new ODs on intangible cultural heritage and sustainable development and six case studies on policy processes, intangible cultural heritage safeguarding in urban settings and gender; 1 language)</w:t>
            </w:r>
          </w:p>
          <w:p w:rsidR="003650A4" w:rsidRPr="00E96C28" w:rsidRDefault="003650A4" w:rsidP="003650A4">
            <w:pPr>
              <w:pStyle w:val="ListParagraph"/>
              <w:numPr>
                <w:ilvl w:val="0"/>
                <w:numId w:val="11"/>
              </w:numPr>
              <w:spacing w:before="60" w:after="60"/>
              <w:ind w:left="357" w:hanging="357"/>
              <w:contextualSpacing w:val="0"/>
              <w:rPr>
                <w:rFonts w:ascii="Arial" w:hAnsi="Arial" w:cs="Arial"/>
                <w:sz w:val="22"/>
                <w:szCs w:val="22"/>
              </w:rPr>
            </w:pPr>
            <w:r w:rsidRPr="00E96C28">
              <w:rPr>
                <w:rFonts w:ascii="Arial" w:hAnsi="Arial" w:cs="Arial"/>
                <w:sz w:val="22"/>
                <w:szCs w:val="22"/>
              </w:rPr>
              <w:t xml:space="preserve">A feasibility study on </w:t>
            </w:r>
            <w:r w:rsidRPr="009455F0">
              <w:rPr>
                <w:rFonts w:ascii="Arial" w:hAnsi="Arial" w:cs="Arial"/>
                <w:sz w:val="22"/>
                <w:szCs w:val="22"/>
              </w:rPr>
              <w:t>using educational technology for online learning</w:t>
            </w:r>
            <w:r w:rsidRPr="00E96C28">
              <w:rPr>
                <w:rFonts w:ascii="Arial" w:hAnsi="Arial" w:cs="Arial"/>
                <w:sz w:val="22"/>
                <w:szCs w:val="22"/>
              </w:rPr>
              <w:t xml:space="preserve"> undertaken (B=1)</w:t>
            </w:r>
          </w:p>
          <w:p w:rsidR="003650A4" w:rsidRPr="00696A00" w:rsidRDefault="003650A4" w:rsidP="003650A4">
            <w:pPr>
              <w:pStyle w:val="ListParagraph"/>
              <w:numPr>
                <w:ilvl w:val="0"/>
                <w:numId w:val="11"/>
              </w:numPr>
              <w:spacing w:before="60" w:after="60"/>
              <w:ind w:left="357" w:hanging="357"/>
              <w:contextualSpacing w:val="0"/>
              <w:rPr>
                <w:rFonts w:ascii="Arial" w:hAnsi="Arial" w:cs="Arial"/>
                <w:iCs/>
                <w:sz w:val="22"/>
                <w:szCs w:val="22"/>
              </w:rPr>
            </w:pPr>
            <w:r w:rsidRPr="00696A00">
              <w:rPr>
                <w:rFonts w:ascii="Arial" w:hAnsi="Arial" w:cs="Arial"/>
                <w:sz w:val="22"/>
                <w:szCs w:val="22"/>
              </w:rPr>
              <w:t>IT functionalities updated for the capacity-building programme (B=</w:t>
            </w:r>
            <w:r>
              <w:rPr>
                <w:rFonts w:ascii="Arial" w:hAnsi="Arial" w:cs="Arial"/>
                <w:sz w:val="22"/>
                <w:szCs w:val="22"/>
              </w:rPr>
              <w:t>1</w:t>
            </w:r>
            <w:r w:rsidRPr="00696A00">
              <w:rPr>
                <w:rFonts w:ascii="Arial" w:hAnsi="Arial" w:cs="Arial"/>
                <w:sz w:val="22"/>
                <w:szCs w:val="22"/>
              </w:rPr>
              <w:t>)</w:t>
            </w:r>
          </w:p>
        </w:tc>
      </w:tr>
      <w:tr w:rsidR="003650A4" w:rsidRPr="00104B05" w:rsidTr="003650A4">
        <w:tc>
          <w:tcPr>
            <w:tcW w:w="363"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2.3</w:t>
            </w:r>
          </w:p>
        </w:tc>
        <w:tc>
          <w:tcPr>
            <w:tcW w:w="2318" w:type="pct"/>
            <w:gridSpan w:val="2"/>
            <w:shd w:val="clear" w:color="auto" w:fill="auto"/>
            <w:vAlign w:val="center"/>
          </w:tcPr>
          <w:p w:rsidR="003650A4" w:rsidRPr="00696A00" w:rsidRDefault="003650A4" w:rsidP="00246717">
            <w:pPr>
              <w:spacing w:before="60" w:after="60"/>
              <w:rPr>
                <w:rFonts w:ascii="Arial" w:hAnsi="Arial" w:cs="Arial"/>
                <w:i/>
                <w:iCs/>
                <w:sz w:val="22"/>
                <w:szCs w:val="22"/>
              </w:rPr>
            </w:pPr>
            <w:r>
              <w:rPr>
                <w:rFonts w:ascii="Arial" w:hAnsi="Arial" w:cs="Arial"/>
                <w:sz w:val="22"/>
                <w:szCs w:val="22"/>
              </w:rPr>
              <w:t>P</w:t>
            </w:r>
            <w:r w:rsidRPr="00696A00">
              <w:rPr>
                <w:rFonts w:ascii="Arial" w:hAnsi="Arial" w:cs="Arial"/>
                <w:sz w:val="22"/>
                <w:szCs w:val="22"/>
              </w:rPr>
              <w:t>reliminary follow-up and evaluation mechanism for capacity building</w:t>
            </w:r>
            <w:r>
              <w:rPr>
                <w:rFonts w:ascii="Arial" w:hAnsi="Arial" w:cs="Arial"/>
                <w:sz w:val="22"/>
                <w:szCs w:val="22"/>
              </w:rPr>
              <w:t xml:space="preserve"> piloted</w:t>
            </w:r>
          </w:p>
        </w:tc>
        <w:tc>
          <w:tcPr>
            <w:tcW w:w="2319" w:type="pct"/>
            <w:shd w:val="clear" w:color="auto" w:fill="auto"/>
            <w:vAlign w:val="center"/>
          </w:tcPr>
          <w:p w:rsidR="003650A4" w:rsidRPr="00696A00" w:rsidRDefault="003650A4" w:rsidP="003650A4">
            <w:pPr>
              <w:pStyle w:val="ListParagraph"/>
              <w:numPr>
                <w:ilvl w:val="0"/>
                <w:numId w:val="11"/>
              </w:numPr>
              <w:spacing w:before="60" w:after="60"/>
              <w:ind w:left="357" w:hanging="357"/>
              <w:contextualSpacing w:val="0"/>
              <w:rPr>
                <w:rFonts w:ascii="Arial" w:hAnsi="Arial" w:cs="Arial"/>
                <w:sz w:val="22"/>
                <w:szCs w:val="22"/>
              </w:rPr>
            </w:pPr>
            <w:r w:rsidRPr="00696A00">
              <w:rPr>
                <w:rFonts w:ascii="Arial" w:hAnsi="Arial" w:cs="Arial"/>
                <w:sz w:val="22"/>
                <w:szCs w:val="22"/>
              </w:rPr>
              <w:t>Pilot tracer studies conducted in beneficiary countries (B=</w:t>
            </w:r>
            <w:r>
              <w:rPr>
                <w:rFonts w:ascii="Arial" w:hAnsi="Arial" w:cs="Arial"/>
                <w:sz w:val="22"/>
                <w:szCs w:val="22"/>
              </w:rPr>
              <w:t>3</w:t>
            </w:r>
            <w:r w:rsidRPr="00696A00">
              <w:rPr>
                <w:rFonts w:ascii="Arial" w:hAnsi="Arial" w:cs="Arial"/>
                <w:sz w:val="22"/>
                <w:szCs w:val="22"/>
              </w:rPr>
              <w:t>)</w:t>
            </w:r>
          </w:p>
          <w:p w:rsidR="003650A4" w:rsidRPr="00C06F15" w:rsidRDefault="003650A4" w:rsidP="003650A4">
            <w:pPr>
              <w:pStyle w:val="ListParagraph"/>
              <w:numPr>
                <w:ilvl w:val="0"/>
                <w:numId w:val="11"/>
              </w:numPr>
              <w:spacing w:before="60" w:after="60"/>
              <w:ind w:left="357" w:hanging="357"/>
              <w:contextualSpacing w:val="0"/>
              <w:rPr>
                <w:rFonts w:ascii="Arial" w:hAnsi="Arial" w:cs="Arial"/>
                <w:sz w:val="22"/>
                <w:szCs w:val="22"/>
              </w:rPr>
            </w:pPr>
            <w:r w:rsidRPr="003A19C0">
              <w:rPr>
                <w:rFonts w:ascii="Arial" w:hAnsi="Arial" w:cs="Arial"/>
                <w:sz w:val="22"/>
                <w:szCs w:val="22"/>
              </w:rPr>
              <w:t>Survey on the use of UNESCO capacity</w:t>
            </w:r>
            <w:r>
              <w:rPr>
                <w:rFonts w:ascii="Arial" w:hAnsi="Arial" w:cs="Arial"/>
                <w:sz w:val="22"/>
                <w:szCs w:val="22"/>
              </w:rPr>
              <w:noBreakHyphen/>
            </w:r>
            <w:r w:rsidRPr="003A19C0">
              <w:rPr>
                <w:rFonts w:ascii="Arial" w:hAnsi="Arial" w:cs="Arial"/>
                <w:sz w:val="22"/>
                <w:szCs w:val="22"/>
              </w:rPr>
              <w:t>building materials by other institutions (B=1)</w:t>
            </w:r>
          </w:p>
        </w:tc>
      </w:tr>
      <w:tr w:rsidR="003650A4" w:rsidRPr="00104B05" w:rsidTr="003650A4">
        <w:tc>
          <w:tcPr>
            <w:tcW w:w="363"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2.</w:t>
            </w:r>
            <w:r>
              <w:rPr>
                <w:rFonts w:ascii="Arial" w:hAnsi="Arial" w:cs="Arial"/>
                <w:iCs/>
                <w:sz w:val="22"/>
                <w:szCs w:val="22"/>
              </w:rPr>
              <w:t>4</w:t>
            </w:r>
          </w:p>
        </w:tc>
        <w:tc>
          <w:tcPr>
            <w:tcW w:w="2318" w:type="pct"/>
            <w:gridSpan w:val="2"/>
            <w:shd w:val="clear" w:color="auto" w:fill="auto"/>
            <w:vAlign w:val="center"/>
          </w:tcPr>
          <w:p w:rsidR="003650A4" w:rsidRPr="00696A00" w:rsidRDefault="003650A4" w:rsidP="00246717">
            <w:pPr>
              <w:spacing w:before="60" w:after="60"/>
              <w:rPr>
                <w:rFonts w:ascii="Arial" w:hAnsi="Arial" w:cs="Arial"/>
                <w:iCs/>
                <w:sz w:val="22"/>
                <w:szCs w:val="22"/>
              </w:rPr>
            </w:pPr>
            <w:r w:rsidRPr="00696A00">
              <w:rPr>
                <w:rFonts w:ascii="Arial" w:hAnsi="Arial" w:cs="Arial"/>
                <w:iCs/>
                <w:sz w:val="22"/>
                <w:szCs w:val="22"/>
              </w:rPr>
              <w:t xml:space="preserve">Guidance on </w:t>
            </w:r>
            <w:r w:rsidRPr="00696A00">
              <w:rPr>
                <w:rFonts w:ascii="Arial" w:hAnsi="Arial" w:cs="Arial"/>
                <w:bCs/>
                <w:sz w:val="22"/>
                <w:szCs w:val="22"/>
              </w:rPr>
              <w:t>safeguarding measures and good practices strengthened</w:t>
            </w:r>
          </w:p>
        </w:tc>
        <w:tc>
          <w:tcPr>
            <w:tcW w:w="2319" w:type="pct"/>
            <w:shd w:val="clear" w:color="auto" w:fill="auto"/>
            <w:vAlign w:val="center"/>
          </w:tcPr>
          <w:p w:rsidR="003650A4" w:rsidRPr="00696A00" w:rsidRDefault="003650A4" w:rsidP="003650A4">
            <w:pPr>
              <w:pStyle w:val="ListParagraph"/>
              <w:numPr>
                <w:ilvl w:val="0"/>
                <w:numId w:val="11"/>
              </w:numPr>
              <w:spacing w:before="60" w:after="60"/>
              <w:ind w:left="357" w:hanging="357"/>
              <w:contextualSpacing w:val="0"/>
              <w:rPr>
                <w:rFonts w:ascii="Arial" w:hAnsi="Arial" w:cs="Arial"/>
                <w:i/>
                <w:iCs/>
                <w:sz w:val="22"/>
                <w:szCs w:val="22"/>
              </w:rPr>
            </w:pPr>
            <w:r w:rsidRPr="00696A00">
              <w:rPr>
                <w:rFonts w:ascii="Arial" w:hAnsi="Arial" w:cs="Arial"/>
                <w:iCs/>
                <w:sz w:val="22"/>
                <w:szCs w:val="22"/>
              </w:rPr>
              <w:t>Guidelines on inventories for States Parties</w:t>
            </w:r>
            <w:r>
              <w:rPr>
                <w:rFonts w:ascii="Arial" w:hAnsi="Arial" w:cs="Arial"/>
                <w:iCs/>
                <w:sz w:val="22"/>
                <w:szCs w:val="22"/>
              </w:rPr>
              <w:t xml:space="preserve"> </w:t>
            </w:r>
            <w:r w:rsidRPr="00696A00">
              <w:rPr>
                <w:rFonts w:ascii="Arial" w:hAnsi="Arial" w:cs="Arial"/>
                <w:iCs/>
                <w:sz w:val="22"/>
                <w:szCs w:val="22"/>
              </w:rPr>
              <w:t>developed, taking into account the decisions and recommendations of</w:t>
            </w:r>
            <w:r>
              <w:rPr>
                <w:rFonts w:ascii="Arial" w:hAnsi="Arial" w:cs="Arial"/>
                <w:iCs/>
                <w:sz w:val="22"/>
                <w:szCs w:val="22"/>
              </w:rPr>
              <w:t xml:space="preserve"> the </w:t>
            </w:r>
            <w:r w:rsidRPr="00696A00">
              <w:rPr>
                <w:rFonts w:ascii="Arial" w:hAnsi="Arial" w:cs="Arial"/>
                <w:iCs/>
                <w:sz w:val="22"/>
                <w:szCs w:val="22"/>
              </w:rPr>
              <w:t xml:space="preserve">Convention’s </w:t>
            </w:r>
            <w:r>
              <w:rPr>
                <w:rFonts w:ascii="Arial" w:hAnsi="Arial" w:cs="Arial"/>
                <w:iCs/>
                <w:sz w:val="22"/>
                <w:szCs w:val="22"/>
              </w:rPr>
              <w:t xml:space="preserve">regulatory </w:t>
            </w:r>
            <w:r w:rsidRPr="00696A00">
              <w:rPr>
                <w:rFonts w:ascii="Arial" w:hAnsi="Arial" w:cs="Arial"/>
                <w:iCs/>
                <w:sz w:val="22"/>
                <w:szCs w:val="22"/>
              </w:rPr>
              <w:t>bodies (B=1)</w:t>
            </w:r>
          </w:p>
          <w:p w:rsidR="003650A4" w:rsidRPr="00696A00" w:rsidRDefault="003650A4" w:rsidP="003650A4">
            <w:pPr>
              <w:pStyle w:val="ListParagraph"/>
              <w:numPr>
                <w:ilvl w:val="0"/>
                <w:numId w:val="11"/>
              </w:numPr>
              <w:spacing w:before="60" w:after="60"/>
              <w:ind w:left="357" w:hanging="357"/>
              <w:contextualSpacing w:val="0"/>
              <w:rPr>
                <w:rFonts w:ascii="Arial" w:hAnsi="Arial" w:cs="Arial"/>
                <w:i/>
                <w:iCs/>
                <w:sz w:val="22"/>
                <w:szCs w:val="22"/>
              </w:rPr>
            </w:pPr>
            <w:r w:rsidRPr="00696A00">
              <w:rPr>
                <w:rFonts w:ascii="Arial" w:hAnsi="Arial" w:cs="Arial"/>
                <w:iCs/>
                <w:sz w:val="22"/>
                <w:szCs w:val="22"/>
              </w:rPr>
              <w:t>Proposals collected for alternat</w:t>
            </w:r>
            <w:r>
              <w:rPr>
                <w:rFonts w:ascii="Arial" w:hAnsi="Arial" w:cs="Arial"/>
                <w:iCs/>
                <w:sz w:val="22"/>
                <w:szCs w:val="22"/>
              </w:rPr>
              <w:t>iv</w:t>
            </w:r>
            <w:r w:rsidRPr="00696A00">
              <w:rPr>
                <w:rFonts w:ascii="Arial" w:hAnsi="Arial" w:cs="Arial"/>
                <w:iCs/>
                <w:sz w:val="22"/>
                <w:szCs w:val="22"/>
              </w:rPr>
              <w:t>e, lighter ways of sharing safeguarding experiences to complement the Register of Best Safeguarding Practices (B=3)</w:t>
            </w:r>
          </w:p>
          <w:p w:rsidR="003650A4" w:rsidRPr="00696A00" w:rsidRDefault="003650A4" w:rsidP="003650A4">
            <w:pPr>
              <w:pStyle w:val="ListParagraph"/>
              <w:numPr>
                <w:ilvl w:val="0"/>
                <w:numId w:val="11"/>
              </w:numPr>
              <w:spacing w:before="60" w:after="60"/>
              <w:ind w:left="357" w:hanging="357"/>
              <w:contextualSpacing w:val="0"/>
              <w:rPr>
                <w:rFonts w:ascii="Arial" w:hAnsi="Arial" w:cs="Arial"/>
                <w:i/>
                <w:iCs/>
                <w:sz w:val="22"/>
                <w:szCs w:val="22"/>
              </w:rPr>
            </w:pPr>
            <w:r w:rsidRPr="00696A00">
              <w:rPr>
                <w:rFonts w:ascii="Arial" w:hAnsi="Arial" w:cs="Arial"/>
                <w:iCs/>
                <w:sz w:val="22"/>
                <w:szCs w:val="22"/>
              </w:rPr>
              <w:t xml:space="preserve">Training materials </w:t>
            </w:r>
            <w:r>
              <w:rPr>
                <w:rFonts w:ascii="Arial" w:hAnsi="Arial" w:cs="Arial"/>
                <w:iCs/>
                <w:sz w:val="22"/>
                <w:szCs w:val="22"/>
              </w:rPr>
              <w:t xml:space="preserve">developed </w:t>
            </w:r>
            <w:r w:rsidRPr="00696A00">
              <w:rPr>
                <w:rFonts w:ascii="Arial" w:hAnsi="Arial" w:cs="Arial"/>
                <w:iCs/>
                <w:sz w:val="22"/>
                <w:szCs w:val="22"/>
              </w:rPr>
              <w:t xml:space="preserve">to sensitize governments, communities, groups and other relevant stakeholders and intermediaries to ethical concerns in the safeguarding of intangible cultural heritage (B=1) </w:t>
            </w:r>
          </w:p>
          <w:p w:rsidR="003650A4" w:rsidRPr="00696A00" w:rsidRDefault="003650A4" w:rsidP="003650A4">
            <w:pPr>
              <w:pStyle w:val="ListParagraph"/>
              <w:numPr>
                <w:ilvl w:val="0"/>
                <w:numId w:val="11"/>
              </w:numPr>
              <w:spacing w:before="60" w:after="60"/>
              <w:ind w:left="357" w:hanging="357"/>
              <w:contextualSpacing w:val="0"/>
              <w:rPr>
                <w:rFonts w:ascii="Arial" w:hAnsi="Arial" w:cs="Arial"/>
                <w:iCs/>
                <w:sz w:val="22"/>
                <w:szCs w:val="22"/>
              </w:rPr>
            </w:pPr>
            <w:r w:rsidRPr="00696A00">
              <w:rPr>
                <w:rFonts w:ascii="Arial" w:hAnsi="Arial" w:cs="Arial"/>
                <w:iCs/>
                <w:sz w:val="22"/>
                <w:szCs w:val="22"/>
              </w:rPr>
              <w:t xml:space="preserve">A strategy designed for addressing intangible cultural heritage in emergency situations as described in OD50 (B=1) </w:t>
            </w:r>
          </w:p>
        </w:tc>
      </w:tr>
    </w:tbl>
    <w:p w:rsidR="003650A4" w:rsidRPr="00696A00" w:rsidRDefault="003650A4" w:rsidP="003650A4">
      <w:pPr>
        <w:pStyle w:val="Marge"/>
        <w:spacing w:before="120" w:after="120"/>
        <w:rPr>
          <w:rFonts w:cs="Arial"/>
          <w:b/>
          <w:bCs/>
          <w:szCs w:val="22"/>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3650A4" w:rsidRPr="00104B05" w:rsidTr="003650A4">
        <w:tc>
          <w:tcPr>
            <w:tcW w:w="1175" w:type="pct"/>
            <w:gridSpan w:val="2"/>
            <w:shd w:val="clear" w:color="auto" w:fill="808080" w:themeFill="background1" w:themeFillShade="80"/>
            <w:vAlign w:val="center"/>
          </w:tcPr>
          <w:p w:rsidR="003650A4" w:rsidRPr="00696A00" w:rsidRDefault="003650A4" w:rsidP="00246717">
            <w:pPr>
              <w:keepNext/>
              <w:spacing w:before="120" w:after="120"/>
              <w:rPr>
                <w:rFonts w:ascii="Arial" w:hAnsi="Arial" w:cs="Arial"/>
                <w:b/>
                <w:bCs/>
                <w:color w:val="FFFFFF" w:themeColor="background1"/>
                <w:sz w:val="22"/>
                <w:szCs w:val="22"/>
              </w:rPr>
            </w:pPr>
            <w:r w:rsidRPr="00696A00">
              <w:rPr>
                <w:rFonts w:ascii="Arial" w:hAnsi="Arial" w:cs="Arial"/>
                <w:b/>
                <w:bCs/>
                <w:color w:val="FFFFFF" w:themeColor="background1"/>
                <w:sz w:val="22"/>
                <w:szCs w:val="22"/>
              </w:rPr>
              <w:t>38C/5 Performance Indicator 3</w:t>
            </w:r>
          </w:p>
        </w:tc>
        <w:tc>
          <w:tcPr>
            <w:tcW w:w="3825" w:type="pct"/>
            <w:gridSpan w:val="2"/>
            <w:shd w:val="clear" w:color="auto" w:fill="808080" w:themeFill="background1" w:themeFillShade="80"/>
            <w:vAlign w:val="center"/>
          </w:tcPr>
          <w:p w:rsidR="003650A4" w:rsidRPr="00696A00" w:rsidRDefault="003650A4" w:rsidP="00246717">
            <w:pPr>
              <w:keepNext/>
              <w:spacing w:before="120" w:after="120"/>
              <w:rPr>
                <w:rFonts w:ascii="Arial" w:hAnsi="Arial" w:cs="Arial"/>
                <w:b/>
                <w:bCs/>
                <w:color w:val="FFFFFF" w:themeColor="background1"/>
                <w:sz w:val="22"/>
                <w:szCs w:val="22"/>
              </w:rPr>
            </w:pPr>
            <w:r w:rsidRPr="00696A00">
              <w:rPr>
                <w:rFonts w:ascii="Arial" w:hAnsi="Arial" w:cs="Arial"/>
                <w:b/>
                <w:bCs/>
                <w:color w:val="FFFFFF" w:themeColor="background1"/>
                <w:sz w:val="22"/>
                <w:szCs w:val="22"/>
              </w:rPr>
              <w:t xml:space="preserve">Number of periodic reports on implementation of the Convention at national levels submitted by States Parties and examined by </w:t>
            </w:r>
            <w:r>
              <w:rPr>
                <w:rFonts w:ascii="Arial" w:hAnsi="Arial" w:cs="Arial"/>
                <w:b/>
                <w:bCs/>
                <w:color w:val="FFFFFF" w:themeColor="background1"/>
                <w:sz w:val="22"/>
                <w:szCs w:val="22"/>
              </w:rPr>
              <w:t xml:space="preserve">the </w:t>
            </w:r>
            <w:r w:rsidRPr="00696A00">
              <w:rPr>
                <w:rFonts w:ascii="Arial" w:hAnsi="Arial" w:cs="Arial"/>
                <w:b/>
                <w:bCs/>
                <w:color w:val="FFFFFF" w:themeColor="background1"/>
                <w:sz w:val="22"/>
                <w:szCs w:val="22"/>
              </w:rPr>
              <w:t>Committee, and number addressing gender issues and describing policies promoting equal access to and participation in cultural life</w:t>
            </w:r>
          </w:p>
        </w:tc>
      </w:tr>
      <w:tr w:rsidR="003650A4" w:rsidRPr="00104B05" w:rsidTr="003650A4">
        <w:tc>
          <w:tcPr>
            <w:tcW w:w="117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ICH Fund Expected Result 3</w:t>
            </w:r>
          </w:p>
        </w:tc>
        <w:tc>
          <w:tcPr>
            <w:tcW w:w="382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Overall results framework developed to monitor implementation of the Convention</w:t>
            </w:r>
          </w:p>
        </w:tc>
      </w:tr>
      <w:tr w:rsidR="003650A4" w:rsidRPr="00696A00" w:rsidTr="003650A4">
        <w:tc>
          <w:tcPr>
            <w:tcW w:w="117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199OTH4138.3</w:t>
            </w:r>
          </w:p>
        </w:tc>
        <w:tc>
          <w:tcPr>
            <w:tcW w:w="382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9046D5">
              <w:rPr>
                <w:rFonts w:ascii="Arial" w:hAnsi="Arial" w:cs="Arial"/>
                <w:b/>
                <w:bCs/>
                <w:sz w:val="22"/>
                <w:szCs w:val="22"/>
              </w:rPr>
              <w:t xml:space="preserve">Budgetary allocation: </w:t>
            </w:r>
            <w:r w:rsidRPr="00C06F15">
              <w:rPr>
                <w:rFonts w:ascii="Arial" w:hAnsi="Arial" w:cs="Arial"/>
                <w:b/>
                <w:bCs/>
                <w:sz w:val="22"/>
                <w:szCs w:val="22"/>
              </w:rPr>
              <w:t>US$50,000</w:t>
            </w:r>
          </w:p>
        </w:tc>
      </w:tr>
      <w:tr w:rsidR="003650A4" w:rsidRPr="00696A00" w:rsidTr="003650A4">
        <w:tc>
          <w:tcPr>
            <w:tcW w:w="363" w:type="pct"/>
            <w:shd w:val="clear" w:color="auto" w:fill="F2F2F2" w:themeFill="background1" w:themeFillShade="F2"/>
            <w:vAlign w:val="center"/>
          </w:tcPr>
          <w:p w:rsidR="003650A4" w:rsidRPr="00696A00" w:rsidRDefault="003650A4" w:rsidP="00246717">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rsidR="003650A4" w:rsidRPr="00696A00" w:rsidRDefault="003650A4" w:rsidP="00246717">
            <w:pPr>
              <w:keepNext/>
              <w:spacing w:before="60" w:after="60"/>
              <w:jc w:val="center"/>
              <w:rPr>
                <w:rFonts w:ascii="Arial" w:hAnsi="Arial" w:cs="Arial"/>
                <w:i/>
                <w:iCs/>
                <w:sz w:val="22"/>
                <w:szCs w:val="22"/>
              </w:rPr>
            </w:pPr>
            <w:r w:rsidRPr="00696A00">
              <w:rPr>
                <w:rFonts w:ascii="Arial" w:hAnsi="Arial" w:cs="Arial"/>
                <w:i/>
                <w:iCs/>
                <w:sz w:val="22"/>
                <w:szCs w:val="22"/>
              </w:rPr>
              <w:t>Outputs</w:t>
            </w:r>
          </w:p>
        </w:tc>
        <w:tc>
          <w:tcPr>
            <w:tcW w:w="2319" w:type="pct"/>
            <w:shd w:val="clear" w:color="auto" w:fill="F2F2F2" w:themeFill="background1" w:themeFillShade="F2"/>
            <w:vAlign w:val="center"/>
          </w:tcPr>
          <w:p w:rsidR="003650A4" w:rsidRPr="00696A00" w:rsidRDefault="003650A4" w:rsidP="00246717">
            <w:pPr>
              <w:keepNext/>
              <w:spacing w:before="60" w:after="60"/>
              <w:jc w:val="center"/>
              <w:rPr>
                <w:rFonts w:ascii="Arial" w:hAnsi="Arial" w:cs="Arial"/>
                <w:i/>
                <w:iCs/>
                <w:sz w:val="22"/>
                <w:szCs w:val="22"/>
              </w:rPr>
            </w:pPr>
            <w:r w:rsidRPr="00696A00">
              <w:rPr>
                <w:rFonts w:ascii="Arial" w:hAnsi="Arial" w:cs="Arial"/>
                <w:i/>
                <w:iCs/>
                <w:sz w:val="22"/>
                <w:szCs w:val="22"/>
              </w:rPr>
              <w:t>Indicators (Benchmarks)</w:t>
            </w:r>
          </w:p>
        </w:tc>
      </w:tr>
      <w:tr w:rsidR="003650A4" w:rsidRPr="00104B05" w:rsidTr="003650A4">
        <w:tc>
          <w:tcPr>
            <w:tcW w:w="363"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3.1</w:t>
            </w:r>
          </w:p>
        </w:tc>
        <w:tc>
          <w:tcPr>
            <w:tcW w:w="2318" w:type="pct"/>
            <w:gridSpan w:val="2"/>
            <w:shd w:val="clear" w:color="auto" w:fill="auto"/>
            <w:vAlign w:val="center"/>
          </w:tcPr>
          <w:p w:rsidR="003650A4" w:rsidRPr="00696A00" w:rsidRDefault="003650A4" w:rsidP="00246717">
            <w:pPr>
              <w:spacing w:before="60" w:after="60"/>
              <w:rPr>
                <w:rFonts w:ascii="Arial" w:hAnsi="Arial" w:cs="Arial"/>
                <w:iCs/>
                <w:sz w:val="22"/>
                <w:szCs w:val="22"/>
              </w:rPr>
            </w:pPr>
            <w:r w:rsidRPr="00696A00">
              <w:rPr>
                <w:rFonts w:ascii="Arial" w:hAnsi="Arial" w:cs="Arial"/>
                <w:iCs/>
                <w:sz w:val="22"/>
                <w:szCs w:val="22"/>
              </w:rPr>
              <w:t>An overall results framework for the Convention elaborated</w:t>
            </w:r>
          </w:p>
        </w:tc>
        <w:tc>
          <w:tcPr>
            <w:tcW w:w="2319" w:type="pct"/>
            <w:shd w:val="clear" w:color="auto" w:fill="auto"/>
            <w:vAlign w:val="center"/>
          </w:tcPr>
          <w:p w:rsidR="003650A4" w:rsidRPr="00696A00" w:rsidRDefault="003650A4" w:rsidP="003650A4">
            <w:pPr>
              <w:pStyle w:val="ListParagraph"/>
              <w:numPr>
                <w:ilvl w:val="0"/>
                <w:numId w:val="11"/>
              </w:numPr>
              <w:spacing w:before="60" w:after="60"/>
              <w:ind w:left="357" w:hanging="357"/>
              <w:contextualSpacing w:val="0"/>
              <w:rPr>
                <w:rFonts w:ascii="Arial" w:hAnsi="Arial" w:cs="Arial"/>
                <w:iCs/>
                <w:sz w:val="22"/>
                <w:szCs w:val="22"/>
              </w:rPr>
            </w:pPr>
            <w:r w:rsidRPr="00696A00">
              <w:rPr>
                <w:rFonts w:ascii="Arial" w:hAnsi="Arial" w:cs="Arial"/>
                <w:iCs/>
                <w:sz w:val="22"/>
                <w:szCs w:val="22"/>
              </w:rPr>
              <w:t>Preliminary category VI meeting of experts to lay the foundation upon which an overall results framework of the Convention could be constructed (B=1, co-financed by the National Commission of the People’s Republic of China)</w:t>
            </w:r>
          </w:p>
          <w:p w:rsidR="003650A4" w:rsidRPr="00696A00" w:rsidRDefault="003650A4" w:rsidP="003650A4">
            <w:pPr>
              <w:pStyle w:val="ListParagraph"/>
              <w:numPr>
                <w:ilvl w:val="0"/>
                <w:numId w:val="11"/>
              </w:numPr>
              <w:spacing w:before="60" w:after="60"/>
              <w:ind w:left="357" w:hanging="357"/>
              <w:contextualSpacing w:val="0"/>
              <w:rPr>
                <w:rFonts w:ascii="Arial" w:hAnsi="Arial" w:cs="Arial"/>
                <w:iCs/>
                <w:sz w:val="22"/>
                <w:szCs w:val="22"/>
              </w:rPr>
            </w:pPr>
            <w:r w:rsidRPr="00696A00">
              <w:rPr>
                <w:rFonts w:ascii="Arial" w:hAnsi="Arial" w:cs="Arial"/>
                <w:sz w:val="22"/>
                <w:szCs w:val="22"/>
              </w:rPr>
              <w:t>An open-ended intergovernmental working group to examine preliminary recommendations of possible directives (B=1, contingent on voluntary supplementary contributions to the Intangible Cultural Heritage Fund)</w:t>
            </w:r>
          </w:p>
          <w:p w:rsidR="003650A4" w:rsidRPr="00696A00" w:rsidRDefault="003650A4" w:rsidP="003650A4">
            <w:pPr>
              <w:pStyle w:val="ListParagraph"/>
              <w:numPr>
                <w:ilvl w:val="0"/>
                <w:numId w:val="11"/>
              </w:numPr>
              <w:spacing w:before="60" w:after="60"/>
              <w:ind w:left="357" w:hanging="357"/>
              <w:contextualSpacing w:val="0"/>
              <w:rPr>
                <w:rFonts w:ascii="Arial" w:hAnsi="Arial" w:cs="Arial"/>
                <w:iCs/>
                <w:sz w:val="22"/>
                <w:szCs w:val="22"/>
              </w:rPr>
            </w:pPr>
            <w:r w:rsidRPr="00696A00">
              <w:rPr>
                <w:rFonts w:ascii="Arial" w:hAnsi="Arial" w:cs="Arial"/>
                <w:sz w:val="22"/>
                <w:szCs w:val="22"/>
              </w:rPr>
              <w:t>A preliminary tool developed to systematize data collection and analysis to monitor implementation of the Convention (B=1)</w:t>
            </w:r>
          </w:p>
        </w:tc>
      </w:tr>
    </w:tbl>
    <w:p w:rsidR="003650A4" w:rsidRPr="00696A00" w:rsidRDefault="003650A4" w:rsidP="003650A4">
      <w:pPr>
        <w:pStyle w:val="Marge"/>
        <w:spacing w:before="120" w:after="120"/>
        <w:rPr>
          <w:rFonts w:cs="Arial"/>
          <w:b/>
          <w:bCs/>
          <w:szCs w:val="22"/>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3650A4" w:rsidRPr="00104B05" w:rsidTr="00246717">
        <w:trPr>
          <w:cantSplit/>
        </w:trPr>
        <w:tc>
          <w:tcPr>
            <w:tcW w:w="1175" w:type="pct"/>
            <w:gridSpan w:val="2"/>
            <w:shd w:val="clear" w:color="auto" w:fill="808080" w:themeFill="background1" w:themeFillShade="80"/>
            <w:vAlign w:val="center"/>
          </w:tcPr>
          <w:p w:rsidR="003650A4" w:rsidRPr="00696A00" w:rsidRDefault="003650A4" w:rsidP="00246717">
            <w:pPr>
              <w:keepNext/>
              <w:spacing w:before="120" w:after="120"/>
              <w:rPr>
                <w:rFonts w:ascii="Arial" w:hAnsi="Arial" w:cs="Arial"/>
                <w:b/>
                <w:bCs/>
                <w:color w:val="FFFFFF" w:themeColor="background1"/>
                <w:sz w:val="22"/>
                <w:szCs w:val="22"/>
              </w:rPr>
            </w:pPr>
            <w:r w:rsidRPr="00696A00">
              <w:rPr>
                <w:rFonts w:ascii="Arial" w:hAnsi="Arial" w:cs="Arial"/>
                <w:b/>
                <w:bCs/>
                <w:color w:val="FFFFFF" w:themeColor="background1"/>
                <w:sz w:val="22"/>
                <w:szCs w:val="22"/>
              </w:rPr>
              <w:t>38C/5 Performance Indicator 5</w:t>
            </w:r>
          </w:p>
        </w:tc>
        <w:tc>
          <w:tcPr>
            <w:tcW w:w="3825" w:type="pct"/>
            <w:gridSpan w:val="2"/>
            <w:shd w:val="clear" w:color="auto" w:fill="808080" w:themeFill="background1" w:themeFillShade="80"/>
            <w:vAlign w:val="center"/>
          </w:tcPr>
          <w:p w:rsidR="003650A4" w:rsidRPr="00696A00" w:rsidRDefault="003650A4" w:rsidP="00246717">
            <w:pPr>
              <w:keepNext/>
              <w:spacing w:before="120" w:after="120"/>
              <w:rPr>
                <w:rFonts w:ascii="Arial" w:hAnsi="Arial" w:cs="Arial"/>
                <w:b/>
                <w:bCs/>
                <w:color w:val="FFFFFF" w:themeColor="background1"/>
                <w:sz w:val="22"/>
                <w:szCs w:val="22"/>
              </w:rPr>
            </w:pPr>
            <w:r w:rsidRPr="00696A00">
              <w:rPr>
                <w:rFonts w:ascii="Arial" w:hAnsi="Arial" w:cs="Arial"/>
                <w:b/>
                <w:bCs/>
                <w:color w:val="FFFFFF" w:themeColor="background1"/>
                <w:sz w:val="22"/>
                <w:szCs w:val="22"/>
              </w:rPr>
              <w:t>Number of organizations within and outside the United Nations system, civil society, and the private sector contributing to programme delivery</w:t>
            </w:r>
          </w:p>
        </w:tc>
      </w:tr>
      <w:tr w:rsidR="003650A4" w:rsidRPr="00104B05" w:rsidTr="00246717">
        <w:trPr>
          <w:cantSplit/>
        </w:trPr>
        <w:tc>
          <w:tcPr>
            <w:tcW w:w="117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ICH Fund Expected Result 4</w:t>
            </w:r>
          </w:p>
        </w:tc>
        <w:tc>
          <w:tcPr>
            <w:tcW w:w="382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Objectives of the Convention promoted through raising awareness and outreach</w:t>
            </w:r>
          </w:p>
        </w:tc>
      </w:tr>
      <w:tr w:rsidR="003650A4" w:rsidRPr="00696A00" w:rsidTr="00246717">
        <w:trPr>
          <w:cantSplit/>
        </w:trPr>
        <w:tc>
          <w:tcPr>
            <w:tcW w:w="117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199OTH4138.4</w:t>
            </w:r>
          </w:p>
        </w:tc>
        <w:tc>
          <w:tcPr>
            <w:tcW w:w="3825" w:type="pct"/>
            <w:gridSpan w:val="2"/>
            <w:shd w:val="clear" w:color="auto" w:fill="F2F2F2" w:themeFill="background1" w:themeFillShade="F2"/>
            <w:vAlign w:val="center"/>
          </w:tcPr>
          <w:p w:rsidR="003650A4" w:rsidRPr="00696A00" w:rsidRDefault="003650A4" w:rsidP="00246717">
            <w:pPr>
              <w:keepNext/>
              <w:spacing w:before="60" w:after="60"/>
              <w:rPr>
                <w:rFonts w:ascii="Arial" w:hAnsi="Arial" w:cs="Arial"/>
                <w:b/>
                <w:bCs/>
                <w:sz w:val="22"/>
                <w:szCs w:val="22"/>
              </w:rPr>
            </w:pPr>
            <w:r w:rsidRPr="00696A00">
              <w:rPr>
                <w:rFonts w:ascii="Arial" w:hAnsi="Arial" w:cs="Arial"/>
                <w:b/>
                <w:bCs/>
                <w:sz w:val="22"/>
                <w:szCs w:val="22"/>
              </w:rPr>
              <w:t xml:space="preserve">Budgetary allocation: </w:t>
            </w:r>
            <w:r w:rsidRPr="00323D97">
              <w:rPr>
                <w:rFonts w:ascii="Arial" w:hAnsi="Arial" w:cs="Arial"/>
                <w:b/>
                <w:bCs/>
                <w:sz w:val="22"/>
                <w:szCs w:val="22"/>
              </w:rPr>
              <w:t>US$</w:t>
            </w:r>
            <w:r>
              <w:rPr>
                <w:rFonts w:ascii="Arial" w:hAnsi="Arial" w:cs="Arial"/>
                <w:b/>
                <w:bCs/>
                <w:sz w:val="22"/>
                <w:szCs w:val="22"/>
              </w:rPr>
              <w:t>336</w:t>
            </w:r>
            <w:r w:rsidRPr="00323D97">
              <w:rPr>
                <w:rFonts w:ascii="Arial" w:hAnsi="Arial" w:cs="Arial"/>
                <w:b/>
                <w:bCs/>
                <w:sz w:val="22"/>
                <w:szCs w:val="22"/>
              </w:rPr>
              <w:t>,</w:t>
            </w:r>
            <w:r>
              <w:rPr>
                <w:rFonts w:ascii="Arial" w:hAnsi="Arial" w:cs="Arial"/>
                <w:b/>
                <w:bCs/>
                <w:sz w:val="22"/>
                <w:szCs w:val="22"/>
              </w:rPr>
              <w:t>500</w:t>
            </w:r>
          </w:p>
        </w:tc>
      </w:tr>
      <w:tr w:rsidR="003650A4" w:rsidRPr="00696A00" w:rsidTr="00246717">
        <w:trPr>
          <w:cantSplit/>
        </w:trPr>
        <w:tc>
          <w:tcPr>
            <w:tcW w:w="363" w:type="pct"/>
            <w:shd w:val="clear" w:color="auto" w:fill="F2F2F2" w:themeFill="background1" w:themeFillShade="F2"/>
            <w:vAlign w:val="center"/>
          </w:tcPr>
          <w:p w:rsidR="003650A4" w:rsidRPr="00696A00" w:rsidRDefault="003650A4" w:rsidP="00246717">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rsidR="003650A4" w:rsidRPr="00696A00" w:rsidRDefault="003650A4" w:rsidP="00246717">
            <w:pPr>
              <w:keepNext/>
              <w:spacing w:before="60" w:after="60"/>
              <w:jc w:val="center"/>
              <w:rPr>
                <w:rFonts w:ascii="Arial" w:hAnsi="Arial" w:cs="Arial"/>
                <w:i/>
                <w:iCs/>
                <w:sz w:val="22"/>
                <w:szCs w:val="22"/>
              </w:rPr>
            </w:pPr>
            <w:r w:rsidRPr="00696A00">
              <w:rPr>
                <w:rFonts w:ascii="Arial" w:hAnsi="Arial" w:cs="Arial"/>
                <w:i/>
                <w:iCs/>
                <w:sz w:val="22"/>
                <w:szCs w:val="22"/>
              </w:rPr>
              <w:t>Outputs</w:t>
            </w:r>
          </w:p>
        </w:tc>
        <w:tc>
          <w:tcPr>
            <w:tcW w:w="2319" w:type="pct"/>
            <w:shd w:val="clear" w:color="auto" w:fill="F2F2F2" w:themeFill="background1" w:themeFillShade="F2"/>
            <w:vAlign w:val="center"/>
          </w:tcPr>
          <w:p w:rsidR="003650A4" w:rsidRPr="00696A00" w:rsidRDefault="003650A4" w:rsidP="00246717">
            <w:pPr>
              <w:keepNext/>
              <w:spacing w:before="60" w:after="60"/>
              <w:jc w:val="center"/>
              <w:rPr>
                <w:rFonts w:ascii="Arial" w:hAnsi="Arial" w:cs="Arial"/>
                <w:i/>
                <w:iCs/>
                <w:sz w:val="22"/>
                <w:szCs w:val="22"/>
              </w:rPr>
            </w:pPr>
            <w:r w:rsidRPr="00696A00">
              <w:rPr>
                <w:rFonts w:ascii="Arial" w:hAnsi="Arial" w:cs="Arial"/>
                <w:i/>
                <w:iCs/>
                <w:sz w:val="22"/>
                <w:szCs w:val="22"/>
              </w:rPr>
              <w:t>Indicators (Benchmarks) 2016-2017</w:t>
            </w:r>
          </w:p>
        </w:tc>
      </w:tr>
      <w:tr w:rsidR="003650A4" w:rsidRPr="00104B05" w:rsidTr="00246717">
        <w:trPr>
          <w:cantSplit/>
        </w:trPr>
        <w:tc>
          <w:tcPr>
            <w:tcW w:w="363"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4.</w:t>
            </w:r>
            <w:r>
              <w:rPr>
                <w:rFonts w:ascii="Arial" w:hAnsi="Arial" w:cs="Arial"/>
                <w:iCs/>
                <w:sz w:val="22"/>
                <w:szCs w:val="22"/>
              </w:rPr>
              <w:t>1</w:t>
            </w:r>
          </w:p>
        </w:tc>
        <w:tc>
          <w:tcPr>
            <w:tcW w:w="2318" w:type="pct"/>
            <w:gridSpan w:val="2"/>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sz w:val="22"/>
                <w:szCs w:val="22"/>
              </w:rPr>
              <w:t>New partnerships with relevant institutions established to integrate intangible cultural heritage in education</w:t>
            </w:r>
          </w:p>
        </w:tc>
        <w:tc>
          <w:tcPr>
            <w:tcW w:w="2319" w:type="pct"/>
            <w:shd w:val="clear" w:color="auto" w:fill="auto"/>
            <w:vAlign w:val="center"/>
          </w:tcPr>
          <w:p w:rsidR="003650A4" w:rsidRPr="00696A00" w:rsidRDefault="003650A4" w:rsidP="003650A4">
            <w:pPr>
              <w:pStyle w:val="ListParagraph"/>
              <w:numPr>
                <w:ilvl w:val="0"/>
                <w:numId w:val="12"/>
              </w:numPr>
              <w:spacing w:before="60" w:after="60"/>
              <w:ind w:left="357" w:hanging="357"/>
              <w:contextualSpacing w:val="0"/>
              <w:rPr>
                <w:rFonts w:ascii="Arial" w:hAnsi="Arial" w:cs="Arial"/>
                <w:sz w:val="22"/>
                <w:szCs w:val="22"/>
              </w:rPr>
            </w:pPr>
            <w:r w:rsidRPr="00696A00">
              <w:rPr>
                <w:rFonts w:ascii="Arial" w:hAnsi="Arial" w:cs="Arial"/>
                <w:sz w:val="22"/>
                <w:szCs w:val="22"/>
              </w:rPr>
              <w:t>Regional workshop with tertiary education institutions organized (B=1)</w:t>
            </w:r>
          </w:p>
          <w:p w:rsidR="003650A4" w:rsidRPr="00C06F15" w:rsidRDefault="003650A4" w:rsidP="003650A4">
            <w:pPr>
              <w:pStyle w:val="ListParagraph"/>
              <w:numPr>
                <w:ilvl w:val="0"/>
                <w:numId w:val="12"/>
              </w:numPr>
              <w:spacing w:before="60" w:after="60"/>
              <w:ind w:left="357" w:hanging="357"/>
              <w:contextualSpacing w:val="0"/>
              <w:rPr>
                <w:rFonts w:ascii="Arial" w:hAnsi="Arial" w:cs="Arial"/>
                <w:sz w:val="22"/>
                <w:szCs w:val="22"/>
              </w:rPr>
            </w:pPr>
            <w:r w:rsidRPr="00696A00">
              <w:rPr>
                <w:rFonts w:ascii="Arial" w:hAnsi="Arial" w:cs="Arial"/>
                <w:sz w:val="22"/>
                <w:szCs w:val="22"/>
              </w:rPr>
              <w:t>Consultation organized with relevant education institutions on integrating intangible cultural heritage into their programmes (B=1)</w:t>
            </w:r>
          </w:p>
        </w:tc>
      </w:tr>
      <w:tr w:rsidR="003650A4" w:rsidRPr="00104B05" w:rsidTr="00246717">
        <w:trPr>
          <w:cantSplit/>
        </w:trPr>
        <w:tc>
          <w:tcPr>
            <w:tcW w:w="363"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4.</w:t>
            </w:r>
            <w:r>
              <w:rPr>
                <w:rFonts w:ascii="Arial" w:hAnsi="Arial" w:cs="Arial"/>
                <w:iCs/>
                <w:sz w:val="22"/>
                <w:szCs w:val="22"/>
              </w:rPr>
              <w:t>2</w:t>
            </w:r>
          </w:p>
        </w:tc>
        <w:tc>
          <w:tcPr>
            <w:tcW w:w="2318" w:type="pct"/>
            <w:gridSpan w:val="2"/>
            <w:shd w:val="clear" w:color="auto" w:fill="auto"/>
            <w:vAlign w:val="center"/>
          </w:tcPr>
          <w:p w:rsidR="003650A4" w:rsidRPr="00696A00" w:rsidRDefault="003650A4" w:rsidP="00246717">
            <w:pPr>
              <w:spacing w:before="60" w:after="60"/>
              <w:rPr>
                <w:rFonts w:ascii="Arial" w:hAnsi="Arial" w:cs="Arial"/>
                <w:iCs/>
                <w:sz w:val="22"/>
                <w:szCs w:val="22"/>
              </w:rPr>
            </w:pPr>
            <w:r w:rsidRPr="00696A00">
              <w:rPr>
                <w:rFonts w:ascii="Arial" w:hAnsi="Arial" w:cs="Arial"/>
                <w:sz w:val="22"/>
                <w:szCs w:val="22"/>
              </w:rPr>
              <w:t>UNESCO’s cooperation with WIPO or other UN agencies strengthened to ensure ongoing exchange and learning between the organizations and their Member States</w:t>
            </w:r>
          </w:p>
        </w:tc>
        <w:tc>
          <w:tcPr>
            <w:tcW w:w="2319" w:type="pct"/>
            <w:shd w:val="clear" w:color="auto" w:fill="auto"/>
            <w:vAlign w:val="center"/>
          </w:tcPr>
          <w:p w:rsidR="003650A4" w:rsidRPr="00696A00" w:rsidRDefault="003650A4" w:rsidP="00246717">
            <w:pPr>
              <w:spacing w:before="60" w:after="60"/>
              <w:rPr>
                <w:rFonts w:ascii="Arial" w:hAnsi="Arial" w:cs="Arial"/>
                <w:i/>
                <w:iCs/>
                <w:sz w:val="22"/>
                <w:szCs w:val="22"/>
              </w:rPr>
            </w:pPr>
            <w:r w:rsidRPr="00696A00">
              <w:rPr>
                <w:rFonts w:ascii="Arial" w:hAnsi="Arial" w:cs="Arial"/>
                <w:sz w:val="22"/>
                <w:szCs w:val="22"/>
              </w:rPr>
              <w:t>Participation in meetings organized by WIPO or other UN agencies (</w:t>
            </w:r>
            <w:r w:rsidRPr="00C06F15">
              <w:rPr>
                <w:rFonts w:ascii="Arial" w:hAnsi="Arial" w:cs="Arial"/>
                <w:sz w:val="22"/>
                <w:szCs w:val="22"/>
              </w:rPr>
              <w:t>B=3</w:t>
            </w:r>
            <w:r w:rsidRPr="00696A00">
              <w:rPr>
                <w:rFonts w:ascii="Arial" w:hAnsi="Arial" w:cs="Arial"/>
                <w:sz w:val="22"/>
                <w:szCs w:val="22"/>
              </w:rPr>
              <w:t>)</w:t>
            </w:r>
          </w:p>
        </w:tc>
      </w:tr>
      <w:tr w:rsidR="003650A4" w:rsidRPr="00104B05" w:rsidTr="00246717">
        <w:trPr>
          <w:cantSplit/>
        </w:trPr>
        <w:tc>
          <w:tcPr>
            <w:tcW w:w="363" w:type="pct"/>
            <w:shd w:val="clear" w:color="auto" w:fill="auto"/>
            <w:vAlign w:val="center"/>
          </w:tcPr>
          <w:p w:rsidR="003650A4" w:rsidRPr="00696A00" w:rsidRDefault="003650A4" w:rsidP="00246717">
            <w:pPr>
              <w:spacing w:before="60" w:after="60"/>
              <w:jc w:val="center"/>
              <w:rPr>
                <w:rFonts w:ascii="Arial" w:hAnsi="Arial" w:cs="Arial"/>
                <w:iCs/>
                <w:sz w:val="22"/>
                <w:szCs w:val="22"/>
              </w:rPr>
            </w:pPr>
            <w:r w:rsidRPr="00696A00">
              <w:rPr>
                <w:rFonts w:ascii="Arial" w:hAnsi="Arial" w:cs="Arial"/>
                <w:iCs/>
                <w:sz w:val="22"/>
                <w:szCs w:val="22"/>
              </w:rPr>
              <w:t>4.3</w:t>
            </w:r>
          </w:p>
        </w:tc>
        <w:tc>
          <w:tcPr>
            <w:tcW w:w="2318" w:type="pct"/>
            <w:gridSpan w:val="2"/>
            <w:shd w:val="clear" w:color="auto" w:fill="auto"/>
            <w:vAlign w:val="center"/>
          </w:tcPr>
          <w:p w:rsidR="003650A4" w:rsidRPr="00696A00" w:rsidRDefault="003650A4" w:rsidP="00246717">
            <w:pPr>
              <w:spacing w:before="60" w:after="60"/>
              <w:rPr>
                <w:rFonts w:ascii="Arial" w:hAnsi="Arial" w:cs="Arial"/>
                <w:color w:val="000000"/>
                <w:sz w:val="22"/>
                <w:szCs w:val="22"/>
              </w:rPr>
            </w:pPr>
            <w:r w:rsidRPr="00696A00">
              <w:rPr>
                <w:rFonts w:ascii="Arial" w:hAnsi="Arial" w:cs="Arial"/>
                <w:color w:val="000000"/>
                <w:sz w:val="22"/>
                <w:szCs w:val="22"/>
              </w:rPr>
              <w:t xml:space="preserve">An outreach strategy developed to promote the objectives of the Convention and engage effectively with stakeholders </w:t>
            </w:r>
          </w:p>
        </w:tc>
        <w:tc>
          <w:tcPr>
            <w:tcW w:w="2319" w:type="pct"/>
            <w:shd w:val="clear" w:color="auto" w:fill="auto"/>
            <w:vAlign w:val="center"/>
          </w:tcPr>
          <w:p w:rsidR="003650A4" w:rsidRPr="00696A00" w:rsidRDefault="003650A4" w:rsidP="003650A4">
            <w:pPr>
              <w:pStyle w:val="ListParagraph"/>
              <w:numPr>
                <w:ilvl w:val="0"/>
                <w:numId w:val="12"/>
              </w:numPr>
              <w:spacing w:before="60" w:after="60"/>
              <w:ind w:left="357" w:hanging="357"/>
              <w:contextualSpacing w:val="0"/>
              <w:rPr>
                <w:rFonts w:ascii="Arial" w:hAnsi="Arial" w:cs="Arial"/>
                <w:iCs/>
                <w:sz w:val="22"/>
                <w:szCs w:val="22"/>
              </w:rPr>
            </w:pPr>
            <w:r w:rsidRPr="00696A00">
              <w:rPr>
                <w:rFonts w:ascii="Arial" w:hAnsi="Arial" w:cs="Arial"/>
                <w:iCs/>
                <w:sz w:val="22"/>
                <w:szCs w:val="22"/>
              </w:rPr>
              <w:t xml:space="preserve">Partnership established for the development of an </w:t>
            </w:r>
            <w:r w:rsidRPr="00696A00">
              <w:rPr>
                <w:rFonts w:ascii="Arial" w:hAnsi="Arial" w:cs="Arial"/>
                <w:sz w:val="22"/>
                <w:szCs w:val="22"/>
              </w:rPr>
              <w:t>outreach</w:t>
            </w:r>
            <w:r w:rsidRPr="00696A00">
              <w:rPr>
                <w:rFonts w:ascii="Arial" w:hAnsi="Arial" w:cs="Arial"/>
                <w:iCs/>
                <w:sz w:val="22"/>
                <w:szCs w:val="22"/>
              </w:rPr>
              <w:t xml:space="preserve"> strategy (B=1)</w:t>
            </w:r>
          </w:p>
          <w:p w:rsidR="003650A4" w:rsidRPr="00C06F15" w:rsidRDefault="003650A4" w:rsidP="003650A4">
            <w:pPr>
              <w:pStyle w:val="ListParagraph"/>
              <w:numPr>
                <w:ilvl w:val="0"/>
                <w:numId w:val="12"/>
              </w:numPr>
              <w:spacing w:before="60" w:after="60"/>
              <w:ind w:left="357" w:hanging="357"/>
              <w:contextualSpacing w:val="0"/>
              <w:rPr>
                <w:rFonts w:ascii="Arial" w:hAnsi="Arial" w:cs="Arial"/>
                <w:iCs/>
                <w:sz w:val="22"/>
                <w:szCs w:val="22"/>
              </w:rPr>
            </w:pPr>
            <w:r w:rsidRPr="00696A00">
              <w:rPr>
                <w:rFonts w:ascii="Arial" w:hAnsi="Arial" w:cs="Arial"/>
                <w:iCs/>
                <w:sz w:val="22"/>
                <w:szCs w:val="22"/>
              </w:rPr>
              <w:t>Outreach materials/tools designed and produced (B=2)</w:t>
            </w:r>
          </w:p>
        </w:tc>
      </w:tr>
    </w:tbl>
    <w:p w:rsidR="003650A4" w:rsidRDefault="003650A4" w:rsidP="003650A4">
      <w:pPr>
        <w:pStyle w:val="COMTitleDecision"/>
        <w:spacing w:before="360"/>
        <w:ind w:left="0"/>
      </w:pPr>
      <w:r w:rsidRPr="00AB524C">
        <w:t>DECISION 11.COM 2.BUR 2.1</w:t>
      </w:r>
    </w:p>
    <w:p w:rsidR="003650A4" w:rsidRPr="00AB524C" w:rsidRDefault="003650A4" w:rsidP="003650A4">
      <w:pPr>
        <w:pStyle w:val="Marge"/>
        <w:keepNext/>
        <w:spacing w:before="240" w:after="120"/>
        <w:ind w:left="567" w:hanging="567"/>
        <w:rPr>
          <w:rFonts w:cs="Arial"/>
          <w:caps/>
          <w:szCs w:val="22"/>
        </w:rPr>
      </w:pPr>
      <w:r w:rsidRPr="00AB524C">
        <w:rPr>
          <w:rFonts w:cs="Arial"/>
          <w:szCs w:val="22"/>
        </w:rPr>
        <w:t>The Bureau,</w:t>
      </w:r>
    </w:p>
    <w:p w:rsidR="003650A4" w:rsidRPr="003650A4" w:rsidRDefault="003650A4" w:rsidP="003650A4">
      <w:pPr>
        <w:pStyle w:val="COMParaDecision"/>
        <w:numPr>
          <w:ilvl w:val="0"/>
          <w:numId w:val="13"/>
        </w:numPr>
        <w:ind w:left="567" w:hanging="567"/>
        <w:rPr>
          <w:u w:val="none"/>
        </w:rPr>
      </w:pPr>
      <w:r w:rsidRPr="003650A4">
        <w:t>Recalling</w:t>
      </w:r>
      <w:r w:rsidRPr="003650A4">
        <w:rPr>
          <w:u w:val="none"/>
        </w:rPr>
        <w:t xml:space="preserve"> Chapter V of the Convention and Chapter I of the Operational Directives,</w:t>
      </w:r>
    </w:p>
    <w:p w:rsidR="003650A4" w:rsidRPr="003650A4" w:rsidRDefault="003650A4" w:rsidP="003650A4">
      <w:pPr>
        <w:pStyle w:val="COMParaDecision"/>
        <w:ind w:left="567" w:hanging="567"/>
        <w:rPr>
          <w:u w:val="none"/>
        </w:rPr>
      </w:pPr>
      <w:r w:rsidRPr="003650A4">
        <w:t>Having examined</w:t>
      </w:r>
      <w:r w:rsidRPr="003650A4">
        <w:rPr>
          <w:u w:val="none"/>
        </w:rPr>
        <w:t xml:space="preserve"> Document ITH/16/11.COM 2.BUR/2, as well as the international assistance request no. 01118,</w:t>
      </w:r>
    </w:p>
    <w:p w:rsidR="003650A4" w:rsidRPr="003650A4" w:rsidRDefault="003650A4" w:rsidP="003650A4">
      <w:pPr>
        <w:pStyle w:val="COMParaDecision"/>
        <w:ind w:left="567" w:hanging="567"/>
        <w:rPr>
          <w:u w:val="none"/>
        </w:rPr>
      </w:pPr>
      <w:r w:rsidRPr="003650A4">
        <w:t>Takes note</w:t>
      </w:r>
      <w:r w:rsidRPr="003650A4">
        <w:rPr>
          <w:u w:val="none"/>
        </w:rPr>
        <w:t xml:space="preserve"> that Lesotho has requested International Assistance for a project entitled the </w:t>
      </w:r>
      <w:r w:rsidRPr="003650A4">
        <w:rPr>
          <w:b/>
          <w:u w:val="none"/>
        </w:rPr>
        <w:t>Inventorying of intangible cultural heritage elements in Thaba-Bosiu in Lesotho</w:t>
      </w:r>
      <w:r w:rsidRPr="003650A4">
        <w:rPr>
          <w:u w:val="none"/>
        </w:rPr>
        <w:t>:</w:t>
      </w:r>
    </w:p>
    <w:p w:rsidR="003650A4" w:rsidRPr="003650A4" w:rsidRDefault="003650A4" w:rsidP="003650A4">
      <w:pPr>
        <w:pStyle w:val="COMParaDecision"/>
        <w:numPr>
          <w:ilvl w:val="0"/>
          <w:numId w:val="0"/>
        </w:numPr>
        <w:ind w:left="567"/>
        <w:rPr>
          <w:u w:val="none"/>
        </w:rPr>
      </w:pPr>
      <w:r w:rsidRPr="003650A4">
        <w:rPr>
          <w:u w:val="none"/>
        </w:rPr>
        <w:t>With the main objective to contribute to safeguarding intangible cultural heritage in Lesotho and sensitize relevant stakeholders thereon, the project intends to conduct inventory training and exercises in nine selected villages of Thaba-Bosiu, in the country's capital district. Inspired by similar experiences conducted in other districts with the support of UNESCO and the World Bank, the community elders of Thaba-Bosiu sought the help of the Department of Culture of the Ministry of Tourism, Environment and Culture to identify and document intangible cultural heritage elements which need urgent safeguarding. The proposed request is, therefore, the result of joint work between community councils and the Department of Culture. Implemented by the Lesotho National Commission for UNESCO in cooperation with the Department of Culture, planned activities include i) a stakeholders meeting to raise awareness among relevant governmental ministries and departments, civil society, cultural associations and communities about effective measures and mechanisms for safeguarding intangible cultural heritage; ii) a capacity-building workshop on community-based inventorying for youth, practitioners and officials from the Department of Culture; iii) an inventorying exercise of intangible cultural heritage elements across the nine villages; and iv) the production of a document compiling the results of the inventory exercises in Thaba-Bosiu, which will be added to the National Inventory of Intangible Cultural Heritage of Lesotho.</w:t>
      </w:r>
    </w:p>
    <w:p w:rsidR="003650A4" w:rsidRPr="003650A4" w:rsidRDefault="003650A4" w:rsidP="003650A4">
      <w:pPr>
        <w:pStyle w:val="COMParaDecision"/>
        <w:ind w:left="567" w:hanging="567"/>
        <w:rPr>
          <w:u w:val="none"/>
        </w:rPr>
      </w:pPr>
      <w:r w:rsidRPr="00073D56">
        <w:t>Further takes note</w:t>
      </w:r>
      <w:r w:rsidRPr="003650A4">
        <w:rPr>
          <w:u w:val="none"/>
        </w:rPr>
        <w:t xml:space="preserve"> that this assistance concerns support for a project carried out at local level aimed at safeguarding intangible cultural heritage in accordance with</w:t>
      </w:r>
      <w:r w:rsidRPr="003650A4">
        <w:rPr>
          <w:u w:val="none"/>
        </w:rPr>
        <w:br/>
        <w:t>Article 20 (c) of the Convention, and that it takes the form of the granting of a donation in line with Article 21 (g) of the Convention;</w:t>
      </w:r>
    </w:p>
    <w:p w:rsidR="003650A4" w:rsidRPr="003650A4" w:rsidRDefault="003650A4" w:rsidP="003650A4">
      <w:pPr>
        <w:pStyle w:val="COMParaDecision"/>
        <w:ind w:left="567" w:hanging="567"/>
        <w:rPr>
          <w:u w:val="none"/>
        </w:rPr>
      </w:pPr>
      <w:r w:rsidRPr="00073D56">
        <w:t>Also takes note</w:t>
      </w:r>
      <w:r w:rsidRPr="003650A4">
        <w:rPr>
          <w:u w:val="none"/>
        </w:rPr>
        <w:t xml:space="preserve"> that Lesotho requested an allocation of US$24,998 from the Intangible Cultural Heritage Fund for implementation of the project;</w:t>
      </w:r>
    </w:p>
    <w:p w:rsidR="003650A4" w:rsidRPr="003650A4" w:rsidRDefault="003650A4" w:rsidP="003650A4">
      <w:pPr>
        <w:pStyle w:val="COMParaDecision"/>
        <w:ind w:left="567" w:hanging="567"/>
        <w:rPr>
          <w:u w:val="none"/>
        </w:rPr>
      </w:pPr>
      <w:r w:rsidRPr="00073D56">
        <w:t>Decides</w:t>
      </w:r>
      <w:r w:rsidRPr="003650A4">
        <w:rPr>
          <w:u w:val="none"/>
        </w:rPr>
        <w:t xml:space="preserve"> that from the information provided in file no. 01118, the request responds as follows to the criteria for granting international assistance given in paragraphs 10 and 12 of the Operational Directives:</w:t>
      </w:r>
    </w:p>
    <w:p w:rsidR="003650A4" w:rsidRPr="00073D56" w:rsidRDefault="003650A4" w:rsidP="00073D56">
      <w:pPr>
        <w:pStyle w:val="COMParaDecision"/>
        <w:numPr>
          <w:ilvl w:val="0"/>
          <w:numId w:val="0"/>
        </w:numPr>
        <w:ind w:left="567"/>
        <w:rPr>
          <w:bCs/>
          <w:u w:val="none"/>
        </w:rPr>
      </w:pPr>
      <w:r w:rsidRPr="00073D56">
        <w:rPr>
          <w:b/>
          <w:u w:val="none"/>
        </w:rPr>
        <w:t>Criterion A.1</w:t>
      </w:r>
      <w:r w:rsidRPr="00073D56">
        <w:rPr>
          <w:u w:val="none"/>
        </w:rPr>
        <w:t xml:space="preserve">: The request clearly demonstrates involvement of the </w:t>
      </w:r>
      <w:r w:rsidRPr="00073D56">
        <w:rPr>
          <w:bCs/>
          <w:u w:val="none"/>
        </w:rPr>
        <w:t>communities in the preparation, implementation and evaluation of the project. The project for which funding is requested meets the explicit demand of the chiefs of the nine villages concerned to document the intangible cultural heritage practised by their communities. C</w:t>
      </w:r>
      <w:r w:rsidRPr="00073D56">
        <w:rPr>
          <w:u w:val="none"/>
        </w:rPr>
        <w:t xml:space="preserve">ommunities and their leaders will be involved throughout the project, from the </w:t>
      </w:r>
      <w:r w:rsidRPr="00073D56">
        <w:rPr>
          <w:bCs/>
          <w:u w:val="none"/>
        </w:rPr>
        <w:t xml:space="preserve">preparatory stage of planning with a stakeholders meeting, to the selection of youth and practitioners who will be trained to conduct inventorying exercises, as well as the bearers whose elements will be inventoried. Community leaders and practitioners will collectively evaluate the project’s effectiveness in achieving its planned objectives and establish lessons learnt that may be applied to similar initiatives in the future. </w:t>
      </w:r>
    </w:p>
    <w:p w:rsidR="003650A4" w:rsidRPr="00073D56" w:rsidRDefault="003650A4" w:rsidP="00073D56">
      <w:pPr>
        <w:pStyle w:val="Marge"/>
        <w:spacing w:after="120"/>
        <w:ind w:left="567"/>
      </w:pPr>
      <w:r w:rsidRPr="00073D56">
        <w:rPr>
          <w:b/>
        </w:rPr>
        <w:t>Criterion A.2</w:t>
      </w:r>
      <w:r w:rsidRPr="00073D56">
        <w:t xml:space="preserve">: The proposed budget is broken down in a clear and coherent manner and demonstrates the appropriateness of the amount of assistance requested for the proposed activities. </w:t>
      </w:r>
    </w:p>
    <w:p w:rsidR="003650A4" w:rsidRPr="00073D56" w:rsidRDefault="003650A4" w:rsidP="00073D56">
      <w:pPr>
        <w:pStyle w:val="Marge"/>
        <w:spacing w:after="120"/>
        <w:ind w:left="567"/>
      </w:pPr>
      <w:r w:rsidRPr="00073D56">
        <w:rPr>
          <w:b/>
        </w:rPr>
        <w:t>Criterion A.3</w:t>
      </w:r>
      <w:r w:rsidRPr="00073D56">
        <w:t xml:space="preserve">: The request is clearly structured and describes a series of six activities from a stakeholders meeting, training and field survey to monitoring and evaluation of the project, which seems well conceived to reach the project’s objectives. While the activities follow a logical sequence, two inconsistencies can be found between information provided in the form and that in the attachments: i) while the form indicates a six month duration for the project, the attached timetable shows a seven month duration; ii) the nature of activities 5 and 6 in the form does not appear to be the same as outlined in the budget and timetable, highlighting a confusion between project monitoring and evaluation and the work of systematizing and publishing the information collected through the inventorying exercises. </w:t>
      </w:r>
    </w:p>
    <w:p w:rsidR="003650A4" w:rsidRPr="00073D56" w:rsidRDefault="003650A4" w:rsidP="00073D56">
      <w:pPr>
        <w:pStyle w:val="Marge"/>
        <w:spacing w:after="120"/>
        <w:ind w:left="567"/>
      </w:pPr>
      <w:r w:rsidRPr="00073D56">
        <w:rPr>
          <w:b/>
        </w:rPr>
        <w:t>Criterion A.4</w:t>
      </w:r>
      <w:r w:rsidRPr="00073D56">
        <w:t xml:space="preserve">: The active involvement of young people and practitioners in the community is expected to promote the project’s sustainability after its completion, with their knowledge and skills improved and facilities for inventorying enhanced. The project also seeks to ensure sustainability through further distribution of documents resulting from the inventorying exercises in the Thaba-Bosiu Cultural Village and Information Centre, libraries, relevant governmental ministries and departments, schools and research institutions and from the subsequent development of a database that should allow for regular updating of the inventory. </w:t>
      </w:r>
    </w:p>
    <w:p w:rsidR="003650A4" w:rsidRPr="00073D56" w:rsidRDefault="003650A4" w:rsidP="00073D56">
      <w:pPr>
        <w:pStyle w:val="Marge"/>
        <w:spacing w:after="120"/>
        <w:ind w:left="567"/>
      </w:pPr>
      <w:r w:rsidRPr="00073D56">
        <w:rPr>
          <w:b/>
        </w:rPr>
        <w:t>Criterion A.5</w:t>
      </w:r>
      <w:r w:rsidRPr="00073D56">
        <w:t xml:space="preserve">: The State will share 7 per cent of the overall budget of the project for which the international assistance is requested. </w:t>
      </w:r>
    </w:p>
    <w:p w:rsidR="003650A4" w:rsidRPr="00073D56" w:rsidRDefault="003650A4" w:rsidP="00073D56">
      <w:pPr>
        <w:pStyle w:val="Marge"/>
        <w:spacing w:after="120"/>
        <w:ind w:left="567"/>
      </w:pPr>
      <w:r w:rsidRPr="00073D56">
        <w:rPr>
          <w:b/>
        </w:rPr>
        <w:t>Criterion A.6</w:t>
      </w:r>
      <w:r w:rsidRPr="00073D56">
        <w:t xml:space="preserve">: Capacity-building of the different stakeholders involved lie at the heart of the project – one of whose main objectives is to build the capacities of young community members and practitioners in safeguarding knowledge and skills related to community-based inventorying. Trainees will have the opportunity to put knowledge acquired into practice in actual inventorying exercises. This new knowledge will include data gathering, processing and archiving. </w:t>
      </w:r>
    </w:p>
    <w:p w:rsidR="003650A4" w:rsidRPr="00073D56" w:rsidRDefault="003650A4" w:rsidP="00073D56">
      <w:pPr>
        <w:pStyle w:val="Marge"/>
        <w:spacing w:after="120"/>
        <w:ind w:left="567"/>
      </w:pPr>
      <w:r w:rsidRPr="00073D56">
        <w:rPr>
          <w:b/>
        </w:rPr>
        <w:t>Criterion A.7</w:t>
      </w:r>
      <w:r w:rsidRPr="00073D56">
        <w:t xml:space="preserve">: Lesotho has never implemented activities financed by the Intangible Cultural Heritage Fund. </w:t>
      </w:r>
    </w:p>
    <w:p w:rsidR="003650A4" w:rsidRPr="00073D56" w:rsidRDefault="003650A4" w:rsidP="00073D56">
      <w:pPr>
        <w:pStyle w:val="Marge"/>
        <w:spacing w:after="120"/>
        <w:ind w:left="567"/>
      </w:pPr>
      <w:r w:rsidRPr="00073D56">
        <w:rPr>
          <w:b/>
        </w:rPr>
        <w:t>Paragraph 10(a)</w:t>
      </w:r>
      <w:r w:rsidRPr="00073D56">
        <w:t>: The project is local in scope and involves national implementing partners such as the National Intangible Cultural Heritage Committee and the National University of Lesotho.</w:t>
      </w:r>
    </w:p>
    <w:p w:rsidR="003650A4" w:rsidRPr="00073D56" w:rsidRDefault="003650A4" w:rsidP="00073D56">
      <w:pPr>
        <w:pStyle w:val="Marge"/>
        <w:spacing w:after="120"/>
        <w:ind w:left="567"/>
      </w:pPr>
      <w:r w:rsidRPr="00073D56">
        <w:rPr>
          <w:b/>
        </w:rPr>
        <w:t>Paragraph 10(b):</w:t>
      </w:r>
      <w:r w:rsidRPr="00073D56">
        <w:t xml:space="preserve"> The request indicates a potential multiplier effect in terms of funding, particularly from the Ministry of Finance and possibly from private sector partners such as Econet Telecom Lesotho, which may stimulate support for similar community-based inventorying activities.</w:t>
      </w:r>
    </w:p>
    <w:p w:rsidR="003650A4" w:rsidRPr="00073D56" w:rsidRDefault="003650A4" w:rsidP="00073D56">
      <w:pPr>
        <w:pStyle w:val="COMParaDecision"/>
        <w:ind w:left="567" w:hanging="567"/>
        <w:rPr>
          <w:u w:val="none"/>
        </w:rPr>
      </w:pPr>
      <w:r w:rsidRPr="00073D56">
        <w:t>Decides</w:t>
      </w:r>
      <w:r w:rsidRPr="00073D56">
        <w:rPr>
          <w:u w:val="none"/>
        </w:rPr>
        <w:t xml:space="preserve"> to approve the international assistance request from Lesotho for a project entitled </w:t>
      </w:r>
      <w:r w:rsidRPr="00073D56">
        <w:rPr>
          <w:b/>
          <w:u w:val="none"/>
        </w:rPr>
        <w:t>Inventorying of intangible cultural heritage elements in Thaba-Bosiu in Lesotho</w:t>
      </w:r>
      <w:r w:rsidRPr="00073D56">
        <w:rPr>
          <w:u w:val="none"/>
        </w:rPr>
        <w:t xml:space="preserve"> and to </w:t>
      </w:r>
      <w:r w:rsidRPr="00073D56">
        <w:t>grant</w:t>
      </w:r>
      <w:r w:rsidRPr="00073D56">
        <w:rPr>
          <w:u w:val="none"/>
        </w:rPr>
        <w:t xml:space="preserve"> an amount of US$24,998 to the State Party to this end;</w:t>
      </w:r>
    </w:p>
    <w:p w:rsidR="003650A4" w:rsidRPr="00073D56" w:rsidRDefault="003650A4" w:rsidP="00073D56">
      <w:pPr>
        <w:pStyle w:val="COMParaDecision"/>
        <w:ind w:left="567" w:hanging="567"/>
        <w:rPr>
          <w:u w:val="none"/>
        </w:rPr>
      </w:pPr>
      <w:r w:rsidRPr="00073D56">
        <w:t>Takes note</w:t>
      </w:r>
      <w:r w:rsidRPr="00073D56">
        <w:rPr>
          <w:u w:val="none"/>
        </w:rPr>
        <w:t xml:space="preserve"> of the technical assistance provided to Lesotho in preparing this request and </w:t>
      </w:r>
      <w:r w:rsidRPr="00073D56">
        <w:t>commends</w:t>
      </w:r>
      <w:r w:rsidRPr="00073D56">
        <w:rPr>
          <w:u w:val="none"/>
        </w:rPr>
        <w:t xml:space="preserve"> the effort made by the State Party to capitalize on the skills of staff who directly benefited from the assistance to revise the initial request;</w:t>
      </w:r>
    </w:p>
    <w:p w:rsidR="003650A4" w:rsidRPr="00073D56" w:rsidRDefault="003650A4" w:rsidP="00073D56">
      <w:pPr>
        <w:pStyle w:val="COMParaDecision"/>
        <w:ind w:left="567" w:hanging="567"/>
        <w:rPr>
          <w:u w:val="none"/>
        </w:rPr>
      </w:pPr>
      <w:r w:rsidRPr="00073D56">
        <w:t>Requests</w:t>
      </w:r>
      <w:r w:rsidRPr="00073D56">
        <w:rPr>
          <w:u w:val="none"/>
        </w:rPr>
        <w:t xml:space="preserve"> the Secretariat to reach an agreement with the requesting State Party on technical details of the assistance, paying particular attention to the detailed budget of activities to be covered by the Intangible Cultural Heritage Fund and the duration of the project;</w:t>
      </w:r>
    </w:p>
    <w:p w:rsidR="003650A4" w:rsidRPr="00073D56" w:rsidRDefault="003650A4" w:rsidP="00073D56">
      <w:pPr>
        <w:pStyle w:val="COMParaDecision"/>
        <w:ind w:left="567" w:hanging="567"/>
        <w:rPr>
          <w:u w:val="none"/>
        </w:rPr>
      </w:pPr>
      <w:r w:rsidRPr="00073D56">
        <w:t>Invites</w:t>
      </w:r>
      <w:r w:rsidRPr="00073D56">
        <w:rPr>
          <w:u w:val="none"/>
        </w:rPr>
        <w:t xml:space="preserve"> the State Party to use the ICH-04-Report Form when reporting on the use of assistance provided.</w:t>
      </w:r>
    </w:p>
    <w:p w:rsidR="003650A4" w:rsidRPr="00AB524C" w:rsidRDefault="003650A4" w:rsidP="00073D56">
      <w:pPr>
        <w:pStyle w:val="COMTitleDecision"/>
        <w:spacing w:before="360"/>
        <w:ind w:left="0"/>
      </w:pPr>
      <w:r w:rsidRPr="00AB524C">
        <w:t>DECISION 11.COM 2.BUR 2.2</w:t>
      </w:r>
    </w:p>
    <w:p w:rsidR="003650A4" w:rsidRPr="00AB524C" w:rsidRDefault="003650A4" w:rsidP="00073D56">
      <w:pPr>
        <w:pStyle w:val="Marge"/>
        <w:keepNext/>
        <w:spacing w:before="240" w:after="120"/>
        <w:ind w:left="567" w:hanging="567"/>
        <w:rPr>
          <w:rFonts w:cs="Arial"/>
          <w:caps/>
          <w:szCs w:val="22"/>
        </w:rPr>
      </w:pPr>
      <w:r w:rsidRPr="00AB524C">
        <w:rPr>
          <w:rFonts w:cs="Arial"/>
          <w:szCs w:val="22"/>
        </w:rPr>
        <w:t>The Bureau,</w:t>
      </w:r>
    </w:p>
    <w:p w:rsidR="003650A4" w:rsidRPr="00073D56" w:rsidRDefault="003650A4" w:rsidP="00073D56">
      <w:pPr>
        <w:pStyle w:val="COMParaDecision"/>
        <w:numPr>
          <w:ilvl w:val="0"/>
          <w:numId w:val="7"/>
        </w:numPr>
        <w:ind w:left="567" w:hanging="567"/>
        <w:rPr>
          <w:u w:val="none"/>
        </w:rPr>
      </w:pPr>
      <w:r w:rsidRPr="00073D56">
        <w:t>Recalling</w:t>
      </w:r>
      <w:r w:rsidRPr="00073D56">
        <w:rPr>
          <w:u w:val="none"/>
        </w:rPr>
        <w:t xml:space="preserve"> Chapter V of the Convention and Chapter I of the Operational Directives,</w:t>
      </w:r>
    </w:p>
    <w:p w:rsidR="003650A4" w:rsidRPr="00073D56" w:rsidRDefault="003650A4" w:rsidP="00073D56">
      <w:pPr>
        <w:pStyle w:val="COMParaDecision"/>
        <w:numPr>
          <w:ilvl w:val="0"/>
          <w:numId w:val="7"/>
        </w:numPr>
        <w:ind w:left="567" w:hanging="567"/>
        <w:rPr>
          <w:u w:val="none"/>
        </w:rPr>
      </w:pPr>
      <w:r w:rsidRPr="00073D56">
        <w:t>Having examined</w:t>
      </w:r>
      <w:r w:rsidRPr="00073D56">
        <w:rPr>
          <w:u w:val="none"/>
        </w:rPr>
        <w:t xml:space="preserve"> Document ITH/16/11.COM 2.BUR/2, as well as the international assistance request no. 01217,</w:t>
      </w:r>
    </w:p>
    <w:p w:rsidR="003650A4" w:rsidRPr="00073D56" w:rsidRDefault="003650A4" w:rsidP="00073D56">
      <w:pPr>
        <w:pStyle w:val="COMParaDecision"/>
        <w:numPr>
          <w:ilvl w:val="0"/>
          <w:numId w:val="7"/>
        </w:numPr>
        <w:ind w:left="567" w:hanging="567"/>
        <w:rPr>
          <w:u w:val="none"/>
        </w:rPr>
      </w:pPr>
      <w:r w:rsidRPr="00073D56">
        <w:t>Takes note</w:t>
      </w:r>
      <w:r w:rsidRPr="00073D56">
        <w:rPr>
          <w:u w:val="none"/>
        </w:rPr>
        <w:t xml:space="preserve"> that Zambia has requested international assistance for a project entitled </w:t>
      </w:r>
      <w:r w:rsidRPr="00073D56">
        <w:rPr>
          <w:b/>
          <w:u w:val="none"/>
        </w:rPr>
        <w:t>Inventorying of the music and dance of the Lozi and Nkoya people of Kaoma District</w:t>
      </w:r>
      <w:r w:rsidRPr="00073D56">
        <w:rPr>
          <w:u w:val="none"/>
        </w:rPr>
        <w:t>:</w:t>
      </w:r>
    </w:p>
    <w:p w:rsidR="003650A4" w:rsidRPr="00073D56" w:rsidRDefault="003650A4" w:rsidP="00073D56">
      <w:pPr>
        <w:pStyle w:val="COMParaDecision"/>
        <w:numPr>
          <w:ilvl w:val="0"/>
          <w:numId w:val="0"/>
        </w:numPr>
        <w:ind w:left="567" w:hanging="567"/>
        <w:rPr>
          <w:u w:val="none"/>
        </w:rPr>
      </w:pPr>
      <w:r w:rsidRPr="00073D56">
        <w:rPr>
          <w:u w:val="none"/>
        </w:rPr>
        <w:tab/>
        <w:t>The Lozi and Nkoya people located in Kaoma District, in the Western Province of Zambia, share music and dance practices as a result of their coexistence for centuries. However, the two communities have lately experienced a rift due to land disputes and district control. In the absence of sufficient efforts to inventory their shared living heritage, its viability is threatened by these conflicts, as well as impacts from technology and globalization. With the ultimate goal of bridging the gap between the two communities, the project aims to bring out similarities in music and dance of the Lozi and Nkoya people by drawing up a community-based inventory, raising awareness of the importance of intangible cultural heritage and ensuring its mutual appreciation. Implemented by the Zambia National Commission for UNESCO in close cooperation with the Department of Arts and Culture of the Ministry of Tourism and Arts, activities include: the identification and selection of key custodians and practitioners; training on community-based inventorying; fieldwork for the development of an inventory; and an exhibition that will highlight the sociocultural significance of the music and dance of the Lozi and Nkoya people.</w:t>
      </w:r>
    </w:p>
    <w:p w:rsidR="003650A4" w:rsidRPr="00FD7814" w:rsidRDefault="003650A4" w:rsidP="00FD7814">
      <w:pPr>
        <w:pStyle w:val="COMParaDecision"/>
        <w:numPr>
          <w:ilvl w:val="0"/>
          <w:numId w:val="7"/>
        </w:numPr>
        <w:ind w:left="567" w:hanging="567"/>
        <w:rPr>
          <w:u w:val="none"/>
        </w:rPr>
      </w:pPr>
      <w:r w:rsidRPr="00FD7814">
        <w:t>Further takes note</w:t>
      </w:r>
      <w:r w:rsidRPr="00FD7814">
        <w:rPr>
          <w:u w:val="none"/>
        </w:rPr>
        <w:t xml:space="preserve"> that this assistance concerns support for a project carried out at local level with the aim of drawing up an inventory in accordance with Article 20 (b) of the Convention, and that it takes the form of the granting of a donation in line with Article 21 (g) of the Convention;</w:t>
      </w:r>
    </w:p>
    <w:p w:rsidR="003650A4" w:rsidRPr="00FD7814" w:rsidRDefault="003650A4" w:rsidP="00FD7814">
      <w:pPr>
        <w:pStyle w:val="COMParaDecision"/>
        <w:numPr>
          <w:ilvl w:val="0"/>
          <w:numId w:val="7"/>
        </w:numPr>
        <w:ind w:left="567" w:hanging="567"/>
        <w:rPr>
          <w:u w:val="none"/>
        </w:rPr>
      </w:pPr>
      <w:r w:rsidRPr="00FD7814">
        <w:t>Also takes note</w:t>
      </w:r>
      <w:r w:rsidRPr="00FD7814">
        <w:rPr>
          <w:u w:val="none"/>
        </w:rPr>
        <w:t xml:space="preserve"> that Zambia requested an allocation of US$24,928.30 from the Intangible Cultural Heritage Fund for implementation of the project;</w:t>
      </w:r>
    </w:p>
    <w:p w:rsidR="003650A4" w:rsidRPr="00FD7814" w:rsidRDefault="003650A4" w:rsidP="00FD7814">
      <w:pPr>
        <w:pStyle w:val="COMParaDecision"/>
        <w:keepNext/>
        <w:numPr>
          <w:ilvl w:val="0"/>
          <w:numId w:val="7"/>
        </w:numPr>
        <w:ind w:left="567" w:hanging="567"/>
        <w:rPr>
          <w:u w:val="none"/>
        </w:rPr>
      </w:pPr>
      <w:r w:rsidRPr="00FD7814">
        <w:t>Decides</w:t>
      </w:r>
      <w:r w:rsidRPr="00FD7814">
        <w:rPr>
          <w:u w:val="none"/>
        </w:rPr>
        <w:t xml:space="preserve"> that, from the information provided in file no. 01217, the request responds as follows to the criteria for granting international assistance given in paragraphs 10 and 12 of the Operational Directives:</w:t>
      </w:r>
    </w:p>
    <w:p w:rsidR="003650A4" w:rsidRPr="00FD7814" w:rsidRDefault="003650A4" w:rsidP="00FD7814">
      <w:pPr>
        <w:pStyle w:val="COMParaDecision"/>
        <w:numPr>
          <w:ilvl w:val="0"/>
          <w:numId w:val="0"/>
        </w:numPr>
        <w:ind w:left="567"/>
        <w:rPr>
          <w:bCs/>
          <w:u w:val="none"/>
        </w:rPr>
      </w:pPr>
      <w:r w:rsidRPr="00FD7814">
        <w:rPr>
          <w:b/>
          <w:u w:val="none"/>
        </w:rPr>
        <w:t>Criterion A.1</w:t>
      </w:r>
      <w:r w:rsidRPr="00FD7814">
        <w:rPr>
          <w:u w:val="none"/>
        </w:rPr>
        <w:t xml:space="preserve">: </w:t>
      </w:r>
      <w:r w:rsidRPr="00FD7814">
        <w:rPr>
          <w:bCs/>
          <w:u w:val="none"/>
        </w:rPr>
        <w:t xml:space="preserve">The request demonstrates broad involvement of the communities concerned in the preparation, implementation and evaluation of the project. The Lozi and Nkoya communities of Kaoma District provided their free, prior and informed consent to the request during the Kazanga Traditional Ceremony, around which they gather. The request assigns a central role to </w:t>
      </w:r>
      <w:r w:rsidRPr="00FD7814">
        <w:rPr>
          <w:bCs/>
          <w:i/>
          <w:u w:val="none"/>
        </w:rPr>
        <w:t>Indunas</w:t>
      </w:r>
      <w:r w:rsidRPr="00FD7814">
        <w:rPr>
          <w:bCs/>
          <w:u w:val="none"/>
        </w:rPr>
        <w:t xml:space="preserve"> (elders) and community members both in the implementation of activities, such as the identification of practitioners and custodians who will be trained in community-based inventorying and involved in fieldwork, and in the monitoring and evaluation process through a community-based reporting system. </w:t>
      </w:r>
    </w:p>
    <w:p w:rsidR="003650A4" w:rsidRPr="00FD7814" w:rsidRDefault="003650A4" w:rsidP="00FD7814">
      <w:pPr>
        <w:pStyle w:val="Marge"/>
        <w:spacing w:after="120"/>
        <w:ind w:left="567"/>
      </w:pPr>
      <w:r w:rsidRPr="00FD7814">
        <w:rPr>
          <w:b/>
        </w:rPr>
        <w:t>Criterion A.2</w:t>
      </w:r>
      <w:r w:rsidRPr="00FD7814">
        <w:t xml:space="preserve">: </w:t>
      </w:r>
      <w:r w:rsidRPr="00FD7814">
        <w:rPr>
          <w:rFonts w:cs="Arial"/>
          <w:szCs w:val="22"/>
        </w:rPr>
        <w:t>The proposed budget is broken down in sufficient detail to demonstrate the amount of assistance requested should be appropriate for the proposed activities except for two project outcomes, namely a database of music and dance of the Lozi and Nkoya people and an information brochure on the project – for which no budget has been provided neither from the Intangible Cultural Heritage Fund nor from the State Party.</w:t>
      </w:r>
    </w:p>
    <w:p w:rsidR="003650A4" w:rsidRPr="00FD7814" w:rsidRDefault="003650A4" w:rsidP="00FD7814">
      <w:pPr>
        <w:pStyle w:val="Marge"/>
        <w:spacing w:after="120"/>
        <w:ind w:left="567"/>
        <w:rPr>
          <w:rFonts w:cs="Arial"/>
          <w:szCs w:val="22"/>
        </w:rPr>
      </w:pPr>
      <w:r w:rsidRPr="00FD7814">
        <w:rPr>
          <w:b/>
        </w:rPr>
        <w:t>Criterion A.3</w:t>
      </w:r>
      <w:r w:rsidRPr="00FD7814">
        <w:t xml:space="preserve">: The request describes a structured sequence of seven activities </w:t>
      </w:r>
      <w:r w:rsidRPr="00FD7814">
        <w:rPr>
          <w:rFonts w:cs="Arial"/>
          <w:szCs w:val="22"/>
        </w:rPr>
        <w:t>that seem well conceived to achieve the project objectives within the expected duration. The request does not, however, provide adequate information to understand how the exhibition as the final project activity will use and promote the outcomes of the inventorying exercises that will precede it.</w:t>
      </w:r>
    </w:p>
    <w:p w:rsidR="003650A4" w:rsidRPr="00FD7814" w:rsidRDefault="003650A4" w:rsidP="00FD7814">
      <w:pPr>
        <w:pStyle w:val="Marge"/>
        <w:spacing w:after="120"/>
        <w:ind w:left="567"/>
      </w:pPr>
      <w:r w:rsidRPr="00FD7814">
        <w:rPr>
          <w:b/>
        </w:rPr>
        <w:t>Criterion A.4</w:t>
      </w:r>
      <w:r w:rsidRPr="00FD7814">
        <w:t xml:space="preserve">: The strong involvement of communities, particularly young people, in inventorying activities will enhance the transmission of knowledge about their intangible cultural heritage while ensuring that younger generations continue safeguarding efforts </w:t>
      </w:r>
      <w:r w:rsidRPr="00FD7814">
        <w:rPr>
          <w:rFonts w:cs="Arial"/>
          <w:bCs/>
          <w:szCs w:val="22"/>
        </w:rPr>
        <w:t>beyond the project</w:t>
      </w:r>
      <w:r w:rsidRPr="00FD7814">
        <w:t xml:space="preserve">. The Intangible Cultural Heritage Committees that will be formed in the context of the project will assist </w:t>
      </w:r>
      <w:r w:rsidRPr="00FD7814">
        <w:rPr>
          <w:i/>
        </w:rPr>
        <w:t>I</w:t>
      </w:r>
      <w:r w:rsidRPr="00FD7814">
        <w:rPr>
          <w:rFonts w:cs="Arial"/>
          <w:bCs/>
          <w:i/>
          <w:szCs w:val="22"/>
        </w:rPr>
        <w:t>ndunas</w:t>
      </w:r>
      <w:r w:rsidRPr="00FD7814">
        <w:rPr>
          <w:rFonts w:cs="Arial"/>
          <w:bCs/>
          <w:szCs w:val="22"/>
        </w:rPr>
        <w:t xml:space="preserve"> (elders) to ensure that the practice of inventoried elements also continues beyond the project. Other government-led initiatives, such as the organization of an annual music and dance festival, are expected to sustain</w:t>
      </w:r>
      <w:r w:rsidRPr="00FD7814">
        <w:t xml:space="preserve"> the project’s impact beyond its completion</w:t>
      </w:r>
      <w:r w:rsidRPr="00FD7814">
        <w:rPr>
          <w:rFonts w:cs="Arial"/>
          <w:bCs/>
          <w:szCs w:val="22"/>
        </w:rPr>
        <w:t>.</w:t>
      </w:r>
    </w:p>
    <w:p w:rsidR="003650A4" w:rsidRPr="00FD7814" w:rsidRDefault="003650A4" w:rsidP="00FD7814">
      <w:pPr>
        <w:pStyle w:val="Marge"/>
        <w:spacing w:after="120"/>
        <w:ind w:left="567"/>
      </w:pPr>
      <w:r w:rsidRPr="00FD7814">
        <w:rPr>
          <w:b/>
        </w:rPr>
        <w:t>Criterion A.5</w:t>
      </w:r>
      <w:r w:rsidRPr="00FD7814">
        <w:t xml:space="preserve">: </w:t>
      </w:r>
      <w:r w:rsidRPr="00FD7814">
        <w:rPr>
          <w:rFonts w:cs="Arial"/>
          <w:bCs/>
          <w:szCs w:val="22"/>
        </w:rPr>
        <w:t>The requesting State will share 2 per cent of the total amount of the project for which international assistance is requested.</w:t>
      </w:r>
    </w:p>
    <w:p w:rsidR="003650A4" w:rsidRPr="00FD7814" w:rsidRDefault="003650A4" w:rsidP="00FD7814">
      <w:pPr>
        <w:pStyle w:val="Marge"/>
        <w:spacing w:after="120"/>
        <w:ind w:left="567"/>
      </w:pPr>
      <w:r w:rsidRPr="00FD7814">
        <w:rPr>
          <w:b/>
        </w:rPr>
        <w:t>Criterion A.6</w:t>
      </w:r>
      <w:r w:rsidRPr="00FD7814">
        <w:t>: Capacity-building of traditional community leaders and practitioners but also of government officials appears as a fundamental component of the project. T</w:t>
      </w:r>
      <w:r w:rsidRPr="00FD7814">
        <w:rPr>
          <w:rFonts w:cs="Arial"/>
          <w:bCs/>
          <w:szCs w:val="22"/>
        </w:rPr>
        <w:t>he request demonstrates that the project will strengthen the capacity of communities to safeguard their intangible cultural heritage and promote its practice in different social settings and that State and district cultural officers will gain hands-on experience on inventorying intangible cultural heritage.</w:t>
      </w:r>
    </w:p>
    <w:p w:rsidR="003650A4" w:rsidRPr="00FD7814" w:rsidRDefault="003650A4" w:rsidP="00FD7814">
      <w:pPr>
        <w:pStyle w:val="Marge"/>
        <w:spacing w:after="120"/>
        <w:ind w:left="567"/>
      </w:pPr>
      <w:r w:rsidRPr="00FD7814">
        <w:rPr>
          <w:b/>
        </w:rPr>
        <w:t>Criterion A.7</w:t>
      </w:r>
      <w:r w:rsidRPr="00FD7814">
        <w:t xml:space="preserve">: In April 2016, </w:t>
      </w:r>
      <w:r w:rsidRPr="00FD7814">
        <w:rPr>
          <w:rFonts w:cs="Arial"/>
        </w:rPr>
        <w:t xml:space="preserve">Zambia was granted international assistance from the Intangible Cultural Heritage Fund for implementing a project entitled </w:t>
      </w:r>
      <w:r w:rsidRPr="00FD7814">
        <w:t>‘Inventorying of proverbs of Lala community in Luano District of Zambia’ (</w:t>
      </w:r>
      <w:hyperlink r:id="rId8" w:history="1">
        <w:r w:rsidRPr="00FD7814">
          <w:rPr>
            <w:rStyle w:val="Hyperlink"/>
            <w:u w:val="none"/>
          </w:rPr>
          <w:t>Decision 11.COM 1.BUR 1.4</w:t>
        </w:r>
      </w:hyperlink>
      <w:r w:rsidRPr="00FD7814">
        <w:t xml:space="preserve">); contractual arrangements are still ongoing. </w:t>
      </w:r>
    </w:p>
    <w:p w:rsidR="003650A4" w:rsidRPr="00FD7814" w:rsidRDefault="003650A4" w:rsidP="00FD7814">
      <w:pPr>
        <w:pStyle w:val="Marge"/>
        <w:spacing w:after="120"/>
        <w:ind w:left="567"/>
      </w:pPr>
      <w:r w:rsidRPr="00FD7814">
        <w:rPr>
          <w:b/>
        </w:rPr>
        <w:t>Paragraph 10(a)</w:t>
      </w:r>
      <w:r w:rsidRPr="00FD7814">
        <w:t>: The project is local in scope and involves both national partners, such as the Department of Arts and Culture of the Ministry of Tourism and Arts and the University of Zambia, and provincial partners such as the Provincial Art Advisory Committee.</w:t>
      </w:r>
    </w:p>
    <w:p w:rsidR="003650A4" w:rsidRPr="00FD7814" w:rsidRDefault="003650A4" w:rsidP="00FD7814">
      <w:pPr>
        <w:pStyle w:val="Marge"/>
        <w:spacing w:after="120"/>
        <w:ind w:left="567"/>
      </w:pPr>
      <w:r w:rsidRPr="00FD7814">
        <w:rPr>
          <w:b/>
        </w:rPr>
        <w:t>Paragraph 10(b):</w:t>
      </w:r>
      <w:r w:rsidRPr="00FD7814">
        <w:t xml:space="preserve"> Thanks to training provided, culture officers from Kaoma District as well as neighbouring Nkeyema and Luampa districts will be in better positions to engage in safeguarding activities and mobilize technical and financial support of the Department of Arts and Culture, particularly for scaling up the project to the whole province and possibly advise other provinces.</w:t>
      </w:r>
    </w:p>
    <w:p w:rsidR="003650A4" w:rsidRPr="00FD7814" w:rsidRDefault="003650A4" w:rsidP="00DB4B5D">
      <w:pPr>
        <w:pStyle w:val="COMParaDecision"/>
        <w:keepNext/>
        <w:ind w:left="567" w:hanging="567"/>
        <w:rPr>
          <w:u w:val="none"/>
        </w:rPr>
      </w:pPr>
      <w:r w:rsidRPr="00FD7814">
        <w:t>Expresses its appreciation</w:t>
      </w:r>
      <w:r w:rsidRPr="00FD7814">
        <w:rPr>
          <w:u w:val="none"/>
        </w:rPr>
        <w:t xml:space="preserve"> of efforts mobilized by the State Party to revise its request;</w:t>
      </w:r>
    </w:p>
    <w:p w:rsidR="003650A4" w:rsidRPr="00FD7814" w:rsidRDefault="003650A4" w:rsidP="00FD7814">
      <w:pPr>
        <w:pStyle w:val="COMParaDecision"/>
        <w:ind w:left="567" w:hanging="567"/>
        <w:rPr>
          <w:u w:val="none"/>
        </w:rPr>
      </w:pPr>
      <w:r w:rsidRPr="00FD7814">
        <w:t>Decides to approve</w:t>
      </w:r>
      <w:r w:rsidRPr="00FD7814">
        <w:rPr>
          <w:u w:val="none"/>
        </w:rPr>
        <w:t xml:space="preserve"> the international assistance request from Zambia for the </w:t>
      </w:r>
      <w:r w:rsidRPr="00FD7814">
        <w:rPr>
          <w:b/>
          <w:u w:val="none"/>
        </w:rPr>
        <w:t>Inventorying of the music and dance of the Lozi and Nkoya people of Kaoma District</w:t>
      </w:r>
      <w:r w:rsidRPr="00FD7814">
        <w:rPr>
          <w:u w:val="none"/>
        </w:rPr>
        <w:t xml:space="preserve"> and to </w:t>
      </w:r>
      <w:r w:rsidRPr="00FD7814">
        <w:t>grant</w:t>
      </w:r>
      <w:r w:rsidRPr="00FD7814">
        <w:rPr>
          <w:u w:val="none"/>
        </w:rPr>
        <w:t xml:space="preserve"> an amount of US$24,928.30 to the State Party to this end;</w:t>
      </w:r>
    </w:p>
    <w:p w:rsidR="003650A4" w:rsidRPr="00FD7814" w:rsidRDefault="003650A4" w:rsidP="00FD7814">
      <w:pPr>
        <w:pStyle w:val="COMParaDecision"/>
        <w:ind w:left="567" w:hanging="567"/>
        <w:rPr>
          <w:u w:val="none"/>
        </w:rPr>
      </w:pPr>
      <w:r w:rsidRPr="00FD7814">
        <w:t>Requests</w:t>
      </w:r>
      <w:r w:rsidRPr="00FD7814">
        <w:rPr>
          <w:u w:val="none"/>
        </w:rPr>
        <w:t xml:space="preserve"> the Secretariat to reach an agreement with the requesting State Party on technical details of the assistance, paying particular attention to the detailed budget of activities to be covered by the Intangible Cultural Heritage Fund, understanding that any activity for which a budget was not included in the request will need to be covered by resources mobilized by the State other than the Fund;</w:t>
      </w:r>
    </w:p>
    <w:p w:rsidR="003650A4" w:rsidRPr="00FD7814" w:rsidRDefault="003650A4" w:rsidP="00FD7814">
      <w:pPr>
        <w:pStyle w:val="COMParaDecision"/>
        <w:ind w:left="567" w:hanging="567"/>
        <w:rPr>
          <w:u w:val="none"/>
        </w:rPr>
      </w:pPr>
      <w:r w:rsidRPr="00FD7814">
        <w:t>Invites</w:t>
      </w:r>
      <w:r w:rsidRPr="00FD7814">
        <w:rPr>
          <w:u w:val="none"/>
        </w:rPr>
        <w:t xml:space="preserve"> the State to ensure that any awareness-raising activity undertaken under the project, including the planned exhibition, builds on the results of other project activities, fully respects customary practices governing aspects of the intangible cultural heritage concerned and does not decontextualize or denaturalize it. </w:t>
      </w:r>
    </w:p>
    <w:p w:rsidR="003650A4" w:rsidRPr="00FD7814" w:rsidRDefault="003650A4" w:rsidP="00FD7814">
      <w:pPr>
        <w:pStyle w:val="COMParaDecision"/>
        <w:ind w:left="567" w:hanging="567"/>
        <w:rPr>
          <w:u w:val="none"/>
        </w:rPr>
      </w:pPr>
      <w:r w:rsidRPr="00FD7814">
        <w:t>Further invites</w:t>
      </w:r>
      <w:r w:rsidRPr="00FD7814">
        <w:rPr>
          <w:u w:val="none"/>
        </w:rPr>
        <w:t xml:space="preserve"> the State Party to use the ICH-04-Report Form when reporting on the use of assistance provided.</w:t>
      </w:r>
    </w:p>
    <w:sectPr w:rsidR="003650A4" w:rsidRPr="00FD7814" w:rsidSect="00990228">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EC" w:rsidRDefault="00B959EC" w:rsidP="008724E5">
      <w:r>
        <w:separator/>
      </w:r>
    </w:p>
  </w:endnote>
  <w:endnote w:type="continuationSeparator" w:id="0">
    <w:p w:rsidR="00B959EC" w:rsidRDefault="00B959E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EC" w:rsidRDefault="00B959EC" w:rsidP="008724E5">
      <w:r>
        <w:separator/>
      </w:r>
    </w:p>
  </w:footnote>
  <w:footnote w:type="continuationSeparator" w:id="0">
    <w:p w:rsidR="00B959EC" w:rsidRDefault="00B959EC" w:rsidP="0087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50" w:rsidRPr="00EF563B" w:rsidRDefault="00A06B50" w:rsidP="00A45E93">
    <w:pPr>
      <w:rPr>
        <w:rFonts w:ascii="Arial" w:hAnsi="Arial" w:cs="Arial"/>
      </w:rPr>
    </w:pPr>
    <w:r w:rsidRPr="00A45E93">
      <w:rPr>
        <w:rFonts w:ascii="Arial" w:hAnsi="Arial" w:cs="Arial"/>
        <w:sz w:val="20"/>
        <w:szCs w:val="20"/>
        <w:lang w:val="en-US"/>
      </w:rPr>
      <w:t>ITH/1</w:t>
    </w:r>
    <w:r w:rsidR="00400C15">
      <w:rPr>
        <w:rFonts w:ascii="Arial" w:hAnsi="Arial" w:cs="Arial"/>
        <w:sz w:val="20"/>
        <w:szCs w:val="20"/>
        <w:lang w:val="en-US"/>
      </w:rPr>
      <w:t>6</w:t>
    </w:r>
    <w:r w:rsidRPr="00A45E93">
      <w:rPr>
        <w:rFonts w:ascii="Arial" w:hAnsi="Arial" w:cs="Arial"/>
        <w:sz w:val="20"/>
        <w:szCs w:val="20"/>
        <w:lang w:val="en-US"/>
      </w:rPr>
      <w:t>/</w:t>
    </w:r>
    <w:r w:rsidR="00400C15">
      <w:rPr>
        <w:rFonts w:ascii="Arial" w:hAnsi="Arial" w:cs="Arial"/>
        <w:sz w:val="20"/>
        <w:szCs w:val="20"/>
        <w:lang w:val="en-US"/>
      </w:rPr>
      <w:t>11</w:t>
    </w:r>
    <w:r w:rsidR="003650A4">
      <w:rPr>
        <w:rFonts w:ascii="Arial" w:hAnsi="Arial" w:cs="Arial"/>
        <w:sz w:val="20"/>
        <w:szCs w:val="20"/>
        <w:lang w:val="en-US"/>
      </w:rPr>
      <w:t>.COM 2</w:t>
    </w:r>
    <w:r w:rsidRPr="00A45E93">
      <w:rPr>
        <w:rFonts w:ascii="Arial" w:hAnsi="Arial" w:cs="Arial"/>
        <w:sz w:val="20"/>
        <w:szCs w:val="20"/>
        <w:lang w:val="en-US"/>
      </w:rPr>
      <w:t>.BUR/</w:t>
    </w:r>
    <w:r w:rsidR="008676B6">
      <w:rPr>
        <w:rFonts w:ascii="Arial" w:hAnsi="Arial" w:cs="Arial"/>
        <w:sz w:val="20"/>
        <w:szCs w:val="20"/>
        <w:lang w:val="en-US"/>
      </w:rPr>
      <w:t>Decisions</w:t>
    </w:r>
    <w:r w:rsidR="00A45BF7">
      <w:rPr>
        <w:rFonts w:ascii="Arial" w:hAnsi="Arial" w:cs="Arial"/>
        <w:sz w:val="20"/>
        <w:szCs w:val="20"/>
        <w:lang w:val="en-US"/>
      </w:rPr>
      <w:t xml:space="preserve">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775EDA">
      <w:rPr>
        <w:rStyle w:val="PageNumber"/>
        <w:rFonts w:ascii="Arial" w:hAnsi="Arial" w:cs="Arial"/>
        <w:noProof/>
        <w:sz w:val="20"/>
        <w:szCs w:val="20"/>
        <w:lang w:val="en-US"/>
      </w:rPr>
      <w:t>8</w:t>
    </w:r>
    <w:r w:rsidR="0026393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50" w:rsidRPr="00787DA9" w:rsidRDefault="00A06B50" w:rsidP="00787DA9">
    <w:pPr>
      <w:pStyle w:val="Header"/>
      <w:jc w:val="right"/>
      <w:rPr>
        <w:rFonts w:ascii="Arial" w:hAnsi="Arial" w:cs="Arial"/>
      </w:rPr>
    </w:pPr>
    <w:r w:rsidRPr="00A45E93">
      <w:rPr>
        <w:rFonts w:ascii="Arial" w:hAnsi="Arial" w:cs="Arial"/>
        <w:sz w:val="20"/>
        <w:szCs w:val="20"/>
        <w:lang w:val="en-US"/>
      </w:rPr>
      <w:t>ITH/1</w:t>
    </w:r>
    <w:r w:rsidR="00400C15">
      <w:rPr>
        <w:rFonts w:ascii="Arial" w:hAnsi="Arial" w:cs="Arial"/>
        <w:sz w:val="20"/>
        <w:szCs w:val="20"/>
        <w:lang w:val="en-US"/>
      </w:rPr>
      <w:t>6</w:t>
    </w:r>
    <w:r w:rsidRPr="00A45E93">
      <w:rPr>
        <w:rFonts w:ascii="Arial" w:hAnsi="Arial" w:cs="Arial"/>
        <w:sz w:val="20"/>
        <w:szCs w:val="20"/>
        <w:lang w:val="en-US"/>
      </w:rPr>
      <w:t>/</w:t>
    </w:r>
    <w:r w:rsidR="00400C15">
      <w:rPr>
        <w:rFonts w:ascii="Arial" w:hAnsi="Arial" w:cs="Arial"/>
        <w:sz w:val="20"/>
        <w:szCs w:val="20"/>
        <w:lang w:val="en-US"/>
      </w:rPr>
      <w:t>11</w:t>
    </w:r>
    <w:r w:rsidR="003650A4">
      <w:rPr>
        <w:rFonts w:ascii="Arial" w:hAnsi="Arial" w:cs="Arial"/>
        <w:sz w:val="20"/>
        <w:szCs w:val="20"/>
        <w:lang w:val="en-US"/>
      </w:rPr>
      <w:t>.COM 2</w:t>
    </w:r>
    <w:r w:rsidRPr="00A45E93">
      <w:rPr>
        <w:rFonts w:ascii="Arial" w:hAnsi="Arial" w:cs="Arial"/>
        <w:sz w:val="20"/>
        <w:szCs w:val="20"/>
        <w:lang w:val="en-US"/>
      </w:rPr>
      <w:t>.BUR/</w:t>
    </w:r>
    <w:r w:rsidR="008676B6">
      <w:rPr>
        <w:rFonts w:ascii="Arial" w:hAnsi="Arial" w:cs="Arial"/>
        <w:sz w:val="20"/>
        <w:szCs w:val="20"/>
        <w:lang w:val="en-US"/>
      </w:rPr>
      <w:t>Decisions</w:t>
    </w:r>
    <w:r w:rsidR="00991A14">
      <w:rPr>
        <w:rFonts w:ascii="Arial" w:hAnsi="Arial" w:cs="Arial"/>
        <w:sz w:val="20"/>
        <w:szCs w:val="20"/>
        <w:lang w:val="en-US"/>
      </w:rPr>
      <w:t xml:space="preserve"> </w:t>
    </w:r>
    <w:r w:rsidRPr="00EF563B">
      <w:rPr>
        <w:rFonts w:ascii="Arial" w:hAnsi="Arial" w:cs="Arial"/>
        <w:sz w:val="20"/>
        <w:szCs w:val="20"/>
        <w:lang w:val="en-US"/>
      </w:rPr>
      <w:t xml:space="preserve">– 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775EDA">
      <w:rPr>
        <w:rStyle w:val="PageNumber"/>
        <w:rFonts w:ascii="Arial" w:hAnsi="Arial" w:cs="Arial"/>
        <w:noProof/>
        <w:sz w:val="20"/>
        <w:szCs w:val="20"/>
        <w:lang w:val="en-US"/>
      </w:rPr>
      <w:t>9</w:t>
    </w:r>
    <w:r w:rsidR="00263932"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50" w:rsidRPr="008724E5" w:rsidRDefault="00FD7470">
    <w:pPr>
      <w:pStyle w:val="Header"/>
    </w:pPr>
    <w:r>
      <w:rPr>
        <w:noProof/>
        <w:lang w:val="fr-FR"/>
      </w:rPr>
      <w:drawing>
        <wp:anchor distT="0" distB="0" distL="114300" distR="114300" simplePos="0" relativeHeight="251657728" behindDoc="0" locked="0" layoutInCell="1" allowOverlap="1">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B50" w:rsidRPr="00CE3FF1" w:rsidRDefault="00400C15" w:rsidP="00EF563B">
    <w:pPr>
      <w:pStyle w:val="Header"/>
      <w:spacing w:after="520"/>
      <w:jc w:val="right"/>
      <w:rPr>
        <w:rFonts w:ascii="Arial" w:hAnsi="Arial" w:cs="Arial"/>
        <w:b/>
        <w:sz w:val="44"/>
        <w:szCs w:val="44"/>
        <w:lang w:val="en-US"/>
      </w:rPr>
    </w:pPr>
    <w:r>
      <w:rPr>
        <w:rFonts w:ascii="Arial" w:hAnsi="Arial" w:cs="Arial"/>
        <w:b/>
        <w:sz w:val="44"/>
        <w:szCs w:val="44"/>
        <w:lang w:val="en-US"/>
      </w:rPr>
      <w:t>11</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3650A4">
      <w:rPr>
        <w:rFonts w:ascii="Arial" w:hAnsi="Arial" w:cs="Arial"/>
        <w:b/>
        <w:sz w:val="44"/>
        <w:szCs w:val="44"/>
        <w:lang w:val="en-US"/>
      </w:rPr>
      <w:t>2</w:t>
    </w:r>
    <w:r w:rsidR="00223014">
      <w:rPr>
        <w:rFonts w:ascii="Arial" w:hAnsi="Arial" w:cs="Arial"/>
        <w:b/>
        <w:sz w:val="44"/>
        <w:szCs w:val="44"/>
        <w:lang w:val="en-US"/>
      </w:rPr>
      <w:t xml:space="preserve"> </w:t>
    </w:r>
    <w:r w:rsidR="00A06B50">
      <w:rPr>
        <w:rFonts w:ascii="Arial" w:hAnsi="Arial" w:cs="Arial"/>
        <w:b/>
        <w:sz w:val="44"/>
        <w:szCs w:val="44"/>
        <w:lang w:val="en-US"/>
      </w:rPr>
      <w:t>BUR</w:t>
    </w:r>
  </w:p>
  <w:p w:rsidR="00A06B50" w:rsidRPr="007815A5" w:rsidRDefault="00503CD5" w:rsidP="00A45E93">
    <w:pPr>
      <w:jc w:val="right"/>
      <w:rPr>
        <w:rFonts w:ascii="Arial" w:hAnsi="Arial" w:cs="Arial"/>
        <w:b/>
        <w:sz w:val="22"/>
        <w:szCs w:val="22"/>
        <w:lang w:val="en-US"/>
      </w:rPr>
    </w:pPr>
    <w:r>
      <w:rPr>
        <w:rFonts w:ascii="Arial" w:hAnsi="Arial" w:cs="Arial"/>
        <w:b/>
        <w:sz w:val="22"/>
        <w:szCs w:val="22"/>
        <w:lang w:val="en-US"/>
      </w:rPr>
      <w:t>ITH/</w:t>
    </w:r>
    <w:r w:rsidR="00400C15">
      <w:rPr>
        <w:rFonts w:ascii="Arial" w:hAnsi="Arial" w:cs="Arial"/>
        <w:b/>
        <w:sz w:val="22"/>
        <w:szCs w:val="22"/>
        <w:lang w:val="en-US"/>
      </w:rPr>
      <w:t>16</w:t>
    </w:r>
    <w:r w:rsidR="00F4039C">
      <w:rPr>
        <w:rFonts w:ascii="Arial" w:hAnsi="Arial" w:cs="Arial"/>
        <w:b/>
        <w:sz w:val="22"/>
        <w:szCs w:val="22"/>
        <w:lang w:val="en-US"/>
      </w:rPr>
      <w:t>/</w:t>
    </w:r>
    <w:r w:rsidR="00400C15">
      <w:rPr>
        <w:rFonts w:ascii="Arial" w:hAnsi="Arial" w:cs="Arial"/>
        <w:b/>
        <w:sz w:val="22"/>
        <w:szCs w:val="22"/>
        <w:lang w:val="en-US"/>
      </w:rPr>
      <w:t>11</w:t>
    </w:r>
    <w:r w:rsidR="00F4039C">
      <w:rPr>
        <w:rFonts w:ascii="Arial" w:hAnsi="Arial" w:cs="Arial"/>
        <w:b/>
        <w:sz w:val="22"/>
        <w:szCs w:val="22"/>
        <w:lang w:val="en-US"/>
      </w:rPr>
      <w:t xml:space="preserve">.COM </w:t>
    </w:r>
    <w:r w:rsidR="003650A4">
      <w:rPr>
        <w:rFonts w:ascii="Arial" w:hAnsi="Arial" w:cs="Arial"/>
        <w:b/>
        <w:sz w:val="22"/>
        <w:szCs w:val="22"/>
        <w:lang w:val="en-US"/>
      </w:rPr>
      <w:t>2</w:t>
    </w:r>
    <w:r>
      <w:rPr>
        <w:rFonts w:ascii="Arial" w:hAnsi="Arial" w:cs="Arial"/>
        <w:b/>
        <w:sz w:val="22"/>
        <w:szCs w:val="22"/>
        <w:lang w:val="en-US"/>
      </w:rPr>
      <w:t>.BUR/</w:t>
    </w:r>
    <w:r w:rsidR="00400C15">
      <w:rPr>
        <w:rFonts w:ascii="Arial" w:hAnsi="Arial" w:cs="Arial"/>
        <w:b/>
        <w:sz w:val="22"/>
        <w:szCs w:val="22"/>
        <w:lang w:val="en-US"/>
      </w:rPr>
      <w:t>Decision</w:t>
    </w:r>
    <w:r w:rsidR="00F412A5">
      <w:rPr>
        <w:rFonts w:ascii="Arial" w:hAnsi="Arial" w:cs="Arial"/>
        <w:b/>
        <w:sz w:val="22"/>
        <w:szCs w:val="22"/>
        <w:lang w:val="en-US"/>
      </w:rPr>
      <w:t>s</w:t>
    </w:r>
  </w:p>
  <w:p w:rsidR="00A06B50" w:rsidRPr="007815A5" w:rsidRDefault="00A06B50" w:rsidP="004B3609">
    <w:pPr>
      <w:jc w:val="right"/>
      <w:rPr>
        <w:rFonts w:ascii="Arial" w:hAnsi="Arial" w:cs="Arial"/>
        <w:b/>
        <w:sz w:val="22"/>
        <w:szCs w:val="22"/>
        <w:lang w:val="en-US"/>
      </w:rPr>
    </w:pPr>
    <w:r w:rsidRPr="007815A5">
      <w:rPr>
        <w:rFonts w:ascii="Arial" w:hAnsi="Arial" w:cs="Arial"/>
        <w:b/>
        <w:sz w:val="22"/>
        <w:szCs w:val="22"/>
        <w:lang w:val="en-US"/>
      </w:rPr>
      <w:t xml:space="preserve">Paris, </w:t>
    </w:r>
    <w:r w:rsidR="003650A4">
      <w:rPr>
        <w:rFonts w:ascii="Arial" w:hAnsi="Arial" w:cs="Arial"/>
        <w:b/>
        <w:sz w:val="22"/>
        <w:szCs w:val="22"/>
        <w:lang w:val="en-US"/>
      </w:rPr>
      <w:t>17</w:t>
    </w:r>
    <w:r w:rsidR="00D5392A">
      <w:rPr>
        <w:rFonts w:ascii="Arial" w:hAnsi="Arial" w:cs="Arial"/>
        <w:b/>
        <w:sz w:val="22"/>
        <w:szCs w:val="22"/>
        <w:lang w:val="en-US"/>
      </w:rPr>
      <w:t xml:space="preserve"> </w:t>
    </w:r>
    <w:r w:rsidR="003650A4">
      <w:rPr>
        <w:rFonts w:ascii="Arial" w:hAnsi="Arial" w:cs="Arial"/>
        <w:b/>
        <w:sz w:val="22"/>
        <w:szCs w:val="22"/>
        <w:lang w:val="en-US"/>
      </w:rPr>
      <w:t>June</w:t>
    </w:r>
    <w:r w:rsidR="00400C15">
      <w:rPr>
        <w:rFonts w:ascii="Arial" w:hAnsi="Arial" w:cs="Arial"/>
        <w:b/>
        <w:sz w:val="22"/>
        <w:szCs w:val="22"/>
        <w:lang w:val="en-US"/>
      </w:rPr>
      <w:t xml:space="preserve"> 2016</w:t>
    </w:r>
  </w:p>
  <w:p w:rsidR="00A06B50" w:rsidRPr="00CB149B" w:rsidRDefault="00A06B50" w:rsidP="004B3609">
    <w:pPr>
      <w:jc w:val="right"/>
      <w:rPr>
        <w:rFonts w:ascii="Arial" w:hAnsi="Arial" w:cs="Arial"/>
        <w:b/>
        <w:sz w:val="22"/>
        <w:szCs w:val="22"/>
        <w:lang w:val="en-US"/>
      </w:rPr>
    </w:pPr>
    <w:r w:rsidRPr="007815A5">
      <w:rPr>
        <w:rFonts w:ascii="Arial" w:hAnsi="Arial" w:cs="Arial"/>
        <w:b/>
        <w:sz w:val="22"/>
        <w:szCs w:val="22"/>
        <w:lang w:val="en-US"/>
      </w:rPr>
      <w:t>Original: English</w:t>
    </w:r>
    <w:r w:rsidR="00E14437">
      <w:rPr>
        <w:rFonts w:ascii="Arial" w:hAnsi="Arial" w:cs="Arial"/>
        <w:b/>
        <w:sz w:val="22"/>
        <w:szCs w:val="22"/>
        <w:lang w:val="en-US"/>
      </w:rPr>
      <w:t>/French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35618F"/>
    <w:multiLevelType w:val="hybridMultilevel"/>
    <w:tmpl w:val="1074AD06"/>
    <w:lvl w:ilvl="0" w:tplc="47BAFACE">
      <w:start w:val="1"/>
      <w:numFmt w:val="decimal"/>
      <w:lvlText w:val="%1."/>
      <w:lvlJc w:val="left"/>
      <w:pPr>
        <w:ind w:left="786"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C52FED"/>
    <w:multiLevelType w:val="hybridMultilevel"/>
    <w:tmpl w:val="6FDCD916"/>
    <w:lvl w:ilvl="0" w:tplc="ACDC0B04">
      <w:start w:val="1"/>
      <w:numFmt w:val="decimal"/>
      <w:pStyle w:val="Paragraph"/>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26F960B4"/>
    <w:multiLevelType w:val="hybridMultilevel"/>
    <w:tmpl w:val="AA46D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7"/>
  </w:num>
  <w:num w:numId="11">
    <w:abstractNumId w:val="4"/>
  </w:num>
  <w:num w:numId="12">
    <w:abstractNumId w:val="8"/>
  </w:num>
  <w:num w:numId="13">
    <w:abstractNumId w:val="6"/>
    <w:lvlOverride w:ilvl="0">
      <w:startOverride w:val="1"/>
    </w:lvlOverride>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Formatting/>
  <w:defaultTabStop w:val="567"/>
  <w:hyphenationZone w:val="425"/>
  <w:evenAndOddHeaders/>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26D0"/>
    <w:rsid w:val="00005B51"/>
    <w:rsid w:val="000066A0"/>
    <w:rsid w:val="00007446"/>
    <w:rsid w:val="00010B47"/>
    <w:rsid w:val="0001346C"/>
    <w:rsid w:val="00015A9E"/>
    <w:rsid w:val="00016521"/>
    <w:rsid w:val="00024556"/>
    <w:rsid w:val="00037338"/>
    <w:rsid w:val="00043857"/>
    <w:rsid w:val="00046958"/>
    <w:rsid w:val="0005098F"/>
    <w:rsid w:val="00052948"/>
    <w:rsid w:val="0005458E"/>
    <w:rsid w:val="000624CF"/>
    <w:rsid w:val="00070F81"/>
    <w:rsid w:val="00072FA8"/>
    <w:rsid w:val="00073A8E"/>
    <w:rsid w:val="00073D56"/>
    <w:rsid w:val="000764D9"/>
    <w:rsid w:val="00077333"/>
    <w:rsid w:val="00077690"/>
    <w:rsid w:val="00086641"/>
    <w:rsid w:val="00087FEF"/>
    <w:rsid w:val="0009370A"/>
    <w:rsid w:val="000A000D"/>
    <w:rsid w:val="000A215A"/>
    <w:rsid w:val="000A7E0E"/>
    <w:rsid w:val="000B07D9"/>
    <w:rsid w:val="000B1875"/>
    <w:rsid w:val="000B262B"/>
    <w:rsid w:val="000B2A37"/>
    <w:rsid w:val="000B3098"/>
    <w:rsid w:val="000C01C2"/>
    <w:rsid w:val="000C423A"/>
    <w:rsid w:val="000C6284"/>
    <w:rsid w:val="000D0646"/>
    <w:rsid w:val="000D123D"/>
    <w:rsid w:val="000D15DE"/>
    <w:rsid w:val="000D1F27"/>
    <w:rsid w:val="000D35B3"/>
    <w:rsid w:val="000D4F94"/>
    <w:rsid w:val="000D5492"/>
    <w:rsid w:val="000D651C"/>
    <w:rsid w:val="000D6E31"/>
    <w:rsid w:val="000D73F3"/>
    <w:rsid w:val="000F4874"/>
    <w:rsid w:val="00104AFF"/>
    <w:rsid w:val="00107574"/>
    <w:rsid w:val="0012220E"/>
    <w:rsid w:val="00126136"/>
    <w:rsid w:val="001263D8"/>
    <w:rsid w:val="00137C10"/>
    <w:rsid w:val="0014015A"/>
    <w:rsid w:val="00142A08"/>
    <w:rsid w:val="00142AF1"/>
    <w:rsid w:val="0015110A"/>
    <w:rsid w:val="0015136E"/>
    <w:rsid w:val="00153F82"/>
    <w:rsid w:val="00162824"/>
    <w:rsid w:val="00166332"/>
    <w:rsid w:val="00167E89"/>
    <w:rsid w:val="001723BC"/>
    <w:rsid w:val="00174C8B"/>
    <w:rsid w:val="001769C1"/>
    <w:rsid w:val="00184A99"/>
    <w:rsid w:val="00185A93"/>
    <w:rsid w:val="0018609E"/>
    <w:rsid w:val="00187D0D"/>
    <w:rsid w:val="001920D6"/>
    <w:rsid w:val="001942B3"/>
    <w:rsid w:val="0019647C"/>
    <w:rsid w:val="00196835"/>
    <w:rsid w:val="001A221C"/>
    <w:rsid w:val="001A505B"/>
    <w:rsid w:val="001A6CDC"/>
    <w:rsid w:val="001B2627"/>
    <w:rsid w:val="001B2CB8"/>
    <w:rsid w:val="001B70A2"/>
    <w:rsid w:val="001C0641"/>
    <w:rsid w:val="001C39BF"/>
    <w:rsid w:val="001C3A3C"/>
    <w:rsid w:val="001C3CAE"/>
    <w:rsid w:val="001C4B22"/>
    <w:rsid w:val="001D097D"/>
    <w:rsid w:val="001D3828"/>
    <w:rsid w:val="001D3E74"/>
    <w:rsid w:val="001D49B2"/>
    <w:rsid w:val="001D53A4"/>
    <w:rsid w:val="001D6DD9"/>
    <w:rsid w:val="001D6E44"/>
    <w:rsid w:val="001E28E7"/>
    <w:rsid w:val="001E2ADD"/>
    <w:rsid w:val="001E56BE"/>
    <w:rsid w:val="001E7318"/>
    <w:rsid w:val="001F02CE"/>
    <w:rsid w:val="001F501C"/>
    <w:rsid w:val="001F5231"/>
    <w:rsid w:val="00200798"/>
    <w:rsid w:val="00201AE6"/>
    <w:rsid w:val="0020451A"/>
    <w:rsid w:val="00206A69"/>
    <w:rsid w:val="0020738B"/>
    <w:rsid w:val="00213159"/>
    <w:rsid w:val="0022117D"/>
    <w:rsid w:val="002214CE"/>
    <w:rsid w:val="00223014"/>
    <w:rsid w:val="00233892"/>
    <w:rsid w:val="002340CD"/>
    <w:rsid w:val="00235EA7"/>
    <w:rsid w:val="00243550"/>
    <w:rsid w:val="002454C6"/>
    <w:rsid w:val="002456CE"/>
    <w:rsid w:val="0024796B"/>
    <w:rsid w:val="0025106D"/>
    <w:rsid w:val="00253238"/>
    <w:rsid w:val="002544FF"/>
    <w:rsid w:val="00256744"/>
    <w:rsid w:val="002574AE"/>
    <w:rsid w:val="00257630"/>
    <w:rsid w:val="00261405"/>
    <w:rsid w:val="00263932"/>
    <w:rsid w:val="00265A67"/>
    <w:rsid w:val="002667B4"/>
    <w:rsid w:val="00266DBB"/>
    <w:rsid w:val="00270583"/>
    <w:rsid w:val="00281B89"/>
    <w:rsid w:val="00285017"/>
    <w:rsid w:val="002900FD"/>
    <w:rsid w:val="002912B5"/>
    <w:rsid w:val="002969B2"/>
    <w:rsid w:val="002A06E2"/>
    <w:rsid w:val="002A53BB"/>
    <w:rsid w:val="002A65A4"/>
    <w:rsid w:val="002A6744"/>
    <w:rsid w:val="002A73E4"/>
    <w:rsid w:val="002B17D9"/>
    <w:rsid w:val="002B2151"/>
    <w:rsid w:val="002C06F5"/>
    <w:rsid w:val="002C0B1E"/>
    <w:rsid w:val="002C168D"/>
    <w:rsid w:val="002C45B0"/>
    <w:rsid w:val="002D3E22"/>
    <w:rsid w:val="002D4B61"/>
    <w:rsid w:val="002D753D"/>
    <w:rsid w:val="002D7BF4"/>
    <w:rsid w:val="002E12C9"/>
    <w:rsid w:val="002E1470"/>
    <w:rsid w:val="002E799E"/>
    <w:rsid w:val="002F0356"/>
    <w:rsid w:val="002F03E6"/>
    <w:rsid w:val="002F11FC"/>
    <w:rsid w:val="002F2A22"/>
    <w:rsid w:val="002F72C5"/>
    <w:rsid w:val="003068D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46B5D"/>
    <w:rsid w:val="00356C0F"/>
    <w:rsid w:val="00361BED"/>
    <w:rsid w:val="0036245C"/>
    <w:rsid w:val="003633B1"/>
    <w:rsid w:val="00363F42"/>
    <w:rsid w:val="003646DB"/>
    <w:rsid w:val="003650A4"/>
    <w:rsid w:val="00367CC2"/>
    <w:rsid w:val="00372468"/>
    <w:rsid w:val="0037782C"/>
    <w:rsid w:val="0038148C"/>
    <w:rsid w:val="003952FB"/>
    <w:rsid w:val="003A5B67"/>
    <w:rsid w:val="003B0E69"/>
    <w:rsid w:val="003B1336"/>
    <w:rsid w:val="003B5022"/>
    <w:rsid w:val="003C2004"/>
    <w:rsid w:val="003C59F2"/>
    <w:rsid w:val="003C7191"/>
    <w:rsid w:val="003D1D8F"/>
    <w:rsid w:val="003D3E1C"/>
    <w:rsid w:val="003D4A40"/>
    <w:rsid w:val="003D4B20"/>
    <w:rsid w:val="003E33DC"/>
    <w:rsid w:val="003E7F06"/>
    <w:rsid w:val="003F30C7"/>
    <w:rsid w:val="003F49EF"/>
    <w:rsid w:val="00400C15"/>
    <w:rsid w:val="00401860"/>
    <w:rsid w:val="0040477A"/>
    <w:rsid w:val="00404E6F"/>
    <w:rsid w:val="00405E55"/>
    <w:rsid w:val="00410B7C"/>
    <w:rsid w:val="004112A8"/>
    <w:rsid w:val="00415FA1"/>
    <w:rsid w:val="00425C4A"/>
    <w:rsid w:val="00427A31"/>
    <w:rsid w:val="00427B06"/>
    <w:rsid w:val="004364D7"/>
    <w:rsid w:val="00436A3E"/>
    <w:rsid w:val="00437B81"/>
    <w:rsid w:val="00447546"/>
    <w:rsid w:val="00454565"/>
    <w:rsid w:val="004628C8"/>
    <w:rsid w:val="004632BA"/>
    <w:rsid w:val="00463976"/>
    <w:rsid w:val="004676E5"/>
    <w:rsid w:val="00470826"/>
    <w:rsid w:val="0047303A"/>
    <w:rsid w:val="00475560"/>
    <w:rsid w:val="004764D8"/>
    <w:rsid w:val="00476C58"/>
    <w:rsid w:val="00480B30"/>
    <w:rsid w:val="00480E55"/>
    <w:rsid w:val="004926B4"/>
    <w:rsid w:val="004A3B71"/>
    <w:rsid w:val="004A4583"/>
    <w:rsid w:val="004A4785"/>
    <w:rsid w:val="004A4F1B"/>
    <w:rsid w:val="004A657A"/>
    <w:rsid w:val="004B2778"/>
    <w:rsid w:val="004B3609"/>
    <w:rsid w:val="004B5E91"/>
    <w:rsid w:val="004C3241"/>
    <w:rsid w:val="004C415E"/>
    <w:rsid w:val="004C4AFE"/>
    <w:rsid w:val="004C593A"/>
    <w:rsid w:val="004C6BDE"/>
    <w:rsid w:val="004D0192"/>
    <w:rsid w:val="004D16F9"/>
    <w:rsid w:val="004D6129"/>
    <w:rsid w:val="004E0576"/>
    <w:rsid w:val="004E2511"/>
    <w:rsid w:val="004E25D7"/>
    <w:rsid w:val="004E43F1"/>
    <w:rsid w:val="004E5858"/>
    <w:rsid w:val="004E71F9"/>
    <w:rsid w:val="004F0A17"/>
    <w:rsid w:val="004F1E24"/>
    <w:rsid w:val="004F473F"/>
    <w:rsid w:val="004F4E26"/>
    <w:rsid w:val="004F4FAA"/>
    <w:rsid w:val="004F555C"/>
    <w:rsid w:val="00501750"/>
    <w:rsid w:val="00501764"/>
    <w:rsid w:val="0050226D"/>
    <w:rsid w:val="00503CD5"/>
    <w:rsid w:val="0051018E"/>
    <w:rsid w:val="00511CD8"/>
    <w:rsid w:val="00512CD2"/>
    <w:rsid w:val="00515E68"/>
    <w:rsid w:val="005206C4"/>
    <w:rsid w:val="00521BB2"/>
    <w:rsid w:val="00524A34"/>
    <w:rsid w:val="00524C55"/>
    <w:rsid w:val="00525910"/>
    <w:rsid w:val="005272AD"/>
    <w:rsid w:val="005275FB"/>
    <w:rsid w:val="00541EF5"/>
    <w:rsid w:val="00542033"/>
    <w:rsid w:val="00547B70"/>
    <w:rsid w:val="00547C90"/>
    <w:rsid w:val="005511BA"/>
    <w:rsid w:val="005522B4"/>
    <w:rsid w:val="00552B41"/>
    <w:rsid w:val="0055595D"/>
    <w:rsid w:val="00557E2F"/>
    <w:rsid w:val="00560085"/>
    <w:rsid w:val="00564DDB"/>
    <w:rsid w:val="00565BA9"/>
    <w:rsid w:val="00572187"/>
    <w:rsid w:val="0057403F"/>
    <w:rsid w:val="0057404F"/>
    <w:rsid w:val="00574638"/>
    <w:rsid w:val="00576583"/>
    <w:rsid w:val="00586A6E"/>
    <w:rsid w:val="00596FA4"/>
    <w:rsid w:val="005A52B5"/>
    <w:rsid w:val="005A71AE"/>
    <w:rsid w:val="005A760A"/>
    <w:rsid w:val="005A7EEA"/>
    <w:rsid w:val="005B3705"/>
    <w:rsid w:val="005B4ACF"/>
    <w:rsid w:val="005B6E29"/>
    <w:rsid w:val="005B6EC3"/>
    <w:rsid w:val="005C1996"/>
    <w:rsid w:val="005C2A56"/>
    <w:rsid w:val="005C5E61"/>
    <w:rsid w:val="005D4397"/>
    <w:rsid w:val="005E003A"/>
    <w:rsid w:val="005E11AD"/>
    <w:rsid w:val="005E227E"/>
    <w:rsid w:val="005E5A93"/>
    <w:rsid w:val="005F4D57"/>
    <w:rsid w:val="0060533E"/>
    <w:rsid w:val="006138AA"/>
    <w:rsid w:val="006165EE"/>
    <w:rsid w:val="00616A12"/>
    <w:rsid w:val="0061704E"/>
    <w:rsid w:val="0062001C"/>
    <w:rsid w:val="006209A2"/>
    <w:rsid w:val="006316A7"/>
    <w:rsid w:val="00632E32"/>
    <w:rsid w:val="00635BE4"/>
    <w:rsid w:val="00637CFF"/>
    <w:rsid w:val="00640DD1"/>
    <w:rsid w:val="00645B7A"/>
    <w:rsid w:val="006545A0"/>
    <w:rsid w:val="00661B42"/>
    <w:rsid w:val="00665115"/>
    <w:rsid w:val="0067195B"/>
    <w:rsid w:val="006721B8"/>
    <w:rsid w:val="0067466A"/>
    <w:rsid w:val="00680610"/>
    <w:rsid w:val="00680738"/>
    <w:rsid w:val="00680847"/>
    <w:rsid w:val="00680C4B"/>
    <w:rsid w:val="00683936"/>
    <w:rsid w:val="00684BF3"/>
    <w:rsid w:val="00686933"/>
    <w:rsid w:val="00686CEA"/>
    <w:rsid w:val="00694452"/>
    <w:rsid w:val="0069620B"/>
    <w:rsid w:val="006A1A12"/>
    <w:rsid w:val="006A5BFD"/>
    <w:rsid w:val="006B0361"/>
    <w:rsid w:val="006B3943"/>
    <w:rsid w:val="006B5E95"/>
    <w:rsid w:val="006B7ED5"/>
    <w:rsid w:val="006C03E6"/>
    <w:rsid w:val="006C188A"/>
    <w:rsid w:val="006C330E"/>
    <w:rsid w:val="006C3FFC"/>
    <w:rsid w:val="006C51FB"/>
    <w:rsid w:val="006D2C68"/>
    <w:rsid w:val="006D3858"/>
    <w:rsid w:val="006D5CDB"/>
    <w:rsid w:val="006D6BB1"/>
    <w:rsid w:val="006D6D68"/>
    <w:rsid w:val="006D6ECF"/>
    <w:rsid w:val="006E1BB8"/>
    <w:rsid w:val="006E6C0B"/>
    <w:rsid w:val="006F1767"/>
    <w:rsid w:val="006F2EAC"/>
    <w:rsid w:val="006F6E40"/>
    <w:rsid w:val="00702A1D"/>
    <w:rsid w:val="00706EAC"/>
    <w:rsid w:val="0071157A"/>
    <w:rsid w:val="007228DD"/>
    <w:rsid w:val="0073001C"/>
    <w:rsid w:val="00730403"/>
    <w:rsid w:val="00736D3C"/>
    <w:rsid w:val="007401FC"/>
    <w:rsid w:val="00743B44"/>
    <w:rsid w:val="00745849"/>
    <w:rsid w:val="00757953"/>
    <w:rsid w:val="00762F35"/>
    <w:rsid w:val="007713DD"/>
    <w:rsid w:val="00774B22"/>
    <w:rsid w:val="00775EDA"/>
    <w:rsid w:val="007815A5"/>
    <w:rsid w:val="00787DA9"/>
    <w:rsid w:val="0079520D"/>
    <w:rsid w:val="00796029"/>
    <w:rsid w:val="00796427"/>
    <w:rsid w:val="007A1674"/>
    <w:rsid w:val="007A3302"/>
    <w:rsid w:val="007A4EA8"/>
    <w:rsid w:val="007A64C3"/>
    <w:rsid w:val="007B0284"/>
    <w:rsid w:val="007B17FF"/>
    <w:rsid w:val="007B5363"/>
    <w:rsid w:val="007C458D"/>
    <w:rsid w:val="007C68C0"/>
    <w:rsid w:val="007C6983"/>
    <w:rsid w:val="007D03DF"/>
    <w:rsid w:val="007D25D2"/>
    <w:rsid w:val="007D2E47"/>
    <w:rsid w:val="007D7316"/>
    <w:rsid w:val="007D7844"/>
    <w:rsid w:val="007E10CC"/>
    <w:rsid w:val="007E6B49"/>
    <w:rsid w:val="007E7752"/>
    <w:rsid w:val="007F05F6"/>
    <w:rsid w:val="007F077B"/>
    <w:rsid w:val="007F37B6"/>
    <w:rsid w:val="007F4665"/>
    <w:rsid w:val="007F6F34"/>
    <w:rsid w:val="0081084D"/>
    <w:rsid w:val="00811E0D"/>
    <w:rsid w:val="00812247"/>
    <w:rsid w:val="00812937"/>
    <w:rsid w:val="008152B9"/>
    <w:rsid w:val="00816D70"/>
    <w:rsid w:val="0082096A"/>
    <w:rsid w:val="008344EF"/>
    <w:rsid w:val="00834EFE"/>
    <w:rsid w:val="00835FA8"/>
    <w:rsid w:val="00843239"/>
    <w:rsid w:val="00850104"/>
    <w:rsid w:val="0085266D"/>
    <w:rsid w:val="00861F77"/>
    <w:rsid w:val="00865767"/>
    <w:rsid w:val="00866040"/>
    <w:rsid w:val="0086667B"/>
    <w:rsid w:val="008676B6"/>
    <w:rsid w:val="00871B66"/>
    <w:rsid w:val="008724E5"/>
    <w:rsid w:val="0088067D"/>
    <w:rsid w:val="00882E58"/>
    <w:rsid w:val="00891295"/>
    <w:rsid w:val="008A012F"/>
    <w:rsid w:val="008A168D"/>
    <w:rsid w:val="008A24F4"/>
    <w:rsid w:val="008A3CA8"/>
    <w:rsid w:val="008A4558"/>
    <w:rsid w:val="008A5AFE"/>
    <w:rsid w:val="008B65E1"/>
    <w:rsid w:val="008B7C4E"/>
    <w:rsid w:val="008C01FC"/>
    <w:rsid w:val="008C333C"/>
    <w:rsid w:val="008C5887"/>
    <w:rsid w:val="008C67ED"/>
    <w:rsid w:val="008C6F22"/>
    <w:rsid w:val="008D1E0B"/>
    <w:rsid w:val="008D488D"/>
    <w:rsid w:val="008D5114"/>
    <w:rsid w:val="008D798B"/>
    <w:rsid w:val="008E1DA4"/>
    <w:rsid w:val="008E37EF"/>
    <w:rsid w:val="008E466D"/>
    <w:rsid w:val="008F244A"/>
    <w:rsid w:val="008F3C6F"/>
    <w:rsid w:val="008F42A5"/>
    <w:rsid w:val="009005EC"/>
    <w:rsid w:val="009006E7"/>
    <w:rsid w:val="00930246"/>
    <w:rsid w:val="00932660"/>
    <w:rsid w:val="00933C15"/>
    <w:rsid w:val="009351BD"/>
    <w:rsid w:val="00936487"/>
    <w:rsid w:val="00936EAE"/>
    <w:rsid w:val="009503DF"/>
    <w:rsid w:val="00956BA0"/>
    <w:rsid w:val="00957740"/>
    <w:rsid w:val="00962AF9"/>
    <w:rsid w:val="00962F7C"/>
    <w:rsid w:val="009669B3"/>
    <w:rsid w:val="00985AE1"/>
    <w:rsid w:val="00987083"/>
    <w:rsid w:val="00990228"/>
    <w:rsid w:val="0099096C"/>
    <w:rsid w:val="00991A14"/>
    <w:rsid w:val="00991BC3"/>
    <w:rsid w:val="0099704E"/>
    <w:rsid w:val="009A43C8"/>
    <w:rsid w:val="009A752A"/>
    <w:rsid w:val="009C3404"/>
    <w:rsid w:val="009D1107"/>
    <w:rsid w:val="009D270E"/>
    <w:rsid w:val="009D2EE4"/>
    <w:rsid w:val="009D7A64"/>
    <w:rsid w:val="009D7F6C"/>
    <w:rsid w:val="009E012B"/>
    <w:rsid w:val="009E33C1"/>
    <w:rsid w:val="009F1B6E"/>
    <w:rsid w:val="00A003EB"/>
    <w:rsid w:val="00A06B34"/>
    <w:rsid w:val="00A06B50"/>
    <w:rsid w:val="00A117AD"/>
    <w:rsid w:val="00A14311"/>
    <w:rsid w:val="00A156EC"/>
    <w:rsid w:val="00A16EA7"/>
    <w:rsid w:val="00A2501E"/>
    <w:rsid w:val="00A3316B"/>
    <w:rsid w:val="00A35B8F"/>
    <w:rsid w:val="00A44987"/>
    <w:rsid w:val="00A45BF7"/>
    <w:rsid w:val="00A45CC5"/>
    <w:rsid w:val="00A45E93"/>
    <w:rsid w:val="00A51F18"/>
    <w:rsid w:val="00A6457A"/>
    <w:rsid w:val="00A65225"/>
    <w:rsid w:val="00A75C3B"/>
    <w:rsid w:val="00A77481"/>
    <w:rsid w:val="00A83385"/>
    <w:rsid w:val="00A87F87"/>
    <w:rsid w:val="00A9140F"/>
    <w:rsid w:val="00A93A87"/>
    <w:rsid w:val="00A978ED"/>
    <w:rsid w:val="00AA5BB9"/>
    <w:rsid w:val="00AA72F5"/>
    <w:rsid w:val="00AB11EC"/>
    <w:rsid w:val="00AB142E"/>
    <w:rsid w:val="00AB4DC6"/>
    <w:rsid w:val="00AC6F8A"/>
    <w:rsid w:val="00AC7030"/>
    <w:rsid w:val="00AD6BF1"/>
    <w:rsid w:val="00AE4315"/>
    <w:rsid w:val="00AE75B6"/>
    <w:rsid w:val="00AF24A6"/>
    <w:rsid w:val="00B02B95"/>
    <w:rsid w:val="00B06ED7"/>
    <w:rsid w:val="00B10399"/>
    <w:rsid w:val="00B15099"/>
    <w:rsid w:val="00B15190"/>
    <w:rsid w:val="00B21719"/>
    <w:rsid w:val="00B25A0B"/>
    <w:rsid w:val="00B307DE"/>
    <w:rsid w:val="00B36174"/>
    <w:rsid w:val="00B40B4C"/>
    <w:rsid w:val="00B43E49"/>
    <w:rsid w:val="00B44206"/>
    <w:rsid w:val="00B518A6"/>
    <w:rsid w:val="00B5331C"/>
    <w:rsid w:val="00B5414C"/>
    <w:rsid w:val="00B54F5E"/>
    <w:rsid w:val="00B56CC7"/>
    <w:rsid w:val="00B6777D"/>
    <w:rsid w:val="00B80F99"/>
    <w:rsid w:val="00B86D15"/>
    <w:rsid w:val="00B91A3C"/>
    <w:rsid w:val="00B959EC"/>
    <w:rsid w:val="00BA1723"/>
    <w:rsid w:val="00BA3735"/>
    <w:rsid w:val="00BA5433"/>
    <w:rsid w:val="00BA60D4"/>
    <w:rsid w:val="00BB0756"/>
    <w:rsid w:val="00BB1BE4"/>
    <w:rsid w:val="00BB41D9"/>
    <w:rsid w:val="00BC1F09"/>
    <w:rsid w:val="00BC3872"/>
    <w:rsid w:val="00BC4763"/>
    <w:rsid w:val="00BC5FA6"/>
    <w:rsid w:val="00BC6A22"/>
    <w:rsid w:val="00BD1C8D"/>
    <w:rsid w:val="00BD3579"/>
    <w:rsid w:val="00BD3901"/>
    <w:rsid w:val="00BD3CBF"/>
    <w:rsid w:val="00BE5322"/>
    <w:rsid w:val="00BF0FC3"/>
    <w:rsid w:val="00BF4DC0"/>
    <w:rsid w:val="00BF73A0"/>
    <w:rsid w:val="00BF7ED2"/>
    <w:rsid w:val="00C0276E"/>
    <w:rsid w:val="00C04564"/>
    <w:rsid w:val="00C06ED9"/>
    <w:rsid w:val="00C110CE"/>
    <w:rsid w:val="00C17EA5"/>
    <w:rsid w:val="00C202EA"/>
    <w:rsid w:val="00C2777E"/>
    <w:rsid w:val="00C30375"/>
    <w:rsid w:val="00C3075F"/>
    <w:rsid w:val="00C30D2C"/>
    <w:rsid w:val="00C31BD8"/>
    <w:rsid w:val="00C33080"/>
    <w:rsid w:val="00C35759"/>
    <w:rsid w:val="00C35AEB"/>
    <w:rsid w:val="00C371B3"/>
    <w:rsid w:val="00C4020A"/>
    <w:rsid w:val="00C41A13"/>
    <w:rsid w:val="00C42504"/>
    <w:rsid w:val="00C53251"/>
    <w:rsid w:val="00C54745"/>
    <w:rsid w:val="00C55B2E"/>
    <w:rsid w:val="00C60777"/>
    <w:rsid w:val="00C62C12"/>
    <w:rsid w:val="00C6340B"/>
    <w:rsid w:val="00C6488D"/>
    <w:rsid w:val="00C65DCD"/>
    <w:rsid w:val="00C66BD4"/>
    <w:rsid w:val="00C74FA3"/>
    <w:rsid w:val="00C8253B"/>
    <w:rsid w:val="00C850EF"/>
    <w:rsid w:val="00C86589"/>
    <w:rsid w:val="00C93AA0"/>
    <w:rsid w:val="00CA23FD"/>
    <w:rsid w:val="00CA3327"/>
    <w:rsid w:val="00CA55E1"/>
    <w:rsid w:val="00CB149B"/>
    <w:rsid w:val="00CB260A"/>
    <w:rsid w:val="00CB306E"/>
    <w:rsid w:val="00CC0309"/>
    <w:rsid w:val="00CC5C77"/>
    <w:rsid w:val="00CC6967"/>
    <w:rsid w:val="00CD0BED"/>
    <w:rsid w:val="00CD455B"/>
    <w:rsid w:val="00CE1056"/>
    <w:rsid w:val="00CE3FF1"/>
    <w:rsid w:val="00CF1026"/>
    <w:rsid w:val="00D000AB"/>
    <w:rsid w:val="00D00939"/>
    <w:rsid w:val="00D019E2"/>
    <w:rsid w:val="00D046B6"/>
    <w:rsid w:val="00D05E67"/>
    <w:rsid w:val="00D07631"/>
    <w:rsid w:val="00D102EB"/>
    <w:rsid w:val="00D22563"/>
    <w:rsid w:val="00D232A5"/>
    <w:rsid w:val="00D27370"/>
    <w:rsid w:val="00D31923"/>
    <w:rsid w:val="00D3675D"/>
    <w:rsid w:val="00D40A50"/>
    <w:rsid w:val="00D44D34"/>
    <w:rsid w:val="00D44EDE"/>
    <w:rsid w:val="00D45336"/>
    <w:rsid w:val="00D47B54"/>
    <w:rsid w:val="00D513DF"/>
    <w:rsid w:val="00D5392A"/>
    <w:rsid w:val="00D54FCD"/>
    <w:rsid w:val="00D55110"/>
    <w:rsid w:val="00D557FC"/>
    <w:rsid w:val="00D66A18"/>
    <w:rsid w:val="00D733B0"/>
    <w:rsid w:val="00D75ADC"/>
    <w:rsid w:val="00D76733"/>
    <w:rsid w:val="00D76A8C"/>
    <w:rsid w:val="00D813A6"/>
    <w:rsid w:val="00D87F60"/>
    <w:rsid w:val="00D956E1"/>
    <w:rsid w:val="00D96A8D"/>
    <w:rsid w:val="00DA68D7"/>
    <w:rsid w:val="00DB0201"/>
    <w:rsid w:val="00DB4044"/>
    <w:rsid w:val="00DB4B5D"/>
    <w:rsid w:val="00DB5131"/>
    <w:rsid w:val="00DB7324"/>
    <w:rsid w:val="00DC0641"/>
    <w:rsid w:val="00DC0B9D"/>
    <w:rsid w:val="00DC2DAE"/>
    <w:rsid w:val="00DD3581"/>
    <w:rsid w:val="00DD36D8"/>
    <w:rsid w:val="00DD654D"/>
    <w:rsid w:val="00DD6722"/>
    <w:rsid w:val="00DE34FC"/>
    <w:rsid w:val="00DE4E0B"/>
    <w:rsid w:val="00DE614E"/>
    <w:rsid w:val="00DE7AA3"/>
    <w:rsid w:val="00DF28AF"/>
    <w:rsid w:val="00DF3CF0"/>
    <w:rsid w:val="00DF564F"/>
    <w:rsid w:val="00DF5AC1"/>
    <w:rsid w:val="00E131EE"/>
    <w:rsid w:val="00E14437"/>
    <w:rsid w:val="00E20A40"/>
    <w:rsid w:val="00E264F9"/>
    <w:rsid w:val="00E2681C"/>
    <w:rsid w:val="00E2698B"/>
    <w:rsid w:val="00E26C8E"/>
    <w:rsid w:val="00E33A55"/>
    <w:rsid w:val="00E33F8E"/>
    <w:rsid w:val="00E41AF5"/>
    <w:rsid w:val="00E44379"/>
    <w:rsid w:val="00E469F1"/>
    <w:rsid w:val="00E53241"/>
    <w:rsid w:val="00E53522"/>
    <w:rsid w:val="00E543C8"/>
    <w:rsid w:val="00E636E5"/>
    <w:rsid w:val="00E660E3"/>
    <w:rsid w:val="00E72336"/>
    <w:rsid w:val="00E766D3"/>
    <w:rsid w:val="00E81B2C"/>
    <w:rsid w:val="00E81BF4"/>
    <w:rsid w:val="00E85C4F"/>
    <w:rsid w:val="00E862B0"/>
    <w:rsid w:val="00E87EDE"/>
    <w:rsid w:val="00E9261C"/>
    <w:rsid w:val="00E93311"/>
    <w:rsid w:val="00E93856"/>
    <w:rsid w:val="00E97DEF"/>
    <w:rsid w:val="00EA2DC3"/>
    <w:rsid w:val="00EA6A2F"/>
    <w:rsid w:val="00EB2613"/>
    <w:rsid w:val="00EB2DF2"/>
    <w:rsid w:val="00EC040E"/>
    <w:rsid w:val="00ED6F70"/>
    <w:rsid w:val="00EE07A6"/>
    <w:rsid w:val="00EE434B"/>
    <w:rsid w:val="00EE5E18"/>
    <w:rsid w:val="00EE6AEB"/>
    <w:rsid w:val="00EF563B"/>
    <w:rsid w:val="00EF604D"/>
    <w:rsid w:val="00EF6064"/>
    <w:rsid w:val="00F0338A"/>
    <w:rsid w:val="00F03BBD"/>
    <w:rsid w:val="00F05361"/>
    <w:rsid w:val="00F11D75"/>
    <w:rsid w:val="00F12241"/>
    <w:rsid w:val="00F33C30"/>
    <w:rsid w:val="00F33E84"/>
    <w:rsid w:val="00F369E3"/>
    <w:rsid w:val="00F37394"/>
    <w:rsid w:val="00F3749C"/>
    <w:rsid w:val="00F4039C"/>
    <w:rsid w:val="00F408F3"/>
    <w:rsid w:val="00F412A5"/>
    <w:rsid w:val="00F51805"/>
    <w:rsid w:val="00F52BA5"/>
    <w:rsid w:val="00F57C02"/>
    <w:rsid w:val="00F61DDB"/>
    <w:rsid w:val="00F623EB"/>
    <w:rsid w:val="00F65224"/>
    <w:rsid w:val="00F66657"/>
    <w:rsid w:val="00F718D3"/>
    <w:rsid w:val="00F7577A"/>
    <w:rsid w:val="00F8529C"/>
    <w:rsid w:val="00F86F3C"/>
    <w:rsid w:val="00F90454"/>
    <w:rsid w:val="00F9476A"/>
    <w:rsid w:val="00F96D96"/>
    <w:rsid w:val="00F97EAA"/>
    <w:rsid w:val="00FA060D"/>
    <w:rsid w:val="00FA4548"/>
    <w:rsid w:val="00FA4EF7"/>
    <w:rsid w:val="00FA60D8"/>
    <w:rsid w:val="00FA6E4E"/>
    <w:rsid w:val="00FA7AF6"/>
    <w:rsid w:val="00FB0D2A"/>
    <w:rsid w:val="00FB15A2"/>
    <w:rsid w:val="00FB6BAD"/>
    <w:rsid w:val="00FB74B1"/>
    <w:rsid w:val="00FC5F87"/>
    <w:rsid w:val="00FC7BE3"/>
    <w:rsid w:val="00FD5061"/>
    <w:rsid w:val="00FD624F"/>
    <w:rsid w:val="00FD6377"/>
    <w:rsid w:val="00FD7470"/>
    <w:rsid w:val="00FD7814"/>
    <w:rsid w:val="00FE4CD4"/>
    <w:rsid w:val="00FE4F63"/>
    <w:rsid w:val="00FF1755"/>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562BD241-9092-4567-9138-7C0EE1CE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4"/>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TitleDecision">
    <w:name w:val="COM Title Decision"/>
    <w:basedOn w:val="Normal"/>
    <w:qFormat/>
    <w:rsid w:val="00400C15"/>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400C15"/>
    <w:pPr>
      <w:keepNext/>
      <w:spacing w:after="120"/>
      <w:ind w:left="567"/>
      <w:jc w:val="both"/>
    </w:pPr>
    <w:rPr>
      <w:rFonts w:ascii="Arial" w:hAnsi="Arial" w:cs="Arial"/>
      <w:sz w:val="22"/>
      <w:szCs w:val="22"/>
    </w:rPr>
  </w:style>
  <w:style w:type="paragraph" w:customStyle="1" w:styleId="COMParaDecision">
    <w:name w:val="COM Para Decision"/>
    <w:basedOn w:val="Normal"/>
    <w:qFormat/>
    <w:rsid w:val="00400C15"/>
    <w:pPr>
      <w:numPr>
        <w:numId w:val="6"/>
      </w:numPr>
      <w:autoSpaceDE w:val="0"/>
      <w:autoSpaceDN w:val="0"/>
      <w:adjustRightInd w:val="0"/>
      <w:spacing w:after="120"/>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0D6E31"/>
    <w:rPr>
      <w:sz w:val="20"/>
      <w:szCs w:val="20"/>
    </w:rPr>
  </w:style>
  <w:style w:type="character" w:customStyle="1" w:styleId="FootnoteTextChar">
    <w:name w:val="Footnote Text Char"/>
    <w:basedOn w:val="DefaultParagraphFont"/>
    <w:link w:val="FootnoteText"/>
    <w:uiPriority w:val="99"/>
    <w:semiHidden/>
    <w:rsid w:val="000D6E31"/>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0D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51025">
      <w:bodyDiv w:val="1"/>
      <w:marLeft w:val="0"/>
      <w:marRight w:val="0"/>
      <w:marTop w:val="0"/>
      <w:marBottom w:val="0"/>
      <w:divBdr>
        <w:top w:val="none" w:sz="0" w:space="0" w:color="auto"/>
        <w:left w:val="none" w:sz="0" w:space="0" w:color="auto"/>
        <w:bottom w:val="none" w:sz="0" w:space="0" w:color="auto"/>
        <w:right w:val="none" w:sz="0" w:space="0" w:color="auto"/>
      </w:divBdr>
    </w:div>
    <w:div w:id="182007052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03745857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doc/src/ITH-16-11.COM_1.BUR-Decisions-E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9FED-3F12-4ECC-894D-1D6795FB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3403</Words>
  <Characters>18720</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De Sancristobal, Berta</cp:lastModifiedBy>
  <cp:revision>6</cp:revision>
  <cp:lastPrinted>2013-10-16T09:01:00Z</cp:lastPrinted>
  <dcterms:created xsi:type="dcterms:W3CDTF">2016-06-21T11:53:00Z</dcterms:created>
  <dcterms:modified xsi:type="dcterms:W3CDTF">2016-06-21T13:20:00Z</dcterms:modified>
</cp:coreProperties>
</file>