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DE300" w14:textId="6B985E9C" w:rsidR="00EC6F8D" w:rsidRPr="001C6031" w:rsidRDefault="00EC6F8D" w:rsidP="005F7CB2">
      <w:pPr>
        <w:spacing w:before="1440"/>
        <w:jc w:val="center"/>
        <w:rPr>
          <w:rFonts w:ascii="Arial" w:hAnsi="Arial" w:cs="Arial"/>
          <w:b/>
          <w:sz w:val="22"/>
          <w:szCs w:val="22"/>
          <w:lang w:val="en-GB"/>
        </w:rPr>
      </w:pPr>
      <w:r w:rsidRPr="001C6031">
        <w:rPr>
          <w:rFonts w:ascii="Arial" w:hAnsi="Arial" w:cs="Arial"/>
          <w:b/>
          <w:sz w:val="22"/>
          <w:szCs w:val="22"/>
          <w:lang w:val="en-GB"/>
        </w:rPr>
        <w:t>CONVENTION FOR THE SAFEGUARDING OF THE</w:t>
      </w:r>
      <w:bookmarkStart w:id="0" w:name="_GoBack"/>
      <w:bookmarkEnd w:id="0"/>
      <w:r w:rsidRPr="001C6031">
        <w:rPr>
          <w:rFonts w:ascii="Arial" w:hAnsi="Arial" w:cs="Arial"/>
          <w:b/>
          <w:sz w:val="22"/>
          <w:szCs w:val="22"/>
          <w:lang w:val="en-GB"/>
        </w:rPr>
        <w:br/>
        <w:t>INTANGIBLE CULTURAL HERITAGE</w:t>
      </w:r>
    </w:p>
    <w:p w14:paraId="2CFA454D" w14:textId="77777777" w:rsidR="00EC6F8D" w:rsidRPr="001C6031" w:rsidRDefault="00EC6F8D" w:rsidP="005F7CB2">
      <w:pPr>
        <w:spacing w:before="1200"/>
        <w:jc w:val="center"/>
        <w:rPr>
          <w:rFonts w:ascii="Arial" w:hAnsi="Arial" w:cs="Arial"/>
          <w:b/>
          <w:sz w:val="22"/>
          <w:szCs w:val="22"/>
          <w:lang w:val="en-GB"/>
        </w:rPr>
      </w:pPr>
      <w:r w:rsidRPr="001C6031">
        <w:rPr>
          <w:rFonts w:ascii="Arial" w:hAnsi="Arial" w:cs="Arial"/>
          <w:b/>
          <w:sz w:val="22"/>
          <w:szCs w:val="22"/>
          <w:lang w:val="en-GB"/>
        </w:rPr>
        <w:t>INTERGOVERNMENTAL COMMITTEE FOR THE</w:t>
      </w:r>
      <w:r w:rsidRPr="001C6031">
        <w:rPr>
          <w:rFonts w:ascii="Arial" w:hAnsi="Arial" w:cs="Arial"/>
          <w:b/>
          <w:sz w:val="22"/>
          <w:szCs w:val="22"/>
          <w:lang w:val="en-GB"/>
        </w:rPr>
        <w:br/>
        <w:t>SAFEGUARDING OF THE INTANGIBLE CULTURAL HERITAGE</w:t>
      </w:r>
    </w:p>
    <w:p w14:paraId="18416DB2" w14:textId="77777777" w:rsidR="00EC6F8D" w:rsidRPr="001C6031" w:rsidRDefault="00350080" w:rsidP="005F7CB2">
      <w:pPr>
        <w:spacing w:before="840"/>
        <w:jc w:val="center"/>
        <w:rPr>
          <w:rFonts w:ascii="Arial" w:hAnsi="Arial" w:cs="Arial"/>
          <w:b/>
          <w:sz w:val="22"/>
          <w:szCs w:val="22"/>
          <w:lang w:val="en-GB"/>
        </w:rPr>
      </w:pPr>
      <w:r w:rsidRPr="001C6031">
        <w:rPr>
          <w:rFonts w:ascii="Arial" w:hAnsi="Arial" w:cs="Arial"/>
          <w:b/>
          <w:sz w:val="22"/>
          <w:szCs w:val="22"/>
          <w:lang w:val="en-GB"/>
        </w:rPr>
        <w:t>Electronic Bureau consultation</w:t>
      </w:r>
    </w:p>
    <w:p w14:paraId="211A0D86" w14:textId="77777777" w:rsidR="00EC6F8D" w:rsidRPr="001C6031" w:rsidRDefault="00350080" w:rsidP="005F7CB2">
      <w:pPr>
        <w:jc w:val="center"/>
        <w:rPr>
          <w:rFonts w:ascii="Arial" w:hAnsi="Arial" w:cs="Arial"/>
          <w:b/>
          <w:sz w:val="22"/>
          <w:szCs w:val="22"/>
          <w:lang w:val="en-GB"/>
        </w:rPr>
      </w:pPr>
      <w:r w:rsidRPr="001C6031">
        <w:rPr>
          <w:rFonts w:ascii="Arial" w:hAnsi="Arial" w:cs="Arial"/>
          <w:b/>
          <w:sz w:val="22"/>
          <w:szCs w:val="22"/>
          <w:lang w:val="en-GB"/>
        </w:rPr>
        <w:t>June 2016</w:t>
      </w:r>
    </w:p>
    <w:p w14:paraId="7F858892" w14:textId="113E57CD" w:rsidR="00EC6F8D" w:rsidRPr="001C6031" w:rsidRDefault="00A74D6C" w:rsidP="00826FE8">
      <w:pPr>
        <w:pStyle w:val="Sansinterligne2"/>
        <w:spacing w:before="1200" w:after="1200"/>
        <w:jc w:val="center"/>
        <w:rPr>
          <w:rFonts w:ascii="Arial" w:hAnsi="Arial" w:cs="Arial"/>
          <w:b/>
          <w:sz w:val="22"/>
          <w:szCs w:val="22"/>
          <w:u w:val="single"/>
          <w:lang w:val="en-GB"/>
        </w:rPr>
      </w:pPr>
      <w:r w:rsidRPr="001C6031">
        <w:rPr>
          <w:rFonts w:ascii="Arial" w:hAnsi="Arial" w:cs="Arial"/>
          <w:b/>
          <w:sz w:val="22"/>
          <w:szCs w:val="22"/>
          <w:u w:val="single"/>
          <w:lang w:val="en-GB"/>
        </w:rPr>
        <w:t>IMPLEMENTATION REPORT OF THE SPENDING PLAN</w:t>
      </w:r>
      <w:r w:rsidRPr="001C6031">
        <w:rPr>
          <w:rFonts w:ascii="Arial" w:hAnsi="Arial" w:cs="Arial"/>
          <w:b/>
          <w:sz w:val="22"/>
          <w:szCs w:val="22"/>
          <w:u w:val="single"/>
          <w:lang w:val="en-GB"/>
        </w:rPr>
        <w:br/>
        <w:t xml:space="preserve">FOR THE ‘OTHER </w:t>
      </w:r>
      <w:r w:rsidR="00907D3B" w:rsidRPr="001C6031">
        <w:rPr>
          <w:rFonts w:ascii="Arial" w:hAnsi="Arial" w:cs="Arial"/>
          <w:b/>
          <w:sz w:val="22"/>
          <w:szCs w:val="22"/>
          <w:u w:val="single"/>
          <w:lang w:val="en-GB"/>
        </w:rPr>
        <w:t>FUNCTIONS OF THE COMMITTEE’</w:t>
      </w:r>
      <w:r w:rsidRPr="001C6031">
        <w:rPr>
          <w:rFonts w:ascii="Arial" w:hAnsi="Arial" w:cs="Arial"/>
          <w:b/>
          <w:sz w:val="22"/>
          <w:szCs w:val="22"/>
          <w:u w:val="single"/>
          <w:lang w:val="en-GB"/>
        </w:rPr>
        <w:br/>
      </w:r>
      <w:r w:rsidRPr="001C6031">
        <w:rPr>
          <w:rFonts w:ascii="Arial" w:hAnsi="Arial" w:cs="Arial"/>
          <w:b/>
          <w:caps/>
          <w:sz w:val="22"/>
          <w:szCs w:val="22"/>
          <w:u w:val="single"/>
          <w:lang w:val="en-GB"/>
        </w:rPr>
        <w:t>1 January 2014 – 31 December 2015</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04E85" w14:paraId="6AD616F9" w14:textId="77777777" w:rsidTr="00EC6F8D">
        <w:trPr>
          <w:jc w:val="center"/>
        </w:trPr>
        <w:tc>
          <w:tcPr>
            <w:tcW w:w="5670" w:type="dxa"/>
            <w:vAlign w:val="center"/>
          </w:tcPr>
          <w:p w14:paraId="50147088" w14:textId="77777777" w:rsidR="00EC6F8D" w:rsidRPr="001C6031" w:rsidRDefault="00EC6F8D" w:rsidP="005F7CB2">
            <w:pPr>
              <w:pStyle w:val="Sansinterligne1"/>
              <w:spacing w:before="200" w:after="200"/>
              <w:jc w:val="center"/>
              <w:rPr>
                <w:rFonts w:ascii="Arial" w:hAnsi="Arial" w:cs="Arial"/>
                <w:b/>
                <w:sz w:val="22"/>
                <w:szCs w:val="22"/>
                <w:lang w:val="en-GB"/>
              </w:rPr>
            </w:pPr>
            <w:r w:rsidRPr="001C6031">
              <w:rPr>
                <w:rFonts w:ascii="Arial" w:hAnsi="Arial" w:cs="Arial"/>
                <w:b/>
                <w:sz w:val="22"/>
                <w:szCs w:val="22"/>
                <w:lang w:val="en-GB"/>
              </w:rPr>
              <w:t>Summary</w:t>
            </w:r>
          </w:p>
          <w:p w14:paraId="6AC38BC6" w14:textId="1FBB0B85" w:rsidR="00EC6F8D" w:rsidRPr="001C6031" w:rsidRDefault="00882DAE" w:rsidP="003F1D48">
            <w:pPr>
              <w:pStyle w:val="NoSpacing"/>
              <w:spacing w:before="120" w:after="120"/>
              <w:jc w:val="both"/>
              <w:rPr>
                <w:rFonts w:ascii="Arial" w:hAnsi="Arial" w:cs="Arial"/>
                <w:sz w:val="22"/>
                <w:szCs w:val="22"/>
                <w:lang w:val="en-GB"/>
              </w:rPr>
            </w:pPr>
            <w:r w:rsidRPr="004B47C3">
              <w:rPr>
                <w:rFonts w:ascii="Arial" w:hAnsi="Arial" w:cs="Arial"/>
                <w:sz w:val="22"/>
                <w:szCs w:val="22"/>
                <w:lang w:val="en-GB"/>
              </w:rPr>
              <w:t xml:space="preserve">The Plan for the use of the resources of the Intangible Cultural Heritage Fund approved by the General Assembly for the period of 1 January 2014 to 31 December 2015 </w:t>
            </w:r>
            <w:r w:rsidR="004B47C3" w:rsidRPr="004B47C3">
              <w:rPr>
                <w:rFonts w:ascii="Arial" w:hAnsi="Arial" w:cs="Arial"/>
                <w:sz w:val="22"/>
                <w:szCs w:val="22"/>
                <w:lang w:val="en-GB"/>
              </w:rPr>
              <w:t>provided</w:t>
            </w:r>
            <w:r w:rsidRPr="004B47C3">
              <w:rPr>
                <w:rFonts w:ascii="Arial" w:hAnsi="Arial" w:cs="Arial"/>
                <w:sz w:val="22"/>
                <w:szCs w:val="22"/>
                <w:lang w:val="en-GB"/>
              </w:rPr>
              <w:t xml:space="preserve"> that 20% of the resources be allocated to ‘other functions of the Committee’ as described in Article 7 of the Convention and the Operational Directives.</w:t>
            </w:r>
            <w:r w:rsidR="004B47C3" w:rsidRPr="004B47C3">
              <w:rPr>
                <w:rFonts w:ascii="Arial" w:hAnsi="Arial" w:cs="Arial"/>
                <w:sz w:val="22"/>
                <w:szCs w:val="22"/>
                <w:lang w:val="en-GB"/>
              </w:rPr>
              <w:t xml:space="preserve"> Exercising the authority delegated to it by the Committee, the Bureau decided upon the utilization of these funds and requested the Secretariat to report on the progress of implementation and the way the funds are spent</w:t>
            </w:r>
            <w:r w:rsidR="004B47C3">
              <w:rPr>
                <w:rFonts w:ascii="Arial" w:hAnsi="Arial" w:cs="Arial"/>
                <w:sz w:val="22"/>
                <w:szCs w:val="22"/>
                <w:lang w:val="en-GB"/>
              </w:rPr>
              <w:t>. The present document provides a</w:t>
            </w:r>
            <w:r w:rsidR="003F1D48">
              <w:rPr>
                <w:rFonts w:ascii="Arial" w:hAnsi="Arial" w:cs="Arial"/>
                <w:sz w:val="22"/>
                <w:szCs w:val="22"/>
                <w:lang w:val="en-GB"/>
              </w:rPr>
              <w:t>n</w:t>
            </w:r>
            <w:r w:rsidR="004B47C3">
              <w:rPr>
                <w:rFonts w:ascii="Arial" w:hAnsi="Arial" w:cs="Arial"/>
                <w:sz w:val="22"/>
                <w:szCs w:val="22"/>
                <w:lang w:val="en-GB"/>
              </w:rPr>
              <w:t xml:space="preserve"> Implementation Report for the period </w:t>
            </w:r>
            <w:r w:rsidR="004B47C3" w:rsidRPr="004B47C3">
              <w:rPr>
                <w:rFonts w:ascii="Arial" w:hAnsi="Arial" w:cs="Arial"/>
                <w:sz w:val="22"/>
                <w:szCs w:val="22"/>
                <w:lang w:val="en-GB"/>
              </w:rPr>
              <w:t>1 January 2014 to 31 December 2015</w:t>
            </w:r>
            <w:r w:rsidR="004B47C3">
              <w:rPr>
                <w:rFonts w:ascii="Arial" w:hAnsi="Arial" w:cs="Arial"/>
                <w:sz w:val="22"/>
                <w:szCs w:val="22"/>
                <w:lang w:val="en-GB"/>
              </w:rPr>
              <w:t>.</w:t>
            </w:r>
          </w:p>
        </w:tc>
      </w:tr>
    </w:tbl>
    <w:p w14:paraId="323C4BD0" w14:textId="77777777" w:rsidR="00350080" w:rsidRPr="001C6031" w:rsidRDefault="00655736" w:rsidP="005F7CB2">
      <w:pPr>
        <w:pStyle w:val="COMPara"/>
        <w:jc w:val="both"/>
      </w:pPr>
      <w:r w:rsidRPr="001C6031">
        <w:br w:type="page"/>
      </w:r>
    </w:p>
    <w:p w14:paraId="49A5552B" w14:textId="40AFED15" w:rsidR="007729FF" w:rsidRPr="001C6031" w:rsidRDefault="007729FF" w:rsidP="00357ABE">
      <w:pPr>
        <w:pStyle w:val="5GAparabodytext"/>
      </w:pPr>
      <w:r w:rsidRPr="001C6031">
        <w:lastRenderedPageBreak/>
        <w:t xml:space="preserve">The General Assembly, in its </w:t>
      </w:r>
      <w:hyperlink r:id="rId8" w:history="1">
        <w:r w:rsidRPr="001C6031">
          <w:rPr>
            <w:rStyle w:val="Hyperlink"/>
          </w:rPr>
          <w:t>Resolution 5.GA 7</w:t>
        </w:r>
      </w:hyperlink>
      <w:r w:rsidRPr="001C6031">
        <w:t xml:space="preserve">, approved a Plan for the use of the resources of the </w:t>
      </w:r>
      <w:r w:rsidR="003D12B5">
        <w:t xml:space="preserve">Intangible Cultural Heritage </w:t>
      </w:r>
      <w:r w:rsidRPr="001C6031">
        <w:t xml:space="preserve">Fund </w:t>
      </w:r>
      <w:r w:rsidR="003D12B5" w:rsidRPr="00FC5105">
        <w:rPr>
          <w:lang w:val="en-US"/>
        </w:rPr>
        <w:t>[thereafter the Fund]</w:t>
      </w:r>
      <w:r w:rsidR="003D12B5">
        <w:rPr>
          <w:lang w:val="en-US"/>
        </w:rPr>
        <w:t xml:space="preserve"> </w:t>
      </w:r>
      <w:r w:rsidR="006A0FDF" w:rsidRPr="001C6031">
        <w:t>for the period 1 </w:t>
      </w:r>
      <w:r w:rsidRPr="001C6031">
        <w:t>January</w:t>
      </w:r>
      <w:r w:rsidR="00BB3419" w:rsidRPr="001C6031">
        <w:t> </w:t>
      </w:r>
      <w:r w:rsidRPr="001C6031">
        <w:t>2014 to 31</w:t>
      </w:r>
      <w:r w:rsidR="00BB3419" w:rsidRPr="001C6031">
        <w:t> </w:t>
      </w:r>
      <w:r w:rsidRPr="001C6031">
        <w:t>December</w:t>
      </w:r>
      <w:r w:rsidR="00BB3419" w:rsidRPr="001C6031">
        <w:t> </w:t>
      </w:r>
      <w:r w:rsidRPr="001C6031">
        <w:t xml:space="preserve">2015 which devoted </w:t>
      </w:r>
      <w:r w:rsidR="003C1A1C" w:rsidRPr="001C6031">
        <w:t xml:space="preserve">20% of </w:t>
      </w:r>
      <w:r w:rsidRPr="001C6031">
        <w:t xml:space="preserve">the budget (US$1,351,087) to the ‘other functions of the Committee’ as laid down in Article 7 of the Convention and </w:t>
      </w:r>
      <w:r w:rsidR="006A0FDF" w:rsidRPr="001C6031">
        <w:t>its</w:t>
      </w:r>
      <w:r w:rsidRPr="001C6031">
        <w:t xml:space="preserve"> Operational Directives. By delegation of authority from the Committee (</w:t>
      </w:r>
      <w:hyperlink r:id="rId9" w:history="1">
        <w:r w:rsidRPr="001C6031">
          <w:rPr>
            <w:rStyle w:val="Hyperlink"/>
          </w:rPr>
          <w:t>Decision 8.COM 11</w:t>
        </w:r>
      </w:hyperlink>
      <w:r w:rsidRPr="001C6031">
        <w:t>), the Bureau was requested to decide on a specific proposal prepared by the Secretariat for the use of the funds under that category</w:t>
      </w:r>
      <w:r w:rsidR="005D229E" w:rsidRPr="001C6031">
        <w:t>,</w:t>
      </w:r>
      <w:r w:rsidRPr="001C6031">
        <w:t xml:space="preserve"> for the above-mentioned period (</w:t>
      </w:r>
      <w:hyperlink r:id="rId10" w:history="1">
        <w:r w:rsidRPr="001C6031">
          <w:rPr>
            <w:rStyle w:val="Hyperlink"/>
          </w:rPr>
          <w:t>Decision</w:t>
        </w:r>
        <w:r w:rsidR="003D12B5">
          <w:rPr>
            <w:rStyle w:val="Hyperlink"/>
          </w:rPr>
          <w:t> </w:t>
        </w:r>
        <w:r w:rsidRPr="001C6031">
          <w:rPr>
            <w:rStyle w:val="Hyperlink"/>
          </w:rPr>
          <w:t>9.</w:t>
        </w:r>
        <w:r w:rsidR="003D12B5" w:rsidRPr="001C6031">
          <w:rPr>
            <w:rStyle w:val="Hyperlink"/>
          </w:rPr>
          <w:t>COM</w:t>
        </w:r>
        <w:r w:rsidR="003D12B5">
          <w:rPr>
            <w:rStyle w:val="Hyperlink"/>
          </w:rPr>
          <w:t> </w:t>
        </w:r>
        <w:r w:rsidRPr="001C6031">
          <w:rPr>
            <w:rStyle w:val="Hyperlink"/>
          </w:rPr>
          <w:t>2.BUR</w:t>
        </w:r>
        <w:r w:rsidR="003D12B5">
          <w:rPr>
            <w:rStyle w:val="Hyperlink"/>
          </w:rPr>
          <w:t> </w:t>
        </w:r>
        <w:r w:rsidRPr="001C6031">
          <w:rPr>
            <w:rStyle w:val="Hyperlink"/>
          </w:rPr>
          <w:t>1</w:t>
        </w:r>
      </w:hyperlink>
      <w:r w:rsidRPr="001C6031">
        <w:t>)</w:t>
      </w:r>
      <w:r w:rsidR="003C1A1C" w:rsidRPr="001C6031">
        <w:rPr>
          <w:rStyle w:val="FootnoteReference"/>
        </w:rPr>
        <w:footnoteReference w:id="1"/>
      </w:r>
      <w:r w:rsidR="00BB3419" w:rsidRPr="001C6031">
        <w:t xml:space="preserve">. In that same decision, the Bureau requested </w:t>
      </w:r>
      <w:r w:rsidR="005D229E" w:rsidRPr="001C6031">
        <w:t xml:space="preserve">the Secretariat ‘to report on the progress of implementation and the way the funds are spent’. </w:t>
      </w:r>
      <w:r w:rsidR="00024861" w:rsidRPr="001C6031">
        <w:t xml:space="preserve">In line with the 37C/5 Approved and the Organization’s shift towards </w:t>
      </w:r>
      <w:r w:rsidR="00024861" w:rsidRPr="001C6031">
        <w:rPr>
          <w:rStyle w:val="hps"/>
        </w:rPr>
        <w:t xml:space="preserve">integrating the principles of </w:t>
      </w:r>
      <w:r w:rsidR="0005488C">
        <w:rPr>
          <w:rStyle w:val="hps"/>
        </w:rPr>
        <w:t>r</w:t>
      </w:r>
      <w:r w:rsidR="00024861" w:rsidRPr="001C6031">
        <w:rPr>
          <w:rStyle w:val="hps"/>
        </w:rPr>
        <w:t>esults-</w:t>
      </w:r>
      <w:r w:rsidR="0005488C">
        <w:rPr>
          <w:rStyle w:val="hps"/>
        </w:rPr>
        <w:t>b</w:t>
      </w:r>
      <w:r w:rsidR="00024861" w:rsidRPr="001C6031">
        <w:rPr>
          <w:rStyle w:val="hps"/>
        </w:rPr>
        <w:t xml:space="preserve">ased </w:t>
      </w:r>
      <w:r w:rsidR="0005488C">
        <w:rPr>
          <w:rStyle w:val="hps"/>
        </w:rPr>
        <w:t>m</w:t>
      </w:r>
      <w:r w:rsidR="00024861" w:rsidRPr="001C6031">
        <w:rPr>
          <w:rStyle w:val="hps"/>
        </w:rPr>
        <w:t xml:space="preserve">anagement and </w:t>
      </w:r>
      <w:r w:rsidR="0005488C">
        <w:rPr>
          <w:rStyle w:val="hps"/>
        </w:rPr>
        <w:t>r</w:t>
      </w:r>
      <w:r w:rsidR="00024861" w:rsidRPr="001C6031">
        <w:rPr>
          <w:rStyle w:val="hps"/>
        </w:rPr>
        <w:t>esults-</w:t>
      </w:r>
      <w:r w:rsidR="0005488C">
        <w:rPr>
          <w:rStyle w:val="hps"/>
        </w:rPr>
        <w:t>b</w:t>
      </w:r>
      <w:r w:rsidR="00024861" w:rsidRPr="001C6031">
        <w:rPr>
          <w:rStyle w:val="hps"/>
        </w:rPr>
        <w:t xml:space="preserve">ased </w:t>
      </w:r>
      <w:r w:rsidR="0005488C">
        <w:rPr>
          <w:rStyle w:val="hps"/>
        </w:rPr>
        <w:t>b</w:t>
      </w:r>
      <w:r w:rsidR="00024861" w:rsidRPr="001C6031">
        <w:rPr>
          <w:rStyle w:val="hps"/>
        </w:rPr>
        <w:t>udgeting,</w:t>
      </w:r>
      <w:r w:rsidR="00024861" w:rsidRPr="001C6031">
        <w:t xml:space="preserve"> </w:t>
      </w:r>
      <w:r w:rsidR="005D229E" w:rsidRPr="001C6031">
        <w:t xml:space="preserve">for the first time, the Bureau </w:t>
      </w:r>
      <w:r w:rsidR="00024861" w:rsidRPr="001C6031">
        <w:t xml:space="preserve">approved, on that occasion, </w:t>
      </w:r>
      <w:r w:rsidR="005D229E" w:rsidRPr="001C6031">
        <w:t xml:space="preserve">a proposal that integrated a results framework with financial allocations for each </w:t>
      </w:r>
      <w:r w:rsidR="00024861" w:rsidRPr="001C6031">
        <w:t xml:space="preserve">result. </w:t>
      </w:r>
    </w:p>
    <w:p w14:paraId="06449119" w14:textId="3F6DF4A9" w:rsidR="005D229E" w:rsidRPr="001C6031" w:rsidRDefault="005D229E" w:rsidP="00357ABE">
      <w:pPr>
        <w:pStyle w:val="5GAparabodytext"/>
      </w:pPr>
      <w:r w:rsidRPr="001C6031">
        <w:t xml:space="preserve">The present document </w:t>
      </w:r>
      <w:r w:rsidR="00A573D8" w:rsidRPr="001C6031">
        <w:t>is intended to inform States Parties, in particular States Members of the Bureau, of progress in the execution of the spending plan adopted in June 2014 during the 2014-2015 biennium</w:t>
      </w:r>
      <w:r w:rsidR="00056942" w:rsidRPr="001C6031">
        <w:t xml:space="preserve"> (</w:t>
      </w:r>
      <w:hyperlink r:id="rId11" w:history="1">
        <w:r w:rsidR="00056942" w:rsidRPr="001C6031">
          <w:rPr>
            <w:rStyle w:val="Hyperlink"/>
          </w:rPr>
          <w:t>Decision</w:t>
        </w:r>
        <w:r w:rsidR="00580B48" w:rsidRPr="001C6031">
          <w:rPr>
            <w:rStyle w:val="Hyperlink"/>
          </w:rPr>
          <w:t> </w:t>
        </w:r>
        <w:r w:rsidR="00056942" w:rsidRPr="001C6031">
          <w:rPr>
            <w:rStyle w:val="Hyperlink"/>
          </w:rPr>
          <w:t>9.COM</w:t>
        </w:r>
        <w:r w:rsidR="00580B48" w:rsidRPr="001C6031">
          <w:rPr>
            <w:rStyle w:val="Hyperlink"/>
          </w:rPr>
          <w:t> </w:t>
        </w:r>
        <w:r w:rsidR="00056942" w:rsidRPr="001C6031">
          <w:rPr>
            <w:rStyle w:val="Hyperlink"/>
          </w:rPr>
          <w:t>2.BUR</w:t>
        </w:r>
        <w:r w:rsidR="00580B48" w:rsidRPr="001C6031">
          <w:rPr>
            <w:rStyle w:val="Hyperlink"/>
          </w:rPr>
          <w:t> </w:t>
        </w:r>
        <w:r w:rsidR="00056942" w:rsidRPr="001C6031">
          <w:rPr>
            <w:rStyle w:val="Hyperlink"/>
          </w:rPr>
          <w:t>1</w:t>
        </w:r>
      </w:hyperlink>
      <w:r w:rsidR="00056942" w:rsidRPr="001C6031">
        <w:t>)</w:t>
      </w:r>
      <w:r w:rsidR="00A573D8" w:rsidRPr="001C6031">
        <w:t>. It follows the format of reporting to UNESCO’s Executive Board on programme implementation as adopted by the 38</w:t>
      </w:r>
      <w:r w:rsidR="00A573D8" w:rsidRPr="001C6031">
        <w:rPr>
          <w:vertAlign w:val="superscript"/>
        </w:rPr>
        <w:t>th</w:t>
      </w:r>
      <w:r w:rsidR="00A573D8" w:rsidRPr="001C6031">
        <w:t> session of the General Conference (38 C/Resolution 99). It</w:t>
      </w:r>
      <w:r w:rsidR="009467E7">
        <w:t>,</w:t>
      </w:r>
      <w:r w:rsidR="00A573D8" w:rsidRPr="001C6031">
        <w:t xml:space="preserve"> therefore</w:t>
      </w:r>
      <w:r w:rsidR="009467E7">
        <w:t>,</w:t>
      </w:r>
      <w:r w:rsidR="00A573D8" w:rsidRPr="001C6031">
        <w:t xml:space="preserve"> provides an analytical assessment of programme implementation and progress in the delivery of outputs approved by the Bureau. Progress is assessed against benchmarks also approved by the Bureau. </w:t>
      </w:r>
    </w:p>
    <w:p w14:paraId="62BDA4D9" w14:textId="77777777" w:rsidR="00A74D6C" w:rsidRPr="001C6031" w:rsidRDefault="00A74D6C" w:rsidP="00826FE8">
      <w:pPr>
        <w:pStyle w:val="Heading4"/>
        <w:ind w:left="567" w:hanging="567"/>
      </w:pPr>
      <w:r w:rsidRPr="001C6031">
        <w:t>Overall strategic assessment</w:t>
      </w:r>
    </w:p>
    <w:p w14:paraId="48BB3E8B" w14:textId="66AFD369" w:rsidR="007729FF" w:rsidRPr="001C6031" w:rsidRDefault="00A573D8" w:rsidP="00A573D8">
      <w:pPr>
        <w:spacing w:before="240" w:after="240"/>
        <w:ind w:left="851" w:hanging="851"/>
        <w:rPr>
          <w:rFonts w:ascii="Arial" w:hAnsi="Arial" w:cs="Arial"/>
          <w:b/>
          <w:bCs/>
          <w:sz w:val="22"/>
          <w:szCs w:val="22"/>
          <w:lang w:val="en-GB"/>
        </w:rPr>
      </w:pPr>
      <w:r w:rsidRPr="001C6031">
        <w:rPr>
          <w:rFonts w:ascii="Arial" w:hAnsi="Arial" w:cs="Arial"/>
          <w:b/>
          <w:bCs/>
          <w:sz w:val="22"/>
          <w:szCs w:val="22"/>
          <w:lang w:val="en-GB"/>
        </w:rPr>
        <w:t>Key achievements</w:t>
      </w:r>
    </w:p>
    <w:p w14:paraId="0E609859" w14:textId="04850386" w:rsidR="009444C9" w:rsidRPr="001C6031" w:rsidRDefault="009444C9" w:rsidP="00357ABE">
      <w:pPr>
        <w:pStyle w:val="5GAparabodytext"/>
      </w:pPr>
      <w:r w:rsidRPr="001C6031">
        <w:t xml:space="preserve">Funds allocated by the General Assembly to ‘other functions of the Committee’ are crucial to allow the Committee to </w:t>
      </w:r>
      <w:r w:rsidR="00056942" w:rsidRPr="001C6031">
        <w:t xml:space="preserve">effectively </w:t>
      </w:r>
      <w:r w:rsidRPr="001C6031">
        <w:t>exercise its mandate beyond the strict conduct of its sessions and the examination of files submitted by States Parties, and decision</w:t>
      </w:r>
      <w:r w:rsidR="00143F74" w:rsidRPr="001C6031">
        <w:t>s</w:t>
      </w:r>
      <w:r w:rsidRPr="001C6031">
        <w:t xml:space="preserve"> thereon.</w:t>
      </w:r>
      <w:r w:rsidR="00B04E85">
        <w:t xml:space="preserve"> </w:t>
      </w:r>
      <w:r w:rsidRPr="001C6031">
        <w:t>During the 2014-2015 biennium</w:t>
      </w:r>
      <w:r w:rsidR="00143F74" w:rsidRPr="001C6031">
        <w:t>,</w:t>
      </w:r>
      <w:r w:rsidRPr="001C6031">
        <w:t xml:space="preserve"> this budget line of the Fund was</w:t>
      </w:r>
      <w:r w:rsidR="00072F12">
        <w:t>,</w:t>
      </w:r>
      <w:r w:rsidRPr="001C6031">
        <w:t xml:space="preserve"> therefore</w:t>
      </w:r>
      <w:r w:rsidR="00072F12">
        <w:t>,</w:t>
      </w:r>
      <w:r w:rsidRPr="001C6031">
        <w:t xml:space="preserve"> instrumental </w:t>
      </w:r>
      <w:r w:rsidR="00072F12">
        <w:t>in</w:t>
      </w:r>
      <w:r w:rsidRPr="001C6031">
        <w:t xml:space="preserve"> encourag</w:t>
      </w:r>
      <w:r w:rsidR="00072F12">
        <w:t>ing</w:t>
      </w:r>
      <w:r w:rsidRPr="001C6031">
        <w:t xml:space="preserve"> and monitor</w:t>
      </w:r>
      <w:r w:rsidR="00072F12">
        <w:t>ing</w:t>
      </w:r>
      <w:r w:rsidRPr="001C6031">
        <w:t xml:space="preserve"> implementation of the Convention (Article 7[a]) and follow</w:t>
      </w:r>
      <w:r w:rsidR="00072F12">
        <w:t>ing</w:t>
      </w:r>
      <w:r w:rsidRPr="001C6031">
        <w:t xml:space="preserve">-up implementation of a number of decisions adopted by the Committee, in particular following </w:t>
      </w:r>
      <w:r w:rsidR="00143F74" w:rsidRPr="001C6031">
        <w:t xml:space="preserve">the </w:t>
      </w:r>
      <w:r w:rsidR="00143F74" w:rsidRPr="001C6031">
        <w:rPr>
          <w:rFonts w:eastAsia="SimSun"/>
          <w:snapToGrid/>
          <w:lang w:bidi="en-US"/>
        </w:rPr>
        <w:t>UNESCO’s Internal Oversight Service (IOS) evaluation of UNESCO’s standard-setting work of the Culture Sector</w:t>
      </w:r>
      <w:r w:rsidR="009A3C4D">
        <w:rPr>
          <w:rFonts w:eastAsia="SimSun"/>
          <w:snapToGrid/>
          <w:lang w:bidi="en-US"/>
        </w:rPr>
        <w:t>. T</w:t>
      </w:r>
      <w:r w:rsidR="00072F12">
        <w:rPr>
          <w:rFonts w:eastAsia="SimSun"/>
          <w:snapToGrid/>
          <w:lang w:bidi="en-US"/>
        </w:rPr>
        <w:t>he</w:t>
      </w:r>
      <w:r w:rsidR="00072F12" w:rsidRPr="001C6031">
        <w:rPr>
          <w:rFonts w:eastAsia="SimSun"/>
          <w:snapToGrid/>
          <w:lang w:bidi="en-US"/>
        </w:rPr>
        <w:t xml:space="preserve"> </w:t>
      </w:r>
      <w:r w:rsidR="00143F74" w:rsidRPr="001C6031">
        <w:rPr>
          <w:rFonts w:eastAsia="SimSun"/>
          <w:snapToGrid/>
          <w:lang w:bidi="en-US"/>
        </w:rPr>
        <w:t>first part completed in 2013 concerned the 2003 Convention for the Safeguarding of the Intangible Cultural Heritage (</w:t>
      </w:r>
      <w:hyperlink r:id="rId12" w:history="1">
        <w:r w:rsidR="00143F74" w:rsidRPr="001C6031">
          <w:rPr>
            <w:rStyle w:val="Hyperlink"/>
            <w:rFonts w:eastAsia="SimSun"/>
            <w:snapToGrid/>
            <w:lang w:bidi="en-US"/>
          </w:rPr>
          <w:t>Document IOS/EVS/PI/129 REV.</w:t>
        </w:r>
      </w:hyperlink>
      <w:r w:rsidR="00143F74" w:rsidRPr="001C6031">
        <w:rPr>
          <w:rFonts w:eastAsia="SimSun"/>
          <w:snapToGrid/>
          <w:lang w:bidi="en-US"/>
        </w:rPr>
        <w:t>).</w:t>
      </w:r>
    </w:p>
    <w:p w14:paraId="0375CB7C" w14:textId="3905C876" w:rsidR="00143F74" w:rsidRPr="001C6031" w:rsidRDefault="00580B48" w:rsidP="00357ABE">
      <w:pPr>
        <w:pStyle w:val="5GAparabodytext"/>
      </w:pPr>
      <w:r w:rsidRPr="001C6031">
        <w:t>The importance and relevance of the capacity</w:t>
      </w:r>
      <w:r w:rsidR="00DF7006">
        <w:t>-</w:t>
      </w:r>
      <w:r w:rsidRPr="001C6031">
        <w:t xml:space="preserve">building programme is widely recognized. The programme relies on a </w:t>
      </w:r>
      <w:r w:rsidR="003D12B5">
        <w:t xml:space="preserve">dynamic </w:t>
      </w:r>
      <w:r w:rsidRPr="001C6031">
        <w:t>network of expert-facilitators and a</w:t>
      </w:r>
      <w:r w:rsidR="003D12B5">
        <w:t xml:space="preserve"> comprehensive</w:t>
      </w:r>
      <w:r w:rsidRPr="001C6031">
        <w:t xml:space="preserve"> set </w:t>
      </w:r>
      <w:r w:rsidR="003D12B5">
        <w:t xml:space="preserve">of training and guidance </w:t>
      </w:r>
      <w:r w:rsidRPr="001C6031">
        <w:t xml:space="preserve">materials </w:t>
      </w:r>
      <w:r w:rsidR="00D92F2A" w:rsidRPr="00B32D1E">
        <w:t>available online in several languages for adaptation to specific local contexts</w:t>
      </w:r>
      <w:r w:rsidRPr="001C6031">
        <w:t>.</w:t>
      </w:r>
      <w:r w:rsidR="00496A19" w:rsidRPr="001C6031">
        <w:t xml:space="preserve"> </w:t>
      </w:r>
      <w:r w:rsidR="00D92F2A" w:rsidRPr="00B32D1E">
        <w:t>The curriculum development is obviously an ongoing process, since it has to take into account key policy and implementation challenges.</w:t>
      </w:r>
      <w:r w:rsidR="00D92F2A">
        <w:t xml:space="preserve"> </w:t>
      </w:r>
      <w:r w:rsidR="00D92F2A" w:rsidRPr="00B32D1E">
        <w:t>Accordingly, the network of facilitators has to evolve in terms of expertise and regional outreach to capably deliver new content and satisfy growing demand for capacity-building.</w:t>
      </w:r>
      <w:r w:rsidR="00D92F2A">
        <w:t xml:space="preserve"> </w:t>
      </w:r>
      <w:r w:rsidR="00496A19" w:rsidRPr="001C6031">
        <w:t xml:space="preserve">While </w:t>
      </w:r>
      <w:r w:rsidR="00496A19" w:rsidRPr="001C6031">
        <w:rPr>
          <w:rStyle w:val="hps"/>
        </w:rPr>
        <w:t xml:space="preserve">implementation of the capacity-building programme in developing countries </w:t>
      </w:r>
      <w:r w:rsidR="0043160E">
        <w:rPr>
          <w:rStyle w:val="hps"/>
        </w:rPr>
        <w:t>is</w:t>
      </w:r>
      <w:r w:rsidR="0043160E" w:rsidRPr="001C6031">
        <w:rPr>
          <w:rStyle w:val="hps"/>
        </w:rPr>
        <w:t xml:space="preserve"> </w:t>
      </w:r>
      <w:r w:rsidR="00496A19" w:rsidRPr="001C6031">
        <w:rPr>
          <w:rStyle w:val="hps"/>
        </w:rPr>
        <w:t xml:space="preserve">made possible through earmarked contributions to the Fund and Funds-in-Trust arrangements, funds dedicated to ‘other functions of the Committee’ are instrumental </w:t>
      </w:r>
      <w:r w:rsidR="0043160E">
        <w:rPr>
          <w:rStyle w:val="hps"/>
        </w:rPr>
        <w:t>in</w:t>
      </w:r>
      <w:r w:rsidR="00496A19" w:rsidRPr="001C6031">
        <w:rPr>
          <w:rStyle w:val="hps"/>
        </w:rPr>
        <w:t xml:space="preserve"> </w:t>
      </w:r>
      <w:r w:rsidR="00D92F2A" w:rsidRPr="00B32D1E">
        <w:rPr>
          <w:rStyle w:val="hps"/>
        </w:rPr>
        <w:t>develop</w:t>
      </w:r>
      <w:r w:rsidR="0043160E">
        <w:rPr>
          <w:rStyle w:val="hps"/>
        </w:rPr>
        <w:t>ing</w:t>
      </w:r>
      <w:r w:rsidR="00D92F2A" w:rsidRPr="00B32D1E">
        <w:rPr>
          <w:rStyle w:val="hps"/>
        </w:rPr>
        <w:t xml:space="preserve"> </w:t>
      </w:r>
      <w:r w:rsidR="0043160E">
        <w:rPr>
          <w:rStyle w:val="hps"/>
        </w:rPr>
        <w:t xml:space="preserve">and </w:t>
      </w:r>
      <w:r w:rsidR="0043160E" w:rsidRPr="00B32D1E">
        <w:rPr>
          <w:rStyle w:val="hps"/>
        </w:rPr>
        <w:t>maintain</w:t>
      </w:r>
      <w:r w:rsidR="0043160E">
        <w:rPr>
          <w:rStyle w:val="hps"/>
        </w:rPr>
        <w:t xml:space="preserve">ing </w:t>
      </w:r>
      <w:r w:rsidR="00D92F2A" w:rsidRPr="00B32D1E">
        <w:rPr>
          <w:rStyle w:val="hps"/>
        </w:rPr>
        <w:t xml:space="preserve">global requirements and conditions for the </w:t>
      </w:r>
      <w:r w:rsidR="0043160E" w:rsidRPr="00B32D1E">
        <w:rPr>
          <w:rStyle w:val="hps"/>
        </w:rPr>
        <w:t>programme</w:t>
      </w:r>
      <w:r w:rsidR="0043160E">
        <w:rPr>
          <w:rStyle w:val="hps"/>
        </w:rPr>
        <w:t>’s</w:t>
      </w:r>
      <w:r w:rsidR="0043160E" w:rsidRPr="00B32D1E">
        <w:rPr>
          <w:rStyle w:val="hps"/>
        </w:rPr>
        <w:t xml:space="preserve"> </w:t>
      </w:r>
      <w:r w:rsidR="00D92F2A" w:rsidRPr="00B32D1E">
        <w:rPr>
          <w:rStyle w:val="hps"/>
        </w:rPr>
        <w:t>smooth functioning for delivery at country level.</w:t>
      </w:r>
      <w:r w:rsidR="00496A19" w:rsidRPr="001C6031">
        <w:rPr>
          <w:rStyle w:val="hps"/>
        </w:rPr>
        <w:t xml:space="preserve"> During the reporting period, </w:t>
      </w:r>
      <w:r w:rsidR="00C044BB">
        <w:t>b</w:t>
      </w:r>
      <w:r w:rsidR="00C044BB" w:rsidRPr="001C6031">
        <w:t xml:space="preserve">uilding on the momentum of the IOS Evaluation and </w:t>
      </w:r>
      <w:hyperlink r:id="rId13" w:history="1">
        <w:r w:rsidR="00C044BB" w:rsidRPr="001C6031">
          <w:rPr>
            <w:rStyle w:val="Hyperlink"/>
          </w:rPr>
          <w:t>Decision 8.COM 5.c.1</w:t>
        </w:r>
      </w:hyperlink>
      <w:r w:rsidR="00C044BB" w:rsidRPr="001C6031">
        <w:t xml:space="preserve"> of the Committee,</w:t>
      </w:r>
      <w:r w:rsidR="00C044BB" w:rsidRPr="001C6031">
        <w:rPr>
          <w:rStyle w:val="hps"/>
        </w:rPr>
        <w:t xml:space="preserve"> </w:t>
      </w:r>
      <w:r w:rsidR="00C044BB">
        <w:rPr>
          <w:rStyle w:val="hps"/>
        </w:rPr>
        <w:t>a</w:t>
      </w:r>
      <w:r w:rsidR="00C044BB" w:rsidRPr="001C6031">
        <w:rPr>
          <w:rStyle w:val="hps"/>
        </w:rPr>
        <w:t xml:space="preserve"> major achievement </w:t>
      </w:r>
      <w:r w:rsidR="00C044BB">
        <w:rPr>
          <w:rStyle w:val="hps"/>
        </w:rPr>
        <w:t>was to</w:t>
      </w:r>
      <w:r w:rsidR="00C044BB" w:rsidRPr="001C6031">
        <w:rPr>
          <w:rStyle w:val="hps"/>
        </w:rPr>
        <w:t xml:space="preserve"> broaden the scope of the capacity-building programme to </w:t>
      </w:r>
      <w:r w:rsidR="00C044BB" w:rsidRPr="001C6031">
        <w:t xml:space="preserve">better help States in establishing enabling legislative and policy environments </w:t>
      </w:r>
      <w:r w:rsidR="00C044BB">
        <w:t xml:space="preserve">and developing plans </w:t>
      </w:r>
      <w:r w:rsidR="00C044BB" w:rsidRPr="001C6031">
        <w:t>for safeguarding intangible cultural heritage.</w:t>
      </w:r>
      <w:r w:rsidR="00C044BB">
        <w:t xml:space="preserve"> </w:t>
      </w:r>
      <w:r w:rsidR="00251542">
        <w:t>F</w:t>
      </w:r>
      <w:r w:rsidR="00062F60">
        <w:t>urthermore</w:t>
      </w:r>
      <w:r w:rsidR="00C044BB">
        <w:t>, a major</w:t>
      </w:r>
      <w:r w:rsidR="00496A19" w:rsidRPr="00C044BB">
        <w:rPr>
          <w:rStyle w:val="hps"/>
        </w:rPr>
        <w:t xml:space="preserve"> restructuring of curriculum materials </w:t>
      </w:r>
      <w:r w:rsidR="00251542" w:rsidRPr="00C044BB">
        <w:rPr>
          <w:rStyle w:val="hps"/>
        </w:rPr>
        <w:t>was achieved</w:t>
      </w:r>
      <w:r w:rsidR="00251542" w:rsidRPr="00C044BB" w:rsidDel="00DA518C">
        <w:rPr>
          <w:rStyle w:val="hps"/>
        </w:rPr>
        <w:t xml:space="preserve"> </w:t>
      </w:r>
      <w:r w:rsidR="00DA6982">
        <w:rPr>
          <w:rStyle w:val="hps"/>
        </w:rPr>
        <w:t xml:space="preserve">producing </w:t>
      </w:r>
      <w:r w:rsidR="00D92F2A" w:rsidRPr="00473C13">
        <w:rPr>
          <w:lang w:val="en-US"/>
        </w:rPr>
        <w:t xml:space="preserve">a user-friendly set of </w:t>
      </w:r>
      <w:r w:rsidR="0033515B">
        <w:rPr>
          <w:lang w:val="en-US"/>
        </w:rPr>
        <w:t xml:space="preserve">more than </w:t>
      </w:r>
      <w:r w:rsidR="00D92F2A" w:rsidRPr="00473C13">
        <w:rPr>
          <w:lang w:val="en-US"/>
        </w:rPr>
        <w:lastRenderedPageBreak/>
        <w:t xml:space="preserve">50 </w:t>
      </w:r>
      <w:r w:rsidR="00496A19" w:rsidRPr="00C044BB">
        <w:rPr>
          <w:rStyle w:val="hps"/>
        </w:rPr>
        <w:t xml:space="preserve">distinct units rather than four separate courses. In this </w:t>
      </w:r>
      <w:r w:rsidR="00D80CD8">
        <w:rPr>
          <w:rStyle w:val="hps"/>
        </w:rPr>
        <w:t xml:space="preserve">way, </w:t>
      </w:r>
      <w:r w:rsidR="00496A19" w:rsidRPr="00C044BB">
        <w:rPr>
          <w:rStyle w:val="hps"/>
        </w:rPr>
        <w:t>facilitators are now able to assembl</w:t>
      </w:r>
      <w:r w:rsidR="00C044BB">
        <w:rPr>
          <w:rStyle w:val="hps"/>
        </w:rPr>
        <w:t>e</w:t>
      </w:r>
      <w:r w:rsidR="00496A19" w:rsidRPr="00C044BB">
        <w:rPr>
          <w:rStyle w:val="hps"/>
        </w:rPr>
        <w:t xml:space="preserve"> </w:t>
      </w:r>
      <w:r w:rsidR="00C044BB">
        <w:rPr>
          <w:rStyle w:val="hps"/>
        </w:rPr>
        <w:t>tailored</w:t>
      </w:r>
      <w:r w:rsidR="00C044BB" w:rsidRPr="00C044BB">
        <w:rPr>
          <w:rStyle w:val="hps"/>
        </w:rPr>
        <w:t xml:space="preserve"> </w:t>
      </w:r>
      <w:r w:rsidR="00496A19" w:rsidRPr="00C044BB">
        <w:rPr>
          <w:rStyle w:val="hps"/>
        </w:rPr>
        <w:t>workshop</w:t>
      </w:r>
      <w:r w:rsidR="001F75DB">
        <w:rPr>
          <w:rStyle w:val="hps"/>
        </w:rPr>
        <w:t>s</w:t>
      </w:r>
      <w:r w:rsidR="00496A19" w:rsidRPr="00C044BB">
        <w:rPr>
          <w:rStyle w:val="hps"/>
        </w:rPr>
        <w:t xml:space="preserve"> from the different building blocks.</w:t>
      </w:r>
      <w:r w:rsidR="006376AF" w:rsidRPr="00C044BB">
        <w:t xml:space="preserve"> </w:t>
      </w:r>
    </w:p>
    <w:p w14:paraId="50496D62" w14:textId="33FD5AAB" w:rsidR="007E279C" w:rsidRPr="001C6031" w:rsidRDefault="00056942" w:rsidP="00357ABE">
      <w:pPr>
        <w:pStyle w:val="5GAparabodytext"/>
        <w:rPr>
          <w:rFonts w:eastAsia="SimSun"/>
          <w:snapToGrid/>
          <w:lang w:bidi="en-US"/>
        </w:rPr>
      </w:pPr>
      <w:r w:rsidRPr="001C6031">
        <w:rPr>
          <w:rFonts w:eastAsia="SimSun"/>
          <w:snapToGrid/>
          <w:lang w:bidi="en-US"/>
        </w:rPr>
        <w:t xml:space="preserve">Knowledge management has become more and more indispensable as the Convention’s growth continues and the Secretariat’s human resources face continuing shortfalls. </w:t>
      </w:r>
      <w:r w:rsidR="007E279C" w:rsidRPr="001C6031">
        <w:rPr>
          <w:rFonts w:eastAsia="SimSun"/>
          <w:snapToGrid/>
          <w:lang w:bidi="en-US"/>
        </w:rPr>
        <w:t xml:space="preserve">It is only steady improvement in the management of knowledge and information </w:t>
      </w:r>
      <w:r w:rsidR="0004543D">
        <w:rPr>
          <w:rFonts w:eastAsia="SimSun"/>
          <w:snapToGrid/>
          <w:lang w:bidi="en-US"/>
        </w:rPr>
        <w:t>using</w:t>
      </w:r>
      <w:r w:rsidR="007E279C" w:rsidRPr="001C6031">
        <w:rPr>
          <w:rFonts w:eastAsia="SimSun"/>
          <w:snapToGrid/>
          <w:lang w:bidi="en-US"/>
        </w:rPr>
        <w:t xml:space="preserve"> the Section’s purpose-built knowledge management system that allows the Secretariat to continue to deliver services to States Parties and governing bodies of the Convention in a timely and accurate manner. The work undertaken during the reporting period focused on improving both the functioning of the Convention’s knowledge management system and its usefulness to diverse constituencies. Indeed, developments in the life of the Convention and its governance (the transition from two to one evaluation body or the implementation of priorities to determine files treated during a given cycle to name a few) cannot </w:t>
      </w:r>
      <w:r w:rsidR="000203AD">
        <w:rPr>
          <w:rFonts w:eastAsia="SimSun"/>
          <w:snapToGrid/>
          <w:lang w:bidi="en-US"/>
        </w:rPr>
        <w:t>be undertaken</w:t>
      </w:r>
      <w:r w:rsidR="007E279C" w:rsidRPr="001C6031">
        <w:rPr>
          <w:rFonts w:eastAsia="SimSun"/>
          <w:snapToGrid/>
          <w:lang w:bidi="en-US"/>
        </w:rPr>
        <w:t xml:space="preserve"> effectively without the assistance of </w:t>
      </w:r>
      <w:r w:rsidR="0004543D">
        <w:rPr>
          <w:rFonts w:eastAsia="SimSun"/>
          <w:snapToGrid/>
          <w:lang w:bidi="en-US"/>
        </w:rPr>
        <w:t xml:space="preserve">a </w:t>
      </w:r>
      <w:r w:rsidR="007E279C" w:rsidRPr="001C6031">
        <w:rPr>
          <w:rFonts w:eastAsia="SimSun"/>
          <w:snapToGrid/>
          <w:lang w:bidi="en-US"/>
        </w:rPr>
        <w:t xml:space="preserve">knowledge management system in constant evolution. </w:t>
      </w:r>
      <w:r w:rsidR="00283E93" w:rsidRPr="001C6031">
        <w:rPr>
          <w:rFonts w:eastAsia="SimSun"/>
          <w:snapToGrid/>
          <w:lang w:bidi="en-US"/>
        </w:rPr>
        <w:t>Yet, maintenance and optimization of the knowledge management system relies exclusively on funds provided by the Fund, with no support f</w:t>
      </w:r>
      <w:r w:rsidR="0004543D">
        <w:rPr>
          <w:rFonts w:eastAsia="SimSun"/>
          <w:snapToGrid/>
          <w:lang w:bidi="en-US"/>
        </w:rPr>
        <w:t>rom</w:t>
      </w:r>
      <w:r w:rsidR="00283E93" w:rsidRPr="001C6031">
        <w:rPr>
          <w:rFonts w:eastAsia="SimSun"/>
          <w:snapToGrid/>
          <w:lang w:bidi="en-US"/>
        </w:rPr>
        <w:t xml:space="preserve"> the regular budget. T</w:t>
      </w:r>
      <w:r w:rsidR="007E279C" w:rsidRPr="001C6031">
        <w:rPr>
          <w:rFonts w:eastAsia="SimSun"/>
          <w:snapToGrid/>
          <w:lang w:bidi="en-US"/>
        </w:rPr>
        <w:t>he most remarkable</w:t>
      </w:r>
      <w:r w:rsidR="00283E93" w:rsidRPr="001C6031">
        <w:rPr>
          <w:rFonts w:eastAsia="SimSun"/>
          <w:snapToGrid/>
          <w:lang w:bidi="en-US"/>
        </w:rPr>
        <w:t>,</w:t>
      </w:r>
      <w:r w:rsidR="007E279C" w:rsidRPr="001C6031">
        <w:rPr>
          <w:rFonts w:eastAsia="SimSun"/>
          <w:snapToGrid/>
          <w:lang w:bidi="en-US"/>
        </w:rPr>
        <w:t xml:space="preserve"> or at least the most visible result during the reporting period is probably the launch in November 2015 of </w:t>
      </w:r>
      <w:r w:rsidR="0004543D">
        <w:t>the</w:t>
      </w:r>
      <w:r w:rsidR="007E279C" w:rsidRPr="001C6031">
        <w:t xml:space="preserve"> </w:t>
      </w:r>
      <w:r w:rsidR="0004543D">
        <w:t>upgraded</w:t>
      </w:r>
      <w:r w:rsidR="007E279C" w:rsidRPr="001C6031">
        <w:t xml:space="preserve"> website with the objective to improve browsing experience and provide more user-friendly interfaces. </w:t>
      </w:r>
      <w:r w:rsidR="00283E93" w:rsidRPr="001C6031">
        <w:t xml:space="preserve">Enhanced with </w:t>
      </w:r>
      <w:r w:rsidR="00283E93" w:rsidRPr="001C6031">
        <w:rPr>
          <w:rStyle w:val="hps"/>
        </w:rPr>
        <w:t xml:space="preserve">search engines, the </w:t>
      </w:r>
      <w:r w:rsidR="0004543D">
        <w:rPr>
          <w:rStyle w:val="hps"/>
        </w:rPr>
        <w:t>new</w:t>
      </w:r>
      <w:r w:rsidR="00283E93" w:rsidRPr="001C6031">
        <w:rPr>
          <w:rStyle w:val="hps"/>
        </w:rPr>
        <w:t xml:space="preserve"> website has significantly improved accessibility to information previously </w:t>
      </w:r>
      <w:r w:rsidR="00830DA2">
        <w:rPr>
          <w:rStyle w:val="hps"/>
        </w:rPr>
        <w:t>‘</w:t>
      </w:r>
      <w:r w:rsidR="00283E93" w:rsidRPr="001C6031">
        <w:rPr>
          <w:rStyle w:val="hps"/>
        </w:rPr>
        <w:t>hidden</w:t>
      </w:r>
      <w:r w:rsidR="00830DA2">
        <w:rPr>
          <w:rStyle w:val="hps"/>
        </w:rPr>
        <w:t>’</w:t>
      </w:r>
      <w:r w:rsidR="00283E93" w:rsidRPr="001C6031">
        <w:rPr>
          <w:rStyle w:val="hps"/>
        </w:rPr>
        <w:t xml:space="preserve"> in </w:t>
      </w:r>
      <w:r w:rsidR="000203AD">
        <w:rPr>
          <w:rStyle w:val="hps"/>
        </w:rPr>
        <w:t xml:space="preserve">hundreds of </w:t>
      </w:r>
      <w:r w:rsidR="00283E93" w:rsidRPr="001C6031">
        <w:rPr>
          <w:rStyle w:val="hps"/>
        </w:rPr>
        <w:t>documents.</w:t>
      </w:r>
    </w:p>
    <w:p w14:paraId="68E58D00" w14:textId="3B9FAEA9" w:rsidR="000203AD" w:rsidRPr="001C6031" w:rsidRDefault="002F5994" w:rsidP="00B04E85">
      <w:pPr>
        <w:pStyle w:val="5GAparabodytext"/>
      </w:pPr>
      <w:r>
        <w:t>A</w:t>
      </w:r>
      <w:r w:rsidRPr="001C6031">
        <w:t>t its tenth session</w:t>
      </w:r>
      <w:r>
        <w:t>,</w:t>
      </w:r>
      <w:r w:rsidRPr="001C6031" w:rsidDel="00043D8B">
        <w:t xml:space="preserve"> </w:t>
      </w:r>
      <w:r>
        <w:t xml:space="preserve">the </w:t>
      </w:r>
      <w:r w:rsidR="00283E93" w:rsidRPr="001C6031">
        <w:t>Committee</w:t>
      </w:r>
      <w:r w:rsidR="00094696" w:rsidRPr="001C6031">
        <w:t xml:space="preserve"> </w:t>
      </w:r>
      <w:r>
        <w:t>endorsed</w:t>
      </w:r>
      <w:r w:rsidR="00094696" w:rsidRPr="001C6031">
        <w:t xml:space="preserve"> twelve</w:t>
      </w:r>
      <w:r w:rsidR="00283E93" w:rsidRPr="001C6031">
        <w:t xml:space="preserve"> </w:t>
      </w:r>
      <w:r w:rsidR="00094696" w:rsidRPr="001C6031">
        <w:t>ethical</w:t>
      </w:r>
      <w:r w:rsidR="00143F74" w:rsidRPr="001C6031">
        <w:t xml:space="preserve"> </w:t>
      </w:r>
      <w:r w:rsidR="00143F74" w:rsidRPr="001C6031">
        <w:rPr>
          <w:rFonts w:eastAsia="SimSun"/>
          <w:snapToGrid/>
          <w:lang w:bidi="en-US"/>
        </w:rPr>
        <w:t>principles</w:t>
      </w:r>
      <w:r w:rsidR="00094696" w:rsidRPr="001C6031">
        <w:t xml:space="preserve"> for safeguarding intangible cultural heritage</w:t>
      </w:r>
      <w:r w:rsidR="00AD4DC2" w:rsidRPr="001C6031">
        <w:rPr>
          <w:rStyle w:val="IntenseEmphasis"/>
        </w:rPr>
        <w:t xml:space="preserve"> to spur global effort</w:t>
      </w:r>
      <w:r w:rsidR="00E95E90">
        <w:rPr>
          <w:rStyle w:val="IntenseEmphasis"/>
        </w:rPr>
        <w:t>s</w:t>
      </w:r>
      <w:r w:rsidR="00AD4DC2" w:rsidRPr="001C6031">
        <w:rPr>
          <w:rStyle w:val="IntenseEmphasis"/>
        </w:rPr>
        <w:t xml:space="preserve"> in increasing ethical considerations in the safeguarding of intangible cultural heritage and </w:t>
      </w:r>
      <w:r w:rsidR="00E95E90">
        <w:rPr>
          <w:rStyle w:val="IntenseEmphasis"/>
        </w:rPr>
        <w:t xml:space="preserve">to </w:t>
      </w:r>
      <w:r w:rsidR="00AD4DC2" w:rsidRPr="001C6031">
        <w:rPr>
          <w:rStyle w:val="IntenseEmphasis"/>
        </w:rPr>
        <w:t>foster the ethical dimension of the Convention</w:t>
      </w:r>
      <w:r w:rsidR="00094696" w:rsidRPr="001C6031">
        <w:t xml:space="preserve"> </w:t>
      </w:r>
      <w:r>
        <w:t xml:space="preserve">– </w:t>
      </w:r>
      <w:r w:rsidR="00094696" w:rsidRPr="001C6031">
        <w:t xml:space="preserve">another achievement made possible by support from the Fund under the budget line ‘other functions of the Committee’. With additional support from the Spanish Ministry of Education, Culture and Sport, the Secretariat was able to initiate work on a model code of ethics to </w:t>
      </w:r>
      <w:r w:rsidR="00F1575B">
        <w:t>assist</w:t>
      </w:r>
      <w:r w:rsidR="00094696" w:rsidRPr="001C6031">
        <w:t xml:space="preserve"> safeguarding efforts worldwide</w:t>
      </w:r>
      <w:r w:rsidR="0046331B" w:rsidRPr="001C6031">
        <w:t>,</w:t>
      </w:r>
      <w:r w:rsidR="00094696" w:rsidRPr="001C6031">
        <w:t xml:space="preserve"> as request</w:t>
      </w:r>
      <w:r w:rsidR="0046331B" w:rsidRPr="001C6031">
        <w:t>ed</w:t>
      </w:r>
      <w:r w:rsidR="00094696" w:rsidRPr="001C6031">
        <w:t xml:space="preserve"> by the Committee in its </w:t>
      </w:r>
      <w:hyperlink r:id="rId14" w:history="1">
        <w:r w:rsidR="00094696" w:rsidRPr="001C6031">
          <w:rPr>
            <w:rStyle w:val="Hyperlink"/>
          </w:rPr>
          <w:t>Decision 7.COM 6</w:t>
        </w:r>
      </w:hyperlink>
      <w:r w:rsidR="00094696" w:rsidRPr="001C6031">
        <w:t>.</w:t>
      </w:r>
      <w:r w:rsidR="0046331B" w:rsidRPr="001C6031">
        <w:t xml:space="preserve"> </w:t>
      </w:r>
      <w:r w:rsidR="00EE126D">
        <w:t>T</w:t>
      </w:r>
      <w:r w:rsidR="0046331B" w:rsidRPr="001C6031">
        <w:t>he Secretariat elaborated a reference document (</w:t>
      </w:r>
      <w:hyperlink r:id="rId15" w:history="1">
        <w:r w:rsidR="0046331B" w:rsidRPr="001C6031">
          <w:rPr>
            <w:rStyle w:val="Hyperlink"/>
          </w:rPr>
          <w:t>Document ITH-15-EXP-2</w:t>
        </w:r>
      </w:hyperlink>
      <w:r w:rsidR="0046331B" w:rsidRPr="001C6031">
        <w:t xml:space="preserve">) based on previous discussions of the Committee, previous work undertaken by the Secretariat on the subject and complementary research </w:t>
      </w:r>
      <w:r w:rsidR="00EE126D">
        <w:t xml:space="preserve">and </w:t>
      </w:r>
      <w:r w:rsidR="00AD4DC2" w:rsidRPr="001C6031">
        <w:t>co</w:t>
      </w:r>
      <w:r w:rsidR="00F1575B">
        <w:noBreakHyphen/>
      </w:r>
      <w:r w:rsidR="0046331B" w:rsidRPr="001C6031">
        <w:t>organiz</w:t>
      </w:r>
      <w:r w:rsidR="00EE126D">
        <w:t>ed</w:t>
      </w:r>
      <w:r w:rsidR="0046331B" w:rsidRPr="001C6031">
        <w:t xml:space="preserve"> an expert meeting in Valencia, Spain, </w:t>
      </w:r>
      <w:r w:rsidR="0046331B" w:rsidRPr="001C6031">
        <w:rPr>
          <w:rFonts w:eastAsia="Arial"/>
        </w:rPr>
        <w:t>from 30 March to 1 April 2015</w:t>
      </w:r>
      <w:r w:rsidR="00AD4DC2" w:rsidRPr="001C6031">
        <w:rPr>
          <w:rFonts w:eastAsia="Arial"/>
        </w:rPr>
        <w:t xml:space="preserve"> to gather</w:t>
      </w:r>
      <w:r w:rsidR="00AD4DC2" w:rsidRPr="001C6031">
        <w:rPr>
          <w:rStyle w:val="IntenseEmphasis"/>
        </w:rPr>
        <w:t xml:space="preserve"> diverse insight and new perspectives on core values </w:t>
      </w:r>
      <w:r w:rsidR="00EE126D">
        <w:rPr>
          <w:rStyle w:val="IntenseEmphasis"/>
        </w:rPr>
        <w:t xml:space="preserve">for </w:t>
      </w:r>
      <w:r w:rsidR="00AD4DC2" w:rsidRPr="001C6031">
        <w:rPr>
          <w:rStyle w:val="IntenseEmphasis"/>
        </w:rPr>
        <w:t>inclu</w:t>
      </w:r>
      <w:r w:rsidR="00EE126D">
        <w:rPr>
          <w:rStyle w:val="IntenseEmphasis"/>
        </w:rPr>
        <w:t>sion</w:t>
      </w:r>
      <w:r w:rsidR="00AD4DC2" w:rsidRPr="001C6031">
        <w:rPr>
          <w:rStyle w:val="IntenseEmphasis"/>
        </w:rPr>
        <w:t xml:space="preserve"> in a potential code of ethics</w:t>
      </w:r>
      <w:r w:rsidR="00EE126D">
        <w:rPr>
          <w:rStyle w:val="IntenseEmphasis"/>
        </w:rPr>
        <w:t xml:space="preserve"> </w:t>
      </w:r>
      <w:r w:rsidR="00EE126D" w:rsidRPr="001C6031">
        <w:rPr>
          <w:rStyle w:val="IntenseEmphasis"/>
        </w:rPr>
        <w:t>model</w:t>
      </w:r>
      <w:r w:rsidR="00AD4DC2" w:rsidRPr="001C6031">
        <w:rPr>
          <w:rStyle w:val="IntenseEmphasis"/>
        </w:rPr>
        <w:t>.</w:t>
      </w:r>
      <w:r w:rsidR="000563F5">
        <w:rPr>
          <w:rStyle w:val="IntenseEmphasis"/>
        </w:rPr>
        <w:t xml:space="preserve"> </w:t>
      </w:r>
      <w:r w:rsidR="00DD5889">
        <w:t xml:space="preserve">During the reporting period, </w:t>
      </w:r>
      <w:r w:rsidR="00DD5889">
        <w:rPr>
          <w:rStyle w:val="IntenseEmphasis"/>
        </w:rPr>
        <w:t xml:space="preserve">the Secretariat </w:t>
      </w:r>
      <w:r w:rsidR="00456731">
        <w:rPr>
          <w:rStyle w:val="IntenseEmphasis"/>
        </w:rPr>
        <w:t xml:space="preserve">also </w:t>
      </w:r>
      <w:r w:rsidR="00DD5889">
        <w:rPr>
          <w:rStyle w:val="IntenseEmphasis"/>
        </w:rPr>
        <w:t>worked to enhance cooperation with WIPO</w:t>
      </w:r>
      <w:r w:rsidR="00456731">
        <w:rPr>
          <w:rStyle w:val="IntenseEmphasis"/>
        </w:rPr>
        <w:t xml:space="preserve"> by co-organizing a sub-regional workshop </w:t>
      </w:r>
      <w:r w:rsidR="00E95E90">
        <w:rPr>
          <w:rStyle w:val="IntenseEmphasis"/>
        </w:rPr>
        <w:t xml:space="preserve">and </w:t>
      </w:r>
      <w:r w:rsidR="00456731">
        <w:rPr>
          <w:rStyle w:val="IntenseEmphasis"/>
        </w:rPr>
        <w:t>by participating in a meeting</w:t>
      </w:r>
      <w:r w:rsidR="00DD5889">
        <w:rPr>
          <w:rStyle w:val="IntenseEmphasis"/>
        </w:rPr>
        <w:t xml:space="preserve"> </w:t>
      </w:r>
      <w:r w:rsidR="00456731">
        <w:rPr>
          <w:rStyle w:val="IntenseEmphasis"/>
        </w:rPr>
        <w:t>organised by WIPO, both time</w:t>
      </w:r>
      <w:r w:rsidR="00E95E90">
        <w:rPr>
          <w:rStyle w:val="IntenseEmphasis"/>
        </w:rPr>
        <w:t>s</w:t>
      </w:r>
      <w:r w:rsidR="00456731">
        <w:rPr>
          <w:rStyle w:val="IntenseEmphasis"/>
        </w:rPr>
        <w:t xml:space="preserve"> to discuss </w:t>
      </w:r>
      <w:r w:rsidR="00DD5889">
        <w:rPr>
          <w:rStyle w:val="IntenseEmphasis"/>
        </w:rPr>
        <w:t>issues related to i</w:t>
      </w:r>
      <w:r w:rsidR="009B2031">
        <w:rPr>
          <w:rStyle w:val="IntenseEmphasis"/>
        </w:rPr>
        <w:t>ntellectual property</w:t>
      </w:r>
      <w:r w:rsidR="00456731">
        <w:rPr>
          <w:rStyle w:val="IntenseEmphasis"/>
        </w:rPr>
        <w:t xml:space="preserve"> and intangible cultural heritage.    </w:t>
      </w:r>
    </w:p>
    <w:p w14:paraId="1EA7D315" w14:textId="77777777" w:rsidR="00A74D6C" w:rsidRPr="001C6031" w:rsidRDefault="00A74D6C" w:rsidP="00473C13">
      <w:pPr>
        <w:keepNext/>
        <w:spacing w:before="240" w:after="240"/>
        <w:ind w:left="851" w:hanging="851"/>
        <w:rPr>
          <w:rFonts w:ascii="Arial" w:hAnsi="Arial" w:cs="Arial"/>
          <w:b/>
          <w:bCs/>
          <w:sz w:val="22"/>
          <w:szCs w:val="22"/>
          <w:lang w:val="en-GB"/>
        </w:rPr>
      </w:pPr>
      <w:r w:rsidRPr="001C6031">
        <w:rPr>
          <w:rFonts w:ascii="Arial" w:hAnsi="Arial" w:cs="Arial"/>
          <w:b/>
          <w:bCs/>
          <w:sz w:val="22"/>
          <w:szCs w:val="22"/>
          <w:lang w:val="en-GB"/>
        </w:rPr>
        <w:t>Overall challenges encountered in implementation and remedial actions</w:t>
      </w:r>
    </w:p>
    <w:p w14:paraId="78897AF7" w14:textId="13B00862" w:rsidR="001C6031" w:rsidRPr="001C6031" w:rsidRDefault="001C6031" w:rsidP="00357ABE">
      <w:pPr>
        <w:pStyle w:val="5GAparabodytext"/>
      </w:pPr>
      <w:r w:rsidRPr="001C6031">
        <w:t xml:space="preserve">With the Regular Programme of the biennium entirely dedicated to cover the costs of </w:t>
      </w:r>
      <w:r w:rsidR="00E95E90">
        <w:t xml:space="preserve">the </w:t>
      </w:r>
      <w:r w:rsidRPr="001C6031">
        <w:t xml:space="preserve">statutory </w:t>
      </w:r>
      <w:r w:rsidR="00E95E90">
        <w:t>requirements</w:t>
      </w:r>
      <w:r w:rsidR="00E95E90" w:rsidRPr="001C6031">
        <w:t xml:space="preserve"> </w:t>
      </w:r>
      <w:r w:rsidRPr="001C6031">
        <w:t xml:space="preserve">of the Convention, support of this budget line of the Fund is essential to give the work of the Committee greater outreach in terms of impact and visibility. </w:t>
      </w:r>
      <w:r>
        <w:t xml:space="preserve">However, as for implementation of the Regular </w:t>
      </w:r>
      <w:r w:rsidR="006A6032">
        <w:t>Programme</w:t>
      </w:r>
      <w:r>
        <w:t xml:space="preserve">, </w:t>
      </w:r>
      <w:r w:rsidRPr="001C6031">
        <w:t xml:space="preserve">the severe mismatch between available </w:t>
      </w:r>
      <w:r w:rsidR="006A6032">
        <w:t xml:space="preserve">human </w:t>
      </w:r>
      <w:r w:rsidRPr="001C6031">
        <w:t>resources and the steady increase in workload and expectations on the part of States Parti</w:t>
      </w:r>
      <w:r>
        <w:t xml:space="preserve">es </w:t>
      </w:r>
      <w:r w:rsidR="006A6032">
        <w:t xml:space="preserve">remains </w:t>
      </w:r>
      <w:r>
        <w:t>t</w:t>
      </w:r>
      <w:r w:rsidRPr="001C6031">
        <w:t>he greatest challenge</w:t>
      </w:r>
      <w:r>
        <w:t>,</w:t>
      </w:r>
      <w:r w:rsidRPr="001C6031">
        <w:t xml:space="preserve"> as highlighted in the IOS Audit of Working Meth</w:t>
      </w:r>
      <w:r w:rsidR="006A6032">
        <w:t>ods of the Culture Conventions, also for the implementation of these funds.</w:t>
      </w:r>
    </w:p>
    <w:p w14:paraId="30586179" w14:textId="15EB0FD4" w:rsidR="00BD2C9D" w:rsidRPr="00473C13" w:rsidRDefault="00C421B8" w:rsidP="00A90929">
      <w:pPr>
        <w:pStyle w:val="5GAparabodytext"/>
        <w:rPr>
          <w:b/>
        </w:rPr>
      </w:pPr>
      <w:r w:rsidRPr="001C6031">
        <w:t xml:space="preserve">While the capacity-building programme of the 2003 Convention has proven to support Member States effectively, </w:t>
      </w:r>
      <w:r w:rsidR="00BD2C9D" w:rsidRPr="00BD2C9D">
        <w:t xml:space="preserve">one of the challenges encountered at the global level related to developing new curriculum content. As the topics were also new for the expert community, </w:t>
      </w:r>
      <w:r w:rsidR="00EB1FFB" w:rsidRPr="00BD2C9D">
        <w:t>find</w:t>
      </w:r>
      <w:r w:rsidR="00EB1FFB">
        <w:t>ing</w:t>
      </w:r>
      <w:r w:rsidR="00BD2C9D" w:rsidRPr="00BD2C9D">
        <w:t xml:space="preserve"> individual speci</w:t>
      </w:r>
      <w:r w:rsidR="00EB1FFB">
        <w:t>alists with an adequate profile, combining</w:t>
      </w:r>
      <w:r w:rsidR="00BD2C9D" w:rsidRPr="00BD2C9D">
        <w:t xml:space="preserve"> solid content knowledge with pedagogical expertise and strong writing skills</w:t>
      </w:r>
      <w:r w:rsidR="00EB1FFB">
        <w:t>, was not an easy task</w:t>
      </w:r>
      <w:r w:rsidR="00BD2C9D" w:rsidRPr="00BD2C9D">
        <w:t>. In addition, the Secretariat is committed to diversifying in terms of geographic representation and achieving gender balance</w:t>
      </w:r>
      <w:r w:rsidR="000043D7">
        <w:t xml:space="preserve"> among content developers</w:t>
      </w:r>
      <w:r w:rsidR="00BD2C9D" w:rsidRPr="00BD2C9D">
        <w:t xml:space="preserve">. The </w:t>
      </w:r>
      <w:r w:rsidR="007736E0">
        <w:t>Secretariat</w:t>
      </w:r>
      <w:r w:rsidR="00BD2C9D" w:rsidRPr="00BD2C9D">
        <w:t xml:space="preserve"> tapp</w:t>
      </w:r>
      <w:r w:rsidR="007736E0">
        <w:t>ed</w:t>
      </w:r>
      <w:r w:rsidR="00BD2C9D" w:rsidRPr="00BD2C9D">
        <w:t xml:space="preserve"> into the resourceful network of UNESCO</w:t>
      </w:r>
      <w:r w:rsidR="00CA65FC">
        <w:t>-</w:t>
      </w:r>
      <w:r w:rsidR="00BD2C9D" w:rsidRPr="00BD2C9D">
        <w:t>trained facilitators, buil</w:t>
      </w:r>
      <w:r w:rsidR="007736E0">
        <w:t>t</w:t>
      </w:r>
      <w:r w:rsidR="00BD2C9D" w:rsidRPr="00BD2C9D">
        <w:t xml:space="preserve"> on the expertise of current and former members of the advisory bodies and disseminat</w:t>
      </w:r>
      <w:r w:rsidR="007736E0">
        <w:t>ed</w:t>
      </w:r>
      <w:r w:rsidR="00BD2C9D" w:rsidRPr="00BD2C9D">
        <w:t xml:space="preserve"> calls for expressions of interest across regions. </w:t>
      </w:r>
      <w:r w:rsidR="007736E0">
        <w:t>As a result,</w:t>
      </w:r>
      <w:r w:rsidR="00BD2C9D" w:rsidRPr="00BD2C9D">
        <w:t xml:space="preserve"> a competent group of experts from three regions</w:t>
      </w:r>
      <w:r w:rsidR="007736E0">
        <w:t xml:space="preserve">, </w:t>
      </w:r>
      <w:r w:rsidR="00BD2C9D" w:rsidRPr="00BD2C9D">
        <w:t xml:space="preserve">of </w:t>
      </w:r>
      <w:r w:rsidR="007736E0">
        <w:t xml:space="preserve">which </w:t>
      </w:r>
      <w:r w:rsidR="00BD2C9D" w:rsidRPr="00BD2C9D">
        <w:t xml:space="preserve">67% </w:t>
      </w:r>
      <w:r w:rsidR="007736E0">
        <w:t xml:space="preserve">were </w:t>
      </w:r>
      <w:r w:rsidR="00BD2C9D" w:rsidRPr="00BD2C9D">
        <w:t>women</w:t>
      </w:r>
      <w:r w:rsidR="007736E0">
        <w:t>, was identified.</w:t>
      </w:r>
      <w:r w:rsidR="00BD2C9D" w:rsidRPr="00BD2C9D">
        <w:t xml:space="preserve"> </w:t>
      </w:r>
      <w:r w:rsidR="007736E0">
        <w:t>T</w:t>
      </w:r>
      <w:r w:rsidR="00BD2C9D" w:rsidRPr="00BD2C9D">
        <w:t xml:space="preserve">he availability of facilitators with adequate expertise and local contextual knowledge to satisfy increasing demand for capacity-building services </w:t>
      </w:r>
      <w:r w:rsidR="00A90929">
        <w:t>at national level</w:t>
      </w:r>
      <w:r w:rsidR="00A90929" w:rsidRPr="00BD2C9D">
        <w:t xml:space="preserve"> </w:t>
      </w:r>
      <w:r w:rsidR="00BD2C9D" w:rsidRPr="00BD2C9D">
        <w:t>was another challenge that accentuated in several regions over the last two year</w:t>
      </w:r>
      <w:r w:rsidR="007736E0">
        <w:t>s</w:t>
      </w:r>
      <w:r w:rsidR="00BD2C9D" w:rsidRPr="00BD2C9D">
        <w:t xml:space="preserve">. </w:t>
      </w:r>
      <w:r w:rsidR="005F1373">
        <w:t>Therefore,</w:t>
      </w:r>
      <w:r w:rsidR="005F1373" w:rsidRPr="00A90929">
        <w:t xml:space="preserve"> </w:t>
      </w:r>
      <w:r w:rsidR="005F1373">
        <w:t>t</w:t>
      </w:r>
      <w:r w:rsidR="00A90929" w:rsidRPr="00A90929">
        <w:t xml:space="preserve">he Secretariat </w:t>
      </w:r>
      <w:r w:rsidR="00A90929">
        <w:t xml:space="preserve">took </w:t>
      </w:r>
      <w:r w:rsidR="00A90929" w:rsidRPr="00A90929">
        <w:t xml:space="preserve">advantage of opportunities provided by some regional workshops to </w:t>
      </w:r>
      <w:r w:rsidR="00A90929">
        <w:t>bring in</w:t>
      </w:r>
      <w:r w:rsidR="00A90929" w:rsidRPr="00A90929">
        <w:t xml:space="preserve"> new </w:t>
      </w:r>
      <w:r w:rsidR="00A90929">
        <w:t>trainers</w:t>
      </w:r>
      <w:r w:rsidR="00A90929" w:rsidRPr="00A90929">
        <w:t xml:space="preserve"> who </w:t>
      </w:r>
      <w:r w:rsidR="00A90929">
        <w:t xml:space="preserve">were able to benefit </w:t>
      </w:r>
      <w:r w:rsidR="00A90929" w:rsidRPr="00BD2C9D">
        <w:t>from initial mentoring by more experienced facilitators</w:t>
      </w:r>
      <w:r w:rsidR="00A90929">
        <w:t xml:space="preserve"> and are now available to provide capacity-building services and </w:t>
      </w:r>
      <w:r w:rsidR="00BD2C9D" w:rsidRPr="00BD2C9D">
        <w:t xml:space="preserve">policy advice as part of the Convention’s capacity-building programme. </w:t>
      </w:r>
    </w:p>
    <w:p w14:paraId="71DE4A98" w14:textId="02676B20" w:rsidR="005C3833" w:rsidRDefault="005F24B0" w:rsidP="005F24B0">
      <w:pPr>
        <w:pStyle w:val="5GAparabodytext"/>
      </w:pPr>
      <w:r>
        <w:t xml:space="preserve">If the Secretariat could achieve a great number of improvements in the knowledge management system under the reporting period, </w:t>
      </w:r>
      <w:r w:rsidR="00B056F0">
        <w:t xml:space="preserve">they were done so to respond to the continuous needs to keep up with the development of the Convention. In this regard, </w:t>
      </w:r>
      <w:r w:rsidR="00E95E90">
        <w:t xml:space="preserve">a </w:t>
      </w:r>
      <w:r w:rsidR="00B056F0">
        <w:t xml:space="preserve">particular challenge was to ensure </w:t>
      </w:r>
      <w:r w:rsidR="00A13C18" w:rsidRPr="009020AA">
        <w:t>consistency, security and stability</w:t>
      </w:r>
      <w:r w:rsidR="00B056F0">
        <w:t xml:space="preserve"> of the system</w:t>
      </w:r>
      <w:r w:rsidR="00A13C18" w:rsidRPr="009020AA">
        <w:t xml:space="preserve">. </w:t>
      </w:r>
      <w:r w:rsidR="00B056F0">
        <w:t>Special care was taken to see to it</w:t>
      </w:r>
      <w:r w:rsidR="00A13C18" w:rsidRPr="009020AA">
        <w:t xml:space="preserve"> that any new development is </w:t>
      </w:r>
      <w:r w:rsidR="009B2031">
        <w:t>undertaken</w:t>
      </w:r>
      <w:r w:rsidR="009B2031" w:rsidRPr="009020AA">
        <w:t xml:space="preserve"> </w:t>
      </w:r>
      <w:r w:rsidR="00A13C18" w:rsidRPr="009020AA">
        <w:t>according to updated working methods and procedures and include</w:t>
      </w:r>
      <w:r w:rsidR="005F1373">
        <w:t>s</w:t>
      </w:r>
      <w:r w:rsidR="00A13C18" w:rsidRPr="009020AA">
        <w:t xml:space="preserve"> constant reengineering to guarantee the system</w:t>
      </w:r>
      <w:r w:rsidR="00A13C18" w:rsidRPr="00723ABC">
        <w:t>’s sustainability and smooth evolution.</w:t>
      </w:r>
      <w:r>
        <w:t xml:space="preserve"> </w:t>
      </w:r>
      <w:r w:rsidR="00B056F0">
        <w:t xml:space="preserve">The </w:t>
      </w:r>
      <w:r w:rsidR="00976FC5">
        <w:t>development of several functionalities remains</w:t>
      </w:r>
      <w:r w:rsidR="00B056F0">
        <w:t xml:space="preserve"> to be completed</w:t>
      </w:r>
      <w:r w:rsidR="00976FC5">
        <w:t xml:space="preserve">, </w:t>
      </w:r>
      <w:r w:rsidR="00261C9E">
        <w:t>and it should form part of the future work plan</w:t>
      </w:r>
      <w:r w:rsidR="00102156">
        <w:t xml:space="preserve"> of the Secretariat,</w:t>
      </w:r>
      <w:r w:rsidR="00261C9E">
        <w:t xml:space="preserve"> </w:t>
      </w:r>
      <w:r w:rsidR="00976FC5">
        <w:t>particularly</w:t>
      </w:r>
      <w:r w:rsidR="00C97AF7">
        <w:t xml:space="preserve"> </w:t>
      </w:r>
      <w:r w:rsidR="00976FC5">
        <w:t>given</w:t>
      </w:r>
      <w:r w:rsidR="00B056F0">
        <w:t xml:space="preserve"> </w:t>
      </w:r>
      <w:r w:rsidR="00261C9E">
        <w:t xml:space="preserve">their </w:t>
      </w:r>
      <w:r w:rsidR="00976FC5">
        <w:t xml:space="preserve">high </w:t>
      </w:r>
      <w:r w:rsidR="00B056F0">
        <w:t>relevance to the stakeholders of the Convention</w:t>
      </w:r>
      <w:r w:rsidR="00976FC5">
        <w:t>.</w:t>
      </w:r>
      <w:r w:rsidR="00B056F0">
        <w:t xml:space="preserve"> </w:t>
      </w:r>
      <w:r w:rsidR="005C3833" w:rsidRPr="00096476">
        <w:t>More generally, since the Convention’s website is the visible part of the knowledge management system, it finds itself halfway between a very efficient working tool for the Secretariat but also for external stakeholders and a window for activities undertaken worldwide under the umbrella of the Convention.</w:t>
      </w:r>
      <w:r w:rsidR="00096476" w:rsidRPr="00096476">
        <w:t xml:space="preserve"> </w:t>
      </w:r>
      <w:r w:rsidR="00967F3D">
        <w:t>F</w:t>
      </w:r>
      <w:r w:rsidR="00096476" w:rsidRPr="00096476">
        <w:t xml:space="preserve">urther </w:t>
      </w:r>
      <w:r w:rsidR="00976FC5">
        <w:t>reflection</w:t>
      </w:r>
      <w:r w:rsidR="00976FC5" w:rsidRPr="00096476">
        <w:t xml:space="preserve"> </w:t>
      </w:r>
      <w:r w:rsidR="00096476" w:rsidRPr="00096476">
        <w:t>on how to</w:t>
      </w:r>
      <w:r w:rsidR="00096476">
        <w:t xml:space="preserve"> </w:t>
      </w:r>
      <w:r w:rsidR="005F1373">
        <w:t xml:space="preserve">better </w:t>
      </w:r>
      <w:r w:rsidR="00096476">
        <w:t>assist the Committee in promoting objectives of the Convention (as laid down in Article 7[a]) and</w:t>
      </w:r>
      <w:r w:rsidR="00096476" w:rsidRPr="00096476">
        <w:t xml:space="preserve"> ensure </w:t>
      </w:r>
      <w:r w:rsidR="00967F3D">
        <w:t>enhanced</w:t>
      </w:r>
      <w:r w:rsidR="00096476" w:rsidRPr="00096476">
        <w:t xml:space="preserve"> visibility of intangible cultural heritage and awareness of its significance </w:t>
      </w:r>
      <w:r w:rsidR="005F1373">
        <w:t xml:space="preserve">using the </w:t>
      </w:r>
      <w:r w:rsidR="00967F3D">
        <w:t xml:space="preserve">knowledge management system </w:t>
      </w:r>
      <w:r w:rsidR="00976FC5">
        <w:t>is necessary</w:t>
      </w:r>
      <w:r w:rsidR="00096476" w:rsidRPr="00096476">
        <w:t xml:space="preserve">. </w:t>
      </w:r>
    </w:p>
    <w:p w14:paraId="000113F3" w14:textId="4B196EF3" w:rsidR="00881E0F" w:rsidRPr="00096476" w:rsidRDefault="00881E0F" w:rsidP="00357ABE">
      <w:pPr>
        <w:pStyle w:val="5GAparabodytext"/>
      </w:pPr>
      <w:r>
        <w:t>Assist</w:t>
      </w:r>
      <w:r w:rsidR="00CB4943">
        <w:t>ing</w:t>
      </w:r>
      <w:r>
        <w:t xml:space="preserve"> the Committee in providing guidance on best safeguarding practices and making recommendations on measures for safeguarding intangible cultural heritage (as laid down in Article 7[b]) is </w:t>
      </w:r>
      <w:r w:rsidR="005F1373">
        <w:t>an</w:t>
      </w:r>
      <w:r>
        <w:t xml:space="preserve"> area wh</w:t>
      </w:r>
      <w:r w:rsidR="005F1373">
        <w:t>ere</w:t>
      </w:r>
      <w:r>
        <w:t xml:space="preserve"> the Secretariat faced </w:t>
      </w:r>
      <w:r w:rsidR="005F1373">
        <w:t xml:space="preserve">one of its </w:t>
      </w:r>
      <w:r>
        <w:t xml:space="preserve">greatest challenges. </w:t>
      </w:r>
      <w:r w:rsidR="00882DAE">
        <w:t>Yet</w:t>
      </w:r>
      <w:r>
        <w:t xml:space="preserve">, </w:t>
      </w:r>
      <w:r w:rsidR="00882DAE">
        <w:t xml:space="preserve">it is one </w:t>
      </w:r>
      <w:r w:rsidR="004D65B0">
        <w:t xml:space="preserve">of </w:t>
      </w:r>
      <w:r w:rsidR="00882DAE">
        <w:t>the Committee’s function</w:t>
      </w:r>
      <w:r w:rsidR="0002088D">
        <w:t>s</w:t>
      </w:r>
      <w:r w:rsidR="00882DAE">
        <w:t xml:space="preserve"> </w:t>
      </w:r>
      <w:r w:rsidR="0002088D">
        <w:t xml:space="preserve">and one </w:t>
      </w:r>
      <w:r w:rsidR="00882DAE">
        <w:t xml:space="preserve">which </w:t>
      </w:r>
      <w:r w:rsidR="0002088D">
        <w:t xml:space="preserve">the Committee </w:t>
      </w:r>
      <w:r w:rsidR="00882DAE">
        <w:t>has shown particular interest in recent years</w:t>
      </w:r>
      <w:r w:rsidR="004D65B0">
        <w:t>.</w:t>
      </w:r>
      <w:r w:rsidR="00882DAE">
        <w:t xml:space="preserve"> </w:t>
      </w:r>
      <w:r w:rsidR="004D65B0">
        <w:t xml:space="preserve">The Committee notably called upon </w:t>
      </w:r>
      <w:r w:rsidR="00882DAE" w:rsidRPr="007E52F7">
        <w:t>States Parties and the General Assembly, as well as the Secretariat, category 2 centres, non-governmental organizations and all other stakeholders</w:t>
      </w:r>
      <w:r w:rsidR="00882DAE" w:rsidRPr="005F62F2" w:rsidDel="00711CF5">
        <w:t xml:space="preserve"> </w:t>
      </w:r>
      <w:r w:rsidR="00882DAE" w:rsidRPr="005F62F2">
        <w:t>to ‘complement the Register of Best Safeguarding Practices by developing alternate, lighter ways of sharing safeguarding experiences such as dedicated websites, e-newsletters, online forums, etc.’</w:t>
      </w:r>
      <w:r w:rsidR="00CB43C9" w:rsidRPr="00CB43C9">
        <w:t xml:space="preserve"> </w:t>
      </w:r>
      <w:r w:rsidR="00CB43C9">
        <w:t>(</w:t>
      </w:r>
      <w:hyperlink r:id="rId16" w:history="1">
        <w:r w:rsidR="00CB43C9" w:rsidRPr="00882DAE">
          <w:rPr>
            <w:rStyle w:val="Hyperlink"/>
          </w:rPr>
          <w:t>Decision 8.COM 5.c.1</w:t>
        </w:r>
      </w:hyperlink>
      <w:r w:rsidR="00CB43C9">
        <w:rPr>
          <w:rStyle w:val="Hyperlink"/>
        </w:rPr>
        <w:t>)</w:t>
      </w:r>
      <w:r w:rsidR="00CB43C9" w:rsidRPr="00CB43C9">
        <w:rPr>
          <w:rStyle w:val="Hyperlink"/>
          <w:color w:val="auto"/>
          <w:u w:val="none"/>
        </w:rPr>
        <w:t xml:space="preserve">. </w:t>
      </w:r>
      <w:r w:rsidR="004D65B0">
        <w:t>At the same time, the</w:t>
      </w:r>
      <w:r w:rsidR="00882DAE" w:rsidRPr="005F62F2">
        <w:t xml:space="preserve"> </w:t>
      </w:r>
      <w:r w:rsidR="004D65B0">
        <w:t xml:space="preserve">Committee also asked the same stakeholders </w:t>
      </w:r>
      <w:r w:rsidR="00882DAE" w:rsidRPr="005F62F2">
        <w:t>to ‘strengthen informal sharing of interesting and innovative examples on working on the Convention, including about intangible cultural heritage safeguarding, development of policy and legislation, intangible cultural heritage and sustainable development, innovative partnerships and others’</w:t>
      </w:r>
      <w:r w:rsidR="00882DAE">
        <w:t xml:space="preserve">. </w:t>
      </w:r>
      <w:r w:rsidR="004D65B0">
        <w:t>D</w:t>
      </w:r>
      <w:r w:rsidR="00882DAE">
        <w:t>ue to its limited human capacities, the Secretariat could not undertake remedial action during the reporting period</w:t>
      </w:r>
      <w:r w:rsidR="004D65B0">
        <w:t>. Instead</w:t>
      </w:r>
      <w:r w:rsidR="00882DAE">
        <w:t xml:space="preserve"> </w:t>
      </w:r>
      <w:r w:rsidR="004D65B0">
        <w:t xml:space="preserve">a </w:t>
      </w:r>
      <w:r w:rsidR="00882DAE">
        <w:t xml:space="preserve">choice </w:t>
      </w:r>
      <w:r w:rsidR="004D65B0">
        <w:t xml:space="preserve">was made </w:t>
      </w:r>
      <w:r w:rsidR="00882DAE">
        <w:t>to focus on cross-cutting thematic areas such as codes of ethics or intellectual property</w:t>
      </w:r>
      <w:r w:rsidR="004D65B0">
        <w:t>,</w:t>
      </w:r>
      <w:r w:rsidR="00882DAE">
        <w:t xml:space="preserve"> </w:t>
      </w:r>
      <w:r w:rsidR="004D65B0">
        <w:t xml:space="preserve">as such </w:t>
      </w:r>
      <w:r w:rsidR="000A435E">
        <w:t xml:space="preserve">an </w:t>
      </w:r>
      <w:r w:rsidR="004D65B0">
        <w:t xml:space="preserve">approach was deemed </w:t>
      </w:r>
      <w:r w:rsidR="00882DAE" w:rsidRPr="00882DAE">
        <w:t xml:space="preserve">to be an effective preliminary step to </w:t>
      </w:r>
      <w:r w:rsidR="00882DAE">
        <w:rPr>
          <w:rStyle w:val="hps"/>
        </w:rPr>
        <w:t>identify</w:t>
      </w:r>
      <w:r w:rsidR="000A435E">
        <w:rPr>
          <w:rStyle w:val="hps"/>
        </w:rPr>
        <w:t>ing</w:t>
      </w:r>
      <w:r w:rsidR="00882DAE">
        <w:rPr>
          <w:rStyle w:val="hps"/>
        </w:rPr>
        <w:t xml:space="preserve"> and shar</w:t>
      </w:r>
      <w:r w:rsidR="000A435E">
        <w:rPr>
          <w:rStyle w:val="hps"/>
        </w:rPr>
        <w:t>ing</w:t>
      </w:r>
      <w:r w:rsidR="00882DAE" w:rsidRPr="009739DF">
        <w:rPr>
          <w:rStyle w:val="hps"/>
        </w:rPr>
        <w:t xml:space="preserve"> interesting and innovative </w:t>
      </w:r>
      <w:r w:rsidR="00882DAE">
        <w:t>safeguarding practices and measures</w:t>
      </w:r>
      <w:r w:rsidR="004D65B0">
        <w:t>.</w:t>
      </w:r>
    </w:p>
    <w:p w14:paraId="2F4C80B7" w14:textId="77777777" w:rsidR="00A74D6C" w:rsidRDefault="00A74D6C" w:rsidP="00826FE8">
      <w:pPr>
        <w:pStyle w:val="Heading4"/>
        <w:ind w:left="567" w:hanging="567"/>
      </w:pPr>
      <w:r w:rsidRPr="001C6031">
        <w:t>Assessment by Expected Result</w:t>
      </w:r>
    </w:p>
    <w:tbl>
      <w:tblPr>
        <w:tblW w:w="4991"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114"/>
        <w:gridCol w:w="1670"/>
      </w:tblGrid>
      <w:tr w:rsidR="00285CCF" w:rsidRPr="001C6031" w14:paraId="7B1620B8" w14:textId="77777777" w:rsidTr="00473C13">
        <w:tc>
          <w:tcPr>
            <w:tcW w:w="1991" w:type="pct"/>
            <w:shd w:val="clear" w:color="auto" w:fill="C6D9F1"/>
          </w:tcPr>
          <w:p w14:paraId="68168AB9" w14:textId="77777777" w:rsidR="00285CCF" w:rsidRPr="001C6031" w:rsidRDefault="00285CCF" w:rsidP="00473C13">
            <w:pPr>
              <w:keepNext/>
              <w:spacing w:before="120" w:after="120"/>
              <w:jc w:val="center"/>
              <w:rPr>
                <w:rFonts w:ascii="Arial" w:eastAsia="Calibri" w:hAnsi="Arial" w:cs="Arial"/>
                <w:b/>
                <w:sz w:val="20"/>
                <w:szCs w:val="20"/>
                <w:lang w:val="en-GB"/>
              </w:rPr>
            </w:pPr>
            <w:r w:rsidRPr="001C6031">
              <w:rPr>
                <w:rFonts w:ascii="Arial" w:eastAsia="Calibri" w:hAnsi="Arial" w:cs="Arial"/>
                <w:b/>
                <w:sz w:val="20"/>
                <w:szCs w:val="20"/>
                <w:lang w:val="en-GB"/>
              </w:rPr>
              <w:t>Allocation</w:t>
            </w:r>
          </w:p>
        </w:tc>
        <w:tc>
          <w:tcPr>
            <w:tcW w:w="2140" w:type="pct"/>
            <w:shd w:val="clear" w:color="auto" w:fill="C6D9F1"/>
          </w:tcPr>
          <w:p w14:paraId="43D4BDAA" w14:textId="77777777" w:rsidR="00285CCF" w:rsidRPr="001C6031" w:rsidRDefault="00285CCF" w:rsidP="00473C13">
            <w:pPr>
              <w:keepNext/>
              <w:spacing w:before="120" w:after="120"/>
              <w:jc w:val="center"/>
              <w:rPr>
                <w:rFonts w:ascii="Arial" w:eastAsia="Calibri" w:hAnsi="Arial" w:cs="Arial"/>
                <w:b/>
                <w:sz w:val="20"/>
                <w:szCs w:val="20"/>
                <w:lang w:val="en-GB"/>
              </w:rPr>
            </w:pPr>
            <w:r w:rsidRPr="001C6031">
              <w:rPr>
                <w:rFonts w:ascii="Arial" w:eastAsia="Calibri" w:hAnsi="Arial" w:cs="Arial"/>
                <w:b/>
                <w:sz w:val="20"/>
                <w:szCs w:val="20"/>
                <w:lang w:val="en-GB"/>
              </w:rPr>
              <w:t>Expenditures</w:t>
            </w:r>
          </w:p>
        </w:tc>
        <w:tc>
          <w:tcPr>
            <w:tcW w:w="869" w:type="pct"/>
            <w:shd w:val="clear" w:color="auto" w:fill="C6D9F1"/>
          </w:tcPr>
          <w:p w14:paraId="537CF028" w14:textId="77777777" w:rsidR="00285CCF" w:rsidRPr="001C6031" w:rsidRDefault="00285CCF" w:rsidP="00473C13">
            <w:pPr>
              <w:keepNext/>
              <w:spacing w:before="120" w:after="120"/>
              <w:jc w:val="center"/>
              <w:rPr>
                <w:rFonts w:ascii="Arial" w:eastAsia="Calibri" w:hAnsi="Arial" w:cs="Arial"/>
                <w:b/>
                <w:sz w:val="20"/>
                <w:szCs w:val="20"/>
                <w:lang w:val="en-GB"/>
              </w:rPr>
            </w:pPr>
            <w:r w:rsidRPr="001C6031">
              <w:rPr>
                <w:rFonts w:ascii="Arial" w:eastAsia="Calibri" w:hAnsi="Arial" w:cs="Arial"/>
                <w:b/>
                <w:sz w:val="20"/>
                <w:szCs w:val="20"/>
                <w:lang w:val="en-GB"/>
              </w:rPr>
              <w:t>Exp. Rate %</w:t>
            </w:r>
          </w:p>
        </w:tc>
      </w:tr>
      <w:tr w:rsidR="00285CCF" w:rsidRPr="001C6031" w14:paraId="76873211" w14:textId="77777777" w:rsidTr="00473C13">
        <w:tc>
          <w:tcPr>
            <w:tcW w:w="1991" w:type="pct"/>
            <w:shd w:val="clear" w:color="auto" w:fill="auto"/>
          </w:tcPr>
          <w:p w14:paraId="1AF22C28" w14:textId="4F0D3CC3" w:rsidR="00285CCF" w:rsidRPr="001C6031" w:rsidRDefault="00285CCF" w:rsidP="00473C13">
            <w:pPr>
              <w:keepNext/>
              <w:spacing w:before="120" w:after="120"/>
              <w:jc w:val="center"/>
              <w:rPr>
                <w:rFonts w:ascii="Arial" w:eastAsia="Calibri" w:hAnsi="Arial" w:cs="Arial"/>
                <w:sz w:val="20"/>
                <w:szCs w:val="20"/>
                <w:lang w:val="en-GB"/>
              </w:rPr>
            </w:pPr>
            <w:r w:rsidRPr="001C6031">
              <w:rPr>
                <w:rFonts w:ascii="Arial" w:eastAsia="Calibri" w:hAnsi="Arial" w:cs="Arial"/>
                <w:sz w:val="20"/>
                <w:szCs w:val="20"/>
                <w:lang w:val="en-GB"/>
              </w:rPr>
              <w:t>1,351,087.00</w:t>
            </w:r>
            <w:r>
              <w:rPr>
                <w:rStyle w:val="FootnoteReference"/>
                <w:rFonts w:ascii="Arial" w:eastAsia="Calibri" w:hAnsi="Arial" w:cs="Arial"/>
                <w:sz w:val="20"/>
                <w:szCs w:val="20"/>
                <w:lang w:val="en-GB"/>
              </w:rPr>
              <w:footnoteReference w:id="2"/>
            </w:r>
          </w:p>
        </w:tc>
        <w:tc>
          <w:tcPr>
            <w:tcW w:w="2140" w:type="pct"/>
            <w:shd w:val="clear" w:color="auto" w:fill="auto"/>
          </w:tcPr>
          <w:p w14:paraId="5794B101" w14:textId="77777777" w:rsidR="00285CCF" w:rsidRPr="001C6031" w:rsidRDefault="00285CCF" w:rsidP="00473C13">
            <w:pPr>
              <w:keepNext/>
              <w:spacing w:before="120" w:after="120"/>
              <w:jc w:val="center"/>
              <w:rPr>
                <w:rFonts w:ascii="Arial" w:eastAsia="Calibri" w:hAnsi="Arial" w:cs="Arial"/>
                <w:sz w:val="20"/>
                <w:szCs w:val="20"/>
                <w:lang w:val="en-GB"/>
              </w:rPr>
            </w:pPr>
            <w:r w:rsidRPr="001C6031">
              <w:rPr>
                <w:rFonts w:ascii="Arial" w:eastAsia="Calibri" w:hAnsi="Arial" w:cs="Arial"/>
                <w:sz w:val="20"/>
                <w:szCs w:val="20"/>
                <w:lang w:val="en-GB"/>
              </w:rPr>
              <w:t>1,218,733.29</w:t>
            </w:r>
          </w:p>
        </w:tc>
        <w:tc>
          <w:tcPr>
            <w:tcW w:w="869" w:type="pct"/>
            <w:shd w:val="clear" w:color="auto" w:fill="auto"/>
          </w:tcPr>
          <w:p w14:paraId="7E574F39" w14:textId="77777777" w:rsidR="00285CCF" w:rsidRPr="001C6031" w:rsidRDefault="00285CCF" w:rsidP="00473C13">
            <w:pPr>
              <w:keepNext/>
              <w:spacing w:before="120" w:after="120"/>
              <w:jc w:val="center"/>
              <w:rPr>
                <w:rFonts w:ascii="Arial" w:eastAsia="Calibri" w:hAnsi="Arial" w:cs="Arial"/>
                <w:sz w:val="20"/>
                <w:szCs w:val="20"/>
                <w:lang w:val="en-GB"/>
              </w:rPr>
            </w:pPr>
            <w:r w:rsidRPr="001C6031">
              <w:rPr>
                <w:rFonts w:ascii="Arial" w:eastAsia="Calibri" w:hAnsi="Arial" w:cs="Arial"/>
                <w:sz w:val="20"/>
                <w:szCs w:val="20"/>
                <w:lang w:val="en-GB"/>
              </w:rPr>
              <w:t>90.2%</w:t>
            </w:r>
          </w:p>
        </w:tc>
      </w:tr>
    </w:tbl>
    <w:p w14:paraId="24F2B9CF" w14:textId="77777777" w:rsidR="00A74D6C" w:rsidRPr="001C6031" w:rsidRDefault="00A74D6C" w:rsidP="00C02163">
      <w:pPr>
        <w:keepNext/>
        <w:spacing w:before="240" w:after="120"/>
        <w:ind w:left="851" w:hanging="851"/>
        <w:jc w:val="both"/>
        <w:rPr>
          <w:rFonts w:ascii="Arial" w:hAnsi="Arial" w:cs="Arial"/>
          <w:b/>
          <w:bCs/>
          <w:sz w:val="22"/>
          <w:szCs w:val="22"/>
          <w:lang w:val="en-GB"/>
        </w:rPr>
      </w:pPr>
      <w:r w:rsidRPr="001C6031">
        <w:rPr>
          <w:rFonts w:ascii="Arial" w:hAnsi="Arial" w:cs="Arial"/>
          <w:b/>
          <w:sz w:val="22"/>
          <w:szCs w:val="22"/>
          <w:lang w:val="en-GB"/>
        </w:rPr>
        <w:t>ER 1:</w:t>
      </w:r>
      <w:r w:rsidRPr="001C6031">
        <w:rPr>
          <w:rFonts w:ascii="Arial" w:hAnsi="Arial" w:cs="Arial"/>
          <w:b/>
          <w:sz w:val="22"/>
          <w:szCs w:val="22"/>
          <w:lang w:val="en-GB"/>
        </w:rPr>
        <w:tab/>
      </w:r>
      <w:r w:rsidRPr="001C6031">
        <w:rPr>
          <w:rFonts w:ascii="Arial" w:hAnsi="Arial" w:cs="Arial"/>
          <w:b/>
          <w:bCs/>
          <w:sz w:val="22"/>
          <w:szCs w:val="22"/>
          <w:lang w:val="en-GB"/>
        </w:rPr>
        <w:t>Capacity-building programme strengthened to effectively support countries in developing their national policies and human and institutional resources for intangible cultural heritage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4080"/>
        <w:gridCol w:w="1671"/>
      </w:tblGrid>
      <w:tr w:rsidR="00A74D6C" w:rsidRPr="001C6031" w14:paraId="48A6B705" w14:textId="77777777" w:rsidTr="00C2282C">
        <w:tc>
          <w:tcPr>
            <w:tcW w:w="2013" w:type="pct"/>
            <w:shd w:val="clear" w:color="auto" w:fill="C6D9F1"/>
          </w:tcPr>
          <w:p w14:paraId="0ECEFF10" w14:textId="77777777" w:rsidR="00A74D6C" w:rsidRPr="001C6031" w:rsidRDefault="00A74D6C" w:rsidP="00C02163">
            <w:pPr>
              <w:keepNext/>
              <w:spacing w:before="120" w:after="120"/>
              <w:jc w:val="center"/>
              <w:rPr>
                <w:rFonts w:ascii="Arial" w:eastAsia="Calibri" w:hAnsi="Arial" w:cs="Arial"/>
                <w:b/>
                <w:sz w:val="20"/>
                <w:szCs w:val="20"/>
                <w:lang w:val="en-GB"/>
              </w:rPr>
            </w:pPr>
            <w:r w:rsidRPr="001C6031">
              <w:rPr>
                <w:rFonts w:ascii="Arial" w:eastAsia="Calibri" w:hAnsi="Arial" w:cs="Arial"/>
                <w:b/>
                <w:sz w:val="20"/>
                <w:szCs w:val="20"/>
                <w:lang w:val="en-GB"/>
              </w:rPr>
              <w:t>Allocation</w:t>
            </w:r>
          </w:p>
        </w:tc>
        <w:tc>
          <w:tcPr>
            <w:tcW w:w="2119" w:type="pct"/>
            <w:shd w:val="clear" w:color="auto" w:fill="C6D9F1"/>
          </w:tcPr>
          <w:p w14:paraId="361BB984" w14:textId="77777777" w:rsidR="00A74D6C" w:rsidRPr="001C6031" w:rsidRDefault="00A74D6C" w:rsidP="005F7CB2">
            <w:pPr>
              <w:spacing w:before="120" w:after="120"/>
              <w:jc w:val="center"/>
              <w:rPr>
                <w:rFonts w:ascii="Arial" w:eastAsia="Calibri" w:hAnsi="Arial" w:cs="Arial"/>
                <w:b/>
                <w:sz w:val="20"/>
                <w:szCs w:val="20"/>
                <w:lang w:val="en-GB"/>
              </w:rPr>
            </w:pPr>
            <w:r w:rsidRPr="001C6031">
              <w:rPr>
                <w:rFonts w:ascii="Arial" w:eastAsia="Calibri" w:hAnsi="Arial" w:cs="Arial"/>
                <w:b/>
                <w:sz w:val="20"/>
                <w:szCs w:val="20"/>
                <w:lang w:val="en-GB"/>
              </w:rPr>
              <w:t>Expenditures</w:t>
            </w:r>
          </w:p>
        </w:tc>
        <w:tc>
          <w:tcPr>
            <w:tcW w:w="868" w:type="pct"/>
            <w:shd w:val="clear" w:color="auto" w:fill="C6D9F1"/>
          </w:tcPr>
          <w:p w14:paraId="60A8D957" w14:textId="77777777" w:rsidR="00A74D6C" w:rsidRPr="001C6031" w:rsidRDefault="00A74D6C" w:rsidP="005F7CB2">
            <w:pPr>
              <w:spacing w:before="120" w:after="120"/>
              <w:jc w:val="center"/>
              <w:rPr>
                <w:rFonts w:ascii="Arial" w:eastAsia="Calibri" w:hAnsi="Arial" w:cs="Arial"/>
                <w:b/>
                <w:sz w:val="20"/>
                <w:szCs w:val="20"/>
                <w:lang w:val="en-GB"/>
              </w:rPr>
            </w:pPr>
            <w:r w:rsidRPr="001C6031">
              <w:rPr>
                <w:rFonts w:ascii="Arial" w:eastAsia="Calibri" w:hAnsi="Arial" w:cs="Arial"/>
                <w:b/>
                <w:sz w:val="20"/>
                <w:szCs w:val="20"/>
                <w:lang w:val="en-GB"/>
              </w:rPr>
              <w:t>Exp. Rate %</w:t>
            </w:r>
          </w:p>
        </w:tc>
      </w:tr>
      <w:tr w:rsidR="00A74D6C" w:rsidRPr="001C6031" w14:paraId="7DF6C5C1" w14:textId="77777777" w:rsidTr="00C2282C">
        <w:tc>
          <w:tcPr>
            <w:tcW w:w="2013" w:type="pct"/>
            <w:shd w:val="clear" w:color="auto" w:fill="auto"/>
          </w:tcPr>
          <w:p w14:paraId="3EC8218B" w14:textId="77777777" w:rsidR="00A74D6C" w:rsidRPr="001C6031" w:rsidRDefault="00A74D6C" w:rsidP="005F7CB2">
            <w:pPr>
              <w:spacing w:before="120" w:after="120"/>
              <w:jc w:val="center"/>
              <w:rPr>
                <w:rFonts w:ascii="Arial" w:eastAsia="Calibri" w:hAnsi="Arial" w:cs="Arial"/>
                <w:sz w:val="20"/>
                <w:szCs w:val="20"/>
                <w:lang w:val="en-GB"/>
              </w:rPr>
            </w:pPr>
            <w:r w:rsidRPr="001C6031">
              <w:rPr>
                <w:rFonts w:ascii="Arial" w:eastAsia="Calibri" w:hAnsi="Arial" w:cs="Arial"/>
                <w:sz w:val="20"/>
                <w:szCs w:val="20"/>
                <w:lang w:val="en-GB"/>
              </w:rPr>
              <w:t>810,087.00</w:t>
            </w:r>
            <w:r w:rsidRPr="001C6031">
              <w:rPr>
                <w:rStyle w:val="FootnoteReference"/>
                <w:rFonts w:ascii="Arial" w:hAnsi="Arial" w:cs="Arial"/>
                <w:sz w:val="20"/>
                <w:szCs w:val="20"/>
                <w:lang w:val="en-GB"/>
              </w:rPr>
              <w:footnoteReference w:id="3"/>
            </w:r>
          </w:p>
        </w:tc>
        <w:tc>
          <w:tcPr>
            <w:tcW w:w="2119" w:type="pct"/>
            <w:shd w:val="clear" w:color="auto" w:fill="auto"/>
          </w:tcPr>
          <w:p w14:paraId="1EBBAC76" w14:textId="77777777" w:rsidR="00A74D6C" w:rsidRPr="001C6031" w:rsidRDefault="00A74D6C" w:rsidP="005F7CB2">
            <w:pPr>
              <w:spacing w:before="120" w:after="120"/>
              <w:jc w:val="center"/>
              <w:rPr>
                <w:rFonts w:ascii="Arial" w:eastAsia="Calibri" w:hAnsi="Arial" w:cs="Arial"/>
                <w:sz w:val="20"/>
                <w:szCs w:val="20"/>
                <w:lang w:val="en-GB"/>
              </w:rPr>
            </w:pPr>
            <w:r w:rsidRPr="001C6031">
              <w:rPr>
                <w:rFonts w:ascii="Arial" w:eastAsia="Calibri" w:hAnsi="Arial" w:cs="Arial"/>
                <w:sz w:val="20"/>
                <w:szCs w:val="20"/>
                <w:lang w:val="en-GB"/>
              </w:rPr>
              <w:t>742,455.55</w:t>
            </w:r>
          </w:p>
        </w:tc>
        <w:tc>
          <w:tcPr>
            <w:tcW w:w="868" w:type="pct"/>
            <w:shd w:val="clear" w:color="auto" w:fill="auto"/>
          </w:tcPr>
          <w:p w14:paraId="20D3F1FA" w14:textId="77777777" w:rsidR="00A74D6C" w:rsidRPr="001C6031" w:rsidRDefault="00A74D6C" w:rsidP="005F7CB2">
            <w:pPr>
              <w:spacing w:before="120" w:after="120"/>
              <w:jc w:val="center"/>
              <w:rPr>
                <w:rFonts w:ascii="Arial" w:eastAsia="Calibri" w:hAnsi="Arial" w:cs="Arial"/>
                <w:sz w:val="20"/>
                <w:szCs w:val="20"/>
                <w:lang w:val="en-GB"/>
              </w:rPr>
            </w:pPr>
            <w:r w:rsidRPr="001C6031">
              <w:rPr>
                <w:rFonts w:ascii="Arial" w:eastAsia="Calibri" w:hAnsi="Arial" w:cs="Arial"/>
                <w:sz w:val="20"/>
                <w:szCs w:val="20"/>
                <w:lang w:val="en-GB"/>
              </w:rPr>
              <w:t>91.7%</w:t>
            </w:r>
          </w:p>
        </w:tc>
      </w:tr>
    </w:tbl>
    <w:p w14:paraId="7F0D7751" w14:textId="77777777" w:rsidR="00A74D6C" w:rsidRPr="001C6031" w:rsidRDefault="00A74D6C" w:rsidP="005F7CB2">
      <w:pPr>
        <w:spacing w:before="120" w:after="120"/>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4025"/>
        <w:gridCol w:w="1819"/>
      </w:tblGrid>
      <w:tr w:rsidR="00C2282C" w:rsidRPr="001C6031" w14:paraId="578B2FB9" w14:textId="52FF82AB" w:rsidTr="00C2282C">
        <w:trPr>
          <w:tblHeader/>
        </w:trPr>
        <w:tc>
          <w:tcPr>
            <w:tcW w:w="0" w:type="auto"/>
            <w:shd w:val="clear" w:color="auto" w:fill="D9D9D9" w:themeFill="background1" w:themeFillShade="D9"/>
            <w:vAlign w:val="center"/>
          </w:tcPr>
          <w:p w14:paraId="42A76885" w14:textId="77777777" w:rsidR="00C2282C" w:rsidRPr="001C6031" w:rsidRDefault="00C2282C" w:rsidP="005F7CB2">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Output (O)</w:t>
            </w:r>
            <w:r w:rsidRPr="001C6031">
              <w:rPr>
                <w:rFonts w:ascii="Arial" w:eastAsia="Calibri" w:hAnsi="Arial" w:cs="Arial"/>
                <w:b/>
                <w:sz w:val="20"/>
                <w:szCs w:val="20"/>
                <w:lang w:val="en-GB"/>
              </w:rPr>
              <w:br/>
              <w:t>Indicators/Benchmark (B)</w:t>
            </w:r>
          </w:p>
        </w:tc>
        <w:tc>
          <w:tcPr>
            <w:tcW w:w="4025" w:type="dxa"/>
            <w:shd w:val="clear" w:color="auto" w:fill="D9D9D9" w:themeFill="background1" w:themeFillShade="D9"/>
            <w:vAlign w:val="center"/>
          </w:tcPr>
          <w:p w14:paraId="2B61872A" w14:textId="77777777" w:rsidR="00C2282C" w:rsidRPr="001C6031" w:rsidRDefault="00C2282C" w:rsidP="005F7CB2">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Assessment of progress:</w:t>
            </w:r>
            <w:r w:rsidRPr="001C6031">
              <w:rPr>
                <w:rFonts w:ascii="Arial" w:eastAsia="Calibri" w:hAnsi="Arial" w:cs="Arial"/>
                <w:b/>
                <w:sz w:val="20"/>
                <w:szCs w:val="20"/>
                <w:lang w:val="en-GB"/>
              </w:rPr>
              <w:br/>
              <w:t>01/01/2014 to 31/12/2015</w:t>
            </w:r>
          </w:p>
        </w:tc>
        <w:tc>
          <w:tcPr>
            <w:tcW w:w="1694" w:type="dxa"/>
            <w:shd w:val="clear" w:color="auto" w:fill="D9D9D9" w:themeFill="background1" w:themeFillShade="D9"/>
            <w:vAlign w:val="center"/>
          </w:tcPr>
          <w:p w14:paraId="2F44C006" w14:textId="5FA2E794" w:rsidR="00C2282C" w:rsidRPr="001C6031" w:rsidRDefault="00C2282C" w:rsidP="005F7CB2">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Assessment of implementation</w:t>
            </w:r>
          </w:p>
        </w:tc>
      </w:tr>
      <w:tr w:rsidR="00C2282C" w:rsidRPr="001C6031" w14:paraId="511449EA" w14:textId="7B878137" w:rsidTr="00C2282C">
        <w:tc>
          <w:tcPr>
            <w:tcW w:w="0" w:type="auto"/>
            <w:shd w:val="clear" w:color="auto" w:fill="auto"/>
          </w:tcPr>
          <w:p w14:paraId="11B2A167" w14:textId="5E4A59C4" w:rsidR="00C2282C" w:rsidRPr="001C6031" w:rsidRDefault="00C2282C" w:rsidP="005F7CB2">
            <w:pPr>
              <w:spacing w:before="60" w:after="60"/>
              <w:rPr>
                <w:rFonts w:ascii="Arial" w:eastAsia="Calibri" w:hAnsi="Arial" w:cs="Arial"/>
                <w:b/>
                <w:sz w:val="20"/>
                <w:szCs w:val="20"/>
                <w:lang w:val="en-GB"/>
              </w:rPr>
            </w:pPr>
            <w:r w:rsidRPr="001C6031">
              <w:rPr>
                <w:rFonts w:ascii="Arial" w:eastAsia="Calibri" w:hAnsi="Arial" w:cs="Arial"/>
                <w:b/>
                <w:sz w:val="20"/>
                <w:szCs w:val="20"/>
                <w:lang w:val="en-GB"/>
              </w:rPr>
              <w:t>O:</w:t>
            </w:r>
          </w:p>
          <w:p w14:paraId="0CE6B40E" w14:textId="77777777" w:rsidR="00C2282C" w:rsidRPr="001C6031" w:rsidRDefault="00C2282C" w:rsidP="005F7CB2">
            <w:pPr>
              <w:spacing w:before="60" w:after="60"/>
              <w:rPr>
                <w:rFonts w:ascii="Arial" w:eastAsia="Calibri" w:hAnsi="Arial" w:cs="Arial"/>
                <w:sz w:val="20"/>
                <w:szCs w:val="20"/>
                <w:lang w:val="en-GB"/>
              </w:rPr>
            </w:pPr>
            <w:r w:rsidRPr="001C6031">
              <w:rPr>
                <w:rFonts w:ascii="Arial" w:eastAsia="Calibri" w:hAnsi="Arial" w:cs="Arial"/>
                <w:sz w:val="20"/>
                <w:szCs w:val="20"/>
                <w:lang w:val="en-GB"/>
              </w:rPr>
              <w:t>Facilitators’ network and relevant education institutions strengthened</w:t>
            </w:r>
          </w:p>
          <w:p w14:paraId="09962314" w14:textId="5E614575" w:rsidR="00C2282C" w:rsidRPr="001C6031" w:rsidRDefault="00C2282C" w:rsidP="005F7CB2">
            <w:pPr>
              <w:spacing w:before="60" w:after="60"/>
              <w:rPr>
                <w:rFonts w:ascii="Arial" w:hAnsi="Arial" w:cs="Arial"/>
                <w:b/>
                <w:sz w:val="20"/>
                <w:szCs w:val="20"/>
                <w:lang w:val="en-GB"/>
              </w:rPr>
            </w:pPr>
            <w:r w:rsidRPr="001C6031">
              <w:rPr>
                <w:rFonts w:ascii="Arial" w:hAnsi="Arial" w:cs="Arial"/>
                <w:b/>
                <w:sz w:val="20"/>
                <w:szCs w:val="20"/>
                <w:lang w:val="en-GB"/>
              </w:rPr>
              <w:t>B 2014-2015:</w:t>
            </w:r>
          </w:p>
          <w:p w14:paraId="5FCC6D43" w14:textId="77777777" w:rsidR="00C2282C" w:rsidRPr="001C6031" w:rsidRDefault="00C2282C" w:rsidP="005F7CB2">
            <w:pPr>
              <w:spacing w:before="60" w:after="60"/>
              <w:rPr>
                <w:rFonts w:ascii="Arial" w:eastAsia="Calibri" w:hAnsi="Arial" w:cs="Arial"/>
                <w:sz w:val="20"/>
                <w:szCs w:val="20"/>
                <w:lang w:val="en-GB"/>
              </w:rPr>
            </w:pPr>
            <w:r w:rsidRPr="001C6031">
              <w:rPr>
                <w:rFonts w:ascii="Arial" w:eastAsia="Calibri" w:hAnsi="Arial" w:cs="Arial"/>
                <w:sz w:val="20"/>
                <w:szCs w:val="20"/>
                <w:lang w:val="en-GB"/>
              </w:rPr>
              <w:t>Three regional workshops to train facilitators and update skills, of which one is contingent on host-country or partner support and one workshop on providing technical assistance concerning international assistance</w:t>
            </w:r>
          </w:p>
        </w:tc>
        <w:tc>
          <w:tcPr>
            <w:tcW w:w="4025" w:type="dxa"/>
            <w:shd w:val="clear" w:color="auto" w:fill="auto"/>
          </w:tcPr>
          <w:p w14:paraId="513E9C04" w14:textId="5632C2FC" w:rsidR="00AB42FF" w:rsidRPr="001C6031" w:rsidRDefault="00C2282C"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Four regional workshops organized to assess lessons learnt from delivering capacity-building services, updat</w:t>
            </w:r>
            <w:r w:rsidR="000A435E">
              <w:rPr>
                <w:rFonts w:ascii="Arial" w:eastAsia="Calibri" w:hAnsi="Arial" w:cs="Arial"/>
                <w:sz w:val="20"/>
                <w:szCs w:val="20"/>
                <w:lang w:val="en-GB"/>
              </w:rPr>
              <w:t>ing</w:t>
            </w:r>
            <w:r w:rsidRPr="001C6031">
              <w:rPr>
                <w:rFonts w:ascii="Arial" w:eastAsia="Calibri" w:hAnsi="Arial" w:cs="Arial"/>
                <w:sz w:val="20"/>
                <w:szCs w:val="20"/>
                <w:lang w:val="en-GB"/>
              </w:rPr>
              <w:t xml:space="preserve"> facilitators’ knowledge on recent developments in the life of the Convention and train them on newly developed curriculum materials in areas of safeguarding plans, gender and policy advice. All workshops benefited from the generous support o</w:t>
            </w:r>
            <w:r w:rsidR="000A435E">
              <w:rPr>
                <w:rFonts w:ascii="Arial" w:eastAsia="Calibri" w:hAnsi="Arial" w:cs="Arial"/>
                <w:sz w:val="20"/>
                <w:szCs w:val="20"/>
                <w:lang w:val="en-GB"/>
              </w:rPr>
              <w:t>f</w:t>
            </w:r>
            <w:r w:rsidRPr="001C6031">
              <w:rPr>
                <w:rFonts w:ascii="Arial" w:eastAsia="Calibri" w:hAnsi="Arial" w:cs="Arial"/>
                <w:sz w:val="20"/>
                <w:szCs w:val="20"/>
                <w:lang w:val="en-GB"/>
              </w:rPr>
              <w:t xml:space="preserve"> different host institutions:</w:t>
            </w:r>
          </w:p>
          <w:p w14:paraId="4F9015B9" w14:textId="6FCDB494" w:rsidR="00AB42FF" w:rsidRPr="001C6031" w:rsidRDefault="00C2282C" w:rsidP="005F7CB2">
            <w:pPr>
              <w:pStyle w:val="ListParagraph"/>
              <w:numPr>
                <w:ilvl w:val="1"/>
                <w:numId w:val="27"/>
              </w:numPr>
              <w:spacing w:before="60" w:after="60"/>
              <w:ind w:left="714" w:hanging="357"/>
              <w:contextualSpacing w:val="0"/>
              <w:rPr>
                <w:rFonts w:ascii="Arial" w:eastAsia="Calibri" w:hAnsi="Arial" w:cs="Arial"/>
                <w:sz w:val="20"/>
                <w:szCs w:val="20"/>
                <w:lang w:val="en-GB"/>
              </w:rPr>
            </w:pPr>
            <w:r w:rsidRPr="001C6031">
              <w:rPr>
                <w:rFonts w:ascii="Arial" w:eastAsia="Calibri" w:hAnsi="Arial" w:cs="Arial"/>
                <w:sz w:val="20"/>
                <w:szCs w:val="20"/>
                <w:lang w:val="en-GB"/>
              </w:rPr>
              <w:t>the Kuwaiti National Council for Culture, Arts and Letters with support f</w:t>
            </w:r>
            <w:r w:rsidR="000A435E">
              <w:rPr>
                <w:rFonts w:ascii="Arial" w:eastAsia="Calibri" w:hAnsi="Arial" w:cs="Arial"/>
                <w:sz w:val="20"/>
                <w:szCs w:val="20"/>
                <w:lang w:val="en-GB"/>
              </w:rPr>
              <w:t>rom</w:t>
            </w:r>
            <w:r w:rsidRPr="001C6031">
              <w:rPr>
                <w:rFonts w:ascii="Arial" w:eastAsia="Calibri" w:hAnsi="Arial" w:cs="Arial"/>
                <w:sz w:val="20"/>
                <w:szCs w:val="20"/>
                <w:lang w:val="en-GB"/>
              </w:rPr>
              <w:t xml:space="preserve"> the Arab League Educational, Cultural and Scientific Organization (ALECSO)</w:t>
            </w:r>
            <w:r w:rsidR="00796BD3">
              <w:rPr>
                <w:rFonts w:ascii="Arial" w:eastAsia="Calibri" w:hAnsi="Arial" w:cs="Arial"/>
                <w:sz w:val="20"/>
                <w:szCs w:val="20"/>
                <w:lang w:val="en-GB"/>
              </w:rPr>
              <w:t>,</w:t>
            </w:r>
          </w:p>
          <w:p w14:paraId="7FFD9083" w14:textId="419576EB" w:rsidR="00AB42FF" w:rsidRPr="001C6031" w:rsidRDefault="00C2282C" w:rsidP="005F7CB2">
            <w:pPr>
              <w:pStyle w:val="ListParagraph"/>
              <w:numPr>
                <w:ilvl w:val="1"/>
                <w:numId w:val="27"/>
              </w:numPr>
              <w:spacing w:before="60" w:after="60"/>
              <w:ind w:left="714"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the Regional Centre for the Safeguarding of Intangible Cultural Heritage in South-Eastern Europe </w:t>
            </w:r>
            <w:r w:rsidR="00197D64">
              <w:rPr>
                <w:rFonts w:ascii="Arial" w:eastAsia="Calibri" w:hAnsi="Arial" w:cs="Arial"/>
                <w:sz w:val="20"/>
                <w:szCs w:val="20"/>
                <w:lang w:val="en-GB"/>
              </w:rPr>
              <w:t xml:space="preserve">based </w:t>
            </w:r>
            <w:r w:rsidRPr="001C6031">
              <w:rPr>
                <w:rFonts w:ascii="Arial" w:eastAsia="Calibri" w:hAnsi="Arial" w:cs="Arial"/>
                <w:sz w:val="20"/>
                <w:szCs w:val="20"/>
                <w:lang w:val="en-GB"/>
              </w:rPr>
              <w:t xml:space="preserve">in Sofia </w:t>
            </w:r>
            <w:r w:rsidR="00A7512D">
              <w:rPr>
                <w:rFonts w:ascii="Arial" w:eastAsia="Calibri" w:hAnsi="Arial" w:cs="Arial"/>
                <w:sz w:val="20"/>
                <w:szCs w:val="20"/>
                <w:lang w:val="en-GB"/>
              </w:rPr>
              <w:t>(</w:t>
            </w:r>
            <w:r w:rsidRPr="001C6031">
              <w:rPr>
                <w:rFonts w:ascii="Arial" w:eastAsia="Calibri" w:hAnsi="Arial" w:cs="Arial"/>
                <w:sz w:val="20"/>
                <w:szCs w:val="20"/>
                <w:lang w:val="en-GB"/>
              </w:rPr>
              <w:t>Bulgaria</w:t>
            </w:r>
            <w:r w:rsidR="00A7512D">
              <w:rPr>
                <w:rFonts w:ascii="Arial" w:eastAsia="Calibri" w:hAnsi="Arial" w:cs="Arial"/>
                <w:sz w:val="20"/>
                <w:szCs w:val="20"/>
                <w:lang w:val="en-GB"/>
              </w:rPr>
              <w:t>)</w:t>
            </w:r>
            <w:r w:rsidRPr="001C6031">
              <w:rPr>
                <w:rFonts w:ascii="Arial" w:eastAsia="Calibri" w:hAnsi="Arial" w:cs="Arial"/>
                <w:sz w:val="20"/>
                <w:szCs w:val="20"/>
                <w:lang w:val="en-GB"/>
              </w:rPr>
              <w:t>, for Europe and Central Asia</w:t>
            </w:r>
            <w:r w:rsidR="00796BD3">
              <w:rPr>
                <w:rFonts w:ascii="Arial" w:eastAsia="Calibri" w:hAnsi="Arial" w:cs="Arial"/>
                <w:sz w:val="20"/>
                <w:szCs w:val="20"/>
                <w:lang w:val="en-GB"/>
              </w:rPr>
              <w:t>,</w:t>
            </w:r>
            <w:r w:rsidRPr="001C6031">
              <w:rPr>
                <w:rFonts w:ascii="Arial" w:eastAsia="Calibri" w:hAnsi="Arial" w:cs="Arial"/>
                <w:sz w:val="20"/>
                <w:szCs w:val="20"/>
                <w:lang w:val="en-GB"/>
              </w:rPr>
              <w:t xml:space="preserve"> </w:t>
            </w:r>
          </w:p>
          <w:p w14:paraId="41D40639" w14:textId="3C32EC79" w:rsidR="009B2031" w:rsidRDefault="00C2282C" w:rsidP="005F7CB2">
            <w:pPr>
              <w:pStyle w:val="ListParagraph"/>
              <w:numPr>
                <w:ilvl w:val="1"/>
                <w:numId w:val="27"/>
              </w:numPr>
              <w:spacing w:before="60" w:after="60"/>
              <w:ind w:left="714"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the International Training Centre for Intangible Cultural Heritage in the Asia-Pacific Region (CRIHAP) in Shenzhen </w:t>
            </w:r>
            <w:r w:rsidR="00A7512D">
              <w:rPr>
                <w:rFonts w:ascii="Arial" w:eastAsia="Calibri" w:hAnsi="Arial" w:cs="Arial"/>
                <w:sz w:val="20"/>
                <w:szCs w:val="20"/>
                <w:lang w:val="en-GB"/>
              </w:rPr>
              <w:t>(</w:t>
            </w:r>
            <w:r w:rsidRPr="001C6031">
              <w:rPr>
                <w:rFonts w:ascii="Arial" w:eastAsia="Calibri" w:hAnsi="Arial" w:cs="Arial"/>
                <w:sz w:val="20"/>
                <w:szCs w:val="20"/>
                <w:lang w:val="en-GB"/>
              </w:rPr>
              <w:t>China</w:t>
            </w:r>
            <w:r w:rsidR="00A7512D">
              <w:rPr>
                <w:rFonts w:ascii="Arial" w:eastAsia="Calibri" w:hAnsi="Arial" w:cs="Arial"/>
                <w:sz w:val="20"/>
                <w:szCs w:val="20"/>
                <w:lang w:val="en-GB"/>
              </w:rPr>
              <w:t>)</w:t>
            </w:r>
            <w:r w:rsidRPr="001C6031">
              <w:rPr>
                <w:rFonts w:ascii="Arial" w:eastAsia="Calibri" w:hAnsi="Arial" w:cs="Arial"/>
                <w:sz w:val="20"/>
                <w:szCs w:val="20"/>
                <w:lang w:val="en-GB"/>
              </w:rPr>
              <w:t xml:space="preserve"> for the Asia-Pacific Region</w:t>
            </w:r>
            <w:r w:rsidR="00796BD3">
              <w:rPr>
                <w:rFonts w:ascii="Arial" w:eastAsia="Calibri" w:hAnsi="Arial" w:cs="Arial"/>
                <w:sz w:val="20"/>
                <w:szCs w:val="20"/>
                <w:lang w:val="en-GB"/>
              </w:rPr>
              <w:t>, and</w:t>
            </w:r>
            <w:r w:rsidRPr="001C6031">
              <w:rPr>
                <w:rFonts w:ascii="Arial" w:eastAsia="Calibri" w:hAnsi="Arial" w:cs="Arial"/>
                <w:sz w:val="20"/>
                <w:szCs w:val="20"/>
                <w:lang w:val="en-GB"/>
              </w:rPr>
              <w:t xml:space="preserve"> </w:t>
            </w:r>
          </w:p>
          <w:p w14:paraId="3E8E6BF1" w14:textId="7DFF91B8" w:rsidR="00C2282C" w:rsidRPr="001C6031" w:rsidRDefault="00C2282C" w:rsidP="005F7CB2">
            <w:pPr>
              <w:pStyle w:val="ListParagraph"/>
              <w:numPr>
                <w:ilvl w:val="1"/>
                <w:numId w:val="27"/>
              </w:numPr>
              <w:spacing w:before="60" w:after="60"/>
              <w:ind w:left="714"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the National Centre of Research on Prehistory, Anthropology and History (CNRPAH) in Algeria and the Manifestation Constantine, </w:t>
            </w:r>
            <w:proofErr w:type="spellStart"/>
            <w:r w:rsidRPr="001C6031">
              <w:rPr>
                <w:rFonts w:ascii="Arial" w:eastAsia="Calibri" w:hAnsi="Arial" w:cs="Arial"/>
                <w:i/>
                <w:sz w:val="20"/>
                <w:szCs w:val="20"/>
                <w:lang w:val="en-GB"/>
              </w:rPr>
              <w:t>capitale</w:t>
            </w:r>
            <w:proofErr w:type="spellEnd"/>
            <w:r w:rsidRPr="001C6031">
              <w:rPr>
                <w:rFonts w:ascii="Arial" w:eastAsia="Calibri" w:hAnsi="Arial" w:cs="Arial"/>
                <w:i/>
                <w:sz w:val="20"/>
                <w:szCs w:val="20"/>
                <w:lang w:val="en-GB"/>
              </w:rPr>
              <w:t xml:space="preserve"> de la culture </w:t>
            </w:r>
            <w:proofErr w:type="spellStart"/>
            <w:r w:rsidRPr="001C6031">
              <w:rPr>
                <w:rFonts w:ascii="Arial" w:eastAsia="Calibri" w:hAnsi="Arial" w:cs="Arial"/>
                <w:i/>
                <w:sz w:val="20"/>
                <w:szCs w:val="20"/>
                <w:lang w:val="en-GB"/>
              </w:rPr>
              <w:t>arabe</w:t>
            </w:r>
            <w:proofErr w:type="spellEnd"/>
            <w:r w:rsidRPr="001C6031">
              <w:rPr>
                <w:rFonts w:ascii="Arial" w:eastAsia="Calibri" w:hAnsi="Arial" w:cs="Arial"/>
                <w:sz w:val="20"/>
                <w:szCs w:val="20"/>
                <w:lang w:val="en-GB"/>
              </w:rPr>
              <w:t xml:space="preserve"> 2015 in Constantine, for Africa.</w:t>
            </w:r>
          </w:p>
          <w:p w14:paraId="0DAC728F" w14:textId="3F619522" w:rsidR="00C2282C" w:rsidRPr="001C6031" w:rsidRDefault="00C2282C"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A workshop </w:t>
            </w:r>
            <w:r w:rsidR="009B2031">
              <w:rPr>
                <w:rFonts w:ascii="Arial" w:eastAsia="Calibri" w:hAnsi="Arial" w:cs="Arial"/>
                <w:sz w:val="20"/>
                <w:szCs w:val="20"/>
                <w:lang w:val="en-GB"/>
              </w:rPr>
              <w:t>organised c</w:t>
            </w:r>
            <w:r w:rsidRPr="001C6031">
              <w:rPr>
                <w:rFonts w:ascii="Arial" w:eastAsia="Calibri" w:hAnsi="Arial" w:cs="Arial"/>
                <w:sz w:val="20"/>
                <w:szCs w:val="20"/>
                <w:lang w:val="en-GB"/>
              </w:rPr>
              <w:t>entr</w:t>
            </w:r>
            <w:r w:rsidR="00EE5AFD">
              <w:rPr>
                <w:rFonts w:ascii="Arial" w:eastAsia="Calibri" w:hAnsi="Arial" w:cs="Arial"/>
                <w:sz w:val="20"/>
                <w:szCs w:val="20"/>
                <w:lang w:val="en-GB"/>
              </w:rPr>
              <w:t>ed</w:t>
            </w:r>
            <w:r w:rsidRPr="001C6031">
              <w:rPr>
                <w:rFonts w:ascii="Arial" w:eastAsia="Calibri" w:hAnsi="Arial" w:cs="Arial"/>
                <w:sz w:val="20"/>
                <w:szCs w:val="20"/>
                <w:lang w:val="en-GB"/>
              </w:rPr>
              <w:t xml:space="preserve"> on experiences to date with </w:t>
            </w:r>
            <w:r w:rsidR="00135185">
              <w:rPr>
                <w:rFonts w:ascii="Arial" w:eastAsia="Calibri" w:hAnsi="Arial" w:cs="Arial"/>
                <w:sz w:val="20"/>
                <w:szCs w:val="20"/>
                <w:lang w:val="en-GB"/>
              </w:rPr>
              <w:t>an</w:t>
            </w:r>
            <w:r w:rsidRPr="001C6031">
              <w:rPr>
                <w:rFonts w:ascii="Arial" w:eastAsia="Calibri" w:hAnsi="Arial" w:cs="Arial"/>
                <w:sz w:val="20"/>
                <w:szCs w:val="20"/>
                <w:lang w:val="en-GB"/>
              </w:rPr>
              <w:t xml:space="preserve"> experimental mechanism to provide individualized technical assistance to States Parties requesting such </w:t>
            </w:r>
            <w:r w:rsidR="00135185">
              <w:rPr>
                <w:rFonts w:ascii="Arial" w:eastAsia="Calibri" w:hAnsi="Arial" w:cs="Arial"/>
                <w:sz w:val="20"/>
                <w:szCs w:val="20"/>
                <w:lang w:val="en-GB"/>
              </w:rPr>
              <w:t>i</w:t>
            </w:r>
            <w:r w:rsidRPr="001C6031">
              <w:rPr>
                <w:rFonts w:ascii="Arial" w:eastAsia="Calibri" w:hAnsi="Arial" w:cs="Arial"/>
                <w:sz w:val="20"/>
                <w:szCs w:val="20"/>
                <w:lang w:val="en-GB"/>
              </w:rPr>
              <w:t xml:space="preserve">nternational </w:t>
            </w:r>
            <w:r w:rsidR="00135185">
              <w:rPr>
                <w:rFonts w:ascii="Arial" w:eastAsia="Calibri" w:hAnsi="Arial" w:cs="Arial"/>
                <w:sz w:val="20"/>
                <w:szCs w:val="20"/>
                <w:lang w:val="en-GB"/>
              </w:rPr>
              <w:t>a</w:t>
            </w:r>
            <w:r w:rsidRPr="001C6031">
              <w:rPr>
                <w:rFonts w:ascii="Arial" w:eastAsia="Calibri" w:hAnsi="Arial" w:cs="Arial"/>
                <w:sz w:val="20"/>
                <w:szCs w:val="20"/>
                <w:lang w:val="en-GB"/>
              </w:rPr>
              <w:t>ssistance from the Fund</w:t>
            </w:r>
            <w:r w:rsidR="009B2031">
              <w:rPr>
                <w:rFonts w:ascii="Arial" w:eastAsia="Calibri" w:hAnsi="Arial" w:cs="Arial"/>
                <w:sz w:val="20"/>
                <w:szCs w:val="20"/>
                <w:lang w:val="en-GB"/>
              </w:rPr>
              <w:t>;</w:t>
            </w:r>
            <w:r w:rsidRPr="001C6031">
              <w:rPr>
                <w:rFonts w:ascii="Arial" w:eastAsia="Calibri" w:hAnsi="Arial" w:cs="Arial"/>
                <w:sz w:val="20"/>
                <w:szCs w:val="20"/>
                <w:lang w:val="en-GB"/>
              </w:rPr>
              <w:t xml:space="preserve"> </w:t>
            </w:r>
            <w:r w:rsidRPr="00D051D8">
              <w:rPr>
                <w:rFonts w:ascii="Arial" w:eastAsia="Calibri" w:hAnsi="Arial" w:cs="Arial"/>
                <w:sz w:val="20"/>
                <w:szCs w:val="20"/>
                <w:lang w:val="en-GB"/>
              </w:rPr>
              <w:t>the workshop also explored other efforts underway or planned by the Secretariat.</w:t>
            </w:r>
            <w:r w:rsidRPr="001C6031">
              <w:rPr>
                <w:rFonts w:ascii="Arial" w:eastAsia="Calibri" w:hAnsi="Arial" w:cs="Arial"/>
                <w:sz w:val="20"/>
                <w:szCs w:val="20"/>
                <w:lang w:val="en-GB"/>
              </w:rPr>
              <w:t xml:space="preserve"> </w:t>
            </w:r>
          </w:p>
          <w:p w14:paraId="4088899E" w14:textId="5B637B05" w:rsidR="00C2282C" w:rsidRPr="001C6031" w:rsidRDefault="00282CE8"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A</w:t>
            </w:r>
            <w:r w:rsidR="00C2282C" w:rsidRPr="001C6031">
              <w:rPr>
                <w:rFonts w:ascii="Arial" w:eastAsia="Calibri" w:hAnsi="Arial" w:cs="Arial"/>
                <w:sz w:val="20"/>
                <w:szCs w:val="20"/>
                <w:lang w:val="en-GB"/>
              </w:rPr>
              <w:t xml:space="preserve"> regional symposium for tertiary education institutions in Asia and </w:t>
            </w:r>
            <w:r w:rsidR="00135185">
              <w:rPr>
                <w:rFonts w:ascii="Arial" w:eastAsia="Calibri" w:hAnsi="Arial" w:cs="Arial"/>
                <w:sz w:val="20"/>
                <w:szCs w:val="20"/>
                <w:lang w:val="en-GB"/>
              </w:rPr>
              <w:t xml:space="preserve">the </w:t>
            </w:r>
            <w:r w:rsidR="00C2282C" w:rsidRPr="001C6031">
              <w:rPr>
                <w:rFonts w:ascii="Arial" w:eastAsia="Calibri" w:hAnsi="Arial" w:cs="Arial"/>
                <w:sz w:val="20"/>
                <w:szCs w:val="20"/>
                <w:lang w:val="en-GB"/>
              </w:rPr>
              <w:t xml:space="preserve">Pacific organized, together with UNESCO Office in Bangkok, to encourage the development of postgraduate intangible cultural heritage programmes in universities of the region (initially scheduled </w:t>
            </w:r>
            <w:r w:rsidR="00AB42FF" w:rsidRPr="001C6031">
              <w:rPr>
                <w:rFonts w:ascii="Arial" w:eastAsia="Calibri" w:hAnsi="Arial" w:cs="Arial"/>
                <w:sz w:val="20"/>
                <w:szCs w:val="20"/>
                <w:lang w:val="en-GB"/>
              </w:rPr>
              <w:t>in</w:t>
            </w:r>
            <w:r w:rsidR="00C2282C" w:rsidRPr="001C6031">
              <w:rPr>
                <w:rFonts w:ascii="Arial" w:eastAsia="Calibri" w:hAnsi="Arial" w:cs="Arial"/>
                <w:sz w:val="20"/>
                <w:szCs w:val="20"/>
                <w:lang w:val="en-GB"/>
              </w:rPr>
              <w:t xml:space="preserve"> 2016).</w:t>
            </w:r>
          </w:p>
        </w:tc>
        <w:tc>
          <w:tcPr>
            <w:tcW w:w="1694" w:type="dxa"/>
          </w:tcPr>
          <w:p w14:paraId="18750F6C" w14:textId="4BE2EFAC" w:rsidR="00C2282C" w:rsidRPr="001C6031" w:rsidRDefault="004E3497" w:rsidP="00826FE8">
            <w:pPr>
              <w:pStyle w:val="ListParagraph"/>
              <w:spacing w:before="60" w:after="60"/>
              <w:ind w:left="19"/>
              <w:contextualSpacing w:val="0"/>
              <w:jc w:val="center"/>
              <w:rPr>
                <w:rFonts w:ascii="Arial" w:eastAsia="Calibri" w:hAnsi="Arial" w:cs="Arial"/>
                <w:sz w:val="20"/>
                <w:szCs w:val="20"/>
                <w:lang w:val="en-GB"/>
              </w:rPr>
            </w:pPr>
            <w:r>
              <w:rPr>
                <w:rFonts w:ascii="Arial" w:eastAsia="Calibri" w:hAnsi="Arial" w:cs="Arial"/>
                <w:sz w:val="20"/>
                <w:szCs w:val="20"/>
                <w:lang w:val="en-GB"/>
              </w:rPr>
              <w:t>Accomplished</w:t>
            </w:r>
          </w:p>
        </w:tc>
      </w:tr>
      <w:tr w:rsidR="00C2282C" w:rsidRPr="001C6031" w14:paraId="64EDC56A" w14:textId="5DDD6033" w:rsidTr="00484E0F">
        <w:tc>
          <w:tcPr>
            <w:tcW w:w="0" w:type="auto"/>
            <w:shd w:val="clear" w:color="auto" w:fill="auto"/>
          </w:tcPr>
          <w:p w14:paraId="126475D8" w14:textId="1B03DA6E" w:rsidR="00C2282C" w:rsidRPr="001C6031" w:rsidRDefault="00C2282C" w:rsidP="005F7CB2">
            <w:pPr>
              <w:spacing w:before="60" w:after="60"/>
              <w:rPr>
                <w:rFonts w:ascii="Arial" w:eastAsia="Calibri" w:hAnsi="Arial" w:cs="Arial"/>
                <w:b/>
                <w:sz w:val="20"/>
                <w:szCs w:val="20"/>
                <w:lang w:val="en-GB"/>
              </w:rPr>
            </w:pPr>
            <w:r w:rsidRPr="001C6031">
              <w:rPr>
                <w:rFonts w:ascii="Arial" w:eastAsia="Calibri" w:hAnsi="Arial" w:cs="Arial"/>
                <w:b/>
                <w:sz w:val="20"/>
                <w:szCs w:val="20"/>
                <w:lang w:val="en-GB"/>
              </w:rPr>
              <w:t>O:</w:t>
            </w:r>
          </w:p>
          <w:p w14:paraId="33099F29" w14:textId="77777777" w:rsidR="00C2282C" w:rsidRPr="001C6031" w:rsidRDefault="00C2282C" w:rsidP="005F7CB2">
            <w:pPr>
              <w:spacing w:before="60" w:after="60"/>
              <w:rPr>
                <w:rFonts w:ascii="Arial" w:eastAsia="Calibri" w:hAnsi="Arial" w:cs="Arial"/>
                <w:sz w:val="20"/>
                <w:szCs w:val="20"/>
                <w:lang w:val="en-GB"/>
              </w:rPr>
            </w:pPr>
            <w:r w:rsidRPr="001C6031">
              <w:rPr>
                <w:rFonts w:ascii="Arial" w:eastAsia="Calibri" w:hAnsi="Arial" w:cs="Arial"/>
                <w:sz w:val="20"/>
                <w:szCs w:val="20"/>
                <w:lang w:val="en-GB"/>
              </w:rPr>
              <w:t>Follow-up and evaluation mechanism established for capacity-building activities to gather data about their effectiveness</w:t>
            </w:r>
          </w:p>
          <w:p w14:paraId="132BAA82" w14:textId="149643A4" w:rsidR="00C2282C" w:rsidRPr="001C6031" w:rsidRDefault="00C2282C" w:rsidP="005F7CB2">
            <w:pPr>
              <w:spacing w:before="60" w:after="60"/>
              <w:rPr>
                <w:rFonts w:ascii="Arial" w:hAnsi="Arial" w:cs="Arial"/>
                <w:b/>
                <w:sz w:val="20"/>
                <w:szCs w:val="20"/>
                <w:lang w:val="en-GB"/>
              </w:rPr>
            </w:pPr>
            <w:r w:rsidRPr="001C6031">
              <w:rPr>
                <w:rFonts w:ascii="Arial" w:hAnsi="Arial" w:cs="Arial"/>
                <w:b/>
                <w:sz w:val="20"/>
                <w:szCs w:val="20"/>
                <w:lang w:val="en-GB"/>
              </w:rPr>
              <w:t>B 2014-2015:</w:t>
            </w:r>
          </w:p>
          <w:p w14:paraId="0D390310" w14:textId="77777777" w:rsidR="00C2282C" w:rsidRPr="001C6031" w:rsidRDefault="00C2282C" w:rsidP="005F7CB2">
            <w:pPr>
              <w:spacing w:before="60" w:after="60"/>
              <w:rPr>
                <w:rFonts w:ascii="Arial" w:eastAsia="Calibri" w:hAnsi="Arial" w:cs="Arial"/>
                <w:sz w:val="20"/>
                <w:szCs w:val="20"/>
                <w:lang w:val="en-GB"/>
              </w:rPr>
            </w:pPr>
            <w:r w:rsidRPr="001C6031">
              <w:rPr>
                <w:rFonts w:ascii="Arial" w:eastAsia="Calibri" w:hAnsi="Arial" w:cs="Arial"/>
                <w:sz w:val="20"/>
                <w:szCs w:val="20"/>
                <w:lang w:val="en-GB"/>
              </w:rPr>
              <w:t>A workshop on developing an effective follow-up and evaluation mechanism and the mechanism established</w:t>
            </w:r>
          </w:p>
        </w:tc>
        <w:tc>
          <w:tcPr>
            <w:tcW w:w="4025" w:type="dxa"/>
            <w:shd w:val="clear" w:color="auto" w:fill="auto"/>
          </w:tcPr>
          <w:p w14:paraId="5A4D4664" w14:textId="4DD6B112" w:rsidR="00C2282C" w:rsidRPr="001C6031" w:rsidRDefault="00C2282C"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A workshop bringing together national counterparts (including National Commissions for UNESCO), expert facilitators and UNESCO’s Culture Programme Specialists in the Field organized to develop </w:t>
            </w:r>
            <w:r w:rsidR="00282CE8" w:rsidRPr="001C6031">
              <w:rPr>
                <w:rFonts w:ascii="Arial" w:eastAsia="Calibri" w:hAnsi="Arial" w:cs="Arial"/>
                <w:sz w:val="20"/>
                <w:szCs w:val="20"/>
                <w:lang w:val="en-GB"/>
              </w:rPr>
              <w:t xml:space="preserve">a follow-up and evaluation mechanism for capacity-building </w:t>
            </w:r>
            <w:r w:rsidR="00484E0F" w:rsidRPr="001C6031">
              <w:rPr>
                <w:rFonts w:ascii="Arial" w:eastAsia="Calibri" w:hAnsi="Arial" w:cs="Arial"/>
                <w:sz w:val="20"/>
                <w:szCs w:val="20"/>
                <w:lang w:val="en-GB"/>
              </w:rPr>
              <w:t>activities.</w:t>
            </w:r>
          </w:p>
          <w:p w14:paraId="5F373B60" w14:textId="1AEB0376" w:rsidR="00C2282C" w:rsidRPr="001C6031" w:rsidRDefault="00282CE8"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A </w:t>
            </w:r>
            <w:r w:rsidR="00E95E90">
              <w:rPr>
                <w:rFonts w:ascii="Arial" w:eastAsia="Calibri" w:hAnsi="Arial" w:cs="Arial"/>
                <w:sz w:val="20"/>
                <w:szCs w:val="20"/>
                <w:lang w:val="en-GB"/>
              </w:rPr>
              <w:t xml:space="preserve">draft </w:t>
            </w:r>
            <w:r w:rsidRPr="001C6031">
              <w:rPr>
                <w:rFonts w:ascii="Arial" w:eastAsia="Calibri" w:hAnsi="Arial" w:cs="Arial"/>
                <w:sz w:val="20"/>
                <w:szCs w:val="20"/>
                <w:lang w:val="en-GB"/>
              </w:rPr>
              <w:t>‘theory of change’, indicators and data collection tools developed.</w:t>
            </w:r>
          </w:p>
        </w:tc>
        <w:tc>
          <w:tcPr>
            <w:tcW w:w="1694" w:type="dxa"/>
            <w:shd w:val="clear" w:color="auto" w:fill="auto"/>
          </w:tcPr>
          <w:p w14:paraId="10C066B0" w14:textId="5C116D07" w:rsidR="00C2282C" w:rsidRPr="001C6031" w:rsidRDefault="004E3497" w:rsidP="005F7CB2">
            <w:pPr>
              <w:spacing w:before="60" w:after="60"/>
              <w:jc w:val="center"/>
              <w:rPr>
                <w:rFonts w:ascii="Arial" w:eastAsia="Calibri" w:hAnsi="Arial" w:cs="Arial"/>
                <w:sz w:val="20"/>
                <w:szCs w:val="20"/>
                <w:lang w:val="en-GB"/>
              </w:rPr>
            </w:pPr>
            <w:r>
              <w:rPr>
                <w:rFonts w:ascii="Arial" w:eastAsia="Calibri" w:hAnsi="Arial" w:cs="Arial"/>
                <w:sz w:val="20"/>
                <w:szCs w:val="20"/>
                <w:lang w:val="en-GB"/>
              </w:rPr>
              <w:t>Partially accomplished</w:t>
            </w:r>
          </w:p>
        </w:tc>
      </w:tr>
      <w:tr w:rsidR="00C2282C" w:rsidRPr="001C6031" w14:paraId="03B45BFE" w14:textId="40301F77" w:rsidTr="00C2282C">
        <w:tc>
          <w:tcPr>
            <w:tcW w:w="0" w:type="auto"/>
            <w:shd w:val="clear" w:color="auto" w:fill="auto"/>
          </w:tcPr>
          <w:p w14:paraId="10BB50CC" w14:textId="77777777" w:rsidR="00C2282C" w:rsidRPr="001C6031" w:rsidRDefault="00C2282C" w:rsidP="005F7CB2">
            <w:pPr>
              <w:spacing w:before="60" w:after="60"/>
              <w:rPr>
                <w:rFonts w:ascii="Arial" w:eastAsia="Calibri" w:hAnsi="Arial" w:cs="Arial"/>
                <w:b/>
                <w:sz w:val="20"/>
                <w:szCs w:val="20"/>
                <w:lang w:val="en-GB"/>
              </w:rPr>
            </w:pPr>
            <w:r w:rsidRPr="001C6031">
              <w:rPr>
                <w:rFonts w:ascii="Arial" w:eastAsia="Calibri" w:hAnsi="Arial" w:cs="Arial"/>
                <w:b/>
                <w:sz w:val="20"/>
                <w:szCs w:val="20"/>
                <w:lang w:val="en-GB"/>
              </w:rPr>
              <w:t>O:</w:t>
            </w:r>
          </w:p>
          <w:p w14:paraId="7D175B0D" w14:textId="77777777" w:rsidR="00C2282C" w:rsidRPr="001C6031" w:rsidRDefault="00C2282C" w:rsidP="005F7CB2">
            <w:pPr>
              <w:spacing w:before="60" w:after="60"/>
              <w:rPr>
                <w:rFonts w:ascii="Arial" w:eastAsia="Calibri" w:hAnsi="Arial" w:cs="Arial"/>
                <w:sz w:val="20"/>
                <w:szCs w:val="20"/>
                <w:lang w:val="en-GB"/>
              </w:rPr>
            </w:pPr>
            <w:r w:rsidRPr="001C6031">
              <w:rPr>
                <w:rFonts w:ascii="Arial" w:eastAsia="Calibri" w:hAnsi="Arial" w:cs="Arial"/>
                <w:sz w:val="20"/>
                <w:szCs w:val="20"/>
                <w:lang w:val="en-GB"/>
              </w:rPr>
              <w:t>Content and format of the capacity-building programme reviewed and adapted to ensure that it responds to the major implementation challenges at the national level</w:t>
            </w:r>
          </w:p>
          <w:p w14:paraId="040D03BA" w14:textId="77777777" w:rsidR="00C2282C" w:rsidRPr="001C6031" w:rsidRDefault="00C2282C" w:rsidP="005F7CB2">
            <w:pPr>
              <w:keepNext/>
              <w:spacing w:before="60" w:after="60"/>
              <w:rPr>
                <w:rFonts w:ascii="Arial" w:hAnsi="Arial" w:cs="Arial"/>
                <w:b/>
                <w:sz w:val="20"/>
                <w:szCs w:val="20"/>
                <w:lang w:val="en-GB"/>
              </w:rPr>
            </w:pPr>
            <w:r w:rsidRPr="001C6031">
              <w:rPr>
                <w:rFonts w:ascii="Arial" w:hAnsi="Arial" w:cs="Arial"/>
                <w:b/>
                <w:sz w:val="20"/>
                <w:szCs w:val="20"/>
                <w:lang w:val="en-GB"/>
              </w:rPr>
              <w:t xml:space="preserve">B 2014-2015: </w:t>
            </w:r>
          </w:p>
          <w:p w14:paraId="0254AFBF" w14:textId="0D36C3C0" w:rsidR="00C2282C" w:rsidRPr="001C6031" w:rsidRDefault="00C2282C" w:rsidP="00E03F77">
            <w:pPr>
              <w:spacing w:before="60" w:after="60"/>
              <w:rPr>
                <w:rFonts w:ascii="Arial" w:eastAsia="Calibri" w:hAnsi="Arial" w:cs="Arial"/>
                <w:sz w:val="20"/>
                <w:szCs w:val="20"/>
                <w:lang w:val="en-GB"/>
              </w:rPr>
            </w:pPr>
            <w:r w:rsidRPr="001C6031">
              <w:rPr>
                <w:rFonts w:ascii="Arial" w:eastAsia="Calibri" w:hAnsi="Arial" w:cs="Arial"/>
                <w:sz w:val="20"/>
                <w:szCs w:val="20"/>
                <w:lang w:val="en-GB"/>
              </w:rPr>
              <w:t>47 units available in three languages under the unit system; 15 units updated in two languages to reflect decisions of statutory meetings; three new units on safeguarding plans, gender and sustainable development</w:t>
            </w:r>
          </w:p>
        </w:tc>
        <w:tc>
          <w:tcPr>
            <w:tcW w:w="4025" w:type="dxa"/>
            <w:shd w:val="clear" w:color="auto" w:fill="auto"/>
          </w:tcPr>
          <w:p w14:paraId="1E1B0629" w14:textId="6E0524B0" w:rsidR="00C2282C" w:rsidRPr="001C6031" w:rsidRDefault="00C2282C"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Major updating undertaken to reflect the decisions of </w:t>
            </w:r>
            <w:r w:rsidR="00DB2021" w:rsidRPr="001C6031">
              <w:rPr>
                <w:rFonts w:ascii="Arial" w:eastAsia="Calibri" w:hAnsi="Arial" w:cs="Arial"/>
                <w:sz w:val="20"/>
                <w:szCs w:val="20"/>
                <w:lang w:val="en-GB"/>
              </w:rPr>
              <w:t xml:space="preserve">8.COM, </w:t>
            </w:r>
            <w:r w:rsidRPr="001C6031">
              <w:rPr>
                <w:rFonts w:ascii="Arial" w:eastAsia="Calibri" w:hAnsi="Arial" w:cs="Arial"/>
                <w:sz w:val="20"/>
                <w:szCs w:val="20"/>
                <w:lang w:val="en-GB"/>
              </w:rPr>
              <w:t>9.COM and 5.GA and restructuring to convert the materials into a set of more than 50 distinct units rather than four separate courses</w:t>
            </w:r>
            <w:r w:rsidR="00E03F77">
              <w:rPr>
                <w:rFonts w:ascii="Arial" w:eastAsia="Calibri" w:hAnsi="Arial" w:cs="Arial"/>
                <w:sz w:val="20"/>
                <w:szCs w:val="20"/>
                <w:lang w:val="en-GB"/>
              </w:rPr>
              <w:t xml:space="preserve"> –</w:t>
            </w:r>
            <w:r w:rsidRPr="001C6031">
              <w:rPr>
                <w:rFonts w:ascii="Arial" w:eastAsia="Calibri" w:hAnsi="Arial" w:cs="Arial"/>
                <w:sz w:val="20"/>
                <w:szCs w:val="20"/>
                <w:lang w:val="en-GB"/>
              </w:rPr>
              <w:t xml:space="preserve"> 49 </w:t>
            </w:r>
            <w:r w:rsidR="009B2031">
              <w:rPr>
                <w:rFonts w:ascii="Arial" w:eastAsia="Calibri" w:hAnsi="Arial" w:cs="Arial"/>
                <w:sz w:val="20"/>
                <w:szCs w:val="20"/>
                <w:lang w:val="en-GB"/>
              </w:rPr>
              <w:t xml:space="preserve">of them </w:t>
            </w:r>
            <w:r w:rsidRPr="001C6031">
              <w:rPr>
                <w:rFonts w:ascii="Arial" w:eastAsia="Calibri" w:hAnsi="Arial" w:cs="Arial"/>
                <w:sz w:val="20"/>
                <w:szCs w:val="20"/>
                <w:lang w:val="en-GB"/>
              </w:rPr>
              <w:t>are already available online</w:t>
            </w:r>
            <w:r w:rsidR="00DB2021" w:rsidRPr="001C6031">
              <w:rPr>
                <w:rFonts w:ascii="Arial" w:eastAsia="Calibri" w:hAnsi="Arial" w:cs="Arial"/>
                <w:sz w:val="20"/>
                <w:szCs w:val="20"/>
                <w:lang w:val="en-GB"/>
              </w:rPr>
              <w:t xml:space="preserve"> in English, French and Spanish</w:t>
            </w:r>
            <w:r w:rsidR="0041162A">
              <w:rPr>
                <w:rFonts w:ascii="Arial" w:eastAsia="Calibri" w:hAnsi="Arial" w:cs="Arial"/>
                <w:sz w:val="20"/>
                <w:szCs w:val="20"/>
                <w:lang w:val="en-GB"/>
              </w:rPr>
              <w:t>.</w:t>
            </w:r>
          </w:p>
          <w:p w14:paraId="0663E1A3" w14:textId="02A3050A" w:rsidR="00C2282C" w:rsidRPr="001C6031" w:rsidRDefault="00C2282C"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Two new training units on gender and intangible cultural heritage and a new thematic unit on intangible cultural heritage and sustainable development finalized; comprehensive materials for a five-day workshop on safeguarding plans </w:t>
            </w:r>
            <w:r w:rsidR="00DB2021" w:rsidRPr="001C6031">
              <w:rPr>
                <w:rFonts w:ascii="Arial" w:eastAsia="Calibri" w:hAnsi="Arial" w:cs="Arial"/>
                <w:sz w:val="20"/>
                <w:szCs w:val="20"/>
                <w:lang w:val="en-GB"/>
              </w:rPr>
              <w:t>developed and tested</w:t>
            </w:r>
            <w:r w:rsidR="0041162A">
              <w:rPr>
                <w:rFonts w:ascii="Arial" w:eastAsia="Calibri" w:hAnsi="Arial" w:cs="Arial"/>
                <w:sz w:val="20"/>
                <w:szCs w:val="20"/>
                <w:lang w:val="en-GB"/>
              </w:rPr>
              <w:t>.</w:t>
            </w:r>
          </w:p>
          <w:p w14:paraId="05E6D635" w14:textId="1DA31A76" w:rsidR="0090044D" w:rsidRPr="001C6031" w:rsidRDefault="009136C6" w:rsidP="009B2031">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Draft</w:t>
            </w:r>
            <w:r w:rsidR="0090044D" w:rsidRPr="001C6031">
              <w:rPr>
                <w:rFonts w:ascii="Arial" w:eastAsia="Calibri" w:hAnsi="Arial" w:cs="Arial"/>
                <w:sz w:val="20"/>
                <w:szCs w:val="20"/>
                <w:lang w:val="en-GB"/>
              </w:rPr>
              <w:t>s developed for:</w:t>
            </w:r>
            <w:r w:rsidRPr="001C6031">
              <w:rPr>
                <w:rFonts w:ascii="Arial" w:eastAsia="Calibri" w:hAnsi="Arial" w:cs="Arial"/>
                <w:sz w:val="20"/>
                <w:szCs w:val="20"/>
                <w:lang w:val="en-GB"/>
              </w:rPr>
              <w:t xml:space="preserve"> </w:t>
            </w:r>
            <w:r w:rsidR="00A2614A" w:rsidRPr="001C6031">
              <w:rPr>
                <w:rFonts w:ascii="Arial" w:eastAsia="Calibri" w:hAnsi="Arial" w:cs="Arial"/>
                <w:sz w:val="20"/>
                <w:szCs w:val="20"/>
                <w:lang w:val="en-GB"/>
              </w:rPr>
              <w:t>(</w:t>
            </w:r>
            <w:proofErr w:type="spellStart"/>
            <w:r w:rsidR="00A2614A" w:rsidRPr="001C6031">
              <w:rPr>
                <w:rFonts w:ascii="Arial" w:eastAsia="Calibri" w:hAnsi="Arial" w:cs="Arial"/>
                <w:sz w:val="20"/>
                <w:szCs w:val="20"/>
                <w:lang w:val="en-GB"/>
              </w:rPr>
              <w:t>i</w:t>
            </w:r>
            <w:proofErr w:type="spellEnd"/>
            <w:r w:rsidR="00A2614A" w:rsidRPr="001C6031">
              <w:rPr>
                <w:rFonts w:ascii="Arial" w:eastAsia="Calibri" w:hAnsi="Arial" w:cs="Arial"/>
                <w:sz w:val="20"/>
                <w:szCs w:val="20"/>
                <w:lang w:val="en-GB"/>
              </w:rPr>
              <w:t xml:space="preserve">) </w:t>
            </w:r>
            <w:r w:rsidR="00A379BE" w:rsidRPr="001C6031">
              <w:rPr>
                <w:rFonts w:ascii="Arial" w:eastAsia="Calibri" w:hAnsi="Arial" w:cs="Arial"/>
                <w:sz w:val="20"/>
                <w:szCs w:val="20"/>
                <w:lang w:val="en-GB"/>
              </w:rPr>
              <w:t xml:space="preserve">training materials on how to request international assistance from the Fund </w:t>
            </w:r>
            <w:r w:rsidR="0090044D" w:rsidRPr="001C6031">
              <w:rPr>
                <w:rFonts w:ascii="Arial" w:eastAsia="Calibri" w:hAnsi="Arial" w:cs="Arial"/>
                <w:sz w:val="20"/>
                <w:szCs w:val="20"/>
                <w:lang w:val="en-GB"/>
              </w:rPr>
              <w:t>and</w:t>
            </w:r>
            <w:r w:rsidRPr="001C6031">
              <w:rPr>
                <w:rFonts w:ascii="Arial" w:eastAsia="Calibri" w:hAnsi="Arial" w:cs="Arial"/>
                <w:sz w:val="20"/>
                <w:szCs w:val="20"/>
                <w:lang w:val="en-GB"/>
              </w:rPr>
              <w:t xml:space="preserve"> </w:t>
            </w:r>
            <w:r w:rsidR="00A2614A" w:rsidRPr="001C6031">
              <w:rPr>
                <w:rFonts w:ascii="Arial" w:eastAsia="Calibri" w:hAnsi="Arial" w:cs="Arial"/>
                <w:sz w:val="20"/>
                <w:szCs w:val="20"/>
                <w:lang w:val="en-GB"/>
              </w:rPr>
              <w:t xml:space="preserve">(ii) </w:t>
            </w:r>
            <w:r w:rsidR="00A379BE" w:rsidRPr="001C6031">
              <w:rPr>
                <w:rFonts w:ascii="Arial" w:eastAsia="Calibri" w:hAnsi="Arial" w:cs="Arial"/>
                <w:sz w:val="20"/>
                <w:szCs w:val="20"/>
                <w:lang w:val="en-GB"/>
              </w:rPr>
              <w:t xml:space="preserve">a new unit on reporting on the current status of elements inscribed on the Convention’s </w:t>
            </w:r>
            <w:r w:rsidR="006D3D83">
              <w:rPr>
                <w:rFonts w:ascii="Arial" w:eastAsia="Calibri" w:hAnsi="Arial" w:cs="Arial"/>
                <w:sz w:val="20"/>
                <w:szCs w:val="20"/>
                <w:lang w:val="en-GB"/>
              </w:rPr>
              <w:t>L</w:t>
            </w:r>
            <w:r w:rsidR="00A379BE" w:rsidRPr="001C6031">
              <w:rPr>
                <w:rFonts w:ascii="Arial" w:eastAsia="Calibri" w:hAnsi="Arial" w:cs="Arial"/>
                <w:sz w:val="20"/>
                <w:szCs w:val="20"/>
                <w:lang w:val="en-GB"/>
              </w:rPr>
              <w:t>ist and a new mock multinational nomination to be integrated into the training materials on preparing nominations</w:t>
            </w:r>
            <w:r w:rsidR="0041162A">
              <w:rPr>
                <w:rFonts w:ascii="Arial" w:eastAsia="Calibri" w:hAnsi="Arial" w:cs="Arial"/>
                <w:sz w:val="20"/>
                <w:szCs w:val="20"/>
                <w:lang w:val="en-GB"/>
              </w:rPr>
              <w:t>.</w:t>
            </w:r>
          </w:p>
        </w:tc>
        <w:tc>
          <w:tcPr>
            <w:tcW w:w="1694" w:type="dxa"/>
          </w:tcPr>
          <w:p w14:paraId="1133F48C" w14:textId="1E10B8B5" w:rsidR="00C2282C" w:rsidRPr="001C6031" w:rsidRDefault="00A379BE" w:rsidP="005F7CB2">
            <w:pPr>
              <w:spacing w:before="60" w:after="60"/>
              <w:jc w:val="center"/>
              <w:rPr>
                <w:rFonts w:ascii="Arial" w:eastAsia="Calibri" w:hAnsi="Arial" w:cs="Arial"/>
                <w:sz w:val="20"/>
                <w:szCs w:val="20"/>
                <w:lang w:val="en-GB"/>
              </w:rPr>
            </w:pPr>
            <w:r>
              <w:rPr>
                <w:rFonts w:ascii="Arial" w:eastAsia="Calibri" w:hAnsi="Arial" w:cs="Arial"/>
                <w:sz w:val="20"/>
                <w:szCs w:val="20"/>
                <w:lang w:val="en-GB"/>
              </w:rPr>
              <w:t>Accomplished</w:t>
            </w:r>
          </w:p>
        </w:tc>
      </w:tr>
      <w:tr w:rsidR="00C2282C" w:rsidRPr="001C6031" w14:paraId="1C83238D" w14:textId="113949F2" w:rsidTr="00C2282C">
        <w:tc>
          <w:tcPr>
            <w:tcW w:w="0" w:type="auto"/>
            <w:shd w:val="clear" w:color="auto" w:fill="auto"/>
          </w:tcPr>
          <w:p w14:paraId="3939D43D" w14:textId="59EE8C76" w:rsidR="00C2282C" w:rsidRPr="001C6031" w:rsidRDefault="00C2282C" w:rsidP="00C421B8">
            <w:pPr>
              <w:spacing w:before="60" w:after="60"/>
              <w:rPr>
                <w:rFonts w:ascii="Arial" w:eastAsia="Calibri" w:hAnsi="Arial" w:cs="Arial"/>
                <w:b/>
                <w:sz w:val="20"/>
                <w:szCs w:val="20"/>
                <w:lang w:val="en-GB"/>
              </w:rPr>
            </w:pPr>
            <w:r w:rsidRPr="001C6031">
              <w:rPr>
                <w:rFonts w:ascii="Arial" w:eastAsia="Calibri" w:hAnsi="Arial" w:cs="Arial"/>
                <w:b/>
                <w:sz w:val="20"/>
                <w:szCs w:val="20"/>
                <w:lang w:val="en-GB"/>
              </w:rPr>
              <w:t xml:space="preserve">O: </w:t>
            </w:r>
          </w:p>
          <w:p w14:paraId="7A9002D9" w14:textId="77777777" w:rsidR="00C2282C" w:rsidRPr="001C6031" w:rsidRDefault="00C2282C" w:rsidP="005F7CB2">
            <w:pPr>
              <w:spacing w:before="60" w:after="60"/>
              <w:rPr>
                <w:rFonts w:ascii="Arial" w:eastAsia="Calibri" w:hAnsi="Arial" w:cs="Arial"/>
                <w:sz w:val="20"/>
                <w:szCs w:val="20"/>
                <w:lang w:val="en-GB"/>
              </w:rPr>
            </w:pPr>
            <w:r w:rsidRPr="001C6031">
              <w:rPr>
                <w:rFonts w:ascii="Arial" w:eastAsia="Calibri" w:hAnsi="Arial" w:cs="Arial"/>
                <w:sz w:val="20"/>
                <w:szCs w:val="20"/>
                <w:lang w:val="en-GB"/>
              </w:rPr>
              <w:t>Appropriate capacity-building formats and approaches developed and tested to support countries in the development of legislation and policy</w:t>
            </w:r>
          </w:p>
          <w:p w14:paraId="01CA3E37" w14:textId="77777777" w:rsidR="00C2282C" w:rsidRPr="001C6031" w:rsidRDefault="00C2282C" w:rsidP="005F7CB2">
            <w:pPr>
              <w:keepNext/>
              <w:spacing w:before="60" w:after="60"/>
              <w:rPr>
                <w:rFonts w:ascii="Arial" w:hAnsi="Arial" w:cs="Arial"/>
                <w:b/>
                <w:sz w:val="20"/>
                <w:szCs w:val="20"/>
                <w:lang w:val="en-GB"/>
              </w:rPr>
            </w:pPr>
            <w:r w:rsidRPr="001C6031">
              <w:rPr>
                <w:rFonts w:ascii="Arial" w:hAnsi="Arial" w:cs="Arial"/>
                <w:b/>
                <w:sz w:val="20"/>
                <w:szCs w:val="20"/>
                <w:lang w:val="en-GB"/>
              </w:rPr>
              <w:t xml:space="preserve">B 2014-2015: </w:t>
            </w:r>
          </w:p>
          <w:p w14:paraId="46C16F5D" w14:textId="05D5FDD0" w:rsidR="00C2282C" w:rsidRPr="001C6031" w:rsidRDefault="00C2282C" w:rsidP="005F7CB2">
            <w:pPr>
              <w:spacing w:before="60" w:after="60"/>
              <w:rPr>
                <w:rFonts w:ascii="Arial" w:eastAsia="Calibri" w:hAnsi="Arial" w:cs="Arial"/>
                <w:sz w:val="20"/>
                <w:szCs w:val="20"/>
                <w:lang w:val="en-GB"/>
              </w:rPr>
            </w:pPr>
            <w:r w:rsidRPr="001C6031">
              <w:rPr>
                <w:rFonts w:ascii="Arial" w:eastAsia="Calibri" w:hAnsi="Arial" w:cs="Arial"/>
                <w:sz w:val="20"/>
                <w:szCs w:val="20"/>
                <w:lang w:val="en-GB"/>
              </w:rPr>
              <w:t>A workshop and issues paper on effectively providing policy advice; methodological approach to policy advice developed and piloted; a thematic unit on policy advice substantially revised; needs assessments carried out in two potential beneficiary countries of the capacity-building programme</w:t>
            </w:r>
          </w:p>
        </w:tc>
        <w:tc>
          <w:tcPr>
            <w:tcW w:w="4025" w:type="dxa"/>
            <w:shd w:val="clear" w:color="auto" w:fill="auto"/>
          </w:tcPr>
          <w:p w14:paraId="6DC3DBF6" w14:textId="7DAD651D" w:rsidR="00C2282C" w:rsidRPr="001C6031" w:rsidRDefault="00C2282C"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A workshop was organized </w:t>
            </w:r>
            <w:r w:rsidR="000C1FBA" w:rsidRPr="001C6031">
              <w:rPr>
                <w:rFonts w:ascii="Arial" w:eastAsia="Calibri" w:hAnsi="Arial" w:cs="Arial"/>
                <w:sz w:val="20"/>
                <w:szCs w:val="20"/>
                <w:lang w:val="en-GB"/>
              </w:rPr>
              <w:t>to analyse approaches to policy advice used elsewhere in UNESCO and other agencies to learn from them</w:t>
            </w:r>
            <w:r w:rsidR="000C1FBA">
              <w:rPr>
                <w:rFonts w:ascii="Arial" w:eastAsia="Calibri" w:hAnsi="Arial" w:cs="Arial"/>
                <w:sz w:val="20"/>
                <w:szCs w:val="20"/>
                <w:lang w:val="en-GB"/>
              </w:rPr>
              <w:t>;</w:t>
            </w:r>
            <w:r w:rsidR="000C1FBA" w:rsidRPr="001C6031">
              <w:rPr>
                <w:rFonts w:ascii="Arial" w:eastAsia="Calibri" w:hAnsi="Arial" w:cs="Arial"/>
                <w:sz w:val="20"/>
                <w:szCs w:val="20"/>
                <w:lang w:val="en-GB"/>
              </w:rPr>
              <w:t xml:space="preserve"> </w:t>
            </w:r>
            <w:r w:rsidRPr="001C6031">
              <w:rPr>
                <w:rFonts w:ascii="Arial" w:eastAsia="Calibri" w:hAnsi="Arial" w:cs="Arial"/>
                <w:sz w:val="20"/>
                <w:szCs w:val="20"/>
                <w:lang w:val="en-GB"/>
              </w:rPr>
              <w:t xml:space="preserve">the </w:t>
            </w:r>
            <w:r w:rsidR="000C1FBA">
              <w:rPr>
                <w:rFonts w:ascii="Arial" w:eastAsia="Calibri" w:hAnsi="Arial" w:cs="Arial"/>
                <w:sz w:val="20"/>
                <w:szCs w:val="20"/>
                <w:lang w:val="en-GB"/>
              </w:rPr>
              <w:t>participants included</w:t>
            </w:r>
            <w:r w:rsidRPr="001C6031">
              <w:rPr>
                <w:rFonts w:ascii="Arial" w:eastAsia="Calibri" w:hAnsi="Arial" w:cs="Arial"/>
                <w:sz w:val="20"/>
                <w:szCs w:val="20"/>
                <w:lang w:val="en-GB"/>
              </w:rPr>
              <w:t xml:space="preserve"> </w:t>
            </w:r>
            <w:r w:rsidR="000C1FBA">
              <w:rPr>
                <w:rFonts w:ascii="Arial" w:eastAsia="Calibri" w:hAnsi="Arial" w:cs="Arial"/>
                <w:sz w:val="20"/>
                <w:szCs w:val="20"/>
                <w:lang w:val="en-GB"/>
              </w:rPr>
              <w:t>the Secretariat of</w:t>
            </w:r>
            <w:r w:rsidRPr="001C6031">
              <w:rPr>
                <w:rFonts w:ascii="Arial" w:eastAsia="Calibri" w:hAnsi="Arial" w:cs="Arial"/>
                <w:sz w:val="20"/>
                <w:szCs w:val="20"/>
                <w:lang w:val="en-GB"/>
              </w:rPr>
              <w:t xml:space="preserve"> the 2003 Convention and that of the 2005 Convention on the Protection and Promotion of the Diversity of Cultural Expressions</w:t>
            </w:r>
            <w:r w:rsidR="006D3D83">
              <w:rPr>
                <w:rFonts w:ascii="Arial" w:eastAsia="Calibri" w:hAnsi="Arial" w:cs="Arial"/>
                <w:sz w:val="20"/>
                <w:szCs w:val="20"/>
                <w:lang w:val="en-GB"/>
              </w:rPr>
              <w:t>,</w:t>
            </w:r>
            <w:r w:rsidRPr="001C6031">
              <w:rPr>
                <w:rFonts w:ascii="Arial" w:eastAsia="Calibri" w:hAnsi="Arial" w:cs="Arial"/>
                <w:sz w:val="20"/>
                <w:szCs w:val="20"/>
                <w:lang w:val="en-GB"/>
              </w:rPr>
              <w:t xml:space="preserve"> guest speakers from United Nations Environment Programme (UNEP)</w:t>
            </w:r>
            <w:r w:rsidR="000C1FBA">
              <w:rPr>
                <w:rFonts w:ascii="Arial" w:eastAsia="Calibri" w:hAnsi="Arial" w:cs="Arial"/>
                <w:sz w:val="20"/>
                <w:szCs w:val="20"/>
                <w:lang w:val="en-GB"/>
              </w:rPr>
              <w:t xml:space="preserve"> and</w:t>
            </w:r>
            <w:r w:rsidRPr="001C6031">
              <w:rPr>
                <w:rFonts w:ascii="Arial" w:eastAsia="Calibri" w:hAnsi="Arial" w:cs="Arial"/>
                <w:sz w:val="20"/>
                <w:szCs w:val="20"/>
                <w:lang w:val="en-GB"/>
              </w:rPr>
              <w:t xml:space="preserve"> UNESCO’s Education Sector and the International Institute for Educational Planning (IIEP).</w:t>
            </w:r>
          </w:p>
          <w:p w14:paraId="548BACF6" w14:textId="000D0060" w:rsidR="00C2282C" w:rsidRPr="001C6031" w:rsidRDefault="00C2282C"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A comprehensive Guidance Note addressed to experts engaged by UNESCO to provide advisory services for policy development in the field of intangible cultural heritage developed</w:t>
            </w:r>
            <w:r w:rsidR="0041162A">
              <w:rPr>
                <w:rFonts w:ascii="Arial" w:eastAsia="Calibri" w:hAnsi="Arial" w:cs="Arial"/>
                <w:sz w:val="20"/>
                <w:szCs w:val="20"/>
                <w:lang w:val="en-GB"/>
              </w:rPr>
              <w:t>.</w:t>
            </w:r>
          </w:p>
          <w:p w14:paraId="2E14D468" w14:textId="37303156" w:rsidR="00C2282C" w:rsidRPr="001C6031" w:rsidRDefault="00C2282C"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A </w:t>
            </w:r>
            <w:r w:rsidR="00A2614A" w:rsidRPr="001C6031">
              <w:rPr>
                <w:rFonts w:ascii="Arial" w:eastAsia="Calibri" w:hAnsi="Arial" w:cs="Arial"/>
                <w:sz w:val="20"/>
                <w:szCs w:val="20"/>
                <w:lang w:val="en-GB"/>
              </w:rPr>
              <w:t xml:space="preserve">new </w:t>
            </w:r>
            <w:r w:rsidRPr="001C6031">
              <w:rPr>
                <w:rFonts w:ascii="Arial" w:eastAsia="Calibri" w:hAnsi="Arial" w:cs="Arial"/>
                <w:sz w:val="20"/>
                <w:szCs w:val="20"/>
                <w:lang w:val="en-GB"/>
              </w:rPr>
              <w:t xml:space="preserve">unit </w:t>
            </w:r>
            <w:r w:rsidR="009136C6" w:rsidRPr="001C6031">
              <w:rPr>
                <w:rFonts w:ascii="Arial" w:eastAsia="Calibri" w:hAnsi="Arial" w:cs="Arial"/>
                <w:sz w:val="20"/>
                <w:szCs w:val="20"/>
                <w:lang w:val="en-GB"/>
              </w:rPr>
              <w:t>for conducting a workshop on</w:t>
            </w:r>
            <w:r w:rsidRPr="001C6031">
              <w:rPr>
                <w:rFonts w:ascii="Arial" w:eastAsia="Calibri" w:hAnsi="Arial" w:cs="Arial"/>
                <w:sz w:val="20"/>
                <w:szCs w:val="20"/>
                <w:lang w:val="en-GB"/>
              </w:rPr>
              <w:t xml:space="preserve"> ‘policy development for intangible cultural heritage safeguarding</w:t>
            </w:r>
            <w:r w:rsidR="009136C6" w:rsidRPr="001C6031">
              <w:rPr>
                <w:rFonts w:ascii="Arial" w:eastAsia="Calibri" w:hAnsi="Arial" w:cs="Arial"/>
                <w:sz w:val="20"/>
                <w:szCs w:val="20"/>
                <w:lang w:val="en-GB"/>
              </w:rPr>
              <w:t>’</w:t>
            </w:r>
            <w:r w:rsidR="00484E0F" w:rsidRPr="001C6031">
              <w:rPr>
                <w:rFonts w:ascii="Arial" w:eastAsia="Calibri" w:hAnsi="Arial" w:cs="Arial"/>
                <w:sz w:val="20"/>
                <w:szCs w:val="20"/>
                <w:lang w:val="en-GB"/>
              </w:rPr>
              <w:t xml:space="preserve"> developed</w:t>
            </w:r>
            <w:r w:rsidR="00A2614A" w:rsidRPr="001C6031">
              <w:rPr>
                <w:rFonts w:ascii="Arial" w:eastAsia="Calibri" w:hAnsi="Arial" w:cs="Arial"/>
                <w:sz w:val="20"/>
                <w:szCs w:val="20"/>
                <w:lang w:val="en-GB"/>
              </w:rPr>
              <w:t xml:space="preserve"> and the existing unit on ‘ICH policies and institutions’ substantially revised</w:t>
            </w:r>
            <w:r w:rsidR="0041162A">
              <w:rPr>
                <w:rFonts w:ascii="Arial" w:eastAsia="Calibri" w:hAnsi="Arial" w:cs="Arial"/>
                <w:sz w:val="20"/>
                <w:szCs w:val="20"/>
                <w:lang w:val="en-GB"/>
              </w:rPr>
              <w:t>.</w:t>
            </w:r>
          </w:p>
          <w:p w14:paraId="05DA2326" w14:textId="4C34A24D" w:rsidR="00C2282C" w:rsidRPr="001C6031" w:rsidRDefault="00484E0F"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Needs assessment carried out in Fiji </w:t>
            </w:r>
            <w:r w:rsidRPr="00357ABE">
              <w:rPr>
                <w:rFonts w:ascii="Arial" w:eastAsia="Calibri" w:hAnsi="Arial" w:cs="Arial"/>
                <w:sz w:val="20"/>
                <w:szCs w:val="20"/>
                <w:lang w:val="en-GB"/>
              </w:rPr>
              <w:t xml:space="preserve">and </w:t>
            </w:r>
            <w:r w:rsidRPr="00473C13">
              <w:rPr>
                <w:rFonts w:ascii="Arial" w:eastAsia="Calibri" w:hAnsi="Arial" w:cs="Arial"/>
                <w:sz w:val="20"/>
                <w:szCs w:val="20"/>
                <w:lang w:val="en-GB"/>
              </w:rPr>
              <w:t>Ethiopia</w:t>
            </w:r>
            <w:r w:rsidRPr="001C6031">
              <w:rPr>
                <w:rFonts w:ascii="Arial" w:eastAsia="Calibri" w:hAnsi="Arial" w:cs="Arial"/>
                <w:sz w:val="20"/>
                <w:szCs w:val="20"/>
                <w:lang w:val="en-GB"/>
              </w:rPr>
              <w:t xml:space="preserve"> (the former was subsequently included in the second phase of a capacity-building programme in Asia </w:t>
            </w:r>
            <w:r w:rsidR="00C43B04">
              <w:rPr>
                <w:rFonts w:ascii="Arial" w:eastAsia="Calibri" w:hAnsi="Arial" w:cs="Arial"/>
                <w:sz w:val="20"/>
                <w:szCs w:val="20"/>
                <w:lang w:val="en-GB"/>
              </w:rPr>
              <w:t xml:space="preserve">and the </w:t>
            </w:r>
            <w:r w:rsidRPr="001C6031">
              <w:rPr>
                <w:rFonts w:ascii="Arial" w:eastAsia="Calibri" w:hAnsi="Arial" w:cs="Arial"/>
                <w:sz w:val="20"/>
                <w:szCs w:val="20"/>
                <w:lang w:val="en-GB"/>
              </w:rPr>
              <w:t>Pacific supported by UNESCO/Japan Funds-in-Trust)</w:t>
            </w:r>
            <w:r w:rsidR="0041162A">
              <w:rPr>
                <w:rFonts w:ascii="Arial" w:eastAsia="Calibri" w:hAnsi="Arial" w:cs="Arial"/>
                <w:sz w:val="20"/>
                <w:szCs w:val="20"/>
                <w:lang w:val="en-GB"/>
              </w:rPr>
              <w:t>.</w:t>
            </w:r>
          </w:p>
        </w:tc>
        <w:tc>
          <w:tcPr>
            <w:tcW w:w="1694" w:type="dxa"/>
          </w:tcPr>
          <w:p w14:paraId="5DD68D66" w14:textId="028AAE88" w:rsidR="00C2282C" w:rsidRPr="001C6031" w:rsidRDefault="004E3497" w:rsidP="005F7CB2">
            <w:pPr>
              <w:pStyle w:val="ListParagraph"/>
              <w:spacing w:before="60" w:after="60"/>
              <w:ind w:left="357"/>
              <w:contextualSpacing w:val="0"/>
              <w:rPr>
                <w:rFonts w:ascii="Arial" w:eastAsia="Calibri" w:hAnsi="Arial" w:cs="Arial"/>
                <w:sz w:val="20"/>
                <w:szCs w:val="20"/>
                <w:lang w:val="en-GB"/>
              </w:rPr>
            </w:pPr>
            <w:r>
              <w:rPr>
                <w:rFonts w:ascii="Arial" w:eastAsia="Calibri" w:hAnsi="Arial" w:cs="Arial"/>
                <w:sz w:val="20"/>
                <w:szCs w:val="20"/>
                <w:lang w:val="en-GB"/>
              </w:rPr>
              <w:t>Accomplished</w:t>
            </w:r>
          </w:p>
        </w:tc>
      </w:tr>
      <w:tr w:rsidR="00C2282C" w:rsidRPr="001C6031" w14:paraId="3678BAAA" w14:textId="0AFB5CA6" w:rsidTr="00C2282C">
        <w:tc>
          <w:tcPr>
            <w:tcW w:w="0" w:type="auto"/>
            <w:shd w:val="clear" w:color="auto" w:fill="auto"/>
          </w:tcPr>
          <w:p w14:paraId="6DF79B48" w14:textId="71CC53ED" w:rsidR="00C2282C" w:rsidRPr="001C6031" w:rsidRDefault="00C2282C" w:rsidP="00473C13">
            <w:pPr>
              <w:spacing w:before="60" w:after="60"/>
              <w:rPr>
                <w:rFonts w:ascii="Arial" w:eastAsia="Calibri" w:hAnsi="Arial" w:cs="Arial"/>
                <w:b/>
                <w:sz w:val="20"/>
                <w:szCs w:val="20"/>
                <w:lang w:val="en-GB"/>
              </w:rPr>
            </w:pPr>
            <w:r w:rsidRPr="001C6031">
              <w:rPr>
                <w:rFonts w:ascii="Arial" w:eastAsia="Calibri" w:hAnsi="Arial" w:cs="Arial"/>
                <w:b/>
                <w:sz w:val="20"/>
                <w:szCs w:val="20"/>
                <w:lang w:val="en-GB"/>
              </w:rPr>
              <w:t>O:</w:t>
            </w:r>
          </w:p>
          <w:p w14:paraId="4F0D08CC" w14:textId="77777777" w:rsidR="00C2282C" w:rsidRPr="001C6031" w:rsidRDefault="00C2282C" w:rsidP="005F7CB2">
            <w:pPr>
              <w:spacing w:before="60" w:after="60"/>
              <w:rPr>
                <w:rFonts w:ascii="Arial" w:eastAsia="Calibri" w:hAnsi="Arial" w:cs="Arial"/>
                <w:sz w:val="20"/>
                <w:szCs w:val="20"/>
                <w:lang w:val="en-GB"/>
              </w:rPr>
            </w:pPr>
            <w:r w:rsidRPr="001C6031">
              <w:rPr>
                <w:rFonts w:ascii="Arial" w:eastAsia="Calibri" w:hAnsi="Arial" w:cs="Arial"/>
                <w:sz w:val="20"/>
                <w:szCs w:val="20"/>
                <w:lang w:val="en-GB"/>
              </w:rPr>
              <w:t>Capacity-building programme planning, implementation and monitoring strengthened through improved information systems</w:t>
            </w:r>
          </w:p>
          <w:p w14:paraId="42176CD3" w14:textId="77777777" w:rsidR="00C2282C" w:rsidRPr="001C6031" w:rsidRDefault="00C2282C" w:rsidP="005F7CB2">
            <w:pPr>
              <w:spacing w:before="60" w:after="60"/>
              <w:rPr>
                <w:rFonts w:ascii="Arial" w:hAnsi="Arial" w:cs="Arial"/>
                <w:b/>
                <w:sz w:val="20"/>
                <w:szCs w:val="20"/>
                <w:lang w:val="en-GB"/>
              </w:rPr>
            </w:pPr>
            <w:r w:rsidRPr="001C6031">
              <w:rPr>
                <w:rFonts w:ascii="Arial" w:hAnsi="Arial" w:cs="Arial"/>
                <w:b/>
                <w:sz w:val="20"/>
                <w:szCs w:val="20"/>
                <w:lang w:val="en-GB"/>
              </w:rPr>
              <w:t xml:space="preserve">B 2014-2015: </w:t>
            </w:r>
          </w:p>
          <w:p w14:paraId="17B6B804" w14:textId="77777777" w:rsidR="00C2282C" w:rsidRPr="001C6031" w:rsidRDefault="00C2282C" w:rsidP="005F7CB2">
            <w:pPr>
              <w:spacing w:before="60" w:after="60"/>
              <w:rPr>
                <w:rFonts w:ascii="Arial" w:eastAsia="Calibri" w:hAnsi="Arial" w:cs="Arial"/>
                <w:sz w:val="20"/>
                <w:szCs w:val="20"/>
                <w:lang w:val="en-GB"/>
              </w:rPr>
            </w:pPr>
            <w:r w:rsidRPr="001C6031">
              <w:rPr>
                <w:rFonts w:ascii="Arial" w:eastAsia="Calibri" w:hAnsi="Arial" w:cs="Arial"/>
                <w:sz w:val="20"/>
                <w:szCs w:val="20"/>
                <w:lang w:val="en-GB"/>
              </w:rPr>
              <w:t>Three IT functionalities developed for curriculum management, information-exchange among facilitators and monitoring and evaluation of capacity-building projects</w:t>
            </w:r>
          </w:p>
        </w:tc>
        <w:tc>
          <w:tcPr>
            <w:tcW w:w="4025" w:type="dxa"/>
            <w:shd w:val="clear" w:color="auto" w:fill="auto"/>
          </w:tcPr>
          <w:p w14:paraId="7E4FE0BA" w14:textId="0DD419A7" w:rsidR="00C2282C" w:rsidRPr="001C6031" w:rsidRDefault="00BB5F55"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New interface</w:t>
            </w:r>
            <w:r w:rsidR="00C2282C" w:rsidRPr="001C6031">
              <w:rPr>
                <w:rFonts w:ascii="Arial" w:eastAsia="Calibri" w:hAnsi="Arial" w:cs="Arial"/>
                <w:sz w:val="20"/>
                <w:szCs w:val="20"/>
                <w:lang w:val="en-GB"/>
              </w:rPr>
              <w:t xml:space="preserve"> </w:t>
            </w:r>
            <w:r w:rsidR="0010511F">
              <w:rPr>
                <w:rFonts w:ascii="Arial" w:eastAsia="Calibri" w:hAnsi="Arial" w:cs="Arial"/>
                <w:sz w:val="20"/>
                <w:szCs w:val="20"/>
                <w:lang w:val="en-GB"/>
              </w:rPr>
              <w:t>developed</w:t>
            </w:r>
            <w:r w:rsidR="0010511F" w:rsidRPr="001C6031">
              <w:rPr>
                <w:rFonts w:ascii="Arial" w:eastAsia="Calibri" w:hAnsi="Arial" w:cs="Arial"/>
                <w:sz w:val="20"/>
                <w:szCs w:val="20"/>
                <w:lang w:val="en-GB"/>
              </w:rPr>
              <w:t xml:space="preserve"> </w:t>
            </w:r>
            <w:r w:rsidR="00C2282C" w:rsidRPr="001C6031">
              <w:rPr>
                <w:rFonts w:ascii="Arial" w:eastAsia="Calibri" w:hAnsi="Arial" w:cs="Arial"/>
                <w:sz w:val="20"/>
                <w:szCs w:val="20"/>
                <w:lang w:val="en-GB"/>
              </w:rPr>
              <w:t>providing facilitators with</w:t>
            </w:r>
            <w:r w:rsidRPr="001C6031">
              <w:rPr>
                <w:rFonts w:ascii="Arial" w:eastAsia="Calibri" w:hAnsi="Arial" w:cs="Arial"/>
                <w:sz w:val="20"/>
                <w:szCs w:val="20"/>
                <w:lang w:val="en-GB"/>
              </w:rPr>
              <w:t xml:space="preserve"> </w:t>
            </w:r>
            <w:r w:rsidR="00C2282C" w:rsidRPr="001C6031">
              <w:rPr>
                <w:rFonts w:ascii="Arial" w:eastAsia="Calibri" w:hAnsi="Arial" w:cs="Arial"/>
                <w:sz w:val="20"/>
                <w:szCs w:val="20"/>
                <w:lang w:val="en-GB"/>
              </w:rPr>
              <w:t>improved access to capacity</w:t>
            </w:r>
            <w:r w:rsidR="003774E5">
              <w:rPr>
                <w:rFonts w:ascii="Arial" w:eastAsia="Calibri" w:hAnsi="Arial" w:cs="Arial"/>
                <w:sz w:val="20"/>
                <w:szCs w:val="20"/>
                <w:lang w:val="en-GB"/>
              </w:rPr>
              <w:t>-</w:t>
            </w:r>
            <w:r w:rsidR="00C2282C" w:rsidRPr="001C6031">
              <w:rPr>
                <w:rFonts w:ascii="Arial" w:eastAsia="Calibri" w:hAnsi="Arial" w:cs="Arial"/>
                <w:sz w:val="20"/>
                <w:szCs w:val="20"/>
                <w:lang w:val="en-GB"/>
              </w:rPr>
              <w:t>building materials</w:t>
            </w:r>
            <w:r w:rsidR="0041162A">
              <w:rPr>
                <w:rFonts w:ascii="Arial" w:eastAsia="Calibri" w:hAnsi="Arial" w:cs="Arial"/>
                <w:sz w:val="20"/>
                <w:szCs w:val="20"/>
                <w:lang w:val="en-GB"/>
              </w:rPr>
              <w:t>.</w:t>
            </w:r>
          </w:p>
          <w:p w14:paraId="3FBF4D61" w14:textId="086A53F5" w:rsidR="00BB5F55" w:rsidRPr="001C6031" w:rsidRDefault="00BB5F55"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Form </w:t>
            </w:r>
            <w:r w:rsidR="0010511F">
              <w:rPr>
                <w:rFonts w:ascii="Arial" w:eastAsia="Calibri" w:hAnsi="Arial" w:cs="Arial"/>
                <w:sz w:val="20"/>
                <w:szCs w:val="20"/>
                <w:lang w:val="en-GB"/>
              </w:rPr>
              <w:t xml:space="preserve">developed </w:t>
            </w:r>
            <w:r w:rsidRPr="001C6031">
              <w:rPr>
                <w:rFonts w:ascii="Arial" w:eastAsia="Calibri" w:hAnsi="Arial" w:cs="Arial"/>
                <w:sz w:val="20"/>
                <w:szCs w:val="20"/>
                <w:lang w:val="en-GB"/>
              </w:rPr>
              <w:t>for external users to request online access to capacity-building materials, and automated creation of accounts to grant access</w:t>
            </w:r>
            <w:r w:rsidR="0041162A">
              <w:rPr>
                <w:rFonts w:ascii="Arial" w:eastAsia="Calibri" w:hAnsi="Arial" w:cs="Arial"/>
                <w:sz w:val="20"/>
                <w:szCs w:val="20"/>
                <w:lang w:val="en-GB"/>
              </w:rPr>
              <w:t>.</w:t>
            </w:r>
          </w:p>
          <w:p w14:paraId="0187BB8F" w14:textId="204A8E69" w:rsidR="00BB5F55" w:rsidRPr="001C6031" w:rsidRDefault="00BB5F55"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An integrated interface developed to provide consolidated information on capacity-building projects, along with related news and meetings</w:t>
            </w:r>
            <w:r w:rsidR="0041162A">
              <w:rPr>
                <w:rFonts w:ascii="Arial" w:eastAsia="Calibri" w:hAnsi="Arial" w:cs="Arial"/>
                <w:sz w:val="20"/>
                <w:szCs w:val="20"/>
                <w:lang w:val="en-GB"/>
              </w:rPr>
              <w:t>.</w:t>
            </w:r>
          </w:p>
          <w:p w14:paraId="57BE315E" w14:textId="1CE8C6AE" w:rsidR="00AB42FF" w:rsidRPr="001C6031" w:rsidRDefault="0010511F" w:rsidP="00E768E0">
            <w:pPr>
              <w:pStyle w:val="ListParagraph"/>
              <w:numPr>
                <w:ilvl w:val="0"/>
                <w:numId w:val="27"/>
              </w:numPr>
              <w:spacing w:before="60" w:after="60"/>
              <w:ind w:left="357" w:hanging="357"/>
              <w:contextualSpacing w:val="0"/>
              <w:rPr>
                <w:rFonts w:ascii="Arial" w:eastAsia="Calibri" w:hAnsi="Arial" w:cs="Arial"/>
                <w:sz w:val="20"/>
                <w:szCs w:val="20"/>
                <w:lang w:val="en-GB"/>
              </w:rPr>
            </w:pPr>
            <w:r>
              <w:rPr>
                <w:rFonts w:ascii="Arial" w:eastAsia="Calibri" w:hAnsi="Arial" w:cs="Arial"/>
                <w:sz w:val="20"/>
                <w:szCs w:val="20"/>
                <w:lang w:val="en-GB"/>
              </w:rPr>
              <w:t>Substantial</w:t>
            </w:r>
            <w:r w:rsidRPr="001C6031">
              <w:rPr>
                <w:rFonts w:ascii="Arial" w:eastAsia="Calibri" w:hAnsi="Arial" w:cs="Arial"/>
                <w:sz w:val="20"/>
                <w:szCs w:val="20"/>
                <w:lang w:val="en-GB"/>
              </w:rPr>
              <w:t xml:space="preserve"> </w:t>
            </w:r>
            <w:r w:rsidR="00203F98" w:rsidRPr="001C6031">
              <w:rPr>
                <w:rFonts w:ascii="Arial" w:eastAsia="Calibri" w:hAnsi="Arial" w:cs="Arial"/>
                <w:sz w:val="20"/>
                <w:szCs w:val="20"/>
                <w:lang w:val="en-GB"/>
              </w:rPr>
              <w:t xml:space="preserve">developments undertaken to provide a tool for expert-facilitators to </w:t>
            </w:r>
            <w:r w:rsidR="009775BF" w:rsidRPr="001C6031">
              <w:rPr>
                <w:rFonts w:ascii="Arial" w:eastAsia="Calibri" w:hAnsi="Arial" w:cs="Arial"/>
                <w:sz w:val="20"/>
                <w:szCs w:val="20"/>
                <w:lang w:val="en-GB"/>
              </w:rPr>
              <w:t xml:space="preserve">make </w:t>
            </w:r>
            <w:r w:rsidR="00203F98" w:rsidRPr="001C6031">
              <w:rPr>
                <w:rFonts w:ascii="Arial" w:eastAsia="Calibri" w:hAnsi="Arial" w:cs="Arial"/>
                <w:sz w:val="20"/>
                <w:szCs w:val="20"/>
                <w:lang w:val="en-GB"/>
              </w:rPr>
              <w:t>workshop content</w:t>
            </w:r>
            <w:r w:rsidR="009775BF" w:rsidRPr="001C6031">
              <w:rPr>
                <w:rFonts w:ascii="Arial" w:eastAsia="Calibri" w:hAnsi="Arial" w:cs="Arial"/>
                <w:sz w:val="20"/>
                <w:szCs w:val="20"/>
                <w:lang w:val="en-GB"/>
              </w:rPr>
              <w:t xml:space="preserve"> </w:t>
            </w:r>
            <w:r w:rsidR="009775BF" w:rsidRPr="001C6031">
              <w:rPr>
                <w:rFonts w:ascii="Arial" w:eastAsia="Calibri" w:hAnsi="Arial" w:cs="Arial"/>
                <w:i/>
                <w:sz w:val="20"/>
                <w:szCs w:val="20"/>
                <w:lang w:val="en-GB"/>
              </w:rPr>
              <w:t>à la carte</w:t>
            </w:r>
            <w:r w:rsidR="00203F98" w:rsidRPr="001C6031">
              <w:rPr>
                <w:rFonts w:ascii="Arial" w:eastAsia="Calibri" w:hAnsi="Arial" w:cs="Arial"/>
                <w:sz w:val="20"/>
                <w:szCs w:val="20"/>
                <w:lang w:val="en-GB"/>
              </w:rPr>
              <w:t xml:space="preserve"> and download selected </w:t>
            </w:r>
            <w:r w:rsidR="009775BF" w:rsidRPr="001C6031">
              <w:rPr>
                <w:rFonts w:ascii="Arial" w:eastAsia="Calibri" w:hAnsi="Arial" w:cs="Arial"/>
                <w:sz w:val="20"/>
                <w:szCs w:val="20"/>
                <w:lang w:val="en-GB"/>
              </w:rPr>
              <w:t xml:space="preserve">training </w:t>
            </w:r>
            <w:r w:rsidR="00203F98" w:rsidRPr="001C6031">
              <w:rPr>
                <w:rFonts w:ascii="Arial" w:eastAsia="Calibri" w:hAnsi="Arial" w:cs="Arial"/>
                <w:sz w:val="20"/>
                <w:szCs w:val="20"/>
                <w:lang w:val="en-GB"/>
              </w:rPr>
              <w:t>materials.</w:t>
            </w:r>
            <w:r w:rsidR="00E768E0" w:rsidRPr="001C6031" w:rsidDel="00E768E0">
              <w:rPr>
                <w:rFonts w:ascii="Arial" w:eastAsia="Calibri" w:hAnsi="Arial" w:cs="Arial"/>
                <w:sz w:val="20"/>
                <w:szCs w:val="20"/>
                <w:lang w:val="en-GB"/>
              </w:rPr>
              <w:t xml:space="preserve"> </w:t>
            </w:r>
          </w:p>
        </w:tc>
        <w:tc>
          <w:tcPr>
            <w:tcW w:w="1694" w:type="dxa"/>
          </w:tcPr>
          <w:p w14:paraId="681DF091" w14:textId="1A9A4AF2" w:rsidR="00C2282C" w:rsidRPr="001C6031" w:rsidRDefault="001A5BDE" w:rsidP="005F7CB2">
            <w:pPr>
              <w:spacing w:before="60" w:after="60"/>
              <w:jc w:val="center"/>
              <w:rPr>
                <w:rFonts w:ascii="Arial" w:eastAsia="Calibri" w:hAnsi="Arial" w:cs="Arial"/>
                <w:sz w:val="20"/>
                <w:szCs w:val="20"/>
                <w:lang w:val="en-GB"/>
              </w:rPr>
            </w:pPr>
            <w:r>
              <w:rPr>
                <w:rFonts w:ascii="Arial" w:eastAsia="Calibri" w:hAnsi="Arial" w:cs="Arial"/>
                <w:sz w:val="20"/>
                <w:szCs w:val="20"/>
                <w:lang w:val="en-GB"/>
              </w:rPr>
              <w:t>Accomplished</w:t>
            </w:r>
          </w:p>
        </w:tc>
      </w:tr>
    </w:tbl>
    <w:p w14:paraId="509DEB97" w14:textId="3C1E81CB" w:rsidR="00A74D6C" w:rsidRPr="001C6031" w:rsidRDefault="00A74D6C" w:rsidP="00C421B8">
      <w:pPr>
        <w:keepNext/>
        <w:spacing w:before="240" w:after="120"/>
        <w:rPr>
          <w:rFonts w:ascii="Arial" w:hAnsi="Arial" w:cs="Arial"/>
          <w:b/>
          <w:sz w:val="22"/>
          <w:szCs w:val="22"/>
          <w:lang w:val="en-GB"/>
        </w:rPr>
      </w:pPr>
      <w:r w:rsidRPr="001C6031">
        <w:rPr>
          <w:rFonts w:ascii="Arial" w:hAnsi="Arial" w:cs="Arial"/>
          <w:b/>
          <w:sz w:val="22"/>
          <w:szCs w:val="22"/>
          <w:lang w:val="en-GB"/>
        </w:rPr>
        <w:t>Challenges and risks in implementation and remedial actions</w:t>
      </w:r>
    </w:p>
    <w:tbl>
      <w:tblPr>
        <w:tblStyle w:val="TableGrid"/>
        <w:tblW w:w="5000" w:type="pct"/>
        <w:tblLook w:val="04A0" w:firstRow="1" w:lastRow="0" w:firstColumn="1" w:lastColumn="0" w:noHBand="0" w:noVBand="1"/>
      </w:tblPr>
      <w:tblGrid>
        <w:gridCol w:w="4814"/>
        <w:gridCol w:w="4814"/>
      </w:tblGrid>
      <w:tr w:rsidR="00A74D6C" w:rsidRPr="001C6031" w14:paraId="35964FD0" w14:textId="77777777" w:rsidTr="00907D3B">
        <w:trPr>
          <w:tblHeader/>
        </w:trPr>
        <w:tc>
          <w:tcPr>
            <w:tcW w:w="2500" w:type="pct"/>
            <w:shd w:val="clear" w:color="auto" w:fill="D9D9D9" w:themeFill="background1" w:themeFillShade="D9"/>
          </w:tcPr>
          <w:p w14:paraId="5563E5E8" w14:textId="77777777" w:rsidR="00A74D6C" w:rsidRPr="001C6031" w:rsidRDefault="00A74D6C" w:rsidP="005F7CB2">
            <w:pPr>
              <w:keepNext/>
              <w:spacing w:before="120" w:after="120"/>
              <w:jc w:val="center"/>
              <w:rPr>
                <w:rFonts w:ascii="Arial" w:hAnsi="Arial" w:cs="Arial"/>
                <w:b/>
                <w:sz w:val="20"/>
                <w:szCs w:val="20"/>
                <w:lang w:val="en-GB"/>
              </w:rPr>
            </w:pPr>
            <w:r w:rsidRPr="001C6031">
              <w:rPr>
                <w:rFonts w:ascii="Arial" w:hAnsi="Arial" w:cs="Arial"/>
                <w:b/>
                <w:sz w:val="20"/>
                <w:szCs w:val="20"/>
                <w:lang w:val="en-GB"/>
              </w:rPr>
              <w:t>Key challenges</w:t>
            </w:r>
          </w:p>
        </w:tc>
        <w:tc>
          <w:tcPr>
            <w:tcW w:w="2500" w:type="pct"/>
            <w:shd w:val="clear" w:color="auto" w:fill="D9D9D9" w:themeFill="background1" w:themeFillShade="D9"/>
          </w:tcPr>
          <w:p w14:paraId="7477DE41" w14:textId="77777777" w:rsidR="00A74D6C" w:rsidRPr="001C6031" w:rsidRDefault="00A74D6C" w:rsidP="005F7CB2">
            <w:pPr>
              <w:keepNext/>
              <w:spacing w:before="120" w:after="120"/>
              <w:jc w:val="center"/>
              <w:rPr>
                <w:rFonts w:ascii="Arial" w:hAnsi="Arial" w:cs="Arial"/>
                <w:b/>
                <w:sz w:val="20"/>
                <w:szCs w:val="20"/>
                <w:lang w:val="en-GB"/>
              </w:rPr>
            </w:pPr>
            <w:r w:rsidRPr="001C6031">
              <w:rPr>
                <w:rFonts w:ascii="Arial" w:hAnsi="Arial" w:cs="Arial"/>
                <w:b/>
                <w:sz w:val="20"/>
                <w:szCs w:val="20"/>
                <w:lang w:val="en-GB"/>
              </w:rPr>
              <w:t>Remedial actions</w:t>
            </w:r>
          </w:p>
        </w:tc>
      </w:tr>
      <w:tr w:rsidR="00B84606" w:rsidRPr="00B04E85" w14:paraId="2C8E7D9C" w14:textId="77777777" w:rsidTr="00203F98">
        <w:tc>
          <w:tcPr>
            <w:tcW w:w="2500" w:type="pct"/>
          </w:tcPr>
          <w:p w14:paraId="7BD9FD11" w14:textId="2523EC22" w:rsidR="00B84606" w:rsidRPr="001C6031" w:rsidRDefault="00545847" w:rsidP="00B04E85">
            <w:pPr>
              <w:spacing w:before="60" w:after="60"/>
              <w:rPr>
                <w:rFonts w:ascii="Arial" w:hAnsi="Arial" w:cs="Arial"/>
                <w:sz w:val="20"/>
                <w:szCs w:val="20"/>
                <w:lang w:val="en-GB"/>
              </w:rPr>
            </w:pPr>
            <w:r>
              <w:rPr>
                <w:rFonts w:ascii="Arial" w:hAnsi="Arial" w:cs="Arial"/>
                <w:sz w:val="20"/>
                <w:szCs w:val="20"/>
                <w:lang w:val="en-GB"/>
              </w:rPr>
              <w:t>S</w:t>
            </w:r>
            <w:r w:rsidRPr="00545847">
              <w:rPr>
                <w:rFonts w:ascii="Arial" w:hAnsi="Arial" w:cs="Arial"/>
                <w:sz w:val="20"/>
                <w:szCs w:val="20"/>
                <w:lang w:val="en-GB"/>
              </w:rPr>
              <w:t xml:space="preserve">pecific challenges arise from the scope and diversity of the training materials and the amount of work required to keep it updated, at least, in English and French and as funds permit, also in Spanish, Arabic and Russian. </w:t>
            </w:r>
          </w:p>
        </w:tc>
        <w:tc>
          <w:tcPr>
            <w:tcW w:w="2500" w:type="pct"/>
          </w:tcPr>
          <w:p w14:paraId="74CE61E5" w14:textId="54496633" w:rsidR="00B84606" w:rsidRPr="001C6031" w:rsidRDefault="00545847">
            <w:pPr>
              <w:spacing w:before="60" w:after="60"/>
              <w:rPr>
                <w:rFonts w:ascii="Arial" w:eastAsia="Calibri" w:hAnsi="Arial" w:cs="Arial"/>
                <w:sz w:val="20"/>
                <w:szCs w:val="20"/>
                <w:lang w:val="en-GB"/>
              </w:rPr>
            </w:pPr>
            <w:r>
              <w:rPr>
                <w:rFonts w:ascii="Arial" w:hAnsi="Arial" w:cs="Arial"/>
                <w:sz w:val="20"/>
                <w:szCs w:val="20"/>
                <w:lang w:val="en-GB"/>
              </w:rPr>
              <w:t>T</w:t>
            </w:r>
            <w:r w:rsidRPr="00545847">
              <w:rPr>
                <w:rFonts w:ascii="Arial" w:hAnsi="Arial" w:cs="Arial"/>
                <w:sz w:val="20"/>
                <w:szCs w:val="20"/>
                <w:lang w:val="en-GB"/>
              </w:rPr>
              <w:t>he Section was able to cope with this task with the support of a full-time Associate Project Assistant (as of 25 February 2015)</w:t>
            </w:r>
            <w:r>
              <w:rPr>
                <w:rFonts w:ascii="Arial" w:hAnsi="Arial" w:cs="Arial"/>
                <w:sz w:val="20"/>
                <w:szCs w:val="20"/>
                <w:lang w:val="en-GB"/>
              </w:rPr>
              <w:t xml:space="preserve"> </w:t>
            </w:r>
            <w:r w:rsidRPr="00545847">
              <w:rPr>
                <w:rFonts w:ascii="Arial" w:hAnsi="Arial" w:cs="Arial"/>
                <w:sz w:val="20"/>
                <w:szCs w:val="20"/>
                <w:lang w:val="en-GB"/>
              </w:rPr>
              <w:t xml:space="preserve">with document production expertise, thanks to the funding provided by this budget line of the Fund, and </w:t>
            </w:r>
            <w:r>
              <w:rPr>
                <w:rFonts w:ascii="Arial" w:hAnsi="Arial" w:cs="Arial"/>
                <w:sz w:val="20"/>
                <w:szCs w:val="20"/>
                <w:lang w:val="en-GB"/>
              </w:rPr>
              <w:t>with</w:t>
            </w:r>
            <w:r w:rsidRPr="00545847">
              <w:rPr>
                <w:rFonts w:ascii="Arial" w:hAnsi="Arial" w:cs="Arial"/>
                <w:sz w:val="20"/>
                <w:szCs w:val="20"/>
                <w:lang w:val="en-GB"/>
              </w:rPr>
              <w:t xml:space="preserve"> a significant increase in regular staff time dedicated to </w:t>
            </w:r>
            <w:r>
              <w:rPr>
                <w:rFonts w:ascii="Arial" w:hAnsi="Arial" w:cs="Arial"/>
                <w:sz w:val="20"/>
                <w:szCs w:val="20"/>
                <w:lang w:val="en-GB"/>
              </w:rPr>
              <w:t>materials development.</w:t>
            </w:r>
          </w:p>
        </w:tc>
      </w:tr>
      <w:tr w:rsidR="00A74D6C" w:rsidRPr="00B04E85" w14:paraId="00C3D08C" w14:textId="77777777" w:rsidTr="00E95E90">
        <w:tc>
          <w:tcPr>
            <w:tcW w:w="2500" w:type="pct"/>
            <w:shd w:val="clear" w:color="auto" w:fill="auto"/>
          </w:tcPr>
          <w:p w14:paraId="62809D20" w14:textId="7CE915AB" w:rsidR="00A74D6C" w:rsidRPr="001C6031" w:rsidRDefault="008E7832" w:rsidP="00E95E90">
            <w:pPr>
              <w:spacing w:before="60" w:after="60"/>
              <w:rPr>
                <w:rFonts w:ascii="Arial" w:hAnsi="Arial" w:cs="Arial"/>
                <w:sz w:val="20"/>
                <w:szCs w:val="20"/>
                <w:lang w:val="en-GB"/>
              </w:rPr>
            </w:pPr>
            <w:r w:rsidRPr="00E95E90">
              <w:rPr>
                <w:rFonts w:ascii="Arial" w:hAnsi="Arial" w:cs="Arial"/>
                <w:sz w:val="20"/>
                <w:szCs w:val="20"/>
                <w:lang w:val="en-GB"/>
              </w:rPr>
              <w:t>Completing the work of establishing a follow-up and evaluation mechanism for the Convention’s capacity-building programme</w:t>
            </w:r>
            <w:r w:rsidR="00192337" w:rsidRPr="00E95E90">
              <w:rPr>
                <w:rFonts w:ascii="Arial" w:hAnsi="Arial" w:cs="Arial"/>
                <w:sz w:val="20"/>
                <w:szCs w:val="20"/>
                <w:lang w:val="en-GB"/>
              </w:rPr>
              <w:t xml:space="preserve"> before establishing the</w:t>
            </w:r>
            <w:r w:rsidRPr="00E95E90">
              <w:rPr>
                <w:rFonts w:ascii="Arial" w:hAnsi="Arial" w:cs="Arial"/>
                <w:sz w:val="20"/>
                <w:szCs w:val="20"/>
                <w:lang w:val="en-GB"/>
              </w:rPr>
              <w:t xml:space="preserve"> </w:t>
            </w:r>
            <w:r w:rsidR="00192337" w:rsidRPr="00E95E90">
              <w:rPr>
                <w:rFonts w:ascii="Arial" w:eastAsia="Calibri" w:hAnsi="Arial" w:cs="Arial"/>
                <w:sz w:val="20"/>
                <w:szCs w:val="20"/>
                <w:lang w:val="en-GB"/>
              </w:rPr>
              <w:t xml:space="preserve">overall results framework of the Convention </w:t>
            </w:r>
            <w:r w:rsidR="00192337" w:rsidRPr="00E95E90">
              <w:rPr>
                <w:rFonts w:ascii="Arial" w:hAnsi="Arial" w:cs="Arial"/>
                <w:sz w:val="20"/>
                <w:szCs w:val="20"/>
                <w:lang w:val="en-GB"/>
              </w:rPr>
              <w:t xml:space="preserve">in which it should fit </w:t>
            </w:r>
            <w:r w:rsidR="00E95E90" w:rsidRPr="00E95E90">
              <w:rPr>
                <w:rFonts w:ascii="Arial" w:hAnsi="Arial" w:cs="Arial"/>
                <w:sz w:val="20"/>
                <w:szCs w:val="20"/>
                <w:lang w:val="en-GB"/>
              </w:rPr>
              <w:t>would not have been the most efficient way to advance.</w:t>
            </w:r>
          </w:p>
        </w:tc>
        <w:tc>
          <w:tcPr>
            <w:tcW w:w="2500" w:type="pct"/>
          </w:tcPr>
          <w:p w14:paraId="7B18C829" w14:textId="5C79B7DD" w:rsidR="00A74D6C" w:rsidRPr="001C6031" w:rsidRDefault="008E7832" w:rsidP="00E51119">
            <w:pPr>
              <w:spacing w:before="60" w:after="60"/>
              <w:rPr>
                <w:rFonts w:ascii="Arial" w:hAnsi="Arial" w:cs="Arial"/>
                <w:sz w:val="20"/>
                <w:szCs w:val="20"/>
                <w:lang w:val="en-GB"/>
              </w:rPr>
            </w:pPr>
            <w:r w:rsidRPr="001C6031">
              <w:rPr>
                <w:rFonts w:ascii="Arial" w:eastAsia="Calibri" w:hAnsi="Arial" w:cs="Arial"/>
                <w:sz w:val="20"/>
                <w:szCs w:val="20"/>
                <w:lang w:val="en-GB"/>
              </w:rPr>
              <w:t xml:space="preserve">To adapt to the situation, the Secretariat took the decision to postpone full establishment of the follow-up and evaluation mechanism for the capacity-building programme until the overall results framework was </w:t>
            </w:r>
            <w:r w:rsidR="00E51119">
              <w:rPr>
                <w:rFonts w:ascii="Arial" w:eastAsia="Calibri" w:hAnsi="Arial" w:cs="Arial"/>
                <w:sz w:val="20"/>
                <w:szCs w:val="20"/>
                <w:lang w:val="en-GB"/>
              </w:rPr>
              <w:t>created</w:t>
            </w:r>
            <w:r w:rsidRPr="001C6031">
              <w:rPr>
                <w:rFonts w:ascii="Arial" w:eastAsia="Calibri" w:hAnsi="Arial" w:cs="Arial"/>
                <w:sz w:val="20"/>
                <w:szCs w:val="20"/>
                <w:lang w:val="en-GB"/>
              </w:rPr>
              <w:t xml:space="preserve">. In the meantime, the Secretariat </w:t>
            </w:r>
            <w:r w:rsidR="00E768E0" w:rsidRPr="00E768E0">
              <w:rPr>
                <w:rFonts w:ascii="Arial" w:eastAsia="Calibri" w:hAnsi="Arial" w:cs="Arial"/>
                <w:sz w:val="20"/>
                <w:szCs w:val="20"/>
                <w:lang w:val="en-GB"/>
              </w:rPr>
              <w:t>accomplished the conceptual groundwork and decided to focus on follow-up rather than evaluation in 2016, by piloting tracer studies in a selected number of countries that benefitted from capacity-building activities.</w:t>
            </w:r>
          </w:p>
        </w:tc>
      </w:tr>
    </w:tbl>
    <w:p w14:paraId="45417E5E" w14:textId="77777777" w:rsidR="00A74D6C" w:rsidRPr="001C6031" w:rsidRDefault="00A74D6C" w:rsidP="00143F74">
      <w:pPr>
        <w:keepNext/>
        <w:spacing w:before="240" w:after="120"/>
        <w:ind w:left="851" w:hanging="851"/>
        <w:rPr>
          <w:rFonts w:ascii="Arial" w:hAnsi="Arial" w:cs="Arial"/>
          <w:b/>
          <w:sz w:val="22"/>
          <w:szCs w:val="22"/>
          <w:lang w:val="en-GB"/>
        </w:rPr>
      </w:pPr>
      <w:r w:rsidRPr="001C6031">
        <w:rPr>
          <w:rFonts w:ascii="Arial" w:hAnsi="Arial" w:cs="Arial"/>
          <w:b/>
          <w:sz w:val="22"/>
          <w:szCs w:val="22"/>
          <w:lang w:val="en-GB"/>
        </w:rPr>
        <w:t>ER 2:</w:t>
      </w:r>
      <w:r w:rsidRPr="001C6031">
        <w:rPr>
          <w:rFonts w:ascii="Arial" w:hAnsi="Arial" w:cs="Arial"/>
          <w:b/>
          <w:sz w:val="22"/>
          <w:szCs w:val="22"/>
          <w:lang w:val="en-GB"/>
        </w:rPr>
        <w:tab/>
        <w:t>Knowledge management services optimized and utilized for effective implementation and information-sharing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3876"/>
        <w:gridCol w:w="1876"/>
      </w:tblGrid>
      <w:tr w:rsidR="00A74D6C" w:rsidRPr="001C6031" w14:paraId="2C37D01B" w14:textId="77777777" w:rsidTr="00203F98">
        <w:tc>
          <w:tcPr>
            <w:tcW w:w="2013" w:type="pct"/>
            <w:shd w:val="clear" w:color="auto" w:fill="C6D9F1"/>
          </w:tcPr>
          <w:p w14:paraId="7C99C160" w14:textId="77777777" w:rsidR="00A74D6C" w:rsidRPr="001C6031" w:rsidRDefault="00A74D6C" w:rsidP="005F7CB2">
            <w:pPr>
              <w:spacing w:before="120" w:after="120"/>
              <w:jc w:val="center"/>
              <w:rPr>
                <w:rFonts w:ascii="Arial" w:eastAsia="Calibri" w:hAnsi="Arial" w:cs="Arial"/>
                <w:b/>
                <w:sz w:val="20"/>
                <w:szCs w:val="20"/>
                <w:lang w:val="en-GB"/>
              </w:rPr>
            </w:pPr>
            <w:r w:rsidRPr="001C6031">
              <w:rPr>
                <w:rFonts w:ascii="Arial" w:eastAsia="Calibri" w:hAnsi="Arial" w:cs="Arial"/>
                <w:b/>
                <w:sz w:val="20"/>
                <w:szCs w:val="20"/>
                <w:lang w:val="en-GB"/>
              </w:rPr>
              <w:t>Allocation</w:t>
            </w:r>
          </w:p>
        </w:tc>
        <w:tc>
          <w:tcPr>
            <w:tcW w:w="2013" w:type="pct"/>
            <w:shd w:val="clear" w:color="auto" w:fill="C6D9F1"/>
          </w:tcPr>
          <w:p w14:paraId="319C68ED" w14:textId="77777777" w:rsidR="00A74D6C" w:rsidRPr="001C6031" w:rsidRDefault="00A74D6C" w:rsidP="005F7CB2">
            <w:pPr>
              <w:spacing w:before="120" w:after="120"/>
              <w:jc w:val="center"/>
              <w:rPr>
                <w:rFonts w:ascii="Arial" w:eastAsia="Calibri" w:hAnsi="Arial" w:cs="Arial"/>
                <w:b/>
                <w:sz w:val="20"/>
                <w:szCs w:val="20"/>
                <w:lang w:val="en-GB"/>
              </w:rPr>
            </w:pPr>
            <w:r w:rsidRPr="001C6031">
              <w:rPr>
                <w:rFonts w:ascii="Arial" w:eastAsia="Calibri" w:hAnsi="Arial" w:cs="Arial"/>
                <w:b/>
                <w:sz w:val="20"/>
                <w:szCs w:val="20"/>
                <w:lang w:val="en-GB"/>
              </w:rPr>
              <w:t>Expenditures</w:t>
            </w:r>
          </w:p>
        </w:tc>
        <w:tc>
          <w:tcPr>
            <w:tcW w:w="974" w:type="pct"/>
            <w:shd w:val="clear" w:color="auto" w:fill="C6D9F1"/>
          </w:tcPr>
          <w:p w14:paraId="5872190C" w14:textId="77777777" w:rsidR="00A74D6C" w:rsidRPr="001C6031" w:rsidRDefault="00A74D6C" w:rsidP="005F7CB2">
            <w:pPr>
              <w:spacing w:before="120" w:after="120"/>
              <w:jc w:val="center"/>
              <w:rPr>
                <w:rFonts w:ascii="Arial" w:eastAsia="Calibri" w:hAnsi="Arial" w:cs="Arial"/>
                <w:b/>
                <w:sz w:val="20"/>
                <w:szCs w:val="20"/>
                <w:lang w:val="en-GB"/>
              </w:rPr>
            </w:pPr>
            <w:r w:rsidRPr="001C6031">
              <w:rPr>
                <w:rFonts w:ascii="Arial" w:eastAsia="Calibri" w:hAnsi="Arial" w:cs="Arial"/>
                <w:b/>
                <w:sz w:val="20"/>
                <w:szCs w:val="20"/>
                <w:lang w:val="en-GB"/>
              </w:rPr>
              <w:t>Exp. Rate %</w:t>
            </w:r>
          </w:p>
        </w:tc>
      </w:tr>
      <w:tr w:rsidR="00A74D6C" w:rsidRPr="001C6031" w14:paraId="27506049" w14:textId="77777777" w:rsidTr="00203F98">
        <w:tc>
          <w:tcPr>
            <w:tcW w:w="2013" w:type="pct"/>
            <w:shd w:val="clear" w:color="auto" w:fill="auto"/>
          </w:tcPr>
          <w:p w14:paraId="7437611D" w14:textId="77777777" w:rsidR="00A74D6C" w:rsidRPr="001C6031" w:rsidRDefault="00A74D6C" w:rsidP="005F7CB2">
            <w:pPr>
              <w:spacing w:before="120" w:after="120"/>
              <w:jc w:val="center"/>
              <w:rPr>
                <w:rFonts w:ascii="Arial" w:eastAsia="Calibri" w:hAnsi="Arial" w:cs="Arial"/>
                <w:sz w:val="20"/>
                <w:szCs w:val="20"/>
                <w:lang w:val="en-GB"/>
              </w:rPr>
            </w:pPr>
            <w:r w:rsidRPr="001C6031">
              <w:rPr>
                <w:rFonts w:ascii="Arial" w:hAnsi="Arial" w:cs="Arial"/>
                <w:sz w:val="20"/>
                <w:szCs w:val="20"/>
                <w:lang w:val="en-GB"/>
              </w:rPr>
              <w:t>304,000</w:t>
            </w:r>
            <w:r w:rsidRPr="001C6031">
              <w:rPr>
                <w:rFonts w:ascii="Arial" w:eastAsia="Calibri" w:hAnsi="Arial" w:cs="Arial"/>
                <w:sz w:val="20"/>
                <w:szCs w:val="20"/>
                <w:lang w:val="en-GB"/>
              </w:rPr>
              <w:t>.00</w:t>
            </w:r>
          </w:p>
        </w:tc>
        <w:tc>
          <w:tcPr>
            <w:tcW w:w="2013" w:type="pct"/>
            <w:shd w:val="clear" w:color="auto" w:fill="auto"/>
          </w:tcPr>
          <w:p w14:paraId="0B95966A" w14:textId="77777777" w:rsidR="00A74D6C" w:rsidRPr="001C6031" w:rsidRDefault="00A74D6C" w:rsidP="005F7CB2">
            <w:pPr>
              <w:spacing w:before="120" w:after="120"/>
              <w:jc w:val="center"/>
              <w:rPr>
                <w:rFonts w:ascii="Arial" w:eastAsia="Calibri" w:hAnsi="Arial" w:cs="Arial"/>
                <w:sz w:val="20"/>
                <w:szCs w:val="20"/>
                <w:lang w:val="en-GB"/>
              </w:rPr>
            </w:pPr>
            <w:r w:rsidRPr="001C6031">
              <w:rPr>
                <w:rFonts w:ascii="Arial" w:hAnsi="Arial" w:cs="Arial"/>
                <w:sz w:val="20"/>
                <w:szCs w:val="20"/>
                <w:lang w:val="en-GB"/>
              </w:rPr>
              <w:t>287,858.82</w:t>
            </w:r>
          </w:p>
        </w:tc>
        <w:tc>
          <w:tcPr>
            <w:tcW w:w="974" w:type="pct"/>
            <w:shd w:val="clear" w:color="auto" w:fill="auto"/>
          </w:tcPr>
          <w:p w14:paraId="04B8242C" w14:textId="77777777" w:rsidR="00A74D6C" w:rsidRPr="001C6031" w:rsidRDefault="00A74D6C" w:rsidP="005F7CB2">
            <w:pPr>
              <w:spacing w:before="120" w:after="120"/>
              <w:jc w:val="center"/>
              <w:rPr>
                <w:rFonts w:ascii="Arial" w:eastAsia="Calibri" w:hAnsi="Arial" w:cs="Arial"/>
                <w:sz w:val="20"/>
                <w:szCs w:val="20"/>
                <w:lang w:val="en-GB"/>
              </w:rPr>
            </w:pPr>
            <w:r w:rsidRPr="001C6031">
              <w:rPr>
                <w:rFonts w:ascii="Arial" w:eastAsia="Calibri" w:hAnsi="Arial" w:cs="Arial"/>
                <w:sz w:val="20"/>
                <w:szCs w:val="20"/>
                <w:lang w:val="en-GB"/>
              </w:rPr>
              <w:t>9</w:t>
            </w:r>
            <w:r w:rsidRPr="001C6031">
              <w:rPr>
                <w:rFonts w:ascii="Arial" w:hAnsi="Arial" w:cs="Arial"/>
                <w:sz w:val="20"/>
                <w:szCs w:val="20"/>
                <w:lang w:val="en-GB"/>
              </w:rPr>
              <w:t>4</w:t>
            </w:r>
            <w:r w:rsidRPr="001C6031">
              <w:rPr>
                <w:rFonts w:ascii="Arial" w:eastAsia="Calibri" w:hAnsi="Arial" w:cs="Arial"/>
                <w:sz w:val="20"/>
                <w:szCs w:val="20"/>
                <w:lang w:val="en-GB"/>
              </w:rPr>
              <w:t>.7%</w:t>
            </w:r>
          </w:p>
        </w:tc>
      </w:tr>
    </w:tbl>
    <w:p w14:paraId="518AA21E" w14:textId="428A6E35" w:rsidR="00A74D6C" w:rsidRPr="001C6031" w:rsidRDefault="00A74D6C" w:rsidP="005F7CB2">
      <w:pPr>
        <w:spacing w:before="240" w:after="120"/>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798"/>
        <w:gridCol w:w="1861"/>
      </w:tblGrid>
      <w:tr w:rsidR="00BA522B" w:rsidRPr="001C6031" w14:paraId="1203F919" w14:textId="6656DE57" w:rsidTr="00842D1A">
        <w:trPr>
          <w:tblHeader/>
        </w:trPr>
        <w:tc>
          <w:tcPr>
            <w:tcW w:w="0" w:type="auto"/>
            <w:shd w:val="clear" w:color="auto" w:fill="D9D9D9" w:themeFill="background1" w:themeFillShade="D9"/>
          </w:tcPr>
          <w:p w14:paraId="4E7A2B52" w14:textId="77777777" w:rsidR="00842D1A" w:rsidRPr="001C6031" w:rsidRDefault="00842D1A" w:rsidP="005F7CB2">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Output (O)</w:t>
            </w:r>
            <w:r w:rsidRPr="001C6031">
              <w:rPr>
                <w:rFonts w:ascii="Arial" w:eastAsia="Calibri" w:hAnsi="Arial" w:cs="Arial"/>
                <w:b/>
                <w:sz w:val="20"/>
                <w:szCs w:val="20"/>
                <w:lang w:val="en-GB"/>
              </w:rPr>
              <w:br/>
              <w:t>Indicators/Benchmark (B)</w:t>
            </w:r>
          </w:p>
        </w:tc>
        <w:tc>
          <w:tcPr>
            <w:tcW w:w="0" w:type="auto"/>
            <w:shd w:val="clear" w:color="auto" w:fill="D9D9D9" w:themeFill="background1" w:themeFillShade="D9"/>
          </w:tcPr>
          <w:p w14:paraId="3FDCBB23" w14:textId="77777777" w:rsidR="00842D1A" w:rsidRPr="001C6031" w:rsidRDefault="00842D1A" w:rsidP="005F7CB2">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Assessment of progress:</w:t>
            </w:r>
            <w:r w:rsidRPr="001C6031">
              <w:rPr>
                <w:rFonts w:ascii="Arial" w:eastAsia="Calibri" w:hAnsi="Arial" w:cs="Arial"/>
                <w:b/>
                <w:sz w:val="20"/>
                <w:szCs w:val="20"/>
                <w:lang w:val="en-GB"/>
              </w:rPr>
              <w:br/>
              <w:t>01/01/2014 to 31/12/2015</w:t>
            </w:r>
          </w:p>
        </w:tc>
        <w:tc>
          <w:tcPr>
            <w:tcW w:w="0" w:type="auto"/>
            <w:shd w:val="clear" w:color="auto" w:fill="D9D9D9" w:themeFill="background1" w:themeFillShade="D9"/>
            <w:vAlign w:val="center"/>
          </w:tcPr>
          <w:p w14:paraId="2D9CA2EC" w14:textId="2D9F80BC" w:rsidR="00842D1A" w:rsidRPr="001C6031" w:rsidRDefault="00842D1A" w:rsidP="005F7CB2">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Assessment of implementation</w:t>
            </w:r>
          </w:p>
        </w:tc>
      </w:tr>
      <w:tr w:rsidR="00BA522B" w:rsidRPr="001C6031" w14:paraId="7E7C4760" w14:textId="6D23001D" w:rsidTr="00842D1A">
        <w:tc>
          <w:tcPr>
            <w:tcW w:w="0" w:type="auto"/>
            <w:shd w:val="clear" w:color="auto" w:fill="auto"/>
          </w:tcPr>
          <w:p w14:paraId="3D77DD38" w14:textId="77777777" w:rsidR="00842D1A" w:rsidRPr="001C6031" w:rsidRDefault="00842D1A" w:rsidP="005F7CB2">
            <w:pPr>
              <w:spacing w:before="60" w:after="60"/>
              <w:rPr>
                <w:rFonts w:ascii="Arial" w:eastAsia="Calibri" w:hAnsi="Arial" w:cs="Arial"/>
                <w:b/>
                <w:sz w:val="20"/>
                <w:szCs w:val="20"/>
                <w:lang w:val="en-GB"/>
              </w:rPr>
            </w:pPr>
            <w:r w:rsidRPr="001C6031">
              <w:rPr>
                <w:rFonts w:ascii="Arial" w:eastAsia="Calibri" w:hAnsi="Arial" w:cs="Arial"/>
                <w:b/>
                <w:sz w:val="20"/>
                <w:szCs w:val="20"/>
                <w:lang w:val="en-GB"/>
              </w:rPr>
              <w:t xml:space="preserve">O: </w:t>
            </w:r>
          </w:p>
          <w:p w14:paraId="3A6E7C78" w14:textId="77777777" w:rsidR="00842D1A" w:rsidRPr="001C6031" w:rsidRDefault="00842D1A" w:rsidP="005F7CB2">
            <w:pPr>
              <w:spacing w:before="60" w:after="60"/>
              <w:rPr>
                <w:rFonts w:ascii="Arial" w:hAnsi="Arial" w:cs="Arial"/>
                <w:sz w:val="20"/>
                <w:szCs w:val="20"/>
                <w:lang w:val="en-GB"/>
              </w:rPr>
            </w:pPr>
            <w:r w:rsidRPr="001C6031">
              <w:rPr>
                <w:rFonts w:ascii="Arial" w:hAnsi="Arial" w:cs="Arial"/>
                <w:sz w:val="20"/>
                <w:szCs w:val="20"/>
                <w:lang w:val="en-GB"/>
              </w:rPr>
              <w:t>External access to information increased and processes, workflows and response time optimized thanks to monitoring interfaces, regional officer dashboard</w:t>
            </w:r>
          </w:p>
          <w:p w14:paraId="3BA9DA3E" w14:textId="448F89C1" w:rsidR="00842D1A" w:rsidRPr="001C6031" w:rsidRDefault="00842D1A" w:rsidP="005F7CB2">
            <w:pPr>
              <w:keepNext/>
              <w:spacing w:before="60" w:after="60"/>
              <w:rPr>
                <w:rFonts w:ascii="Arial" w:hAnsi="Arial" w:cs="Arial"/>
                <w:b/>
                <w:sz w:val="20"/>
                <w:szCs w:val="20"/>
                <w:lang w:val="en-GB"/>
              </w:rPr>
            </w:pPr>
            <w:r w:rsidRPr="001C6031">
              <w:rPr>
                <w:rFonts w:ascii="Arial" w:hAnsi="Arial" w:cs="Arial"/>
                <w:b/>
                <w:sz w:val="20"/>
                <w:szCs w:val="20"/>
                <w:lang w:val="en-GB"/>
              </w:rPr>
              <w:t>B 2014-2015:</w:t>
            </w:r>
          </w:p>
          <w:p w14:paraId="7E263D68" w14:textId="77777777" w:rsidR="00842D1A" w:rsidRPr="001C6031" w:rsidRDefault="00842D1A" w:rsidP="005F7CB2">
            <w:pPr>
              <w:spacing w:before="60" w:after="60"/>
              <w:rPr>
                <w:rFonts w:ascii="Arial" w:eastAsia="Calibri" w:hAnsi="Arial" w:cs="Arial"/>
                <w:sz w:val="20"/>
                <w:szCs w:val="20"/>
                <w:lang w:val="en-GB"/>
              </w:rPr>
            </w:pPr>
            <w:r w:rsidRPr="001C6031">
              <w:rPr>
                <w:rFonts w:ascii="Arial" w:hAnsi="Arial" w:cs="Arial"/>
                <w:sz w:val="20"/>
                <w:szCs w:val="20"/>
                <w:lang w:val="en-GB"/>
              </w:rPr>
              <w:t>Four new monitoring interfaces and a regional officer dashboard displaying tasks, deadlines and monitoring information</w:t>
            </w:r>
          </w:p>
        </w:tc>
        <w:tc>
          <w:tcPr>
            <w:tcW w:w="0" w:type="auto"/>
            <w:shd w:val="clear" w:color="auto" w:fill="auto"/>
          </w:tcPr>
          <w:p w14:paraId="4BB75863" w14:textId="69A3BE00" w:rsidR="00BB5F55" w:rsidRPr="001C6031" w:rsidRDefault="00F135CD"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S</w:t>
            </w:r>
            <w:r w:rsidR="00BB5F55" w:rsidRPr="001C6031">
              <w:rPr>
                <w:rFonts w:ascii="Arial" w:eastAsia="Calibri" w:hAnsi="Arial" w:cs="Arial"/>
                <w:sz w:val="20"/>
                <w:szCs w:val="20"/>
                <w:lang w:val="en-GB"/>
              </w:rPr>
              <w:t xml:space="preserve">ynthetic overview of </w:t>
            </w:r>
            <w:r w:rsidRPr="001C6031">
              <w:rPr>
                <w:rFonts w:ascii="Arial" w:eastAsia="Calibri" w:hAnsi="Arial" w:cs="Arial"/>
                <w:sz w:val="20"/>
                <w:szCs w:val="20"/>
                <w:lang w:val="en-GB"/>
              </w:rPr>
              <w:t xml:space="preserve">the status of files (inscribed, under treatment, pending) </w:t>
            </w:r>
            <w:r w:rsidR="00A009C8">
              <w:rPr>
                <w:rFonts w:ascii="Arial" w:eastAsia="Calibri" w:hAnsi="Arial" w:cs="Arial"/>
                <w:sz w:val="20"/>
                <w:szCs w:val="20"/>
                <w:lang w:val="en-GB"/>
              </w:rPr>
              <w:t xml:space="preserve">became </w:t>
            </w:r>
            <w:r w:rsidRPr="001C6031">
              <w:rPr>
                <w:rFonts w:ascii="Arial" w:eastAsia="Calibri" w:hAnsi="Arial" w:cs="Arial"/>
                <w:sz w:val="20"/>
                <w:szCs w:val="20"/>
                <w:lang w:val="en-GB"/>
              </w:rPr>
              <w:t>accessible</w:t>
            </w:r>
            <w:r w:rsidR="00BB5F55" w:rsidRPr="001C6031">
              <w:rPr>
                <w:rFonts w:ascii="Arial" w:eastAsia="Calibri" w:hAnsi="Arial" w:cs="Arial"/>
                <w:sz w:val="20"/>
                <w:szCs w:val="20"/>
                <w:lang w:val="en-GB"/>
              </w:rPr>
              <w:t xml:space="preserve"> from country </w:t>
            </w:r>
            <w:r w:rsidRPr="001C6031">
              <w:rPr>
                <w:rFonts w:ascii="Arial" w:eastAsia="Calibri" w:hAnsi="Arial" w:cs="Arial"/>
                <w:sz w:val="20"/>
                <w:szCs w:val="20"/>
                <w:lang w:val="en-GB"/>
              </w:rPr>
              <w:t>web</w:t>
            </w:r>
            <w:r w:rsidR="00BB5F55" w:rsidRPr="001C6031">
              <w:rPr>
                <w:rFonts w:ascii="Arial" w:eastAsia="Calibri" w:hAnsi="Arial" w:cs="Arial"/>
                <w:sz w:val="20"/>
                <w:szCs w:val="20"/>
                <w:lang w:val="en-GB"/>
              </w:rPr>
              <w:t>pages</w:t>
            </w:r>
            <w:r w:rsidR="0041162A">
              <w:rPr>
                <w:rFonts w:ascii="Arial" w:eastAsia="Calibri" w:hAnsi="Arial" w:cs="Arial"/>
                <w:sz w:val="20"/>
                <w:szCs w:val="20"/>
                <w:lang w:val="en-GB"/>
              </w:rPr>
              <w:t>.</w:t>
            </w:r>
          </w:p>
          <w:p w14:paraId="53C69B4A" w14:textId="49BCFE42" w:rsidR="00BB5F55" w:rsidRPr="001C6031" w:rsidRDefault="00B159C9"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New interface </w:t>
            </w:r>
            <w:r w:rsidR="00A009C8">
              <w:rPr>
                <w:rFonts w:ascii="Arial" w:eastAsia="Calibri" w:hAnsi="Arial" w:cs="Arial"/>
                <w:sz w:val="20"/>
                <w:szCs w:val="20"/>
                <w:lang w:val="en-GB"/>
              </w:rPr>
              <w:t xml:space="preserve">developed </w:t>
            </w:r>
            <w:r w:rsidRPr="001C6031">
              <w:rPr>
                <w:rFonts w:ascii="Arial" w:eastAsia="Calibri" w:hAnsi="Arial" w:cs="Arial"/>
                <w:sz w:val="20"/>
                <w:szCs w:val="20"/>
                <w:lang w:val="en-GB"/>
              </w:rPr>
              <w:t>for internal assessment of reports submitted by accredited NGOs on their contribution and commitment to the Convention</w:t>
            </w:r>
            <w:r w:rsidR="0041162A">
              <w:rPr>
                <w:rFonts w:ascii="Arial" w:eastAsia="Calibri" w:hAnsi="Arial" w:cs="Arial"/>
                <w:sz w:val="20"/>
                <w:szCs w:val="20"/>
                <w:lang w:val="en-GB"/>
              </w:rPr>
              <w:t>.</w:t>
            </w:r>
          </w:p>
          <w:p w14:paraId="1C0ECA86" w14:textId="72731845" w:rsidR="00842D1A" w:rsidRPr="001C6031" w:rsidRDefault="00D8390E"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F</w:t>
            </w:r>
            <w:r w:rsidR="00B159C9" w:rsidRPr="001C6031">
              <w:rPr>
                <w:rFonts w:ascii="Arial" w:eastAsia="Calibri" w:hAnsi="Arial" w:cs="Arial"/>
                <w:sz w:val="20"/>
                <w:szCs w:val="20"/>
                <w:lang w:val="en-GB"/>
              </w:rPr>
              <w:t>ollow-</w:t>
            </w:r>
            <w:r w:rsidR="00BB5F55" w:rsidRPr="001C6031">
              <w:rPr>
                <w:rFonts w:ascii="Arial" w:eastAsia="Calibri" w:hAnsi="Arial" w:cs="Arial"/>
                <w:sz w:val="20"/>
                <w:szCs w:val="20"/>
                <w:lang w:val="en-GB"/>
              </w:rPr>
              <w:t>up interface</w:t>
            </w:r>
            <w:r w:rsidRPr="001C6031">
              <w:rPr>
                <w:rFonts w:ascii="Arial" w:eastAsia="Calibri" w:hAnsi="Arial" w:cs="Arial"/>
                <w:sz w:val="20"/>
                <w:szCs w:val="20"/>
                <w:lang w:val="en-GB"/>
              </w:rPr>
              <w:t xml:space="preserve"> </w:t>
            </w:r>
            <w:r w:rsidR="00A009C8">
              <w:rPr>
                <w:rFonts w:ascii="Arial" w:eastAsia="Calibri" w:hAnsi="Arial" w:cs="Arial"/>
                <w:sz w:val="20"/>
                <w:szCs w:val="20"/>
                <w:lang w:val="en-GB"/>
              </w:rPr>
              <w:t xml:space="preserve">developed </w:t>
            </w:r>
            <w:r w:rsidRPr="001C6031">
              <w:rPr>
                <w:rFonts w:ascii="Arial" w:eastAsia="Calibri" w:hAnsi="Arial" w:cs="Arial"/>
                <w:sz w:val="20"/>
                <w:szCs w:val="20"/>
                <w:lang w:val="en-GB"/>
              </w:rPr>
              <w:t>for ICH emblem requests</w:t>
            </w:r>
            <w:r w:rsidR="00BB5F55" w:rsidRPr="001C6031">
              <w:rPr>
                <w:rFonts w:ascii="Arial" w:eastAsia="Calibri" w:hAnsi="Arial" w:cs="Arial"/>
                <w:sz w:val="20"/>
                <w:szCs w:val="20"/>
                <w:lang w:val="en-GB"/>
              </w:rPr>
              <w:t xml:space="preserve">, with access to reports </w:t>
            </w:r>
            <w:r w:rsidRPr="001C6031">
              <w:rPr>
                <w:rFonts w:ascii="Arial" w:eastAsia="Calibri" w:hAnsi="Arial" w:cs="Arial"/>
                <w:sz w:val="20"/>
                <w:szCs w:val="20"/>
                <w:lang w:val="en-GB"/>
              </w:rPr>
              <w:t xml:space="preserve">from States </w:t>
            </w:r>
            <w:r w:rsidR="001828B7">
              <w:rPr>
                <w:rFonts w:ascii="Arial" w:eastAsia="Calibri" w:hAnsi="Arial" w:cs="Arial"/>
                <w:sz w:val="20"/>
                <w:szCs w:val="20"/>
                <w:lang w:val="en-GB"/>
              </w:rPr>
              <w:t xml:space="preserve">Parties </w:t>
            </w:r>
            <w:r w:rsidRPr="001C6031">
              <w:rPr>
                <w:rFonts w:ascii="Arial" w:eastAsia="Calibri" w:hAnsi="Arial" w:cs="Arial"/>
                <w:sz w:val="20"/>
                <w:szCs w:val="20"/>
                <w:lang w:val="en-GB"/>
              </w:rPr>
              <w:t xml:space="preserve">having received the Convention’s patronage </w:t>
            </w:r>
            <w:r w:rsidR="00BB5F55" w:rsidRPr="001C6031">
              <w:rPr>
                <w:rFonts w:ascii="Arial" w:eastAsia="Calibri" w:hAnsi="Arial" w:cs="Arial"/>
                <w:sz w:val="20"/>
                <w:szCs w:val="20"/>
                <w:lang w:val="en-GB"/>
              </w:rPr>
              <w:t xml:space="preserve">and integration </w:t>
            </w:r>
            <w:r w:rsidRPr="001C6031">
              <w:rPr>
                <w:rFonts w:ascii="Arial" w:eastAsia="Calibri" w:hAnsi="Arial" w:cs="Arial"/>
                <w:sz w:val="20"/>
                <w:szCs w:val="20"/>
                <w:lang w:val="en-GB"/>
              </w:rPr>
              <w:t xml:space="preserve">of that information </w:t>
            </w:r>
            <w:r w:rsidR="00BB5F55" w:rsidRPr="001C6031">
              <w:rPr>
                <w:rFonts w:ascii="Arial" w:eastAsia="Calibri" w:hAnsi="Arial" w:cs="Arial"/>
                <w:sz w:val="20"/>
                <w:szCs w:val="20"/>
                <w:lang w:val="en-GB"/>
              </w:rPr>
              <w:t>into country pages</w:t>
            </w:r>
            <w:r w:rsidR="0041162A">
              <w:rPr>
                <w:rFonts w:ascii="Arial" w:eastAsia="Calibri" w:hAnsi="Arial" w:cs="Arial"/>
                <w:sz w:val="20"/>
                <w:szCs w:val="20"/>
                <w:lang w:val="en-GB"/>
              </w:rPr>
              <w:t>.</w:t>
            </w:r>
          </w:p>
        </w:tc>
        <w:tc>
          <w:tcPr>
            <w:tcW w:w="0" w:type="auto"/>
          </w:tcPr>
          <w:p w14:paraId="72C84434" w14:textId="6FF18CD1" w:rsidR="00842D1A" w:rsidRPr="001C6031" w:rsidRDefault="00BB5F55" w:rsidP="00357ABE">
            <w:pPr>
              <w:spacing w:before="60" w:after="60"/>
              <w:jc w:val="center"/>
              <w:rPr>
                <w:rFonts w:ascii="Arial" w:eastAsia="Calibri" w:hAnsi="Arial" w:cs="Arial"/>
                <w:sz w:val="20"/>
                <w:szCs w:val="20"/>
                <w:lang w:val="en-GB"/>
              </w:rPr>
            </w:pPr>
            <w:r w:rsidRPr="001C6031">
              <w:rPr>
                <w:rFonts w:ascii="Arial" w:eastAsia="Calibri" w:hAnsi="Arial" w:cs="Arial"/>
                <w:sz w:val="20"/>
                <w:szCs w:val="20"/>
                <w:lang w:val="en-GB"/>
              </w:rPr>
              <w:t xml:space="preserve">Partly </w:t>
            </w:r>
            <w:r w:rsidR="00357ABE">
              <w:rPr>
                <w:rFonts w:ascii="Arial" w:eastAsia="Calibri" w:hAnsi="Arial" w:cs="Arial"/>
                <w:sz w:val="20"/>
                <w:szCs w:val="20"/>
                <w:lang w:val="en-GB"/>
              </w:rPr>
              <w:t>accomplished</w:t>
            </w:r>
          </w:p>
        </w:tc>
      </w:tr>
      <w:tr w:rsidR="00BA522B" w:rsidRPr="001C6031" w14:paraId="4FD5306A" w14:textId="07ED7FD9" w:rsidTr="00842D1A">
        <w:tc>
          <w:tcPr>
            <w:tcW w:w="0" w:type="auto"/>
            <w:shd w:val="clear" w:color="auto" w:fill="auto"/>
          </w:tcPr>
          <w:p w14:paraId="00CB1FC5" w14:textId="77777777" w:rsidR="00842D1A" w:rsidRPr="001C6031" w:rsidRDefault="00842D1A" w:rsidP="005F7CB2">
            <w:pPr>
              <w:spacing w:before="60" w:after="60"/>
              <w:rPr>
                <w:rFonts w:ascii="Arial" w:eastAsia="Calibri" w:hAnsi="Arial" w:cs="Arial"/>
                <w:b/>
                <w:sz w:val="20"/>
                <w:szCs w:val="20"/>
                <w:lang w:val="en-GB"/>
              </w:rPr>
            </w:pPr>
            <w:r w:rsidRPr="001C6031">
              <w:rPr>
                <w:rFonts w:ascii="Arial" w:eastAsia="Calibri" w:hAnsi="Arial" w:cs="Arial"/>
                <w:b/>
                <w:sz w:val="20"/>
                <w:szCs w:val="20"/>
                <w:lang w:val="en-GB"/>
              </w:rPr>
              <w:t>O:</w:t>
            </w:r>
          </w:p>
          <w:p w14:paraId="0B8E7FA4" w14:textId="77777777" w:rsidR="00842D1A" w:rsidRPr="001C6031" w:rsidRDefault="00842D1A" w:rsidP="005F7CB2">
            <w:pPr>
              <w:spacing w:before="60" w:after="60"/>
              <w:rPr>
                <w:rFonts w:ascii="Arial" w:hAnsi="Arial" w:cs="Arial"/>
                <w:sz w:val="20"/>
                <w:szCs w:val="20"/>
                <w:lang w:val="en-GB"/>
              </w:rPr>
            </w:pPr>
            <w:r w:rsidRPr="001C6031">
              <w:rPr>
                <w:rFonts w:ascii="Arial" w:hAnsi="Arial" w:cs="Arial"/>
                <w:sz w:val="20"/>
                <w:szCs w:val="20"/>
                <w:lang w:val="en-GB"/>
              </w:rPr>
              <w:t>Improved accessibility and usability of Convention documents and decisions; better indexing and improved search capacities; data conduit to contribute to transparency initiative</w:t>
            </w:r>
          </w:p>
          <w:p w14:paraId="74C37D75" w14:textId="77777777" w:rsidR="00842D1A" w:rsidRPr="001C6031" w:rsidRDefault="00842D1A" w:rsidP="005F7CB2">
            <w:pPr>
              <w:spacing w:before="60" w:after="60"/>
              <w:rPr>
                <w:rFonts w:ascii="Arial" w:hAnsi="Arial" w:cs="Arial"/>
                <w:b/>
                <w:sz w:val="20"/>
                <w:szCs w:val="20"/>
                <w:lang w:val="en-GB"/>
              </w:rPr>
            </w:pPr>
            <w:r w:rsidRPr="001C6031">
              <w:rPr>
                <w:rFonts w:ascii="Arial" w:hAnsi="Arial" w:cs="Arial"/>
                <w:b/>
                <w:sz w:val="20"/>
                <w:szCs w:val="20"/>
                <w:lang w:val="en-GB"/>
              </w:rPr>
              <w:t xml:space="preserve">B 2014-2015: </w:t>
            </w:r>
          </w:p>
          <w:p w14:paraId="0AB0F6C4" w14:textId="06521877" w:rsidR="00842D1A" w:rsidRPr="001C6031" w:rsidRDefault="001828B7" w:rsidP="001828B7">
            <w:pPr>
              <w:spacing w:before="60" w:after="60"/>
              <w:rPr>
                <w:rFonts w:ascii="Arial" w:eastAsia="Calibri" w:hAnsi="Arial" w:cs="Arial"/>
                <w:sz w:val="20"/>
                <w:szCs w:val="20"/>
                <w:lang w:val="en-GB"/>
              </w:rPr>
            </w:pPr>
            <w:r>
              <w:rPr>
                <w:rFonts w:ascii="Arial" w:hAnsi="Arial" w:cs="Arial"/>
                <w:sz w:val="20"/>
                <w:szCs w:val="20"/>
                <w:lang w:val="en-GB"/>
              </w:rPr>
              <w:t xml:space="preserve">Fifteen </w:t>
            </w:r>
            <w:r w:rsidR="00842D1A" w:rsidRPr="001C6031">
              <w:rPr>
                <w:rFonts w:ascii="Arial" w:hAnsi="Arial" w:cs="Arial"/>
                <w:sz w:val="20"/>
                <w:szCs w:val="20"/>
                <w:lang w:val="en-GB"/>
              </w:rPr>
              <w:t>decision documents loaded in UNESDOC; 150 decisions/resolutions referenced in the KMS; a data conduit to contribute to transparency initiative</w:t>
            </w:r>
          </w:p>
        </w:tc>
        <w:tc>
          <w:tcPr>
            <w:tcW w:w="0" w:type="auto"/>
            <w:shd w:val="clear" w:color="auto" w:fill="auto"/>
          </w:tcPr>
          <w:p w14:paraId="715B16F9" w14:textId="16813D43" w:rsidR="00F135CD" w:rsidRPr="001C6031" w:rsidRDefault="001828B7"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Pr>
                <w:rFonts w:ascii="Arial" w:eastAsia="Calibri" w:hAnsi="Arial" w:cs="Arial"/>
                <w:sz w:val="20"/>
                <w:szCs w:val="20"/>
                <w:lang w:val="en-GB"/>
              </w:rPr>
              <w:t>Twelve</w:t>
            </w:r>
            <w:r w:rsidR="00F135CD" w:rsidRPr="001C6031">
              <w:rPr>
                <w:rFonts w:ascii="Arial" w:eastAsia="Calibri" w:hAnsi="Arial" w:cs="Arial"/>
                <w:sz w:val="20"/>
                <w:szCs w:val="20"/>
                <w:lang w:val="en-GB"/>
              </w:rPr>
              <w:t xml:space="preserve"> decision documents and more than 150 working documents loaded in UNESDOC (Committee and General Assembly – up to 6.COM)</w:t>
            </w:r>
            <w:r w:rsidR="0041162A">
              <w:rPr>
                <w:rFonts w:ascii="Arial" w:eastAsia="Calibri" w:hAnsi="Arial" w:cs="Arial"/>
                <w:sz w:val="20"/>
                <w:szCs w:val="20"/>
                <w:lang w:val="en-GB"/>
              </w:rPr>
              <w:t>.</w:t>
            </w:r>
          </w:p>
          <w:p w14:paraId="41F785CF" w14:textId="7717F75F" w:rsidR="00842D1A" w:rsidRPr="001C6031" w:rsidRDefault="001828B7"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Pr>
                <w:rFonts w:ascii="Arial" w:eastAsia="Calibri" w:hAnsi="Arial" w:cs="Arial"/>
                <w:sz w:val="20"/>
                <w:szCs w:val="20"/>
                <w:lang w:val="en-GB"/>
              </w:rPr>
              <w:t>Seven hundred</w:t>
            </w:r>
            <w:r w:rsidR="00F135CD" w:rsidRPr="001C6031">
              <w:rPr>
                <w:rFonts w:ascii="Arial" w:eastAsia="Calibri" w:hAnsi="Arial" w:cs="Arial"/>
                <w:sz w:val="20"/>
                <w:szCs w:val="20"/>
                <w:lang w:val="en-GB"/>
              </w:rPr>
              <w:t xml:space="preserve"> individual decisions and resolutions referenced in the knowledge management system and displayed online along with the working documents relating thereto and records of debates on the adoption</w:t>
            </w:r>
            <w:r w:rsidR="0041162A">
              <w:rPr>
                <w:rFonts w:ascii="Arial" w:eastAsia="Calibri" w:hAnsi="Arial" w:cs="Arial"/>
                <w:sz w:val="20"/>
                <w:szCs w:val="20"/>
                <w:lang w:val="en-GB"/>
              </w:rPr>
              <w:t>.</w:t>
            </w:r>
          </w:p>
        </w:tc>
        <w:tc>
          <w:tcPr>
            <w:tcW w:w="0" w:type="auto"/>
          </w:tcPr>
          <w:p w14:paraId="3D4E4C2C" w14:textId="20B432B3" w:rsidR="00842D1A" w:rsidRPr="001C6031" w:rsidRDefault="00357ABE" w:rsidP="005F7CB2">
            <w:pPr>
              <w:spacing w:before="60" w:after="60"/>
              <w:jc w:val="center"/>
              <w:rPr>
                <w:rFonts w:ascii="Arial" w:eastAsia="Calibri" w:hAnsi="Arial" w:cs="Arial"/>
                <w:sz w:val="20"/>
                <w:szCs w:val="20"/>
                <w:lang w:val="en-GB"/>
              </w:rPr>
            </w:pPr>
            <w:r>
              <w:rPr>
                <w:rFonts w:ascii="Arial" w:eastAsia="Calibri" w:hAnsi="Arial" w:cs="Arial"/>
                <w:sz w:val="20"/>
                <w:szCs w:val="20"/>
                <w:lang w:val="en-GB"/>
              </w:rPr>
              <w:t>Accomplished</w:t>
            </w:r>
          </w:p>
        </w:tc>
      </w:tr>
      <w:tr w:rsidR="00BA522B" w:rsidRPr="001C6031" w14:paraId="03469A00" w14:textId="7FCD117E" w:rsidTr="00842D1A">
        <w:tc>
          <w:tcPr>
            <w:tcW w:w="0" w:type="auto"/>
            <w:shd w:val="clear" w:color="auto" w:fill="auto"/>
          </w:tcPr>
          <w:p w14:paraId="40AF20A9" w14:textId="75475555" w:rsidR="00842D1A" w:rsidRPr="001C6031" w:rsidRDefault="00842D1A" w:rsidP="005F7CB2">
            <w:pPr>
              <w:spacing w:before="60" w:after="60"/>
              <w:rPr>
                <w:rFonts w:ascii="Arial" w:eastAsia="Calibri" w:hAnsi="Arial" w:cs="Arial"/>
                <w:b/>
                <w:sz w:val="20"/>
                <w:szCs w:val="20"/>
                <w:lang w:val="en-GB"/>
              </w:rPr>
            </w:pPr>
            <w:r w:rsidRPr="001C6031">
              <w:rPr>
                <w:rFonts w:ascii="Arial" w:eastAsia="Calibri" w:hAnsi="Arial" w:cs="Arial"/>
                <w:b/>
                <w:sz w:val="20"/>
                <w:szCs w:val="20"/>
                <w:lang w:val="en-GB"/>
              </w:rPr>
              <w:t>O:</w:t>
            </w:r>
          </w:p>
          <w:p w14:paraId="1984B82E" w14:textId="77777777" w:rsidR="00842D1A" w:rsidRPr="001C6031" w:rsidRDefault="00842D1A" w:rsidP="005F7CB2">
            <w:pPr>
              <w:spacing w:before="60" w:after="60"/>
              <w:rPr>
                <w:rFonts w:ascii="Arial" w:eastAsia="Calibri" w:hAnsi="Arial" w:cs="Arial"/>
                <w:sz w:val="20"/>
                <w:szCs w:val="20"/>
                <w:lang w:val="en-GB"/>
              </w:rPr>
            </w:pPr>
            <w:r w:rsidRPr="001C6031">
              <w:rPr>
                <w:rFonts w:ascii="Arial" w:hAnsi="Arial" w:cs="Arial"/>
                <w:sz w:val="20"/>
                <w:szCs w:val="20"/>
                <w:lang w:val="en-GB"/>
              </w:rPr>
              <w:t>New online functionalities for external stakeholders</w:t>
            </w:r>
          </w:p>
          <w:p w14:paraId="139A8CD0" w14:textId="77777777" w:rsidR="00842D1A" w:rsidRPr="001C6031" w:rsidRDefault="00842D1A" w:rsidP="005F7CB2">
            <w:pPr>
              <w:spacing w:before="60" w:after="60"/>
              <w:rPr>
                <w:rFonts w:ascii="Arial" w:hAnsi="Arial" w:cs="Arial"/>
                <w:b/>
                <w:sz w:val="20"/>
                <w:szCs w:val="20"/>
                <w:lang w:val="en-GB"/>
              </w:rPr>
            </w:pPr>
            <w:r w:rsidRPr="001C6031">
              <w:rPr>
                <w:rFonts w:ascii="Arial" w:hAnsi="Arial" w:cs="Arial"/>
                <w:b/>
                <w:sz w:val="20"/>
                <w:szCs w:val="20"/>
                <w:lang w:val="en-GB"/>
              </w:rPr>
              <w:t xml:space="preserve">B 2014-2015: </w:t>
            </w:r>
          </w:p>
          <w:p w14:paraId="2B18C1B5" w14:textId="77777777" w:rsidR="00842D1A" w:rsidRPr="001C6031" w:rsidRDefault="00842D1A" w:rsidP="005F7CB2">
            <w:pPr>
              <w:spacing w:before="60" w:after="60"/>
              <w:rPr>
                <w:rFonts w:ascii="Arial" w:eastAsia="Calibri" w:hAnsi="Arial" w:cs="Arial"/>
                <w:sz w:val="20"/>
                <w:szCs w:val="20"/>
                <w:lang w:val="en-GB"/>
              </w:rPr>
            </w:pPr>
            <w:r w:rsidRPr="001C6031">
              <w:rPr>
                <w:rFonts w:ascii="Arial" w:hAnsi="Arial" w:cs="Arial"/>
                <w:sz w:val="20"/>
                <w:szCs w:val="20"/>
                <w:lang w:val="en-GB"/>
              </w:rPr>
              <w:t>A new online process</w:t>
            </w:r>
          </w:p>
        </w:tc>
        <w:tc>
          <w:tcPr>
            <w:tcW w:w="0" w:type="auto"/>
            <w:shd w:val="clear" w:color="auto" w:fill="auto"/>
          </w:tcPr>
          <w:p w14:paraId="2DAC7AC9" w14:textId="451E4539" w:rsidR="00664588" w:rsidRPr="001C6031" w:rsidRDefault="00664588"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Online satisfaction survey tool </w:t>
            </w:r>
            <w:r w:rsidR="00A009C8">
              <w:rPr>
                <w:rFonts w:ascii="Arial" w:eastAsia="Calibri" w:hAnsi="Arial" w:cs="Arial"/>
                <w:sz w:val="20"/>
                <w:szCs w:val="20"/>
                <w:lang w:val="en-GB"/>
              </w:rPr>
              <w:t xml:space="preserve">developed </w:t>
            </w:r>
            <w:r w:rsidRPr="001C6031">
              <w:rPr>
                <w:rFonts w:ascii="Arial" w:eastAsia="Calibri" w:hAnsi="Arial" w:cs="Arial"/>
                <w:sz w:val="20"/>
                <w:szCs w:val="20"/>
                <w:lang w:val="en-GB"/>
              </w:rPr>
              <w:t xml:space="preserve">for statutory meetings </w:t>
            </w:r>
            <w:r w:rsidR="00A009C8">
              <w:rPr>
                <w:rFonts w:ascii="Arial" w:eastAsia="Calibri" w:hAnsi="Arial" w:cs="Arial"/>
                <w:sz w:val="20"/>
                <w:szCs w:val="20"/>
                <w:lang w:val="en-GB"/>
              </w:rPr>
              <w:t xml:space="preserve">to be answered </w:t>
            </w:r>
            <w:r w:rsidRPr="001C6031">
              <w:rPr>
                <w:rFonts w:ascii="Arial" w:eastAsia="Calibri" w:hAnsi="Arial" w:cs="Arial"/>
                <w:sz w:val="20"/>
                <w:szCs w:val="20"/>
                <w:lang w:val="en-GB"/>
              </w:rPr>
              <w:t>by participants</w:t>
            </w:r>
            <w:r w:rsidR="0041162A">
              <w:rPr>
                <w:rFonts w:ascii="Arial" w:eastAsia="Calibri" w:hAnsi="Arial" w:cs="Arial"/>
                <w:sz w:val="20"/>
                <w:szCs w:val="20"/>
                <w:lang w:val="en-GB"/>
              </w:rPr>
              <w:t>.</w:t>
            </w:r>
          </w:p>
          <w:p w14:paraId="6FCC14CB" w14:textId="4E91FA77" w:rsidR="00842D1A" w:rsidRPr="001C6031" w:rsidRDefault="00664588" w:rsidP="00B04E85">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Online registration tool </w:t>
            </w:r>
            <w:r w:rsidR="00B159C9" w:rsidRPr="001C6031">
              <w:rPr>
                <w:rFonts w:ascii="Arial" w:eastAsia="Calibri" w:hAnsi="Arial" w:cs="Arial"/>
                <w:sz w:val="20"/>
                <w:szCs w:val="20"/>
                <w:lang w:val="en-GB"/>
              </w:rPr>
              <w:t xml:space="preserve">for participants in statutory meetings </w:t>
            </w:r>
            <w:r w:rsidRPr="001C6031">
              <w:rPr>
                <w:rFonts w:ascii="Arial" w:eastAsia="Calibri" w:hAnsi="Arial" w:cs="Arial"/>
                <w:sz w:val="20"/>
                <w:szCs w:val="20"/>
                <w:lang w:val="en-GB"/>
              </w:rPr>
              <w:t xml:space="preserve">enhanced </w:t>
            </w:r>
            <w:r w:rsidR="00B159C9" w:rsidRPr="001C6031">
              <w:rPr>
                <w:rFonts w:ascii="Arial" w:eastAsia="Calibri" w:hAnsi="Arial" w:cs="Arial"/>
                <w:sz w:val="20"/>
                <w:szCs w:val="20"/>
                <w:lang w:val="en-GB"/>
              </w:rPr>
              <w:t>with automatic alert</w:t>
            </w:r>
            <w:r w:rsidR="00B04E85">
              <w:rPr>
                <w:rFonts w:ascii="Arial" w:eastAsia="Calibri" w:hAnsi="Arial" w:cs="Arial"/>
                <w:sz w:val="20"/>
                <w:szCs w:val="20"/>
                <w:lang w:val="en-GB"/>
              </w:rPr>
              <w:t xml:space="preserve"> </w:t>
            </w:r>
            <w:r w:rsidR="00B159C9" w:rsidRPr="001C6031">
              <w:rPr>
                <w:rFonts w:ascii="Arial" w:eastAsia="Calibri" w:hAnsi="Arial" w:cs="Arial"/>
                <w:sz w:val="20"/>
                <w:szCs w:val="20"/>
                <w:lang w:val="en-GB"/>
              </w:rPr>
              <w:t xml:space="preserve">sent to the </w:t>
            </w:r>
            <w:r w:rsidRPr="001C6031">
              <w:rPr>
                <w:rFonts w:ascii="Arial" w:eastAsia="Calibri" w:hAnsi="Arial" w:cs="Arial"/>
                <w:sz w:val="20"/>
                <w:szCs w:val="20"/>
                <w:lang w:val="en-GB"/>
              </w:rPr>
              <w:t xml:space="preserve">Permanent Delegations of </w:t>
            </w:r>
            <w:r w:rsidR="00B159C9" w:rsidRPr="001C6031">
              <w:rPr>
                <w:rFonts w:ascii="Arial" w:eastAsia="Calibri" w:hAnsi="Arial" w:cs="Arial"/>
                <w:sz w:val="20"/>
                <w:szCs w:val="20"/>
                <w:lang w:val="en-GB"/>
              </w:rPr>
              <w:t>the country of which the participant is a national</w:t>
            </w:r>
            <w:r w:rsidR="0041162A">
              <w:rPr>
                <w:rFonts w:ascii="Arial" w:eastAsia="Calibri" w:hAnsi="Arial" w:cs="Arial"/>
                <w:sz w:val="20"/>
                <w:szCs w:val="20"/>
                <w:lang w:val="en-GB"/>
              </w:rPr>
              <w:t>.</w:t>
            </w:r>
          </w:p>
        </w:tc>
        <w:tc>
          <w:tcPr>
            <w:tcW w:w="0" w:type="auto"/>
          </w:tcPr>
          <w:p w14:paraId="792502FC" w14:textId="3C09D1C6" w:rsidR="00842D1A" w:rsidRPr="001C6031" w:rsidRDefault="00357ABE" w:rsidP="005F7CB2">
            <w:pPr>
              <w:spacing w:before="60" w:after="60"/>
              <w:jc w:val="center"/>
              <w:rPr>
                <w:rFonts w:ascii="Arial" w:eastAsia="Calibri" w:hAnsi="Arial" w:cs="Arial"/>
                <w:sz w:val="20"/>
                <w:szCs w:val="20"/>
                <w:lang w:val="en-GB"/>
              </w:rPr>
            </w:pPr>
            <w:r w:rsidRPr="001C6031">
              <w:rPr>
                <w:rFonts w:ascii="Arial" w:eastAsia="Calibri" w:hAnsi="Arial" w:cs="Arial"/>
                <w:sz w:val="20"/>
                <w:szCs w:val="20"/>
                <w:lang w:val="en-GB"/>
              </w:rPr>
              <w:t xml:space="preserve">Partly </w:t>
            </w:r>
            <w:r>
              <w:rPr>
                <w:rFonts w:ascii="Arial" w:eastAsia="Calibri" w:hAnsi="Arial" w:cs="Arial"/>
                <w:sz w:val="20"/>
                <w:szCs w:val="20"/>
                <w:lang w:val="en-GB"/>
              </w:rPr>
              <w:t>accomplished</w:t>
            </w:r>
          </w:p>
        </w:tc>
      </w:tr>
      <w:tr w:rsidR="00BA522B" w:rsidRPr="001C6031" w14:paraId="207F6DEF" w14:textId="1BF07343" w:rsidTr="00842D1A">
        <w:tc>
          <w:tcPr>
            <w:tcW w:w="0" w:type="auto"/>
            <w:shd w:val="clear" w:color="auto" w:fill="auto"/>
          </w:tcPr>
          <w:p w14:paraId="468E94FE" w14:textId="77777777" w:rsidR="00842D1A" w:rsidRPr="001C6031" w:rsidRDefault="00842D1A" w:rsidP="005F7CB2">
            <w:pPr>
              <w:spacing w:before="60" w:after="60"/>
              <w:rPr>
                <w:rFonts w:ascii="Arial" w:eastAsia="Calibri" w:hAnsi="Arial" w:cs="Arial"/>
                <w:b/>
                <w:sz w:val="20"/>
                <w:szCs w:val="20"/>
                <w:lang w:val="en-GB"/>
              </w:rPr>
            </w:pPr>
            <w:r w:rsidRPr="001C6031">
              <w:rPr>
                <w:rFonts w:ascii="Arial" w:eastAsia="Calibri" w:hAnsi="Arial" w:cs="Arial"/>
                <w:b/>
                <w:sz w:val="20"/>
                <w:szCs w:val="20"/>
                <w:lang w:val="en-GB"/>
              </w:rPr>
              <w:t xml:space="preserve">O: </w:t>
            </w:r>
          </w:p>
          <w:p w14:paraId="66F6A772" w14:textId="77777777" w:rsidR="00842D1A" w:rsidRPr="001C6031" w:rsidRDefault="00842D1A" w:rsidP="005F7CB2">
            <w:pPr>
              <w:spacing w:before="60" w:after="60"/>
              <w:rPr>
                <w:rFonts w:ascii="Arial" w:eastAsia="Calibri" w:hAnsi="Arial" w:cs="Arial"/>
                <w:sz w:val="20"/>
                <w:szCs w:val="20"/>
                <w:lang w:val="en-GB"/>
              </w:rPr>
            </w:pPr>
            <w:r w:rsidRPr="001C6031">
              <w:rPr>
                <w:rFonts w:ascii="Arial" w:hAnsi="Arial" w:cs="Arial"/>
                <w:sz w:val="20"/>
                <w:szCs w:val="20"/>
                <w:lang w:val="en-GB"/>
              </w:rPr>
              <w:t>Convention website enhanced with improved navigation and ergonomics, and search engine optimization</w:t>
            </w:r>
          </w:p>
          <w:p w14:paraId="1F82A2B9" w14:textId="77777777" w:rsidR="00842D1A" w:rsidRPr="001C6031" w:rsidRDefault="00842D1A" w:rsidP="005F7CB2">
            <w:pPr>
              <w:spacing w:before="60" w:after="60"/>
              <w:rPr>
                <w:rFonts w:ascii="Arial" w:hAnsi="Arial" w:cs="Arial"/>
                <w:b/>
                <w:sz w:val="20"/>
                <w:szCs w:val="20"/>
                <w:lang w:val="en-GB"/>
              </w:rPr>
            </w:pPr>
            <w:r w:rsidRPr="001C6031">
              <w:rPr>
                <w:rFonts w:ascii="Arial" w:hAnsi="Arial" w:cs="Arial"/>
                <w:b/>
                <w:sz w:val="20"/>
                <w:szCs w:val="20"/>
                <w:lang w:val="en-GB"/>
              </w:rPr>
              <w:t xml:space="preserve">B 2014-2015: </w:t>
            </w:r>
          </w:p>
          <w:p w14:paraId="71A952AB" w14:textId="6D79F504" w:rsidR="00842D1A" w:rsidRPr="001C6031" w:rsidRDefault="00C71DA8" w:rsidP="00C71DA8">
            <w:pPr>
              <w:spacing w:before="60" w:after="60"/>
              <w:rPr>
                <w:rFonts w:ascii="Arial" w:eastAsia="Calibri" w:hAnsi="Arial" w:cs="Arial"/>
                <w:sz w:val="20"/>
                <w:szCs w:val="20"/>
                <w:lang w:val="en-GB"/>
              </w:rPr>
            </w:pPr>
            <w:r>
              <w:rPr>
                <w:rFonts w:ascii="Arial" w:hAnsi="Arial" w:cs="Arial"/>
                <w:sz w:val="20"/>
                <w:szCs w:val="20"/>
                <w:lang w:val="en-GB"/>
              </w:rPr>
              <w:t xml:space="preserve">Ninety-five per cent </w:t>
            </w:r>
            <w:r w:rsidR="00842D1A" w:rsidRPr="001C6031">
              <w:rPr>
                <w:rFonts w:ascii="Arial" w:hAnsi="Arial" w:cs="Arial"/>
                <w:sz w:val="20"/>
                <w:szCs w:val="20"/>
                <w:lang w:val="en-GB"/>
              </w:rPr>
              <w:t>of existing pages migrated and 5% pages retired; 4,000,000 page views</w:t>
            </w:r>
          </w:p>
        </w:tc>
        <w:tc>
          <w:tcPr>
            <w:tcW w:w="0" w:type="auto"/>
            <w:shd w:val="clear" w:color="auto" w:fill="auto"/>
          </w:tcPr>
          <w:p w14:paraId="77DA912C" w14:textId="391F2271" w:rsidR="00842D1A" w:rsidRPr="001C6031" w:rsidRDefault="00842D1A"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Fully renovated website (include a search engine to facilitate searches for web pages, elements, deci</w:t>
            </w:r>
            <w:r w:rsidR="00664588" w:rsidRPr="001C6031">
              <w:rPr>
                <w:rFonts w:ascii="Arial" w:eastAsia="Calibri" w:hAnsi="Arial" w:cs="Arial"/>
                <w:sz w:val="20"/>
                <w:szCs w:val="20"/>
                <w:lang w:val="en-GB"/>
              </w:rPr>
              <w:t xml:space="preserve">sions, projects, etc.) launched, drastically </w:t>
            </w:r>
            <w:r w:rsidR="00C71DA8" w:rsidRPr="001C6031">
              <w:rPr>
                <w:rFonts w:ascii="Arial" w:eastAsia="Calibri" w:hAnsi="Arial" w:cs="Arial"/>
                <w:sz w:val="20"/>
                <w:szCs w:val="20"/>
                <w:lang w:val="en-GB"/>
              </w:rPr>
              <w:t xml:space="preserve">improving </w:t>
            </w:r>
            <w:r w:rsidRPr="001C6031">
              <w:rPr>
                <w:rFonts w:ascii="Arial" w:eastAsia="Calibri" w:hAnsi="Arial" w:cs="Arial"/>
                <w:sz w:val="20"/>
                <w:szCs w:val="20"/>
                <w:lang w:val="en-GB"/>
              </w:rPr>
              <w:t>browsing experience</w:t>
            </w:r>
            <w:r w:rsidR="00664588" w:rsidRPr="001C6031">
              <w:rPr>
                <w:rFonts w:ascii="Arial" w:eastAsia="Calibri" w:hAnsi="Arial" w:cs="Arial"/>
                <w:sz w:val="20"/>
                <w:szCs w:val="20"/>
                <w:lang w:val="en-GB"/>
              </w:rPr>
              <w:t>s and providing more user-friendly interfaces</w:t>
            </w:r>
            <w:r w:rsidR="0041162A">
              <w:rPr>
                <w:rFonts w:ascii="Arial" w:eastAsia="Calibri" w:hAnsi="Arial" w:cs="Arial"/>
                <w:sz w:val="20"/>
                <w:szCs w:val="20"/>
                <w:lang w:val="en-GB"/>
              </w:rPr>
              <w:t>.</w:t>
            </w:r>
          </w:p>
          <w:p w14:paraId="00EF4E3D" w14:textId="7A790CB5" w:rsidR="00664588" w:rsidRPr="001C6031" w:rsidRDefault="00C71DA8"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Pr>
                <w:rFonts w:ascii="Arial" w:eastAsia="Calibri" w:hAnsi="Arial" w:cs="Arial"/>
                <w:sz w:val="20"/>
                <w:szCs w:val="20"/>
                <w:lang w:val="en-GB"/>
              </w:rPr>
              <w:t>All</w:t>
            </w:r>
            <w:r w:rsidR="00664588" w:rsidRPr="001C6031">
              <w:rPr>
                <w:rFonts w:ascii="Arial" w:eastAsia="Calibri" w:hAnsi="Arial" w:cs="Arial"/>
                <w:sz w:val="20"/>
                <w:szCs w:val="20"/>
                <w:lang w:val="en-GB"/>
              </w:rPr>
              <w:t xml:space="preserve"> pages migrated</w:t>
            </w:r>
            <w:r w:rsidR="0041162A">
              <w:rPr>
                <w:rFonts w:ascii="Arial" w:eastAsia="Calibri" w:hAnsi="Arial" w:cs="Arial"/>
                <w:sz w:val="20"/>
                <w:szCs w:val="20"/>
                <w:lang w:val="en-GB"/>
              </w:rPr>
              <w:t>.</w:t>
            </w:r>
          </w:p>
          <w:p w14:paraId="07D5648F" w14:textId="10E97CC9" w:rsidR="00664588" w:rsidRPr="001C6031" w:rsidRDefault="00C71DA8"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Pr>
                <w:rFonts w:ascii="Arial" w:eastAsia="Calibri" w:hAnsi="Arial" w:cs="Arial"/>
                <w:sz w:val="20"/>
                <w:szCs w:val="20"/>
                <w:lang w:val="en-GB"/>
              </w:rPr>
              <w:t xml:space="preserve">Page views total </w:t>
            </w:r>
            <w:r w:rsidR="00664588" w:rsidRPr="001C6031">
              <w:rPr>
                <w:rFonts w:ascii="Arial" w:eastAsia="Calibri" w:hAnsi="Arial" w:cs="Arial"/>
                <w:sz w:val="20"/>
                <w:szCs w:val="20"/>
                <w:lang w:val="en-GB"/>
              </w:rPr>
              <w:t>4,271,000</w:t>
            </w:r>
            <w:r w:rsidR="0041162A">
              <w:rPr>
                <w:rFonts w:ascii="Arial" w:eastAsia="Calibri" w:hAnsi="Arial" w:cs="Arial"/>
                <w:sz w:val="20"/>
                <w:szCs w:val="20"/>
                <w:lang w:val="en-GB"/>
              </w:rPr>
              <w:t>.</w:t>
            </w:r>
          </w:p>
        </w:tc>
        <w:tc>
          <w:tcPr>
            <w:tcW w:w="0" w:type="auto"/>
          </w:tcPr>
          <w:p w14:paraId="7282929A" w14:textId="5FC15D1D" w:rsidR="00842D1A" w:rsidRPr="001C6031" w:rsidRDefault="00357ABE" w:rsidP="005F7CB2">
            <w:pPr>
              <w:spacing w:before="60" w:after="60"/>
              <w:jc w:val="center"/>
              <w:rPr>
                <w:rFonts w:ascii="Arial" w:eastAsia="Calibri" w:hAnsi="Arial" w:cs="Arial"/>
                <w:sz w:val="20"/>
                <w:szCs w:val="20"/>
                <w:lang w:val="en-GB"/>
              </w:rPr>
            </w:pPr>
            <w:r w:rsidRPr="001C6031">
              <w:rPr>
                <w:rFonts w:ascii="Arial" w:eastAsia="Calibri" w:hAnsi="Arial" w:cs="Arial"/>
                <w:sz w:val="20"/>
                <w:szCs w:val="20"/>
                <w:lang w:val="en-GB"/>
              </w:rPr>
              <w:t xml:space="preserve">Partly </w:t>
            </w:r>
            <w:r>
              <w:rPr>
                <w:rFonts w:ascii="Arial" w:eastAsia="Calibri" w:hAnsi="Arial" w:cs="Arial"/>
                <w:sz w:val="20"/>
                <w:szCs w:val="20"/>
                <w:lang w:val="en-GB"/>
              </w:rPr>
              <w:t>accomplished</w:t>
            </w:r>
          </w:p>
        </w:tc>
      </w:tr>
    </w:tbl>
    <w:p w14:paraId="53A93534" w14:textId="77993666" w:rsidR="00A74D6C" w:rsidRPr="001C6031" w:rsidRDefault="00A74D6C" w:rsidP="005F7CB2">
      <w:pPr>
        <w:keepNext/>
        <w:spacing w:before="240" w:after="120"/>
        <w:rPr>
          <w:rFonts w:ascii="Arial" w:hAnsi="Arial" w:cs="Arial"/>
          <w:b/>
          <w:sz w:val="22"/>
          <w:szCs w:val="22"/>
          <w:lang w:val="en-GB"/>
        </w:rPr>
      </w:pPr>
      <w:r w:rsidRPr="001C6031">
        <w:rPr>
          <w:rFonts w:ascii="Arial" w:hAnsi="Arial" w:cs="Arial"/>
          <w:b/>
          <w:sz w:val="22"/>
          <w:szCs w:val="22"/>
          <w:lang w:val="en-GB"/>
        </w:rPr>
        <w:t>Challenges and risks in implementation and remedial actions</w:t>
      </w:r>
    </w:p>
    <w:tbl>
      <w:tblPr>
        <w:tblStyle w:val="TableGrid"/>
        <w:tblW w:w="5000" w:type="pct"/>
        <w:tblLook w:val="04A0" w:firstRow="1" w:lastRow="0" w:firstColumn="1" w:lastColumn="0" w:noHBand="0" w:noVBand="1"/>
      </w:tblPr>
      <w:tblGrid>
        <w:gridCol w:w="4814"/>
        <w:gridCol w:w="4814"/>
      </w:tblGrid>
      <w:tr w:rsidR="00A74D6C" w:rsidRPr="001C6031" w14:paraId="75EDE6C9" w14:textId="77777777" w:rsidTr="00907D3B">
        <w:trPr>
          <w:tblHeader/>
        </w:trPr>
        <w:tc>
          <w:tcPr>
            <w:tcW w:w="2500" w:type="pct"/>
            <w:shd w:val="clear" w:color="auto" w:fill="D9D9D9"/>
          </w:tcPr>
          <w:p w14:paraId="1D6ADB64" w14:textId="77777777" w:rsidR="00A74D6C" w:rsidRPr="001C6031" w:rsidRDefault="00A74D6C" w:rsidP="005F7CB2">
            <w:pPr>
              <w:keepNext/>
              <w:spacing w:before="120" w:after="120"/>
              <w:jc w:val="center"/>
              <w:rPr>
                <w:rFonts w:ascii="Arial" w:hAnsi="Arial" w:cs="Arial"/>
                <w:b/>
                <w:sz w:val="20"/>
                <w:szCs w:val="20"/>
                <w:lang w:val="en-GB"/>
              </w:rPr>
            </w:pPr>
            <w:r w:rsidRPr="001C6031">
              <w:rPr>
                <w:rFonts w:ascii="Arial" w:hAnsi="Arial" w:cs="Arial"/>
                <w:b/>
                <w:sz w:val="20"/>
                <w:szCs w:val="20"/>
                <w:lang w:val="en-GB"/>
              </w:rPr>
              <w:t>Key challenges</w:t>
            </w:r>
          </w:p>
        </w:tc>
        <w:tc>
          <w:tcPr>
            <w:tcW w:w="2500" w:type="pct"/>
            <w:shd w:val="clear" w:color="auto" w:fill="D9D9D9"/>
          </w:tcPr>
          <w:p w14:paraId="276F5A74" w14:textId="77777777" w:rsidR="00A74D6C" w:rsidRPr="001C6031" w:rsidRDefault="00A74D6C" w:rsidP="005F7CB2">
            <w:pPr>
              <w:keepNext/>
              <w:spacing w:before="120" w:after="120"/>
              <w:jc w:val="center"/>
              <w:rPr>
                <w:rFonts w:ascii="Arial" w:hAnsi="Arial" w:cs="Arial"/>
                <w:b/>
                <w:sz w:val="20"/>
                <w:szCs w:val="20"/>
                <w:lang w:val="en-GB"/>
              </w:rPr>
            </w:pPr>
            <w:r w:rsidRPr="001C6031">
              <w:rPr>
                <w:rFonts w:ascii="Arial" w:hAnsi="Arial" w:cs="Arial"/>
                <w:b/>
                <w:sz w:val="20"/>
                <w:szCs w:val="20"/>
                <w:lang w:val="en-GB"/>
              </w:rPr>
              <w:t>Remedial actions</w:t>
            </w:r>
          </w:p>
        </w:tc>
      </w:tr>
      <w:tr w:rsidR="00A74D6C" w:rsidRPr="00B04E85" w14:paraId="3307A5C8" w14:textId="77777777" w:rsidTr="00203F98">
        <w:tc>
          <w:tcPr>
            <w:tcW w:w="2500" w:type="pct"/>
          </w:tcPr>
          <w:p w14:paraId="42BB9445" w14:textId="2073F642" w:rsidR="00A74D6C" w:rsidRPr="001C6031" w:rsidRDefault="00416AAC" w:rsidP="000B764C">
            <w:pPr>
              <w:spacing w:before="60" w:after="60"/>
              <w:rPr>
                <w:rFonts w:ascii="Arial" w:eastAsia="Calibri" w:hAnsi="Arial" w:cs="Arial"/>
                <w:sz w:val="20"/>
                <w:szCs w:val="20"/>
                <w:highlight w:val="yellow"/>
                <w:lang w:val="en-GB"/>
              </w:rPr>
            </w:pPr>
            <w:r w:rsidRPr="001C6031">
              <w:rPr>
                <w:rFonts w:ascii="Arial" w:eastAsia="Calibri" w:hAnsi="Arial" w:cs="Arial"/>
                <w:sz w:val="20"/>
                <w:szCs w:val="20"/>
                <w:lang w:val="en-GB"/>
              </w:rPr>
              <w:t>Developing monitoring interfaces suitable for external stakeholders and the Secretariat certainly require financial resources but above all time</w:t>
            </w:r>
            <w:r w:rsidR="00B159C9" w:rsidRPr="001C6031">
              <w:rPr>
                <w:rFonts w:ascii="Arial" w:eastAsia="Calibri" w:hAnsi="Arial" w:cs="Arial"/>
                <w:sz w:val="20"/>
                <w:szCs w:val="20"/>
                <w:lang w:val="en-GB"/>
              </w:rPr>
              <w:t xml:space="preserve"> to thoroughly examine the needs and workflows from a programmatic perspective. </w:t>
            </w:r>
            <w:r w:rsidR="00FF7E84" w:rsidRPr="001C6031">
              <w:rPr>
                <w:rFonts w:ascii="Arial" w:eastAsia="Calibri" w:hAnsi="Arial" w:cs="Arial"/>
                <w:sz w:val="20"/>
                <w:szCs w:val="20"/>
                <w:lang w:val="en-GB"/>
              </w:rPr>
              <w:t xml:space="preserve">Outputs that suffered from </w:t>
            </w:r>
            <w:r w:rsidR="000B764C">
              <w:rPr>
                <w:rFonts w:ascii="Arial" w:eastAsia="Calibri" w:hAnsi="Arial" w:cs="Arial"/>
                <w:sz w:val="20"/>
                <w:szCs w:val="20"/>
                <w:lang w:val="en-GB"/>
              </w:rPr>
              <w:t>a</w:t>
            </w:r>
            <w:r w:rsidR="00FF7E84" w:rsidRPr="001C6031">
              <w:rPr>
                <w:rFonts w:ascii="Arial" w:eastAsia="Calibri" w:hAnsi="Arial" w:cs="Arial"/>
                <w:sz w:val="20"/>
                <w:szCs w:val="20"/>
                <w:lang w:val="en-GB"/>
              </w:rPr>
              <w:t xml:space="preserve"> lack of time during the reporting period are the development of a monitoring interface for the status of periodic reporting and better linking with </w:t>
            </w:r>
            <w:r w:rsidR="000B764C">
              <w:rPr>
                <w:rFonts w:ascii="Arial" w:eastAsia="Calibri" w:hAnsi="Arial" w:cs="Arial"/>
                <w:sz w:val="20"/>
                <w:szCs w:val="20"/>
                <w:lang w:val="en-GB"/>
              </w:rPr>
              <w:t xml:space="preserve">the </w:t>
            </w:r>
            <w:r w:rsidR="00FF7E84" w:rsidRPr="001C6031">
              <w:rPr>
                <w:rFonts w:ascii="Arial" w:eastAsia="Calibri" w:hAnsi="Arial" w:cs="Arial"/>
                <w:sz w:val="20"/>
                <w:szCs w:val="20"/>
                <w:lang w:val="en-GB"/>
              </w:rPr>
              <w:t>inscribed element</w:t>
            </w:r>
            <w:r w:rsidR="000B764C">
              <w:rPr>
                <w:rFonts w:ascii="Arial" w:eastAsia="Calibri" w:hAnsi="Arial" w:cs="Arial"/>
                <w:sz w:val="20"/>
                <w:szCs w:val="20"/>
                <w:lang w:val="en-GB"/>
              </w:rPr>
              <w:t>,</w:t>
            </w:r>
            <w:r w:rsidR="00FF7E84" w:rsidRPr="001C6031">
              <w:rPr>
                <w:rFonts w:ascii="Arial" w:eastAsia="Calibri" w:hAnsi="Arial" w:cs="Arial"/>
                <w:sz w:val="20"/>
                <w:szCs w:val="20"/>
                <w:lang w:val="en-GB"/>
              </w:rPr>
              <w:t xml:space="preserve"> as well as </w:t>
            </w:r>
            <w:r w:rsidR="00484AFA" w:rsidRPr="001C6031">
              <w:rPr>
                <w:rFonts w:ascii="Arial" w:eastAsia="Calibri" w:hAnsi="Arial" w:cs="Arial"/>
                <w:sz w:val="20"/>
                <w:szCs w:val="20"/>
                <w:lang w:val="en-GB"/>
              </w:rPr>
              <w:t>a regional officer dashboard displaying consolidate</w:t>
            </w:r>
            <w:r w:rsidR="000B764C">
              <w:rPr>
                <w:rFonts w:ascii="Arial" w:eastAsia="Calibri" w:hAnsi="Arial" w:cs="Arial"/>
                <w:sz w:val="20"/>
                <w:szCs w:val="20"/>
                <w:lang w:val="en-GB"/>
              </w:rPr>
              <w:t>d</w:t>
            </w:r>
            <w:r w:rsidR="00484AFA" w:rsidRPr="001C6031">
              <w:rPr>
                <w:rFonts w:ascii="Arial" w:eastAsia="Calibri" w:hAnsi="Arial" w:cs="Arial"/>
                <w:sz w:val="20"/>
                <w:szCs w:val="20"/>
                <w:lang w:val="en-GB"/>
              </w:rPr>
              <w:t xml:space="preserve"> information on diverse tasks each of the Section’s staff members </w:t>
            </w:r>
            <w:r w:rsidR="000B764C">
              <w:rPr>
                <w:rFonts w:ascii="Arial" w:eastAsia="Calibri" w:hAnsi="Arial" w:cs="Arial"/>
                <w:sz w:val="20"/>
                <w:szCs w:val="20"/>
                <w:lang w:val="en-GB"/>
              </w:rPr>
              <w:t>are</w:t>
            </w:r>
            <w:r w:rsidR="00484AFA" w:rsidRPr="001C6031">
              <w:rPr>
                <w:rFonts w:ascii="Arial" w:eastAsia="Calibri" w:hAnsi="Arial" w:cs="Arial"/>
                <w:sz w:val="20"/>
                <w:szCs w:val="20"/>
                <w:lang w:val="en-GB"/>
              </w:rPr>
              <w:t xml:space="preserve"> responsible for, together with deadlines and status updates.</w:t>
            </w:r>
          </w:p>
        </w:tc>
        <w:tc>
          <w:tcPr>
            <w:tcW w:w="2500" w:type="pct"/>
          </w:tcPr>
          <w:p w14:paraId="1525841D" w14:textId="0DD06EF6" w:rsidR="00A74D6C" w:rsidRPr="001C6031" w:rsidRDefault="006A0FDF" w:rsidP="006A0FDF">
            <w:pPr>
              <w:spacing w:before="60" w:after="60"/>
              <w:rPr>
                <w:rFonts w:ascii="Arial" w:hAnsi="Arial" w:cs="Arial"/>
                <w:sz w:val="20"/>
                <w:szCs w:val="20"/>
                <w:lang w:val="en-GB"/>
              </w:rPr>
            </w:pPr>
            <w:r w:rsidRPr="001C6031">
              <w:rPr>
                <w:rFonts w:ascii="Arial" w:hAnsi="Arial" w:cs="Arial"/>
                <w:sz w:val="20"/>
                <w:szCs w:val="20"/>
                <w:lang w:val="en-GB"/>
              </w:rPr>
              <w:t>In</w:t>
            </w:r>
            <w:r w:rsidRPr="001C6031">
              <w:rPr>
                <w:rFonts w:ascii="Arial" w:eastAsia="Calibri" w:hAnsi="Arial" w:cs="Arial"/>
                <w:sz w:val="20"/>
                <w:szCs w:val="20"/>
                <w:lang w:val="en-GB"/>
              </w:rPr>
              <w:t xml:space="preserve">creased outsourcing of technical developments in order to free time of in-house staff dedicated to thoroughly examining the needs and workflows from a programmatic perspective coupled with better assessment of financial and human resources required for the implementation of new functionalities. </w:t>
            </w:r>
          </w:p>
        </w:tc>
      </w:tr>
      <w:tr w:rsidR="00A74D6C" w:rsidRPr="00B04E85" w14:paraId="0E4BD5AC" w14:textId="77777777" w:rsidTr="00203F98">
        <w:tc>
          <w:tcPr>
            <w:tcW w:w="2500" w:type="pct"/>
          </w:tcPr>
          <w:p w14:paraId="476FA5F9" w14:textId="34FA322C" w:rsidR="00A74D6C" w:rsidRPr="001C6031" w:rsidRDefault="00CC3B58" w:rsidP="000B764C">
            <w:pPr>
              <w:spacing w:before="60" w:after="60"/>
              <w:rPr>
                <w:rFonts w:ascii="Arial" w:eastAsia="Calibri" w:hAnsi="Arial" w:cs="Arial"/>
                <w:sz w:val="20"/>
                <w:szCs w:val="20"/>
                <w:lang w:val="en-GB"/>
              </w:rPr>
            </w:pPr>
            <w:r w:rsidRPr="001C6031">
              <w:rPr>
                <w:rFonts w:ascii="Arial" w:eastAsia="Calibri" w:hAnsi="Arial" w:cs="Arial"/>
                <w:sz w:val="20"/>
                <w:szCs w:val="20"/>
                <w:lang w:val="en-GB"/>
              </w:rPr>
              <w:t xml:space="preserve">The Transparency Portal (website) was launched in 2015 to provide information to the general public, Member States and donors </w:t>
            </w:r>
            <w:r w:rsidR="000B764C" w:rsidRPr="001C6031">
              <w:rPr>
                <w:rFonts w:ascii="Arial" w:eastAsia="Calibri" w:hAnsi="Arial" w:cs="Arial"/>
                <w:sz w:val="20"/>
                <w:szCs w:val="20"/>
                <w:lang w:val="en-GB"/>
              </w:rPr>
              <w:t xml:space="preserve">on UNESCO’s projects and activities </w:t>
            </w:r>
            <w:r w:rsidRPr="001C6031">
              <w:rPr>
                <w:rFonts w:ascii="Arial" w:eastAsia="Calibri" w:hAnsi="Arial" w:cs="Arial"/>
                <w:sz w:val="20"/>
                <w:szCs w:val="20"/>
                <w:lang w:val="en-GB"/>
              </w:rPr>
              <w:t>to improv</w:t>
            </w:r>
            <w:r w:rsidR="000B764C">
              <w:rPr>
                <w:rFonts w:ascii="Arial" w:eastAsia="Calibri" w:hAnsi="Arial" w:cs="Arial"/>
                <w:sz w:val="20"/>
                <w:szCs w:val="20"/>
                <w:lang w:val="en-GB"/>
              </w:rPr>
              <w:t>e</w:t>
            </w:r>
            <w:r w:rsidRPr="001C6031">
              <w:rPr>
                <w:rFonts w:ascii="Arial" w:eastAsia="Calibri" w:hAnsi="Arial" w:cs="Arial"/>
                <w:sz w:val="20"/>
                <w:szCs w:val="20"/>
                <w:lang w:val="en-GB"/>
              </w:rPr>
              <w:t xml:space="preserve"> the traceability of the use of extrabudgetary funds. It provides a very inadequate overview of the ICH programme, in particular with regard to projects and activities funded by the ICH Fund that the Portal is not able to trace in a disaggregated manner. </w:t>
            </w:r>
          </w:p>
        </w:tc>
        <w:tc>
          <w:tcPr>
            <w:tcW w:w="2500" w:type="pct"/>
          </w:tcPr>
          <w:p w14:paraId="213F23C4" w14:textId="02639E6D" w:rsidR="00CC3B58" w:rsidRPr="001C6031" w:rsidRDefault="00CC3B58" w:rsidP="00CC3B58">
            <w:pPr>
              <w:spacing w:before="60" w:after="60"/>
              <w:rPr>
                <w:rFonts w:ascii="Arial" w:eastAsia="Calibri" w:hAnsi="Arial" w:cs="Arial"/>
                <w:sz w:val="20"/>
                <w:szCs w:val="20"/>
                <w:lang w:val="en-GB"/>
              </w:rPr>
            </w:pPr>
            <w:r w:rsidRPr="001C6031">
              <w:rPr>
                <w:rFonts w:ascii="Arial" w:eastAsia="Calibri" w:hAnsi="Arial" w:cs="Arial"/>
                <w:sz w:val="20"/>
                <w:szCs w:val="20"/>
                <w:lang w:val="en-GB"/>
              </w:rPr>
              <w:t xml:space="preserve">Further enhancements of the Transparency Portal (website) are needed before a data conduit from the ICH knowledge management system can be designed. In the meantime, with the same interests of transparency and accuracy of information, the Section continues its efforts to adapt its knowledge management </w:t>
            </w:r>
            <w:r w:rsidR="003E20BB" w:rsidRPr="001C6031">
              <w:rPr>
                <w:rFonts w:ascii="Arial" w:eastAsia="Calibri" w:hAnsi="Arial" w:cs="Arial"/>
                <w:sz w:val="20"/>
                <w:szCs w:val="20"/>
                <w:lang w:val="en-GB"/>
              </w:rPr>
              <w:t>system to project monitoring and reporting needs.</w:t>
            </w:r>
          </w:p>
        </w:tc>
      </w:tr>
    </w:tbl>
    <w:p w14:paraId="4E0F8AFF" w14:textId="77777777" w:rsidR="00A74D6C" w:rsidRPr="001C6031" w:rsidRDefault="00A74D6C" w:rsidP="00473C13">
      <w:pPr>
        <w:keepNext/>
        <w:spacing w:before="240" w:after="120"/>
        <w:ind w:left="851" w:hanging="851"/>
        <w:rPr>
          <w:rFonts w:ascii="Arial" w:hAnsi="Arial" w:cs="Arial"/>
          <w:b/>
          <w:sz w:val="22"/>
          <w:szCs w:val="22"/>
          <w:lang w:val="en-GB"/>
        </w:rPr>
      </w:pPr>
      <w:r w:rsidRPr="001C6031">
        <w:rPr>
          <w:rFonts w:ascii="Arial" w:hAnsi="Arial" w:cs="Arial"/>
          <w:b/>
          <w:sz w:val="22"/>
          <w:szCs w:val="22"/>
          <w:lang w:val="en-GB"/>
        </w:rPr>
        <w:t>ER 3:</w:t>
      </w:r>
      <w:r w:rsidRPr="001C6031">
        <w:rPr>
          <w:rFonts w:ascii="Arial" w:hAnsi="Arial" w:cs="Arial"/>
          <w:b/>
          <w:sz w:val="22"/>
          <w:szCs w:val="22"/>
          <w:lang w:val="en-GB"/>
        </w:rPr>
        <w:tab/>
        <w:t>Guidance provided on best safeguarding practices and recommendations made on measures for the safeguarding of the intangible cultural heritage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3876"/>
        <w:gridCol w:w="1876"/>
      </w:tblGrid>
      <w:tr w:rsidR="00A74D6C" w:rsidRPr="001C6031" w14:paraId="017532F4" w14:textId="77777777" w:rsidTr="00842D1A">
        <w:tc>
          <w:tcPr>
            <w:tcW w:w="2013" w:type="pct"/>
            <w:tcBorders>
              <w:bottom w:val="single" w:sz="4" w:space="0" w:color="auto"/>
            </w:tcBorders>
            <w:shd w:val="clear" w:color="auto" w:fill="C6D9F1"/>
          </w:tcPr>
          <w:p w14:paraId="45543C71" w14:textId="77777777" w:rsidR="00A74D6C" w:rsidRPr="001C6031" w:rsidRDefault="00A74D6C" w:rsidP="00473C13">
            <w:pPr>
              <w:keepNext/>
              <w:spacing w:before="120" w:after="120"/>
              <w:jc w:val="center"/>
              <w:rPr>
                <w:rFonts w:ascii="Arial" w:eastAsia="Calibri" w:hAnsi="Arial" w:cs="Arial"/>
                <w:b/>
                <w:sz w:val="20"/>
                <w:szCs w:val="20"/>
                <w:lang w:val="en-GB"/>
              </w:rPr>
            </w:pPr>
            <w:r w:rsidRPr="001C6031">
              <w:rPr>
                <w:rFonts w:ascii="Arial" w:eastAsia="Calibri" w:hAnsi="Arial" w:cs="Arial"/>
                <w:b/>
                <w:sz w:val="20"/>
                <w:szCs w:val="20"/>
                <w:lang w:val="en-GB"/>
              </w:rPr>
              <w:t>Allocation</w:t>
            </w:r>
          </w:p>
        </w:tc>
        <w:tc>
          <w:tcPr>
            <w:tcW w:w="2013" w:type="pct"/>
            <w:shd w:val="clear" w:color="auto" w:fill="C6D9F1"/>
          </w:tcPr>
          <w:p w14:paraId="4B9F92CB" w14:textId="77777777" w:rsidR="00A74D6C" w:rsidRPr="001C6031" w:rsidRDefault="00A74D6C" w:rsidP="00473C13">
            <w:pPr>
              <w:keepNext/>
              <w:spacing w:before="120" w:after="120"/>
              <w:jc w:val="center"/>
              <w:rPr>
                <w:rFonts w:ascii="Arial" w:eastAsia="Calibri" w:hAnsi="Arial" w:cs="Arial"/>
                <w:b/>
                <w:sz w:val="20"/>
                <w:szCs w:val="20"/>
                <w:lang w:val="en-GB"/>
              </w:rPr>
            </w:pPr>
            <w:r w:rsidRPr="001C6031">
              <w:rPr>
                <w:rFonts w:ascii="Arial" w:eastAsia="Calibri" w:hAnsi="Arial" w:cs="Arial"/>
                <w:b/>
                <w:sz w:val="20"/>
                <w:szCs w:val="20"/>
                <w:lang w:val="en-GB"/>
              </w:rPr>
              <w:t>Expenditures</w:t>
            </w:r>
          </w:p>
        </w:tc>
        <w:tc>
          <w:tcPr>
            <w:tcW w:w="974" w:type="pct"/>
            <w:shd w:val="clear" w:color="auto" w:fill="C6D9F1"/>
          </w:tcPr>
          <w:p w14:paraId="43CF441F" w14:textId="77777777" w:rsidR="00A74D6C" w:rsidRPr="001C6031" w:rsidRDefault="00A74D6C" w:rsidP="00473C13">
            <w:pPr>
              <w:keepNext/>
              <w:spacing w:before="120" w:after="120"/>
              <w:jc w:val="center"/>
              <w:rPr>
                <w:rFonts w:ascii="Arial" w:eastAsia="Calibri" w:hAnsi="Arial" w:cs="Arial"/>
                <w:b/>
                <w:sz w:val="20"/>
                <w:szCs w:val="20"/>
                <w:lang w:val="en-GB"/>
              </w:rPr>
            </w:pPr>
            <w:r w:rsidRPr="001C6031">
              <w:rPr>
                <w:rFonts w:ascii="Arial" w:eastAsia="Calibri" w:hAnsi="Arial" w:cs="Arial"/>
                <w:b/>
                <w:sz w:val="20"/>
                <w:szCs w:val="20"/>
                <w:lang w:val="en-GB"/>
              </w:rPr>
              <w:t>Exp. Rate %</w:t>
            </w:r>
          </w:p>
        </w:tc>
      </w:tr>
      <w:tr w:rsidR="00A74D6C" w:rsidRPr="001C6031" w14:paraId="4D4A0A4C" w14:textId="77777777" w:rsidTr="00842D1A">
        <w:tc>
          <w:tcPr>
            <w:tcW w:w="2013" w:type="pct"/>
            <w:tcBorders>
              <w:bottom w:val="single" w:sz="4" w:space="0" w:color="auto"/>
            </w:tcBorders>
            <w:shd w:val="clear" w:color="auto" w:fill="auto"/>
          </w:tcPr>
          <w:p w14:paraId="08307E61" w14:textId="77777777" w:rsidR="00A74D6C" w:rsidRPr="001C6031" w:rsidRDefault="00A74D6C" w:rsidP="00473C13">
            <w:pPr>
              <w:keepNext/>
              <w:spacing w:before="120" w:after="120"/>
              <w:jc w:val="center"/>
              <w:rPr>
                <w:rFonts w:ascii="Arial" w:eastAsia="Calibri" w:hAnsi="Arial" w:cs="Arial"/>
                <w:sz w:val="20"/>
                <w:szCs w:val="20"/>
                <w:lang w:val="en-GB"/>
              </w:rPr>
            </w:pPr>
            <w:r w:rsidRPr="001C6031">
              <w:rPr>
                <w:rFonts w:ascii="Arial" w:hAnsi="Arial" w:cs="Arial"/>
                <w:sz w:val="20"/>
                <w:szCs w:val="20"/>
                <w:lang w:val="en-GB"/>
              </w:rPr>
              <w:t>108,000</w:t>
            </w:r>
            <w:r w:rsidRPr="001C6031">
              <w:rPr>
                <w:rFonts w:ascii="Arial" w:eastAsia="Calibri" w:hAnsi="Arial" w:cs="Arial"/>
                <w:sz w:val="20"/>
                <w:szCs w:val="20"/>
                <w:lang w:val="en-GB"/>
              </w:rPr>
              <w:t>.00</w:t>
            </w:r>
            <w:r w:rsidRPr="001C6031">
              <w:rPr>
                <w:rStyle w:val="FootnoteReference"/>
                <w:rFonts w:ascii="Arial" w:hAnsi="Arial" w:cs="Arial"/>
                <w:sz w:val="20"/>
                <w:szCs w:val="20"/>
                <w:lang w:val="en-GB"/>
              </w:rPr>
              <w:footnoteReference w:id="4"/>
            </w:r>
          </w:p>
        </w:tc>
        <w:tc>
          <w:tcPr>
            <w:tcW w:w="2013" w:type="pct"/>
            <w:shd w:val="clear" w:color="auto" w:fill="auto"/>
          </w:tcPr>
          <w:p w14:paraId="476D0A82" w14:textId="77777777" w:rsidR="00A74D6C" w:rsidRPr="001C6031" w:rsidRDefault="00A74D6C" w:rsidP="00473C13">
            <w:pPr>
              <w:keepNext/>
              <w:spacing w:before="120" w:after="120"/>
              <w:jc w:val="center"/>
              <w:rPr>
                <w:rFonts w:ascii="Arial" w:eastAsia="Calibri" w:hAnsi="Arial" w:cs="Arial"/>
                <w:sz w:val="20"/>
                <w:szCs w:val="20"/>
                <w:lang w:val="en-GB"/>
              </w:rPr>
            </w:pPr>
            <w:r w:rsidRPr="001C6031">
              <w:rPr>
                <w:rFonts w:ascii="Arial" w:hAnsi="Arial" w:cs="Arial"/>
                <w:sz w:val="20"/>
                <w:szCs w:val="20"/>
                <w:lang w:val="en-GB"/>
              </w:rPr>
              <w:t>62,665.23</w:t>
            </w:r>
          </w:p>
        </w:tc>
        <w:tc>
          <w:tcPr>
            <w:tcW w:w="974" w:type="pct"/>
            <w:shd w:val="clear" w:color="auto" w:fill="auto"/>
          </w:tcPr>
          <w:p w14:paraId="3D38F634" w14:textId="77777777" w:rsidR="00A74D6C" w:rsidRPr="001C6031" w:rsidRDefault="00A74D6C" w:rsidP="00473C13">
            <w:pPr>
              <w:keepNext/>
              <w:spacing w:before="120" w:after="120"/>
              <w:jc w:val="center"/>
              <w:rPr>
                <w:rFonts w:ascii="Arial" w:eastAsia="Calibri" w:hAnsi="Arial" w:cs="Arial"/>
                <w:sz w:val="20"/>
                <w:szCs w:val="20"/>
                <w:lang w:val="en-GB"/>
              </w:rPr>
            </w:pPr>
            <w:r w:rsidRPr="001C6031">
              <w:rPr>
                <w:rFonts w:ascii="Arial" w:hAnsi="Arial" w:cs="Arial"/>
                <w:sz w:val="20"/>
                <w:szCs w:val="20"/>
                <w:lang w:val="en-GB"/>
              </w:rPr>
              <w:t>58.0</w:t>
            </w:r>
            <w:r w:rsidRPr="001C6031">
              <w:rPr>
                <w:rFonts w:ascii="Arial" w:eastAsia="Calibri" w:hAnsi="Arial" w:cs="Arial"/>
                <w:sz w:val="20"/>
                <w:szCs w:val="20"/>
                <w:lang w:val="en-GB"/>
              </w:rPr>
              <w:t>%</w:t>
            </w:r>
          </w:p>
        </w:tc>
      </w:tr>
    </w:tbl>
    <w:p w14:paraId="2C79E48C" w14:textId="77777777" w:rsidR="00A74D6C" w:rsidRPr="001C6031" w:rsidRDefault="00A74D6C" w:rsidP="005F7CB2">
      <w:pPr>
        <w:spacing w:before="240" w:after="120"/>
        <w:ind w:left="851" w:hanging="851"/>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3880"/>
        <w:gridCol w:w="1869"/>
      </w:tblGrid>
      <w:tr w:rsidR="00842D1A" w:rsidRPr="001C6031" w14:paraId="5B2EBEA2" w14:textId="10DDA90C" w:rsidTr="00842D1A">
        <w:trPr>
          <w:tblHeader/>
        </w:trPr>
        <w:tc>
          <w:tcPr>
            <w:tcW w:w="3879" w:type="dxa"/>
            <w:shd w:val="clear" w:color="auto" w:fill="D9D9D9" w:themeFill="background1" w:themeFillShade="D9"/>
          </w:tcPr>
          <w:p w14:paraId="5B4187A7" w14:textId="77777777" w:rsidR="00842D1A" w:rsidRPr="001C6031" w:rsidRDefault="00842D1A" w:rsidP="005F7CB2">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Output (O)</w:t>
            </w:r>
            <w:r w:rsidRPr="001C6031">
              <w:rPr>
                <w:rFonts w:ascii="Arial" w:eastAsia="Calibri" w:hAnsi="Arial" w:cs="Arial"/>
                <w:b/>
                <w:sz w:val="20"/>
                <w:szCs w:val="20"/>
                <w:lang w:val="en-GB"/>
              </w:rPr>
              <w:br/>
              <w:t>Indicators/Benchmark (B)</w:t>
            </w:r>
          </w:p>
        </w:tc>
        <w:tc>
          <w:tcPr>
            <w:tcW w:w="3880" w:type="dxa"/>
            <w:shd w:val="clear" w:color="auto" w:fill="D9D9D9" w:themeFill="background1" w:themeFillShade="D9"/>
          </w:tcPr>
          <w:p w14:paraId="7BFE05BB" w14:textId="77777777" w:rsidR="00842D1A" w:rsidRPr="001C6031" w:rsidRDefault="00842D1A" w:rsidP="005F7CB2">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Assessment of progress:</w:t>
            </w:r>
            <w:r w:rsidRPr="001C6031">
              <w:rPr>
                <w:rFonts w:ascii="Arial" w:eastAsia="Calibri" w:hAnsi="Arial" w:cs="Arial"/>
                <w:b/>
                <w:sz w:val="20"/>
                <w:szCs w:val="20"/>
                <w:lang w:val="en-GB"/>
              </w:rPr>
              <w:br/>
              <w:t>01/01/2014 to 31/12/2015</w:t>
            </w:r>
          </w:p>
        </w:tc>
        <w:tc>
          <w:tcPr>
            <w:tcW w:w="0" w:type="auto"/>
            <w:shd w:val="clear" w:color="auto" w:fill="D9D9D9" w:themeFill="background1" w:themeFillShade="D9"/>
            <w:vAlign w:val="center"/>
          </w:tcPr>
          <w:p w14:paraId="22AAE5D0" w14:textId="6F5EC4F6" w:rsidR="00842D1A" w:rsidRPr="001C6031" w:rsidRDefault="00842D1A" w:rsidP="005F7CB2">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Assessment of implementation</w:t>
            </w:r>
          </w:p>
        </w:tc>
      </w:tr>
      <w:tr w:rsidR="00842D1A" w:rsidRPr="001C6031" w14:paraId="13E00829" w14:textId="113F15BC" w:rsidTr="00842D1A">
        <w:tc>
          <w:tcPr>
            <w:tcW w:w="3879" w:type="dxa"/>
            <w:shd w:val="clear" w:color="auto" w:fill="auto"/>
          </w:tcPr>
          <w:p w14:paraId="2B5435AE" w14:textId="77777777" w:rsidR="00842D1A" w:rsidRPr="001C6031" w:rsidRDefault="00842D1A" w:rsidP="005F7CB2">
            <w:pPr>
              <w:spacing w:before="60" w:after="60"/>
              <w:rPr>
                <w:rFonts w:ascii="Arial" w:eastAsia="Calibri" w:hAnsi="Arial" w:cs="Arial"/>
                <w:b/>
                <w:sz w:val="20"/>
                <w:szCs w:val="20"/>
                <w:lang w:val="en-GB"/>
              </w:rPr>
            </w:pPr>
            <w:r w:rsidRPr="001C6031">
              <w:rPr>
                <w:rFonts w:ascii="Arial" w:eastAsia="Calibri" w:hAnsi="Arial" w:cs="Arial"/>
                <w:b/>
                <w:sz w:val="20"/>
                <w:szCs w:val="20"/>
                <w:lang w:val="en-GB"/>
              </w:rPr>
              <w:t xml:space="preserve">O: </w:t>
            </w:r>
          </w:p>
          <w:p w14:paraId="589C0C1B" w14:textId="77777777" w:rsidR="00842D1A" w:rsidRPr="001C6031" w:rsidRDefault="00842D1A" w:rsidP="005F7CB2">
            <w:pPr>
              <w:spacing w:before="60" w:after="60"/>
              <w:rPr>
                <w:rFonts w:ascii="Arial" w:hAnsi="Arial" w:cs="Arial"/>
                <w:sz w:val="20"/>
                <w:szCs w:val="20"/>
                <w:lang w:val="en-GB"/>
              </w:rPr>
            </w:pPr>
            <w:r w:rsidRPr="001C6031">
              <w:rPr>
                <w:rFonts w:ascii="Arial" w:hAnsi="Arial" w:cs="Arial"/>
                <w:sz w:val="20"/>
                <w:szCs w:val="20"/>
                <w:lang w:val="en-GB"/>
              </w:rPr>
              <w:t>Interesting and innovative examples identified and shared, including about ICH codes of ethics, conflict and disaster reduction and recovery and other themes</w:t>
            </w:r>
          </w:p>
          <w:p w14:paraId="758954FA" w14:textId="7D6382A5" w:rsidR="00842D1A" w:rsidRPr="001C6031" w:rsidRDefault="00842D1A" w:rsidP="005F7CB2">
            <w:pPr>
              <w:keepNext/>
              <w:spacing w:before="60" w:after="60"/>
              <w:rPr>
                <w:rFonts w:ascii="Arial" w:hAnsi="Arial" w:cs="Arial"/>
                <w:b/>
                <w:sz w:val="20"/>
                <w:szCs w:val="20"/>
                <w:lang w:val="en-GB"/>
              </w:rPr>
            </w:pPr>
            <w:r w:rsidRPr="001C6031">
              <w:rPr>
                <w:rFonts w:ascii="Arial" w:hAnsi="Arial" w:cs="Arial"/>
                <w:b/>
                <w:sz w:val="20"/>
                <w:szCs w:val="20"/>
                <w:lang w:val="en-GB"/>
              </w:rPr>
              <w:t>B 2014-2015:</w:t>
            </w:r>
          </w:p>
          <w:p w14:paraId="308DED9D" w14:textId="090062AA" w:rsidR="00842D1A" w:rsidRPr="001C6031" w:rsidRDefault="00842D1A" w:rsidP="005F7CB2">
            <w:pPr>
              <w:spacing w:before="60" w:after="60"/>
              <w:rPr>
                <w:rFonts w:ascii="Arial" w:eastAsia="Calibri" w:hAnsi="Arial" w:cs="Arial"/>
                <w:sz w:val="20"/>
                <w:szCs w:val="20"/>
                <w:lang w:val="en-GB"/>
              </w:rPr>
            </w:pPr>
            <w:r w:rsidRPr="001C6031">
              <w:rPr>
                <w:rFonts w:ascii="Arial" w:hAnsi="Arial" w:cs="Arial"/>
                <w:sz w:val="20"/>
                <w:szCs w:val="20"/>
                <w:lang w:val="en-GB"/>
              </w:rPr>
              <w:t>Collection and analysis of two good practices in theme areas; a category VI expert meeting organized (contingent on host-country or partner support)</w:t>
            </w:r>
          </w:p>
        </w:tc>
        <w:tc>
          <w:tcPr>
            <w:tcW w:w="3880" w:type="dxa"/>
            <w:shd w:val="clear" w:color="auto" w:fill="auto"/>
          </w:tcPr>
          <w:p w14:paraId="4FE15E00" w14:textId="19A19A69" w:rsidR="00842D1A" w:rsidRPr="001C6031" w:rsidRDefault="00842D1A" w:rsidP="00141864">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Expert meeting co-organized with the Spanish Ministry of Education, Culture and Sport in Valencia to initiate work on ethical principles that will assist in improving the quality of safeguarding efforts worldwide.</w:t>
            </w:r>
          </w:p>
        </w:tc>
        <w:tc>
          <w:tcPr>
            <w:tcW w:w="0" w:type="auto"/>
          </w:tcPr>
          <w:p w14:paraId="3C31977A" w14:textId="181E069E" w:rsidR="00842D1A" w:rsidRPr="001C6031" w:rsidRDefault="00842D1A" w:rsidP="00E768E0">
            <w:pPr>
              <w:spacing w:before="60" w:after="60"/>
              <w:jc w:val="center"/>
              <w:rPr>
                <w:rFonts w:ascii="Arial" w:eastAsia="Calibri" w:hAnsi="Arial" w:cs="Arial"/>
                <w:sz w:val="20"/>
                <w:szCs w:val="20"/>
                <w:lang w:val="en-GB"/>
              </w:rPr>
            </w:pPr>
            <w:r w:rsidRPr="001C6031">
              <w:rPr>
                <w:rFonts w:ascii="Arial" w:eastAsia="Calibri" w:hAnsi="Arial" w:cs="Arial"/>
                <w:sz w:val="20"/>
                <w:szCs w:val="20"/>
                <w:lang w:val="en-GB"/>
              </w:rPr>
              <w:t xml:space="preserve">Partly </w:t>
            </w:r>
            <w:r w:rsidR="00E768E0">
              <w:rPr>
                <w:rFonts w:ascii="Arial" w:eastAsia="Calibri" w:hAnsi="Arial" w:cs="Arial"/>
                <w:sz w:val="20"/>
                <w:szCs w:val="20"/>
                <w:lang w:val="en-GB"/>
              </w:rPr>
              <w:t>accomplished</w:t>
            </w:r>
          </w:p>
        </w:tc>
      </w:tr>
      <w:tr w:rsidR="00842D1A" w:rsidRPr="001C6031" w14:paraId="39440563" w14:textId="558CF66A" w:rsidTr="00842D1A">
        <w:tc>
          <w:tcPr>
            <w:tcW w:w="3879" w:type="dxa"/>
            <w:shd w:val="clear" w:color="auto" w:fill="auto"/>
          </w:tcPr>
          <w:p w14:paraId="14A5BE6D" w14:textId="77777777" w:rsidR="00842D1A" w:rsidRPr="001C6031" w:rsidRDefault="00842D1A" w:rsidP="005F7CB2">
            <w:pPr>
              <w:spacing w:before="60" w:after="60"/>
              <w:rPr>
                <w:rFonts w:ascii="Arial" w:eastAsia="Calibri" w:hAnsi="Arial" w:cs="Arial"/>
                <w:b/>
                <w:sz w:val="20"/>
                <w:szCs w:val="20"/>
                <w:lang w:val="en-GB"/>
              </w:rPr>
            </w:pPr>
            <w:r w:rsidRPr="001C6031">
              <w:rPr>
                <w:rFonts w:ascii="Arial" w:eastAsia="Calibri" w:hAnsi="Arial" w:cs="Arial"/>
                <w:b/>
                <w:sz w:val="20"/>
                <w:szCs w:val="20"/>
                <w:lang w:val="en-GB"/>
              </w:rPr>
              <w:t>O:</w:t>
            </w:r>
          </w:p>
          <w:p w14:paraId="3587118C" w14:textId="77777777" w:rsidR="00842D1A" w:rsidRPr="001C6031" w:rsidRDefault="00842D1A" w:rsidP="005F7CB2">
            <w:pPr>
              <w:spacing w:before="60" w:after="60"/>
              <w:rPr>
                <w:rFonts w:ascii="Arial" w:hAnsi="Arial" w:cs="Arial"/>
                <w:sz w:val="20"/>
                <w:szCs w:val="20"/>
                <w:lang w:val="en-GB"/>
              </w:rPr>
            </w:pPr>
            <w:r w:rsidRPr="001C6031">
              <w:rPr>
                <w:rFonts w:ascii="Arial" w:hAnsi="Arial" w:cs="Arial"/>
                <w:sz w:val="20"/>
                <w:szCs w:val="20"/>
                <w:lang w:val="en-GB"/>
              </w:rPr>
              <w:t>UNESCO’s cooperation with WIPO strengthened to ensure ongoing exchange and learning between the two organizations and their Member States concerning traditional knowledge and cultural expression</w:t>
            </w:r>
          </w:p>
          <w:p w14:paraId="19B8F94F" w14:textId="67AD72B4" w:rsidR="00842D1A" w:rsidRPr="001C6031" w:rsidRDefault="00842D1A" w:rsidP="00A619AB">
            <w:pPr>
              <w:keepNext/>
              <w:spacing w:before="60" w:after="60"/>
              <w:rPr>
                <w:rFonts w:ascii="Arial" w:hAnsi="Arial" w:cs="Arial"/>
                <w:b/>
                <w:sz w:val="20"/>
                <w:szCs w:val="20"/>
                <w:lang w:val="en-GB"/>
              </w:rPr>
            </w:pPr>
            <w:r w:rsidRPr="001C6031">
              <w:rPr>
                <w:rFonts w:ascii="Arial" w:hAnsi="Arial" w:cs="Arial"/>
                <w:b/>
                <w:sz w:val="20"/>
                <w:szCs w:val="20"/>
                <w:lang w:val="en-GB"/>
              </w:rPr>
              <w:t>B 2014-2015:</w:t>
            </w:r>
          </w:p>
          <w:p w14:paraId="6841102E" w14:textId="77777777" w:rsidR="00842D1A" w:rsidRPr="001C6031" w:rsidRDefault="00842D1A" w:rsidP="005F7CB2">
            <w:pPr>
              <w:spacing w:before="60" w:after="60"/>
              <w:rPr>
                <w:rFonts w:ascii="Arial" w:eastAsia="Calibri" w:hAnsi="Arial" w:cs="Arial"/>
                <w:sz w:val="20"/>
                <w:szCs w:val="20"/>
                <w:lang w:val="en-GB"/>
              </w:rPr>
            </w:pPr>
            <w:r w:rsidRPr="001C6031">
              <w:rPr>
                <w:rFonts w:ascii="Arial" w:hAnsi="Arial" w:cs="Arial"/>
                <w:sz w:val="20"/>
                <w:szCs w:val="20"/>
                <w:lang w:val="en-GB"/>
              </w:rPr>
              <w:t>A sub-regional meeting organized in cooperation with the Regional Centre for the Safeguarding of Intangible Cultural Heritage in South-Eastern Europe in Sofia (Bulgaria); participation in a meeting organized by WIPO or other UN agencies</w:t>
            </w:r>
          </w:p>
        </w:tc>
        <w:tc>
          <w:tcPr>
            <w:tcW w:w="3880" w:type="dxa"/>
            <w:shd w:val="clear" w:color="auto" w:fill="auto"/>
          </w:tcPr>
          <w:p w14:paraId="2ACE6718" w14:textId="655FE4C8" w:rsidR="00842D1A" w:rsidRPr="001C6031" w:rsidRDefault="00EC0EF1"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 xml:space="preserve">A conference on ‘Intellectual Property, Intangible Cultural Heritage and Traditional Medicine in the context of policies for the safeguarding of the intangible cultural heritage in the countries of South-Eastern Europe’ hosted by the Regional Centre for the Safeguarding of Intangible Cultural Heritage in South-Eastern Europe in Sofia </w:t>
            </w:r>
            <w:r w:rsidR="00A7512D">
              <w:rPr>
                <w:rFonts w:ascii="Arial" w:eastAsia="Calibri" w:hAnsi="Arial" w:cs="Arial"/>
                <w:sz w:val="20"/>
                <w:szCs w:val="20"/>
                <w:lang w:val="en-GB"/>
              </w:rPr>
              <w:t>(</w:t>
            </w:r>
            <w:r w:rsidRPr="001C6031">
              <w:rPr>
                <w:rFonts w:ascii="Arial" w:eastAsia="Calibri" w:hAnsi="Arial" w:cs="Arial"/>
                <w:sz w:val="20"/>
                <w:szCs w:val="20"/>
                <w:lang w:val="en-GB"/>
              </w:rPr>
              <w:t>Bulgaria</w:t>
            </w:r>
            <w:r w:rsidR="00A7512D">
              <w:rPr>
                <w:rFonts w:ascii="Arial" w:eastAsia="Calibri" w:hAnsi="Arial" w:cs="Arial"/>
                <w:sz w:val="20"/>
                <w:szCs w:val="20"/>
                <w:lang w:val="en-GB"/>
              </w:rPr>
              <w:t>)</w:t>
            </w:r>
            <w:r w:rsidRPr="001C6031">
              <w:rPr>
                <w:rFonts w:ascii="Arial" w:eastAsia="Calibri" w:hAnsi="Arial" w:cs="Arial"/>
                <w:sz w:val="20"/>
                <w:szCs w:val="20"/>
                <w:lang w:val="en-GB"/>
              </w:rPr>
              <w:t xml:space="preserve"> co-organized with WIPO</w:t>
            </w:r>
            <w:r w:rsidR="0041162A">
              <w:rPr>
                <w:rFonts w:ascii="Arial" w:eastAsia="Calibri" w:hAnsi="Arial" w:cs="Arial"/>
                <w:sz w:val="20"/>
                <w:szCs w:val="20"/>
                <w:lang w:val="en-GB"/>
              </w:rPr>
              <w:t>.</w:t>
            </w:r>
          </w:p>
          <w:p w14:paraId="2316B5AA" w14:textId="367CD25A" w:rsidR="00EC0EF1" w:rsidRPr="001C6031" w:rsidRDefault="00EC0EF1" w:rsidP="005F7CB2">
            <w:pPr>
              <w:pStyle w:val="ListParagraph"/>
              <w:numPr>
                <w:ilvl w:val="0"/>
                <w:numId w:val="27"/>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Participation in a WIPO seminar on issues relevant to the work of the Intergovernmental Committee on Intellectual Property and Genetic Resources, Traditional Knowledge and Folklore; participation in an expert meeting convened in June 2014 by the United Nations Special Rapporteur in the field of cultural rights and the Office of the High Commissioner for Human Rights (OHCHR) on the ‘the impact of intellectual property regimes on the enjoyment of the right to science and culture’ within the framework of the International Covenant on Economic, Social and Cultural Rights (1976); participation in the World Bank workshop on developing guidance for implementing the World Bank safeguarding standard for protecting cultural heritage in development projects</w:t>
            </w:r>
            <w:r w:rsidR="0041162A">
              <w:rPr>
                <w:rFonts w:ascii="Arial" w:eastAsia="Calibri" w:hAnsi="Arial" w:cs="Arial"/>
                <w:sz w:val="20"/>
                <w:szCs w:val="20"/>
                <w:lang w:val="en-GB"/>
              </w:rPr>
              <w:t>.</w:t>
            </w:r>
          </w:p>
        </w:tc>
        <w:tc>
          <w:tcPr>
            <w:tcW w:w="0" w:type="auto"/>
          </w:tcPr>
          <w:p w14:paraId="1BD62B35" w14:textId="52F09026" w:rsidR="00842D1A" w:rsidRPr="001C6031" w:rsidRDefault="00E768E0" w:rsidP="005F7CB2">
            <w:pPr>
              <w:spacing w:before="60" w:after="60"/>
              <w:jc w:val="center"/>
              <w:rPr>
                <w:rFonts w:ascii="Arial" w:eastAsia="Calibri" w:hAnsi="Arial" w:cs="Arial"/>
                <w:sz w:val="20"/>
                <w:szCs w:val="20"/>
                <w:lang w:val="en-GB"/>
              </w:rPr>
            </w:pPr>
            <w:r>
              <w:rPr>
                <w:rFonts w:ascii="Arial" w:eastAsia="Calibri" w:hAnsi="Arial" w:cs="Arial"/>
                <w:sz w:val="20"/>
                <w:szCs w:val="20"/>
                <w:lang w:val="en-GB"/>
              </w:rPr>
              <w:t>Accomplished</w:t>
            </w:r>
          </w:p>
        </w:tc>
      </w:tr>
    </w:tbl>
    <w:p w14:paraId="018F7D83" w14:textId="4B55D2D8" w:rsidR="00A74D6C" w:rsidRPr="001C6031" w:rsidRDefault="00A74D6C" w:rsidP="005F7CB2">
      <w:pPr>
        <w:keepNext/>
        <w:spacing w:before="240" w:after="120"/>
        <w:rPr>
          <w:rFonts w:ascii="Arial" w:hAnsi="Arial" w:cs="Arial"/>
          <w:b/>
          <w:sz w:val="22"/>
          <w:szCs w:val="22"/>
          <w:lang w:val="en-GB"/>
        </w:rPr>
      </w:pPr>
      <w:r w:rsidRPr="001C6031">
        <w:rPr>
          <w:rFonts w:ascii="Arial" w:hAnsi="Arial" w:cs="Arial"/>
          <w:b/>
          <w:sz w:val="22"/>
          <w:szCs w:val="22"/>
          <w:lang w:val="en-GB"/>
        </w:rPr>
        <w:t>Challenges and risks in implementation and remedial actions</w:t>
      </w:r>
    </w:p>
    <w:tbl>
      <w:tblPr>
        <w:tblStyle w:val="TableGrid"/>
        <w:tblW w:w="5000" w:type="pct"/>
        <w:tblLook w:val="04A0" w:firstRow="1" w:lastRow="0" w:firstColumn="1" w:lastColumn="0" w:noHBand="0" w:noVBand="1"/>
      </w:tblPr>
      <w:tblGrid>
        <w:gridCol w:w="4814"/>
        <w:gridCol w:w="4814"/>
      </w:tblGrid>
      <w:tr w:rsidR="00A74D6C" w:rsidRPr="001C6031" w14:paraId="3B47F251" w14:textId="77777777" w:rsidTr="00907D3B">
        <w:trPr>
          <w:tblHeader/>
        </w:trPr>
        <w:tc>
          <w:tcPr>
            <w:tcW w:w="2500" w:type="pct"/>
            <w:shd w:val="clear" w:color="auto" w:fill="D9D9D9"/>
          </w:tcPr>
          <w:p w14:paraId="78CEB632" w14:textId="77777777" w:rsidR="00A74D6C" w:rsidRPr="001C6031" w:rsidRDefault="00A74D6C" w:rsidP="005F7CB2">
            <w:pPr>
              <w:keepNext/>
              <w:spacing w:before="120" w:after="120"/>
              <w:jc w:val="center"/>
              <w:rPr>
                <w:rFonts w:ascii="Arial" w:hAnsi="Arial" w:cs="Arial"/>
                <w:b/>
                <w:sz w:val="20"/>
                <w:szCs w:val="20"/>
                <w:lang w:val="en-GB"/>
              </w:rPr>
            </w:pPr>
            <w:r w:rsidRPr="001C6031">
              <w:rPr>
                <w:rFonts w:ascii="Arial" w:hAnsi="Arial" w:cs="Arial"/>
                <w:b/>
                <w:sz w:val="20"/>
                <w:szCs w:val="20"/>
                <w:lang w:val="en-GB"/>
              </w:rPr>
              <w:t>Key challenges</w:t>
            </w:r>
          </w:p>
        </w:tc>
        <w:tc>
          <w:tcPr>
            <w:tcW w:w="2500" w:type="pct"/>
            <w:shd w:val="clear" w:color="auto" w:fill="D9D9D9"/>
          </w:tcPr>
          <w:p w14:paraId="2D30916E" w14:textId="77777777" w:rsidR="00A74D6C" w:rsidRPr="001C6031" w:rsidRDefault="00A74D6C" w:rsidP="005F7CB2">
            <w:pPr>
              <w:keepNext/>
              <w:spacing w:before="120" w:after="120"/>
              <w:jc w:val="center"/>
              <w:rPr>
                <w:rFonts w:ascii="Arial" w:hAnsi="Arial" w:cs="Arial"/>
                <w:b/>
                <w:sz w:val="20"/>
                <w:szCs w:val="20"/>
                <w:lang w:val="en-GB"/>
              </w:rPr>
            </w:pPr>
            <w:r w:rsidRPr="001C6031">
              <w:rPr>
                <w:rFonts w:ascii="Arial" w:hAnsi="Arial" w:cs="Arial"/>
                <w:b/>
                <w:sz w:val="20"/>
                <w:szCs w:val="20"/>
                <w:lang w:val="en-GB"/>
              </w:rPr>
              <w:t>Remedial actions</w:t>
            </w:r>
          </w:p>
        </w:tc>
      </w:tr>
      <w:tr w:rsidR="00A74D6C" w:rsidRPr="00B04E85" w14:paraId="562784FF" w14:textId="77777777" w:rsidTr="00203F98">
        <w:tc>
          <w:tcPr>
            <w:tcW w:w="2500" w:type="pct"/>
          </w:tcPr>
          <w:p w14:paraId="5227E098" w14:textId="7CBF42EA" w:rsidR="00A74D6C" w:rsidRPr="001C6031" w:rsidRDefault="00EC0EF1" w:rsidP="0041162A">
            <w:pPr>
              <w:spacing w:before="60" w:after="60"/>
              <w:rPr>
                <w:rFonts w:ascii="Arial" w:hAnsi="Arial" w:cs="Arial"/>
                <w:sz w:val="20"/>
                <w:szCs w:val="20"/>
                <w:lang w:val="en-GB"/>
              </w:rPr>
            </w:pPr>
            <w:r w:rsidRPr="001C6031">
              <w:rPr>
                <w:rFonts w:ascii="Arial" w:hAnsi="Arial" w:cs="Arial"/>
                <w:sz w:val="20"/>
                <w:szCs w:val="20"/>
                <w:lang w:val="en-GB"/>
              </w:rPr>
              <w:t>Providing adequate guidance on best safeguarding practices and recommendations on measures for safeguarding intangible cultural heritage were challenging mainly because of constraints</w:t>
            </w:r>
            <w:r w:rsidR="0041162A">
              <w:rPr>
                <w:rFonts w:ascii="Arial" w:hAnsi="Arial" w:cs="Arial"/>
                <w:sz w:val="20"/>
                <w:szCs w:val="20"/>
                <w:lang w:val="en-GB"/>
              </w:rPr>
              <w:t xml:space="preserve"> on </w:t>
            </w:r>
            <w:r w:rsidR="0041162A" w:rsidRPr="001C6031">
              <w:rPr>
                <w:rFonts w:ascii="Arial" w:hAnsi="Arial" w:cs="Arial"/>
                <w:sz w:val="20"/>
                <w:szCs w:val="20"/>
                <w:lang w:val="en-GB"/>
              </w:rPr>
              <w:t>human resource</w:t>
            </w:r>
            <w:r w:rsidR="0041162A">
              <w:rPr>
                <w:rFonts w:ascii="Arial" w:hAnsi="Arial" w:cs="Arial"/>
                <w:sz w:val="20"/>
                <w:szCs w:val="20"/>
                <w:lang w:val="en-GB"/>
              </w:rPr>
              <w:t>s</w:t>
            </w:r>
            <w:r w:rsidRPr="001C6031">
              <w:rPr>
                <w:rFonts w:ascii="Arial" w:hAnsi="Arial" w:cs="Arial"/>
                <w:sz w:val="20"/>
                <w:szCs w:val="20"/>
                <w:lang w:val="en-GB"/>
              </w:rPr>
              <w:t>.</w:t>
            </w:r>
          </w:p>
        </w:tc>
        <w:tc>
          <w:tcPr>
            <w:tcW w:w="2500" w:type="pct"/>
          </w:tcPr>
          <w:p w14:paraId="5EE018E2" w14:textId="7F9483C7" w:rsidR="00B32E30" w:rsidRPr="001C6031" w:rsidRDefault="00465D94" w:rsidP="00465D94">
            <w:pPr>
              <w:spacing w:before="60" w:after="60"/>
              <w:rPr>
                <w:rFonts w:ascii="Arial" w:hAnsi="Arial" w:cs="Arial"/>
                <w:sz w:val="20"/>
                <w:szCs w:val="20"/>
                <w:lang w:val="en-GB"/>
              </w:rPr>
            </w:pPr>
            <w:r w:rsidRPr="001C6031">
              <w:rPr>
                <w:rFonts w:ascii="Arial" w:hAnsi="Arial" w:cs="Arial"/>
                <w:sz w:val="20"/>
                <w:szCs w:val="20"/>
                <w:lang w:val="en-GB"/>
              </w:rPr>
              <w:t>Efforts to ensure more systematic and intensive monitoring of implementation of the Convention both through close monitoring and in-depth analysis of periodic reports submitted by States Parties and preliminary work to develop an overall results framework for the Convention, are underway.</w:t>
            </w:r>
            <w:r w:rsidR="007C5A77" w:rsidRPr="001C6031">
              <w:rPr>
                <w:rFonts w:ascii="Arial" w:hAnsi="Arial" w:cs="Arial"/>
                <w:sz w:val="20"/>
                <w:szCs w:val="20"/>
                <w:lang w:val="en-GB"/>
              </w:rPr>
              <w:t xml:space="preserve"> In the medium term, such efforts should also lead to better identification and sharing of good safeguarding practices.</w:t>
            </w:r>
          </w:p>
        </w:tc>
      </w:tr>
    </w:tbl>
    <w:p w14:paraId="552103D4" w14:textId="2FF19374" w:rsidR="00A74D6C" w:rsidRPr="001C6031" w:rsidRDefault="00A74D6C" w:rsidP="005F7CB2">
      <w:pPr>
        <w:spacing w:before="240" w:after="120"/>
        <w:ind w:left="851" w:hanging="851"/>
        <w:rPr>
          <w:rFonts w:ascii="Arial" w:hAnsi="Arial" w:cs="Arial"/>
          <w:b/>
          <w:sz w:val="22"/>
          <w:szCs w:val="22"/>
          <w:lang w:val="en-GB"/>
        </w:rPr>
      </w:pPr>
      <w:r w:rsidRPr="001C6031">
        <w:rPr>
          <w:rFonts w:ascii="Arial" w:hAnsi="Arial" w:cs="Arial"/>
          <w:b/>
          <w:sz w:val="22"/>
          <w:szCs w:val="22"/>
          <w:lang w:val="en-GB"/>
        </w:rPr>
        <w:t>ER 4:</w:t>
      </w:r>
      <w:r w:rsidRPr="001C6031">
        <w:rPr>
          <w:rFonts w:ascii="Arial" w:hAnsi="Arial" w:cs="Arial"/>
          <w:b/>
          <w:sz w:val="22"/>
          <w:szCs w:val="22"/>
          <w:lang w:val="en-GB"/>
        </w:rPr>
        <w:tab/>
        <w:t>Better visibility of the intangible cultural heritage and awareness of its significance ensured through publication</w:t>
      </w:r>
      <w:r w:rsidR="0041162A">
        <w:rPr>
          <w:rFonts w:ascii="Arial" w:hAnsi="Arial" w:cs="Arial"/>
          <w:b/>
          <w:sz w:val="22"/>
          <w:szCs w:val="22"/>
          <w:lang w:val="en-GB"/>
        </w:rPr>
        <w:t>s</w:t>
      </w:r>
      <w:r w:rsidRPr="001C6031">
        <w:rPr>
          <w:rFonts w:ascii="Arial" w:hAnsi="Arial" w:cs="Arial"/>
          <w:b/>
          <w:sz w:val="22"/>
          <w:szCs w:val="22"/>
          <w:lang w:val="en-GB"/>
        </w:rPr>
        <w:t xml:space="preserve"> and dissemination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3876"/>
        <w:gridCol w:w="1876"/>
      </w:tblGrid>
      <w:tr w:rsidR="00A74D6C" w:rsidRPr="001C6031" w14:paraId="67B9B530" w14:textId="77777777" w:rsidTr="00203F98">
        <w:tc>
          <w:tcPr>
            <w:tcW w:w="2013" w:type="pct"/>
            <w:shd w:val="clear" w:color="auto" w:fill="C6D9F1"/>
          </w:tcPr>
          <w:p w14:paraId="6E9CC92F" w14:textId="77777777" w:rsidR="00A74D6C" w:rsidRPr="001C6031" w:rsidRDefault="00A74D6C" w:rsidP="00826FE8">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Allocation</w:t>
            </w:r>
          </w:p>
        </w:tc>
        <w:tc>
          <w:tcPr>
            <w:tcW w:w="2013" w:type="pct"/>
            <w:shd w:val="clear" w:color="auto" w:fill="C6D9F1"/>
          </w:tcPr>
          <w:p w14:paraId="0FDF02DE" w14:textId="77777777" w:rsidR="00A74D6C" w:rsidRPr="001C6031" w:rsidRDefault="00A74D6C" w:rsidP="00826FE8">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Expenditures</w:t>
            </w:r>
          </w:p>
        </w:tc>
        <w:tc>
          <w:tcPr>
            <w:tcW w:w="974" w:type="pct"/>
            <w:shd w:val="clear" w:color="auto" w:fill="C6D9F1"/>
          </w:tcPr>
          <w:p w14:paraId="797DBC9C" w14:textId="77777777" w:rsidR="00A74D6C" w:rsidRPr="001C6031" w:rsidRDefault="00A74D6C" w:rsidP="00826FE8">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Exp. Rate %</w:t>
            </w:r>
          </w:p>
        </w:tc>
      </w:tr>
      <w:tr w:rsidR="00A74D6C" w:rsidRPr="001C6031" w14:paraId="75CE93EF" w14:textId="77777777" w:rsidTr="00203F98">
        <w:tc>
          <w:tcPr>
            <w:tcW w:w="2013" w:type="pct"/>
            <w:shd w:val="clear" w:color="auto" w:fill="auto"/>
          </w:tcPr>
          <w:p w14:paraId="5A68F0D7" w14:textId="77777777" w:rsidR="00A74D6C" w:rsidRPr="001C6031" w:rsidRDefault="00A74D6C" w:rsidP="00826FE8">
            <w:pPr>
              <w:spacing w:before="60" w:after="60"/>
              <w:jc w:val="center"/>
              <w:rPr>
                <w:rFonts w:ascii="Arial" w:eastAsia="Calibri" w:hAnsi="Arial" w:cs="Arial"/>
                <w:sz w:val="20"/>
                <w:szCs w:val="20"/>
                <w:lang w:val="en-GB"/>
              </w:rPr>
            </w:pPr>
            <w:r w:rsidRPr="001C6031">
              <w:rPr>
                <w:rFonts w:ascii="Arial" w:hAnsi="Arial" w:cs="Arial"/>
                <w:sz w:val="20"/>
                <w:szCs w:val="20"/>
                <w:lang w:val="en-GB"/>
              </w:rPr>
              <w:t>129,000.00</w:t>
            </w:r>
          </w:p>
        </w:tc>
        <w:tc>
          <w:tcPr>
            <w:tcW w:w="2013" w:type="pct"/>
            <w:shd w:val="clear" w:color="auto" w:fill="auto"/>
          </w:tcPr>
          <w:p w14:paraId="06EC525C" w14:textId="77777777" w:rsidR="00A74D6C" w:rsidRPr="001C6031" w:rsidRDefault="00A74D6C" w:rsidP="00826FE8">
            <w:pPr>
              <w:spacing w:before="60" w:after="60"/>
              <w:jc w:val="center"/>
              <w:rPr>
                <w:rFonts w:ascii="Arial" w:eastAsia="Calibri" w:hAnsi="Arial" w:cs="Arial"/>
                <w:sz w:val="20"/>
                <w:szCs w:val="20"/>
                <w:lang w:val="en-GB"/>
              </w:rPr>
            </w:pPr>
            <w:r w:rsidRPr="001C6031">
              <w:rPr>
                <w:rFonts w:ascii="Arial" w:hAnsi="Arial" w:cs="Arial"/>
                <w:sz w:val="20"/>
                <w:szCs w:val="20"/>
                <w:lang w:val="en-GB"/>
              </w:rPr>
              <w:t>125,753.69</w:t>
            </w:r>
          </w:p>
        </w:tc>
        <w:tc>
          <w:tcPr>
            <w:tcW w:w="974" w:type="pct"/>
            <w:shd w:val="clear" w:color="auto" w:fill="auto"/>
          </w:tcPr>
          <w:p w14:paraId="33203644" w14:textId="77777777" w:rsidR="00A74D6C" w:rsidRPr="001C6031" w:rsidRDefault="00A74D6C" w:rsidP="00826FE8">
            <w:pPr>
              <w:spacing w:before="60" w:after="60"/>
              <w:jc w:val="center"/>
              <w:rPr>
                <w:rFonts w:ascii="Arial" w:eastAsia="Calibri" w:hAnsi="Arial" w:cs="Arial"/>
                <w:sz w:val="20"/>
                <w:szCs w:val="20"/>
                <w:lang w:val="en-GB"/>
              </w:rPr>
            </w:pPr>
            <w:r w:rsidRPr="001C6031">
              <w:rPr>
                <w:rFonts w:ascii="Arial" w:hAnsi="Arial" w:cs="Arial"/>
                <w:sz w:val="20"/>
                <w:szCs w:val="20"/>
                <w:lang w:val="en-GB"/>
              </w:rPr>
              <w:t>97.5</w:t>
            </w:r>
            <w:r w:rsidRPr="001C6031">
              <w:rPr>
                <w:rFonts w:ascii="Arial" w:eastAsia="Calibri" w:hAnsi="Arial" w:cs="Arial"/>
                <w:sz w:val="20"/>
                <w:szCs w:val="20"/>
                <w:lang w:val="en-GB"/>
              </w:rPr>
              <w:t>%</w:t>
            </w:r>
          </w:p>
        </w:tc>
      </w:tr>
    </w:tbl>
    <w:p w14:paraId="110E31BC" w14:textId="509B1684" w:rsidR="00A74D6C" w:rsidRPr="001C6031" w:rsidRDefault="00A74D6C" w:rsidP="00826FE8">
      <w:pPr>
        <w:spacing w:before="60" w:after="60"/>
        <w:ind w:left="851" w:hanging="851"/>
        <w:rPr>
          <w:rFonts w:ascii="Arial" w:hAnsi="Arial" w:cs="Arial"/>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97"/>
        <w:gridCol w:w="1835"/>
      </w:tblGrid>
      <w:tr w:rsidR="00FF6586" w:rsidRPr="001C6031" w14:paraId="223AE499" w14:textId="645DEF7E" w:rsidTr="00FF6586">
        <w:trPr>
          <w:tblHeader/>
        </w:trPr>
        <w:tc>
          <w:tcPr>
            <w:tcW w:w="2023" w:type="pct"/>
            <w:shd w:val="clear" w:color="auto" w:fill="D9D9D9" w:themeFill="background1" w:themeFillShade="D9"/>
          </w:tcPr>
          <w:p w14:paraId="6896C127" w14:textId="77777777" w:rsidR="00FF6586" w:rsidRPr="001C6031" w:rsidRDefault="00FF6586" w:rsidP="005F7CB2">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Output (O)</w:t>
            </w:r>
            <w:r w:rsidRPr="001C6031">
              <w:rPr>
                <w:rFonts w:ascii="Arial" w:eastAsia="Calibri" w:hAnsi="Arial" w:cs="Arial"/>
                <w:b/>
                <w:sz w:val="20"/>
                <w:szCs w:val="20"/>
                <w:lang w:val="en-GB"/>
              </w:rPr>
              <w:br/>
              <w:t>Indicators/Benchmark (B)</w:t>
            </w:r>
          </w:p>
        </w:tc>
        <w:tc>
          <w:tcPr>
            <w:tcW w:w="2024" w:type="pct"/>
            <w:shd w:val="clear" w:color="auto" w:fill="D9D9D9" w:themeFill="background1" w:themeFillShade="D9"/>
          </w:tcPr>
          <w:p w14:paraId="7A7CD66C" w14:textId="77777777" w:rsidR="00FF6586" w:rsidRPr="001C6031" w:rsidRDefault="00FF6586" w:rsidP="005F7CB2">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Assessment of progress:</w:t>
            </w:r>
            <w:r w:rsidRPr="001C6031">
              <w:rPr>
                <w:rFonts w:ascii="Arial" w:eastAsia="Calibri" w:hAnsi="Arial" w:cs="Arial"/>
                <w:b/>
                <w:sz w:val="20"/>
                <w:szCs w:val="20"/>
                <w:lang w:val="en-GB"/>
              </w:rPr>
              <w:br/>
              <w:t>01/01/2014 to 31/12/2015</w:t>
            </w:r>
          </w:p>
        </w:tc>
        <w:tc>
          <w:tcPr>
            <w:tcW w:w="953" w:type="pct"/>
            <w:shd w:val="clear" w:color="auto" w:fill="D9D9D9" w:themeFill="background1" w:themeFillShade="D9"/>
            <w:vAlign w:val="center"/>
          </w:tcPr>
          <w:p w14:paraId="02B99FDA" w14:textId="76C62333" w:rsidR="00FF6586" w:rsidRPr="001C6031" w:rsidRDefault="00FF6586" w:rsidP="005F7CB2">
            <w:pPr>
              <w:spacing w:before="60" w:after="60"/>
              <w:jc w:val="center"/>
              <w:rPr>
                <w:rFonts w:ascii="Arial" w:eastAsia="Calibri" w:hAnsi="Arial" w:cs="Arial"/>
                <w:b/>
                <w:sz w:val="20"/>
                <w:szCs w:val="20"/>
                <w:lang w:val="en-GB"/>
              </w:rPr>
            </w:pPr>
            <w:r w:rsidRPr="001C6031">
              <w:rPr>
                <w:rFonts w:ascii="Arial" w:eastAsia="Calibri" w:hAnsi="Arial" w:cs="Arial"/>
                <w:b/>
                <w:sz w:val="20"/>
                <w:szCs w:val="20"/>
                <w:lang w:val="en-GB"/>
              </w:rPr>
              <w:t>Assessment of implementation</w:t>
            </w:r>
          </w:p>
        </w:tc>
      </w:tr>
      <w:tr w:rsidR="00FF6586" w:rsidRPr="001C6031" w14:paraId="0C84E8DE" w14:textId="263610F7" w:rsidTr="00FF6586">
        <w:tc>
          <w:tcPr>
            <w:tcW w:w="2023" w:type="pct"/>
            <w:shd w:val="clear" w:color="auto" w:fill="auto"/>
          </w:tcPr>
          <w:p w14:paraId="486082B2" w14:textId="77777777" w:rsidR="00FF6586" w:rsidRPr="001C6031" w:rsidRDefault="00FF6586" w:rsidP="005F7CB2">
            <w:pPr>
              <w:spacing w:before="60" w:after="60"/>
              <w:rPr>
                <w:rFonts w:ascii="Arial" w:eastAsia="Calibri" w:hAnsi="Arial" w:cs="Arial"/>
                <w:b/>
                <w:sz w:val="20"/>
                <w:szCs w:val="20"/>
                <w:lang w:val="en-GB"/>
              </w:rPr>
            </w:pPr>
            <w:r w:rsidRPr="001C6031">
              <w:rPr>
                <w:rFonts w:ascii="Arial" w:eastAsia="Calibri" w:hAnsi="Arial" w:cs="Arial"/>
                <w:b/>
                <w:sz w:val="20"/>
                <w:szCs w:val="20"/>
                <w:lang w:val="en-GB"/>
              </w:rPr>
              <w:t xml:space="preserve">O: </w:t>
            </w:r>
          </w:p>
          <w:p w14:paraId="3982BA96" w14:textId="77777777" w:rsidR="00FF6586" w:rsidRPr="001C6031" w:rsidRDefault="00FF6586" w:rsidP="005F7CB2">
            <w:pPr>
              <w:spacing w:before="60" w:after="60"/>
              <w:rPr>
                <w:rFonts w:ascii="Arial" w:hAnsi="Arial" w:cs="Arial"/>
                <w:sz w:val="20"/>
                <w:szCs w:val="20"/>
                <w:lang w:val="en-GB"/>
              </w:rPr>
            </w:pPr>
            <w:r w:rsidRPr="001C6031">
              <w:rPr>
                <w:rFonts w:ascii="Arial" w:hAnsi="Arial" w:cs="Arial"/>
                <w:sz w:val="20"/>
                <w:szCs w:val="20"/>
                <w:lang w:val="en-GB"/>
              </w:rPr>
              <w:t>Basic Texts of the Convention revised and published</w:t>
            </w:r>
          </w:p>
          <w:p w14:paraId="673CD0C0" w14:textId="77777777" w:rsidR="00FF6586" w:rsidRPr="001C6031" w:rsidRDefault="00FF6586" w:rsidP="00A619AB">
            <w:pPr>
              <w:keepNext/>
              <w:spacing w:before="60" w:after="60"/>
              <w:rPr>
                <w:rFonts w:ascii="Arial" w:eastAsia="Calibri" w:hAnsi="Arial" w:cs="Arial"/>
                <w:b/>
                <w:sz w:val="20"/>
                <w:szCs w:val="20"/>
                <w:lang w:val="en-GB"/>
              </w:rPr>
            </w:pPr>
            <w:r w:rsidRPr="001C6031">
              <w:rPr>
                <w:rFonts w:ascii="Arial" w:hAnsi="Arial" w:cs="Arial"/>
                <w:b/>
                <w:sz w:val="20"/>
                <w:szCs w:val="20"/>
                <w:lang w:val="en-GB"/>
              </w:rPr>
              <w:t>B 2014-2015:</w:t>
            </w:r>
          </w:p>
          <w:p w14:paraId="232141CC" w14:textId="25AD6843" w:rsidR="00FF6586" w:rsidRPr="001C6031" w:rsidRDefault="00FF6586" w:rsidP="005F7CB2">
            <w:pPr>
              <w:spacing w:before="60" w:after="60"/>
              <w:rPr>
                <w:rFonts w:ascii="Arial" w:eastAsia="Calibri" w:hAnsi="Arial" w:cs="Arial"/>
                <w:sz w:val="20"/>
                <w:szCs w:val="20"/>
                <w:lang w:val="en-GB"/>
              </w:rPr>
            </w:pPr>
            <w:r w:rsidRPr="001C6031">
              <w:rPr>
                <w:rFonts w:ascii="Arial" w:hAnsi="Arial" w:cs="Arial"/>
                <w:sz w:val="20"/>
                <w:szCs w:val="20"/>
                <w:lang w:val="en-GB"/>
              </w:rPr>
              <w:t>One publication in six languages of 2014 version of the Basic Text</w:t>
            </w:r>
            <w:r w:rsidR="0041162A">
              <w:rPr>
                <w:rFonts w:ascii="Arial" w:hAnsi="Arial" w:cs="Arial"/>
                <w:sz w:val="20"/>
                <w:szCs w:val="20"/>
                <w:lang w:val="en-GB"/>
              </w:rPr>
              <w:t>s</w:t>
            </w:r>
          </w:p>
        </w:tc>
        <w:tc>
          <w:tcPr>
            <w:tcW w:w="2024" w:type="pct"/>
            <w:shd w:val="clear" w:color="auto" w:fill="auto"/>
          </w:tcPr>
          <w:p w14:paraId="4DE6061A" w14:textId="3F4EEB47" w:rsidR="00FF6586" w:rsidRPr="001C6031" w:rsidRDefault="00FF6586" w:rsidP="005F7CB2">
            <w:pPr>
              <w:pStyle w:val="ListParagraph"/>
              <w:numPr>
                <w:ilvl w:val="0"/>
                <w:numId w:val="28"/>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Editorial preparation of the 2014 edition of the Basic Texts of the Convention – integrating the amendments to the Operational Directives adopted by the fifth session of the General Assembly and amendments to the Committee’s Rules of Procedure adopted at its eighth session –completed in the six working languages of the General Assembly.</w:t>
            </w:r>
          </w:p>
        </w:tc>
        <w:tc>
          <w:tcPr>
            <w:tcW w:w="953" w:type="pct"/>
          </w:tcPr>
          <w:p w14:paraId="03359201" w14:textId="59FD22E4" w:rsidR="00FF6586" w:rsidRPr="001C6031" w:rsidRDefault="00E768E0" w:rsidP="00473C13">
            <w:pPr>
              <w:pStyle w:val="ListParagraph"/>
              <w:spacing w:before="60" w:after="60"/>
              <w:ind w:left="141"/>
              <w:contextualSpacing w:val="0"/>
              <w:jc w:val="center"/>
              <w:rPr>
                <w:rFonts w:ascii="Arial" w:eastAsia="Calibri" w:hAnsi="Arial" w:cs="Arial"/>
                <w:sz w:val="20"/>
                <w:szCs w:val="20"/>
                <w:lang w:val="en-GB"/>
              </w:rPr>
            </w:pPr>
            <w:r>
              <w:rPr>
                <w:rFonts w:ascii="Arial" w:eastAsia="Calibri" w:hAnsi="Arial" w:cs="Arial"/>
                <w:sz w:val="20"/>
                <w:szCs w:val="20"/>
                <w:lang w:val="en-GB"/>
              </w:rPr>
              <w:t>Accomplished</w:t>
            </w:r>
          </w:p>
        </w:tc>
      </w:tr>
      <w:tr w:rsidR="00FF6586" w:rsidRPr="001C6031" w14:paraId="7ABE3B55" w14:textId="392ED24E" w:rsidTr="00FF6586">
        <w:tc>
          <w:tcPr>
            <w:tcW w:w="2023" w:type="pct"/>
            <w:shd w:val="clear" w:color="auto" w:fill="auto"/>
          </w:tcPr>
          <w:p w14:paraId="61E642D2" w14:textId="77777777" w:rsidR="00FF6586" w:rsidRPr="001C6031" w:rsidRDefault="00FF6586" w:rsidP="005F7CB2">
            <w:pPr>
              <w:spacing w:before="60" w:after="60"/>
              <w:rPr>
                <w:rFonts w:ascii="Arial" w:eastAsia="Calibri" w:hAnsi="Arial" w:cs="Arial"/>
                <w:b/>
                <w:sz w:val="20"/>
                <w:szCs w:val="20"/>
                <w:lang w:val="en-GB"/>
              </w:rPr>
            </w:pPr>
            <w:r w:rsidRPr="001C6031">
              <w:rPr>
                <w:rFonts w:ascii="Arial" w:eastAsia="Calibri" w:hAnsi="Arial" w:cs="Arial"/>
                <w:b/>
                <w:sz w:val="20"/>
                <w:szCs w:val="20"/>
                <w:lang w:val="en-GB"/>
              </w:rPr>
              <w:t>O:</w:t>
            </w:r>
          </w:p>
          <w:p w14:paraId="599E58A4" w14:textId="77777777" w:rsidR="00FF6586" w:rsidRPr="001C6031" w:rsidRDefault="00FF6586" w:rsidP="005F7CB2">
            <w:pPr>
              <w:spacing w:before="60" w:after="60"/>
              <w:rPr>
                <w:rFonts w:ascii="Arial" w:hAnsi="Arial" w:cs="Arial"/>
                <w:sz w:val="20"/>
                <w:szCs w:val="20"/>
                <w:lang w:val="en-GB"/>
              </w:rPr>
            </w:pPr>
            <w:r w:rsidRPr="001C6031">
              <w:rPr>
                <w:rFonts w:ascii="Arial" w:hAnsi="Arial" w:cs="Arial"/>
                <w:sz w:val="20"/>
                <w:szCs w:val="20"/>
                <w:lang w:val="en-GB"/>
              </w:rPr>
              <w:t>Leaflets on capacity building and sustainable development published</w:t>
            </w:r>
          </w:p>
          <w:p w14:paraId="2ABB6A10" w14:textId="77777777" w:rsidR="00FF6586" w:rsidRPr="001C6031" w:rsidRDefault="00FF6586" w:rsidP="005F7CB2">
            <w:pPr>
              <w:spacing w:before="60" w:after="60"/>
              <w:rPr>
                <w:rFonts w:ascii="Arial" w:hAnsi="Arial" w:cs="Arial"/>
                <w:b/>
                <w:sz w:val="20"/>
                <w:szCs w:val="20"/>
                <w:lang w:val="en-GB"/>
              </w:rPr>
            </w:pPr>
            <w:r w:rsidRPr="001C6031">
              <w:rPr>
                <w:rFonts w:ascii="Arial" w:hAnsi="Arial" w:cs="Arial"/>
                <w:b/>
                <w:sz w:val="20"/>
                <w:szCs w:val="20"/>
                <w:lang w:val="en-GB"/>
              </w:rPr>
              <w:t xml:space="preserve">B 2014-2015: </w:t>
            </w:r>
          </w:p>
          <w:p w14:paraId="72E0C386" w14:textId="77777777" w:rsidR="00FF6586" w:rsidRPr="001C6031" w:rsidRDefault="00FF6586" w:rsidP="005F7CB2">
            <w:pPr>
              <w:spacing w:before="60" w:after="60"/>
              <w:rPr>
                <w:rFonts w:ascii="Arial" w:eastAsia="Calibri" w:hAnsi="Arial" w:cs="Arial"/>
                <w:sz w:val="20"/>
                <w:szCs w:val="20"/>
                <w:lang w:val="en-GB"/>
              </w:rPr>
            </w:pPr>
            <w:r w:rsidRPr="001C6031">
              <w:rPr>
                <w:rFonts w:ascii="Arial" w:hAnsi="Arial" w:cs="Arial"/>
                <w:sz w:val="20"/>
                <w:szCs w:val="20"/>
                <w:lang w:val="en-GB"/>
              </w:rPr>
              <w:t>Two publications: leaflets on capacity building and on ICH for sustainable development</w:t>
            </w:r>
          </w:p>
        </w:tc>
        <w:tc>
          <w:tcPr>
            <w:tcW w:w="2024" w:type="pct"/>
            <w:shd w:val="clear" w:color="auto" w:fill="auto"/>
          </w:tcPr>
          <w:p w14:paraId="25825988" w14:textId="435D9D84" w:rsidR="00FF6586" w:rsidRPr="001C6031" w:rsidRDefault="00FF6586" w:rsidP="005F7CB2">
            <w:pPr>
              <w:pStyle w:val="ListParagraph"/>
              <w:numPr>
                <w:ilvl w:val="0"/>
                <w:numId w:val="28"/>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Information kit on the Convention reprinted with two additional thematic brochures on gender and sustainable development</w:t>
            </w:r>
            <w:r w:rsidR="0041162A">
              <w:rPr>
                <w:rFonts w:ascii="Arial" w:eastAsia="Calibri" w:hAnsi="Arial" w:cs="Arial"/>
                <w:sz w:val="20"/>
                <w:szCs w:val="20"/>
                <w:lang w:val="en-GB"/>
              </w:rPr>
              <w:t>.</w:t>
            </w:r>
          </w:p>
          <w:p w14:paraId="33B9D21C" w14:textId="7F906752" w:rsidR="00FF6586" w:rsidRPr="001C6031" w:rsidRDefault="00FF6586" w:rsidP="005F7CB2">
            <w:pPr>
              <w:pStyle w:val="ListParagraph"/>
              <w:numPr>
                <w:ilvl w:val="0"/>
                <w:numId w:val="28"/>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Leaflet presenting the main lines of the capacity-building programme produced</w:t>
            </w:r>
            <w:r w:rsidR="0041162A">
              <w:rPr>
                <w:rFonts w:ascii="Arial" w:eastAsia="Calibri" w:hAnsi="Arial" w:cs="Arial"/>
                <w:sz w:val="20"/>
                <w:szCs w:val="20"/>
                <w:lang w:val="en-GB"/>
              </w:rPr>
              <w:t>.</w:t>
            </w:r>
          </w:p>
        </w:tc>
        <w:tc>
          <w:tcPr>
            <w:tcW w:w="953" w:type="pct"/>
          </w:tcPr>
          <w:p w14:paraId="5446DF0A" w14:textId="5F305992" w:rsidR="00FF6586" w:rsidRPr="001C6031" w:rsidRDefault="00E768E0" w:rsidP="00473C13">
            <w:pPr>
              <w:pStyle w:val="ListParagraph"/>
              <w:spacing w:before="60" w:after="60"/>
              <w:ind w:left="141"/>
              <w:contextualSpacing w:val="0"/>
              <w:jc w:val="center"/>
              <w:rPr>
                <w:rFonts w:ascii="Arial" w:eastAsia="Calibri" w:hAnsi="Arial" w:cs="Arial"/>
                <w:sz w:val="20"/>
                <w:szCs w:val="20"/>
                <w:lang w:val="en-GB"/>
              </w:rPr>
            </w:pPr>
            <w:r>
              <w:rPr>
                <w:rFonts w:ascii="Arial" w:eastAsia="Calibri" w:hAnsi="Arial" w:cs="Arial"/>
                <w:sz w:val="20"/>
                <w:szCs w:val="20"/>
                <w:lang w:val="en-GB"/>
              </w:rPr>
              <w:t>Accomplished</w:t>
            </w:r>
          </w:p>
        </w:tc>
      </w:tr>
      <w:tr w:rsidR="00FF6586" w:rsidRPr="001C6031" w14:paraId="498DA67E" w14:textId="3DE77845" w:rsidTr="00FF6586">
        <w:tc>
          <w:tcPr>
            <w:tcW w:w="2023" w:type="pct"/>
            <w:shd w:val="clear" w:color="auto" w:fill="auto"/>
          </w:tcPr>
          <w:p w14:paraId="6EF730CD" w14:textId="14B17593" w:rsidR="00FF6586" w:rsidRPr="001C6031" w:rsidRDefault="00FF6586" w:rsidP="005F7CB2">
            <w:pPr>
              <w:spacing w:before="60" w:after="60"/>
              <w:rPr>
                <w:rFonts w:ascii="Arial" w:hAnsi="Arial" w:cs="Arial"/>
                <w:b/>
                <w:sz w:val="20"/>
                <w:szCs w:val="20"/>
                <w:lang w:val="en-GB"/>
              </w:rPr>
            </w:pPr>
            <w:r w:rsidRPr="001C6031">
              <w:rPr>
                <w:rFonts w:ascii="Arial" w:hAnsi="Arial" w:cs="Arial"/>
                <w:b/>
                <w:sz w:val="20"/>
                <w:szCs w:val="20"/>
                <w:lang w:val="en-GB"/>
              </w:rPr>
              <w:t>O:</w:t>
            </w:r>
          </w:p>
          <w:p w14:paraId="1C180B4E" w14:textId="77777777" w:rsidR="00FF6586" w:rsidRPr="001C6031" w:rsidRDefault="00FF6586" w:rsidP="005F7CB2">
            <w:pPr>
              <w:spacing w:before="60" w:after="60"/>
              <w:rPr>
                <w:rFonts w:ascii="Arial" w:hAnsi="Arial" w:cs="Arial"/>
                <w:sz w:val="20"/>
                <w:szCs w:val="20"/>
                <w:lang w:val="en-GB"/>
              </w:rPr>
            </w:pPr>
            <w:r w:rsidRPr="001C6031">
              <w:rPr>
                <w:rFonts w:ascii="Arial" w:hAnsi="Arial" w:cs="Arial"/>
                <w:sz w:val="20"/>
                <w:szCs w:val="20"/>
                <w:lang w:val="en-GB"/>
              </w:rPr>
              <w:t>Urgent Safeguarding List and Register of Best Safeguarding Practices published</w:t>
            </w:r>
          </w:p>
          <w:p w14:paraId="6176794A" w14:textId="77777777" w:rsidR="00FF6586" w:rsidRPr="001C6031" w:rsidRDefault="00FF6586" w:rsidP="005F7CB2">
            <w:pPr>
              <w:spacing w:before="60" w:after="60"/>
              <w:rPr>
                <w:rFonts w:ascii="Arial" w:hAnsi="Arial" w:cs="Arial"/>
                <w:b/>
                <w:sz w:val="20"/>
                <w:szCs w:val="20"/>
                <w:lang w:val="en-GB"/>
              </w:rPr>
            </w:pPr>
            <w:r w:rsidRPr="001C6031">
              <w:rPr>
                <w:rFonts w:ascii="Arial" w:hAnsi="Arial" w:cs="Arial"/>
                <w:b/>
                <w:sz w:val="20"/>
                <w:szCs w:val="20"/>
                <w:lang w:val="en-GB"/>
              </w:rPr>
              <w:t xml:space="preserve">B 2014-2015: </w:t>
            </w:r>
          </w:p>
          <w:p w14:paraId="1917F070" w14:textId="77777777" w:rsidR="00FF6586" w:rsidRPr="001C6031" w:rsidRDefault="00FF6586" w:rsidP="005F7CB2">
            <w:pPr>
              <w:spacing w:before="60" w:after="60"/>
              <w:rPr>
                <w:rFonts w:ascii="Arial" w:hAnsi="Arial" w:cs="Arial"/>
                <w:sz w:val="20"/>
                <w:szCs w:val="20"/>
                <w:lang w:val="en-GB"/>
              </w:rPr>
            </w:pPr>
            <w:r w:rsidRPr="001C6031">
              <w:rPr>
                <w:rFonts w:ascii="Arial" w:hAnsi="Arial" w:cs="Arial"/>
                <w:sz w:val="20"/>
                <w:szCs w:val="20"/>
                <w:lang w:val="en-GB"/>
              </w:rPr>
              <w:t>Publication of the 2012-2013 USL and Register</w:t>
            </w:r>
          </w:p>
        </w:tc>
        <w:tc>
          <w:tcPr>
            <w:tcW w:w="2024" w:type="pct"/>
            <w:shd w:val="clear" w:color="auto" w:fill="auto"/>
          </w:tcPr>
          <w:p w14:paraId="466FC963" w14:textId="46A71912" w:rsidR="00FF6586" w:rsidRPr="001C6031" w:rsidRDefault="00FF6586" w:rsidP="005F7CB2">
            <w:pPr>
              <w:pStyle w:val="ListParagraph"/>
              <w:numPr>
                <w:ilvl w:val="0"/>
                <w:numId w:val="28"/>
              </w:numPr>
              <w:spacing w:before="60" w:after="60"/>
              <w:ind w:left="357" w:hanging="357"/>
              <w:contextualSpacing w:val="0"/>
              <w:rPr>
                <w:rFonts w:ascii="Arial" w:hAnsi="Arial" w:cs="Arial"/>
                <w:sz w:val="20"/>
                <w:szCs w:val="20"/>
                <w:lang w:val="en-GB"/>
              </w:rPr>
            </w:pPr>
            <w:r w:rsidRPr="001C6031">
              <w:rPr>
                <w:rFonts w:ascii="Arial" w:eastAsia="Calibri" w:hAnsi="Arial" w:cs="Arial"/>
                <w:sz w:val="20"/>
                <w:szCs w:val="20"/>
                <w:lang w:val="en-GB"/>
              </w:rPr>
              <w:t>Electronic brochures for the 2012 and 2013 Urgent Safeguarding List and the Register of Best Safeguarding Practices designed, edited and published in English and French</w:t>
            </w:r>
            <w:r w:rsidR="0041162A">
              <w:rPr>
                <w:rFonts w:ascii="Arial" w:eastAsia="Calibri" w:hAnsi="Arial" w:cs="Arial"/>
                <w:sz w:val="20"/>
                <w:szCs w:val="20"/>
                <w:lang w:val="en-GB"/>
              </w:rPr>
              <w:t>.</w:t>
            </w:r>
          </w:p>
        </w:tc>
        <w:tc>
          <w:tcPr>
            <w:tcW w:w="953" w:type="pct"/>
          </w:tcPr>
          <w:p w14:paraId="73FDCFA5" w14:textId="5CE92096" w:rsidR="00FF6586" w:rsidRPr="001C6031" w:rsidRDefault="00E768E0" w:rsidP="00473C13">
            <w:pPr>
              <w:pStyle w:val="ListParagraph"/>
              <w:spacing w:before="60" w:after="60"/>
              <w:ind w:left="141"/>
              <w:contextualSpacing w:val="0"/>
              <w:jc w:val="center"/>
              <w:rPr>
                <w:rFonts w:ascii="Arial" w:eastAsia="Calibri" w:hAnsi="Arial" w:cs="Arial"/>
                <w:sz w:val="20"/>
                <w:szCs w:val="20"/>
                <w:lang w:val="en-GB"/>
              </w:rPr>
            </w:pPr>
            <w:r>
              <w:rPr>
                <w:rFonts w:ascii="Arial" w:eastAsia="Calibri" w:hAnsi="Arial" w:cs="Arial"/>
                <w:sz w:val="20"/>
                <w:szCs w:val="20"/>
                <w:lang w:val="en-GB"/>
              </w:rPr>
              <w:t>Accomplished</w:t>
            </w:r>
          </w:p>
        </w:tc>
      </w:tr>
      <w:tr w:rsidR="00FF6586" w:rsidRPr="001C6031" w14:paraId="401BB2DD" w14:textId="6B13F250" w:rsidTr="00FF6586">
        <w:tc>
          <w:tcPr>
            <w:tcW w:w="2023" w:type="pct"/>
            <w:shd w:val="clear" w:color="auto" w:fill="auto"/>
          </w:tcPr>
          <w:p w14:paraId="5A390D35" w14:textId="77777777" w:rsidR="00FF6586" w:rsidRPr="001C6031" w:rsidRDefault="00FF6586" w:rsidP="005F7CB2">
            <w:pPr>
              <w:spacing w:before="60" w:after="60"/>
              <w:rPr>
                <w:rFonts w:ascii="Arial" w:hAnsi="Arial" w:cs="Arial"/>
                <w:b/>
                <w:sz w:val="20"/>
                <w:szCs w:val="20"/>
                <w:lang w:val="en-GB"/>
              </w:rPr>
            </w:pPr>
            <w:r w:rsidRPr="001C6031">
              <w:rPr>
                <w:rFonts w:ascii="Arial" w:hAnsi="Arial" w:cs="Arial"/>
                <w:b/>
                <w:sz w:val="20"/>
                <w:szCs w:val="20"/>
                <w:lang w:val="en-GB"/>
              </w:rPr>
              <w:t xml:space="preserve">O: </w:t>
            </w:r>
          </w:p>
          <w:p w14:paraId="59BC9780" w14:textId="77777777" w:rsidR="00FF6586" w:rsidRPr="001C6031" w:rsidRDefault="00FF6586" w:rsidP="005F7CB2">
            <w:pPr>
              <w:spacing w:before="60" w:after="60"/>
              <w:rPr>
                <w:rFonts w:ascii="Arial" w:hAnsi="Arial" w:cs="Arial"/>
                <w:sz w:val="20"/>
                <w:szCs w:val="20"/>
                <w:lang w:val="en-GB"/>
              </w:rPr>
            </w:pPr>
            <w:r w:rsidRPr="001C6031">
              <w:rPr>
                <w:rFonts w:ascii="Arial" w:hAnsi="Arial" w:cs="Arial"/>
                <w:sz w:val="20"/>
                <w:szCs w:val="20"/>
                <w:lang w:val="en-GB"/>
              </w:rPr>
              <w:t>Information on Convention enhanced with additional multilingual web content</w:t>
            </w:r>
          </w:p>
          <w:p w14:paraId="330CDCE5" w14:textId="77777777" w:rsidR="00FF6586" w:rsidRPr="001C6031" w:rsidRDefault="00FF6586" w:rsidP="005F7CB2">
            <w:pPr>
              <w:spacing w:before="60" w:after="60"/>
              <w:rPr>
                <w:rFonts w:ascii="Arial" w:hAnsi="Arial" w:cs="Arial"/>
                <w:b/>
                <w:sz w:val="20"/>
                <w:szCs w:val="20"/>
                <w:lang w:val="en-GB"/>
              </w:rPr>
            </w:pPr>
            <w:r w:rsidRPr="001C6031">
              <w:rPr>
                <w:rFonts w:ascii="Arial" w:hAnsi="Arial" w:cs="Arial"/>
                <w:b/>
                <w:sz w:val="20"/>
                <w:szCs w:val="20"/>
                <w:lang w:val="en-GB"/>
              </w:rPr>
              <w:t>B 2014-2015:</w:t>
            </w:r>
          </w:p>
          <w:p w14:paraId="0F831D67" w14:textId="61D8A2B5" w:rsidR="00FF6586" w:rsidRPr="001C6031" w:rsidRDefault="0041162A" w:rsidP="005F7CB2">
            <w:pPr>
              <w:spacing w:before="60" w:after="60"/>
              <w:rPr>
                <w:rFonts w:ascii="Arial" w:hAnsi="Arial" w:cs="Arial"/>
                <w:sz w:val="20"/>
                <w:szCs w:val="20"/>
                <w:lang w:val="en-GB"/>
              </w:rPr>
            </w:pPr>
            <w:r>
              <w:rPr>
                <w:rFonts w:ascii="Arial" w:hAnsi="Arial" w:cs="Arial"/>
                <w:sz w:val="20"/>
                <w:szCs w:val="20"/>
                <w:lang w:val="en-GB"/>
              </w:rPr>
              <w:t>Three hundred</w:t>
            </w:r>
            <w:r w:rsidR="00FF6586" w:rsidRPr="001C6031">
              <w:rPr>
                <w:rFonts w:ascii="Arial" w:hAnsi="Arial" w:cs="Arial"/>
                <w:sz w:val="20"/>
                <w:szCs w:val="20"/>
                <w:lang w:val="en-GB"/>
              </w:rPr>
              <w:t xml:space="preserve"> new webpages published in English, French and Spanish</w:t>
            </w:r>
          </w:p>
        </w:tc>
        <w:tc>
          <w:tcPr>
            <w:tcW w:w="2024" w:type="pct"/>
            <w:shd w:val="clear" w:color="auto" w:fill="auto"/>
          </w:tcPr>
          <w:p w14:paraId="340BB496" w14:textId="32F4DBA1" w:rsidR="00FF6586" w:rsidRPr="001C6031" w:rsidRDefault="00DB2021" w:rsidP="005F7CB2">
            <w:pPr>
              <w:pStyle w:val="ListParagraph"/>
              <w:numPr>
                <w:ilvl w:val="0"/>
                <w:numId w:val="28"/>
              </w:numPr>
              <w:spacing w:before="60" w:after="60"/>
              <w:ind w:left="357" w:hanging="357"/>
              <w:contextualSpacing w:val="0"/>
              <w:rPr>
                <w:rFonts w:ascii="Arial" w:eastAsia="Calibri" w:hAnsi="Arial" w:cs="Arial"/>
                <w:sz w:val="20"/>
                <w:szCs w:val="20"/>
                <w:lang w:val="en-GB"/>
              </w:rPr>
            </w:pPr>
            <w:r w:rsidRPr="001C6031">
              <w:rPr>
                <w:rFonts w:ascii="Arial" w:eastAsia="Calibri" w:hAnsi="Arial" w:cs="Arial"/>
                <w:sz w:val="20"/>
                <w:szCs w:val="20"/>
                <w:lang w:val="en-GB"/>
              </w:rPr>
              <w:t>More than 300 new webpages been created and made available in English and French</w:t>
            </w:r>
            <w:r w:rsidR="0041162A">
              <w:rPr>
                <w:rFonts w:ascii="Arial" w:eastAsia="Calibri" w:hAnsi="Arial" w:cs="Arial"/>
                <w:sz w:val="20"/>
                <w:szCs w:val="20"/>
                <w:lang w:val="en-GB"/>
              </w:rPr>
              <w:t>.</w:t>
            </w:r>
          </w:p>
        </w:tc>
        <w:tc>
          <w:tcPr>
            <w:tcW w:w="953" w:type="pct"/>
          </w:tcPr>
          <w:p w14:paraId="7743CD30" w14:textId="7693FF91" w:rsidR="00FF6586" w:rsidRPr="001C6031" w:rsidRDefault="00DB2021" w:rsidP="009444C9">
            <w:pPr>
              <w:spacing w:before="60" w:after="60"/>
              <w:jc w:val="center"/>
              <w:rPr>
                <w:rFonts w:ascii="Arial" w:hAnsi="Arial" w:cs="Arial"/>
                <w:sz w:val="20"/>
                <w:szCs w:val="20"/>
                <w:lang w:val="en-GB"/>
              </w:rPr>
            </w:pPr>
            <w:r w:rsidRPr="001C6031">
              <w:rPr>
                <w:rFonts w:ascii="Arial" w:hAnsi="Arial" w:cs="Arial"/>
                <w:sz w:val="20"/>
                <w:szCs w:val="20"/>
                <w:lang w:val="en-GB"/>
              </w:rPr>
              <w:t xml:space="preserve">Partly </w:t>
            </w:r>
            <w:r w:rsidR="00E768E0">
              <w:rPr>
                <w:rFonts w:ascii="Arial" w:eastAsia="Calibri" w:hAnsi="Arial" w:cs="Arial"/>
                <w:sz w:val="20"/>
                <w:szCs w:val="20"/>
                <w:lang w:val="en-GB"/>
              </w:rPr>
              <w:t>accomplished</w:t>
            </w:r>
          </w:p>
        </w:tc>
      </w:tr>
    </w:tbl>
    <w:p w14:paraId="01A98FFF" w14:textId="77777777" w:rsidR="00A74D6C" w:rsidRPr="001C6031" w:rsidRDefault="00A74D6C" w:rsidP="005F7CB2">
      <w:pPr>
        <w:keepNext/>
        <w:spacing w:before="240" w:after="120"/>
        <w:rPr>
          <w:rFonts w:ascii="Arial" w:hAnsi="Arial" w:cs="Arial"/>
          <w:b/>
          <w:sz w:val="22"/>
          <w:szCs w:val="22"/>
          <w:lang w:val="en-GB"/>
        </w:rPr>
      </w:pPr>
      <w:r w:rsidRPr="001C6031">
        <w:rPr>
          <w:rFonts w:ascii="Arial" w:hAnsi="Arial" w:cs="Arial"/>
          <w:b/>
          <w:sz w:val="22"/>
          <w:szCs w:val="22"/>
          <w:lang w:val="en-GB"/>
        </w:rPr>
        <w:t>Challenges and risks in implementation and remedial actions</w:t>
      </w:r>
    </w:p>
    <w:tbl>
      <w:tblPr>
        <w:tblStyle w:val="TableGrid"/>
        <w:tblW w:w="5000" w:type="pct"/>
        <w:tblLook w:val="04A0" w:firstRow="1" w:lastRow="0" w:firstColumn="1" w:lastColumn="0" w:noHBand="0" w:noVBand="1"/>
      </w:tblPr>
      <w:tblGrid>
        <w:gridCol w:w="4814"/>
        <w:gridCol w:w="4814"/>
      </w:tblGrid>
      <w:tr w:rsidR="00A74D6C" w:rsidRPr="001C6031" w14:paraId="6762A09E" w14:textId="77777777" w:rsidTr="00907D3B">
        <w:trPr>
          <w:tblHeader/>
        </w:trPr>
        <w:tc>
          <w:tcPr>
            <w:tcW w:w="2500" w:type="pct"/>
            <w:shd w:val="clear" w:color="auto" w:fill="D9D9D9"/>
          </w:tcPr>
          <w:p w14:paraId="6105D698" w14:textId="77777777" w:rsidR="00A74D6C" w:rsidRPr="001C6031" w:rsidRDefault="00A74D6C" w:rsidP="005F7CB2">
            <w:pPr>
              <w:keepNext/>
              <w:spacing w:before="120" w:after="120"/>
              <w:jc w:val="center"/>
              <w:rPr>
                <w:rFonts w:ascii="Arial" w:hAnsi="Arial" w:cs="Arial"/>
                <w:b/>
                <w:sz w:val="20"/>
                <w:szCs w:val="20"/>
                <w:lang w:val="en-GB"/>
              </w:rPr>
            </w:pPr>
            <w:r w:rsidRPr="001C6031">
              <w:rPr>
                <w:rFonts w:ascii="Arial" w:hAnsi="Arial" w:cs="Arial"/>
                <w:b/>
                <w:sz w:val="20"/>
                <w:szCs w:val="20"/>
                <w:lang w:val="en-GB"/>
              </w:rPr>
              <w:t>Key challenges</w:t>
            </w:r>
          </w:p>
        </w:tc>
        <w:tc>
          <w:tcPr>
            <w:tcW w:w="2500" w:type="pct"/>
            <w:shd w:val="clear" w:color="auto" w:fill="D9D9D9"/>
          </w:tcPr>
          <w:p w14:paraId="38065E76" w14:textId="77777777" w:rsidR="00A74D6C" w:rsidRPr="001C6031" w:rsidRDefault="00A74D6C" w:rsidP="005F7CB2">
            <w:pPr>
              <w:keepNext/>
              <w:spacing w:before="120" w:after="120"/>
              <w:jc w:val="center"/>
              <w:rPr>
                <w:rFonts w:ascii="Arial" w:hAnsi="Arial" w:cs="Arial"/>
                <w:b/>
                <w:sz w:val="20"/>
                <w:szCs w:val="20"/>
                <w:lang w:val="en-GB"/>
              </w:rPr>
            </w:pPr>
            <w:r w:rsidRPr="001C6031">
              <w:rPr>
                <w:rFonts w:ascii="Arial" w:hAnsi="Arial" w:cs="Arial"/>
                <w:b/>
                <w:sz w:val="20"/>
                <w:szCs w:val="20"/>
                <w:lang w:val="en-GB"/>
              </w:rPr>
              <w:t>Remedial actions</w:t>
            </w:r>
          </w:p>
        </w:tc>
      </w:tr>
      <w:tr w:rsidR="00A74D6C" w:rsidRPr="00B04E85" w14:paraId="02BC2705" w14:textId="77777777" w:rsidTr="00203F98">
        <w:tc>
          <w:tcPr>
            <w:tcW w:w="2500" w:type="pct"/>
          </w:tcPr>
          <w:p w14:paraId="4DB8BFBD" w14:textId="1FB31E5A" w:rsidR="00A74D6C" w:rsidRPr="001C6031" w:rsidRDefault="0093365E" w:rsidP="00267C8A">
            <w:pPr>
              <w:spacing w:before="60" w:after="60"/>
              <w:rPr>
                <w:rFonts w:ascii="Arial" w:hAnsi="Arial" w:cs="Arial"/>
                <w:sz w:val="20"/>
                <w:szCs w:val="20"/>
                <w:lang w:val="en-GB"/>
              </w:rPr>
            </w:pPr>
            <w:r w:rsidRPr="001C6031">
              <w:rPr>
                <w:rFonts w:ascii="Arial" w:hAnsi="Arial" w:cs="Arial"/>
                <w:sz w:val="20"/>
                <w:szCs w:val="20"/>
                <w:lang w:val="en-GB"/>
              </w:rPr>
              <w:t xml:space="preserve">The edition of </w:t>
            </w:r>
            <w:r w:rsidR="00DB2021" w:rsidRPr="001C6031">
              <w:rPr>
                <w:rFonts w:ascii="Arial" w:hAnsi="Arial" w:cs="Arial"/>
                <w:sz w:val="20"/>
                <w:szCs w:val="20"/>
                <w:lang w:val="en-GB"/>
              </w:rPr>
              <w:t xml:space="preserve">the Basic Texts </w:t>
            </w:r>
            <w:r w:rsidRPr="001C6031">
              <w:rPr>
                <w:rFonts w:ascii="Arial" w:hAnsi="Arial" w:cs="Arial"/>
                <w:sz w:val="20"/>
                <w:szCs w:val="20"/>
                <w:lang w:val="en-GB"/>
              </w:rPr>
              <w:t xml:space="preserve">of the Convention in six languages, following amendments adopted by </w:t>
            </w:r>
            <w:r w:rsidR="0041162A">
              <w:rPr>
                <w:rFonts w:ascii="Arial" w:hAnsi="Arial" w:cs="Arial"/>
                <w:sz w:val="20"/>
                <w:szCs w:val="20"/>
                <w:lang w:val="en-GB"/>
              </w:rPr>
              <w:t>the</w:t>
            </w:r>
            <w:r w:rsidRPr="001C6031">
              <w:rPr>
                <w:rFonts w:ascii="Arial" w:hAnsi="Arial" w:cs="Arial"/>
                <w:sz w:val="20"/>
                <w:szCs w:val="20"/>
                <w:lang w:val="en-GB"/>
              </w:rPr>
              <w:t xml:space="preserve"> General Assembly requires not only language skills but also excellent command of the Conventions’ terminology, making it very difficult to outsource the work. While translations themselves are </w:t>
            </w:r>
            <w:r w:rsidR="00E768E0" w:rsidRPr="001C6031">
              <w:rPr>
                <w:rFonts w:ascii="Arial" w:hAnsi="Arial" w:cs="Arial"/>
                <w:sz w:val="20"/>
                <w:szCs w:val="20"/>
                <w:lang w:val="en-GB"/>
              </w:rPr>
              <w:t>outsource</w:t>
            </w:r>
            <w:r w:rsidR="00E768E0">
              <w:rPr>
                <w:rFonts w:ascii="Arial" w:hAnsi="Arial" w:cs="Arial"/>
                <w:sz w:val="20"/>
                <w:szCs w:val="20"/>
                <w:lang w:val="en-GB"/>
              </w:rPr>
              <w:t>d</w:t>
            </w:r>
            <w:r w:rsidRPr="001C6031">
              <w:rPr>
                <w:rFonts w:ascii="Arial" w:hAnsi="Arial" w:cs="Arial"/>
                <w:sz w:val="20"/>
                <w:szCs w:val="20"/>
                <w:lang w:val="en-GB"/>
              </w:rPr>
              <w:t xml:space="preserve">, the revision is most commonly undertaken by </w:t>
            </w:r>
            <w:r w:rsidR="00267C8A">
              <w:rPr>
                <w:rFonts w:ascii="Arial" w:hAnsi="Arial" w:cs="Arial"/>
                <w:sz w:val="20"/>
                <w:szCs w:val="20"/>
                <w:lang w:val="en-GB"/>
              </w:rPr>
              <w:t xml:space="preserve">staff of </w:t>
            </w:r>
            <w:r w:rsidRPr="001C6031">
              <w:rPr>
                <w:rFonts w:ascii="Arial" w:hAnsi="Arial" w:cs="Arial"/>
                <w:sz w:val="20"/>
                <w:szCs w:val="20"/>
                <w:lang w:val="en-GB"/>
              </w:rPr>
              <w:t xml:space="preserve">Section </w:t>
            </w:r>
            <w:r w:rsidR="00267C8A">
              <w:rPr>
                <w:rFonts w:ascii="Arial" w:hAnsi="Arial" w:cs="Arial"/>
                <w:sz w:val="20"/>
                <w:szCs w:val="20"/>
                <w:lang w:val="en-GB"/>
              </w:rPr>
              <w:t xml:space="preserve">which </w:t>
            </w:r>
            <w:r w:rsidRPr="001C6031">
              <w:rPr>
                <w:rFonts w:ascii="Arial" w:hAnsi="Arial" w:cs="Arial"/>
                <w:sz w:val="20"/>
                <w:szCs w:val="20"/>
                <w:lang w:val="en-GB"/>
              </w:rPr>
              <w:t>requires tremendous time investment.</w:t>
            </w:r>
          </w:p>
        </w:tc>
        <w:tc>
          <w:tcPr>
            <w:tcW w:w="2500" w:type="pct"/>
          </w:tcPr>
          <w:p w14:paraId="43A0968B" w14:textId="411C8BB7" w:rsidR="00A74D6C" w:rsidRPr="001C6031" w:rsidRDefault="0093365E" w:rsidP="00267C8A">
            <w:pPr>
              <w:spacing w:before="60" w:after="60"/>
              <w:rPr>
                <w:rFonts w:ascii="Arial" w:hAnsi="Arial" w:cs="Arial"/>
                <w:b/>
                <w:sz w:val="20"/>
                <w:szCs w:val="20"/>
                <w:lang w:val="en-GB"/>
              </w:rPr>
            </w:pPr>
            <w:r w:rsidRPr="001C6031">
              <w:rPr>
                <w:rFonts w:ascii="Arial" w:hAnsi="Arial" w:cs="Arial"/>
                <w:sz w:val="20"/>
                <w:szCs w:val="20"/>
                <w:lang w:val="en-GB"/>
              </w:rPr>
              <w:t xml:space="preserve">No remedial actions were undertaken during the reporting period since the next edition of the Basic Texts will take place only after the sixth session of the General Assembly during the second half of the 2016. </w:t>
            </w:r>
          </w:p>
        </w:tc>
      </w:tr>
      <w:tr w:rsidR="00DB2021" w:rsidRPr="00B04E85" w14:paraId="49E2E503" w14:textId="77777777" w:rsidTr="00203F98">
        <w:tc>
          <w:tcPr>
            <w:tcW w:w="2500" w:type="pct"/>
          </w:tcPr>
          <w:p w14:paraId="7715CFDA" w14:textId="6FF4E148" w:rsidR="00DB2021" w:rsidRPr="001C6031" w:rsidRDefault="008C6950" w:rsidP="008C6950">
            <w:pPr>
              <w:spacing w:before="60" w:after="60"/>
              <w:rPr>
                <w:rFonts w:ascii="Arial" w:hAnsi="Arial" w:cs="Arial"/>
                <w:sz w:val="20"/>
                <w:szCs w:val="20"/>
                <w:lang w:val="en-GB"/>
              </w:rPr>
            </w:pPr>
            <w:r w:rsidRPr="001C6031">
              <w:rPr>
                <w:rFonts w:ascii="Arial" w:eastAsia="Calibri" w:hAnsi="Arial" w:cs="Arial"/>
                <w:sz w:val="20"/>
                <w:szCs w:val="20"/>
                <w:lang w:val="en-GB"/>
              </w:rPr>
              <w:t>While the Spanish version of the Intangible Cultural Heritage website is the second most accessed after English but before French, resources were insufficient to allow the same level of information available in Spanish than in the other two languages.</w:t>
            </w:r>
          </w:p>
        </w:tc>
        <w:tc>
          <w:tcPr>
            <w:tcW w:w="2500" w:type="pct"/>
          </w:tcPr>
          <w:p w14:paraId="1AD3C96C" w14:textId="7F28C5D7" w:rsidR="00DB2021" w:rsidRPr="001C6031" w:rsidRDefault="008C6950" w:rsidP="00267C8A">
            <w:pPr>
              <w:spacing w:before="60" w:after="60"/>
              <w:rPr>
                <w:rFonts w:ascii="Arial" w:hAnsi="Arial" w:cs="Arial"/>
                <w:sz w:val="20"/>
                <w:szCs w:val="20"/>
                <w:lang w:val="en-GB"/>
              </w:rPr>
            </w:pPr>
            <w:r w:rsidRPr="001C6031">
              <w:rPr>
                <w:rFonts w:ascii="Arial" w:hAnsi="Arial" w:cs="Arial"/>
                <w:sz w:val="20"/>
                <w:szCs w:val="20"/>
                <w:lang w:val="en-GB"/>
              </w:rPr>
              <w:t xml:space="preserve">The only possible remedial action, but which was not taken during the reporting period, </w:t>
            </w:r>
            <w:r w:rsidR="00267C8A">
              <w:rPr>
                <w:rFonts w:ascii="Arial" w:hAnsi="Arial" w:cs="Arial"/>
                <w:sz w:val="20"/>
                <w:szCs w:val="20"/>
                <w:lang w:val="en-GB"/>
              </w:rPr>
              <w:t>would be</w:t>
            </w:r>
            <w:r w:rsidR="00267C8A" w:rsidRPr="001C6031">
              <w:rPr>
                <w:rFonts w:ascii="Arial" w:hAnsi="Arial" w:cs="Arial"/>
                <w:sz w:val="20"/>
                <w:szCs w:val="20"/>
                <w:lang w:val="en-GB"/>
              </w:rPr>
              <w:t xml:space="preserve"> </w:t>
            </w:r>
            <w:r w:rsidRPr="001C6031">
              <w:rPr>
                <w:rFonts w:ascii="Arial" w:hAnsi="Arial" w:cs="Arial"/>
                <w:sz w:val="20"/>
                <w:szCs w:val="20"/>
                <w:lang w:val="en-GB"/>
              </w:rPr>
              <w:t>to allocate more resources for translation/editing of webpages in Spanish.</w:t>
            </w:r>
          </w:p>
        </w:tc>
      </w:tr>
    </w:tbl>
    <w:p w14:paraId="482713F2" w14:textId="77777777" w:rsidR="001E21CE" w:rsidRPr="001C6031" w:rsidRDefault="001E21CE" w:rsidP="005F7CB2">
      <w:pPr>
        <w:pStyle w:val="Marge"/>
        <w:spacing w:before="120" w:after="120"/>
        <w:rPr>
          <w:rFonts w:cs="Arial"/>
          <w:b/>
          <w:bCs/>
          <w:szCs w:val="22"/>
          <w:lang w:val="en-GB"/>
        </w:rPr>
      </w:pPr>
    </w:p>
    <w:sectPr w:rsidR="001E21CE" w:rsidRPr="001C6031" w:rsidSect="00C26996">
      <w:headerReference w:type="even" r:id="rId17"/>
      <w:headerReference w:type="default" r:id="rId18"/>
      <w:headerReference w:type="first" r:id="rId1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9F4ED" w14:textId="77777777" w:rsidR="001B285F" w:rsidRDefault="001B285F" w:rsidP="00655736">
      <w:r>
        <w:separator/>
      </w:r>
    </w:p>
  </w:endnote>
  <w:endnote w:type="continuationSeparator" w:id="0">
    <w:p w14:paraId="27FAD6F3" w14:textId="77777777" w:rsidR="001B285F" w:rsidRDefault="001B285F"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B4E03" w14:textId="77777777" w:rsidR="001B285F" w:rsidRDefault="001B285F" w:rsidP="00655736">
      <w:r>
        <w:separator/>
      </w:r>
    </w:p>
  </w:footnote>
  <w:footnote w:type="continuationSeparator" w:id="0">
    <w:p w14:paraId="146F5826" w14:textId="77777777" w:rsidR="001B285F" w:rsidRDefault="001B285F" w:rsidP="00655736">
      <w:r>
        <w:continuationSeparator/>
      </w:r>
    </w:p>
  </w:footnote>
  <w:footnote w:id="1">
    <w:p w14:paraId="42D39A77" w14:textId="051F7B9C" w:rsidR="000A435E" w:rsidRPr="003C1A1C" w:rsidRDefault="000A435E" w:rsidP="003C1A1C">
      <w:pPr>
        <w:pStyle w:val="FootnoteText"/>
        <w:ind w:left="567" w:hanging="567"/>
      </w:pPr>
      <w:r w:rsidRPr="003C1A1C">
        <w:rPr>
          <w:rStyle w:val="FootnoteReference"/>
          <w:vertAlign w:val="baseline"/>
        </w:rPr>
        <w:footnoteRef/>
      </w:r>
      <w:r>
        <w:t>.</w:t>
      </w:r>
      <w:r>
        <w:tab/>
      </w:r>
      <w:r w:rsidRPr="003C1A1C">
        <w:t xml:space="preserve">The General Assembly also </w:t>
      </w:r>
      <w:r>
        <w:t xml:space="preserve">allocated, on a provisional basis, the budget for the period 1 January 2016 to 30 June 2016. </w:t>
      </w:r>
      <w:r w:rsidRPr="006A0FDF">
        <w:t xml:space="preserve">However, since this period is still ongoing at the time of writing and </w:t>
      </w:r>
      <w:r>
        <w:t>in anticipation of</w:t>
      </w:r>
      <w:r w:rsidRPr="006A0FDF">
        <w:t xml:space="preserve"> the General Assembly</w:t>
      </w:r>
      <w:r>
        <w:t>’s potential decision</w:t>
      </w:r>
      <w:r w:rsidRPr="006A0FDF">
        <w:t xml:space="preserve"> to brin</w:t>
      </w:r>
      <w:r>
        <w:t>g into line the Secretariat’</w:t>
      </w:r>
      <w:r w:rsidRPr="006A0FDF">
        <w:t xml:space="preserve">s </w:t>
      </w:r>
      <w:r>
        <w:t xml:space="preserve">report on </w:t>
      </w:r>
      <w:r w:rsidRPr="006A0FDF">
        <w:t xml:space="preserve">activities </w:t>
      </w:r>
      <w:r>
        <w:t xml:space="preserve">with the biennial </w:t>
      </w:r>
      <w:r w:rsidRPr="006A0FDF">
        <w:t>period of UNESCO</w:t>
      </w:r>
      <w:r>
        <w:t>’s</w:t>
      </w:r>
      <w:r w:rsidRPr="006A0FDF">
        <w:t xml:space="preserve"> budget</w:t>
      </w:r>
      <w:r>
        <w:t xml:space="preserve"> as approved by the General Conference (</w:t>
      </w:r>
      <w:hyperlink r:id="rId1" w:history="1">
        <w:r w:rsidRPr="003F1D48">
          <w:rPr>
            <w:rStyle w:val="Hyperlink"/>
          </w:rPr>
          <w:t>Draft Resolution 6.GA 6</w:t>
        </w:r>
      </w:hyperlink>
      <w:r>
        <w:t>)</w:t>
      </w:r>
      <w:r w:rsidRPr="006A0FDF">
        <w:t>, this report will only cover the period</w:t>
      </w:r>
      <w:r>
        <w:t xml:space="preserve"> 1 January 2014 to 31 December 2015.</w:t>
      </w:r>
    </w:p>
  </w:footnote>
  <w:footnote w:id="2">
    <w:p w14:paraId="49E0D157" w14:textId="6E01DEA1" w:rsidR="000A435E" w:rsidRPr="003B4563" w:rsidRDefault="000A435E" w:rsidP="00473C13">
      <w:pPr>
        <w:pStyle w:val="FootnoteText"/>
        <w:ind w:left="567" w:hanging="567"/>
      </w:pPr>
      <w:r w:rsidRPr="00473C13">
        <w:rPr>
          <w:rStyle w:val="FootnoteReference"/>
          <w:rFonts w:cs="Arial"/>
          <w:vertAlign w:val="baseline"/>
        </w:rPr>
        <w:footnoteRef/>
      </w:r>
      <w:r>
        <w:rPr>
          <w:rFonts w:cs="Arial"/>
        </w:rPr>
        <w:t>.</w:t>
      </w:r>
      <w:r>
        <w:rPr>
          <w:rStyle w:val="FootnoteReference"/>
          <w:rFonts w:cs="Arial"/>
          <w:vertAlign w:val="baseline"/>
        </w:rPr>
        <w:tab/>
      </w:r>
      <w:r w:rsidRPr="00473C13">
        <w:rPr>
          <w:rStyle w:val="FootnoteReference"/>
          <w:rFonts w:cs="Arial"/>
          <w:vertAlign w:val="baseline"/>
        </w:rPr>
        <w:t>All figures in the tables below are expressed in dollars</w:t>
      </w:r>
    </w:p>
  </w:footnote>
  <w:footnote w:id="3">
    <w:p w14:paraId="74096323" w14:textId="608090DA" w:rsidR="000A435E" w:rsidRPr="003C1A1C" w:rsidRDefault="000A435E" w:rsidP="00C74AA8">
      <w:pPr>
        <w:pStyle w:val="FootnoteText"/>
        <w:ind w:left="567" w:hanging="567"/>
        <w:rPr>
          <w:rFonts w:cs="Arial"/>
        </w:rPr>
      </w:pPr>
      <w:r w:rsidRPr="003C1A1C">
        <w:rPr>
          <w:rStyle w:val="FootnoteReference"/>
          <w:rFonts w:cs="Arial"/>
          <w:vertAlign w:val="baseline"/>
        </w:rPr>
        <w:footnoteRef/>
      </w:r>
      <w:r w:rsidRPr="003C1A1C">
        <w:rPr>
          <w:rFonts w:cs="Arial"/>
        </w:rPr>
        <w:t>.</w:t>
      </w:r>
      <w:r w:rsidRPr="003C1A1C">
        <w:rPr>
          <w:rFonts w:cs="Arial"/>
        </w:rPr>
        <w:tab/>
        <w:t xml:space="preserve">In conformity with Decision 8.COM 11, the Secretariat increased the allocation of ER 1 of US$25,000 through a transfer from ER 3 in order to maximize effective utilization of funds allocated to ‘other functions of the Committee’. </w:t>
      </w:r>
      <w:r w:rsidR="008673A0">
        <w:rPr>
          <w:rFonts w:cs="Arial"/>
        </w:rPr>
        <w:t xml:space="preserve">Near </w:t>
      </w:r>
      <w:r w:rsidRPr="003C1A1C">
        <w:rPr>
          <w:rFonts w:cs="Arial"/>
        </w:rPr>
        <w:t xml:space="preserve">the end of the biennium, it became clear that the Secretariat would </w:t>
      </w:r>
      <w:r w:rsidR="003A3A61">
        <w:rPr>
          <w:rFonts w:cs="Arial"/>
        </w:rPr>
        <w:t xml:space="preserve">be </w:t>
      </w:r>
      <w:r w:rsidR="008673A0">
        <w:rPr>
          <w:rFonts w:cs="Arial"/>
        </w:rPr>
        <w:t>un</w:t>
      </w:r>
      <w:r w:rsidR="003A3A61">
        <w:rPr>
          <w:rFonts w:cs="Arial"/>
        </w:rPr>
        <w:t xml:space="preserve">able to </w:t>
      </w:r>
      <w:r w:rsidRPr="003C1A1C">
        <w:rPr>
          <w:rFonts w:cs="Arial"/>
        </w:rPr>
        <w:t>manage mobiliz</w:t>
      </w:r>
      <w:r w:rsidR="00C63C67">
        <w:rPr>
          <w:rFonts w:cs="Arial"/>
        </w:rPr>
        <w:t xml:space="preserve">ation of </w:t>
      </w:r>
      <w:r w:rsidR="008673A0">
        <w:rPr>
          <w:rFonts w:cs="Arial"/>
        </w:rPr>
        <w:t xml:space="preserve">the </w:t>
      </w:r>
      <w:r w:rsidRPr="003C1A1C">
        <w:rPr>
          <w:rFonts w:cs="Arial"/>
        </w:rPr>
        <w:t xml:space="preserve">resources </w:t>
      </w:r>
      <w:r w:rsidR="008673A0" w:rsidRPr="003C1A1C">
        <w:rPr>
          <w:rFonts w:cs="Arial"/>
        </w:rPr>
        <w:t xml:space="preserve">necessary </w:t>
      </w:r>
      <w:r w:rsidRPr="003C1A1C">
        <w:rPr>
          <w:rFonts w:cs="Arial"/>
        </w:rPr>
        <w:t>in terms of staff to complete a rigorous collection and analysis of safeguard</w:t>
      </w:r>
      <w:r w:rsidR="003A3A61">
        <w:rPr>
          <w:rFonts w:cs="Arial"/>
        </w:rPr>
        <w:t>ing</w:t>
      </w:r>
      <w:r w:rsidRPr="003C1A1C">
        <w:rPr>
          <w:rFonts w:cs="Arial"/>
        </w:rPr>
        <w:t xml:space="preserve"> measures with proven efficiency. The Secretariat</w:t>
      </w:r>
      <w:r w:rsidR="008673A0">
        <w:rPr>
          <w:rFonts w:cs="Arial"/>
        </w:rPr>
        <w:t>,</w:t>
      </w:r>
      <w:r w:rsidRPr="003C1A1C">
        <w:rPr>
          <w:rFonts w:cs="Arial"/>
        </w:rPr>
        <w:t xml:space="preserve"> therefore</w:t>
      </w:r>
      <w:r w:rsidR="008673A0">
        <w:rPr>
          <w:rFonts w:cs="Arial"/>
        </w:rPr>
        <w:t>,</w:t>
      </w:r>
      <w:r w:rsidRPr="003C1A1C">
        <w:rPr>
          <w:rFonts w:cs="Arial"/>
        </w:rPr>
        <w:t xml:space="preserve"> opted to use those funds to enrich existing materials on preparing nominations to the Convention’s Lists and initiate the elaboration of training materials on requesting </w:t>
      </w:r>
      <w:r w:rsidR="008673A0">
        <w:rPr>
          <w:rFonts w:cs="Arial"/>
        </w:rPr>
        <w:t>i</w:t>
      </w:r>
      <w:r w:rsidRPr="003C1A1C">
        <w:rPr>
          <w:rFonts w:cs="Arial"/>
        </w:rPr>
        <w:t xml:space="preserve">nternational </w:t>
      </w:r>
      <w:r w:rsidR="008673A0">
        <w:rPr>
          <w:rFonts w:cs="Arial"/>
        </w:rPr>
        <w:t>a</w:t>
      </w:r>
      <w:r w:rsidRPr="003C1A1C">
        <w:rPr>
          <w:rFonts w:cs="Arial"/>
        </w:rPr>
        <w:t>ssistance from the Intangible Cultural Heritage Fund.</w:t>
      </w:r>
    </w:p>
  </w:footnote>
  <w:footnote w:id="4">
    <w:p w14:paraId="272D1A4F" w14:textId="56A51C08" w:rsidR="000A435E" w:rsidRPr="003C1A1C" w:rsidRDefault="000A435E" w:rsidP="00A74D6C">
      <w:pPr>
        <w:pStyle w:val="FootnoteText"/>
        <w:rPr>
          <w:rFonts w:cs="Arial"/>
        </w:rPr>
      </w:pPr>
      <w:r w:rsidRPr="003C1A1C">
        <w:rPr>
          <w:rStyle w:val="FootnoteReference"/>
          <w:rFonts w:cs="Arial"/>
          <w:vertAlign w:val="baseline"/>
        </w:rPr>
        <w:footnoteRef/>
      </w:r>
      <w:r w:rsidRPr="003C1A1C">
        <w:rPr>
          <w:rFonts w:cs="Arial"/>
        </w:rPr>
        <w:t>.</w:t>
      </w:r>
      <w:r w:rsidRPr="003C1A1C">
        <w:rPr>
          <w:rFonts w:cs="Arial"/>
        </w:rPr>
        <w:tab/>
        <w:t>See footnote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F994" w14:textId="53F3F525" w:rsidR="000A435E" w:rsidRPr="00473C13" w:rsidRDefault="000A435E">
    <w:pPr>
      <w:pStyle w:val="Header"/>
      <w:rPr>
        <w:lang w:val="en-GB"/>
      </w:rPr>
    </w:pPr>
    <w:r w:rsidRPr="00350080">
      <w:rPr>
        <w:rFonts w:ascii="Arial" w:hAnsi="Arial" w:cs="Arial"/>
        <w:sz w:val="20"/>
        <w:szCs w:val="20"/>
        <w:lang w:val="en-GB"/>
      </w:rPr>
      <w:t>ITH/16/11.COM</w:t>
    </w:r>
    <w:r>
      <w:rPr>
        <w:rFonts w:ascii="Arial" w:hAnsi="Arial" w:cs="Arial"/>
        <w:sz w:val="20"/>
        <w:szCs w:val="20"/>
        <w:lang w:val="en-GB"/>
      </w:rPr>
      <w:t> </w:t>
    </w:r>
    <w:r w:rsidRPr="00350080">
      <w:rPr>
        <w:rFonts w:ascii="Arial" w:hAnsi="Arial" w:cs="Arial"/>
        <w:sz w:val="20"/>
        <w:szCs w:val="20"/>
        <w:lang w:val="en-GB"/>
      </w:rPr>
      <w:t>2.BUR/</w:t>
    </w:r>
    <w:r>
      <w:rPr>
        <w:rFonts w:ascii="Arial" w:hAnsi="Arial" w:cs="Arial"/>
        <w:sz w:val="20"/>
        <w:szCs w:val="20"/>
        <w:lang w:val="en-GB"/>
      </w:rPr>
      <w:t>INF.</w:t>
    </w:r>
    <w:r w:rsidR="0033050C">
      <w:rPr>
        <w:rFonts w:ascii="Arial" w:hAnsi="Arial" w:cs="Arial"/>
        <w:sz w:val="20"/>
        <w:szCs w:val="20"/>
        <w:lang w:val="en-GB"/>
      </w:rPr>
      <w:t>1</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826FE8">
      <w:rPr>
        <w:rStyle w:val="PageNumber"/>
        <w:rFonts w:ascii="Arial" w:hAnsi="Arial" w:cs="Arial"/>
        <w:noProof/>
        <w:sz w:val="20"/>
        <w:szCs w:val="20"/>
        <w:lang w:val="en-GB"/>
      </w:rPr>
      <w:t>10</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7113" w14:textId="3D32CB29" w:rsidR="000A435E" w:rsidRPr="00473C13" w:rsidRDefault="000A435E" w:rsidP="00C26996">
    <w:pPr>
      <w:pStyle w:val="Header"/>
      <w:jc w:val="right"/>
      <w:rPr>
        <w:lang w:val="en-GB"/>
      </w:rPr>
    </w:pPr>
    <w:r w:rsidRPr="00350080">
      <w:rPr>
        <w:rFonts w:ascii="Arial" w:hAnsi="Arial" w:cs="Arial"/>
        <w:sz w:val="20"/>
        <w:szCs w:val="20"/>
        <w:lang w:val="en-GB"/>
      </w:rPr>
      <w:t>ITH/16/11.COM</w:t>
    </w:r>
    <w:r>
      <w:rPr>
        <w:rFonts w:ascii="Arial" w:hAnsi="Arial" w:cs="Arial"/>
        <w:sz w:val="20"/>
        <w:szCs w:val="20"/>
        <w:lang w:val="en-GB"/>
      </w:rPr>
      <w:t> </w:t>
    </w:r>
    <w:r w:rsidRPr="00350080">
      <w:rPr>
        <w:rFonts w:ascii="Arial" w:hAnsi="Arial" w:cs="Arial"/>
        <w:sz w:val="20"/>
        <w:szCs w:val="20"/>
        <w:lang w:val="en-GB"/>
      </w:rPr>
      <w:t>2.BUR/</w:t>
    </w:r>
    <w:r>
      <w:rPr>
        <w:rFonts w:ascii="Arial" w:hAnsi="Arial" w:cs="Arial"/>
        <w:sz w:val="20"/>
        <w:szCs w:val="20"/>
        <w:lang w:val="en-GB"/>
      </w:rPr>
      <w:t>INF.</w:t>
    </w:r>
    <w:r w:rsidR="0033050C">
      <w:rPr>
        <w:rFonts w:ascii="Arial" w:hAnsi="Arial" w:cs="Arial"/>
        <w:sz w:val="20"/>
        <w:szCs w:val="20"/>
        <w:lang w:val="en-GB"/>
      </w:rPr>
      <w:t>1</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826FE8">
      <w:rPr>
        <w:rStyle w:val="PageNumber"/>
        <w:rFonts w:ascii="Arial" w:hAnsi="Arial" w:cs="Arial"/>
        <w:noProof/>
        <w:sz w:val="20"/>
        <w:szCs w:val="20"/>
        <w:lang w:val="en-GB"/>
      </w:rPr>
      <w:t>9</w:t>
    </w:r>
    <w:r w:rsidRPr="00C23A97">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7CDB" w14:textId="5C1E013B" w:rsidR="000A435E" w:rsidRPr="00F32C23" w:rsidRDefault="000A435E">
    <w:pPr>
      <w:pStyle w:val="Header"/>
      <w:rPr>
        <w:lang w:val="en-GB"/>
      </w:rPr>
    </w:pPr>
    <w:r>
      <w:rPr>
        <w:noProof/>
        <w:lang w:val="en-US" w:eastAsia="en-US"/>
      </w:rPr>
      <w:drawing>
        <wp:anchor distT="0" distB="0" distL="114300" distR="114300" simplePos="0" relativeHeight="251659776" behindDoc="0" locked="0" layoutInCell="1" allowOverlap="1" wp14:anchorId="4BA6B161" wp14:editId="54EFB64C">
          <wp:simplePos x="0" y="0"/>
          <wp:positionH relativeFrom="column">
            <wp:posOffset>-567690</wp:posOffset>
          </wp:positionH>
          <wp:positionV relativeFrom="paragraph">
            <wp:posOffset>3810</wp:posOffset>
          </wp:positionV>
          <wp:extent cx="2228215" cy="1367790"/>
          <wp:effectExtent l="0" t="0" r="635" b="3810"/>
          <wp:wrapNone/>
          <wp:docPr id="2"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FC3C2" w14:textId="77777777" w:rsidR="000A435E" w:rsidRPr="00F30DC6" w:rsidRDefault="000A435E" w:rsidP="00655736">
    <w:pPr>
      <w:pStyle w:val="Header"/>
      <w:spacing w:after="520"/>
      <w:jc w:val="right"/>
      <w:rPr>
        <w:rFonts w:ascii="Arial" w:hAnsi="Arial" w:cs="Arial"/>
        <w:b/>
        <w:sz w:val="44"/>
        <w:szCs w:val="44"/>
        <w:lang w:val="en-GB"/>
      </w:rPr>
    </w:pPr>
    <w:r>
      <w:rPr>
        <w:rFonts w:ascii="Arial" w:hAnsi="Arial" w:cs="Arial"/>
        <w:b/>
        <w:sz w:val="44"/>
        <w:szCs w:val="44"/>
        <w:lang w:val="en-GB"/>
      </w:rPr>
      <w:t>11 </w:t>
    </w:r>
    <w:r w:rsidRPr="00F30DC6">
      <w:rPr>
        <w:rFonts w:ascii="Arial" w:hAnsi="Arial" w:cs="Arial"/>
        <w:b/>
        <w:sz w:val="44"/>
        <w:szCs w:val="44"/>
        <w:lang w:val="en-GB"/>
      </w:rPr>
      <w:t>COM</w:t>
    </w:r>
    <w:r>
      <w:rPr>
        <w:rFonts w:ascii="Arial" w:hAnsi="Arial" w:cs="Arial"/>
        <w:b/>
        <w:sz w:val="44"/>
        <w:szCs w:val="44"/>
        <w:lang w:val="en-GB"/>
      </w:rPr>
      <w:t> 2 BUR</w:t>
    </w:r>
  </w:p>
  <w:p w14:paraId="5365E063" w14:textId="7D171191" w:rsidR="000A435E" w:rsidRPr="009D5428" w:rsidRDefault="000A435E" w:rsidP="00655736">
    <w:pPr>
      <w:jc w:val="right"/>
      <w:rPr>
        <w:rFonts w:ascii="Arial" w:hAnsi="Arial" w:cs="Arial"/>
        <w:b/>
        <w:sz w:val="22"/>
        <w:szCs w:val="22"/>
        <w:lang w:val="en-GB"/>
      </w:rPr>
    </w:pPr>
    <w:r>
      <w:rPr>
        <w:rFonts w:ascii="Arial" w:hAnsi="Arial" w:cs="Arial"/>
        <w:b/>
        <w:sz w:val="22"/>
        <w:szCs w:val="22"/>
        <w:lang w:val="en-GB"/>
      </w:rPr>
      <w:t>ITH/16</w:t>
    </w:r>
    <w:r w:rsidRPr="009D5428">
      <w:rPr>
        <w:rFonts w:ascii="Arial" w:hAnsi="Arial" w:cs="Arial"/>
        <w:b/>
        <w:sz w:val="22"/>
        <w:szCs w:val="22"/>
        <w:lang w:val="en-GB"/>
      </w:rPr>
      <w:t>/</w:t>
    </w:r>
    <w:r>
      <w:rPr>
        <w:rFonts w:ascii="Arial" w:hAnsi="Arial" w:cs="Arial"/>
        <w:b/>
        <w:sz w:val="22"/>
        <w:szCs w:val="22"/>
        <w:lang w:val="en-GB"/>
      </w:rPr>
      <w:t>11</w:t>
    </w:r>
    <w:r w:rsidRPr="009D5428">
      <w:rPr>
        <w:rFonts w:ascii="Arial" w:hAnsi="Arial" w:cs="Arial"/>
        <w:b/>
        <w:sz w:val="22"/>
        <w:szCs w:val="22"/>
        <w:lang w:val="en-GB"/>
      </w:rPr>
      <w:t>.COM</w:t>
    </w:r>
    <w:r>
      <w:rPr>
        <w:rFonts w:ascii="Arial" w:hAnsi="Arial" w:cs="Arial"/>
        <w:b/>
        <w:sz w:val="22"/>
        <w:szCs w:val="22"/>
        <w:lang w:val="en-GB"/>
      </w:rPr>
      <w:t> 2.BUR/INF.</w:t>
    </w:r>
    <w:r w:rsidR="00AE78A0">
      <w:rPr>
        <w:rFonts w:ascii="Arial" w:hAnsi="Arial" w:cs="Arial"/>
        <w:b/>
        <w:sz w:val="22"/>
        <w:szCs w:val="22"/>
        <w:lang w:val="en-GB"/>
      </w:rPr>
      <w:t>1</w:t>
    </w:r>
  </w:p>
  <w:p w14:paraId="065E19FF" w14:textId="0C27B65E" w:rsidR="000A435E" w:rsidRPr="00F32C23" w:rsidRDefault="000A435E" w:rsidP="00655736">
    <w:pPr>
      <w:jc w:val="right"/>
      <w:rPr>
        <w:rFonts w:ascii="Arial" w:hAnsi="Arial" w:cs="Arial"/>
        <w:b/>
        <w:sz w:val="22"/>
        <w:szCs w:val="22"/>
        <w:lang w:val="en-GB"/>
      </w:rPr>
    </w:pPr>
    <w:r w:rsidRPr="00826FE8">
      <w:rPr>
        <w:rFonts w:ascii="Arial" w:hAnsi="Arial" w:cs="Arial"/>
        <w:b/>
        <w:sz w:val="22"/>
        <w:szCs w:val="22"/>
        <w:lang w:val="en-GB"/>
      </w:rPr>
      <w:t xml:space="preserve">Paris, </w:t>
    </w:r>
    <w:r w:rsidR="00826FE8" w:rsidRPr="00826FE8">
      <w:rPr>
        <w:rFonts w:ascii="Arial" w:hAnsi="Arial" w:cs="Arial"/>
        <w:b/>
        <w:sz w:val="22"/>
        <w:szCs w:val="22"/>
        <w:lang w:val="en-GB"/>
      </w:rPr>
      <w:t>29</w:t>
    </w:r>
    <w:r w:rsidRPr="00826FE8">
      <w:rPr>
        <w:rFonts w:ascii="Arial" w:hAnsi="Arial" w:cs="Arial"/>
        <w:b/>
        <w:sz w:val="22"/>
        <w:szCs w:val="22"/>
        <w:lang w:val="en-GB"/>
      </w:rPr>
      <w:t> </w:t>
    </w:r>
    <w:r w:rsidR="00826FE8" w:rsidRPr="00826FE8">
      <w:rPr>
        <w:rFonts w:ascii="Arial" w:hAnsi="Arial" w:cs="Arial"/>
        <w:b/>
        <w:sz w:val="22"/>
        <w:szCs w:val="22"/>
        <w:lang w:val="en-GB"/>
      </w:rPr>
      <w:t>May </w:t>
    </w:r>
    <w:r w:rsidRPr="00826FE8">
      <w:rPr>
        <w:rFonts w:ascii="Arial" w:hAnsi="Arial" w:cs="Arial"/>
        <w:b/>
        <w:sz w:val="22"/>
        <w:szCs w:val="22"/>
        <w:lang w:val="en-GB"/>
      </w:rPr>
      <w:t>2016</w:t>
    </w:r>
  </w:p>
  <w:p w14:paraId="631811EB" w14:textId="77777777" w:rsidR="000A435E" w:rsidRPr="00F32C23" w:rsidRDefault="000A435E"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586369FE" w14:textId="70E913D8" w:rsidR="000A435E" w:rsidRPr="00350080" w:rsidRDefault="000A435E" w:rsidP="00350080">
    <w:pPr>
      <w:pStyle w:val="Header"/>
      <w:tabs>
        <w:tab w:val="clear" w:pos="4536"/>
        <w:tab w:val="left" w:pos="993"/>
        <w:tab w:val="right" w:pos="5245"/>
      </w:tabs>
      <w:spacing w:before="120" w:after="120"/>
      <w:rPr>
        <w:rFonts w:ascii="Arial" w:hAnsi="Arial" w:cs="Arial"/>
        <w:sz w:val="22"/>
        <w:szCs w:val="22"/>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62AC226"/>
    <w:lvl w:ilvl="0">
      <w:start w:val="1"/>
      <w:numFmt w:val="decimal"/>
      <w:lvlText w:val="%1."/>
      <w:lvlJc w:val="left"/>
      <w:pPr>
        <w:tabs>
          <w:tab w:val="num" w:pos="2062"/>
        </w:tabs>
        <w:ind w:left="2062" w:hanging="360"/>
      </w:pPr>
      <w:rPr>
        <w:rFonts w:ascii="Arial" w:eastAsia="Arial" w:hAnsi="Arial" w:cs="Arial"/>
        <w:sz w:val="22"/>
        <w:szCs w:val="22"/>
        <w:bdr w:val="none" w:sz="0" w:space="0" w:color="auto" w:frame="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8A7F8F"/>
    <w:multiLevelType w:val="hybridMultilevel"/>
    <w:tmpl w:val="331C14DC"/>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7762FF8"/>
    <w:multiLevelType w:val="hybridMultilevel"/>
    <w:tmpl w:val="E0DCF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D7D728D"/>
    <w:multiLevelType w:val="hybridMultilevel"/>
    <w:tmpl w:val="E1BA52DC"/>
    <w:lvl w:ilvl="0" w:tplc="2A6A9BB0">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6F960B4"/>
    <w:multiLevelType w:val="hybridMultilevel"/>
    <w:tmpl w:val="39944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C30BD2"/>
    <w:multiLevelType w:val="hybridMultilevel"/>
    <w:tmpl w:val="27C40886"/>
    <w:lvl w:ilvl="0" w:tplc="F2A68DC4">
      <w:start w:val="1"/>
      <w:numFmt w:val="upperRoman"/>
      <w:pStyle w:val="Heading4"/>
      <w:lvlText w:val="%1."/>
      <w:lvlJc w:val="left"/>
      <w:pPr>
        <w:ind w:left="36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47140D93"/>
    <w:multiLevelType w:val="hybridMultilevel"/>
    <w:tmpl w:val="3C1EA2E0"/>
    <w:lvl w:ilvl="0" w:tplc="08004F42">
      <w:start w:val="1"/>
      <w:numFmt w:val="decimal"/>
      <w:pStyle w:val="5GAparabodytext"/>
      <w:lvlText w:val="%1."/>
      <w:lvlJc w:val="left"/>
      <w:pPr>
        <w:ind w:left="1287" w:hanging="360"/>
      </w:pPr>
      <w:rPr>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485F376B"/>
    <w:multiLevelType w:val="hybridMultilevel"/>
    <w:tmpl w:val="986A85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A63A97"/>
    <w:multiLevelType w:val="hybridMultilevel"/>
    <w:tmpl w:val="EED4BE02"/>
    <w:lvl w:ilvl="0" w:tplc="BD5AB06E">
      <w:start w:val="1"/>
      <w:numFmt w:val="upperRoman"/>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DC778C2"/>
    <w:multiLevelType w:val="hybridMultilevel"/>
    <w:tmpl w:val="08B2D8F0"/>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9"/>
  </w:num>
  <w:num w:numId="3">
    <w:abstractNumId w:val="4"/>
  </w:num>
  <w:num w:numId="4">
    <w:abstractNumId w:val="20"/>
  </w:num>
  <w:num w:numId="5">
    <w:abstractNumId w:val="19"/>
  </w:num>
  <w:num w:numId="6">
    <w:abstractNumId w:val="2"/>
  </w:num>
  <w:num w:numId="7">
    <w:abstractNumId w:val="6"/>
  </w:num>
  <w:num w:numId="8">
    <w:abstractNumId w:val="13"/>
  </w:num>
  <w:num w:numId="9">
    <w:abstractNumId w:val="8"/>
  </w:num>
  <w:num w:numId="10">
    <w:abstractNumId w:val="10"/>
  </w:num>
  <w:num w:numId="11">
    <w:abstractNumId w:val="12"/>
  </w:num>
  <w:num w:numId="12">
    <w:abstractNumId w:val="11"/>
  </w:num>
  <w:num w:numId="13">
    <w:abstractNumId w:val="17"/>
  </w:num>
  <w:num w:numId="14">
    <w:abstractNumId w:val="5"/>
  </w:num>
  <w:num w:numId="15">
    <w:abstractNumId w:val="5"/>
  </w:num>
  <w:num w:numId="16">
    <w:abstractNumId w:val="15"/>
  </w:num>
  <w:num w:numId="17">
    <w:abstractNumId w:val="11"/>
  </w:num>
  <w:num w:numId="18">
    <w:abstractNumId w:val="5"/>
  </w:num>
  <w:num w:numId="19">
    <w:abstractNumId w:val="5"/>
  </w:num>
  <w:num w:numId="20">
    <w:abstractNumId w:val="5"/>
  </w:num>
  <w:num w:numId="21">
    <w:abstractNumId w:val="5"/>
  </w:num>
  <w:num w:numId="22">
    <w:abstractNumId w:val="5"/>
  </w:num>
  <w:num w:numId="23">
    <w:abstractNumId w:val="11"/>
  </w:num>
  <w:num w:numId="24">
    <w:abstractNumId w:val="5"/>
  </w:num>
  <w:num w:numId="25">
    <w:abstractNumId w:val="7"/>
  </w:num>
  <w:num w:numId="26">
    <w:abstractNumId w:val="16"/>
  </w:num>
  <w:num w:numId="27">
    <w:abstractNumId w:val="1"/>
  </w:num>
  <w:num w:numId="28">
    <w:abstractNumId w:val="3"/>
  </w:num>
  <w:num w:numId="29">
    <w:abstractNumId w:val="5"/>
  </w:num>
  <w:num w:numId="30">
    <w:abstractNumId w:val="0"/>
  </w:num>
  <w:num w:numId="31">
    <w:abstractNumId w:val="5"/>
  </w:num>
  <w:num w:numId="32">
    <w:abstractNumId w:val="5"/>
  </w:num>
  <w:num w:numId="33">
    <w:abstractNumId w:val="5"/>
  </w:num>
  <w:num w:numId="34">
    <w:abstractNumId w:val="5"/>
  </w:num>
  <w:num w:numId="35">
    <w:abstractNumId w:val="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1AAF"/>
    <w:rsid w:val="000043D7"/>
    <w:rsid w:val="000048ED"/>
    <w:rsid w:val="000203AD"/>
    <w:rsid w:val="0002088D"/>
    <w:rsid w:val="00024861"/>
    <w:rsid w:val="00032764"/>
    <w:rsid w:val="00041A66"/>
    <w:rsid w:val="00043D8B"/>
    <w:rsid w:val="0004543D"/>
    <w:rsid w:val="00050402"/>
    <w:rsid w:val="0005176E"/>
    <w:rsid w:val="0005488C"/>
    <w:rsid w:val="000563F5"/>
    <w:rsid w:val="00056942"/>
    <w:rsid w:val="00062AE4"/>
    <w:rsid w:val="00062F60"/>
    <w:rsid w:val="00062FEC"/>
    <w:rsid w:val="00067A73"/>
    <w:rsid w:val="00072F12"/>
    <w:rsid w:val="000765F7"/>
    <w:rsid w:val="00077748"/>
    <w:rsid w:val="00077AB7"/>
    <w:rsid w:val="00081CD8"/>
    <w:rsid w:val="00094696"/>
    <w:rsid w:val="00096476"/>
    <w:rsid w:val="000A435E"/>
    <w:rsid w:val="000A7F0E"/>
    <w:rsid w:val="000B1C8F"/>
    <w:rsid w:val="000B764C"/>
    <w:rsid w:val="000C0D61"/>
    <w:rsid w:val="000C1FBA"/>
    <w:rsid w:val="000C7204"/>
    <w:rsid w:val="000E3F49"/>
    <w:rsid w:val="000F3A3F"/>
    <w:rsid w:val="00101464"/>
    <w:rsid w:val="00102156"/>
    <w:rsid w:val="00102557"/>
    <w:rsid w:val="0010511F"/>
    <w:rsid w:val="0012620F"/>
    <w:rsid w:val="00133FA7"/>
    <w:rsid w:val="00134671"/>
    <w:rsid w:val="00135185"/>
    <w:rsid w:val="0013608A"/>
    <w:rsid w:val="0013706C"/>
    <w:rsid w:val="00141864"/>
    <w:rsid w:val="00143F74"/>
    <w:rsid w:val="001503B3"/>
    <w:rsid w:val="00154EA6"/>
    <w:rsid w:val="00164D56"/>
    <w:rsid w:val="00167B10"/>
    <w:rsid w:val="0017402F"/>
    <w:rsid w:val="00176D9F"/>
    <w:rsid w:val="001828B7"/>
    <w:rsid w:val="00184CCF"/>
    <w:rsid w:val="00192337"/>
    <w:rsid w:val="00196C1B"/>
    <w:rsid w:val="00197D64"/>
    <w:rsid w:val="001A5BDE"/>
    <w:rsid w:val="001B0F73"/>
    <w:rsid w:val="001B285F"/>
    <w:rsid w:val="001B4D5A"/>
    <w:rsid w:val="001C2DB7"/>
    <w:rsid w:val="001C6031"/>
    <w:rsid w:val="001D5C04"/>
    <w:rsid w:val="001E21CE"/>
    <w:rsid w:val="001F75DB"/>
    <w:rsid w:val="0020272E"/>
    <w:rsid w:val="00203F98"/>
    <w:rsid w:val="00210A86"/>
    <w:rsid w:val="0021580D"/>
    <w:rsid w:val="00222A2D"/>
    <w:rsid w:val="00223029"/>
    <w:rsid w:val="00234745"/>
    <w:rsid w:val="002407AF"/>
    <w:rsid w:val="00240833"/>
    <w:rsid w:val="00251542"/>
    <w:rsid w:val="00261C9E"/>
    <w:rsid w:val="00267C8A"/>
    <w:rsid w:val="0027466B"/>
    <w:rsid w:val="002749C5"/>
    <w:rsid w:val="002810A7"/>
    <w:rsid w:val="00282CE8"/>
    <w:rsid w:val="002838A5"/>
    <w:rsid w:val="00283E93"/>
    <w:rsid w:val="00285BB4"/>
    <w:rsid w:val="00285CCF"/>
    <w:rsid w:val="00286A27"/>
    <w:rsid w:val="002A0427"/>
    <w:rsid w:val="002B16B9"/>
    <w:rsid w:val="002C09E3"/>
    <w:rsid w:val="002C1265"/>
    <w:rsid w:val="002D03A7"/>
    <w:rsid w:val="002F5994"/>
    <w:rsid w:val="003277CE"/>
    <w:rsid w:val="0033050C"/>
    <w:rsid w:val="00334D91"/>
    <w:rsid w:val="0033515B"/>
    <w:rsid w:val="0034072B"/>
    <w:rsid w:val="00340E07"/>
    <w:rsid w:val="00344B58"/>
    <w:rsid w:val="00345CB4"/>
    <w:rsid w:val="00350080"/>
    <w:rsid w:val="00357ABE"/>
    <w:rsid w:val="0037592C"/>
    <w:rsid w:val="00375D42"/>
    <w:rsid w:val="003774E5"/>
    <w:rsid w:val="00385066"/>
    <w:rsid w:val="003A3114"/>
    <w:rsid w:val="003A3A61"/>
    <w:rsid w:val="003A6EC6"/>
    <w:rsid w:val="003A7B01"/>
    <w:rsid w:val="003B4563"/>
    <w:rsid w:val="003B76AE"/>
    <w:rsid w:val="003C06A4"/>
    <w:rsid w:val="003C1A1C"/>
    <w:rsid w:val="003D069C"/>
    <w:rsid w:val="003D12B5"/>
    <w:rsid w:val="003D7646"/>
    <w:rsid w:val="003E20BB"/>
    <w:rsid w:val="003F113A"/>
    <w:rsid w:val="003F1D48"/>
    <w:rsid w:val="003F238A"/>
    <w:rsid w:val="003F3E63"/>
    <w:rsid w:val="00407480"/>
    <w:rsid w:val="0041162A"/>
    <w:rsid w:val="00412AFB"/>
    <w:rsid w:val="00414643"/>
    <w:rsid w:val="00416AAC"/>
    <w:rsid w:val="00422D9F"/>
    <w:rsid w:val="00430FB2"/>
    <w:rsid w:val="0043160E"/>
    <w:rsid w:val="00434E6B"/>
    <w:rsid w:val="004421E5"/>
    <w:rsid w:val="00451B6E"/>
    <w:rsid w:val="00452284"/>
    <w:rsid w:val="00456731"/>
    <w:rsid w:val="00457C8E"/>
    <w:rsid w:val="0046331B"/>
    <w:rsid w:val="00465D94"/>
    <w:rsid w:val="00471F54"/>
    <w:rsid w:val="00473C13"/>
    <w:rsid w:val="00484AFA"/>
    <w:rsid w:val="00484E0F"/>
    <w:rsid w:val="004856CA"/>
    <w:rsid w:val="004863FE"/>
    <w:rsid w:val="00487E67"/>
    <w:rsid w:val="00496A19"/>
    <w:rsid w:val="0049705E"/>
    <w:rsid w:val="004A34A0"/>
    <w:rsid w:val="004B47C3"/>
    <w:rsid w:val="004C720B"/>
    <w:rsid w:val="004D0C87"/>
    <w:rsid w:val="004D65B0"/>
    <w:rsid w:val="004E3497"/>
    <w:rsid w:val="004F69A4"/>
    <w:rsid w:val="005008A8"/>
    <w:rsid w:val="00502207"/>
    <w:rsid w:val="00505C8A"/>
    <w:rsid w:val="00510674"/>
    <w:rsid w:val="0051576E"/>
    <w:rsid w:val="00524579"/>
    <w:rsid w:val="00526B7B"/>
    <w:rsid w:val="00526EAE"/>
    <w:rsid w:val="005308CE"/>
    <w:rsid w:val="00545847"/>
    <w:rsid w:val="005543E8"/>
    <w:rsid w:val="00566A6C"/>
    <w:rsid w:val="0057439C"/>
    <w:rsid w:val="00580B48"/>
    <w:rsid w:val="00590D24"/>
    <w:rsid w:val="005B0127"/>
    <w:rsid w:val="005B7A35"/>
    <w:rsid w:val="005C3833"/>
    <w:rsid w:val="005C4B73"/>
    <w:rsid w:val="005D229E"/>
    <w:rsid w:val="005D6603"/>
    <w:rsid w:val="005E1D2B"/>
    <w:rsid w:val="005E7074"/>
    <w:rsid w:val="005E7872"/>
    <w:rsid w:val="005F1373"/>
    <w:rsid w:val="005F24B0"/>
    <w:rsid w:val="005F2BAF"/>
    <w:rsid w:val="005F7CB2"/>
    <w:rsid w:val="00600D93"/>
    <w:rsid w:val="00604676"/>
    <w:rsid w:val="00623D79"/>
    <w:rsid w:val="00624EBA"/>
    <w:rsid w:val="0063300C"/>
    <w:rsid w:val="006376AF"/>
    <w:rsid w:val="006514DA"/>
    <w:rsid w:val="00655435"/>
    <w:rsid w:val="00655736"/>
    <w:rsid w:val="00663B8D"/>
    <w:rsid w:val="00664588"/>
    <w:rsid w:val="006671C0"/>
    <w:rsid w:val="00670DC3"/>
    <w:rsid w:val="006717E4"/>
    <w:rsid w:val="00672763"/>
    <w:rsid w:val="00696C8D"/>
    <w:rsid w:val="006A0FDF"/>
    <w:rsid w:val="006A2AC2"/>
    <w:rsid w:val="006A3617"/>
    <w:rsid w:val="006A3A70"/>
    <w:rsid w:val="006A51C2"/>
    <w:rsid w:val="006A6032"/>
    <w:rsid w:val="006C0EF1"/>
    <w:rsid w:val="006C7EE5"/>
    <w:rsid w:val="006D3D83"/>
    <w:rsid w:val="006E2DF6"/>
    <w:rsid w:val="006E46E4"/>
    <w:rsid w:val="006F2D5B"/>
    <w:rsid w:val="00704551"/>
    <w:rsid w:val="00707531"/>
    <w:rsid w:val="00717DA5"/>
    <w:rsid w:val="00723ABC"/>
    <w:rsid w:val="007307C6"/>
    <w:rsid w:val="00744484"/>
    <w:rsid w:val="00747566"/>
    <w:rsid w:val="00755B0F"/>
    <w:rsid w:val="007577B6"/>
    <w:rsid w:val="007605FA"/>
    <w:rsid w:val="007729FF"/>
    <w:rsid w:val="00773188"/>
    <w:rsid w:val="007736E0"/>
    <w:rsid w:val="00774268"/>
    <w:rsid w:val="00783782"/>
    <w:rsid w:val="00784B8C"/>
    <w:rsid w:val="007879E1"/>
    <w:rsid w:val="00796BD3"/>
    <w:rsid w:val="007976D4"/>
    <w:rsid w:val="007B3802"/>
    <w:rsid w:val="007B61A5"/>
    <w:rsid w:val="007C5A77"/>
    <w:rsid w:val="007D3D24"/>
    <w:rsid w:val="007E279C"/>
    <w:rsid w:val="00823A11"/>
    <w:rsid w:val="00826FE8"/>
    <w:rsid w:val="00830DA2"/>
    <w:rsid w:val="00842D1A"/>
    <w:rsid w:val="0084376D"/>
    <w:rsid w:val="00852FB3"/>
    <w:rsid w:val="0085405E"/>
    <w:rsid w:val="008540C8"/>
    <w:rsid w:val="0085414A"/>
    <w:rsid w:val="0086269D"/>
    <w:rsid w:val="0086543A"/>
    <w:rsid w:val="008673A0"/>
    <w:rsid w:val="008724E5"/>
    <w:rsid w:val="00881E0F"/>
    <w:rsid w:val="00882DAE"/>
    <w:rsid w:val="00882EA1"/>
    <w:rsid w:val="00884A9D"/>
    <w:rsid w:val="0088512B"/>
    <w:rsid w:val="008A2B2D"/>
    <w:rsid w:val="008A4E1E"/>
    <w:rsid w:val="008C003B"/>
    <w:rsid w:val="008C296C"/>
    <w:rsid w:val="008C6950"/>
    <w:rsid w:val="008D4305"/>
    <w:rsid w:val="008E112E"/>
    <w:rsid w:val="008E1A85"/>
    <w:rsid w:val="008E5E9A"/>
    <w:rsid w:val="008E77E1"/>
    <w:rsid w:val="008E7832"/>
    <w:rsid w:val="0090044D"/>
    <w:rsid w:val="009020AA"/>
    <w:rsid w:val="00907D3B"/>
    <w:rsid w:val="009126F0"/>
    <w:rsid w:val="009136C6"/>
    <w:rsid w:val="009163A7"/>
    <w:rsid w:val="0093365E"/>
    <w:rsid w:val="00934549"/>
    <w:rsid w:val="009444C9"/>
    <w:rsid w:val="009467E7"/>
    <w:rsid w:val="00946D0B"/>
    <w:rsid w:val="00955877"/>
    <w:rsid w:val="00961B14"/>
    <w:rsid w:val="00963A19"/>
    <w:rsid w:val="00967F3D"/>
    <w:rsid w:val="00976FC5"/>
    <w:rsid w:val="009775BF"/>
    <w:rsid w:val="0098007C"/>
    <w:rsid w:val="00983862"/>
    <w:rsid w:val="009A0313"/>
    <w:rsid w:val="009A18CD"/>
    <w:rsid w:val="009A3C4D"/>
    <w:rsid w:val="009B1A47"/>
    <w:rsid w:val="009B2031"/>
    <w:rsid w:val="009B5B8E"/>
    <w:rsid w:val="009C74EA"/>
    <w:rsid w:val="009D27E9"/>
    <w:rsid w:val="009D5428"/>
    <w:rsid w:val="009F1F16"/>
    <w:rsid w:val="009F436D"/>
    <w:rsid w:val="00A009C8"/>
    <w:rsid w:val="00A10AA6"/>
    <w:rsid w:val="00A12558"/>
    <w:rsid w:val="00A13903"/>
    <w:rsid w:val="00A13C18"/>
    <w:rsid w:val="00A1492B"/>
    <w:rsid w:val="00A157D1"/>
    <w:rsid w:val="00A2614A"/>
    <w:rsid w:val="00A34ED5"/>
    <w:rsid w:val="00A379BE"/>
    <w:rsid w:val="00A405C0"/>
    <w:rsid w:val="00A45DBF"/>
    <w:rsid w:val="00A54DE6"/>
    <w:rsid w:val="00A573D8"/>
    <w:rsid w:val="00A57444"/>
    <w:rsid w:val="00A619AB"/>
    <w:rsid w:val="00A720E1"/>
    <w:rsid w:val="00A739A9"/>
    <w:rsid w:val="00A74D6C"/>
    <w:rsid w:val="00A7512D"/>
    <w:rsid w:val="00A755A2"/>
    <w:rsid w:val="00A90929"/>
    <w:rsid w:val="00AA6660"/>
    <w:rsid w:val="00AB2C36"/>
    <w:rsid w:val="00AB42FF"/>
    <w:rsid w:val="00AB6DDE"/>
    <w:rsid w:val="00AB70B6"/>
    <w:rsid w:val="00AD1A86"/>
    <w:rsid w:val="00AD4DC2"/>
    <w:rsid w:val="00AE103E"/>
    <w:rsid w:val="00AE78A0"/>
    <w:rsid w:val="00AF0A07"/>
    <w:rsid w:val="00AF4AEC"/>
    <w:rsid w:val="00AF57D9"/>
    <w:rsid w:val="00AF625E"/>
    <w:rsid w:val="00B04E85"/>
    <w:rsid w:val="00B056F0"/>
    <w:rsid w:val="00B159C9"/>
    <w:rsid w:val="00B32D1E"/>
    <w:rsid w:val="00B32E30"/>
    <w:rsid w:val="00B35C91"/>
    <w:rsid w:val="00B5433F"/>
    <w:rsid w:val="00B84606"/>
    <w:rsid w:val="00BA522B"/>
    <w:rsid w:val="00BB04AF"/>
    <w:rsid w:val="00BB3419"/>
    <w:rsid w:val="00BB5EE0"/>
    <w:rsid w:val="00BB5F55"/>
    <w:rsid w:val="00BD2324"/>
    <w:rsid w:val="00BD2C9D"/>
    <w:rsid w:val="00BD4F95"/>
    <w:rsid w:val="00BD52C9"/>
    <w:rsid w:val="00BE077B"/>
    <w:rsid w:val="00BE6354"/>
    <w:rsid w:val="00C01C46"/>
    <w:rsid w:val="00C02163"/>
    <w:rsid w:val="00C04185"/>
    <w:rsid w:val="00C044BB"/>
    <w:rsid w:val="00C138D1"/>
    <w:rsid w:val="00C2282C"/>
    <w:rsid w:val="00C23894"/>
    <w:rsid w:val="00C23A97"/>
    <w:rsid w:val="00C23C45"/>
    <w:rsid w:val="00C26996"/>
    <w:rsid w:val="00C320E6"/>
    <w:rsid w:val="00C421B8"/>
    <w:rsid w:val="00C43B04"/>
    <w:rsid w:val="00C45015"/>
    <w:rsid w:val="00C5550E"/>
    <w:rsid w:val="00C56B0C"/>
    <w:rsid w:val="00C63C67"/>
    <w:rsid w:val="00C64855"/>
    <w:rsid w:val="00C70EA7"/>
    <w:rsid w:val="00C71DA8"/>
    <w:rsid w:val="00C74AA8"/>
    <w:rsid w:val="00C7516E"/>
    <w:rsid w:val="00C75770"/>
    <w:rsid w:val="00C852FB"/>
    <w:rsid w:val="00C92BFD"/>
    <w:rsid w:val="00C97AF7"/>
    <w:rsid w:val="00CA28DC"/>
    <w:rsid w:val="00CA4AE8"/>
    <w:rsid w:val="00CA56BB"/>
    <w:rsid w:val="00CA65FC"/>
    <w:rsid w:val="00CB0542"/>
    <w:rsid w:val="00CB43C9"/>
    <w:rsid w:val="00CB4943"/>
    <w:rsid w:val="00CC0E12"/>
    <w:rsid w:val="00CC1BB8"/>
    <w:rsid w:val="00CC3B58"/>
    <w:rsid w:val="00CC79E5"/>
    <w:rsid w:val="00CE64BF"/>
    <w:rsid w:val="00D00B2B"/>
    <w:rsid w:val="00D051D8"/>
    <w:rsid w:val="00D24877"/>
    <w:rsid w:val="00D73717"/>
    <w:rsid w:val="00D80CD8"/>
    <w:rsid w:val="00D8250F"/>
    <w:rsid w:val="00D8390E"/>
    <w:rsid w:val="00D92F2A"/>
    <w:rsid w:val="00D95C4C"/>
    <w:rsid w:val="00DA36ED"/>
    <w:rsid w:val="00DA518C"/>
    <w:rsid w:val="00DA59F5"/>
    <w:rsid w:val="00DA6982"/>
    <w:rsid w:val="00DB2021"/>
    <w:rsid w:val="00DB6F0C"/>
    <w:rsid w:val="00DD5889"/>
    <w:rsid w:val="00DD6576"/>
    <w:rsid w:val="00DE0899"/>
    <w:rsid w:val="00DE199F"/>
    <w:rsid w:val="00DE34F1"/>
    <w:rsid w:val="00DE6160"/>
    <w:rsid w:val="00DE7D01"/>
    <w:rsid w:val="00DF4942"/>
    <w:rsid w:val="00DF7006"/>
    <w:rsid w:val="00E00C73"/>
    <w:rsid w:val="00E03F77"/>
    <w:rsid w:val="00E141C2"/>
    <w:rsid w:val="00E244E1"/>
    <w:rsid w:val="00E34183"/>
    <w:rsid w:val="00E42717"/>
    <w:rsid w:val="00E46833"/>
    <w:rsid w:val="00E51119"/>
    <w:rsid w:val="00E627B1"/>
    <w:rsid w:val="00E70169"/>
    <w:rsid w:val="00E74893"/>
    <w:rsid w:val="00E768E0"/>
    <w:rsid w:val="00E92B69"/>
    <w:rsid w:val="00E92FD3"/>
    <w:rsid w:val="00E9376C"/>
    <w:rsid w:val="00E95E90"/>
    <w:rsid w:val="00EA335E"/>
    <w:rsid w:val="00EA528C"/>
    <w:rsid w:val="00EA580C"/>
    <w:rsid w:val="00EB1FFB"/>
    <w:rsid w:val="00EC0EF1"/>
    <w:rsid w:val="00EC6D7B"/>
    <w:rsid w:val="00EC6F8D"/>
    <w:rsid w:val="00ED04CE"/>
    <w:rsid w:val="00EE126D"/>
    <w:rsid w:val="00EE1BC1"/>
    <w:rsid w:val="00EE5AFD"/>
    <w:rsid w:val="00EF34E2"/>
    <w:rsid w:val="00F03BD6"/>
    <w:rsid w:val="00F12D64"/>
    <w:rsid w:val="00F135CD"/>
    <w:rsid w:val="00F1575B"/>
    <w:rsid w:val="00F30DC6"/>
    <w:rsid w:val="00F32C23"/>
    <w:rsid w:val="00F53DE9"/>
    <w:rsid w:val="00F576CB"/>
    <w:rsid w:val="00F62698"/>
    <w:rsid w:val="00F667A7"/>
    <w:rsid w:val="00F7035D"/>
    <w:rsid w:val="00F71A02"/>
    <w:rsid w:val="00F76987"/>
    <w:rsid w:val="00FA07E1"/>
    <w:rsid w:val="00FA0D63"/>
    <w:rsid w:val="00FA2879"/>
    <w:rsid w:val="00FC0318"/>
    <w:rsid w:val="00FC5105"/>
    <w:rsid w:val="00FD110F"/>
    <w:rsid w:val="00FD1226"/>
    <w:rsid w:val="00FF4830"/>
    <w:rsid w:val="00FF6586"/>
    <w:rsid w:val="00FF7E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7E9D3A"/>
  <w15:docId w15:val="{2D490D08-780E-46B6-9952-D32E3AC6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35008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C2282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E42717"/>
    <w:pPr>
      <w:keepNext/>
      <w:keepLines/>
      <w:numPr>
        <w:numId w:val="12"/>
      </w:numPr>
      <w:tabs>
        <w:tab w:val="left" w:pos="567"/>
      </w:tabs>
      <w:snapToGrid w:val="0"/>
      <w:spacing w:before="360" w:after="120"/>
      <w:outlineLvl w:val="3"/>
    </w:pPr>
    <w:rPr>
      <w:rFonts w:ascii="Arial" w:hAnsi="Arial"/>
      <w:b/>
      <w:bCs/>
      <w:cap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E42717"/>
    <w:rPr>
      <w:rFonts w:ascii="Arial" w:eastAsia="Times New Roman" w:hAnsi="Arial"/>
      <w:b/>
      <w:bCs/>
      <w:cap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Sansinterligne3">
    <w:name w:val="Sans interligne3"/>
    <w:uiPriority w:val="1"/>
    <w:qFormat/>
    <w:rsid w:val="00350080"/>
    <w:rPr>
      <w:rFonts w:ascii="Times New Roman" w:eastAsia="Times New Roman" w:hAnsi="Times New Roman"/>
      <w:sz w:val="24"/>
      <w:szCs w:val="24"/>
    </w:rPr>
  </w:style>
  <w:style w:type="paragraph" w:styleId="NoSpacing">
    <w:name w:val="No Spacing"/>
    <w:uiPriority w:val="1"/>
    <w:qFormat/>
    <w:rsid w:val="00350080"/>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50080"/>
    <w:rPr>
      <w:rFonts w:ascii="Calibri Light" w:eastAsia="Times New Roman" w:hAnsi="Calibri Light"/>
      <w:b/>
      <w:bCs/>
      <w:kern w:val="32"/>
      <w:sz w:val="32"/>
      <w:szCs w:val="32"/>
    </w:rPr>
  </w:style>
  <w:style w:type="paragraph" w:customStyle="1" w:styleId="Paragraph">
    <w:name w:val="Paragraph"/>
    <w:basedOn w:val="Normal"/>
    <w:link w:val="ParagraphChar"/>
    <w:qFormat/>
    <w:rsid w:val="00350080"/>
    <w:pPr>
      <w:numPr>
        <w:numId w:val="13"/>
      </w:numPr>
      <w:spacing w:before="240"/>
      <w:ind w:left="567" w:hanging="567"/>
      <w:jc w:val="both"/>
    </w:pPr>
    <w:rPr>
      <w:rFonts w:ascii="Arial" w:hAnsi="Arial" w:cs="Arial"/>
      <w:sz w:val="22"/>
      <w:szCs w:val="22"/>
      <w:lang w:val="en-GB"/>
    </w:rPr>
  </w:style>
  <w:style w:type="character" w:customStyle="1" w:styleId="ParagraphChar">
    <w:name w:val="Paragraph Char"/>
    <w:link w:val="Paragraph"/>
    <w:rsid w:val="00350080"/>
    <w:rPr>
      <w:rFonts w:ascii="Arial" w:eastAsia="Times New Roman" w:hAnsi="Arial" w:cs="Arial"/>
      <w:sz w:val="22"/>
      <w:szCs w:val="22"/>
      <w:lang w:val="en-GB"/>
    </w:rPr>
  </w:style>
  <w:style w:type="paragraph" w:styleId="FootnoteText">
    <w:name w:val="footnote text"/>
    <w:basedOn w:val="Normal"/>
    <w:link w:val="FootnoteTextChar"/>
    <w:uiPriority w:val="99"/>
    <w:unhideWhenUsed/>
    <w:rsid w:val="00350080"/>
    <w:pPr>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rsid w:val="00350080"/>
    <w:rPr>
      <w:rFonts w:ascii="Arial" w:eastAsia="Times New Roman" w:hAnsi="Arial"/>
      <w:lang w:val="en-GB"/>
    </w:rPr>
  </w:style>
  <w:style w:type="character" w:styleId="FootnoteReference">
    <w:name w:val="footnote reference"/>
    <w:uiPriority w:val="99"/>
    <w:unhideWhenUsed/>
    <w:rsid w:val="00350080"/>
    <w:rPr>
      <w:vertAlign w:val="superscript"/>
    </w:rPr>
  </w:style>
  <w:style w:type="character" w:customStyle="1" w:styleId="atenuated">
    <w:name w:val="atenuated"/>
    <w:rsid w:val="00350080"/>
  </w:style>
  <w:style w:type="character" w:customStyle="1" w:styleId="hps">
    <w:name w:val="hps"/>
    <w:rsid w:val="008E77E1"/>
  </w:style>
  <w:style w:type="paragraph" w:customStyle="1" w:styleId="5GAparabodytext">
    <w:name w:val="5GA para body text"/>
    <w:basedOn w:val="Marge"/>
    <w:autoRedefine/>
    <w:qFormat/>
    <w:rsid w:val="00357ABE"/>
    <w:pPr>
      <w:numPr>
        <w:numId w:val="36"/>
      </w:numPr>
      <w:spacing w:after="120"/>
      <w:ind w:left="567" w:hanging="567"/>
    </w:pPr>
    <w:rPr>
      <w:rFonts w:cs="Arial"/>
      <w:bCs/>
      <w:szCs w:val="22"/>
      <w:lang w:val="en-GB"/>
    </w:rPr>
  </w:style>
  <w:style w:type="character" w:styleId="Hyperlink">
    <w:name w:val="Hyperlink"/>
    <w:basedOn w:val="DefaultParagraphFont"/>
    <w:uiPriority w:val="99"/>
    <w:unhideWhenUsed/>
    <w:rsid w:val="00E42717"/>
    <w:rPr>
      <w:color w:val="0000FF" w:themeColor="hyperlink"/>
      <w:u w:val="single"/>
    </w:rPr>
  </w:style>
  <w:style w:type="character" w:customStyle="1" w:styleId="MargeChar">
    <w:name w:val="Marge Char"/>
    <w:link w:val="Marge"/>
    <w:rsid w:val="00C852FB"/>
    <w:rPr>
      <w:rFonts w:ascii="Arial" w:eastAsia="Times New Roman" w:hAnsi="Arial"/>
      <w:snapToGrid w:val="0"/>
      <w:sz w:val="22"/>
      <w:szCs w:val="24"/>
      <w:lang w:eastAsia="en-US"/>
    </w:rPr>
  </w:style>
  <w:style w:type="character" w:styleId="CommentReference">
    <w:name w:val="annotation reference"/>
    <w:basedOn w:val="DefaultParagraphFont"/>
    <w:uiPriority w:val="99"/>
    <w:semiHidden/>
    <w:unhideWhenUsed/>
    <w:rsid w:val="00BD2324"/>
    <w:rPr>
      <w:sz w:val="16"/>
      <w:szCs w:val="16"/>
    </w:rPr>
  </w:style>
  <w:style w:type="paragraph" w:styleId="CommentText">
    <w:name w:val="annotation text"/>
    <w:basedOn w:val="Normal"/>
    <w:link w:val="CommentTextChar"/>
    <w:uiPriority w:val="99"/>
    <w:semiHidden/>
    <w:unhideWhenUsed/>
    <w:rsid w:val="00BD2324"/>
    <w:rPr>
      <w:sz w:val="20"/>
      <w:szCs w:val="20"/>
    </w:rPr>
  </w:style>
  <w:style w:type="character" w:customStyle="1" w:styleId="CommentTextChar">
    <w:name w:val="Comment Text Char"/>
    <w:basedOn w:val="DefaultParagraphFont"/>
    <w:link w:val="CommentText"/>
    <w:uiPriority w:val="99"/>
    <w:semiHidden/>
    <w:rsid w:val="00BD23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D2324"/>
    <w:rPr>
      <w:b/>
      <w:bCs/>
    </w:rPr>
  </w:style>
  <w:style w:type="character" w:customStyle="1" w:styleId="CommentSubjectChar">
    <w:name w:val="Comment Subject Char"/>
    <w:basedOn w:val="CommentTextChar"/>
    <w:link w:val="CommentSubject"/>
    <w:uiPriority w:val="99"/>
    <w:semiHidden/>
    <w:rsid w:val="00BD2324"/>
    <w:rPr>
      <w:rFonts w:ascii="Times New Roman" w:eastAsia="Times New Roman" w:hAnsi="Times New Roman"/>
      <w:b/>
      <w:bCs/>
    </w:rPr>
  </w:style>
  <w:style w:type="paragraph" w:styleId="ListParagraph">
    <w:name w:val="List Paragraph"/>
    <w:basedOn w:val="Normal"/>
    <w:uiPriority w:val="34"/>
    <w:rsid w:val="00961B14"/>
    <w:pPr>
      <w:ind w:left="720"/>
      <w:contextualSpacing/>
    </w:pPr>
  </w:style>
  <w:style w:type="character" w:customStyle="1" w:styleId="Heading3Char">
    <w:name w:val="Heading 3 Char"/>
    <w:basedOn w:val="DefaultParagraphFont"/>
    <w:link w:val="Heading3"/>
    <w:uiPriority w:val="9"/>
    <w:semiHidden/>
    <w:rsid w:val="00C2282C"/>
    <w:rPr>
      <w:rFonts w:asciiTheme="majorHAnsi" w:eastAsiaTheme="majorEastAsia" w:hAnsiTheme="majorHAnsi" w:cstheme="majorBidi"/>
      <w:color w:val="243F60" w:themeColor="accent1" w:themeShade="7F"/>
      <w:sz w:val="24"/>
      <w:szCs w:val="24"/>
    </w:rPr>
  </w:style>
  <w:style w:type="character" w:styleId="IntenseEmphasis">
    <w:name w:val="Intense Emphasis"/>
    <w:aliases w:val="Texte"/>
    <w:uiPriority w:val="21"/>
    <w:rsid w:val="00AD4DC2"/>
    <w:rPr>
      <w:rFonts w:ascii="Arial" w:hAnsi="Arial" w:cs="Arial"/>
      <w:sz w:val="22"/>
    </w:rPr>
  </w:style>
  <w:style w:type="paragraph" w:customStyle="1" w:styleId="Introparagraph">
    <w:name w:val="Intro paragraph"/>
    <w:basedOn w:val="Marge"/>
    <w:link w:val="IntroparagraphChar"/>
    <w:qFormat/>
    <w:rsid w:val="00AD4DC2"/>
    <w:pPr>
      <w:tabs>
        <w:tab w:val="left" w:pos="709"/>
      </w:tabs>
      <w:autoSpaceDE w:val="0"/>
      <w:autoSpaceDN w:val="0"/>
      <w:adjustRightInd w:val="0"/>
      <w:spacing w:before="240"/>
    </w:pPr>
  </w:style>
  <w:style w:type="character" w:customStyle="1" w:styleId="IntroparagraphChar">
    <w:name w:val="Intro paragraph Char"/>
    <w:basedOn w:val="DefaultParagraphFont"/>
    <w:link w:val="Introparagraph"/>
    <w:rsid w:val="00AD4DC2"/>
    <w:rPr>
      <w:rFonts w:ascii="Arial" w:eastAsia="Times New Roman" w:hAnsi="Arial"/>
      <w:snapToGrid w:val="0"/>
      <w:sz w:val="22"/>
      <w:szCs w:val="24"/>
      <w:lang w:eastAsia="en-US"/>
    </w:rPr>
  </w:style>
  <w:style w:type="paragraph" w:customStyle="1" w:styleId="Default">
    <w:name w:val="Default"/>
    <w:rsid w:val="001C603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B6F0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3778">
      <w:bodyDiv w:val="1"/>
      <w:marLeft w:val="0"/>
      <w:marRight w:val="0"/>
      <w:marTop w:val="0"/>
      <w:marBottom w:val="0"/>
      <w:divBdr>
        <w:top w:val="none" w:sz="0" w:space="0" w:color="auto"/>
        <w:left w:val="none" w:sz="0" w:space="0" w:color="auto"/>
        <w:bottom w:val="none" w:sz="0" w:space="0" w:color="auto"/>
        <w:right w:val="none" w:sz="0" w:space="0" w:color="auto"/>
      </w:divBdr>
    </w:div>
    <w:div w:id="51885812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1168978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35047703">
      <w:bodyDiv w:val="1"/>
      <w:marLeft w:val="0"/>
      <w:marRight w:val="0"/>
      <w:marTop w:val="0"/>
      <w:marBottom w:val="0"/>
      <w:divBdr>
        <w:top w:val="none" w:sz="0" w:space="0" w:color="auto"/>
        <w:left w:val="none" w:sz="0" w:space="0" w:color="auto"/>
        <w:bottom w:val="none" w:sz="0" w:space="0" w:color="auto"/>
        <w:right w:val="none" w:sz="0" w:space="0" w:color="auto"/>
      </w:divBdr>
    </w:div>
    <w:div w:id="1303920725">
      <w:bodyDiv w:val="1"/>
      <w:marLeft w:val="0"/>
      <w:marRight w:val="0"/>
      <w:marTop w:val="0"/>
      <w:marBottom w:val="0"/>
      <w:divBdr>
        <w:top w:val="none" w:sz="0" w:space="0" w:color="auto"/>
        <w:left w:val="none" w:sz="0" w:space="0" w:color="auto"/>
        <w:bottom w:val="none" w:sz="0" w:space="0" w:color="auto"/>
        <w:right w:val="none" w:sz="0" w:space="0" w:color="auto"/>
      </w:divBdr>
    </w:div>
    <w:div w:id="1307777133">
      <w:bodyDiv w:val="1"/>
      <w:marLeft w:val="0"/>
      <w:marRight w:val="0"/>
      <w:marTop w:val="0"/>
      <w:marBottom w:val="0"/>
      <w:divBdr>
        <w:top w:val="none" w:sz="0" w:space="0" w:color="auto"/>
        <w:left w:val="none" w:sz="0" w:space="0" w:color="auto"/>
        <w:bottom w:val="none" w:sz="0" w:space="0" w:color="auto"/>
        <w:right w:val="none" w:sz="0" w:space="0" w:color="auto"/>
      </w:divBdr>
    </w:div>
    <w:div w:id="1345984753">
      <w:bodyDiv w:val="1"/>
      <w:marLeft w:val="0"/>
      <w:marRight w:val="0"/>
      <w:marTop w:val="0"/>
      <w:marBottom w:val="0"/>
      <w:divBdr>
        <w:top w:val="none" w:sz="0" w:space="0" w:color="auto"/>
        <w:left w:val="none" w:sz="0" w:space="0" w:color="auto"/>
        <w:bottom w:val="none" w:sz="0" w:space="0" w:color="auto"/>
        <w:right w:val="none" w:sz="0" w:space="0" w:color="auto"/>
      </w:divBdr>
    </w:div>
    <w:div w:id="157943603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87895035">
      <w:bodyDiv w:val="1"/>
      <w:marLeft w:val="0"/>
      <w:marRight w:val="0"/>
      <w:marTop w:val="0"/>
      <w:marBottom w:val="0"/>
      <w:divBdr>
        <w:top w:val="none" w:sz="0" w:space="0" w:color="auto"/>
        <w:left w:val="none" w:sz="0" w:space="0" w:color="auto"/>
        <w:bottom w:val="none" w:sz="0" w:space="0" w:color="auto"/>
        <w:right w:val="none" w:sz="0" w:space="0" w:color="auto"/>
      </w:divBdr>
    </w:div>
    <w:div w:id="179223919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en/Resolutions/5.GA/7" TargetMode="External"/><Relationship Id="rId13" Type="http://schemas.openxmlformats.org/officeDocument/2006/relationships/hyperlink" Target="http://www.unesco.org/culture/ich/en/Decisions/8.COM/5.c.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nesdoc.unesco.org/images/0022/002230/223095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esco.org/culture/ich/en/Decisions/8.COM/5.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doc/src/ITH-14-9.COM_2.BUR-Decision-EN.doc" TargetMode="External"/><Relationship Id="rId5" Type="http://schemas.openxmlformats.org/officeDocument/2006/relationships/webSettings" Target="webSettings.xml"/><Relationship Id="rId15" Type="http://schemas.openxmlformats.org/officeDocument/2006/relationships/hyperlink" Target="http://www.unesco.org/culture/ich/doc/src/30195-EN.docx" TargetMode="External"/><Relationship Id="rId10" Type="http://schemas.openxmlformats.org/officeDocument/2006/relationships/hyperlink" Target="http://www.unesco.org/culture/ich/doc/src/ITH-14-9.COM_2.BUR-Decision-EN.do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nesco.org/culture/ich/en/Decisions/8.COM/11" TargetMode="External"/><Relationship Id="rId14" Type="http://schemas.openxmlformats.org/officeDocument/2006/relationships/hyperlink" Target="http://www.unesco.org/culture/ich/en/Decisions/7.COM/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doc/src/ITH-16-6.GA-6-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ECEAF-8A17-4E78-9A04-4A357815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2</TotalTime>
  <Pages>12</Pages>
  <Words>4821</Words>
  <Characters>27482</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UNESCO</dc:creator>
  <cp:lastModifiedBy>UNESCO</cp:lastModifiedBy>
  <cp:revision>3</cp:revision>
  <cp:lastPrinted>2016-05-09T09:08:00Z</cp:lastPrinted>
  <dcterms:created xsi:type="dcterms:W3CDTF">2016-05-29T10:44:00Z</dcterms:created>
  <dcterms:modified xsi:type="dcterms:W3CDTF">2016-05-29T10:46:00Z</dcterms:modified>
</cp:coreProperties>
</file>