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6A352" w14:textId="77777777" w:rsidR="00A0254B" w:rsidRPr="009C789B" w:rsidRDefault="00A0254B" w:rsidP="00A0254B">
      <w:pPr>
        <w:spacing w:before="1440"/>
        <w:jc w:val="center"/>
        <w:rPr>
          <w:rFonts w:ascii="Arial" w:hAnsi="Arial" w:cs="Arial"/>
          <w:b/>
          <w:sz w:val="22"/>
          <w:szCs w:val="22"/>
        </w:rPr>
      </w:pPr>
      <w:r w:rsidRPr="009C789B">
        <w:rPr>
          <w:rFonts w:ascii="Arial" w:hAnsi="Arial" w:cs="Arial"/>
          <w:b/>
          <w:sz w:val="22"/>
        </w:rPr>
        <w:t>CONVENTION POUR LA SAUVEGARDE DU</w:t>
      </w:r>
      <w:r w:rsidRPr="009C789B">
        <w:rPr>
          <w:rFonts w:ascii="Arial" w:hAnsi="Arial" w:cs="Arial"/>
        </w:rPr>
        <w:t xml:space="preserve"> </w:t>
      </w:r>
      <w:r w:rsidRPr="009C789B">
        <w:rPr>
          <w:rFonts w:ascii="Arial" w:hAnsi="Arial" w:cs="Arial"/>
        </w:rPr>
        <w:br/>
      </w:r>
      <w:r w:rsidRPr="009C789B">
        <w:rPr>
          <w:rFonts w:ascii="Arial" w:hAnsi="Arial" w:cs="Arial"/>
          <w:b/>
          <w:sz w:val="22"/>
        </w:rPr>
        <w:t>PATRIMOINE CULTUREL IMMATÉRIEL</w:t>
      </w:r>
    </w:p>
    <w:p w14:paraId="13844281" w14:textId="77777777" w:rsidR="00985DAD" w:rsidRPr="009C789B" w:rsidRDefault="00985DAD" w:rsidP="00985DAD">
      <w:pPr>
        <w:spacing w:before="1200" w:after="120"/>
        <w:jc w:val="center"/>
        <w:rPr>
          <w:rFonts w:ascii="Arial" w:eastAsia="SimSun" w:hAnsi="Arial" w:cs="Arial"/>
          <w:b/>
          <w:sz w:val="22"/>
          <w:szCs w:val="22"/>
        </w:rPr>
      </w:pPr>
      <w:r w:rsidRPr="009C789B">
        <w:rPr>
          <w:rFonts w:ascii="Arial" w:eastAsia="SimSun" w:hAnsi="Arial" w:cs="Arial"/>
          <w:b/>
          <w:sz w:val="22"/>
          <w:szCs w:val="22"/>
        </w:rPr>
        <w:t>COMITÉ INTERGOUVERNEMENTAL DE SAUVEGARDE</w:t>
      </w:r>
      <w:r w:rsidRPr="009C789B">
        <w:rPr>
          <w:rFonts w:ascii="Arial" w:eastAsia="SimSun" w:hAnsi="Arial" w:cs="Arial"/>
          <w:b/>
          <w:sz w:val="22"/>
          <w:szCs w:val="22"/>
        </w:rPr>
        <w:br/>
        <w:t>DU PATRIMOINE CULTUREL IMMATÉRIEL</w:t>
      </w:r>
    </w:p>
    <w:p w14:paraId="53F80DCD" w14:textId="77777777" w:rsidR="00A0254B" w:rsidRPr="009C789B" w:rsidRDefault="00985DAD" w:rsidP="00054478">
      <w:pPr>
        <w:spacing w:before="840"/>
        <w:jc w:val="center"/>
        <w:rPr>
          <w:rFonts w:ascii="Arial" w:hAnsi="Arial" w:cs="Arial"/>
          <w:b/>
          <w:sz w:val="22"/>
          <w:szCs w:val="22"/>
        </w:rPr>
      </w:pPr>
      <w:r w:rsidRPr="009C789B">
        <w:rPr>
          <w:rFonts w:ascii="Arial" w:hAnsi="Arial" w:cs="Arial"/>
          <w:b/>
          <w:sz w:val="22"/>
        </w:rPr>
        <w:t>Consultation électronique du Bureau</w:t>
      </w:r>
    </w:p>
    <w:p w14:paraId="6E36617D" w14:textId="77777777" w:rsidR="00A0254B" w:rsidRPr="009C789B" w:rsidRDefault="00A0254B" w:rsidP="00F77906">
      <w:pPr>
        <w:jc w:val="center"/>
        <w:rPr>
          <w:rFonts w:ascii="Arial" w:hAnsi="Arial" w:cs="Arial"/>
          <w:b/>
          <w:sz w:val="22"/>
          <w:szCs w:val="22"/>
        </w:rPr>
      </w:pPr>
      <w:r w:rsidRPr="009C789B">
        <w:rPr>
          <w:rFonts w:ascii="Arial" w:hAnsi="Arial" w:cs="Arial"/>
          <w:b/>
          <w:sz w:val="22"/>
        </w:rPr>
        <w:t> juin 2016</w:t>
      </w:r>
    </w:p>
    <w:p w14:paraId="3746E774" w14:textId="77777777" w:rsidR="00A0254B" w:rsidRPr="009C789B" w:rsidRDefault="008B6F83" w:rsidP="00054478">
      <w:pPr>
        <w:pStyle w:val="Sansinterligne2"/>
        <w:spacing w:before="1200" w:after="1200"/>
        <w:jc w:val="center"/>
        <w:rPr>
          <w:rFonts w:ascii="Arial" w:hAnsi="Arial" w:cs="Arial"/>
          <w:b/>
          <w:sz w:val="22"/>
          <w:szCs w:val="22"/>
          <w:u w:val="single"/>
        </w:rPr>
      </w:pPr>
      <w:r w:rsidRPr="009C789B">
        <w:rPr>
          <w:rFonts w:ascii="Arial" w:hAnsi="Arial" w:cs="Arial"/>
          <w:b/>
          <w:sz w:val="22"/>
          <w:szCs w:val="22"/>
          <w:u w:val="single"/>
        </w:rPr>
        <w:t xml:space="preserve">RAPPORT </w:t>
      </w:r>
      <w:r w:rsidR="00446B37" w:rsidRPr="009C789B">
        <w:rPr>
          <w:rFonts w:ascii="Arial" w:hAnsi="Arial" w:cs="Arial"/>
          <w:b/>
          <w:sz w:val="22"/>
          <w:szCs w:val="22"/>
          <w:u w:val="single"/>
        </w:rPr>
        <w:t>SUR L’EXECUTION</w:t>
      </w:r>
      <w:r w:rsidRPr="009C789B">
        <w:rPr>
          <w:rFonts w:ascii="Arial" w:hAnsi="Arial" w:cs="Arial"/>
          <w:b/>
          <w:sz w:val="22"/>
          <w:szCs w:val="22"/>
          <w:u w:val="single"/>
        </w:rPr>
        <w:t xml:space="preserve"> DU PLAN DE DÉPENSES</w:t>
      </w:r>
      <w:r w:rsidR="00446B37" w:rsidRPr="009C789B">
        <w:rPr>
          <w:rFonts w:ascii="Arial" w:hAnsi="Arial" w:cs="Arial"/>
          <w:b/>
          <w:sz w:val="22"/>
          <w:szCs w:val="22"/>
          <w:u w:val="single"/>
        </w:rPr>
        <w:br/>
      </w:r>
      <w:r w:rsidRPr="009C789B">
        <w:rPr>
          <w:rFonts w:ascii="Arial" w:hAnsi="Arial" w:cs="Arial"/>
          <w:b/>
          <w:sz w:val="22"/>
          <w:szCs w:val="22"/>
          <w:u w:val="single"/>
        </w:rPr>
        <w:t>POUR LES « AUTRES FONCTIONS DU COMITÉ »</w:t>
      </w:r>
      <w:r w:rsidRPr="009C789B">
        <w:rPr>
          <w:rFonts w:ascii="Arial" w:hAnsi="Arial" w:cs="Arial"/>
          <w:b/>
          <w:sz w:val="22"/>
          <w:szCs w:val="22"/>
          <w:u w:val="single"/>
        </w:rPr>
        <w:br/>
        <w:t>1</w:t>
      </w:r>
      <w:r w:rsidRPr="009C789B">
        <w:rPr>
          <w:rFonts w:ascii="Arial" w:hAnsi="Arial" w:cs="Arial"/>
          <w:b/>
          <w:sz w:val="22"/>
          <w:szCs w:val="22"/>
          <w:u w:val="single"/>
          <w:vertAlign w:val="superscript"/>
        </w:rPr>
        <w:t>ER</w:t>
      </w:r>
      <w:r w:rsidRPr="009C789B">
        <w:rPr>
          <w:rFonts w:ascii="Arial" w:hAnsi="Arial" w:cs="Arial"/>
          <w:b/>
          <w:sz w:val="22"/>
          <w:szCs w:val="22"/>
          <w:u w:val="single"/>
        </w:rPr>
        <w:t xml:space="preserve"> JANVIER 2014 – 31 DÉCEMBRE 2015</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A0254B" w:rsidRPr="009C789B" w14:paraId="0B7AD405" w14:textId="77777777" w:rsidTr="004A5EC1">
        <w:trPr>
          <w:jc w:val="center"/>
        </w:trPr>
        <w:tc>
          <w:tcPr>
            <w:tcW w:w="5670" w:type="dxa"/>
            <w:vAlign w:val="center"/>
          </w:tcPr>
          <w:p w14:paraId="362A2E79" w14:textId="77777777" w:rsidR="00A0254B" w:rsidRPr="009C789B" w:rsidRDefault="00A0254B" w:rsidP="00054478">
            <w:pPr>
              <w:pStyle w:val="Sansinterligne1"/>
              <w:spacing w:before="200" w:after="200"/>
              <w:jc w:val="center"/>
              <w:rPr>
                <w:rFonts w:ascii="Arial" w:hAnsi="Arial" w:cs="Arial"/>
                <w:b/>
                <w:sz w:val="22"/>
                <w:szCs w:val="22"/>
              </w:rPr>
            </w:pPr>
            <w:r w:rsidRPr="009C789B">
              <w:rPr>
                <w:rFonts w:ascii="Arial" w:hAnsi="Arial" w:cs="Arial"/>
                <w:b/>
                <w:sz w:val="22"/>
              </w:rPr>
              <w:t>Résumé</w:t>
            </w:r>
          </w:p>
          <w:p w14:paraId="0B45AFED" w14:textId="2EF0984A" w:rsidR="00A0254B" w:rsidRPr="009C789B" w:rsidRDefault="007426C9" w:rsidP="00446B37">
            <w:pPr>
              <w:pStyle w:val="Sansinterligne2"/>
              <w:spacing w:after="120"/>
              <w:jc w:val="both"/>
              <w:rPr>
                <w:rFonts w:ascii="Arial" w:hAnsi="Arial" w:cs="Arial"/>
                <w:sz w:val="22"/>
                <w:szCs w:val="22"/>
              </w:rPr>
            </w:pPr>
            <w:r w:rsidRPr="009C789B">
              <w:rPr>
                <w:rFonts w:ascii="Arial" w:hAnsi="Arial" w:cs="Arial"/>
                <w:sz w:val="22"/>
              </w:rPr>
              <w:t xml:space="preserve">Le </w:t>
            </w:r>
            <w:r w:rsidR="00932951" w:rsidRPr="009C789B">
              <w:rPr>
                <w:rFonts w:ascii="Arial" w:hAnsi="Arial" w:cs="Arial"/>
                <w:sz w:val="22"/>
              </w:rPr>
              <w:t>p</w:t>
            </w:r>
            <w:r w:rsidR="00667989" w:rsidRPr="009C789B">
              <w:rPr>
                <w:rFonts w:ascii="Arial" w:hAnsi="Arial" w:cs="Arial"/>
                <w:sz w:val="22"/>
              </w:rPr>
              <w:t xml:space="preserve">lan </w:t>
            </w:r>
            <w:r w:rsidRPr="009C789B">
              <w:rPr>
                <w:rFonts w:ascii="Arial" w:hAnsi="Arial" w:cs="Arial"/>
                <w:sz w:val="22"/>
              </w:rPr>
              <w:t xml:space="preserve">d’utilisation des </w:t>
            </w:r>
            <w:r w:rsidR="00667989" w:rsidRPr="009C789B">
              <w:rPr>
                <w:rFonts w:ascii="Arial" w:hAnsi="Arial" w:cs="Arial"/>
                <w:sz w:val="22"/>
              </w:rPr>
              <w:t>re</w:t>
            </w:r>
            <w:r w:rsidRPr="009C789B">
              <w:rPr>
                <w:rFonts w:ascii="Arial" w:hAnsi="Arial" w:cs="Arial"/>
                <w:sz w:val="22"/>
              </w:rPr>
              <w:t>s</w:t>
            </w:r>
            <w:r w:rsidR="00667989" w:rsidRPr="009C789B">
              <w:rPr>
                <w:rFonts w:ascii="Arial" w:hAnsi="Arial" w:cs="Arial"/>
                <w:sz w:val="22"/>
              </w:rPr>
              <w:t xml:space="preserve">sources </w:t>
            </w:r>
            <w:r w:rsidRPr="009C789B">
              <w:rPr>
                <w:rFonts w:ascii="Arial" w:hAnsi="Arial" w:cs="Arial"/>
                <w:sz w:val="22"/>
              </w:rPr>
              <w:t>du Fonds du patrimoine culturel immatériel approuvé par l’Assemblée générale pour la période du 1</w:t>
            </w:r>
            <w:r w:rsidR="00CE07ED" w:rsidRPr="009C789B">
              <w:rPr>
                <w:rFonts w:ascii="Arial" w:hAnsi="Arial" w:cs="Arial"/>
                <w:sz w:val="22"/>
                <w:vertAlign w:val="superscript"/>
              </w:rPr>
              <w:t>er</w:t>
            </w:r>
            <w:r w:rsidR="00CE07ED" w:rsidRPr="009C789B">
              <w:rPr>
                <w:rFonts w:ascii="Arial" w:hAnsi="Arial" w:cs="Arial"/>
                <w:sz w:val="22"/>
              </w:rPr>
              <w:t xml:space="preserve"> janvier</w:t>
            </w:r>
            <w:r w:rsidRPr="009C789B">
              <w:rPr>
                <w:rFonts w:ascii="Arial" w:hAnsi="Arial" w:cs="Arial"/>
                <w:sz w:val="22"/>
              </w:rPr>
              <w:t xml:space="preserve"> </w:t>
            </w:r>
            <w:r w:rsidR="00667989" w:rsidRPr="009C789B">
              <w:rPr>
                <w:rFonts w:ascii="Arial" w:hAnsi="Arial" w:cs="Arial"/>
                <w:sz w:val="22"/>
              </w:rPr>
              <w:t xml:space="preserve">2014 </w:t>
            </w:r>
            <w:r w:rsidRPr="009C789B">
              <w:rPr>
                <w:rFonts w:ascii="Arial" w:hAnsi="Arial" w:cs="Arial"/>
                <w:sz w:val="22"/>
              </w:rPr>
              <w:t>au</w:t>
            </w:r>
            <w:r w:rsidR="00667989" w:rsidRPr="009C789B">
              <w:rPr>
                <w:rFonts w:ascii="Arial" w:hAnsi="Arial" w:cs="Arial"/>
                <w:sz w:val="22"/>
              </w:rPr>
              <w:t xml:space="preserve"> 31 </w:t>
            </w:r>
            <w:r w:rsidRPr="009C789B">
              <w:rPr>
                <w:rFonts w:ascii="Arial" w:hAnsi="Arial" w:cs="Arial"/>
                <w:sz w:val="22"/>
              </w:rPr>
              <w:t>dé</w:t>
            </w:r>
            <w:r w:rsidR="00667989" w:rsidRPr="009C789B">
              <w:rPr>
                <w:rFonts w:ascii="Arial" w:hAnsi="Arial" w:cs="Arial"/>
                <w:sz w:val="22"/>
              </w:rPr>
              <w:t>cemb</w:t>
            </w:r>
            <w:r w:rsidRPr="009C789B">
              <w:rPr>
                <w:rFonts w:ascii="Arial" w:hAnsi="Arial" w:cs="Arial"/>
                <w:sz w:val="22"/>
              </w:rPr>
              <w:t>r</w:t>
            </w:r>
            <w:r w:rsidR="00667989" w:rsidRPr="009C789B">
              <w:rPr>
                <w:rFonts w:ascii="Arial" w:hAnsi="Arial" w:cs="Arial"/>
                <w:sz w:val="22"/>
              </w:rPr>
              <w:t>e 2015 pr</w:t>
            </w:r>
            <w:r w:rsidRPr="009C789B">
              <w:rPr>
                <w:rFonts w:ascii="Arial" w:hAnsi="Arial" w:cs="Arial"/>
                <w:sz w:val="22"/>
              </w:rPr>
              <w:t>évoyait que</w:t>
            </w:r>
            <w:r w:rsidR="00667989" w:rsidRPr="009C789B">
              <w:rPr>
                <w:rFonts w:ascii="Arial" w:hAnsi="Arial" w:cs="Arial"/>
                <w:sz w:val="22"/>
              </w:rPr>
              <w:t xml:space="preserve"> 20</w:t>
            </w:r>
            <w:r w:rsidRPr="009C789B">
              <w:rPr>
                <w:rFonts w:ascii="Arial" w:hAnsi="Arial" w:cs="Arial"/>
                <w:sz w:val="22"/>
              </w:rPr>
              <w:t> </w:t>
            </w:r>
            <w:r w:rsidR="00667989" w:rsidRPr="009C789B">
              <w:rPr>
                <w:rFonts w:ascii="Arial" w:hAnsi="Arial" w:cs="Arial"/>
                <w:sz w:val="22"/>
              </w:rPr>
              <w:t xml:space="preserve">% </w:t>
            </w:r>
            <w:r w:rsidRPr="009C789B">
              <w:rPr>
                <w:rFonts w:ascii="Arial" w:hAnsi="Arial" w:cs="Arial"/>
                <w:sz w:val="22"/>
              </w:rPr>
              <w:t xml:space="preserve">des ressources </w:t>
            </w:r>
            <w:r w:rsidR="00932951" w:rsidRPr="009C789B">
              <w:rPr>
                <w:rFonts w:ascii="Arial" w:hAnsi="Arial" w:cs="Arial"/>
                <w:sz w:val="22"/>
              </w:rPr>
              <w:t>soient</w:t>
            </w:r>
            <w:r w:rsidRPr="009C789B">
              <w:rPr>
                <w:rFonts w:ascii="Arial" w:hAnsi="Arial" w:cs="Arial"/>
                <w:sz w:val="22"/>
              </w:rPr>
              <w:t xml:space="preserve"> alloués aux « autres fonctions du Comité », telles que décrites à l’article</w:t>
            </w:r>
            <w:r w:rsidR="00667989" w:rsidRPr="009C789B">
              <w:rPr>
                <w:rFonts w:ascii="Arial" w:hAnsi="Arial" w:cs="Arial"/>
                <w:sz w:val="22"/>
              </w:rPr>
              <w:t xml:space="preserve"> 7 </w:t>
            </w:r>
            <w:r w:rsidRPr="009C789B">
              <w:rPr>
                <w:rFonts w:ascii="Arial" w:hAnsi="Arial" w:cs="Arial"/>
                <w:sz w:val="22"/>
              </w:rPr>
              <w:t xml:space="preserve">de la </w:t>
            </w:r>
            <w:r w:rsidR="00667989" w:rsidRPr="009C789B">
              <w:rPr>
                <w:rFonts w:ascii="Arial" w:hAnsi="Arial" w:cs="Arial"/>
                <w:sz w:val="22"/>
              </w:rPr>
              <w:t xml:space="preserve">Convention </w:t>
            </w:r>
            <w:r w:rsidR="005C5567" w:rsidRPr="009C789B">
              <w:rPr>
                <w:rFonts w:ascii="Arial" w:hAnsi="Arial" w:cs="Arial"/>
                <w:sz w:val="22"/>
              </w:rPr>
              <w:t>et dans les Directives opérationnelles</w:t>
            </w:r>
            <w:r w:rsidR="00667989" w:rsidRPr="009C789B">
              <w:rPr>
                <w:rFonts w:ascii="Arial" w:hAnsi="Arial" w:cs="Arial"/>
                <w:sz w:val="22"/>
              </w:rPr>
              <w:t>. Exer</w:t>
            </w:r>
            <w:r w:rsidR="005C5567" w:rsidRPr="009C789B">
              <w:rPr>
                <w:rFonts w:ascii="Arial" w:hAnsi="Arial" w:cs="Arial"/>
                <w:sz w:val="22"/>
              </w:rPr>
              <w:t>çant l</w:t>
            </w:r>
            <w:r w:rsidR="000D4A57" w:rsidRPr="009C789B">
              <w:rPr>
                <w:rFonts w:ascii="Arial" w:hAnsi="Arial" w:cs="Arial"/>
                <w:sz w:val="22"/>
              </w:rPr>
              <w:t>e pouvoir</w:t>
            </w:r>
            <w:r w:rsidR="005C5567" w:rsidRPr="009C789B">
              <w:rPr>
                <w:rFonts w:ascii="Arial" w:hAnsi="Arial" w:cs="Arial"/>
                <w:sz w:val="22"/>
              </w:rPr>
              <w:t xml:space="preserve"> que le Comité lui a délégué, le Bureau a décidé de l’utilisation de ces fonds</w:t>
            </w:r>
            <w:r w:rsidR="00A5406F" w:rsidRPr="009C789B">
              <w:rPr>
                <w:rFonts w:ascii="Arial" w:hAnsi="Arial" w:cs="Arial"/>
                <w:sz w:val="22"/>
              </w:rPr>
              <w:t xml:space="preserve">, </w:t>
            </w:r>
            <w:r w:rsidR="005C5567" w:rsidRPr="009C789B">
              <w:rPr>
                <w:rFonts w:ascii="Arial" w:hAnsi="Arial" w:cs="Arial"/>
                <w:sz w:val="22"/>
              </w:rPr>
              <w:t>demand</w:t>
            </w:r>
            <w:r w:rsidR="00A5406F" w:rsidRPr="009C789B">
              <w:rPr>
                <w:rFonts w:ascii="Arial" w:hAnsi="Arial" w:cs="Arial"/>
                <w:sz w:val="22"/>
              </w:rPr>
              <w:t>ant</w:t>
            </w:r>
            <w:r w:rsidR="005C5567" w:rsidRPr="009C789B">
              <w:rPr>
                <w:rFonts w:ascii="Arial" w:hAnsi="Arial" w:cs="Arial"/>
                <w:sz w:val="22"/>
              </w:rPr>
              <w:t xml:space="preserve"> au Secrétariat de rendre compte de l’avancement de </w:t>
            </w:r>
            <w:r w:rsidR="00E66E3F" w:rsidRPr="009C789B">
              <w:rPr>
                <w:rFonts w:ascii="Arial" w:hAnsi="Arial" w:cs="Arial"/>
                <w:sz w:val="22"/>
              </w:rPr>
              <w:t>l</w:t>
            </w:r>
            <w:r w:rsidR="005C5567" w:rsidRPr="009C789B">
              <w:rPr>
                <w:rFonts w:ascii="Arial" w:hAnsi="Arial" w:cs="Arial"/>
                <w:sz w:val="22"/>
              </w:rPr>
              <w:t xml:space="preserve">a mise en </w:t>
            </w:r>
            <w:r w:rsidR="00EB6F51" w:rsidRPr="009C789B">
              <w:rPr>
                <w:rFonts w:ascii="Arial" w:hAnsi="Arial" w:cs="Arial"/>
                <w:sz w:val="22"/>
              </w:rPr>
              <w:t xml:space="preserve">œuvre </w:t>
            </w:r>
            <w:r w:rsidR="005C5567" w:rsidRPr="009C789B">
              <w:rPr>
                <w:rFonts w:ascii="Arial" w:hAnsi="Arial" w:cs="Arial"/>
                <w:sz w:val="22"/>
              </w:rPr>
              <w:t>et de la façon dont les fonds sont dépensés</w:t>
            </w:r>
            <w:r w:rsidR="00667989" w:rsidRPr="009C789B">
              <w:rPr>
                <w:rFonts w:ascii="Arial" w:hAnsi="Arial" w:cs="Arial"/>
                <w:sz w:val="22"/>
              </w:rPr>
              <w:t xml:space="preserve">. </w:t>
            </w:r>
            <w:r w:rsidR="005C5567" w:rsidRPr="009C789B">
              <w:rPr>
                <w:rFonts w:ascii="Arial" w:hAnsi="Arial" w:cs="Arial"/>
                <w:sz w:val="22"/>
              </w:rPr>
              <w:t xml:space="preserve">Le présent document </w:t>
            </w:r>
            <w:r w:rsidR="00A5406F" w:rsidRPr="009C789B">
              <w:rPr>
                <w:rFonts w:ascii="Arial" w:hAnsi="Arial" w:cs="Arial"/>
                <w:sz w:val="22"/>
              </w:rPr>
              <w:t>présente</w:t>
            </w:r>
            <w:r w:rsidR="00C54BC5" w:rsidRPr="009C789B">
              <w:rPr>
                <w:rFonts w:ascii="Arial" w:hAnsi="Arial" w:cs="Arial"/>
                <w:sz w:val="22"/>
              </w:rPr>
              <w:t xml:space="preserve"> </w:t>
            </w:r>
            <w:r w:rsidR="00446B37" w:rsidRPr="009C789B">
              <w:rPr>
                <w:rFonts w:ascii="Arial" w:hAnsi="Arial" w:cs="Arial"/>
                <w:sz w:val="22"/>
              </w:rPr>
              <w:t xml:space="preserve">un </w:t>
            </w:r>
            <w:r w:rsidR="00EB6F51" w:rsidRPr="009C789B">
              <w:rPr>
                <w:rFonts w:ascii="Arial" w:hAnsi="Arial" w:cs="Arial"/>
                <w:sz w:val="22"/>
              </w:rPr>
              <w:t xml:space="preserve">rapport </w:t>
            </w:r>
            <w:r w:rsidR="00446B37" w:rsidRPr="009C789B">
              <w:rPr>
                <w:rFonts w:ascii="Arial" w:hAnsi="Arial" w:cs="Arial"/>
                <w:sz w:val="22"/>
              </w:rPr>
              <w:t>d’exécution</w:t>
            </w:r>
            <w:r w:rsidR="00EB6F51" w:rsidRPr="009C789B">
              <w:rPr>
                <w:rFonts w:ascii="Arial" w:hAnsi="Arial" w:cs="Arial"/>
                <w:sz w:val="22"/>
              </w:rPr>
              <w:t xml:space="preserve"> pour la période du 1</w:t>
            </w:r>
            <w:r w:rsidR="00EB6F51" w:rsidRPr="009C789B">
              <w:rPr>
                <w:rFonts w:ascii="Arial" w:hAnsi="Arial" w:cs="Arial"/>
                <w:sz w:val="22"/>
                <w:vertAlign w:val="superscript"/>
              </w:rPr>
              <w:t>er</w:t>
            </w:r>
            <w:r w:rsidR="00EB6F51" w:rsidRPr="009C789B">
              <w:rPr>
                <w:rFonts w:ascii="Arial" w:hAnsi="Arial" w:cs="Arial"/>
                <w:sz w:val="22"/>
              </w:rPr>
              <w:t xml:space="preserve"> janvier </w:t>
            </w:r>
            <w:r w:rsidR="00667989" w:rsidRPr="009C789B">
              <w:rPr>
                <w:rFonts w:ascii="Arial" w:hAnsi="Arial" w:cs="Arial"/>
                <w:sz w:val="22"/>
              </w:rPr>
              <w:t xml:space="preserve">2014 </w:t>
            </w:r>
            <w:r w:rsidR="00EB6F51" w:rsidRPr="009C789B">
              <w:rPr>
                <w:rFonts w:ascii="Arial" w:hAnsi="Arial" w:cs="Arial"/>
                <w:sz w:val="22"/>
              </w:rPr>
              <w:t xml:space="preserve">au </w:t>
            </w:r>
            <w:r w:rsidR="00667989" w:rsidRPr="009C789B">
              <w:rPr>
                <w:rFonts w:ascii="Arial" w:hAnsi="Arial" w:cs="Arial"/>
                <w:sz w:val="22"/>
              </w:rPr>
              <w:t>31</w:t>
            </w:r>
            <w:r w:rsidR="00EB6F51" w:rsidRPr="009C789B">
              <w:rPr>
                <w:rFonts w:ascii="Arial" w:hAnsi="Arial" w:cs="Arial"/>
                <w:sz w:val="22"/>
              </w:rPr>
              <w:t xml:space="preserve"> dé</w:t>
            </w:r>
            <w:r w:rsidR="00667989" w:rsidRPr="009C789B">
              <w:rPr>
                <w:rFonts w:ascii="Arial" w:hAnsi="Arial" w:cs="Arial"/>
                <w:sz w:val="22"/>
              </w:rPr>
              <w:t>cemb</w:t>
            </w:r>
            <w:r w:rsidR="00EB6F51" w:rsidRPr="009C789B">
              <w:rPr>
                <w:rFonts w:ascii="Arial" w:hAnsi="Arial" w:cs="Arial"/>
                <w:sz w:val="22"/>
              </w:rPr>
              <w:t>r</w:t>
            </w:r>
            <w:r w:rsidR="00667989" w:rsidRPr="009C789B">
              <w:rPr>
                <w:rFonts w:ascii="Arial" w:hAnsi="Arial" w:cs="Arial"/>
                <w:sz w:val="22"/>
              </w:rPr>
              <w:t>e 2015.</w:t>
            </w:r>
          </w:p>
        </w:tc>
      </w:tr>
    </w:tbl>
    <w:p w14:paraId="02246AC9" w14:textId="77777777" w:rsidR="00A0254B" w:rsidRPr="009C789B" w:rsidRDefault="00A0254B" w:rsidP="00A0254B">
      <w:pPr>
        <w:pStyle w:val="GAPara"/>
        <w:jc w:val="both"/>
      </w:pPr>
      <w:r w:rsidRPr="009C789B">
        <w:br w:type="page"/>
      </w:r>
    </w:p>
    <w:p w14:paraId="4A213F84" w14:textId="77777777" w:rsidR="00985DAD" w:rsidRPr="009C789B" w:rsidRDefault="00F77906" w:rsidP="00AF1379">
      <w:pPr>
        <w:pStyle w:val="GAParabodytext"/>
        <w:ind w:left="567" w:hanging="567"/>
        <w:rPr>
          <w:lang w:val="fr-FR"/>
        </w:rPr>
      </w:pPr>
      <w:r w:rsidRPr="009C789B">
        <w:rPr>
          <w:lang w:val="fr-FR"/>
        </w:rPr>
        <w:lastRenderedPageBreak/>
        <w:t xml:space="preserve">Dans sa </w:t>
      </w:r>
      <w:hyperlink r:id="rId8" w:history="1">
        <w:r w:rsidR="008E02BA" w:rsidRPr="009C789B">
          <w:rPr>
            <w:rStyle w:val="Hyperlink"/>
            <w:lang w:eastAsia="en-US"/>
          </w:rPr>
          <w:t>r</w:t>
        </w:r>
        <w:r w:rsidRPr="009C789B">
          <w:rPr>
            <w:rStyle w:val="Hyperlink"/>
            <w:lang w:eastAsia="en-US"/>
          </w:rPr>
          <w:t>ésolution 5.GA 7</w:t>
        </w:r>
      </w:hyperlink>
      <w:r w:rsidR="00125642" w:rsidRPr="009C789B">
        <w:rPr>
          <w:lang w:val="fr-FR"/>
        </w:rPr>
        <w:t xml:space="preserve">, </w:t>
      </w:r>
      <w:r w:rsidRPr="009C789B">
        <w:rPr>
          <w:lang w:val="fr-FR"/>
        </w:rPr>
        <w:t xml:space="preserve">l’Assemblée générale a approuvé </w:t>
      </w:r>
      <w:r w:rsidR="00C45426" w:rsidRPr="009C789B">
        <w:rPr>
          <w:lang w:val="fr-FR"/>
        </w:rPr>
        <w:t>un</w:t>
      </w:r>
      <w:r w:rsidRPr="009C789B">
        <w:rPr>
          <w:lang w:val="fr-FR"/>
        </w:rPr>
        <w:t xml:space="preserve"> </w:t>
      </w:r>
      <w:r w:rsidR="00446B37" w:rsidRPr="009C789B">
        <w:rPr>
          <w:lang w:val="fr-FR"/>
        </w:rPr>
        <w:t xml:space="preserve">Plan </w:t>
      </w:r>
      <w:r w:rsidRPr="009C789B">
        <w:rPr>
          <w:lang w:val="fr-FR"/>
        </w:rPr>
        <w:t xml:space="preserve">d’utilisation des ressources du Fonds du patrimoine culturel immatériel </w:t>
      </w:r>
      <w:r w:rsidR="00667989" w:rsidRPr="009C789B">
        <w:rPr>
          <w:lang w:val="fr-FR"/>
        </w:rPr>
        <w:t>[</w:t>
      </w:r>
      <w:r w:rsidRPr="009C789B">
        <w:rPr>
          <w:lang w:val="fr-FR"/>
        </w:rPr>
        <w:t>ci-après désigné le Fond</w:t>
      </w:r>
      <w:r w:rsidR="00C45426" w:rsidRPr="009C789B">
        <w:rPr>
          <w:lang w:val="fr-FR"/>
        </w:rPr>
        <w:t>s</w:t>
      </w:r>
      <w:r w:rsidR="00667989" w:rsidRPr="009C789B">
        <w:rPr>
          <w:lang w:val="fr-FR"/>
        </w:rPr>
        <w:t xml:space="preserve">] </w:t>
      </w:r>
      <w:r w:rsidR="00125642" w:rsidRPr="009C789B">
        <w:rPr>
          <w:lang w:val="fr-FR"/>
        </w:rPr>
        <w:t xml:space="preserve">pour la période du </w:t>
      </w:r>
      <w:r w:rsidR="00446B37" w:rsidRPr="009C789B">
        <w:rPr>
          <w:lang w:val="fr-FR"/>
        </w:rPr>
        <w:t>1</w:t>
      </w:r>
      <w:r w:rsidR="00446B37" w:rsidRPr="009C789B">
        <w:rPr>
          <w:vertAlign w:val="superscript"/>
          <w:lang w:val="fr-FR"/>
        </w:rPr>
        <w:t>er</w:t>
      </w:r>
      <w:r w:rsidR="00446B37" w:rsidRPr="009C789B">
        <w:rPr>
          <w:lang w:val="fr-FR"/>
        </w:rPr>
        <w:t> janvier </w:t>
      </w:r>
      <w:r w:rsidR="00667989" w:rsidRPr="009C789B">
        <w:rPr>
          <w:lang w:val="fr-FR"/>
        </w:rPr>
        <w:t xml:space="preserve">2014 </w:t>
      </w:r>
      <w:r w:rsidR="00125642" w:rsidRPr="009C789B">
        <w:rPr>
          <w:lang w:val="fr-FR"/>
        </w:rPr>
        <w:t xml:space="preserve">au </w:t>
      </w:r>
      <w:r w:rsidR="00446B37" w:rsidRPr="009C789B">
        <w:rPr>
          <w:lang w:val="fr-FR"/>
        </w:rPr>
        <w:t>31 décembre </w:t>
      </w:r>
      <w:r w:rsidR="00667989" w:rsidRPr="009C789B">
        <w:rPr>
          <w:lang w:val="fr-FR"/>
        </w:rPr>
        <w:t xml:space="preserve">2015 </w:t>
      </w:r>
      <w:r w:rsidR="00125642" w:rsidRPr="009C789B">
        <w:rPr>
          <w:lang w:val="fr-FR"/>
        </w:rPr>
        <w:t xml:space="preserve">qui consacrait </w:t>
      </w:r>
      <w:r w:rsidR="00667989" w:rsidRPr="009C789B">
        <w:rPr>
          <w:lang w:val="fr-FR"/>
        </w:rPr>
        <w:t>20</w:t>
      </w:r>
      <w:r w:rsidR="00125642" w:rsidRPr="009C789B">
        <w:rPr>
          <w:lang w:val="fr-FR"/>
        </w:rPr>
        <w:t> </w:t>
      </w:r>
      <w:r w:rsidR="00667989" w:rsidRPr="009C789B">
        <w:rPr>
          <w:lang w:val="fr-FR"/>
        </w:rPr>
        <w:t xml:space="preserve">% </w:t>
      </w:r>
      <w:r w:rsidR="00125642" w:rsidRPr="009C789B">
        <w:rPr>
          <w:lang w:val="fr-FR"/>
        </w:rPr>
        <w:t xml:space="preserve">du </w:t>
      </w:r>
      <w:r w:rsidR="00667989" w:rsidRPr="009C789B">
        <w:rPr>
          <w:lang w:val="fr-FR"/>
        </w:rPr>
        <w:t>budget (1</w:t>
      </w:r>
      <w:r w:rsidR="00125642" w:rsidRPr="009C789B">
        <w:rPr>
          <w:lang w:val="fr-FR"/>
        </w:rPr>
        <w:t> </w:t>
      </w:r>
      <w:r w:rsidR="00667989" w:rsidRPr="009C789B">
        <w:rPr>
          <w:lang w:val="fr-FR"/>
        </w:rPr>
        <w:t>351</w:t>
      </w:r>
      <w:r w:rsidR="005E03D9" w:rsidRPr="009C789B">
        <w:rPr>
          <w:lang w:val="fr-FR"/>
        </w:rPr>
        <w:t> </w:t>
      </w:r>
      <w:r w:rsidR="00667989" w:rsidRPr="009C789B">
        <w:rPr>
          <w:lang w:val="fr-FR"/>
        </w:rPr>
        <w:t>087</w:t>
      </w:r>
      <w:r w:rsidR="005E03D9" w:rsidRPr="009C789B">
        <w:rPr>
          <w:lang w:val="fr-FR"/>
        </w:rPr>
        <w:t xml:space="preserve"> dollars des </w:t>
      </w:r>
      <w:r w:rsidR="00AE0FCA" w:rsidRPr="009C789B">
        <w:rPr>
          <w:lang w:val="fr-FR"/>
        </w:rPr>
        <w:t>États-Unis</w:t>
      </w:r>
      <w:r w:rsidR="00667989" w:rsidRPr="009C789B">
        <w:rPr>
          <w:lang w:val="fr-FR"/>
        </w:rPr>
        <w:t xml:space="preserve">) </w:t>
      </w:r>
      <w:r w:rsidR="00125642" w:rsidRPr="009C789B">
        <w:rPr>
          <w:lang w:val="fr-FR"/>
        </w:rPr>
        <w:t>aux « autres fonctions du Comité »</w:t>
      </w:r>
      <w:r w:rsidR="00667989" w:rsidRPr="009C789B">
        <w:rPr>
          <w:lang w:val="fr-FR"/>
        </w:rPr>
        <w:t xml:space="preserve"> </w:t>
      </w:r>
      <w:r w:rsidR="008E02BA" w:rsidRPr="009C789B">
        <w:rPr>
          <w:lang w:val="fr-FR"/>
        </w:rPr>
        <w:t>telles qu’énoncées à l’ar</w:t>
      </w:r>
      <w:r w:rsidR="00667989" w:rsidRPr="009C789B">
        <w:rPr>
          <w:lang w:val="fr-FR"/>
        </w:rPr>
        <w:t xml:space="preserve">ticle 7 </w:t>
      </w:r>
      <w:r w:rsidR="008E02BA" w:rsidRPr="009C789B">
        <w:rPr>
          <w:lang w:val="fr-FR"/>
        </w:rPr>
        <w:t xml:space="preserve">de la </w:t>
      </w:r>
      <w:r w:rsidR="00667989" w:rsidRPr="009C789B">
        <w:rPr>
          <w:lang w:val="fr-FR"/>
        </w:rPr>
        <w:t xml:space="preserve">Convention </w:t>
      </w:r>
      <w:r w:rsidR="008E02BA" w:rsidRPr="009C789B">
        <w:rPr>
          <w:lang w:val="fr-FR"/>
        </w:rPr>
        <w:t>et dans ses Directives opérationnelles</w:t>
      </w:r>
      <w:r w:rsidR="00667989" w:rsidRPr="009C789B">
        <w:rPr>
          <w:lang w:val="fr-FR"/>
        </w:rPr>
        <w:t xml:space="preserve">. </w:t>
      </w:r>
      <w:r w:rsidR="008E02BA" w:rsidRPr="009C789B">
        <w:rPr>
          <w:lang w:val="fr-FR"/>
        </w:rPr>
        <w:t>Par délégation d</w:t>
      </w:r>
      <w:r w:rsidR="00A5406F" w:rsidRPr="009C789B">
        <w:rPr>
          <w:lang w:val="fr-FR"/>
        </w:rPr>
        <w:t>e pouvoir</w:t>
      </w:r>
      <w:r w:rsidR="008E02BA" w:rsidRPr="009C789B">
        <w:rPr>
          <w:lang w:val="fr-FR"/>
        </w:rPr>
        <w:t xml:space="preserve"> du Comité</w:t>
      </w:r>
      <w:r w:rsidR="00667989" w:rsidRPr="009C789B">
        <w:rPr>
          <w:lang w:val="fr-FR"/>
        </w:rPr>
        <w:t xml:space="preserve"> (</w:t>
      </w:r>
      <w:hyperlink r:id="rId9" w:history="1">
        <w:r w:rsidR="008E02BA" w:rsidRPr="009C789B">
          <w:rPr>
            <w:rStyle w:val="Hyperlink"/>
            <w:lang w:eastAsia="en-US"/>
          </w:rPr>
          <w:t>dé</w:t>
        </w:r>
        <w:r w:rsidR="00667989" w:rsidRPr="009C789B">
          <w:rPr>
            <w:rStyle w:val="Hyperlink"/>
            <w:lang w:eastAsia="en-US"/>
          </w:rPr>
          <w:t>cision 8.COM 11</w:t>
        </w:r>
      </w:hyperlink>
      <w:r w:rsidR="00667989" w:rsidRPr="009C789B">
        <w:rPr>
          <w:lang w:val="fr-FR"/>
        </w:rPr>
        <w:t xml:space="preserve">), </w:t>
      </w:r>
      <w:r w:rsidR="008E02BA" w:rsidRPr="009C789B">
        <w:rPr>
          <w:lang w:val="fr-FR"/>
        </w:rPr>
        <w:t>il a été demandé au</w:t>
      </w:r>
      <w:r w:rsidR="00667989" w:rsidRPr="009C789B">
        <w:rPr>
          <w:lang w:val="fr-FR"/>
        </w:rPr>
        <w:t xml:space="preserve"> Bureau </w:t>
      </w:r>
      <w:r w:rsidR="008E02BA" w:rsidRPr="009C789B">
        <w:rPr>
          <w:lang w:val="fr-FR"/>
        </w:rPr>
        <w:t xml:space="preserve">de </w:t>
      </w:r>
      <w:r w:rsidR="004C47AE" w:rsidRPr="009C789B">
        <w:rPr>
          <w:lang w:val="fr-FR"/>
        </w:rPr>
        <w:t xml:space="preserve">prendre une décision concernant une proposition spécifique préparée par le </w:t>
      </w:r>
      <w:r w:rsidR="00667989" w:rsidRPr="009C789B">
        <w:rPr>
          <w:lang w:val="fr-FR"/>
        </w:rPr>
        <w:t>Secr</w:t>
      </w:r>
      <w:r w:rsidR="004C47AE" w:rsidRPr="009C789B">
        <w:rPr>
          <w:lang w:val="fr-FR"/>
        </w:rPr>
        <w:t>é</w:t>
      </w:r>
      <w:r w:rsidR="00667989" w:rsidRPr="009C789B">
        <w:rPr>
          <w:lang w:val="fr-FR"/>
        </w:rPr>
        <w:t xml:space="preserve">tariat </w:t>
      </w:r>
      <w:r w:rsidR="004C47AE" w:rsidRPr="009C789B">
        <w:rPr>
          <w:lang w:val="fr-FR"/>
        </w:rPr>
        <w:t xml:space="preserve">pour l’utilisation des fonds </w:t>
      </w:r>
      <w:r w:rsidR="00446B37" w:rsidRPr="009C789B">
        <w:rPr>
          <w:lang w:val="fr-FR"/>
        </w:rPr>
        <w:t xml:space="preserve">dans </w:t>
      </w:r>
      <w:r w:rsidR="004C47AE" w:rsidRPr="009C789B">
        <w:rPr>
          <w:lang w:val="fr-FR"/>
        </w:rPr>
        <w:t>cette catégorie</w:t>
      </w:r>
      <w:r w:rsidR="00667989" w:rsidRPr="009C789B">
        <w:rPr>
          <w:lang w:val="fr-FR"/>
        </w:rPr>
        <w:t xml:space="preserve">, </w:t>
      </w:r>
      <w:r w:rsidR="004C47AE" w:rsidRPr="009C789B">
        <w:rPr>
          <w:lang w:val="fr-FR"/>
        </w:rPr>
        <w:t>pour la période susmentionnée</w:t>
      </w:r>
      <w:r w:rsidR="00667989" w:rsidRPr="009C789B">
        <w:rPr>
          <w:lang w:val="fr-FR"/>
        </w:rPr>
        <w:t xml:space="preserve"> (</w:t>
      </w:r>
      <w:hyperlink r:id="rId10" w:history="1">
        <w:r w:rsidR="004C47AE" w:rsidRPr="009C789B">
          <w:rPr>
            <w:rStyle w:val="Hyperlink"/>
            <w:lang w:eastAsia="en-US"/>
          </w:rPr>
          <w:t>dé</w:t>
        </w:r>
        <w:r w:rsidR="00667989" w:rsidRPr="009C789B">
          <w:rPr>
            <w:rStyle w:val="Hyperlink"/>
            <w:lang w:eastAsia="en-US"/>
          </w:rPr>
          <w:t>cision 9.COM 2.BUR 1</w:t>
        </w:r>
      </w:hyperlink>
      <w:r w:rsidR="00667989" w:rsidRPr="009C789B">
        <w:rPr>
          <w:lang w:val="fr-FR"/>
        </w:rPr>
        <w:t>)</w:t>
      </w:r>
      <w:r w:rsidR="00667989" w:rsidRPr="009C789B">
        <w:rPr>
          <w:vertAlign w:val="superscript"/>
          <w:lang w:val="fr-FR"/>
        </w:rPr>
        <w:footnoteReference w:id="2"/>
      </w:r>
      <w:r w:rsidR="00667989" w:rsidRPr="009C789B">
        <w:rPr>
          <w:lang w:val="fr-FR"/>
        </w:rPr>
        <w:t xml:space="preserve">. </w:t>
      </w:r>
      <w:r w:rsidR="004C47AE" w:rsidRPr="009C789B">
        <w:rPr>
          <w:lang w:val="fr-FR"/>
        </w:rPr>
        <w:t xml:space="preserve">Dans cette même décision, le </w:t>
      </w:r>
      <w:r w:rsidR="00667989" w:rsidRPr="009C789B">
        <w:rPr>
          <w:lang w:val="fr-FR"/>
        </w:rPr>
        <w:t xml:space="preserve">Bureau </w:t>
      </w:r>
      <w:r w:rsidR="004C47AE" w:rsidRPr="009C789B">
        <w:rPr>
          <w:lang w:val="fr-FR"/>
        </w:rPr>
        <w:t xml:space="preserve">a demandé au </w:t>
      </w:r>
      <w:r w:rsidR="00667989" w:rsidRPr="009C789B">
        <w:rPr>
          <w:lang w:val="fr-FR"/>
        </w:rPr>
        <w:t>Secr</w:t>
      </w:r>
      <w:r w:rsidR="004C47AE" w:rsidRPr="009C789B">
        <w:rPr>
          <w:lang w:val="fr-FR"/>
        </w:rPr>
        <w:t>é</w:t>
      </w:r>
      <w:r w:rsidR="00667989" w:rsidRPr="009C789B">
        <w:rPr>
          <w:lang w:val="fr-FR"/>
        </w:rPr>
        <w:t>tariat</w:t>
      </w:r>
      <w:r w:rsidR="004C47AE" w:rsidRPr="009C789B">
        <w:rPr>
          <w:lang w:val="fr-FR"/>
        </w:rPr>
        <w:t xml:space="preserve"> de</w:t>
      </w:r>
      <w:r w:rsidR="00667989" w:rsidRPr="009C789B">
        <w:rPr>
          <w:lang w:val="fr-FR"/>
        </w:rPr>
        <w:t xml:space="preserve"> </w:t>
      </w:r>
      <w:r w:rsidR="00A0263E" w:rsidRPr="009C789B">
        <w:rPr>
          <w:lang w:val="fr-FR"/>
        </w:rPr>
        <w:t>« </w:t>
      </w:r>
      <w:r w:rsidR="004C47AE" w:rsidRPr="009C789B">
        <w:rPr>
          <w:lang w:val="fr-FR"/>
        </w:rPr>
        <w:t>rendre compte de l’avancement de la mise en œuvre et de la façon dont les fonds sont dépensés »</w:t>
      </w:r>
      <w:r w:rsidR="00667989" w:rsidRPr="009C789B">
        <w:rPr>
          <w:lang w:val="fr-FR"/>
        </w:rPr>
        <w:t xml:space="preserve">. </w:t>
      </w:r>
      <w:r w:rsidR="004C47AE" w:rsidRPr="009C789B">
        <w:rPr>
          <w:lang w:val="fr-FR"/>
        </w:rPr>
        <w:t xml:space="preserve">Conformément au </w:t>
      </w:r>
      <w:r w:rsidR="00A0263E" w:rsidRPr="009C789B">
        <w:rPr>
          <w:lang w:val="fr-FR"/>
        </w:rPr>
        <w:t xml:space="preserve">document </w:t>
      </w:r>
      <w:r w:rsidR="00667989" w:rsidRPr="009C789B">
        <w:rPr>
          <w:lang w:val="fr-FR"/>
        </w:rPr>
        <w:t>37C/5 Appro</w:t>
      </w:r>
      <w:r w:rsidR="004C47AE" w:rsidRPr="009C789B">
        <w:rPr>
          <w:lang w:val="fr-FR"/>
        </w:rPr>
        <w:t>uvé</w:t>
      </w:r>
      <w:r w:rsidR="00667989" w:rsidRPr="009C789B">
        <w:rPr>
          <w:lang w:val="fr-FR"/>
        </w:rPr>
        <w:t xml:space="preserve"> </w:t>
      </w:r>
      <w:r w:rsidR="004C47AE" w:rsidRPr="009C789B">
        <w:rPr>
          <w:lang w:val="fr-FR"/>
        </w:rPr>
        <w:t>et à l</w:t>
      </w:r>
      <w:r w:rsidR="002842B0" w:rsidRPr="009C789B">
        <w:rPr>
          <w:lang w:val="fr-FR"/>
        </w:rPr>
        <w:t>a ré</w:t>
      </w:r>
      <w:r w:rsidR="004C47AE" w:rsidRPr="009C789B">
        <w:rPr>
          <w:lang w:val="fr-FR"/>
        </w:rPr>
        <w:t xml:space="preserve">orientation de l’Organisation vers l’intégration des principes de gestion et de budgétisation fondées sur les résultats, le </w:t>
      </w:r>
      <w:r w:rsidR="00667989" w:rsidRPr="009C789B">
        <w:rPr>
          <w:lang w:val="fr-FR"/>
        </w:rPr>
        <w:t xml:space="preserve">Bureau </w:t>
      </w:r>
      <w:r w:rsidR="004C47AE" w:rsidRPr="009C789B">
        <w:rPr>
          <w:lang w:val="fr-FR"/>
        </w:rPr>
        <w:t xml:space="preserve">a </w:t>
      </w:r>
      <w:r w:rsidR="00DD2792" w:rsidRPr="009C789B">
        <w:rPr>
          <w:lang w:val="fr-FR"/>
        </w:rPr>
        <w:t xml:space="preserve">pour la première fois </w:t>
      </w:r>
      <w:r w:rsidR="00667989" w:rsidRPr="009C789B">
        <w:rPr>
          <w:lang w:val="fr-FR"/>
        </w:rPr>
        <w:t>appro</w:t>
      </w:r>
      <w:r w:rsidR="004C47AE" w:rsidRPr="009C789B">
        <w:rPr>
          <w:lang w:val="fr-FR"/>
        </w:rPr>
        <w:t xml:space="preserve">uvé en cette occasion une proposition </w:t>
      </w:r>
      <w:r w:rsidR="00DD2792" w:rsidRPr="009C789B">
        <w:rPr>
          <w:lang w:val="fr-FR"/>
        </w:rPr>
        <w:t>comprenant</w:t>
      </w:r>
      <w:r w:rsidR="004C47AE" w:rsidRPr="009C789B">
        <w:rPr>
          <w:lang w:val="fr-FR"/>
        </w:rPr>
        <w:t xml:space="preserve"> un cadre de résultats avec </w:t>
      </w:r>
      <w:r w:rsidR="00932951" w:rsidRPr="009C789B">
        <w:rPr>
          <w:lang w:val="fr-FR"/>
        </w:rPr>
        <w:t>dot</w:t>
      </w:r>
      <w:r w:rsidR="00803527" w:rsidRPr="009C789B">
        <w:rPr>
          <w:lang w:val="fr-FR"/>
        </w:rPr>
        <w:t>ations budgétaires</w:t>
      </w:r>
      <w:r w:rsidR="001D4837" w:rsidRPr="009C789B">
        <w:rPr>
          <w:lang w:val="fr-FR"/>
        </w:rPr>
        <w:t xml:space="preserve"> pour chaque résultat</w:t>
      </w:r>
      <w:r w:rsidR="00AB0F0C" w:rsidRPr="009C789B">
        <w:rPr>
          <w:lang w:val="fr-FR"/>
        </w:rPr>
        <w:t>.</w:t>
      </w:r>
    </w:p>
    <w:p w14:paraId="788E8205" w14:textId="77777777" w:rsidR="00985DAD" w:rsidRPr="009C789B" w:rsidRDefault="001D4837" w:rsidP="00AF1379">
      <w:pPr>
        <w:pStyle w:val="GAParabodytext"/>
        <w:ind w:left="567" w:hanging="567"/>
        <w:rPr>
          <w:lang w:val="fr-FR"/>
        </w:rPr>
      </w:pPr>
      <w:r w:rsidRPr="009C789B">
        <w:rPr>
          <w:lang w:val="fr-FR"/>
        </w:rPr>
        <w:t xml:space="preserve">Le présent </w:t>
      </w:r>
      <w:r w:rsidR="00165F9C" w:rsidRPr="009C789B">
        <w:rPr>
          <w:lang w:val="fr-FR"/>
        </w:rPr>
        <w:t xml:space="preserve">document </w:t>
      </w:r>
      <w:r w:rsidR="00313E46" w:rsidRPr="009C789B">
        <w:rPr>
          <w:lang w:val="fr-FR"/>
        </w:rPr>
        <w:t xml:space="preserve">a pour objet d’informer les </w:t>
      </w:r>
      <w:r w:rsidR="00AE0FCA" w:rsidRPr="009C789B">
        <w:rPr>
          <w:lang w:val="fr-FR"/>
        </w:rPr>
        <w:t>États</w:t>
      </w:r>
      <w:r w:rsidR="00313E46" w:rsidRPr="009C789B">
        <w:rPr>
          <w:lang w:val="fr-FR"/>
        </w:rPr>
        <w:t xml:space="preserve"> parties, en particulier les </w:t>
      </w:r>
      <w:r w:rsidR="00AE0FCA" w:rsidRPr="009C789B">
        <w:rPr>
          <w:lang w:val="fr-FR"/>
        </w:rPr>
        <w:t>États</w:t>
      </w:r>
      <w:r w:rsidR="00313E46" w:rsidRPr="009C789B">
        <w:rPr>
          <w:lang w:val="fr-FR"/>
        </w:rPr>
        <w:t xml:space="preserve"> membres du Bureau, de l’avancement de l’exécution du plan de dépenses adopté en juin  </w:t>
      </w:r>
      <w:r w:rsidR="00165F9C" w:rsidRPr="009C789B">
        <w:rPr>
          <w:lang w:val="fr-FR"/>
        </w:rPr>
        <w:t xml:space="preserve">2014 </w:t>
      </w:r>
      <w:r w:rsidR="00313E46" w:rsidRPr="009C789B">
        <w:rPr>
          <w:lang w:val="fr-FR"/>
        </w:rPr>
        <w:t xml:space="preserve">au cours de l’exercice biennal </w:t>
      </w:r>
      <w:r w:rsidR="00165F9C" w:rsidRPr="009C789B">
        <w:rPr>
          <w:lang w:val="fr-FR"/>
        </w:rPr>
        <w:t>2014-2015 (</w:t>
      </w:r>
      <w:hyperlink r:id="rId11" w:history="1">
        <w:r w:rsidR="00313E46" w:rsidRPr="009C789B">
          <w:rPr>
            <w:rStyle w:val="Hyperlink"/>
            <w:lang w:eastAsia="en-US"/>
          </w:rPr>
          <w:t>dé</w:t>
        </w:r>
        <w:r w:rsidR="00165F9C" w:rsidRPr="009C789B">
          <w:rPr>
            <w:rStyle w:val="Hyperlink"/>
            <w:lang w:eastAsia="en-US"/>
          </w:rPr>
          <w:t>cision 9.COM 2.BUR 1</w:t>
        </w:r>
      </w:hyperlink>
      <w:r w:rsidR="00165F9C" w:rsidRPr="009C789B">
        <w:rPr>
          <w:lang w:val="fr-FR"/>
        </w:rPr>
        <w:t>). I</w:t>
      </w:r>
      <w:r w:rsidR="00F541AE" w:rsidRPr="009C789B">
        <w:rPr>
          <w:lang w:val="fr-FR"/>
        </w:rPr>
        <w:t xml:space="preserve">l </w:t>
      </w:r>
      <w:r w:rsidR="00F611DE" w:rsidRPr="009C789B">
        <w:rPr>
          <w:lang w:val="fr-FR"/>
        </w:rPr>
        <w:t>reprend</w:t>
      </w:r>
      <w:r w:rsidR="00803527" w:rsidRPr="009C789B">
        <w:rPr>
          <w:lang w:val="fr-FR"/>
        </w:rPr>
        <w:t xml:space="preserve"> la présentation </w:t>
      </w:r>
      <w:r w:rsidR="00F541AE" w:rsidRPr="009C789B">
        <w:rPr>
          <w:lang w:val="fr-FR"/>
        </w:rPr>
        <w:t xml:space="preserve">des rapports </w:t>
      </w:r>
      <w:r w:rsidR="00065762" w:rsidRPr="009C789B">
        <w:rPr>
          <w:lang w:val="fr-FR"/>
        </w:rPr>
        <w:t xml:space="preserve">sur l’exécution du programme soumis </w:t>
      </w:r>
      <w:r w:rsidR="00F541AE" w:rsidRPr="009C789B">
        <w:rPr>
          <w:lang w:val="fr-FR"/>
        </w:rPr>
        <w:t>au Co</w:t>
      </w:r>
      <w:r w:rsidR="005C2DCD" w:rsidRPr="009C789B">
        <w:rPr>
          <w:lang w:val="fr-FR"/>
        </w:rPr>
        <w:t>nseil</w:t>
      </w:r>
      <w:r w:rsidR="00F541AE" w:rsidRPr="009C789B">
        <w:rPr>
          <w:lang w:val="fr-FR"/>
        </w:rPr>
        <w:t xml:space="preserve"> exécutif de l’UNESCO tel</w:t>
      </w:r>
      <w:r w:rsidR="00065762" w:rsidRPr="009C789B">
        <w:rPr>
          <w:lang w:val="fr-FR"/>
        </w:rPr>
        <w:t>le</w:t>
      </w:r>
      <w:r w:rsidR="00F541AE" w:rsidRPr="009C789B">
        <w:rPr>
          <w:lang w:val="fr-FR"/>
        </w:rPr>
        <w:t xml:space="preserve"> qu’adopté</w:t>
      </w:r>
      <w:r w:rsidR="00065762" w:rsidRPr="009C789B">
        <w:rPr>
          <w:lang w:val="fr-FR"/>
        </w:rPr>
        <w:t>e</w:t>
      </w:r>
      <w:r w:rsidR="00F541AE" w:rsidRPr="009C789B">
        <w:rPr>
          <w:lang w:val="fr-FR"/>
        </w:rPr>
        <w:t xml:space="preserve"> par la </w:t>
      </w:r>
      <w:r w:rsidR="00165F9C" w:rsidRPr="009C789B">
        <w:rPr>
          <w:lang w:val="fr-FR"/>
        </w:rPr>
        <w:t>38</w:t>
      </w:r>
      <w:r w:rsidR="00F541AE" w:rsidRPr="009C789B">
        <w:rPr>
          <w:vertAlign w:val="superscript"/>
          <w:lang w:val="fr-FR"/>
        </w:rPr>
        <w:t xml:space="preserve">e </w:t>
      </w:r>
      <w:r w:rsidR="00165F9C" w:rsidRPr="009C789B">
        <w:rPr>
          <w:lang w:val="fr-FR"/>
        </w:rPr>
        <w:t xml:space="preserve">session </w:t>
      </w:r>
      <w:r w:rsidR="00F541AE" w:rsidRPr="009C789B">
        <w:rPr>
          <w:lang w:val="fr-FR"/>
        </w:rPr>
        <w:t xml:space="preserve">de la Conférence générale </w:t>
      </w:r>
      <w:r w:rsidR="00165F9C" w:rsidRPr="009C789B">
        <w:rPr>
          <w:lang w:val="fr-FR"/>
        </w:rPr>
        <w:t>(38 C/R</w:t>
      </w:r>
      <w:r w:rsidR="00F541AE" w:rsidRPr="009C789B">
        <w:rPr>
          <w:lang w:val="fr-FR"/>
        </w:rPr>
        <w:t>é</w:t>
      </w:r>
      <w:r w:rsidR="00165F9C" w:rsidRPr="009C789B">
        <w:rPr>
          <w:lang w:val="fr-FR"/>
        </w:rPr>
        <w:t xml:space="preserve">solution 99). </w:t>
      </w:r>
      <w:r w:rsidR="00F541AE" w:rsidRPr="009C789B">
        <w:rPr>
          <w:lang w:val="fr-FR"/>
        </w:rPr>
        <w:t xml:space="preserve">En conséquence, il présente une évaluation analytique de la mise en œuvre du programme et </w:t>
      </w:r>
      <w:r w:rsidR="00B801ED" w:rsidRPr="009C789B">
        <w:rPr>
          <w:lang w:val="fr-FR"/>
        </w:rPr>
        <w:t xml:space="preserve">des progrès dans l’obtention des </w:t>
      </w:r>
      <w:r w:rsidR="001039F0" w:rsidRPr="009C789B">
        <w:rPr>
          <w:lang w:val="fr-FR"/>
        </w:rPr>
        <w:t>produits</w:t>
      </w:r>
      <w:r w:rsidR="00B801ED" w:rsidRPr="009C789B">
        <w:rPr>
          <w:lang w:val="fr-FR"/>
        </w:rPr>
        <w:t xml:space="preserve"> approuvés par le </w:t>
      </w:r>
      <w:r w:rsidR="00165F9C" w:rsidRPr="009C789B">
        <w:rPr>
          <w:lang w:val="fr-FR"/>
        </w:rPr>
        <w:t xml:space="preserve">Bureau. </w:t>
      </w:r>
      <w:r w:rsidR="00B801ED" w:rsidRPr="009C789B">
        <w:rPr>
          <w:lang w:val="fr-FR"/>
        </w:rPr>
        <w:t>Les progrès sont évalués par rapport à des référence</w:t>
      </w:r>
      <w:r w:rsidR="001039F0" w:rsidRPr="009C789B">
        <w:rPr>
          <w:lang w:val="fr-FR"/>
        </w:rPr>
        <w:t>s</w:t>
      </w:r>
      <w:r w:rsidR="00B801ED" w:rsidRPr="009C789B">
        <w:rPr>
          <w:lang w:val="fr-FR"/>
        </w:rPr>
        <w:t xml:space="preserve"> également approuvées par le </w:t>
      </w:r>
      <w:r w:rsidR="00165F9C" w:rsidRPr="009C789B">
        <w:rPr>
          <w:lang w:val="fr-FR"/>
        </w:rPr>
        <w:t>Bureau.</w:t>
      </w:r>
    </w:p>
    <w:p w14:paraId="0E1EED36" w14:textId="77777777" w:rsidR="00165F9C" w:rsidRPr="009C789B" w:rsidRDefault="00AF1379" w:rsidP="00AB0F0C">
      <w:pPr>
        <w:pStyle w:val="GAParabodytext"/>
        <w:numPr>
          <w:ilvl w:val="0"/>
          <w:numId w:val="0"/>
        </w:numPr>
        <w:tabs>
          <w:tab w:val="clear" w:pos="567"/>
        </w:tabs>
        <w:spacing w:before="360"/>
        <w:ind w:left="567" w:hanging="567"/>
        <w:rPr>
          <w:lang w:val="fr-FR"/>
        </w:rPr>
      </w:pPr>
      <w:r w:rsidRPr="009C789B">
        <w:rPr>
          <w:b/>
          <w:lang w:val="fr-FR"/>
        </w:rPr>
        <w:t>I.</w:t>
      </w:r>
      <w:r w:rsidRPr="009C789B">
        <w:rPr>
          <w:lang w:val="fr-FR"/>
        </w:rPr>
        <w:tab/>
      </w:r>
      <w:r w:rsidR="00B801ED" w:rsidRPr="009C789B">
        <w:rPr>
          <w:b/>
          <w:lang w:val="fr-FR"/>
        </w:rPr>
        <w:t xml:space="preserve">ÉVALUATION STRATÉGIQUE </w:t>
      </w:r>
      <w:r w:rsidR="00B801ED" w:rsidRPr="009C789B">
        <w:rPr>
          <w:rFonts w:cs="Times New Roman"/>
          <w:b/>
          <w:bCs/>
          <w:caps/>
          <w:szCs w:val="24"/>
          <w:lang w:val="fr-FR"/>
        </w:rPr>
        <w:t>GLOBALE</w:t>
      </w:r>
    </w:p>
    <w:p w14:paraId="537ED99A" w14:textId="77777777" w:rsidR="005F0F4B" w:rsidRPr="009C789B" w:rsidRDefault="00AB0F0C" w:rsidP="00AB0F0C">
      <w:pPr>
        <w:spacing w:before="240" w:after="240"/>
        <w:ind w:left="851" w:hanging="851"/>
        <w:rPr>
          <w:rFonts w:ascii="Arial" w:hAnsi="Arial" w:cs="Arial"/>
          <w:b/>
          <w:bCs/>
          <w:sz w:val="22"/>
          <w:szCs w:val="22"/>
        </w:rPr>
      </w:pPr>
      <w:r w:rsidRPr="009C789B">
        <w:rPr>
          <w:rFonts w:ascii="Arial" w:hAnsi="Arial" w:cs="Arial"/>
          <w:b/>
          <w:bCs/>
          <w:sz w:val="22"/>
          <w:szCs w:val="22"/>
        </w:rPr>
        <w:t>Principales réalisations</w:t>
      </w:r>
    </w:p>
    <w:p w14:paraId="446ED07F" w14:textId="641A6B4C" w:rsidR="00985DAD" w:rsidRPr="009C789B" w:rsidRDefault="00B801ED" w:rsidP="00AF1379">
      <w:pPr>
        <w:pStyle w:val="GAParabodytext"/>
        <w:ind w:left="567" w:hanging="567"/>
        <w:rPr>
          <w:lang w:val="fr-FR"/>
        </w:rPr>
      </w:pPr>
      <w:r w:rsidRPr="009C789B">
        <w:rPr>
          <w:lang w:val="fr-FR"/>
        </w:rPr>
        <w:t xml:space="preserve">Les fonds alloués par l’Assemblée générale aux </w:t>
      </w:r>
      <w:r w:rsidR="001039F0" w:rsidRPr="009C789B">
        <w:rPr>
          <w:lang w:val="fr-FR"/>
        </w:rPr>
        <w:t>« </w:t>
      </w:r>
      <w:r w:rsidRPr="009C789B">
        <w:rPr>
          <w:lang w:val="fr-FR"/>
        </w:rPr>
        <w:t>autres fonctions du Comité</w:t>
      </w:r>
      <w:r w:rsidR="001039F0" w:rsidRPr="009C789B">
        <w:rPr>
          <w:lang w:val="fr-FR"/>
        </w:rPr>
        <w:t> »</w:t>
      </w:r>
      <w:r w:rsidRPr="009C789B">
        <w:rPr>
          <w:lang w:val="fr-FR"/>
        </w:rPr>
        <w:t xml:space="preserve"> sont </w:t>
      </w:r>
      <w:r w:rsidR="000D77E2" w:rsidRPr="009C789B">
        <w:rPr>
          <w:lang w:val="fr-FR"/>
        </w:rPr>
        <w:t>cruciaux</w:t>
      </w:r>
      <w:r w:rsidRPr="009C789B">
        <w:rPr>
          <w:lang w:val="fr-FR"/>
        </w:rPr>
        <w:t xml:space="preserve"> pour </w:t>
      </w:r>
      <w:r w:rsidR="001039F0" w:rsidRPr="009C789B">
        <w:rPr>
          <w:lang w:val="fr-FR"/>
        </w:rPr>
        <w:t>que le</w:t>
      </w:r>
      <w:r w:rsidRPr="009C789B">
        <w:rPr>
          <w:lang w:val="fr-FR"/>
        </w:rPr>
        <w:t xml:space="preserve"> Comité </w:t>
      </w:r>
      <w:r w:rsidR="001039F0" w:rsidRPr="009C789B">
        <w:rPr>
          <w:lang w:val="fr-FR"/>
        </w:rPr>
        <w:t>puisse remplir</w:t>
      </w:r>
      <w:r w:rsidRPr="009C789B">
        <w:rPr>
          <w:lang w:val="fr-FR"/>
        </w:rPr>
        <w:t xml:space="preserve"> efficacement son mandat </w:t>
      </w:r>
      <w:r w:rsidR="00095678" w:rsidRPr="009C789B">
        <w:rPr>
          <w:lang w:val="fr-FR"/>
        </w:rPr>
        <w:t xml:space="preserve">au-delà de la seule conduite de ses sessions </w:t>
      </w:r>
      <w:r w:rsidR="00F611DE" w:rsidRPr="009C789B">
        <w:rPr>
          <w:lang w:val="fr-FR"/>
        </w:rPr>
        <w:t>et</w:t>
      </w:r>
      <w:r w:rsidR="00095678" w:rsidRPr="009C789B">
        <w:rPr>
          <w:lang w:val="fr-FR"/>
        </w:rPr>
        <w:t xml:space="preserve"> de l’examen des dossiers soumis par les </w:t>
      </w:r>
      <w:r w:rsidR="00AE0FCA" w:rsidRPr="009C789B">
        <w:rPr>
          <w:lang w:val="fr-FR"/>
        </w:rPr>
        <w:t>États</w:t>
      </w:r>
      <w:r w:rsidR="00095678" w:rsidRPr="009C789B">
        <w:rPr>
          <w:lang w:val="fr-FR"/>
        </w:rPr>
        <w:t xml:space="preserve"> parties a</w:t>
      </w:r>
      <w:r w:rsidR="008042FC" w:rsidRPr="009C789B">
        <w:rPr>
          <w:lang w:val="fr-FR"/>
        </w:rPr>
        <w:t>insi que de</w:t>
      </w:r>
      <w:r w:rsidR="00095678" w:rsidRPr="009C789B">
        <w:rPr>
          <w:lang w:val="fr-FR"/>
        </w:rPr>
        <w:t>s décisions correspondantes</w:t>
      </w:r>
      <w:r w:rsidR="005F0F4B" w:rsidRPr="009C789B">
        <w:rPr>
          <w:lang w:val="fr-FR"/>
        </w:rPr>
        <w:t xml:space="preserve">. </w:t>
      </w:r>
      <w:r w:rsidR="00095678" w:rsidRPr="009C789B">
        <w:rPr>
          <w:lang w:val="fr-FR"/>
        </w:rPr>
        <w:t>Au cours de l’exercice biennal</w:t>
      </w:r>
      <w:r w:rsidR="005F0F4B" w:rsidRPr="009C789B">
        <w:rPr>
          <w:lang w:val="fr-FR"/>
        </w:rPr>
        <w:t xml:space="preserve"> 2014-2015</w:t>
      </w:r>
      <w:r w:rsidR="00095678" w:rsidRPr="009C789B">
        <w:rPr>
          <w:lang w:val="fr-FR"/>
        </w:rPr>
        <w:t xml:space="preserve">, cette ligne budgétaire du Fonds a donc été déterminante pour encourager et </w:t>
      </w:r>
      <w:r w:rsidR="00054478" w:rsidRPr="009C789B">
        <w:rPr>
          <w:lang w:val="fr-FR"/>
        </w:rPr>
        <w:t xml:space="preserve">assurer le suivi de </w:t>
      </w:r>
      <w:r w:rsidR="00095678" w:rsidRPr="009C789B">
        <w:rPr>
          <w:lang w:val="fr-FR"/>
        </w:rPr>
        <w:t xml:space="preserve">la mise en </w:t>
      </w:r>
      <w:r w:rsidR="000D77E2" w:rsidRPr="009C789B">
        <w:rPr>
          <w:lang w:val="fr-FR"/>
        </w:rPr>
        <w:t xml:space="preserve">œuvre </w:t>
      </w:r>
      <w:r w:rsidR="00095678" w:rsidRPr="009C789B">
        <w:rPr>
          <w:lang w:val="fr-FR"/>
        </w:rPr>
        <w:t xml:space="preserve">de la </w:t>
      </w:r>
      <w:r w:rsidR="005F0F4B" w:rsidRPr="009C789B">
        <w:rPr>
          <w:lang w:val="fr-FR"/>
        </w:rPr>
        <w:t>Convention (</w:t>
      </w:r>
      <w:r w:rsidR="00095678" w:rsidRPr="009C789B">
        <w:rPr>
          <w:lang w:val="fr-FR"/>
        </w:rPr>
        <w:t>a</w:t>
      </w:r>
      <w:r w:rsidR="005F0F4B" w:rsidRPr="009C789B">
        <w:rPr>
          <w:lang w:val="fr-FR"/>
        </w:rPr>
        <w:t>rticle 7[a])</w:t>
      </w:r>
      <w:r w:rsidR="001721F4" w:rsidRPr="009C789B">
        <w:rPr>
          <w:lang w:val="fr-FR"/>
        </w:rPr>
        <w:t>,</w:t>
      </w:r>
      <w:r w:rsidR="005F0F4B" w:rsidRPr="009C789B">
        <w:rPr>
          <w:lang w:val="fr-FR"/>
        </w:rPr>
        <w:t xml:space="preserve"> </w:t>
      </w:r>
      <w:r w:rsidR="001721F4" w:rsidRPr="009C789B">
        <w:rPr>
          <w:lang w:val="fr-FR"/>
        </w:rPr>
        <w:t>ainsi que pour</w:t>
      </w:r>
      <w:r w:rsidR="00095678" w:rsidRPr="009C789B">
        <w:rPr>
          <w:lang w:val="fr-FR"/>
        </w:rPr>
        <w:t xml:space="preserve"> suivre la mise en œuvre d’un certain nombre de décisions adoptées par le Comité, en particulier à la suite de l’évaluation par le </w:t>
      </w:r>
      <w:r w:rsidR="00285BAE" w:rsidRPr="009C789B">
        <w:rPr>
          <w:lang w:val="fr-FR"/>
        </w:rPr>
        <w:t>Service d’</w:t>
      </w:r>
      <w:r w:rsidR="000D77E2" w:rsidRPr="009C789B">
        <w:rPr>
          <w:lang w:val="fr-FR"/>
        </w:rPr>
        <w:t>évaluation et d’</w:t>
      </w:r>
      <w:r w:rsidR="00285BAE" w:rsidRPr="009C789B">
        <w:rPr>
          <w:lang w:val="fr-FR"/>
        </w:rPr>
        <w:t xml:space="preserve">audit </w:t>
      </w:r>
      <w:r w:rsidR="000D77E2" w:rsidRPr="009C789B">
        <w:rPr>
          <w:lang w:val="fr-FR"/>
        </w:rPr>
        <w:t xml:space="preserve">(IOS) </w:t>
      </w:r>
      <w:r w:rsidR="00285BAE" w:rsidRPr="009C789B">
        <w:rPr>
          <w:lang w:val="fr-FR"/>
        </w:rPr>
        <w:t xml:space="preserve">de l’UNESCO </w:t>
      </w:r>
      <w:r w:rsidR="001721F4" w:rsidRPr="009C789B">
        <w:rPr>
          <w:lang w:val="fr-FR"/>
        </w:rPr>
        <w:t xml:space="preserve">du </w:t>
      </w:r>
      <w:r w:rsidR="00285BAE" w:rsidRPr="009C789B">
        <w:rPr>
          <w:lang w:val="fr-FR"/>
        </w:rPr>
        <w:t>travail normatif du secteur de la Culture de l’Organisation</w:t>
      </w:r>
      <w:r w:rsidR="00054478" w:rsidRPr="009C789B">
        <w:rPr>
          <w:lang w:val="fr-FR"/>
        </w:rPr>
        <w:t>, dont</w:t>
      </w:r>
      <w:r w:rsidR="005F0F4B" w:rsidRPr="009C789B">
        <w:rPr>
          <w:lang w:val="fr-FR"/>
        </w:rPr>
        <w:t xml:space="preserve"> </w:t>
      </w:r>
      <w:r w:rsidR="00054478" w:rsidRPr="009C789B">
        <w:rPr>
          <w:lang w:val="fr-FR"/>
        </w:rPr>
        <w:t>l</w:t>
      </w:r>
      <w:r w:rsidR="00285BAE" w:rsidRPr="009C789B">
        <w:rPr>
          <w:lang w:val="fr-FR"/>
        </w:rPr>
        <w:t>a première partie</w:t>
      </w:r>
      <w:r w:rsidR="001721F4" w:rsidRPr="009C789B">
        <w:rPr>
          <w:lang w:val="fr-FR"/>
        </w:rPr>
        <w:t>,</w:t>
      </w:r>
      <w:r w:rsidR="00285BAE" w:rsidRPr="009C789B">
        <w:rPr>
          <w:lang w:val="fr-FR"/>
        </w:rPr>
        <w:t xml:space="preserve"> achevée en </w:t>
      </w:r>
      <w:r w:rsidR="005F0F4B" w:rsidRPr="009C789B">
        <w:rPr>
          <w:lang w:val="fr-FR"/>
        </w:rPr>
        <w:t>2013</w:t>
      </w:r>
      <w:r w:rsidR="001721F4" w:rsidRPr="009C789B">
        <w:rPr>
          <w:lang w:val="fr-FR"/>
        </w:rPr>
        <w:t>,</w:t>
      </w:r>
      <w:r w:rsidR="005F0F4B" w:rsidRPr="009C789B">
        <w:rPr>
          <w:lang w:val="fr-FR"/>
        </w:rPr>
        <w:t xml:space="preserve"> concern</w:t>
      </w:r>
      <w:r w:rsidR="00285BAE" w:rsidRPr="009C789B">
        <w:rPr>
          <w:lang w:val="fr-FR"/>
        </w:rPr>
        <w:t xml:space="preserve">ait la </w:t>
      </w:r>
      <w:r w:rsidR="005F0F4B" w:rsidRPr="009C789B">
        <w:rPr>
          <w:lang w:val="fr-FR"/>
        </w:rPr>
        <w:t xml:space="preserve">Convention </w:t>
      </w:r>
      <w:r w:rsidR="00285BAE" w:rsidRPr="009C789B">
        <w:rPr>
          <w:lang w:val="fr-FR"/>
        </w:rPr>
        <w:t>de 2003 pour la sauvegarde du patrimoine culturel imm</w:t>
      </w:r>
      <w:r w:rsidR="001721F4" w:rsidRPr="009C789B">
        <w:rPr>
          <w:lang w:val="fr-FR"/>
        </w:rPr>
        <w:t>a</w:t>
      </w:r>
      <w:r w:rsidR="00285BAE" w:rsidRPr="009C789B">
        <w:rPr>
          <w:lang w:val="fr-FR"/>
        </w:rPr>
        <w:t>tériel</w:t>
      </w:r>
      <w:r w:rsidR="005F0F4B" w:rsidRPr="009C789B">
        <w:rPr>
          <w:lang w:val="fr-FR"/>
        </w:rPr>
        <w:t xml:space="preserve"> (</w:t>
      </w:r>
      <w:hyperlink r:id="rId12" w:history="1">
        <w:r w:rsidR="00285BAE" w:rsidRPr="009C789B">
          <w:rPr>
            <w:rStyle w:val="Hyperlink"/>
            <w:lang w:eastAsia="en-US"/>
          </w:rPr>
          <w:t>d</w:t>
        </w:r>
        <w:r w:rsidR="005F0F4B" w:rsidRPr="009C789B">
          <w:rPr>
            <w:rStyle w:val="Hyperlink"/>
            <w:lang w:eastAsia="en-US"/>
          </w:rPr>
          <w:t>ocument IOS/EVS/PI/129 REV.</w:t>
        </w:r>
      </w:hyperlink>
      <w:r w:rsidR="005F0F4B" w:rsidRPr="009C789B">
        <w:rPr>
          <w:lang w:val="fr-FR"/>
        </w:rPr>
        <w:t>).</w:t>
      </w:r>
    </w:p>
    <w:p w14:paraId="6A417306" w14:textId="6358DA8C" w:rsidR="00AF1379" w:rsidRPr="009C789B" w:rsidRDefault="00285BAE" w:rsidP="00AF1379">
      <w:pPr>
        <w:pStyle w:val="GAParabodytext"/>
        <w:ind w:left="567" w:hanging="567"/>
        <w:rPr>
          <w:lang w:val="fr-FR"/>
        </w:rPr>
      </w:pPr>
      <w:r w:rsidRPr="009C789B">
        <w:rPr>
          <w:lang w:val="fr-FR"/>
        </w:rPr>
        <w:t>L’</w:t>
      </w:r>
      <w:r w:rsidR="005F0F4B" w:rsidRPr="009C789B">
        <w:rPr>
          <w:lang w:val="fr-FR"/>
        </w:rPr>
        <w:t xml:space="preserve">importance </w:t>
      </w:r>
      <w:r w:rsidRPr="009C789B">
        <w:rPr>
          <w:lang w:val="fr-FR"/>
        </w:rPr>
        <w:t>et la pertinence du programme de renforcement des capacités sont largement reconnues</w:t>
      </w:r>
      <w:r w:rsidR="005F0F4B" w:rsidRPr="009C789B">
        <w:rPr>
          <w:lang w:val="fr-FR"/>
        </w:rPr>
        <w:t xml:space="preserve">. </w:t>
      </w:r>
      <w:r w:rsidRPr="009C789B">
        <w:rPr>
          <w:lang w:val="fr-FR"/>
        </w:rPr>
        <w:t xml:space="preserve">Le programme s’appuie sur un réseau dynamique d’experts facilitateurs et un ensemble complet de </w:t>
      </w:r>
      <w:r w:rsidR="008B2AAD" w:rsidRPr="009C789B">
        <w:rPr>
          <w:lang w:val="fr-FR"/>
        </w:rPr>
        <w:t>matériels de formation et d’orientation</w:t>
      </w:r>
      <w:r w:rsidR="009532ED" w:rsidRPr="009C789B">
        <w:rPr>
          <w:lang w:val="fr-FR"/>
        </w:rPr>
        <w:t xml:space="preserve"> accessibles en ligne </w:t>
      </w:r>
      <w:r w:rsidR="005134D8" w:rsidRPr="009C789B">
        <w:rPr>
          <w:lang w:val="fr-FR"/>
        </w:rPr>
        <w:t>dans</w:t>
      </w:r>
      <w:r w:rsidR="009532ED" w:rsidRPr="009C789B">
        <w:rPr>
          <w:lang w:val="fr-FR"/>
        </w:rPr>
        <w:t xml:space="preserve"> plusieurs langues pour adaptation aux différents contextes locaux</w:t>
      </w:r>
      <w:r w:rsidR="005F0F4B" w:rsidRPr="009C789B">
        <w:rPr>
          <w:lang w:val="fr-FR"/>
        </w:rPr>
        <w:t xml:space="preserve">. </w:t>
      </w:r>
      <w:r w:rsidR="009532ED" w:rsidRPr="009C789B">
        <w:rPr>
          <w:lang w:val="fr-FR"/>
        </w:rPr>
        <w:t>L’élaboration du programme d</w:t>
      </w:r>
      <w:r w:rsidR="005E68F1" w:rsidRPr="009C789B">
        <w:rPr>
          <w:lang w:val="fr-FR"/>
        </w:rPr>
        <w:t>e formation</w:t>
      </w:r>
      <w:r w:rsidR="009532ED" w:rsidRPr="009C789B">
        <w:rPr>
          <w:lang w:val="fr-FR"/>
        </w:rPr>
        <w:t xml:space="preserve"> est </w:t>
      </w:r>
      <w:r w:rsidR="00707F37" w:rsidRPr="009C789B">
        <w:rPr>
          <w:lang w:val="fr-FR"/>
        </w:rPr>
        <w:t xml:space="preserve">naturellement </w:t>
      </w:r>
      <w:r w:rsidR="009532ED" w:rsidRPr="009C789B">
        <w:rPr>
          <w:lang w:val="fr-FR"/>
        </w:rPr>
        <w:t xml:space="preserve">un processus </w:t>
      </w:r>
      <w:r w:rsidR="008042FC" w:rsidRPr="009C789B">
        <w:rPr>
          <w:lang w:val="fr-FR"/>
        </w:rPr>
        <w:t>continu</w:t>
      </w:r>
      <w:r w:rsidR="00707F37" w:rsidRPr="009C789B">
        <w:rPr>
          <w:lang w:val="fr-FR"/>
        </w:rPr>
        <w:t>,</w:t>
      </w:r>
      <w:r w:rsidR="004A5EC1" w:rsidRPr="009C789B">
        <w:rPr>
          <w:lang w:val="fr-FR"/>
        </w:rPr>
        <w:t xml:space="preserve"> dans la mesure où il doit prendre en compte les principaux </w:t>
      </w:r>
      <w:r w:rsidR="00AA2DF3" w:rsidRPr="009C789B">
        <w:rPr>
          <w:lang w:val="fr-FR"/>
        </w:rPr>
        <w:t>défis posés par les</w:t>
      </w:r>
      <w:r w:rsidR="004A5EC1" w:rsidRPr="009C789B">
        <w:rPr>
          <w:lang w:val="fr-FR"/>
        </w:rPr>
        <w:t xml:space="preserve"> politique</w:t>
      </w:r>
      <w:r w:rsidR="00AA2DF3" w:rsidRPr="009C789B">
        <w:rPr>
          <w:lang w:val="fr-FR"/>
        </w:rPr>
        <w:t>s</w:t>
      </w:r>
      <w:r w:rsidR="004A5EC1" w:rsidRPr="009C789B">
        <w:rPr>
          <w:lang w:val="fr-FR"/>
        </w:rPr>
        <w:t xml:space="preserve"> et </w:t>
      </w:r>
      <w:r w:rsidR="005E68F1" w:rsidRPr="009C789B">
        <w:rPr>
          <w:lang w:val="fr-FR"/>
        </w:rPr>
        <w:t>la</w:t>
      </w:r>
      <w:r w:rsidR="004A5EC1" w:rsidRPr="009C789B">
        <w:rPr>
          <w:lang w:val="fr-FR"/>
        </w:rPr>
        <w:t xml:space="preserve"> mise en </w:t>
      </w:r>
      <w:r w:rsidR="00707F37" w:rsidRPr="009C789B">
        <w:rPr>
          <w:lang w:val="fr-FR"/>
        </w:rPr>
        <w:t>œuvre</w:t>
      </w:r>
      <w:r w:rsidR="005E68F1" w:rsidRPr="009C789B">
        <w:rPr>
          <w:lang w:val="fr-FR"/>
        </w:rPr>
        <w:t>.</w:t>
      </w:r>
      <w:r w:rsidR="005F0F4B" w:rsidRPr="009C789B">
        <w:rPr>
          <w:lang w:val="fr-FR"/>
        </w:rPr>
        <w:t xml:space="preserve"> </w:t>
      </w:r>
      <w:r w:rsidR="008042FC" w:rsidRPr="009C789B">
        <w:rPr>
          <w:lang w:val="fr-FR"/>
        </w:rPr>
        <w:t>L</w:t>
      </w:r>
      <w:r w:rsidR="004A5EC1" w:rsidRPr="009C789B">
        <w:rPr>
          <w:lang w:val="fr-FR"/>
        </w:rPr>
        <w:t xml:space="preserve">e réseau de facilitateurs doit </w:t>
      </w:r>
      <w:r w:rsidR="008042FC" w:rsidRPr="009C789B">
        <w:rPr>
          <w:lang w:val="fr-FR"/>
        </w:rPr>
        <w:t xml:space="preserve">par conséquent </w:t>
      </w:r>
      <w:r w:rsidR="004A5EC1" w:rsidRPr="009C789B">
        <w:rPr>
          <w:lang w:val="fr-FR"/>
        </w:rPr>
        <w:t xml:space="preserve">évoluer en termes d’expertise et de </w:t>
      </w:r>
      <w:r w:rsidR="00160275" w:rsidRPr="009C789B">
        <w:rPr>
          <w:lang w:val="fr-FR"/>
        </w:rPr>
        <w:t>portée</w:t>
      </w:r>
      <w:r w:rsidR="00AE1C67" w:rsidRPr="009C789B">
        <w:rPr>
          <w:lang w:val="fr-FR"/>
        </w:rPr>
        <w:t xml:space="preserve"> régional</w:t>
      </w:r>
      <w:r w:rsidR="00160275" w:rsidRPr="009C789B">
        <w:rPr>
          <w:lang w:val="fr-FR"/>
        </w:rPr>
        <w:t>e</w:t>
      </w:r>
      <w:r w:rsidR="00AE1C67" w:rsidRPr="009C789B">
        <w:rPr>
          <w:lang w:val="fr-FR"/>
        </w:rPr>
        <w:t xml:space="preserve">, afin d’être en mesure d’offrir de nouveaux contenus et de </w:t>
      </w:r>
      <w:r w:rsidR="00160275" w:rsidRPr="009C789B">
        <w:rPr>
          <w:lang w:val="fr-FR"/>
        </w:rPr>
        <w:t xml:space="preserve">répondre à </w:t>
      </w:r>
      <w:r w:rsidR="00AE1C67" w:rsidRPr="009C789B">
        <w:rPr>
          <w:lang w:val="fr-FR"/>
        </w:rPr>
        <w:t>la demande croissante de renforcement des capacités</w:t>
      </w:r>
      <w:r w:rsidR="005F0F4B" w:rsidRPr="009C789B">
        <w:rPr>
          <w:lang w:val="fr-FR"/>
        </w:rPr>
        <w:t xml:space="preserve">. </w:t>
      </w:r>
      <w:r w:rsidR="00035993" w:rsidRPr="009C789B">
        <w:rPr>
          <w:lang w:val="fr-FR"/>
        </w:rPr>
        <w:t xml:space="preserve">Si la mise en œuvre du programme de renforcement des capacités dans les pays en développement est possible </w:t>
      </w:r>
      <w:r w:rsidR="00160275" w:rsidRPr="009C789B">
        <w:rPr>
          <w:lang w:val="fr-FR"/>
        </w:rPr>
        <w:t>grâce aux</w:t>
      </w:r>
      <w:r w:rsidR="00035993" w:rsidRPr="009C789B">
        <w:rPr>
          <w:lang w:val="fr-FR"/>
        </w:rPr>
        <w:t xml:space="preserve"> contributions affecté</w:t>
      </w:r>
      <w:r w:rsidR="006A0927" w:rsidRPr="009C789B">
        <w:rPr>
          <w:lang w:val="fr-FR"/>
        </w:rPr>
        <w:t>e</w:t>
      </w:r>
      <w:r w:rsidR="00035993" w:rsidRPr="009C789B">
        <w:rPr>
          <w:lang w:val="fr-FR"/>
        </w:rPr>
        <w:t xml:space="preserve"> </w:t>
      </w:r>
      <w:r w:rsidR="006A0927" w:rsidRPr="009C789B">
        <w:rPr>
          <w:lang w:val="fr-FR"/>
        </w:rPr>
        <w:t xml:space="preserve">à des fins spécifiques versées </w:t>
      </w:r>
      <w:r w:rsidR="00035993" w:rsidRPr="009C789B">
        <w:rPr>
          <w:lang w:val="fr-FR"/>
        </w:rPr>
        <w:t xml:space="preserve">au Fonds </w:t>
      </w:r>
      <w:r w:rsidR="000F3CE8" w:rsidRPr="009C789B">
        <w:rPr>
          <w:lang w:val="fr-FR"/>
        </w:rPr>
        <w:t xml:space="preserve">et </w:t>
      </w:r>
      <w:r w:rsidR="00487672" w:rsidRPr="009C789B">
        <w:rPr>
          <w:lang w:val="fr-FR"/>
        </w:rPr>
        <w:t>aux</w:t>
      </w:r>
      <w:r w:rsidR="000F3CE8" w:rsidRPr="009C789B">
        <w:rPr>
          <w:lang w:val="fr-FR"/>
        </w:rPr>
        <w:t xml:space="preserve"> accords de fonds-en-dépôt</w:t>
      </w:r>
      <w:r w:rsidR="005F0F4B" w:rsidRPr="009C789B">
        <w:rPr>
          <w:lang w:val="fr-FR"/>
        </w:rPr>
        <w:t xml:space="preserve">, </w:t>
      </w:r>
      <w:r w:rsidR="000F3CE8" w:rsidRPr="009C789B">
        <w:rPr>
          <w:lang w:val="fr-FR"/>
        </w:rPr>
        <w:t xml:space="preserve">les fonds alloués aux </w:t>
      </w:r>
      <w:r w:rsidR="000F3CE8" w:rsidRPr="009C789B">
        <w:rPr>
          <w:lang w:val="fr-FR"/>
        </w:rPr>
        <w:lastRenderedPageBreak/>
        <w:t xml:space="preserve">« autres fonctions du Comité » </w:t>
      </w:r>
      <w:r w:rsidR="006238E9" w:rsidRPr="009C789B">
        <w:rPr>
          <w:lang w:val="fr-FR"/>
        </w:rPr>
        <w:t xml:space="preserve">jouent un rôle important dans le </w:t>
      </w:r>
      <w:r w:rsidR="000F3CE8" w:rsidRPr="009C789B">
        <w:rPr>
          <w:lang w:val="fr-FR"/>
        </w:rPr>
        <w:t>développe</w:t>
      </w:r>
      <w:r w:rsidR="006238E9" w:rsidRPr="009C789B">
        <w:rPr>
          <w:lang w:val="fr-FR"/>
        </w:rPr>
        <w:t xml:space="preserve">ment </w:t>
      </w:r>
      <w:r w:rsidR="000F3CE8" w:rsidRPr="009C789B">
        <w:rPr>
          <w:lang w:val="fr-FR"/>
        </w:rPr>
        <w:t xml:space="preserve">et </w:t>
      </w:r>
      <w:r w:rsidR="006238E9" w:rsidRPr="009C789B">
        <w:rPr>
          <w:lang w:val="fr-FR"/>
        </w:rPr>
        <w:t xml:space="preserve">le </w:t>
      </w:r>
      <w:r w:rsidR="000F3CE8" w:rsidRPr="009C789B">
        <w:rPr>
          <w:lang w:val="fr-FR"/>
        </w:rPr>
        <w:t>mainti</w:t>
      </w:r>
      <w:r w:rsidR="006238E9" w:rsidRPr="009C789B">
        <w:rPr>
          <w:lang w:val="fr-FR"/>
        </w:rPr>
        <w:t xml:space="preserve">en </w:t>
      </w:r>
      <w:r w:rsidR="00CF266C" w:rsidRPr="009C789B">
        <w:rPr>
          <w:lang w:val="fr-FR"/>
        </w:rPr>
        <w:t>des</w:t>
      </w:r>
      <w:r w:rsidR="000F3CE8" w:rsidRPr="009C789B">
        <w:rPr>
          <w:lang w:val="fr-FR"/>
        </w:rPr>
        <w:t xml:space="preserve"> exigences</w:t>
      </w:r>
      <w:r w:rsidR="00CF266C" w:rsidRPr="009C789B">
        <w:rPr>
          <w:lang w:val="fr-FR"/>
        </w:rPr>
        <w:t xml:space="preserve"> et d</w:t>
      </w:r>
      <w:r w:rsidR="000F3CE8" w:rsidRPr="009C789B">
        <w:rPr>
          <w:lang w:val="fr-FR"/>
        </w:rPr>
        <w:t xml:space="preserve">es conditions de bon fonctionnement du programme </w:t>
      </w:r>
      <w:r w:rsidR="00CF266C" w:rsidRPr="009C789B">
        <w:rPr>
          <w:lang w:val="fr-FR"/>
        </w:rPr>
        <w:t>afin qu’il puisse</w:t>
      </w:r>
      <w:r w:rsidR="000F3CE8" w:rsidRPr="009C789B">
        <w:rPr>
          <w:lang w:val="fr-FR"/>
        </w:rPr>
        <w:t xml:space="preserve"> remplir son rôle au niveau des pays</w:t>
      </w:r>
      <w:r w:rsidR="005F0F4B" w:rsidRPr="009C789B">
        <w:rPr>
          <w:lang w:val="fr-FR"/>
        </w:rPr>
        <w:t xml:space="preserve">. </w:t>
      </w:r>
      <w:r w:rsidR="000F3CE8" w:rsidRPr="009C789B">
        <w:rPr>
          <w:lang w:val="fr-FR"/>
        </w:rPr>
        <w:t xml:space="preserve">Au cours de la période </w:t>
      </w:r>
      <w:r w:rsidR="00CF266C" w:rsidRPr="009C789B">
        <w:rPr>
          <w:lang w:val="fr-FR"/>
        </w:rPr>
        <w:t>de référence</w:t>
      </w:r>
      <w:r w:rsidR="000F3CE8" w:rsidRPr="009C789B">
        <w:rPr>
          <w:lang w:val="fr-FR"/>
        </w:rPr>
        <w:t xml:space="preserve">, </w:t>
      </w:r>
      <w:r w:rsidR="00D94752" w:rsidRPr="009C789B">
        <w:rPr>
          <w:lang w:val="fr-FR"/>
        </w:rPr>
        <w:t>profitant de l’élan</w:t>
      </w:r>
      <w:r w:rsidR="000F3CE8" w:rsidRPr="009C789B">
        <w:rPr>
          <w:lang w:val="fr-FR"/>
        </w:rPr>
        <w:t xml:space="preserve"> créé par l’évaluation de l’</w:t>
      </w:r>
      <w:r w:rsidR="005F0F4B" w:rsidRPr="009C789B">
        <w:rPr>
          <w:lang w:val="fr-FR"/>
        </w:rPr>
        <w:t xml:space="preserve">IOS </w:t>
      </w:r>
      <w:r w:rsidR="000F3CE8" w:rsidRPr="009C789B">
        <w:rPr>
          <w:lang w:val="fr-FR"/>
        </w:rPr>
        <w:t xml:space="preserve">et la </w:t>
      </w:r>
      <w:hyperlink r:id="rId13" w:history="1">
        <w:r w:rsidR="000F3CE8" w:rsidRPr="009C789B">
          <w:rPr>
            <w:rStyle w:val="Hyperlink"/>
            <w:lang w:eastAsia="en-US"/>
          </w:rPr>
          <w:t>dé</w:t>
        </w:r>
        <w:r w:rsidR="005F0F4B" w:rsidRPr="009C789B">
          <w:rPr>
            <w:rStyle w:val="Hyperlink"/>
            <w:lang w:eastAsia="en-US"/>
          </w:rPr>
          <w:t>cision 8.COM 5.c.1</w:t>
        </w:r>
      </w:hyperlink>
      <w:r w:rsidR="000F3CE8" w:rsidRPr="009C789B">
        <w:rPr>
          <w:lang w:val="fr-FR"/>
        </w:rPr>
        <w:t xml:space="preserve"> du Comité</w:t>
      </w:r>
      <w:r w:rsidR="005F0F4B" w:rsidRPr="009C789B">
        <w:rPr>
          <w:lang w:val="fr-FR"/>
        </w:rPr>
        <w:t xml:space="preserve">, </w:t>
      </w:r>
      <w:r w:rsidR="000F3CE8" w:rsidRPr="009C789B">
        <w:rPr>
          <w:lang w:val="fr-FR"/>
        </w:rPr>
        <w:t xml:space="preserve">un résultat majeur a été l’élargissement </w:t>
      </w:r>
      <w:r w:rsidR="00D94752" w:rsidRPr="009C789B">
        <w:rPr>
          <w:lang w:val="fr-FR"/>
        </w:rPr>
        <w:t>de la portée</w:t>
      </w:r>
      <w:r w:rsidR="000F3CE8" w:rsidRPr="009C789B">
        <w:rPr>
          <w:lang w:val="fr-FR"/>
        </w:rPr>
        <w:t xml:space="preserve"> du programme de renforcement des capacités pour mieux aider les </w:t>
      </w:r>
      <w:r w:rsidR="00AE0FCA" w:rsidRPr="009C789B">
        <w:rPr>
          <w:lang w:val="fr-FR"/>
        </w:rPr>
        <w:t>États</w:t>
      </w:r>
      <w:r w:rsidR="000F3CE8" w:rsidRPr="009C789B">
        <w:rPr>
          <w:lang w:val="fr-FR"/>
        </w:rPr>
        <w:t xml:space="preserve"> à </w:t>
      </w:r>
      <w:r w:rsidR="00B04653" w:rsidRPr="009C789B">
        <w:rPr>
          <w:lang w:val="fr-FR"/>
        </w:rPr>
        <w:t>créer</w:t>
      </w:r>
      <w:r w:rsidR="000F3CE8" w:rsidRPr="009C789B">
        <w:rPr>
          <w:lang w:val="fr-FR"/>
        </w:rPr>
        <w:t xml:space="preserve"> des contextes législatifs</w:t>
      </w:r>
      <w:r w:rsidR="00314A40" w:rsidRPr="009C789B">
        <w:rPr>
          <w:lang w:val="fr-FR"/>
        </w:rPr>
        <w:t xml:space="preserve"> et politiques </w:t>
      </w:r>
      <w:r w:rsidR="00AD25E4" w:rsidRPr="009C789B">
        <w:rPr>
          <w:lang w:val="fr-FR"/>
        </w:rPr>
        <w:t>favorables</w:t>
      </w:r>
      <w:r w:rsidR="00314A40" w:rsidRPr="009C789B">
        <w:rPr>
          <w:lang w:val="fr-FR"/>
        </w:rPr>
        <w:t xml:space="preserve"> et à élaborer des plans </w:t>
      </w:r>
      <w:r w:rsidR="00AD25E4" w:rsidRPr="009C789B">
        <w:rPr>
          <w:lang w:val="fr-FR"/>
        </w:rPr>
        <w:t>de</w:t>
      </w:r>
      <w:r w:rsidR="00314A40" w:rsidRPr="009C789B">
        <w:rPr>
          <w:lang w:val="fr-FR"/>
        </w:rPr>
        <w:t xml:space="preserve"> sauvegarde</w:t>
      </w:r>
      <w:r w:rsidR="00AD25E4" w:rsidRPr="009C789B">
        <w:rPr>
          <w:lang w:val="fr-FR"/>
        </w:rPr>
        <w:t xml:space="preserve"> </w:t>
      </w:r>
      <w:r w:rsidR="00D94752" w:rsidRPr="009C789B">
        <w:rPr>
          <w:lang w:val="fr-FR"/>
        </w:rPr>
        <w:t xml:space="preserve">pour le </w:t>
      </w:r>
      <w:r w:rsidR="00314A40" w:rsidRPr="009C789B">
        <w:rPr>
          <w:lang w:val="fr-FR"/>
        </w:rPr>
        <w:t>patrimoine culturel immatériel</w:t>
      </w:r>
      <w:r w:rsidR="005F0F4B" w:rsidRPr="009C789B">
        <w:rPr>
          <w:lang w:val="fr-FR"/>
        </w:rPr>
        <w:t xml:space="preserve">. </w:t>
      </w:r>
      <w:r w:rsidR="00AD25E4" w:rsidRPr="009C789B">
        <w:rPr>
          <w:lang w:val="fr-FR"/>
        </w:rPr>
        <w:t>Par ailleurs</w:t>
      </w:r>
      <w:r w:rsidR="00314A40" w:rsidRPr="009C789B">
        <w:rPr>
          <w:lang w:val="fr-FR"/>
        </w:rPr>
        <w:t xml:space="preserve">, une restructuration </w:t>
      </w:r>
      <w:r w:rsidR="00BE6276" w:rsidRPr="009C789B">
        <w:rPr>
          <w:lang w:val="fr-FR"/>
        </w:rPr>
        <w:t>majeure</w:t>
      </w:r>
      <w:r w:rsidR="00AD25E4" w:rsidRPr="009C789B">
        <w:rPr>
          <w:lang w:val="fr-FR"/>
        </w:rPr>
        <w:t xml:space="preserve"> </w:t>
      </w:r>
      <w:r w:rsidR="00314A40" w:rsidRPr="009C789B">
        <w:rPr>
          <w:lang w:val="fr-FR"/>
        </w:rPr>
        <w:t>d</w:t>
      </w:r>
      <w:r w:rsidR="00BE6276" w:rsidRPr="009C789B">
        <w:rPr>
          <w:lang w:val="fr-FR"/>
        </w:rPr>
        <w:t>e</w:t>
      </w:r>
      <w:r w:rsidR="009630F2" w:rsidRPr="009C789B">
        <w:rPr>
          <w:lang w:val="fr-FR"/>
        </w:rPr>
        <w:t>s matériels pédagogiques</w:t>
      </w:r>
      <w:r w:rsidR="00BF5101" w:rsidRPr="009C789B">
        <w:rPr>
          <w:lang w:val="fr-FR"/>
        </w:rPr>
        <w:t xml:space="preserve"> </w:t>
      </w:r>
      <w:r w:rsidR="0070182C" w:rsidRPr="009C789B">
        <w:rPr>
          <w:lang w:val="fr-FR"/>
        </w:rPr>
        <w:t>a été réalisée débouchant sur</w:t>
      </w:r>
      <w:r w:rsidR="0079060C" w:rsidRPr="009C789B">
        <w:rPr>
          <w:lang w:val="fr-FR"/>
        </w:rPr>
        <w:t xml:space="preserve"> </w:t>
      </w:r>
      <w:r w:rsidR="00314A40" w:rsidRPr="009C789B">
        <w:rPr>
          <w:lang w:val="fr-FR"/>
        </w:rPr>
        <w:t xml:space="preserve">un ensemble de plus </w:t>
      </w:r>
      <w:r w:rsidR="005F0F4B" w:rsidRPr="009C789B">
        <w:rPr>
          <w:lang w:val="fr-FR"/>
        </w:rPr>
        <w:t xml:space="preserve">50 </w:t>
      </w:r>
      <w:r w:rsidR="00314A40" w:rsidRPr="009C789B">
        <w:rPr>
          <w:lang w:val="fr-FR"/>
        </w:rPr>
        <w:t xml:space="preserve">unités </w:t>
      </w:r>
      <w:r w:rsidR="00BF5101" w:rsidRPr="009C789B">
        <w:rPr>
          <w:lang w:val="fr-FR"/>
        </w:rPr>
        <w:t xml:space="preserve">faciles à </w:t>
      </w:r>
      <w:r w:rsidR="00314A40" w:rsidRPr="009C789B">
        <w:rPr>
          <w:lang w:val="fr-FR"/>
        </w:rPr>
        <w:t>utilis</w:t>
      </w:r>
      <w:r w:rsidR="00BF5101" w:rsidRPr="009C789B">
        <w:rPr>
          <w:lang w:val="fr-FR"/>
        </w:rPr>
        <w:t>er</w:t>
      </w:r>
      <w:r w:rsidR="00314A40" w:rsidRPr="009C789B">
        <w:rPr>
          <w:lang w:val="fr-FR"/>
        </w:rPr>
        <w:t xml:space="preserve"> </w:t>
      </w:r>
      <w:r w:rsidR="0070182C" w:rsidRPr="009C789B">
        <w:rPr>
          <w:lang w:val="fr-FR"/>
        </w:rPr>
        <w:t>au lieu</w:t>
      </w:r>
      <w:r w:rsidR="00E07144" w:rsidRPr="009C789B">
        <w:rPr>
          <w:lang w:val="fr-FR"/>
        </w:rPr>
        <w:t xml:space="preserve"> d</w:t>
      </w:r>
      <w:r w:rsidR="00314A40" w:rsidRPr="009C789B">
        <w:rPr>
          <w:lang w:val="fr-FR"/>
        </w:rPr>
        <w:t xml:space="preserve">e quatre </w:t>
      </w:r>
      <w:r w:rsidR="005F0F4B" w:rsidRPr="009C789B">
        <w:rPr>
          <w:lang w:val="fr-FR"/>
        </w:rPr>
        <w:t>cours</w:t>
      </w:r>
      <w:r w:rsidR="00314A40" w:rsidRPr="009C789B">
        <w:rPr>
          <w:lang w:val="fr-FR"/>
        </w:rPr>
        <w:t xml:space="preserve"> distincts.</w:t>
      </w:r>
      <w:r w:rsidR="005F0F4B" w:rsidRPr="009C789B">
        <w:rPr>
          <w:lang w:val="fr-FR"/>
        </w:rPr>
        <w:t xml:space="preserve"> </w:t>
      </w:r>
      <w:r w:rsidR="00314A40" w:rsidRPr="009C789B">
        <w:rPr>
          <w:lang w:val="fr-FR"/>
        </w:rPr>
        <w:t xml:space="preserve">Les facilitateurs peuvent ainsi </w:t>
      </w:r>
      <w:r w:rsidR="00604C2C" w:rsidRPr="009C789B">
        <w:rPr>
          <w:lang w:val="fr-FR"/>
        </w:rPr>
        <w:t>composer des ateliers sur mesure à partir des différents modules de base</w:t>
      </w:r>
      <w:r w:rsidR="005F0F4B" w:rsidRPr="009C789B">
        <w:rPr>
          <w:lang w:val="fr-FR"/>
        </w:rPr>
        <w:t>.</w:t>
      </w:r>
      <w:r w:rsidR="00AF1379" w:rsidRPr="009C789B">
        <w:rPr>
          <w:lang w:val="fr-FR"/>
        </w:rPr>
        <w:t xml:space="preserve"> </w:t>
      </w:r>
    </w:p>
    <w:p w14:paraId="6BE693AE" w14:textId="3DEAFF11" w:rsidR="00985DAD" w:rsidRPr="009C789B" w:rsidRDefault="00604C2C" w:rsidP="00AF1379">
      <w:pPr>
        <w:pStyle w:val="GAParabodytext"/>
        <w:ind w:left="567" w:hanging="567"/>
        <w:rPr>
          <w:lang w:val="fr-FR"/>
        </w:rPr>
      </w:pPr>
      <w:r w:rsidRPr="009C789B">
        <w:rPr>
          <w:lang w:val="fr-FR"/>
        </w:rPr>
        <w:t xml:space="preserve">La gestion des connaissances est devenue de plus en plus indispensable </w:t>
      </w:r>
      <w:r w:rsidR="0070182C" w:rsidRPr="009C789B">
        <w:rPr>
          <w:lang w:val="fr-FR"/>
        </w:rPr>
        <w:t>à mesure que le</w:t>
      </w:r>
      <w:r w:rsidRPr="009C789B">
        <w:rPr>
          <w:lang w:val="fr-FR"/>
        </w:rPr>
        <w:t xml:space="preserve"> développement de la </w:t>
      </w:r>
      <w:r w:rsidR="005F0F4B" w:rsidRPr="009C789B">
        <w:rPr>
          <w:lang w:val="fr-FR"/>
        </w:rPr>
        <w:t>Convention</w:t>
      </w:r>
      <w:r w:rsidRPr="009C789B">
        <w:rPr>
          <w:lang w:val="fr-FR"/>
        </w:rPr>
        <w:t xml:space="preserve"> </w:t>
      </w:r>
      <w:r w:rsidR="0070182C" w:rsidRPr="009C789B">
        <w:rPr>
          <w:lang w:val="fr-FR"/>
        </w:rPr>
        <w:t xml:space="preserve">continue </w:t>
      </w:r>
      <w:r w:rsidRPr="009C789B">
        <w:rPr>
          <w:lang w:val="fr-FR"/>
        </w:rPr>
        <w:t xml:space="preserve">et </w:t>
      </w:r>
      <w:r w:rsidR="0070182C" w:rsidRPr="009C789B">
        <w:rPr>
          <w:lang w:val="fr-FR"/>
        </w:rPr>
        <w:t xml:space="preserve">que le Secrétariat continue de faire face à un </w:t>
      </w:r>
      <w:r w:rsidRPr="009C789B">
        <w:rPr>
          <w:lang w:val="fr-FR"/>
        </w:rPr>
        <w:t>manque c</w:t>
      </w:r>
      <w:r w:rsidR="00D2305C" w:rsidRPr="009C789B">
        <w:rPr>
          <w:lang w:val="fr-FR"/>
        </w:rPr>
        <w:t>onstant</w:t>
      </w:r>
      <w:r w:rsidRPr="009C789B">
        <w:rPr>
          <w:lang w:val="fr-FR"/>
        </w:rPr>
        <w:t xml:space="preserve"> de ressources humaines</w:t>
      </w:r>
      <w:r w:rsidR="005F0F4B" w:rsidRPr="009C789B">
        <w:rPr>
          <w:lang w:val="fr-FR"/>
        </w:rPr>
        <w:t xml:space="preserve">. </w:t>
      </w:r>
      <w:r w:rsidRPr="009C789B">
        <w:rPr>
          <w:lang w:val="fr-FR"/>
        </w:rPr>
        <w:t xml:space="preserve">Seule </w:t>
      </w:r>
      <w:r w:rsidR="00D2305C" w:rsidRPr="009C789B">
        <w:rPr>
          <w:lang w:val="fr-FR"/>
        </w:rPr>
        <w:t>l’</w:t>
      </w:r>
      <w:r w:rsidRPr="009C789B">
        <w:rPr>
          <w:lang w:val="fr-FR"/>
        </w:rPr>
        <w:t xml:space="preserve">amélioration progressive de la gestion des connaissances et des informations </w:t>
      </w:r>
      <w:r w:rsidR="005F5259" w:rsidRPr="009C789B">
        <w:rPr>
          <w:lang w:val="fr-FR"/>
        </w:rPr>
        <w:t xml:space="preserve">grâce au système de gestion des connaissances spécialement développé pour la </w:t>
      </w:r>
      <w:r w:rsidR="00D2305C" w:rsidRPr="009C789B">
        <w:rPr>
          <w:lang w:val="fr-FR"/>
        </w:rPr>
        <w:t>S</w:t>
      </w:r>
      <w:r w:rsidR="005F5259" w:rsidRPr="009C789B">
        <w:rPr>
          <w:lang w:val="fr-FR"/>
        </w:rPr>
        <w:t xml:space="preserve">ection permet au Secrétariat de continuer à fournir des services aux </w:t>
      </w:r>
      <w:r w:rsidR="00AE0FCA" w:rsidRPr="009C789B">
        <w:rPr>
          <w:lang w:val="fr-FR"/>
        </w:rPr>
        <w:t>États</w:t>
      </w:r>
      <w:r w:rsidR="005F5259" w:rsidRPr="009C789B">
        <w:rPr>
          <w:lang w:val="fr-FR"/>
        </w:rPr>
        <w:t xml:space="preserve"> parties et aux organes directeurs de la Convention dans les délais </w:t>
      </w:r>
      <w:r w:rsidR="00E07144" w:rsidRPr="009C789B">
        <w:rPr>
          <w:lang w:val="fr-FR"/>
        </w:rPr>
        <w:t xml:space="preserve">prescrits </w:t>
      </w:r>
      <w:r w:rsidR="005F5259" w:rsidRPr="009C789B">
        <w:rPr>
          <w:lang w:val="fr-FR"/>
        </w:rPr>
        <w:t>et avec la précision requis</w:t>
      </w:r>
      <w:r w:rsidR="00D2305C" w:rsidRPr="009C789B">
        <w:rPr>
          <w:lang w:val="fr-FR"/>
        </w:rPr>
        <w:t>e</w:t>
      </w:r>
      <w:r w:rsidR="005F0F4B" w:rsidRPr="009C789B">
        <w:rPr>
          <w:lang w:val="fr-FR"/>
        </w:rPr>
        <w:t xml:space="preserve">. </w:t>
      </w:r>
      <w:r w:rsidR="005F5259" w:rsidRPr="009C789B">
        <w:rPr>
          <w:lang w:val="fr-FR"/>
        </w:rPr>
        <w:t xml:space="preserve">Le travail entrepris au cours de la période </w:t>
      </w:r>
      <w:r w:rsidR="00D2305C" w:rsidRPr="009C789B">
        <w:rPr>
          <w:lang w:val="fr-FR"/>
        </w:rPr>
        <w:t>de référence</w:t>
      </w:r>
      <w:r w:rsidR="005F5259" w:rsidRPr="009C789B">
        <w:rPr>
          <w:lang w:val="fr-FR"/>
        </w:rPr>
        <w:t xml:space="preserve"> </w:t>
      </w:r>
      <w:r w:rsidR="00D2305C" w:rsidRPr="009C789B">
        <w:rPr>
          <w:lang w:val="fr-FR"/>
        </w:rPr>
        <w:t>visait à améliorer</w:t>
      </w:r>
      <w:r w:rsidR="005F5259" w:rsidRPr="009C789B">
        <w:rPr>
          <w:lang w:val="fr-FR"/>
        </w:rPr>
        <w:t xml:space="preserve"> à la fois </w:t>
      </w:r>
      <w:r w:rsidR="00D2305C" w:rsidRPr="009C789B">
        <w:rPr>
          <w:lang w:val="fr-FR"/>
        </w:rPr>
        <w:t>le</w:t>
      </w:r>
      <w:r w:rsidR="005F5259" w:rsidRPr="009C789B">
        <w:rPr>
          <w:lang w:val="fr-FR"/>
        </w:rPr>
        <w:t xml:space="preserve"> fonctionnement du système de gestion des connaissances de la </w:t>
      </w:r>
      <w:r w:rsidR="005F0F4B" w:rsidRPr="009C789B">
        <w:rPr>
          <w:lang w:val="fr-FR"/>
        </w:rPr>
        <w:t>Convention</w:t>
      </w:r>
      <w:r w:rsidR="005F5259" w:rsidRPr="009C789B">
        <w:rPr>
          <w:lang w:val="fr-FR"/>
        </w:rPr>
        <w:t xml:space="preserve"> </w:t>
      </w:r>
      <w:r w:rsidR="0030546B" w:rsidRPr="009C789B">
        <w:rPr>
          <w:lang w:val="fr-FR"/>
        </w:rPr>
        <w:t>et son utilité pour divers groupes intéressés</w:t>
      </w:r>
      <w:r w:rsidR="005F0F4B" w:rsidRPr="009C789B">
        <w:rPr>
          <w:lang w:val="fr-FR"/>
        </w:rPr>
        <w:t xml:space="preserve">. </w:t>
      </w:r>
      <w:r w:rsidR="0005672F" w:rsidRPr="009C789B">
        <w:rPr>
          <w:lang w:val="fr-FR"/>
        </w:rPr>
        <w:t xml:space="preserve">En effet, </w:t>
      </w:r>
      <w:r w:rsidR="005D1150" w:rsidRPr="009C789B">
        <w:rPr>
          <w:lang w:val="fr-FR"/>
        </w:rPr>
        <w:t>l’évolution de</w:t>
      </w:r>
      <w:r w:rsidR="0082529E" w:rsidRPr="009C789B">
        <w:rPr>
          <w:lang w:val="fr-FR"/>
        </w:rPr>
        <w:t xml:space="preserve"> la vie</w:t>
      </w:r>
      <w:r w:rsidR="0005672F" w:rsidRPr="009C789B">
        <w:rPr>
          <w:lang w:val="fr-FR"/>
        </w:rPr>
        <w:t xml:space="preserve"> de la </w:t>
      </w:r>
      <w:r w:rsidR="005F0F4B" w:rsidRPr="009C789B">
        <w:rPr>
          <w:lang w:val="fr-FR"/>
        </w:rPr>
        <w:t xml:space="preserve">Convention </w:t>
      </w:r>
      <w:r w:rsidR="0005672F" w:rsidRPr="009C789B">
        <w:rPr>
          <w:lang w:val="fr-FR"/>
        </w:rPr>
        <w:t xml:space="preserve">et </w:t>
      </w:r>
      <w:r w:rsidR="00D7123E" w:rsidRPr="009C789B">
        <w:rPr>
          <w:lang w:val="fr-FR"/>
        </w:rPr>
        <w:t xml:space="preserve">de </w:t>
      </w:r>
      <w:r w:rsidR="0005672F" w:rsidRPr="009C789B">
        <w:rPr>
          <w:lang w:val="fr-FR"/>
        </w:rPr>
        <w:t>sa gouvernance</w:t>
      </w:r>
      <w:r w:rsidR="005F0F4B" w:rsidRPr="009C789B">
        <w:rPr>
          <w:lang w:val="fr-FR"/>
        </w:rPr>
        <w:t xml:space="preserve"> (</w:t>
      </w:r>
      <w:r w:rsidR="0005672F" w:rsidRPr="009C789B">
        <w:rPr>
          <w:lang w:val="fr-FR"/>
        </w:rPr>
        <w:t>le passage de deux organes d’évaluation à un seul ou l</w:t>
      </w:r>
      <w:r w:rsidR="00C42EA1" w:rsidRPr="009C789B">
        <w:rPr>
          <w:lang w:val="fr-FR"/>
        </w:rPr>
        <w:t xml:space="preserve">’application </w:t>
      </w:r>
      <w:r w:rsidR="0005672F" w:rsidRPr="009C789B">
        <w:rPr>
          <w:lang w:val="fr-FR"/>
        </w:rPr>
        <w:t xml:space="preserve">de priorités pour déterminer les dossiers </w:t>
      </w:r>
      <w:r w:rsidR="00C42EA1" w:rsidRPr="009C789B">
        <w:rPr>
          <w:lang w:val="fr-FR"/>
        </w:rPr>
        <w:t xml:space="preserve">à </w:t>
      </w:r>
      <w:r w:rsidR="0005672F" w:rsidRPr="009C789B">
        <w:rPr>
          <w:lang w:val="fr-FR"/>
        </w:rPr>
        <w:t>trait</w:t>
      </w:r>
      <w:r w:rsidR="00C42EA1" w:rsidRPr="009C789B">
        <w:rPr>
          <w:lang w:val="fr-FR"/>
        </w:rPr>
        <w:t>er</w:t>
      </w:r>
      <w:r w:rsidR="0005672F" w:rsidRPr="009C789B">
        <w:rPr>
          <w:lang w:val="fr-FR"/>
        </w:rPr>
        <w:t xml:space="preserve"> au cours d’un cycle donné, pour ne citer que quelques exemples</w:t>
      </w:r>
      <w:r w:rsidR="005F0F4B" w:rsidRPr="009C789B">
        <w:rPr>
          <w:lang w:val="fr-FR"/>
        </w:rPr>
        <w:t xml:space="preserve">) </w:t>
      </w:r>
      <w:r w:rsidR="0005672F" w:rsidRPr="009C789B">
        <w:rPr>
          <w:lang w:val="fr-FR"/>
        </w:rPr>
        <w:t xml:space="preserve">ne </w:t>
      </w:r>
      <w:r w:rsidR="00D7123E" w:rsidRPr="009C789B">
        <w:rPr>
          <w:lang w:val="fr-FR"/>
        </w:rPr>
        <w:t>peut pas se poursuivre</w:t>
      </w:r>
      <w:r w:rsidR="0005672F" w:rsidRPr="009C789B">
        <w:rPr>
          <w:lang w:val="fr-FR"/>
        </w:rPr>
        <w:t xml:space="preserve"> </w:t>
      </w:r>
      <w:r w:rsidR="00D7123E" w:rsidRPr="009C789B">
        <w:rPr>
          <w:lang w:val="fr-FR"/>
        </w:rPr>
        <w:t xml:space="preserve">de manière fructueuse </w:t>
      </w:r>
      <w:r w:rsidR="0005672F" w:rsidRPr="009C789B">
        <w:rPr>
          <w:lang w:val="fr-FR"/>
        </w:rPr>
        <w:t xml:space="preserve">sans l’aide d’un système de gestion des connaissances </w:t>
      </w:r>
      <w:r w:rsidR="00E07144" w:rsidRPr="009C789B">
        <w:rPr>
          <w:lang w:val="fr-FR"/>
        </w:rPr>
        <w:t>évolu</w:t>
      </w:r>
      <w:r w:rsidR="004D0C9B" w:rsidRPr="009C789B">
        <w:rPr>
          <w:lang w:val="fr-FR"/>
        </w:rPr>
        <w:t>ant</w:t>
      </w:r>
      <w:r w:rsidR="00E07144" w:rsidRPr="009C789B">
        <w:rPr>
          <w:lang w:val="fr-FR"/>
        </w:rPr>
        <w:t xml:space="preserve"> </w:t>
      </w:r>
      <w:r w:rsidR="0005672F" w:rsidRPr="009C789B">
        <w:rPr>
          <w:lang w:val="fr-FR"/>
        </w:rPr>
        <w:t>consta</w:t>
      </w:r>
      <w:r w:rsidR="00E07144" w:rsidRPr="009C789B">
        <w:rPr>
          <w:lang w:val="fr-FR"/>
        </w:rPr>
        <w:t>mme</w:t>
      </w:r>
      <w:r w:rsidR="0005672F" w:rsidRPr="009C789B">
        <w:rPr>
          <w:lang w:val="fr-FR"/>
        </w:rPr>
        <w:t>nt</w:t>
      </w:r>
      <w:r w:rsidR="005F0F4B" w:rsidRPr="009C789B">
        <w:rPr>
          <w:lang w:val="fr-FR"/>
        </w:rPr>
        <w:t xml:space="preserve">. </w:t>
      </w:r>
      <w:r w:rsidR="00BD6928" w:rsidRPr="009C789B">
        <w:rPr>
          <w:lang w:val="fr-FR"/>
        </w:rPr>
        <w:t>Or, le</w:t>
      </w:r>
      <w:r w:rsidR="00EB24B8" w:rsidRPr="009C789B">
        <w:rPr>
          <w:lang w:val="fr-FR"/>
        </w:rPr>
        <w:t xml:space="preserve"> maint</w:t>
      </w:r>
      <w:r w:rsidR="00BD6928" w:rsidRPr="009C789B">
        <w:rPr>
          <w:lang w:val="fr-FR"/>
        </w:rPr>
        <w:t>i</w:t>
      </w:r>
      <w:r w:rsidR="00EB24B8" w:rsidRPr="009C789B">
        <w:rPr>
          <w:lang w:val="fr-FR"/>
        </w:rPr>
        <w:t>en et l’optimisation du système de gestion des connaissan</w:t>
      </w:r>
      <w:r w:rsidR="00BD6928" w:rsidRPr="009C789B">
        <w:rPr>
          <w:lang w:val="fr-FR"/>
        </w:rPr>
        <w:t>ces reposent exclusivement sur d</w:t>
      </w:r>
      <w:r w:rsidR="00EB24B8" w:rsidRPr="009C789B">
        <w:rPr>
          <w:lang w:val="fr-FR"/>
        </w:rPr>
        <w:t xml:space="preserve">es fonds </w:t>
      </w:r>
      <w:r w:rsidR="00BD6928" w:rsidRPr="009C789B">
        <w:rPr>
          <w:lang w:val="fr-FR"/>
        </w:rPr>
        <w:t>provenant du</w:t>
      </w:r>
      <w:r w:rsidR="00EB24B8" w:rsidRPr="009C789B">
        <w:rPr>
          <w:lang w:val="fr-FR"/>
        </w:rPr>
        <w:t xml:space="preserve"> Fonds, sans soutien du budget ordinaire</w:t>
      </w:r>
      <w:r w:rsidR="005F0F4B" w:rsidRPr="009C789B">
        <w:rPr>
          <w:lang w:val="fr-FR"/>
        </w:rPr>
        <w:t xml:space="preserve">. </w:t>
      </w:r>
      <w:r w:rsidR="00EB24B8" w:rsidRPr="009C789B">
        <w:rPr>
          <w:lang w:val="fr-FR"/>
        </w:rPr>
        <w:t>Le résultat le plus remarquable, ou du moins le plus visible</w:t>
      </w:r>
      <w:r w:rsidR="00BD6928" w:rsidRPr="009C789B">
        <w:rPr>
          <w:lang w:val="fr-FR"/>
        </w:rPr>
        <w:t>,</w:t>
      </w:r>
      <w:r w:rsidR="00EB24B8" w:rsidRPr="009C789B">
        <w:rPr>
          <w:lang w:val="fr-FR"/>
        </w:rPr>
        <w:t xml:space="preserve"> au cours de la période </w:t>
      </w:r>
      <w:r w:rsidR="00BD6928" w:rsidRPr="009C789B">
        <w:rPr>
          <w:lang w:val="fr-FR"/>
        </w:rPr>
        <w:t>de référence</w:t>
      </w:r>
      <w:r w:rsidR="00EB24B8" w:rsidRPr="009C789B">
        <w:rPr>
          <w:lang w:val="fr-FR"/>
        </w:rPr>
        <w:t xml:space="preserve"> est probablement le lancement, en novembre 2015</w:t>
      </w:r>
      <w:r w:rsidR="00747C48" w:rsidRPr="009C789B">
        <w:rPr>
          <w:lang w:val="fr-FR"/>
        </w:rPr>
        <w:t>,</w:t>
      </w:r>
      <w:r w:rsidR="00EB24B8" w:rsidRPr="009C789B">
        <w:rPr>
          <w:lang w:val="fr-FR"/>
        </w:rPr>
        <w:t xml:space="preserve"> d</w:t>
      </w:r>
      <w:r w:rsidR="00747C48" w:rsidRPr="009C789B">
        <w:rPr>
          <w:lang w:val="fr-FR"/>
        </w:rPr>
        <w:t xml:space="preserve">u nouveau </w:t>
      </w:r>
      <w:r w:rsidR="00EB24B8" w:rsidRPr="009C789B">
        <w:rPr>
          <w:lang w:val="fr-FR"/>
        </w:rPr>
        <w:t>site Internet</w:t>
      </w:r>
      <w:r w:rsidR="00747C48" w:rsidRPr="009C789B">
        <w:rPr>
          <w:lang w:val="fr-FR"/>
        </w:rPr>
        <w:t>, modernisé pour</w:t>
      </w:r>
      <w:r w:rsidR="00E40640" w:rsidRPr="009C789B">
        <w:rPr>
          <w:lang w:val="fr-FR"/>
        </w:rPr>
        <w:t xml:space="preserve"> améliorer la navigation et offrir des interfaces </w:t>
      </w:r>
      <w:r w:rsidR="004D0C9B" w:rsidRPr="009C789B">
        <w:rPr>
          <w:lang w:val="fr-FR"/>
        </w:rPr>
        <w:t>d</w:t>
      </w:r>
      <w:r w:rsidR="00D7123E" w:rsidRPr="009C789B">
        <w:rPr>
          <w:lang w:val="fr-FR"/>
        </w:rPr>
        <w:t xml:space="preserve">e plus facile </w:t>
      </w:r>
      <w:r w:rsidR="004D0C9B" w:rsidRPr="009C789B">
        <w:rPr>
          <w:lang w:val="fr-FR"/>
        </w:rPr>
        <w:t>utilisation</w:t>
      </w:r>
      <w:r w:rsidR="005F0F4B" w:rsidRPr="009C789B">
        <w:rPr>
          <w:lang w:val="fr-FR"/>
        </w:rPr>
        <w:t xml:space="preserve">. </w:t>
      </w:r>
      <w:r w:rsidR="00E40640" w:rsidRPr="009C789B">
        <w:rPr>
          <w:lang w:val="fr-FR"/>
        </w:rPr>
        <w:t xml:space="preserve">Enrichi de moteurs de recherche, </w:t>
      </w:r>
      <w:r w:rsidR="00866ED5" w:rsidRPr="009C789B">
        <w:rPr>
          <w:lang w:val="fr-FR"/>
        </w:rPr>
        <w:t>i</w:t>
      </w:r>
      <w:r w:rsidR="00E40640" w:rsidRPr="009C789B">
        <w:rPr>
          <w:lang w:val="fr-FR"/>
        </w:rPr>
        <w:t>l a considérablement amélioré l’accessibilité d</w:t>
      </w:r>
      <w:r w:rsidR="004D0C9B" w:rsidRPr="009C789B">
        <w:rPr>
          <w:lang w:val="fr-FR"/>
        </w:rPr>
        <w:t xml:space="preserve">es </w:t>
      </w:r>
      <w:r w:rsidR="00E40640" w:rsidRPr="009C789B">
        <w:rPr>
          <w:lang w:val="fr-FR"/>
        </w:rPr>
        <w:t>informations</w:t>
      </w:r>
      <w:r w:rsidR="004D0C9B" w:rsidRPr="009C789B">
        <w:rPr>
          <w:lang w:val="fr-FR"/>
        </w:rPr>
        <w:t>,</w:t>
      </w:r>
      <w:r w:rsidR="00E40640" w:rsidRPr="009C789B">
        <w:rPr>
          <w:lang w:val="fr-FR"/>
        </w:rPr>
        <w:t xml:space="preserve"> </w:t>
      </w:r>
      <w:r w:rsidR="00866ED5" w:rsidRPr="009C789B">
        <w:rPr>
          <w:lang w:val="fr-FR"/>
        </w:rPr>
        <w:t>auparavant</w:t>
      </w:r>
      <w:r w:rsidR="00E40640" w:rsidRPr="009C789B">
        <w:rPr>
          <w:lang w:val="fr-FR"/>
        </w:rPr>
        <w:t xml:space="preserve"> </w:t>
      </w:r>
      <w:r w:rsidR="00866ED5" w:rsidRPr="009C789B">
        <w:rPr>
          <w:lang w:val="fr-FR"/>
        </w:rPr>
        <w:t>« </w:t>
      </w:r>
      <w:r w:rsidR="00E40640" w:rsidRPr="009C789B">
        <w:rPr>
          <w:lang w:val="fr-FR"/>
        </w:rPr>
        <w:t>cachées</w:t>
      </w:r>
      <w:r w:rsidR="00866ED5" w:rsidRPr="009C789B">
        <w:rPr>
          <w:lang w:val="fr-FR"/>
        </w:rPr>
        <w:t> »</w:t>
      </w:r>
      <w:r w:rsidR="00E40640" w:rsidRPr="009C789B">
        <w:rPr>
          <w:lang w:val="fr-FR"/>
        </w:rPr>
        <w:t xml:space="preserve"> dans des centaines de documents</w:t>
      </w:r>
      <w:r w:rsidR="005F0F4B" w:rsidRPr="009C789B">
        <w:rPr>
          <w:lang w:val="fr-FR"/>
        </w:rPr>
        <w:t>.</w:t>
      </w:r>
    </w:p>
    <w:p w14:paraId="07BC66A3" w14:textId="1593A149" w:rsidR="005F0F4B" w:rsidRPr="009C789B" w:rsidRDefault="00E40640" w:rsidP="00AF1379">
      <w:pPr>
        <w:pStyle w:val="GAParabodytext"/>
        <w:ind w:left="567" w:hanging="567"/>
        <w:rPr>
          <w:lang w:val="fr-FR"/>
        </w:rPr>
      </w:pPr>
      <w:r w:rsidRPr="009C789B">
        <w:rPr>
          <w:lang w:val="fr-FR"/>
        </w:rPr>
        <w:t xml:space="preserve">Lors de </w:t>
      </w:r>
      <w:r w:rsidR="00513872" w:rsidRPr="009C789B">
        <w:rPr>
          <w:lang w:val="fr-FR"/>
        </w:rPr>
        <w:t xml:space="preserve">sa </w:t>
      </w:r>
      <w:r w:rsidRPr="009C789B">
        <w:rPr>
          <w:lang w:val="fr-FR"/>
        </w:rPr>
        <w:t>dixième session</w:t>
      </w:r>
      <w:r w:rsidR="001253D3" w:rsidRPr="009C789B">
        <w:rPr>
          <w:lang w:val="fr-FR"/>
        </w:rPr>
        <w:t>,</w:t>
      </w:r>
      <w:r w:rsidR="001253D3" w:rsidRPr="009C789B" w:rsidDel="00043D8B">
        <w:rPr>
          <w:lang w:val="fr-FR"/>
        </w:rPr>
        <w:t xml:space="preserve"> </w:t>
      </w:r>
      <w:r w:rsidRPr="009C789B">
        <w:rPr>
          <w:lang w:val="fr-FR"/>
        </w:rPr>
        <w:t>l</w:t>
      </w:r>
      <w:r w:rsidR="001253D3" w:rsidRPr="009C789B">
        <w:rPr>
          <w:lang w:val="fr-FR"/>
        </w:rPr>
        <w:t>e Comit</w:t>
      </w:r>
      <w:r w:rsidRPr="009C789B">
        <w:rPr>
          <w:lang w:val="fr-FR"/>
        </w:rPr>
        <w:t xml:space="preserve">é a approuvé douze principes éthiques </w:t>
      </w:r>
      <w:r w:rsidR="00D7123E" w:rsidRPr="009C789B">
        <w:rPr>
          <w:lang w:val="fr-FR"/>
        </w:rPr>
        <w:t xml:space="preserve">pour </w:t>
      </w:r>
      <w:r w:rsidRPr="009C789B">
        <w:rPr>
          <w:lang w:val="fr-FR"/>
        </w:rPr>
        <w:t xml:space="preserve">la sauvegarde du patrimoine culturel immatériel </w:t>
      </w:r>
      <w:r w:rsidR="004D0C9B" w:rsidRPr="009C789B">
        <w:rPr>
          <w:lang w:val="fr-FR"/>
        </w:rPr>
        <w:t xml:space="preserve">qui </w:t>
      </w:r>
      <w:r w:rsidR="00D8402A" w:rsidRPr="009C789B">
        <w:rPr>
          <w:lang w:val="fr-FR"/>
        </w:rPr>
        <w:t>visa</w:t>
      </w:r>
      <w:r w:rsidR="004D0C9B" w:rsidRPr="009C789B">
        <w:rPr>
          <w:lang w:val="fr-FR"/>
        </w:rPr>
        <w:t>ie</w:t>
      </w:r>
      <w:r w:rsidR="00D8402A" w:rsidRPr="009C789B">
        <w:rPr>
          <w:lang w:val="fr-FR"/>
        </w:rPr>
        <w:t>nt</w:t>
      </w:r>
      <w:r w:rsidR="004834E9" w:rsidRPr="009C789B">
        <w:rPr>
          <w:lang w:val="fr-FR"/>
        </w:rPr>
        <w:t xml:space="preserve"> à </w:t>
      </w:r>
      <w:r w:rsidR="003F03F9" w:rsidRPr="009C789B">
        <w:rPr>
          <w:lang w:val="fr-FR"/>
        </w:rPr>
        <w:t>stimuler</w:t>
      </w:r>
      <w:r w:rsidR="004834E9" w:rsidRPr="009C789B">
        <w:rPr>
          <w:lang w:val="fr-FR"/>
        </w:rPr>
        <w:t xml:space="preserve"> les efforts mondiaux pour </w:t>
      </w:r>
      <w:r w:rsidR="00866ED5" w:rsidRPr="009C789B">
        <w:rPr>
          <w:lang w:val="fr-FR"/>
        </w:rPr>
        <w:t>faire une place plus grande aux</w:t>
      </w:r>
      <w:r w:rsidR="004834E9" w:rsidRPr="009C789B">
        <w:rPr>
          <w:lang w:val="fr-FR"/>
        </w:rPr>
        <w:t xml:space="preserve"> considérations éthiques dans la sauvegarde du patrimoine culturel immatériel</w:t>
      </w:r>
      <w:r w:rsidR="00360AEC" w:rsidRPr="009C789B">
        <w:rPr>
          <w:lang w:val="fr-FR"/>
        </w:rPr>
        <w:t>,</w:t>
      </w:r>
      <w:r w:rsidR="004834E9" w:rsidRPr="009C789B">
        <w:rPr>
          <w:lang w:val="fr-FR"/>
        </w:rPr>
        <w:t xml:space="preserve"> et à </w:t>
      </w:r>
      <w:r w:rsidR="003F03F9" w:rsidRPr="009C789B">
        <w:rPr>
          <w:lang w:val="fr-FR"/>
        </w:rPr>
        <w:t>développer</w:t>
      </w:r>
      <w:r w:rsidR="004834E9" w:rsidRPr="009C789B">
        <w:rPr>
          <w:lang w:val="fr-FR"/>
        </w:rPr>
        <w:t xml:space="preserve"> la dimension éthique de la </w:t>
      </w:r>
      <w:r w:rsidR="001253D3" w:rsidRPr="009C789B">
        <w:rPr>
          <w:lang w:val="fr-FR"/>
        </w:rPr>
        <w:t xml:space="preserve">Convention, </w:t>
      </w:r>
      <w:r w:rsidR="004834E9" w:rsidRPr="009C789B">
        <w:rPr>
          <w:lang w:val="fr-FR"/>
        </w:rPr>
        <w:t xml:space="preserve">autre résultat rendu possible </w:t>
      </w:r>
      <w:r w:rsidR="00D7123E" w:rsidRPr="009C789B">
        <w:rPr>
          <w:lang w:val="fr-FR"/>
        </w:rPr>
        <w:t>grâce au</w:t>
      </w:r>
      <w:r w:rsidR="003F03F9" w:rsidRPr="009C789B">
        <w:rPr>
          <w:lang w:val="fr-FR"/>
        </w:rPr>
        <w:t xml:space="preserve"> </w:t>
      </w:r>
      <w:r w:rsidR="004834E9" w:rsidRPr="009C789B">
        <w:rPr>
          <w:lang w:val="fr-FR"/>
        </w:rPr>
        <w:t xml:space="preserve">soutien du Fonds et de la ligne budgétaire </w:t>
      </w:r>
      <w:r w:rsidR="00360AEC" w:rsidRPr="009C789B">
        <w:rPr>
          <w:lang w:val="fr-FR"/>
        </w:rPr>
        <w:t>« </w:t>
      </w:r>
      <w:r w:rsidR="004834E9" w:rsidRPr="009C789B">
        <w:rPr>
          <w:lang w:val="fr-FR"/>
        </w:rPr>
        <w:t>autres fonctions du Comité »</w:t>
      </w:r>
      <w:r w:rsidR="001253D3" w:rsidRPr="009C789B">
        <w:rPr>
          <w:lang w:val="fr-FR"/>
        </w:rPr>
        <w:t xml:space="preserve">. </w:t>
      </w:r>
      <w:r w:rsidR="004834E9" w:rsidRPr="009C789B">
        <w:rPr>
          <w:lang w:val="fr-FR"/>
        </w:rPr>
        <w:t xml:space="preserve">Grâce au soutien complémentaire du </w:t>
      </w:r>
      <w:r w:rsidR="00D7123E" w:rsidRPr="009C789B">
        <w:rPr>
          <w:lang w:val="fr-FR"/>
        </w:rPr>
        <w:t xml:space="preserve">Ministère </w:t>
      </w:r>
      <w:r w:rsidR="004834E9" w:rsidRPr="009C789B">
        <w:rPr>
          <w:lang w:val="fr-FR"/>
        </w:rPr>
        <w:t xml:space="preserve">espagnol de </w:t>
      </w:r>
      <w:r w:rsidR="00D7123E" w:rsidRPr="009C789B">
        <w:rPr>
          <w:lang w:val="fr-FR"/>
        </w:rPr>
        <w:t>l’éducation</w:t>
      </w:r>
      <w:r w:rsidR="001253D3" w:rsidRPr="009C789B">
        <w:rPr>
          <w:lang w:val="fr-FR"/>
        </w:rPr>
        <w:t xml:space="preserve">, </w:t>
      </w:r>
      <w:r w:rsidR="004834E9" w:rsidRPr="009C789B">
        <w:rPr>
          <w:lang w:val="fr-FR"/>
        </w:rPr>
        <w:t xml:space="preserve">de la </w:t>
      </w:r>
      <w:r w:rsidR="00D7123E" w:rsidRPr="009C789B">
        <w:rPr>
          <w:lang w:val="fr-FR"/>
        </w:rPr>
        <w:t xml:space="preserve">culture </w:t>
      </w:r>
      <w:r w:rsidR="004834E9" w:rsidRPr="009C789B">
        <w:rPr>
          <w:lang w:val="fr-FR"/>
        </w:rPr>
        <w:t xml:space="preserve">et du </w:t>
      </w:r>
      <w:r w:rsidR="00D7123E" w:rsidRPr="009C789B">
        <w:rPr>
          <w:lang w:val="fr-FR"/>
        </w:rPr>
        <w:t>sport</w:t>
      </w:r>
      <w:r w:rsidR="001253D3" w:rsidRPr="009C789B">
        <w:rPr>
          <w:lang w:val="fr-FR"/>
        </w:rPr>
        <w:t xml:space="preserve">, </w:t>
      </w:r>
      <w:r w:rsidR="004834E9" w:rsidRPr="009C789B">
        <w:rPr>
          <w:lang w:val="fr-FR"/>
        </w:rPr>
        <w:t>le</w:t>
      </w:r>
      <w:r w:rsidR="001253D3" w:rsidRPr="009C789B">
        <w:rPr>
          <w:lang w:val="fr-FR"/>
        </w:rPr>
        <w:t xml:space="preserve"> Secr</w:t>
      </w:r>
      <w:r w:rsidR="004834E9" w:rsidRPr="009C789B">
        <w:rPr>
          <w:lang w:val="fr-FR"/>
        </w:rPr>
        <w:t>é</w:t>
      </w:r>
      <w:r w:rsidR="001253D3" w:rsidRPr="009C789B">
        <w:rPr>
          <w:lang w:val="fr-FR"/>
        </w:rPr>
        <w:t xml:space="preserve">tariat </w:t>
      </w:r>
      <w:r w:rsidR="004834E9" w:rsidRPr="009C789B">
        <w:rPr>
          <w:lang w:val="fr-FR"/>
        </w:rPr>
        <w:t xml:space="preserve">a pu lancer </w:t>
      </w:r>
      <w:r w:rsidR="00CE0983" w:rsidRPr="009C789B">
        <w:rPr>
          <w:lang w:val="fr-FR"/>
        </w:rPr>
        <w:t>des</w:t>
      </w:r>
      <w:r w:rsidR="004834E9" w:rsidRPr="009C789B">
        <w:rPr>
          <w:lang w:val="fr-FR"/>
        </w:rPr>
        <w:t xml:space="preserve"> trava</w:t>
      </w:r>
      <w:r w:rsidR="00CE0983" w:rsidRPr="009C789B">
        <w:rPr>
          <w:lang w:val="fr-FR"/>
        </w:rPr>
        <w:t>ux</w:t>
      </w:r>
      <w:r w:rsidR="004834E9" w:rsidRPr="009C789B">
        <w:rPr>
          <w:lang w:val="fr-FR"/>
        </w:rPr>
        <w:t xml:space="preserve"> sur un modèle de code d’éthique destiné à guider les efforts de sauvegarde dans le monde entier, ainsi que l’avait demandé le </w:t>
      </w:r>
      <w:r w:rsidR="001253D3" w:rsidRPr="009C789B">
        <w:rPr>
          <w:lang w:val="fr-FR"/>
        </w:rPr>
        <w:t>Comit</w:t>
      </w:r>
      <w:r w:rsidR="004834E9" w:rsidRPr="009C789B">
        <w:rPr>
          <w:lang w:val="fr-FR"/>
        </w:rPr>
        <w:t xml:space="preserve">é dans sa </w:t>
      </w:r>
      <w:hyperlink r:id="rId14" w:history="1">
        <w:r w:rsidR="004834E9" w:rsidRPr="009C789B">
          <w:rPr>
            <w:rStyle w:val="Hyperlink"/>
            <w:lang w:eastAsia="en-US"/>
          </w:rPr>
          <w:t>dé</w:t>
        </w:r>
        <w:r w:rsidR="001253D3" w:rsidRPr="009C789B">
          <w:rPr>
            <w:rStyle w:val="Hyperlink"/>
            <w:lang w:eastAsia="en-US"/>
          </w:rPr>
          <w:t>cision 7.COM 6</w:t>
        </w:r>
      </w:hyperlink>
      <w:r w:rsidR="001253D3" w:rsidRPr="009C789B">
        <w:rPr>
          <w:lang w:val="fr-FR"/>
        </w:rPr>
        <w:t xml:space="preserve">. </w:t>
      </w:r>
      <w:r w:rsidR="004834E9" w:rsidRPr="009C789B">
        <w:rPr>
          <w:lang w:val="fr-FR"/>
        </w:rPr>
        <w:t>L</w:t>
      </w:r>
      <w:r w:rsidR="001253D3" w:rsidRPr="009C789B">
        <w:rPr>
          <w:lang w:val="fr-FR"/>
        </w:rPr>
        <w:t>e Secr</w:t>
      </w:r>
      <w:r w:rsidR="004834E9" w:rsidRPr="009C789B">
        <w:rPr>
          <w:lang w:val="fr-FR"/>
        </w:rPr>
        <w:t>é</w:t>
      </w:r>
      <w:r w:rsidR="001253D3" w:rsidRPr="009C789B">
        <w:rPr>
          <w:lang w:val="fr-FR"/>
        </w:rPr>
        <w:t xml:space="preserve">tariat </w:t>
      </w:r>
      <w:r w:rsidR="004834E9" w:rsidRPr="009C789B">
        <w:rPr>
          <w:lang w:val="fr-FR"/>
        </w:rPr>
        <w:t>a é</w:t>
      </w:r>
      <w:r w:rsidR="001253D3" w:rsidRPr="009C789B">
        <w:rPr>
          <w:lang w:val="fr-FR"/>
        </w:rPr>
        <w:t>labor</w:t>
      </w:r>
      <w:r w:rsidR="004834E9" w:rsidRPr="009C789B">
        <w:rPr>
          <w:lang w:val="fr-FR"/>
        </w:rPr>
        <w:t>é un document de référence</w:t>
      </w:r>
      <w:r w:rsidR="001253D3" w:rsidRPr="009C789B">
        <w:rPr>
          <w:lang w:val="fr-FR"/>
        </w:rPr>
        <w:t xml:space="preserve"> (</w:t>
      </w:r>
      <w:hyperlink r:id="rId15" w:history="1">
        <w:r w:rsidR="004834E9" w:rsidRPr="009C789B">
          <w:rPr>
            <w:rStyle w:val="Hyperlink"/>
            <w:lang w:eastAsia="en-US"/>
          </w:rPr>
          <w:t>d</w:t>
        </w:r>
        <w:r w:rsidR="001253D3" w:rsidRPr="009C789B">
          <w:rPr>
            <w:rStyle w:val="Hyperlink"/>
            <w:lang w:eastAsia="en-US"/>
          </w:rPr>
          <w:t>ocument ITH-15-EXP-2</w:t>
        </w:r>
      </w:hyperlink>
      <w:r w:rsidR="001253D3" w:rsidRPr="009C789B">
        <w:rPr>
          <w:lang w:val="fr-FR"/>
        </w:rPr>
        <w:t>) bas</w:t>
      </w:r>
      <w:r w:rsidR="004834E9" w:rsidRPr="009C789B">
        <w:rPr>
          <w:lang w:val="fr-FR"/>
        </w:rPr>
        <w:t>é sur des discussions antérieures du Comité</w:t>
      </w:r>
      <w:r w:rsidR="001253D3" w:rsidRPr="009C789B">
        <w:rPr>
          <w:lang w:val="fr-FR"/>
        </w:rPr>
        <w:t xml:space="preserve">, </w:t>
      </w:r>
      <w:r w:rsidR="00EA0649" w:rsidRPr="009C789B">
        <w:rPr>
          <w:lang w:val="fr-FR"/>
        </w:rPr>
        <w:t xml:space="preserve">sur </w:t>
      </w:r>
      <w:r w:rsidR="004834E9" w:rsidRPr="009C789B">
        <w:rPr>
          <w:lang w:val="fr-FR"/>
        </w:rPr>
        <w:t xml:space="preserve">le travail </w:t>
      </w:r>
      <w:r w:rsidR="00CE0983" w:rsidRPr="009C789B">
        <w:rPr>
          <w:lang w:val="fr-FR"/>
        </w:rPr>
        <w:t>précédemment</w:t>
      </w:r>
      <w:r w:rsidR="00EA0649" w:rsidRPr="009C789B">
        <w:rPr>
          <w:lang w:val="fr-FR"/>
        </w:rPr>
        <w:t xml:space="preserve"> </w:t>
      </w:r>
      <w:r w:rsidR="004834E9" w:rsidRPr="009C789B">
        <w:rPr>
          <w:lang w:val="fr-FR"/>
        </w:rPr>
        <w:t xml:space="preserve">entrepris </w:t>
      </w:r>
      <w:r w:rsidR="00EA0649" w:rsidRPr="009C789B">
        <w:rPr>
          <w:lang w:val="fr-FR"/>
        </w:rPr>
        <w:t xml:space="preserve">par le </w:t>
      </w:r>
      <w:r w:rsidR="001253D3" w:rsidRPr="009C789B">
        <w:rPr>
          <w:lang w:val="fr-FR"/>
        </w:rPr>
        <w:t>Secr</w:t>
      </w:r>
      <w:r w:rsidR="00EA0649" w:rsidRPr="009C789B">
        <w:rPr>
          <w:lang w:val="fr-FR"/>
        </w:rPr>
        <w:t>é</w:t>
      </w:r>
      <w:r w:rsidR="001253D3" w:rsidRPr="009C789B">
        <w:rPr>
          <w:lang w:val="fr-FR"/>
        </w:rPr>
        <w:t xml:space="preserve">tariat </w:t>
      </w:r>
      <w:r w:rsidR="00EA0649" w:rsidRPr="009C789B">
        <w:rPr>
          <w:lang w:val="fr-FR"/>
        </w:rPr>
        <w:t xml:space="preserve">sur le sujet et sur des études complémentaires ; il a également </w:t>
      </w:r>
      <w:r w:rsidR="00AE0FCA" w:rsidRPr="009C789B">
        <w:rPr>
          <w:lang w:val="fr-FR"/>
        </w:rPr>
        <w:t>participé à l’o</w:t>
      </w:r>
      <w:r w:rsidR="00EA0649" w:rsidRPr="009C789B">
        <w:rPr>
          <w:lang w:val="fr-FR"/>
        </w:rPr>
        <w:t>rganis</w:t>
      </w:r>
      <w:r w:rsidR="00AE0FCA" w:rsidRPr="009C789B">
        <w:rPr>
          <w:lang w:val="fr-FR"/>
        </w:rPr>
        <w:t>ation d’</w:t>
      </w:r>
      <w:r w:rsidR="00EA0649" w:rsidRPr="009C789B">
        <w:rPr>
          <w:lang w:val="fr-FR"/>
        </w:rPr>
        <w:t>une réunion d’experts à Valenc</w:t>
      </w:r>
      <w:r w:rsidR="00CE0983" w:rsidRPr="009C789B">
        <w:rPr>
          <w:lang w:val="fr-FR"/>
        </w:rPr>
        <w:t>e</w:t>
      </w:r>
      <w:r w:rsidR="001253D3" w:rsidRPr="009C789B">
        <w:rPr>
          <w:lang w:val="fr-FR"/>
        </w:rPr>
        <w:t xml:space="preserve">, </w:t>
      </w:r>
      <w:r w:rsidR="00EA0649" w:rsidRPr="009C789B">
        <w:rPr>
          <w:lang w:val="fr-FR"/>
        </w:rPr>
        <w:t>en Es</w:t>
      </w:r>
      <w:r w:rsidR="001253D3" w:rsidRPr="009C789B">
        <w:rPr>
          <w:lang w:val="fr-FR"/>
        </w:rPr>
        <w:t>pa</w:t>
      </w:r>
      <w:r w:rsidR="00EA0649" w:rsidRPr="009C789B">
        <w:rPr>
          <w:lang w:val="fr-FR"/>
        </w:rPr>
        <w:t>g</w:t>
      </w:r>
      <w:r w:rsidR="001253D3" w:rsidRPr="009C789B">
        <w:rPr>
          <w:lang w:val="fr-FR"/>
        </w:rPr>
        <w:t>n</w:t>
      </w:r>
      <w:r w:rsidR="00EA0649" w:rsidRPr="009C789B">
        <w:rPr>
          <w:lang w:val="fr-FR"/>
        </w:rPr>
        <w:t>e</w:t>
      </w:r>
      <w:r w:rsidR="001253D3" w:rsidRPr="009C789B">
        <w:rPr>
          <w:lang w:val="fr-FR"/>
        </w:rPr>
        <w:t xml:space="preserve">, </w:t>
      </w:r>
      <w:r w:rsidR="00EA0649" w:rsidRPr="009C789B">
        <w:rPr>
          <w:lang w:val="fr-FR"/>
        </w:rPr>
        <w:t>du 30 mars au 1</w:t>
      </w:r>
      <w:r w:rsidR="00EA0649" w:rsidRPr="009C789B">
        <w:rPr>
          <w:vertAlign w:val="superscript"/>
          <w:lang w:val="fr-FR"/>
        </w:rPr>
        <w:t>er</w:t>
      </w:r>
      <w:r w:rsidR="007714AE" w:rsidRPr="009C789B">
        <w:rPr>
          <w:vertAlign w:val="superscript"/>
          <w:lang w:val="fr-FR"/>
        </w:rPr>
        <w:t> </w:t>
      </w:r>
      <w:r w:rsidR="00EA0649" w:rsidRPr="009C789B">
        <w:rPr>
          <w:lang w:val="fr-FR"/>
        </w:rPr>
        <w:t xml:space="preserve">avril </w:t>
      </w:r>
      <w:r w:rsidR="001253D3" w:rsidRPr="009C789B">
        <w:rPr>
          <w:lang w:val="fr-FR"/>
        </w:rPr>
        <w:t>2015</w:t>
      </w:r>
      <w:r w:rsidR="007714AE" w:rsidRPr="009C789B">
        <w:rPr>
          <w:lang w:val="fr-FR"/>
        </w:rPr>
        <w:t>,</w:t>
      </w:r>
      <w:r w:rsidR="001253D3" w:rsidRPr="009C789B">
        <w:rPr>
          <w:lang w:val="fr-FR"/>
        </w:rPr>
        <w:t xml:space="preserve"> </w:t>
      </w:r>
      <w:r w:rsidR="00EA0649" w:rsidRPr="009C789B">
        <w:rPr>
          <w:lang w:val="fr-FR"/>
        </w:rPr>
        <w:t>afin de r</w:t>
      </w:r>
      <w:r w:rsidR="007714AE" w:rsidRPr="009C789B">
        <w:rPr>
          <w:lang w:val="fr-FR"/>
        </w:rPr>
        <w:t>assembler</w:t>
      </w:r>
      <w:r w:rsidR="00EA0649" w:rsidRPr="009C789B">
        <w:rPr>
          <w:lang w:val="fr-FR"/>
        </w:rPr>
        <w:t xml:space="preserve"> divers</w:t>
      </w:r>
      <w:r w:rsidR="007714AE" w:rsidRPr="009C789B">
        <w:rPr>
          <w:lang w:val="fr-FR"/>
        </w:rPr>
        <w:t>es idées</w:t>
      </w:r>
      <w:r w:rsidR="00EA0649" w:rsidRPr="009C789B">
        <w:rPr>
          <w:lang w:val="fr-FR"/>
        </w:rPr>
        <w:t xml:space="preserve"> et de nouve</w:t>
      </w:r>
      <w:r w:rsidR="007714AE" w:rsidRPr="009C789B">
        <w:rPr>
          <w:lang w:val="fr-FR"/>
        </w:rPr>
        <w:t>aux points de vue</w:t>
      </w:r>
      <w:r w:rsidR="00EA0649" w:rsidRPr="009C789B">
        <w:rPr>
          <w:lang w:val="fr-FR"/>
        </w:rPr>
        <w:t xml:space="preserve"> sur les valeurs </w:t>
      </w:r>
      <w:r w:rsidR="00AE0FCA" w:rsidRPr="009C789B">
        <w:rPr>
          <w:lang w:val="fr-FR"/>
        </w:rPr>
        <w:t>fondamentales</w:t>
      </w:r>
      <w:r w:rsidR="00EA0649" w:rsidRPr="009C789B">
        <w:rPr>
          <w:lang w:val="fr-FR"/>
        </w:rPr>
        <w:t xml:space="preserve"> à inclure dans un modèle potentiel de code d’éthique</w:t>
      </w:r>
      <w:r w:rsidR="001253D3" w:rsidRPr="009C789B">
        <w:rPr>
          <w:lang w:val="fr-FR"/>
        </w:rPr>
        <w:t xml:space="preserve">. </w:t>
      </w:r>
      <w:r w:rsidR="00AE0FCA" w:rsidRPr="009C789B">
        <w:rPr>
          <w:lang w:val="fr-FR"/>
        </w:rPr>
        <w:t xml:space="preserve">Au cours de la période de référence, le Secrétariat s’est également attaché à renforcer la coopération avec l’OMPI en organisant avec cette dernière un atelier infrarégional et en participant à une réunion organisée par l’OMPI, dans les deux cas pour discuter </w:t>
      </w:r>
      <w:r w:rsidR="00D7123E" w:rsidRPr="009C789B">
        <w:rPr>
          <w:lang w:val="fr-FR"/>
        </w:rPr>
        <w:t>d’enjeux relatifs</w:t>
      </w:r>
      <w:r w:rsidR="00AE0FCA" w:rsidRPr="009C789B">
        <w:rPr>
          <w:lang w:val="fr-FR"/>
        </w:rPr>
        <w:t xml:space="preserve"> à la propriété intellectuelle et au patrimoine culturel immatériel.</w:t>
      </w:r>
    </w:p>
    <w:p w14:paraId="61BA2865" w14:textId="019BE669" w:rsidR="00985DAD" w:rsidRPr="009C789B" w:rsidRDefault="005A1A81" w:rsidP="009C789B">
      <w:pPr>
        <w:pStyle w:val="1GAParabodytext"/>
        <w:keepNext/>
        <w:ind w:left="0" w:firstLine="0"/>
        <w:rPr>
          <w:b/>
          <w:bCs/>
        </w:rPr>
      </w:pPr>
      <w:r w:rsidRPr="009C789B">
        <w:rPr>
          <w:b/>
          <w:bCs/>
        </w:rPr>
        <w:t>Défis généraux rencontrés dans la mise en œuvre et mesures correctives</w:t>
      </w:r>
    </w:p>
    <w:p w14:paraId="3DAC98D6" w14:textId="77777777" w:rsidR="001253D3" w:rsidRPr="009C789B" w:rsidRDefault="00EF6F89" w:rsidP="00AF1379">
      <w:pPr>
        <w:pStyle w:val="GAParabodytext"/>
        <w:ind w:left="567" w:hanging="425"/>
        <w:rPr>
          <w:lang w:val="fr-FR"/>
        </w:rPr>
      </w:pPr>
      <w:r w:rsidRPr="009C789B">
        <w:rPr>
          <w:lang w:val="fr-FR"/>
        </w:rPr>
        <w:t xml:space="preserve">Le programme ordinaire de l’exercice biennal étant </w:t>
      </w:r>
      <w:r w:rsidR="00E2752D" w:rsidRPr="009C789B">
        <w:rPr>
          <w:lang w:val="fr-FR"/>
        </w:rPr>
        <w:t>en totalité</w:t>
      </w:r>
      <w:r w:rsidRPr="009C789B">
        <w:rPr>
          <w:lang w:val="fr-FR"/>
        </w:rPr>
        <w:t xml:space="preserve"> destiné à couvrir les coûts des besoins statutaires de la </w:t>
      </w:r>
      <w:r w:rsidR="001253D3" w:rsidRPr="009C789B">
        <w:rPr>
          <w:lang w:val="fr-FR"/>
        </w:rPr>
        <w:t xml:space="preserve">Convention, </w:t>
      </w:r>
      <w:r w:rsidRPr="009C789B">
        <w:rPr>
          <w:lang w:val="fr-FR"/>
        </w:rPr>
        <w:t>le soutien de cette ligne budgétaire du Fonds est essentiel pour donner au travail du Comité un</w:t>
      </w:r>
      <w:r w:rsidR="00E2752D" w:rsidRPr="009C789B">
        <w:rPr>
          <w:lang w:val="fr-FR"/>
        </w:rPr>
        <w:t xml:space="preserve">e </w:t>
      </w:r>
      <w:r w:rsidRPr="009C789B">
        <w:rPr>
          <w:lang w:val="fr-FR"/>
        </w:rPr>
        <w:t>plus grand</w:t>
      </w:r>
      <w:r w:rsidR="00E2752D" w:rsidRPr="009C789B">
        <w:rPr>
          <w:lang w:val="fr-FR"/>
        </w:rPr>
        <w:t>e portée</w:t>
      </w:r>
      <w:r w:rsidRPr="009C789B">
        <w:rPr>
          <w:lang w:val="fr-FR"/>
        </w:rPr>
        <w:t xml:space="preserve"> en termes d’</w:t>
      </w:r>
      <w:r w:rsidR="001253D3" w:rsidRPr="009C789B">
        <w:rPr>
          <w:lang w:val="fr-FR"/>
        </w:rPr>
        <w:t xml:space="preserve">impact </w:t>
      </w:r>
      <w:r w:rsidRPr="009C789B">
        <w:rPr>
          <w:lang w:val="fr-FR"/>
        </w:rPr>
        <w:t>et de v</w:t>
      </w:r>
      <w:r w:rsidR="001253D3" w:rsidRPr="009C789B">
        <w:rPr>
          <w:lang w:val="fr-FR"/>
        </w:rPr>
        <w:t>isibilit</w:t>
      </w:r>
      <w:r w:rsidRPr="009C789B">
        <w:rPr>
          <w:lang w:val="fr-FR"/>
        </w:rPr>
        <w:t>é</w:t>
      </w:r>
      <w:r w:rsidR="001253D3" w:rsidRPr="009C789B">
        <w:rPr>
          <w:lang w:val="fr-FR"/>
        </w:rPr>
        <w:t xml:space="preserve">. </w:t>
      </w:r>
      <w:r w:rsidR="00E2752D" w:rsidRPr="009C789B">
        <w:rPr>
          <w:lang w:val="fr-FR"/>
        </w:rPr>
        <w:t xml:space="preserve">Cependant, comme pour la mise en œuvre du Programme ordinaire, le </w:t>
      </w:r>
      <w:r w:rsidR="00E42341" w:rsidRPr="009C789B">
        <w:rPr>
          <w:lang w:val="fr-FR"/>
        </w:rPr>
        <w:t>décalage</w:t>
      </w:r>
      <w:r w:rsidR="009224AF" w:rsidRPr="009C789B">
        <w:rPr>
          <w:lang w:val="fr-FR"/>
        </w:rPr>
        <w:t xml:space="preserve"> considérable</w:t>
      </w:r>
      <w:r w:rsidR="00E42341" w:rsidRPr="009C789B">
        <w:rPr>
          <w:lang w:val="fr-FR"/>
        </w:rPr>
        <w:t xml:space="preserve"> entre les ressources humaines et l’augmentation régulière de la charge de travail et des attentes des </w:t>
      </w:r>
      <w:r w:rsidR="00AE0FCA" w:rsidRPr="009C789B">
        <w:rPr>
          <w:lang w:val="fr-FR"/>
        </w:rPr>
        <w:t>États</w:t>
      </w:r>
      <w:r w:rsidR="00E42341" w:rsidRPr="009C789B">
        <w:rPr>
          <w:lang w:val="fr-FR"/>
        </w:rPr>
        <w:t xml:space="preserve"> parties reste le principal problème, comme </w:t>
      </w:r>
      <w:r w:rsidR="009C2B29" w:rsidRPr="009C789B">
        <w:rPr>
          <w:lang w:val="fr-FR"/>
        </w:rPr>
        <w:t xml:space="preserve">le </w:t>
      </w:r>
      <w:r w:rsidR="00E42341" w:rsidRPr="009C789B">
        <w:rPr>
          <w:lang w:val="fr-FR"/>
        </w:rPr>
        <w:t>soulign</w:t>
      </w:r>
      <w:r w:rsidR="009C2B29" w:rsidRPr="009C789B">
        <w:rPr>
          <w:lang w:val="fr-FR"/>
        </w:rPr>
        <w:t>e</w:t>
      </w:r>
      <w:r w:rsidR="00E42341" w:rsidRPr="009C789B">
        <w:rPr>
          <w:lang w:val="fr-FR"/>
        </w:rPr>
        <w:t xml:space="preserve"> l’audit de l’</w:t>
      </w:r>
      <w:r w:rsidR="001253D3" w:rsidRPr="009C789B">
        <w:rPr>
          <w:lang w:val="fr-FR"/>
        </w:rPr>
        <w:t xml:space="preserve">IOS </w:t>
      </w:r>
      <w:r w:rsidR="00AC662A" w:rsidRPr="009C789B">
        <w:rPr>
          <w:lang w:val="fr-FR"/>
        </w:rPr>
        <w:t xml:space="preserve">sur les méthodes de travail des </w:t>
      </w:r>
      <w:r w:rsidR="00B80959" w:rsidRPr="009C789B">
        <w:rPr>
          <w:lang w:val="fr-FR"/>
        </w:rPr>
        <w:t>c</w:t>
      </w:r>
      <w:r w:rsidR="00AC662A" w:rsidRPr="009C789B">
        <w:rPr>
          <w:lang w:val="fr-FR"/>
        </w:rPr>
        <w:t xml:space="preserve">onventions </w:t>
      </w:r>
      <w:r w:rsidR="009C2B29" w:rsidRPr="009C789B">
        <w:rPr>
          <w:lang w:val="fr-FR"/>
        </w:rPr>
        <w:t>culturelles</w:t>
      </w:r>
      <w:r w:rsidR="00AC662A" w:rsidRPr="009C789B">
        <w:rPr>
          <w:lang w:val="fr-FR"/>
        </w:rPr>
        <w:t xml:space="preserve">, </w:t>
      </w:r>
      <w:r w:rsidR="00FA4789" w:rsidRPr="009C789B">
        <w:rPr>
          <w:lang w:val="fr-FR"/>
        </w:rPr>
        <w:t xml:space="preserve">de même que </w:t>
      </w:r>
      <w:r w:rsidR="00AC662A" w:rsidRPr="009C789B">
        <w:rPr>
          <w:lang w:val="fr-FR"/>
        </w:rPr>
        <w:t>pour la mise en œuvre de ces fonds</w:t>
      </w:r>
      <w:r w:rsidR="001253D3" w:rsidRPr="009C789B">
        <w:rPr>
          <w:lang w:val="fr-FR"/>
        </w:rPr>
        <w:t>.</w:t>
      </w:r>
    </w:p>
    <w:p w14:paraId="21702408" w14:textId="69F91F84" w:rsidR="00152B3B" w:rsidRPr="009C789B" w:rsidRDefault="009224AF" w:rsidP="00AF1379">
      <w:pPr>
        <w:pStyle w:val="GAParabodytext"/>
        <w:ind w:left="567" w:hanging="567"/>
        <w:rPr>
          <w:lang w:val="fr-FR"/>
        </w:rPr>
      </w:pPr>
      <w:r w:rsidRPr="009C789B">
        <w:rPr>
          <w:lang w:val="fr-FR"/>
        </w:rPr>
        <w:t xml:space="preserve">Si le programme de renforcement des capacités de la Convention de </w:t>
      </w:r>
      <w:r w:rsidR="00152B3B" w:rsidRPr="009C789B">
        <w:rPr>
          <w:lang w:val="fr-FR"/>
        </w:rPr>
        <w:t xml:space="preserve">2003 </w:t>
      </w:r>
      <w:r w:rsidR="00FA4789" w:rsidRPr="009C789B">
        <w:rPr>
          <w:lang w:val="fr-FR"/>
        </w:rPr>
        <w:t>a montré s</w:t>
      </w:r>
      <w:r w:rsidR="00B80959" w:rsidRPr="009C789B">
        <w:rPr>
          <w:lang w:val="fr-FR"/>
        </w:rPr>
        <w:t xml:space="preserve">on efficacité pour </w:t>
      </w:r>
      <w:r w:rsidR="00FA4789" w:rsidRPr="009C789B">
        <w:rPr>
          <w:lang w:val="fr-FR"/>
        </w:rPr>
        <w:t xml:space="preserve">aider </w:t>
      </w:r>
      <w:r w:rsidR="009B34D8" w:rsidRPr="009C789B">
        <w:rPr>
          <w:lang w:val="fr-FR"/>
        </w:rPr>
        <w:t xml:space="preserve">les </w:t>
      </w:r>
      <w:r w:rsidR="00AE0FCA" w:rsidRPr="009C789B">
        <w:rPr>
          <w:lang w:val="fr-FR"/>
        </w:rPr>
        <w:t>États</w:t>
      </w:r>
      <w:r w:rsidR="009B34D8" w:rsidRPr="009C789B">
        <w:rPr>
          <w:lang w:val="fr-FR"/>
        </w:rPr>
        <w:t xml:space="preserve"> membres, l’une des difficultés rencontrées au niveau mondial est l’élaboration </w:t>
      </w:r>
      <w:r w:rsidR="005A1A81" w:rsidRPr="009C789B">
        <w:rPr>
          <w:lang w:val="fr-FR"/>
        </w:rPr>
        <w:t xml:space="preserve">de </w:t>
      </w:r>
      <w:r w:rsidR="009B34D8" w:rsidRPr="009C789B">
        <w:rPr>
          <w:lang w:val="fr-FR"/>
        </w:rPr>
        <w:t>nouveau</w:t>
      </w:r>
      <w:r w:rsidR="005A1A81" w:rsidRPr="009C789B">
        <w:rPr>
          <w:lang w:val="fr-FR"/>
        </w:rPr>
        <w:t>x</w:t>
      </w:r>
      <w:r w:rsidR="009B34D8" w:rsidRPr="009C789B">
        <w:rPr>
          <w:lang w:val="fr-FR"/>
        </w:rPr>
        <w:t xml:space="preserve"> contenu</w:t>
      </w:r>
      <w:r w:rsidR="005A1A81" w:rsidRPr="009C789B">
        <w:rPr>
          <w:lang w:val="fr-FR"/>
        </w:rPr>
        <w:t>s</w:t>
      </w:r>
      <w:r w:rsidR="009B34D8" w:rsidRPr="009C789B">
        <w:rPr>
          <w:lang w:val="fr-FR"/>
        </w:rPr>
        <w:t xml:space="preserve"> d</w:t>
      </w:r>
      <w:r w:rsidR="0012155E" w:rsidRPr="009C789B">
        <w:rPr>
          <w:lang w:val="fr-FR"/>
        </w:rPr>
        <w:t>e formation</w:t>
      </w:r>
      <w:r w:rsidR="00152B3B" w:rsidRPr="009C789B">
        <w:rPr>
          <w:lang w:val="fr-FR"/>
        </w:rPr>
        <w:t xml:space="preserve">. </w:t>
      </w:r>
      <w:r w:rsidR="009B34D8" w:rsidRPr="009C789B">
        <w:rPr>
          <w:lang w:val="fr-FR"/>
        </w:rPr>
        <w:t xml:space="preserve">Les sujets abordés étant également nouveaux pour la communauté des experts, trouver des spécialistes </w:t>
      </w:r>
      <w:r w:rsidR="0012155E" w:rsidRPr="009C789B">
        <w:rPr>
          <w:lang w:val="fr-FR"/>
        </w:rPr>
        <w:t xml:space="preserve">possédant à la fois </w:t>
      </w:r>
      <w:r w:rsidR="009B34D8" w:rsidRPr="009C789B">
        <w:rPr>
          <w:lang w:val="fr-FR"/>
        </w:rPr>
        <w:t xml:space="preserve">le profil adéquat, une </w:t>
      </w:r>
      <w:r w:rsidR="00AC4F4F" w:rsidRPr="009C789B">
        <w:rPr>
          <w:lang w:val="fr-FR"/>
        </w:rPr>
        <w:t>excellente</w:t>
      </w:r>
      <w:r w:rsidR="009B34D8" w:rsidRPr="009C789B">
        <w:rPr>
          <w:lang w:val="fr-FR"/>
        </w:rPr>
        <w:t xml:space="preserve"> connaissance du contenu</w:t>
      </w:r>
      <w:r w:rsidR="00AC4F4F" w:rsidRPr="009C789B">
        <w:rPr>
          <w:lang w:val="fr-FR"/>
        </w:rPr>
        <w:t>,</w:t>
      </w:r>
      <w:r w:rsidR="009B34D8" w:rsidRPr="009C789B">
        <w:rPr>
          <w:lang w:val="fr-FR"/>
        </w:rPr>
        <w:t xml:space="preserve"> un savoir-faire pédagogique et </w:t>
      </w:r>
      <w:r w:rsidR="00AC4F4F" w:rsidRPr="009C789B">
        <w:rPr>
          <w:lang w:val="fr-FR"/>
        </w:rPr>
        <w:t>de solides compétences rédactionnelles</w:t>
      </w:r>
      <w:r w:rsidR="00152B3B" w:rsidRPr="009C789B">
        <w:rPr>
          <w:lang w:val="fr-FR"/>
        </w:rPr>
        <w:t xml:space="preserve">, </w:t>
      </w:r>
      <w:r w:rsidR="00AC4F4F" w:rsidRPr="009C789B">
        <w:rPr>
          <w:lang w:val="fr-FR"/>
        </w:rPr>
        <w:t>n’a pas été une tâche facile</w:t>
      </w:r>
      <w:r w:rsidR="00152B3B" w:rsidRPr="009C789B">
        <w:rPr>
          <w:lang w:val="fr-FR"/>
        </w:rPr>
        <w:t xml:space="preserve">. </w:t>
      </w:r>
      <w:r w:rsidR="0012155E" w:rsidRPr="009C789B">
        <w:rPr>
          <w:lang w:val="fr-FR"/>
        </w:rPr>
        <w:t>L</w:t>
      </w:r>
      <w:r w:rsidR="00AC4F4F" w:rsidRPr="009C789B">
        <w:rPr>
          <w:lang w:val="fr-FR"/>
        </w:rPr>
        <w:t xml:space="preserve">e </w:t>
      </w:r>
      <w:r w:rsidR="00152B3B" w:rsidRPr="009C789B">
        <w:rPr>
          <w:lang w:val="fr-FR"/>
        </w:rPr>
        <w:t>Secr</w:t>
      </w:r>
      <w:r w:rsidR="00AC4F4F" w:rsidRPr="009C789B">
        <w:rPr>
          <w:lang w:val="fr-FR"/>
        </w:rPr>
        <w:t>é</w:t>
      </w:r>
      <w:r w:rsidR="00152B3B" w:rsidRPr="009C789B">
        <w:rPr>
          <w:lang w:val="fr-FR"/>
        </w:rPr>
        <w:t xml:space="preserve">tariat </w:t>
      </w:r>
      <w:r w:rsidR="009B776D" w:rsidRPr="009C789B">
        <w:rPr>
          <w:lang w:val="fr-FR"/>
        </w:rPr>
        <w:t>s’efforce en outre de</w:t>
      </w:r>
      <w:r w:rsidR="00550976" w:rsidRPr="009C789B">
        <w:rPr>
          <w:lang w:val="fr-FR"/>
        </w:rPr>
        <w:t xml:space="preserve"> diversifier la représentation géographique et </w:t>
      </w:r>
      <w:r w:rsidR="009B776D" w:rsidRPr="009C789B">
        <w:rPr>
          <w:lang w:val="fr-FR"/>
        </w:rPr>
        <w:t>de</w:t>
      </w:r>
      <w:r w:rsidR="00550976" w:rsidRPr="009C789B">
        <w:rPr>
          <w:lang w:val="fr-FR"/>
        </w:rPr>
        <w:t xml:space="preserve"> </w:t>
      </w:r>
      <w:r w:rsidR="0012155E" w:rsidRPr="009C789B">
        <w:rPr>
          <w:lang w:val="fr-FR"/>
        </w:rPr>
        <w:t>respecter</w:t>
      </w:r>
      <w:r w:rsidR="00267DF4" w:rsidRPr="009C789B">
        <w:rPr>
          <w:lang w:val="fr-FR"/>
        </w:rPr>
        <w:t xml:space="preserve"> </w:t>
      </w:r>
      <w:r w:rsidR="00550976" w:rsidRPr="009C789B">
        <w:rPr>
          <w:lang w:val="fr-FR"/>
        </w:rPr>
        <w:t>la parité des genres dans le choix des développeurs de contenu</w:t>
      </w:r>
      <w:r w:rsidR="00152B3B" w:rsidRPr="009C789B">
        <w:rPr>
          <w:lang w:val="fr-FR"/>
        </w:rPr>
        <w:t xml:space="preserve">. </w:t>
      </w:r>
      <w:r w:rsidR="009B776D" w:rsidRPr="009C789B">
        <w:rPr>
          <w:lang w:val="fr-FR"/>
        </w:rPr>
        <w:t>Il</w:t>
      </w:r>
      <w:r w:rsidR="00152B3B" w:rsidRPr="009C789B">
        <w:rPr>
          <w:lang w:val="fr-FR"/>
        </w:rPr>
        <w:t xml:space="preserve"> </w:t>
      </w:r>
      <w:r w:rsidR="00267DF4" w:rsidRPr="009C789B">
        <w:rPr>
          <w:lang w:val="fr-FR"/>
        </w:rPr>
        <w:t xml:space="preserve">a puisé dans le </w:t>
      </w:r>
      <w:r w:rsidR="005A1A81" w:rsidRPr="009C789B">
        <w:rPr>
          <w:lang w:val="fr-FR"/>
        </w:rPr>
        <w:t xml:space="preserve">riche </w:t>
      </w:r>
      <w:r w:rsidR="00267DF4" w:rsidRPr="009C789B">
        <w:rPr>
          <w:lang w:val="fr-FR"/>
        </w:rPr>
        <w:t>réseau des facilitateurs formés par l’UNESCO</w:t>
      </w:r>
      <w:r w:rsidR="00152B3B" w:rsidRPr="009C789B">
        <w:rPr>
          <w:lang w:val="fr-FR"/>
        </w:rPr>
        <w:t xml:space="preserve">, </w:t>
      </w:r>
      <w:r w:rsidR="003E78DF" w:rsidRPr="009C789B">
        <w:rPr>
          <w:lang w:val="fr-FR"/>
        </w:rPr>
        <w:t xml:space="preserve">s’est </w:t>
      </w:r>
      <w:r w:rsidR="00267DF4" w:rsidRPr="009C789B">
        <w:rPr>
          <w:lang w:val="fr-FR"/>
        </w:rPr>
        <w:t>appu</w:t>
      </w:r>
      <w:r w:rsidR="003E78DF" w:rsidRPr="009C789B">
        <w:rPr>
          <w:lang w:val="fr-FR"/>
        </w:rPr>
        <w:t xml:space="preserve">yé </w:t>
      </w:r>
      <w:r w:rsidR="00267DF4" w:rsidRPr="009C789B">
        <w:rPr>
          <w:lang w:val="fr-FR"/>
        </w:rPr>
        <w:t xml:space="preserve">sur l’expertise des membres actuels et </w:t>
      </w:r>
      <w:r w:rsidR="003E78DF" w:rsidRPr="009C789B">
        <w:rPr>
          <w:lang w:val="fr-FR"/>
        </w:rPr>
        <w:t>anciens</w:t>
      </w:r>
      <w:r w:rsidR="00267DF4" w:rsidRPr="009C789B">
        <w:rPr>
          <w:lang w:val="fr-FR"/>
        </w:rPr>
        <w:t xml:space="preserve"> des organes consultat</w:t>
      </w:r>
      <w:r w:rsidR="003E78DF" w:rsidRPr="009C789B">
        <w:rPr>
          <w:lang w:val="fr-FR"/>
        </w:rPr>
        <w:t>ifs et a diffusé des appels à déclaration d’intérêt dans toutes les régions</w:t>
      </w:r>
      <w:r w:rsidR="00152B3B" w:rsidRPr="009C789B">
        <w:rPr>
          <w:lang w:val="fr-FR"/>
        </w:rPr>
        <w:t xml:space="preserve">. </w:t>
      </w:r>
      <w:r w:rsidR="00383884" w:rsidRPr="009C789B">
        <w:rPr>
          <w:lang w:val="fr-FR"/>
        </w:rPr>
        <w:t xml:space="preserve">Ces efforts ont permis de constituer </w:t>
      </w:r>
      <w:r w:rsidR="00587CC6" w:rsidRPr="009C789B">
        <w:rPr>
          <w:lang w:val="fr-FR"/>
        </w:rPr>
        <w:t xml:space="preserve">un groupe d’experts compétents de trois régions, </w:t>
      </w:r>
      <w:r w:rsidR="00383884" w:rsidRPr="009C789B">
        <w:rPr>
          <w:lang w:val="fr-FR"/>
        </w:rPr>
        <w:t xml:space="preserve">composé à </w:t>
      </w:r>
      <w:r w:rsidR="00152B3B" w:rsidRPr="009C789B">
        <w:rPr>
          <w:lang w:val="fr-FR"/>
        </w:rPr>
        <w:t>67</w:t>
      </w:r>
      <w:r w:rsidR="00587CC6" w:rsidRPr="009C789B">
        <w:rPr>
          <w:lang w:val="fr-FR"/>
        </w:rPr>
        <w:t> </w:t>
      </w:r>
      <w:r w:rsidR="00152B3B" w:rsidRPr="009C789B">
        <w:rPr>
          <w:lang w:val="fr-FR"/>
        </w:rPr>
        <w:t xml:space="preserve">% </w:t>
      </w:r>
      <w:r w:rsidR="00587CC6" w:rsidRPr="009C789B">
        <w:rPr>
          <w:lang w:val="fr-FR"/>
        </w:rPr>
        <w:t>de femmes</w:t>
      </w:r>
      <w:r w:rsidR="00152B3B" w:rsidRPr="009C789B">
        <w:rPr>
          <w:lang w:val="fr-FR"/>
        </w:rPr>
        <w:t xml:space="preserve">. </w:t>
      </w:r>
      <w:r w:rsidR="00AE0FCA" w:rsidRPr="009C789B">
        <w:rPr>
          <w:lang w:val="fr-FR"/>
        </w:rPr>
        <w:t xml:space="preserve">Trouver des facilitateurs possédant l’expertise requise et la connaissance du contexte local pour répondre à la demande croissance de services de renforcement des capacités au niveau national a </w:t>
      </w:r>
      <w:r w:rsidR="00E22304" w:rsidRPr="009C789B">
        <w:rPr>
          <w:lang w:val="fr-FR"/>
        </w:rPr>
        <w:t>également posé un</w:t>
      </w:r>
      <w:r w:rsidR="00AE0FCA" w:rsidRPr="009C789B">
        <w:rPr>
          <w:lang w:val="fr-FR"/>
        </w:rPr>
        <w:t xml:space="preserve"> problème </w:t>
      </w:r>
      <w:r w:rsidR="00E22304" w:rsidRPr="009C789B">
        <w:rPr>
          <w:lang w:val="fr-FR"/>
        </w:rPr>
        <w:t>qui</w:t>
      </w:r>
      <w:r w:rsidR="00AE0FCA" w:rsidRPr="009C789B">
        <w:rPr>
          <w:lang w:val="fr-FR"/>
        </w:rPr>
        <w:t xml:space="preserve"> s’est accentué dans plusieurs régions au cours des deux dernières années. </w:t>
      </w:r>
      <w:r w:rsidR="007958C9" w:rsidRPr="009C789B">
        <w:rPr>
          <w:lang w:val="fr-FR"/>
        </w:rPr>
        <w:t xml:space="preserve">C’est pourquoi le </w:t>
      </w:r>
      <w:r w:rsidR="00152B3B" w:rsidRPr="009C789B">
        <w:rPr>
          <w:lang w:val="fr-FR"/>
        </w:rPr>
        <w:t>Secr</w:t>
      </w:r>
      <w:r w:rsidR="007958C9" w:rsidRPr="009C789B">
        <w:rPr>
          <w:lang w:val="fr-FR"/>
        </w:rPr>
        <w:t>é</w:t>
      </w:r>
      <w:r w:rsidR="00152B3B" w:rsidRPr="009C789B">
        <w:rPr>
          <w:lang w:val="fr-FR"/>
        </w:rPr>
        <w:t xml:space="preserve">tariat </w:t>
      </w:r>
      <w:r w:rsidR="007958C9" w:rsidRPr="009C789B">
        <w:rPr>
          <w:lang w:val="fr-FR"/>
        </w:rPr>
        <w:t xml:space="preserve">a saisi les opportunités offertes par quelques ateliers régionaux pour </w:t>
      </w:r>
      <w:r w:rsidR="00ED061E" w:rsidRPr="009C789B">
        <w:rPr>
          <w:lang w:val="fr-FR"/>
        </w:rPr>
        <w:t xml:space="preserve">faire appel </w:t>
      </w:r>
      <w:r w:rsidR="00EB3388" w:rsidRPr="009C789B">
        <w:rPr>
          <w:lang w:val="fr-FR"/>
        </w:rPr>
        <w:t xml:space="preserve">à </w:t>
      </w:r>
      <w:r w:rsidR="00ED061E" w:rsidRPr="009C789B">
        <w:rPr>
          <w:lang w:val="fr-FR"/>
        </w:rPr>
        <w:t xml:space="preserve">de nouveaux formateurs ayant pu bénéficier du mentorat initial de facilitateurs plus expérimentés et </w:t>
      </w:r>
      <w:r w:rsidR="00EB3388" w:rsidRPr="009C789B">
        <w:rPr>
          <w:lang w:val="fr-FR"/>
        </w:rPr>
        <w:t>capables</w:t>
      </w:r>
      <w:r w:rsidR="00ED061E" w:rsidRPr="009C789B">
        <w:rPr>
          <w:lang w:val="fr-FR"/>
        </w:rPr>
        <w:t xml:space="preserve"> aujourd’hui de fournir des services </w:t>
      </w:r>
      <w:r w:rsidR="00A7116C" w:rsidRPr="009C789B">
        <w:rPr>
          <w:lang w:val="fr-FR"/>
        </w:rPr>
        <w:t xml:space="preserve">de renforcement des capacités et des conseils stratégiques dans le cadre du programme de renforcement des capacités de la </w:t>
      </w:r>
      <w:r w:rsidR="00152B3B" w:rsidRPr="009C789B">
        <w:rPr>
          <w:lang w:val="fr-FR"/>
        </w:rPr>
        <w:t>Convention.</w:t>
      </w:r>
    </w:p>
    <w:p w14:paraId="66231C06" w14:textId="153B0829" w:rsidR="00152B3B" w:rsidRPr="009C789B" w:rsidRDefault="00A7116C" w:rsidP="00AF1379">
      <w:pPr>
        <w:pStyle w:val="GAParabodytext"/>
        <w:ind w:left="567" w:hanging="567"/>
        <w:rPr>
          <w:lang w:val="fr-FR"/>
        </w:rPr>
      </w:pPr>
      <w:r w:rsidRPr="009C789B">
        <w:rPr>
          <w:lang w:val="fr-FR"/>
        </w:rPr>
        <w:t xml:space="preserve">Si </w:t>
      </w:r>
      <w:r w:rsidR="00585709" w:rsidRPr="009C789B">
        <w:rPr>
          <w:lang w:val="fr-FR"/>
        </w:rPr>
        <w:t xml:space="preserve">le Secrétariat a réussi à obtenir </w:t>
      </w:r>
      <w:r w:rsidR="00D73E0D" w:rsidRPr="009C789B">
        <w:rPr>
          <w:lang w:val="fr-FR"/>
        </w:rPr>
        <w:t xml:space="preserve">de nombreuses améliorations du système de gestion des connaissances </w:t>
      </w:r>
      <w:r w:rsidRPr="009C789B">
        <w:rPr>
          <w:lang w:val="fr-FR"/>
        </w:rPr>
        <w:t xml:space="preserve">au cours de la période de référence, </w:t>
      </w:r>
      <w:r w:rsidR="00D73E0D" w:rsidRPr="009C789B">
        <w:rPr>
          <w:lang w:val="fr-FR"/>
        </w:rPr>
        <w:t xml:space="preserve">ces améliorations répondaient </w:t>
      </w:r>
      <w:r w:rsidR="00EB3388" w:rsidRPr="009C789B">
        <w:rPr>
          <w:lang w:val="fr-FR"/>
        </w:rPr>
        <w:t xml:space="preserve">à la nécessité </w:t>
      </w:r>
      <w:r w:rsidR="00D73E0D" w:rsidRPr="009C789B">
        <w:rPr>
          <w:lang w:val="fr-FR"/>
        </w:rPr>
        <w:t>constant</w:t>
      </w:r>
      <w:r w:rsidR="00EB3388" w:rsidRPr="009C789B">
        <w:rPr>
          <w:lang w:val="fr-FR"/>
        </w:rPr>
        <w:t>e</w:t>
      </w:r>
      <w:r w:rsidR="00D73E0D" w:rsidRPr="009C789B">
        <w:rPr>
          <w:lang w:val="fr-FR"/>
        </w:rPr>
        <w:t xml:space="preserve"> d</w:t>
      </w:r>
      <w:r w:rsidR="00EB3388" w:rsidRPr="009C789B">
        <w:rPr>
          <w:lang w:val="fr-FR"/>
        </w:rPr>
        <w:t>’</w:t>
      </w:r>
      <w:r w:rsidR="00D73E0D" w:rsidRPr="009C789B">
        <w:rPr>
          <w:lang w:val="fr-FR"/>
        </w:rPr>
        <w:t xml:space="preserve">accompagner l’évolution de la </w:t>
      </w:r>
      <w:r w:rsidR="00152B3B" w:rsidRPr="009C789B">
        <w:rPr>
          <w:lang w:val="fr-FR"/>
        </w:rPr>
        <w:t>Convention.</w:t>
      </w:r>
      <w:r w:rsidR="00D73E0D" w:rsidRPr="009C789B">
        <w:rPr>
          <w:lang w:val="fr-FR"/>
        </w:rPr>
        <w:t xml:space="preserve"> </w:t>
      </w:r>
      <w:r w:rsidR="00585709" w:rsidRPr="009C789B">
        <w:rPr>
          <w:lang w:val="fr-FR"/>
        </w:rPr>
        <w:t>A</w:t>
      </w:r>
      <w:r w:rsidR="00D73E0D" w:rsidRPr="009C789B">
        <w:rPr>
          <w:lang w:val="fr-FR"/>
        </w:rPr>
        <w:t>ssurer</w:t>
      </w:r>
      <w:r w:rsidR="00585709" w:rsidRPr="009C789B">
        <w:rPr>
          <w:lang w:val="fr-FR"/>
        </w:rPr>
        <w:t xml:space="preserve"> </w:t>
      </w:r>
      <w:r w:rsidR="00D73E0D" w:rsidRPr="009C789B">
        <w:rPr>
          <w:lang w:val="fr-FR"/>
        </w:rPr>
        <w:t>la cohérence, la sécurité et la stabilité du système a été</w:t>
      </w:r>
      <w:r w:rsidR="00585709" w:rsidRPr="009C789B">
        <w:rPr>
          <w:lang w:val="fr-FR"/>
        </w:rPr>
        <w:t xml:space="preserve">, à cet égard, </w:t>
      </w:r>
      <w:r w:rsidR="00D73E0D" w:rsidRPr="009C789B">
        <w:rPr>
          <w:lang w:val="fr-FR"/>
        </w:rPr>
        <w:t>un défi particulier</w:t>
      </w:r>
      <w:r w:rsidR="00152B3B" w:rsidRPr="009C789B">
        <w:rPr>
          <w:lang w:val="fr-FR"/>
        </w:rPr>
        <w:t xml:space="preserve">. </w:t>
      </w:r>
      <w:r w:rsidR="00EB5F89" w:rsidRPr="009C789B">
        <w:rPr>
          <w:lang w:val="fr-FR"/>
        </w:rPr>
        <w:t xml:space="preserve">Un grand soin a été pris de veiller à ce que toute </w:t>
      </w:r>
      <w:r w:rsidR="00EB4FAD" w:rsidRPr="009C789B">
        <w:rPr>
          <w:lang w:val="fr-FR"/>
        </w:rPr>
        <w:t xml:space="preserve">nouvelle </w:t>
      </w:r>
      <w:r w:rsidR="00CF7F25" w:rsidRPr="009C789B">
        <w:rPr>
          <w:lang w:val="fr-FR"/>
        </w:rPr>
        <w:t>initiative respecte l</w:t>
      </w:r>
      <w:r w:rsidR="00EB5F89" w:rsidRPr="009C789B">
        <w:rPr>
          <w:lang w:val="fr-FR"/>
        </w:rPr>
        <w:t xml:space="preserve">es </w:t>
      </w:r>
      <w:r w:rsidR="00CF7F25" w:rsidRPr="009C789B">
        <w:rPr>
          <w:lang w:val="fr-FR"/>
        </w:rPr>
        <w:t xml:space="preserve">toutes dernières </w:t>
      </w:r>
      <w:r w:rsidR="00EB5F89" w:rsidRPr="009C789B">
        <w:rPr>
          <w:lang w:val="fr-FR"/>
        </w:rPr>
        <w:t>méthodes de travail et procédures</w:t>
      </w:r>
      <w:r w:rsidR="00817895" w:rsidRPr="009C789B">
        <w:rPr>
          <w:lang w:val="fr-FR"/>
        </w:rPr>
        <w:t>,</w:t>
      </w:r>
      <w:r w:rsidR="00EB5F89" w:rsidRPr="009C789B">
        <w:rPr>
          <w:lang w:val="fr-FR"/>
        </w:rPr>
        <w:t xml:space="preserve"> et </w:t>
      </w:r>
      <w:r w:rsidR="00CF7F25" w:rsidRPr="009C789B">
        <w:rPr>
          <w:lang w:val="fr-FR"/>
        </w:rPr>
        <w:t>prévoie</w:t>
      </w:r>
      <w:r w:rsidR="0095462C" w:rsidRPr="009C789B">
        <w:rPr>
          <w:lang w:val="fr-FR"/>
        </w:rPr>
        <w:t xml:space="preserve"> une refonte permanente pour garantir la viabilité du système et une évolution en douceur</w:t>
      </w:r>
      <w:r w:rsidR="00152B3B" w:rsidRPr="009C789B">
        <w:rPr>
          <w:lang w:val="fr-FR"/>
        </w:rPr>
        <w:t xml:space="preserve">. </w:t>
      </w:r>
      <w:r w:rsidR="0095462C" w:rsidRPr="009C789B">
        <w:rPr>
          <w:lang w:val="fr-FR"/>
        </w:rPr>
        <w:t>Il reste encore plusieurs fonctionnalités</w:t>
      </w:r>
      <w:r w:rsidR="0084557C" w:rsidRPr="009C789B">
        <w:rPr>
          <w:lang w:val="fr-FR"/>
        </w:rPr>
        <w:t xml:space="preserve"> </w:t>
      </w:r>
      <w:r w:rsidR="00817895" w:rsidRPr="009C789B">
        <w:rPr>
          <w:lang w:val="fr-FR"/>
        </w:rPr>
        <w:t xml:space="preserve">dont le développement n’est pas achevé et </w:t>
      </w:r>
      <w:r w:rsidR="0084557C" w:rsidRPr="009C789B">
        <w:rPr>
          <w:lang w:val="fr-FR"/>
        </w:rPr>
        <w:t xml:space="preserve">qu’il conviendrait d’intégrer dans le futur plan de travail du </w:t>
      </w:r>
      <w:r w:rsidR="00152B3B" w:rsidRPr="009C789B">
        <w:rPr>
          <w:lang w:val="fr-FR"/>
        </w:rPr>
        <w:t>Secr</w:t>
      </w:r>
      <w:r w:rsidR="0084557C" w:rsidRPr="009C789B">
        <w:rPr>
          <w:lang w:val="fr-FR"/>
        </w:rPr>
        <w:t>é</w:t>
      </w:r>
      <w:r w:rsidR="00152B3B" w:rsidRPr="009C789B">
        <w:rPr>
          <w:lang w:val="fr-FR"/>
        </w:rPr>
        <w:t xml:space="preserve">tariat, </w:t>
      </w:r>
      <w:r w:rsidR="0084557C" w:rsidRPr="009C789B">
        <w:rPr>
          <w:lang w:val="fr-FR"/>
        </w:rPr>
        <w:t xml:space="preserve">en </w:t>
      </w:r>
      <w:r w:rsidR="00152B3B" w:rsidRPr="009C789B">
        <w:rPr>
          <w:lang w:val="fr-FR"/>
        </w:rPr>
        <w:t>particul</w:t>
      </w:r>
      <w:r w:rsidR="0084557C" w:rsidRPr="009C789B">
        <w:rPr>
          <w:lang w:val="fr-FR"/>
        </w:rPr>
        <w:t>ier en raison de leur grande pertinence pour les parties prenantes de la</w:t>
      </w:r>
      <w:r w:rsidR="00152B3B" w:rsidRPr="009C789B">
        <w:rPr>
          <w:lang w:val="fr-FR"/>
        </w:rPr>
        <w:t xml:space="preserve"> Convention. </w:t>
      </w:r>
      <w:r w:rsidR="0084557C" w:rsidRPr="009C789B">
        <w:rPr>
          <w:lang w:val="fr-FR"/>
        </w:rPr>
        <w:t xml:space="preserve">Plus généralement, </w:t>
      </w:r>
      <w:r w:rsidR="00711538" w:rsidRPr="009C789B">
        <w:rPr>
          <w:lang w:val="fr-FR"/>
        </w:rPr>
        <w:t xml:space="preserve">le site web de la </w:t>
      </w:r>
      <w:r w:rsidR="00152B3B" w:rsidRPr="009C789B">
        <w:rPr>
          <w:lang w:val="fr-FR"/>
        </w:rPr>
        <w:t>Convention</w:t>
      </w:r>
      <w:r w:rsidR="00711538" w:rsidRPr="009C789B">
        <w:rPr>
          <w:lang w:val="fr-FR"/>
        </w:rPr>
        <w:t xml:space="preserve"> étant la partie visible du système de gestion des connaissances, il </w:t>
      </w:r>
      <w:r w:rsidR="00817895" w:rsidRPr="009C789B">
        <w:rPr>
          <w:lang w:val="fr-FR"/>
        </w:rPr>
        <w:t xml:space="preserve">est à la fois </w:t>
      </w:r>
      <w:r w:rsidR="00711538" w:rsidRPr="009C789B">
        <w:rPr>
          <w:lang w:val="fr-FR"/>
        </w:rPr>
        <w:t xml:space="preserve">un outil de travail très efficace pour le </w:t>
      </w:r>
      <w:r w:rsidR="00152B3B" w:rsidRPr="009C789B">
        <w:rPr>
          <w:lang w:val="fr-FR"/>
        </w:rPr>
        <w:t>Secr</w:t>
      </w:r>
      <w:r w:rsidR="00711538" w:rsidRPr="009C789B">
        <w:rPr>
          <w:lang w:val="fr-FR"/>
        </w:rPr>
        <w:t>é</w:t>
      </w:r>
      <w:r w:rsidR="00152B3B" w:rsidRPr="009C789B">
        <w:rPr>
          <w:lang w:val="fr-FR"/>
        </w:rPr>
        <w:t xml:space="preserve">tariat </w:t>
      </w:r>
      <w:r w:rsidR="00817895" w:rsidRPr="009C789B">
        <w:rPr>
          <w:lang w:val="fr-FR"/>
        </w:rPr>
        <w:t>et</w:t>
      </w:r>
      <w:r w:rsidR="00711538" w:rsidRPr="009C789B">
        <w:rPr>
          <w:lang w:val="fr-FR"/>
        </w:rPr>
        <w:t xml:space="preserve"> les parties prenantes extérieures, </w:t>
      </w:r>
      <w:r w:rsidR="009463C7" w:rsidRPr="009C789B">
        <w:rPr>
          <w:lang w:val="fr-FR"/>
        </w:rPr>
        <w:t>et</w:t>
      </w:r>
      <w:r w:rsidR="00711538" w:rsidRPr="009C789B">
        <w:rPr>
          <w:lang w:val="fr-FR"/>
        </w:rPr>
        <w:t xml:space="preserve"> une fenêtre pour les activités entreprises dans le monde sous l’égide de la </w:t>
      </w:r>
      <w:r w:rsidR="00152B3B" w:rsidRPr="009C789B">
        <w:rPr>
          <w:lang w:val="fr-FR"/>
        </w:rPr>
        <w:t xml:space="preserve">Convention. </w:t>
      </w:r>
      <w:r w:rsidR="00711538" w:rsidRPr="009C789B">
        <w:rPr>
          <w:lang w:val="fr-FR"/>
        </w:rPr>
        <w:t>Il faut poursuivre la réflexion sur l</w:t>
      </w:r>
      <w:r w:rsidR="009463C7" w:rsidRPr="009C789B">
        <w:rPr>
          <w:lang w:val="fr-FR"/>
        </w:rPr>
        <w:t>a façon</w:t>
      </w:r>
      <w:r w:rsidR="00711538" w:rsidRPr="009C789B">
        <w:rPr>
          <w:lang w:val="fr-FR"/>
        </w:rPr>
        <w:t xml:space="preserve"> de mieux aider le Comité à promouvoir les objectifs de la </w:t>
      </w:r>
      <w:r w:rsidR="00152B3B" w:rsidRPr="009C789B">
        <w:rPr>
          <w:lang w:val="fr-FR"/>
        </w:rPr>
        <w:t>Convention (</w:t>
      </w:r>
      <w:r w:rsidR="00302817" w:rsidRPr="009C789B">
        <w:rPr>
          <w:lang w:val="fr-FR"/>
        </w:rPr>
        <w:t xml:space="preserve">comme </w:t>
      </w:r>
      <w:r w:rsidR="00711538" w:rsidRPr="009C789B">
        <w:rPr>
          <w:lang w:val="fr-FR"/>
        </w:rPr>
        <w:t>il est indiqué à l’a</w:t>
      </w:r>
      <w:r w:rsidR="00152B3B" w:rsidRPr="009C789B">
        <w:rPr>
          <w:lang w:val="fr-FR"/>
        </w:rPr>
        <w:t xml:space="preserve">rticle 7[a]) </w:t>
      </w:r>
      <w:r w:rsidR="00AB318C" w:rsidRPr="009C789B">
        <w:rPr>
          <w:lang w:val="fr-FR"/>
        </w:rPr>
        <w:t>et de renforcer la visibilité du patrimoine culturel immatériel</w:t>
      </w:r>
      <w:r w:rsidR="00302817" w:rsidRPr="009C789B">
        <w:rPr>
          <w:lang w:val="fr-FR"/>
        </w:rPr>
        <w:t>,</w:t>
      </w:r>
      <w:r w:rsidR="00AB318C" w:rsidRPr="009C789B">
        <w:rPr>
          <w:lang w:val="fr-FR"/>
        </w:rPr>
        <w:t xml:space="preserve"> </w:t>
      </w:r>
      <w:r w:rsidR="00152B3B" w:rsidRPr="009C789B">
        <w:rPr>
          <w:lang w:val="fr-FR"/>
        </w:rPr>
        <w:t>a</w:t>
      </w:r>
      <w:r w:rsidR="00AB318C" w:rsidRPr="009C789B">
        <w:rPr>
          <w:lang w:val="fr-FR"/>
        </w:rPr>
        <w:t xml:space="preserve">insi que la prise de conscience de son importance en </w:t>
      </w:r>
      <w:r w:rsidR="009463C7" w:rsidRPr="009C789B">
        <w:rPr>
          <w:lang w:val="fr-FR"/>
        </w:rPr>
        <w:t>s’appuyant sur</w:t>
      </w:r>
      <w:r w:rsidR="00AB318C" w:rsidRPr="009C789B">
        <w:rPr>
          <w:lang w:val="fr-FR"/>
        </w:rPr>
        <w:t xml:space="preserve"> le système de gestion des connaissances</w:t>
      </w:r>
      <w:r w:rsidR="00152B3B" w:rsidRPr="009C789B">
        <w:rPr>
          <w:lang w:val="fr-FR"/>
        </w:rPr>
        <w:t>.</w:t>
      </w:r>
    </w:p>
    <w:p w14:paraId="6BF6F934" w14:textId="77777777" w:rsidR="00152B3B" w:rsidRPr="009C789B" w:rsidRDefault="009B50D2" w:rsidP="009C789B">
      <w:pPr>
        <w:pStyle w:val="GAParabodytext"/>
        <w:ind w:left="567" w:hanging="567"/>
        <w:rPr>
          <w:lang w:val="fr-FR"/>
        </w:rPr>
      </w:pPr>
      <w:r w:rsidRPr="009C789B">
        <w:rPr>
          <w:lang w:val="fr-FR"/>
        </w:rPr>
        <w:t>A</w:t>
      </w:r>
      <w:r w:rsidR="00152B3B" w:rsidRPr="009C789B">
        <w:rPr>
          <w:lang w:val="fr-FR"/>
        </w:rPr>
        <w:t>i</w:t>
      </w:r>
      <w:r w:rsidRPr="009C789B">
        <w:rPr>
          <w:lang w:val="fr-FR"/>
        </w:rPr>
        <w:t xml:space="preserve">der le Comité à donner des conseils sur les meilleures pratiques de sauvegarde et à formuler des recommandations sur les mesures </w:t>
      </w:r>
      <w:r w:rsidR="00537126" w:rsidRPr="009C789B">
        <w:rPr>
          <w:lang w:val="fr-FR"/>
        </w:rPr>
        <w:t>en faveur de la</w:t>
      </w:r>
      <w:r w:rsidRPr="009C789B">
        <w:rPr>
          <w:lang w:val="fr-FR"/>
        </w:rPr>
        <w:t xml:space="preserve"> sauvegarde </w:t>
      </w:r>
      <w:r w:rsidR="00537126" w:rsidRPr="009C789B">
        <w:rPr>
          <w:lang w:val="fr-FR"/>
        </w:rPr>
        <w:t>du</w:t>
      </w:r>
      <w:r w:rsidRPr="009C789B">
        <w:rPr>
          <w:lang w:val="fr-FR"/>
        </w:rPr>
        <w:t xml:space="preserve"> patrimoine culturel immatériel (</w:t>
      </w:r>
      <w:r w:rsidR="00302817" w:rsidRPr="009C789B">
        <w:rPr>
          <w:lang w:val="fr-FR"/>
        </w:rPr>
        <w:t xml:space="preserve">comme </w:t>
      </w:r>
      <w:r w:rsidRPr="009C789B">
        <w:rPr>
          <w:lang w:val="fr-FR"/>
        </w:rPr>
        <w:t>il est indiqué à l’a</w:t>
      </w:r>
      <w:r w:rsidR="00537126" w:rsidRPr="009C789B">
        <w:rPr>
          <w:lang w:val="fr-FR"/>
        </w:rPr>
        <w:t xml:space="preserve">rticle 7[b]) est un domaine dans lequel le </w:t>
      </w:r>
      <w:r w:rsidR="00152B3B" w:rsidRPr="009C789B">
        <w:rPr>
          <w:lang w:val="fr-FR"/>
        </w:rPr>
        <w:t>Secr</w:t>
      </w:r>
      <w:r w:rsidR="00537126" w:rsidRPr="009C789B">
        <w:rPr>
          <w:lang w:val="fr-FR"/>
        </w:rPr>
        <w:t>é</w:t>
      </w:r>
      <w:r w:rsidR="00152B3B" w:rsidRPr="009C789B">
        <w:rPr>
          <w:lang w:val="fr-FR"/>
        </w:rPr>
        <w:t xml:space="preserve">tariat </w:t>
      </w:r>
      <w:r w:rsidR="009463C7" w:rsidRPr="009C789B">
        <w:rPr>
          <w:lang w:val="fr-FR"/>
        </w:rPr>
        <w:t>s’est heurté à</w:t>
      </w:r>
      <w:r w:rsidR="00537126" w:rsidRPr="009C789B">
        <w:rPr>
          <w:lang w:val="fr-FR"/>
        </w:rPr>
        <w:t xml:space="preserve"> l’une de ses plus grandes difficultés</w:t>
      </w:r>
      <w:r w:rsidR="00152B3B" w:rsidRPr="009C789B">
        <w:rPr>
          <w:lang w:val="fr-FR"/>
        </w:rPr>
        <w:t xml:space="preserve">. </w:t>
      </w:r>
      <w:r w:rsidR="00302817" w:rsidRPr="009C789B">
        <w:rPr>
          <w:lang w:val="fr-FR"/>
        </w:rPr>
        <w:t>C’est p</w:t>
      </w:r>
      <w:r w:rsidR="00537126" w:rsidRPr="009C789B">
        <w:rPr>
          <w:lang w:val="fr-FR"/>
        </w:rPr>
        <w:t>ourtant l’une des fonctions du Comité, pour laquelle ce dernier manifest</w:t>
      </w:r>
      <w:r w:rsidR="008D4683" w:rsidRPr="009C789B">
        <w:rPr>
          <w:lang w:val="fr-FR"/>
        </w:rPr>
        <w:t xml:space="preserve">e </w:t>
      </w:r>
      <w:r w:rsidR="009463C7" w:rsidRPr="009C789B">
        <w:rPr>
          <w:lang w:val="fr-FR"/>
        </w:rPr>
        <w:t>en outre</w:t>
      </w:r>
      <w:r w:rsidR="008D4683" w:rsidRPr="009C789B">
        <w:rPr>
          <w:lang w:val="fr-FR"/>
        </w:rPr>
        <w:t xml:space="preserve"> </w:t>
      </w:r>
      <w:r w:rsidR="00537126" w:rsidRPr="009C789B">
        <w:rPr>
          <w:lang w:val="fr-FR"/>
        </w:rPr>
        <w:t>un intérêt particulier</w:t>
      </w:r>
      <w:r w:rsidR="008D4683" w:rsidRPr="009C789B">
        <w:rPr>
          <w:lang w:val="fr-FR"/>
        </w:rPr>
        <w:t xml:space="preserve"> depuis quelques années</w:t>
      </w:r>
      <w:r w:rsidR="00152B3B" w:rsidRPr="009C789B">
        <w:rPr>
          <w:lang w:val="fr-FR"/>
        </w:rPr>
        <w:t xml:space="preserve">. </w:t>
      </w:r>
      <w:r w:rsidR="008D4683" w:rsidRPr="009C789B">
        <w:rPr>
          <w:lang w:val="fr-FR"/>
        </w:rPr>
        <w:t xml:space="preserve">Il </w:t>
      </w:r>
      <w:r w:rsidR="00537126" w:rsidRPr="009C789B">
        <w:rPr>
          <w:lang w:val="fr-FR"/>
        </w:rPr>
        <w:t xml:space="preserve">a </w:t>
      </w:r>
      <w:r w:rsidR="00F70189" w:rsidRPr="009C789B">
        <w:rPr>
          <w:lang w:val="fr-FR"/>
        </w:rPr>
        <w:t xml:space="preserve">notamment invité les </w:t>
      </w:r>
      <w:r w:rsidR="00AE0FCA" w:rsidRPr="009C789B">
        <w:rPr>
          <w:lang w:val="fr-FR"/>
        </w:rPr>
        <w:t>États</w:t>
      </w:r>
      <w:r w:rsidR="00F70189" w:rsidRPr="009C789B">
        <w:rPr>
          <w:lang w:val="fr-FR"/>
        </w:rPr>
        <w:t xml:space="preserve"> parties et l’Assemblée générale, ainsi que le </w:t>
      </w:r>
      <w:r w:rsidR="00152B3B" w:rsidRPr="009C789B">
        <w:rPr>
          <w:lang w:val="fr-FR"/>
        </w:rPr>
        <w:t>Secr</w:t>
      </w:r>
      <w:r w:rsidR="00F70189" w:rsidRPr="009C789B">
        <w:rPr>
          <w:lang w:val="fr-FR"/>
        </w:rPr>
        <w:t>é</w:t>
      </w:r>
      <w:r w:rsidR="00152B3B" w:rsidRPr="009C789B">
        <w:rPr>
          <w:lang w:val="fr-FR"/>
        </w:rPr>
        <w:t>tariat,</w:t>
      </w:r>
      <w:r w:rsidR="00F70189" w:rsidRPr="009C789B">
        <w:rPr>
          <w:lang w:val="fr-FR"/>
        </w:rPr>
        <w:t xml:space="preserve"> les centres de </w:t>
      </w:r>
      <w:r w:rsidR="00152B3B" w:rsidRPr="009C789B">
        <w:rPr>
          <w:lang w:val="fr-FR"/>
        </w:rPr>
        <w:t>cat</w:t>
      </w:r>
      <w:r w:rsidR="00F70189" w:rsidRPr="009C789B">
        <w:rPr>
          <w:lang w:val="fr-FR"/>
        </w:rPr>
        <w:t>é</w:t>
      </w:r>
      <w:r w:rsidR="00152B3B" w:rsidRPr="009C789B">
        <w:rPr>
          <w:lang w:val="fr-FR"/>
        </w:rPr>
        <w:t>gor</w:t>
      </w:r>
      <w:r w:rsidR="00F70189" w:rsidRPr="009C789B">
        <w:rPr>
          <w:lang w:val="fr-FR"/>
        </w:rPr>
        <w:t>ie</w:t>
      </w:r>
      <w:r w:rsidR="00152B3B" w:rsidRPr="009C789B">
        <w:rPr>
          <w:lang w:val="fr-FR"/>
        </w:rPr>
        <w:t xml:space="preserve"> 2, </w:t>
      </w:r>
      <w:r w:rsidR="00F70189" w:rsidRPr="009C789B">
        <w:rPr>
          <w:lang w:val="fr-FR"/>
        </w:rPr>
        <w:t xml:space="preserve">les organisations </w:t>
      </w:r>
      <w:r w:rsidR="00152B3B" w:rsidRPr="009C789B">
        <w:rPr>
          <w:lang w:val="fr-FR"/>
        </w:rPr>
        <w:t>non</w:t>
      </w:r>
      <w:r w:rsidR="00F70189" w:rsidRPr="009C789B">
        <w:rPr>
          <w:lang w:val="fr-FR"/>
        </w:rPr>
        <w:t xml:space="preserve"> </w:t>
      </w:r>
      <w:r w:rsidR="00152B3B" w:rsidRPr="009C789B">
        <w:rPr>
          <w:lang w:val="fr-FR"/>
        </w:rPr>
        <w:t>go</w:t>
      </w:r>
      <w:r w:rsidR="00F70189" w:rsidRPr="009C789B">
        <w:rPr>
          <w:lang w:val="fr-FR"/>
        </w:rPr>
        <w:t>u</w:t>
      </w:r>
      <w:r w:rsidR="00152B3B" w:rsidRPr="009C789B">
        <w:rPr>
          <w:lang w:val="fr-FR"/>
        </w:rPr>
        <w:t>vern</w:t>
      </w:r>
      <w:r w:rsidR="00F70189" w:rsidRPr="009C789B">
        <w:rPr>
          <w:lang w:val="fr-FR"/>
        </w:rPr>
        <w:t>e</w:t>
      </w:r>
      <w:r w:rsidR="00152B3B" w:rsidRPr="009C789B">
        <w:rPr>
          <w:lang w:val="fr-FR"/>
        </w:rPr>
        <w:t>mental</w:t>
      </w:r>
      <w:r w:rsidR="00F70189" w:rsidRPr="009C789B">
        <w:rPr>
          <w:lang w:val="fr-FR"/>
        </w:rPr>
        <w:t xml:space="preserve">es et toutes les autres parties prenantes à </w:t>
      </w:r>
      <w:r w:rsidR="00A93C54" w:rsidRPr="009C789B">
        <w:rPr>
          <w:lang w:val="fr-FR"/>
        </w:rPr>
        <w:t>« </w:t>
      </w:r>
      <w:r w:rsidR="00152B3B" w:rsidRPr="009C789B">
        <w:rPr>
          <w:lang w:val="fr-FR"/>
        </w:rPr>
        <w:t>compl</w:t>
      </w:r>
      <w:r w:rsidR="00F70189" w:rsidRPr="009C789B">
        <w:rPr>
          <w:lang w:val="fr-FR"/>
        </w:rPr>
        <w:t xml:space="preserve">éter le Registre des meilleures pratiques de sauvegarde en développant d’autres moyens plus légers </w:t>
      </w:r>
      <w:r w:rsidR="00A93C54" w:rsidRPr="009C789B">
        <w:rPr>
          <w:lang w:val="fr-FR"/>
        </w:rPr>
        <w:t>pour partager les expériences de sauvegarde tels que des sites web dédiés, des lettres d’information électroniques</w:t>
      </w:r>
      <w:r w:rsidR="00152B3B" w:rsidRPr="009C789B">
        <w:rPr>
          <w:lang w:val="fr-FR"/>
        </w:rPr>
        <w:t xml:space="preserve">, </w:t>
      </w:r>
      <w:r w:rsidR="00A93C54" w:rsidRPr="009C789B">
        <w:rPr>
          <w:lang w:val="fr-FR"/>
        </w:rPr>
        <w:t>des forums en ligne,</w:t>
      </w:r>
      <w:r w:rsidR="00152B3B" w:rsidRPr="009C789B">
        <w:rPr>
          <w:lang w:val="fr-FR"/>
        </w:rPr>
        <w:t xml:space="preserve"> etc.</w:t>
      </w:r>
      <w:r w:rsidR="00A93C54" w:rsidRPr="009C789B">
        <w:rPr>
          <w:lang w:val="fr-FR"/>
        </w:rPr>
        <w:t> »</w:t>
      </w:r>
      <w:r w:rsidR="00152B3B" w:rsidRPr="009C789B">
        <w:rPr>
          <w:lang w:val="fr-FR"/>
        </w:rPr>
        <w:t xml:space="preserve"> (</w:t>
      </w:r>
      <w:hyperlink r:id="rId16" w:history="1">
        <w:r w:rsidR="00A93C54" w:rsidRPr="009C789B">
          <w:rPr>
            <w:rStyle w:val="Hyperlink"/>
            <w:lang w:eastAsia="en-US"/>
          </w:rPr>
          <w:t>dé</w:t>
        </w:r>
        <w:r w:rsidR="00152B3B" w:rsidRPr="009C789B">
          <w:rPr>
            <w:rStyle w:val="Hyperlink"/>
            <w:lang w:eastAsia="en-US"/>
          </w:rPr>
          <w:t>cision 8.COM 5.c.1</w:t>
        </w:r>
      </w:hyperlink>
      <w:r w:rsidR="00152B3B" w:rsidRPr="009C789B">
        <w:rPr>
          <w:u w:val="single"/>
          <w:lang w:val="fr-FR"/>
        </w:rPr>
        <w:t>)</w:t>
      </w:r>
      <w:r w:rsidR="00A93C54" w:rsidRPr="009C789B">
        <w:rPr>
          <w:lang w:val="fr-FR"/>
        </w:rPr>
        <w:t xml:space="preserve">. En même temps, le Comité a demandé à </w:t>
      </w:r>
      <w:r w:rsidR="004A48B9" w:rsidRPr="009C789B">
        <w:rPr>
          <w:lang w:val="fr-FR"/>
        </w:rPr>
        <w:t xml:space="preserve">toutes </w:t>
      </w:r>
      <w:r w:rsidR="00A93C54" w:rsidRPr="009C789B">
        <w:rPr>
          <w:lang w:val="fr-FR"/>
        </w:rPr>
        <w:t xml:space="preserve">ces parties prenantes de </w:t>
      </w:r>
      <w:r w:rsidR="005D769B" w:rsidRPr="009C789B">
        <w:rPr>
          <w:lang w:val="fr-FR"/>
        </w:rPr>
        <w:t>« </w:t>
      </w:r>
      <w:r w:rsidR="00A93C54" w:rsidRPr="009C789B">
        <w:rPr>
          <w:lang w:val="fr-FR"/>
        </w:rPr>
        <w:t xml:space="preserve">renforcer le partage informel des exemples intéressants et novateurs de travail sur la </w:t>
      </w:r>
      <w:r w:rsidR="00152B3B" w:rsidRPr="009C789B">
        <w:rPr>
          <w:lang w:val="fr-FR"/>
        </w:rPr>
        <w:t xml:space="preserve">Convention, </w:t>
      </w:r>
      <w:r w:rsidR="005D769B" w:rsidRPr="009C789B">
        <w:rPr>
          <w:lang w:val="fr-FR"/>
        </w:rPr>
        <w:t>y compris sur la sauvegarde du patrimoine culturel immatériel, le développement de politiques et législations, le développement durable et le patrimoine culturel immatériel, les partenariats innovants, etc. »</w:t>
      </w:r>
      <w:r w:rsidR="00152B3B" w:rsidRPr="009C789B">
        <w:rPr>
          <w:lang w:val="fr-FR"/>
        </w:rPr>
        <w:t xml:space="preserve">. </w:t>
      </w:r>
      <w:r w:rsidR="004A48B9" w:rsidRPr="009C789B">
        <w:rPr>
          <w:lang w:val="fr-FR"/>
        </w:rPr>
        <w:t>Du fait</w:t>
      </w:r>
      <w:r w:rsidR="005D769B" w:rsidRPr="009C789B">
        <w:rPr>
          <w:lang w:val="fr-FR"/>
        </w:rPr>
        <w:t xml:space="preserve"> de ses capacités humaines limitées, le </w:t>
      </w:r>
      <w:r w:rsidR="00152B3B" w:rsidRPr="009C789B">
        <w:rPr>
          <w:lang w:val="fr-FR"/>
        </w:rPr>
        <w:t>Secr</w:t>
      </w:r>
      <w:r w:rsidR="005D769B" w:rsidRPr="009C789B">
        <w:rPr>
          <w:lang w:val="fr-FR"/>
        </w:rPr>
        <w:t>é</w:t>
      </w:r>
      <w:r w:rsidR="00152B3B" w:rsidRPr="009C789B">
        <w:rPr>
          <w:lang w:val="fr-FR"/>
        </w:rPr>
        <w:t xml:space="preserve">tariat </w:t>
      </w:r>
      <w:r w:rsidR="005D769B" w:rsidRPr="009C789B">
        <w:rPr>
          <w:lang w:val="fr-FR"/>
        </w:rPr>
        <w:t>n’a pas pu prendre de mesures correctives au cours de la période de référence</w:t>
      </w:r>
      <w:r w:rsidR="00152B3B" w:rsidRPr="009C789B">
        <w:rPr>
          <w:lang w:val="fr-FR"/>
        </w:rPr>
        <w:t xml:space="preserve">. </w:t>
      </w:r>
      <w:r w:rsidR="00FB0F88" w:rsidRPr="009C789B">
        <w:rPr>
          <w:lang w:val="fr-FR"/>
        </w:rPr>
        <w:t>Il a préféré se concentrer sur des domaines thématiques transversaux</w:t>
      </w:r>
      <w:r w:rsidR="004A48B9" w:rsidRPr="009C789B">
        <w:rPr>
          <w:lang w:val="fr-FR"/>
        </w:rPr>
        <w:t>,</w:t>
      </w:r>
      <w:r w:rsidR="00FB0F88" w:rsidRPr="009C789B">
        <w:rPr>
          <w:lang w:val="fr-FR"/>
        </w:rPr>
        <w:t xml:space="preserve"> tels que les codes d’éthique ou la propriété intellectuelle</w:t>
      </w:r>
      <w:r w:rsidR="00152B3B" w:rsidRPr="009C789B">
        <w:rPr>
          <w:lang w:val="fr-FR"/>
        </w:rPr>
        <w:t xml:space="preserve">, </w:t>
      </w:r>
      <w:r w:rsidR="00FB0F88" w:rsidRPr="009C789B">
        <w:rPr>
          <w:lang w:val="fr-FR"/>
        </w:rPr>
        <w:t>cette approche étant considérée comme une étape préliminaire efficace pour identifier et partager des pratiques et mesures de sauvegarde intéressantes et novatrices</w:t>
      </w:r>
      <w:r w:rsidR="00152B3B" w:rsidRPr="009C789B">
        <w:rPr>
          <w:lang w:val="fr-FR"/>
        </w:rPr>
        <w:t>.</w:t>
      </w:r>
    </w:p>
    <w:p w14:paraId="68175AB4" w14:textId="77777777" w:rsidR="002E58D4" w:rsidRPr="009C789B" w:rsidRDefault="00FB0F88" w:rsidP="009C789B">
      <w:pPr>
        <w:pStyle w:val="Heading4"/>
        <w:keepLines/>
        <w:tabs>
          <w:tab w:val="left" w:pos="567"/>
        </w:tabs>
        <w:snapToGrid w:val="0"/>
        <w:spacing w:after="120"/>
        <w:ind w:left="567" w:hanging="567"/>
        <w:contextualSpacing w:val="0"/>
      </w:pPr>
      <w:r w:rsidRPr="009C789B">
        <w:t>II.</w:t>
      </w:r>
      <w:r w:rsidRPr="009C789B">
        <w:tab/>
      </w:r>
      <w:r w:rsidR="005C65F8" w:rsidRPr="009C789B">
        <w:rPr>
          <w:rFonts w:cs="Times New Roman"/>
          <w:bCs/>
          <w:caps/>
          <w:snapToGrid w:val="0"/>
          <w:szCs w:val="24"/>
          <w:lang w:eastAsia="en-US"/>
        </w:rPr>
        <w:t>ÉVALUATION</w:t>
      </w:r>
      <w:r w:rsidR="005C65F8" w:rsidRPr="009C789B">
        <w:t xml:space="preserve"> PAR RÉSULTAT ESCOMPTÉ</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4"/>
        <w:gridCol w:w="1670"/>
      </w:tblGrid>
      <w:tr w:rsidR="009C789B" w:rsidRPr="009C789B" w14:paraId="201F3EDC" w14:textId="77777777" w:rsidTr="009C789B">
        <w:trPr>
          <w:jc w:val="center"/>
        </w:trPr>
        <w:tc>
          <w:tcPr>
            <w:tcW w:w="1991" w:type="pct"/>
            <w:shd w:val="clear" w:color="auto" w:fill="C6D9F1"/>
            <w:vAlign w:val="center"/>
          </w:tcPr>
          <w:p w14:paraId="62FFA333" w14:textId="78444BA7" w:rsidR="00152B3B" w:rsidRPr="009C789B" w:rsidRDefault="005A1A81" w:rsidP="009C789B">
            <w:pPr>
              <w:spacing w:before="60" w:after="60"/>
              <w:jc w:val="center"/>
              <w:rPr>
                <w:rFonts w:ascii="Arial" w:hAnsi="Arial" w:cs="Arial"/>
                <w:b/>
                <w:sz w:val="20"/>
                <w:szCs w:val="20"/>
              </w:rPr>
            </w:pPr>
            <w:r w:rsidRPr="009C789B">
              <w:rPr>
                <w:rFonts w:ascii="Arial" w:hAnsi="Arial" w:cs="Arial"/>
                <w:b/>
                <w:sz w:val="20"/>
                <w:szCs w:val="20"/>
              </w:rPr>
              <w:t>Allocation</w:t>
            </w:r>
          </w:p>
        </w:tc>
        <w:tc>
          <w:tcPr>
            <w:tcW w:w="2140" w:type="pct"/>
            <w:shd w:val="clear" w:color="auto" w:fill="C6D9F1"/>
            <w:vAlign w:val="center"/>
          </w:tcPr>
          <w:p w14:paraId="0424C661" w14:textId="77777777" w:rsidR="00152B3B" w:rsidRPr="009C789B" w:rsidRDefault="005C65F8" w:rsidP="009C789B">
            <w:pPr>
              <w:spacing w:before="60" w:after="60"/>
              <w:jc w:val="center"/>
              <w:rPr>
                <w:rFonts w:ascii="Arial" w:hAnsi="Arial" w:cs="Arial"/>
                <w:b/>
                <w:sz w:val="20"/>
                <w:szCs w:val="20"/>
              </w:rPr>
            </w:pPr>
            <w:r w:rsidRPr="009C789B">
              <w:rPr>
                <w:rFonts w:ascii="Arial" w:hAnsi="Arial" w:cs="Arial"/>
                <w:b/>
                <w:sz w:val="20"/>
                <w:szCs w:val="20"/>
              </w:rPr>
              <w:t>Dépenses</w:t>
            </w:r>
          </w:p>
        </w:tc>
        <w:tc>
          <w:tcPr>
            <w:tcW w:w="869" w:type="pct"/>
            <w:shd w:val="clear" w:color="auto" w:fill="C6D9F1"/>
            <w:vAlign w:val="center"/>
          </w:tcPr>
          <w:p w14:paraId="11DB2B77" w14:textId="000CD4A8" w:rsidR="00152B3B" w:rsidRPr="009C789B" w:rsidRDefault="005A1A81" w:rsidP="009C789B">
            <w:pPr>
              <w:spacing w:before="60" w:after="60"/>
              <w:jc w:val="center"/>
              <w:rPr>
                <w:rFonts w:ascii="Arial" w:hAnsi="Arial" w:cs="Arial"/>
                <w:b/>
                <w:sz w:val="20"/>
                <w:szCs w:val="20"/>
              </w:rPr>
            </w:pPr>
            <w:r w:rsidRPr="009C789B">
              <w:rPr>
                <w:rFonts w:ascii="Arial" w:hAnsi="Arial" w:cs="Arial"/>
                <w:b/>
                <w:sz w:val="20"/>
                <w:szCs w:val="20"/>
              </w:rPr>
              <w:t xml:space="preserve">Taux </w:t>
            </w:r>
            <w:r w:rsidR="003A3E5E" w:rsidRPr="009C789B">
              <w:rPr>
                <w:rFonts w:ascii="Arial" w:hAnsi="Arial" w:cs="Arial"/>
                <w:b/>
                <w:sz w:val="20"/>
                <w:szCs w:val="20"/>
              </w:rPr>
              <w:t>de dépense</w:t>
            </w:r>
            <w:r w:rsidRPr="009C789B">
              <w:rPr>
                <w:rFonts w:ascii="Arial" w:hAnsi="Arial" w:cs="Arial"/>
                <w:b/>
                <w:sz w:val="20"/>
                <w:szCs w:val="20"/>
              </w:rPr>
              <w:t> </w:t>
            </w:r>
            <w:r w:rsidR="00152B3B" w:rsidRPr="009C789B">
              <w:rPr>
                <w:rFonts w:ascii="Arial" w:hAnsi="Arial" w:cs="Arial"/>
                <w:b/>
                <w:sz w:val="20"/>
                <w:szCs w:val="20"/>
              </w:rPr>
              <w:t>%</w:t>
            </w:r>
          </w:p>
        </w:tc>
      </w:tr>
      <w:tr w:rsidR="00152B3B" w:rsidRPr="009C789B" w14:paraId="2C01817D" w14:textId="77777777" w:rsidTr="00400A60">
        <w:trPr>
          <w:jc w:val="center"/>
        </w:trPr>
        <w:tc>
          <w:tcPr>
            <w:tcW w:w="1991" w:type="pct"/>
            <w:shd w:val="clear" w:color="auto" w:fill="auto"/>
          </w:tcPr>
          <w:p w14:paraId="69BB5476" w14:textId="77777777" w:rsidR="00152B3B" w:rsidRPr="009C789B" w:rsidRDefault="00152B3B" w:rsidP="009C789B">
            <w:pPr>
              <w:spacing w:before="60" w:after="60"/>
              <w:jc w:val="center"/>
              <w:rPr>
                <w:rFonts w:ascii="Arial" w:hAnsi="Arial" w:cs="Arial"/>
                <w:sz w:val="20"/>
                <w:szCs w:val="20"/>
              </w:rPr>
            </w:pPr>
            <w:r w:rsidRPr="009C789B">
              <w:rPr>
                <w:rFonts w:ascii="Arial" w:hAnsi="Arial" w:cs="Arial"/>
                <w:sz w:val="20"/>
                <w:szCs w:val="20"/>
              </w:rPr>
              <w:t>1</w:t>
            </w:r>
            <w:r w:rsidR="005C65F8" w:rsidRPr="009C789B">
              <w:rPr>
                <w:rFonts w:ascii="Arial" w:hAnsi="Arial" w:cs="Arial"/>
                <w:sz w:val="20"/>
                <w:szCs w:val="20"/>
              </w:rPr>
              <w:t> </w:t>
            </w:r>
            <w:r w:rsidRPr="009C789B">
              <w:rPr>
                <w:rFonts w:ascii="Arial" w:hAnsi="Arial" w:cs="Arial"/>
                <w:sz w:val="20"/>
                <w:szCs w:val="20"/>
              </w:rPr>
              <w:t>351</w:t>
            </w:r>
            <w:r w:rsidR="005C65F8" w:rsidRPr="009C789B">
              <w:rPr>
                <w:rFonts w:ascii="Arial" w:hAnsi="Arial" w:cs="Arial"/>
                <w:sz w:val="20"/>
                <w:szCs w:val="20"/>
              </w:rPr>
              <w:t> </w:t>
            </w:r>
            <w:r w:rsidRPr="009C789B">
              <w:rPr>
                <w:rFonts w:ascii="Arial" w:hAnsi="Arial" w:cs="Arial"/>
                <w:sz w:val="20"/>
                <w:szCs w:val="20"/>
              </w:rPr>
              <w:t>087</w:t>
            </w:r>
            <w:r w:rsidR="005C65F8" w:rsidRPr="009C789B">
              <w:rPr>
                <w:rFonts w:ascii="Arial" w:hAnsi="Arial" w:cs="Arial"/>
                <w:sz w:val="20"/>
                <w:szCs w:val="20"/>
              </w:rPr>
              <w:t>,</w:t>
            </w:r>
            <w:r w:rsidRPr="009C789B">
              <w:rPr>
                <w:rFonts w:ascii="Arial" w:hAnsi="Arial" w:cs="Arial"/>
                <w:sz w:val="20"/>
                <w:szCs w:val="20"/>
              </w:rPr>
              <w:t>00</w:t>
            </w:r>
            <w:r w:rsidRPr="009C789B">
              <w:rPr>
                <w:rFonts w:ascii="Arial" w:hAnsi="Arial" w:cs="Arial"/>
                <w:sz w:val="20"/>
                <w:szCs w:val="20"/>
                <w:vertAlign w:val="superscript"/>
              </w:rPr>
              <w:footnoteReference w:id="3"/>
            </w:r>
          </w:p>
        </w:tc>
        <w:tc>
          <w:tcPr>
            <w:tcW w:w="2140" w:type="pct"/>
            <w:shd w:val="clear" w:color="auto" w:fill="auto"/>
          </w:tcPr>
          <w:p w14:paraId="52A42B34" w14:textId="77777777" w:rsidR="00152B3B" w:rsidRPr="009C789B" w:rsidRDefault="00152B3B" w:rsidP="009C789B">
            <w:pPr>
              <w:spacing w:before="60" w:after="60"/>
              <w:jc w:val="center"/>
              <w:rPr>
                <w:rFonts w:ascii="Arial" w:hAnsi="Arial" w:cs="Arial"/>
                <w:sz w:val="20"/>
                <w:szCs w:val="20"/>
              </w:rPr>
            </w:pPr>
            <w:r w:rsidRPr="009C789B">
              <w:rPr>
                <w:rFonts w:ascii="Arial" w:hAnsi="Arial" w:cs="Arial"/>
                <w:sz w:val="20"/>
                <w:szCs w:val="20"/>
              </w:rPr>
              <w:t>1</w:t>
            </w:r>
            <w:r w:rsidR="005C65F8" w:rsidRPr="009C789B">
              <w:rPr>
                <w:rFonts w:ascii="Arial" w:hAnsi="Arial" w:cs="Arial"/>
                <w:sz w:val="20"/>
                <w:szCs w:val="20"/>
              </w:rPr>
              <w:t> </w:t>
            </w:r>
            <w:r w:rsidRPr="009C789B">
              <w:rPr>
                <w:rFonts w:ascii="Arial" w:hAnsi="Arial" w:cs="Arial"/>
                <w:sz w:val="20"/>
                <w:szCs w:val="20"/>
              </w:rPr>
              <w:t>218</w:t>
            </w:r>
            <w:r w:rsidR="005C65F8" w:rsidRPr="009C789B">
              <w:rPr>
                <w:rFonts w:ascii="Arial" w:hAnsi="Arial" w:cs="Arial"/>
                <w:sz w:val="20"/>
                <w:szCs w:val="20"/>
              </w:rPr>
              <w:t> </w:t>
            </w:r>
            <w:r w:rsidRPr="009C789B">
              <w:rPr>
                <w:rFonts w:ascii="Arial" w:hAnsi="Arial" w:cs="Arial"/>
                <w:sz w:val="20"/>
                <w:szCs w:val="20"/>
              </w:rPr>
              <w:t>733</w:t>
            </w:r>
            <w:r w:rsidR="005C65F8" w:rsidRPr="009C789B">
              <w:rPr>
                <w:rFonts w:ascii="Arial" w:hAnsi="Arial" w:cs="Arial"/>
                <w:sz w:val="20"/>
                <w:szCs w:val="20"/>
              </w:rPr>
              <w:t>,</w:t>
            </w:r>
            <w:r w:rsidRPr="009C789B">
              <w:rPr>
                <w:rFonts w:ascii="Arial" w:hAnsi="Arial" w:cs="Arial"/>
                <w:sz w:val="20"/>
                <w:szCs w:val="20"/>
              </w:rPr>
              <w:t>29</w:t>
            </w:r>
          </w:p>
        </w:tc>
        <w:tc>
          <w:tcPr>
            <w:tcW w:w="869" w:type="pct"/>
            <w:shd w:val="clear" w:color="auto" w:fill="auto"/>
          </w:tcPr>
          <w:p w14:paraId="7F1A38C9" w14:textId="77777777" w:rsidR="00152B3B" w:rsidRPr="009C789B" w:rsidRDefault="00152B3B" w:rsidP="009C789B">
            <w:pPr>
              <w:spacing w:before="60" w:after="60"/>
              <w:jc w:val="center"/>
              <w:rPr>
                <w:rFonts w:ascii="Arial" w:hAnsi="Arial" w:cs="Arial"/>
                <w:sz w:val="20"/>
                <w:szCs w:val="20"/>
              </w:rPr>
            </w:pPr>
            <w:r w:rsidRPr="009C789B">
              <w:rPr>
                <w:rFonts w:ascii="Arial" w:hAnsi="Arial" w:cs="Arial"/>
                <w:sz w:val="20"/>
                <w:szCs w:val="20"/>
              </w:rPr>
              <w:t>90</w:t>
            </w:r>
            <w:r w:rsidR="005C65F8" w:rsidRPr="009C789B">
              <w:rPr>
                <w:rFonts w:ascii="Arial" w:hAnsi="Arial" w:cs="Arial"/>
                <w:sz w:val="20"/>
                <w:szCs w:val="20"/>
              </w:rPr>
              <w:t>,</w:t>
            </w:r>
            <w:r w:rsidRPr="009C789B">
              <w:rPr>
                <w:rFonts w:ascii="Arial" w:hAnsi="Arial" w:cs="Arial"/>
                <w:sz w:val="20"/>
                <w:szCs w:val="20"/>
              </w:rPr>
              <w:t>2</w:t>
            </w:r>
            <w:r w:rsidR="005C65F8" w:rsidRPr="009C789B">
              <w:rPr>
                <w:rFonts w:ascii="Arial" w:hAnsi="Arial" w:cs="Arial"/>
                <w:sz w:val="20"/>
                <w:szCs w:val="20"/>
              </w:rPr>
              <w:t> </w:t>
            </w:r>
            <w:r w:rsidRPr="009C789B">
              <w:rPr>
                <w:rFonts w:ascii="Arial" w:hAnsi="Arial" w:cs="Arial"/>
                <w:sz w:val="20"/>
                <w:szCs w:val="20"/>
              </w:rPr>
              <w:t>%</w:t>
            </w:r>
          </w:p>
        </w:tc>
      </w:tr>
    </w:tbl>
    <w:p w14:paraId="0C35E8A7" w14:textId="47936B90" w:rsidR="001D3E8F" w:rsidRPr="009C789B" w:rsidRDefault="001D3E8F" w:rsidP="009C789B">
      <w:pPr>
        <w:spacing w:before="240" w:after="120"/>
        <w:ind w:left="1134" w:hanging="1134"/>
        <w:jc w:val="both"/>
        <w:rPr>
          <w:rFonts w:ascii="Arial" w:hAnsi="Arial" w:cs="Arial"/>
          <w:b/>
          <w:sz w:val="22"/>
          <w:szCs w:val="22"/>
        </w:rPr>
      </w:pPr>
      <w:r w:rsidRPr="009C789B">
        <w:rPr>
          <w:rFonts w:ascii="Arial" w:hAnsi="Arial" w:cs="Arial"/>
          <w:b/>
          <w:sz w:val="22"/>
          <w:szCs w:val="22"/>
        </w:rPr>
        <w:t>R</w:t>
      </w:r>
      <w:r w:rsidR="0090379B" w:rsidRPr="009C789B">
        <w:rPr>
          <w:rFonts w:ascii="Arial" w:hAnsi="Arial" w:cs="Arial"/>
          <w:b/>
          <w:sz w:val="22"/>
          <w:szCs w:val="22"/>
        </w:rPr>
        <w:t>E</w:t>
      </w:r>
      <w:r w:rsidR="005A1A81" w:rsidRPr="009C789B">
        <w:rPr>
          <w:rFonts w:ascii="Arial" w:hAnsi="Arial" w:cs="Arial"/>
          <w:b/>
          <w:sz w:val="22"/>
          <w:szCs w:val="22"/>
        </w:rPr>
        <w:t> </w:t>
      </w:r>
      <w:r w:rsidR="0084201C" w:rsidRPr="009C789B">
        <w:rPr>
          <w:rFonts w:ascii="Arial" w:hAnsi="Arial" w:cs="Arial"/>
          <w:b/>
          <w:sz w:val="22"/>
          <w:szCs w:val="22"/>
        </w:rPr>
        <w:t>n° </w:t>
      </w:r>
      <w:r w:rsidRPr="009C789B">
        <w:rPr>
          <w:rFonts w:ascii="Arial" w:hAnsi="Arial" w:cs="Arial"/>
          <w:b/>
          <w:sz w:val="22"/>
          <w:szCs w:val="22"/>
        </w:rPr>
        <w:t>1</w:t>
      </w:r>
      <w:r w:rsidR="005C65F8" w:rsidRPr="009C789B">
        <w:rPr>
          <w:rFonts w:ascii="Arial" w:hAnsi="Arial" w:cs="Arial"/>
          <w:b/>
          <w:sz w:val="22"/>
          <w:szCs w:val="22"/>
        </w:rPr>
        <w:t> </w:t>
      </w:r>
      <w:r w:rsidRPr="009C789B">
        <w:rPr>
          <w:rFonts w:ascii="Arial" w:hAnsi="Arial" w:cs="Arial"/>
          <w:b/>
          <w:sz w:val="22"/>
          <w:szCs w:val="22"/>
        </w:rPr>
        <w:t>:</w:t>
      </w:r>
      <w:r w:rsidR="002B5029" w:rsidRPr="009C789B">
        <w:rPr>
          <w:rFonts w:ascii="Arial" w:hAnsi="Arial" w:cs="Arial"/>
          <w:b/>
          <w:sz w:val="22"/>
          <w:szCs w:val="22"/>
        </w:rPr>
        <w:tab/>
      </w:r>
      <w:r w:rsidR="008D3C06" w:rsidRPr="009C789B">
        <w:rPr>
          <w:rFonts w:ascii="Arial" w:hAnsi="Arial" w:cs="Arial"/>
          <w:b/>
          <w:sz w:val="22"/>
          <w:szCs w:val="22"/>
        </w:rPr>
        <w:t>Consolidation du programme de renforcement des capacités pour aider efficacement les pays à développer leurs politiques nationales ainsi que leurs ressources humaines et institutionnelles dans le domaine du patrimoine culturel immatériel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31"/>
        <w:gridCol w:w="4082"/>
        <w:gridCol w:w="1669"/>
      </w:tblGrid>
      <w:tr w:rsidR="005A1A81" w:rsidRPr="009C789B" w14:paraId="638DD1F9" w14:textId="77777777" w:rsidTr="00400A60">
        <w:trPr>
          <w:jc w:val="center"/>
        </w:trPr>
        <w:tc>
          <w:tcPr>
            <w:tcW w:w="1997" w:type="pct"/>
            <w:shd w:val="clear" w:color="auto" w:fill="C6D9F1"/>
            <w:vAlign w:val="center"/>
          </w:tcPr>
          <w:p w14:paraId="0B2B037F" w14:textId="77777777" w:rsidR="005A1A81" w:rsidRPr="009C789B" w:rsidRDefault="005A1A81" w:rsidP="009C789B">
            <w:pPr>
              <w:spacing w:before="60" w:after="60"/>
              <w:jc w:val="center"/>
              <w:rPr>
                <w:rFonts w:ascii="Arial" w:hAnsi="Arial" w:cs="Arial"/>
                <w:b/>
                <w:sz w:val="20"/>
                <w:szCs w:val="20"/>
              </w:rPr>
            </w:pPr>
            <w:r w:rsidRPr="009C789B">
              <w:rPr>
                <w:rFonts w:ascii="Arial" w:hAnsi="Arial" w:cs="Arial"/>
                <w:b/>
                <w:sz w:val="20"/>
                <w:szCs w:val="20"/>
              </w:rPr>
              <w:t>Allocation</w:t>
            </w:r>
          </w:p>
        </w:tc>
        <w:tc>
          <w:tcPr>
            <w:tcW w:w="2136" w:type="pct"/>
            <w:gridSpan w:val="2"/>
            <w:shd w:val="clear" w:color="auto" w:fill="C6D9F1"/>
            <w:vAlign w:val="center"/>
          </w:tcPr>
          <w:p w14:paraId="0C31D4CA" w14:textId="77777777" w:rsidR="005A1A81" w:rsidRPr="009C789B" w:rsidRDefault="005A1A81" w:rsidP="009C789B">
            <w:pPr>
              <w:spacing w:before="60" w:after="60"/>
              <w:jc w:val="center"/>
              <w:rPr>
                <w:rFonts w:ascii="Arial" w:hAnsi="Arial" w:cs="Arial"/>
                <w:b/>
                <w:sz w:val="20"/>
                <w:szCs w:val="20"/>
              </w:rPr>
            </w:pPr>
            <w:r w:rsidRPr="009C789B">
              <w:rPr>
                <w:rFonts w:ascii="Arial" w:hAnsi="Arial" w:cs="Arial"/>
                <w:b/>
                <w:sz w:val="20"/>
                <w:szCs w:val="20"/>
              </w:rPr>
              <w:t>Dépenses</w:t>
            </w:r>
          </w:p>
        </w:tc>
        <w:tc>
          <w:tcPr>
            <w:tcW w:w="867" w:type="pct"/>
            <w:shd w:val="clear" w:color="auto" w:fill="C6D9F1"/>
            <w:vAlign w:val="center"/>
          </w:tcPr>
          <w:p w14:paraId="6EBCFEF4" w14:textId="77777777" w:rsidR="005A1A81" w:rsidRPr="009C789B" w:rsidRDefault="005A1A81" w:rsidP="009C789B">
            <w:pPr>
              <w:spacing w:before="60" w:after="60"/>
              <w:jc w:val="center"/>
              <w:rPr>
                <w:rFonts w:ascii="Arial" w:hAnsi="Arial" w:cs="Arial"/>
                <w:b/>
                <w:sz w:val="20"/>
                <w:szCs w:val="20"/>
              </w:rPr>
            </w:pPr>
            <w:r w:rsidRPr="009C789B">
              <w:rPr>
                <w:rFonts w:ascii="Arial" w:hAnsi="Arial" w:cs="Arial"/>
                <w:b/>
                <w:sz w:val="20"/>
                <w:szCs w:val="20"/>
              </w:rPr>
              <w:t>Taux de dépense %</w:t>
            </w:r>
          </w:p>
        </w:tc>
      </w:tr>
      <w:tr w:rsidR="009C789B" w:rsidRPr="009C789B" w14:paraId="77262341" w14:textId="77777777" w:rsidTr="009C789B">
        <w:trPr>
          <w:jc w:val="center"/>
        </w:trPr>
        <w:tc>
          <w:tcPr>
            <w:tcW w:w="2013" w:type="pct"/>
            <w:gridSpan w:val="2"/>
            <w:shd w:val="clear" w:color="auto" w:fill="auto"/>
          </w:tcPr>
          <w:p w14:paraId="3B8D2CCB" w14:textId="77777777" w:rsidR="001D3E8F" w:rsidRPr="009C789B" w:rsidRDefault="003A3E5E" w:rsidP="009C789B">
            <w:pPr>
              <w:spacing w:before="60" w:after="60"/>
              <w:jc w:val="center"/>
              <w:rPr>
                <w:rFonts w:ascii="Arial" w:hAnsi="Arial" w:cs="Arial"/>
                <w:sz w:val="20"/>
                <w:szCs w:val="20"/>
              </w:rPr>
            </w:pPr>
            <w:r w:rsidRPr="009C789B">
              <w:rPr>
                <w:rFonts w:ascii="Arial" w:hAnsi="Arial" w:cs="Arial"/>
                <w:sz w:val="20"/>
                <w:szCs w:val="20"/>
              </w:rPr>
              <w:t>810 </w:t>
            </w:r>
            <w:r w:rsidR="001D3E8F" w:rsidRPr="009C789B">
              <w:rPr>
                <w:rFonts w:ascii="Arial" w:hAnsi="Arial" w:cs="Arial"/>
                <w:sz w:val="20"/>
                <w:szCs w:val="20"/>
              </w:rPr>
              <w:t>087</w:t>
            </w:r>
            <w:r w:rsidRPr="009C789B">
              <w:rPr>
                <w:rFonts w:ascii="Arial" w:hAnsi="Arial" w:cs="Arial"/>
                <w:sz w:val="20"/>
                <w:szCs w:val="20"/>
              </w:rPr>
              <w:t>,</w:t>
            </w:r>
            <w:r w:rsidR="001D3E8F" w:rsidRPr="009C789B">
              <w:rPr>
                <w:rFonts w:ascii="Arial" w:hAnsi="Arial" w:cs="Arial"/>
                <w:sz w:val="20"/>
                <w:szCs w:val="20"/>
              </w:rPr>
              <w:t>00</w:t>
            </w:r>
            <w:r w:rsidR="001D3E8F" w:rsidRPr="009C789B">
              <w:rPr>
                <w:rFonts w:ascii="Arial" w:hAnsi="Arial" w:cs="Arial"/>
                <w:sz w:val="20"/>
                <w:szCs w:val="20"/>
                <w:vertAlign w:val="superscript"/>
              </w:rPr>
              <w:footnoteReference w:id="4"/>
            </w:r>
          </w:p>
        </w:tc>
        <w:tc>
          <w:tcPr>
            <w:tcW w:w="2120" w:type="pct"/>
            <w:shd w:val="clear" w:color="auto" w:fill="auto"/>
          </w:tcPr>
          <w:p w14:paraId="31FC3F1D" w14:textId="77777777" w:rsidR="001D3E8F" w:rsidRPr="009C789B" w:rsidRDefault="001D3E8F" w:rsidP="009C789B">
            <w:pPr>
              <w:spacing w:before="60" w:after="60"/>
              <w:jc w:val="center"/>
              <w:rPr>
                <w:rFonts w:ascii="Arial" w:hAnsi="Arial" w:cs="Arial"/>
                <w:sz w:val="20"/>
                <w:szCs w:val="20"/>
              </w:rPr>
            </w:pPr>
            <w:r w:rsidRPr="009C789B">
              <w:rPr>
                <w:rFonts w:ascii="Arial" w:hAnsi="Arial" w:cs="Arial"/>
                <w:sz w:val="20"/>
                <w:szCs w:val="20"/>
              </w:rPr>
              <w:t>742</w:t>
            </w:r>
            <w:r w:rsidR="003A3E5E" w:rsidRPr="009C789B">
              <w:rPr>
                <w:rFonts w:ascii="Arial" w:hAnsi="Arial" w:cs="Arial"/>
                <w:sz w:val="20"/>
                <w:szCs w:val="20"/>
              </w:rPr>
              <w:t> </w:t>
            </w:r>
            <w:r w:rsidRPr="009C789B">
              <w:rPr>
                <w:rFonts w:ascii="Arial" w:hAnsi="Arial" w:cs="Arial"/>
                <w:sz w:val="20"/>
                <w:szCs w:val="20"/>
              </w:rPr>
              <w:t>455</w:t>
            </w:r>
            <w:r w:rsidR="003A3E5E" w:rsidRPr="009C789B">
              <w:rPr>
                <w:rFonts w:ascii="Arial" w:hAnsi="Arial" w:cs="Arial"/>
                <w:sz w:val="20"/>
                <w:szCs w:val="20"/>
              </w:rPr>
              <w:t>,</w:t>
            </w:r>
            <w:r w:rsidRPr="009C789B">
              <w:rPr>
                <w:rFonts w:ascii="Arial" w:hAnsi="Arial" w:cs="Arial"/>
                <w:sz w:val="20"/>
                <w:szCs w:val="20"/>
              </w:rPr>
              <w:t>55</w:t>
            </w:r>
          </w:p>
        </w:tc>
        <w:tc>
          <w:tcPr>
            <w:tcW w:w="867" w:type="pct"/>
            <w:shd w:val="clear" w:color="auto" w:fill="auto"/>
          </w:tcPr>
          <w:p w14:paraId="350E0D6F" w14:textId="77777777" w:rsidR="001D3E8F" w:rsidRPr="009C789B" w:rsidRDefault="001D3E8F" w:rsidP="009C789B">
            <w:pPr>
              <w:spacing w:before="60" w:after="60"/>
              <w:jc w:val="center"/>
              <w:rPr>
                <w:rFonts w:ascii="Arial" w:hAnsi="Arial" w:cs="Arial"/>
                <w:sz w:val="20"/>
                <w:szCs w:val="20"/>
              </w:rPr>
            </w:pPr>
            <w:r w:rsidRPr="009C789B">
              <w:rPr>
                <w:rFonts w:ascii="Arial" w:hAnsi="Arial" w:cs="Arial"/>
                <w:sz w:val="20"/>
                <w:szCs w:val="20"/>
              </w:rPr>
              <w:t>91</w:t>
            </w:r>
            <w:r w:rsidR="003A3E5E" w:rsidRPr="009C789B">
              <w:rPr>
                <w:rFonts w:ascii="Arial" w:hAnsi="Arial" w:cs="Arial"/>
                <w:sz w:val="20"/>
                <w:szCs w:val="20"/>
              </w:rPr>
              <w:t>,</w:t>
            </w:r>
            <w:r w:rsidRPr="009C789B">
              <w:rPr>
                <w:rFonts w:ascii="Arial" w:hAnsi="Arial" w:cs="Arial"/>
                <w:sz w:val="20"/>
                <w:szCs w:val="20"/>
              </w:rPr>
              <w:t>7</w:t>
            </w:r>
            <w:r w:rsidR="003A3E5E" w:rsidRPr="009C789B">
              <w:rPr>
                <w:rFonts w:ascii="Arial" w:hAnsi="Arial" w:cs="Arial"/>
                <w:sz w:val="20"/>
                <w:szCs w:val="20"/>
              </w:rPr>
              <w:t> </w:t>
            </w:r>
            <w:r w:rsidRPr="009C789B">
              <w:rPr>
                <w:rFonts w:ascii="Arial" w:hAnsi="Arial" w:cs="Arial"/>
                <w:sz w:val="20"/>
                <w:szCs w:val="20"/>
              </w:rPr>
              <w:t>%</w:t>
            </w:r>
          </w:p>
        </w:tc>
      </w:tr>
    </w:tbl>
    <w:p w14:paraId="0D235CD8" w14:textId="77777777" w:rsidR="00152B3B" w:rsidRPr="009C789B" w:rsidRDefault="00152B3B" w:rsidP="009C789B">
      <w:pPr>
        <w:spacing w:before="60" w:after="60"/>
        <w:rPr>
          <w:rFonts w:ascii="Arial" w:hAnsi="Arial" w:cs="Arial"/>
          <w:sz w:val="20"/>
          <w:szCs w:val="20"/>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4029"/>
        <w:gridCol w:w="1722"/>
      </w:tblGrid>
      <w:tr w:rsidR="009C789B" w:rsidRPr="009C789B" w14:paraId="7325DE73" w14:textId="77777777" w:rsidTr="009C789B">
        <w:trPr>
          <w:trHeight w:val="861"/>
          <w:tblHeader/>
        </w:trPr>
        <w:tc>
          <w:tcPr>
            <w:tcW w:w="0" w:type="auto"/>
            <w:shd w:val="clear" w:color="auto" w:fill="D9D9D9" w:themeFill="background1" w:themeFillShade="D9"/>
            <w:vAlign w:val="center"/>
          </w:tcPr>
          <w:p w14:paraId="20AD710F" w14:textId="77777777" w:rsidR="001D3E8F" w:rsidRPr="009C789B" w:rsidRDefault="006E6D3A" w:rsidP="009C789B">
            <w:pPr>
              <w:spacing w:before="60" w:after="60"/>
              <w:jc w:val="center"/>
              <w:rPr>
                <w:rFonts w:ascii="Arial" w:hAnsi="Arial" w:cs="Arial"/>
                <w:b/>
                <w:sz w:val="20"/>
                <w:szCs w:val="20"/>
              </w:rPr>
            </w:pPr>
            <w:r w:rsidRPr="009C789B">
              <w:rPr>
                <w:rFonts w:ascii="Arial" w:hAnsi="Arial" w:cs="Arial"/>
                <w:b/>
                <w:sz w:val="20"/>
                <w:szCs w:val="20"/>
              </w:rPr>
              <w:t>Produit</w:t>
            </w:r>
            <w:r w:rsidR="001D3E8F" w:rsidRPr="009C789B">
              <w:rPr>
                <w:rFonts w:ascii="Arial" w:hAnsi="Arial" w:cs="Arial"/>
                <w:b/>
                <w:sz w:val="20"/>
                <w:szCs w:val="20"/>
              </w:rPr>
              <w:t xml:space="preserve"> (</w:t>
            </w:r>
            <w:r w:rsidRPr="009C789B">
              <w:rPr>
                <w:rFonts w:ascii="Arial" w:hAnsi="Arial" w:cs="Arial"/>
                <w:b/>
                <w:sz w:val="20"/>
                <w:szCs w:val="20"/>
              </w:rPr>
              <w:t>P</w:t>
            </w:r>
            <w:r w:rsidR="001D3E8F" w:rsidRPr="009C789B">
              <w:rPr>
                <w:rFonts w:ascii="Arial" w:hAnsi="Arial" w:cs="Arial"/>
                <w:b/>
                <w:sz w:val="20"/>
                <w:szCs w:val="20"/>
              </w:rPr>
              <w:t>)</w:t>
            </w:r>
            <w:r w:rsidR="001D3E8F" w:rsidRPr="009C789B">
              <w:rPr>
                <w:rFonts w:ascii="Arial" w:hAnsi="Arial" w:cs="Arial"/>
                <w:b/>
                <w:sz w:val="20"/>
                <w:szCs w:val="20"/>
              </w:rPr>
              <w:br/>
              <w:t>Indicat</w:t>
            </w:r>
            <w:r w:rsidR="007B24B6" w:rsidRPr="009C789B">
              <w:rPr>
                <w:rFonts w:ascii="Arial" w:hAnsi="Arial" w:cs="Arial"/>
                <w:b/>
                <w:sz w:val="20"/>
                <w:szCs w:val="20"/>
              </w:rPr>
              <w:t>eurs/Référence</w:t>
            </w:r>
            <w:r w:rsidR="001D3E8F" w:rsidRPr="009C789B">
              <w:rPr>
                <w:rFonts w:ascii="Arial" w:hAnsi="Arial" w:cs="Arial"/>
                <w:b/>
                <w:sz w:val="20"/>
                <w:szCs w:val="20"/>
              </w:rPr>
              <w:t xml:space="preserve"> (</w:t>
            </w:r>
            <w:r w:rsidR="007B24B6" w:rsidRPr="009C789B">
              <w:rPr>
                <w:rFonts w:ascii="Arial" w:hAnsi="Arial" w:cs="Arial"/>
                <w:b/>
                <w:sz w:val="20"/>
                <w:szCs w:val="20"/>
              </w:rPr>
              <w:t>R</w:t>
            </w:r>
            <w:r w:rsidR="001D3E8F" w:rsidRPr="009C789B">
              <w:rPr>
                <w:rFonts w:ascii="Arial" w:hAnsi="Arial" w:cs="Arial"/>
                <w:b/>
                <w:sz w:val="20"/>
                <w:szCs w:val="20"/>
              </w:rPr>
              <w:t>)</w:t>
            </w:r>
          </w:p>
        </w:tc>
        <w:tc>
          <w:tcPr>
            <w:tcW w:w="4029" w:type="dxa"/>
            <w:shd w:val="clear" w:color="auto" w:fill="D9D9D9" w:themeFill="background1" w:themeFillShade="D9"/>
            <w:vAlign w:val="center"/>
          </w:tcPr>
          <w:p w14:paraId="38D714D5" w14:textId="6E76D401" w:rsidR="001D3E8F" w:rsidRPr="009C789B" w:rsidRDefault="007B24B6" w:rsidP="009C789B">
            <w:pPr>
              <w:spacing w:before="60" w:after="60"/>
              <w:jc w:val="center"/>
              <w:rPr>
                <w:rFonts w:ascii="Arial" w:hAnsi="Arial" w:cs="Arial"/>
                <w:b/>
                <w:sz w:val="20"/>
                <w:szCs w:val="20"/>
              </w:rPr>
            </w:pPr>
            <w:r w:rsidRPr="009C789B">
              <w:rPr>
                <w:rFonts w:ascii="Arial" w:hAnsi="Arial" w:cs="Arial"/>
                <w:b/>
                <w:sz w:val="20"/>
                <w:szCs w:val="20"/>
              </w:rPr>
              <w:t xml:space="preserve">Évaluation </w:t>
            </w:r>
            <w:r w:rsidR="005A1A81" w:rsidRPr="009C789B">
              <w:rPr>
                <w:rFonts w:ascii="Arial" w:hAnsi="Arial" w:cs="Arial"/>
                <w:b/>
                <w:sz w:val="20"/>
                <w:szCs w:val="20"/>
              </w:rPr>
              <w:t>des progrès accomplis</w:t>
            </w:r>
            <w:r w:rsidRPr="009C789B">
              <w:rPr>
                <w:rFonts w:ascii="Arial" w:hAnsi="Arial" w:cs="Arial"/>
                <w:b/>
                <w:sz w:val="20"/>
                <w:szCs w:val="20"/>
              </w:rPr>
              <w:t> </w:t>
            </w:r>
            <w:r w:rsidR="001D3E8F" w:rsidRPr="009C789B">
              <w:rPr>
                <w:rFonts w:ascii="Arial" w:hAnsi="Arial" w:cs="Arial"/>
                <w:b/>
                <w:sz w:val="20"/>
                <w:szCs w:val="20"/>
              </w:rPr>
              <w:t>:</w:t>
            </w:r>
            <w:r w:rsidR="001D3E8F" w:rsidRPr="009C789B">
              <w:rPr>
                <w:rFonts w:ascii="Arial" w:hAnsi="Arial" w:cs="Arial"/>
                <w:b/>
                <w:sz w:val="20"/>
                <w:szCs w:val="20"/>
              </w:rPr>
              <w:br/>
              <w:t xml:space="preserve">01/01/2014 </w:t>
            </w:r>
            <w:r w:rsidRPr="009C789B">
              <w:rPr>
                <w:rFonts w:ascii="Arial" w:hAnsi="Arial" w:cs="Arial"/>
                <w:b/>
                <w:sz w:val="20"/>
                <w:szCs w:val="20"/>
              </w:rPr>
              <w:t>-</w:t>
            </w:r>
            <w:r w:rsidR="001D3E8F" w:rsidRPr="009C789B">
              <w:rPr>
                <w:rFonts w:ascii="Arial" w:hAnsi="Arial" w:cs="Arial"/>
                <w:b/>
                <w:sz w:val="20"/>
                <w:szCs w:val="20"/>
              </w:rPr>
              <w:t xml:space="preserve"> 31/12/2015</w:t>
            </w:r>
          </w:p>
        </w:tc>
        <w:tc>
          <w:tcPr>
            <w:tcW w:w="1722" w:type="dxa"/>
            <w:shd w:val="clear" w:color="auto" w:fill="D9D9D9" w:themeFill="background1" w:themeFillShade="D9"/>
            <w:vAlign w:val="center"/>
          </w:tcPr>
          <w:p w14:paraId="2E46F4B0" w14:textId="77777777" w:rsidR="001D3E8F" w:rsidRPr="009C789B" w:rsidRDefault="007B24B6" w:rsidP="009C789B">
            <w:pPr>
              <w:spacing w:before="60" w:after="60"/>
              <w:jc w:val="center"/>
              <w:rPr>
                <w:rFonts w:ascii="Arial" w:hAnsi="Arial" w:cs="Arial"/>
                <w:b/>
                <w:sz w:val="20"/>
                <w:szCs w:val="20"/>
              </w:rPr>
            </w:pPr>
            <w:r w:rsidRPr="009C789B">
              <w:rPr>
                <w:rFonts w:ascii="Arial" w:hAnsi="Arial" w:cs="Arial"/>
                <w:b/>
                <w:sz w:val="20"/>
                <w:szCs w:val="20"/>
              </w:rPr>
              <w:t>Évaluation de la mise en œuvre</w:t>
            </w:r>
          </w:p>
        </w:tc>
      </w:tr>
      <w:tr w:rsidR="001D3E8F" w:rsidRPr="009C789B" w14:paraId="352AECAC" w14:textId="77777777" w:rsidTr="009C789B">
        <w:trPr>
          <w:trHeight w:val="3894"/>
        </w:trPr>
        <w:tc>
          <w:tcPr>
            <w:tcW w:w="0" w:type="auto"/>
            <w:shd w:val="clear" w:color="auto" w:fill="auto"/>
          </w:tcPr>
          <w:p w14:paraId="0ED3CBCE" w14:textId="77777777" w:rsidR="001D3E8F" w:rsidRPr="009C789B" w:rsidRDefault="008D3C06" w:rsidP="009C789B">
            <w:pPr>
              <w:spacing w:before="60" w:after="60"/>
              <w:rPr>
                <w:rFonts w:ascii="Arial" w:hAnsi="Arial" w:cs="Arial"/>
                <w:b/>
                <w:sz w:val="20"/>
                <w:szCs w:val="20"/>
              </w:rPr>
            </w:pPr>
            <w:r w:rsidRPr="009C789B">
              <w:rPr>
                <w:rFonts w:ascii="Arial" w:hAnsi="Arial" w:cs="Arial"/>
                <w:b/>
                <w:sz w:val="20"/>
                <w:szCs w:val="20"/>
              </w:rPr>
              <w:t>P</w:t>
            </w:r>
            <w:r w:rsidR="007B24B6" w:rsidRPr="009C789B">
              <w:rPr>
                <w:rFonts w:ascii="Arial" w:hAnsi="Arial" w:cs="Arial"/>
                <w:b/>
                <w:sz w:val="20"/>
                <w:szCs w:val="20"/>
              </w:rPr>
              <w:t> </w:t>
            </w:r>
            <w:r w:rsidR="001D3E8F" w:rsidRPr="009C789B">
              <w:rPr>
                <w:rFonts w:ascii="Arial" w:hAnsi="Arial" w:cs="Arial"/>
                <w:b/>
                <w:sz w:val="20"/>
                <w:szCs w:val="20"/>
              </w:rPr>
              <w:t>:</w:t>
            </w:r>
          </w:p>
          <w:p w14:paraId="6E3E5235" w14:textId="77777777" w:rsidR="001D3E8F" w:rsidRPr="009C789B" w:rsidRDefault="001F17B5" w:rsidP="009C789B">
            <w:pPr>
              <w:spacing w:before="60" w:after="60"/>
              <w:rPr>
                <w:rFonts w:ascii="Arial" w:hAnsi="Arial" w:cs="Arial"/>
                <w:sz w:val="20"/>
                <w:szCs w:val="20"/>
              </w:rPr>
            </w:pPr>
            <w:r w:rsidRPr="009C789B">
              <w:rPr>
                <w:rFonts w:ascii="Arial" w:hAnsi="Arial" w:cs="Arial"/>
                <w:sz w:val="20"/>
                <w:szCs w:val="20"/>
              </w:rPr>
              <w:t>Renforcement du réseau de facilitateurs et des établissements d’enseignement concernés</w:t>
            </w:r>
          </w:p>
          <w:p w14:paraId="67E4BA2E" w14:textId="77777777" w:rsidR="001D3E8F" w:rsidRPr="009C789B" w:rsidRDefault="009036C8" w:rsidP="009C789B">
            <w:pPr>
              <w:spacing w:before="60" w:after="60"/>
              <w:rPr>
                <w:rFonts w:ascii="Arial" w:hAnsi="Arial" w:cs="Arial"/>
                <w:b/>
                <w:sz w:val="20"/>
                <w:szCs w:val="20"/>
              </w:rPr>
            </w:pPr>
            <w:r w:rsidRPr="009C789B">
              <w:rPr>
                <w:rFonts w:ascii="Arial" w:hAnsi="Arial" w:cs="Arial"/>
                <w:b/>
                <w:sz w:val="20"/>
                <w:szCs w:val="20"/>
              </w:rPr>
              <w:t>R</w:t>
            </w:r>
            <w:r w:rsidR="001D3E8F" w:rsidRPr="009C789B">
              <w:rPr>
                <w:rFonts w:ascii="Arial" w:hAnsi="Arial" w:cs="Arial"/>
                <w:b/>
                <w:sz w:val="20"/>
                <w:szCs w:val="20"/>
              </w:rPr>
              <w:t xml:space="preserve"> 2014-2015</w:t>
            </w:r>
            <w:r w:rsidRPr="009C789B">
              <w:rPr>
                <w:rFonts w:ascii="Arial" w:hAnsi="Arial" w:cs="Arial"/>
                <w:b/>
                <w:sz w:val="20"/>
                <w:szCs w:val="20"/>
              </w:rPr>
              <w:t> </w:t>
            </w:r>
            <w:r w:rsidR="001D3E8F" w:rsidRPr="009C789B">
              <w:rPr>
                <w:rFonts w:ascii="Arial" w:hAnsi="Arial" w:cs="Arial"/>
                <w:b/>
                <w:sz w:val="20"/>
                <w:szCs w:val="20"/>
              </w:rPr>
              <w:t>:</w:t>
            </w:r>
          </w:p>
          <w:p w14:paraId="4CC76B86" w14:textId="45637489" w:rsidR="001D3E8F" w:rsidRPr="009C789B" w:rsidRDefault="001D3E8F" w:rsidP="009C789B">
            <w:pPr>
              <w:spacing w:before="60" w:after="60"/>
              <w:rPr>
                <w:rFonts w:ascii="Arial" w:hAnsi="Arial" w:cs="Arial"/>
                <w:sz w:val="20"/>
                <w:szCs w:val="20"/>
              </w:rPr>
            </w:pPr>
            <w:r w:rsidRPr="009C789B">
              <w:rPr>
                <w:rFonts w:ascii="Arial" w:hAnsi="Arial" w:cs="Arial"/>
                <w:sz w:val="20"/>
                <w:szCs w:val="20"/>
              </w:rPr>
              <w:t>Tr</w:t>
            </w:r>
            <w:r w:rsidR="009036C8" w:rsidRPr="009C789B">
              <w:rPr>
                <w:rFonts w:ascii="Arial" w:hAnsi="Arial" w:cs="Arial"/>
                <w:sz w:val="20"/>
                <w:szCs w:val="20"/>
              </w:rPr>
              <w:t xml:space="preserve">ois ateliers régionaux pour former les facilitateurs et </w:t>
            </w:r>
            <w:r w:rsidR="005F51F0" w:rsidRPr="009C789B">
              <w:rPr>
                <w:rFonts w:ascii="Arial" w:hAnsi="Arial" w:cs="Arial"/>
                <w:sz w:val="20"/>
                <w:szCs w:val="20"/>
              </w:rPr>
              <w:t xml:space="preserve">mettre à niveau </w:t>
            </w:r>
            <w:r w:rsidR="00D859AA" w:rsidRPr="009C789B">
              <w:rPr>
                <w:rFonts w:ascii="Arial" w:hAnsi="Arial" w:cs="Arial"/>
                <w:sz w:val="20"/>
                <w:szCs w:val="20"/>
              </w:rPr>
              <w:t xml:space="preserve">leurs </w:t>
            </w:r>
            <w:r w:rsidR="009036C8" w:rsidRPr="009C789B">
              <w:rPr>
                <w:rFonts w:ascii="Arial" w:hAnsi="Arial" w:cs="Arial"/>
                <w:sz w:val="20"/>
                <w:szCs w:val="20"/>
              </w:rPr>
              <w:t>compétences</w:t>
            </w:r>
            <w:r w:rsidRPr="009C789B">
              <w:rPr>
                <w:rFonts w:ascii="Arial" w:hAnsi="Arial" w:cs="Arial"/>
                <w:sz w:val="20"/>
                <w:szCs w:val="20"/>
              </w:rPr>
              <w:t xml:space="preserve">, </w:t>
            </w:r>
            <w:r w:rsidR="00843FF5" w:rsidRPr="009C789B">
              <w:rPr>
                <w:rFonts w:ascii="Arial" w:hAnsi="Arial" w:cs="Arial"/>
                <w:sz w:val="20"/>
                <w:szCs w:val="20"/>
              </w:rPr>
              <w:t xml:space="preserve">dont </w:t>
            </w:r>
            <w:r w:rsidR="009036C8" w:rsidRPr="009C789B">
              <w:rPr>
                <w:rFonts w:ascii="Arial" w:hAnsi="Arial" w:cs="Arial"/>
                <w:sz w:val="20"/>
                <w:szCs w:val="20"/>
              </w:rPr>
              <w:t>l’un</w:t>
            </w:r>
            <w:r w:rsidR="001F17B5" w:rsidRPr="009C789B">
              <w:rPr>
                <w:rFonts w:ascii="Arial" w:hAnsi="Arial" w:cs="Arial"/>
                <w:sz w:val="20"/>
                <w:szCs w:val="20"/>
              </w:rPr>
              <w:t xml:space="preserve"> </w:t>
            </w:r>
            <w:r w:rsidR="00D859AA" w:rsidRPr="009C789B">
              <w:rPr>
                <w:rFonts w:ascii="Arial" w:hAnsi="Arial" w:cs="Arial"/>
                <w:sz w:val="20"/>
                <w:szCs w:val="20"/>
              </w:rPr>
              <w:t>dépendant</w:t>
            </w:r>
            <w:r w:rsidR="000E281B" w:rsidRPr="009C789B">
              <w:rPr>
                <w:rFonts w:ascii="Arial" w:hAnsi="Arial" w:cs="Arial"/>
                <w:sz w:val="20"/>
                <w:szCs w:val="20"/>
              </w:rPr>
              <w:t xml:space="preserve"> </w:t>
            </w:r>
            <w:r w:rsidR="00D859AA" w:rsidRPr="009C789B">
              <w:rPr>
                <w:rFonts w:ascii="Arial" w:hAnsi="Arial" w:cs="Arial"/>
                <w:sz w:val="20"/>
                <w:szCs w:val="20"/>
              </w:rPr>
              <w:t xml:space="preserve">du </w:t>
            </w:r>
            <w:r w:rsidR="009036C8" w:rsidRPr="009C789B">
              <w:rPr>
                <w:rFonts w:ascii="Arial" w:hAnsi="Arial" w:cs="Arial"/>
                <w:sz w:val="20"/>
                <w:szCs w:val="20"/>
              </w:rPr>
              <w:t>soutien d</w:t>
            </w:r>
            <w:r w:rsidR="00843FF5" w:rsidRPr="009C789B">
              <w:rPr>
                <w:rFonts w:ascii="Arial" w:hAnsi="Arial" w:cs="Arial"/>
                <w:sz w:val="20"/>
                <w:szCs w:val="20"/>
              </w:rPr>
              <w:t>’</w:t>
            </w:r>
            <w:r w:rsidR="009036C8" w:rsidRPr="009C789B">
              <w:rPr>
                <w:rFonts w:ascii="Arial" w:hAnsi="Arial" w:cs="Arial"/>
                <w:sz w:val="20"/>
                <w:szCs w:val="20"/>
              </w:rPr>
              <w:t>u</w:t>
            </w:r>
            <w:r w:rsidR="00843FF5" w:rsidRPr="009C789B">
              <w:rPr>
                <w:rFonts w:ascii="Arial" w:hAnsi="Arial" w:cs="Arial"/>
                <w:sz w:val="20"/>
                <w:szCs w:val="20"/>
              </w:rPr>
              <w:t>n</w:t>
            </w:r>
            <w:r w:rsidR="009036C8" w:rsidRPr="009C789B">
              <w:rPr>
                <w:rFonts w:ascii="Arial" w:hAnsi="Arial" w:cs="Arial"/>
                <w:sz w:val="20"/>
                <w:szCs w:val="20"/>
              </w:rPr>
              <w:t xml:space="preserve"> pays hôte ou d</w:t>
            </w:r>
            <w:r w:rsidR="00843FF5" w:rsidRPr="009C789B">
              <w:rPr>
                <w:rFonts w:ascii="Arial" w:hAnsi="Arial" w:cs="Arial"/>
                <w:sz w:val="20"/>
                <w:szCs w:val="20"/>
              </w:rPr>
              <w:t>’</w:t>
            </w:r>
            <w:r w:rsidR="009036C8" w:rsidRPr="009C789B">
              <w:rPr>
                <w:rFonts w:ascii="Arial" w:hAnsi="Arial" w:cs="Arial"/>
                <w:sz w:val="20"/>
                <w:szCs w:val="20"/>
              </w:rPr>
              <w:t>u</w:t>
            </w:r>
            <w:r w:rsidR="00843FF5" w:rsidRPr="009C789B">
              <w:rPr>
                <w:rFonts w:ascii="Arial" w:hAnsi="Arial" w:cs="Arial"/>
                <w:sz w:val="20"/>
                <w:szCs w:val="20"/>
              </w:rPr>
              <w:t>n</w:t>
            </w:r>
            <w:r w:rsidR="009036C8" w:rsidRPr="009C789B">
              <w:rPr>
                <w:rFonts w:ascii="Arial" w:hAnsi="Arial" w:cs="Arial"/>
                <w:sz w:val="20"/>
                <w:szCs w:val="20"/>
              </w:rPr>
              <w:t xml:space="preserve"> partenaire</w:t>
            </w:r>
            <w:r w:rsidR="005F51F0" w:rsidRPr="009C789B">
              <w:rPr>
                <w:rFonts w:ascii="Arial" w:hAnsi="Arial" w:cs="Arial"/>
                <w:sz w:val="20"/>
                <w:szCs w:val="20"/>
              </w:rPr>
              <w:t>,</w:t>
            </w:r>
            <w:r w:rsidR="009036C8" w:rsidRPr="009C789B">
              <w:rPr>
                <w:rFonts w:ascii="Arial" w:hAnsi="Arial" w:cs="Arial"/>
                <w:sz w:val="20"/>
                <w:szCs w:val="20"/>
              </w:rPr>
              <w:t xml:space="preserve"> et un atelier</w:t>
            </w:r>
            <w:r w:rsidRPr="009C789B">
              <w:rPr>
                <w:rFonts w:ascii="Arial" w:hAnsi="Arial" w:cs="Arial"/>
                <w:sz w:val="20"/>
                <w:szCs w:val="20"/>
              </w:rPr>
              <w:t xml:space="preserve"> </w:t>
            </w:r>
            <w:r w:rsidR="009036C8" w:rsidRPr="009C789B">
              <w:rPr>
                <w:rFonts w:ascii="Arial" w:hAnsi="Arial" w:cs="Arial"/>
                <w:sz w:val="20"/>
                <w:szCs w:val="20"/>
              </w:rPr>
              <w:t xml:space="preserve">sur </w:t>
            </w:r>
            <w:r w:rsidR="00933047" w:rsidRPr="009C789B">
              <w:rPr>
                <w:rFonts w:ascii="Arial" w:hAnsi="Arial" w:cs="Arial"/>
                <w:sz w:val="20"/>
                <w:szCs w:val="20"/>
              </w:rPr>
              <w:t>les prestations d</w:t>
            </w:r>
            <w:r w:rsidR="009036C8" w:rsidRPr="009C789B">
              <w:rPr>
                <w:rFonts w:ascii="Arial" w:hAnsi="Arial" w:cs="Arial"/>
                <w:sz w:val="20"/>
                <w:szCs w:val="20"/>
              </w:rPr>
              <w:t xml:space="preserve">’assistance technique </w:t>
            </w:r>
            <w:r w:rsidRPr="009C789B">
              <w:rPr>
                <w:rFonts w:ascii="Arial" w:hAnsi="Arial" w:cs="Arial"/>
                <w:sz w:val="20"/>
                <w:szCs w:val="20"/>
              </w:rPr>
              <w:t>concern</w:t>
            </w:r>
            <w:r w:rsidR="00543B12" w:rsidRPr="009C789B">
              <w:rPr>
                <w:rFonts w:ascii="Arial" w:hAnsi="Arial" w:cs="Arial"/>
                <w:sz w:val="20"/>
                <w:szCs w:val="20"/>
              </w:rPr>
              <w:t>a</w:t>
            </w:r>
            <w:r w:rsidRPr="009C789B">
              <w:rPr>
                <w:rFonts w:ascii="Arial" w:hAnsi="Arial" w:cs="Arial"/>
                <w:sz w:val="20"/>
                <w:szCs w:val="20"/>
              </w:rPr>
              <w:t>n</w:t>
            </w:r>
            <w:r w:rsidR="00543B12" w:rsidRPr="009C789B">
              <w:rPr>
                <w:rFonts w:ascii="Arial" w:hAnsi="Arial" w:cs="Arial"/>
                <w:sz w:val="20"/>
                <w:szCs w:val="20"/>
              </w:rPr>
              <w:t>t l’assistance</w:t>
            </w:r>
            <w:r w:rsidRPr="009C789B">
              <w:rPr>
                <w:rFonts w:ascii="Arial" w:hAnsi="Arial" w:cs="Arial"/>
                <w:sz w:val="20"/>
                <w:szCs w:val="20"/>
              </w:rPr>
              <w:t xml:space="preserve"> internationale</w:t>
            </w:r>
          </w:p>
        </w:tc>
        <w:tc>
          <w:tcPr>
            <w:tcW w:w="4029" w:type="dxa"/>
            <w:shd w:val="clear" w:color="auto" w:fill="auto"/>
          </w:tcPr>
          <w:p w14:paraId="1974D457" w14:textId="1CF13BB0" w:rsidR="001D3E8F" w:rsidRPr="009C789B" w:rsidRDefault="00985990"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Quatre ateliers régionaux </w:t>
            </w:r>
            <w:r w:rsidR="00933047" w:rsidRPr="009C789B">
              <w:rPr>
                <w:rFonts w:ascii="Arial" w:hAnsi="Arial" w:cs="Arial"/>
                <w:sz w:val="20"/>
                <w:szCs w:val="20"/>
              </w:rPr>
              <w:t xml:space="preserve">ont été </w:t>
            </w:r>
            <w:r w:rsidRPr="009C789B">
              <w:rPr>
                <w:rFonts w:ascii="Arial" w:hAnsi="Arial" w:cs="Arial"/>
                <w:sz w:val="20"/>
                <w:szCs w:val="20"/>
              </w:rPr>
              <w:t>organisés pour évalu</w:t>
            </w:r>
            <w:r w:rsidR="00602D53" w:rsidRPr="009C789B">
              <w:rPr>
                <w:rFonts w:ascii="Arial" w:hAnsi="Arial" w:cs="Arial"/>
                <w:sz w:val="20"/>
                <w:szCs w:val="20"/>
              </w:rPr>
              <w:t>e</w:t>
            </w:r>
            <w:r w:rsidRPr="009C789B">
              <w:rPr>
                <w:rFonts w:ascii="Arial" w:hAnsi="Arial" w:cs="Arial"/>
                <w:sz w:val="20"/>
                <w:szCs w:val="20"/>
              </w:rPr>
              <w:t xml:space="preserve">r les enseignements tirés des </w:t>
            </w:r>
            <w:r w:rsidR="00933047" w:rsidRPr="009C789B">
              <w:rPr>
                <w:rFonts w:ascii="Arial" w:hAnsi="Arial" w:cs="Arial"/>
                <w:sz w:val="20"/>
                <w:szCs w:val="20"/>
              </w:rPr>
              <w:t xml:space="preserve">prestations de </w:t>
            </w:r>
            <w:r w:rsidRPr="009C789B">
              <w:rPr>
                <w:rFonts w:ascii="Arial" w:hAnsi="Arial" w:cs="Arial"/>
                <w:sz w:val="20"/>
                <w:szCs w:val="20"/>
              </w:rPr>
              <w:t>services de renforcement de capacités</w:t>
            </w:r>
            <w:r w:rsidR="001D3E8F" w:rsidRPr="009C789B">
              <w:rPr>
                <w:rFonts w:ascii="Arial" w:hAnsi="Arial" w:cs="Arial"/>
                <w:sz w:val="20"/>
                <w:szCs w:val="20"/>
              </w:rPr>
              <w:t xml:space="preserve">, </w:t>
            </w:r>
            <w:r w:rsidR="0031716F" w:rsidRPr="009C789B">
              <w:rPr>
                <w:rFonts w:ascii="Arial" w:hAnsi="Arial" w:cs="Arial"/>
                <w:sz w:val="20"/>
                <w:szCs w:val="20"/>
              </w:rPr>
              <w:t>avec mise à niveau</w:t>
            </w:r>
            <w:r w:rsidR="006557C8" w:rsidRPr="009C789B">
              <w:rPr>
                <w:rFonts w:ascii="Arial" w:hAnsi="Arial" w:cs="Arial"/>
                <w:sz w:val="20"/>
                <w:szCs w:val="20"/>
              </w:rPr>
              <w:t xml:space="preserve"> des connaissances des facilitateurs sur les évolutions récentes dans la vie de la Convention</w:t>
            </w:r>
            <w:r w:rsidR="005169D3" w:rsidRPr="009C789B">
              <w:rPr>
                <w:rFonts w:ascii="Arial" w:hAnsi="Arial" w:cs="Arial"/>
                <w:sz w:val="20"/>
                <w:szCs w:val="20"/>
              </w:rPr>
              <w:t>,</w:t>
            </w:r>
            <w:r w:rsidR="006557C8" w:rsidRPr="009C789B">
              <w:rPr>
                <w:rFonts w:ascii="Arial" w:hAnsi="Arial" w:cs="Arial"/>
                <w:sz w:val="20"/>
                <w:szCs w:val="20"/>
              </w:rPr>
              <w:t xml:space="preserve"> et </w:t>
            </w:r>
            <w:r w:rsidR="006108AD" w:rsidRPr="009C789B">
              <w:rPr>
                <w:rFonts w:ascii="Arial" w:hAnsi="Arial" w:cs="Arial"/>
                <w:sz w:val="20"/>
                <w:szCs w:val="20"/>
              </w:rPr>
              <w:t>formation</w:t>
            </w:r>
            <w:r w:rsidR="006557C8" w:rsidRPr="009C789B">
              <w:rPr>
                <w:rFonts w:ascii="Arial" w:hAnsi="Arial" w:cs="Arial"/>
                <w:sz w:val="20"/>
                <w:szCs w:val="20"/>
              </w:rPr>
              <w:t xml:space="preserve"> sur l</w:t>
            </w:r>
            <w:r w:rsidR="005169D3" w:rsidRPr="009C789B">
              <w:rPr>
                <w:rFonts w:ascii="Arial" w:hAnsi="Arial" w:cs="Arial"/>
                <w:sz w:val="20"/>
                <w:szCs w:val="20"/>
              </w:rPr>
              <w:t xml:space="preserve">es nouveaux matériels pédagogiques développés </w:t>
            </w:r>
            <w:r w:rsidR="002B5029" w:rsidRPr="009C789B">
              <w:rPr>
                <w:rFonts w:ascii="Arial" w:hAnsi="Arial" w:cs="Arial"/>
                <w:sz w:val="20"/>
                <w:szCs w:val="20"/>
              </w:rPr>
              <w:t xml:space="preserve">sur </w:t>
            </w:r>
            <w:r w:rsidR="00DA5340" w:rsidRPr="009C789B">
              <w:rPr>
                <w:rFonts w:ascii="Arial" w:hAnsi="Arial" w:cs="Arial"/>
                <w:sz w:val="20"/>
                <w:szCs w:val="20"/>
              </w:rPr>
              <w:t>l</w:t>
            </w:r>
            <w:r w:rsidR="00B4757E" w:rsidRPr="009C789B">
              <w:rPr>
                <w:rFonts w:ascii="Arial" w:hAnsi="Arial" w:cs="Arial"/>
                <w:sz w:val="20"/>
                <w:szCs w:val="20"/>
              </w:rPr>
              <w:t xml:space="preserve">es plans de sauvegarde, </w:t>
            </w:r>
            <w:r w:rsidR="00DA5340" w:rsidRPr="009C789B">
              <w:rPr>
                <w:rFonts w:ascii="Arial" w:hAnsi="Arial" w:cs="Arial"/>
                <w:sz w:val="20"/>
                <w:szCs w:val="20"/>
              </w:rPr>
              <w:t>l</w:t>
            </w:r>
            <w:r w:rsidR="00B4757E" w:rsidRPr="009C789B">
              <w:rPr>
                <w:rFonts w:ascii="Arial" w:hAnsi="Arial" w:cs="Arial"/>
                <w:sz w:val="20"/>
                <w:szCs w:val="20"/>
              </w:rPr>
              <w:t>es questions de genre</w:t>
            </w:r>
            <w:r w:rsidR="001D3E8F" w:rsidRPr="009C789B">
              <w:rPr>
                <w:rFonts w:ascii="Arial" w:hAnsi="Arial" w:cs="Arial"/>
                <w:sz w:val="20"/>
                <w:szCs w:val="20"/>
              </w:rPr>
              <w:t xml:space="preserve"> </w:t>
            </w:r>
            <w:r w:rsidR="00B4757E" w:rsidRPr="009C789B">
              <w:rPr>
                <w:rFonts w:ascii="Arial" w:hAnsi="Arial" w:cs="Arial"/>
                <w:sz w:val="20"/>
                <w:szCs w:val="20"/>
              </w:rPr>
              <w:t xml:space="preserve">et </w:t>
            </w:r>
            <w:r w:rsidR="00DA5340" w:rsidRPr="009C789B">
              <w:rPr>
                <w:rFonts w:ascii="Arial" w:hAnsi="Arial" w:cs="Arial"/>
                <w:sz w:val="20"/>
                <w:szCs w:val="20"/>
              </w:rPr>
              <w:t>le</w:t>
            </w:r>
            <w:r w:rsidR="00B4757E" w:rsidRPr="009C789B">
              <w:rPr>
                <w:rFonts w:ascii="Arial" w:hAnsi="Arial" w:cs="Arial"/>
                <w:sz w:val="20"/>
                <w:szCs w:val="20"/>
              </w:rPr>
              <w:t xml:space="preserve"> conseil </w:t>
            </w:r>
            <w:r w:rsidR="002B5029" w:rsidRPr="009C789B">
              <w:rPr>
                <w:rFonts w:ascii="Arial" w:hAnsi="Arial" w:cs="Arial"/>
                <w:sz w:val="20"/>
                <w:szCs w:val="20"/>
              </w:rPr>
              <w:t>en politiques</w:t>
            </w:r>
            <w:r w:rsidR="001D3E8F" w:rsidRPr="009C789B">
              <w:rPr>
                <w:rFonts w:ascii="Arial" w:hAnsi="Arial" w:cs="Arial"/>
                <w:sz w:val="20"/>
                <w:szCs w:val="20"/>
              </w:rPr>
              <w:t xml:space="preserve">. </w:t>
            </w:r>
            <w:r w:rsidR="00B4757E" w:rsidRPr="009C789B">
              <w:rPr>
                <w:rFonts w:ascii="Arial" w:hAnsi="Arial" w:cs="Arial"/>
                <w:sz w:val="20"/>
                <w:szCs w:val="20"/>
              </w:rPr>
              <w:t>Tous les ateliers ont bénéficié du soutien généreux de différentes institutions hôtes </w:t>
            </w:r>
            <w:r w:rsidR="001D3E8F" w:rsidRPr="009C789B">
              <w:rPr>
                <w:rFonts w:ascii="Arial" w:hAnsi="Arial" w:cs="Arial"/>
                <w:sz w:val="20"/>
                <w:szCs w:val="20"/>
              </w:rPr>
              <w:t>:</w:t>
            </w:r>
          </w:p>
          <w:p w14:paraId="3202CD39" w14:textId="77777777" w:rsidR="001D3E8F" w:rsidRPr="009C789B" w:rsidRDefault="00B4757E" w:rsidP="009C789B">
            <w:pPr>
              <w:pStyle w:val="ListParagraph"/>
              <w:numPr>
                <w:ilvl w:val="0"/>
                <w:numId w:val="20"/>
              </w:numPr>
              <w:spacing w:before="60" w:after="60"/>
              <w:ind w:left="714" w:hanging="357"/>
              <w:contextualSpacing w:val="0"/>
              <w:rPr>
                <w:rFonts w:ascii="Arial" w:hAnsi="Arial" w:cs="Arial"/>
                <w:sz w:val="20"/>
                <w:szCs w:val="20"/>
              </w:rPr>
            </w:pPr>
            <w:r w:rsidRPr="009C789B">
              <w:rPr>
                <w:rFonts w:ascii="Arial" w:hAnsi="Arial" w:cs="Arial"/>
                <w:sz w:val="20"/>
                <w:szCs w:val="20"/>
              </w:rPr>
              <w:t>Le Conseil national koweitien pour la culture, les arts et les lettres, avec le soutien de l</w:t>
            </w:r>
            <w:r w:rsidR="00AF0A59" w:rsidRPr="009C789B">
              <w:rPr>
                <w:rFonts w:ascii="Arial" w:hAnsi="Arial" w:cs="Arial"/>
                <w:sz w:val="20"/>
                <w:szCs w:val="20"/>
              </w:rPr>
              <w:t xml:space="preserve">’Organisation arabe pour l’éducation, la culture et les sciences </w:t>
            </w:r>
            <w:r w:rsidR="001D3E8F" w:rsidRPr="009C789B">
              <w:rPr>
                <w:rFonts w:ascii="Arial" w:hAnsi="Arial" w:cs="Arial"/>
                <w:sz w:val="20"/>
                <w:szCs w:val="20"/>
              </w:rPr>
              <w:t>(ALECSO),</w:t>
            </w:r>
          </w:p>
          <w:p w14:paraId="3087BF5A" w14:textId="1C5ECAF3" w:rsidR="001D3E8F" w:rsidRPr="009C789B" w:rsidRDefault="002B5029" w:rsidP="009C789B">
            <w:pPr>
              <w:pStyle w:val="ListParagraph"/>
              <w:numPr>
                <w:ilvl w:val="0"/>
                <w:numId w:val="20"/>
              </w:numPr>
              <w:spacing w:before="60" w:after="60"/>
              <w:ind w:left="714" w:hanging="357"/>
              <w:contextualSpacing w:val="0"/>
              <w:rPr>
                <w:rFonts w:ascii="Arial" w:hAnsi="Arial" w:cs="Arial"/>
                <w:sz w:val="20"/>
                <w:szCs w:val="20"/>
              </w:rPr>
            </w:pPr>
            <w:r w:rsidRPr="009C789B">
              <w:rPr>
                <w:rFonts w:ascii="Arial" w:hAnsi="Arial" w:cs="Arial"/>
                <w:sz w:val="20"/>
                <w:szCs w:val="20"/>
              </w:rPr>
              <w:t>Le</w:t>
            </w:r>
            <w:r w:rsidR="001D3E8F" w:rsidRPr="009C789B">
              <w:rPr>
                <w:rFonts w:ascii="Arial" w:hAnsi="Arial" w:cs="Arial"/>
                <w:sz w:val="20"/>
                <w:szCs w:val="20"/>
              </w:rPr>
              <w:t xml:space="preserve"> </w:t>
            </w:r>
            <w:r w:rsidR="00DF7122" w:rsidRPr="009C789B">
              <w:rPr>
                <w:rFonts w:ascii="Arial" w:hAnsi="Arial" w:cs="Arial"/>
                <w:sz w:val="20"/>
                <w:szCs w:val="20"/>
              </w:rPr>
              <w:t>Centre régional pour la sauvegarde du patrimoine culturel immatériel en Europe du Sud-Est</w:t>
            </w:r>
            <w:r w:rsidR="006108AD" w:rsidRPr="009C789B">
              <w:rPr>
                <w:rFonts w:ascii="Arial" w:hAnsi="Arial" w:cs="Arial"/>
                <w:sz w:val="20"/>
                <w:szCs w:val="20"/>
              </w:rPr>
              <w:t>,</w:t>
            </w:r>
            <w:r w:rsidR="00DF7122" w:rsidRPr="009C789B">
              <w:rPr>
                <w:rFonts w:ascii="Arial" w:hAnsi="Arial" w:cs="Arial"/>
                <w:sz w:val="20"/>
                <w:szCs w:val="20"/>
              </w:rPr>
              <w:t xml:space="preserve"> basé à Sofia </w:t>
            </w:r>
            <w:r w:rsidR="001D3E8F" w:rsidRPr="009C789B">
              <w:rPr>
                <w:rFonts w:ascii="Arial" w:hAnsi="Arial" w:cs="Arial"/>
                <w:sz w:val="20"/>
                <w:szCs w:val="20"/>
              </w:rPr>
              <w:t>(Bulgari</w:t>
            </w:r>
            <w:r w:rsidR="00DF7122" w:rsidRPr="009C789B">
              <w:rPr>
                <w:rFonts w:ascii="Arial" w:hAnsi="Arial" w:cs="Arial"/>
                <w:sz w:val="20"/>
                <w:szCs w:val="20"/>
              </w:rPr>
              <w:t>e</w:t>
            </w:r>
            <w:r w:rsidR="001D3E8F" w:rsidRPr="009C789B">
              <w:rPr>
                <w:rFonts w:ascii="Arial" w:hAnsi="Arial" w:cs="Arial"/>
                <w:sz w:val="20"/>
                <w:szCs w:val="20"/>
              </w:rPr>
              <w:t xml:space="preserve">), </w:t>
            </w:r>
            <w:r w:rsidR="00DF7122" w:rsidRPr="009C789B">
              <w:rPr>
                <w:rFonts w:ascii="Arial" w:hAnsi="Arial" w:cs="Arial"/>
                <w:sz w:val="20"/>
                <w:szCs w:val="20"/>
              </w:rPr>
              <w:t>pour l’</w:t>
            </w:r>
            <w:r w:rsidR="001D3E8F" w:rsidRPr="009C789B">
              <w:rPr>
                <w:rFonts w:ascii="Arial" w:hAnsi="Arial" w:cs="Arial"/>
                <w:sz w:val="20"/>
                <w:szCs w:val="20"/>
              </w:rPr>
              <w:t xml:space="preserve">Europe </w:t>
            </w:r>
            <w:r w:rsidR="00DF7122" w:rsidRPr="009C789B">
              <w:rPr>
                <w:rFonts w:ascii="Arial" w:hAnsi="Arial" w:cs="Arial"/>
                <w:sz w:val="20"/>
                <w:szCs w:val="20"/>
              </w:rPr>
              <w:t>et l’Asie centrale</w:t>
            </w:r>
            <w:r w:rsidR="001D3E8F" w:rsidRPr="009C789B">
              <w:rPr>
                <w:rFonts w:ascii="Arial" w:hAnsi="Arial" w:cs="Arial"/>
                <w:sz w:val="20"/>
                <w:szCs w:val="20"/>
              </w:rPr>
              <w:t xml:space="preserve">, </w:t>
            </w:r>
          </w:p>
          <w:p w14:paraId="62C4A9A6" w14:textId="36EDDF81" w:rsidR="001D3E8F" w:rsidRPr="009C789B" w:rsidRDefault="002B5029" w:rsidP="009C789B">
            <w:pPr>
              <w:pStyle w:val="ListParagraph"/>
              <w:numPr>
                <w:ilvl w:val="0"/>
                <w:numId w:val="20"/>
              </w:numPr>
              <w:spacing w:before="60" w:after="60"/>
              <w:ind w:left="714" w:hanging="357"/>
              <w:contextualSpacing w:val="0"/>
              <w:rPr>
                <w:rFonts w:ascii="Arial" w:hAnsi="Arial" w:cs="Arial"/>
                <w:sz w:val="20"/>
                <w:szCs w:val="20"/>
              </w:rPr>
            </w:pPr>
            <w:r w:rsidRPr="009C789B">
              <w:rPr>
                <w:rFonts w:ascii="Arial" w:hAnsi="Arial" w:cs="Arial"/>
                <w:sz w:val="20"/>
                <w:szCs w:val="20"/>
              </w:rPr>
              <w:t>Le</w:t>
            </w:r>
            <w:r w:rsidR="001D3E8F" w:rsidRPr="009C789B">
              <w:rPr>
                <w:rFonts w:ascii="Arial" w:hAnsi="Arial" w:cs="Arial"/>
                <w:sz w:val="20"/>
                <w:szCs w:val="20"/>
              </w:rPr>
              <w:t xml:space="preserve"> </w:t>
            </w:r>
            <w:r w:rsidR="00DA5340" w:rsidRPr="009C789B">
              <w:rPr>
                <w:rFonts w:ascii="Arial" w:hAnsi="Arial" w:cs="Arial"/>
                <w:sz w:val="20"/>
                <w:szCs w:val="20"/>
              </w:rPr>
              <w:t>Centre i</w:t>
            </w:r>
            <w:r w:rsidR="001D3E8F" w:rsidRPr="009C789B">
              <w:rPr>
                <w:rFonts w:ascii="Arial" w:hAnsi="Arial" w:cs="Arial"/>
                <w:sz w:val="20"/>
                <w:szCs w:val="20"/>
              </w:rPr>
              <w:t xml:space="preserve">nternational </w:t>
            </w:r>
            <w:r w:rsidR="00DA5340" w:rsidRPr="009C789B">
              <w:rPr>
                <w:rFonts w:ascii="Arial" w:hAnsi="Arial" w:cs="Arial"/>
                <w:sz w:val="20"/>
                <w:szCs w:val="20"/>
              </w:rPr>
              <w:t>de formation pour l</w:t>
            </w:r>
            <w:r w:rsidRPr="009C789B">
              <w:rPr>
                <w:rFonts w:ascii="Arial" w:hAnsi="Arial" w:cs="Arial"/>
                <w:sz w:val="20"/>
                <w:szCs w:val="20"/>
              </w:rPr>
              <w:t>e</w:t>
            </w:r>
            <w:r w:rsidR="00DA5340" w:rsidRPr="009C789B">
              <w:rPr>
                <w:rFonts w:ascii="Arial" w:hAnsi="Arial" w:cs="Arial"/>
                <w:sz w:val="20"/>
                <w:szCs w:val="20"/>
              </w:rPr>
              <w:t xml:space="preserve"> patrimoine culturel immatériel dans la région Asie-Pacifique</w:t>
            </w:r>
            <w:r w:rsidR="001D3E8F" w:rsidRPr="009C789B">
              <w:rPr>
                <w:rFonts w:ascii="Arial" w:hAnsi="Arial" w:cs="Arial"/>
                <w:sz w:val="20"/>
                <w:szCs w:val="20"/>
              </w:rPr>
              <w:t xml:space="preserve"> (CRIHAP) </w:t>
            </w:r>
            <w:r w:rsidR="00A936B3" w:rsidRPr="009C789B">
              <w:rPr>
                <w:rFonts w:ascii="Arial" w:hAnsi="Arial" w:cs="Arial"/>
                <w:sz w:val="20"/>
                <w:szCs w:val="20"/>
              </w:rPr>
              <w:t>à</w:t>
            </w:r>
            <w:r w:rsidR="001D3E8F" w:rsidRPr="009C789B">
              <w:rPr>
                <w:rFonts w:ascii="Arial" w:hAnsi="Arial" w:cs="Arial"/>
                <w:sz w:val="20"/>
                <w:szCs w:val="20"/>
              </w:rPr>
              <w:t xml:space="preserve"> Shenzhen (Chin</w:t>
            </w:r>
            <w:r w:rsidR="00A936B3" w:rsidRPr="009C789B">
              <w:rPr>
                <w:rFonts w:ascii="Arial" w:hAnsi="Arial" w:cs="Arial"/>
                <w:sz w:val="20"/>
                <w:szCs w:val="20"/>
              </w:rPr>
              <w:t>e</w:t>
            </w:r>
            <w:r w:rsidR="001D3E8F" w:rsidRPr="009C789B">
              <w:rPr>
                <w:rFonts w:ascii="Arial" w:hAnsi="Arial" w:cs="Arial"/>
                <w:sz w:val="20"/>
                <w:szCs w:val="20"/>
              </w:rPr>
              <w:t xml:space="preserve">) </w:t>
            </w:r>
            <w:r w:rsidR="00A936B3" w:rsidRPr="009C789B">
              <w:rPr>
                <w:rFonts w:ascii="Arial" w:hAnsi="Arial" w:cs="Arial"/>
                <w:sz w:val="20"/>
                <w:szCs w:val="20"/>
              </w:rPr>
              <w:t>pour la région Asie-</w:t>
            </w:r>
            <w:r w:rsidR="001D3E8F" w:rsidRPr="009C789B">
              <w:rPr>
                <w:rFonts w:ascii="Arial" w:hAnsi="Arial" w:cs="Arial"/>
                <w:sz w:val="20"/>
                <w:szCs w:val="20"/>
              </w:rPr>
              <w:t>Pacifi</w:t>
            </w:r>
            <w:r w:rsidR="00A936B3" w:rsidRPr="009C789B">
              <w:rPr>
                <w:rFonts w:ascii="Arial" w:hAnsi="Arial" w:cs="Arial"/>
                <w:sz w:val="20"/>
                <w:szCs w:val="20"/>
              </w:rPr>
              <w:t>que</w:t>
            </w:r>
          </w:p>
          <w:p w14:paraId="2DAD29DC" w14:textId="59AF539C" w:rsidR="001D3E8F" w:rsidRPr="009C789B" w:rsidRDefault="002B5029" w:rsidP="009C789B">
            <w:pPr>
              <w:pStyle w:val="ListParagraph"/>
              <w:numPr>
                <w:ilvl w:val="0"/>
                <w:numId w:val="20"/>
              </w:numPr>
              <w:spacing w:before="60" w:after="60"/>
              <w:ind w:left="714" w:hanging="357"/>
              <w:contextualSpacing w:val="0"/>
              <w:rPr>
                <w:rFonts w:ascii="Arial" w:hAnsi="Arial" w:cs="Arial"/>
                <w:sz w:val="20"/>
                <w:szCs w:val="20"/>
              </w:rPr>
            </w:pPr>
            <w:r w:rsidRPr="009C789B">
              <w:rPr>
                <w:rFonts w:ascii="Arial" w:hAnsi="Arial" w:cs="Arial"/>
                <w:sz w:val="20"/>
                <w:szCs w:val="20"/>
              </w:rPr>
              <w:t>Le</w:t>
            </w:r>
            <w:r w:rsidR="001D3E8F" w:rsidRPr="009C789B">
              <w:rPr>
                <w:rFonts w:ascii="Arial" w:hAnsi="Arial" w:cs="Arial"/>
                <w:sz w:val="20"/>
                <w:szCs w:val="20"/>
              </w:rPr>
              <w:t xml:space="preserve"> </w:t>
            </w:r>
            <w:r w:rsidR="00A936B3" w:rsidRPr="009C789B">
              <w:rPr>
                <w:rFonts w:ascii="Arial" w:hAnsi="Arial" w:cs="Arial"/>
                <w:sz w:val="20"/>
                <w:szCs w:val="20"/>
              </w:rPr>
              <w:t>Centre national de recherches préhistoriques, anthropologiques et historiques</w:t>
            </w:r>
            <w:r w:rsidR="001D3E8F" w:rsidRPr="009C789B">
              <w:rPr>
                <w:rFonts w:ascii="Arial" w:hAnsi="Arial" w:cs="Arial"/>
                <w:sz w:val="20"/>
                <w:szCs w:val="20"/>
              </w:rPr>
              <w:t xml:space="preserve"> (CNRPAH) </w:t>
            </w:r>
            <w:r w:rsidR="00A936B3" w:rsidRPr="009C789B">
              <w:rPr>
                <w:rFonts w:ascii="Arial" w:hAnsi="Arial" w:cs="Arial"/>
                <w:sz w:val="20"/>
                <w:szCs w:val="20"/>
              </w:rPr>
              <w:t>e</w:t>
            </w:r>
            <w:r w:rsidR="001D3E8F" w:rsidRPr="009C789B">
              <w:rPr>
                <w:rFonts w:ascii="Arial" w:hAnsi="Arial" w:cs="Arial"/>
                <w:sz w:val="20"/>
                <w:szCs w:val="20"/>
              </w:rPr>
              <w:t>n Alg</w:t>
            </w:r>
            <w:r w:rsidR="003B4951" w:rsidRPr="009C789B">
              <w:rPr>
                <w:rFonts w:ascii="Arial" w:hAnsi="Arial" w:cs="Arial"/>
                <w:sz w:val="20"/>
                <w:szCs w:val="20"/>
              </w:rPr>
              <w:t>é</w:t>
            </w:r>
            <w:r w:rsidR="001D3E8F" w:rsidRPr="009C789B">
              <w:rPr>
                <w:rFonts w:ascii="Arial" w:hAnsi="Arial" w:cs="Arial"/>
                <w:sz w:val="20"/>
                <w:szCs w:val="20"/>
              </w:rPr>
              <w:t>ri</w:t>
            </w:r>
            <w:r w:rsidR="003B4951" w:rsidRPr="009C789B">
              <w:rPr>
                <w:rFonts w:ascii="Arial" w:hAnsi="Arial" w:cs="Arial"/>
                <w:sz w:val="20"/>
                <w:szCs w:val="20"/>
              </w:rPr>
              <w:t>e</w:t>
            </w:r>
            <w:r w:rsidR="001D3E8F" w:rsidRPr="009C789B">
              <w:rPr>
                <w:rFonts w:ascii="Arial" w:hAnsi="Arial" w:cs="Arial"/>
                <w:sz w:val="20"/>
                <w:szCs w:val="20"/>
              </w:rPr>
              <w:t xml:space="preserve"> </w:t>
            </w:r>
            <w:r w:rsidR="003B4951" w:rsidRPr="009C789B">
              <w:rPr>
                <w:rFonts w:ascii="Arial" w:hAnsi="Arial" w:cs="Arial"/>
                <w:sz w:val="20"/>
                <w:szCs w:val="20"/>
              </w:rPr>
              <w:t>et la m</w:t>
            </w:r>
            <w:r w:rsidR="001D3E8F" w:rsidRPr="009C789B">
              <w:rPr>
                <w:rFonts w:ascii="Arial" w:hAnsi="Arial" w:cs="Arial"/>
                <w:sz w:val="20"/>
                <w:szCs w:val="20"/>
              </w:rPr>
              <w:t xml:space="preserve">anifestation Constantine, capitale de la culture arabe 2015 </w:t>
            </w:r>
            <w:r w:rsidR="003B4951" w:rsidRPr="009C789B">
              <w:rPr>
                <w:rFonts w:ascii="Arial" w:hAnsi="Arial" w:cs="Arial"/>
                <w:sz w:val="20"/>
                <w:szCs w:val="20"/>
              </w:rPr>
              <w:t>à</w:t>
            </w:r>
            <w:r w:rsidR="001D3E8F" w:rsidRPr="009C789B">
              <w:rPr>
                <w:rFonts w:ascii="Arial" w:hAnsi="Arial" w:cs="Arial"/>
                <w:sz w:val="20"/>
                <w:szCs w:val="20"/>
              </w:rPr>
              <w:t xml:space="preserve"> Constantine, </w:t>
            </w:r>
            <w:r w:rsidR="003B4951" w:rsidRPr="009C789B">
              <w:rPr>
                <w:rFonts w:ascii="Arial" w:hAnsi="Arial" w:cs="Arial"/>
                <w:sz w:val="20"/>
                <w:szCs w:val="20"/>
              </w:rPr>
              <w:t>p</w:t>
            </w:r>
            <w:r w:rsidR="001D3E8F" w:rsidRPr="009C789B">
              <w:rPr>
                <w:rFonts w:ascii="Arial" w:hAnsi="Arial" w:cs="Arial"/>
                <w:sz w:val="20"/>
                <w:szCs w:val="20"/>
              </w:rPr>
              <w:t>o</w:t>
            </w:r>
            <w:r w:rsidR="003B4951" w:rsidRPr="009C789B">
              <w:rPr>
                <w:rFonts w:ascii="Arial" w:hAnsi="Arial" w:cs="Arial"/>
                <w:sz w:val="20"/>
                <w:szCs w:val="20"/>
              </w:rPr>
              <w:t>u</w:t>
            </w:r>
            <w:r w:rsidR="001D3E8F" w:rsidRPr="009C789B">
              <w:rPr>
                <w:rFonts w:ascii="Arial" w:hAnsi="Arial" w:cs="Arial"/>
                <w:sz w:val="20"/>
                <w:szCs w:val="20"/>
              </w:rPr>
              <w:t xml:space="preserve">r </w:t>
            </w:r>
            <w:r w:rsidR="003B4951" w:rsidRPr="009C789B">
              <w:rPr>
                <w:rFonts w:ascii="Arial" w:hAnsi="Arial" w:cs="Arial"/>
                <w:sz w:val="20"/>
                <w:szCs w:val="20"/>
              </w:rPr>
              <w:t>l’</w:t>
            </w:r>
            <w:r w:rsidR="001D3E8F" w:rsidRPr="009C789B">
              <w:rPr>
                <w:rFonts w:ascii="Arial" w:hAnsi="Arial" w:cs="Arial"/>
                <w:sz w:val="20"/>
                <w:szCs w:val="20"/>
              </w:rPr>
              <w:t>Afri</w:t>
            </w:r>
            <w:r w:rsidR="003B4951" w:rsidRPr="009C789B">
              <w:rPr>
                <w:rFonts w:ascii="Arial" w:hAnsi="Arial" w:cs="Arial"/>
                <w:sz w:val="20"/>
                <w:szCs w:val="20"/>
              </w:rPr>
              <w:t>que</w:t>
            </w:r>
            <w:r w:rsidR="001D3E8F" w:rsidRPr="009C789B">
              <w:rPr>
                <w:rFonts w:ascii="Arial" w:hAnsi="Arial" w:cs="Arial"/>
                <w:sz w:val="20"/>
                <w:szCs w:val="20"/>
              </w:rPr>
              <w:t>.</w:t>
            </w:r>
          </w:p>
          <w:p w14:paraId="672BAD9E" w14:textId="77777777" w:rsidR="001D3E8F" w:rsidRPr="009C789B" w:rsidRDefault="003B4951"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Un atelier c</w:t>
            </w:r>
            <w:r w:rsidR="009E5B44" w:rsidRPr="009C789B">
              <w:rPr>
                <w:rFonts w:ascii="Arial" w:hAnsi="Arial" w:cs="Arial"/>
                <w:sz w:val="20"/>
                <w:szCs w:val="20"/>
              </w:rPr>
              <w:t>onsacré aux</w:t>
            </w:r>
            <w:r w:rsidRPr="009C789B">
              <w:rPr>
                <w:rFonts w:ascii="Arial" w:hAnsi="Arial" w:cs="Arial"/>
                <w:sz w:val="20"/>
                <w:szCs w:val="20"/>
              </w:rPr>
              <w:t xml:space="preserve"> expériences menées à ce jour avec un mécanisme expérimental destiné à fournir une assistance technique personnalisée aux </w:t>
            </w:r>
            <w:r w:rsidR="00AE0FCA" w:rsidRPr="009C789B">
              <w:rPr>
                <w:rFonts w:ascii="Arial" w:hAnsi="Arial" w:cs="Arial"/>
                <w:sz w:val="20"/>
                <w:szCs w:val="20"/>
              </w:rPr>
              <w:t>États</w:t>
            </w:r>
            <w:r w:rsidRPr="009C789B">
              <w:rPr>
                <w:rFonts w:ascii="Arial" w:hAnsi="Arial" w:cs="Arial"/>
                <w:sz w:val="20"/>
                <w:szCs w:val="20"/>
              </w:rPr>
              <w:t xml:space="preserve"> parties sollicitant l’assistance internationale du Fonds</w:t>
            </w:r>
            <w:r w:rsidR="00B91327" w:rsidRPr="009C789B">
              <w:rPr>
                <w:rFonts w:ascii="Arial" w:hAnsi="Arial" w:cs="Arial"/>
                <w:sz w:val="20"/>
                <w:szCs w:val="20"/>
              </w:rPr>
              <w:t> </w:t>
            </w:r>
            <w:r w:rsidR="001D3E8F" w:rsidRPr="009C789B">
              <w:rPr>
                <w:rFonts w:ascii="Arial" w:hAnsi="Arial" w:cs="Arial"/>
                <w:sz w:val="20"/>
                <w:szCs w:val="20"/>
              </w:rPr>
              <w:t xml:space="preserve">; </w:t>
            </w:r>
            <w:r w:rsidR="00B91327" w:rsidRPr="009C789B">
              <w:rPr>
                <w:rFonts w:ascii="Arial" w:hAnsi="Arial" w:cs="Arial"/>
                <w:sz w:val="20"/>
                <w:szCs w:val="20"/>
              </w:rPr>
              <w:t>l’atelier a également ex</w:t>
            </w:r>
            <w:r w:rsidR="009E5B44" w:rsidRPr="009C789B">
              <w:rPr>
                <w:rFonts w:ascii="Arial" w:hAnsi="Arial" w:cs="Arial"/>
                <w:sz w:val="20"/>
                <w:szCs w:val="20"/>
              </w:rPr>
              <w:t>aminé</w:t>
            </w:r>
            <w:r w:rsidR="00B91327" w:rsidRPr="009C789B">
              <w:rPr>
                <w:rFonts w:ascii="Arial" w:hAnsi="Arial" w:cs="Arial"/>
                <w:sz w:val="20"/>
                <w:szCs w:val="20"/>
              </w:rPr>
              <w:t xml:space="preserve"> d’autres efforts du Secrétariat en cours ou programmés</w:t>
            </w:r>
            <w:r w:rsidR="001D3E8F" w:rsidRPr="009C789B">
              <w:rPr>
                <w:rFonts w:ascii="Arial" w:hAnsi="Arial" w:cs="Arial"/>
                <w:sz w:val="20"/>
                <w:szCs w:val="20"/>
              </w:rPr>
              <w:t xml:space="preserve">. </w:t>
            </w:r>
          </w:p>
          <w:p w14:paraId="11B0784B" w14:textId="77777777" w:rsidR="001D3E8F" w:rsidRPr="009C789B" w:rsidRDefault="00B91327"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 </w:t>
            </w:r>
            <w:r w:rsidR="001D3E8F" w:rsidRPr="009C789B">
              <w:rPr>
                <w:rFonts w:ascii="Arial" w:hAnsi="Arial" w:cs="Arial"/>
                <w:sz w:val="20"/>
                <w:szCs w:val="20"/>
              </w:rPr>
              <w:t xml:space="preserve">symposium </w:t>
            </w:r>
            <w:r w:rsidR="00A3531D" w:rsidRPr="009C789B">
              <w:rPr>
                <w:rFonts w:ascii="Arial" w:hAnsi="Arial" w:cs="Arial"/>
                <w:sz w:val="20"/>
                <w:szCs w:val="20"/>
              </w:rPr>
              <w:t xml:space="preserve">régional </w:t>
            </w:r>
            <w:r w:rsidRPr="009C789B">
              <w:rPr>
                <w:rFonts w:ascii="Arial" w:hAnsi="Arial" w:cs="Arial"/>
                <w:sz w:val="20"/>
                <w:szCs w:val="20"/>
              </w:rPr>
              <w:t xml:space="preserve">pour les établissements </w:t>
            </w:r>
            <w:r w:rsidR="00A3531D" w:rsidRPr="009C789B">
              <w:rPr>
                <w:rFonts w:ascii="Arial" w:hAnsi="Arial" w:cs="Arial"/>
                <w:sz w:val="20"/>
                <w:szCs w:val="20"/>
              </w:rPr>
              <w:t>d’enseignement supérieur en Asie et dans le Pacifique</w:t>
            </w:r>
            <w:r w:rsidR="001D3E8F" w:rsidRPr="009C789B">
              <w:rPr>
                <w:rFonts w:ascii="Arial" w:hAnsi="Arial" w:cs="Arial"/>
                <w:sz w:val="20"/>
                <w:szCs w:val="20"/>
              </w:rPr>
              <w:t xml:space="preserve">, </w:t>
            </w:r>
            <w:r w:rsidR="00A3531D" w:rsidRPr="009C789B">
              <w:rPr>
                <w:rFonts w:ascii="Arial" w:hAnsi="Arial" w:cs="Arial"/>
                <w:sz w:val="20"/>
                <w:szCs w:val="20"/>
              </w:rPr>
              <w:t>organisé avec le Bureau de l’</w:t>
            </w:r>
            <w:r w:rsidR="001D3E8F" w:rsidRPr="009C789B">
              <w:rPr>
                <w:rFonts w:ascii="Arial" w:hAnsi="Arial" w:cs="Arial"/>
                <w:sz w:val="20"/>
                <w:szCs w:val="20"/>
              </w:rPr>
              <w:t xml:space="preserve">UNESCO </w:t>
            </w:r>
            <w:r w:rsidR="00A3531D" w:rsidRPr="009C789B">
              <w:rPr>
                <w:rFonts w:ascii="Arial" w:hAnsi="Arial" w:cs="Arial"/>
                <w:sz w:val="20"/>
                <w:szCs w:val="20"/>
              </w:rPr>
              <w:t>à</w:t>
            </w:r>
            <w:r w:rsidR="001D3E8F" w:rsidRPr="009C789B">
              <w:rPr>
                <w:rFonts w:ascii="Arial" w:hAnsi="Arial" w:cs="Arial"/>
                <w:sz w:val="20"/>
                <w:szCs w:val="20"/>
              </w:rPr>
              <w:t xml:space="preserve"> Bangkok, </w:t>
            </w:r>
            <w:r w:rsidR="00A3531D" w:rsidRPr="009C789B">
              <w:rPr>
                <w:rFonts w:ascii="Arial" w:hAnsi="Arial" w:cs="Arial"/>
                <w:sz w:val="20"/>
                <w:szCs w:val="20"/>
              </w:rPr>
              <w:t>pour e</w:t>
            </w:r>
            <w:r w:rsidR="001D3E8F" w:rsidRPr="009C789B">
              <w:rPr>
                <w:rFonts w:ascii="Arial" w:hAnsi="Arial" w:cs="Arial"/>
                <w:sz w:val="20"/>
                <w:szCs w:val="20"/>
              </w:rPr>
              <w:t>ncourage</w:t>
            </w:r>
            <w:r w:rsidR="00A3531D" w:rsidRPr="009C789B">
              <w:rPr>
                <w:rFonts w:ascii="Arial" w:hAnsi="Arial" w:cs="Arial"/>
                <w:sz w:val="20"/>
                <w:szCs w:val="20"/>
              </w:rPr>
              <w:t>r</w:t>
            </w:r>
            <w:r w:rsidR="001D3E8F" w:rsidRPr="009C789B">
              <w:rPr>
                <w:rFonts w:ascii="Arial" w:hAnsi="Arial" w:cs="Arial"/>
                <w:sz w:val="20"/>
                <w:szCs w:val="20"/>
              </w:rPr>
              <w:t xml:space="preserve"> </w:t>
            </w:r>
            <w:r w:rsidR="00A3531D" w:rsidRPr="009C789B">
              <w:rPr>
                <w:rFonts w:ascii="Arial" w:hAnsi="Arial" w:cs="Arial"/>
                <w:sz w:val="20"/>
                <w:szCs w:val="20"/>
              </w:rPr>
              <w:t>l’élaboration de programmes d’enseignement supérieur sur le patrimoine culturel immatériel dans les université</w:t>
            </w:r>
            <w:r w:rsidR="004A1D11" w:rsidRPr="009C789B">
              <w:rPr>
                <w:rFonts w:ascii="Arial" w:hAnsi="Arial" w:cs="Arial"/>
                <w:sz w:val="20"/>
                <w:szCs w:val="20"/>
              </w:rPr>
              <w:t>s</w:t>
            </w:r>
            <w:r w:rsidR="00A3531D" w:rsidRPr="009C789B">
              <w:rPr>
                <w:rFonts w:ascii="Arial" w:hAnsi="Arial" w:cs="Arial"/>
                <w:sz w:val="20"/>
                <w:szCs w:val="20"/>
              </w:rPr>
              <w:t xml:space="preserve"> de la région </w:t>
            </w:r>
            <w:r w:rsidR="001D3E8F" w:rsidRPr="009C789B">
              <w:rPr>
                <w:rFonts w:ascii="Arial" w:hAnsi="Arial" w:cs="Arial"/>
                <w:sz w:val="20"/>
                <w:szCs w:val="20"/>
              </w:rPr>
              <w:t>(initial</w:t>
            </w:r>
            <w:r w:rsidR="004A1D11" w:rsidRPr="009C789B">
              <w:rPr>
                <w:rFonts w:ascii="Arial" w:hAnsi="Arial" w:cs="Arial"/>
                <w:sz w:val="20"/>
                <w:szCs w:val="20"/>
              </w:rPr>
              <w:t xml:space="preserve">ement prévu en </w:t>
            </w:r>
            <w:r w:rsidR="001D3E8F" w:rsidRPr="009C789B">
              <w:rPr>
                <w:rFonts w:ascii="Arial" w:hAnsi="Arial" w:cs="Arial"/>
                <w:sz w:val="20"/>
                <w:szCs w:val="20"/>
              </w:rPr>
              <w:t>2016).</w:t>
            </w:r>
          </w:p>
        </w:tc>
        <w:tc>
          <w:tcPr>
            <w:tcW w:w="1722" w:type="dxa"/>
          </w:tcPr>
          <w:p w14:paraId="3A038C52" w14:textId="77777777" w:rsidR="001D3E8F" w:rsidRPr="009C789B" w:rsidRDefault="001D3E8F" w:rsidP="009C789B">
            <w:pPr>
              <w:spacing w:before="60" w:after="60"/>
              <w:jc w:val="center"/>
              <w:rPr>
                <w:rFonts w:ascii="Arial" w:hAnsi="Arial" w:cs="Arial"/>
                <w:sz w:val="20"/>
                <w:szCs w:val="20"/>
              </w:rPr>
            </w:pPr>
            <w:r w:rsidRPr="009C789B">
              <w:rPr>
                <w:rFonts w:ascii="Arial" w:hAnsi="Arial" w:cs="Arial"/>
                <w:sz w:val="20"/>
                <w:szCs w:val="20"/>
              </w:rPr>
              <w:t>Ac</w:t>
            </w:r>
            <w:r w:rsidR="00933047" w:rsidRPr="009C789B">
              <w:rPr>
                <w:rFonts w:ascii="Arial" w:hAnsi="Arial" w:cs="Arial"/>
                <w:sz w:val="20"/>
                <w:szCs w:val="20"/>
              </w:rPr>
              <w:t>hevée</w:t>
            </w:r>
          </w:p>
        </w:tc>
      </w:tr>
      <w:tr w:rsidR="001D3E8F" w:rsidRPr="009C789B" w14:paraId="7687E63B" w14:textId="77777777" w:rsidTr="009C789B">
        <w:trPr>
          <w:trHeight w:val="169"/>
        </w:trPr>
        <w:tc>
          <w:tcPr>
            <w:tcW w:w="0" w:type="auto"/>
            <w:shd w:val="clear" w:color="auto" w:fill="auto"/>
          </w:tcPr>
          <w:p w14:paraId="4AC655E1" w14:textId="77777777" w:rsidR="001D3E8F" w:rsidRPr="009C789B" w:rsidRDefault="006108AD" w:rsidP="009C789B">
            <w:pPr>
              <w:spacing w:before="60" w:after="60"/>
              <w:rPr>
                <w:rFonts w:ascii="Arial" w:hAnsi="Arial" w:cs="Arial"/>
                <w:b/>
                <w:sz w:val="20"/>
                <w:szCs w:val="20"/>
              </w:rPr>
            </w:pPr>
            <w:r w:rsidRPr="009C789B">
              <w:rPr>
                <w:rFonts w:ascii="Arial" w:hAnsi="Arial" w:cs="Arial"/>
                <w:b/>
                <w:sz w:val="20"/>
                <w:szCs w:val="20"/>
              </w:rPr>
              <w:t>P</w:t>
            </w:r>
            <w:r w:rsidR="004A1D11" w:rsidRPr="009C789B">
              <w:rPr>
                <w:rFonts w:ascii="Arial" w:hAnsi="Arial" w:cs="Arial"/>
                <w:b/>
                <w:sz w:val="20"/>
                <w:szCs w:val="20"/>
              </w:rPr>
              <w:t> </w:t>
            </w:r>
            <w:r w:rsidR="001D3E8F" w:rsidRPr="009C789B">
              <w:rPr>
                <w:rFonts w:ascii="Arial" w:hAnsi="Arial" w:cs="Arial"/>
                <w:b/>
                <w:sz w:val="20"/>
                <w:szCs w:val="20"/>
              </w:rPr>
              <w:t>:</w:t>
            </w:r>
          </w:p>
          <w:p w14:paraId="35D978F2" w14:textId="610D1D0E" w:rsidR="001D3E8F" w:rsidRPr="009C789B" w:rsidRDefault="002B5029" w:rsidP="009C789B">
            <w:pPr>
              <w:spacing w:before="60" w:after="60"/>
              <w:rPr>
                <w:rFonts w:ascii="Arial" w:hAnsi="Arial" w:cs="Arial"/>
                <w:sz w:val="20"/>
                <w:szCs w:val="20"/>
              </w:rPr>
            </w:pPr>
            <w:r w:rsidRPr="009C789B">
              <w:rPr>
                <w:rFonts w:ascii="Arial" w:hAnsi="Arial" w:cs="Arial"/>
                <w:sz w:val="20"/>
                <w:szCs w:val="20"/>
              </w:rPr>
              <w:t xml:space="preserve">Élaboration </w:t>
            </w:r>
            <w:r w:rsidR="004A1D11" w:rsidRPr="009C789B">
              <w:rPr>
                <w:rFonts w:ascii="Arial" w:hAnsi="Arial" w:cs="Arial"/>
                <w:sz w:val="20"/>
                <w:szCs w:val="20"/>
              </w:rPr>
              <w:t>d’un mécanisme de suivi et d’évaluation des activités de renforcement des capacités p</w:t>
            </w:r>
            <w:r w:rsidR="00FB0055" w:rsidRPr="009C789B">
              <w:rPr>
                <w:rFonts w:ascii="Arial" w:hAnsi="Arial" w:cs="Arial"/>
                <w:sz w:val="20"/>
                <w:szCs w:val="20"/>
              </w:rPr>
              <w:t>our</w:t>
            </w:r>
            <w:r w:rsidR="004A1D11" w:rsidRPr="009C789B">
              <w:rPr>
                <w:rFonts w:ascii="Arial" w:hAnsi="Arial" w:cs="Arial"/>
                <w:sz w:val="20"/>
                <w:szCs w:val="20"/>
              </w:rPr>
              <w:t xml:space="preserve"> </w:t>
            </w:r>
            <w:r w:rsidRPr="009C789B">
              <w:rPr>
                <w:rFonts w:ascii="Arial" w:hAnsi="Arial" w:cs="Arial"/>
                <w:sz w:val="20"/>
                <w:szCs w:val="20"/>
              </w:rPr>
              <w:t xml:space="preserve">recueillir </w:t>
            </w:r>
            <w:r w:rsidR="004A1D11" w:rsidRPr="009C789B">
              <w:rPr>
                <w:rFonts w:ascii="Arial" w:hAnsi="Arial" w:cs="Arial"/>
                <w:sz w:val="20"/>
                <w:szCs w:val="20"/>
              </w:rPr>
              <w:t xml:space="preserve">des données sur leur efficacité </w:t>
            </w:r>
          </w:p>
          <w:p w14:paraId="7301BE71" w14:textId="77777777" w:rsidR="001D3E8F" w:rsidRPr="009C789B" w:rsidRDefault="004A1D11" w:rsidP="009C789B">
            <w:pPr>
              <w:spacing w:before="60" w:after="60"/>
              <w:rPr>
                <w:rFonts w:ascii="Arial" w:hAnsi="Arial" w:cs="Arial"/>
                <w:b/>
                <w:sz w:val="20"/>
                <w:szCs w:val="20"/>
              </w:rPr>
            </w:pPr>
            <w:r w:rsidRPr="009C789B">
              <w:rPr>
                <w:rFonts w:ascii="Arial" w:hAnsi="Arial" w:cs="Arial"/>
                <w:b/>
                <w:sz w:val="20"/>
                <w:szCs w:val="20"/>
              </w:rPr>
              <w:t>R</w:t>
            </w:r>
            <w:r w:rsidR="001D3E8F" w:rsidRPr="009C789B">
              <w:rPr>
                <w:rFonts w:ascii="Arial" w:hAnsi="Arial" w:cs="Arial"/>
                <w:b/>
                <w:sz w:val="20"/>
                <w:szCs w:val="20"/>
              </w:rPr>
              <w:t xml:space="preserve"> 2014-2015</w:t>
            </w:r>
            <w:r w:rsidRPr="009C789B">
              <w:rPr>
                <w:rFonts w:ascii="Arial" w:hAnsi="Arial" w:cs="Arial"/>
                <w:b/>
                <w:sz w:val="20"/>
                <w:szCs w:val="20"/>
              </w:rPr>
              <w:t> </w:t>
            </w:r>
            <w:r w:rsidR="001D3E8F" w:rsidRPr="009C789B">
              <w:rPr>
                <w:rFonts w:ascii="Arial" w:hAnsi="Arial" w:cs="Arial"/>
                <w:b/>
                <w:sz w:val="20"/>
                <w:szCs w:val="20"/>
              </w:rPr>
              <w:t>:</w:t>
            </w:r>
          </w:p>
          <w:p w14:paraId="24F3EFC9" w14:textId="09A250B4" w:rsidR="001D3E8F" w:rsidRPr="009C789B" w:rsidRDefault="00AE7DC6" w:rsidP="00F07BDB">
            <w:pPr>
              <w:spacing w:before="60" w:after="60"/>
              <w:rPr>
                <w:rFonts w:ascii="Arial" w:hAnsi="Arial" w:cs="Arial"/>
                <w:sz w:val="20"/>
                <w:szCs w:val="20"/>
              </w:rPr>
            </w:pPr>
            <w:r w:rsidRPr="009C789B">
              <w:rPr>
                <w:rFonts w:ascii="Arial" w:hAnsi="Arial" w:cs="Arial"/>
                <w:sz w:val="20"/>
                <w:szCs w:val="20"/>
              </w:rPr>
              <w:t xml:space="preserve">Organisation </w:t>
            </w:r>
            <w:r w:rsidR="004A1D11" w:rsidRPr="009C789B">
              <w:rPr>
                <w:rFonts w:ascii="Arial" w:hAnsi="Arial" w:cs="Arial"/>
                <w:sz w:val="20"/>
                <w:szCs w:val="20"/>
              </w:rPr>
              <w:t>d’un atelier sur l’élaboration d’un mécanisme de suivi et d’évaluation</w:t>
            </w:r>
            <w:r w:rsidR="002B5029" w:rsidRPr="009C789B">
              <w:rPr>
                <w:rFonts w:ascii="Arial" w:hAnsi="Arial" w:cs="Arial"/>
                <w:sz w:val="20"/>
                <w:szCs w:val="20"/>
              </w:rPr>
              <w:t xml:space="preserve"> efficace</w:t>
            </w:r>
            <w:r w:rsidR="004A1D11" w:rsidRPr="009C789B">
              <w:rPr>
                <w:rFonts w:ascii="Arial" w:hAnsi="Arial" w:cs="Arial"/>
                <w:sz w:val="20"/>
                <w:szCs w:val="20"/>
              </w:rPr>
              <w:t xml:space="preserve"> </w:t>
            </w:r>
            <w:r w:rsidRPr="009C789B">
              <w:rPr>
                <w:rFonts w:ascii="Arial" w:hAnsi="Arial" w:cs="Arial"/>
                <w:sz w:val="20"/>
                <w:szCs w:val="20"/>
              </w:rPr>
              <w:t xml:space="preserve">et mise en place </w:t>
            </w:r>
            <w:r w:rsidR="00F07BDB">
              <w:rPr>
                <w:rFonts w:ascii="Arial" w:hAnsi="Arial" w:cs="Arial"/>
                <w:sz w:val="20"/>
                <w:szCs w:val="20"/>
              </w:rPr>
              <w:t>du</w:t>
            </w:r>
            <w:r w:rsidR="00F07BDB" w:rsidRPr="009C789B">
              <w:rPr>
                <w:rFonts w:ascii="Arial" w:hAnsi="Arial" w:cs="Arial"/>
                <w:sz w:val="20"/>
                <w:szCs w:val="20"/>
              </w:rPr>
              <w:t xml:space="preserve"> </w:t>
            </w:r>
            <w:r w:rsidRPr="009C789B">
              <w:rPr>
                <w:rFonts w:ascii="Arial" w:hAnsi="Arial" w:cs="Arial"/>
                <w:sz w:val="20"/>
                <w:szCs w:val="20"/>
              </w:rPr>
              <w:t>mécanisme</w:t>
            </w:r>
            <w:r w:rsidR="002B5029" w:rsidRPr="009C789B">
              <w:rPr>
                <w:rFonts w:ascii="Arial" w:hAnsi="Arial" w:cs="Arial"/>
                <w:sz w:val="20"/>
                <w:szCs w:val="20"/>
              </w:rPr>
              <w:t xml:space="preserve"> </w:t>
            </w:r>
          </w:p>
        </w:tc>
        <w:tc>
          <w:tcPr>
            <w:tcW w:w="4029" w:type="dxa"/>
            <w:shd w:val="clear" w:color="auto" w:fill="auto"/>
          </w:tcPr>
          <w:p w14:paraId="3D42B9E0" w14:textId="7BE47046" w:rsidR="001D3E8F" w:rsidRPr="009C789B" w:rsidRDefault="00AE7DC6"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 atelier réunissant des </w:t>
            </w:r>
            <w:r w:rsidR="00682B15" w:rsidRPr="009C789B">
              <w:rPr>
                <w:rFonts w:ascii="Arial" w:hAnsi="Arial" w:cs="Arial"/>
                <w:sz w:val="20"/>
                <w:szCs w:val="20"/>
              </w:rPr>
              <w:t>partenaires</w:t>
            </w:r>
            <w:r w:rsidRPr="009C789B">
              <w:rPr>
                <w:rFonts w:ascii="Arial" w:hAnsi="Arial" w:cs="Arial"/>
                <w:sz w:val="20"/>
                <w:szCs w:val="20"/>
              </w:rPr>
              <w:t xml:space="preserve"> nationaux </w:t>
            </w:r>
            <w:r w:rsidR="001D3E8F" w:rsidRPr="009C789B">
              <w:rPr>
                <w:rFonts w:ascii="Arial" w:hAnsi="Arial" w:cs="Arial"/>
                <w:sz w:val="20"/>
                <w:szCs w:val="20"/>
              </w:rPr>
              <w:t>(</w:t>
            </w:r>
            <w:r w:rsidRPr="009C789B">
              <w:rPr>
                <w:rFonts w:ascii="Arial" w:hAnsi="Arial" w:cs="Arial"/>
                <w:sz w:val="20"/>
                <w:szCs w:val="20"/>
              </w:rPr>
              <w:t>notamment les Commissions nationales pour l’</w:t>
            </w:r>
            <w:r w:rsidR="001D3E8F" w:rsidRPr="009C789B">
              <w:rPr>
                <w:rFonts w:ascii="Arial" w:hAnsi="Arial" w:cs="Arial"/>
                <w:sz w:val="20"/>
                <w:szCs w:val="20"/>
              </w:rPr>
              <w:t xml:space="preserve">UNESCO), </w:t>
            </w:r>
            <w:r w:rsidRPr="009C789B">
              <w:rPr>
                <w:rFonts w:ascii="Arial" w:hAnsi="Arial" w:cs="Arial"/>
                <w:sz w:val="20"/>
                <w:szCs w:val="20"/>
              </w:rPr>
              <w:t xml:space="preserve">des </w:t>
            </w:r>
            <w:r w:rsidR="001D3E8F" w:rsidRPr="009C789B">
              <w:rPr>
                <w:rFonts w:ascii="Arial" w:hAnsi="Arial" w:cs="Arial"/>
                <w:sz w:val="20"/>
                <w:szCs w:val="20"/>
              </w:rPr>
              <w:t>expert</w:t>
            </w:r>
            <w:r w:rsidRPr="009C789B">
              <w:rPr>
                <w:rFonts w:ascii="Arial" w:hAnsi="Arial" w:cs="Arial"/>
                <w:sz w:val="20"/>
                <w:szCs w:val="20"/>
              </w:rPr>
              <w:t xml:space="preserve">s facilitateurs et des spécialistes de </w:t>
            </w:r>
            <w:r w:rsidR="00F07BDB">
              <w:rPr>
                <w:rFonts w:ascii="Arial" w:hAnsi="Arial" w:cs="Arial"/>
                <w:sz w:val="20"/>
                <w:szCs w:val="20"/>
              </w:rPr>
              <w:t>c</w:t>
            </w:r>
            <w:r w:rsidR="00F07BDB" w:rsidRPr="009C789B">
              <w:rPr>
                <w:rFonts w:ascii="Arial" w:hAnsi="Arial" w:cs="Arial"/>
                <w:sz w:val="20"/>
                <w:szCs w:val="20"/>
              </w:rPr>
              <w:t xml:space="preserve">ulture </w:t>
            </w:r>
            <w:r w:rsidRPr="009C789B">
              <w:rPr>
                <w:rFonts w:ascii="Arial" w:hAnsi="Arial" w:cs="Arial"/>
                <w:sz w:val="20"/>
                <w:szCs w:val="20"/>
              </w:rPr>
              <w:t>de</w:t>
            </w:r>
            <w:r w:rsidR="004A63E1">
              <w:rPr>
                <w:rFonts w:ascii="Arial" w:hAnsi="Arial" w:cs="Arial"/>
                <w:sz w:val="20"/>
                <w:szCs w:val="20"/>
              </w:rPr>
              <w:t>s Bureaux hors-Siège de</w:t>
            </w:r>
            <w:r w:rsidRPr="009C789B">
              <w:rPr>
                <w:rFonts w:ascii="Arial" w:hAnsi="Arial" w:cs="Arial"/>
                <w:sz w:val="20"/>
                <w:szCs w:val="20"/>
              </w:rPr>
              <w:t xml:space="preserve"> l’</w:t>
            </w:r>
            <w:r w:rsidR="001D3E8F" w:rsidRPr="009C789B">
              <w:rPr>
                <w:rFonts w:ascii="Arial" w:hAnsi="Arial" w:cs="Arial"/>
                <w:sz w:val="20"/>
                <w:szCs w:val="20"/>
              </w:rPr>
              <w:t>UNESCO</w:t>
            </w:r>
            <w:r w:rsidRPr="009C789B">
              <w:rPr>
                <w:rFonts w:ascii="Arial" w:hAnsi="Arial" w:cs="Arial"/>
                <w:sz w:val="20"/>
                <w:szCs w:val="20"/>
              </w:rPr>
              <w:t xml:space="preserve"> </w:t>
            </w:r>
            <w:r w:rsidR="00682B15" w:rsidRPr="009C789B">
              <w:rPr>
                <w:rFonts w:ascii="Arial" w:hAnsi="Arial" w:cs="Arial"/>
                <w:sz w:val="20"/>
                <w:szCs w:val="20"/>
              </w:rPr>
              <w:t xml:space="preserve">a été </w:t>
            </w:r>
            <w:r w:rsidR="004F4B53" w:rsidRPr="009C789B">
              <w:rPr>
                <w:rFonts w:ascii="Arial" w:hAnsi="Arial" w:cs="Arial"/>
                <w:sz w:val="20"/>
                <w:szCs w:val="20"/>
              </w:rPr>
              <w:t xml:space="preserve">organisé </w:t>
            </w:r>
            <w:r w:rsidR="00682B15" w:rsidRPr="009C789B">
              <w:rPr>
                <w:rFonts w:ascii="Arial" w:hAnsi="Arial" w:cs="Arial"/>
                <w:sz w:val="20"/>
                <w:szCs w:val="20"/>
              </w:rPr>
              <w:t>afin d’</w:t>
            </w:r>
            <w:r w:rsidR="004F4B53" w:rsidRPr="009C789B">
              <w:rPr>
                <w:rFonts w:ascii="Arial" w:hAnsi="Arial" w:cs="Arial"/>
                <w:sz w:val="20"/>
                <w:szCs w:val="20"/>
              </w:rPr>
              <w:t>élaborer un mécani</w:t>
            </w:r>
            <w:r w:rsidR="00682B15" w:rsidRPr="009C789B">
              <w:rPr>
                <w:rFonts w:ascii="Arial" w:hAnsi="Arial" w:cs="Arial"/>
                <w:sz w:val="20"/>
                <w:szCs w:val="20"/>
              </w:rPr>
              <w:t>s</w:t>
            </w:r>
            <w:r w:rsidR="004F4B53" w:rsidRPr="009C789B">
              <w:rPr>
                <w:rFonts w:ascii="Arial" w:hAnsi="Arial" w:cs="Arial"/>
                <w:sz w:val="20"/>
                <w:szCs w:val="20"/>
              </w:rPr>
              <w:t>me de suivi et d’évaluation des activités de renforcement des capacités</w:t>
            </w:r>
            <w:r w:rsidR="001D3E8F" w:rsidRPr="009C789B">
              <w:rPr>
                <w:rFonts w:ascii="Arial" w:hAnsi="Arial" w:cs="Arial"/>
                <w:sz w:val="20"/>
                <w:szCs w:val="20"/>
              </w:rPr>
              <w:t>.</w:t>
            </w:r>
          </w:p>
          <w:p w14:paraId="43E1A7A2" w14:textId="77777777" w:rsidR="001D3E8F" w:rsidRPr="009C789B" w:rsidRDefault="004F4B53"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 projet de </w:t>
            </w:r>
            <w:r w:rsidR="00682B15" w:rsidRPr="009C789B">
              <w:rPr>
                <w:rFonts w:ascii="Arial" w:hAnsi="Arial" w:cs="Arial"/>
                <w:sz w:val="20"/>
                <w:szCs w:val="20"/>
              </w:rPr>
              <w:t>« </w:t>
            </w:r>
            <w:r w:rsidRPr="009C789B">
              <w:rPr>
                <w:rFonts w:ascii="Arial" w:hAnsi="Arial" w:cs="Arial"/>
                <w:sz w:val="20"/>
                <w:szCs w:val="20"/>
              </w:rPr>
              <w:t>théorie du changement</w:t>
            </w:r>
            <w:r w:rsidR="00682B15" w:rsidRPr="009C789B">
              <w:rPr>
                <w:rFonts w:ascii="Arial" w:hAnsi="Arial" w:cs="Arial"/>
                <w:sz w:val="20"/>
                <w:szCs w:val="20"/>
              </w:rPr>
              <w:t> »</w:t>
            </w:r>
            <w:r w:rsidRPr="009C789B">
              <w:rPr>
                <w:rFonts w:ascii="Arial" w:hAnsi="Arial" w:cs="Arial"/>
                <w:sz w:val="20"/>
                <w:szCs w:val="20"/>
              </w:rPr>
              <w:t>, des indicateurs et des outils de collecte de données ont été élaborés</w:t>
            </w:r>
            <w:r w:rsidR="001D3E8F" w:rsidRPr="009C789B">
              <w:rPr>
                <w:rFonts w:ascii="Arial" w:hAnsi="Arial" w:cs="Arial"/>
                <w:sz w:val="20"/>
                <w:szCs w:val="20"/>
              </w:rPr>
              <w:t>.</w:t>
            </w:r>
          </w:p>
        </w:tc>
        <w:tc>
          <w:tcPr>
            <w:tcW w:w="1722" w:type="dxa"/>
            <w:shd w:val="clear" w:color="auto" w:fill="auto"/>
          </w:tcPr>
          <w:p w14:paraId="42E8C2D9" w14:textId="77777777" w:rsidR="001D3E8F" w:rsidRPr="009C789B" w:rsidRDefault="001D3E8F" w:rsidP="009C789B">
            <w:pPr>
              <w:spacing w:before="60" w:after="60"/>
              <w:jc w:val="center"/>
              <w:rPr>
                <w:rFonts w:ascii="Arial" w:hAnsi="Arial" w:cs="Arial"/>
                <w:sz w:val="20"/>
                <w:szCs w:val="20"/>
              </w:rPr>
            </w:pPr>
            <w:r w:rsidRPr="009C789B">
              <w:rPr>
                <w:rFonts w:ascii="Arial" w:hAnsi="Arial" w:cs="Arial"/>
                <w:sz w:val="20"/>
                <w:szCs w:val="20"/>
              </w:rPr>
              <w:t>Parti</w:t>
            </w:r>
            <w:r w:rsidR="004F4B53" w:rsidRPr="009C789B">
              <w:rPr>
                <w:rFonts w:ascii="Arial" w:hAnsi="Arial" w:cs="Arial"/>
                <w:sz w:val="20"/>
                <w:szCs w:val="20"/>
              </w:rPr>
              <w:t>ellement ac</w:t>
            </w:r>
            <w:r w:rsidR="00933047" w:rsidRPr="009C789B">
              <w:rPr>
                <w:rFonts w:ascii="Arial" w:hAnsi="Arial" w:cs="Arial"/>
                <w:sz w:val="20"/>
                <w:szCs w:val="20"/>
              </w:rPr>
              <w:t>hevé</w:t>
            </w:r>
            <w:r w:rsidR="004F4B53" w:rsidRPr="009C789B">
              <w:rPr>
                <w:rFonts w:ascii="Arial" w:hAnsi="Arial" w:cs="Arial"/>
                <w:sz w:val="20"/>
                <w:szCs w:val="20"/>
              </w:rPr>
              <w:t>e</w:t>
            </w:r>
          </w:p>
        </w:tc>
      </w:tr>
      <w:tr w:rsidR="001D3E8F" w:rsidRPr="009C789B" w14:paraId="7AAC4BD8" w14:textId="77777777" w:rsidTr="009C789B">
        <w:trPr>
          <w:trHeight w:val="169"/>
        </w:trPr>
        <w:tc>
          <w:tcPr>
            <w:tcW w:w="0" w:type="auto"/>
            <w:shd w:val="clear" w:color="auto" w:fill="auto"/>
          </w:tcPr>
          <w:p w14:paraId="569858BF" w14:textId="77777777" w:rsidR="001D3E8F" w:rsidRPr="009C789B" w:rsidRDefault="00FB0055" w:rsidP="009C789B">
            <w:pPr>
              <w:spacing w:before="60" w:after="60"/>
              <w:rPr>
                <w:rFonts w:ascii="Arial" w:hAnsi="Arial" w:cs="Arial"/>
                <w:b/>
                <w:sz w:val="20"/>
                <w:szCs w:val="20"/>
              </w:rPr>
            </w:pPr>
            <w:r w:rsidRPr="009C789B">
              <w:rPr>
                <w:rFonts w:ascii="Arial" w:hAnsi="Arial" w:cs="Arial"/>
                <w:b/>
                <w:sz w:val="20"/>
                <w:szCs w:val="20"/>
              </w:rPr>
              <w:t>P :</w:t>
            </w:r>
          </w:p>
          <w:p w14:paraId="2D918635" w14:textId="26D33806" w:rsidR="001D3E8F" w:rsidRPr="009C789B" w:rsidRDefault="003E05FA" w:rsidP="009C789B">
            <w:pPr>
              <w:spacing w:before="60" w:after="60"/>
              <w:rPr>
                <w:rFonts w:ascii="Arial" w:hAnsi="Arial" w:cs="Arial"/>
                <w:sz w:val="20"/>
                <w:szCs w:val="20"/>
              </w:rPr>
            </w:pPr>
            <w:r w:rsidRPr="009C789B">
              <w:rPr>
                <w:rFonts w:ascii="Arial" w:hAnsi="Arial" w:cs="Arial"/>
                <w:sz w:val="20"/>
                <w:szCs w:val="20"/>
              </w:rPr>
              <w:t>Révision et adaptation du c</w:t>
            </w:r>
            <w:r w:rsidR="004F4B53" w:rsidRPr="009C789B">
              <w:rPr>
                <w:rFonts w:ascii="Arial" w:hAnsi="Arial" w:cs="Arial"/>
                <w:sz w:val="20"/>
                <w:szCs w:val="20"/>
              </w:rPr>
              <w:t>ontenu et</w:t>
            </w:r>
            <w:r w:rsidRPr="009C789B">
              <w:rPr>
                <w:rFonts w:ascii="Arial" w:hAnsi="Arial" w:cs="Arial"/>
                <w:sz w:val="20"/>
                <w:szCs w:val="20"/>
              </w:rPr>
              <w:t xml:space="preserve"> </w:t>
            </w:r>
            <w:r w:rsidR="004A63E1">
              <w:rPr>
                <w:rFonts w:ascii="Arial" w:hAnsi="Arial" w:cs="Arial"/>
                <w:sz w:val="20"/>
                <w:szCs w:val="20"/>
              </w:rPr>
              <w:t>du format</w:t>
            </w:r>
            <w:r w:rsidR="004F4B53" w:rsidRPr="009C789B">
              <w:rPr>
                <w:rFonts w:ascii="Arial" w:hAnsi="Arial" w:cs="Arial"/>
                <w:sz w:val="20"/>
                <w:szCs w:val="20"/>
              </w:rPr>
              <w:t xml:space="preserve"> du programme de renforcement des capacités</w:t>
            </w:r>
            <w:r w:rsidR="004A63E1">
              <w:rPr>
                <w:rFonts w:ascii="Arial" w:hAnsi="Arial" w:cs="Arial"/>
                <w:sz w:val="20"/>
                <w:szCs w:val="20"/>
              </w:rPr>
              <w:t xml:space="preserve"> pour s’assurer qu’il</w:t>
            </w:r>
            <w:r w:rsidR="004F4B53" w:rsidRPr="009C789B">
              <w:rPr>
                <w:rFonts w:ascii="Arial" w:hAnsi="Arial" w:cs="Arial"/>
                <w:sz w:val="20"/>
                <w:szCs w:val="20"/>
              </w:rPr>
              <w:t xml:space="preserve"> répond aux </w:t>
            </w:r>
            <w:r w:rsidR="004A63E1">
              <w:rPr>
                <w:rFonts w:ascii="Arial" w:hAnsi="Arial" w:cs="Arial"/>
                <w:sz w:val="20"/>
                <w:szCs w:val="20"/>
              </w:rPr>
              <w:t>principales</w:t>
            </w:r>
            <w:r w:rsidR="004A63E1" w:rsidRPr="009C789B">
              <w:rPr>
                <w:rFonts w:ascii="Arial" w:hAnsi="Arial" w:cs="Arial"/>
                <w:sz w:val="20"/>
                <w:szCs w:val="20"/>
              </w:rPr>
              <w:t xml:space="preserve"> </w:t>
            </w:r>
            <w:r w:rsidR="004A63E1">
              <w:rPr>
                <w:rFonts w:ascii="Arial" w:hAnsi="Arial" w:cs="Arial"/>
                <w:sz w:val="20"/>
                <w:szCs w:val="20"/>
              </w:rPr>
              <w:t>difficultés</w:t>
            </w:r>
            <w:r w:rsidR="004A63E1" w:rsidRPr="009C789B">
              <w:rPr>
                <w:rFonts w:ascii="Arial" w:hAnsi="Arial" w:cs="Arial"/>
                <w:sz w:val="20"/>
                <w:szCs w:val="20"/>
              </w:rPr>
              <w:t xml:space="preserve"> </w:t>
            </w:r>
            <w:r w:rsidR="004F4B53" w:rsidRPr="009C789B">
              <w:rPr>
                <w:rFonts w:ascii="Arial" w:hAnsi="Arial" w:cs="Arial"/>
                <w:sz w:val="20"/>
                <w:szCs w:val="20"/>
              </w:rPr>
              <w:t xml:space="preserve">de </w:t>
            </w:r>
            <w:r w:rsidR="004A63E1">
              <w:rPr>
                <w:rFonts w:ascii="Arial" w:hAnsi="Arial" w:cs="Arial"/>
                <w:sz w:val="20"/>
                <w:szCs w:val="20"/>
              </w:rPr>
              <w:t xml:space="preserve">la </w:t>
            </w:r>
            <w:r w:rsidR="004F4B53" w:rsidRPr="009C789B">
              <w:rPr>
                <w:rFonts w:ascii="Arial" w:hAnsi="Arial" w:cs="Arial"/>
                <w:sz w:val="20"/>
                <w:szCs w:val="20"/>
              </w:rPr>
              <w:t xml:space="preserve">mise en </w:t>
            </w:r>
            <w:r w:rsidR="009E56F2" w:rsidRPr="009C789B">
              <w:rPr>
                <w:rFonts w:ascii="Arial" w:hAnsi="Arial" w:cs="Arial"/>
                <w:sz w:val="20"/>
                <w:szCs w:val="20"/>
              </w:rPr>
              <w:t xml:space="preserve">œuvre </w:t>
            </w:r>
            <w:r w:rsidR="004F4B53" w:rsidRPr="009C789B">
              <w:rPr>
                <w:rFonts w:ascii="Arial" w:hAnsi="Arial" w:cs="Arial"/>
                <w:sz w:val="20"/>
                <w:szCs w:val="20"/>
              </w:rPr>
              <w:t>au niveau national</w:t>
            </w:r>
          </w:p>
          <w:p w14:paraId="42D66B88" w14:textId="77777777" w:rsidR="001D3E8F" w:rsidRPr="009C789B" w:rsidRDefault="00FB0055" w:rsidP="009C789B">
            <w:pPr>
              <w:spacing w:before="60" w:after="60"/>
              <w:rPr>
                <w:rFonts w:ascii="Arial" w:hAnsi="Arial" w:cs="Arial"/>
                <w:b/>
                <w:sz w:val="20"/>
                <w:szCs w:val="20"/>
              </w:rPr>
            </w:pPr>
            <w:r w:rsidRPr="009C789B">
              <w:rPr>
                <w:rFonts w:ascii="Arial" w:hAnsi="Arial" w:cs="Arial"/>
                <w:b/>
                <w:sz w:val="20"/>
                <w:szCs w:val="20"/>
              </w:rPr>
              <w:t xml:space="preserve">R </w:t>
            </w:r>
            <w:r w:rsidR="001D3E8F" w:rsidRPr="009C789B">
              <w:rPr>
                <w:rFonts w:ascii="Arial" w:hAnsi="Arial" w:cs="Arial"/>
                <w:b/>
                <w:sz w:val="20"/>
                <w:szCs w:val="20"/>
              </w:rPr>
              <w:t>2014-2015</w:t>
            </w:r>
            <w:r w:rsidR="009E56F2" w:rsidRPr="009C789B">
              <w:rPr>
                <w:rFonts w:ascii="Arial" w:hAnsi="Arial" w:cs="Arial"/>
                <w:b/>
                <w:sz w:val="20"/>
                <w:szCs w:val="20"/>
              </w:rPr>
              <w:t> </w:t>
            </w:r>
            <w:r w:rsidR="001D3E8F" w:rsidRPr="009C789B">
              <w:rPr>
                <w:rFonts w:ascii="Arial" w:hAnsi="Arial" w:cs="Arial"/>
                <w:b/>
                <w:sz w:val="20"/>
                <w:szCs w:val="20"/>
              </w:rPr>
              <w:t xml:space="preserve">: </w:t>
            </w:r>
          </w:p>
          <w:p w14:paraId="36E816CD" w14:textId="77777777" w:rsidR="001D3E8F" w:rsidRPr="009C789B" w:rsidRDefault="001D3E8F" w:rsidP="009C789B">
            <w:pPr>
              <w:spacing w:before="60" w:after="60"/>
              <w:rPr>
                <w:rFonts w:ascii="Arial" w:hAnsi="Arial" w:cs="Arial"/>
                <w:sz w:val="20"/>
                <w:szCs w:val="20"/>
              </w:rPr>
            </w:pPr>
            <w:r w:rsidRPr="009C789B">
              <w:rPr>
                <w:rFonts w:ascii="Arial" w:hAnsi="Arial" w:cs="Arial"/>
                <w:sz w:val="20"/>
                <w:szCs w:val="20"/>
              </w:rPr>
              <w:t>47 unit</w:t>
            </w:r>
            <w:r w:rsidR="009E56F2" w:rsidRPr="009C789B">
              <w:rPr>
                <w:rFonts w:ascii="Arial" w:hAnsi="Arial" w:cs="Arial"/>
                <w:sz w:val="20"/>
                <w:szCs w:val="20"/>
              </w:rPr>
              <w:t>é</w:t>
            </w:r>
            <w:r w:rsidRPr="009C789B">
              <w:rPr>
                <w:rFonts w:ascii="Arial" w:hAnsi="Arial" w:cs="Arial"/>
                <w:sz w:val="20"/>
                <w:szCs w:val="20"/>
              </w:rPr>
              <w:t xml:space="preserve">s </w:t>
            </w:r>
            <w:r w:rsidR="009E56F2" w:rsidRPr="009C789B">
              <w:rPr>
                <w:rFonts w:ascii="Arial" w:hAnsi="Arial" w:cs="Arial"/>
                <w:sz w:val="20"/>
                <w:szCs w:val="20"/>
              </w:rPr>
              <w:t xml:space="preserve">disponibles </w:t>
            </w:r>
            <w:r w:rsidR="003E05FA" w:rsidRPr="009C789B">
              <w:rPr>
                <w:rFonts w:ascii="Arial" w:hAnsi="Arial" w:cs="Arial"/>
                <w:sz w:val="20"/>
                <w:szCs w:val="20"/>
              </w:rPr>
              <w:t>en</w:t>
            </w:r>
            <w:r w:rsidR="009E56F2" w:rsidRPr="009C789B">
              <w:rPr>
                <w:rFonts w:ascii="Arial" w:hAnsi="Arial" w:cs="Arial"/>
                <w:sz w:val="20"/>
                <w:szCs w:val="20"/>
              </w:rPr>
              <w:t xml:space="preserve"> trois langues au sein du système </w:t>
            </w:r>
            <w:r w:rsidRPr="009C789B">
              <w:rPr>
                <w:rFonts w:ascii="Arial" w:hAnsi="Arial" w:cs="Arial"/>
                <w:sz w:val="20"/>
                <w:szCs w:val="20"/>
              </w:rPr>
              <w:t>; 15 unit</w:t>
            </w:r>
            <w:r w:rsidR="009E56F2" w:rsidRPr="009C789B">
              <w:rPr>
                <w:rFonts w:ascii="Arial" w:hAnsi="Arial" w:cs="Arial"/>
                <w:sz w:val="20"/>
                <w:szCs w:val="20"/>
              </w:rPr>
              <w:t>é</w:t>
            </w:r>
            <w:r w:rsidRPr="009C789B">
              <w:rPr>
                <w:rFonts w:ascii="Arial" w:hAnsi="Arial" w:cs="Arial"/>
                <w:sz w:val="20"/>
                <w:szCs w:val="20"/>
              </w:rPr>
              <w:t>s</w:t>
            </w:r>
            <w:r w:rsidR="009E56F2" w:rsidRPr="009C789B">
              <w:rPr>
                <w:rFonts w:ascii="Arial" w:hAnsi="Arial" w:cs="Arial"/>
                <w:sz w:val="20"/>
                <w:szCs w:val="20"/>
              </w:rPr>
              <w:t xml:space="preserve"> actualisées dans deux langues pour tenir compte des décisions des réunions statutaires</w:t>
            </w:r>
            <w:r w:rsidR="005B4B0E" w:rsidRPr="009C789B">
              <w:rPr>
                <w:rFonts w:ascii="Arial" w:hAnsi="Arial" w:cs="Arial"/>
                <w:sz w:val="20"/>
                <w:szCs w:val="20"/>
              </w:rPr>
              <w:t> ;</w:t>
            </w:r>
            <w:r w:rsidR="009E56F2" w:rsidRPr="009C789B">
              <w:rPr>
                <w:rFonts w:ascii="Arial" w:hAnsi="Arial" w:cs="Arial"/>
                <w:sz w:val="20"/>
                <w:szCs w:val="20"/>
              </w:rPr>
              <w:t xml:space="preserve"> trois nouvelles unités sur les plans de sauv</w:t>
            </w:r>
            <w:r w:rsidR="00C84578" w:rsidRPr="009C789B">
              <w:rPr>
                <w:rFonts w:ascii="Arial" w:hAnsi="Arial" w:cs="Arial"/>
                <w:sz w:val="20"/>
                <w:szCs w:val="20"/>
              </w:rPr>
              <w:t>egarde, les questions de genre et le développement durable</w:t>
            </w:r>
          </w:p>
        </w:tc>
        <w:tc>
          <w:tcPr>
            <w:tcW w:w="4029" w:type="dxa"/>
            <w:shd w:val="clear" w:color="auto" w:fill="auto"/>
          </w:tcPr>
          <w:p w14:paraId="00BF7A83" w14:textId="167461B7" w:rsidR="001D3E8F" w:rsidRPr="009C789B" w:rsidRDefault="003E05FA"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Un vaste</w:t>
            </w:r>
            <w:r w:rsidR="00C84578" w:rsidRPr="009C789B">
              <w:rPr>
                <w:rFonts w:ascii="Arial" w:hAnsi="Arial" w:cs="Arial"/>
                <w:sz w:val="20"/>
                <w:szCs w:val="20"/>
              </w:rPr>
              <w:t xml:space="preserve"> travail d’actualisation </w:t>
            </w:r>
            <w:r w:rsidR="00682B15" w:rsidRPr="009C789B">
              <w:rPr>
                <w:rFonts w:ascii="Arial" w:hAnsi="Arial" w:cs="Arial"/>
                <w:sz w:val="20"/>
                <w:szCs w:val="20"/>
              </w:rPr>
              <w:t xml:space="preserve">a été </w:t>
            </w:r>
            <w:r w:rsidR="00C84578" w:rsidRPr="009C789B">
              <w:rPr>
                <w:rFonts w:ascii="Arial" w:hAnsi="Arial" w:cs="Arial"/>
                <w:sz w:val="20"/>
                <w:szCs w:val="20"/>
              </w:rPr>
              <w:t xml:space="preserve">entrepris pour </w:t>
            </w:r>
            <w:r w:rsidRPr="009C789B">
              <w:rPr>
                <w:rFonts w:ascii="Arial" w:hAnsi="Arial" w:cs="Arial"/>
                <w:sz w:val="20"/>
                <w:szCs w:val="20"/>
              </w:rPr>
              <w:t>tenir compte d</w:t>
            </w:r>
            <w:r w:rsidR="00C84578" w:rsidRPr="009C789B">
              <w:rPr>
                <w:rFonts w:ascii="Arial" w:hAnsi="Arial" w:cs="Arial"/>
                <w:sz w:val="20"/>
                <w:szCs w:val="20"/>
              </w:rPr>
              <w:t xml:space="preserve">es décisions de </w:t>
            </w:r>
            <w:r w:rsidR="001D3E8F" w:rsidRPr="009C789B">
              <w:rPr>
                <w:rFonts w:ascii="Arial" w:hAnsi="Arial" w:cs="Arial"/>
                <w:sz w:val="20"/>
                <w:szCs w:val="20"/>
              </w:rPr>
              <w:t xml:space="preserve">8.COM, 9.COM </w:t>
            </w:r>
            <w:r w:rsidR="00C84578" w:rsidRPr="009C789B">
              <w:rPr>
                <w:rFonts w:ascii="Arial" w:hAnsi="Arial" w:cs="Arial"/>
                <w:sz w:val="20"/>
                <w:szCs w:val="20"/>
              </w:rPr>
              <w:t>et</w:t>
            </w:r>
            <w:r w:rsidR="001D3E8F" w:rsidRPr="009C789B">
              <w:rPr>
                <w:rFonts w:ascii="Arial" w:hAnsi="Arial" w:cs="Arial"/>
                <w:sz w:val="20"/>
                <w:szCs w:val="20"/>
              </w:rPr>
              <w:t xml:space="preserve"> 5.GA</w:t>
            </w:r>
            <w:r w:rsidRPr="009C789B">
              <w:rPr>
                <w:rFonts w:ascii="Arial" w:hAnsi="Arial" w:cs="Arial"/>
                <w:sz w:val="20"/>
                <w:szCs w:val="20"/>
              </w:rPr>
              <w:t>, ainsi qu’une</w:t>
            </w:r>
            <w:r w:rsidR="00C84578" w:rsidRPr="009C789B">
              <w:rPr>
                <w:rFonts w:ascii="Arial" w:hAnsi="Arial" w:cs="Arial"/>
                <w:sz w:val="20"/>
                <w:szCs w:val="20"/>
              </w:rPr>
              <w:t xml:space="preserve"> </w:t>
            </w:r>
            <w:r w:rsidR="001D3E8F" w:rsidRPr="009C789B">
              <w:rPr>
                <w:rFonts w:ascii="Arial" w:hAnsi="Arial" w:cs="Arial"/>
                <w:sz w:val="20"/>
                <w:szCs w:val="20"/>
              </w:rPr>
              <w:t>restructur</w:t>
            </w:r>
            <w:r w:rsidR="00C84578" w:rsidRPr="009C789B">
              <w:rPr>
                <w:rFonts w:ascii="Arial" w:hAnsi="Arial" w:cs="Arial"/>
                <w:sz w:val="20"/>
                <w:szCs w:val="20"/>
              </w:rPr>
              <w:t>at</w:t>
            </w:r>
            <w:r w:rsidR="001D3E8F" w:rsidRPr="009C789B">
              <w:rPr>
                <w:rFonts w:ascii="Arial" w:hAnsi="Arial" w:cs="Arial"/>
                <w:sz w:val="20"/>
                <w:szCs w:val="20"/>
              </w:rPr>
              <w:t>i</w:t>
            </w:r>
            <w:r w:rsidR="00C84578" w:rsidRPr="009C789B">
              <w:rPr>
                <w:rFonts w:ascii="Arial" w:hAnsi="Arial" w:cs="Arial"/>
                <w:sz w:val="20"/>
                <w:szCs w:val="20"/>
              </w:rPr>
              <w:t>o</w:t>
            </w:r>
            <w:r w:rsidR="001D3E8F" w:rsidRPr="009C789B">
              <w:rPr>
                <w:rFonts w:ascii="Arial" w:hAnsi="Arial" w:cs="Arial"/>
                <w:sz w:val="20"/>
                <w:szCs w:val="20"/>
              </w:rPr>
              <w:t>n</w:t>
            </w:r>
            <w:r w:rsidR="00C84578" w:rsidRPr="009C789B">
              <w:rPr>
                <w:rFonts w:ascii="Arial" w:hAnsi="Arial" w:cs="Arial"/>
                <w:sz w:val="20"/>
                <w:szCs w:val="20"/>
              </w:rPr>
              <w:t xml:space="preserve"> </w:t>
            </w:r>
            <w:r w:rsidRPr="009C789B">
              <w:rPr>
                <w:rFonts w:ascii="Arial" w:hAnsi="Arial" w:cs="Arial"/>
                <w:sz w:val="20"/>
                <w:szCs w:val="20"/>
              </w:rPr>
              <w:t xml:space="preserve">générale </w:t>
            </w:r>
            <w:r w:rsidR="00C84578" w:rsidRPr="009C789B">
              <w:rPr>
                <w:rFonts w:ascii="Arial" w:hAnsi="Arial" w:cs="Arial"/>
                <w:sz w:val="20"/>
                <w:szCs w:val="20"/>
              </w:rPr>
              <w:t xml:space="preserve">pour convertir les documents en un ensemble de plus de </w:t>
            </w:r>
            <w:r w:rsidR="001D3E8F" w:rsidRPr="009C789B">
              <w:rPr>
                <w:rFonts w:ascii="Arial" w:hAnsi="Arial" w:cs="Arial"/>
                <w:sz w:val="20"/>
                <w:szCs w:val="20"/>
              </w:rPr>
              <w:t xml:space="preserve">50 </w:t>
            </w:r>
            <w:r w:rsidRPr="009C789B">
              <w:rPr>
                <w:rFonts w:ascii="Arial" w:hAnsi="Arial" w:cs="Arial"/>
                <w:sz w:val="20"/>
                <w:szCs w:val="20"/>
              </w:rPr>
              <w:t xml:space="preserve">unités </w:t>
            </w:r>
            <w:r w:rsidR="001D3E8F" w:rsidRPr="009C789B">
              <w:rPr>
                <w:rFonts w:ascii="Arial" w:hAnsi="Arial" w:cs="Arial"/>
                <w:sz w:val="20"/>
                <w:szCs w:val="20"/>
              </w:rPr>
              <w:t>distinct</w:t>
            </w:r>
            <w:r w:rsidRPr="009C789B">
              <w:rPr>
                <w:rFonts w:ascii="Arial" w:hAnsi="Arial" w:cs="Arial"/>
                <w:sz w:val="20"/>
                <w:szCs w:val="20"/>
              </w:rPr>
              <w:t xml:space="preserve">es </w:t>
            </w:r>
            <w:r w:rsidR="007A70D2" w:rsidRPr="009C789B">
              <w:rPr>
                <w:rFonts w:ascii="Arial" w:hAnsi="Arial" w:cs="Arial"/>
                <w:sz w:val="20"/>
                <w:szCs w:val="20"/>
              </w:rPr>
              <w:t>en remplacement des</w:t>
            </w:r>
            <w:r w:rsidRPr="009C789B">
              <w:rPr>
                <w:rFonts w:ascii="Arial" w:hAnsi="Arial" w:cs="Arial"/>
                <w:sz w:val="20"/>
                <w:szCs w:val="20"/>
              </w:rPr>
              <w:t xml:space="preserve"> quatre cours</w:t>
            </w:r>
            <w:r w:rsidR="004423EF">
              <w:rPr>
                <w:rFonts w:ascii="Arial" w:hAnsi="Arial" w:cs="Arial"/>
                <w:sz w:val="20"/>
                <w:szCs w:val="20"/>
              </w:rPr>
              <w:t xml:space="preserve"> séparés</w:t>
            </w:r>
            <w:r w:rsidRPr="009C789B">
              <w:rPr>
                <w:rFonts w:ascii="Arial" w:hAnsi="Arial" w:cs="Arial"/>
                <w:sz w:val="20"/>
                <w:szCs w:val="20"/>
              </w:rPr>
              <w:t xml:space="preserve"> ; </w:t>
            </w:r>
            <w:r w:rsidR="001D3E8F" w:rsidRPr="009C789B">
              <w:rPr>
                <w:rFonts w:ascii="Arial" w:hAnsi="Arial" w:cs="Arial"/>
                <w:sz w:val="20"/>
                <w:szCs w:val="20"/>
              </w:rPr>
              <w:t xml:space="preserve">49 </w:t>
            </w:r>
            <w:r w:rsidR="00C84578" w:rsidRPr="009C789B">
              <w:rPr>
                <w:rFonts w:ascii="Arial" w:hAnsi="Arial" w:cs="Arial"/>
                <w:sz w:val="20"/>
                <w:szCs w:val="20"/>
              </w:rPr>
              <w:t>sont d’ores et déjà disponibles en ligne</w:t>
            </w:r>
            <w:r w:rsidR="007A70D2" w:rsidRPr="009C789B">
              <w:rPr>
                <w:rFonts w:ascii="Arial" w:hAnsi="Arial" w:cs="Arial"/>
                <w:sz w:val="20"/>
                <w:szCs w:val="20"/>
              </w:rPr>
              <w:t>,</w:t>
            </w:r>
            <w:r w:rsidR="00C84578" w:rsidRPr="009C789B">
              <w:rPr>
                <w:rFonts w:ascii="Arial" w:hAnsi="Arial" w:cs="Arial"/>
                <w:sz w:val="20"/>
                <w:szCs w:val="20"/>
              </w:rPr>
              <w:t xml:space="preserve"> en anglais, français et espagnol</w:t>
            </w:r>
            <w:r w:rsidR="001D3E8F" w:rsidRPr="009C789B">
              <w:rPr>
                <w:rFonts w:ascii="Arial" w:hAnsi="Arial" w:cs="Arial"/>
                <w:sz w:val="20"/>
                <w:szCs w:val="20"/>
              </w:rPr>
              <w:t>.</w:t>
            </w:r>
          </w:p>
          <w:p w14:paraId="4CCBA45E" w14:textId="5FE343BB" w:rsidR="001D3E8F" w:rsidRPr="009C789B" w:rsidRDefault="0087572E"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Deux nouvelles </w:t>
            </w:r>
            <w:r w:rsidR="005B4B0E" w:rsidRPr="009C789B">
              <w:rPr>
                <w:rFonts w:ascii="Arial" w:hAnsi="Arial" w:cs="Arial"/>
                <w:sz w:val="20"/>
                <w:szCs w:val="20"/>
              </w:rPr>
              <w:t>unités</w:t>
            </w:r>
            <w:r w:rsidRPr="009C789B">
              <w:rPr>
                <w:rFonts w:ascii="Arial" w:hAnsi="Arial" w:cs="Arial"/>
                <w:sz w:val="20"/>
                <w:szCs w:val="20"/>
              </w:rPr>
              <w:t xml:space="preserve"> </w:t>
            </w:r>
            <w:r w:rsidR="004423EF">
              <w:rPr>
                <w:rFonts w:ascii="Arial" w:hAnsi="Arial" w:cs="Arial"/>
                <w:sz w:val="20"/>
                <w:szCs w:val="20"/>
              </w:rPr>
              <w:t xml:space="preserve">de formation </w:t>
            </w:r>
            <w:r w:rsidRPr="009C789B">
              <w:rPr>
                <w:rFonts w:ascii="Arial" w:hAnsi="Arial" w:cs="Arial"/>
                <w:sz w:val="20"/>
                <w:szCs w:val="20"/>
              </w:rPr>
              <w:t xml:space="preserve">sur les questions de genre et le patrimoine culturel immatériel </w:t>
            </w:r>
            <w:r w:rsidR="005B4B0E" w:rsidRPr="009C789B">
              <w:rPr>
                <w:rFonts w:ascii="Arial" w:hAnsi="Arial" w:cs="Arial"/>
                <w:sz w:val="20"/>
                <w:szCs w:val="20"/>
              </w:rPr>
              <w:t>ainsi qu’</w:t>
            </w:r>
            <w:r w:rsidRPr="009C789B">
              <w:rPr>
                <w:rFonts w:ascii="Arial" w:hAnsi="Arial" w:cs="Arial"/>
                <w:sz w:val="20"/>
                <w:szCs w:val="20"/>
              </w:rPr>
              <w:t xml:space="preserve">une nouvelle </w:t>
            </w:r>
            <w:r w:rsidR="005B4B0E" w:rsidRPr="009C789B">
              <w:rPr>
                <w:rFonts w:ascii="Arial" w:hAnsi="Arial" w:cs="Arial"/>
                <w:sz w:val="20"/>
                <w:szCs w:val="20"/>
              </w:rPr>
              <w:t>unité</w:t>
            </w:r>
            <w:r w:rsidRPr="009C789B">
              <w:rPr>
                <w:rFonts w:ascii="Arial" w:hAnsi="Arial" w:cs="Arial"/>
                <w:sz w:val="20"/>
                <w:szCs w:val="20"/>
              </w:rPr>
              <w:t xml:space="preserve"> thématique sur le patrimoine culturel immatériel et le développement durable ont été finalisé</w:t>
            </w:r>
            <w:r w:rsidR="005B4B0E" w:rsidRPr="009C789B">
              <w:rPr>
                <w:rFonts w:ascii="Arial" w:hAnsi="Arial" w:cs="Arial"/>
                <w:sz w:val="20"/>
                <w:szCs w:val="20"/>
              </w:rPr>
              <w:t>e</w:t>
            </w:r>
            <w:r w:rsidRPr="009C789B">
              <w:rPr>
                <w:rFonts w:ascii="Arial" w:hAnsi="Arial" w:cs="Arial"/>
                <w:sz w:val="20"/>
                <w:szCs w:val="20"/>
              </w:rPr>
              <w:t xml:space="preserve">s : </w:t>
            </w:r>
            <w:r w:rsidR="004423EF">
              <w:rPr>
                <w:rFonts w:ascii="Arial" w:hAnsi="Arial" w:cs="Arial"/>
                <w:sz w:val="20"/>
                <w:szCs w:val="20"/>
              </w:rPr>
              <w:t>des matériels complets</w:t>
            </w:r>
            <w:r w:rsidRPr="009C789B">
              <w:rPr>
                <w:rFonts w:ascii="Arial" w:hAnsi="Arial" w:cs="Arial"/>
                <w:sz w:val="20"/>
                <w:szCs w:val="20"/>
              </w:rPr>
              <w:t xml:space="preserve"> pour un atelier de cinq jours sur les plans de sauvegarde </w:t>
            </w:r>
            <w:r w:rsidR="004423EF">
              <w:rPr>
                <w:rFonts w:ascii="Arial" w:hAnsi="Arial" w:cs="Arial"/>
                <w:sz w:val="20"/>
                <w:szCs w:val="20"/>
              </w:rPr>
              <w:t>ont été élaborés</w:t>
            </w:r>
            <w:r w:rsidRPr="009C789B">
              <w:rPr>
                <w:rFonts w:ascii="Arial" w:hAnsi="Arial" w:cs="Arial"/>
                <w:sz w:val="20"/>
                <w:szCs w:val="20"/>
              </w:rPr>
              <w:t xml:space="preserve"> et </w:t>
            </w:r>
            <w:r w:rsidR="004423EF">
              <w:rPr>
                <w:rFonts w:ascii="Arial" w:hAnsi="Arial" w:cs="Arial"/>
                <w:sz w:val="20"/>
                <w:szCs w:val="20"/>
              </w:rPr>
              <w:t>testés</w:t>
            </w:r>
            <w:r w:rsidR="001D3E8F" w:rsidRPr="009C789B">
              <w:rPr>
                <w:rFonts w:ascii="Arial" w:hAnsi="Arial" w:cs="Arial"/>
                <w:sz w:val="20"/>
                <w:szCs w:val="20"/>
              </w:rPr>
              <w:t>.</w:t>
            </w:r>
          </w:p>
          <w:p w14:paraId="3B6D8D81" w14:textId="51EC430A" w:rsidR="001D3E8F" w:rsidRPr="009C789B" w:rsidRDefault="004423EF" w:rsidP="004423EF">
            <w:pPr>
              <w:pStyle w:val="ListParagraph"/>
              <w:numPr>
                <w:ilvl w:val="0"/>
                <w:numId w:val="19"/>
              </w:numPr>
              <w:spacing w:before="60" w:after="60"/>
              <w:ind w:left="357" w:hanging="357"/>
              <w:contextualSpacing w:val="0"/>
              <w:rPr>
                <w:rFonts w:ascii="Arial" w:hAnsi="Arial" w:cs="Arial"/>
                <w:sz w:val="20"/>
                <w:szCs w:val="20"/>
              </w:rPr>
            </w:pPr>
            <w:r>
              <w:rPr>
                <w:rFonts w:ascii="Arial" w:hAnsi="Arial" w:cs="Arial"/>
                <w:sz w:val="20"/>
                <w:szCs w:val="20"/>
              </w:rPr>
              <w:t>Projets élaborés</w:t>
            </w:r>
            <w:r w:rsidR="0087572E" w:rsidRPr="009C789B">
              <w:rPr>
                <w:rFonts w:ascii="Arial" w:hAnsi="Arial" w:cs="Arial"/>
                <w:sz w:val="20"/>
                <w:szCs w:val="20"/>
              </w:rPr>
              <w:t xml:space="preserve"> </w:t>
            </w:r>
            <w:r>
              <w:rPr>
                <w:rFonts w:ascii="Arial" w:hAnsi="Arial" w:cs="Arial"/>
                <w:sz w:val="20"/>
                <w:szCs w:val="20"/>
              </w:rPr>
              <w:t>pour</w:t>
            </w:r>
            <w:r w:rsidRPr="009C789B">
              <w:rPr>
                <w:rFonts w:ascii="Arial" w:hAnsi="Arial" w:cs="Arial"/>
                <w:sz w:val="20"/>
                <w:szCs w:val="20"/>
              </w:rPr>
              <w:t> </w:t>
            </w:r>
            <w:r w:rsidR="001D3E8F" w:rsidRPr="009C789B">
              <w:rPr>
                <w:rFonts w:ascii="Arial" w:hAnsi="Arial" w:cs="Arial"/>
                <w:sz w:val="20"/>
                <w:szCs w:val="20"/>
              </w:rPr>
              <w:t xml:space="preserve">: (i) </w:t>
            </w:r>
            <w:r>
              <w:rPr>
                <w:rFonts w:ascii="Arial" w:hAnsi="Arial" w:cs="Arial"/>
                <w:sz w:val="20"/>
                <w:szCs w:val="20"/>
              </w:rPr>
              <w:t>d</w:t>
            </w:r>
            <w:r w:rsidR="0087572E" w:rsidRPr="009C789B">
              <w:rPr>
                <w:rFonts w:ascii="Arial" w:hAnsi="Arial" w:cs="Arial"/>
                <w:sz w:val="20"/>
                <w:szCs w:val="20"/>
              </w:rPr>
              <w:t xml:space="preserve">es </w:t>
            </w:r>
            <w:r w:rsidR="008A1EF0" w:rsidRPr="009C789B">
              <w:rPr>
                <w:rFonts w:ascii="Arial" w:hAnsi="Arial" w:cs="Arial"/>
                <w:sz w:val="20"/>
                <w:szCs w:val="20"/>
              </w:rPr>
              <w:t>matériels</w:t>
            </w:r>
            <w:r w:rsidR="0087572E" w:rsidRPr="009C789B">
              <w:rPr>
                <w:rFonts w:ascii="Arial" w:hAnsi="Arial" w:cs="Arial"/>
                <w:sz w:val="20"/>
                <w:szCs w:val="20"/>
              </w:rPr>
              <w:t xml:space="preserve"> de formation sur </w:t>
            </w:r>
            <w:r>
              <w:rPr>
                <w:rFonts w:ascii="Arial" w:hAnsi="Arial" w:cs="Arial"/>
                <w:sz w:val="20"/>
                <w:szCs w:val="20"/>
              </w:rPr>
              <w:t>comment</w:t>
            </w:r>
            <w:r w:rsidR="0087572E" w:rsidRPr="009C789B">
              <w:rPr>
                <w:rFonts w:ascii="Arial" w:hAnsi="Arial" w:cs="Arial"/>
                <w:sz w:val="20"/>
                <w:szCs w:val="20"/>
              </w:rPr>
              <w:t xml:space="preserve"> demander l’assistance internationale du Fonds et</w:t>
            </w:r>
            <w:r w:rsidR="001D3E8F" w:rsidRPr="009C789B">
              <w:rPr>
                <w:rFonts w:ascii="Arial" w:hAnsi="Arial" w:cs="Arial"/>
                <w:sz w:val="20"/>
                <w:szCs w:val="20"/>
              </w:rPr>
              <w:t xml:space="preserve"> (ii) </w:t>
            </w:r>
            <w:r w:rsidR="008A1EF0" w:rsidRPr="009C789B">
              <w:rPr>
                <w:rFonts w:ascii="Arial" w:hAnsi="Arial" w:cs="Arial"/>
                <w:sz w:val="20"/>
                <w:szCs w:val="20"/>
              </w:rPr>
              <w:t>une nouvelle unité</w:t>
            </w:r>
            <w:r w:rsidR="0087572E" w:rsidRPr="009C789B">
              <w:rPr>
                <w:rFonts w:ascii="Arial" w:hAnsi="Arial" w:cs="Arial"/>
                <w:sz w:val="20"/>
                <w:szCs w:val="20"/>
              </w:rPr>
              <w:t xml:space="preserve"> </w:t>
            </w:r>
            <w:r w:rsidR="008A1EF0" w:rsidRPr="009C789B">
              <w:rPr>
                <w:rFonts w:ascii="Arial" w:hAnsi="Arial" w:cs="Arial"/>
                <w:sz w:val="20"/>
                <w:szCs w:val="20"/>
              </w:rPr>
              <w:t>consacrée aux</w:t>
            </w:r>
            <w:r w:rsidR="0087572E" w:rsidRPr="009C789B">
              <w:rPr>
                <w:rFonts w:ascii="Arial" w:hAnsi="Arial" w:cs="Arial"/>
                <w:sz w:val="20"/>
                <w:szCs w:val="20"/>
              </w:rPr>
              <w:t xml:space="preserve"> rapports </w:t>
            </w:r>
            <w:r w:rsidR="008A1EF0" w:rsidRPr="009C789B">
              <w:rPr>
                <w:rFonts w:ascii="Arial" w:hAnsi="Arial" w:cs="Arial"/>
                <w:sz w:val="20"/>
                <w:szCs w:val="20"/>
              </w:rPr>
              <w:t>sur</w:t>
            </w:r>
            <w:r w:rsidR="0087572E" w:rsidRPr="009C789B">
              <w:rPr>
                <w:rFonts w:ascii="Arial" w:hAnsi="Arial" w:cs="Arial"/>
                <w:sz w:val="20"/>
                <w:szCs w:val="20"/>
              </w:rPr>
              <w:t xml:space="preserve"> </w:t>
            </w:r>
            <w:r>
              <w:rPr>
                <w:rFonts w:ascii="Arial" w:hAnsi="Arial" w:cs="Arial"/>
                <w:sz w:val="20"/>
                <w:szCs w:val="20"/>
              </w:rPr>
              <w:t>l’état actuel</w:t>
            </w:r>
            <w:r w:rsidR="0087572E" w:rsidRPr="009C789B">
              <w:rPr>
                <w:rFonts w:ascii="Arial" w:hAnsi="Arial" w:cs="Arial"/>
                <w:sz w:val="20"/>
                <w:szCs w:val="20"/>
              </w:rPr>
              <w:t xml:space="preserve"> des éléments inscrits </w:t>
            </w:r>
            <w:r w:rsidR="005F14E9" w:rsidRPr="009C789B">
              <w:rPr>
                <w:rFonts w:ascii="Arial" w:hAnsi="Arial" w:cs="Arial"/>
                <w:sz w:val="20"/>
                <w:szCs w:val="20"/>
              </w:rPr>
              <w:t xml:space="preserve">sur la Liste de la </w:t>
            </w:r>
            <w:r w:rsidR="001D3E8F" w:rsidRPr="009C789B">
              <w:rPr>
                <w:rFonts w:ascii="Arial" w:hAnsi="Arial" w:cs="Arial"/>
                <w:sz w:val="20"/>
                <w:szCs w:val="20"/>
              </w:rPr>
              <w:t>Convention</w:t>
            </w:r>
            <w:r w:rsidR="008A1EF0" w:rsidRPr="009C789B">
              <w:rPr>
                <w:rFonts w:ascii="Arial" w:hAnsi="Arial" w:cs="Arial"/>
                <w:sz w:val="20"/>
                <w:szCs w:val="20"/>
              </w:rPr>
              <w:t>, ainsi qu’</w:t>
            </w:r>
            <w:r w:rsidR="005F14E9" w:rsidRPr="009C789B">
              <w:rPr>
                <w:rFonts w:ascii="Arial" w:hAnsi="Arial" w:cs="Arial"/>
                <w:sz w:val="20"/>
                <w:szCs w:val="20"/>
              </w:rPr>
              <w:t xml:space="preserve">une nouvelle candidature multinationale fictive à intégrer dans les </w:t>
            </w:r>
            <w:r w:rsidR="008A1EF0" w:rsidRPr="009C789B">
              <w:rPr>
                <w:rFonts w:ascii="Arial" w:hAnsi="Arial" w:cs="Arial"/>
                <w:sz w:val="20"/>
                <w:szCs w:val="20"/>
              </w:rPr>
              <w:t>matériels</w:t>
            </w:r>
            <w:r w:rsidR="005F14E9" w:rsidRPr="009C789B">
              <w:rPr>
                <w:rFonts w:ascii="Arial" w:hAnsi="Arial" w:cs="Arial"/>
                <w:sz w:val="20"/>
                <w:szCs w:val="20"/>
              </w:rPr>
              <w:t xml:space="preserve"> de formation </w:t>
            </w:r>
            <w:r>
              <w:rPr>
                <w:rFonts w:ascii="Arial" w:hAnsi="Arial" w:cs="Arial"/>
                <w:sz w:val="20"/>
                <w:szCs w:val="20"/>
              </w:rPr>
              <w:t>sur</w:t>
            </w:r>
            <w:r w:rsidRPr="009C789B">
              <w:rPr>
                <w:rFonts w:ascii="Arial" w:hAnsi="Arial" w:cs="Arial"/>
                <w:sz w:val="20"/>
                <w:szCs w:val="20"/>
              </w:rPr>
              <w:t xml:space="preserve"> </w:t>
            </w:r>
            <w:r w:rsidR="005F14E9" w:rsidRPr="009C789B">
              <w:rPr>
                <w:rFonts w:ascii="Arial" w:hAnsi="Arial" w:cs="Arial"/>
                <w:sz w:val="20"/>
                <w:szCs w:val="20"/>
              </w:rPr>
              <w:t>la préparation de candidatures</w:t>
            </w:r>
            <w:r w:rsidR="001D3E8F" w:rsidRPr="009C789B">
              <w:rPr>
                <w:rFonts w:ascii="Arial" w:hAnsi="Arial" w:cs="Arial"/>
                <w:sz w:val="20"/>
                <w:szCs w:val="20"/>
              </w:rPr>
              <w:t>.</w:t>
            </w:r>
          </w:p>
        </w:tc>
        <w:tc>
          <w:tcPr>
            <w:tcW w:w="1722" w:type="dxa"/>
          </w:tcPr>
          <w:p w14:paraId="74DA6D9E" w14:textId="77777777" w:rsidR="001D3E8F" w:rsidRPr="009C789B" w:rsidRDefault="001D3E8F" w:rsidP="009C789B">
            <w:pPr>
              <w:spacing w:before="60" w:after="60"/>
              <w:jc w:val="center"/>
              <w:rPr>
                <w:rFonts w:ascii="Arial" w:hAnsi="Arial" w:cs="Arial"/>
                <w:sz w:val="20"/>
                <w:szCs w:val="20"/>
              </w:rPr>
            </w:pPr>
            <w:r w:rsidRPr="009C789B">
              <w:rPr>
                <w:rFonts w:ascii="Arial" w:hAnsi="Arial" w:cs="Arial"/>
                <w:sz w:val="20"/>
                <w:szCs w:val="20"/>
              </w:rPr>
              <w:t>Ac</w:t>
            </w:r>
            <w:r w:rsidR="00682B15" w:rsidRPr="009C789B">
              <w:rPr>
                <w:rFonts w:ascii="Arial" w:hAnsi="Arial" w:cs="Arial"/>
                <w:sz w:val="20"/>
                <w:szCs w:val="20"/>
              </w:rPr>
              <w:t>hevé</w:t>
            </w:r>
            <w:r w:rsidR="00A21225" w:rsidRPr="009C789B">
              <w:rPr>
                <w:rFonts w:ascii="Arial" w:hAnsi="Arial" w:cs="Arial"/>
                <w:sz w:val="20"/>
                <w:szCs w:val="20"/>
              </w:rPr>
              <w:t>e</w:t>
            </w:r>
          </w:p>
        </w:tc>
      </w:tr>
      <w:tr w:rsidR="001D3E8F" w:rsidRPr="009C789B" w14:paraId="2A0376B5" w14:textId="77777777" w:rsidTr="009C789B">
        <w:trPr>
          <w:trHeight w:val="169"/>
        </w:trPr>
        <w:tc>
          <w:tcPr>
            <w:tcW w:w="0" w:type="auto"/>
            <w:shd w:val="clear" w:color="auto" w:fill="auto"/>
          </w:tcPr>
          <w:p w14:paraId="3EE68AA4" w14:textId="77777777" w:rsidR="001D3E8F" w:rsidRPr="009C789B" w:rsidRDefault="008A1EF0" w:rsidP="009C789B">
            <w:pPr>
              <w:spacing w:before="60" w:after="60"/>
              <w:rPr>
                <w:rFonts w:ascii="Arial" w:hAnsi="Arial" w:cs="Arial"/>
                <w:b/>
                <w:sz w:val="20"/>
                <w:szCs w:val="20"/>
              </w:rPr>
            </w:pPr>
            <w:r w:rsidRPr="009C789B">
              <w:rPr>
                <w:rFonts w:ascii="Arial" w:hAnsi="Arial" w:cs="Arial"/>
                <w:b/>
                <w:sz w:val="20"/>
                <w:szCs w:val="20"/>
              </w:rPr>
              <w:t>P :</w:t>
            </w:r>
          </w:p>
          <w:p w14:paraId="2D618215" w14:textId="1EDE278E" w:rsidR="001D3E8F" w:rsidRPr="009C789B" w:rsidRDefault="004A63E1" w:rsidP="009C789B">
            <w:pPr>
              <w:spacing w:before="60" w:after="60"/>
              <w:rPr>
                <w:rFonts w:ascii="Arial" w:hAnsi="Arial" w:cs="Arial"/>
                <w:sz w:val="20"/>
                <w:szCs w:val="20"/>
              </w:rPr>
            </w:pPr>
            <w:r w:rsidRPr="004A63E1">
              <w:rPr>
                <w:rFonts w:ascii="Arial" w:hAnsi="Arial" w:cs="Arial"/>
                <w:sz w:val="20"/>
                <w:szCs w:val="20"/>
              </w:rPr>
              <w:t>Formats et approches de renforcement des capacités appropriés, élaborés et mis à l’essai pour aider les pays à établir une législation et des politiques</w:t>
            </w:r>
          </w:p>
          <w:p w14:paraId="10C82491" w14:textId="77777777" w:rsidR="001D3E8F" w:rsidRPr="009C789B" w:rsidRDefault="008A1EF0" w:rsidP="009C789B">
            <w:pPr>
              <w:spacing w:before="60" w:after="60"/>
              <w:rPr>
                <w:rFonts w:ascii="Arial" w:hAnsi="Arial" w:cs="Arial"/>
                <w:b/>
                <w:sz w:val="20"/>
                <w:szCs w:val="20"/>
              </w:rPr>
            </w:pPr>
            <w:r w:rsidRPr="009C789B">
              <w:rPr>
                <w:rFonts w:ascii="Arial" w:hAnsi="Arial" w:cs="Arial"/>
                <w:b/>
                <w:sz w:val="20"/>
                <w:szCs w:val="20"/>
              </w:rPr>
              <w:t xml:space="preserve">R </w:t>
            </w:r>
            <w:r w:rsidR="001D3E8F" w:rsidRPr="009C789B">
              <w:rPr>
                <w:rFonts w:ascii="Arial" w:hAnsi="Arial" w:cs="Arial"/>
                <w:b/>
                <w:sz w:val="20"/>
                <w:szCs w:val="20"/>
              </w:rPr>
              <w:t>2014-2015</w:t>
            </w:r>
            <w:r w:rsidR="006270B6" w:rsidRPr="009C789B">
              <w:rPr>
                <w:rFonts w:ascii="Arial" w:hAnsi="Arial" w:cs="Arial"/>
                <w:b/>
                <w:sz w:val="20"/>
                <w:szCs w:val="20"/>
              </w:rPr>
              <w:t> </w:t>
            </w:r>
            <w:r w:rsidR="001D3E8F" w:rsidRPr="009C789B">
              <w:rPr>
                <w:rFonts w:ascii="Arial" w:hAnsi="Arial" w:cs="Arial"/>
                <w:b/>
                <w:sz w:val="20"/>
                <w:szCs w:val="20"/>
              </w:rPr>
              <w:t xml:space="preserve">: </w:t>
            </w:r>
          </w:p>
          <w:p w14:paraId="692F8658" w14:textId="77777777" w:rsidR="001D3E8F" w:rsidRPr="009C789B" w:rsidRDefault="00E1113C" w:rsidP="009C789B">
            <w:pPr>
              <w:spacing w:before="60" w:after="60"/>
              <w:rPr>
                <w:rFonts w:ascii="Arial" w:hAnsi="Arial" w:cs="Arial"/>
                <w:sz w:val="20"/>
                <w:szCs w:val="20"/>
              </w:rPr>
            </w:pPr>
            <w:r w:rsidRPr="009C789B">
              <w:rPr>
                <w:rFonts w:ascii="Arial" w:hAnsi="Arial" w:cs="Arial"/>
                <w:sz w:val="20"/>
                <w:szCs w:val="20"/>
              </w:rPr>
              <w:t>Un atelier et un document d’analyse sur la fourniture efficace de conseils stratégiques</w:t>
            </w:r>
            <w:r w:rsidR="000B053B" w:rsidRPr="009C789B">
              <w:rPr>
                <w:rFonts w:ascii="Arial" w:hAnsi="Arial" w:cs="Arial"/>
                <w:sz w:val="20"/>
                <w:szCs w:val="20"/>
              </w:rPr>
              <w:t> </w:t>
            </w:r>
            <w:r w:rsidRPr="009C789B">
              <w:rPr>
                <w:rFonts w:ascii="Arial" w:hAnsi="Arial" w:cs="Arial"/>
                <w:sz w:val="20"/>
                <w:szCs w:val="20"/>
              </w:rPr>
              <w:t>; élaboration et expérimentation d’une approche méthodologique de la politique </w:t>
            </w:r>
            <w:r w:rsidR="001D3E8F" w:rsidRPr="009C789B">
              <w:rPr>
                <w:rFonts w:ascii="Arial" w:hAnsi="Arial" w:cs="Arial"/>
                <w:sz w:val="20"/>
                <w:szCs w:val="20"/>
              </w:rPr>
              <w:t xml:space="preserve">; </w:t>
            </w:r>
            <w:r w:rsidR="000B053B" w:rsidRPr="009C789B">
              <w:rPr>
                <w:rFonts w:ascii="Arial" w:hAnsi="Arial" w:cs="Arial"/>
                <w:sz w:val="20"/>
                <w:szCs w:val="20"/>
              </w:rPr>
              <w:t>révision substantielle d’une formation sur le conseil stratégique ;</w:t>
            </w:r>
            <w:r w:rsidR="001D3E8F" w:rsidRPr="009C789B">
              <w:rPr>
                <w:rFonts w:ascii="Arial" w:hAnsi="Arial" w:cs="Arial"/>
                <w:sz w:val="20"/>
                <w:szCs w:val="20"/>
              </w:rPr>
              <w:t xml:space="preserve"> </w:t>
            </w:r>
            <w:r w:rsidR="000B053B" w:rsidRPr="009C789B">
              <w:rPr>
                <w:rFonts w:ascii="Arial" w:hAnsi="Arial" w:cs="Arial"/>
                <w:sz w:val="20"/>
                <w:szCs w:val="20"/>
              </w:rPr>
              <w:t>réalisation d’une évaluation des besoins dans deux pays potentiellement bénéficiaires du programme de renforcement des capacités</w:t>
            </w:r>
          </w:p>
        </w:tc>
        <w:tc>
          <w:tcPr>
            <w:tcW w:w="4029" w:type="dxa"/>
            <w:shd w:val="clear" w:color="auto" w:fill="auto"/>
          </w:tcPr>
          <w:p w14:paraId="5F41DC99" w14:textId="35AE41AC" w:rsidR="001D3E8F" w:rsidRPr="009C789B" w:rsidRDefault="00CE4806"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 atelier a été organisé pour analyser les approches </w:t>
            </w:r>
            <w:r w:rsidR="00287BF0" w:rsidRPr="009C789B">
              <w:rPr>
                <w:rFonts w:ascii="Arial" w:hAnsi="Arial" w:cs="Arial"/>
                <w:sz w:val="20"/>
                <w:szCs w:val="20"/>
              </w:rPr>
              <w:t xml:space="preserve">en matière de conseil </w:t>
            </w:r>
            <w:r w:rsidR="00A72F93">
              <w:rPr>
                <w:rFonts w:ascii="Arial" w:hAnsi="Arial" w:cs="Arial"/>
                <w:sz w:val="20"/>
                <w:szCs w:val="20"/>
              </w:rPr>
              <w:t>de politiques</w:t>
            </w:r>
            <w:r w:rsidR="00A72F93" w:rsidRPr="009C789B">
              <w:rPr>
                <w:rFonts w:ascii="Arial" w:hAnsi="Arial" w:cs="Arial"/>
                <w:sz w:val="20"/>
                <w:szCs w:val="20"/>
              </w:rPr>
              <w:t xml:space="preserve"> </w:t>
            </w:r>
            <w:r w:rsidR="003B3E8C" w:rsidRPr="009C789B">
              <w:rPr>
                <w:rFonts w:ascii="Arial" w:hAnsi="Arial" w:cs="Arial"/>
                <w:sz w:val="20"/>
                <w:szCs w:val="20"/>
              </w:rPr>
              <w:t>employées par</w:t>
            </w:r>
            <w:r w:rsidRPr="009C789B">
              <w:rPr>
                <w:rFonts w:ascii="Arial" w:hAnsi="Arial" w:cs="Arial"/>
                <w:sz w:val="20"/>
                <w:szCs w:val="20"/>
              </w:rPr>
              <w:t xml:space="preserve"> d’autres secteurs de l’</w:t>
            </w:r>
            <w:r w:rsidR="001D3E8F" w:rsidRPr="009C789B">
              <w:rPr>
                <w:rFonts w:ascii="Arial" w:hAnsi="Arial" w:cs="Arial"/>
                <w:sz w:val="20"/>
                <w:szCs w:val="20"/>
              </w:rPr>
              <w:t xml:space="preserve">UNESCO </w:t>
            </w:r>
            <w:r w:rsidR="00287BF0" w:rsidRPr="009C789B">
              <w:rPr>
                <w:rFonts w:ascii="Arial" w:hAnsi="Arial" w:cs="Arial"/>
                <w:sz w:val="20"/>
                <w:szCs w:val="20"/>
              </w:rPr>
              <w:t>et d’autres organisations</w:t>
            </w:r>
            <w:r w:rsidRPr="009C789B">
              <w:rPr>
                <w:rFonts w:ascii="Arial" w:hAnsi="Arial" w:cs="Arial"/>
                <w:sz w:val="20"/>
                <w:szCs w:val="20"/>
              </w:rPr>
              <w:t xml:space="preserve">, et en tirer </w:t>
            </w:r>
            <w:r w:rsidR="00BC4019" w:rsidRPr="009C789B">
              <w:rPr>
                <w:rFonts w:ascii="Arial" w:hAnsi="Arial" w:cs="Arial"/>
                <w:sz w:val="20"/>
                <w:szCs w:val="20"/>
              </w:rPr>
              <w:t>d</w:t>
            </w:r>
            <w:r w:rsidRPr="009C789B">
              <w:rPr>
                <w:rFonts w:ascii="Arial" w:hAnsi="Arial" w:cs="Arial"/>
                <w:sz w:val="20"/>
                <w:szCs w:val="20"/>
              </w:rPr>
              <w:t>es enseignements </w:t>
            </w:r>
            <w:r w:rsidR="001D3E8F" w:rsidRPr="009C789B">
              <w:rPr>
                <w:rFonts w:ascii="Arial" w:hAnsi="Arial" w:cs="Arial"/>
                <w:sz w:val="20"/>
                <w:szCs w:val="20"/>
              </w:rPr>
              <w:t xml:space="preserve">; </w:t>
            </w:r>
            <w:r w:rsidRPr="009C789B">
              <w:rPr>
                <w:rFonts w:ascii="Arial" w:hAnsi="Arial" w:cs="Arial"/>
                <w:sz w:val="20"/>
                <w:szCs w:val="20"/>
              </w:rPr>
              <w:t xml:space="preserve">y ont notamment participé le </w:t>
            </w:r>
            <w:r w:rsidR="001D3E8F" w:rsidRPr="009C789B">
              <w:rPr>
                <w:rFonts w:ascii="Arial" w:hAnsi="Arial" w:cs="Arial"/>
                <w:sz w:val="20"/>
                <w:szCs w:val="20"/>
              </w:rPr>
              <w:t>Secr</w:t>
            </w:r>
            <w:r w:rsidRPr="009C789B">
              <w:rPr>
                <w:rFonts w:ascii="Arial" w:hAnsi="Arial" w:cs="Arial"/>
                <w:sz w:val="20"/>
                <w:szCs w:val="20"/>
              </w:rPr>
              <w:t>é</w:t>
            </w:r>
            <w:r w:rsidR="001D3E8F" w:rsidRPr="009C789B">
              <w:rPr>
                <w:rFonts w:ascii="Arial" w:hAnsi="Arial" w:cs="Arial"/>
                <w:sz w:val="20"/>
                <w:szCs w:val="20"/>
              </w:rPr>
              <w:t xml:space="preserve">tariat </w:t>
            </w:r>
            <w:r w:rsidRPr="009C789B">
              <w:rPr>
                <w:rFonts w:ascii="Arial" w:hAnsi="Arial" w:cs="Arial"/>
                <w:sz w:val="20"/>
                <w:szCs w:val="20"/>
              </w:rPr>
              <w:t xml:space="preserve">de la Convention de </w:t>
            </w:r>
            <w:r w:rsidR="001D3E8F" w:rsidRPr="009C789B">
              <w:rPr>
                <w:rFonts w:ascii="Arial" w:hAnsi="Arial" w:cs="Arial"/>
                <w:sz w:val="20"/>
                <w:szCs w:val="20"/>
              </w:rPr>
              <w:t xml:space="preserve">2003 </w:t>
            </w:r>
            <w:r w:rsidRPr="009C789B">
              <w:rPr>
                <w:rFonts w:ascii="Arial" w:hAnsi="Arial" w:cs="Arial"/>
                <w:sz w:val="20"/>
                <w:szCs w:val="20"/>
              </w:rPr>
              <w:t xml:space="preserve">et celui de la </w:t>
            </w:r>
            <w:r w:rsidR="001D3E8F" w:rsidRPr="009C789B">
              <w:rPr>
                <w:rFonts w:ascii="Arial" w:hAnsi="Arial" w:cs="Arial"/>
                <w:sz w:val="20"/>
                <w:szCs w:val="20"/>
              </w:rPr>
              <w:t xml:space="preserve">Convention </w:t>
            </w:r>
            <w:r w:rsidRPr="009C789B">
              <w:rPr>
                <w:rFonts w:ascii="Arial" w:hAnsi="Arial" w:cs="Arial"/>
                <w:sz w:val="20"/>
                <w:szCs w:val="20"/>
              </w:rPr>
              <w:t>de</w:t>
            </w:r>
            <w:r w:rsidR="001D3E8F" w:rsidRPr="009C789B">
              <w:rPr>
                <w:rFonts w:ascii="Arial" w:hAnsi="Arial" w:cs="Arial"/>
                <w:sz w:val="20"/>
                <w:szCs w:val="20"/>
              </w:rPr>
              <w:t xml:space="preserve"> 2005 </w:t>
            </w:r>
            <w:r w:rsidRPr="009C789B">
              <w:rPr>
                <w:rFonts w:ascii="Arial" w:hAnsi="Arial" w:cs="Arial"/>
                <w:sz w:val="20"/>
                <w:szCs w:val="20"/>
              </w:rPr>
              <w:t>sur la protection et la promotion de la diversité des expressions culturelles</w:t>
            </w:r>
            <w:r w:rsidR="001D3E8F" w:rsidRPr="009C789B">
              <w:rPr>
                <w:rFonts w:ascii="Arial" w:hAnsi="Arial" w:cs="Arial"/>
                <w:sz w:val="20"/>
                <w:szCs w:val="20"/>
              </w:rPr>
              <w:t xml:space="preserve">, </w:t>
            </w:r>
            <w:r w:rsidRPr="009C789B">
              <w:rPr>
                <w:rFonts w:ascii="Arial" w:hAnsi="Arial" w:cs="Arial"/>
                <w:sz w:val="20"/>
                <w:szCs w:val="20"/>
              </w:rPr>
              <w:t>des intervenants invités du Programme des Nations Unies pour l’Environnement (PNUE)</w:t>
            </w:r>
            <w:r w:rsidR="00D96D64" w:rsidRPr="009C789B">
              <w:rPr>
                <w:rFonts w:ascii="Arial" w:hAnsi="Arial" w:cs="Arial"/>
                <w:sz w:val="20"/>
                <w:szCs w:val="20"/>
              </w:rPr>
              <w:t>,</w:t>
            </w:r>
            <w:r w:rsidRPr="009C789B">
              <w:rPr>
                <w:rFonts w:ascii="Arial" w:hAnsi="Arial" w:cs="Arial"/>
                <w:sz w:val="20"/>
                <w:szCs w:val="20"/>
              </w:rPr>
              <w:t xml:space="preserve"> du </w:t>
            </w:r>
            <w:r w:rsidR="00A72F93">
              <w:rPr>
                <w:rFonts w:ascii="Arial" w:hAnsi="Arial" w:cs="Arial"/>
                <w:sz w:val="20"/>
                <w:szCs w:val="20"/>
              </w:rPr>
              <w:t>S</w:t>
            </w:r>
            <w:r w:rsidR="00A72F93" w:rsidRPr="009C789B">
              <w:rPr>
                <w:rFonts w:ascii="Arial" w:hAnsi="Arial" w:cs="Arial"/>
                <w:sz w:val="20"/>
                <w:szCs w:val="20"/>
              </w:rPr>
              <w:t xml:space="preserve">ecteur </w:t>
            </w:r>
            <w:r w:rsidRPr="009C789B">
              <w:rPr>
                <w:rFonts w:ascii="Arial" w:hAnsi="Arial" w:cs="Arial"/>
                <w:sz w:val="20"/>
                <w:szCs w:val="20"/>
              </w:rPr>
              <w:t xml:space="preserve">de </w:t>
            </w:r>
            <w:r w:rsidR="00A72F93" w:rsidRPr="009C789B">
              <w:rPr>
                <w:rFonts w:ascii="Arial" w:hAnsi="Arial" w:cs="Arial"/>
                <w:sz w:val="20"/>
                <w:szCs w:val="20"/>
              </w:rPr>
              <w:t>l’</w:t>
            </w:r>
            <w:r w:rsidR="00A72F93">
              <w:rPr>
                <w:rFonts w:ascii="Arial" w:hAnsi="Arial" w:cs="Arial"/>
                <w:sz w:val="20"/>
                <w:szCs w:val="20"/>
              </w:rPr>
              <w:t>é</w:t>
            </w:r>
            <w:r w:rsidR="00A72F93" w:rsidRPr="009C789B">
              <w:rPr>
                <w:rFonts w:ascii="Arial" w:hAnsi="Arial" w:cs="Arial"/>
                <w:sz w:val="20"/>
                <w:szCs w:val="20"/>
              </w:rPr>
              <w:t xml:space="preserve">ducation </w:t>
            </w:r>
            <w:r w:rsidR="00D96D64" w:rsidRPr="009C789B">
              <w:rPr>
                <w:rFonts w:ascii="Arial" w:hAnsi="Arial" w:cs="Arial"/>
                <w:sz w:val="20"/>
                <w:szCs w:val="20"/>
              </w:rPr>
              <w:t>et de l’Institut</w:t>
            </w:r>
            <w:r w:rsidR="003B3E8C" w:rsidRPr="009C789B">
              <w:rPr>
                <w:rFonts w:ascii="Arial" w:hAnsi="Arial" w:cs="Arial"/>
                <w:sz w:val="20"/>
                <w:szCs w:val="20"/>
              </w:rPr>
              <w:t xml:space="preserve"> </w:t>
            </w:r>
            <w:r w:rsidR="00D96D64" w:rsidRPr="009C789B">
              <w:rPr>
                <w:rFonts w:ascii="Arial" w:hAnsi="Arial" w:cs="Arial"/>
                <w:sz w:val="20"/>
                <w:szCs w:val="20"/>
              </w:rPr>
              <w:t>international de planification de l’éducation (IIPE) de l’UNESCO</w:t>
            </w:r>
            <w:r w:rsidR="001D3E8F" w:rsidRPr="009C789B">
              <w:rPr>
                <w:rFonts w:ascii="Arial" w:hAnsi="Arial" w:cs="Arial"/>
                <w:sz w:val="20"/>
                <w:szCs w:val="20"/>
              </w:rPr>
              <w:t>.</w:t>
            </w:r>
          </w:p>
          <w:p w14:paraId="7CB8B25E" w14:textId="791A275E" w:rsidR="001D3E8F" w:rsidRPr="009C789B" w:rsidRDefault="00D96D64"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Une Note d’orientation détaillée </w:t>
            </w:r>
            <w:r w:rsidR="00936237" w:rsidRPr="009C789B">
              <w:rPr>
                <w:rFonts w:ascii="Arial" w:hAnsi="Arial" w:cs="Arial"/>
                <w:sz w:val="20"/>
                <w:szCs w:val="20"/>
              </w:rPr>
              <w:t xml:space="preserve">a été rédigée </w:t>
            </w:r>
            <w:r w:rsidR="009D2B37" w:rsidRPr="009C789B">
              <w:rPr>
                <w:rFonts w:ascii="Arial" w:hAnsi="Arial" w:cs="Arial"/>
                <w:sz w:val="20"/>
                <w:szCs w:val="20"/>
              </w:rPr>
              <w:t>à l’intention des</w:t>
            </w:r>
            <w:r w:rsidRPr="009C789B">
              <w:rPr>
                <w:rFonts w:ascii="Arial" w:hAnsi="Arial" w:cs="Arial"/>
                <w:sz w:val="20"/>
                <w:szCs w:val="20"/>
              </w:rPr>
              <w:t xml:space="preserve"> experts engagés par l’</w:t>
            </w:r>
            <w:r w:rsidR="001D3E8F" w:rsidRPr="009C789B">
              <w:rPr>
                <w:rFonts w:ascii="Arial" w:hAnsi="Arial" w:cs="Arial"/>
                <w:sz w:val="20"/>
                <w:szCs w:val="20"/>
              </w:rPr>
              <w:t xml:space="preserve">UNESCO </w:t>
            </w:r>
            <w:r w:rsidRPr="009C789B">
              <w:rPr>
                <w:rFonts w:ascii="Arial" w:hAnsi="Arial" w:cs="Arial"/>
                <w:sz w:val="20"/>
                <w:szCs w:val="20"/>
              </w:rPr>
              <w:t xml:space="preserve">pour fournir des services de conseil </w:t>
            </w:r>
            <w:r w:rsidR="00880810" w:rsidRPr="009C789B">
              <w:rPr>
                <w:rFonts w:ascii="Arial" w:hAnsi="Arial" w:cs="Arial"/>
                <w:sz w:val="20"/>
                <w:szCs w:val="20"/>
              </w:rPr>
              <w:t>dans le domaine de l</w:t>
            </w:r>
            <w:r w:rsidR="00936237" w:rsidRPr="009C789B">
              <w:rPr>
                <w:rFonts w:ascii="Arial" w:hAnsi="Arial" w:cs="Arial"/>
                <w:sz w:val="20"/>
                <w:szCs w:val="20"/>
              </w:rPr>
              <w:t>’</w:t>
            </w:r>
            <w:r w:rsidRPr="009C789B">
              <w:rPr>
                <w:rFonts w:ascii="Arial" w:hAnsi="Arial" w:cs="Arial"/>
                <w:sz w:val="20"/>
                <w:szCs w:val="20"/>
              </w:rPr>
              <w:t>élaboration de politique</w:t>
            </w:r>
            <w:r w:rsidR="00A72F93">
              <w:rPr>
                <w:rFonts w:ascii="Arial" w:hAnsi="Arial" w:cs="Arial"/>
                <w:sz w:val="20"/>
                <w:szCs w:val="20"/>
              </w:rPr>
              <w:t>s</w:t>
            </w:r>
            <w:r w:rsidRPr="009C789B">
              <w:rPr>
                <w:rFonts w:ascii="Arial" w:hAnsi="Arial" w:cs="Arial"/>
                <w:sz w:val="20"/>
                <w:szCs w:val="20"/>
              </w:rPr>
              <w:t xml:space="preserve"> d</w:t>
            </w:r>
            <w:r w:rsidR="00880810" w:rsidRPr="009C789B">
              <w:rPr>
                <w:rFonts w:ascii="Arial" w:hAnsi="Arial" w:cs="Arial"/>
                <w:sz w:val="20"/>
                <w:szCs w:val="20"/>
              </w:rPr>
              <w:t>u</w:t>
            </w:r>
            <w:r w:rsidR="00936237" w:rsidRPr="009C789B">
              <w:rPr>
                <w:rFonts w:ascii="Arial" w:hAnsi="Arial" w:cs="Arial"/>
                <w:sz w:val="20"/>
                <w:szCs w:val="20"/>
              </w:rPr>
              <w:t xml:space="preserve"> patrimoine culturel immatériel</w:t>
            </w:r>
            <w:r w:rsidR="001D3E8F" w:rsidRPr="009C789B">
              <w:rPr>
                <w:rFonts w:ascii="Arial" w:hAnsi="Arial" w:cs="Arial"/>
                <w:sz w:val="20"/>
                <w:szCs w:val="20"/>
              </w:rPr>
              <w:t>.</w:t>
            </w:r>
          </w:p>
          <w:p w14:paraId="549FC9B7" w14:textId="5CAD5AC1" w:rsidR="001D3E8F" w:rsidRPr="009C789B" w:rsidRDefault="009D2B37"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Une nouvelle </w:t>
            </w:r>
            <w:r w:rsidR="00A72F93">
              <w:rPr>
                <w:rFonts w:ascii="Arial" w:hAnsi="Arial" w:cs="Arial"/>
                <w:sz w:val="20"/>
                <w:szCs w:val="20"/>
              </w:rPr>
              <w:t xml:space="preserve">unité de </w:t>
            </w:r>
            <w:r w:rsidRPr="009C789B">
              <w:rPr>
                <w:rFonts w:ascii="Arial" w:hAnsi="Arial" w:cs="Arial"/>
                <w:sz w:val="20"/>
                <w:szCs w:val="20"/>
              </w:rPr>
              <w:t xml:space="preserve">formation a été mise au point pour animer </w:t>
            </w:r>
            <w:r w:rsidR="00A72F93">
              <w:rPr>
                <w:rFonts w:ascii="Arial" w:hAnsi="Arial" w:cs="Arial"/>
                <w:sz w:val="20"/>
                <w:szCs w:val="20"/>
              </w:rPr>
              <w:t>des</w:t>
            </w:r>
            <w:r w:rsidR="00A72F93" w:rsidRPr="009C789B">
              <w:rPr>
                <w:rFonts w:ascii="Arial" w:hAnsi="Arial" w:cs="Arial"/>
                <w:sz w:val="20"/>
                <w:szCs w:val="20"/>
              </w:rPr>
              <w:t xml:space="preserve"> </w:t>
            </w:r>
            <w:r w:rsidRPr="009C789B">
              <w:rPr>
                <w:rFonts w:ascii="Arial" w:hAnsi="Arial" w:cs="Arial"/>
                <w:sz w:val="20"/>
                <w:szCs w:val="20"/>
              </w:rPr>
              <w:t>atelier</w:t>
            </w:r>
            <w:r w:rsidR="00A72F93">
              <w:rPr>
                <w:rFonts w:ascii="Arial" w:hAnsi="Arial" w:cs="Arial"/>
                <w:sz w:val="20"/>
                <w:szCs w:val="20"/>
              </w:rPr>
              <w:t>s</w:t>
            </w:r>
            <w:r w:rsidRPr="009C789B">
              <w:rPr>
                <w:rFonts w:ascii="Arial" w:hAnsi="Arial" w:cs="Arial"/>
                <w:sz w:val="20"/>
                <w:szCs w:val="20"/>
              </w:rPr>
              <w:t xml:space="preserve"> </w:t>
            </w:r>
            <w:r w:rsidR="00A72F93">
              <w:rPr>
                <w:rFonts w:ascii="Arial" w:hAnsi="Arial" w:cs="Arial"/>
                <w:sz w:val="20"/>
                <w:szCs w:val="20"/>
              </w:rPr>
              <w:t>sur l’</w:t>
            </w:r>
            <w:r w:rsidRPr="009C789B">
              <w:rPr>
                <w:rFonts w:ascii="Arial" w:hAnsi="Arial" w:cs="Arial"/>
                <w:sz w:val="20"/>
                <w:szCs w:val="20"/>
              </w:rPr>
              <w:t xml:space="preserve">« élaboration </w:t>
            </w:r>
            <w:r w:rsidR="00A72F93">
              <w:rPr>
                <w:rFonts w:ascii="Arial" w:hAnsi="Arial" w:cs="Arial"/>
                <w:sz w:val="20"/>
                <w:szCs w:val="20"/>
              </w:rPr>
              <w:t>de politiques</w:t>
            </w:r>
            <w:r w:rsidRPr="009C789B">
              <w:rPr>
                <w:rFonts w:ascii="Arial" w:hAnsi="Arial" w:cs="Arial"/>
                <w:sz w:val="20"/>
                <w:szCs w:val="20"/>
              </w:rPr>
              <w:t xml:space="preserve"> de sauvegarde du patrimoine culturel immatériel »</w:t>
            </w:r>
            <w:r w:rsidR="001D3E8F" w:rsidRPr="009C789B">
              <w:rPr>
                <w:rFonts w:ascii="Arial" w:hAnsi="Arial" w:cs="Arial"/>
                <w:sz w:val="20"/>
                <w:szCs w:val="20"/>
              </w:rPr>
              <w:t xml:space="preserve"> </w:t>
            </w:r>
            <w:r w:rsidRPr="009C789B">
              <w:rPr>
                <w:rFonts w:ascii="Arial" w:hAnsi="Arial" w:cs="Arial"/>
                <w:sz w:val="20"/>
                <w:szCs w:val="20"/>
              </w:rPr>
              <w:t xml:space="preserve">et la formation existante </w:t>
            </w:r>
            <w:r w:rsidR="00880810" w:rsidRPr="009C789B">
              <w:rPr>
                <w:rFonts w:ascii="Arial" w:hAnsi="Arial" w:cs="Arial"/>
                <w:sz w:val="20"/>
                <w:szCs w:val="20"/>
              </w:rPr>
              <w:t>sur les</w:t>
            </w:r>
            <w:r w:rsidRPr="009C789B">
              <w:rPr>
                <w:rFonts w:ascii="Arial" w:hAnsi="Arial" w:cs="Arial"/>
                <w:sz w:val="20"/>
                <w:szCs w:val="20"/>
              </w:rPr>
              <w:t xml:space="preserve"> « Politiques et institutions relatives au PCI » a été considérablement r</w:t>
            </w:r>
            <w:r w:rsidR="00BC4019" w:rsidRPr="009C789B">
              <w:rPr>
                <w:rFonts w:ascii="Arial" w:hAnsi="Arial" w:cs="Arial"/>
                <w:sz w:val="20"/>
                <w:szCs w:val="20"/>
              </w:rPr>
              <w:t>emanié</w:t>
            </w:r>
            <w:r w:rsidRPr="009C789B">
              <w:rPr>
                <w:rFonts w:ascii="Arial" w:hAnsi="Arial" w:cs="Arial"/>
                <w:sz w:val="20"/>
                <w:szCs w:val="20"/>
              </w:rPr>
              <w:t>e</w:t>
            </w:r>
            <w:r w:rsidR="001D3E8F" w:rsidRPr="009C789B">
              <w:rPr>
                <w:rFonts w:ascii="Arial" w:hAnsi="Arial" w:cs="Arial"/>
                <w:sz w:val="20"/>
                <w:szCs w:val="20"/>
              </w:rPr>
              <w:t>.</w:t>
            </w:r>
          </w:p>
          <w:p w14:paraId="110A5E34" w14:textId="6AC9198E" w:rsidR="001D3E8F" w:rsidRPr="009C789B" w:rsidRDefault="003428B6" w:rsidP="00A72F93">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Une évaluation des besoins a été effectuée à </w:t>
            </w:r>
            <w:r w:rsidR="001D3E8F" w:rsidRPr="009C789B">
              <w:rPr>
                <w:rFonts w:ascii="Arial" w:hAnsi="Arial" w:cs="Arial"/>
                <w:sz w:val="20"/>
                <w:szCs w:val="20"/>
              </w:rPr>
              <w:t>Fi</w:t>
            </w:r>
            <w:r w:rsidRPr="009C789B">
              <w:rPr>
                <w:rFonts w:ascii="Arial" w:hAnsi="Arial" w:cs="Arial"/>
                <w:sz w:val="20"/>
                <w:szCs w:val="20"/>
              </w:rPr>
              <w:t>d</w:t>
            </w:r>
            <w:r w:rsidR="001D3E8F" w:rsidRPr="009C789B">
              <w:rPr>
                <w:rFonts w:ascii="Arial" w:hAnsi="Arial" w:cs="Arial"/>
                <w:sz w:val="20"/>
                <w:szCs w:val="20"/>
              </w:rPr>
              <w:t xml:space="preserve">ji </w:t>
            </w:r>
            <w:r w:rsidRPr="009C789B">
              <w:rPr>
                <w:rFonts w:ascii="Arial" w:hAnsi="Arial" w:cs="Arial"/>
                <w:sz w:val="20"/>
                <w:szCs w:val="20"/>
              </w:rPr>
              <w:t xml:space="preserve">et en </w:t>
            </w:r>
            <w:r w:rsidR="00AE0FCA" w:rsidRPr="009C789B">
              <w:rPr>
                <w:rFonts w:ascii="Arial" w:hAnsi="Arial" w:cs="Arial"/>
                <w:sz w:val="20"/>
                <w:szCs w:val="20"/>
              </w:rPr>
              <w:t>Éthiopie</w:t>
            </w:r>
            <w:r w:rsidR="001D3E8F" w:rsidRPr="009C789B">
              <w:rPr>
                <w:rFonts w:ascii="Arial" w:hAnsi="Arial" w:cs="Arial"/>
                <w:sz w:val="20"/>
                <w:szCs w:val="20"/>
              </w:rPr>
              <w:t xml:space="preserve"> (</w:t>
            </w:r>
            <w:r w:rsidRPr="009C789B">
              <w:rPr>
                <w:rFonts w:ascii="Arial" w:hAnsi="Arial" w:cs="Arial"/>
                <w:sz w:val="20"/>
                <w:szCs w:val="20"/>
              </w:rPr>
              <w:t xml:space="preserve">la première a été ensuite incluse dans la seconde phase d’un programme de renforcement des capacités en Asie et dans le </w:t>
            </w:r>
            <w:r w:rsidR="001D3E8F" w:rsidRPr="009C789B">
              <w:rPr>
                <w:rFonts w:ascii="Arial" w:hAnsi="Arial" w:cs="Arial"/>
                <w:sz w:val="20"/>
                <w:szCs w:val="20"/>
              </w:rPr>
              <w:t>Pacifi</w:t>
            </w:r>
            <w:r w:rsidRPr="009C789B">
              <w:rPr>
                <w:rFonts w:ascii="Arial" w:hAnsi="Arial" w:cs="Arial"/>
                <w:sz w:val="20"/>
                <w:szCs w:val="20"/>
              </w:rPr>
              <w:t xml:space="preserve">que avec le soutien </w:t>
            </w:r>
            <w:r w:rsidR="00A72F93" w:rsidRPr="009C789B">
              <w:rPr>
                <w:rFonts w:ascii="Arial" w:hAnsi="Arial" w:cs="Arial"/>
                <w:sz w:val="20"/>
                <w:szCs w:val="20"/>
              </w:rPr>
              <w:t>d</w:t>
            </w:r>
            <w:r w:rsidR="00A72F93">
              <w:rPr>
                <w:rFonts w:ascii="Arial" w:hAnsi="Arial" w:cs="Arial"/>
                <w:sz w:val="20"/>
                <w:szCs w:val="20"/>
              </w:rPr>
              <w:t>u</w:t>
            </w:r>
            <w:r w:rsidR="00A72F93" w:rsidRPr="009C789B">
              <w:rPr>
                <w:rFonts w:ascii="Arial" w:hAnsi="Arial" w:cs="Arial"/>
                <w:sz w:val="20"/>
                <w:szCs w:val="20"/>
              </w:rPr>
              <w:t xml:space="preserve"> </w:t>
            </w:r>
            <w:r w:rsidRPr="009C789B">
              <w:rPr>
                <w:rFonts w:ascii="Arial" w:hAnsi="Arial" w:cs="Arial"/>
                <w:sz w:val="20"/>
                <w:szCs w:val="20"/>
              </w:rPr>
              <w:t xml:space="preserve">Fonds en dépôt </w:t>
            </w:r>
            <w:r w:rsidR="00A72F93">
              <w:rPr>
                <w:rFonts w:ascii="Arial" w:hAnsi="Arial" w:cs="Arial"/>
                <w:sz w:val="20"/>
                <w:szCs w:val="20"/>
              </w:rPr>
              <w:t>UNESCO/Japon</w:t>
            </w:r>
            <w:r w:rsidR="001D3E8F" w:rsidRPr="009C789B">
              <w:rPr>
                <w:rFonts w:ascii="Arial" w:hAnsi="Arial" w:cs="Arial"/>
                <w:sz w:val="20"/>
                <w:szCs w:val="20"/>
              </w:rPr>
              <w:t>).</w:t>
            </w:r>
          </w:p>
        </w:tc>
        <w:tc>
          <w:tcPr>
            <w:tcW w:w="1722" w:type="dxa"/>
          </w:tcPr>
          <w:p w14:paraId="55CCB9DF" w14:textId="77777777" w:rsidR="001D3E8F" w:rsidRPr="009C789B" w:rsidRDefault="001D3E8F" w:rsidP="009C789B">
            <w:pPr>
              <w:spacing w:before="60" w:after="60"/>
              <w:jc w:val="center"/>
              <w:rPr>
                <w:rFonts w:ascii="Arial" w:hAnsi="Arial" w:cs="Arial"/>
                <w:sz w:val="20"/>
                <w:szCs w:val="20"/>
              </w:rPr>
            </w:pPr>
            <w:r w:rsidRPr="009C789B">
              <w:rPr>
                <w:rFonts w:ascii="Arial" w:hAnsi="Arial" w:cs="Arial"/>
                <w:sz w:val="20"/>
                <w:szCs w:val="20"/>
              </w:rPr>
              <w:t>Ac</w:t>
            </w:r>
            <w:r w:rsidR="00287BF0" w:rsidRPr="009C789B">
              <w:rPr>
                <w:rFonts w:ascii="Arial" w:hAnsi="Arial" w:cs="Arial"/>
                <w:sz w:val="20"/>
                <w:szCs w:val="20"/>
              </w:rPr>
              <w:t>hevé</w:t>
            </w:r>
            <w:r w:rsidRPr="009C789B">
              <w:rPr>
                <w:rFonts w:ascii="Arial" w:hAnsi="Arial" w:cs="Arial"/>
                <w:sz w:val="20"/>
                <w:szCs w:val="20"/>
              </w:rPr>
              <w:t>e</w:t>
            </w:r>
          </w:p>
        </w:tc>
      </w:tr>
      <w:tr w:rsidR="001D3E8F" w:rsidRPr="009C789B" w14:paraId="644D5C35" w14:textId="77777777" w:rsidTr="009C789B">
        <w:trPr>
          <w:trHeight w:val="169"/>
        </w:trPr>
        <w:tc>
          <w:tcPr>
            <w:tcW w:w="0" w:type="auto"/>
            <w:shd w:val="clear" w:color="auto" w:fill="auto"/>
          </w:tcPr>
          <w:p w14:paraId="61EDB74C" w14:textId="77777777" w:rsidR="001D3E8F" w:rsidRPr="009C789B" w:rsidRDefault="00012146" w:rsidP="009C789B">
            <w:pPr>
              <w:spacing w:before="60" w:after="60"/>
              <w:rPr>
                <w:rFonts w:ascii="Arial" w:hAnsi="Arial" w:cs="Arial"/>
                <w:b/>
                <w:sz w:val="20"/>
                <w:szCs w:val="20"/>
              </w:rPr>
            </w:pPr>
            <w:r w:rsidRPr="009C789B">
              <w:rPr>
                <w:rFonts w:ascii="Arial" w:hAnsi="Arial" w:cs="Arial"/>
                <w:b/>
                <w:sz w:val="20"/>
                <w:szCs w:val="20"/>
              </w:rPr>
              <w:t>P :</w:t>
            </w:r>
          </w:p>
          <w:p w14:paraId="779DCBA1" w14:textId="7CB3ADDE" w:rsidR="001D3E8F" w:rsidRPr="009C789B" w:rsidRDefault="004A63E1" w:rsidP="009C789B">
            <w:pPr>
              <w:spacing w:before="60" w:after="60"/>
              <w:rPr>
                <w:rFonts w:ascii="Arial" w:hAnsi="Arial" w:cs="Arial"/>
                <w:sz w:val="20"/>
                <w:szCs w:val="20"/>
              </w:rPr>
            </w:pPr>
            <w:r w:rsidRPr="004A63E1">
              <w:rPr>
                <w:rFonts w:ascii="Arial" w:hAnsi="Arial" w:cs="Arial"/>
                <w:sz w:val="20"/>
                <w:szCs w:val="20"/>
              </w:rPr>
              <w:t>Planification, mise en œuvre et suivi du programme de renforcement des capacités renforcés grâce à l’amélioration des systèmes d’information</w:t>
            </w:r>
          </w:p>
          <w:p w14:paraId="7B99C457" w14:textId="77777777" w:rsidR="001D3E8F" w:rsidRPr="009C789B" w:rsidRDefault="00012146" w:rsidP="009C789B">
            <w:pPr>
              <w:spacing w:before="60" w:after="60"/>
              <w:rPr>
                <w:rFonts w:ascii="Arial" w:hAnsi="Arial" w:cs="Arial"/>
                <w:b/>
                <w:sz w:val="20"/>
                <w:szCs w:val="20"/>
              </w:rPr>
            </w:pPr>
            <w:r w:rsidRPr="009C789B">
              <w:rPr>
                <w:rFonts w:ascii="Arial" w:hAnsi="Arial" w:cs="Arial"/>
                <w:b/>
                <w:sz w:val="20"/>
                <w:szCs w:val="20"/>
              </w:rPr>
              <w:t xml:space="preserve">R </w:t>
            </w:r>
            <w:r w:rsidR="001D3E8F" w:rsidRPr="009C789B">
              <w:rPr>
                <w:rFonts w:ascii="Arial" w:hAnsi="Arial" w:cs="Arial"/>
                <w:b/>
                <w:sz w:val="20"/>
                <w:szCs w:val="20"/>
              </w:rPr>
              <w:t>2014-2015</w:t>
            </w:r>
            <w:r w:rsidR="006270B6" w:rsidRPr="009C789B">
              <w:rPr>
                <w:rFonts w:ascii="Arial" w:hAnsi="Arial" w:cs="Arial"/>
                <w:b/>
                <w:sz w:val="20"/>
                <w:szCs w:val="20"/>
              </w:rPr>
              <w:t> </w:t>
            </w:r>
            <w:r w:rsidR="001D3E8F" w:rsidRPr="009C789B">
              <w:rPr>
                <w:rFonts w:ascii="Arial" w:hAnsi="Arial" w:cs="Arial"/>
                <w:b/>
                <w:sz w:val="20"/>
                <w:szCs w:val="20"/>
              </w:rPr>
              <w:t xml:space="preserve">: </w:t>
            </w:r>
          </w:p>
          <w:p w14:paraId="550E2A53" w14:textId="77777777" w:rsidR="001D3E8F" w:rsidRPr="009C789B" w:rsidRDefault="00012146" w:rsidP="009C789B">
            <w:pPr>
              <w:spacing w:before="60" w:after="60"/>
              <w:rPr>
                <w:rFonts w:ascii="Arial" w:hAnsi="Arial" w:cs="Arial"/>
                <w:sz w:val="20"/>
                <w:szCs w:val="20"/>
              </w:rPr>
            </w:pPr>
            <w:r w:rsidRPr="009C789B">
              <w:rPr>
                <w:rFonts w:ascii="Arial" w:hAnsi="Arial" w:cs="Arial"/>
                <w:sz w:val="20"/>
                <w:szCs w:val="20"/>
              </w:rPr>
              <w:t>Développement de t</w:t>
            </w:r>
            <w:r w:rsidR="001D3E8F" w:rsidRPr="009C789B">
              <w:rPr>
                <w:rFonts w:ascii="Arial" w:hAnsi="Arial" w:cs="Arial"/>
                <w:sz w:val="20"/>
                <w:szCs w:val="20"/>
              </w:rPr>
              <w:t>r</w:t>
            </w:r>
            <w:r w:rsidR="006270B6" w:rsidRPr="009C789B">
              <w:rPr>
                <w:rFonts w:ascii="Arial" w:hAnsi="Arial" w:cs="Arial"/>
                <w:sz w:val="20"/>
                <w:szCs w:val="20"/>
              </w:rPr>
              <w:t>ois fonctionnalités informatiques pour gérer les programmes de formation</w:t>
            </w:r>
            <w:r w:rsidR="001D3E8F" w:rsidRPr="009C789B">
              <w:rPr>
                <w:rFonts w:ascii="Arial" w:hAnsi="Arial" w:cs="Arial"/>
                <w:sz w:val="20"/>
                <w:szCs w:val="20"/>
              </w:rPr>
              <w:t xml:space="preserve">, </w:t>
            </w:r>
            <w:r w:rsidR="006270B6" w:rsidRPr="009C789B">
              <w:rPr>
                <w:rFonts w:ascii="Arial" w:hAnsi="Arial" w:cs="Arial"/>
                <w:sz w:val="20"/>
                <w:szCs w:val="20"/>
              </w:rPr>
              <w:t xml:space="preserve">échanger des </w:t>
            </w:r>
            <w:r w:rsidR="001D3E8F" w:rsidRPr="009C789B">
              <w:rPr>
                <w:rFonts w:ascii="Arial" w:hAnsi="Arial" w:cs="Arial"/>
                <w:sz w:val="20"/>
                <w:szCs w:val="20"/>
              </w:rPr>
              <w:t>information</w:t>
            </w:r>
            <w:r w:rsidR="006270B6" w:rsidRPr="009C789B">
              <w:rPr>
                <w:rFonts w:ascii="Arial" w:hAnsi="Arial" w:cs="Arial"/>
                <w:sz w:val="20"/>
                <w:szCs w:val="20"/>
              </w:rPr>
              <w:t xml:space="preserve">s entre </w:t>
            </w:r>
            <w:r w:rsidR="001D3E8F" w:rsidRPr="009C789B">
              <w:rPr>
                <w:rFonts w:ascii="Arial" w:hAnsi="Arial" w:cs="Arial"/>
                <w:sz w:val="20"/>
                <w:szCs w:val="20"/>
              </w:rPr>
              <w:t>facilitat</w:t>
            </w:r>
            <w:r w:rsidR="006270B6" w:rsidRPr="009C789B">
              <w:rPr>
                <w:rFonts w:ascii="Arial" w:hAnsi="Arial" w:cs="Arial"/>
                <w:sz w:val="20"/>
                <w:szCs w:val="20"/>
              </w:rPr>
              <w:t>eu</w:t>
            </w:r>
            <w:r w:rsidR="001D3E8F" w:rsidRPr="009C789B">
              <w:rPr>
                <w:rFonts w:ascii="Arial" w:hAnsi="Arial" w:cs="Arial"/>
                <w:sz w:val="20"/>
                <w:szCs w:val="20"/>
              </w:rPr>
              <w:t>rs</w:t>
            </w:r>
            <w:r w:rsidR="006270B6" w:rsidRPr="009C789B">
              <w:rPr>
                <w:rFonts w:ascii="Arial" w:hAnsi="Arial" w:cs="Arial"/>
                <w:sz w:val="20"/>
                <w:szCs w:val="20"/>
              </w:rPr>
              <w:t>, suivre et évaluer les projets de renforcement des capacités</w:t>
            </w:r>
          </w:p>
        </w:tc>
        <w:tc>
          <w:tcPr>
            <w:tcW w:w="4029" w:type="dxa"/>
            <w:shd w:val="clear" w:color="auto" w:fill="auto"/>
          </w:tcPr>
          <w:p w14:paraId="1B7AA193" w14:textId="1422226D" w:rsidR="001D3E8F" w:rsidRPr="009C789B" w:rsidRDefault="000B053B"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Une nouvelle </w:t>
            </w:r>
            <w:r w:rsidR="001D3E8F" w:rsidRPr="009C789B">
              <w:rPr>
                <w:rFonts w:ascii="Arial" w:hAnsi="Arial" w:cs="Arial"/>
                <w:sz w:val="20"/>
                <w:szCs w:val="20"/>
              </w:rPr>
              <w:t xml:space="preserve">interface </w:t>
            </w:r>
            <w:r w:rsidRPr="009C789B">
              <w:rPr>
                <w:rFonts w:ascii="Arial" w:hAnsi="Arial" w:cs="Arial"/>
                <w:sz w:val="20"/>
                <w:szCs w:val="20"/>
              </w:rPr>
              <w:t>amélior</w:t>
            </w:r>
            <w:r w:rsidR="00012146" w:rsidRPr="009C789B">
              <w:rPr>
                <w:rFonts w:ascii="Arial" w:hAnsi="Arial" w:cs="Arial"/>
                <w:sz w:val="20"/>
                <w:szCs w:val="20"/>
              </w:rPr>
              <w:t>ant</w:t>
            </w:r>
            <w:r w:rsidRPr="009C789B">
              <w:rPr>
                <w:rFonts w:ascii="Arial" w:hAnsi="Arial" w:cs="Arial"/>
                <w:sz w:val="20"/>
                <w:szCs w:val="20"/>
              </w:rPr>
              <w:t xml:space="preserve"> l’accès des facilitateurs </w:t>
            </w:r>
            <w:r w:rsidR="00012146" w:rsidRPr="009C789B">
              <w:rPr>
                <w:rFonts w:ascii="Arial" w:hAnsi="Arial" w:cs="Arial"/>
                <w:sz w:val="20"/>
                <w:szCs w:val="20"/>
              </w:rPr>
              <w:t xml:space="preserve">aux matériels de </w:t>
            </w:r>
            <w:r w:rsidR="00DB1821" w:rsidRPr="009C789B">
              <w:rPr>
                <w:rFonts w:ascii="Arial" w:hAnsi="Arial" w:cs="Arial"/>
                <w:sz w:val="20"/>
                <w:szCs w:val="20"/>
              </w:rPr>
              <w:t>renforcement de capacités</w:t>
            </w:r>
            <w:r w:rsidR="00012146" w:rsidRPr="009C789B">
              <w:rPr>
                <w:rFonts w:ascii="Arial" w:hAnsi="Arial" w:cs="Arial"/>
                <w:sz w:val="20"/>
                <w:szCs w:val="20"/>
              </w:rPr>
              <w:t xml:space="preserve"> a été élaborée</w:t>
            </w:r>
            <w:r w:rsidR="001D3E8F" w:rsidRPr="009C789B">
              <w:rPr>
                <w:rFonts w:ascii="Arial" w:hAnsi="Arial" w:cs="Arial"/>
                <w:sz w:val="20"/>
                <w:szCs w:val="20"/>
              </w:rPr>
              <w:t>.</w:t>
            </w:r>
          </w:p>
          <w:p w14:paraId="4A953BB3" w14:textId="77777777" w:rsidR="001D3E8F" w:rsidRPr="009C789B" w:rsidRDefault="00DB1821"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 formulaire de demande d’accès en ligne </w:t>
            </w:r>
            <w:r w:rsidR="00681BDD" w:rsidRPr="009C789B">
              <w:rPr>
                <w:rFonts w:ascii="Arial" w:hAnsi="Arial" w:cs="Arial"/>
                <w:sz w:val="20"/>
                <w:szCs w:val="20"/>
              </w:rPr>
              <w:t>aux matériels de formation</w:t>
            </w:r>
            <w:r w:rsidRPr="009C789B">
              <w:rPr>
                <w:rFonts w:ascii="Arial" w:hAnsi="Arial" w:cs="Arial"/>
                <w:sz w:val="20"/>
                <w:szCs w:val="20"/>
              </w:rPr>
              <w:t xml:space="preserve"> a été </w:t>
            </w:r>
            <w:r w:rsidR="00681BDD" w:rsidRPr="009C789B">
              <w:rPr>
                <w:rFonts w:ascii="Arial" w:hAnsi="Arial" w:cs="Arial"/>
                <w:sz w:val="20"/>
                <w:szCs w:val="20"/>
              </w:rPr>
              <w:t>créé</w:t>
            </w:r>
            <w:r w:rsidRPr="009C789B">
              <w:rPr>
                <w:rFonts w:ascii="Arial" w:hAnsi="Arial" w:cs="Arial"/>
                <w:sz w:val="20"/>
                <w:szCs w:val="20"/>
              </w:rPr>
              <w:t xml:space="preserve"> pour les utilisateurs extérieurs, </w:t>
            </w:r>
            <w:r w:rsidR="00681BDD" w:rsidRPr="009C789B">
              <w:rPr>
                <w:rFonts w:ascii="Arial" w:hAnsi="Arial" w:cs="Arial"/>
                <w:sz w:val="20"/>
                <w:szCs w:val="20"/>
              </w:rPr>
              <w:t xml:space="preserve">avec la </w:t>
            </w:r>
            <w:r w:rsidRPr="009C789B">
              <w:rPr>
                <w:rFonts w:ascii="Arial" w:hAnsi="Arial" w:cs="Arial"/>
                <w:sz w:val="20"/>
                <w:szCs w:val="20"/>
              </w:rPr>
              <w:t>création automatique de compte</w:t>
            </w:r>
            <w:r w:rsidR="00681BDD" w:rsidRPr="009C789B">
              <w:rPr>
                <w:rFonts w:ascii="Arial" w:hAnsi="Arial" w:cs="Arial"/>
                <w:sz w:val="20"/>
                <w:szCs w:val="20"/>
              </w:rPr>
              <w:t>s</w:t>
            </w:r>
            <w:r w:rsidRPr="009C789B">
              <w:rPr>
                <w:rFonts w:ascii="Arial" w:hAnsi="Arial" w:cs="Arial"/>
                <w:sz w:val="20"/>
                <w:szCs w:val="20"/>
              </w:rPr>
              <w:t xml:space="preserve"> </w:t>
            </w:r>
            <w:r w:rsidR="007577FA" w:rsidRPr="009C789B">
              <w:rPr>
                <w:rFonts w:ascii="Arial" w:hAnsi="Arial" w:cs="Arial"/>
                <w:sz w:val="20"/>
                <w:szCs w:val="20"/>
              </w:rPr>
              <w:t>pour bénéficier de cet accès</w:t>
            </w:r>
            <w:r w:rsidR="001D3E8F" w:rsidRPr="009C789B">
              <w:rPr>
                <w:rFonts w:ascii="Arial" w:hAnsi="Arial" w:cs="Arial"/>
                <w:sz w:val="20"/>
                <w:szCs w:val="20"/>
              </w:rPr>
              <w:t>.</w:t>
            </w:r>
          </w:p>
          <w:p w14:paraId="5A201DD0" w14:textId="23152A5F" w:rsidR="001D3E8F" w:rsidRPr="009C789B" w:rsidRDefault="007577FA"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Une interface intégrée a été élaborée pour fournir des informations cohérentes sur les projets de renforcement de capacités, ainsi que </w:t>
            </w:r>
            <w:r w:rsidR="00681BDD" w:rsidRPr="009C789B">
              <w:rPr>
                <w:rFonts w:ascii="Arial" w:hAnsi="Arial" w:cs="Arial"/>
                <w:sz w:val="20"/>
                <w:szCs w:val="20"/>
              </w:rPr>
              <w:t xml:space="preserve">sur </w:t>
            </w:r>
            <w:r w:rsidR="00137DF2">
              <w:rPr>
                <w:rFonts w:ascii="Arial" w:hAnsi="Arial" w:cs="Arial"/>
                <w:sz w:val="20"/>
                <w:szCs w:val="20"/>
              </w:rPr>
              <w:t xml:space="preserve">les nouvelles </w:t>
            </w:r>
            <w:r w:rsidRPr="009C789B">
              <w:rPr>
                <w:rFonts w:ascii="Arial" w:hAnsi="Arial" w:cs="Arial"/>
                <w:sz w:val="20"/>
                <w:szCs w:val="20"/>
              </w:rPr>
              <w:t xml:space="preserve">et les réunions </w:t>
            </w:r>
            <w:r w:rsidR="002E5246" w:rsidRPr="009C789B">
              <w:rPr>
                <w:rFonts w:ascii="Arial" w:hAnsi="Arial" w:cs="Arial"/>
                <w:sz w:val="20"/>
                <w:szCs w:val="20"/>
              </w:rPr>
              <w:t>a</w:t>
            </w:r>
            <w:r w:rsidR="00681BDD" w:rsidRPr="009C789B">
              <w:rPr>
                <w:rFonts w:ascii="Arial" w:hAnsi="Arial" w:cs="Arial"/>
                <w:sz w:val="20"/>
                <w:szCs w:val="20"/>
              </w:rPr>
              <w:t>fférentes</w:t>
            </w:r>
            <w:r w:rsidR="001D3E8F" w:rsidRPr="009C789B">
              <w:rPr>
                <w:rFonts w:ascii="Arial" w:hAnsi="Arial" w:cs="Arial"/>
                <w:sz w:val="20"/>
                <w:szCs w:val="20"/>
              </w:rPr>
              <w:t>.</w:t>
            </w:r>
          </w:p>
          <w:p w14:paraId="1D24A1F6" w14:textId="77777777" w:rsidR="001D3E8F" w:rsidRPr="009C789B" w:rsidRDefault="002E5246" w:rsidP="009C789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Un travail s</w:t>
            </w:r>
            <w:r w:rsidR="001D3E8F" w:rsidRPr="009C789B">
              <w:rPr>
                <w:rFonts w:ascii="Arial" w:hAnsi="Arial" w:cs="Arial"/>
                <w:sz w:val="20"/>
                <w:szCs w:val="20"/>
              </w:rPr>
              <w:t>ubstanti</w:t>
            </w:r>
            <w:r w:rsidRPr="009C789B">
              <w:rPr>
                <w:rFonts w:ascii="Arial" w:hAnsi="Arial" w:cs="Arial"/>
                <w:sz w:val="20"/>
                <w:szCs w:val="20"/>
              </w:rPr>
              <w:t xml:space="preserve">el </w:t>
            </w:r>
            <w:r w:rsidR="00A05DC8" w:rsidRPr="009C789B">
              <w:rPr>
                <w:rFonts w:ascii="Arial" w:hAnsi="Arial" w:cs="Arial"/>
                <w:sz w:val="20"/>
                <w:szCs w:val="20"/>
              </w:rPr>
              <w:t>s</w:t>
            </w:r>
            <w:r w:rsidRPr="009C789B">
              <w:rPr>
                <w:rFonts w:ascii="Arial" w:hAnsi="Arial" w:cs="Arial"/>
                <w:sz w:val="20"/>
                <w:szCs w:val="20"/>
              </w:rPr>
              <w:t xml:space="preserve">ur </w:t>
            </w:r>
            <w:r w:rsidR="00A05DC8" w:rsidRPr="009C789B">
              <w:rPr>
                <w:rFonts w:ascii="Arial" w:hAnsi="Arial" w:cs="Arial"/>
                <w:sz w:val="20"/>
                <w:szCs w:val="20"/>
              </w:rPr>
              <w:t>l’</w:t>
            </w:r>
            <w:r w:rsidRPr="009C789B">
              <w:rPr>
                <w:rFonts w:ascii="Arial" w:hAnsi="Arial" w:cs="Arial"/>
                <w:sz w:val="20"/>
                <w:szCs w:val="20"/>
              </w:rPr>
              <w:t>élabor</w:t>
            </w:r>
            <w:r w:rsidR="00A05DC8" w:rsidRPr="009C789B">
              <w:rPr>
                <w:rFonts w:ascii="Arial" w:hAnsi="Arial" w:cs="Arial"/>
                <w:sz w:val="20"/>
                <w:szCs w:val="20"/>
              </w:rPr>
              <w:t>ation d’</w:t>
            </w:r>
            <w:r w:rsidRPr="009C789B">
              <w:rPr>
                <w:rFonts w:ascii="Arial" w:hAnsi="Arial" w:cs="Arial"/>
                <w:sz w:val="20"/>
                <w:szCs w:val="20"/>
              </w:rPr>
              <w:t>un outil à l’</w:t>
            </w:r>
            <w:r w:rsidR="00A05DC8" w:rsidRPr="009C789B">
              <w:rPr>
                <w:rFonts w:ascii="Arial" w:hAnsi="Arial" w:cs="Arial"/>
                <w:sz w:val="20"/>
                <w:szCs w:val="20"/>
              </w:rPr>
              <w:t xml:space="preserve">usage </w:t>
            </w:r>
            <w:r w:rsidRPr="009C789B">
              <w:rPr>
                <w:rFonts w:ascii="Arial" w:hAnsi="Arial" w:cs="Arial"/>
                <w:sz w:val="20"/>
                <w:szCs w:val="20"/>
              </w:rPr>
              <w:t xml:space="preserve">des experts facilitateurs </w:t>
            </w:r>
            <w:r w:rsidR="00681BDD" w:rsidRPr="009C789B">
              <w:rPr>
                <w:rFonts w:ascii="Arial" w:hAnsi="Arial" w:cs="Arial"/>
                <w:sz w:val="20"/>
                <w:szCs w:val="20"/>
              </w:rPr>
              <w:t xml:space="preserve">a été entrepris </w:t>
            </w:r>
            <w:r w:rsidRPr="009C789B">
              <w:rPr>
                <w:rFonts w:ascii="Arial" w:hAnsi="Arial" w:cs="Arial"/>
                <w:sz w:val="20"/>
                <w:szCs w:val="20"/>
              </w:rPr>
              <w:t xml:space="preserve">pour </w:t>
            </w:r>
            <w:r w:rsidR="00A05DC8" w:rsidRPr="009C789B">
              <w:rPr>
                <w:rFonts w:ascii="Arial" w:hAnsi="Arial" w:cs="Arial"/>
                <w:sz w:val="20"/>
                <w:szCs w:val="20"/>
              </w:rPr>
              <w:t xml:space="preserve">leur permettre de créer un contenu d’atelier </w:t>
            </w:r>
            <w:r w:rsidR="001D3E8F" w:rsidRPr="009C789B">
              <w:rPr>
                <w:rFonts w:ascii="Arial" w:hAnsi="Arial" w:cs="Arial"/>
                <w:sz w:val="20"/>
                <w:szCs w:val="20"/>
              </w:rPr>
              <w:t xml:space="preserve">à la carte </w:t>
            </w:r>
            <w:r w:rsidR="00A05DC8" w:rsidRPr="009C789B">
              <w:rPr>
                <w:rFonts w:ascii="Arial" w:hAnsi="Arial" w:cs="Arial"/>
                <w:sz w:val="20"/>
                <w:szCs w:val="20"/>
              </w:rPr>
              <w:t xml:space="preserve">et de télécharger les </w:t>
            </w:r>
            <w:r w:rsidR="00F732E3" w:rsidRPr="009C789B">
              <w:rPr>
                <w:rFonts w:ascii="Arial" w:hAnsi="Arial" w:cs="Arial"/>
                <w:sz w:val="20"/>
                <w:szCs w:val="20"/>
              </w:rPr>
              <w:t>matériels</w:t>
            </w:r>
            <w:r w:rsidR="00A05DC8" w:rsidRPr="009C789B">
              <w:rPr>
                <w:rFonts w:ascii="Arial" w:hAnsi="Arial" w:cs="Arial"/>
                <w:sz w:val="20"/>
                <w:szCs w:val="20"/>
              </w:rPr>
              <w:t xml:space="preserve"> de formation correspondants</w:t>
            </w:r>
            <w:r w:rsidR="001D3E8F" w:rsidRPr="009C789B">
              <w:rPr>
                <w:rFonts w:ascii="Arial" w:hAnsi="Arial" w:cs="Arial"/>
                <w:sz w:val="20"/>
                <w:szCs w:val="20"/>
              </w:rPr>
              <w:t>.</w:t>
            </w:r>
            <w:r w:rsidR="001D3E8F" w:rsidRPr="009C789B" w:rsidDel="00E768E0">
              <w:rPr>
                <w:rFonts w:ascii="Arial" w:hAnsi="Arial" w:cs="Arial"/>
                <w:sz w:val="20"/>
                <w:szCs w:val="20"/>
              </w:rPr>
              <w:t xml:space="preserve"> </w:t>
            </w:r>
          </w:p>
        </w:tc>
        <w:tc>
          <w:tcPr>
            <w:tcW w:w="1722" w:type="dxa"/>
          </w:tcPr>
          <w:p w14:paraId="21661557" w14:textId="77777777" w:rsidR="001D3E8F" w:rsidRPr="009C789B" w:rsidRDefault="001D3E8F" w:rsidP="009C789B">
            <w:pPr>
              <w:spacing w:before="60" w:after="60"/>
              <w:jc w:val="center"/>
              <w:rPr>
                <w:rFonts w:ascii="Arial" w:hAnsi="Arial" w:cs="Arial"/>
                <w:sz w:val="20"/>
                <w:szCs w:val="20"/>
              </w:rPr>
            </w:pPr>
            <w:r w:rsidRPr="009C789B">
              <w:rPr>
                <w:rFonts w:ascii="Arial" w:hAnsi="Arial" w:cs="Arial"/>
                <w:sz w:val="20"/>
                <w:szCs w:val="20"/>
              </w:rPr>
              <w:t>Ac</w:t>
            </w:r>
            <w:r w:rsidR="00681BDD" w:rsidRPr="009C789B">
              <w:rPr>
                <w:rFonts w:ascii="Arial" w:hAnsi="Arial" w:cs="Arial"/>
                <w:sz w:val="20"/>
                <w:szCs w:val="20"/>
              </w:rPr>
              <w:t>hevé</w:t>
            </w:r>
            <w:r w:rsidRPr="009C789B">
              <w:rPr>
                <w:rFonts w:ascii="Arial" w:hAnsi="Arial" w:cs="Arial"/>
                <w:sz w:val="20"/>
                <w:szCs w:val="20"/>
              </w:rPr>
              <w:t>e</w:t>
            </w:r>
          </w:p>
        </w:tc>
      </w:tr>
    </w:tbl>
    <w:p w14:paraId="0AD39519" w14:textId="4FAD0648" w:rsidR="001D3E8F" w:rsidRPr="009C789B" w:rsidRDefault="009C789B" w:rsidP="009C789B">
      <w:pPr>
        <w:keepNext/>
        <w:spacing w:before="240" w:after="120"/>
        <w:rPr>
          <w:rFonts w:ascii="Arial" w:hAnsi="Arial" w:cs="Arial"/>
          <w:b/>
          <w:sz w:val="22"/>
          <w:szCs w:val="22"/>
        </w:rPr>
      </w:pPr>
      <w:r>
        <w:rPr>
          <w:rFonts w:ascii="Arial" w:hAnsi="Arial" w:cs="Arial"/>
          <w:b/>
          <w:sz w:val="22"/>
          <w:szCs w:val="22"/>
        </w:rPr>
        <w:t>Défis</w:t>
      </w:r>
      <w:r w:rsidR="002E5246" w:rsidRPr="009C789B">
        <w:rPr>
          <w:rFonts w:ascii="Arial" w:hAnsi="Arial" w:cs="Arial"/>
          <w:b/>
          <w:sz w:val="22"/>
          <w:szCs w:val="22"/>
        </w:rPr>
        <w:t xml:space="preserve"> et risques rencontrés dans la mise en </w:t>
      </w:r>
      <w:r w:rsidR="00F732E3" w:rsidRPr="009C789B">
        <w:rPr>
          <w:rFonts w:ascii="Arial" w:hAnsi="Arial" w:cs="Arial"/>
          <w:b/>
          <w:sz w:val="22"/>
          <w:szCs w:val="22"/>
        </w:rPr>
        <w:t xml:space="preserve">œuvre </w:t>
      </w:r>
      <w:r w:rsidR="002E5246" w:rsidRPr="009C789B">
        <w:rPr>
          <w:rFonts w:ascii="Arial" w:hAnsi="Arial" w:cs="Arial"/>
          <w:b/>
          <w:sz w:val="22"/>
          <w:szCs w:val="22"/>
        </w:rPr>
        <w:t>et mesures correctives</w:t>
      </w:r>
    </w:p>
    <w:tbl>
      <w:tblPr>
        <w:tblStyle w:val="TableGrid"/>
        <w:tblW w:w="5000" w:type="pct"/>
        <w:tblLook w:val="04A0" w:firstRow="1" w:lastRow="0" w:firstColumn="1" w:lastColumn="0" w:noHBand="0" w:noVBand="1"/>
      </w:tblPr>
      <w:tblGrid>
        <w:gridCol w:w="4814"/>
        <w:gridCol w:w="4814"/>
      </w:tblGrid>
      <w:tr w:rsidR="001D3E8F" w:rsidRPr="009C789B" w14:paraId="3F5CF1EF" w14:textId="77777777" w:rsidTr="004A5EC1">
        <w:trPr>
          <w:tblHeader/>
        </w:trPr>
        <w:tc>
          <w:tcPr>
            <w:tcW w:w="2500" w:type="pct"/>
            <w:shd w:val="clear" w:color="auto" w:fill="D9D9D9" w:themeFill="background1" w:themeFillShade="D9"/>
          </w:tcPr>
          <w:p w14:paraId="720BA4F0" w14:textId="74E88DC3" w:rsidR="001D3E8F" w:rsidRPr="009C789B" w:rsidRDefault="009C789B" w:rsidP="009C789B">
            <w:pPr>
              <w:spacing w:before="120" w:after="120"/>
              <w:jc w:val="center"/>
              <w:rPr>
                <w:rFonts w:ascii="Arial" w:hAnsi="Arial" w:cs="Arial"/>
                <w:b/>
                <w:sz w:val="20"/>
                <w:szCs w:val="20"/>
              </w:rPr>
            </w:pPr>
            <w:r w:rsidRPr="009C789B">
              <w:rPr>
                <w:rFonts w:ascii="Arial" w:hAnsi="Arial" w:cs="Arial"/>
                <w:b/>
                <w:sz w:val="20"/>
                <w:szCs w:val="20"/>
              </w:rPr>
              <w:t>Principaux défis</w:t>
            </w:r>
          </w:p>
        </w:tc>
        <w:tc>
          <w:tcPr>
            <w:tcW w:w="2500" w:type="pct"/>
            <w:shd w:val="clear" w:color="auto" w:fill="D9D9D9" w:themeFill="background1" w:themeFillShade="D9"/>
          </w:tcPr>
          <w:p w14:paraId="43C3889E" w14:textId="77777777" w:rsidR="001D3E8F" w:rsidRPr="009C789B" w:rsidRDefault="002E5246" w:rsidP="009C789B">
            <w:pPr>
              <w:spacing w:before="120" w:after="120"/>
              <w:jc w:val="center"/>
              <w:rPr>
                <w:rFonts w:ascii="Arial" w:hAnsi="Arial" w:cs="Arial"/>
                <w:b/>
                <w:sz w:val="20"/>
                <w:szCs w:val="20"/>
              </w:rPr>
            </w:pPr>
            <w:r w:rsidRPr="009C789B">
              <w:rPr>
                <w:rFonts w:ascii="Arial" w:hAnsi="Arial" w:cs="Arial"/>
                <w:b/>
                <w:sz w:val="20"/>
                <w:szCs w:val="20"/>
              </w:rPr>
              <w:t>Mesures correctives</w:t>
            </w:r>
          </w:p>
        </w:tc>
      </w:tr>
      <w:tr w:rsidR="001D3E8F" w:rsidRPr="009C789B" w14:paraId="2FE7D72B" w14:textId="77777777" w:rsidTr="004A5EC1">
        <w:tc>
          <w:tcPr>
            <w:tcW w:w="2500" w:type="pct"/>
          </w:tcPr>
          <w:p w14:paraId="6BBA442D" w14:textId="76CA74EC" w:rsidR="001D3E8F" w:rsidRPr="009C789B" w:rsidRDefault="00FA3971" w:rsidP="009C789B">
            <w:pPr>
              <w:spacing w:before="60" w:after="60"/>
              <w:rPr>
                <w:rFonts w:ascii="Arial" w:hAnsi="Arial" w:cs="Arial"/>
                <w:sz w:val="20"/>
                <w:szCs w:val="20"/>
              </w:rPr>
            </w:pPr>
            <w:r>
              <w:rPr>
                <w:rFonts w:ascii="Arial" w:hAnsi="Arial" w:cs="Arial"/>
                <w:sz w:val="20"/>
                <w:szCs w:val="20"/>
              </w:rPr>
              <w:t>La portée</w:t>
            </w:r>
            <w:r w:rsidR="00476B92" w:rsidRPr="009C789B">
              <w:rPr>
                <w:rFonts w:ascii="Arial" w:hAnsi="Arial" w:cs="Arial"/>
                <w:sz w:val="20"/>
                <w:szCs w:val="20"/>
              </w:rPr>
              <w:t xml:space="preserve"> et la diversité des </w:t>
            </w:r>
            <w:r w:rsidR="00F732E3" w:rsidRPr="009C789B">
              <w:rPr>
                <w:rFonts w:ascii="Arial" w:hAnsi="Arial" w:cs="Arial"/>
                <w:sz w:val="20"/>
                <w:szCs w:val="20"/>
              </w:rPr>
              <w:t>matériels</w:t>
            </w:r>
            <w:r w:rsidR="00476B92" w:rsidRPr="009C789B">
              <w:rPr>
                <w:rFonts w:ascii="Arial" w:hAnsi="Arial" w:cs="Arial"/>
                <w:sz w:val="20"/>
                <w:szCs w:val="20"/>
              </w:rPr>
              <w:t xml:space="preserve"> de formation </w:t>
            </w:r>
            <w:r w:rsidR="00F732E3" w:rsidRPr="009C789B">
              <w:rPr>
                <w:rFonts w:ascii="Arial" w:hAnsi="Arial" w:cs="Arial"/>
                <w:sz w:val="20"/>
                <w:szCs w:val="20"/>
              </w:rPr>
              <w:t>ainsi que</w:t>
            </w:r>
            <w:r w:rsidR="00476B92" w:rsidRPr="009C789B">
              <w:rPr>
                <w:rFonts w:ascii="Arial" w:hAnsi="Arial" w:cs="Arial"/>
                <w:sz w:val="20"/>
                <w:szCs w:val="20"/>
              </w:rPr>
              <w:t xml:space="preserve"> la quantité de travail requise pour l</w:t>
            </w:r>
            <w:r w:rsidR="00F732E3" w:rsidRPr="009C789B">
              <w:rPr>
                <w:rFonts w:ascii="Arial" w:hAnsi="Arial" w:cs="Arial"/>
                <w:sz w:val="20"/>
                <w:szCs w:val="20"/>
              </w:rPr>
              <w:t xml:space="preserve">es </w:t>
            </w:r>
            <w:r w:rsidR="00476B92" w:rsidRPr="009C789B">
              <w:rPr>
                <w:rFonts w:ascii="Arial" w:hAnsi="Arial" w:cs="Arial"/>
                <w:sz w:val="20"/>
                <w:szCs w:val="20"/>
              </w:rPr>
              <w:t>actualiser en permanence, au minimum en anglais</w:t>
            </w:r>
            <w:r w:rsidR="004E04EC" w:rsidRPr="009C789B">
              <w:rPr>
                <w:rFonts w:ascii="Arial" w:hAnsi="Arial" w:cs="Arial"/>
                <w:sz w:val="20"/>
                <w:szCs w:val="20"/>
              </w:rPr>
              <w:t>,</w:t>
            </w:r>
            <w:r w:rsidR="00476B92" w:rsidRPr="009C789B">
              <w:rPr>
                <w:rFonts w:ascii="Arial" w:hAnsi="Arial" w:cs="Arial"/>
                <w:sz w:val="20"/>
                <w:szCs w:val="20"/>
              </w:rPr>
              <w:t xml:space="preserve"> en français</w:t>
            </w:r>
            <w:r w:rsidR="004E04EC" w:rsidRPr="009C789B">
              <w:rPr>
                <w:rFonts w:ascii="Arial" w:hAnsi="Arial" w:cs="Arial"/>
                <w:sz w:val="20"/>
                <w:szCs w:val="20"/>
              </w:rPr>
              <w:t xml:space="preserve"> et</w:t>
            </w:r>
            <w:r w:rsidR="00476B92" w:rsidRPr="009C789B">
              <w:rPr>
                <w:rFonts w:ascii="Arial" w:hAnsi="Arial" w:cs="Arial"/>
                <w:sz w:val="20"/>
                <w:szCs w:val="20"/>
              </w:rPr>
              <w:t xml:space="preserve">, si les fonds le permettent, en espagnol, </w:t>
            </w:r>
            <w:r w:rsidR="00F732E3" w:rsidRPr="009C789B">
              <w:rPr>
                <w:rFonts w:ascii="Arial" w:hAnsi="Arial" w:cs="Arial"/>
                <w:sz w:val="20"/>
                <w:szCs w:val="20"/>
              </w:rPr>
              <w:t xml:space="preserve">en </w:t>
            </w:r>
            <w:r w:rsidR="00476B92" w:rsidRPr="009C789B">
              <w:rPr>
                <w:rFonts w:ascii="Arial" w:hAnsi="Arial" w:cs="Arial"/>
                <w:sz w:val="20"/>
                <w:szCs w:val="20"/>
              </w:rPr>
              <w:t xml:space="preserve">arabe et </w:t>
            </w:r>
            <w:r w:rsidR="00F732E3" w:rsidRPr="009C789B">
              <w:rPr>
                <w:rFonts w:ascii="Arial" w:hAnsi="Arial" w:cs="Arial"/>
                <w:sz w:val="20"/>
                <w:szCs w:val="20"/>
              </w:rPr>
              <w:t xml:space="preserve">en </w:t>
            </w:r>
            <w:r w:rsidR="00476B92" w:rsidRPr="009C789B">
              <w:rPr>
                <w:rFonts w:ascii="Arial" w:hAnsi="Arial" w:cs="Arial"/>
                <w:sz w:val="20"/>
                <w:szCs w:val="20"/>
              </w:rPr>
              <w:t>russe, posent des problèmes spécifiques</w:t>
            </w:r>
            <w:r w:rsidR="001D3E8F" w:rsidRPr="009C789B">
              <w:rPr>
                <w:rFonts w:ascii="Arial" w:hAnsi="Arial" w:cs="Arial"/>
                <w:sz w:val="20"/>
                <w:szCs w:val="20"/>
              </w:rPr>
              <w:t xml:space="preserve">. </w:t>
            </w:r>
          </w:p>
        </w:tc>
        <w:tc>
          <w:tcPr>
            <w:tcW w:w="2500" w:type="pct"/>
          </w:tcPr>
          <w:p w14:paraId="63D650D5" w14:textId="77777777" w:rsidR="001D3E8F" w:rsidRPr="009C789B" w:rsidRDefault="00476B92" w:rsidP="009C789B">
            <w:pPr>
              <w:spacing w:before="60" w:after="60"/>
              <w:rPr>
                <w:rFonts w:ascii="Arial" w:hAnsi="Arial" w:cs="Arial"/>
                <w:sz w:val="20"/>
                <w:szCs w:val="20"/>
              </w:rPr>
            </w:pPr>
            <w:r w:rsidRPr="009C789B">
              <w:rPr>
                <w:rFonts w:ascii="Arial" w:hAnsi="Arial" w:cs="Arial"/>
                <w:sz w:val="20"/>
                <w:szCs w:val="20"/>
              </w:rPr>
              <w:t xml:space="preserve">La </w:t>
            </w:r>
            <w:r w:rsidR="001D3E8F" w:rsidRPr="009C789B">
              <w:rPr>
                <w:rFonts w:ascii="Arial" w:hAnsi="Arial" w:cs="Arial"/>
                <w:sz w:val="20"/>
                <w:szCs w:val="20"/>
              </w:rPr>
              <w:t>Section a</w:t>
            </w:r>
            <w:r w:rsidRPr="009C789B">
              <w:rPr>
                <w:rFonts w:ascii="Arial" w:hAnsi="Arial" w:cs="Arial"/>
                <w:sz w:val="20"/>
                <w:szCs w:val="20"/>
              </w:rPr>
              <w:t xml:space="preserve"> réussi à </w:t>
            </w:r>
            <w:r w:rsidR="00B5780C" w:rsidRPr="009C789B">
              <w:rPr>
                <w:rFonts w:ascii="Arial" w:hAnsi="Arial" w:cs="Arial"/>
                <w:sz w:val="20"/>
                <w:szCs w:val="20"/>
              </w:rPr>
              <w:t>accomplir</w:t>
            </w:r>
            <w:r w:rsidR="00791A37" w:rsidRPr="009C789B">
              <w:rPr>
                <w:rFonts w:ascii="Arial" w:hAnsi="Arial" w:cs="Arial"/>
                <w:sz w:val="20"/>
                <w:szCs w:val="20"/>
              </w:rPr>
              <w:t xml:space="preserve"> cette tâche avec l’aide d’un </w:t>
            </w:r>
            <w:r w:rsidR="00F732E3" w:rsidRPr="009C789B">
              <w:rPr>
                <w:rFonts w:ascii="Arial" w:hAnsi="Arial" w:cs="Arial"/>
                <w:sz w:val="20"/>
                <w:szCs w:val="20"/>
              </w:rPr>
              <w:t>a</w:t>
            </w:r>
            <w:r w:rsidR="001D3E8F" w:rsidRPr="009C789B">
              <w:rPr>
                <w:rFonts w:ascii="Arial" w:hAnsi="Arial" w:cs="Arial"/>
                <w:sz w:val="20"/>
                <w:szCs w:val="20"/>
              </w:rPr>
              <w:t>ss</w:t>
            </w:r>
            <w:r w:rsidR="00F732E3" w:rsidRPr="009C789B">
              <w:rPr>
                <w:rFonts w:ascii="Arial" w:hAnsi="Arial" w:cs="Arial"/>
                <w:sz w:val="20"/>
                <w:szCs w:val="20"/>
              </w:rPr>
              <w:t>istant de projet ass</w:t>
            </w:r>
            <w:r w:rsidR="001D3E8F" w:rsidRPr="009C789B">
              <w:rPr>
                <w:rFonts w:ascii="Arial" w:hAnsi="Arial" w:cs="Arial"/>
                <w:sz w:val="20"/>
                <w:szCs w:val="20"/>
              </w:rPr>
              <w:t>oci</w:t>
            </w:r>
            <w:r w:rsidR="00F732E3" w:rsidRPr="009C789B">
              <w:rPr>
                <w:rFonts w:ascii="Arial" w:hAnsi="Arial" w:cs="Arial"/>
                <w:sz w:val="20"/>
                <w:szCs w:val="20"/>
              </w:rPr>
              <w:t>é</w:t>
            </w:r>
            <w:r w:rsidR="001D3E8F" w:rsidRPr="009C789B">
              <w:rPr>
                <w:rFonts w:ascii="Arial" w:hAnsi="Arial" w:cs="Arial"/>
                <w:sz w:val="20"/>
                <w:szCs w:val="20"/>
              </w:rPr>
              <w:t xml:space="preserve"> </w:t>
            </w:r>
            <w:r w:rsidR="00B5780C" w:rsidRPr="009C789B">
              <w:rPr>
                <w:rFonts w:ascii="Arial" w:hAnsi="Arial" w:cs="Arial"/>
                <w:sz w:val="20"/>
                <w:szCs w:val="20"/>
              </w:rPr>
              <w:t xml:space="preserve">à plein temps </w:t>
            </w:r>
            <w:r w:rsidR="001D3E8F" w:rsidRPr="009C789B">
              <w:rPr>
                <w:rFonts w:ascii="Arial" w:hAnsi="Arial" w:cs="Arial"/>
                <w:sz w:val="20"/>
                <w:szCs w:val="20"/>
              </w:rPr>
              <w:t>(a</w:t>
            </w:r>
            <w:r w:rsidR="00B5780C" w:rsidRPr="009C789B">
              <w:rPr>
                <w:rFonts w:ascii="Arial" w:hAnsi="Arial" w:cs="Arial"/>
                <w:sz w:val="20"/>
                <w:szCs w:val="20"/>
              </w:rPr>
              <w:t>u</w:t>
            </w:r>
            <w:r w:rsidR="001D3E8F" w:rsidRPr="009C789B">
              <w:rPr>
                <w:rFonts w:ascii="Arial" w:hAnsi="Arial" w:cs="Arial"/>
                <w:sz w:val="20"/>
                <w:szCs w:val="20"/>
              </w:rPr>
              <w:t xml:space="preserve"> 25 </w:t>
            </w:r>
            <w:r w:rsidR="00B5780C" w:rsidRPr="009C789B">
              <w:rPr>
                <w:rFonts w:ascii="Arial" w:hAnsi="Arial" w:cs="Arial"/>
                <w:sz w:val="20"/>
                <w:szCs w:val="20"/>
              </w:rPr>
              <w:t>février</w:t>
            </w:r>
            <w:r w:rsidR="001D3E8F" w:rsidRPr="009C789B">
              <w:rPr>
                <w:rFonts w:ascii="Arial" w:hAnsi="Arial" w:cs="Arial"/>
                <w:sz w:val="20"/>
                <w:szCs w:val="20"/>
              </w:rPr>
              <w:t xml:space="preserve"> 2015)</w:t>
            </w:r>
            <w:r w:rsidR="004E04EC" w:rsidRPr="009C789B">
              <w:rPr>
                <w:rFonts w:ascii="Arial" w:hAnsi="Arial" w:cs="Arial"/>
                <w:sz w:val="20"/>
                <w:szCs w:val="20"/>
              </w:rPr>
              <w:t>,</w:t>
            </w:r>
            <w:r w:rsidR="001D3E8F" w:rsidRPr="009C789B">
              <w:rPr>
                <w:rFonts w:ascii="Arial" w:hAnsi="Arial" w:cs="Arial"/>
                <w:sz w:val="20"/>
                <w:szCs w:val="20"/>
              </w:rPr>
              <w:t xml:space="preserve"> </w:t>
            </w:r>
            <w:r w:rsidR="00B5780C" w:rsidRPr="009C789B">
              <w:rPr>
                <w:rFonts w:ascii="Arial" w:hAnsi="Arial" w:cs="Arial"/>
                <w:sz w:val="20"/>
                <w:szCs w:val="20"/>
              </w:rPr>
              <w:t xml:space="preserve">spécialisé dans la production </w:t>
            </w:r>
            <w:r w:rsidR="001D3E8F" w:rsidRPr="009C789B">
              <w:rPr>
                <w:rFonts w:ascii="Arial" w:hAnsi="Arial" w:cs="Arial"/>
                <w:sz w:val="20"/>
                <w:szCs w:val="20"/>
              </w:rPr>
              <w:t>document</w:t>
            </w:r>
            <w:r w:rsidR="005B2D3C" w:rsidRPr="009C789B">
              <w:rPr>
                <w:rFonts w:ascii="Arial" w:hAnsi="Arial" w:cs="Arial"/>
                <w:sz w:val="20"/>
                <w:szCs w:val="20"/>
              </w:rPr>
              <w:t>aire</w:t>
            </w:r>
            <w:r w:rsidR="001D3E8F" w:rsidRPr="009C789B">
              <w:rPr>
                <w:rFonts w:ascii="Arial" w:hAnsi="Arial" w:cs="Arial"/>
                <w:sz w:val="20"/>
                <w:szCs w:val="20"/>
              </w:rPr>
              <w:t xml:space="preserve">, </w:t>
            </w:r>
            <w:r w:rsidR="003F11B0" w:rsidRPr="009C789B">
              <w:rPr>
                <w:rFonts w:ascii="Arial" w:hAnsi="Arial" w:cs="Arial"/>
                <w:sz w:val="20"/>
                <w:szCs w:val="20"/>
              </w:rPr>
              <w:t>grâce au</w:t>
            </w:r>
            <w:r w:rsidR="005B2D3C" w:rsidRPr="009C789B">
              <w:rPr>
                <w:rFonts w:ascii="Arial" w:hAnsi="Arial" w:cs="Arial"/>
                <w:sz w:val="20"/>
                <w:szCs w:val="20"/>
              </w:rPr>
              <w:t>x</w:t>
            </w:r>
            <w:r w:rsidR="003F11B0" w:rsidRPr="009C789B">
              <w:rPr>
                <w:rFonts w:ascii="Arial" w:hAnsi="Arial" w:cs="Arial"/>
                <w:sz w:val="20"/>
                <w:szCs w:val="20"/>
              </w:rPr>
              <w:t xml:space="preserve"> f</w:t>
            </w:r>
            <w:r w:rsidR="005B2D3C" w:rsidRPr="009C789B">
              <w:rPr>
                <w:rFonts w:ascii="Arial" w:hAnsi="Arial" w:cs="Arial"/>
                <w:sz w:val="20"/>
                <w:szCs w:val="20"/>
              </w:rPr>
              <w:t xml:space="preserve">onds prévus </w:t>
            </w:r>
            <w:r w:rsidR="003F11B0" w:rsidRPr="009C789B">
              <w:rPr>
                <w:rFonts w:ascii="Arial" w:hAnsi="Arial" w:cs="Arial"/>
                <w:sz w:val="20"/>
                <w:szCs w:val="20"/>
              </w:rPr>
              <w:t xml:space="preserve">par cette ligne </w:t>
            </w:r>
            <w:r w:rsidR="00AE0FCA" w:rsidRPr="009C789B">
              <w:rPr>
                <w:rFonts w:ascii="Arial" w:hAnsi="Arial" w:cs="Arial"/>
                <w:sz w:val="20"/>
                <w:szCs w:val="20"/>
              </w:rPr>
              <w:t>budgétaire</w:t>
            </w:r>
            <w:r w:rsidR="003F11B0" w:rsidRPr="009C789B">
              <w:rPr>
                <w:rFonts w:ascii="Arial" w:hAnsi="Arial" w:cs="Arial"/>
                <w:sz w:val="20"/>
                <w:szCs w:val="20"/>
              </w:rPr>
              <w:t xml:space="preserve"> du Fonds, et avec une augmentation importante du temps du personnel ordinaire consacré à l’élaboration de</w:t>
            </w:r>
            <w:r w:rsidR="005B2D3C" w:rsidRPr="009C789B">
              <w:rPr>
                <w:rFonts w:ascii="Arial" w:hAnsi="Arial" w:cs="Arial"/>
                <w:sz w:val="20"/>
                <w:szCs w:val="20"/>
              </w:rPr>
              <w:t>s matériels</w:t>
            </w:r>
            <w:r w:rsidR="001D3E8F" w:rsidRPr="009C789B">
              <w:rPr>
                <w:rFonts w:ascii="Arial" w:hAnsi="Arial" w:cs="Arial"/>
                <w:sz w:val="20"/>
                <w:szCs w:val="20"/>
              </w:rPr>
              <w:t>.</w:t>
            </w:r>
          </w:p>
        </w:tc>
      </w:tr>
      <w:tr w:rsidR="001D3E8F" w:rsidRPr="009C789B" w14:paraId="17304B0B" w14:textId="77777777" w:rsidTr="004A5EC1">
        <w:tc>
          <w:tcPr>
            <w:tcW w:w="2500" w:type="pct"/>
            <w:shd w:val="clear" w:color="auto" w:fill="auto"/>
          </w:tcPr>
          <w:p w14:paraId="6C3653A7" w14:textId="7B47CC73" w:rsidR="001D3E8F" w:rsidRPr="009C789B" w:rsidRDefault="00111414" w:rsidP="00111414">
            <w:pPr>
              <w:spacing w:before="60" w:after="60"/>
              <w:rPr>
                <w:rFonts w:ascii="Arial" w:hAnsi="Arial" w:cs="Arial"/>
                <w:sz w:val="20"/>
                <w:szCs w:val="20"/>
              </w:rPr>
            </w:pPr>
            <w:r>
              <w:rPr>
                <w:rFonts w:ascii="Arial" w:hAnsi="Arial" w:cs="Arial"/>
                <w:sz w:val="20"/>
                <w:szCs w:val="20"/>
              </w:rPr>
              <w:t>Terminer</w:t>
            </w:r>
            <w:r w:rsidRPr="009C789B">
              <w:rPr>
                <w:rFonts w:ascii="Arial" w:hAnsi="Arial" w:cs="Arial"/>
                <w:sz w:val="20"/>
                <w:szCs w:val="20"/>
              </w:rPr>
              <w:t xml:space="preserve"> </w:t>
            </w:r>
            <w:r w:rsidR="00B071BA" w:rsidRPr="009C789B">
              <w:rPr>
                <w:rFonts w:ascii="Arial" w:hAnsi="Arial" w:cs="Arial"/>
                <w:sz w:val="20"/>
                <w:szCs w:val="20"/>
              </w:rPr>
              <w:t>le</w:t>
            </w:r>
            <w:r w:rsidR="003F11B0" w:rsidRPr="009C789B">
              <w:rPr>
                <w:rFonts w:ascii="Arial" w:hAnsi="Arial" w:cs="Arial"/>
                <w:sz w:val="20"/>
                <w:szCs w:val="20"/>
              </w:rPr>
              <w:t xml:space="preserve"> travail de </w:t>
            </w:r>
            <w:r w:rsidR="00B071BA" w:rsidRPr="009C789B">
              <w:rPr>
                <w:rFonts w:ascii="Arial" w:hAnsi="Arial" w:cs="Arial"/>
                <w:sz w:val="20"/>
                <w:szCs w:val="20"/>
              </w:rPr>
              <w:t>création</w:t>
            </w:r>
            <w:r w:rsidR="003F11B0" w:rsidRPr="009C789B">
              <w:rPr>
                <w:rFonts w:ascii="Arial" w:hAnsi="Arial" w:cs="Arial"/>
                <w:sz w:val="20"/>
                <w:szCs w:val="20"/>
              </w:rPr>
              <w:t xml:space="preserve"> d’un mécanisme de suivi et d’évaluation pour le programme de renforcement de capacités de la </w:t>
            </w:r>
            <w:r w:rsidR="001D3E8F" w:rsidRPr="009C789B">
              <w:rPr>
                <w:rFonts w:ascii="Arial" w:hAnsi="Arial" w:cs="Arial"/>
                <w:sz w:val="20"/>
                <w:szCs w:val="20"/>
              </w:rPr>
              <w:t>Convention</w:t>
            </w:r>
            <w:r w:rsidR="003F11B0" w:rsidRPr="009C789B">
              <w:rPr>
                <w:rFonts w:ascii="Arial" w:hAnsi="Arial" w:cs="Arial"/>
                <w:sz w:val="20"/>
                <w:szCs w:val="20"/>
              </w:rPr>
              <w:t xml:space="preserve"> avant </w:t>
            </w:r>
            <w:r w:rsidR="00B071BA" w:rsidRPr="009C789B">
              <w:rPr>
                <w:rFonts w:ascii="Arial" w:hAnsi="Arial" w:cs="Arial"/>
                <w:sz w:val="20"/>
                <w:szCs w:val="20"/>
              </w:rPr>
              <w:t xml:space="preserve">la mise en place du cadre général de résultats de la </w:t>
            </w:r>
            <w:r w:rsidR="001D3E8F" w:rsidRPr="009C789B">
              <w:rPr>
                <w:rFonts w:ascii="Arial" w:hAnsi="Arial" w:cs="Arial"/>
                <w:sz w:val="20"/>
                <w:szCs w:val="20"/>
              </w:rPr>
              <w:t xml:space="preserve">Convention </w:t>
            </w:r>
            <w:r w:rsidR="00B071BA" w:rsidRPr="009C789B">
              <w:rPr>
                <w:rFonts w:ascii="Arial" w:hAnsi="Arial" w:cs="Arial"/>
                <w:sz w:val="20"/>
                <w:szCs w:val="20"/>
              </w:rPr>
              <w:t xml:space="preserve">dans lequel il doit s’inscrire n’aurait pas été le moyen le plus efficace </w:t>
            </w:r>
            <w:r>
              <w:rPr>
                <w:rFonts w:ascii="Arial" w:hAnsi="Arial" w:cs="Arial"/>
                <w:sz w:val="20"/>
                <w:szCs w:val="20"/>
              </w:rPr>
              <w:t>d’avancer</w:t>
            </w:r>
            <w:r w:rsidR="001D3E8F" w:rsidRPr="009C789B">
              <w:rPr>
                <w:rFonts w:ascii="Arial" w:hAnsi="Arial" w:cs="Arial"/>
                <w:sz w:val="20"/>
                <w:szCs w:val="20"/>
              </w:rPr>
              <w:t>.</w:t>
            </w:r>
          </w:p>
        </w:tc>
        <w:tc>
          <w:tcPr>
            <w:tcW w:w="2500" w:type="pct"/>
          </w:tcPr>
          <w:p w14:paraId="7B340EFF" w14:textId="3B72FA25" w:rsidR="001D3E8F" w:rsidRPr="009C789B" w:rsidRDefault="00B071BA" w:rsidP="00111414">
            <w:pPr>
              <w:spacing w:before="60" w:after="60"/>
              <w:rPr>
                <w:rFonts w:ascii="Arial" w:hAnsi="Arial" w:cs="Arial"/>
                <w:sz w:val="20"/>
                <w:szCs w:val="20"/>
              </w:rPr>
            </w:pPr>
            <w:r w:rsidRPr="009C789B">
              <w:rPr>
                <w:rFonts w:ascii="Arial" w:hAnsi="Arial" w:cs="Arial"/>
                <w:sz w:val="20"/>
                <w:szCs w:val="20"/>
              </w:rPr>
              <w:t>Pour s’</w:t>
            </w:r>
            <w:r w:rsidR="001D3E8F" w:rsidRPr="009C789B">
              <w:rPr>
                <w:rFonts w:ascii="Arial" w:hAnsi="Arial" w:cs="Arial"/>
                <w:sz w:val="20"/>
                <w:szCs w:val="20"/>
              </w:rPr>
              <w:t>adapt</w:t>
            </w:r>
            <w:r w:rsidRPr="009C789B">
              <w:rPr>
                <w:rFonts w:ascii="Arial" w:hAnsi="Arial" w:cs="Arial"/>
                <w:sz w:val="20"/>
                <w:szCs w:val="20"/>
              </w:rPr>
              <w:t>er à la</w:t>
            </w:r>
            <w:r w:rsidR="001D3E8F" w:rsidRPr="009C789B">
              <w:rPr>
                <w:rFonts w:ascii="Arial" w:hAnsi="Arial" w:cs="Arial"/>
                <w:sz w:val="20"/>
                <w:szCs w:val="20"/>
              </w:rPr>
              <w:t xml:space="preserve"> situation, </w:t>
            </w:r>
            <w:r w:rsidRPr="009C789B">
              <w:rPr>
                <w:rFonts w:ascii="Arial" w:hAnsi="Arial" w:cs="Arial"/>
                <w:sz w:val="20"/>
                <w:szCs w:val="20"/>
              </w:rPr>
              <w:t>le Secré</w:t>
            </w:r>
            <w:r w:rsidR="001D3E8F" w:rsidRPr="009C789B">
              <w:rPr>
                <w:rFonts w:ascii="Arial" w:hAnsi="Arial" w:cs="Arial"/>
                <w:sz w:val="20"/>
                <w:szCs w:val="20"/>
              </w:rPr>
              <w:t xml:space="preserve">tariat </w:t>
            </w:r>
            <w:r w:rsidRPr="009C789B">
              <w:rPr>
                <w:rFonts w:ascii="Arial" w:hAnsi="Arial" w:cs="Arial"/>
                <w:sz w:val="20"/>
                <w:szCs w:val="20"/>
              </w:rPr>
              <w:t xml:space="preserve">a pris la décision de reporter </w:t>
            </w:r>
            <w:r w:rsidR="00A55FD9" w:rsidRPr="009C789B">
              <w:rPr>
                <w:rFonts w:ascii="Arial" w:hAnsi="Arial" w:cs="Arial"/>
                <w:sz w:val="20"/>
                <w:szCs w:val="20"/>
              </w:rPr>
              <w:t>la mise en place complète du mécanisme de suivi et d’évaluation du programme de renforcement de capacités jusqu’à ce que le cadre général de résultats soit créé</w:t>
            </w:r>
            <w:r w:rsidR="001D3E8F" w:rsidRPr="009C789B">
              <w:rPr>
                <w:rFonts w:ascii="Arial" w:hAnsi="Arial" w:cs="Arial"/>
                <w:sz w:val="20"/>
                <w:szCs w:val="20"/>
              </w:rPr>
              <w:t xml:space="preserve">. </w:t>
            </w:r>
            <w:r w:rsidR="00A55FD9" w:rsidRPr="009C789B">
              <w:rPr>
                <w:rFonts w:ascii="Arial" w:hAnsi="Arial" w:cs="Arial"/>
                <w:sz w:val="20"/>
                <w:szCs w:val="20"/>
              </w:rPr>
              <w:t xml:space="preserve">Entre-temps, le </w:t>
            </w:r>
            <w:r w:rsidR="001D3E8F" w:rsidRPr="009C789B">
              <w:rPr>
                <w:rFonts w:ascii="Arial" w:hAnsi="Arial" w:cs="Arial"/>
                <w:sz w:val="20"/>
                <w:szCs w:val="20"/>
              </w:rPr>
              <w:t>Secr</w:t>
            </w:r>
            <w:r w:rsidR="00A55FD9" w:rsidRPr="009C789B">
              <w:rPr>
                <w:rFonts w:ascii="Arial" w:hAnsi="Arial" w:cs="Arial"/>
                <w:sz w:val="20"/>
                <w:szCs w:val="20"/>
              </w:rPr>
              <w:t>é</w:t>
            </w:r>
            <w:r w:rsidR="001D3E8F" w:rsidRPr="009C789B">
              <w:rPr>
                <w:rFonts w:ascii="Arial" w:hAnsi="Arial" w:cs="Arial"/>
                <w:sz w:val="20"/>
                <w:szCs w:val="20"/>
              </w:rPr>
              <w:t xml:space="preserve">tariat </w:t>
            </w:r>
            <w:r w:rsidR="00A55FD9" w:rsidRPr="009C789B">
              <w:rPr>
                <w:rFonts w:ascii="Arial" w:hAnsi="Arial" w:cs="Arial"/>
                <w:sz w:val="20"/>
                <w:szCs w:val="20"/>
              </w:rPr>
              <w:t>a mené à bien le travail conceptuel préparatoire et a décidé de se concentrer en 2016 sur le suivi plutôt que sur l’évaluation</w:t>
            </w:r>
            <w:r w:rsidR="001D3E8F" w:rsidRPr="009C789B">
              <w:rPr>
                <w:rFonts w:ascii="Arial" w:hAnsi="Arial" w:cs="Arial"/>
                <w:sz w:val="20"/>
                <w:szCs w:val="20"/>
              </w:rPr>
              <w:t xml:space="preserve">, </w:t>
            </w:r>
            <w:r w:rsidR="00A55FD9" w:rsidRPr="009C789B">
              <w:rPr>
                <w:rFonts w:ascii="Arial" w:hAnsi="Arial" w:cs="Arial"/>
                <w:sz w:val="20"/>
                <w:szCs w:val="20"/>
              </w:rPr>
              <w:t xml:space="preserve">en </w:t>
            </w:r>
            <w:r w:rsidR="00111414">
              <w:rPr>
                <w:rFonts w:ascii="Arial" w:hAnsi="Arial" w:cs="Arial"/>
                <w:sz w:val="20"/>
                <w:szCs w:val="20"/>
              </w:rPr>
              <w:t>pilotant</w:t>
            </w:r>
            <w:r w:rsidR="00111414" w:rsidRPr="009C789B">
              <w:rPr>
                <w:rFonts w:ascii="Arial" w:hAnsi="Arial" w:cs="Arial"/>
                <w:sz w:val="20"/>
                <w:szCs w:val="20"/>
              </w:rPr>
              <w:t xml:space="preserve"> </w:t>
            </w:r>
            <w:r w:rsidR="00A55FD9" w:rsidRPr="009C789B">
              <w:rPr>
                <w:rFonts w:ascii="Arial" w:hAnsi="Arial" w:cs="Arial"/>
                <w:sz w:val="20"/>
                <w:szCs w:val="20"/>
              </w:rPr>
              <w:t>des études</w:t>
            </w:r>
            <w:r w:rsidR="001C69F7" w:rsidRPr="009C789B">
              <w:rPr>
                <w:rFonts w:ascii="Arial" w:hAnsi="Arial" w:cs="Arial"/>
                <w:sz w:val="20"/>
                <w:szCs w:val="20"/>
              </w:rPr>
              <w:t xml:space="preserve"> </w:t>
            </w:r>
            <w:r w:rsidR="00111414">
              <w:rPr>
                <w:rFonts w:ascii="Arial" w:hAnsi="Arial" w:cs="Arial"/>
                <w:sz w:val="20"/>
                <w:szCs w:val="20"/>
              </w:rPr>
              <w:t>de suivi</w:t>
            </w:r>
            <w:r w:rsidR="001C69F7" w:rsidRPr="009C789B">
              <w:rPr>
                <w:rFonts w:ascii="Arial" w:hAnsi="Arial" w:cs="Arial"/>
                <w:sz w:val="20"/>
                <w:szCs w:val="20"/>
              </w:rPr>
              <w:t xml:space="preserve"> dans un certain nombre de pays bénéficia</w:t>
            </w:r>
            <w:r w:rsidR="008B0EC8" w:rsidRPr="009C789B">
              <w:rPr>
                <w:rFonts w:ascii="Arial" w:hAnsi="Arial" w:cs="Arial"/>
                <w:sz w:val="20"/>
                <w:szCs w:val="20"/>
              </w:rPr>
              <w:t>ires</w:t>
            </w:r>
            <w:r w:rsidR="001C69F7" w:rsidRPr="009C789B">
              <w:rPr>
                <w:rFonts w:ascii="Arial" w:hAnsi="Arial" w:cs="Arial"/>
                <w:sz w:val="20"/>
                <w:szCs w:val="20"/>
              </w:rPr>
              <w:t xml:space="preserve"> d’activités de renforcement de capacités</w:t>
            </w:r>
            <w:r w:rsidR="001D3E8F" w:rsidRPr="009C789B">
              <w:rPr>
                <w:rFonts w:ascii="Arial" w:hAnsi="Arial" w:cs="Arial"/>
                <w:sz w:val="20"/>
                <w:szCs w:val="20"/>
              </w:rPr>
              <w:t>.</w:t>
            </w:r>
          </w:p>
        </w:tc>
      </w:tr>
    </w:tbl>
    <w:p w14:paraId="644D8F2D" w14:textId="77777777" w:rsidR="001D3E8F" w:rsidRPr="009C789B" w:rsidRDefault="00B5780C" w:rsidP="00CE07ED">
      <w:pPr>
        <w:keepNext/>
        <w:spacing w:before="240" w:after="120"/>
        <w:ind w:left="1134" w:hanging="1134"/>
        <w:jc w:val="both"/>
        <w:rPr>
          <w:rFonts w:ascii="Arial" w:hAnsi="Arial" w:cs="Arial"/>
          <w:b/>
          <w:sz w:val="22"/>
          <w:szCs w:val="22"/>
        </w:rPr>
      </w:pPr>
      <w:r w:rsidRPr="009C789B">
        <w:rPr>
          <w:rFonts w:ascii="Arial" w:hAnsi="Arial" w:cs="Arial"/>
          <w:b/>
          <w:sz w:val="22"/>
          <w:szCs w:val="22"/>
        </w:rPr>
        <w:t>R</w:t>
      </w:r>
      <w:r w:rsidR="001D3E8F" w:rsidRPr="009C789B">
        <w:rPr>
          <w:rFonts w:ascii="Arial" w:hAnsi="Arial" w:cs="Arial"/>
          <w:b/>
          <w:sz w:val="22"/>
          <w:szCs w:val="22"/>
        </w:rPr>
        <w:t xml:space="preserve">E </w:t>
      </w:r>
      <w:r w:rsidR="008B0EC8" w:rsidRPr="009C789B">
        <w:rPr>
          <w:rFonts w:ascii="Arial" w:hAnsi="Arial" w:cs="Arial"/>
          <w:b/>
          <w:sz w:val="22"/>
          <w:szCs w:val="22"/>
        </w:rPr>
        <w:t>n° </w:t>
      </w:r>
      <w:r w:rsidR="001D3E8F" w:rsidRPr="009C789B">
        <w:rPr>
          <w:rFonts w:ascii="Arial" w:hAnsi="Arial" w:cs="Arial"/>
          <w:b/>
          <w:sz w:val="22"/>
          <w:szCs w:val="22"/>
        </w:rPr>
        <w:t>2</w:t>
      </w:r>
      <w:r w:rsidRPr="009C789B">
        <w:rPr>
          <w:rFonts w:ascii="Arial" w:hAnsi="Arial" w:cs="Arial"/>
          <w:b/>
          <w:sz w:val="22"/>
          <w:szCs w:val="22"/>
        </w:rPr>
        <w:t> </w:t>
      </w:r>
      <w:r w:rsidR="001D3E8F" w:rsidRPr="009C789B">
        <w:rPr>
          <w:rFonts w:ascii="Arial" w:hAnsi="Arial" w:cs="Arial"/>
          <w:b/>
          <w:sz w:val="22"/>
          <w:szCs w:val="22"/>
        </w:rPr>
        <w:t>:</w:t>
      </w:r>
      <w:r w:rsidR="001D3E8F" w:rsidRPr="009C789B">
        <w:rPr>
          <w:rFonts w:ascii="Arial" w:hAnsi="Arial" w:cs="Arial"/>
          <w:b/>
          <w:sz w:val="22"/>
          <w:szCs w:val="22"/>
        </w:rPr>
        <w:tab/>
      </w:r>
      <w:r w:rsidR="008B0EC8" w:rsidRPr="009C789B">
        <w:rPr>
          <w:rFonts w:ascii="Arial" w:hAnsi="Arial" w:cs="Arial"/>
          <w:b/>
          <w:sz w:val="22"/>
          <w:szCs w:val="22"/>
        </w:rPr>
        <w:t>Optimisation et utilisation des s</w:t>
      </w:r>
      <w:r w:rsidR="001C69F7" w:rsidRPr="009C789B">
        <w:rPr>
          <w:rFonts w:ascii="Arial" w:hAnsi="Arial" w:cs="Arial"/>
          <w:b/>
          <w:sz w:val="22"/>
          <w:szCs w:val="22"/>
        </w:rPr>
        <w:t>ervices de gestion des connaissances pour une mise en œuvre et un partage de l’information efficaces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3980"/>
        <w:gridCol w:w="1669"/>
      </w:tblGrid>
      <w:tr w:rsidR="009C789B" w:rsidRPr="009C789B" w14:paraId="071B89EB" w14:textId="77777777" w:rsidTr="009C789B">
        <w:trPr>
          <w:jc w:val="center"/>
        </w:trPr>
        <w:tc>
          <w:tcPr>
            <w:tcW w:w="2066" w:type="pct"/>
            <w:shd w:val="clear" w:color="auto" w:fill="C6D9F1"/>
            <w:vAlign w:val="center"/>
          </w:tcPr>
          <w:p w14:paraId="49575C65" w14:textId="77777777" w:rsidR="009C789B" w:rsidRPr="009C789B" w:rsidRDefault="009C789B" w:rsidP="00BB04C3">
            <w:pPr>
              <w:spacing w:before="60" w:after="60"/>
              <w:jc w:val="center"/>
              <w:rPr>
                <w:rFonts w:ascii="Arial" w:hAnsi="Arial" w:cs="Arial"/>
                <w:b/>
                <w:sz w:val="20"/>
                <w:szCs w:val="20"/>
              </w:rPr>
            </w:pPr>
            <w:r w:rsidRPr="009C789B">
              <w:rPr>
                <w:rFonts w:ascii="Arial" w:hAnsi="Arial" w:cs="Arial"/>
                <w:b/>
                <w:sz w:val="20"/>
                <w:szCs w:val="20"/>
              </w:rPr>
              <w:t>Allocation</w:t>
            </w:r>
          </w:p>
        </w:tc>
        <w:tc>
          <w:tcPr>
            <w:tcW w:w="2067" w:type="pct"/>
            <w:shd w:val="clear" w:color="auto" w:fill="C6D9F1"/>
            <w:vAlign w:val="center"/>
          </w:tcPr>
          <w:p w14:paraId="37807CE9" w14:textId="77777777" w:rsidR="009C789B" w:rsidRPr="009C789B" w:rsidRDefault="009C789B" w:rsidP="00BB04C3">
            <w:pPr>
              <w:spacing w:before="60" w:after="60"/>
              <w:jc w:val="center"/>
              <w:rPr>
                <w:rFonts w:ascii="Arial" w:hAnsi="Arial" w:cs="Arial"/>
                <w:b/>
                <w:sz w:val="20"/>
                <w:szCs w:val="20"/>
              </w:rPr>
            </w:pPr>
            <w:r w:rsidRPr="009C789B">
              <w:rPr>
                <w:rFonts w:ascii="Arial" w:hAnsi="Arial" w:cs="Arial"/>
                <w:b/>
                <w:sz w:val="20"/>
                <w:szCs w:val="20"/>
              </w:rPr>
              <w:t>Dépenses</w:t>
            </w:r>
          </w:p>
        </w:tc>
        <w:tc>
          <w:tcPr>
            <w:tcW w:w="867" w:type="pct"/>
            <w:shd w:val="clear" w:color="auto" w:fill="C6D9F1"/>
            <w:vAlign w:val="center"/>
          </w:tcPr>
          <w:p w14:paraId="5744D7E6" w14:textId="77777777" w:rsidR="009C789B" w:rsidRPr="009C789B" w:rsidRDefault="009C789B" w:rsidP="00BB04C3">
            <w:pPr>
              <w:spacing w:before="60" w:after="60"/>
              <w:jc w:val="center"/>
              <w:rPr>
                <w:rFonts w:ascii="Arial" w:hAnsi="Arial" w:cs="Arial"/>
                <w:b/>
                <w:sz w:val="20"/>
                <w:szCs w:val="20"/>
              </w:rPr>
            </w:pPr>
            <w:r w:rsidRPr="009C789B">
              <w:rPr>
                <w:rFonts w:ascii="Arial" w:hAnsi="Arial" w:cs="Arial"/>
                <w:b/>
                <w:sz w:val="20"/>
                <w:szCs w:val="20"/>
              </w:rPr>
              <w:t>Taux de dépense %</w:t>
            </w:r>
          </w:p>
        </w:tc>
      </w:tr>
      <w:tr w:rsidR="002E3812" w:rsidRPr="009C789B" w14:paraId="0016585A" w14:textId="77777777" w:rsidTr="009C789B">
        <w:tblPrEx>
          <w:jc w:val="left"/>
        </w:tblPrEx>
        <w:tc>
          <w:tcPr>
            <w:tcW w:w="2066" w:type="pct"/>
            <w:shd w:val="clear" w:color="auto" w:fill="auto"/>
          </w:tcPr>
          <w:p w14:paraId="74B95E0A" w14:textId="77777777" w:rsidR="002E3812" w:rsidRPr="009C789B" w:rsidRDefault="002E3812" w:rsidP="009C789B">
            <w:pPr>
              <w:spacing w:before="60" w:after="60"/>
              <w:jc w:val="center"/>
              <w:rPr>
                <w:rFonts w:ascii="Arial" w:hAnsi="Arial" w:cs="Arial"/>
                <w:sz w:val="20"/>
                <w:szCs w:val="20"/>
              </w:rPr>
            </w:pPr>
            <w:r w:rsidRPr="009C789B">
              <w:rPr>
                <w:rFonts w:ascii="Arial" w:hAnsi="Arial" w:cs="Arial"/>
                <w:sz w:val="20"/>
                <w:szCs w:val="20"/>
              </w:rPr>
              <w:t>304</w:t>
            </w:r>
            <w:r w:rsidR="00B5780C" w:rsidRPr="009C789B">
              <w:rPr>
                <w:rFonts w:ascii="Arial" w:hAnsi="Arial" w:cs="Arial"/>
                <w:sz w:val="20"/>
                <w:szCs w:val="20"/>
              </w:rPr>
              <w:t> </w:t>
            </w:r>
            <w:r w:rsidRPr="009C789B">
              <w:rPr>
                <w:rFonts w:ascii="Arial" w:hAnsi="Arial" w:cs="Arial"/>
                <w:sz w:val="20"/>
                <w:szCs w:val="20"/>
              </w:rPr>
              <w:t>000</w:t>
            </w:r>
            <w:r w:rsidR="00B5780C" w:rsidRPr="009C789B">
              <w:rPr>
                <w:rFonts w:ascii="Arial" w:hAnsi="Arial" w:cs="Arial"/>
                <w:sz w:val="20"/>
                <w:szCs w:val="20"/>
              </w:rPr>
              <w:t>,</w:t>
            </w:r>
            <w:r w:rsidRPr="009C789B">
              <w:rPr>
                <w:rFonts w:ascii="Arial" w:hAnsi="Arial" w:cs="Arial"/>
                <w:sz w:val="20"/>
                <w:szCs w:val="20"/>
              </w:rPr>
              <w:t>00</w:t>
            </w:r>
          </w:p>
        </w:tc>
        <w:tc>
          <w:tcPr>
            <w:tcW w:w="2067" w:type="pct"/>
            <w:shd w:val="clear" w:color="auto" w:fill="auto"/>
          </w:tcPr>
          <w:p w14:paraId="0659A16B" w14:textId="77777777" w:rsidR="002E3812" w:rsidRPr="009C789B" w:rsidRDefault="002E3812" w:rsidP="009C789B">
            <w:pPr>
              <w:spacing w:before="60" w:after="60"/>
              <w:jc w:val="center"/>
              <w:rPr>
                <w:rFonts w:ascii="Arial" w:hAnsi="Arial" w:cs="Arial"/>
                <w:sz w:val="20"/>
                <w:szCs w:val="20"/>
              </w:rPr>
            </w:pPr>
            <w:r w:rsidRPr="009C789B">
              <w:rPr>
                <w:rFonts w:ascii="Arial" w:hAnsi="Arial" w:cs="Arial"/>
                <w:sz w:val="20"/>
                <w:szCs w:val="20"/>
              </w:rPr>
              <w:t>287</w:t>
            </w:r>
            <w:r w:rsidR="00B5780C" w:rsidRPr="009C789B">
              <w:rPr>
                <w:rFonts w:ascii="Arial" w:hAnsi="Arial" w:cs="Arial"/>
                <w:sz w:val="20"/>
                <w:szCs w:val="20"/>
              </w:rPr>
              <w:t> </w:t>
            </w:r>
            <w:r w:rsidRPr="009C789B">
              <w:rPr>
                <w:rFonts w:ascii="Arial" w:hAnsi="Arial" w:cs="Arial"/>
                <w:sz w:val="20"/>
                <w:szCs w:val="20"/>
              </w:rPr>
              <w:t>858</w:t>
            </w:r>
            <w:r w:rsidR="00B5780C" w:rsidRPr="009C789B">
              <w:rPr>
                <w:rFonts w:ascii="Arial" w:hAnsi="Arial" w:cs="Arial"/>
                <w:sz w:val="20"/>
                <w:szCs w:val="20"/>
              </w:rPr>
              <w:t>,</w:t>
            </w:r>
            <w:r w:rsidRPr="009C789B">
              <w:rPr>
                <w:rFonts w:ascii="Arial" w:hAnsi="Arial" w:cs="Arial"/>
                <w:sz w:val="20"/>
                <w:szCs w:val="20"/>
              </w:rPr>
              <w:t>82</w:t>
            </w:r>
          </w:p>
        </w:tc>
        <w:tc>
          <w:tcPr>
            <w:tcW w:w="867" w:type="pct"/>
            <w:shd w:val="clear" w:color="auto" w:fill="auto"/>
          </w:tcPr>
          <w:p w14:paraId="37923C0C" w14:textId="77777777" w:rsidR="002E3812" w:rsidRPr="009C789B" w:rsidRDefault="002E3812" w:rsidP="009C789B">
            <w:pPr>
              <w:spacing w:before="60" w:after="60"/>
              <w:jc w:val="center"/>
              <w:rPr>
                <w:rFonts w:ascii="Arial" w:hAnsi="Arial" w:cs="Arial"/>
                <w:sz w:val="20"/>
                <w:szCs w:val="20"/>
              </w:rPr>
            </w:pPr>
            <w:r w:rsidRPr="009C789B">
              <w:rPr>
                <w:rFonts w:ascii="Arial" w:hAnsi="Arial" w:cs="Arial"/>
                <w:sz w:val="20"/>
                <w:szCs w:val="20"/>
              </w:rPr>
              <w:t>94</w:t>
            </w:r>
            <w:r w:rsidR="00B5780C" w:rsidRPr="009C789B">
              <w:rPr>
                <w:rFonts w:ascii="Arial" w:hAnsi="Arial" w:cs="Arial"/>
                <w:sz w:val="20"/>
                <w:szCs w:val="20"/>
              </w:rPr>
              <w:t>,</w:t>
            </w:r>
            <w:r w:rsidRPr="009C789B">
              <w:rPr>
                <w:rFonts w:ascii="Arial" w:hAnsi="Arial" w:cs="Arial"/>
                <w:sz w:val="20"/>
                <w:szCs w:val="20"/>
              </w:rPr>
              <w:t>7</w:t>
            </w:r>
            <w:r w:rsidR="00B5780C" w:rsidRPr="009C789B">
              <w:rPr>
                <w:rFonts w:ascii="Arial" w:hAnsi="Arial" w:cs="Arial"/>
                <w:sz w:val="20"/>
                <w:szCs w:val="20"/>
              </w:rPr>
              <w:t> </w:t>
            </w:r>
            <w:r w:rsidRPr="009C789B">
              <w:rPr>
                <w:rFonts w:ascii="Arial" w:hAnsi="Arial" w:cs="Arial"/>
                <w:sz w:val="20"/>
                <w:szCs w:val="20"/>
              </w:rPr>
              <w:t>%</w:t>
            </w:r>
          </w:p>
        </w:tc>
      </w:tr>
    </w:tbl>
    <w:p w14:paraId="74482CD0" w14:textId="77777777" w:rsidR="001D3E8F" w:rsidRPr="009C789B" w:rsidRDefault="001D3E8F" w:rsidP="009C789B">
      <w:pPr>
        <w:spacing w:before="60" w:after="60"/>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3967"/>
        <w:gridCol w:w="1701"/>
      </w:tblGrid>
      <w:tr w:rsidR="009C789B" w:rsidRPr="009C789B" w14:paraId="1D51DC1F" w14:textId="77777777" w:rsidTr="009C789B">
        <w:trPr>
          <w:trHeight w:val="861"/>
          <w:tblHeader/>
        </w:trPr>
        <w:tc>
          <w:tcPr>
            <w:tcW w:w="3966" w:type="dxa"/>
            <w:shd w:val="clear" w:color="auto" w:fill="D9D9D9" w:themeFill="background1" w:themeFillShade="D9"/>
            <w:vAlign w:val="center"/>
          </w:tcPr>
          <w:p w14:paraId="1B967799" w14:textId="77777777" w:rsidR="009C789B" w:rsidRPr="009C789B" w:rsidRDefault="009C789B" w:rsidP="00BB04C3">
            <w:pPr>
              <w:spacing w:before="60" w:after="60"/>
              <w:jc w:val="center"/>
              <w:rPr>
                <w:rFonts w:ascii="Arial" w:hAnsi="Arial" w:cs="Arial"/>
                <w:b/>
                <w:sz w:val="20"/>
                <w:szCs w:val="20"/>
              </w:rPr>
            </w:pPr>
            <w:r w:rsidRPr="009C789B">
              <w:rPr>
                <w:rFonts w:ascii="Arial" w:hAnsi="Arial" w:cs="Arial"/>
                <w:b/>
                <w:sz w:val="20"/>
                <w:szCs w:val="20"/>
              </w:rPr>
              <w:t>Produit (P)</w:t>
            </w:r>
            <w:r w:rsidRPr="009C789B">
              <w:rPr>
                <w:rFonts w:ascii="Arial" w:hAnsi="Arial" w:cs="Arial"/>
                <w:b/>
                <w:sz w:val="20"/>
                <w:szCs w:val="20"/>
              </w:rPr>
              <w:br/>
              <w:t>Indicateurs/Référence (R)</w:t>
            </w:r>
          </w:p>
        </w:tc>
        <w:tc>
          <w:tcPr>
            <w:tcW w:w="3967" w:type="dxa"/>
            <w:shd w:val="clear" w:color="auto" w:fill="D9D9D9" w:themeFill="background1" w:themeFillShade="D9"/>
            <w:vAlign w:val="center"/>
          </w:tcPr>
          <w:p w14:paraId="7676E98B" w14:textId="77777777" w:rsidR="009C789B" w:rsidRPr="009C789B" w:rsidRDefault="009C789B" w:rsidP="00BB04C3">
            <w:pPr>
              <w:spacing w:before="60" w:after="60"/>
              <w:jc w:val="center"/>
              <w:rPr>
                <w:rFonts w:ascii="Arial" w:hAnsi="Arial" w:cs="Arial"/>
                <w:b/>
                <w:sz w:val="20"/>
                <w:szCs w:val="20"/>
              </w:rPr>
            </w:pPr>
            <w:r w:rsidRPr="009C789B">
              <w:rPr>
                <w:rFonts w:ascii="Arial" w:hAnsi="Arial" w:cs="Arial"/>
                <w:b/>
                <w:sz w:val="20"/>
                <w:szCs w:val="20"/>
              </w:rPr>
              <w:t>Évaluation des progrès accomplis :</w:t>
            </w:r>
            <w:r w:rsidRPr="009C789B">
              <w:rPr>
                <w:rFonts w:ascii="Arial" w:hAnsi="Arial" w:cs="Arial"/>
                <w:b/>
                <w:sz w:val="20"/>
                <w:szCs w:val="20"/>
              </w:rPr>
              <w:br/>
              <w:t>01/01/2014 - 31/12/2015</w:t>
            </w:r>
          </w:p>
        </w:tc>
        <w:tc>
          <w:tcPr>
            <w:tcW w:w="1701" w:type="dxa"/>
            <w:shd w:val="clear" w:color="auto" w:fill="D9D9D9" w:themeFill="background1" w:themeFillShade="D9"/>
            <w:vAlign w:val="center"/>
          </w:tcPr>
          <w:p w14:paraId="4AEA65D8" w14:textId="77777777" w:rsidR="009C789B" w:rsidRPr="009C789B" w:rsidRDefault="009C789B" w:rsidP="00F07BDB">
            <w:pPr>
              <w:spacing w:before="60" w:after="60"/>
              <w:jc w:val="center"/>
              <w:rPr>
                <w:rFonts w:ascii="Arial" w:hAnsi="Arial" w:cs="Arial"/>
                <w:b/>
                <w:sz w:val="20"/>
                <w:szCs w:val="20"/>
              </w:rPr>
            </w:pPr>
            <w:r w:rsidRPr="009C789B">
              <w:rPr>
                <w:rFonts w:ascii="Arial" w:hAnsi="Arial" w:cs="Arial"/>
                <w:b/>
                <w:sz w:val="20"/>
                <w:szCs w:val="20"/>
              </w:rPr>
              <w:t>Évaluation de la mise en œuvre</w:t>
            </w:r>
          </w:p>
        </w:tc>
      </w:tr>
      <w:tr w:rsidR="009C789B" w:rsidRPr="009C789B" w14:paraId="535BA9CD" w14:textId="77777777" w:rsidTr="009C789B">
        <w:tc>
          <w:tcPr>
            <w:tcW w:w="3966" w:type="dxa"/>
            <w:shd w:val="clear" w:color="auto" w:fill="auto"/>
          </w:tcPr>
          <w:p w14:paraId="63350F10" w14:textId="77777777" w:rsidR="002E3812" w:rsidRPr="00F07BDB" w:rsidRDefault="00BE125B" w:rsidP="009C789B">
            <w:pPr>
              <w:spacing w:before="60" w:after="60"/>
              <w:rPr>
                <w:rFonts w:ascii="Arial" w:hAnsi="Arial" w:cs="Arial"/>
                <w:b/>
                <w:sz w:val="20"/>
                <w:szCs w:val="20"/>
              </w:rPr>
            </w:pPr>
            <w:r w:rsidRPr="00F07BDB">
              <w:rPr>
                <w:rFonts w:ascii="Arial" w:hAnsi="Arial" w:cs="Arial"/>
                <w:b/>
                <w:sz w:val="20"/>
                <w:szCs w:val="20"/>
              </w:rPr>
              <w:t>P :</w:t>
            </w:r>
            <w:r w:rsidR="002E3812" w:rsidRPr="00F07BDB">
              <w:rPr>
                <w:rFonts w:ascii="Arial" w:hAnsi="Arial" w:cs="Arial"/>
                <w:b/>
                <w:sz w:val="20"/>
                <w:szCs w:val="20"/>
              </w:rPr>
              <w:t xml:space="preserve"> </w:t>
            </w:r>
          </w:p>
          <w:p w14:paraId="058FBDAB" w14:textId="7271AE90" w:rsidR="002E3812" w:rsidRPr="009C789B" w:rsidRDefault="006A229C" w:rsidP="009C789B">
            <w:pPr>
              <w:spacing w:before="60" w:after="60"/>
              <w:rPr>
                <w:rFonts w:ascii="Arial" w:hAnsi="Arial" w:cs="Arial"/>
                <w:sz w:val="20"/>
                <w:szCs w:val="20"/>
              </w:rPr>
            </w:pPr>
            <w:r w:rsidRPr="009C789B">
              <w:rPr>
                <w:rFonts w:ascii="Arial" w:hAnsi="Arial" w:cs="Arial"/>
                <w:sz w:val="20"/>
                <w:szCs w:val="20"/>
              </w:rPr>
              <w:t>Amélioration de l’a</w:t>
            </w:r>
            <w:r w:rsidR="00457456" w:rsidRPr="009C789B">
              <w:rPr>
                <w:rFonts w:ascii="Arial" w:hAnsi="Arial" w:cs="Arial"/>
                <w:sz w:val="20"/>
                <w:szCs w:val="20"/>
              </w:rPr>
              <w:t xml:space="preserve">ccès à l’information et </w:t>
            </w:r>
            <w:r w:rsidRPr="009C789B">
              <w:rPr>
                <w:rFonts w:ascii="Arial" w:hAnsi="Arial" w:cs="Arial"/>
                <w:sz w:val="20"/>
                <w:szCs w:val="20"/>
              </w:rPr>
              <w:t xml:space="preserve">optimisation des </w:t>
            </w:r>
            <w:r w:rsidR="00457456" w:rsidRPr="009C789B">
              <w:rPr>
                <w:rFonts w:ascii="Arial" w:hAnsi="Arial" w:cs="Arial"/>
                <w:sz w:val="20"/>
                <w:szCs w:val="20"/>
              </w:rPr>
              <w:t xml:space="preserve">processus, </w:t>
            </w:r>
            <w:r w:rsidR="007D3FA2" w:rsidRPr="009C789B">
              <w:rPr>
                <w:rFonts w:ascii="Arial" w:hAnsi="Arial" w:cs="Arial"/>
                <w:sz w:val="20"/>
                <w:szCs w:val="20"/>
              </w:rPr>
              <w:t xml:space="preserve">des </w:t>
            </w:r>
            <w:r w:rsidR="00457456" w:rsidRPr="009C789B">
              <w:rPr>
                <w:rFonts w:ascii="Arial" w:hAnsi="Arial" w:cs="Arial"/>
                <w:sz w:val="20"/>
                <w:szCs w:val="20"/>
              </w:rPr>
              <w:t xml:space="preserve">flux de travail et </w:t>
            </w:r>
            <w:r w:rsidR="007D3FA2" w:rsidRPr="009C789B">
              <w:rPr>
                <w:rFonts w:ascii="Arial" w:hAnsi="Arial" w:cs="Arial"/>
                <w:sz w:val="20"/>
                <w:szCs w:val="20"/>
              </w:rPr>
              <w:t xml:space="preserve">des </w:t>
            </w:r>
            <w:r w:rsidR="00457456" w:rsidRPr="009C789B">
              <w:rPr>
                <w:rFonts w:ascii="Arial" w:hAnsi="Arial" w:cs="Arial"/>
                <w:sz w:val="20"/>
                <w:szCs w:val="20"/>
              </w:rPr>
              <w:t>délai</w:t>
            </w:r>
            <w:r w:rsidRPr="009C789B">
              <w:rPr>
                <w:rFonts w:ascii="Arial" w:hAnsi="Arial" w:cs="Arial"/>
                <w:sz w:val="20"/>
                <w:szCs w:val="20"/>
              </w:rPr>
              <w:t>s</w:t>
            </w:r>
            <w:r w:rsidR="00457456" w:rsidRPr="009C789B">
              <w:rPr>
                <w:rFonts w:ascii="Arial" w:hAnsi="Arial" w:cs="Arial"/>
                <w:sz w:val="20"/>
                <w:szCs w:val="20"/>
              </w:rPr>
              <w:t xml:space="preserve"> de </w:t>
            </w:r>
            <w:r w:rsidR="004A63E1">
              <w:rPr>
                <w:rFonts w:ascii="Arial" w:hAnsi="Arial" w:cs="Arial"/>
                <w:sz w:val="20"/>
                <w:szCs w:val="20"/>
              </w:rPr>
              <w:t>réponse</w:t>
            </w:r>
            <w:r w:rsidR="004A63E1" w:rsidRPr="009C789B">
              <w:rPr>
                <w:rFonts w:ascii="Arial" w:hAnsi="Arial" w:cs="Arial"/>
                <w:sz w:val="20"/>
                <w:szCs w:val="20"/>
              </w:rPr>
              <w:t xml:space="preserve"> </w:t>
            </w:r>
            <w:r w:rsidR="00457456" w:rsidRPr="009C789B">
              <w:rPr>
                <w:rFonts w:ascii="Arial" w:hAnsi="Arial" w:cs="Arial"/>
                <w:sz w:val="20"/>
                <w:szCs w:val="20"/>
              </w:rPr>
              <w:t>grâce à des interfaces de suivi</w:t>
            </w:r>
            <w:r w:rsidR="007D3FA2" w:rsidRPr="009C789B">
              <w:rPr>
                <w:rFonts w:ascii="Arial" w:hAnsi="Arial" w:cs="Arial"/>
                <w:sz w:val="20"/>
                <w:szCs w:val="20"/>
              </w:rPr>
              <w:t xml:space="preserve"> et</w:t>
            </w:r>
            <w:r w:rsidR="00457456" w:rsidRPr="009C789B">
              <w:rPr>
                <w:rFonts w:ascii="Arial" w:hAnsi="Arial" w:cs="Arial"/>
                <w:sz w:val="20"/>
                <w:szCs w:val="20"/>
              </w:rPr>
              <w:t xml:space="preserve"> à </w:t>
            </w:r>
            <w:r w:rsidR="004A63E1">
              <w:rPr>
                <w:rFonts w:ascii="Arial" w:hAnsi="Arial" w:cs="Arial"/>
                <w:sz w:val="20"/>
                <w:szCs w:val="20"/>
              </w:rPr>
              <w:t>un</w:t>
            </w:r>
            <w:r w:rsidR="004A63E1" w:rsidRPr="009C789B">
              <w:rPr>
                <w:rFonts w:ascii="Arial" w:hAnsi="Arial" w:cs="Arial"/>
                <w:sz w:val="20"/>
                <w:szCs w:val="20"/>
              </w:rPr>
              <w:t xml:space="preserve"> </w:t>
            </w:r>
            <w:r w:rsidR="00457456" w:rsidRPr="009C789B">
              <w:rPr>
                <w:rFonts w:ascii="Arial" w:hAnsi="Arial" w:cs="Arial"/>
                <w:sz w:val="20"/>
                <w:szCs w:val="20"/>
              </w:rPr>
              <w:t>tableau de bord</w:t>
            </w:r>
            <w:r w:rsidRPr="009C789B">
              <w:rPr>
                <w:rFonts w:ascii="Arial" w:hAnsi="Arial" w:cs="Arial"/>
                <w:sz w:val="20"/>
                <w:szCs w:val="20"/>
              </w:rPr>
              <w:t xml:space="preserve"> à usage d</w:t>
            </w:r>
            <w:r w:rsidR="00457456" w:rsidRPr="009C789B">
              <w:rPr>
                <w:rFonts w:ascii="Arial" w:hAnsi="Arial" w:cs="Arial"/>
                <w:sz w:val="20"/>
                <w:szCs w:val="20"/>
              </w:rPr>
              <w:t>es responsables régionaux</w:t>
            </w:r>
          </w:p>
          <w:p w14:paraId="766C0F53" w14:textId="77777777" w:rsidR="002E3812" w:rsidRPr="00F07BDB" w:rsidRDefault="00BE125B" w:rsidP="009C789B">
            <w:pPr>
              <w:spacing w:before="60" w:after="60"/>
              <w:rPr>
                <w:rFonts w:ascii="Arial" w:hAnsi="Arial" w:cs="Arial"/>
                <w:b/>
                <w:sz w:val="20"/>
                <w:szCs w:val="20"/>
              </w:rPr>
            </w:pPr>
            <w:r w:rsidRPr="00F07BDB">
              <w:rPr>
                <w:rFonts w:ascii="Arial" w:hAnsi="Arial" w:cs="Arial"/>
                <w:b/>
                <w:sz w:val="20"/>
                <w:szCs w:val="20"/>
              </w:rPr>
              <w:t>R</w:t>
            </w:r>
            <w:r w:rsidR="00517D5B" w:rsidRPr="00F07BDB">
              <w:rPr>
                <w:rFonts w:ascii="Arial" w:hAnsi="Arial" w:cs="Arial"/>
                <w:b/>
                <w:sz w:val="20"/>
                <w:szCs w:val="20"/>
              </w:rPr>
              <w:t> </w:t>
            </w:r>
            <w:r w:rsidR="002E3812" w:rsidRPr="00F07BDB">
              <w:rPr>
                <w:rFonts w:ascii="Arial" w:hAnsi="Arial" w:cs="Arial"/>
                <w:b/>
                <w:sz w:val="20"/>
                <w:szCs w:val="20"/>
              </w:rPr>
              <w:t>2014-2015</w:t>
            </w:r>
            <w:r w:rsidR="00517D5B" w:rsidRPr="00F07BDB">
              <w:rPr>
                <w:rFonts w:ascii="Arial" w:hAnsi="Arial" w:cs="Arial"/>
                <w:b/>
                <w:sz w:val="20"/>
                <w:szCs w:val="20"/>
              </w:rPr>
              <w:t> </w:t>
            </w:r>
            <w:r w:rsidR="002E3812" w:rsidRPr="00F07BDB">
              <w:rPr>
                <w:rFonts w:ascii="Arial" w:hAnsi="Arial" w:cs="Arial"/>
                <w:b/>
                <w:sz w:val="20"/>
                <w:szCs w:val="20"/>
              </w:rPr>
              <w:t>:</w:t>
            </w:r>
          </w:p>
          <w:p w14:paraId="2A94EAED" w14:textId="77777777" w:rsidR="002E3812" w:rsidRPr="009C789B" w:rsidRDefault="00457456" w:rsidP="009C789B">
            <w:pPr>
              <w:spacing w:before="60" w:after="60"/>
              <w:rPr>
                <w:rFonts w:ascii="Arial" w:hAnsi="Arial" w:cs="Arial"/>
                <w:sz w:val="20"/>
                <w:szCs w:val="20"/>
              </w:rPr>
            </w:pPr>
            <w:r w:rsidRPr="009C789B">
              <w:rPr>
                <w:rFonts w:ascii="Arial" w:hAnsi="Arial" w:cs="Arial"/>
                <w:sz w:val="20"/>
                <w:szCs w:val="20"/>
              </w:rPr>
              <w:t xml:space="preserve">Quatre nouvelles interfaces de suivi et un tableau de bord </w:t>
            </w:r>
            <w:r w:rsidR="006A229C" w:rsidRPr="009C789B">
              <w:rPr>
                <w:rFonts w:ascii="Arial" w:hAnsi="Arial" w:cs="Arial"/>
                <w:sz w:val="20"/>
                <w:szCs w:val="20"/>
              </w:rPr>
              <w:t xml:space="preserve">à l’usage des </w:t>
            </w:r>
            <w:r w:rsidR="00246F13" w:rsidRPr="009C789B">
              <w:rPr>
                <w:rFonts w:ascii="Arial" w:hAnsi="Arial" w:cs="Arial"/>
                <w:sz w:val="20"/>
                <w:szCs w:val="20"/>
              </w:rPr>
              <w:t>responsable</w:t>
            </w:r>
            <w:r w:rsidR="006A229C" w:rsidRPr="009C789B">
              <w:rPr>
                <w:rFonts w:ascii="Arial" w:hAnsi="Arial" w:cs="Arial"/>
                <w:sz w:val="20"/>
                <w:szCs w:val="20"/>
              </w:rPr>
              <w:t>s</w:t>
            </w:r>
            <w:r w:rsidR="00246F13" w:rsidRPr="009C789B">
              <w:rPr>
                <w:rFonts w:ascii="Arial" w:hAnsi="Arial" w:cs="Arial"/>
                <w:sz w:val="20"/>
                <w:szCs w:val="20"/>
              </w:rPr>
              <w:t xml:space="preserve"> régiona</w:t>
            </w:r>
            <w:r w:rsidR="006A229C" w:rsidRPr="009C789B">
              <w:rPr>
                <w:rFonts w:ascii="Arial" w:hAnsi="Arial" w:cs="Arial"/>
                <w:sz w:val="20"/>
                <w:szCs w:val="20"/>
              </w:rPr>
              <w:t>ux</w:t>
            </w:r>
            <w:r w:rsidR="00246F13" w:rsidRPr="009C789B">
              <w:rPr>
                <w:rFonts w:ascii="Arial" w:hAnsi="Arial" w:cs="Arial"/>
                <w:sz w:val="20"/>
                <w:szCs w:val="20"/>
              </w:rPr>
              <w:t xml:space="preserve"> affichant les tâches, les délais et les informations de suivi</w:t>
            </w:r>
          </w:p>
        </w:tc>
        <w:tc>
          <w:tcPr>
            <w:tcW w:w="3967" w:type="dxa"/>
            <w:shd w:val="clear" w:color="auto" w:fill="auto"/>
          </w:tcPr>
          <w:p w14:paraId="2E053EAC" w14:textId="77777777" w:rsidR="002E3812" w:rsidRPr="009C789B" w:rsidRDefault="00246F13"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Un</w:t>
            </w:r>
            <w:r w:rsidR="00BE125B" w:rsidRPr="009C789B">
              <w:rPr>
                <w:rFonts w:ascii="Arial" w:hAnsi="Arial" w:cs="Arial"/>
                <w:sz w:val="20"/>
                <w:szCs w:val="20"/>
              </w:rPr>
              <w:t xml:space="preserve"> tableau synoptique</w:t>
            </w:r>
            <w:r w:rsidRPr="009C789B">
              <w:rPr>
                <w:rFonts w:ascii="Arial" w:hAnsi="Arial" w:cs="Arial"/>
                <w:sz w:val="20"/>
                <w:szCs w:val="20"/>
              </w:rPr>
              <w:t xml:space="preserve"> de la situation des dossiers (inscrit</w:t>
            </w:r>
            <w:r w:rsidR="00BE125B" w:rsidRPr="009C789B">
              <w:rPr>
                <w:rFonts w:ascii="Arial" w:hAnsi="Arial" w:cs="Arial"/>
                <w:sz w:val="20"/>
                <w:szCs w:val="20"/>
              </w:rPr>
              <w:t>s</w:t>
            </w:r>
            <w:r w:rsidRPr="009C789B">
              <w:rPr>
                <w:rFonts w:ascii="Arial" w:hAnsi="Arial" w:cs="Arial"/>
                <w:sz w:val="20"/>
                <w:szCs w:val="20"/>
              </w:rPr>
              <w:t>, en cours de traitement, en attente</w:t>
            </w:r>
            <w:r w:rsidR="002E3812" w:rsidRPr="009C789B">
              <w:rPr>
                <w:rFonts w:ascii="Arial" w:hAnsi="Arial" w:cs="Arial"/>
                <w:sz w:val="20"/>
                <w:szCs w:val="20"/>
              </w:rPr>
              <w:t xml:space="preserve">) </w:t>
            </w:r>
            <w:r w:rsidRPr="009C789B">
              <w:rPr>
                <w:rFonts w:ascii="Arial" w:hAnsi="Arial" w:cs="Arial"/>
                <w:sz w:val="20"/>
                <w:szCs w:val="20"/>
              </w:rPr>
              <w:t>est d</w:t>
            </w:r>
            <w:r w:rsidR="00BE125B" w:rsidRPr="009C789B">
              <w:rPr>
                <w:rFonts w:ascii="Arial" w:hAnsi="Arial" w:cs="Arial"/>
                <w:sz w:val="20"/>
                <w:szCs w:val="20"/>
              </w:rPr>
              <w:t>ésormais</w:t>
            </w:r>
            <w:r w:rsidRPr="009C789B">
              <w:rPr>
                <w:rFonts w:ascii="Arial" w:hAnsi="Arial" w:cs="Arial"/>
                <w:sz w:val="20"/>
                <w:szCs w:val="20"/>
              </w:rPr>
              <w:t xml:space="preserve"> </w:t>
            </w:r>
            <w:r w:rsidR="002E3812" w:rsidRPr="009C789B">
              <w:rPr>
                <w:rFonts w:ascii="Arial" w:hAnsi="Arial" w:cs="Arial"/>
                <w:sz w:val="20"/>
                <w:szCs w:val="20"/>
              </w:rPr>
              <w:t xml:space="preserve">accessible </w:t>
            </w:r>
            <w:r w:rsidRPr="009C789B">
              <w:rPr>
                <w:rFonts w:ascii="Arial" w:hAnsi="Arial" w:cs="Arial"/>
                <w:sz w:val="20"/>
                <w:szCs w:val="20"/>
              </w:rPr>
              <w:t>à partir des pages web des pays</w:t>
            </w:r>
            <w:r w:rsidR="002E3812" w:rsidRPr="009C789B">
              <w:rPr>
                <w:rFonts w:ascii="Arial" w:hAnsi="Arial" w:cs="Arial"/>
                <w:sz w:val="20"/>
                <w:szCs w:val="20"/>
              </w:rPr>
              <w:t>.</w:t>
            </w:r>
          </w:p>
          <w:p w14:paraId="1A420548" w14:textId="32BC2326" w:rsidR="002E3812" w:rsidRPr="009C789B" w:rsidRDefault="00246F13"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Une nouvelle </w:t>
            </w:r>
            <w:r w:rsidR="002E3812" w:rsidRPr="009C789B">
              <w:rPr>
                <w:rFonts w:ascii="Arial" w:hAnsi="Arial" w:cs="Arial"/>
                <w:sz w:val="20"/>
                <w:szCs w:val="20"/>
              </w:rPr>
              <w:t xml:space="preserve">interface </w:t>
            </w:r>
            <w:r w:rsidRPr="009C789B">
              <w:rPr>
                <w:rFonts w:ascii="Arial" w:hAnsi="Arial" w:cs="Arial"/>
                <w:sz w:val="20"/>
                <w:szCs w:val="20"/>
              </w:rPr>
              <w:t>a été dé</w:t>
            </w:r>
            <w:r w:rsidR="002E3812" w:rsidRPr="009C789B">
              <w:rPr>
                <w:rFonts w:ascii="Arial" w:hAnsi="Arial" w:cs="Arial"/>
                <w:sz w:val="20"/>
                <w:szCs w:val="20"/>
              </w:rPr>
              <w:t>velop</w:t>
            </w:r>
            <w:r w:rsidRPr="009C789B">
              <w:rPr>
                <w:rFonts w:ascii="Arial" w:hAnsi="Arial" w:cs="Arial"/>
                <w:sz w:val="20"/>
                <w:szCs w:val="20"/>
              </w:rPr>
              <w:t>pé</w:t>
            </w:r>
            <w:r w:rsidR="002E3812" w:rsidRPr="009C789B">
              <w:rPr>
                <w:rFonts w:ascii="Arial" w:hAnsi="Arial" w:cs="Arial"/>
                <w:sz w:val="20"/>
                <w:szCs w:val="20"/>
              </w:rPr>
              <w:t xml:space="preserve">e </w:t>
            </w:r>
            <w:r w:rsidRPr="009C789B">
              <w:rPr>
                <w:rFonts w:ascii="Arial" w:hAnsi="Arial" w:cs="Arial"/>
                <w:sz w:val="20"/>
                <w:szCs w:val="20"/>
              </w:rPr>
              <w:t xml:space="preserve">pour évaluer en interne les rapports soumis par les ONG accréditées sur leur contribution et </w:t>
            </w:r>
            <w:r w:rsidR="00DC1070">
              <w:rPr>
                <w:rFonts w:ascii="Arial" w:hAnsi="Arial" w:cs="Arial"/>
                <w:sz w:val="20"/>
                <w:szCs w:val="20"/>
              </w:rPr>
              <w:t>engagement</w:t>
            </w:r>
            <w:r w:rsidR="00F97A1D" w:rsidRPr="009C789B">
              <w:rPr>
                <w:rFonts w:ascii="Arial" w:hAnsi="Arial" w:cs="Arial"/>
                <w:sz w:val="20"/>
                <w:szCs w:val="20"/>
              </w:rPr>
              <w:t xml:space="preserve"> en faveur de</w:t>
            </w:r>
            <w:r w:rsidR="00D26DB1" w:rsidRPr="009C789B">
              <w:rPr>
                <w:rFonts w:ascii="Arial" w:hAnsi="Arial" w:cs="Arial"/>
                <w:sz w:val="20"/>
                <w:szCs w:val="20"/>
              </w:rPr>
              <w:t xml:space="preserve"> la </w:t>
            </w:r>
            <w:r w:rsidR="002E3812" w:rsidRPr="009C789B">
              <w:rPr>
                <w:rFonts w:ascii="Arial" w:hAnsi="Arial" w:cs="Arial"/>
                <w:sz w:val="20"/>
                <w:szCs w:val="20"/>
              </w:rPr>
              <w:t>Convention.</w:t>
            </w:r>
          </w:p>
          <w:p w14:paraId="71D168DB" w14:textId="77777777" w:rsidR="002E3812" w:rsidRPr="009C789B" w:rsidRDefault="00D26DB1"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Une interface de suivi a été développée pour les demandes </w:t>
            </w:r>
            <w:r w:rsidR="00F97A1D" w:rsidRPr="009C789B">
              <w:rPr>
                <w:rFonts w:ascii="Arial" w:hAnsi="Arial" w:cs="Arial"/>
                <w:sz w:val="20"/>
                <w:szCs w:val="20"/>
              </w:rPr>
              <w:t>d’utilisation de</w:t>
            </w:r>
            <w:r w:rsidRPr="009C789B">
              <w:rPr>
                <w:rFonts w:ascii="Arial" w:hAnsi="Arial" w:cs="Arial"/>
                <w:sz w:val="20"/>
                <w:szCs w:val="20"/>
              </w:rPr>
              <w:t xml:space="preserve"> l’emblème du PCI, avec accès aux rapports des </w:t>
            </w:r>
            <w:r w:rsidR="00AE0FCA" w:rsidRPr="009C789B">
              <w:rPr>
                <w:rFonts w:ascii="Arial" w:hAnsi="Arial" w:cs="Arial"/>
                <w:sz w:val="20"/>
                <w:szCs w:val="20"/>
              </w:rPr>
              <w:t>États</w:t>
            </w:r>
            <w:r w:rsidRPr="009C789B">
              <w:rPr>
                <w:rFonts w:ascii="Arial" w:hAnsi="Arial" w:cs="Arial"/>
                <w:sz w:val="20"/>
                <w:szCs w:val="20"/>
              </w:rPr>
              <w:t xml:space="preserve"> parties ayant </w:t>
            </w:r>
            <w:r w:rsidR="009308A2" w:rsidRPr="009C789B">
              <w:rPr>
                <w:rFonts w:ascii="Arial" w:hAnsi="Arial" w:cs="Arial"/>
                <w:sz w:val="20"/>
                <w:szCs w:val="20"/>
              </w:rPr>
              <w:t>obten</w:t>
            </w:r>
            <w:r w:rsidRPr="009C789B">
              <w:rPr>
                <w:rFonts w:ascii="Arial" w:hAnsi="Arial" w:cs="Arial"/>
                <w:sz w:val="20"/>
                <w:szCs w:val="20"/>
              </w:rPr>
              <w:t>u l</w:t>
            </w:r>
            <w:r w:rsidR="009308A2" w:rsidRPr="009C789B">
              <w:rPr>
                <w:rFonts w:ascii="Arial" w:hAnsi="Arial" w:cs="Arial"/>
                <w:sz w:val="20"/>
                <w:szCs w:val="20"/>
              </w:rPr>
              <w:t xml:space="preserve">e parrainage de la </w:t>
            </w:r>
            <w:r w:rsidR="002E3812" w:rsidRPr="009C789B">
              <w:rPr>
                <w:rFonts w:ascii="Arial" w:hAnsi="Arial" w:cs="Arial"/>
                <w:sz w:val="20"/>
                <w:szCs w:val="20"/>
              </w:rPr>
              <w:t>Convention</w:t>
            </w:r>
            <w:r w:rsidR="0096677A" w:rsidRPr="009C789B">
              <w:rPr>
                <w:rFonts w:ascii="Arial" w:hAnsi="Arial" w:cs="Arial"/>
                <w:sz w:val="20"/>
                <w:szCs w:val="20"/>
              </w:rPr>
              <w:t>,</w:t>
            </w:r>
            <w:r w:rsidR="009308A2" w:rsidRPr="009C789B">
              <w:rPr>
                <w:rFonts w:ascii="Arial" w:hAnsi="Arial" w:cs="Arial"/>
                <w:sz w:val="20"/>
                <w:szCs w:val="20"/>
              </w:rPr>
              <w:t xml:space="preserve"> </w:t>
            </w:r>
            <w:r w:rsidR="0096677A" w:rsidRPr="009C789B">
              <w:rPr>
                <w:rFonts w:ascii="Arial" w:hAnsi="Arial" w:cs="Arial"/>
                <w:sz w:val="20"/>
                <w:szCs w:val="20"/>
              </w:rPr>
              <w:t xml:space="preserve">et </w:t>
            </w:r>
            <w:r w:rsidR="009308A2" w:rsidRPr="009C789B">
              <w:rPr>
                <w:rFonts w:ascii="Arial" w:hAnsi="Arial" w:cs="Arial"/>
                <w:sz w:val="20"/>
                <w:szCs w:val="20"/>
              </w:rPr>
              <w:t>intégration de ces informations dans les pages dédiées aux pays</w:t>
            </w:r>
            <w:r w:rsidR="002E3812" w:rsidRPr="009C789B">
              <w:rPr>
                <w:rFonts w:ascii="Arial" w:hAnsi="Arial" w:cs="Arial"/>
                <w:sz w:val="20"/>
                <w:szCs w:val="20"/>
              </w:rPr>
              <w:t>.</w:t>
            </w:r>
          </w:p>
        </w:tc>
        <w:tc>
          <w:tcPr>
            <w:tcW w:w="1701" w:type="dxa"/>
          </w:tcPr>
          <w:p w14:paraId="09B08143" w14:textId="77777777" w:rsidR="002E3812" w:rsidRPr="009C789B" w:rsidRDefault="002E3812" w:rsidP="00F07BDB">
            <w:pPr>
              <w:spacing w:before="60" w:after="60"/>
              <w:jc w:val="center"/>
              <w:rPr>
                <w:rFonts w:ascii="Arial" w:hAnsi="Arial" w:cs="Arial"/>
                <w:sz w:val="20"/>
                <w:szCs w:val="20"/>
              </w:rPr>
            </w:pPr>
            <w:r w:rsidRPr="009C789B">
              <w:rPr>
                <w:rFonts w:ascii="Arial" w:hAnsi="Arial" w:cs="Arial"/>
                <w:sz w:val="20"/>
                <w:szCs w:val="20"/>
              </w:rPr>
              <w:t>Part</w:t>
            </w:r>
            <w:r w:rsidR="00517D5B" w:rsidRPr="009C789B">
              <w:rPr>
                <w:rFonts w:ascii="Arial" w:hAnsi="Arial" w:cs="Arial"/>
                <w:sz w:val="20"/>
                <w:szCs w:val="20"/>
              </w:rPr>
              <w:t xml:space="preserve">iellement </w:t>
            </w:r>
            <w:r w:rsidRPr="009C789B">
              <w:rPr>
                <w:rFonts w:ascii="Arial" w:hAnsi="Arial" w:cs="Arial"/>
                <w:sz w:val="20"/>
                <w:szCs w:val="20"/>
              </w:rPr>
              <w:t>ac</w:t>
            </w:r>
            <w:r w:rsidR="006A229C" w:rsidRPr="009C789B">
              <w:rPr>
                <w:rFonts w:ascii="Arial" w:hAnsi="Arial" w:cs="Arial"/>
                <w:sz w:val="20"/>
                <w:szCs w:val="20"/>
              </w:rPr>
              <w:t>hevé</w:t>
            </w:r>
            <w:r w:rsidRPr="009C789B">
              <w:rPr>
                <w:rFonts w:ascii="Arial" w:hAnsi="Arial" w:cs="Arial"/>
                <w:sz w:val="20"/>
                <w:szCs w:val="20"/>
              </w:rPr>
              <w:t>e</w:t>
            </w:r>
          </w:p>
        </w:tc>
      </w:tr>
      <w:tr w:rsidR="009C789B" w:rsidRPr="009C789B" w14:paraId="565B40C5" w14:textId="77777777" w:rsidTr="009C789B">
        <w:tc>
          <w:tcPr>
            <w:tcW w:w="3966" w:type="dxa"/>
            <w:shd w:val="clear" w:color="auto" w:fill="auto"/>
          </w:tcPr>
          <w:p w14:paraId="7E8DFBBB" w14:textId="77777777" w:rsidR="0096677A" w:rsidRPr="00F07BDB" w:rsidRDefault="0096677A" w:rsidP="009C789B">
            <w:pPr>
              <w:spacing w:before="60" w:after="60"/>
              <w:rPr>
                <w:rFonts w:ascii="Arial" w:hAnsi="Arial" w:cs="Arial"/>
                <w:b/>
                <w:sz w:val="20"/>
                <w:szCs w:val="20"/>
              </w:rPr>
            </w:pPr>
            <w:r w:rsidRPr="00F07BDB">
              <w:rPr>
                <w:rFonts w:ascii="Arial" w:hAnsi="Arial" w:cs="Arial"/>
                <w:b/>
                <w:sz w:val="20"/>
                <w:szCs w:val="20"/>
              </w:rPr>
              <w:t>P :</w:t>
            </w:r>
          </w:p>
          <w:p w14:paraId="27FF221B" w14:textId="1FC17E55" w:rsidR="002E3812" w:rsidRPr="009C789B" w:rsidRDefault="004A63E1" w:rsidP="009C789B">
            <w:pPr>
              <w:spacing w:before="60" w:after="60"/>
              <w:rPr>
                <w:rFonts w:ascii="Arial" w:hAnsi="Arial" w:cs="Arial"/>
                <w:sz w:val="20"/>
                <w:szCs w:val="20"/>
              </w:rPr>
            </w:pPr>
            <w:r w:rsidRPr="004A63E1">
              <w:rPr>
                <w:rFonts w:ascii="Arial" w:hAnsi="Arial" w:cs="Arial"/>
                <w:sz w:val="20"/>
                <w:szCs w:val="20"/>
              </w:rPr>
              <w:t>Amélioration de l’accessibilité et de l’exploitabilité des documents et des décisions relatifs à la Convention ; amélioration de l’indexation et des capacités de recherche ; canal d’informations contribuant à l’initiative pour la transparence</w:t>
            </w:r>
          </w:p>
          <w:p w14:paraId="01CC3251" w14:textId="77777777" w:rsidR="002E3812" w:rsidRPr="00F07BDB" w:rsidRDefault="0096677A" w:rsidP="009C789B">
            <w:pPr>
              <w:spacing w:before="60" w:after="60"/>
              <w:rPr>
                <w:rFonts w:ascii="Arial" w:hAnsi="Arial" w:cs="Arial"/>
                <w:b/>
                <w:sz w:val="20"/>
                <w:szCs w:val="20"/>
              </w:rPr>
            </w:pPr>
            <w:r w:rsidRPr="00F07BDB">
              <w:rPr>
                <w:rFonts w:ascii="Arial" w:hAnsi="Arial" w:cs="Arial"/>
                <w:b/>
                <w:sz w:val="20"/>
                <w:szCs w:val="20"/>
              </w:rPr>
              <w:t>R</w:t>
            </w:r>
            <w:r w:rsidR="00517D5B" w:rsidRPr="00F07BDB">
              <w:rPr>
                <w:rFonts w:ascii="Arial" w:hAnsi="Arial" w:cs="Arial"/>
                <w:b/>
                <w:sz w:val="20"/>
                <w:szCs w:val="20"/>
              </w:rPr>
              <w:t> </w:t>
            </w:r>
            <w:r w:rsidR="002E3812" w:rsidRPr="00F07BDB">
              <w:rPr>
                <w:rFonts w:ascii="Arial" w:hAnsi="Arial" w:cs="Arial"/>
                <w:b/>
                <w:sz w:val="20"/>
                <w:szCs w:val="20"/>
              </w:rPr>
              <w:t>2014-2015</w:t>
            </w:r>
            <w:r w:rsidR="00517D5B" w:rsidRPr="00F07BDB">
              <w:rPr>
                <w:rFonts w:ascii="Arial" w:hAnsi="Arial" w:cs="Arial"/>
                <w:b/>
                <w:sz w:val="20"/>
                <w:szCs w:val="20"/>
              </w:rPr>
              <w:t> </w:t>
            </w:r>
            <w:r w:rsidR="002E3812" w:rsidRPr="00F07BDB">
              <w:rPr>
                <w:rFonts w:ascii="Arial" w:hAnsi="Arial" w:cs="Arial"/>
                <w:b/>
                <w:sz w:val="20"/>
                <w:szCs w:val="20"/>
              </w:rPr>
              <w:t xml:space="preserve">: </w:t>
            </w:r>
          </w:p>
          <w:p w14:paraId="11B2EC00" w14:textId="77777777" w:rsidR="002E3812" w:rsidRPr="009C789B" w:rsidRDefault="00EE3989" w:rsidP="009C789B">
            <w:pPr>
              <w:spacing w:before="60" w:after="60"/>
              <w:rPr>
                <w:rFonts w:ascii="Arial" w:hAnsi="Arial" w:cs="Arial"/>
                <w:sz w:val="20"/>
                <w:szCs w:val="20"/>
              </w:rPr>
            </w:pPr>
            <w:r w:rsidRPr="009C789B">
              <w:rPr>
                <w:rFonts w:ascii="Arial" w:hAnsi="Arial" w:cs="Arial"/>
                <w:sz w:val="20"/>
                <w:szCs w:val="20"/>
              </w:rPr>
              <w:t>Quinze documents de décision</w:t>
            </w:r>
            <w:r w:rsidR="00131C38" w:rsidRPr="009C789B">
              <w:rPr>
                <w:rFonts w:ascii="Arial" w:hAnsi="Arial" w:cs="Arial"/>
                <w:sz w:val="20"/>
                <w:szCs w:val="20"/>
              </w:rPr>
              <w:t>s</w:t>
            </w:r>
            <w:r w:rsidRPr="009C789B">
              <w:rPr>
                <w:rFonts w:ascii="Arial" w:hAnsi="Arial" w:cs="Arial"/>
                <w:sz w:val="20"/>
                <w:szCs w:val="20"/>
              </w:rPr>
              <w:t xml:space="preserve"> enregistrés dans U</w:t>
            </w:r>
            <w:r w:rsidR="002E3812" w:rsidRPr="009C789B">
              <w:rPr>
                <w:rFonts w:ascii="Arial" w:hAnsi="Arial" w:cs="Arial"/>
                <w:sz w:val="20"/>
                <w:szCs w:val="20"/>
              </w:rPr>
              <w:t>NESDOC</w:t>
            </w:r>
            <w:r w:rsidRPr="009C789B">
              <w:rPr>
                <w:rFonts w:ascii="Arial" w:hAnsi="Arial" w:cs="Arial"/>
                <w:sz w:val="20"/>
                <w:szCs w:val="20"/>
              </w:rPr>
              <w:t> </w:t>
            </w:r>
            <w:r w:rsidR="002E3812" w:rsidRPr="009C789B">
              <w:rPr>
                <w:rFonts w:ascii="Arial" w:hAnsi="Arial" w:cs="Arial"/>
                <w:sz w:val="20"/>
                <w:szCs w:val="20"/>
              </w:rPr>
              <w:t>; 150 d</w:t>
            </w:r>
            <w:r w:rsidRPr="009C789B">
              <w:rPr>
                <w:rFonts w:ascii="Arial" w:hAnsi="Arial" w:cs="Arial"/>
                <w:sz w:val="20"/>
                <w:szCs w:val="20"/>
              </w:rPr>
              <w:t>é</w:t>
            </w:r>
            <w:r w:rsidR="002E3812" w:rsidRPr="009C789B">
              <w:rPr>
                <w:rFonts w:ascii="Arial" w:hAnsi="Arial" w:cs="Arial"/>
                <w:sz w:val="20"/>
                <w:szCs w:val="20"/>
              </w:rPr>
              <w:t>cisions/r</w:t>
            </w:r>
            <w:r w:rsidRPr="009C789B">
              <w:rPr>
                <w:rFonts w:ascii="Arial" w:hAnsi="Arial" w:cs="Arial"/>
                <w:sz w:val="20"/>
                <w:szCs w:val="20"/>
              </w:rPr>
              <w:t>é</w:t>
            </w:r>
            <w:r w:rsidR="002E3812" w:rsidRPr="009C789B">
              <w:rPr>
                <w:rFonts w:ascii="Arial" w:hAnsi="Arial" w:cs="Arial"/>
                <w:sz w:val="20"/>
                <w:szCs w:val="20"/>
              </w:rPr>
              <w:t>solutions r</w:t>
            </w:r>
            <w:r w:rsidRPr="009C789B">
              <w:rPr>
                <w:rFonts w:ascii="Arial" w:hAnsi="Arial" w:cs="Arial"/>
                <w:sz w:val="20"/>
                <w:szCs w:val="20"/>
              </w:rPr>
              <w:t>é</w:t>
            </w:r>
            <w:r w:rsidR="002E3812" w:rsidRPr="009C789B">
              <w:rPr>
                <w:rFonts w:ascii="Arial" w:hAnsi="Arial" w:cs="Arial"/>
                <w:sz w:val="20"/>
                <w:szCs w:val="20"/>
              </w:rPr>
              <w:t>f</w:t>
            </w:r>
            <w:r w:rsidRPr="009C789B">
              <w:rPr>
                <w:rFonts w:ascii="Arial" w:hAnsi="Arial" w:cs="Arial"/>
                <w:sz w:val="20"/>
                <w:szCs w:val="20"/>
              </w:rPr>
              <w:t>é</w:t>
            </w:r>
            <w:r w:rsidR="002E3812" w:rsidRPr="009C789B">
              <w:rPr>
                <w:rFonts w:ascii="Arial" w:hAnsi="Arial" w:cs="Arial"/>
                <w:sz w:val="20"/>
                <w:szCs w:val="20"/>
              </w:rPr>
              <w:t>renc</w:t>
            </w:r>
            <w:r w:rsidRPr="009C789B">
              <w:rPr>
                <w:rFonts w:ascii="Arial" w:hAnsi="Arial" w:cs="Arial"/>
                <w:sz w:val="20"/>
                <w:szCs w:val="20"/>
              </w:rPr>
              <w:t>ées dans le SGC </w:t>
            </w:r>
            <w:r w:rsidR="002E3812" w:rsidRPr="009C789B">
              <w:rPr>
                <w:rFonts w:ascii="Arial" w:hAnsi="Arial" w:cs="Arial"/>
                <w:sz w:val="20"/>
                <w:szCs w:val="20"/>
              </w:rPr>
              <w:t xml:space="preserve">; </w:t>
            </w:r>
            <w:r w:rsidRPr="009C789B">
              <w:rPr>
                <w:rFonts w:ascii="Arial" w:hAnsi="Arial" w:cs="Arial"/>
                <w:sz w:val="20"/>
                <w:szCs w:val="20"/>
              </w:rPr>
              <w:t>un canal de communication des données pour contribuer à l’initiative de transparence</w:t>
            </w:r>
          </w:p>
        </w:tc>
        <w:tc>
          <w:tcPr>
            <w:tcW w:w="3967" w:type="dxa"/>
            <w:shd w:val="clear" w:color="auto" w:fill="auto"/>
          </w:tcPr>
          <w:p w14:paraId="181473AD" w14:textId="77777777" w:rsidR="002E3812" w:rsidRPr="009C789B" w:rsidRDefault="00131C38"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Douze documents de décisions et plus de </w:t>
            </w:r>
            <w:r w:rsidR="002E3812" w:rsidRPr="009C789B">
              <w:rPr>
                <w:rFonts w:ascii="Arial" w:hAnsi="Arial" w:cs="Arial"/>
                <w:sz w:val="20"/>
                <w:szCs w:val="20"/>
              </w:rPr>
              <w:t xml:space="preserve">150 documents </w:t>
            </w:r>
            <w:r w:rsidRPr="009C789B">
              <w:rPr>
                <w:rFonts w:ascii="Arial" w:hAnsi="Arial" w:cs="Arial"/>
                <w:sz w:val="20"/>
                <w:szCs w:val="20"/>
              </w:rPr>
              <w:t>de travail transférés dans</w:t>
            </w:r>
            <w:r w:rsidR="002E3812" w:rsidRPr="009C789B">
              <w:rPr>
                <w:rFonts w:ascii="Arial" w:hAnsi="Arial" w:cs="Arial"/>
                <w:sz w:val="20"/>
                <w:szCs w:val="20"/>
              </w:rPr>
              <w:t xml:space="preserve"> UNESDOC (Comit</w:t>
            </w:r>
            <w:r w:rsidRPr="009C789B">
              <w:rPr>
                <w:rFonts w:ascii="Arial" w:hAnsi="Arial" w:cs="Arial"/>
                <w:sz w:val="20"/>
                <w:szCs w:val="20"/>
              </w:rPr>
              <w:t>é et Assemblée générale jusqu’à</w:t>
            </w:r>
            <w:r w:rsidR="002E3812" w:rsidRPr="009C789B">
              <w:rPr>
                <w:rFonts w:ascii="Arial" w:hAnsi="Arial" w:cs="Arial"/>
                <w:sz w:val="20"/>
                <w:szCs w:val="20"/>
              </w:rPr>
              <w:t xml:space="preserve"> 6.COM).</w:t>
            </w:r>
          </w:p>
          <w:p w14:paraId="63A67CC0" w14:textId="058B0B7E" w:rsidR="002E3812" w:rsidRPr="009C789B" w:rsidRDefault="00131C38" w:rsidP="00DC1070">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Sept cents décisions et résolutions sont référencées dans le système de gestion des connaissances et </w:t>
            </w:r>
            <w:r w:rsidR="004C4C14" w:rsidRPr="009C789B">
              <w:rPr>
                <w:rFonts w:ascii="Arial" w:hAnsi="Arial" w:cs="Arial"/>
                <w:sz w:val="20"/>
                <w:szCs w:val="20"/>
              </w:rPr>
              <w:t>disponibles en ligne avec les documents de travail</w:t>
            </w:r>
            <w:r w:rsidR="00555D9C" w:rsidRPr="009C789B">
              <w:rPr>
                <w:rFonts w:ascii="Arial" w:hAnsi="Arial" w:cs="Arial"/>
                <w:sz w:val="20"/>
                <w:szCs w:val="20"/>
              </w:rPr>
              <w:t xml:space="preserve"> et </w:t>
            </w:r>
            <w:r w:rsidR="00DC1070">
              <w:rPr>
                <w:rFonts w:ascii="Arial" w:hAnsi="Arial" w:cs="Arial"/>
                <w:sz w:val="20"/>
                <w:szCs w:val="20"/>
              </w:rPr>
              <w:t xml:space="preserve">les enregistrements </w:t>
            </w:r>
            <w:r w:rsidR="004C4C14" w:rsidRPr="009C789B">
              <w:rPr>
                <w:rFonts w:ascii="Arial" w:hAnsi="Arial" w:cs="Arial"/>
                <w:sz w:val="20"/>
                <w:szCs w:val="20"/>
              </w:rPr>
              <w:t xml:space="preserve">des débats </w:t>
            </w:r>
            <w:r w:rsidR="00555D9C" w:rsidRPr="009C789B">
              <w:rPr>
                <w:rFonts w:ascii="Arial" w:hAnsi="Arial" w:cs="Arial"/>
                <w:sz w:val="20"/>
                <w:szCs w:val="20"/>
              </w:rPr>
              <w:t>correspondants</w:t>
            </w:r>
            <w:r w:rsidR="002E3812" w:rsidRPr="009C789B">
              <w:rPr>
                <w:rFonts w:ascii="Arial" w:hAnsi="Arial" w:cs="Arial"/>
                <w:sz w:val="20"/>
                <w:szCs w:val="20"/>
              </w:rPr>
              <w:t>.</w:t>
            </w:r>
          </w:p>
        </w:tc>
        <w:tc>
          <w:tcPr>
            <w:tcW w:w="1701" w:type="dxa"/>
          </w:tcPr>
          <w:p w14:paraId="050CC7D7" w14:textId="77777777" w:rsidR="002E3812" w:rsidRPr="009C789B" w:rsidRDefault="002E3812" w:rsidP="00F07BDB">
            <w:pPr>
              <w:spacing w:before="60" w:after="60"/>
              <w:jc w:val="center"/>
              <w:rPr>
                <w:rFonts w:ascii="Arial" w:hAnsi="Arial" w:cs="Arial"/>
                <w:sz w:val="20"/>
                <w:szCs w:val="20"/>
              </w:rPr>
            </w:pPr>
            <w:r w:rsidRPr="009C789B">
              <w:rPr>
                <w:rFonts w:ascii="Arial" w:hAnsi="Arial" w:cs="Arial"/>
                <w:sz w:val="20"/>
                <w:szCs w:val="20"/>
              </w:rPr>
              <w:t>Ac</w:t>
            </w:r>
            <w:r w:rsidR="004C4C14" w:rsidRPr="009C789B">
              <w:rPr>
                <w:rFonts w:ascii="Arial" w:hAnsi="Arial" w:cs="Arial"/>
                <w:sz w:val="20"/>
                <w:szCs w:val="20"/>
              </w:rPr>
              <w:t>hevé</w:t>
            </w:r>
            <w:r w:rsidRPr="009C789B">
              <w:rPr>
                <w:rFonts w:ascii="Arial" w:hAnsi="Arial" w:cs="Arial"/>
                <w:sz w:val="20"/>
                <w:szCs w:val="20"/>
              </w:rPr>
              <w:t>e</w:t>
            </w:r>
          </w:p>
        </w:tc>
      </w:tr>
      <w:tr w:rsidR="009C789B" w:rsidRPr="009C789B" w14:paraId="56544AF6" w14:textId="77777777" w:rsidTr="009C789B">
        <w:tc>
          <w:tcPr>
            <w:tcW w:w="3966" w:type="dxa"/>
            <w:shd w:val="clear" w:color="auto" w:fill="auto"/>
          </w:tcPr>
          <w:p w14:paraId="05D0B237" w14:textId="77777777" w:rsidR="00AC4953" w:rsidRPr="00F07BDB" w:rsidRDefault="004C4C14" w:rsidP="009C789B">
            <w:pPr>
              <w:spacing w:before="60" w:after="60"/>
              <w:rPr>
                <w:rFonts w:ascii="Arial" w:hAnsi="Arial" w:cs="Arial"/>
                <w:b/>
                <w:sz w:val="20"/>
                <w:szCs w:val="20"/>
              </w:rPr>
            </w:pPr>
            <w:r w:rsidRPr="00F07BDB">
              <w:rPr>
                <w:rFonts w:ascii="Arial" w:hAnsi="Arial" w:cs="Arial"/>
                <w:b/>
                <w:sz w:val="20"/>
                <w:szCs w:val="20"/>
              </w:rPr>
              <w:t xml:space="preserve">P : </w:t>
            </w:r>
          </w:p>
          <w:p w14:paraId="3251A9FE" w14:textId="5BCFEEBB" w:rsidR="002E3812" w:rsidRPr="009C789B" w:rsidRDefault="004A63E1" w:rsidP="009C789B">
            <w:pPr>
              <w:spacing w:before="60" w:after="60"/>
              <w:rPr>
                <w:rFonts w:ascii="Arial" w:hAnsi="Arial" w:cs="Arial"/>
                <w:sz w:val="20"/>
                <w:szCs w:val="20"/>
              </w:rPr>
            </w:pPr>
            <w:r w:rsidRPr="004A63E1">
              <w:rPr>
                <w:rFonts w:ascii="Arial" w:hAnsi="Arial" w:cs="Arial"/>
                <w:sz w:val="20"/>
                <w:szCs w:val="20"/>
              </w:rPr>
              <w:t>Nouvelles fonctionnalités en ligne pour les parties prenantes externes</w:t>
            </w:r>
          </w:p>
          <w:p w14:paraId="01F35017" w14:textId="77777777" w:rsidR="002E3812" w:rsidRPr="00F07BDB" w:rsidRDefault="004C4C14" w:rsidP="009C789B">
            <w:pPr>
              <w:spacing w:before="60" w:after="60"/>
              <w:rPr>
                <w:rFonts w:ascii="Arial" w:hAnsi="Arial" w:cs="Arial"/>
                <w:b/>
                <w:sz w:val="20"/>
                <w:szCs w:val="20"/>
              </w:rPr>
            </w:pPr>
            <w:r w:rsidRPr="00F07BDB">
              <w:rPr>
                <w:rFonts w:ascii="Arial" w:hAnsi="Arial" w:cs="Arial"/>
                <w:b/>
                <w:sz w:val="20"/>
                <w:szCs w:val="20"/>
              </w:rPr>
              <w:t xml:space="preserve">R </w:t>
            </w:r>
            <w:r w:rsidR="002E3812" w:rsidRPr="00F07BDB">
              <w:rPr>
                <w:rFonts w:ascii="Arial" w:hAnsi="Arial" w:cs="Arial"/>
                <w:b/>
                <w:sz w:val="20"/>
                <w:szCs w:val="20"/>
              </w:rPr>
              <w:t>2014-2015</w:t>
            </w:r>
            <w:r w:rsidR="0005334B" w:rsidRPr="00F07BDB">
              <w:rPr>
                <w:rFonts w:ascii="Arial" w:hAnsi="Arial" w:cs="Arial"/>
                <w:b/>
                <w:sz w:val="20"/>
                <w:szCs w:val="20"/>
              </w:rPr>
              <w:t> </w:t>
            </w:r>
            <w:r w:rsidR="002E3812" w:rsidRPr="00F07BDB">
              <w:rPr>
                <w:rFonts w:ascii="Arial" w:hAnsi="Arial" w:cs="Arial"/>
                <w:b/>
                <w:sz w:val="20"/>
                <w:szCs w:val="20"/>
              </w:rPr>
              <w:t xml:space="preserve">: </w:t>
            </w:r>
          </w:p>
          <w:p w14:paraId="6E543B86" w14:textId="77777777" w:rsidR="002E3812" w:rsidRPr="009C789B" w:rsidRDefault="004C4C14" w:rsidP="009C789B">
            <w:pPr>
              <w:spacing w:before="60" w:after="60"/>
              <w:rPr>
                <w:rFonts w:ascii="Arial" w:hAnsi="Arial" w:cs="Arial"/>
                <w:sz w:val="20"/>
                <w:szCs w:val="20"/>
              </w:rPr>
            </w:pPr>
            <w:r w:rsidRPr="009C789B">
              <w:rPr>
                <w:rFonts w:ascii="Arial" w:hAnsi="Arial" w:cs="Arial"/>
                <w:sz w:val="20"/>
                <w:szCs w:val="20"/>
              </w:rPr>
              <w:t>Mise en ligne d’un n</w:t>
            </w:r>
            <w:r w:rsidR="0005334B" w:rsidRPr="009C789B">
              <w:rPr>
                <w:rFonts w:ascii="Arial" w:hAnsi="Arial" w:cs="Arial"/>
                <w:sz w:val="20"/>
                <w:szCs w:val="20"/>
              </w:rPr>
              <w:t>ouveau processus</w:t>
            </w:r>
          </w:p>
        </w:tc>
        <w:tc>
          <w:tcPr>
            <w:tcW w:w="3967" w:type="dxa"/>
            <w:shd w:val="clear" w:color="auto" w:fill="auto"/>
          </w:tcPr>
          <w:p w14:paraId="307C743A" w14:textId="77777777" w:rsidR="002E3812" w:rsidRPr="009C789B" w:rsidRDefault="00F8558C"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Un outil d’enquête de satisfaction en ligne a été développé pour les réunions statutaires à laquelle les participants sont invités à répondre</w:t>
            </w:r>
            <w:r w:rsidR="002E3812" w:rsidRPr="009C789B">
              <w:rPr>
                <w:rFonts w:ascii="Arial" w:hAnsi="Arial" w:cs="Arial"/>
                <w:sz w:val="20"/>
                <w:szCs w:val="20"/>
              </w:rPr>
              <w:t>.</w:t>
            </w:r>
          </w:p>
          <w:p w14:paraId="318398E2" w14:textId="77777777" w:rsidR="002E3812" w:rsidRPr="009C789B" w:rsidRDefault="00F8558C"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L’outil d’inscription en ligne </w:t>
            </w:r>
            <w:r w:rsidR="00F2366D" w:rsidRPr="009C789B">
              <w:rPr>
                <w:rFonts w:ascii="Arial" w:hAnsi="Arial" w:cs="Arial"/>
                <w:sz w:val="20"/>
                <w:szCs w:val="20"/>
              </w:rPr>
              <w:t>aux réunions statutaires a été renforcé par une alerte automatique envoyée aux délégations permanentes des pays dont les participants sont ressortissants</w:t>
            </w:r>
            <w:r w:rsidR="002E3812" w:rsidRPr="009C789B">
              <w:rPr>
                <w:rFonts w:ascii="Arial" w:hAnsi="Arial" w:cs="Arial"/>
                <w:sz w:val="20"/>
                <w:szCs w:val="20"/>
              </w:rPr>
              <w:t>.</w:t>
            </w:r>
          </w:p>
        </w:tc>
        <w:tc>
          <w:tcPr>
            <w:tcW w:w="1701" w:type="dxa"/>
          </w:tcPr>
          <w:p w14:paraId="208CD857" w14:textId="77777777" w:rsidR="002E3812" w:rsidRPr="009C789B" w:rsidRDefault="002E3812" w:rsidP="00F07BDB">
            <w:pPr>
              <w:spacing w:before="60" w:after="60"/>
              <w:jc w:val="center"/>
              <w:rPr>
                <w:rFonts w:ascii="Arial" w:hAnsi="Arial" w:cs="Arial"/>
                <w:sz w:val="20"/>
                <w:szCs w:val="20"/>
              </w:rPr>
            </w:pPr>
            <w:r w:rsidRPr="009C789B">
              <w:rPr>
                <w:rFonts w:ascii="Arial" w:hAnsi="Arial" w:cs="Arial"/>
                <w:sz w:val="20"/>
                <w:szCs w:val="20"/>
              </w:rPr>
              <w:t>Part</w:t>
            </w:r>
            <w:r w:rsidR="004C4C14" w:rsidRPr="009C789B">
              <w:rPr>
                <w:rFonts w:ascii="Arial" w:hAnsi="Arial" w:cs="Arial"/>
                <w:sz w:val="20"/>
                <w:szCs w:val="20"/>
              </w:rPr>
              <w:t>iellement achevé</w:t>
            </w:r>
            <w:r w:rsidRPr="009C789B">
              <w:rPr>
                <w:rFonts w:ascii="Arial" w:hAnsi="Arial" w:cs="Arial"/>
                <w:sz w:val="20"/>
                <w:szCs w:val="20"/>
              </w:rPr>
              <w:t>e</w:t>
            </w:r>
          </w:p>
        </w:tc>
      </w:tr>
      <w:tr w:rsidR="009C789B" w:rsidRPr="009C789B" w14:paraId="7B31B2E7" w14:textId="77777777" w:rsidTr="009C789B">
        <w:tc>
          <w:tcPr>
            <w:tcW w:w="3966" w:type="dxa"/>
            <w:shd w:val="clear" w:color="auto" w:fill="auto"/>
          </w:tcPr>
          <w:p w14:paraId="7ACC9289" w14:textId="77777777" w:rsidR="007F47E6" w:rsidRPr="00F07BDB" w:rsidRDefault="004C4C14" w:rsidP="009C789B">
            <w:pPr>
              <w:spacing w:before="60" w:after="60"/>
              <w:rPr>
                <w:rFonts w:ascii="Arial" w:hAnsi="Arial" w:cs="Arial"/>
                <w:b/>
                <w:sz w:val="20"/>
                <w:szCs w:val="20"/>
              </w:rPr>
            </w:pPr>
            <w:r w:rsidRPr="00F07BDB">
              <w:rPr>
                <w:rFonts w:ascii="Arial" w:hAnsi="Arial" w:cs="Arial"/>
                <w:b/>
                <w:sz w:val="20"/>
                <w:szCs w:val="20"/>
              </w:rPr>
              <w:t xml:space="preserve">P : </w:t>
            </w:r>
          </w:p>
          <w:p w14:paraId="151E8370" w14:textId="61830E28" w:rsidR="002E3812" w:rsidRPr="009C789B" w:rsidRDefault="004A63E1" w:rsidP="009C789B">
            <w:pPr>
              <w:spacing w:before="60" w:after="60"/>
              <w:rPr>
                <w:rFonts w:ascii="Arial" w:hAnsi="Arial" w:cs="Arial"/>
                <w:sz w:val="20"/>
                <w:szCs w:val="20"/>
              </w:rPr>
            </w:pPr>
            <w:r w:rsidRPr="004A63E1">
              <w:rPr>
                <w:rFonts w:ascii="Arial" w:hAnsi="Arial" w:cs="Arial"/>
                <w:sz w:val="20"/>
                <w:szCs w:val="20"/>
              </w:rPr>
              <w:t>Amélioration du site Internet de la Convention grâce à une navigation et une ergonomie améliorées et à l’optimisation du moteur de recherche</w:t>
            </w:r>
          </w:p>
          <w:p w14:paraId="4EA5284B" w14:textId="77777777" w:rsidR="002E3812" w:rsidRPr="00F07BDB" w:rsidRDefault="004C4C14" w:rsidP="009C789B">
            <w:pPr>
              <w:spacing w:before="60" w:after="60"/>
              <w:rPr>
                <w:rFonts w:ascii="Arial" w:hAnsi="Arial" w:cs="Arial"/>
                <w:b/>
                <w:sz w:val="20"/>
                <w:szCs w:val="20"/>
              </w:rPr>
            </w:pPr>
            <w:r w:rsidRPr="00F07BDB">
              <w:rPr>
                <w:rFonts w:ascii="Arial" w:hAnsi="Arial" w:cs="Arial"/>
                <w:b/>
                <w:sz w:val="20"/>
                <w:szCs w:val="20"/>
              </w:rPr>
              <w:t xml:space="preserve">R </w:t>
            </w:r>
            <w:r w:rsidR="002E3812" w:rsidRPr="00F07BDB">
              <w:rPr>
                <w:rFonts w:ascii="Arial" w:hAnsi="Arial" w:cs="Arial"/>
                <w:b/>
                <w:sz w:val="20"/>
                <w:szCs w:val="20"/>
              </w:rPr>
              <w:t>2014-2015</w:t>
            </w:r>
            <w:r w:rsidR="0005334B" w:rsidRPr="00F07BDB">
              <w:rPr>
                <w:rFonts w:ascii="Arial" w:hAnsi="Arial" w:cs="Arial"/>
                <w:b/>
                <w:sz w:val="20"/>
                <w:szCs w:val="20"/>
              </w:rPr>
              <w:t> </w:t>
            </w:r>
            <w:r w:rsidR="002E3812" w:rsidRPr="00F07BDB">
              <w:rPr>
                <w:rFonts w:ascii="Arial" w:hAnsi="Arial" w:cs="Arial"/>
                <w:b/>
                <w:sz w:val="20"/>
                <w:szCs w:val="20"/>
              </w:rPr>
              <w:t xml:space="preserve">: </w:t>
            </w:r>
          </w:p>
          <w:p w14:paraId="31079F76" w14:textId="77777777" w:rsidR="002E3812" w:rsidRPr="009C789B" w:rsidRDefault="00555D9C" w:rsidP="009C789B">
            <w:pPr>
              <w:spacing w:before="60" w:after="60"/>
              <w:rPr>
                <w:rFonts w:ascii="Arial" w:hAnsi="Arial" w:cs="Arial"/>
                <w:sz w:val="20"/>
                <w:szCs w:val="20"/>
              </w:rPr>
            </w:pPr>
            <w:r w:rsidRPr="009C789B">
              <w:rPr>
                <w:rFonts w:ascii="Arial" w:hAnsi="Arial" w:cs="Arial"/>
                <w:sz w:val="20"/>
                <w:szCs w:val="20"/>
              </w:rPr>
              <w:t>95 %</w:t>
            </w:r>
            <w:r w:rsidR="0005334B" w:rsidRPr="009C789B">
              <w:rPr>
                <w:rFonts w:ascii="Arial" w:hAnsi="Arial" w:cs="Arial"/>
                <w:sz w:val="20"/>
                <w:szCs w:val="20"/>
              </w:rPr>
              <w:t xml:space="preserve"> des pages existantes ont </w:t>
            </w:r>
            <w:r w:rsidR="00410328" w:rsidRPr="009C789B">
              <w:rPr>
                <w:rFonts w:ascii="Arial" w:hAnsi="Arial" w:cs="Arial"/>
                <w:sz w:val="20"/>
                <w:szCs w:val="20"/>
              </w:rPr>
              <w:t>été transférés</w:t>
            </w:r>
            <w:r w:rsidR="0005334B" w:rsidRPr="009C789B">
              <w:rPr>
                <w:rFonts w:ascii="Arial" w:hAnsi="Arial" w:cs="Arial"/>
                <w:sz w:val="20"/>
                <w:szCs w:val="20"/>
              </w:rPr>
              <w:t xml:space="preserve"> et </w:t>
            </w:r>
            <w:r w:rsidR="002E3812" w:rsidRPr="009C789B">
              <w:rPr>
                <w:rFonts w:ascii="Arial" w:hAnsi="Arial" w:cs="Arial"/>
                <w:sz w:val="20"/>
                <w:szCs w:val="20"/>
              </w:rPr>
              <w:t>5</w:t>
            </w:r>
            <w:r w:rsidR="0005334B" w:rsidRPr="009C789B">
              <w:rPr>
                <w:rFonts w:ascii="Arial" w:hAnsi="Arial" w:cs="Arial"/>
                <w:sz w:val="20"/>
                <w:szCs w:val="20"/>
              </w:rPr>
              <w:t> </w:t>
            </w:r>
            <w:r w:rsidR="002E3812" w:rsidRPr="009C789B">
              <w:rPr>
                <w:rFonts w:ascii="Arial" w:hAnsi="Arial" w:cs="Arial"/>
                <w:sz w:val="20"/>
                <w:szCs w:val="20"/>
              </w:rPr>
              <w:t xml:space="preserve">% </w:t>
            </w:r>
            <w:r w:rsidR="00817402" w:rsidRPr="009C789B">
              <w:rPr>
                <w:rFonts w:ascii="Arial" w:hAnsi="Arial" w:cs="Arial"/>
                <w:sz w:val="20"/>
                <w:szCs w:val="20"/>
              </w:rPr>
              <w:t xml:space="preserve">ont été </w:t>
            </w:r>
            <w:r w:rsidR="00060A08" w:rsidRPr="009C789B">
              <w:rPr>
                <w:rFonts w:ascii="Arial" w:hAnsi="Arial" w:cs="Arial"/>
                <w:sz w:val="20"/>
                <w:szCs w:val="20"/>
              </w:rPr>
              <w:t>supprimé</w:t>
            </w:r>
            <w:r w:rsidR="00817402" w:rsidRPr="009C789B">
              <w:rPr>
                <w:rFonts w:ascii="Arial" w:hAnsi="Arial" w:cs="Arial"/>
                <w:sz w:val="20"/>
                <w:szCs w:val="20"/>
              </w:rPr>
              <w:t>s </w:t>
            </w:r>
            <w:r w:rsidR="002E3812" w:rsidRPr="009C789B">
              <w:rPr>
                <w:rFonts w:ascii="Arial" w:hAnsi="Arial" w:cs="Arial"/>
                <w:sz w:val="20"/>
                <w:szCs w:val="20"/>
              </w:rPr>
              <w:t>; 4</w:t>
            </w:r>
            <w:r w:rsidR="00817402" w:rsidRPr="009C789B">
              <w:rPr>
                <w:rFonts w:ascii="Arial" w:hAnsi="Arial" w:cs="Arial"/>
                <w:sz w:val="20"/>
                <w:szCs w:val="20"/>
              </w:rPr>
              <w:t> </w:t>
            </w:r>
            <w:r w:rsidR="002E3812" w:rsidRPr="009C789B">
              <w:rPr>
                <w:rFonts w:ascii="Arial" w:hAnsi="Arial" w:cs="Arial"/>
                <w:sz w:val="20"/>
                <w:szCs w:val="20"/>
              </w:rPr>
              <w:t>000</w:t>
            </w:r>
            <w:r w:rsidR="00817402" w:rsidRPr="009C789B">
              <w:rPr>
                <w:rFonts w:ascii="Arial" w:hAnsi="Arial" w:cs="Arial"/>
                <w:sz w:val="20"/>
                <w:szCs w:val="20"/>
              </w:rPr>
              <w:t> </w:t>
            </w:r>
            <w:r w:rsidR="002E3812" w:rsidRPr="009C789B">
              <w:rPr>
                <w:rFonts w:ascii="Arial" w:hAnsi="Arial" w:cs="Arial"/>
                <w:sz w:val="20"/>
                <w:szCs w:val="20"/>
              </w:rPr>
              <w:t>000 </w:t>
            </w:r>
            <w:r w:rsidR="00817402" w:rsidRPr="009C789B">
              <w:rPr>
                <w:rFonts w:ascii="Arial" w:hAnsi="Arial" w:cs="Arial"/>
                <w:sz w:val="20"/>
                <w:szCs w:val="20"/>
              </w:rPr>
              <w:t>pages visitées</w:t>
            </w:r>
          </w:p>
        </w:tc>
        <w:tc>
          <w:tcPr>
            <w:tcW w:w="3967" w:type="dxa"/>
            <w:shd w:val="clear" w:color="auto" w:fill="auto"/>
          </w:tcPr>
          <w:p w14:paraId="0C7D4005" w14:textId="51D1AB9D" w:rsidR="002E3812" w:rsidRPr="009C789B" w:rsidRDefault="00F2366D"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Le s</w:t>
            </w:r>
            <w:r w:rsidR="00817402" w:rsidRPr="009C789B">
              <w:rPr>
                <w:rFonts w:ascii="Arial" w:hAnsi="Arial" w:cs="Arial"/>
                <w:sz w:val="20"/>
                <w:szCs w:val="20"/>
              </w:rPr>
              <w:t>ite web entièrement rénové (contient un moteur de recherche pour faciliter l</w:t>
            </w:r>
            <w:r w:rsidRPr="009C789B">
              <w:rPr>
                <w:rFonts w:ascii="Arial" w:hAnsi="Arial" w:cs="Arial"/>
                <w:sz w:val="20"/>
                <w:szCs w:val="20"/>
              </w:rPr>
              <w:t>a</w:t>
            </w:r>
            <w:r w:rsidR="00817402" w:rsidRPr="009C789B">
              <w:rPr>
                <w:rFonts w:ascii="Arial" w:hAnsi="Arial" w:cs="Arial"/>
                <w:sz w:val="20"/>
                <w:szCs w:val="20"/>
              </w:rPr>
              <w:t xml:space="preserve"> recherche de pages web, d’éléments, de décisions</w:t>
            </w:r>
            <w:r w:rsidRPr="009C789B">
              <w:rPr>
                <w:rFonts w:ascii="Arial" w:hAnsi="Arial" w:cs="Arial"/>
                <w:sz w:val="20"/>
                <w:szCs w:val="20"/>
              </w:rPr>
              <w:t>,</w:t>
            </w:r>
            <w:r w:rsidR="00817402" w:rsidRPr="009C789B">
              <w:rPr>
                <w:rFonts w:ascii="Arial" w:hAnsi="Arial" w:cs="Arial"/>
                <w:sz w:val="20"/>
                <w:szCs w:val="20"/>
              </w:rPr>
              <w:t xml:space="preserve"> de projets</w:t>
            </w:r>
            <w:r w:rsidR="002E3812" w:rsidRPr="009C789B">
              <w:rPr>
                <w:rFonts w:ascii="Arial" w:hAnsi="Arial" w:cs="Arial"/>
                <w:sz w:val="20"/>
                <w:szCs w:val="20"/>
              </w:rPr>
              <w:t xml:space="preserve">, etc.) </w:t>
            </w:r>
            <w:r w:rsidR="00BB1B24" w:rsidRPr="009C789B">
              <w:rPr>
                <w:rFonts w:ascii="Arial" w:hAnsi="Arial" w:cs="Arial"/>
                <w:sz w:val="20"/>
                <w:szCs w:val="20"/>
              </w:rPr>
              <w:t xml:space="preserve">a été </w:t>
            </w:r>
            <w:r w:rsidR="002E3812" w:rsidRPr="009C789B">
              <w:rPr>
                <w:rFonts w:ascii="Arial" w:hAnsi="Arial" w:cs="Arial"/>
                <w:sz w:val="20"/>
                <w:szCs w:val="20"/>
              </w:rPr>
              <w:t>lanc</w:t>
            </w:r>
            <w:r w:rsidR="00817402" w:rsidRPr="009C789B">
              <w:rPr>
                <w:rFonts w:ascii="Arial" w:hAnsi="Arial" w:cs="Arial"/>
                <w:sz w:val="20"/>
                <w:szCs w:val="20"/>
              </w:rPr>
              <w:t>é</w:t>
            </w:r>
            <w:r w:rsidR="002E3812" w:rsidRPr="009C789B">
              <w:rPr>
                <w:rFonts w:ascii="Arial" w:hAnsi="Arial" w:cs="Arial"/>
                <w:sz w:val="20"/>
                <w:szCs w:val="20"/>
              </w:rPr>
              <w:t xml:space="preserve">, </w:t>
            </w:r>
            <w:r w:rsidR="00817402" w:rsidRPr="009C789B">
              <w:rPr>
                <w:rFonts w:ascii="Arial" w:hAnsi="Arial" w:cs="Arial"/>
                <w:sz w:val="20"/>
                <w:szCs w:val="20"/>
              </w:rPr>
              <w:t xml:space="preserve">améliorant considérablement la navigation et offrant des interfaces </w:t>
            </w:r>
            <w:r w:rsidR="00DC1070">
              <w:rPr>
                <w:rFonts w:ascii="Arial" w:hAnsi="Arial" w:cs="Arial"/>
                <w:sz w:val="20"/>
                <w:szCs w:val="20"/>
              </w:rPr>
              <w:t xml:space="preserve">plus </w:t>
            </w:r>
            <w:r w:rsidR="00817402" w:rsidRPr="009C789B">
              <w:rPr>
                <w:rFonts w:ascii="Arial" w:hAnsi="Arial" w:cs="Arial"/>
                <w:sz w:val="20"/>
                <w:szCs w:val="20"/>
              </w:rPr>
              <w:t>convi</w:t>
            </w:r>
            <w:r w:rsidR="00410328" w:rsidRPr="009C789B">
              <w:rPr>
                <w:rFonts w:ascii="Arial" w:hAnsi="Arial" w:cs="Arial"/>
                <w:sz w:val="20"/>
                <w:szCs w:val="20"/>
              </w:rPr>
              <w:t>v</w:t>
            </w:r>
            <w:r w:rsidR="00817402" w:rsidRPr="009C789B">
              <w:rPr>
                <w:rFonts w:ascii="Arial" w:hAnsi="Arial" w:cs="Arial"/>
                <w:sz w:val="20"/>
                <w:szCs w:val="20"/>
              </w:rPr>
              <w:t>iales</w:t>
            </w:r>
            <w:r w:rsidR="002E3812" w:rsidRPr="009C789B">
              <w:rPr>
                <w:rFonts w:ascii="Arial" w:hAnsi="Arial" w:cs="Arial"/>
                <w:sz w:val="20"/>
                <w:szCs w:val="20"/>
              </w:rPr>
              <w:t>.</w:t>
            </w:r>
          </w:p>
          <w:p w14:paraId="3C0DC49A" w14:textId="77777777" w:rsidR="002E3812" w:rsidRPr="009C789B" w:rsidRDefault="00410328"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Toutes les pages ont été transférées</w:t>
            </w:r>
            <w:r w:rsidR="002E3812" w:rsidRPr="009C789B">
              <w:rPr>
                <w:rFonts w:ascii="Arial" w:hAnsi="Arial" w:cs="Arial"/>
                <w:sz w:val="20"/>
                <w:szCs w:val="20"/>
              </w:rPr>
              <w:t>.</w:t>
            </w:r>
          </w:p>
          <w:p w14:paraId="773C180A" w14:textId="77777777" w:rsidR="002E3812" w:rsidRPr="009C789B" w:rsidRDefault="00410328"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Le nombre de visites atteint </w:t>
            </w:r>
            <w:r w:rsidR="002E3812" w:rsidRPr="009C789B">
              <w:rPr>
                <w:rFonts w:ascii="Arial" w:hAnsi="Arial" w:cs="Arial"/>
                <w:sz w:val="20"/>
                <w:szCs w:val="20"/>
              </w:rPr>
              <w:t>4</w:t>
            </w:r>
            <w:r w:rsidRPr="009C789B">
              <w:rPr>
                <w:rFonts w:ascii="Arial" w:hAnsi="Arial" w:cs="Arial"/>
                <w:sz w:val="20"/>
                <w:szCs w:val="20"/>
              </w:rPr>
              <w:t> </w:t>
            </w:r>
            <w:r w:rsidR="002E3812" w:rsidRPr="009C789B">
              <w:rPr>
                <w:rFonts w:ascii="Arial" w:hAnsi="Arial" w:cs="Arial"/>
                <w:sz w:val="20"/>
                <w:szCs w:val="20"/>
              </w:rPr>
              <w:t>271</w:t>
            </w:r>
            <w:r w:rsidRPr="009C789B">
              <w:rPr>
                <w:rFonts w:ascii="Arial" w:hAnsi="Arial" w:cs="Arial"/>
                <w:sz w:val="20"/>
                <w:szCs w:val="20"/>
              </w:rPr>
              <w:t> </w:t>
            </w:r>
            <w:r w:rsidR="002E3812" w:rsidRPr="009C789B">
              <w:rPr>
                <w:rFonts w:ascii="Arial" w:hAnsi="Arial" w:cs="Arial"/>
                <w:sz w:val="20"/>
                <w:szCs w:val="20"/>
              </w:rPr>
              <w:t>000.</w:t>
            </w:r>
          </w:p>
        </w:tc>
        <w:tc>
          <w:tcPr>
            <w:tcW w:w="1701" w:type="dxa"/>
          </w:tcPr>
          <w:p w14:paraId="57733E81" w14:textId="77777777" w:rsidR="002E3812" w:rsidRPr="009C789B" w:rsidRDefault="002E3812" w:rsidP="00F07BDB">
            <w:pPr>
              <w:spacing w:before="60" w:after="60"/>
              <w:jc w:val="center"/>
              <w:rPr>
                <w:rFonts w:ascii="Arial" w:hAnsi="Arial" w:cs="Arial"/>
                <w:sz w:val="20"/>
                <w:szCs w:val="20"/>
              </w:rPr>
            </w:pPr>
            <w:r w:rsidRPr="009C789B">
              <w:rPr>
                <w:rFonts w:ascii="Arial" w:hAnsi="Arial" w:cs="Arial"/>
                <w:sz w:val="20"/>
                <w:szCs w:val="20"/>
              </w:rPr>
              <w:t>Part</w:t>
            </w:r>
            <w:r w:rsidR="00410328" w:rsidRPr="009C789B">
              <w:rPr>
                <w:rFonts w:ascii="Arial" w:hAnsi="Arial" w:cs="Arial"/>
                <w:sz w:val="20"/>
                <w:szCs w:val="20"/>
              </w:rPr>
              <w:t xml:space="preserve">iellement </w:t>
            </w:r>
            <w:r w:rsidRPr="009C789B">
              <w:rPr>
                <w:rFonts w:ascii="Arial" w:hAnsi="Arial" w:cs="Arial"/>
                <w:sz w:val="20"/>
                <w:szCs w:val="20"/>
              </w:rPr>
              <w:t>ac</w:t>
            </w:r>
            <w:r w:rsidR="004C4C14" w:rsidRPr="009C789B">
              <w:rPr>
                <w:rFonts w:ascii="Arial" w:hAnsi="Arial" w:cs="Arial"/>
                <w:sz w:val="20"/>
                <w:szCs w:val="20"/>
              </w:rPr>
              <w:t>hevé</w:t>
            </w:r>
            <w:r w:rsidRPr="009C789B">
              <w:rPr>
                <w:rFonts w:ascii="Arial" w:hAnsi="Arial" w:cs="Arial"/>
                <w:sz w:val="20"/>
                <w:szCs w:val="20"/>
              </w:rPr>
              <w:t>e</w:t>
            </w:r>
          </w:p>
        </w:tc>
      </w:tr>
    </w:tbl>
    <w:p w14:paraId="29FFA290" w14:textId="77777777" w:rsidR="00F07BDB" w:rsidRPr="009C789B" w:rsidRDefault="00F07BDB" w:rsidP="00F07BDB">
      <w:pPr>
        <w:keepNext/>
        <w:spacing w:before="240" w:after="120"/>
        <w:rPr>
          <w:rFonts w:ascii="Arial" w:hAnsi="Arial" w:cs="Arial"/>
          <w:b/>
          <w:sz w:val="22"/>
          <w:szCs w:val="22"/>
        </w:rPr>
      </w:pPr>
      <w:r>
        <w:rPr>
          <w:rFonts w:ascii="Arial" w:hAnsi="Arial" w:cs="Arial"/>
          <w:b/>
          <w:sz w:val="22"/>
          <w:szCs w:val="22"/>
        </w:rPr>
        <w:t>Défis</w:t>
      </w:r>
      <w:r w:rsidRPr="009C789B">
        <w:rPr>
          <w:rFonts w:ascii="Arial" w:hAnsi="Arial" w:cs="Arial"/>
          <w:b/>
          <w:sz w:val="22"/>
          <w:szCs w:val="22"/>
        </w:rPr>
        <w:t xml:space="preserve"> et risques rencontrés dans la mise en œuvre et mesures correctives</w:t>
      </w:r>
    </w:p>
    <w:tbl>
      <w:tblPr>
        <w:tblStyle w:val="TableGrid"/>
        <w:tblW w:w="5000" w:type="pct"/>
        <w:tblLook w:val="04A0" w:firstRow="1" w:lastRow="0" w:firstColumn="1" w:lastColumn="0" w:noHBand="0" w:noVBand="1"/>
      </w:tblPr>
      <w:tblGrid>
        <w:gridCol w:w="4814"/>
        <w:gridCol w:w="4814"/>
      </w:tblGrid>
      <w:tr w:rsidR="00F07BDB" w:rsidRPr="009C789B" w14:paraId="30FA2A1A" w14:textId="77777777" w:rsidTr="00BB04C3">
        <w:trPr>
          <w:tblHeader/>
        </w:trPr>
        <w:tc>
          <w:tcPr>
            <w:tcW w:w="2500" w:type="pct"/>
            <w:shd w:val="clear" w:color="auto" w:fill="D9D9D9" w:themeFill="background1" w:themeFillShade="D9"/>
          </w:tcPr>
          <w:p w14:paraId="5B8EA718" w14:textId="77777777" w:rsidR="00F07BDB" w:rsidRPr="009C789B" w:rsidRDefault="00F07BDB" w:rsidP="00BB04C3">
            <w:pPr>
              <w:spacing w:before="120" w:after="120"/>
              <w:jc w:val="center"/>
              <w:rPr>
                <w:rFonts w:ascii="Arial" w:hAnsi="Arial" w:cs="Arial"/>
                <w:b/>
                <w:sz w:val="20"/>
                <w:szCs w:val="20"/>
              </w:rPr>
            </w:pPr>
            <w:r w:rsidRPr="009C789B">
              <w:rPr>
                <w:rFonts w:ascii="Arial" w:hAnsi="Arial" w:cs="Arial"/>
                <w:b/>
                <w:sz w:val="20"/>
                <w:szCs w:val="20"/>
              </w:rPr>
              <w:t>Principaux défis</w:t>
            </w:r>
          </w:p>
        </w:tc>
        <w:tc>
          <w:tcPr>
            <w:tcW w:w="2500" w:type="pct"/>
            <w:shd w:val="clear" w:color="auto" w:fill="D9D9D9" w:themeFill="background1" w:themeFillShade="D9"/>
          </w:tcPr>
          <w:p w14:paraId="0AAD2F3F" w14:textId="77777777" w:rsidR="00F07BDB" w:rsidRPr="009C789B" w:rsidRDefault="00F07BDB" w:rsidP="00BB04C3">
            <w:pPr>
              <w:spacing w:before="120" w:after="120"/>
              <w:jc w:val="center"/>
              <w:rPr>
                <w:rFonts w:ascii="Arial" w:hAnsi="Arial" w:cs="Arial"/>
                <w:b/>
                <w:sz w:val="20"/>
                <w:szCs w:val="20"/>
              </w:rPr>
            </w:pPr>
            <w:r w:rsidRPr="009C789B">
              <w:rPr>
                <w:rFonts w:ascii="Arial" w:hAnsi="Arial" w:cs="Arial"/>
                <w:b/>
                <w:sz w:val="20"/>
                <w:szCs w:val="20"/>
              </w:rPr>
              <w:t>Mesures correctives</w:t>
            </w:r>
          </w:p>
        </w:tc>
      </w:tr>
      <w:tr w:rsidR="002E3812" w:rsidRPr="009C789B" w14:paraId="24CD3EF1" w14:textId="77777777" w:rsidTr="004A5EC1">
        <w:tc>
          <w:tcPr>
            <w:tcW w:w="2500" w:type="pct"/>
          </w:tcPr>
          <w:p w14:paraId="6B5398DA" w14:textId="64039E32" w:rsidR="002E3812" w:rsidRPr="009C789B" w:rsidRDefault="00D92D74" w:rsidP="00DC1070">
            <w:pPr>
              <w:spacing w:before="60" w:after="60"/>
              <w:rPr>
                <w:rFonts w:ascii="Arial" w:hAnsi="Arial" w:cs="Arial"/>
                <w:sz w:val="20"/>
                <w:szCs w:val="20"/>
              </w:rPr>
            </w:pPr>
            <w:r w:rsidRPr="009C789B">
              <w:rPr>
                <w:rFonts w:ascii="Arial" w:hAnsi="Arial" w:cs="Arial"/>
                <w:sz w:val="20"/>
                <w:szCs w:val="20"/>
              </w:rPr>
              <w:t xml:space="preserve">Le développement d’interfaces de suivi adaptées aux besoins des parties prenantes extérieures et du </w:t>
            </w:r>
            <w:r w:rsidR="002E3812" w:rsidRPr="009C789B">
              <w:rPr>
                <w:rFonts w:ascii="Arial" w:hAnsi="Arial" w:cs="Arial"/>
                <w:sz w:val="20"/>
                <w:szCs w:val="20"/>
              </w:rPr>
              <w:t>Secr</w:t>
            </w:r>
            <w:r w:rsidRPr="009C789B">
              <w:rPr>
                <w:rFonts w:ascii="Arial" w:hAnsi="Arial" w:cs="Arial"/>
                <w:sz w:val="20"/>
                <w:szCs w:val="20"/>
              </w:rPr>
              <w:t>é</w:t>
            </w:r>
            <w:r w:rsidR="002E3812" w:rsidRPr="009C789B">
              <w:rPr>
                <w:rFonts w:ascii="Arial" w:hAnsi="Arial" w:cs="Arial"/>
                <w:sz w:val="20"/>
                <w:szCs w:val="20"/>
              </w:rPr>
              <w:t xml:space="preserve">tariat </w:t>
            </w:r>
            <w:r w:rsidR="007C5359" w:rsidRPr="009C789B">
              <w:rPr>
                <w:rFonts w:ascii="Arial" w:hAnsi="Arial" w:cs="Arial"/>
                <w:sz w:val="20"/>
                <w:szCs w:val="20"/>
              </w:rPr>
              <w:t>exige</w:t>
            </w:r>
            <w:r w:rsidRPr="009C789B">
              <w:rPr>
                <w:rFonts w:ascii="Arial" w:hAnsi="Arial" w:cs="Arial"/>
                <w:sz w:val="20"/>
                <w:szCs w:val="20"/>
              </w:rPr>
              <w:t xml:space="preserve"> </w:t>
            </w:r>
            <w:r w:rsidR="00BB1B24" w:rsidRPr="009C789B">
              <w:rPr>
                <w:rFonts w:ascii="Arial" w:hAnsi="Arial" w:cs="Arial"/>
                <w:sz w:val="20"/>
                <w:szCs w:val="20"/>
              </w:rPr>
              <w:t>assuré</w:t>
            </w:r>
            <w:r w:rsidRPr="009C789B">
              <w:rPr>
                <w:rFonts w:ascii="Arial" w:hAnsi="Arial" w:cs="Arial"/>
                <w:sz w:val="20"/>
                <w:szCs w:val="20"/>
              </w:rPr>
              <w:t xml:space="preserve">ment des ressources financières, mais surtout du temps pour examiner </w:t>
            </w:r>
            <w:r w:rsidR="007C5359" w:rsidRPr="009C789B">
              <w:rPr>
                <w:rFonts w:ascii="Arial" w:hAnsi="Arial" w:cs="Arial"/>
                <w:sz w:val="20"/>
                <w:szCs w:val="20"/>
              </w:rPr>
              <w:t>de façon détaillée</w:t>
            </w:r>
            <w:r w:rsidRPr="009C789B">
              <w:rPr>
                <w:rFonts w:ascii="Arial" w:hAnsi="Arial" w:cs="Arial"/>
                <w:sz w:val="20"/>
                <w:szCs w:val="20"/>
              </w:rPr>
              <w:t xml:space="preserve"> les besoins et les flux de travail d’un point de vue programmatique</w:t>
            </w:r>
            <w:r w:rsidR="002E3812" w:rsidRPr="009C789B">
              <w:rPr>
                <w:rFonts w:ascii="Arial" w:hAnsi="Arial" w:cs="Arial"/>
                <w:sz w:val="20"/>
                <w:szCs w:val="20"/>
              </w:rPr>
              <w:t xml:space="preserve">. </w:t>
            </w:r>
            <w:r w:rsidRPr="009C789B">
              <w:rPr>
                <w:rFonts w:ascii="Arial" w:hAnsi="Arial" w:cs="Arial"/>
                <w:sz w:val="20"/>
                <w:szCs w:val="20"/>
              </w:rPr>
              <w:t xml:space="preserve">Les </w:t>
            </w:r>
            <w:r w:rsidR="007C5359" w:rsidRPr="009C789B">
              <w:rPr>
                <w:rFonts w:ascii="Arial" w:hAnsi="Arial" w:cs="Arial"/>
                <w:sz w:val="20"/>
                <w:szCs w:val="20"/>
              </w:rPr>
              <w:t>produits</w:t>
            </w:r>
            <w:r w:rsidRPr="009C789B">
              <w:rPr>
                <w:rFonts w:ascii="Arial" w:hAnsi="Arial" w:cs="Arial"/>
                <w:sz w:val="20"/>
                <w:szCs w:val="20"/>
              </w:rPr>
              <w:t xml:space="preserve"> qui ont </w:t>
            </w:r>
            <w:r w:rsidR="00BF3149" w:rsidRPr="009C789B">
              <w:rPr>
                <w:rFonts w:ascii="Arial" w:hAnsi="Arial" w:cs="Arial"/>
                <w:sz w:val="20"/>
                <w:szCs w:val="20"/>
              </w:rPr>
              <w:t>pâti</w:t>
            </w:r>
            <w:r w:rsidRPr="009C789B">
              <w:rPr>
                <w:rFonts w:ascii="Arial" w:hAnsi="Arial" w:cs="Arial"/>
                <w:sz w:val="20"/>
                <w:szCs w:val="20"/>
              </w:rPr>
              <w:t xml:space="preserve"> du manque de temps au cours de la période de référence sont le développement d’une interface </w:t>
            </w:r>
            <w:r w:rsidR="00604542" w:rsidRPr="009C789B">
              <w:rPr>
                <w:rFonts w:ascii="Arial" w:hAnsi="Arial" w:cs="Arial"/>
                <w:sz w:val="20"/>
                <w:szCs w:val="20"/>
              </w:rPr>
              <w:t>pour suivre</w:t>
            </w:r>
            <w:r w:rsidR="00BB1B24" w:rsidRPr="009C789B">
              <w:rPr>
                <w:rFonts w:ascii="Arial" w:hAnsi="Arial" w:cs="Arial"/>
                <w:sz w:val="20"/>
                <w:szCs w:val="20"/>
              </w:rPr>
              <w:t xml:space="preserve"> l’</w:t>
            </w:r>
            <w:r w:rsidR="00604542" w:rsidRPr="009C789B">
              <w:rPr>
                <w:rFonts w:ascii="Arial" w:hAnsi="Arial" w:cs="Arial"/>
                <w:sz w:val="20"/>
                <w:szCs w:val="20"/>
              </w:rPr>
              <w:t>état d’</w:t>
            </w:r>
            <w:r w:rsidR="00BB1B24" w:rsidRPr="009C789B">
              <w:rPr>
                <w:rFonts w:ascii="Arial" w:hAnsi="Arial" w:cs="Arial"/>
                <w:sz w:val="20"/>
                <w:szCs w:val="20"/>
              </w:rPr>
              <w:t xml:space="preserve">avancement </w:t>
            </w:r>
            <w:r w:rsidRPr="009C789B">
              <w:rPr>
                <w:rFonts w:ascii="Arial" w:hAnsi="Arial" w:cs="Arial"/>
                <w:sz w:val="20"/>
                <w:szCs w:val="20"/>
              </w:rPr>
              <w:t xml:space="preserve">des rapports périodiques et </w:t>
            </w:r>
            <w:r w:rsidR="004876DE" w:rsidRPr="009C789B">
              <w:rPr>
                <w:rFonts w:ascii="Arial" w:hAnsi="Arial" w:cs="Arial"/>
                <w:sz w:val="20"/>
                <w:szCs w:val="20"/>
              </w:rPr>
              <w:t>amélior</w:t>
            </w:r>
            <w:r w:rsidR="00CB2486" w:rsidRPr="009C789B">
              <w:rPr>
                <w:rFonts w:ascii="Arial" w:hAnsi="Arial" w:cs="Arial"/>
                <w:sz w:val="20"/>
                <w:szCs w:val="20"/>
              </w:rPr>
              <w:t>er le</w:t>
            </w:r>
            <w:r w:rsidR="004876DE" w:rsidRPr="009C789B">
              <w:rPr>
                <w:rFonts w:ascii="Arial" w:hAnsi="Arial" w:cs="Arial"/>
                <w:sz w:val="20"/>
                <w:szCs w:val="20"/>
              </w:rPr>
              <w:t xml:space="preserve"> lien avec l</w:t>
            </w:r>
            <w:r w:rsidR="00604542" w:rsidRPr="009C789B">
              <w:rPr>
                <w:rFonts w:ascii="Arial" w:hAnsi="Arial" w:cs="Arial"/>
                <w:sz w:val="20"/>
                <w:szCs w:val="20"/>
              </w:rPr>
              <w:t xml:space="preserve">es </w:t>
            </w:r>
            <w:r w:rsidR="004876DE" w:rsidRPr="009C789B">
              <w:rPr>
                <w:rFonts w:ascii="Arial" w:hAnsi="Arial" w:cs="Arial"/>
                <w:sz w:val="20"/>
                <w:szCs w:val="20"/>
              </w:rPr>
              <w:t>élément</w:t>
            </w:r>
            <w:r w:rsidR="00604542" w:rsidRPr="009C789B">
              <w:rPr>
                <w:rFonts w:ascii="Arial" w:hAnsi="Arial" w:cs="Arial"/>
                <w:sz w:val="20"/>
                <w:szCs w:val="20"/>
              </w:rPr>
              <w:t>s</w:t>
            </w:r>
            <w:r w:rsidR="004876DE" w:rsidRPr="009C789B">
              <w:rPr>
                <w:rFonts w:ascii="Arial" w:hAnsi="Arial" w:cs="Arial"/>
                <w:sz w:val="20"/>
                <w:szCs w:val="20"/>
              </w:rPr>
              <w:t xml:space="preserve"> inscrit</w:t>
            </w:r>
            <w:r w:rsidR="00604542" w:rsidRPr="009C789B">
              <w:rPr>
                <w:rFonts w:ascii="Arial" w:hAnsi="Arial" w:cs="Arial"/>
                <w:sz w:val="20"/>
                <w:szCs w:val="20"/>
              </w:rPr>
              <w:t>s</w:t>
            </w:r>
            <w:r w:rsidR="004876DE" w:rsidRPr="009C789B">
              <w:rPr>
                <w:rFonts w:ascii="Arial" w:hAnsi="Arial" w:cs="Arial"/>
                <w:sz w:val="20"/>
                <w:szCs w:val="20"/>
              </w:rPr>
              <w:t>, ainsi qu</w:t>
            </w:r>
            <w:r w:rsidR="00CB2486" w:rsidRPr="009C789B">
              <w:rPr>
                <w:rFonts w:ascii="Arial" w:hAnsi="Arial" w:cs="Arial"/>
                <w:sz w:val="20"/>
                <w:szCs w:val="20"/>
              </w:rPr>
              <w:t>e le développement d</w:t>
            </w:r>
            <w:r w:rsidR="004876DE" w:rsidRPr="009C789B">
              <w:rPr>
                <w:rFonts w:ascii="Arial" w:hAnsi="Arial" w:cs="Arial"/>
                <w:sz w:val="20"/>
                <w:szCs w:val="20"/>
              </w:rPr>
              <w:t xml:space="preserve">’un tableau de bord </w:t>
            </w:r>
            <w:r w:rsidR="00060A08" w:rsidRPr="009C789B">
              <w:rPr>
                <w:rFonts w:ascii="Arial" w:hAnsi="Arial" w:cs="Arial"/>
                <w:sz w:val="20"/>
                <w:szCs w:val="20"/>
              </w:rPr>
              <w:t>à l’usage</w:t>
            </w:r>
            <w:r w:rsidR="004876DE" w:rsidRPr="009C789B">
              <w:rPr>
                <w:rFonts w:ascii="Arial" w:hAnsi="Arial" w:cs="Arial"/>
                <w:sz w:val="20"/>
                <w:szCs w:val="20"/>
              </w:rPr>
              <w:t xml:space="preserve"> </w:t>
            </w:r>
            <w:r w:rsidR="00060A08" w:rsidRPr="009C789B">
              <w:rPr>
                <w:rFonts w:ascii="Arial" w:hAnsi="Arial" w:cs="Arial"/>
                <w:sz w:val="20"/>
                <w:szCs w:val="20"/>
              </w:rPr>
              <w:t xml:space="preserve">des </w:t>
            </w:r>
            <w:r w:rsidR="004876DE" w:rsidRPr="009C789B">
              <w:rPr>
                <w:rFonts w:ascii="Arial" w:hAnsi="Arial" w:cs="Arial"/>
                <w:sz w:val="20"/>
                <w:szCs w:val="20"/>
              </w:rPr>
              <w:t>respons</w:t>
            </w:r>
            <w:r w:rsidR="00604542" w:rsidRPr="009C789B">
              <w:rPr>
                <w:rFonts w:ascii="Arial" w:hAnsi="Arial" w:cs="Arial"/>
                <w:sz w:val="20"/>
                <w:szCs w:val="20"/>
              </w:rPr>
              <w:t>a</w:t>
            </w:r>
            <w:r w:rsidR="004876DE" w:rsidRPr="009C789B">
              <w:rPr>
                <w:rFonts w:ascii="Arial" w:hAnsi="Arial" w:cs="Arial"/>
                <w:sz w:val="20"/>
                <w:szCs w:val="20"/>
              </w:rPr>
              <w:t>ble</w:t>
            </w:r>
            <w:r w:rsidR="00060A08" w:rsidRPr="009C789B">
              <w:rPr>
                <w:rFonts w:ascii="Arial" w:hAnsi="Arial" w:cs="Arial"/>
                <w:sz w:val="20"/>
                <w:szCs w:val="20"/>
              </w:rPr>
              <w:t>s</w:t>
            </w:r>
            <w:r w:rsidR="004876DE" w:rsidRPr="009C789B">
              <w:rPr>
                <w:rFonts w:ascii="Arial" w:hAnsi="Arial" w:cs="Arial"/>
                <w:sz w:val="20"/>
                <w:szCs w:val="20"/>
              </w:rPr>
              <w:t xml:space="preserve"> régiona</w:t>
            </w:r>
            <w:r w:rsidR="00604542" w:rsidRPr="009C789B">
              <w:rPr>
                <w:rFonts w:ascii="Arial" w:hAnsi="Arial" w:cs="Arial"/>
                <w:sz w:val="20"/>
                <w:szCs w:val="20"/>
              </w:rPr>
              <w:t>ux</w:t>
            </w:r>
            <w:r w:rsidR="004876DE" w:rsidRPr="009C789B">
              <w:rPr>
                <w:rFonts w:ascii="Arial" w:hAnsi="Arial" w:cs="Arial"/>
                <w:sz w:val="20"/>
                <w:szCs w:val="20"/>
              </w:rPr>
              <w:t xml:space="preserve"> </w:t>
            </w:r>
            <w:r w:rsidR="00CB2486" w:rsidRPr="009C789B">
              <w:rPr>
                <w:rFonts w:ascii="Arial" w:hAnsi="Arial" w:cs="Arial"/>
                <w:sz w:val="20"/>
                <w:szCs w:val="20"/>
              </w:rPr>
              <w:t>permettant d’</w:t>
            </w:r>
            <w:r w:rsidR="004876DE" w:rsidRPr="009C789B">
              <w:rPr>
                <w:rFonts w:ascii="Arial" w:hAnsi="Arial" w:cs="Arial"/>
                <w:sz w:val="20"/>
                <w:szCs w:val="20"/>
              </w:rPr>
              <w:t>affich</w:t>
            </w:r>
            <w:r w:rsidR="00CB2486" w:rsidRPr="009C789B">
              <w:rPr>
                <w:rFonts w:ascii="Arial" w:hAnsi="Arial" w:cs="Arial"/>
                <w:sz w:val="20"/>
                <w:szCs w:val="20"/>
              </w:rPr>
              <w:t>er</w:t>
            </w:r>
            <w:r w:rsidR="004876DE" w:rsidRPr="009C789B">
              <w:rPr>
                <w:rFonts w:ascii="Arial" w:hAnsi="Arial" w:cs="Arial"/>
                <w:sz w:val="20"/>
                <w:szCs w:val="20"/>
              </w:rPr>
              <w:t xml:space="preserve"> des informations cohérentes sur </w:t>
            </w:r>
            <w:r w:rsidR="00CB2486" w:rsidRPr="009C789B">
              <w:rPr>
                <w:rFonts w:ascii="Arial" w:hAnsi="Arial" w:cs="Arial"/>
                <w:sz w:val="20"/>
                <w:szCs w:val="20"/>
              </w:rPr>
              <w:t xml:space="preserve">les </w:t>
            </w:r>
            <w:r w:rsidR="004876DE" w:rsidRPr="009C789B">
              <w:rPr>
                <w:rFonts w:ascii="Arial" w:hAnsi="Arial" w:cs="Arial"/>
                <w:sz w:val="20"/>
                <w:szCs w:val="20"/>
              </w:rPr>
              <w:t>diverses tâches dont chaque membre du personnel de la Section</w:t>
            </w:r>
            <w:r w:rsidR="00CB2486" w:rsidRPr="009C789B">
              <w:rPr>
                <w:rFonts w:ascii="Arial" w:hAnsi="Arial" w:cs="Arial"/>
                <w:sz w:val="20"/>
                <w:szCs w:val="20"/>
              </w:rPr>
              <w:t xml:space="preserve"> est responsable</w:t>
            </w:r>
            <w:r w:rsidR="002E3812" w:rsidRPr="009C789B">
              <w:rPr>
                <w:rFonts w:ascii="Arial" w:hAnsi="Arial" w:cs="Arial"/>
                <w:sz w:val="20"/>
                <w:szCs w:val="20"/>
              </w:rPr>
              <w:t xml:space="preserve">, </w:t>
            </w:r>
            <w:r w:rsidR="00DC1070">
              <w:rPr>
                <w:rFonts w:ascii="Arial" w:hAnsi="Arial" w:cs="Arial"/>
                <w:sz w:val="20"/>
                <w:szCs w:val="20"/>
              </w:rPr>
              <w:t>assorties</w:t>
            </w:r>
            <w:r w:rsidR="004876DE" w:rsidRPr="009C789B">
              <w:rPr>
                <w:rFonts w:ascii="Arial" w:hAnsi="Arial" w:cs="Arial"/>
                <w:sz w:val="20"/>
                <w:szCs w:val="20"/>
              </w:rPr>
              <w:t xml:space="preserve"> </w:t>
            </w:r>
            <w:r w:rsidR="00DC1070">
              <w:rPr>
                <w:rFonts w:ascii="Arial" w:hAnsi="Arial" w:cs="Arial"/>
                <w:sz w:val="20"/>
                <w:szCs w:val="20"/>
              </w:rPr>
              <w:t>d</w:t>
            </w:r>
            <w:r w:rsidR="004876DE" w:rsidRPr="009C789B">
              <w:rPr>
                <w:rFonts w:ascii="Arial" w:hAnsi="Arial" w:cs="Arial"/>
                <w:sz w:val="20"/>
                <w:szCs w:val="20"/>
              </w:rPr>
              <w:t xml:space="preserve">es délais et </w:t>
            </w:r>
            <w:r w:rsidR="00DC1070">
              <w:rPr>
                <w:rFonts w:ascii="Arial" w:hAnsi="Arial" w:cs="Arial"/>
                <w:sz w:val="20"/>
                <w:szCs w:val="20"/>
              </w:rPr>
              <w:t xml:space="preserve">d’une </w:t>
            </w:r>
            <w:r w:rsidR="004876DE" w:rsidRPr="009C789B">
              <w:rPr>
                <w:rFonts w:ascii="Arial" w:hAnsi="Arial" w:cs="Arial"/>
                <w:sz w:val="20"/>
                <w:szCs w:val="20"/>
              </w:rPr>
              <w:t>actualisation de la situation</w:t>
            </w:r>
            <w:r w:rsidR="002E3812" w:rsidRPr="009C789B">
              <w:rPr>
                <w:rFonts w:ascii="Arial" w:hAnsi="Arial" w:cs="Arial"/>
                <w:sz w:val="20"/>
                <w:szCs w:val="20"/>
              </w:rPr>
              <w:t>.</w:t>
            </w:r>
            <w:r w:rsidR="00CB2486" w:rsidRPr="009C789B">
              <w:rPr>
                <w:rFonts w:ascii="Arial" w:hAnsi="Arial" w:cs="Arial"/>
                <w:sz w:val="20"/>
                <w:szCs w:val="20"/>
              </w:rPr>
              <w:t xml:space="preserve"> </w:t>
            </w:r>
          </w:p>
        </w:tc>
        <w:tc>
          <w:tcPr>
            <w:tcW w:w="2500" w:type="pct"/>
          </w:tcPr>
          <w:p w14:paraId="011BDBD6" w14:textId="77777777" w:rsidR="002E3812" w:rsidRPr="009C789B" w:rsidRDefault="00BF3149" w:rsidP="009C789B">
            <w:pPr>
              <w:spacing w:before="60" w:after="60"/>
              <w:rPr>
                <w:rFonts w:ascii="Arial" w:hAnsi="Arial" w:cs="Arial"/>
                <w:sz w:val="20"/>
                <w:szCs w:val="20"/>
              </w:rPr>
            </w:pPr>
            <w:r w:rsidRPr="009C789B">
              <w:rPr>
                <w:rFonts w:ascii="Arial" w:hAnsi="Arial" w:cs="Arial"/>
                <w:sz w:val="20"/>
                <w:szCs w:val="20"/>
              </w:rPr>
              <w:t>Augmentation</w:t>
            </w:r>
            <w:r w:rsidR="00804318" w:rsidRPr="009C789B">
              <w:rPr>
                <w:rFonts w:ascii="Arial" w:hAnsi="Arial" w:cs="Arial"/>
                <w:sz w:val="20"/>
                <w:szCs w:val="20"/>
              </w:rPr>
              <w:t xml:space="preserve"> de la sous-traitance des développements techniques</w:t>
            </w:r>
            <w:r w:rsidR="00CB2486" w:rsidRPr="009C789B">
              <w:rPr>
                <w:rFonts w:ascii="Arial" w:hAnsi="Arial" w:cs="Arial"/>
                <w:sz w:val="20"/>
                <w:szCs w:val="20"/>
              </w:rPr>
              <w:t>,</w:t>
            </w:r>
            <w:r w:rsidR="00804318" w:rsidRPr="009C789B">
              <w:rPr>
                <w:rFonts w:ascii="Arial" w:hAnsi="Arial" w:cs="Arial"/>
                <w:sz w:val="20"/>
                <w:szCs w:val="20"/>
              </w:rPr>
              <w:t xml:space="preserve"> afin </w:t>
            </w:r>
            <w:r w:rsidRPr="009C789B">
              <w:rPr>
                <w:rFonts w:ascii="Arial" w:hAnsi="Arial" w:cs="Arial"/>
                <w:sz w:val="20"/>
                <w:szCs w:val="20"/>
              </w:rPr>
              <w:t>que le</w:t>
            </w:r>
            <w:r w:rsidR="00804318" w:rsidRPr="009C789B">
              <w:rPr>
                <w:rFonts w:ascii="Arial" w:hAnsi="Arial" w:cs="Arial"/>
                <w:sz w:val="20"/>
                <w:szCs w:val="20"/>
              </w:rPr>
              <w:t xml:space="preserve"> personnel </w:t>
            </w:r>
            <w:r w:rsidRPr="009C789B">
              <w:rPr>
                <w:rFonts w:ascii="Arial" w:hAnsi="Arial" w:cs="Arial"/>
                <w:sz w:val="20"/>
                <w:szCs w:val="20"/>
              </w:rPr>
              <w:t>de l’Organisation puisse dégage</w:t>
            </w:r>
            <w:r w:rsidR="00CB2486" w:rsidRPr="009C789B">
              <w:rPr>
                <w:rFonts w:ascii="Arial" w:hAnsi="Arial" w:cs="Arial"/>
                <w:sz w:val="20"/>
                <w:szCs w:val="20"/>
              </w:rPr>
              <w:t>r</w:t>
            </w:r>
            <w:r w:rsidRPr="009C789B">
              <w:rPr>
                <w:rFonts w:ascii="Arial" w:hAnsi="Arial" w:cs="Arial"/>
                <w:sz w:val="20"/>
                <w:szCs w:val="20"/>
              </w:rPr>
              <w:t xml:space="preserve"> du temps pour examiner </w:t>
            </w:r>
            <w:r w:rsidR="006B64CC" w:rsidRPr="009C789B">
              <w:rPr>
                <w:rFonts w:ascii="Arial" w:hAnsi="Arial" w:cs="Arial"/>
                <w:sz w:val="20"/>
                <w:szCs w:val="20"/>
              </w:rPr>
              <w:t xml:space="preserve">dans le détail les besoins et les flux de travail d’un point de vue programmatique, </w:t>
            </w:r>
            <w:r w:rsidR="00F26810" w:rsidRPr="009C789B">
              <w:rPr>
                <w:rFonts w:ascii="Arial" w:hAnsi="Arial" w:cs="Arial"/>
                <w:sz w:val="20"/>
                <w:szCs w:val="20"/>
              </w:rPr>
              <w:t>doublée d’une</w:t>
            </w:r>
            <w:r w:rsidR="006B64CC" w:rsidRPr="009C789B">
              <w:rPr>
                <w:rFonts w:ascii="Arial" w:hAnsi="Arial" w:cs="Arial"/>
                <w:sz w:val="20"/>
                <w:szCs w:val="20"/>
              </w:rPr>
              <w:t xml:space="preserve"> meilleure évaluation des ressources financières et humaines </w:t>
            </w:r>
            <w:r w:rsidR="008A767F" w:rsidRPr="009C789B">
              <w:rPr>
                <w:rFonts w:ascii="Arial" w:hAnsi="Arial" w:cs="Arial"/>
                <w:sz w:val="20"/>
                <w:szCs w:val="20"/>
              </w:rPr>
              <w:t>nécessaires</w:t>
            </w:r>
            <w:r w:rsidR="006B64CC" w:rsidRPr="009C789B">
              <w:rPr>
                <w:rFonts w:ascii="Arial" w:hAnsi="Arial" w:cs="Arial"/>
                <w:sz w:val="20"/>
                <w:szCs w:val="20"/>
              </w:rPr>
              <w:t xml:space="preserve"> pour la mise en </w:t>
            </w:r>
            <w:r w:rsidR="00BB1B24" w:rsidRPr="009C789B">
              <w:rPr>
                <w:rFonts w:ascii="Arial" w:hAnsi="Arial" w:cs="Arial"/>
                <w:sz w:val="20"/>
                <w:szCs w:val="20"/>
              </w:rPr>
              <w:t xml:space="preserve">œuvre </w:t>
            </w:r>
            <w:r w:rsidR="006B64CC" w:rsidRPr="009C789B">
              <w:rPr>
                <w:rFonts w:ascii="Arial" w:hAnsi="Arial" w:cs="Arial"/>
                <w:sz w:val="20"/>
                <w:szCs w:val="20"/>
              </w:rPr>
              <w:t xml:space="preserve">de nouvelles </w:t>
            </w:r>
            <w:r w:rsidR="002E3812" w:rsidRPr="009C789B">
              <w:rPr>
                <w:rFonts w:ascii="Arial" w:hAnsi="Arial" w:cs="Arial"/>
                <w:sz w:val="20"/>
                <w:szCs w:val="20"/>
              </w:rPr>
              <w:t>f</w:t>
            </w:r>
            <w:r w:rsidR="006B64CC" w:rsidRPr="009C789B">
              <w:rPr>
                <w:rFonts w:ascii="Arial" w:hAnsi="Arial" w:cs="Arial"/>
                <w:sz w:val="20"/>
                <w:szCs w:val="20"/>
              </w:rPr>
              <w:t>o</w:t>
            </w:r>
            <w:r w:rsidR="002E3812" w:rsidRPr="009C789B">
              <w:rPr>
                <w:rFonts w:ascii="Arial" w:hAnsi="Arial" w:cs="Arial"/>
                <w:sz w:val="20"/>
                <w:szCs w:val="20"/>
              </w:rPr>
              <w:t>nction</w:t>
            </w:r>
            <w:r w:rsidR="006B64CC" w:rsidRPr="009C789B">
              <w:rPr>
                <w:rFonts w:ascii="Arial" w:hAnsi="Arial" w:cs="Arial"/>
                <w:sz w:val="20"/>
                <w:szCs w:val="20"/>
              </w:rPr>
              <w:t>n</w:t>
            </w:r>
            <w:r w:rsidR="002E3812" w:rsidRPr="009C789B">
              <w:rPr>
                <w:rFonts w:ascii="Arial" w:hAnsi="Arial" w:cs="Arial"/>
                <w:sz w:val="20"/>
                <w:szCs w:val="20"/>
              </w:rPr>
              <w:t>alit</w:t>
            </w:r>
            <w:r w:rsidR="006B64CC" w:rsidRPr="009C789B">
              <w:rPr>
                <w:rFonts w:ascii="Arial" w:hAnsi="Arial" w:cs="Arial"/>
                <w:sz w:val="20"/>
                <w:szCs w:val="20"/>
              </w:rPr>
              <w:t>é</w:t>
            </w:r>
            <w:r w:rsidR="002E3812" w:rsidRPr="009C789B">
              <w:rPr>
                <w:rFonts w:ascii="Arial" w:hAnsi="Arial" w:cs="Arial"/>
                <w:sz w:val="20"/>
                <w:szCs w:val="20"/>
              </w:rPr>
              <w:t xml:space="preserve">s. </w:t>
            </w:r>
          </w:p>
        </w:tc>
      </w:tr>
      <w:tr w:rsidR="002E3812" w:rsidRPr="009C789B" w14:paraId="5B33E35E" w14:textId="77777777" w:rsidTr="004A5EC1">
        <w:tc>
          <w:tcPr>
            <w:tcW w:w="2500" w:type="pct"/>
          </w:tcPr>
          <w:p w14:paraId="70F45EBE" w14:textId="77777777" w:rsidR="002E3812" w:rsidRPr="009C789B" w:rsidRDefault="004876DE" w:rsidP="009C789B">
            <w:pPr>
              <w:spacing w:before="60" w:after="60"/>
              <w:rPr>
                <w:rFonts w:ascii="Arial" w:hAnsi="Arial" w:cs="Arial"/>
                <w:sz w:val="20"/>
                <w:szCs w:val="20"/>
              </w:rPr>
            </w:pPr>
            <w:r w:rsidRPr="009C789B">
              <w:rPr>
                <w:rFonts w:ascii="Arial" w:hAnsi="Arial" w:cs="Arial"/>
                <w:sz w:val="20"/>
                <w:szCs w:val="20"/>
              </w:rPr>
              <w:t>Le portail sur la transparence</w:t>
            </w:r>
            <w:r w:rsidR="002E3812" w:rsidRPr="009C789B">
              <w:rPr>
                <w:rFonts w:ascii="Arial" w:hAnsi="Arial" w:cs="Arial"/>
                <w:sz w:val="20"/>
                <w:szCs w:val="20"/>
              </w:rPr>
              <w:t xml:space="preserve"> (</w:t>
            </w:r>
            <w:r w:rsidRPr="009C789B">
              <w:rPr>
                <w:rFonts w:ascii="Arial" w:hAnsi="Arial" w:cs="Arial"/>
                <w:sz w:val="20"/>
                <w:szCs w:val="20"/>
              </w:rPr>
              <w:t xml:space="preserve">site </w:t>
            </w:r>
            <w:r w:rsidR="002E3812" w:rsidRPr="009C789B">
              <w:rPr>
                <w:rFonts w:ascii="Arial" w:hAnsi="Arial" w:cs="Arial"/>
                <w:sz w:val="20"/>
                <w:szCs w:val="20"/>
              </w:rPr>
              <w:t xml:space="preserve">web) a </w:t>
            </w:r>
            <w:r w:rsidRPr="009C789B">
              <w:rPr>
                <w:rFonts w:ascii="Arial" w:hAnsi="Arial" w:cs="Arial"/>
                <w:sz w:val="20"/>
                <w:szCs w:val="20"/>
              </w:rPr>
              <w:t xml:space="preserve">été lancé en 2015 pour fournir des </w:t>
            </w:r>
            <w:r w:rsidR="002E3812" w:rsidRPr="009C789B">
              <w:rPr>
                <w:rFonts w:ascii="Arial" w:hAnsi="Arial" w:cs="Arial"/>
                <w:sz w:val="20"/>
                <w:szCs w:val="20"/>
              </w:rPr>
              <w:t>information</w:t>
            </w:r>
            <w:r w:rsidRPr="009C789B">
              <w:rPr>
                <w:rFonts w:ascii="Arial" w:hAnsi="Arial" w:cs="Arial"/>
                <w:sz w:val="20"/>
                <w:szCs w:val="20"/>
              </w:rPr>
              <w:t>s au grand public</w:t>
            </w:r>
            <w:r w:rsidR="002E3812" w:rsidRPr="009C789B">
              <w:rPr>
                <w:rFonts w:ascii="Arial" w:hAnsi="Arial" w:cs="Arial"/>
                <w:sz w:val="20"/>
                <w:szCs w:val="20"/>
              </w:rPr>
              <w:t xml:space="preserve">, </w:t>
            </w:r>
            <w:r w:rsidR="001336BC" w:rsidRPr="009C789B">
              <w:rPr>
                <w:rFonts w:ascii="Arial" w:hAnsi="Arial" w:cs="Arial"/>
                <w:sz w:val="20"/>
                <w:szCs w:val="20"/>
              </w:rPr>
              <w:t xml:space="preserve">aux </w:t>
            </w:r>
            <w:r w:rsidR="00AE0FCA" w:rsidRPr="009C789B">
              <w:rPr>
                <w:rFonts w:ascii="Arial" w:hAnsi="Arial" w:cs="Arial"/>
                <w:sz w:val="20"/>
                <w:szCs w:val="20"/>
              </w:rPr>
              <w:t>États</w:t>
            </w:r>
            <w:r w:rsidR="001336BC" w:rsidRPr="009C789B">
              <w:rPr>
                <w:rFonts w:ascii="Arial" w:hAnsi="Arial" w:cs="Arial"/>
                <w:sz w:val="20"/>
                <w:szCs w:val="20"/>
              </w:rPr>
              <w:t xml:space="preserve"> membres et aux donateurs des projets et activités de l’</w:t>
            </w:r>
            <w:r w:rsidR="002E3812" w:rsidRPr="009C789B">
              <w:rPr>
                <w:rFonts w:ascii="Arial" w:hAnsi="Arial" w:cs="Arial"/>
                <w:sz w:val="20"/>
                <w:szCs w:val="20"/>
              </w:rPr>
              <w:t>UNESCO</w:t>
            </w:r>
            <w:r w:rsidR="001336BC" w:rsidRPr="009C789B">
              <w:rPr>
                <w:rFonts w:ascii="Arial" w:hAnsi="Arial" w:cs="Arial"/>
                <w:sz w:val="20"/>
                <w:szCs w:val="20"/>
              </w:rPr>
              <w:t xml:space="preserve"> </w:t>
            </w:r>
            <w:r w:rsidR="00261257" w:rsidRPr="009C789B">
              <w:rPr>
                <w:rFonts w:ascii="Arial" w:hAnsi="Arial" w:cs="Arial"/>
                <w:sz w:val="20"/>
                <w:szCs w:val="20"/>
              </w:rPr>
              <w:t>afin d’</w:t>
            </w:r>
            <w:r w:rsidR="001336BC" w:rsidRPr="009C789B">
              <w:rPr>
                <w:rFonts w:ascii="Arial" w:hAnsi="Arial" w:cs="Arial"/>
                <w:sz w:val="20"/>
                <w:szCs w:val="20"/>
              </w:rPr>
              <w:t>améliorer la traçabilité de l’utilisation des fonds extrabudgétaires</w:t>
            </w:r>
            <w:r w:rsidR="002E3812" w:rsidRPr="009C789B">
              <w:rPr>
                <w:rFonts w:ascii="Arial" w:hAnsi="Arial" w:cs="Arial"/>
                <w:sz w:val="20"/>
                <w:szCs w:val="20"/>
              </w:rPr>
              <w:t>. I</w:t>
            </w:r>
            <w:r w:rsidR="001336BC" w:rsidRPr="009C789B">
              <w:rPr>
                <w:rFonts w:ascii="Arial" w:hAnsi="Arial" w:cs="Arial"/>
                <w:sz w:val="20"/>
                <w:szCs w:val="20"/>
              </w:rPr>
              <w:t xml:space="preserve">l donne une vue générale très insuffisante du programme du PCI, en particulier en ce qui concerne les projets et activités financés par le Fonds du PCI que le portail n’est pas en mesure de suivre </w:t>
            </w:r>
            <w:r w:rsidR="006E19AF" w:rsidRPr="009C789B">
              <w:rPr>
                <w:rFonts w:ascii="Arial" w:hAnsi="Arial" w:cs="Arial"/>
                <w:sz w:val="20"/>
                <w:szCs w:val="20"/>
              </w:rPr>
              <w:t>de façon ventilée</w:t>
            </w:r>
            <w:r w:rsidR="00261257" w:rsidRPr="009C789B">
              <w:rPr>
                <w:rFonts w:ascii="Arial" w:hAnsi="Arial" w:cs="Arial"/>
                <w:sz w:val="20"/>
                <w:szCs w:val="20"/>
              </w:rPr>
              <w:t>.</w:t>
            </w:r>
            <w:r w:rsidR="002E3812" w:rsidRPr="009C789B">
              <w:rPr>
                <w:rFonts w:ascii="Arial" w:hAnsi="Arial" w:cs="Arial"/>
                <w:sz w:val="20"/>
                <w:szCs w:val="20"/>
              </w:rPr>
              <w:t xml:space="preserve"> </w:t>
            </w:r>
          </w:p>
        </w:tc>
        <w:tc>
          <w:tcPr>
            <w:tcW w:w="2500" w:type="pct"/>
          </w:tcPr>
          <w:p w14:paraId="69E39765" w14:textId="79D8C26C" w:rsidR="002E3812" w:rsidRPr="009C789B" w:rsidRDefault="006B64CC" w:rsidP="00DC1070">
            <w:pPr>
              <w:spacing w:before="60" w:after="60"/>
              <w:rPr>
                <w:rFonts w:ascii="Arial" w:hAnsi="Arial" w:cs="Arial"/>
                <w:sz w:val="20"/>
                <w:szCs w:val="20"/>
              </w:rPr>
            </w:pPr>
            <w:r w:rsidRPr="009C789B">
              <w:rPr>
                <w:rFonts w:ascii="Arial" w:hAnsi="Arial" w:cs="Arial"/>
                <w:sz w:val="20"/>
                <w:szCs w:val="20"/>
              </w:rPr>
              <w:t xml:space="preserve">D’autres améliorations du portail sur la </w:t>
            </w:r>
            <w:r w:rsidR="006E19AF" w:rsidRPr="009C789B">
              <w:rPr>
                <w:rFonts w:ascii="Arial" w:hAnsi="Arial" w:cs="Arial"/>
                <w:sz w:val="20"/>
                <w:szCs w:val="20"/>
              </w:rPr>
              <w:t>t</w:t>
            </w:r>
            <w:r w:rsidRPr="009C789B">
              <w:rPr>
                <w:rFonts w:ascii="Arial" w:hAnsi="Arial" w:cs="Arial"/>
                <w:sz w:val="20"/>
                <w:szCs w:val="20"/>
              </w:rPr>
              <w:t>ransparence (site web) sont nécessaires avant de concevoir un canal de communication de</w:t>
            </w:r>
            <w:r w:rsidR="006E19AF" w:rsidRPr="009C789B">
              <w:rPr>
                <w:rFonts w:ascii="Arial" w:hAnsi="Arial" w:cs="Arial"/>
                <w:sz w:val="20"/>
                <w:szCs w:val="20"/>
              </w:rPr>
              <w:t>s</w:t>
            </w:r>
            <w:r w:rsidRPr="009C789B">
              <w:rPr>
                <w:rFonts w:ascii="Arial" w:hAnsi="Arial" w:cs="Arial"/>
                <w:sz w:val="20"/>
                <w:szCs w:val="20"/>
              </w:rPr>
              <w:t xml:space="preserve"> données à partir du système de gestion des connaissances sur le PCI</w:t>
            </w:r>
            <w:r w:rsidR="002E3812" w:rsidRPr="009C789B">
              <w:rPr>
                <w:rFonts w:ascii="Arial" w:hAnsi="Arial" w:cs="Arial"/>
                <w:sz w:val="20"/>
                <w:szCs w:val="20"/>
              </w:rPr>
              <w:t xml:space="preserve">. </w:t>
            </w:r>
            <w:r w:rsidR="008A767F" w:rsidRPr="009C789B">
              <w:rPr>
                <w:rFonts w:ascii="Arial" w:hAnsi="Arial" w:cs="Arial"/>
                <w:sz w:val="20"/>
                <w:szCs w:val="20"/>
              </w:rPr>
              <w:t>En attendant</w:t>
            </w:r>
            <w:r w:rsidR="00F404FD" w:rsidRPr="009C789B">
              <w:rPr>
                <w:rFonts w:ascii="Arial" w:hAnsi="Arial" w:cs="Arial"/>
                <w:sz w:val="20"/>
                <w:szCs w:val="20"/>
              </w:rPr>
              <w:t xml:space="preserve">, </w:t>
            </w:r>
            <w:r w:rsidR="006E19AF" w:rsidRPr="009C789B">
              <w:rPr>
                <w:rFonts w:ascii="Arial" w:hAnsi="Arial" w:cs="Arial"/>
                <w:sz w:val="20"/>
                <w:szCs w:val="20"/>
              </w:rPr>
              <w:t>dans le même esprit</w:t>
            </w:r>
            <w:r w:rsidR="00F404FD" w:rsidRPr="009C789B">
              <w:rPr>
                <w:rFonts w:ascii="Arial" w:hAnsi="Arial" w:cs="Arial"/>
                <w:sz w:val="20"/>
                <w:szCs w:val="20"/>
              </w:rPr>
              <w:t xml:space="preserve"> de transparence et de précision des informations</w:t>
            </w:r>
            <w:r w:rsidR="002E3812" w:rsidRPr="009C789B">
              <w:rPr>
                <w:rFonts w:ascii="Arial" w:hAnsi="Arial" w:cs="Arial"/>
                <w:sz w:val="20"/>
                <w:szCs w:val="20"/>
              </w:rPr>
              <w:t xml:space="preserve">, </w:t>
            </w:r>
            <w:r w:rsidR="00F404FD" w:rsidRPr="009C789B">
              <w:rPr>
                <w:rFonts w:ascii="Arial" w:hAnsi="Arial" w:cs="Arial"/>
                <w:sz w:val="20"/>
                <w:szCs w:val="20"/>
              </w:rPr>
              <w:t xml:space="preserve">la </w:t>
            </w:r>
            <w:r w:rsidR="002E3812" w:rsidRPr="009C789B">
              <w:rPr>
                <w:rFonts w:ascii="Arial" w:hAnsi="Arial" w:cs="Arial"/>
                <w:sz w:val="20"/>
                <w:szCs w:val="20"/>
              </w:rPr>
              <w:t xml:space="preserve">Section </w:t>
            </w:r>
            <w:r w:rsidR="006E19AF" w:rsidRPr="009C789B">
              <w:rPr>
                <w:rFonts w:ascii="Arial" w:hAnsi="Arial" w:cs="Arial"/>
                <w:sz w:val="20"/>
                <w:szCs w:val="20"/>
              </w:rPr>
              <w:t>poursuit</w:t>
            </w:r>
            <w:r w:rsidR="002E3812" w:rsidRPr="009C789B">
              <w:rPr>
                <w:rFonts w:ascii="Arial" w:hAnsi="Arial" w:cs="Arial"/>
                <w:sz w:val="20"/>
                <w:szCs w:val="20"/>
              </w:rPr>
              <w:t xml:space="preserve"> </w:t>
            </w:r>
            <w:r w:rsidR="00F404FD" w:rsidRPr="009C789B">
              <w:rPr>
                <w:rFonts w:ascii="Arial" w:hAnsi="Arial" w:cs="Arial"/>
                <w:sz w:val="20"/>
                <w:szCs w:val="20"/>
              </w:rPr>
              <w:t>ses efforts pour adapter son système de gestion des connaissances aux besoins de suivi des projets et d</w:t>
            </w:r>
            <w:r w:rsidR="00DC1070">
              <w:rPr>
                <w:rFonts w:ascii="Arial" w:hAnsi="Arial" w:cs="Arial"/>
                <w:sz w:val="20"/>
                <w:szCs w:val="20"/>
              </w:rPr>
              <w:t>’élaboration de rapports</w:t>
            </w:r>
            <w:r w:rsidR="002E3812" w:rsidRPr="009C789B">
              <w:rPr>
                <w:rFonts w:ascii="Arial" w:hAnsi="Arial" w:cs="Arial"/>
                <w:sz w:val="20"/>
                <w:szCs w:val="20"/>
              </w:rPr>
              <w:t>.</w:t>
            </w:r>
          </w:p>
        </w:tc>
      </w:tr>
    </w:tbl>
    <w:p w14:paraId="3D958961" w14:textId="77777777" w:rsidR="002E3812" w:rsidRPr="00F07BDB" w:rsidRDefault="006260FB" w:rsidP="00CE07ED">
      <w:pPr>
        <w:keepNext/>
        <w:spacing w:before="240" w:after="120"/>
        <w:ind w:left="1134" w:hanging="1134"/>
        <w:jc w:val="both"/>
        <w:rPr>
          <w:rFonts w:ascii="Arial" w:hAnsi="Arial" w:cs="Arial"/>
          <w:b/>
          <w:sz w:val="22"/>
          <w:szCs w:val="22"/>
        </w:rPr>
      </w:pPr>
      <w:r w:rsidRPr="00F07BDB">
        <w:rPr>
          <w:rFonts w:ascii="Arial" w:hAnsi="Arial" w:cs="Arial"/>
          <w:b/>
          <w:sz w:val="22"/>
          <w:szCs w:val="22"/>
        </w:rPr>
        <w:t>R</w:t>
      </w:r>
      <w:r w:rsidR="002E3812" w:rsidRPr="00F07BDB">
        <w:rPr>
          <w:rFonts w:ascii="Arial" w:hAnsi="Arial" w:cs="Arial"/>
          <w:b/>
          <w:sz w:val="22"/>
          <w:szCs w:val="22"/>
        </w:rPr>
        <w:t>E </w:t>
      </w:r>
      <w:r w:rsidR="006E19AF" w:rsidRPr="00F07BDB">
        <w:rPr>
          <w:rFonts w:ascii="Arial" w:hAnsi="Arial" w:cs="Arial"/>
          <w:b/>
          <w:sz w:val="22"/>
          <w:szCs w:val="22"/>
        </w:rPr>
        <w:t>n° </w:t>
      </w:r>
      <w:r w:rsidR="002E3812" w:rsidRPr="00F07BDB">
        <w:rPr>
          <w:rFonts w:ascii="Arial" w:hAnsi="Arial" w:cs="Arial"/>
          <w:b/>
          <w:sz w:val="22"/>
          <w:szCs w:val="22"/>
        </w:rPr>
        <w:t>3</w:t>
      </w:r>
      <w:r w:rsidRPr="00F07BDB">
        <w:rPr>
          <w:rFonts w:ascii="Arial" w:hAnsi="Arial" w:cs="Arial"/>
          <w:b/>
          <w:sz w:val="22"/>
          <w:szCs w:val="22"/>
        </w:rPr>
        <w:t> </w:t>
      </w:r>
      <w:r w:rsidR="002E3812" w:rsidRPr="00F07BDB">
        <w:rPr>
          <w:rFonts w:ascii="Arial" w:hAnsi="Arial" w:cs="Arial"/>
          <w:b/>
          <w:sz w:val="22"/>
          <w:szCs w:val="22"/>
        </w:rPr>
        <w:t>:</w:t>
      </w:r>
      <w:r w:rsidR="002E3812" w:rsidRPr="00F07BDB">
        <w:rPr>
          <w:rFonts w:ascii="Arial" w:hAnsi="Arial" w:cs="Arial"/>
          <w:b/>
          <w:sz w:val="22"/>
          <w:szCs w:val="22"/>
        </w:rPr>
        <w:tab/>
      </w:r>
      <w:r w:rsidR="00461DB0" w:rsidRPr="00F07BDB">
        <w:rPr>
          <w:rFonts w:ascii="Arial" w:hAnsi="Arial" w:cs="Arial"/>
          <w:b/>
          <w:sz w:val="22"/>
          <w:szCs w:val="22"/>
        </w:rPr>
        <w:t>Conseil</w:t>
      </w:r>
      <w:r w:rsidR="005C30EB" w:rsidRPr="00F07BDB">
        <w:rPr>
          <w:rFonts w:ascii="Arial" w:hAnsi="Arial" w:cs="Arial"/>
          <w:b/>
          <w:sz w:val="22"/>
          <w:szCs w:val="22"/>
        </w:rPr>
        <w:t>s</w:t>
      </w:r>
      <w:r w:rsidR="00461DB0" w:rsidRPr="00F07BDB">
        <w:rPr>
          <w:rFonts w:ascii="Arial" w:hAnsi="Arial" w:cs="Arial"/>
          <w:b/>
          <w:sz w:val="22"/>
          <w:szCs w:val="22"/>
        </w:rPr>
        <w:t xml:space="preserve"> </w:t>
      </w:r>
      <w:r w:rsidR="005C30EB" w:rsidRPr="00F07BDB">
        <w:rPr>
          <w:rFonts w:ascii="Arial" w:hAnsi="Arial" w:cs="Arial"/>
          <w:b/>
          <w:sz w:val="22"/>
          <w:szCs w:val="22"/>
        </w:rPr>
        <w:t>concernant</w:t>
      </w:r>
      <w:r w:rsidR="00461DB0" w:rsidRPr="00F07BDB">
        <w:rPr>
          <w:rFonts w:ascii="Arial" w:hAnsi="Arial" w:cs="Arial"/>
          <w:b/>
          <w:sz w:val="22"/>
          <w:szCs w:val="22"/>
        </w:rPr>
        <w:t xml:space="preserve"> les meilleures pratiques de sauvegarde et recommandations </w:t>
      </w:r>
      <w:r w:rsidR="005C30EB" w:rsidRPr="00F07BDB">
        <w:rPr>
          <w:rFonts w:ascii="Arial" w:hAnsi="Arial" w:cs="Arial"/>
          <w:b/>
          <w:sz w:val="22"/>
          <w:szCs w:val="22"/>
        </w:rPr>
        <w:t>concernant</w:t>
      </w:r>
      <w:r w:rsidR="00461DB0" w:rsidRPr="00F07BDB">
        <w:rPr>
          <w:rFonts w:ascii="Arial" w:hAnsi="Arial" w:cs="Arial"/>
          <w:b/>
          <w:sz w:val="22"/>
          <w:szCs w:val="22"/>
        </w:rPr>
        <w:t xml:space="preserve"> les mesures </w:t>
      </w:r>
      <w:r w:rsidR="004E2EC7" w:rsidRPr="00F07BDB">
        <w:rPr>
          <w:rFonts w:ascii="Arial" w:hAnsi="Arial" w:cs="Arial"/>
          <w:b/>
          <w:sz w:val="22"/>
          <w:szCs w:val="22"/>
        </w:rPr>
        <w:t xml:space="preserve">en faveur de la </w:t>
      </w:r>
      <w:r w:rsidR="00461DB0" w:rsidRPr="00F07BDB">
        <w:rPr>
          <w:rFonts w:ascii="Arial" w:hAnsi="Arial" w:cs="Arial"/>
          <w:b/>
          <w:sz w:val="22"/>
          <w:szCs w:val="22"/>
        </w:rPr>
        <w:t>sauvegarde</w:t>
      </w:r>
      <w:r w:rsidR="004E2EC7" w:rsidRPr="00F07BDB">
        <w:rPr>
          <w:rFonts w:ascii="Arial" w:hAnsi="Arial" w:cs="Arial"/>
          <w:b/>
          <w:sz w:val="22"/>
          <w:szCs w:val="22"/>
        </w:rPr>
        <w:t xml:space="preserve"> du</w:t>
      </w:r>
      <w:r w:rsidR="00461DB0" w:rsidRPr="00F07BDB">
        <w:rPr>
          <w:rFonts w:ascii="Arial" w:hAnsi="Arial" w:cs="Arial"/>
          <w:b/>
          <w:sz w:val="22"/>
          <w:szCs w:val="22"/>
        </w:rPr>
        <w:t xml:space="preserve"> patrimoine culturel immatériel</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3875"/>
        <w:gridCol w:w="1881"/>
      </w:tblGrid>
      <w:tr w:rsidR="00F07BDB" w:rsidRPr="009C789B" w14:paraId="2E9B6244" w14:textId="77777777" w:rsidTr="00F07BDB">
        <w:trPr>
          <w:jc w:val="center"/>
        </w:trPr>
        <w:tc>
          <w:tcPr>
            <w:tcW w:w="2012" w:type="pct"/>
            <w:shd w:val="clear" w:color="auto" w:fill="C6D9F1"/>
            <w:vAlign w:val="center"/>
          </w:tcPr>
          <w:p w14:paraId="16447F17" w14:textId="77777777" w:rsidR="00F07BDB" w:rsidRPr="009C789B" w:rsidRDefault="00F07BDB" w:rsidP="00CE07ED">
            <w:pPr>
              <w:keepNext/>
              <w:spacing w:before="60" w:after="60"/>
              <w:jc w:val="center"/>
              <w:rPr>
                <w:rFonts w:ascii="Arial" w:hAnsi="Arial" w:cs="Arial"/>
                <w:b/>
                <w:sz w:val="20"/>
                <w:szCs w:val="20"/>
              </w:rPr>
            </w:pPr>
            <w:r w:rsidRPr="009C789B">
              <w:rPr>
                <w:rFonts w:ascii="Arial" w:hAnsi="Arial" w:cs="Arial"/>
                <w:b/>
                <w:sz w:val="20"/>
                <w:szCs w:val="20"/>
              </w:rPr>
              <w:t>Allocation</w:t>
            </w:r>
          </w:p>
        </w:tc>
        <w:tc>
          <w:tcPr>
            <w:tcW w:w="2010" w:type="pct"/>
            <w:shd w:val="clear" w:color="auto" w:fill="C6D9F1"/>
            <w:vAlign w:val="center"/>
          </w:tcPr>
          <w:p w14:paraId="5CCC6215" w14:textId="77777777" w:rsidR="00F07BDB" w:rsidRPr="009C789B" w:rsidRDefault="00F07BDB" w:rsidP="00CE07ED">
            <w:pPr>
              <w:keepNext/>
              <w:spacing w:before="60" w:after="60"/>
              <w:jc w:val="center"/>
              <w:rPr>
                <w:rFonts w:ascii="Arial" w:hAnsi="Arial" w:cs="Arial"/>
                <w:b/>
                <w:sz w:val="20"/>
                <w:szCs w:val="20"/>
              </w:rPr>
            </w:pPr>
            <w:r w:rsidRPr="009C789B">
              <w:rPr>
                <w:rFonts w:ascii="Arial" w:hAnsi="Arial" w:cs="Arial"/>
                <w:b/>
                <w:sz w:val="20"/>
                <w:szCs w:val="20"/>
              </w:rPr>
              <w:t>Dépenses</w:t>
            </w:r>
          </w:p>
        </w:tc>
        <w:tc>
          <w:tcPr>
            <w:tcW w:w="975" w:type="pct"/>
            <w:shd w:val="clear" w:color="auto" w:fill="C6D9F1"/>
            <w:vAlign w:val="center"/>
          </w:tcPr>
          <w:p w14:paraId="27DB9978" w14:textId="77777777" w:rsidR="00F07BDB" w:rsidRPr="009C789B" w:rsidRDefault="00F07BDB" w:rsidP="00CE07ED">
            <w:pPr>
              <w:keepNext/>
              <w:spacing w:before="60" w:after="60"/>
              <w:jc w:val="center"/>
              <w:rPr>
                <w:rFonts w:ascii="Arial" w:hAnsi="Arial" w:cs="Arial"/>
                <w:b/>
                <w:sz w:val="20"/>
                <w:szCs w:val="20"/>
              </w:rPr>
            </w:pPr>
            <w:r w:rsidRPr="009C789B">
              <w:rPr>
                <w:rFonts w:ascii="Arial" w:hAnsi="Arial" w:cs="Arial"/>
                <w:b/>
                <w:sz w:val="20"/>
                <w:szCs w:val="20"/>
              </w:rPr>
              <w:t>Taux de dépense %</w:t>
            </w:r>
          </w:p>
        </w:tc>
      </w:tr>
      <w:tr w:rsidR="002E3812" w:rsidRPr="009C789B" w14:paraId="5F455820" w14:textId="77777777" w:rsidTr="00F07BDB">
        <w:tblPrEx>
          <w:jc w:val="left"/>
        </w:tblPrEx>
        <w:tc>
          <w:tcPr>
            <w:tcW w:w="2012" w:type="pct"/>
            <w:tcBorders>
              <w:bottom w:val="single" w:sz="4" w:space="0" w:color="auto"/>
            </w:tcBorders>
            <w:shd w:val="clear" w:color="auto" w:fill="auto"/>
          </w:tcPr>
          <w:p w14:paraId="3B0444A8" w14:textId="77777777" w:rsidR="002E3812" w:rsidRPr="009C789B" w:rsidRDefault="002E3812" w:rsidP="00CE07ED">
            <w:pPr>
              <w:keepNext/>
              <w:spacing w:before="60" w:after="60"/>
              <w:jc w:val="center"/>
              <w:rPr>
                <w:rFonts w:ascii="Arial" w:hAnsi="Arial" w:cs="Arial"/>
                <w:sz w:val="20"/>
                <w:szCs w:val="20"/>
              </w:rPr>
            </w:pPr>
            <w:r w:rsidRPr="009C789B">
              <w:rPr>
                <w:rFonts w:ascii="Arial" w:hAnsi="Arial" w:cs="Arial"/>
                <w:sz w:val="20"/>
                <w:szCs w:val="20"/>
              </w:rPr>
              <w:t>108</w:t>
            </w:r>
            <w:r w:rsidR="00675F17" w:rsidRPr="009C789B">
              <w:rPr>
                <w:rFonts w:ascii="Arial" w:hAnsi="Arial" w:cs="Arial"/>
                <w:sz w:val="20"/>
                <w:szCs w:val="20"/>
              </w:rPr>
              <w:t> </w:t>
            </w:r>
            <w:r w:rsidRPr="009C789B">
              <w:rPr>
                <w:rFonts w:ascii="Arial" w:hAnsi="Arial" w:cs="Arial"/>
                <w:sz w:val="20"/>
                <w:szCs w:val="20"/>
              </w:rPr>
              <w:t>000</w:t>
            </w:r>
            <w:r w:rsidR="00675F17" w:rsidRPr="009C789B">
              <w:rPr>
                <w:rFonts w:ascii="Arial" w:hAnsi="Arial" w:cs="Arial"/>
                <w:sz w:val="20"/>
                <w:szCs w:val="20"/>
              </w:rPr>
              <w:t>,</w:t>
            </w:r>
            <w:r w:rsidRPr="009C789B">
              <w:rPr>
                <w:rFonts w:ascii="Arial" w:hAnsi="Arial" w:cs="Arial"/>
                <w:sz w:val="20"/>
                <w:szCs w:val="20"/>
              </w:rPr>
              <w:t>00</w:t>
            </w:r>
            <w:r w:rsidRPr="00F07BDB">
              <w:rPr>
                <w:rFonts w:ascii="Arial" w:hAnsi="Arial" w:cs="Arial"/>
                <w:sz w:val="20"/>
                <w:szCs w:val="20"/>
                <w:vertAlign w:val="superscript"/>
              </w:rPr>
              <w:footnoteReference w:id="5"/>
            </w:r>
          </w:p>
        </w:tc>
        <w:tc>
          <w:tcPr>
            <w:tcW w:w="2010" w:type="pct"/>
            <w:shd w:val="clear" w:color="auto" w:fill="auto"/>
          </w:tcPr>
          <w:p w14:paraId="2DCAA8CE" w14:textId="77777777" w:rsidR="002E3812" w:rsidRPr="009C789B" w:rsidRDefault="002E3812" w:rsidP="00CE07ED">
            <w:pPr>
              <w:keepNext/>
              <w:spacing w:before="60" w:after="60"/>
              <w:jc w:val="center"/>
              <w:rPr>
                <w:rFonts w:ascii="Arial" w:hAnsi="Arial" w:cs="Arial"/>
                <w:sz w:val="20"/>
                <w:szCs w:val="20"/>
              </w:rPr>
            </w:pPr>
            <w:r w:rsidRPr="009C789B">
              <w:rPr>
                <w:rFonts w:ascii="Arial" w:hAnsi="Arial" w:cs="Arial"/>
                <w:sz w:val="20"/>
                <w:szCs w:val="20"/>
              </w:rPr>
              <w:t>62</w:t>
            </w:r>
            <w:r w:rsidR="00675F17" w:rsidRPr="009C789B">
              <w:rPr>
                <w:rFonts w:ascii="Arial" w:hAnsi="Arial" w:cs="Arial"/>
                <w:sz w:val="20"/>
                <w:szCs w:val="20"/>
              </w:rPr>
              <w:t> </w:t>
            </w:r>
            <w:r w:rsidRPr="009C789B">
              <w:rPr>
                <w:rFonts w:ascii="Arial" w:hAnsi="Arial" w:cs="Arial"/>
                <w:sz w:val="20"/>
                <w:szCs w:val="20"/>
              </w:rPr>
              <w:t>665</w:t>
            </w:r>
            <w:r w:rsidR="00675F17" w:rsidRPr="009C789B">
              <w:rPr>
                <w:rFonts w:ascii="Arial" w:hAnsi="Arial" w:cs="Arial"/>
                <w:sz w:val="20"/>
                <w:szCs w:val="20"/>
              </w:rPr>
              <w:t>,</w:t>
            </w:r>
            <w:r w:rsidRPr="009C789B">
              <w:rPr>
                <w:rFonts w:ascii="Arial" w:hAnsi="Arial" w:cs="Arial"/>
                <w:sz w:val="20"/>
                <w:szCs w:val="20"/>
              </w:rPr>
              <w:t>23</w:t>
            </w:r>
          </w:p>
        </w:tc>
        <w:tc>
          <w:tcPr>
            <w:tcW w:w="975" w:type="pct"/>
            <w:shd w:val="clear" w:color="auto" w:fill="auto"/>
          </w:tcPr>
          <w:p w14:paraId="52BAB1D7" w14:textId="77777777" w:rsidR="002E3812" w:rsidRPr="009C789B" w:rsidRDefault="002E3812" w:rsidP="00CE07ED">
            <w:pPr>
              <w:keepNext/>
              <w:spacing w:before="60" w:after="60"/>
              <w:jc w:val="center"/>
              <w:rPr>
                <w:rFonts w:ascii="Arial" w:hAnsi="Arial" w:cs="Arial"/>
                <w:sz w:val="20"/>
                <w:szCs w:val="20"/>
              </w:rPr>
            </w:pPr>
            <w:r w:rsidRPr="009C789B">
              <w:rPr>
                <w:rFonts w:ascii="Arial" w:hAnsi="Arial" w:cs="Arial"/>
                <w:sz w:val="20"/>
                <w:szCs w:val="20"/>
              </w:rPr>
              <w:t>58</w:t>
            </w:r>
            <w:r w:rsidR="00675F17" w:rsidRPr="009C789B">
              <w:rPr>
                <w:rFonts w:ascii="Arial" w:hAnsi="Arial" w:cs="Arial"/>
                <w:sz w:val="20"/>
                <w:szCs w:val="20"/>
              </w:rPr>
              <w:t>,</w:t>
            </w:r>
            <w:r w:rsidRPr="009C789B">
              <w:rPr>
                <w:rFonts w:ascii="Arial" w:hAnsi="Arial" w:cs="Arial"/>
                <w:sz w:val="20"/>
                <w:szCs w:val="20"/>
              </w:rPr>
              <w:t>0</w:t>
            </w:r>
            <w:r w:rsidR="00675F17" w:rsidRPr="009C789B">
              <w:rPr>
                <w:rFonts w:ascii="Arial" w:hAnsi="Arial" w:cs="Arial"/>
                <w:sz w:val="20"/>
                <w:szCs w:val="20"/>
              </w:rPr>
              <w:t> </w:t>
            </w:r>
            <w:r w:rsidRPr="009C789B">
              <w:rPr>
                <w:rFonts w:ascii="Arial" w:hAnsi="Arial" w:cs="Arial"/>
                <w:sz w:val="20"/>
                <w:szCs w:val="20"/>
              </w:rPr>
              <w:t>%</w:t>
            </w:r>
          </w:p>
        </w:tc>
      </w:tr>
    </w:tbl>
    <w:p w14:paraId="0252A75C" w14:textId="77777777" w:rsidR="002E3812" w:rsidRPr="009C789B" w:rsidRDefault="002E3812" w:rsidP="00CE07ED">
      <w:pPr>
        <w:keepNext/>
        <w:spacing w:before="60" w:after="60"/>
        <w:rPr>
          <w:rFonts w:ascii="Arial" w:hAnsi="Arial" w:cs="Arial"/>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3965"/>
        <w:gridCol w:w="1703"/>
      </w:tblGrid>
      <w:tr w:rsidR="00F07BDB" w:rsidRPr="009C789B" w14:paraId="4239413A" w14:textId="77777777" w:rsidTr="00F07BDB">
        <w:trPr>
          <w:trHeight w:val="861"/>
          <w:tblHeader/>
        </w:trPr>
        <w:tc>
          <w:tcPr>
            <w:tcW w:w="2058" w:type="pct"/>
            <w:shd w:val="clear" w:color="auto" w:fill="D9D9D9" w:themeFill="background1" w:themeFillShade="D9"/>
            <w:vAlign w:val="center"/>
          </w:tcPr>
          <w:p w14:paraId="749DB1BC" w14:textId="77777777" w:rsidR="00F07BDB" w:rsidRPr="009C789B" w:rsidRDefault="00F07BDB" w:rsidP="00F07BDB">
            <w:pPr>
              <w:spacing w:before="60" w:after="60"/>
              <w:jc w:val="center"/>
              <w:rPr>
                <w:rFonts w:ascii="Arial" w:hAnsi="Arial" w:cs="Arial"/>
                <w:b/>
                <w:sz w:val="20"/>
                <w:szCs w:val="20"/>
              </w:rPr>
            </w:pPr>
            <w:r w:rsidRPr="009C789B">
              <w:rPr>
                <w:rFonts w:ascii="Arial" w:hAnsi="Arial" w:cs="Arial"/>
                <w:b/>
                <w:sz w:val="20"/>
                <w:szCs w:val="20"/>
              </w:rPr>
              <w:t>Produit (P)</w:t>
            </w:r>
            <w:r w:rsidRPr="009C789B">
              <w:rPr>
                <w:rFonts w:ascii="Arial" w:hAnsi="Arial" w:cs="Arial"/>
                <w:b/>
                <w:sz w:val="20"/>
                <w:szCs w:val="20"/>
              </w:rPr>
              <w:br/>
              <w:t>Indicateurs/Référence (R)</w:t>
            </w:r>
          </w:p>
        </w:tc>
        <w:tc>
          <w:tcPr>
            <w:tcW w:w="2058" w:type="pct"/>
            <w:shd w:val="clear" w:color="auto" w:fill="D9D9D9" w:themeFill="background1" w:themeFillShade="D9"/>
            <w:vAlign w:val="center"/>
          </w:tcPr>
          <w:p w14:paraId="60B87E38" w14:textId="77777777" w:rsidR="00F07BDB" w:rsidRPr="009C789B" w:rsidRDefault="00F07BDB" w:rsidP="00BB04C3">
            <w:pPr>
              <w:spacing w:before="60" w:after="60"/>
              <w:jc w:val="center"/>
              <w:rPr>
                <w:rFonts w:ascii="Arial" w:hAnsi="Arial" w:cs="Arial"/>
                <w:b/>
                <w:sz w:val="20"/>
                <w:szCs w:val="20"/>
              </w:rPr>
            </w:pPr>
            <w:r w:rsidRPr="009C789B">
              <w:rPr>
                <w:rFonts w:ascii="Arial" w:hAnsi="Arial" w:cs="Arial"/>
                <w:b/>
                <w:sz w:val="20"/>
                <w:szCs w:val="20"/>
              </w:rPr>
              <w:t>Évaluation des progrès accomplis :</w:t>
            </w:r>
            <w:r w:rsidRPr="009C789B">
              <w:rPr>
                <w:rFonts w:ascii="Arial" w:hAnsi="Arial" w:cs="Arial"/>
                <w:b/>
                <w:sz w:val="20"/>
                <w:szCs w:val="20"/>
              </w:rPr>
              <w:br/>
              <w:t>01/01/2014 - 31/12/2015</w:t>
            </w:r>
          </w:p>
        </w:tc>
        <w:tc>
          <w:tcPr>
            <w:tcW w:w="884" w:type="pct"/>
            <w:shd w:val="clear" w:color="auto" w:fill="D9D9D9" w:themeFill="background1" w:themeFillShade="D9"/>
            <w:vAlign w:val="center"/>
          </w:tcPr>
          <w:p w14:paraId="20CF0D2D" w14:textId="77777777" w:rsidR="00F07BDB" w:rsidRPr="009C789B" w:rsidRDefault="00F07BDB" w:rsidP="00F07BDB">
            <w:pPr>
              <w:spacing w:before="60" w:after="60"/>
              <w:jc w:val="center"/>
              <w:rPr>
                <w:rFonts w:ascii="Arial" w:hAnsi="Arial" w:cs="Arial"/>
                <w:b/>
                <w:sz w:val="20"/>
                <w:szCs w:val="20"/>
              </w:rPr>
            </w:pPr>
            <w:r w:rsidRPr="009C789B">
              <w:rPr>
                <w:rFonts w:ascii="Arial" w:hAnsi="Arial" w:cs="Arial"/>
                <w:b/>
                <w:sz w:val="20"/>
                <w:szCs w:val="20"/>
              </w:rPr>
              <w:t>Évaluation de la mise en œuvre</w:t>
            </w:r>
          </w:p>
        </w:tc>
      </w:tr>
      <w:tr w:rsidR="00F07BDB" w:rsidRPr="009C789B" w14:paraId="46F0DEDA" w14:textId="77777777" w:rsidTr="00F07BDB">
        <w:tc>
          <w:tcPr>
            <w:tcW w:w="2058" w:type="pct"/>
            <w:shd w:val="clear" w:color="auto" w:fill="auto"/>
          </w:tcPr>
          <w:p w14:paraId="00889C69" w14:textId="77777777" w:rsidR="002E3812" w:rsidRPr="00F07BDB" w:rsidRDefault="007F47E6" w:rsidP="009C789B">
            <w:pPr>
              <w:spacing w:before="60" w:after="60"/>
              <w:rPr>
                <w:rFonts w:ascii="Arial" w:hAnsi="Arial" w:cs="Arial"/>
                <w:b/>
                <w:sz w:val="20"/>
                <w:szCs w:val="20"/>
              </w:rPr>
            </w:pPr>
            <w:r w:rsidRPr="00F07BDB">
              <w:rPr>
                <w:rFonts w:ascii="Arial" w:hAnsi="Arial" w:cs="Arial"/>
                <w:b/>
                <w:sz w:val="20"/>
                <w:szCs w:val="20"/>
              </w:rPr>
              <w:t>P</w:t>
            </w:r>
            <w:r w:rsidR="00675F17" w:rsidRPr="00F07BDB">
              <w:rPr>
                <w:rFonts w:ascii="Arial" w:hAnsi="Arial" w:cs="Arial"/>
                <w:b/>
                <w:sz w:val="20"/>
                <w:szCs w:val="20"/>
              </w:rPr>
              <w:t> :</w:t>
            </w:r>
            <w:r w:rsidR="002E3812" w:rsidRPr="00F07BDB">
              <w:rPr>
                <w:rFonts w:ascii="Arial" w:hAnsi="Arial" w:cs="Arial"/>
                <w:b/>
                <w:sz w:val="20"/>
                <w:szCs w:val="20"/>
              </w:rPr>
              <w:t xml:space="preserve"> </w:t>
            </w:r>
          </w:p>
          <w:p w14:paraId="13E51B40" w14:textId="6741654B" w:rsidR="002E3812" w:rsidRPr="004A63E1" w:rsidRDefault="002E3812" w:rsidP="009C789B">
            <w:pPr>
              <w:spacing w:before="60" w:after="60"/>
              <w:rPr>
                <w:rFonts w:ascii="Arial" w:hAnsi="Arial" w:cs="Arial"/>
                <w:sz w:val="20"/>
                <w:szCs w:val="20"/>
              </w:rPr>
            </w:pPr>
            <w:r w:rsidRPr="004A63E1">
              <w:rPr>
                <w:rFonts w:ascii="Arial" w:hAnsi="Arial" w:cs="Arial"/>
                <w:sz w:val="20"/>
                <w:szCs w:val="20"/>
              </w:rPr>
              <w:t>I</w:t>
            </w:r>
            <w:r w:rsidR="00461DB0" w:rsidRPr="004A63E1">
              <w:rPr>
                <w:rFonts w:ascii="Arial" w:hAnsi="Arial" w:cs="Arial"/>
                <w:sz w:val="20"/>
                <w:szCs w:val="20"/>
              </w:rPr>
              <w:t>dentifi</w:t>
            </w:r>
            <w:r w:rsidR="00383A4A" w:rsidRPr="004A63E1">
              <w:rPr>
                <w:rFonts w:ascii="Arial" w:hAnsi="Arial" w:cs="Arial"/>
                <w:sz w:val="20"/>
                <w:szCs w:val="20"/>
              </w:rPr>
              <w:t xml:space="preserve">cation </w:t>
            </w:r>
            <w:r w:rsidR="00461DB0" w:rsidRPr="004A63E1">
              <w:rPr>
                <w:rFonts w:ascii="Arial" w:hAnsi="Arial" w:cs="Arial"/>
                <w:sz w:val="20"/>
                <w:szCs w:val="20"/>
              </w:rPr>
              <w:t>et partage d</w:t>
            </w:r>
            <w:r w:rsidR="00383A4A" w:rsidRPr="004A63E1">
              <w:rPr>
                <w:rFonts w:ascii="Arial" w:hAnsi="Arial" w:cs="Arial"/>
                <w:sz w:val="20"/>
                <w:szCs w:val="20"/>
              </w:rPr>
              <w:t>’</w:t>
            </w:r>
            <w:r w:rsidR="00461DB0" w:rsidRPr="004A63E1">
              <w:rPr>
                <w:rFonts w:ascii="Arial" w:hAnsi="Arial" w:cs="Arial"/>
                <w:sz w:val="20"/>
                <w:szCs w:val="20"/>
              </w:rPr>
              <w:t>exemples intéressants et novateurs</w:t>
            </w:r>
            <w:r w:rsidRPr="004A63E1">
              <w:rPr>
                <w:rFonts w:ascii="Arial" w:hAnsi="Arial" w:cs="Arial"/>
                <w:sz w:val="20"/>
                <w:szCs w:val="20"/>
              </w:rPr>
              <w:t xml:space="preserve">, </w:t>
            </w:r>
            <w:r w:rsidR="00461DB0" w:rsidRPr="004A63E1">
              <w:rPr>
                <w:rFonts w:ascii="Arial" w:hAnsi="Arial" w:cs="Arial"/>
                <w:sz w:val="20"/>
                <w:szCs w:val="20"/>
              </w:rPr>
              <w:t xml:space="preserve">notamment sur les codes d’éthique concernant le PCI, la </w:t>
            </w:r>
            <w:r w:rsidR="004A63E1" w:rsidRPr="004A63E1">
              <w:rPr>
                <w:rFonts w:ascii="Arial" w:hAnsi="Arial" w:cs="Arial"/>
                <w:sz w:val="20"/>
                <w:szCs w:val="20"/>
              </w:rPr>
              <w:t>réduction des conflits et des catastrophes et relèvement, ainsi que sur d’autres sujets</w:t>
            </w:r>
          </w:p>
          <w:p w14:paraId="57531515" w14:textId="77777777" w:rsidR="002E3812" w:rsidRPr="00F07BDB" w:rsidRDefault="00675F17" w:rsidP="009C789B">
            <w:pPr>
              <w:spacing w:before="60" w:after="60"/>
              <w:rPr>
                <w:rFonts w:ascii="Arial" w:hAnsi="Arial" w:cs="Arial"/>
                <w:b/>
                <w:sz w:val="20"/>
                <w:szCs w:val="20"/>
              </w:rPr>
            </w:pPr>
            <w:r w:rsidRPr="00F07BDB">
              <w:rPr>
                <w:rFonts w:ascii="Arial" w:hAnsi="Arial" w:cs="Arial"/>
                <w:b/>
                <w:sz w:val="20"/>
                <w:szCs w:val="20"/>
              </w:rPr>
              <w:t>R </w:t>
            </w:r>
            <w:r w:rsidR="002E3812" w:rsidRPr="00F07BDB">
              <w:rPr>
                <w:rFonts w:ascii="Arial" w:hAnsi="Arial" w:cs="Arial"/>
                <w:b/>
                <w:sz w:val="20"/>
                <w:szCs w:val="20"/>
              </w:rPr>
              <w:t>2014-2015</w:t>
            </w:r>
            <w:r w:rsidR="005C30EB" w:rsidRPr="00F07BDB">
              <w:rPr>
                <w:rFonts w:ascii="Arial" w:hAnsi="Arial" w:cs="Arial"/>
                <w:b/>
                <w:sz w:val="20"/>
                <w:szCs w:val="20"/>
              </w:rPr>
              <w:t> </w:t>
            </w:r>
            <w:r w:rsidR="002E3812" w:rsidRPr="00F07BDB">
              <w:rPr>
                <w:rFonts w:ascii="Arial" w:hAnsi="Arial" w:cs="Arial"/>
                <w:b/>
                <w:sz w:val="20"/>
                <w:szCs w:val="20"/>
              </w:rPr>
              <w:t>:</w:t>
            </w:r>
          </w:p>
          <w:p w14:paraId="295C99C3" w14:textId="77777777" w:rsidR="002E3812" w:rsidRPr="009C789B" w:rsidRDefault="002E3812" w:rsidP="009C789B">
            <w:pPr>
              <w:spacing w:before="60" w:after="60"/>
              <w:rPr>
                <w:rFonts w:ascii="Arial" w:hAnsi="Arial" w:cs="Arial"/>
                <w:sz w:val="20"/>
                <w:szCs w:val="20"/>
              </w:rPr>
            </w:pPr>
            <w:r w:rsidRPr="009C789B">
              <w:rPr>
                <w:rFonts w:ascii="Arial" w:hAnsi="Arial" w:cs="Arial"/>
                <w:sz w:val="20"/>
                <w:szCs w:val="20"/>
              </w:rPr>
              <w:t>Collect</w:t>
            </w:r>
            <w:r w:rsidR="00EE30E7" w:rsidRPr="009C789B">
              <w:rPr>
                <w:rFonts w:ascii="Arial" w:hAnsi="Arial" w:cs="Arial"/>
                <w:sz w:val="20"/>
                <w:szCs w:val="20"/>
              </w:rPr>
              <w:t xml:space="preserve">e et </w:t>
            </w:r>
            <w:r w:rsidRPr="009C789B">
              <w:rPr>
                <w:rFonts w:ascii="Arial" w:hAnsi="Arial" w:cs="Arial"/>
                <w:sz w:val="20"/>
                <w:szCs w:val="20"/>
              </w:rPr>
              <w:t>analys</w:t>
            </w:r>
            <w:r w:rsidR="00EE30E7" w:rsidRPr="009C789B">
              <w:rPr>
                <w:rFonts w:ascii="Arial" w:hAnsi="Arial" w:cs="Arial"/>
                <w:sz w:val="20"/>
                <w:szCs w:val="20"/>
              </w:rPr>
              <w:t>e de deux bonnes pratiques dans des domaines thématiques : organis</w:t>
            </w:r>
            <w:r w:rsidR="00383A4A" w:rsidRPr="009C789B">
              <w:rPr>
                <w:rFonts w:ascii="Arial" w:hAnsi="Arial" w:cs="Arial"/>
                <w:sz w:val="20"/>
                <w:szCs w:val="20"/>
              </w:rPr>
              <w:t>ation d’</w:t>
            </w:r>
            <w:r w:rsidR="00EE30E7" w:rsidRPr="009C789B">
              <w:rPr>
                <w:rFonts w:ascii="Arial" w:hAnsi="Arial" w:cs="Arial"/>
                <w:sz w:val="20"/>
                <w:szCs w:val="20"/>
              </w:rPr>
              <w:t xml:space="preserve">une réunion d’experts de catégorie IV </w:t>
            </w:r>
            <w:r w:rsidRPr="009C789B">
              <w:rPr>
                <w:rFonts w:ascii="Arial" w:hAnsi="Arial" w:cs="Arial"/>
                <w:sz w:val="20"/>
                <w:szCs w:val="20"/>
              </w:rPr>
              <w:t>(</w:t>
            </w:r>
            <w:r w:rsidR="00735F24" w:rsidRPr="009C789B">
              <w:rPr>
                <w:rFonts w:ascii="Arial" w:hAnsi="Arial" w:cs="Arial"/>
                <w:sz w:val="20"/>
                <w:szCs w:val="20"/>
              </w:rPr>
              <w:t>subordonnée au</w:t>
            </w:r>
            <w:r w:rsidR="00EE30E7" w:rsidRPr="009C789B">
              <w:rPr>
                <w:rFonts w:ascii="Arial" w:hAnsi="Arial" w:cs="Arial"/>
                <w:sz w:val="20"/>
                <w:szCs w:val="20"/>
              </w:rPr>
              <w:t xml:space="preserve"> soutien du pays hôte ou d</w:t>
            </w:r>
            <w:r w:rsidR="008A767F" w:rsidRPr="009C789B">
              <w:rPr>
                <w:rFonts w:ascii="Arial" w:hAnsi="Arial" w:cs="Arial"/>
                <w:sz w:val="20"/>
                <w:szCs w:val="20"/>
              </w:rPr>
              <w:t>’un</w:t>
            </w:r>
            <w:r w:rsidR="00EE30E7" w:rsidRPr="009C789B">
              <w:rPr>
                <w:rFonts w:ascii="Arial" w:hAnsi="Arial" w:cs="Arial"/>
                <w:sz w:val="20"/>
                <w:szCs w:val="20"/>
              </w:rPr>
              <w:t xml:space="preserve"> partenaire</w:t>
            </w:r>
            <w:r w:rsidRPr="009C789B">
              <w:rPr>
                <w:rFonts w:ascii="Arial" w:hAnsi="Arial" w:cs="Arial"/>
                <w:sz w:val="20"/>
                <w:szCs w:val="20"/>
              </w:rPr>
              <w:t>)</w:t>
            </w:r>
          </w:p>
        </w:tc>
        <w:tc>
          <w:tcPr>
            <w:tcW w:w="2058" w:type="pct"/>
            <w:shd w:val="clear" w:color="auto" w:fill="auto"/>
          </w:tcPr>
          <w:p w14:paraId="6083A8CD" w14:textId="4006BD38" w:rsidR="002E3812" w:rsidRPr="009C789B" w:rsidRDefault="00EE30E7" w:rsidP="00DC1070">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Une réunion d’e</w:t>
            </w:r>
            <w:r w:rsidR="002E3812" w:rsidRPr="009C789B">
              <w:rPr>
                <w:rFonts w:ascii="Arial" w:hAnsi="Arial" w:cs="Arial"/>
                <w:sz w:val="20"/>
                <w:szCs w:val="20"/>
              </w:rPr>
              <w:t>xpert</w:t>
            </w:r>
            <w:r w:rsidRPr="009C789B">
              <w:rPr>
                <w:rFonts w:ascii="Arial" w:hAnsi="Arial" w:cs="Arial"/>
                <w:sz w:val="20"/>
                <w:szCs w:val="20"/>
              </w:rPr>
              <w:t xml:space="preserve">s </w:t>
            </w:r>
            <w:r w:rsidR="00E327BC" w:rsidRPr="009C789B">
              <w:rPr>
                <w:rFonts w:ascii="Arial" w:hAnsi="Arial" w:cs="Arial"/>
                <w:sz w:val="20"/>
                <w:szCs w:val="20"/>
              </w:rPr>
              <w:t xml:space="preserve">a été </w:t>
            </w:r>
            <w:r w:rsidRPr="009C789B">
              <w:rPr>
                <w:rFonts w:ascii="Arial" w:hAnsi="Arial" w:cs="Arial"/>
                <w:sz w:val="20"/>
                <w:szCs w:val="20"/>
              </w:rPr>
              <w:t xml:space="preserve">organisée </w:t>
            </w:r>
            <w:r w:rsidR="00E327BC" w:rsidRPr="009C789B">
              <w:rPr>
                <w:rFonts w:ascii="Arial" w:hAnsi="Arial" w:cs="Arial"/>
                <w:sz w:val="20"/>
                <w:szCs w:val="20"/>
              </w:rPr>
              <w:t xml:space="preserve">conjointement </w:t>
            </w:r>
            <w:r w:rsidRPr="009C789B">
              <w:rPr>
                <w:rFonts w:ascii="Arial" w:hAnsi="Arial" w:cs="Arial"/>
                <w:sz w:val="20"/>
                <w:szCs w:val="20"/>
              </w:rPr>
              <w:t xml:space="preserve">avec le </w:t>
            </w:r>
            <w:r w:rsidR="00DC1070">
              <w:rPr>
                <w:rFonts w:ascii="Arial" w:hAnsi="Arial" w:cs="Arial"/>
                <w:sz w:val="20"/>
                <w:szCs w:val="20"/>
              </w:rPr>
              <w:t>M</w:t>
            </w:r>
            <w:r w:rsidR="00DC1070" w:rsidRPr="009C789B">
              <w:rPr>
                <w:rFonts w:ascii="Arial" w:hAnsi="Arial" w:cs="Arial"/>
                <w:sz w:val="20"/>
                <w:szCs w:val="20"/>
              </w:rPr>
              <w:t xml:space="preserve">inistère </w:t>
            </w:r>
            <w:r w:rsidRPr="009C789B">
              <w:rPr>
                <w:rFonts w:ascii="Arial" w:hAnsi="Arial" w:cs="Arial"/>
                <w:sz w:val="20"/>
                <w:szCs w:val="20"/>
              </w:rPr>
              <w:t xml:space="preserve">espagnol de </w:t>
            </w:r>
            <w:r w:rsidR="00DC1070" w:rsidRPr="009C789B">
              <w:rPr>
                <w:rFonts w:ascii="Arial" w:hAnsi="Arial" w:cs="Arial"/>
                <w:sz w:val="20"/>
                <w:szCs w:val="20"/>
              </w:rPr>
              <w:t>l’</w:t>
            </w:r>
            <w:r w:rsidR="00DC1070">
              <w:rPr>
                <w:rFonts w:ascii="Arial" w:hAnsi="Arial" w:cs="Arial"/>
                <w:sz w:val="20"/>
                <w:szCs w:val="20"/>
              </w:rPr>
              <w:t>é</w:t>
            </w:r>
            <w:r w:rsidR="00DC1070" w:rsidRPr="009C789B">
              <w:rPr>
                <w:rFonts w:ascii="Arial" w:hAnsi="Arial" w:cs="Arial"/>
                <w:sz w:val="20"/>
                <w:szCs w:val="20"/>
              </w:rPr>
              <w:t>ducation</w:t>
            </w:r>
            <w:r w:rsidR="002E3812" w:rsidRPr="009C789B">
              <w:rPr>
                <w:rFonts w:ascii="Arial" w:hAnsi="Arial" w:cs="Arial"/>
                <w:sz w:val="20"/>
                <w:szCs w:val="20"/>
              </w:rPr>
              <w:t xml:space="preserve">, </w:t>
            </w:r>
            <w:r w:rsidRPr="009C789B">
              <w:rPr>
                <w:rFonts w:ascii="Arial" w:hAnsi="Arial" w:cs="Arial"/>
                <w:sz w:val="20"/>
                <w:szCs w:val="20"/>
              </w:rPr>
              <w:t xml:space="preserve">de la </w:t>
            </w:r>
            <w:r w:rsidR="00DC1070">
              <w:rPr>
                <w:rFonts w:ascii="Arial" w:hAnsi="Arial" w:cs="Arial"/>
                <w:sz w:val="20"/>
                <w:szCs w:val="20"/>
              </w:rPr>
              <w:t>c</w:t>
            </w:r>
            <w:r w:rsidR="00DC1070" w:rsidRPr="009C789B">
              <w:rPr>
                <w:rFonts w:ascii="Arial" w:hAnsi="Arial" w:cs="Arial"/>
                <w:sz w:val="20"/>
                <w:szCs w:val="20"/>
              </w:rPr>
              <w:t xml:space="preserve">ulture </w:t>
            </w:r>
            <w:r w:rsidRPr="009C789B">
              <w:rPr>
                <w:rFonts w:ascii="Arial" w:hAnsi="Arial" w:cs="Arial"/>
                <w:sz w:val="20"/>
                <w:szCs w:val="20"/>
              </w:rPr>
              <w:t xml:space="preserve">et du </w:t>
            </w:r>
            <w:r w:rsidR="00DC1070">
              <w:rPr>
                <w:rFonts w:ascii="Arial" w:hAnsi="Arial" w:cs="Arial"/>
                <w:sz w:val="20"/>
                <w:szCs w:val="20"/>
              </w:rPr>
              <w:t>s</w:t>
            </w:r>
            <w:r w:rsidR="00DC1070" w:rsidRPr="009C789B">
              <w:rPr>
                <w:rFonts w:ascii="Arial" w:hAnsi="Arial" w:cs="Arial"/>
                <w:sz w:val="20"/>
                <w:szCs w:val="20"/>
              </w:rPr>
              <w:t xml:space="preserve">port </w:t>
            </w:r>
            <w:r w:rsidRPr="009C789B">
              <w:rPr>
                <w:rFonts w:ascii="Arial" w:hAnsi="Arial" w:cs="Arial"/>
                <w:sz w:val="20"/>
                <w:szCs w:val="20"/>
              </w:rPr>
              <w:t>à</w:t>
            </w:r>
            <w:r w:rsidR="002E3812" w:rsidRPr="009C789B">
              <w:rPr>
                <w:rFonts w:ascii="Arial" w:hAnsi="Arial" w:cs="Arial"/>
                <w:sz w:val="20"/>
                <w:szCs w:val="20"/>
              </w:rPr>
              <w:t xml:space="preserve"> </w:t>
            </w:r>
            <w:r w:rsidR="00E327BC" w:rsidRPr="009C789B">
              <w:rPr>
                <w:rFonts w:ascii="Arial" w:hAnsi="Arial" w:cs="Arial"/>
                <w:sz w:val="20"/>
                <w:szCs w:val="20"/>
              </w:rPr>
              <w:t>V</w:t>
            </w:r>
            <w:r w:rsidRPr="009C789B">
              <w:rPr>
                <w:rFonts w:ascii="Arial" w:hAnsi="Arial" w:cs="Arial"/>
                <w:sz w:val="20"/>
                <w:szCs w:val="20"/>
              </w:rPr>
              <w:t>alence pour lancer le travail sur les principes éthiques qui aideront à améliorer la qualité des efforts de sauvegarde dans le monde</w:t>
            </w:r>
            <w:r w:rsidR="002E3812" w:rsidRPr="009C789B">
              <w:rPr>
                <w:rFonts w:ascii="Arial" w:hAnsi="Arial" w:cs="Arial"/>
                <w:sz w:val="20"/>
                <w:szCs w:val="20"/>
              </w:rPr>
              <w:t>.</w:t>
            </w:r>
          </w:p>
        </w:tc>
        <w:tc>
          <w:tcPr>
            <w:tcW w:w="884" w:type="pct"/>
          </w:tcPr>
          <w:p w14:paraId="35EFADF2" w14:textId="77777777" w:rsidR="002E3812" w:rsidRPr="009C789B" w:rsidRDefault="002E3812" w:rsidP="00F07BDB">
            <w:pPr>
              <w:spacing w:before="60" w:after="60"/>
              <w:jc w:val="center"/>
              <w:rPr>
                <w:rFonts w:ascii="Arial" w:hAnsi="Arial" w:cs="Arial"/>
                <w:sz w:val="20"/>
                <w:szCs w:val="20"/>
              </w:rPr>
            </w:pPr>
            <w:r w:rsidRPr="009C789B">
              <w:rPr>
                <w:rFonts w:ascii="Arial" w:hAnsi="Arial" w:cs="Arial"/>
                <w:sz w:val="20"/>
                <w:szCs w:val="20"/>
              </w:rPr>
              <w:t>Part</w:t>
            </w:r>
            <w:r w:rsidR="00EE30E7" w:rsidRPr="009C789B">
              <w:rPr>
                <w:rFonts w:ascii="Arial" w:hAnsi="Arial" w:cs="Arial"/>
                <w:sz w:val="20"/>
                <w:szCs w:val="20"/>
              </w:rPr>
              <w:t>iellement</w:t>
            </w:r>
            <w:r w:rsidRPr="009C789B">
              <w:rPr>
                <w:rFonts w:ascii="Arial" w:hAnsi="Arial" w:cs="Arial"/>
                <w:sz w:val="20"/>
                <w:szCs w:val="20"/>
              </w:rPr>
              <w:t xml:space="preserve"> ac</w:t>
            </w:r>
            <w:r w:rsidR="004E2EC7" w:rsidRPr="009C789B">
              <w:rPr>
                <w:rFonts w:ascii="Arial" w:hAnsi="Arial" w:cs="Arial"/>
                <w:sz w:val="20"/>
                <w:szCs w:val="20"/>
              </w:rPr>
              <w:t>hevé</w:t>
            </w:r>
            <w:r w:rsidRPr="009C789B">
              <w:rPr>
                <w:rFonts w:ascii="Arial" w:hAnsi="Arial" w:cs="Arial"/>
                <w:sz w:val="20"/>
                <w:szCs w:val="20"/>
              </w:rPr>
              <w:t>e</w:t>
            </w:r>
          </w:p>
        </w:tc>
      </w:tr>
      <w:tr w:rsidR="00F07BDB" w:rsidRPr="009C789B" w14:paraId="281F80AC" w14:textId="77777777" w:rsidTr="00F07BDB">
        <w:tc>
          <w:tcPr>
            <w:tcW w:w="2058" w:type="pct"/>
            <w:shd w:val="clear" w:color="auto" w:fill="auto"/>
          </w:tcPr>
          <w:p w14:paraId="21A2250B" w14:textId="77777777" w:rsidR="002E3812" w:rsidRPr="00F07BDB" w:rsidRDefault="007F47E6" w:rsidP="009C789B">
            <w:pPr>
              <w:spacing w:before="60" w:after="60"/>
              <w:rPr>
                <w:rFonts w:ascii="Arial" w:hAnsi="Arial" w:cs="Arial"/>
                <w:b/>
                <w:sz w:val="20"/>
                <w:szCs w:val="20"/>
              </w:rPr>
            </w:pPr>
            <w:r w:rsidRPr="00F07BDB">
              <w:rPr>
                <w:rFonts w:ascii="Arial" w:hAnsi="Arial" w:cs="Arial"/>
                <w:b/>
                <w:sz w:val="20"/>
                <w:szCs w:val="20"/>
              </w:rPr>
              <w:t>P</w:t>
            </w:r>
            <w:r w:rsidR="00675F17" w:rsidRPr="00F07BDB">
              <w:rPr>
                <w:rFonts w:ascii="Arial" w:hAnsi="Arial" w:cs="Arial"/>
                <w:b/>
                <w:sz w:val="20"/>
                <w:szCs w:val="20"/>
              </w:rPr>
              <w:t> :</w:t>
            </w:r>
          </w:p>
          <w:p w14:paraId="6473D449" w14:textId="5F2BD2AC" w:rsidR="002E3812" w:rsidRPr="009C789B" w:rsidRDefault="004A63E1" w:rsidP="009C789B">
            <w:pPr>
              <w:spacing w:before="60" w:after="60"/>
              <w:rPr>
                <w:rFonts w:ascii="Arial" w:hAnsi="Arial" w:cs="Arial"/>
                <w:sz w:val="20"/>
                <w:szCs w:val="20"/>
              </w:rPr>
            </w:pPr>
            <w:r w:rsidRPr="004A63E1">
              <w:rPr>
                <w:rFonts w:ascii="Arial" w:hAnsi="Arial" w:cs="Arial"/>
                <w:sz w:val="20"/>
                <w:szCs w:val="20"/>
              </w:rPr>
              <w:t>Renforcement de la coopération entre l’UNESCO et l’OMPI pour assurer un échange et un apprentissage continus entre les deux organisations et leurs États membres concernant les savoirs traditionnels et les expressions culturelles</w:t>
            </w:r>
          </w:p>
          <w:p w14:paraId="4AA3E4B0" w14:textId="77777777" w:rsidR="002E3812" w:rsidRPr="00F07BDB" w:rsidRDefault="00675F17" w:rsidP="009C789B">
            <w:pPr>
              <w:spacing w:before="60" w:after="60"/>
              <w:rPr>
                <w:rFonts w:ascii="Arial" w:hAnsi="Arial" w:cs="Arial"/>
                <w:b/>
                <w:sz w:val="20"/>
                <w:szCs w:val="20"/>
              </w:rPr>
            </w:pPr>
            <w:r w:rsidRPr="00F07BDB">
              <w:rPr>
                <w:rFonts w:ascii="Arial" w:hAnsi="Arial" w:cs="Arial"/>
                <w:b/>
                <w:sz w:val="20"/>
                <w:szCs w:val="20"/>
              </w:rPr>
              <w:t>R </w:t>
            </w:r>
            <w:r w:rsidR="002E3812" w:rsidRPr="00F07BDB">
              <w:rPr>
                <w:rFonts w:ascii="Arial" w:hAnsi="Arial" w:cs="Arial"/>
                <w:b/>
                <w:sz w:val="20"/>
                <w:szCs w:val="20"/>
              </w:rPr>
              <w:t>2014-2015</w:t>
            </w:r>
            <w:r w:rsidR="001269BC" w:rsidRPr="00F07BDB">
              <w:rPr>
                <w:rFonts w:ascii="Arial" w:hAnsi="Arial" w:cs="Arial"/>
                <w:b/>
                <w:sz w:val="20"/>
                <w:szCs w:val="20"/>
              </w:rPr>
              <w:t> </w:t>
            </w:r>
            <w:r w:rsidR="002E3812" w:rsidRPr="00F07BDB">
              <w:rPr>
                <w:rFonts w:ascii="Arial" w:hAnsi="Arial" w:cs="Arial"/>
                <w:b/>
                <w:sz w:val="20"/>
                <w:szCs w:val="20"/>
              </w:rPr>
              <w:t>:</w:t>
            </w:r>
          </w:p>
          <w:p w14:paraId="0C890A8F" w14:textId="77777777" w:rsidR="002E3812" w:rsidRPr="009C789B" w:rsidRDefault="00593D09" w:rsidP="009C789B">
            <w:pPr>
              <w:spacing w:before="60" w:after="60"/>
              <w:rPr>
                <w:rFonts w:ascii="Arial" w:hAnsi="Arial" w:cs="Arial"/>
                <w:sz w:val="20"/>
                <w:szCs w:val="20"/>
              </w:rPr>
            </w:pPr>
            <w:r w:rsidRPr="009C789B">
              <w:rPr>
                <w:rFonts w:ascii="Arial" w:hAnsi="Arial" w:cs="Arial"/>
                <w:sz w:val="20"/>
                <w:szCs w:val="20"/>
              </w:rPr>
              <w:t>Organis</w:t>
            </w:r>
            <w:r w:rsidR="00E327BC" w:rsidRPr="009C789B">
              <w:rPr>
                <w:rFonts w:ascii="Arial" w:hAnsi="Arial" w:cs="Arial"/>
                <w:sz w:val="20"/>
                <w:szCs w:val="20"/>
              </w:rPr>
              <w:t>ation d’</w:t>
            </w:r>
            <w:r w:rsidRPr="009C789B">
              <w:rPr>
                <w:rFonts w:ascii="Arial" w:hAnsi="Arial" w:cs="Arial"/>
                <w:sz w:val="20"/>
                <w:szCs w:val="20"/>
              </w:rPr>
              <w:t>une réunion au niveau infrarégional</w:t>
            </w:r>
            <w:r w:rsidR="00E327BC" w:rsidRPr="009C789B">
              <w:rPr>
                <w:rFonts w:ascii="Arial" w:hAnsi="Arial" w:cs="Arial"/>
                <w:sz w:val="20"/>
                <w:szCs w:val="20"/>
              </w:rPr>
              <w:t>,</w:t>
            </w:r>
            <w:r w:rsidRPr="009C789B">
              <w:rPr>
                <w:rFonts w:ascii="Arial" w:hAnsi="Arial" w:cs="Arial"/>
                <w:sz w:val="20"/>
                <w:szCs w:val="20"/>
              </w:rPr>
              <w:t xml:space="preserve"> en coopération avec le Centre régional pour la sauvegarde du patrimoine culturel immatériel en Europe du Sud-Est, à </w:t>
            </w:r>
            <w:r w:rsidR="002E3812" w:rsidRPr="009C789B">
              <w:rPr>
                <w:rFonts w:ascii="Arial" w:hAnsi="Arial" w:cs="Arial"/>
                <w:sz w:val="20"/>
                <w:szCs w:val="20"/>
              </w:rPr>
              <w:t>Sofia (Bulgari</w:t>
            </w:r>
            <w:r w:rsidR="00E10B1B" w:rsidRPr="009C789B">
              <w:rPr>
                <w:rFonts w:ascii="Arial" w:hAnsi="Arial" w:cs="Arial"/>
                <w:sz w:val="20"/>
                <w:szCs w:val="20"/>
              </w:rPr>
              <w:t>e</w:t>
            </w:r>
            <w:r w:rsidR="002E3812" w:rsidRPr="009C789B">
              <w:rPr>
                <w:rFonts w:ascii="Arial" w:hAnsi="Arial" w:cs="Arial"/>
                <w:sz w:val="20"/>
                <w:szCs w:val="20"/>
              </w:rPr>
              <w:t>)</w:t>
            </w:r>
            <w:r w:rsidR="00E10B1B" w:rsidRPr="009C789B">
              <w:rPr>
                <w:rFonts w:ascii="Arial" w:hAnsi="Arial" w:cs="Arial"/>
                <w:sz w:val="20"/>
                <w:szCs w:val="20"/>
              </w:rPr>
              <w:t> </w:t>
            </w:r>
            <w:r w:rsidR="002E3812" w:rsidRPr="009C789B">
              <w:rPr>
                <w:rFonts w:ascii="Arial" w:hAnsi="Arial" w:cs="Arial"/>
                <w:sz w:val="20"/>
                <w:szCs w:val="20"/>
              </w:rPr>
              <w:t xml:space="preserve">; participation </w:t>
            </w:r>
            <w:r w:rsidR="00E10B1B" w:rsidRPr="009C789B">
              <w:rPr>
                <w:rFonts w:ascii="Arial" w:hAnsi="Arial" w:cs="Arial"/>
                <w:sz w:val="20"/>
                <w:szCs w:val="20"/>
              </w:rPr>
              <w:t xml:space="preserve">à une réunion </w:t>
            </w:r>
            <w:r w:rsidR="00AE0FCA" w:rsidRPr="009C789B">
              <w:rPr>
                <w:rFonts w:ascii="Arial" w:hAnsi="Arial" w:cs="Arial"/>
                <w:sz w:val="20"/>
                <w:szCs w:val="20"/>
              </w:rPr>
              <w:t>organisée</w:t>
            </w:r>
            <w:r w:rsidR="00E10B1B" w:rsidRPr="009C789B">
              <w:rPr>
                <w:rFonts w:ascii="Arial" w:hAnsi="Arial" w:cs="Arial"/>
                <w:sz w:val="20"/>
                <w:szCs w:val="20"/>
              </w:rPr>
              <w:t xml:space="preserve"> par l’OMPI ou d’autres organisations des Nations Unies</w:t>
            </w:r>
          </w:p>
        </w:tc>
        <w:tc>
          <w:tcPr>
            <w:tcW w:w="2058" w:type="pct"/>
            <w:shd w:val="clear" w:color="auto" w:fill="auto"/>
          </w:tcPr>
          <w:p w14:paraId="0066C288" w14:textId="77777777" w:rsidR="002E3812" w:rsidRPr="009C789B" w:rsidRDefault="006A42A9"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Une conférence sur le thème </w:t>
            </w:r>
            <w:r w:rsidR="00D50538" w:rsidRPr="009C789B">
              <w:rPr>
                <w:rFonts w:ascii="Arial" w:hAnsi="Arial" w:cs="Arial"/>
                <w:sz w:val="20"/>
                <w:szCs w:val="20"/>
              </w:rPr>
              <w:t>« </w:t>
            </w:r>
            <w:r w:rsidRPr="009C789B">
              <w:rPr>
                <w:rFonts w:ascii="Arial" w:hAnsi="Arial" w:cs="Arial"/>
                <w:sz w:val="20"/>
                <w:szCs w:val="20"/>
              </w:rPr>
              <w:t>Propriété intellectuelle, patrimoine culturel immatériel et médecine traditionnelle dans le contexte des politiques de sauvegarde du patrimoine culturel immatériel dans les pays d’Europe du Sud-Est</w:t>
            </w:r>
            <w:r w:rsidR="00BB1377" w:rsidRPr="009C789B">
              <w:rPr>
                <w:rFonts w:ascii="Arial" w:hAnsi="Arial" w:cs="Arial"/>
                <w:sz w:val="20"/>
                <w:szCs w:val="20"/>
              </w:rPr>
              <w:t> »</w:t>
            </w:r>
            <w:r w:rsidRPr="009C789B">
              <w:rPr>
                <w:rFonts w:ascii="Arial" w:hAnsi="Arial" w:cs="Arial"/>
                <w:sz w:val="20"/>
                <w:szCs w:val="20"/>
              </w:rPr>
              <w:t xml:space="preserve">, </w:t>
            </w:r>
            <w:r w:rsidR="00D50538" w:rsidRPr="009C789B">
              <w:rPr>
                <w:rFonts w:ascii="Arial" w:hAnsi="Arial" w:cs="Arial"/>
                <w:sz w:val="20"/>
                <w:szCs w:val="20"/>
              </w:rPr>
              <w:t xml:space="preserve">a été organisée conjointement avec l’OMPI et </w:t>
            </w:r>
            <w:r w:rsidRPr="009C789B">
              <w:rPr>
                <w:rFonts w:ascii="Arial" w:hAnsi="Arial" w:cs="Arial"/>
                <w:sz w:val="20"/>
                <w:szCs w:val="20"/>
              </w:rPr>
              <w:t xml:space="preserve">accueillie par le Centre régional pour la sauvegarde du patrimoine culturel immatériel en Europe du Sud-Est, à </w:t>
            </w:r>
            <w:r w:rsidR="002E3812" w:rsidRPr="009C789B">
              <w:rPr>
                <w:rFonts w:ascii="Arial" w:hAnsi="Arial" w:cs="Arial"/>
                <w:sz w:val="20"/>
                <w:szCs w:val="20"/>
              </w:rPr>
              <w:t>Sofia (Bulgari</w:t>
            </w:r>
            <w:r w:rsidR="00BB1377" w:rsidRPr="009C789B">
              <w:rPr>
                <w:rFonts w:ascii="Arial" w:hAnsi="Arial" w:cs="Arial"/>
                <w:sz w:val="20"/>
                <w:szCs w:val="20"/>
              </w:rPr>
              <w:t>e</w:t>
            </w:r>
            <w:r w:rsidR="002E3812" w:rsidRPr="009C789B">
              <w:rPr>
                <w:rFonts w:ascii="Arial" w:hAnsi="Arial" w:cs="Arial"/>
                <w:sz w:val="20"/>
                <w:szCs w:val="20"/>
              </w:rPr>
              <w:t>).</w:t>
            </w:r>
          </w:p>
          <w:p w14:paraId="01417FD3" w14:textId="2F3DF304" w:rsidR="002E3812" w:rsidRPr="009C789B" w:rsidRDefault="002E3812" w:rsidP="00DC1070">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Participation </w:t>
            </w:r>
            <w:r w:rsidR="00BB1377" w:rsidRPr="009C789B">
              <w:rPr>
                <w:rFonts w:ascii="Arial" w:hAnsi="Arial" w:cs="Arial"/>
                <w:sz w:val="20"/>
                <w:szCs w:val="20"/>
              </w:rPr>
              <w:t>à un séminaire de l’OMPI sur les questions relatives au travail du Comité intergouverneme</w:t>
            </w:r>
            <w:r w:rsidR="00D50538" w:rsidRPr="009C789B">
              <w:rPr>
                <w:rFonts w:ascii="Arial" w:hAnsi="Arial" w:cs="Arial"/>
                <w:sz w:val="20"/>
                <w:szCs w:val="20"/>
              </w:rPr>
              <w:t>ntal sur la</w:t>
            </w:r>
            <w:r w:rsidR="00BB1377" w:rsidRPr="009C789B">
              <w:rPr>
                <w:rFonts w:ascii="Arial" w:hAnsi="Arial" w:cs="Arial"/>
                <w:sz w:val="20"/>
                <w:szCs w:val="20"/>
              </w:rPr>
              <w:t xml:space="preserve"> propriété intellectuelle et </w:t>
            </w:r>
            <w:r w:rsidR="00D50538" w:rsidRPr="009C789B">
              <w:rPr>
                <w:rFonts w:ascii="Arial" w:hAnsi="Arial" w:cs="Arial"/>
                <w:sz w:val="20"/>
                <w:szCs w:val="20"/>
              </w:rPr>
              <w:t xml:space="preserve">les </w:t>
            </w:r>
            <w:r w:rsidR="00BB1377" w:rsidRPr="009C789B">
              <w:rPr>
                <w:rFonts w:ascii="Arial" w:hAnsi="Arial" w:cs="Arial"/>
                <w:sz w:val="20"/>
                <w:szCs w:val="20"/>
              </w:rPr>
              <w:t>ressources génétiques, les connaissances traditionnelles et le fol</w:t>
            </w:r>
            <w:r w:rsidRPr="009C789B">
              <w:rPr>
                <w:rFonts w:ascii="Arial" w:hAnsi="Arial" w:cs="Arial"/>
                <w:sz w:val="20"/>
                <w:szCs w:val="20"/>
              </w:rPr>
              <w:t>klore</w:t>
            </w:r>
            <w:r w:rsidR="00BB1377" w:rsidRPr="009C789B">
              <w:rPr>
                <w:rFonts w:ascii="Arial" w:hAnsi="Arial" w:cs="Arial"/>
                <w:sz w:val="20"/>
                <w:szCs w:val="20"/>
              </w:rPr>
              <w:t> </w:t>
            </w:r>
            <w:r w:rsidRPr="009C789B">
              <w:rPr>
                <w:rFonts w:ascii="Arial" w:hAnsi="Arial" w:cs="Arial"/>
                <w:sz w:val="20"/>
                <w:szCs w:val="20"/>
              </w:rPr>
              <w:t xml:space="preserve">; participation </w:t>
            </w:r>
            <w:r w:rsidR="00BB1377" w:rsidRPr="009C789B">
              <w:rPr>
                <w:rFonts w:ascii="Arial" w:hAnsi="Arial" w:cs="Arial"/>
                <w:sz w:val="20"/>
                <w:szCs w:val="20"/>
              </w:rPr>
              <w:t>à une réunion d’</w:t>
            </w:r>
            <w:r w:rsidRPr="009C789B">
              <w:rPr>
                <w:rFonts w:ascii="Arial" w:hAnsi="Arial" w:cs="Arial"/>
                <w:sz w:val="20"/>
                <w:szCs w:val="20"/>
              </w:rPr>
              <w:t>expert</w:t>
            </w:r>
            <w:r w:rsidR="00BB1377" w:rsidRPr="009C789B">
              <w:rPr>
                <w:rFonts w:ascii="Arial" w:hAnsi="Arial" w:cs="Arial"/>
                <w:sz w:val="20"/>
                <w:szCs w:val="20"/>
              </w:rPr>
              <w:t>s</w:t>
            </w:r>
            <w:r w:rsidRPr="009C789B">
              <w:rPr>
                <w:rFonts w:ascii="Arial" w:hAnsi="Arial" w:cs="Arial"/>
                <w:sz w:val="20"/>
                <w:szCs w:val="20"/>
              </w:rPr>
              <w:t xml:space="preserve"> </w:t>
            </w:r>
            <w:r w:rsidR="00BB1377" w:rsidRPr="009C789B">
              <w:rPr>
                <w:rFonts w:ascii="Arial" w:hAnsi="Arial" w:cs="Arial"/>
                <w:sz w:val="20"/>
                <w:szCs w:val="20"/>
              </w:rPr>
              <w:t>organisée en juin</w:t>
            </w:r>
            <w:r w:rsidRPr="009C789B">
              <w:rPr>
                <w:rFonts w:ascii="Arial" w:hAnsi="Arial" w:cs="Arial"/>
                <w:sz w:val="20"/>
                <w:szCs w:val="20"/>
              </w:rPr>
              <w:t xml:space="preserve"> 2014 </w:t>
            </w:r>
            <w:r w:rsidR="00BB1377" w:rsidRPr="009C789B">
              <w:rPr>
                <w:rFonts w:ascii="Arial" w:hAnsi="Arial" w:cs="Arial"/>
                <w:sz w:val="20"/>
                <w:szCs w:val="20"/>
              </w:rPr>
              <w:t>par le rapport</w:t>
            </w:r>
            <w:r w:rsidR="00C711A1" w:rsidRPr="009C789B">
              <w:rPr>
                <w:rFonts w:ascii="Arial" w:hAnsi="Arial" w:cs="Arial"/>
                <w:sz w:val="20"/>
                <w:szCs w:val="20"/>
              </w:rPr>
              <w:t>eur</w:t>
            </w:r>
            <w:r w:rsidR="00BB1377" w:rsidRPr="009C789B">
              <w:rPr>
                <w:rFonts w:ascii="Arial" w:hAnsi="Arial" w:cs="Arial"/>
                <w:sz w:val="20"/>
                <w:szCs w:val="20"/>
              </w:rPr>
              <w:t xml:space="preserve"> spécial des Nations Unies dans le domaine des droits culturels et </w:t>
            </w:r>
            <w:r w:rsidR="005A113E" w:rsidRPr="009C789B">
              <w:rPr>
                <w:rFonts w:ascii="Arial" w:hAnsi="Arial" w:cs="Arial"/>
                <w:sz w:val="20"/>
                <w:szCs w:val="20"/>
              </w:rPr>
              <w:t xml:space="preserve">le Bureau du </w:t>
            </w:r>
            <w:r w:rsidR="00AE0FCA" w:rsidRPr="009C789B">
              <w:rPr>
                <w:rFonts w:ascii="Arial" w:hAnsi="Arial" w:cs="Arial"/>
                <w:sz w:val="20"/>
                <w:szCs w:val="20"/>
              </w:rPr>
              <w:t>Haut-commissariat</w:t>
            </w:r>
            <w:r w:rsidR="005A113E" w:rsidRPr="009C789B">
              <w:rPr>
                <w:rFonts w:ascii="Arial" w:hAnsi="Arial" w:cs="Arial"/>
                <w:sz w:val="20"/>
                <w:szCs w:val="20"/>
              </w:rPr>
              <w:t xml:space="preserve"> aux droits de l’homme </w:t>
            </w:r>
            <w:r w:rsidRPr="009C789B">
              <w:rPr>
                <w:rFonts w:ascii="Arial" w:hAnsi="Arial" w:cs="Arial"/>
                <w:sz w:val="20"/>
                <w:szCs w:val="20"/>
              </w:rPr>
              <w:t>(HC</w:t>
            </w:r>
            <w:r w:rsidR="005A113E" w:rsidRPr="009C789B">
              <w:rPr>
                <w:rFonts w:ascii="Arial" w:hAnsi="Arial" w:cs="Arial"/>
                <w:sz w:val="20"/>
                <w:szCs w:val="20"/>
              </w:rPr>
              <w:t>D</w:t>
            </w:r>
            <w:r w:rsidRPr="009C789B">
              <w:rPr>
                <w:rFonts w:ascii="Arial" w:hAnsi="Arial" w:cs="Arial"/>
                <w:sz w:val="20"/>
                <w:szCs w:val="20"/>
              </w:rPr>
              <w:t>H)</w:t>
            </w:r>
            <w:r w:rsidR="004B5B8B" w:rsidRPr="009C789B">
              <w:rPr>
                <w:rFonts w:ascii="Arial" w:hAnsi="Arial" w:cs="Arial"/>
                <w:sz w:val="20"/>
                <w:szCs w:val="20"/>
              </w:rPr>
              <w:t>,</w:t>
            </w:r>
            <w:r w:rsidRPr="009C789B">
              <w:rPr>
                <w:rFonts w:ascii="Arial" w:hAnsi="Arial" w:cs="Arial"/>
                <w:sz w:val="20"/>
                <w:szCs w:val="20"/>
              </w:rPr>
              <w:t xml:space="preserve"> </w:t>
            </w:r>
            <w:r w:rsidR="004B5B8B" w:rsidRPr="009C789B">
              <w:rPr>
                <w:rFonts w:ascii="Arial" w:hAnsi="Arial" w:cs="Arial"/>
                <w:sz w:val="20"/>
                <w:szCs w:val="20"/>
              </w:rPr>
              <w:t>consacrée à</w:t>
            </w:r>
            <w:r w:rsidR="005A113E" w:rsidRPr="009C789B">
              <w:rPr>
                <w:rFonts w:ascii="Arial" w:hAnsi="Arial" w:cs="Arial"/>
                <w:sz w:val="20"/>
                <w:szCs w:val="20"/>
              </w:rPr>
              <w:t xml:space="preserve"> l’impac</w:t>
            </w:r>
            <w:r w:rsidR="004B5B8B" w:rsidRPr="009C789B">
              <w:rPr>
                <w:rFonts w:ascii="Arial" w:hAnsi="Arial" w:cs="Arial"/>
                <w:sz w:val="20"/>
                <w:szCs w:val="20"/>
              </w:rPr>
              <w:t>t</w:t>
            </w:r>
            <w:r w:rsidR="005A113E" w:rsidRPr="009C789B">
              <w:rPr>
                <w:rFonts w:ascii="Arial" w:hAnsi="Arial" w:cs="Arial"/>
                <w:sz w:val="20"/>
                <w:szCs w:val="20"/>
              </w:rPr>
              <w:t xml:space="preserve"> des régimes de propriété intellectuelle sur la jouissance du droit à la science et à la culture</w:t>
            </w:r>
            <w:r w:rsidR="004B5B8B" w:rsidRPr="009C789B">
              <w:rPr>
                <w:rFonts w:ascii="Arial" w:hAnsi="Arial" w:cs="Arial"/>
                <w:sz w:val="20"/>
                <w:szCs w:val="20"/>
              </w:rPr>
              <w:t>, dans le cadre du Pacte international relatif aux droits économiques, sociaux et culturels</w:t>
            </w:r>
            <w:r w:rsidRPr="009C789B">
              <w:rPr>
                <w:rFonts w:ascii="Arial" w:hAnsi="Arial" w:cs="Arial"/>
                <w:sz w:val="20"/>
                <w:szCs w:val="20"/>
              </w:rPr>
              <w:t xml:space="preserve"> (1976)</w:t>
            </w:r>
            <w:r w:rsidR="004B5B8B" w:rsidRPr="009C789B">
              <w:rPr>
                <w:rFonts w:ascii="Arial" w:hAnsi="Arial" w:cs="Arial"/>
                <w:sz w:val="20"/>
                <w:szCs w:val="20"/>
              </w:rPr>
              <w:t> </w:t>
            </w:r>
            <w:r w:rsidRPr="009C789B">
              <w:rPr>
                <w:rFonts w:ascii="Arial" w:hAnsi="Arial" w:cs="Arial"/>
                <w:sz w:val="20"/>
                <w:szCs w:val="20"/>
              </w:rPr>
              <w:t xml:space="preserve">; participation </w:t>
            </w:r>
            <w:r w:rsidR="004B5B8B" w:rsidRPr="009C789B">
              <w:rPr>
                <w:rFonts w:ascii="Arial" w:hAnsi="Arial" w:cs="Arial"/>
                <w:sz w:val="20"/>
                <w:szCs w:val="20"/>
              </w:rPr>
              <w:t xml:space="preserve">à l’atelier de la Banque mondiale sur la formulation de </w:t>
            </w:r>
            <w:r w:rsidR="00DC1070">
              <w:rPr>
                <w:rFonts w:ascii="Arial" w:hAnsi="Arial" w:cs="Arial"/>
                <w:sz w:val="20"/>
                <w:szCs w:val="20"/>
              </w:rPr>
              <w:t xml:space="preserve">directives </w:t>
            </w:r>
            <w:r w:rsidR="001A7230" w:rsidRPr="009C789B">
              <w:rPr>
                <w:rFonts w:ascii="Arial" w:hAnsi="Arial" w:cs="Arial"/>
                <w:sz w:val="20"/>
                <w:szCs w:val="20"/>
              </w:rPr>
              <w:t>concernant l’application de ses principes</w:t>
            </w:r>
            <w:r w:rsidR="004B5B8B" w:rsidRPr="009C789B">
              <w:rPr>
                <w:rFonts w:ascii="Arial" w:hAnsi="Arial" w:cs="Arial"/>
                <w:sz w:val="20"/>
                <w:szCs w:val="20"/>
              </w:rPr>
              <w:t xml:space="preserve"> de </w:t>
            </w:r>
            <w:r w:rsidR="005754E3" w:rsidRPr="009C789B">
              <w:rPr>
                <w:rFonts w:ascii="Arial" w:hAnsi="Arial" w:cs="Arial"/>
                <w:sz w:val="20"/>
                <w:szCs w:val="20"/>
              </w:rPr>
              <w:t>sauvegarde pour protéger le patrimoine culturel dans les projets de développement</w:t>
            </w:r>
            <w:r w:rsidRPr="009C789B">
              <w:rPr>
                <w:rFonts w:ascii="Arial" w:hAnsi="Arial" w:cs="Arial"/>
                <w:sz w:val="20"/>
                <w:szCs w:val="20"/>
              </w:rPr>
              <w:t>.</w:t>
            </w:r>
          </w:p>
        </w:tc>
        <w:tc>
          <w:tcPr>
            <w:tcW w:w="884" w:type="pct"/>
          </w:tcPr>
          <w:p w14:paraId="48D17FC5" w14:textId="77777777" w:rsidR="002E3812" w:rsidRPr="009C789B" w:rsidRDefault="002E3812" w:rsidP="00F07BDB">
            <w:pPr>
              <w:spacing w:before="60" w:after="60"/>
              <w:jc w:val="center"/>
              <w:rPr>
                <w:rFonts w:ascii="Arial" w:hAnsi="Arial" w:cs="Arial"/>
                <w:sz w:val="20"/>
                <w:szCs w:val="20"/>
              </w:rPr>
            </w:pPr>
            <w:r w:rsidRPr="009C789B">
              <w:rPr>
                <w:rFonts w:ascii="Arial" w:hAnsi="Arial" w:cs="Arial"/>
                <w:sz w:val="20"/>
                <w:szCs w:val="20"/>
              </w:rPr>
              <w:t>Ac</w:t>
            </w:r>
            <w:r w:rsidR="004E2EC7" w:rsidRPr="009C789B">
              <w:rPr>
                <w:rFonts w:ascii="Arial" w:hAnsi="Arial" w:cs="Arial"/>
                <w:sz w:val="20"/>
                <w:szCs w:val="20"/>
              </w:rPr>
              <w:t>hevé</w:t>
            </w:r>
            <w:r w:rsidRPr="009C789B">
              <w:rPr>
                <w:rFonts w:ascii="Arial" w:hAnsi="Arial" w:cs="Arial"/>
                <w:sz w:val="20"/>
                <w:szCs w:val="20"/>
              </w:rPr>
              <w:t>e</w:t>
            </w:r>
          </w:p>
        </w:tc>
      </w:tr>
    </w:tbl>
    <w:p w14:paraId="5CE74D9A" w14:textId="77777777" w:rsidR="00F07BDB" w:rsidRPr="009C789B" w:rsidRDefault="00F07BDB" w:rsidP="00F07BDB">
      <w:pPr>
        <w:keepNext/>
        <w:spacing w:before="240" w:after="120"/>
        <w:rPr>
          <w:rFonts w:ascii="Arial" w:hAnsi="Arial" w:cs="Arial"/>
          <w:b/>
          <w:sz w:val="22"/>
          <w:szCs w:val="22"/>
        </w:rPr>
      </w:pPr>
      <w:r>
        <w:rPr>
          <w:rFonts w:ascii="Arial" w:hAnsi="Arial" w:cs="Arial"/>
          <w:b/>
          <w:sz w:val="22"/>
          <w:szCs w:val="22"/>
        </w:rPr>
        <w:t>Défis</w:t>
      </w:r>
      <w:r w:rsidRPr="009C789B">
        <w:rPr>
          <w:rFonts w:ascii="Arial" w:hAnsi="Arial" w:cs="Arial"/>
          <w:b/>
          <w:sz w:val="22"/>
          <w:szCs w:val="22"/>
        </w:rPr>
        <w:t xml:space="preserve"> et risques rencontrés dans la mise en œuvre et mesures correctives</w:t>
      </w:r>
    </w:p>
    <w:tbl>
      <w:tblPr>
        <w:tblStyle w:val="TableGrid"/>
        <w:tblW w:w="5000" w:type="pct"/>
        <w:tblLook w:val="04A0" w:firstRow="1" w:lastRow="0" w:firstColumn="1" w:lastColumn="0" w:noHBand="0" w:noVBand="1"/>
      </w:tblPr>
      <w:tblGrid>
        <w:gridCol w:w="4814"/>
        <w:gridCol w:w="4814"/>
      </w:tblGrid>
      <w:tr w:rsidR="00F07BDB" w:rsidRPr="009C789B" w14:paraId="42B6C2DD" w14:textId="77777777" w:rsidTr="00BB04C3">
        <w:trPr>
          <w:tblHeader/>
        </w:trPr>
        <w:tc>
          <w:tcPr>
            <w:tcW w:w="2500" w:type="pct"/>
            <w:shd w:val="clear" w:color="auto" w:fill="D9D9D9" w:themeFill="background1" w:themeFillShade="D9"/>
          </w:tcPr>
          <w:p w14:paraId="66702FF9" w14:textId="77777777" w:rsidR="00F07BDB" w:rsidRPr="009C789B" w:rsidRDefault="00F07BDB" w:rsidP="00BB04C3">
            <w:pPr>
              <w:spacing w:before="120" w:after="120"/>
              <w:jc w:val="center"/>
              <w:rPr>
                <w:rFonts w:ascii="Arial" w:hAnsi="Arial" w:cs="Arial"/>
                <w:b/>
                <w:sz w:val="20"/>
                <w:szCs w:val="20"/>
              </w:rPr>
            </w:pPr>
            <w:r w:rsidRPr="009C789B">
              <w:rPr>
                <w:rFonts w:ascii="Arial" w:hAnsi="Arial" w:cs="Arial"/>
                <w:b/>
                <w:sz w:val="20"/>
                <w:szCs w:val="20"/>
              </w:rPr>
              <w:t>Principaux défis</w:t>
            </w:r>
          </w:p>
        </w:tc>
        <w:tc>
          <w:tcPr>
            <w:tcW w:w="2500" w:type="pct"/>
            <w:shd w:val="clear" w:color="auto" w:fill="D9D9D9" w:themeFill="background1" w:themeFillShade="D9"/>
          </w:tcPr>
          <w:p w14:paraId="78ED4D2D" w14:textId="77777777" w:rsidR="00F07BDB" w:rsidRPr="009C789B" w:rsidRDefault="00F07BDB" w:rsidP="00BB04C3">
            <w:pPr>
              <w:spacing w:before="120" w:after="120"/>
              <w:jc w:val="center"/>
              <w:rPr>
                <w:rFonts w:ascii="Arial" w:hAnsi="Arial" w:cs="Arial"/>
                <w:b/>
                <w:sz w:val="20"/>
                <w:szCs w:val="20"/>
              </w:rPr>
            </w:pPr>
            <w:r w:rsidRPr="009C789B">
              <w:rPr>
                <w:rFonts w:ascii="Arial" w:hAnsi="Arial" w:cs="Arial"/>
                <w:b/>
                <w:sz w:val="20"/>
                <w:szCs w:val="20"/>
              </w:rPr>
              <w:t>Mesures correctives</w:t>
            </w:r>
          </w:p>
        </w:tc>
      </w:tr>
      <w:tr w:rsidR="002E3812" w:rsidRPr="009C789B" w14:paraId="14FA6386" w14:textId="77777777" w:rsidTr="004A5EC1">
        <w:tc>
          <w:tcPr>
            <w:tcW w:w="2500" w:type="pct"/>
          </w:tcPr>
          <w:p w14:paraId="4E0340AB" w14:textId="77777777" w:rsidR="002E3812" w:rsidRPr="009C789B" w:rsidRDefault="00C80B74" w:rsidP="009C789B">
            <w:pPr>
              <w:spacing w:before="60" w:after="60"/>
              <w:rPr>
                <w:rFonts w:ascii="Arial" w:hAnsi="Arial" w:cs="Arial"/>
                <w:sz w:val="20"/>
                <w:szCs w:val="20"/>
              </w:rPr>
            </w:pPr>
            <w:r w:rsidRPr="009C789B">
              <w:rPr>
                <w:rFonts w:ascii="Arial" w:hAnsi="Arial" w:cs="Arial"/>
                <w:sz w:val="20"/>
                <w:szCs w:val="20"/>
              </w:rPr>
              <w:t>Des difficultés ont été rencontrées pour f</w:t>
            </w:r>
            <w:r w:rsidR="005754E3" w:rsidRPr="009C789B">
              <w:rPr>
                <w:rFonts w:ascii="Arial" w:hAnsi="Arial" w:cs="Arial"/>
                <w:sz w:val="20"/>
                <w:szCs w:val="20"/>
              </w:rPr>
              <w:t xml:space="preserve">ournir des conseils appropriés sur les meilleures pratiques de sauvegarde et </w:t>
            </w:r>
            <w:r w:rsidRPr="009C789B">
              <w:rPr>
                <w:rFonts w:ascii="Arial" w:hAnsi="Arial" w:cs="Arial"/>
                <w:sz w:val="20"/>
                <w:szCs w:val="20"/>
              </w:rPr>
              <w:t xml:space="preserve">formuler </w:t>
            </w:r>
            <w:r w:rsidR="001A7230" w:rsidRPr="009C789B">
              <w:rPr>
                <w:rFonts w:ascii="Arial" w:hAnsi="Arial" w:cs="Arial"/>
                <w:sz w:val="20"/>
                <w:szCs w:val="20"/>
              </w:rPr>
              <w:t>d</w:t>
            </w:r>
            <w:r w:rsidR="005754E3" w:rsidRPr="009C789B">
              <w:rPr>
                <w:rFonts w:ascii="Arial" w:hAnsi="Arial" w:cs="Arial"/>
                <w:sz w:val="20"/>
                <w:szCs w:val="20"/>
              </w:rPr>
              <w:t>es recommandations concernant les mesures de sauvegarde du patrimoine</w:t>
            </w:r>
            <w:r w:rsidR="004E1D82" w:rsidRPr="009C789B">
              <w:rPr>
                <w:rFonts w:ascii="Arial" w:hAnsi="Arial" w:cs="Arial"/>
                <w:sz w:val="20"/>
                <w:szCs w:val="20"/>
              </w:rPr>
              <w:t xml:space="preserve"> culturel immatériel</w:t>
            </w:r>
            <w:r w:rsidRPr="009C789B">
              <w:rPr>
                <w:rFonts w:ascii="Arial" w:hAnsi="Arial" w:cs="Arial"/>
                <w:sz w:val="20"/>
                <w:szCs w:val="20"/>
              </w:rPr>
              <w:t>,</w:t>
            </w:r>
            <w:r w:rsidR="004E1D82" w:rsidRPr="009C789B">
              <w:rPr>
                <w:rFonts w:ascii="Arial" w:hAnsi="Arial" w:cs="Arial"/>
                <w:sz w:val="20"/>
                <w:szCs w:val="20"/>
              </w:rPr>
              <w:t xml:space="preserve"> principalement à cause des ressources humaines limitées</w:t>
            </w:r>
            <w:r w:rsidR="002E3812" w:rsidRPr="009C789B">
              <w:rPr>
                <w:rFonts w:ascii="Arial" w:hAnsi="Arial" w:cs="Arial"/>
                <w:sz w:val="20"/>
                <w:szCs w:val="20"/>
              </w:rPr>
              <w:t>.</w:t>
            </w:r>
          </w:p>
        </w:tc>
        <w:tc>
          <w:tcPr>
            <w:tcW w:w="2500" w:type="pct"/>
          </w:tcPr>
          <w:p w14:paraId="6DD4BA42" w14:textId="313A35F4" w:rsidR="002E3812" w:rsidRPr="009C789B" w:rsidRDefault="004E1D82" w:rsidP="009C789B">
            <w:pPr>
              <w:spacing w:before="60" w:after="60"/>
              <w:rPr>
                <w:rFonts w:ascii="Arial" w:hAnsi="Arial" w:cs="Arial"/>
                <w:sz w:val="20"/>
                <w:szCs w:val="20"/>
              </w:rPr>
            </w:pPr>
            <w:r w:rsidRPr="009C789B">
              <w:rPr>
                <w:rFonts w:ascii="Arial" w:hAnsi="Arial" w:cs="Arial"/>
                <w:sz w:val="20"/>
                <w:szCs w:val="20"/>
              </w:rPr>
              <w:t xml:space="preserve">Des efforts pour un suivi plus méthodique et intensif de la mise en œuvre de la </w:t>
            </w:r>
            <w:r w:rsidR="002E3812" w:rsidRPr="009C789B">
              <w:rPr>
                <w:rFonts w:ascii="Arial" w:hAnsi="Arial" w:cs="Arial"/>
                <w:sz w:val="20"/>
                <w:szCs w:val="20"/>
              </w:rPr>
              <w:t>Convention</w:t>
            </w:r>
            <w:r w:rsidR="00B35D77" w:rsidRPr="009C789B">
              <w:rPr>
                <w:rFonts w:ascii="Arial" w:hAnsi="Arial" w:cs="Arial"/>
                <w:sz w:val="20"/>
                <w:szCs w:val="20"/>
              </w:rPr>
              <w:t>,</w:t>
            </w:r>
            <w:r w:rsidR="002E3812" w:rsidRPr="009C789B">
              <w:rPr>
                <w:rFonts w:ascii="Arial" w:hAnsi="Arial" w:cs="Arial"/>
                <w:sz w:val="20"/>
                <w:szCs w:val="20"/>
              </w:rPr>
              <w:t xml:space="preserve"> </w:t>
            </w:r>
            <w:r w:rsidRPr="009C789B">
              <w:rPr>
                <w:rFonts w:ascii="Arial" w:hAnsi="Arial" w:cs="Arial"/>
                <w:sz w:val="20"/>
                <w:szCs w:val="20"/>
              </w:rPr>
              <w:t xml:space="preserve">à la fois par un suivi </w:t>
            </w:r>
            <w:r w:rsidR="00B35D77" w:rsidRPr="009C789B">
              <w:rPr>
                <w:rFonts w:ascii="Arial" w:hAnsi="Arial" w:cs="Arial"/>
                <w:sz w:val="20"/>
                <w:szCs w:val="20"/>
              </w:rPr>
              <w:t>attentif</w:t>
            </w:r>
            <w:r w:rsidRPr="009C789B">
              <w:rPr>
                <w:rFonts w:ascii="Arial" w:hAnsi="Arial" w:cs="Arial"/>
                <w:sz w:val="20"/>
                <w:szCs w:val="20"/>
              </w:rPr>
              <w:t xml:space="preserve"> et une analyse approfondie des rapports périodiques soumis par les </w:t>
            </w:r>
            <w:r w:rsidR="00AE0FCA" w:rsidRPr="009C789B">
              <w:rPr>
                <w:rFonts w:ascii="Arial" w:hAnsi="Arial" w:cs="Arial"/>
                <w:sz w:val="20"/>
                <w:szCs w:val="20"/>
              </w:rPr>
              <w:t>États</w:t>
            </w:r>
            <w:r w:rsidRPr="009C789B">
              <w:rPr>
                <w:rFonts w:ascii="Arial" w:hAnsi="Arial" w:cs="Arial"/>
                <w:sz w:val="20"/>
                <w:szCs w:val="20"/>
              </w:rPr>
              <w:t xml:space="preserve"> parties</w:t>
            </w:r>
            <w:r w:rsidR="00B35D77" w:rsidRPr="009C789B">
              <w:rPr>
                <w:rFonts w:ascii="Arial" w:hAnsi="Arial" w:cs="Arial"/>
                <w:sz w:val="20"/>
                <w:szCs w:val="20"/>
              </w:rPr>
              <w:t>, ainsi que</w:t>
            </w:r>
            <w:r w:rsidRPr="009C789B">
              <w:rPr>
                <w:rFonts w:ascii="Arial" w:hAnsi="Arial" w:cs="Arial"/>
                <w:sz w:val="20"/>
                <w:szCs w:val="20"/>
              </w:rPr>
              <w:t xml:space="preserve"> </w:t>
            </w:r>
            <w:r w:rsidR="00A750E5" w:rsidRPr="009C789B">
              <w:rPr>
                <w:rFonts w:ascii="Arial" w:hAnsi="Arial" w:cs="Arial"/>
                <w:sz w:val="20"/>
                <w:szCs w:val="20"/>
              </w:rPr>
              <w:t xml:space="preserve">le travail préliminaire d’élaboration d’un cadre général des résultats pour la </w:t>
            </w:r>
            <w:r w:rsidR="002E3812" w:rsidRPr="009C789B">
              <w:rPr>
                <w:rFonts w:ascii="Arial" w:hAnsi="Arial" w:cs="Arial"/>
                <w:sz w:val="20"/>
                <w:szCs w:val="20"/>
              </w:rPr>
              <w:t xml:space="preserve">Convention, </w:t>
            </w:r>
            <w:r w:rsidR="00A750E5" w:rsidRPr="009C789B">
              <w:rPr>
                <w:rFonts w:ascii="Arial" w:hAnsi="Arial" w:cs="Arial"/>
                <w:sz w:val="20"/>
                <w:szCs w:val="20"/>
              </w:rPr>
              <w:t>sont en cours</w:t>
            </w:r>
            <w:r w:rsidR="002E3812" w:rsidRPr="009C789B">
              <w:rPr>
                <w:rFonts w:ascii="Arial" w:hAnsi="Arial" w:cs="Arial"/>
                <w:sz w:val="20"/>
                <w:szCs w:val="20"/>
              </w:rPr>
              <w:t xml:space="preserve">. </w:t>
            </w:r>
            <w:r w:rsidR="00A750E5" w:rsidRPr="009C789B">
              <w:rPr>
                <w:rFonts w:ascii="Arial" w:hAnsi="Arial" w:cs="Arial"/>
                <w:sz w:val="20"/>
                <w:szCs w:val="20"/>
              </w:rPr>
              <w:t>À moyen terme, ces efforts dev</w:t>
            </w:r>
            <w:r w:rsidR="00523055">
              <w:rPr>
                <w:rFonts w:ascii="Arial" w:hAnsi="Arial" w:cs="Arial"/>
                <w:sz w:val="20"/>
                <w:szCs w:val="20"/>
              </w:rPr>
              <w:t>r</w:t>
            </w:r>
            <w:r w:rsidR="00A750E5" w:rsidRPr="009C789B">
              <w:rPr>
                <w:rFonts w:ascii="Arial" w:hAnsi="Arial" w:cs="Arial"/>
                <w:sz w:val="20"/>
                <w:szCs w:val="20"/>
              </w:rPr>
              <w:t xml:space="preserve">aient également permettre une meilleure </w:t>
            </w:r>
            <w:r w:rsidR="002E3812" w:rsidRPr="009C789B">
              <w:rPr>
                <w:rFonts w:ascii="Arial" w:hAnsi="Arial" w:cs="Arial"/>
                <w:sz w:val="20"/>
                <w:szCs w:val="20"/>
              </w:rPr>
              <w:t xml:space="preserve">identification </w:t>
            </w:r>
            <w:r w:rsidR="00A750E5" w:rsidRPr="009C789B">
              <w:rPr>
                <w:rFonts w:ascii="Arial" w:hAnsi="Arial" w:cs="Arial"/>
                <w:sz w:val="20"/>
                <w:szCs w:val="20"/>
              </w:rPr>
              <w:t>et un meilleur partage des bonnes pratiques de sauvegarde</w:t>
            </w:r>
            <w:r w:rsidR="002E3812" w:rsidRPr="009C789B">
              <w:rPr>
                <w:rFonts w:ascii="Arial" w:hAnsi="Arial" w:cs="Arial"/>
                <w:sz w:val="20"/>
                <w:szCs w:val="20"/>
              </w:rPr>
              <w:t>.</w:t>
            </w:r>
          </w:p>
        </w:tc>
      </w:tr>
    </w:tbl>
    <w:p w14:paraId="07960DF6" w14:textId="77777777" w:rsidR="00455EFA" w:rsidRPr="00F07BDB" w:rsidRDefault="006260FB" w:rsidP="00F07BDB">
      <w:pPr>
        <w:spacing w:before="240" w:after="120"/>
        <w:ind w:left="1134" w:hanging="1134"/>
        <w:jc w:val="both"/>
        <w:rPr>
          <w:rFonts w:ascii="Arial" w:hAnsi="Arial" w:cs="Arial"/>
          <w:b/>
          <w:sz w:val="22"/>
          <w:szCs w:val="22"/>
        </w:rPr>
      </w:pPr>
      <w:r w:rsidRPr="00F07BDB">
        <w:rPr>
          <w:rFonts w:ascii="Arial" w:hAnsi="Arial" w:cs="Arial"/>
          <w:b/>
          <w:sz w:val="22"/>
          <w:szCs w:val="22"/>
        </w:rPr>
        <w:t>R</w:t>
      </w:r>
      <w:r w:rsidR="00455EFA" w:rsidRPr="00F07BDB">
        <w:rPr>
          <w:rFonts w:ascii="Arial" w:hAnsi="Arial" w:cs="Arial"/>
          <w:b/>
          <w:sz w:val="22"/>
          <w:szCs w:val="22"/>
        </w:rPr>
        <w:t>E </w:t>
      </w:r>
      <w:r w:rsidR="004E2EC7" w:rsidRPr="00F07BDB">
        <w:rPr>
          <w:rFonts w:ascii="Arial" w:hAnsi="Arial" w:cs="Arial"/>
          <w:b/>
          <w:sz w:val="22"/>
          <w:szCs w:val="22"/>
        </w:rPr>
        <w:t>n° </w:t>
      </w:r>
      <w:r w:rsidR="00455EFA" w:rsidRPr="00F07BDB">
        <w:rPr>
          <w:rFonts w:ascii="Arial" w:hAnsi="Arial" w:cs="Arial"/>
          <w:b/>
          <w:sz w:val="22"/>
          <w:szCs w:val="22"/>
        </w:rPr>
        <w:t>4</w:t>
      </w:r>
      <w:r w:rsidRPr="00F07BDB">
        <w:rPr>
          <w:rFonts w:ascii="Arial" w:hAnsi="Arial" w:cs="Arial"/>
          <w:b/>
          <w:sz w:val="22"/>
          <w:szCs w:val="22"/>
        </w:rPr>
        <w:t> </w:t>
      </w:r>
      <w:r w:rsidR="00455EFA" w:rsidRPr="00F07BDB">
        <w:rPr>
          <w:rFonts w:ascii="Arial" w:hAnsi="Arial" w:cs="Arial"/>
          <w:b/>
          <w:sz w:val="22"/>
          <w:szCs w:val="22"/>
        </w:rPr>
        <w:t>:</w:t>
      </w:r>
      <w:r w:rsidR="00455EFA" w:rsidRPr="00F07BDB">
        <w:rPr>
          <w:rFonts w:ascii="Arial" w:hAnsi="Arial" w:cs="Arial"/>
          <w:b/>
          <w:sz w:val="22"/>
          <w:szCs w:val="22"/>
        </w:rPr>
        <w:tab/>
      </w:r>
      <w:r w:rsidR="004E2EC7" w:rsidRPr="00F07BDB">
        <w:rPr>
          <w:rFonts w:ascii="Arial" w:hAnsi="Arial" w:cs="Arial"/>
          <w:b/>
          <w:sz w:val="22"/>
          <w:szCs w:val="22"/>
        </w:rPr>
        <w:t>A</w:t>
      </w:r>
      <w:r w:rsidR="00A750E5" w:rsidRPr="00F07BDB">
        <w:rPr>
          <w:rFonts w:ascii="Arial" w:hAnsi="Arial" w:cs="Arial"/>
          <w:b/>
          <w:sz w:val="22"/>
          <w:szCs w:val="22"/>
        </w:rPr>
        <w:t>mélior</w:t>
      </w:r>
      <w:r w:rsidR="004E2EC7" w:rsidRPr="00F07BDB">
        <w:rPr>
          <w:rFonts w:ascii="Arial" w:hAnsi="Arial" w:cs="Arial"/>
          <w:b/>
          <w:sz w:val="22"/>
          <w:szCs w:val="22"/>
        </w:rPr>
        <w:t xml:space="preserve">ation de </w:t>
      </w:r>
      <w:r w:rsidR="00A750E5" w:rsidRPr="00F07BDB">
        <w:rPr>
          <w:rFonts w:ascii="Arial" w:hAnsi="Arial" w:cs="Arial"/>
          <w:b/>
          <w:sz w:val="22"/>
          <w:szCs w:val="22"/>
        </w:rPr>
        <w:t xml:space="preserve">la visibilité du patrimoine culturel immatériel et </w:t>
      </w:r>
      <w:r w:rsidR="004E2EC7" w:rsidRPr="00F07BDB">
        <w:rPr>
          <w:rFonts w:ascii="Arial" w:hAnsi="Arial" w:cs="Arial"/>
          <w:b/>
          <w:sz w:val="22"/>
          <w:szCs w:val="22"/>
        </w:rPr>
        <w:t xml:space="preserve">sensibilisation à </w:t>
      </w:r>
      <w:r w:rsidR="00A750E5" w:rsidRPr="00F07BDB">
        <w:rPr>
          <w:rFonts w:ascii="Arial" w:hAnsi="Arial" w:cs="Arial"/>
          <w:b/>
          <w:sz w:val="22"/>
          <w:szCs w:val="22"/>
        </w:rPr>
        <w:t xml:space="preserve">son importance par des </w:t>
      </w:r>
      <w:r w:rsidR="00455EFA" w:rsidRPr="00F07BDB">
        <w:rPr>
          <w:rFonts w:ascii="Arial" w:hAnsi="Arial" w:cs="Arial"/>
          <w:b/>
          <w:sz w:val="22"/>
          <w:szCs w:val="22"/>
        </w:rPr>
        <w:t xml:space="preserve">publications </w:t>
      </w:r>
      <w:r w:rsidR="00A750E5" w:rsidRPr="00F07BDB">
        <w:rPr>
          <w:rFonts w:ascii="Arial" w:hAnsi="Arial" w:cs="Arial"/>
          <w:b/>
          <w:sz w:val="22"/>
          <w:szCs w:val="22"/>
        </w:rPr>
        <w:t>et l</w:t>
      </w:r>
      <w:r w:rsidR="004E2EC7" w:rsidRPr="00F07BDB">
        <w:rPr>
          <w:rFonts w:ascii="Arial" w:hAnsi="Arial" w:cs="Arial"/>
          <w:b/>
          <w:sz w:val="22"/>
          <w:szCs w:val="22"/>
        </w:rPr>
        <w:t xml:space="preserve">a </w:t>
      </w:r>
      <w:r w:rsidR="00A750E5" w:rsidRPr="00F07BDB">
        <w:rPr>
          <w:rFonts w:ascii="Arial" w:hAnsi="Arial" w:cs="Arial"/>
          <w:b/>
          <w:sz w:val="22"/>
          <w:szCs w:val="22"/>
        </w:rPr>
        <w:t>diffusion</w:t>
      </w:r>
      <w:r w:rsidR="004E2EC7" w:rsidRPr="00F07BDB">
        <w:rPr>
          <w:rFonts w:ascii="Arial" w:hAnsi="Arial" w:cs="Arial"/>
          <w:b/>
          <w:sz w:val="22"/>
          <w:szCs w:val="22"/>
        </w:rPr>
        <w:t xml:space="preserve"> d’informations</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77"/>
        <w:gridCol w:w="1881"/>
      </w:tblGrid>
      <w:tr w:rsidR="00F07BDB" w:rsidRPr="009C789B" w14:paraId="672AED37" w14:textId="77777777" w:rsidTr="00F07BDB">
        <w:trPr>
          <w:jc w:val="center"/>
        </w:trPr>
        <w:tc>
          <w:tcPr>
            <w:tcW w:w="2012" w:type="pct"/>
            <w:shd w:val="clear" w:color="auto" w:fill="C6D9F1"/>
            <w:vAlign w:val="center"/>
          </w:tcPr>
          <w:p w14:paraId="1A9FED92" w14:textId="77777777" w:rsidR="00F07BDB" w:rsidRPr="009C789B" w:rsidRDefault="00F07BDB" w:rsidP="00BB04C3">
            <w:pPr>
              <w:spacing w:before="60" w:after="60"/>
              <w:jc w:val="center"/>
              <w:rPr>
                <w:rFonts w:ascii="Arial" w:hAnsi="Arial" w:cs="Arial"/>
                <w:b/>
                <w:sz w:val="20"/>
                <w:szCs w:val="20"/>
              </w:rPr>
            </w:pPr>
            <w:r w:rsidRPr="009C789B">
              <w:rPr>
                <w:rFonts w:ascii="Arial" w:hAnsi="Arial" w:cs="Arial"/>
                <w:b/>
                <w:sz w:val="20"/>
                <w:szCs w:val="20"/>
              </w:rPr>
              <w:t>Allocation</w:t>
            </w:r>
          </w:p>
        </w:tc>
        <w:tc>
          <w:tcPr>
            <w:tcW w:w="2012" w:type="pct"/>
            <w:shd w:val="clear" w:color="auto" w:fill="C6D9F1"/>
            <w:vAlign w:val="center"/>
          </w:tcPr>
          <w:p w14:paraId="0469AF18" w14:textId="77777777" w:rsidR="00F07BDB" w:rsidRPr="009C789B" w:rsidRDefault="00F07BDB" w:rsidP="00BB04C3">
            <w:pPr>
              <w:spacing w:before="60" w:after="60"/>
              <w:jc w:val="center"/>
              <w:rPr>
                <w:rFonts w:ascii="Arial" w:hAnsi="Arial" w:cs="Arial"/>
                <w:b/>
                <w:sz w:val="20"/>
                <w:szCs w:val="20"/>
              </w:rPr>
            </w:pPr>
            <w:r w:rsidRPr="009C789B">
              <w:rPr>
                <w:rFonts w:ascii="Arial" w:hAnsi="Arial" w:cs="Arial"/>
                <w:b/>
                <w:sz w:val="20"/>
                <w:szCs w:val="20"/>
              </w:rPr>
              <w:t>Dépenses</w:t>
            </w:r>
          </w:p>
        </w:tc>
        <w:tc>
          <w:tcPr>
            <w:tcW w:w="976" w:type="pct"/>
            <w:shd w:val="clear" w:color="auto" w:fill="C6D9F1"/>
            <w:vAlign w:val="center"/>
          </w:tcPr>
          <w:p w14:paraId="656ECFE8" w14:textId="77777777" w:rsidR="00F07BDB" w:rsidRPr="009C789B" w:rsidRDefault="00F07BDB" w:rsidP="00BB04C3">
            <w:pPr>
              <w:spacing w:before="60" w:after="60"/>
              <w:jc w:val="center"/>
              <w:rPr>
                <w:rFonts w:ascii="Arial" w:hAnsi="Arial" w:cs="Arial"/>
                <w:b/>
                <w:sz w:val="20"/>
                <w:szCs w:val="20"/>
              </w:rPr>
            </w:pPr>
            <w:r w:rsidRPr="009C789B">
              <w:rPr>
                <w:rFonts w:ascii="Arial" w:hAnsi="Arial" w:cs="Arial"/>
                <w:b/>
                <w:sz w:val="20"/>
                <w:szCs w:val="20"/>
              </w:rPr>
              <w:t>Taux de dépense %</w:t>
            </w:r>
          </w:p>
        </w:tc>
      </w:tr>
      <w:tr w:rsidR="00455EFA" w:rsidRPr="009C789B" w14:paraId="69A17433" w14:textId="77777777" w:rsidTr="00F07BDB">
        <w:tblPrEx>
          <w:jc w:val="left"/>
        </w:tblPrEx>
        <w:tc>
          <w:tcPr>
            <w:tcW w:w="2012" w:type="pct"/>
            <w:shd w:val="clear" w:color="auto" w:fill="auto"/>
          </w:tcPr>
          <w:p w14:paraId="45DE5FA3" w14:textId="77777777" w:rsidR="00455EFA" w:rsidRPr="009C789B" w:rsidRDefault="00455EFA" w:rsidP="00F07BDB">
            <w:pPr>
              <w:spacing w:before="60" w:after="60"/>
              <w:jc w:val="center"/>
              <w:rPr>
                <w:rFonts w:ascii="Arial" w:hAnsi="Arial" w:cs="Arial"/>
                <w:sz w:val="20"/>
                <w:szCs w:val="20"/>
              </w:rPr>
            </w:pPr>
            <w:r w:rsidRPr="009C789B">
              <w:rPr>
                <w:rFonts w:ascii="Arial" w:hAnsi="Arial" w:cs="Arial"/>
                <w:sz w:val="20"/>
                <w:szCs w:val="20"/>
              </w:rPr>
              <w:t>129</w:t>
            </w:r>
            <w:r w:rsidR="00675F17" w:rsidRPr="009C789B">
              <w:rPr>
                <w:rFonts w:ascii="Arial" w:hAnsi="Arial" w:cs="Arial"/>
                <w:sz w:val="20"/>
                <w:szCs w:val="20"/>
              </w:rPr>
              <w:t> </w:t>
            </w:r>
            <w:r w:rsidRPr="009C789B">
              <w:rPr>
                <w:rFonts w:ascii="Arial" w:hAnsi="Arial" w:cs="Arial"/>
                <w:sz w:val="20"/>
                <w:szCs w:val="20"/>
              </w:rPr>
              <w:t>000</w:t>
            </w:r>
            <w:r w:rsidR="00675F17" w:rsidRPr="009C789B">
              <w:rPr>
                <w:rFonts w:ascii="Arial" w:hAnsi="Arial" w:cs="Arial"/>
                <w:sz w:val="20"/>
                <w:szCs w:val="20"/>
              </w:rPr>
              <w:t>,</w:t>
            </w:r>
            <w:r w:rsidRPr="009C789B">
              <w:rPr>
                <w:rFonts w:ascii="Arial" w:hAnsi="Arial" w:cs="Arial"/>
                <w:sz w:val="20"/>
                <w:szCs w:val="20"/>
              </w:rPr>
              <w:t>00</w:t>
            </w:r>
          </w:p>
        </w:tc>
        <w:tc>
          <w:tcPr>
            <w:tcW w:w="2012" w:type="pct"/>
            <w:shd w:val="clear" w:color="auto" w:fill="auto"/>
          </w:tcPr>
          <w:p w14:paraId="7F07BD8A" w14:textId="77777777" w:rsidR="00455EFA" w:rsidRPr="009C789B" w:rsidRDefault="00455EFA" w:rsidP="00F07BDB">
            <w:pPr>
              <w:spacing w:before="60" w:after="60"/>
              <w:jc w:val="center"/>
              <w:rPr>
                <w:rFonts w:ascii="Arial" w:hAnsi="Arial" w:cs="Arial"/>
                <w:sz w:val="20"/>
                <w:szCs w:val="20"/>
              </w:rPr>
            </w:pPr>
            <w:r w:rsidRPr="009C789B">
              <w:rPr>
                <w:rFonts w:ascii="Arial" w:hAnsi="Arial" w:cs="Arial"/>
                <w:sz w:val="20"/>
                <w:szCs w:val="20"/>
              </w:rPr>
              <w:t>125</w:t>
            </w:r>
            <w:r w:rsidR="00675F17" w:rsidRPr="009C789B">
              <w:rPr>
                <w:rFonts w:ascii="Arial" w:hAnsi="Arial" w:cs="Arial"/>
                <w:sz w:val="20"/>
                <w:szCs w:val="20"/>
              </w:rPr>
              <w:t> </w:t>
            </w:r>
            <w:r w:rsidRPr="009C789B">
              <w:rPr>
                <w:rFonts w:ascii="Arial" w:hAnsi="Arial" w:cs="Arial"/>
                <w:sz w:val="20"/>
                <w:szCs w:val="20"/>
              </w:rPr>
              <w:t>753</w:t>
            </w:r>
            <w:r w:rsidR="00675F17" w:rsidRPr="009C789B">
              <w:rPr>
                <w:rFonts w:ascii="Arial" w:hAnsi="Arial" w:cs="Arial"/>
                <w:sz w:val="20"/>
                <w:szCs w:val="20"/>
              </w:rPr>
              <w:t>,</w:t>
            </w:r>
            <w:r w:rsidRPr="009C789B">
              <w:rPr>
                <w:rFonts w:ascii="Arial" w:hAnsi="Arial" w:cs="Arial"/>
                <w:sz w:val="20"/>
                <w:szCs w:val="20"/>
              </w:rPr>
              <w:t>69</w:t>
            </w:r>
          </w:p>
        </w:tc>
        <w:tc>
          <w:tcPr>
            <w:tcW w:w="974" w:type="pct"/>
            <w:shd w:val="clear" w:color="auto" w:fill="auto"/>
          </w:tcPr>
          <w:p w14:paraId="66FF425A" w14:textId="77777777" w:rsidR="00455EFA" w:rsidRPr="009C789B" w:rsidRDefault="00455EFA" w:rsidP="00F07BDB">
            <w:pPr>
              <w:spacing w:before="60" w:after="60"/>
              <w:jc w:val="center"/>
              <w:rPr>
                <w:rFonts w:ascii="Arial" w:hAnsi="Arial" w:cs="Arial"/>
                <w:sz w:val="20"/>
                <w:szCs w:val="20"/>
              </w:rPr>
            </w:pPr>
            <w:r w:rsidRPr="009C789B">
              <w:rPr>
                <w:rFonts w:ascii="Arial" w:hAnsi="Arial" w:cs="Arial"/>
                <w:sz w:val="20"/>
                <w:szCs w:val="20"/>
              </w:rPr>
              <w:t>97</w:t>
            </w:r>
            <w:r w:rsidR="00675F17" w:rsidRPr="009C789B">
              <w:rPr>
                <w:rFonts w:ascii="Arial" w:hAnsi="Arial" w:cs="Arial"/>
                <w:sz w:val="20"/>
                <w:szCs w:val="20"/>
              </w:rPr>
              <w:t>,</w:t>
            </w:r>
            <w:r w:rsidRPr="009C789B">
              <w:rPr>
                <w:rFonts w:ascii="Arial" w:hAnsi="Arial" w:cs="Arial"/>
                <w:sz w:val="20"/>
                <w:szCs w:val="20"/>
              </w:rPr>
              <w:t>5</w:t>
            </w:r>
            <w:r w:rsidR="00675F17" w:rsidRPr="009C789B">
              <w:rPr>
                <w:rFonts w:ascii="Arial" w:hAnsi="Arial" w:cs="Arial"/>
                <w:sz w:val="20"/>
                <w:szCs w:val="20"/>
              </w:rPr>
              <w:t> </w:t>
            </w:r>
            <w:r w:rsidRPr="009C789B">
              <w:rPr>
                <w:rFonts w:ascii="Arial" w:hAnsi="Arial" w:cs="Arial"/>
                <w:sz w:val="20"/>
                <w:szCs w:val="20"/>
              </w:rPr>
              <w:t>%</w:t>
            </w:r>
          </w:p>
        </w:tc>
      </w:tr>
    </w:tbl>
    <w:p w14:paraId="71F3ABE1" w14:textId="77777777" w:rsidR="00455EFA" w:rsidRPr="009C789B" w:rsidRDefault="00455EFA" w:rsidP="009C789B">
      <w:pPr>
        <w:spacing w:before="60" w:after="60"/>
        <w:rPr>
          <w:rFonts w:ascii="Arial" w:hAnsi="Arial" w:cs="Arial"/>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898"/>
        <w:gridCol w:w="1838"/>
      </w:tblGrid>
      <w:tr w:rsidR="00F07BDB" w:rsidRPr="009C789B" w14:paraId="191507EA" w14:textId="77777777" w:rsidTr="00F07BDB">
        <w:trPr>
          <w:trHeight w:val="861"/>
          <w:tblHeader/>
        </w:trPr>
        <w:tc>
          <w:tcPr>
            <w:tcW w:w="2023" w:type="pct"/>
            <w:shd w:val="clear" w:color="auto" w:fill="D9D9D9" w:themeFill="background1" w:themeFillShade="D9"/>
            <w:vAlign w:val="center"/>
          </w:tcPr>
          <w:p w14:paraId="049A9B99" w14:textId="77777777" w:rsidR="00F07BDB" w:rsidRPr="009C789B" w:rsidRDefault="00F07BDB" w:rsidP="00BB04C3">
            <w:pPr>
              <w:spacing w:before="60" w:after="60"/>
              <w:jc w:val="center"/>
              <w:rPr>
                <w:rFonts w:ascii="Arial" w:hAnsi="Arial" w:cs="Arial"/>
                <w:b/>
                <w:sz w:val="20"/>
                <w:szCs w:val="20"/>
              </w:rPr>
            </w:pPr>
            <w:r w:rsidRPr="009C789B">
              <w:rPr>
                <w:rFonts w:ascii="Arial" w:hAnsi="Arial" w:cs="Arial"/>
                <w:b/>
                <w:sz w:val="20"/>
                <w:szCs w:val="20"/>
              </w:rPr>
              <w:t>Produit (P)</w:t>
            </w:r>
            <w:r w:rsidRPr="009C789B">
              <w:rPr>
                <w:rFonts w:ascii="Arial" w:hAnsi="Arial" w:cs="Arial"/>
                <w:b/>
                <w:sz w:val="20"/>
                <w:szCs w:val="20"/>
              </w:rPr>
              <w:br/>
              <w:t>Indicateurs/Référence (R)</w:t>
            </w:r>
          </w:p>
        </w:tc>
        <w:tc>
          <w:tcPr>
            <w:tcW w:w="2023" w:type="pct"/>
            <w:shd w:val="clear" w:color="auto" w:fill="D9D9D9" w:themeFill="background1" w:themeFillShade="D9"/>
            <w:vAlign w:val="center"/>
          </w:tcPr>
          <w:p w14:paraId="3A4FE38C" w14:textId="77777777" w:rsidR="00F07BDB" w:rsidRPr="009C789B" w:rsidRDefault="00F07BDB" w:rsidP="00BB04C3">
            <w:pPr>
              <w:spacing w:before="60" w:after="60"/>
              <w:jc w:val="center"/>
              <w:rPr>
                <w:rFonts w:ascii="Arial" w:hAnsi="Arial" w:cs="Arial"/>
                <w:b/>
                <w:sz w:val="20"/>
                <w:szCs w:val="20"/>
              </w:rPr>
            </w:pPr>
            <w:r w:rsidRPr="009C789B">
              <w:rPr>
                <w:rFonts w:ascii="Arial" w:hAnsi="Arial" w:cs="Arial"/>
                <w:b/>
                <w:sz w:val="20"/>
                <w:szCs w:val="20"/>
              </w:rPr>
              <w:t>Évaluation des progrès accomplis :</w:t>
            </w:r>
            <w:r w:rsidRPr="009C789B">
              <w:rPr>
                <w:rFonts w:ascii="Arial" w:hAnsi="Arial" w:cs="Arial"/>
                <w:b/>
                <w:sz w:val="20"/>
                <w:szCs w:val="20"/>
              </w:rPr>
              <w:br/>
              <w:t>01</w:t>
            </w:r>
            <w:bookmarkStart w:id="0" w:name="_GoBack"/>
            <w:bookmarkEnd w:id="0"/>
            <w:r w:rsidRPr="009C789B">
              <w:rPr>
                <w:rFonts w:ascii="Arial" w:hAnsi="Arial" w:cs="Arial"/>
                <w:b/>
                <w:sz w:val="20"/>
                <w:szCs w:val="20"/>
              </w:rPr>
              <w:t>/01/2014 - 31/12/2015</w:t>
            </w:r>
          </w:p>
        </w:tc>
        <w:tc>
          <w:tcPr>
            <w:tcW w:w="954" w:type="pct"/>
            <w:shd w:val="clear" w:color="auto" w:fill="D9D9D9" w:themeFill="background1" w:themeFillShade="D9"/>
            <w:vAlign w:val="center"/>
          </w:tcPr>
          <w:p w14:paraId="25D936B8" w14:textId="77777777" w:rsidR="00F07BDB" w:rsidRPr="009C789B" w:rsidRDefault="00F07BDB" w:rsidP="00F07BDB">
            <w:pPr>
              <w:spacing w:before="60" w:after="60"/>
              <w:jc w:val="center"/>
              <w:rPr>
                <w:rFonts w:ascii="Arial" w:hAnsi="Arial" w:cs="Arial"/>
                <w:b/>
                <w:sz w:val="20"/>
                <w:szCs w:val="20"/>
              </w:rPr>
            </w:pPr>
            <w:r w:rsidRPr="009C789B">
              <w:rPr>
                <w:rFonts w:ascii="Arial" w:hAnsi="Arial" w:cs="Arial"/>
                <w:b/>
                <w:sz w:val="20"/>
                <w:szCs w:val="20"/>
              </w:rPr>
              <w:t>Évaluation de la mise en œuvre</w:t>
            </w:r>
          </w:p>
        </w:tc>
      </w:tr>
      <w:tr w:rsidR="00455EFA" w:rsidRPr="009C789B" w14:paraId="685C2012" w14:textId="77777777" w:rsidTr="00F07BDB">
        <w:tc>
          <w:tcPr>
            <w:tcW w:w="2023" w:type="pct"/>
            <w:shd w:val="clear" w:color="auto" w:fill="auto"/>
          </w:tcPr>
          <w:p w14:paraId="6F11CF59" w14:textId="77777777" w:rsidR="00455EFA" w:rsidRPr="00F07BDB" w:rsidRDefault="007F47E6" w:rsidP="009C789B">
            <w:pPr>
              <w:spacing w:before="60" w:after="60"/>
              <w:rPr>
                <w:rFonts w:ascii="Arial" w:hAnsi="Arial" w:cs="Arial"/>
                <w:b/>
                <w:sz w:val="20"/>
                <w:szCs w:val="20"/>
              </w:rPr>
            </w:pPr>
            <w:r w:rsidRPr="00F07BDB">
              <w:rPr>
                <w:rFonts w:ascii="Arial" w:hAnsi="Arial" w:cs="Arial"/>
                <w:b/>
                <w:sz w:val="20"/>
                <w:szCs w:val="20"/>
              </w:rPr>
              <w:t>P </w:t>
            </w:r>
            <w:r w:rsidR="00675F17" w:rsidRPr="00F07BDB">
              <w:rPr>
                <w:rFonts w:ascii="Arial" w:hAnsi="Arial" w:cs="Arial"/>
                <w:b/>
                <w:sz w:val="20"/>
                <w:szCs w:val="20"/>
              </w:rPr>
              <w:t>:</w:t>
            </w:r>
            <w:r w:rsidR="00455EFA" w:rsidRPr="00F07BDB">
              <w:rPr>
                <w:rFonts w:ascii="Arial" w:hAnsi="Arial" w:cs="Arial"/>
                <w:b/>
                <w:sz w:val="20"/>
                <w:szCs w:val="20"/>
              </w:rPr>
              <w:t xml:space="preserve"> </w:t>
            </w:r>
          </w:p>
          <w:p w14:paraId="194C6E6A" w14:textId="76A0B4D2" w:rsidR="00455EFA" w:rsidRPr="009C789B" w:rsidRDefault="007548BB" w:rsidP="009C789B">
            <w:pPr>
              <w:spacing w:before="60" w:after="60"/>
              <w:rPr>
                <w:rFonts w:ascii="Arial" w:hAnsi="Arial" w:cs="Arial"/>
                <w:sz w:val="20"/>
                <w:szCs w:val="20"/>
              </w:rPr>
            </w:pPr>
            <w:r w:rsidRPr="009C789B">
              <w:rPr>
                <w:rFonts w:ascii="Arial" w:hAnsi="Arial" w:cs="Arial"/>
                <w:sz w:val="20"/>
                <w:szCs w:val="20"/>
              </w:rPr>
              <w:t>Ré</w:t>
            </w:r>
            <w:r w:rsidR="002C133D" w:rsidRPr="009C789B">
              <w:rPr>
                <w:rFonts w:ascii="Arial" w:hAnsi="Arial" w:cs="Arial"/>
                <w:sz w:val="20"/>
                <w:szCs w:val="20"/>
              </w:rPr>
              <w:t>v</w:t>
            </w:r>
            <w:r w:rsidRPr="009C789B">
              <w:rPr>
                <w:rFonts w:ascii="Arial" w:hAnsi="Arial" w:cs="Arial"/>
                <w:sz w:val="20"/>
                <w:szCs w:val="20"/>
              </w:rPr>
              <w:t xml:space="preserve">ision et publication des </w:t>
            </w:r>
            <w:r w:rsidR="004A63E1">
              <w:rPr>
                <w:rFonts w:ascii="Arial" w:hAnsi="Arial" w:cs="Arial"/>
                <w:sz w:val="20"/>
                <w:szCs w:val="20"/>
              </w:rPr>
              <w:t>T</w:t>
            </w:r>
            <w:r w:rsidRPr="009C789B">
              <w:rPr>
                <w:rFonts w:ascii="Arial" w:hAnsi="Arial" w:cs="Arial"/>
                <w:sz w:val="20"/>
                <w:szCs w:val="20"/>
              </w:rPr>
              <w:t xml:space="preserve">extes fondamentaux de la </w:t>
            </w:r>
            <w:r w:rsidR="00455EFA" w:rsidRPr="009C789B">
              <w:rPr>
                <w:rFonts w:ascii="Arial" w:hAnsi="Arial" w:cs="Arial"/>
                <w:sz w:val="20"/>
                <w:szCs w:val="20"/>
              </w:rPr>
              <w:t>Convention</w:t>
            </w:r>
          </w:p>
          <w:p w14:paraId="24348D56" w14:textId="77777777" w:rsidR="00455EFA" w:rsidRPr="00F07BDB" w:rsidRDefault="00675F17" w:rsidP="009C789B">
            <w:pPr>
              <w:spacing w:before="60" w:after="60"/>
              <w:rPr>
                <w:rFonts w:ascii="Arial" w:hAnsi="Arial" w:cs="Arial"/>
                <w:b/>
                <w:sz w:val="20"/>
                <w:szCs w:val="20"/>
              </w:rPr>
            </w:pPr>
            <w:r w:rsidRPr="00F07BDB">
              <w:rPr>
                <w:rFonts w:ascii="Arial" w:hAnsi="Arial" w:cs="Arial"/>
                <w:b/>
                <w:sz w:val="20"/>
                <w:szCs w:val="20"/>
              </w:rPr>
              <w:t>R </w:t>
            </w:r>
            <w:r w:rsidR="00455EFA" w:rsidRPr="00F07BDB">
              <w:rPr>
                <w:rFonts w:ascii="Arial" w:hAnsi="Arial" w:cs="Arial"/>
                <w:b/>
                <w:sz w:val="20"/>
                <w:szCs w:val="20"/>
              </w:rPr>
              <w:t>2014-2015</w:t>
            </w:r>
            <w:r w:rsidR="001269BC" w:rsidRPr="00F07BDB">
              <w:rPr>
                <w:rFonts w:ascii="Arial" w:hAnsi="Arial" w:cs="Arial"/>
                <w:b/>
                <w:sz w:val="20"/>
                <w:szCs w:val="20"/>
              </w:rPr>
              <w:t> </w:t>
            </w:r>
            <w:r w:rsidR="00455EFA" w:rsidRPr="00F07BDB">
              <w:rPr>
                <w:rFonts w:ascii="Arial" w:hAnsi="Arial" w:cs="Arial"/>
                <w:b/>
                <w:sz w:val="20"/>
                <w:szCs w:val="20"/>
              </w:rPr>
              <w:t>:</w:t>
            </w:r>
          </w:p>
          <w:p w14:paraId="0F1ED1E5" w14:textId="77777777" w:rsidR="00455EFA" w:rsidRPr="009C789B" w:rsidRDefault="002C133D" w:rsidP="009C789B">
            <w:pPr>
              <w:spacing w:before="60" w:after="60"/>
              <w:rPr>
                <w:rFonts w:ascii="Arial" w:hAnsi="Arial" w:cs="Arial"/>
                <w:sz w:val="20"/>
                <w:szCs w:val="20"/>
              </w:rPr>
            </w:pPr>
            <w:r w:rsidRPr="009C789B">
              <w:rPr>
                <w:rFonts w:ascii="Arial" w:hAnsi="Arial" w:cs="Arial"/>
                <w:sz w:val="20"/>
                <w:szCs w:val="20"/>
              </w:rPr>
              <w:t>Une p</w:t>
            </w:r>
            <w:r w:rsidR="007548BB" w:rsidRPr="009C789B">
              <w:rPr>
                <w:rFonts w:ascii="Arial" w:hAnsi="Arial" w:cs="Arial"/>
                <w:sz w:val="20"/>
                <w:szCs w:val="20"/>
              </w:rPr>
              <w:t xml:space="preserve">ublication en </w:t>
            </w:r>
            <w:r w:rsidR="00455EFA" w:rsidRPr="009C789B">
              <w:rPr>
                <w:rFonts w:ascii="Arial" w:hAnsi="Arial" w:cs="Arial"/>
                <w:sz w:val="20"/>
                <w:szCs w:val="20"/>
              </w:rPr>
              <w:t xml:space="preserve">six langues </w:t>
            </w:r>
            <w:r w:rsidR="007548BB" w:rsidRPr="009C789B">
              <w:rPr>
                <w:rFonts w:ascii="Arial" w:hAnsi="Arial" w:cs="Arial"/>
                <w:sz w:val="20"/>
                <w:szCs w:val="20"/>
              </w:rPr>
              <w:t>de la version 2014 des textes fondamentaux</w:t>
            </w:r>
          </w:p>
        </w:tc>
        <w:tc>
          <w:tcPr>
            <w:tcW w:w="2023" w:type="pct"/>
            <w:shd w:val="clear" w:color="auto" w:fill="auto"/>
          </w:tcPr>
          <w:p w14:paraId="2C66F3C4" w14:textId="0E45CA5D" w:rsidR="00455EFA" w:rsidRPr="009C789B" w:rsidRDefault="00760C75"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La préparation é</w:t>
            </w:r>
            <w:r w:rsidR="00455EFA" w:rsidRPr="009C789B">
              <w:rPr>
                <w:rFonts w:ascii="Arial" w:hAnsi="Arial" w:cs="Arial"/>
                <w:sz w:val="20"/>
                <w:szCs w:val="20"/>
              </w:rPr>
              <w:t>ditorial</w:t>
            </w:r>
            <w:r w:rsidRPr="009C789B">
              <w:rPr>
                <w:rFonts w:ascii="Arial" w:hAnsi="Arial" w:cs="Arial"/>
                <w:sz w:val="20"/>
                <w:szCs w:val="20"/>
              </w:rPr>
              <w:t xml:space="preserve">e de l’édition 2014 des </w:t>
            </w:r>
            <w:r w:rsidR="00BB04C3">
              <w:rPr>
                <w:rFonts w:ascii="Arial" w:hAnsi="Arial" w:cs="Arial"/>
                <w:sz w:val="20"/>
                <w:szCs w:val="20"/>
              </w:rPr>
              <w:t>T</w:t>
            </w:r>
            <w:r w:rsidRPr="009C789B">
              <w:rPr>
                <w:rFonts w:ascii="Arial" w:hAnsi="Arial" w:cs="Arial"/>
                <w:sz w:val="20"/>
                <w:szCs w:val="20"/>
              </w:rPr>
              <w:t xml:space="preserve">extes fondamentaux de la </w:t>
            </w:r>
            <w:r w:rsidR="00455EFA" w:rsidRPr="009C789B">
              <w:rPr>
                <w:rFonts w:ascii="Arial" w:hAnsi="Arial" w:cs="Arial"/>
                <w:sz w:val="20"/>
                <w:szCs w:val="20"/>
              </w:rPr>
              <w:t xml:space="preserve">Convention – </w:t>
            </w:r>
            <w:r w:rsidRPr="009C789B">
              <w:rPr>
                <w:rFonts w:ascii="Arial" w:hAnsi="Arial" w:cs="Arial"/>
                <w:sz w:val="20"/>
                <w:szCs w:val="20"/>
              </w:rPr>
              <w:t xml:space="preserve">en </w:t>
            </w:r>
            <w:r w:rsidR="00455EFA" w:rsidRPr="009C789B">
              <w:rPr>
                <w:rFonts w:ascii="Arial" w:hAnsi="Arial" w:cs="Arial"/>
                <w:sz w:val="20"/>
                <w:szCs w:val="20"/>
              </w:rPr>
              <w:t>int</w:t>
            </w:r>
            <w:r w:rsidRPr="009C789B">
              <w:rPr>
                <w:rFonts w:ascii="Arial" w:hAnsi="Arial" w:cs="Arial"/>
                <w:sz w:val="20"/>
                <w:szCs w:val="20"/>
              </w:rPr>
              <w:t>é</w:t>
            </w:r>
            <w:r w:rsidR="00455EFA" w:rsidRPr="009C789B">
              <w:rPr>
                <w:rFonts w:ascii="Arial" w:hAnsi="Arial" w:cs="Arial"/>
                <w:sz w:val="20"/>
                <w:szCs w:val="20"/>
              </w:rPr>
              <w:t>gran</w:t>
            </w:r>
            <w:r w:rsidRPr="009C789B">
              <w:rPr>
                <w:rFonts w:ascii="Arial" w:hAnsi="Arial" w:cs="Arial"/>
                <w:sz w:val="20"/>
                <w:szCs w:val="20"/>
              </w:rPr>
              <w:t>t</w:t>
            </w:r>
            <w:r w:rsidR="00455EFA" w:rsidRPr="009C789B">
              <w:rPr>
                <w:rFonts w:ascii="Arial" w:hAnsi="Arial" w:cs="Arial"/>
                <w:sz w:val="20"/>
                <w:szCs w:val="20"/>
              </w:rPr>
              <w:t xml:space="preserve"> </w:t>
            </w:r>
            <w:r w:rsidRPr="009C789B">
              <w:rPr>
                <w:rFonts w:ascii="Arial" w:hAnsi="Arial" w:cs="Arial"/>
                <w:sz w:val="20"/>
                <w:szCs w:val="20"/>
              </w:rPr>
              <w:t>les</w:t>
            </w:r>
            <w:r w:rsidR="00455EFA" w:rsidRPr="009C789B">
              <w:rPr>
                <w:rFonts w:ascii="Arial" w:hAnsi="Arial" w:cs="Arial"/>
                <w:sz w:val="20"/>
                <w:szCs w:val="20"/>
              </w:rPr>
              <w:t xml:space="preserve"> amend</w:t>
            </w:r>
            <w:r w:rsidRPr="009C789B">
              <w:rPr>
                <w:rFonts w:ascii="Arial" w:hAnsi="Arial" w:cs="Arial"/>
                <w:sz w:val="20"/>
                <w:szCs w:val="20"/>
              </w:rPr>
              <w:t>e</w:t>
            </w:r>
            <w:r w:rsidR="00455EFA" w:rsidRPr="009C789B">
              <w:rPr>
                <w:rFonts w:ascii="Arial" w:hAnsi="Arial" w:cs="Arial"/>
                <w:sz w:val="20"/>
                <w:szCs w:val="20"/>
              </w:rPr>
              <w:t xml:space="preserve">ments </w:t>
            </w:r>
            <w:r w:rsidR="003B6151" w:rsidRPr="009C789B">
              <w:rPr>
                <w:rFonts w:ascii="Arial" w:hAnsi="Arial" w:cs="Arial"/>
                <w:sz w:val="20"/>
                <w:szCs w:val="20"/>
              </w:rPr>
              <w:t>apportés aux</w:t>
            </w:r>
            <w:r w:rsidRPr="009C789B">
              <w:rPr>
                <w:rFonts w:ascii="Arial" w:hAnsi="Arial" w:cs="Arial"/>
                <w:sz w:val="20"/>
                <w:szCs w:val="20"/>
              </w:rPr>
              <w:t xml:space="preserve"> Directives opérationnelles adoptés par la cinquième </w:t>
            </w:r>
            <w:r w:rsidR="00455EFA" w:rsidRPr="009C789B">
              <w:rPr>
                <w:rFonts w:ascii="Arial" w:hAnsi="Arial" w:cs="Arial"/>
                <w:sz w:val="20"/>
                <w:szCs w:val="20"/>
              </w:rPr>
              <w:t xml:space="preserve">session </w:t>
            </w:r>
            <w:r w:rsidRPr="009C789B">
              <w:rPr>
                <w:rFonts w:ascii="Arial" w:hAnsi="Arial" w:cs="Arial"/>
                <w:sz w:val="20"/>
                <w:szCs w:val="20"/>
              </w:rPr>
              <w:t xml:space="preserve">de l’Assemblée générale </w:t>
            </w:r>
            <w:r w:rsidR="002C133D" w:rsidRPr="009C789B">
              <w:rPr>
                <w:rFonts w:ascii="Arial" w:hAnsi="Arial" w:cs="Arial"/>
                <w:sz w:val="20"/>
                <w:szCs w:val="20"/>
              </w:rPr>
              <w:t>ainsi que</w:t>
            </w:r>
            <w:r w:rsidRPr="009C789B">
              <w:rPr>
                <w:rFonts w:ascii="Arial" w:hAnsi="Arial" w:cs="Arial"/>
                <w:sz w:val="20"/>
                <w:szCs w:val="20"/>
              </w:rPr>
              <w:t xml:space="preserve"> les amendements</w:t>
            </w:r>
            <w:r w:rsidR="003B6151" w:rsidRPr="009C789B">
              <w:rPr>
                <w:rFonts w:ascii="Arial" w:hAnsi="Arial" w:cs="Arial"/>
                <w:sz w:val="20"/>
                <w:szCs w:val="20"/>
              </w:rPr>
              <w:t xml:space="preserve"> apportés a</w:t>
            </w:r>
            <w:r w:rsidRPr="009C789B">
              <w:rPr>
                <w:rFonts w:ascii="Arial" w:hAnsi="Arial" w:cs="Arial"/>
                <w:sz w:val="20"/>
                <w:szCs w:val="20"/>
              </w:rPr>
              <w:t xml:space="preserve">u </w:t>
            </w:r>
            <w:r w:rsidR="003B6151" w:rsidRPr="009C789B">
              <w:rPr>
                <w:rFonts w:ascii="Arial" w:hAnsi="Arial" w:cs="Arial"/>
                <w:sz w:val="20"/>
                <w:szCs w:val="20"/>
              </w:rPr>
              <w:t>R</w:t>
            </w:r>
            <w:r w:rsidRPr="009C789B">
              <w:rPr>
                <w:rFonts w:ascii="Arial" w:hAnsi="Arial" w:cs="Arial"/>
                <w:sz w:val="20"/>
                <w:szCs w:val="20"/>
              </w:rPr>
              <w:t xml:space="preserve">èglement intérieur du Comité adoptés lors de sa huitième </w:t>
            </w:r>
            <w:r w:rsidR="00455EFA" w:rsidRPr="009C789B">
              <w:rPr>
                <w:rFonts w:ascii="Arial" w:hAnsi="Arial" w:cs="Arial"/>
                <w:sz w:val="20"/>
                <w:szCs w:val="20"/>
              </w:rPr>
              <w:t>session –</w:t>
            </w:r>
            <w:r w:rsidRPr="009C789B">
              <w:rPr>
                <w:rFonts w:ascii="Arial" w:hAnsi="Arial" w:cs="Arial"/>
                <w:sz w:val="20"/>
                <w:szCs w:val="20"/>
              </w:rPr>
              <w:t xml:space="preserve"> a été effectuée dans les </w:t>
            </w:r>
            <w:r w:rsidR="00455EFA" w:rsidRPr="009C789B">
              <w:rPr>
                <w:rFonts w:ascii="Arial" w:hAnsi="Arial" w:cs="Arial"/>
                <w:sz w:val="20"/>
                <w:szCs w:val="20"/>
              </w:rPr>
              <w:t xml:space="preserve">six </w:t>
            </w:r>
            <w:r w:rsidRPr="009C789B">
              <w:rPr>
                <w:rFonts w:ascii="Arial" w:hAnsi="Arial" w:cs="Arial"/>
                <w:sz w:val="20"/>
                <w:szCs w:val="20"/>
              </w:rPr>
              <w:t>langues de travail de l’Assemblée générale</w:t>
            </w:r>
            <w:r w:rsidR="00455EFA" w:rsidRPr="009C789B">
              <w:rPr>
                <w:rFonts w:ascii="Arial" w:hAnsi="Arial" w:cs="Arial"/>
                <w:sz w:val="20"/>
                <w:szCs w:val="20"/>
              </w:rPr>
              <w:t>.</w:t>
            </w:r>
          </w:p>
        </w:tc>
        <w:tc>
          <w:tcPr>
            <w:tcW w:w="954" w:type="pct"/>
          </w:tcPr>
          <w:p w14:paraId="04A27B2D" w14:textId="77777777" w:rsidR="00455EFA" w:rsidRPr="009C789B" w:rsidRDefault="00455EFA" w:rsidP="00F07BDB">
            <w:pPr>
              <w:spacing w:before="60" w:after="60"/>
              <w:jc w:val="center"/>
              <w:rPr>
                <w:rFonts w:ascii="Arial" w:hAnsi="Arial" w:cs="Arial"/>
                <w:sz w:val="20"/>
                <w:szCs w:val="20"/>
              </w:rPr>
            </w:pPr>
            <w:r w:rsidRPr="009C789B">
              <w:rPr>
                <w:rFonts w:ascii="Arial" w:hAnsi="Arial" w:cs="Arial"/>
                <w:sz w:val="20"/>
                <w:szCs w:val="20"/>
              </w:rPr>
              <w:t>A</w:t>
            </w:r>
            <w:r w:rsidR="00767E02" w:rsidRPr="009C789B">
              <w:rPr>
                <w:rFonts w:ascii="Arial" w:hAnsi="Arial" w:cs="Arial"/>
                <w:sz w:val="20"/>
                <w:szCs w:val="20"/>
              </w:rPr>
              <w:t>chevé</w:t>
            </w:r>
            <w:r w:rsidR="00760C75" w:rsidRPr="009C789B">
              <w:rPr>
                <w:rFonts w:ascii="Arial" w:hAnsi="Arial" w:cs="Arial"/>
                <w:sz w:val="20"/>
                <w:szCs w:val="20"/>
              </w:rPr>
              <w:t>e</w:t>
            </w:r>
          </w:p>
        </w:tc>
      </w:tr>
      <w:tr w:rsidR="00455EFA" w:rsidRPr="009C789B" w14:paraId="4E677725" w14:textId="77777777" w:rsidTr="00F07BDB">
        <w:tc>
          <w:tcPr>
            <w:tcW w:w="2023" w:type="pct"/>
            <w:shd w:val="clear" w:color="auto" w:fill="auto"/>
          </w:tcPr>
          <w:p w14:paraId="3147519E" w14:textId="77777777" w:rsidR="00455EFA" w:rsidRPr="00F07BDB" w:rsidRDefault="00D85134" w:rsidP="009C789B">
            <w:pPr>
              <w:spacing w:before="60" w:after="60"/>
              <w:rPr>
                <w:rFonts w:ascii="Arial" w:hAnsi="Arial" w:cs="Arial"/>
                <w:b/>
                <w:sz w:val="20"/>
                <w:szCs w:val="20"/>
              </w:rPr>
            </w:pPr>
            <w:r w:rsidRPr="00F07BDB">
              <w:rPr>
                <w:rFonts w:ascii="Arial" w:hAnsi="Arial" w:cs="Arial"/>
                <w:b/>
                <w:sz w:val="20"/>
                <w:szCs w:val="20"/>
              </w:rPr>
              <w:t>P</w:t>
            </w:r>
            <w:r w:rsidR="00675F17" w:rsidRPr="00F07BDB">
              <w:rPr>
                <w:rFonts w:ascii="Arial" w:hAnsi="Arial" w:cs="Arial"/>
                <w:b/>
                <w:sz w:val="20"/>
                <w:szCs w:val="20"/>
              </w:rPr>
              <w:t> :</w:t>
            </w:r>
          </w:p>
          <w:p w14:paraId="1812F6A3" w14:textId="77777777" w:rsidR="00455EFA" w:rsidRPr="009C789B" w:rsidRDefault="001269BC" w:rsidP="009C789B">
            <w:pPr>
              <w:spacing w:before="60" w:after="60"/>
              <w:rPr>
                <w:rFonts w:ascii="Arial" w:hAnsi="Arial" w:cs="Arial"/>
                <w:sz w:val="20"/>
                <w:szCs w:val="20"/>
              </w:rPr>
            </w:pPr>
            <w:r w:rsidRPr="009C789B">
              <w:rPr>
                <w:rFonts w:ascii="Arial" w:hAnsi="Arial" w:cs="Arial"/>
                <w:sz w:val="20"/>
                <w:szCs w:val="20"/>
              </w:rPr>
              <w:t>Publication de dépliants sur le renforcement des capacités et le développement durable</w:t>
            </w:r>
          </w:p>
          <w:p w14:paraId="2A8C95B2" w14:textId="77777777" w:rsidR="00455EFA" w:rsidRPr="00F07BDB" w:rsidRDefault="00675F17" w:rsidP="009C789B">
            <w:pPr>
              <w:spacing w:before="60" w:after="60"/>
              <w:rPr>
                <w:rFonts w:ascii="Arial" w:hAnsi="Arial" w:cs="Arial"/>
                <w:b/>
                <w:sz w:val="20"/>
                <w:szCs w:val="20"/>
              </w:rPr>
            </w:pPr>
            <w:r w:rsidRPr="00F07BDB">
              <w:rPr>
                <w:rFonts w:ascii="Arial" w:hAnsi="Arial" w:cs="Arial"/>
                <w:b/>
                <w:sz w:val="20"/>
                <w:szCs w:val="20"/>
              </w:rPr>
              <w:t>R</w:t>
            </w:r>
            <w:r w:rsidR="00D85134" w:rsidRPr="00F07BDB">
              <w:rPr>
                <w:rFonts w:ascii="Arial" w:hAnsi="Arial" w:cs="Arial"/>
                <w:b/>
                <w:sz w:val="20"/>
                <w:szCs w:val="20"/>
              </w:rPr>
              <w:t xml:space="preserve"> 2</w:t>
            </w:r>
            <w:r w:rsidR="00455EFA" w:rsidRPr="00F07BDB">
              <w:rPr>
                <w:rFonts w:ascii="Arial" w:hAnsi="Arial" w:cs="Arial"/>
                <w:b/>
                <w:sz w:val="20"/>
                <w:szCs w:val="20"/>
              </w:rPr>
              <w:t>014-2015</w:t>
            </w:r>
            <w:r w:rsidR="001269BC" w:rsidRPr="00F07BDB">
              <w:rPr>
                <w:rFonts w:ascii="Arial" w:hAnsi="Arial" w:cs="Arial"/>
                <w:b/>
                <w:sz w:val="20"/>
                <w:szCs w:val="20"/>
              </w:rPr>
              <w:t> </w:t>
            </w:r>
            <w:r w:rsidR="00455EFA" w:rsidRPr="00F07BDB">
              <w:rPr>
                <w:rFonts w:ascii="Arial" w:hAnsi="Arial" w:cs="Arial"/>
                <w:b/>
                <w:sz w:val="20"/>
                <w:szCs w:val="20"/>
              </w:rPr>
              <w:t xml:space="preserve">: </w:t>
            </w:r>
          </w:p>
          <w:p w14:paraId="6E579644" w14:textId="77777777" w:rsidR="00455EFA" w:rsidRPr="009C789B" w:rsidRDefault="00DB3EF7" w:rsidP="009C789B">
            <w:pPr>
              <w:spacing w:before="60" w:after="60"/>
              <w:rPr>
                <w:rFonts w:ascii="Arial" w:hAnsi="Arial" w:cs="Arial"/>
                <w:sz w:val="20"/>
                <w:szCs w:val="20"/>
              </w:rPr>
            </w:pPr>
            <w:r w:rsidRPr="009C789B">
              <w:rPr>
                <w:rFonts w:ascii="Arial" w:hAnsi="Arial" w:cs="Arial"/>
                <w:sz w:val="20"/>
                <w:szCs w:val="20"/>
              </w:rPr>
              <w:t xml:space="preserve">Deux </w:t>
            </w:r>
            <w:r w:rsidR="00455EFA" w:rsidRPr="009C789B">
              <w:rPr>
                <w:rFonts w:ascii="Arial" w:hAnsi="Arial" w:cs="Arial"/>
                <w:sz w:val="20"/>
                <w:szCs w:val="20"/>
              </w:rPr>
              <w:t>publications</w:t>
            </w:r>
            <w:r w:rsidRPr="009C789B">
              <w:rPr>
                <w:rFonts w:ascii="Arial" w:hAnsi="Arial" w:cs="Arial"/>
                <w:sz w:val="20"/>
                <w:szCs w:val="20"/>
              </w:rPr>
              <w:t> </w:t>
            </w:r>
            <w:r w:rsidR="00455EFA" w:rsidRPr="009C789B">
              <w:rPr>
                <w:rFonts w:ascii="Arial" w:hAnsi="Arial" w:cs="Arial"/>
                <w:sz w:val="20"/>
                <w:szCs w:val="20"/>
              </w:rPr>
              <w:t xml:space="preserve">: </w:t>
            </w:r>
            <w:r w:rsidRPr="009C789B">
              <w:rPr>
                <w:rFonts w:ascii="Arial" w:hAnsi="Arial" w:cs="Arial"/>
                <w:sz w:val="20"/>
                <w:szCs w:val="20"/>
              </w:rPr>
              <w:t>dépliants sur le renforcement des capacités et sur le PCI pour un développement durable</w:t>
            </w:r>
          </w:p>
        </w:tc>
        <w:tc>
          <w:tcPr>
            <w:tcW w:w="2023" w:type="pct"/>
            <w:shd w:val="clear" w:color="auto" w:fill="auto"/>
          </w:tcPr>
          <w:p w14:paraId="312CAF48" w14:textId="77777777" w:rsidR="00455EFA" w:rsidRPr="009C789B" w:rsidRDefault="00DB3EF7"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Le kit d’i</w:t>
            </w:r>
            <w:r w:rsidR="00455EFA" w:rsidRPr="009C789B">
              <w:rPr>
                <w:rFonts w:ascii="Arial" w:hAnsi="Arial" w:cs="Arial"/>
                <w:sz w:val="20"/>
                <w:szCs w:val="20"/>
              </w:rPr>
              <w:t xml:space="preserve">nformation </w:t>
            </w:r>
            <w:r w:rsidRPr="009C789B">
              <w:rPr>
                <w:rFonts w:ascii="Arial" w:hAnsi="Arial" w:cs="Arial"/>
                <w:sz w:val="20"/>
                <w:szCs w:val="20"/>
              </w:rPr>
              <w:t>sur la</w:t>
            </w:r>
            <w:r w:rsidR="00455EFA" w:rsidRPr="009C789B">
              <w:rPr>
                <w:rFonts w:ascii="Arial" w:hAnsi="Arial" w:cs="Arial"/>
                <w:sz w:val="20"/>
                <w:szCs w:val="20"/>
              </w:rPr>
              <w:t xml:space="preserve"> Convention </w:t>
            </w:r>
            <w:r w:rsidRPr="009C789B">
              <w:rPr>
                <w:rFonts w:ascii="Arial" w:hAnsi="Arial" w:cs="Arial"/>
                <w:sz w:val="20"/>
                <w:szCs w:val="20"/>
              </w:rPr>
              <w:t>a été réédité</w:t>
            </w:r>
            <w:r w:rsidR="003B6151" w:rsidRPr="009C789B">
              <w:rPr>
                <w:rFonts w:ascii="Arial" w:hAnsi="Arial" w:cs="Arial"/>
                <w:sz w:val="20"/>
                <w:szCs w:val="20"/>
              </w:rPr>
              <w:t>,</w:t>
            </w:r>
            <w:r w:rsidRPr="009C789B">
              <w:rPr>
                <w:rFonts w:ascii="Arial" w:hAnsi="Arial" w:cs="Arial"/>
                <w:sz w:val="20"/>
                <w:szCs w:val="20"/>
              </w:rPr>
              <w:t xml:space="preserve"> avec deux brochures thématiques supplémentaires sur le genre et le développement durable</w:t>
            </w:r>
            <w:r w:rsidR="00455EFA" w:rsidRPr="009C789B">
              <w:rPr>
                <w:rFonts w:ascii="Arial" w:hAnsi="Arial" w:cs="Arial"/>
                <w:sz w:val="20"/>
                <w:szCs w:val="20"/>
              </w:rPr>
              <w:t>.</w:t>
            </w:r>
          </w:p>
          <w:p w14:paraId="1A4D2B4F" w14:textId="77777777" w:rsidR="00455EFA" w:rsidRPr="009C789B" w:rsidRDefault="00DB3EF7"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Un dépliant présentant les grandes lignes du programme de renforcement des capacités a été produit.</w:t>
            </w:r>
          </w:p>
        </w:tc>
        <w:tc>
          <w:tcPr>
            <w:tcW w:w="954" w:type="pct"/>
          </w:tcPr>
          <w:p w14:paraId="1D833A7C" w14:textId="77777777" w:rsidR="00455EFA" w:rsidRPr="009C789B" w:rsidRDefault="00760C75" w:rsidP="00F07BDB">
            <w:pPr>
              <w:spacing w:before="60" w:after="60"/>
              <w:jc w:val="center"/>
              <w:rPr>
                <w:rFonts w:ascii="Arial" w:hAnsi="Arial" w:cs="Arial"/>
                <w:sz w:val="20"/>
                <w:szCs w:val="20"/>
              </w:rPr>
            </w:pPr>
            <w:r w:rsidRPr="009C789B">
              <w:rPr>
                <w:rFonts w:ascii="Arial" w:hAnsi="Arial" w:cs="Arial"/>
                <w:sz w:val="20"/>
                <w:szCs w:val="20"/>
              </w:rPr>
              <w:t>Ac</w:t>
            </w:r>
            <w:r w:rsidR="00A04864" w:rsidRPr="009C789B">
              <w:rPr>
                <w:rFonts w:ascii="Arial" w:hAnsi="Arial" w:cs="Arial"/>
                <w:sz w:val="20"/>
                <w:szCs w:val="20"/>
              </w:rPr>
              <w:t>hevé</w:t>
            </w:r>
            <w:r w:rsidR="00455EFA" w:rsidRPr="009C789B">
              <w:rPr>
                <w:rFonts w:ascii="Arial" w:hAnsi="Arial" w:cs="Arial"/>
                <w:sz w:val="20"/>
                <w:szCs w:val="20"/>
              </w:rPr>
              <w:t>e</w:t>
            </w:r>
          </w:p>
        </w:tc>
      </w:tr>
      <w:tr w:rsidR="00455EFA" w:rsidRPr="009C789B" w14:paraId="4AEBA82C" w14:textId="77777777" w:rsidTr="00F07BDB">
        <w:tc>
          <w:tcPr>
            <w:tcW w:w="2023" w:type="pct"/>
            <w:shd w:val="clear" w:color="auto" w:fill="auto"/>
          </w:tcPr>
          <w:p w14:paraId="7252A6F2" w14:textId="77777777" w:rsidR="00455EFA" w:rsidRPr="00F07BDB" w:rsidRDefault="00D85134" w:rsidP="009C789B">
            <w:pPr>
              <w:spacing w:before="60" w:after="60"/>
              <w:rPr>
                <w:rFonts w:ascii="Arial" w:hAnsi="Arial" w:cs="Arial"/>
                <w:b/>
                <w:sz w:val="20"/>
                <w:szCs w:val="20"/>
              </w:rPr>
            </w:pPr>
            <w:r w:rsidRPr="00F07BDB">
              <w:rPr>
                <w:rFonts w:ascii="Arial" w:hAnsi="Arial" w:cs="Arial"/>
                <w:b/>
                <w:sz w:val="20"/>
                <w:szCs w:val="20"/>
              </w:rPr>
              <w:t>P</w:t>
            </w:r>
            <w:r w:rsidR="00675F17" w:rsidRPr="00F07BDB">
              <w:rPr>
                <w:rFonts w:ascii="Arial" w:hAnsi="Arial" w:cs="Arial"/>
                <w:b/>
                <w:sz w:val="20"/>
                <w:szCs w:val="20"/>
              </w:rPr>
              <w:t> :</w:t>
            </w:r>
          </w:p>
          <w:p w14:paraId="67DB9051" w14:textId="77777777" w:rsidR="00455EFA" w:rsidRPr="009C789B" w:rsidRDefault="00BB5DCF" w:rsidP="009C789B">
            <w:pPr>
              <w:spacing w:before="60" w:after="60"/>
              <w:rPr>
                <w:rFonts w:ascii="Arial" w:hAnsi="Arial" w:cs="Arial"/>
                <w:sz w:val="20"/>
                <w:szCs w:val="20"/>
              </w:rPr>
            </w:pPr>
            <w:r w:rsidRPr="009C789B">
              <w:rPr>
                <w:rFonts w:ascii="Arial" w:hAnsi="Arial" w:cs="Arial"/>
                <w:sz w:val="20"/>
                <w:szCs w:val="20"/>
              </w:rPr>
              <w:t>Publi</w:t>
            </w:r>
            <w:r w:rsidR="00CD5853" w:rsidRPr="009C789B">
              <w:rPr>
                <w:rFonts w:ascii="Arial" w:hAnsi="Arial" w:cs="Arial"/>
                <w:sz w:val="20"/>
                <w:szCs w:val="20"/>
              </w:rPr>
              <w:t xml:space="preserve">cation de </w:t>
            </w:r>
            <w:r w:rsidRPr="009C789B">
              <w:rPr>
                <w:rFonts w:ascii="Arial" w:hAnsi="Arial" w:cs="Arial"/>
                <w:sz w:val="20"/>
                <w:szCs w:val="20"/>
              </w:rPr>
              <w:t xml:space="preserve">la Liste de sauvegarde urgente et </w:t>
            </w:r>
            <w:r w:rsidR="00CD5853" w:rsidRPr="009C789B">
              <w:rPr>
                <w:rFonts w:ascii="Arial" w:hAnsi="Arial" w:cs="Arial"/>
                <w:sz w:val="20"/>
                <w:szCs w:val="20"/>
              </w:rPr>
              <w:t>du</w:t>
            </w:r>
            <w:r w:rsidRPr="009C789B">
              <w:rPr>
                <w:rFonts w:ascii="Arial" w:hAnsi="Arial" w:cs="Arial"/>
                <w:sz w:val="20"/>
                <w:szCs w:val="20"/>
              </w:rPr>
              <w:t xml:space="preserve"> Registre des meilleures pratiques de sauvegarde</w:t>
            </w:r>
          </w:p>
          <w:p w14:paraId="6D3C5DBF" w14:textId="77777777" w:rsidR="00455EFA" w:rsidRPr="00F07BDB" w:rsidRDefault="00675F17" w:rsidP="009C789B">
            <w:pPr>
              <w:spacing w:before="60" w:after="60"/>
              <w:rPr>
                <w:rFonts w:ascii="Arial" w:hAnsi="Arial" w:cs="Arial"/>
                <w:b/>
                <w:sz w:val="20"/>
                <w:szCs w:val="20"/>
              </w:rPr>
            </w:pPr>
            <w:r w:rsidRPr="00F07BDB">
              <w:rPr>
                <w:rFonts w:ascii="Arial" w:hAnsi="Arial" w:cs="Arial"/>
                <w:b/>
                <w:sz w:val="20"/>
                <w:szCs w:val="20"/>
              </w:rPr>
              <w:t>R </w:t>
            </w:r>
            <w:r w:rsidR="00455EFA" w:rsidRPr="00F07BDB">
              <w:rPr>
                <w:rFonts w:ascii="Arial" w:hAnsi="Arial" w:cs="Arial"/>
                <w:b/>
                <w:sz w:val="20"/>
                <w:szCs w:val="20"/>
              </w:rPr>
              <w:t>2014-2015</w:t>
            </w:r>
            <w:r w:rsidR="00BB5DCF" w:rsidRPr="00F07BDB">
              <w:rPr>
                <w:rFonts w:ascii="Arial" w:hAnsi="Arial" w:cs="Arial"/>
                <w:b/>
                <w:sz w:val="20"/>
                <w:szCs w:val="20"/>
              </w:rPr>
              <w:t> </w:t>
            </w:r>
            <w:r w:rsidR="00455EFA" w:rsidRPr="00F07BDB">
              <w:rPr>
                <w:rFonts w:ascii="Arial" w:hAnsi="Arial" w:cs="Arial"/>
                <w:b/>
                <w:sz w:val="20"/>
                <w:szCs w:val="20"/>
              </w:rPr>
              <w:t xml:space="preserve">: </w:t>
            </w:r>
          </w:p>
          <w:p w14:paraId="3FE55EEC" w14:textId="77777777" w:rsidR="00455EFA" w:rsidRPr="009C789B" w:rsidRDefault="00455EFA" w:rsidP="009C789B">
            <w:pPr>
              <w:spacing w:before="60" w:after="60"/>
              <w:rPr>
                <w:rFonts w:ascii="Arial" w:hAnsi="Arial" w:cs="Arial"/>
                <w:sz w:val="20"/>
                <w:szCs w:val="20"/>
              </w:rPr>
            </w:pPr>
            <w:r w:rsidRPr="009C789B">
              <w:rPr>
                <w:rFonts w:ascii="Arial" w:hAnsi="Arial" w:cs="Arial"/>
                <w:sz w:val="20"/>
                <w:szCs w:val="20"/>
              </w:rPr>
              <w:t xml:space="preserve">Publication </w:t>
            </w:r>
            <w:r w:rsidR="00BB5DCF" w:rsidRPr="009C789B">
              <w:rPr>
                <w:rFonts w:ascii="Arial" w:hAnsi="Arial" w:cs="Arial"/>
                <w:sz w:val="20"/>
                <w:szCs w:val="20"/>
              </w:rPr>
              <w:t xml:space="preserve">de la LSU </w:t>
            </w:r>
            <w:r w:rsidRPr="009C789B">
              <w:rPr>
                <w:rFonts w:ascii="Arial" w:hAnsi="Arial" w:cs="Arial"/>
                <w:sz w:val="20"/>
                <w:szCs w:val="20"/>
              </w:rPr>
              <w:t xml:space="preserve">2012-2013 </w:t>
            </w:r>
            <w:r w:rsidR="00BB5DCF" w:rsidRPr="009C789B">
              <w:rPr>
                <w:rFonts w:ascii="Arial" w:hAnsi="Arial" w:cs="Arial"/>
                <w:sz w:val="20"/>
                <w:szCs w:val="20"/>
              </w:rPr>
              <w:t>et du Registre</w:t>
            </w:r>
          </w:p>
        </w:tc>
        <w:tc>
          <w:tcPr>
            <w:tcW w:w="2023" w:type="pct"/>
            <w:shd w:val="clear" w:color="auto" w:fill="auto"/>
          </w:tcPr>
          <w:p w14:paraId="5D776B5C" w14:textId="77777777" w:rsidR="00455EFA" w:rsidRPr="009C789B" w:rsidRDefault="00BB5DCF"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Des brochures électroniques sur la Liste de sauvegarde urgente de </w:t>
            </w:r>
            <w:r w:rsidR="00455EFA" w:rsidRPr="009C789B">
              <w:rPr>
                <w:rFonts w:ascii="Arial" w:hAnsi="Arial" w:cs="Arial"/>
                <w:sz w:val="20"/>
                <w:szCs w:val="20"/>
              </w:rPr>
              <w:t xml:space="preserve">2012 </w:t>
            </w:r>
            <w:r w:rsidRPr="009C789B">
              <w:rPr>
                <w:rFonts w:ascii="Arial" w:hAnsi="Arial" w:cs="Arial"/>
                <w:sz w:val="20"/>
                <w:szCs w:val="20"/>
              </w:rPr>
              <w:t>et</w:t>
            </w:r>
            <w:r w:rsidR="00455EFA" w:rsidRPr="009C789B">
              <w:rPr>
                <w:rFonts w:ascii="Arial" w:hAnsi="Arial" w:cs="Arial"/>
                <w:sz w:val="20"/>
                <w:szCs w:val="20"/>
              </w:rPr>
              <w:t xml:space="preserve"> 2013 </w:t>
            </w:r>
            <w:r w:rsidRPr="009C789B">
              <w:rPr>
                <w:rFonts w:ascii="Arial" w:hAnsi="Arial" w:cs="Arial"/>
                <w:sz w:val="20"/>
                <w:szCs w:val="20"/>
              </w:rPr>
              <w:t>et le Registre des meilleures pratiques de sauvegarde ont été conçues, éditées et publiées en anglais et en français</w:t>
            </w:r>
            <w:r w:rsidR="00455EFA" w:rsidRPr="009C789B">
              <w:rPr>
                <w:rFonts w:ascii="Arial" w:hAnsi="Arial" w:cs="Arial"/>
                <w:sz w:val="20"/>
                <w:szCs w:val="20"/>
              </w:rPr>
              <w:t>.</w:t>
            </w:r>
          </w:p>
        </w:tc>
        <w:tc>
          <w:tcPr>
            <w:tcW w:w="954" w:type="pct"/>
          </w:tcPr>
          <w:p w14:paraId="495E8A47" w14:textId="77777777" w:rsidR="00455EFA" w:rsidRPr="009C789B" w:rsidRDefault="00455EFA" w:rsidP="00F07BDB">
            <w:pPr>
              <w:spacing w:before="60" w:after="60"/>
              <w:jc w:val="center"/>
              <w:rPr>
                <w:rFonts w:ascii="Arial" w:hAnsi="Arial" w:cs="Arial"/>
                <w:sz w:val="20"/>
                <w:szCs w:val="20"/>
              </w:rPr>
            </w:pPr>
            <w:r w:rsidRPr="009C789B">
              <w:rPr>
                <w:rFonts w:ascii="Arial" w:hAnsi="Arial" w:cs="Arial"/>
                <w:sz w:val="20"/>
                <w:szCs w:val="20"/>
              </w:rPr>
              <w:t>Ac</w:t>
            </w:r>
            <w:r w:rsidR="00A04864" w:rsidRPr="009C789B">
              <w:rPr>
                <w:rFonts w:ascii="Arial" w:hAnsi="Arial" w:cs="Arial"/>
                <w:sz w:val="20"/>
                <w:szCs w:val="20"/>
              </w:rPr>
              <w:t>hevé</w:t>
            </w:r>
            <w:r w:rsidRPr="009C789B">
              <w:rPr>
                <w:rFonts w:ascii="Arial" w:hAnsi="Arial" w:cs="Arial"/>
                <w:sz w:val="20"/>
                <w:szCs w:val="20"/>
              </w:rPr>
              <w:t>e</w:t>
            </w:r>
          </w:p>
        </w:tc>
      </w:tr>
      <w:tr w:rsidR="00455EFA" w:rsidRPr="009C789B" w14:paraId="6C1AF0D5" w14:textId="77777777" w:rsidTr="00F07BDB">
        <w:tc>
          <w:tcPr>
            <w:tcW w:w="2023" w:type="pct"/>
            <w:shd w:val="clear" w:color="auto" w:fill="auto"/>
          </w:tcPr>
          <w:p w14:paraId="4D9F8CC8" w14:textId="77777777" w:rsidR="00455EFA" w:rsidRPr="00F07BDB" w:rsidRDefault="00D85134" w:rsidP="009C789B">
            <w:pPr>
              <w:spacing w:before="60" w:after="60"/>
              <w:rPr>
                <w:rFonts w:ascii="Arial" w:hAnsi="Arial" w:cs="Arial"/>
                <w:b/>
                <w:sz w:val="20"/>
                <w:szCs w:val="20"/>
              </w:rPr>
            </w:pPr>
            <w:r w:rsidRPr="00F07BDB">
              <w:rPr>
                <w:rFonts w:ascii="Arial" w:hAnsi="Arial" w:cs="Arial"/>
                <w:b/>
                <w:sz w:val="20"/>
                <w:szCs w:val="20"/>
              </w:rPr>
              <w:t>P</w:t>
            </w:r>
            <w:r w:rsidR="00675F17" w:rsidRPr="00F07BDB">
              <w:rPr>
                <w:rFonts w:ascii="Arial" w:hAnsi="Arial" w:cs="Arial"/>
                <w:b/>
                <w:sz w:val="20"/>
                <w:szCs w:val="20"/>
              </w:rPr>
              <w:t> :</w:t>
            </w:r>
            <w:r w:rsidR="00455EFA" w:rsidRPr="00F07BDB">
              <w:rPr>
                <w:rFonts w:ascii="Arial" w:hAnsi="Arial" w:cs="Arial"/>
                <w:b/>
                <w:sz w:val="20"/>
                <w:szCs w:val="20"/>
              </w:rPr>
              <w:t xml:space="preserve"> </w:t>
            </w:r>
          </w:p>
          <w:p w14:paraId="7CE8A49A" w14:textId="19B7FD82" w:rsidR="00455EFA" w:rsidRPr="009C789B" w:rsidRDefault="004A63E1" w:rsidP="009C789B">
            <w:pPr>
              <w:spacing w:before="60" w:after="60"/>
              <w:rPr>
                <w:rFonts w:ascii="Arial" w:hAnsi="Arial" w:cs="Arial"/>
                <w:sz w:val="20"/>
                <w:szCs w:val="20"/>
              </w:rPr>
            </w:pPr>
            <w:r w:rsidRPr="004A63E1">
              <w:rPr>
                <w:rFonts w:ascii="Arial" w:hAnsi="Arial" w:cs="Arial"/>
                <w:sz w:val="20"/>
                <w:szCs w:val="20"/>
              </w:rPr>
              <w:t>Amélioration des informations sur la Convention avec de nouveaux contenus multilingues sur le site Internet</w:t>
            </w:r>
          </w:p>
          <w:p w14:paraId="03FFA0E2" w14:textId="428525CA" w:rsidR="00455EFA" w:rsidRPr="00F07BDB" w:rsidRDefault="00675F17" w:rsidP="009C789B">
            <w:pPr>
              <w:spacing w:before="60" w:after="60"/>
              <w:rPr>
                <w:rFonts w:ascii="Arial" w:hAnsi="Arial" w:cs="Arial"/>
                <w:b/>
                <w:sz w:val="20"/>
                <w:szCs w:val="20"/>
              </w:rPr>
            </w:pPr>
            <w:r w:rsidRPr="00F07BDB">
              <w:rPr>
                <w:rFonts w:ascii="Arial" w:hAnsi="Arial" w:cs="Arial"/>
                <w:b/>
                <w:sz w:val="20"/>
                <w:szCs w:val="20"/>
              </w:rPr>
              <w:t>R </w:t>
            </w:r>
            <w:r w:rsidR="00455EFA" w:rsidRPr="00F07BDB">
              <w:rPr>
                <w:rFonts w:ascii="Arial" w:hAnsi="Arial" w:cs="Arial"/>
                <w:b/>
                <w:sz w:val="20"/>
                <w:szCs w:val="20"/>
              </w:rPr>
              <w:t>2014-2015</w:t>
            </w:r>
            <w:r w:rsidR="00731A2C" w:rsidRPr="00F07BDB">
              <w:rPr>
                <w:rFonts w:ascii="Arial" w:hAnsi="Arial" w:cs="Arial"/>
                <w:b/>
                <w:sz w:val="20"/>
                <w:szCs w:val="20"/>
              </w:rPr>
              <w:t> </w:t>
            </w:r>
            <w:r w:rsidR="00455EFA" w:rsidRPr="00F07BDB">
              <w:rPr>
                <w:rFonts w:ascii="Arial" w:hAnsi="Arial" w:cs="Arial"/>
                <w:b/>
                <w:sz w:val="20"/>
                <w:szCs w:val="20"/>
              </w:rPr>
              <w:t>:</w:t>
            </w:r>
          </w:p>
          <w:p w14:paraId="00CBB82D" w14:textId="77777777" w:rsidR="00455EFA" w:rsidRPr="009C789B" w:rsidRDefault="00731A2C" w:rsidP="009C789B">
            <w:pPr>
              <w:spacing w:before="60" w:after="60"/>
              <w:rPr>
                <w:rFonts w:ascii="Arial" w:hAnsi="Arial" w:cs="Arial"/>
                <w:sz w:val="20"/>
                <w:szCs w:val="20"/>
              </w:rPr>
            </w:pPr>
            <w:r w:rsidRPr="009C789B">
              <w:rPr>
                <w:rFonts w:ascii="Arial" w:hAnsi="Arial" w:cs="Arial"/>
                <w:sz w:val="20"/>
                <w:szCs w:val="20"/>
              </w:rPr>
              <w:t>Publication de t</w:t>
            </w:r>
            <w:r w:rsidR="00455EFA" w:rsidRPr="009C789B">
              <w:rPr>
                <w:rFonts w:ascii="Arial" w:hAnsi="Arial" w:cs="Arial"/>
                <w:sz w:val="20"/>
                <w:szCs w:val="20"/>
              </w:rPr>
              <w:t>r</w:t>
            </w:r>
            <w:r w:rsidRPr="009C789B">
              <w:rPr>
                <w:rFonts w:ascii="Arial" w:hAnsi="Arial" w:cs="Arial"/>
                <w:sz w:val="20"/>
                <w:szCs w:val="20"/>
              </w:rPr>
              <w:t>ois cents nouvelles pages web en anglais, en français et en espagnol</w:t>
            </w:r>
          </w:p>
        </w:tc>
        <w:tc>
          <w:tcPr>
            <w:tcW w:w="2023" w:type="pct"/>
            <w:shd w:val="clear" w:color="auto" w:fill="auto"/>
          </w:tcPr>
          <w:p w14:paraId="2265410F" w14:textId="77777777" w:rsidR="00455EFA" w:rsidRPr="009C789B" w:rsidRDefault="00731A2C" w:rsidP="00F07BDB">
            <w:pPr>
              <w:pStyle w:val="ListParagraph"/>
              <w:numPr>
                <w:ilvl w:val="0"/>
                <w:numId w:val="19"/>
              </w:numPr>
              <w:spacing w:before="60" w:after="60"/>
              <w:ind w:left="357" w:hanging="357"/>
              <w:contextualSpacing w:val="0"/>
              <w:rPr>
                <w:rFonts w:ascii="Arial" w:hAnsi="Arial" w:cs="Arial"/>
                <w:sz w:val="20"/>
                <w:szCs w:val="20"/>
              </w:rPr>
            </w:pPr>
            <w:r w:rsidRPr="009C789B">
              <w:rPr>
                <w:rFonts w:ascii="Arial" w:hAnsi="Arial" w:cs="Arial"/>
                <w:sz w:val="20"/>
                <w:szCs w:val="20"/>
              </w:rPr>
              <w:t xml:space="preserve">Plus de </w:t>
            </w:r>
            <w:r w:rsidR="00455EFA" w:rsidRPr="009C789B">
              <w:rPr>
                <w:rFonts w:ascii="Arial" w:hAnsi="Arial" w:cs="Arial"/>
                <w:sz w:val="20"/>
                <w:szCs w:val="20"/>
              </w:rPr>
              <w:t>300 n</w:t>
            </w:r>
            <w:r w:rsidRPr="009C789B">
              <w:rPr>
                <w:rFonts w:ascii="Arial" w:hAnsi="Arial" w:cs="Arial"/>
                <w:sz w:val="20"/>
                <w:szCs w:val="20"/>
              </w:rPr>
              <w:t>ouvelles pages web ont été créées et sont accessibles en anglais et en français</w:t>
            </w:r>
            <w:r w:rsidR="00455EFA" w:rsidRPr="009C789B">
              <w:rPr>
                <w:rFonts w:ascii="Arial" w:hAnsi="Arial" w:cs="Arial"/>
                <w:sz w:val="20"/>
                <w:szCs w:val="20"/>
              </w:rPr>
              <w:t>.</w:t>
            </w:r>
          </w:p>
        </w:tc>
        <w:tc>
          <w:tcPr>
            <w:tcW w:w="954" w:type="pct"/>
          </w:tcPr>
          <w:p w14:paraId="217DA475" w14:textId="77777777" w:rsidR="00455EFA" w:rsidRPr="009C789B" w:rsidRDefault="00455EFA" w:rsidP="00F07BDB">
            <w:pPr>
              <w:spacing w:before="60" w:after="60"/>
              <w:jc w:val="center"/>
              <w:rPr>
                <w:rFonts w:ascii="Arial" w:hAnsi="Arial" w:cs="Arial"/>
                <w:sz w:val="20"/>
                <w:szCs w:val="20"/>
              </w:rPr>
            </w:pPr>
            <w:r w:rsidRPr="009C789B">
              <w:rPr>
                <w:rFonts w:ascii="Arial" w:hAnsi="Arial" w:cs="Arial"/>
                <w:sz w:val="20"/>
                <w:szCs w:val="20"/>
              </w:rPr>
              <w:t>Part</w:t>
            </w:r>
            <w:r w:rsidR="00A04864" w:rsidRPr="009C789B">
              <w:rPr>
                <w:rFonts w:ascii="Arial" w:hAnsi="Arial" w:cs="Arial"/>
                <w:sz w:val="20"/>
                <w:szCs w:val="20"/>
              </w:rPr>
              <w:t>i</w:t>
            </w:r>
            <w:r w:rsidR="00BB5DCF" w:rsidRPr="009C789B">
              <w:rPr>
                <w:rFonts w:ascii="Arial" w:hAnsi="Arial" w:cs="Arial"/>
                <w:sz w:val="20"/>
                <w:szCs w:val="20"/>
              </w:rPr>
              <w:t>ellement ac</w:t>
            </w:r>
            <w:r w:rsidR="00A04864" w:rsidRPr="009C789B">
              <w:rPr>
                <w:rFonts w:ascii="Arial" w:hAnsi="Arial" w:cs="Arial"/>
                <w:sz w:val="20"/>
                <w:szCs w:val="20"/>
              </w:rPr>
              <w:t>hevé</w:t>
            </w:r>
            <w:r w:rsidRPr="009C789B">
              <w:rPr>
                <w:rFonts w:ascii="Arial" w:hAnsi="Arial" w:cs="Arial"/>
                <w:sz w:val="20"/>
                <w:szCs w:val="20"/>
              </w:rPr>
              <w:t>e</w:t>
            </w:r>
          </w:p>
        </w:tc>
      </w:tr>
    </w:tbl>
    <w:p w14:paraId="4A3E87B4" w14:textId="77777777" w:rsidR="00F07BDB" w:rsidRPr="009C789B" w:rsidRDefault="00F07BDB" w:rsidP="00F07BDB">
      <w:pPr>
        <w:keepNext/>
        <w:spacing w:before="240" w:after="120"/>
        <w:rPr>
          <w:rFonts w:ascii="Arial" w:hAnsi="Arial" w:cs="Arial"/>
          <w:b/>
          <w:sz w:val="22"/>
          <w:szCs w:val="22"/>
        </w:rPr>
      </w:pPr>
      <w:r>
        <w:rPr>
          <w:rFonts w:ascii="Arial" w:hAnsi="Arial" w:cs="Arial"/>
          <w:b/>
          <w:sz w:val="22"/>
          <w:szCs w:val="22"/>
        </w:rPr>
        <w:t>Défis</w:t>
      </w:r>
      <w:r w:rsidRPr="009C789B">
        <w:rPr>
          <w:rFonts w:ascii="Arial" w:hAnsi="Arial" w:cs="Arial"/>
          <w:b/>
          <w:sz w:val="22"/>
          <w:szCs w:val="22"/>
        </w:rPr>
        <w:t xml:space="preserve"> et risques rencontrés dans la mise en œuvre et mesures correctives</w:t>
      </w:r>
    </w:p>
    <w:tbl>
      <w:tblPr>
        <w:tblStyle w:val="TableGrid"/>
        <w:tblW w:w="5000" w:type="pct"/>
        <w:tblLook w:val="04A0" w:firstRow="1" w:lastRow="0" w:firstColumn="1" w:lastColumn="0" w:noHBand="0" w:noVBand="1"/>
      </w:tblPr>
      <w:tblGrid>
        <w:gridCol w:w="4814"/>
        <w:gridCol w:w="4814"/>
      </w:tblGrid>
      <w:tr w:rsidR="00F07BDB" w:rsidRPr="009C789B" w14:paraId="4E2C07EC" w14:textId="77777777" w:rsidTr="00BB04C3">
        <w:trPr>
          <w:tblHeader/>
        </w:trPr>
        <w:tc>
          <w:tcPr>
            <w:tcW w:w="2500" w:type="pct"/>
            <w:shd w:val="clear" w:color="auto" w:fill="D9D9D9" w:themeFill="background1" w:themeFillShade="D9"/>
          </w:tcPr>
          <w:p w14:paraId="5C54AE75" w14:textId="77777777" w:rsidR="00F07BDB" w:rsidRPr="009C789B" w:rsidRDefault="00F07BDB" w:rsidP="00BB04C3">
            <w:pPr>
              <w:spacing w:before="120" w:after="120"/>
              <w:jc w:val="center"/>
              <w:rPr>
                <w:rFonts w:ascii="Arial" w:hAnsi="Arial" w:cs="Arial"/>
                <w:b/>
                <w:sz w:val="20"/>
                <w:szCs w:val="20"/>
              </w:rPr>
            </w:pPr>
            <w:r w:rsidRPr="009C789B">
              <w:rPr>
                <w:rFonts w:ascii="Arial" w:hAnsi="Arial" w:cs="Arial"/>
                <w:b/>
                <w:sz w:val="20"/>
                <w:szCs w:val="20"/>
              </w:rPr>
              <w:t>Principaux défis</w:t>
            </w:r>
          </w:p>
        </w:tc>
        <w:tc>
          <w:tcPr>
            <w:tcW w:w="2500" w:type="pct"/>
            <w:shd w:val="clear" w:color="auto" w:fill="D9D9D9" w:themeFill="background1" w:themeFillShade="D9"/>
          </w:tcPr>
          <w:p w14:paraId="37B5A29C" w14:textId="77777777" w:rsidR="00F07BDB" w:rsidRPr="009C789B" w:rsidRDefault="00F07BDB" w:rsidP="00BB04C3">
            <w:pPr>
              <w:spacing w:before="120" w:after="120"/>
              <w:jc w:val="center"/>
              <w:rPr>
                <w:rFonts w:ascii="Arial" w:hAnsi="Arial" w:cs="Arial"/>
                <w:b/>
                <w:sz w:val="20"/>
                <w:szCs w:val="20"/>
              </w:rPr>
            </w:pPr>
            <w:r w:rsidRPr="009C789B">
              <w:rPr>
                <w:rFonts w:ascii="Arial" w:hAnsi="Arial" w:cs="Arial"/>
                <w:b/>
                <w:sz w:val="20"/>
                <w:szCs w:val="20"/>
              </w:rPr>
              <w:t>Mesures correctives</w:t>
            </w:r>
          </w:p>
        </w:tc>
      </w:tr>
      <w:tr w:rsidR="00455EFA" w:rsidRPr="009C789B" w14:paraId="34B17F11" w14:textId="77777777" w:rsidTr="00CD5853">
        <w:tc>
          <w:tcPr>
            <w:tcW w:w="2500" w:type="pct"/>
            <w:tcBorders>
              <w:bottom w:val="single" w:sz="4" w:space="0" w:color="000000"/>
            </w:tcBorders>
            <w:shd w:val="clear" w:color="auto" w:fill="auto"/>
          </w:tcPr>
          <w:p w14:paraId="71D38E68" w14:textId="09078DC1" w:rsidR="00455EFA" w:rsidRPr="009C789B" w:rsidRDefault="007072E4" w:rsidP="009C789B">
            <w:pPr>
              <w:spacing w:before="60" w:after="60"/>
              <w:rPr>
                <w:rFonts w:ascii="Arial" w:hAnsi="Arial" w:cs="Arial"/>
                <w:sz w:val="20"/>
                <w:szCs w:val="20"/>
              </w:rPr>
            </w:pPr>
            <w:r w:rsidRPr="009C789B">
              <w:rPr>
                <w:rFonts w:ascii="Arial" w:hAnsi="Arial" w:cs="Arial"/>
                <w:sz w:val="20"/>
                <w:szCs w:val="20"/>
              </w:rPr>
              <w:t>L</w:t>
            </w:r>
            <w:r w:rsidR="00636AEB" w:rsidRPr="009C789B">
              <w:rPr>
                <w:rFonts w:ascii="Arial" w:hAnsi="Arial" w:cs="Arial"/>
                <w:sz w:val="20"/>
                <w:szCs w:val="20"/>
              </w:rPr>
              <w:t>a révision</w:t>
            </w:r>
            <w:r w:rsidRPr="009C789B">
              <w:rPr>
                <w:rFonts w:ascii="Arial" w:hAnsi="Arial" w:cs="Arial"/>
                <w:sz w:val="20"/>
                <w:szCs w:val="20"/>
              </w:rPr>
              <w:t xml:space="preserve"> des </w:t>
            </w:r>
            <w:r w:rsidR="00826C98">
              <w:rPr>
                <w:rFonts w:ascii="Arial" w:hAnsi="Arial" w:cs="Arial"/>
                <w:sz w:val="20"/>
                <w:szCs w:val="20"/>
              </w:rPr>
              <w:t>T</w:t>
            </w:r>
            <w:r w:rsidRPr="009C789B">
              <w:rPr>
                <w:rFonts w:ascii="Arial" w:hAnsi="Arial" w:cs="Arial"/>
                <w:sz w:val="20"/>
                <w:szCs w:val="20"/>
              </w:rPr>
              <w:t xml:space="preserve">extes fondamentaux de la </w:t>
            </w:r>
            <w:r w:rsidR="00455EFA" w:rsidRPr="009C789B">
              <w:rPr>
                <w:rFonts w:ascii="Arial" w:hAnsi="Arial" w:cs="Arial"/>
                <w:sz w:val="20"/>
                <w:szCs w:val="20"/>
              </w:rPr>
              <w:t xml:space="preserve">Convention </w:t>
            </w:r>
            <w:r w:rsidRPr="009C789B">
              <w:rPr>
                <w:rFonts w:ascii="Arial" w:hAnsi="Arial" w:cs="Arial"/>
                <w:sz w:val="20"/>
                <w:szCs w:val="20"/>
              </w:rPr>
              <w:t>dans</w:t>
            </w:r>
            <w:r w:rsidR="00455EFA" w:rsidRPr="009C789B">
              <w:rPr>
                <w:rFonts w:ascii="Arial" w:hAnsi="Arial" w:cs="Arial"/>
                <w:sz w:val="20"/>
                <w:szCs w:val="20"/>
              </w:rPr>
              <w:t xml:space="preserve"> six langues, </w:t>
            </w:r>
            <w:r w:rsidRPr="009C789B">
              <w:rPr>
                <w:rFonts w:ascii="Arial" w:hAnsi="Arial" w:cs="Arial"/>
                <w:sz w:val="20"/>
                <w:szCs w:val="20"/>
              </w:rPr>
              <w:t xml:space="preserve">à la suite des </w:t>
            </w:r>
            <w:r w:rsidR="00455EFA" w:rsidRPr="009C789B">
              <w:rPr>
                <w:rFonts w:ascii="Arial" w:hAnsi="Arial" w:cs="Arial"/>
                <w:sz w:val="20"/>
                <w:szCs w:val="20"/>
              </w:rPr>
              <w:t>amend</w:t>
            </w:r>
            <w:r w:rsidRPr="009C789B">
              <w:rPr>
                <w:rFonts w:ascii="Arial" w:hAnsi="Arial" w:cs="Arial"/>
                <w:sz w:val="20"/>
                <w:szCs w:val="20"/>
              </w:rPr>
              <w:t>e</w:t>
            </w:r>
            <w:r w:rsidR="00455EFA" w:rsidRPr="009C789B">
              <w:rPr>
                <w:rFonts w:ascii="Arial" w:hAnsi="Arial" w:cs="Arial"/>
                <w:sz w:val="20"/>
                <w:szCs w:val="20"/>
              </w:rPr>
              <w:t>ments adopt</w:t>
            </w:r>
            <w:r w:rsidRPr="009C789B">
              <w:rPr>
                <w:rFonts w:ascii="Arial" w:hAnsi="Arial" w:cs="Arial"/>
                <w:sz w:val="20"/>
                <w:szCs w:val="20"/>
              </w:rPr>
              <w:t>és par l’Assemblée générale</w:t>
            </w:r>
            <w:r w:rsidR="00636AEB" w:rsidRPr="009C789B">
              <w:rPr>
                <w:rFonts w:ascii="Arial" w:hAnsi="Arial" w:cs="Arial"/>
                <w:sz w:val="20"/>
                <w:szCs w:val="20"/>
              </w:rPr>
              <w:t>,</w:t>
            </w:r>
            <w:r w:rsidRPr="009C789B">
              <w:rPr>
                <w:rFonts w:ascii="Arial" w:hAnsi="Arial" w:cs="Arial"/>
                <w:sz w:val="20"/>
                <w:szCs w:val="20"/>
              </w:rPr>
              <w:t xml:space="preserve"> exige non seulement des compétences linguistiques,</w:t>
            </w:r>
            <w:r w:rsidR="00636AEB" w:rsidRPr="009C789B">
              <w:rPr>
                <w:rFonts w:ascii="Arial" w:hAnsi="Arial" w:cs="Arial"/>
                <w:sz w:val="20"/>
                <w:szCs w:val="20"/>
              </w:rPr>
              <w:t xml:space="preserve"> </w:t>
            </w:r>
            <w:r w:rsidRPr="009C789B">
              <w:rPr>
                <w:rFonts w:ascii="Arial" w:hAnsi="Arial" w:cs="Arial"/>
                <w:sz w:val="20"/>
                <w:szCs w:val="20"/>
              </w:rPr>
              <w:t xml:space="preserve">mais aussi une excellente maîtrise de la terminologie de la </w:t>
            </w:r>
            <w:r w:rsidR="00455EFA" w:rsidRPr="009C789B">
              <w:rPr>
                <w:rFonts w:ascii="Arial" w:hAnsi="Arial" w:cs="Arial"/>
                <w:sz w:val="20"/>
                <w:szCs w:val="20"/>
              </w:rPr>
              <w:t>Convention</w:t>
            </w:r>
            <w:r w:rsidRPr="009C789B">
              <w:rPr>
                <w:rFonts w:ascii="Arial" w:hAnsi="Arial" w:cs="Arial"/>
                <w:sz w:val="20"/>
                <w:szCs w:val="20"/>
              </w:rPr>
              <w:t>, de sorte qu’il est très diffic</w:t>
            </w:r>
            <w:r w:rsidR="00636AEB" w:rsidRPr="009C789B">
              <w:rPr>
                <w:rFonts w:ascii="Arial" w:hAnsi="Arial" w:cs="Arial"/>
                <w:sz w:val="20"/>
                <w:szCs w:val="20"/>
              </w:rPr>
              <w:t>i</w:t>
            </w:r>
            <w:r w:rsidRPr="009C789B">
              <w:rPr>
                <w:rFonts w:ascii="Arial" w:hAnsi="Arial" w:cs="Arial"/>
                <w:sz w:val="20"/>
                <w:szCs w:val="20"/>
              </w:rPr>
              <w:t>le de la sous-traiter</w:t>
            </w:r>
            <w:r w:rsidR="00455EFA" w:rsidRPr="009C789B">
              <w:rPr>
                <w:rFonts w:ascii="Arial" w:hAnsi="Arial" w:cs="Arial"/>
                <w:sz w:val="20"/>
                <w:szCs w:val="20"/>
              </w:rPr>
              <w:t xml:space="preserve">. </w:t>
            </w:r>
            <w:r w:rsidR="00AB6C02" w:rsidRPr="009C789B">
              <w:rPr>
                <w:rFonts w:ascii="Arial" w:hAnsi="Arial" w:cs="Arial"/>
                <w:sz w:val="20"/>
                <w:szCs w:val="20"/>
              </w:rPr>
              <w:t xml:space="preserve">Si les traductions proprement dites sont sous-traitées, la révision est le plus souvent effectuée par le personnel de la </w:t>
            </w:r>
            <w:r w:rsidR="00455EFA" w:rsidRPr="009C789B">
              <w:rPr>
                <w:rFonts w:ascii="Arial" w:hAnsi="Arial" w:cs="Arial"/>
                <w:sz w:val="20"/>
                <w:szCs w:val="20"/>
              </w:rPr>
              <w:t>Section</w:t>
            </w:r>
            <w:r w:rsidR="00AB6C02" w:rsidRPr="009C789B">
              <w:rPr>
                <w:rFonts w:ascii="Arial" w:hAnsi="Arial" w:cs="Arial"/>
                <w:sz w:val="20"/>
                <w:szCs w:val="20"/>
              </w:rPr>
              <w:t xml:space="preserve">, ce qui </w:t>
            </w:r>
            <w:r w:rsidR="000A5E12" w:rsidRPr="009C789B">
              <w:rPr>
                <w:rFonts w:ascii="Arial" w:hAnsi="Arial" w:cs="Arial"/>
                <w:sz w:val="20"/>
                <w:szCs w:val="20"/>
              </w:rPr>
              <w:t>requiert</w:t>
            </w:r>
            <w:r w:rsidR="00AB6C02" w:rsidRPr="009C789B">
              <w:rPr>
                <w:rFonts w:ascii="Arial" w:hAnsi="Arial" w:cs="Arial"/>
                <w:sz w:val="20"/>
                <w:szCs w:val="20"/>
              </w:rPr>
              <w:t xml:space="preserve"> un énorme investissement en temps</w:t>
            </w:r>
            <w:r w:rsidR="00455EFA" w:rsidRPr="009C789B">
              <w:rPr>
                <w:rFonts w:ascii="Arial" w:hAnsi="Arial" w:cs="Arial"/>
                <w:sz w:val="20"/>
                <w:szCs w:val="20"/>
              </w:rPr>
              <w:t>.</w:t>
            </w:r>
          </w:p>
        </w:tc>
        <w:tc>
          <w:tcPr>
            <w:tcW w:w="2500" w:type="pct"/>
          </w:tcPr>
          <w:p w14:paraId="5C0B3307" w14:textId="01D5D0A7" w:rsidR="00455EFA" w:rsidRPr="009C789B" w:rsidRDefault="00AB6C02" w:rsidP="009C789B">
            <w:pPr>
              <w:spacing w:before="60" w:after="60"/>
              <w:rPr>
                <w:rFonts w:ascii="Arial" w:hAnsi="Arial" w:cs="Arial"/>
                <w:sz w:val="20"/>
                <w:szCs w:val="20"/>
              </w:rPr>
            </w:pPr>
            <w:r w:rsidRPr="009C789B">
              <w:rPr>
                <w:rFonts w:ascii="Arial" w:hAnsi="Arial" w:cs="Arial"/>
                <w:sz w:val="20"/>
                <w:szCs w:val="20"/>
              </w:rPr>
              <w:t xml:space="preserve">Aucune mesure corrective n’a été prise pendant la période de référence, </w:t>
            </w:r>
            <w:r w:rsidR="000A5E12" w:rsidRPr="009C789B">
              <w:rPr>
                <w:rFonts w:ascii="Arial" w:hAnsi="Arial" w:cs="Arial"/>
                <w:sz w:val="20"/>
                <w:szCs w:val="20"/>
              </w:rPr>
              <w:t>sachant</w:t>
            </w:r>
            <w:r w:rsidRPr="009C789B">
              <w:rPr>
                <w:rFonts w:ascii="Arial" w:hAnsi="Arial" w:cs="Arial"/>
                <w:sz w:val="20"/>
                <w:szCs w:val="20"/>
              </w:rPr>
              <w:t xml:space="preserve"> que la prochaine </w:t>
            </w:r>
            <w:r w:rsidR="000A5E12" w:rsidRPr="009C789B">
              <w:rPr>
                <w:rFonts w:ascii="Arial" w:hAnsi="Arial" w:cs="Arial"/>
                <w:sz w:val="20"/>
                <w:szCs w:val="20"/>
              </w:rPr>
              <w:t>r</w:t>
            </w:r>
            <w:r w:rsidRPr="009C789B">
              <w:rPr>
                <w:rFonts w:ascii="Arial" w:hAnsi="Arial" w:cs="Arial"/>
                <w:sz w:val="20"/>
                <w:szCs w:val="20"/>
              </w:rPr>
              <w:t>é</w:t>
            </w:r>
            <w:r w:rsidR="000A5E12" w:rsidRPr="009C789B">
              <w:rPr>
                <w:rFonts w:ascii="Arial" w:hAnsi="Arial" w:cs="Arial"/>
                <w:sz w:val="20"/>
                <w:szCs w:val="20"/>
              </w:rPr>
              <w:t>v</w:t>
            </w:r>
            <w:r w:rsidRPr="009C789B">
              <w:rPr>
                <w:rFonts w:ascii="Arial" w:hAnsi="Arial" w:cs="Arial"/>
                <w:sz w:val="20"/>
                <w:szCs w:val="20"/>
              </w:rPr>
              <w:t>i</w:t>
            </w:r>
            <w:r w:rsidR="000A5E12" w:rsidRPr="009C789B">
              <w:rPr>
                <w:rFonts w:ascii="Arial" w:hAnsi="Arial" w:cs="Arial"/>
                <w:sz w:val="20"/>
                <w:szCs w:val="20"/>
              </w:rPr>
              <w:t>s</w:t>
            </w:r>
            <w:r w:rsidRPr="009C789B">
              <w:rPr>
                <w:rFonts w:ascii="Arial" w:hAnsi="Arial" w:cs="Arial"/>
                <w:sz w:val="20"/>
                <w:szCs w:val="20"/>
              </w:rPr>
              <w:t xml:space="preserve">ion des </w:t>
            </w:r>
            <w:r w:rsidR="00826C98">
              <w:rPr>
                <w:rFonts w:ascii="Arial" w:hAnsi="Arial" w:cs="Arial"/>
                <w:sz w:val="20"/>
                <w:szCs w:val="20"/>
              </w:rPr>
              <w:t>T</w:t>
            </w:r>
            <w:r w:rsidRPr="009C789B">
              <w:rPr>
                <w:rFonts w:ascii="Arial" w:hAnsi="Arial" w:cs="Arial"/>
                <w:sz w:val="20"/>
                <w:szCs w:val="20"/>
              </w:rPr>
              <w:t xml:space="preserve">extes fondamentaux n’aura lieu qu’après la sixième session de l’Assemblé générale, au second semestre </w:t>
            </w:r>
            <w:r w:rsidR="00455EFA" w:rsidRPr="009C789B">
              <w:rPr>
                <w:rFonts w:ascii="Arial" w:hAnsi="Arial" w:cs="Arial"/>
                <w:sz w:val="20"/>
                <w:szCs w:val="20"/>
              </w:rPr>
              <w:t xml:space="preserve">2016. </w:t>
            </w:r>
          </w:p>
        </w:tc>
      </w:tr>
      <w:tr w:rsidR="00455EFA" w:rsidRPr="009C789B" w14:paraId="4538DE5E" w14:textId="77777777" w:rsidTr="00CD5853">
        <w:tc>
          <w:tcPr>
            <w:tcW w:w="2500" w:type="pct"/>
            <w:tcBorders>
              <w:bottom w:val="single" w:sz="4" w:space="0" w:color="auto"/>
            </w:tcBorders>
            <w:shd w:val="clear" w:color="auto" w:fill="auto"/>
          </w:tcPr>
          <w:p w14:paraId="18647BC1" w14:textId="02B2383D" w:rsidR="00455EFA" w:rsidRPr="009C789B" w:rsidRDefault="000A5E12" w:rsidP="009C789B">
            <w:pPr>
              <w:spacing w:before="60" w:after="60"/>
              <w:rPr>
                <w:rFonts w:ascii="Arial" w:hAnsi="Arial" w:cs="Arial"/>
                <w:sz w:val="20"/>
                <w:szCs w:val="20"/>
              </w:rPr>
            </w:pPr>
            <w:r w:rsidRPr="009C789B">
              <w:rPr>
                <w:rFonts w:ascii="Arial" w:hAnsi="Arial" w:cs="Arial"/>
                <w:sz w:val="20"/>
                <w:szCs w:val="20"/>
              </w:rPr>
              <w:t>Alors que</w:t>
            </w:r>
            <w:r w:rsidR="00F54896" w:rsidRPr="009C789B">
              <w:rPr>
                <w:rFonts w:ascii="Arial" w:hAnsi="Arial" w:cs="Arial"/>
                <w:sz w:val="20"/>
                <w:szCs w:val="20"/>
              </w:rPr>
              <w:t xml:space="preserve"> la version espagnole du site web du patrimoine culturel immatériel est la plus consultée après la version anglaise</w:t>
            </w:r>
            <w:r w:rsidR="00826C98">
              <w:rPr>
                <w:rFonts w:ascii="Arial" w:hAnsi="Arial" w:cs="Arial"/>
                <w:sz w:val="20"/>
                <w:szCs w:val="20"/>
              </w:rPr>
              <w:t xml:space="preserve"> mais</w:t>
            </w:r>
            <w:r w:rsidR="00F54896" w:rsidRPr="009C789B">
              <w:rPr>
                <w:rFonts w:ascii="Arial" w:hAnsi="Arial" w:cs="Arial"/>
                <w:sz w:val="20"/>
                <w:szCs w:val="20"/>
              </w:rPr>
              <w:t xml:space="preserve"> avant la version française, les ressources ont été insuffisantes pour permettre de diffuser le même niveau d’information en espagnol que dans les deux autres langues</w:t>
            </w:r>
            <w:r w:rsidR="00455EFA" w:rsidRPr="009C789B">
              <w:rPr>
                <w:rFonts w:ascii="Arial" w:hAnsi="Arial" w:cs="Arial"/>
                <w:sz w:val="20"/>
                <w:szCs w:val="20"/>
              </w:rPr>
              <w:t>.</w:t>
            </w:r>
          </w:p>
        </w:tc>
        <w:tc>
          <w:tcPr>
            <w:tcW w:w="2500" w:type="pct"/>
          </w:tcPr>
          <w:p w14:paraId="61EC6704" w14:textId="77777777" w:rsidR="00455EFA" w:rsidRPr="009C789B" w:rsidRDefault="00F54896" w:rsidP="009C789B">
            <w:pPr>
              <w:spacing w:before="60" w:after="60"/>
              <w:rPr>
                <w:rFonts w:ascii="Arial" w:hAnsi="Arial" w:cs="Arial"/>
                <w:sz w:val="20"/>
                <w:szCs w:val="20"/>
              </w:rPr>
            </w:pPr>
            <w:r w:rsidRPr="009C789B">
              <w:rPr>
                <w:rFonts w:ascii="Arial" w:hAnsi="Arial" w:cs="Arial"/>
                <w:sz w:val="20"/>
                <w:szCs w:val="20"/>
              </w:rPr>
              <w:t>La seule mesure corrective possible, mais qui n’a pas été prise au cours de la période de référence,</w:t>
            </w:r>
            <w:r w:rsidR="00455EFA" w:rsidRPr="009C789B">
              <w:rPr>
                <w:rFonts w:ascii="Arial" w:hAnsi="Arial" w:cs="Arial"/>
                <w:sz w:val="20"/>
                <w:szCs w:val="20"/>
              </w:rPr>
              <w:t xml:space="preserve"> </w:t>
            </w:r>
            <w:r w:rsidRPr="009C789B">
              <w:rPr>
                <w:rFonts w:ascii="Arial" w:hAnsi="Arial" w:cs="Arial"/>
                <w:sz w:val="20"/>
                <w:szCs w:val="20"/>
              </w:rPr>
              <w:t xml:space="preserve">aurait été d’allouer plus de ressources </w:t>
            </w:r>
            <w:r w:rsidR="00395C3A" w:rsidRPr="009C789B">
              <w:rPr>
                <w:rFonts w:ascii="Arial" w:hAnsi="Arial" w:cs="Arial"/>
                <w:sz w:val="20"/>
                <w:szCs w:val="20"/>
              </w:rPr>
              <w:t>à</w:t>
            </w:r>
            <w:r w:rsidRPr="009C789B">
              <w:rPr>
                <w:rFonts w:ascii="Arial" w:hAnsi="Arial" w:cs="Arial"/>
                <w:sz w:val="20"/>
                <w:szCs w:val="20"/>
              </w:rPr>
              <w:t xml:space="preserve"> la traduction/édition des pages web en espagnol</w:t>
            </w:r>
            <w:r w:rsidR="00455EFA" w:rsidRPr="009C789B">
              <w:rPr>
                <w:rFonts w:ascii="Arial" w:hAnsi="Arial" w:cs="Arial"/>
                <w:sz w:val="20"/>
                <w:szCs w:val="20"/>
              </w:rPr>
              <w:t>.</w:t>
            </w:r>
          </w:p>
        </w:tc>
      </w:tr>
    </w:tbl>
    <w:p w14:paraId="31B794CA" w14:textId="77777777" w:rsidR="00455EFA" w:rsidRPr="009C789B" w:rsidRDefault="00455EFA" w:rsidP="007715AB">
      <w:pPr>
        <w:pStyle w:val="5GAparabodytext"/>
      </w:pPr>
    </w:p>
    <w:sectPr w:rsidR="00455EFA" w:rsidRPr="009C789B" w:rsidSect="00655736">
      <w:headerReference w:type="even" r:id="rId17"/>
      <w:headerReference w:type="default" r:id="rId18"/>
      <w:headerReference w:type="first" r:id="rId1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53EF" w14:textId="77777777" w:rsidR="00BB04C3" w:rsidRDefault="00BB04C3" w:rsidP="00655736">
      <w:r>
        <w:separator/>
      </w:r>
    </w:p>
    <w:p w14:paraId="5108F69A" w14:textId="77777777" w:rsidR="00BB04C3" w:rsidRDefault="00BB04C3"/>
    <w:p w14:paraId="5FE958AC" w14:textId="77777777" w:rsidR="00BB04C3" w:rsidRDefault="00BB04C3" w:rsidP="002E58D4"/>
    <w:p w14:paraId="15FB9973" w14:textId="77777777" w:rsidR="00BB04C3" w:rsidRDefault="00BB04C3" w:rsidP="002E58D4"/>
    <w:p w14:paraId="703A97E2" w14:textId="77777777" w:rsidR="00BB04C3" w:rsidRDefault="00BB04C3" w:rsidP="002E58D4"/>
  </w:endnote>
  <w:endnote w:type="continuationSeparator" w:id="0">
    <w:p w14:paraId="74F9C043" w14:textId="77777777" w:rsidR="00BB04C3" w:rsidRDefault="00BB04C3" w:rsidP="00655736">
      <w:r>
        <w:continuationSeparator/>
      </w:r>
    </w:p>
    <w:p w14:paraId="2C51ADFF" w14:textId="77777777" w:rsidR="00BB04C3" w:rsidRDefault="00BB04C3"/>
    <w:p w14:paraId="548CD997" w14:textId="77777777" w:rsidR="00BB04C3" w:rsidRDefault="00BB04C3" w:rsidP="002E58D4"/>
    <w:p w14:paraId="3A845A69" w14:textId="77777777" w:rsidR="00BB04C3" w:rsidRDefault="00BB04C3" w:rsidP="002E58D4"/>
    <w:p w14:paraId="028D3ED9" w14:textId="77777777" w:rsidR="00BB04C3" w:rsidRDefault="00BB04C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2195" w14:textId="77777777" w:rsidR="00BB04C3" w:rsidRDefault="00BB04C3" w:rsidP="00655736">
      <w:r>
        <w:separator/>
      </w:r>
    </w:p>
  </w:footnote>
  <w:footnote w:type="continuationSeparator" w:id="0">
    <w:p w14:paraId="6FA860FF" w14:textId="77777777" w:rsidR="00BB04C3" w:rsidRDefault="00BB04C3" w:rsidP="00655736">
      <w:r>
        <w:continuationSeparator/>
      </w:r>
    </w:p>
  </w:footnote>
  <w:footnote w:type="continuationNotice" w:id="1">
    <w:p w14:paraId="2EFEFD60" w14:textId="77777777" w:rsidR="00BB04C3" w:rsidRPr="00054478" w:rsidRDefault="00BB04C3" w:rsidP="00054478">
      <w:pPr>
        <w:pStyle w:val="Footer"/>
      </w:pPr>
    </w:p>
  </w:footnote>
  <w:footnote w:id="2">
    <w:p w14:paraId="787E8A11" w14:textId="77777777" w:rsidR="00BB04C3" w:rsidRPr="002B5029" w:rsidRDefault="00BB04C3" w:rsidP="00054478">
      <w:pPr>
        <w:pStyle w:val="FootnoteText"/>
        <w:spacing w:before="60" w:after="60"/>
        <w:ind w:left="567" w:hanging="567"/>
        <w:jc w:val="both"/>
        <w:rPr>
          <w:rFonts w:ascii="Arial" w:hAnsi="Arial" w:cs="Arial"/>
        </w:rPr>
      </w:pPr>
      <w:r w:rsidRPr="005A1A81">
        <w:rPr>
          <w:rStyle w:val="FootnoteReference"/>
          <w:rFonts w:ascii="Arial" w:hAnsi="Arial" w:cs="Arial"/>
        </w:rPr>
        <w:footnoteRef/>
      </w:r>
      <w:r w:rsidRPr="005A1A81">
        <w:rPr>
          <w:rFonts w:ascii="Arial" w:hAnsi="Arial" w:cs="Arial"/>
        </w:rPr>
        <w:t>.</w:t>
      </w:r>
      <w:r w:rsidRPr="005A1A81">
        <w:rPr>
          <w:rFonts w:ascii="Arial" w:hAnsi="Arial" w:cs="Arial"/>
        </w:rPr>
        <w:tab/>
        <w:t>L’Assemblée générale a également alloué, à titre provisoire, le budget pour la période du 1</w:t>
      </w:r>
      <w:r w:rsidRPr="005A1A81">
        <w:rPr>
          <w:rFonts w:ascii="Arial" w:hAnsi="Arial" w:cs="Arial"/>
          <w:vertAlign w:val="superscript"/>
        </w:rPr>
        <w:t>er</w:t>
      </w:r>
      <w:r w:rsidRPr="005A1A81">
        <w:rPr>
          <w:rFonts w:ascii="Arial" w:hAnsi="Arial" w:cs="Arial"/>
        </w:rPr>
        <w:t> janvier 2016 au 30 juin 2016. Cependant, cette période étant en cours au moment où le présent document est rédigé et en prévision de la possible décision de l’Assemblée générale de faire coïncider le rapport du Secrétariat sur ses activités et l’exercice biennal du budget de l’UNESCO tel qu’approuvé par la Conférence générale (</w:t>
      </w:r>
      <w:hyperlink r:id="rId1" w:history="1">
        <w:r w:rsidRPr="002B5029">
          <w:rPr>
            <w:rStyle w:val="Hyperlink"/>
            <w:rFonts w:ascii="Arial" w:hAnsi="Arial" w:cs="Arial"/>
          </w:rPr>
          <w:t>projet de résolution 6.GA 6</w:t>
        </w:r>
      </w:hyperlink>
      <w:r w:rsidRPr="002B5029">
        <w:rPr>
          <w:rFonts w:ascii="Arial" w:hAnsi="Arial" w:cs="Arial"/>
        </w:rPr>
        <w:t>), ce rapport ne couvrira que la période du 1</w:t>
      </w:r>
      <w:r w:rsidRPr="002B5029">
        <w:rPr>
          <w:rFonts w:ascii="Arial" w:hAnsi="Arial" w:cs="Arial"/>
          <w:vertAlign w:val="superscript"/>
        </w:rPr>
        <w:t>er</w:t>
      </w:r>
      <w:r w:rsidRPr="002B5029">
        <w:rPr>
          <w:rFonts w:ascii="Arial" w:hAnsi="Arial" w:cs="Arial"/>
        </w:rPr>
        <w:t xml:space="preserve"> janvier 2014 au 31 décembre 2015.</w:t>
      </w:r>
    </w:p>
  </w:footnote>
  <w:footnote w:id="3">
    <w:p w14:paraId="1EC13498" w14:textId="77777777" w:rsidR="00BB04C3" w:rsidRPr="002B5029" w:rsidRDefault="00BB04C3" w:rsidP="009C789B">
      <w:pPr>
        <w:pStyle w:val="FootnoteText"/>
        <w:spacing w:before="60" w:after="60"/>
        <w:ind w:left="567" w:hanging="567"/>
        <w:jc w:val="both"/>
        <w:rPr>
          <w:rFonts w:ascii="Arial" w:hAnsi="Arial" w:cs="Arial"/>
        </w:rPr>
      </w:pPr>
      <w:r w:rsidRPr="009C789B">
        <w:rPr>
          <w:rStyle w:val="FootnoteReference"/>
          <w:rFonts w:ascii="Arial" w:hAnsi="Arial" w:cs="Arial"/>
          <w:vertAlign w:val="baseline"/>
        </w:rPr>
        <w:footnoteRef/>
      </w:r>
      <w:r>
        <w:rPr>
          <w:rFonts w:ascii="Arial" w:hAnsi="Arial" w:cs="Arial"/>
        </w:rPr>
        <w:t>.</w:t>
      </w:r>
      <w:r w:rsidRPr="009C789B">
        <w:rPr>
          <w:rStyle w:val="FootnoteReference"/>
          <w:rFonts w:ascii="Arial" w:hAnsi="Arial" w:cs="Arial"/>
        </w:rPr>
        <w:tab/>
      </w:r>
      <w:r w:rsidRPr="002B5029">
        <w:rPr>
          <w:rStyle w:val="FootnoteReference"/>
          <w:rFonts w:ascii="Arial" w:hAnsi="Arial" w:cs="Arial"/>
          <w:vertAlign w:val="baseline"/>
        </w:rPr>
        <w:t>Tous les chiffres des tableaux ci-après sont exprimés en dollars</w:t>
      </w:r>
      <w:r w:rsidRPr="002B5029">
        <w:rPr>
          <w:rFonts w:ascii="Arial" w:hAnsi="Arial" w:cs="Arial"/>
        </w:rPr>
        <w:t>.</w:t>
      </w:r>
    </w:p>
  </w:footnote>
  <w:footnote w:id="4">
    <w:p w14:paraId="750B7CBD" w14:textId="09A8584F" w:rsidR="00BB04C3" w:rsidRPr="002B5029" w:rsidRDefault="00BB04C3" w:rsidP="009C789B">
      <w:pPr>
        <w:pStyle w:val="FootnoteText"/>
        <w:spacing w:before="60" w:after="60"/>
        <w:ind w:left="567" w:hanging="567"/>
        <w:jc w:val="both"/>
        <w:rPr>
          <w:rFonts w:ascii="Arial" w:hAnsi="Arial" w:cs="Arial"/>
        </w:rPr>
      </w:pPr>
      <w:r w:rsidRPr="009C789B">
        <w:rPr>
          <w:rStyle w:val="FootnoteReference"/>
          <w:rFonts w:ascii="Arial" w:hAnsi="Arial" w:cs="Arial"/>
          <w:vertAlign w:val="baseline"/>
        </w:rPr>
        <w:footnoteRef/>
      </w:r>
      <w:r>
        <w:rPr>
          <w:rFonts w:ascii="Arial" w:hAnsi="Arial" w:cs="Arial"/>
        </w:rPr>
        <w:t>.</w:t>
      </w:r>
      <w:r w:rsidRPr="002B5029">
        <w:rPr>
          <w:rFonts w:ascii="Arial" w:hAnsi="Arial" w:cs="Arial"/>
        </w:rPr>
        <w:tab/>
        <w:t xml:space="preserve">Conformément à la décision 8.COM 11, le Secrétariat a augmenté </w:t>
      </w:r>
      <w:r>
        <w:rPr>
          <w:rFonts w:ascii="Arial" w:hAnsi="Arial" w:cs="Arial"/>
        </w:rPr>
        <w:t>l’allocation du</w:t>
      </w:r>
      <w:r w:rsidRPr="002B5029">
        <w:rPr>
          <w:rFonts w:ascii="Arial" w:hAnsi="Arial" w:cs="Arial"/>
        </w:rPr>
        <w:t xml:space="preserve"> RE n° 1 de 25 000 dollars des États-Unis grâce à un transfert du RE n° 3, afin de favoriser au maximum une utilisation efficace des fonds allouées aux « autres fonctions du Comité ». Vers la fin de l’exercice biennal, il est apparu clairement que le Secrétariat ne serait pas en mesure de mobiliser les ressources nécessaires, en termes de personnel, pour procéder avec une efficacité avérée à la collecte et à l’analyse rigoureuses des mesures de sauvegarde. Le Secrétariat a, par conséquent, décidé d’utiliser ces fonds pour enrichir la documentation existante sur la préparation des candidatures pour les Listes de la Convention et de lancer l’élaboration de matériels de formation concernant les demandes d’assistance internationale du Fonds du patrimoine culturel immatériel.</w:t>
      </w:r>
    </w:p>
  </w:footnote>
  <w:footnote w:id="5">
    <w:p w14:paraId="3EEA9C2C" w14:textId="3D6B2F02" w:rsidR="00BB04C3" w:rsidRPr="009C789B" w:rsidRDefault="00BB04C3" w:rsidP="002E3812">
      <w:pPr>
        <w:pStyle w:val="FootnoteText"/>
        <w:rPr>
          <w:rFonts w:ascii="Arial" w:hAnsi="Arial" w:cs="Arial"/>
        </w:rPr>
      </w:pPr>
      <w:r w:rsidRPr="00F07BDB">
        <w:rPr>
          <w:rStyle w:val="FootnoteReference"/>
          <w:rFonts w:ascii="Arial" w:hAnsi="Arial" w:cs="Arial"/>
          <w:vertAlign w:val="baseline"/>
        </w:rPr>
        <w:footnoteRef/>
      </w:r>
      <w:r>
        <w:rPr>
          <w:rFonts w:ascii="Arial" w:hAnsi="Arial" w:cs="Arial"/>
        </w:rPr>
        <w:t>.</w:t>
      </w:r>
      <w:r w:rsidRPr="009C789B">
        <w:rPr>
          <w:rFonts w:ascii="Arial" w:hAnsi="Arial" w:cs="Arial"/>
        </w:rPr>
        <w:tab/>
        <w:t>Voir la note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A713" w14:textId="77777777" w:rsidR="00BB04C3" w:rsidRPr="002E58D4" w:rsidRDefault="00BB04C3" w:rsidP="002E58D4">
    <w:pPr>
      <w:pStyle w:val="Header"/>
      <w:rPr>
        <w:rFonts w:ascii="Arial" w:hAnsi="Arial" w:cs="Arial"/>
        <w:lang w:val="en-US"/>
      </w:rPr>
    </w:pPr>
    <w:r>
      <w:rPr>
        <w:rFonts w:ascii="Arial" w:hAnsi="Arial" w:cs="Arial"/>
        <w:sz w:val="20"/>
        <w:szCs w:val="20"/>
        <w:lang w:val="en-US"/>
      </w:rPr>
      <w:t>ITH/16/</w:t>
    </w:r>
    <w:r w:rsidRPr="00350080">
      <w:rPr>
        <w:rFonts w:ascii="Arial" w:hAnsi="Arial" w:cs="Arial"/>
        <w:sz w:val="20"/>
        <w:szCs w:val="20"/>
        <w:lang w:val="en-GB"/>
      </w:rPr>
      <w:t>/11.COM</w:t>
    </w:r>
    <w:r>
      <w:rPr>
        <w:rFonts w:ascii="Arial" w:hAnsi="Arial" w:cs="Arial"/>
        <w:sz w:val="20"/>
        <w:szCs w:val="20"/>
        <w:lang w:val="en-GB"/>
      </w:rPr>
      <w:t> </w:t>
    </w:r>
    <w:r w:rsidRPr="00350080">
      <w:rPr>
        <w:rFonts w:ascii="Arial" w:hAnsi="Arial" w:cs="Arial"/>
        <w:sz w:val="20"/>
        <w:szCs w:val="20"/>
        <w:lang w:val="en-GB"/>
      </w:rPr>
      <w:t>2.BUR/</w:t>
    </w:r>
    <w:r>
      <w:rPr>
        <w:rFonts w:ascii="Arial" w:hAnsi="Arial" w:cs="Arial"/>
        <w:sz w:val="20"/>
        <w:szCs w:val="20"/>
        <w:lang w:val="en-GB"/>
      </w:rPr>
      <w:t>INF.1</w:t>
    </w:r>
    <w:r w:rsidRPr="00C23A97">
      <w:rPr>
        <w:rFonts w:ascii="Arial" w:hAnsi="Arial" w:cs="Arial"/>
        <w:sz w:val="20"/>
        <w:szCs w:val="20"/>
        <w:lang w:val="en-GB"/>
      </w:rPr>
      <w:t xml:space="preserve"> – page</w:t>
    </w:r>
    <w:r>
      <w:rPr>
        <w:rFonts w:ascii="Arial" w:hAnsi="Arial" w:cs="Arial"/>
        <w:sz w:val="20"/>
        <w:szCs w:val="20"/>
        <w:lang w:val="en-GB"/>
      </w:rPr>
      <w:t xml:space="preserve"> 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4CB7" w14:textId="0752865D" w:rsidR="00BB04C3" w:rsidRPr="004D71E7" w:rsidRDefault="00BB04C3" w:rsidP="002C0D14">
    <w:pPr>
      <w:pStyle w:val="Header"/>
      <w:jc w:val="right"/>
      <w:rPr>
        <w:rFonts w:ascii="Arial" w:hAnsi="Arial" w:cs="Arial"/>
        <w:lang w:val="en-US"/>
      </w:rPr>
    </w:pPr>
    <w:r w:rsidRPr="00350080">
      <w:rPr>
        <w:rFonts w:ascii="Arial" w:hAnsi="Arial" w:cs="Arial"/>
        <w:sz w:val="20"/>
        <w:szCs w:val="20"/>
        <w:lang w:val="en-GB"/>
      </w:rPr>
      <w:t>ITH/16/11.COM</w:t>
    </w:r>
    <w:r>
      <w:rPr>
        <w:rFonts w:ascii="Arial" w:hAnsi="Arial" w:cs="Arial"/>
        <w:sz w:val="20"/>
        <w:szCs w:val="20"/>
        <w:lang w:val="en-GB"/>
      </w:rPr>
      <w:t> </w:t>
    </w:r>
    <w:r w:rsidRPr="00350080">
      <w:rPr>
        <w:rFonts w:ascii="Arial" w:hAnsi="Arial" w:cs="Arial"/>
        <w:sz w:val="20"/>
        <w:szCs w:val="20"/>
        <w:lang w:val="en-GB"/>
      </w:rPr>
      <w:t>2.BUR/</w:t>
    </w:r>
    <w:r>
      <w:rPr>
        <w:rFonts w:ascii="Arial" w:hAnsi="Arial" w:cs="Arial"/>
        <w:sz w:val="20"/>
        <w:szCs w:val="20"/>
        <w:lang w:val="en-GB"/>
      </w:rPr>
      <w:t>INF.1</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CE07ED">
      <w:rPr>
        <w:rStyle w:val="PageNumber"/>
        <w:rFonts w:ascii="Arial" w:hAnsi="Arial" w:cs="Arial"/>
        <w:noProof/>
        <w:sz w:val="20"/>
        <w:szCs w:val="20"/>
        <w:lang w:val="en-US"/>
      </w:rPr>
      <w:t>13</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B6BE" w14:textId="77777777" w:rsidR="00BB04C3" w:rsidRPr="008724E5" w:rsidRDefault="00BB04C3">
    <w:pPr>
      <w:pStyle w:val="Header"/>
    </w:pPr>
    <w:r>
      <w:rPr>
        <w:noProof/>
        <w:lang w:val="en-US" w:eastAsia="en-US"/>
      </w:rPr>
      <w:drawing>
        <wp:anchor distT="0" distB="0" distL="114300" distR="114300" simplePos="0" relativeHeight="251657728" behindDoc="0" locked="0" layoutInCell="1" allowOverlap="1" wp14:anchorId="1B2BDEA9" wp14:editId="7D09B555">
          <wp:simplePos x="0" y="0"/>
          <wp:positionH relativeFrom="column">
            <wp:posOffset>-377190</wp:posOffset>
          </wp:positionH>
          <wp:positionV relativeFrom="paragraph">
            <wp:posOffset>5080</wp:posOffset>
          </wp:positionV>
          <wp:extent cx="2038350" cy="1529080"/>
          <wp:effectExtent l="0" t="0" r="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A62D9" w14:textId="77777777" w:rsidR="00BB04C3" w:rsidRPr="00985DAD" w:rsidRDefault="00BB04C3" w:rsidP="00985DAD">
    <w:pPr>
      <w:tabs>
        <w:tab w:val="center" w:pos="4536"/>
        <w:tab w:val="right" w:pos="9072"/>
      </w:tabs>
      <w:spacing w:after="520"/>
      <w:jc w:val="right"/>
      <w:rPr>
        <w:rFonts w:ascii="Arial" w:hAnsi="Arial" w:cs="Arial"/>
        <w:b/>
        <w:sz w:val="44"/>
        <w:szCs w:val="44"/>
        <w:lang w:val="en-GB"/>
      </w:rPr>
    </w:pPr>
    <w:r w:rsidRPr="00985DAD">
      <w:rPr>
        <w:rFonts w:ascii="Arial" w:hAnsi="Arial" w:cs="Arial"/>
        <w:b/>
        <w:sz w:val="44"/>
        <w:szCs w:val="44"/>
        <w:lang w:val="en-GB"/>
      </w:rPr>
      <w:t>11 COM 2 BUR</w:t>
    </w:r>
  </w:p>
  <w:p w14:paraId="03CF1825" w14:textId="77777777" w:rsidR="00BB04C3" w:rsidRPr="00054478" w:rsidRDefault="00BB04C3" w:rsidP="00A0254B">
    <w:pPr>
      <w:jc w:val="right"/>
      <w:rPr>
        <w:rFonts w:ascii="Arial" w:hAnsi="Arial" w:cs="Arial"/>
        <w:b/>
        <w:sz w:val="22"/>
        <w:szCs w:val="22"/>
      </w:rPr>
    </w:pPr>
    <w:r w:rsidRPr="00054478">
      <w:rPr>
        <w:rFonts w:ascii="Arial" w:hAnsi="Arial"/>
        <w:b/>
        <w:sz w:val="22"/>
      </w:rPr>
      <w:t>ITH/16/11.COM 2</w:t>
    </w:r>
    <w:r>
      <w:rPr>
        <w:rFonts w:ascii="Arial" w:hAnsi="Arial"/>
        <w:b/>
        <w:sz w:val="22"/>
      </w:rPr>
      <w:t>.</w:t>
    </w:r>
    <w:r w:rsidRPr="00054478">
      <w:rPr>
        <w:rFonts w:ascii="Arial" w:hAnsi="Arial"/>
        <w:b/>
        <w:sz w:val="22"/>
      </w:rPr>
      <w:t>BUR</w:t>
    </w:r>
    <w:r>
      <w:rPr>
        <w:rFonts w:ascii="Arial" w:hAnsi="Arial"/>
        <w:b/>
        <w:sz w:val="22"/>
      </w:rPr>
      <w:t>/INF.1</w:t>
    </w:r>
  </w:p>
  <w:p w14:paraId="3ADDF9EA" w14:textId="747EE803" w:rsidR="00BB04C3" w:rsidRPr="00054478" w:rsidRDefault="00BB04C3" w:rsidP="00A0254B">
    <w:pPr>
      <w:jc w:val="right"/>
      <w:rPr>
        <w:rFonts w:ascii="Arial" w:hAnsi="Arial" w:cs="Arial"/>
        <w:b/>
        <w:sz w:val="22"/>
        <w:szCs w:val="22"/>
      </w:rPr>
    </w:pPr>
    <w:r w:rsidRPr="00054478">
      <w:rPr>
        <w:rFonts w:ascii="Arial" w:hAnsi="Arial"/>
        <w:b/>
        <w:sz w:val="22"/>
      </w:rPr>
      <w:t xml:space="preserve">Paris, le </w:t>
    </w:r>
    <w:r w:rsidR="00CE07ED">
      <w:rPr>
        <w:rFonts w:ascii="Arial" w:hAnsi="Arial"/>
        <w:b/>
        <w:sz w:val="22"/>
      </w:rPr>
      <w:t>29 mai</w:t>
    </w:r>
    <w:r w:rsidRPr="00054478">
      <w:rPr>
        <w:rFonts w:ascii="Arial" w:hAnsi="Arial"/>
        <w:b/>
        <w:sz w:val="22"/>
      </w:rPr>
      <w:t xml:space="preserve"> 2016</w:t>
    </w:r>
  </w:p>
  <w:p w14:paraId="70C961DE" w14:textId="77777777" w:rsidR="00BB04C3" w:rsidRDefault="00BB04C3" w:rsidP="00A0254B">
    <w:pPr>
      <w:jc w:val="right"/>
      <w:rPr>
        <w:rFonts w:ascii="Arial" w:hAnsi="Arial" w:cs="Arial"/>
        <w:b/>
        <w:sz w:val="22"/>
        <w:szCs w:val="22"/>
      </w:rPr>
    </w:pPr>
    <w:r>
      <w:rPr>
        <w:rFonts w:ascii="Arial" w:hAnsi="Arial"/>
        <w:b/>
        <w:sz w:val="22"/>
      </w:rPr>
      <w:t>Original : anglais</w:t>
    </w:r>
  </w:p>
  <w:p w14:paraId="78BC7602" w14:textId="77777777" w:rsidR="00BB04C3" w:rsidRPr="0057439C" w:rsidRDefault="00BB04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F8F"/>
    <w:multiLevelType w:val="hybridMultilevel"/>
    <w:tmpl w:val="2E640A46"/>
    <w:lvl w:ilvl="0" w:tplc="918C4786">
      <w:start w:val="1"/>
      <w:numFmt w:val="bullet"/>
      <w:lvlText w:val=""/>
      <w:lvlJc w:val="left"/>
      <w:pPr>
        <w:ind w:left="720" w:hanging="360"/>
      </w:pPr>
      <w:rPr>
        <w:rFonts w:ascii="Symbol" w:hAnsi="Symbol" w:hint="default"/>
        <w:lang w:val="fr-FR"/>
      </w:rPr>
    </w:lvl>
    <w:lvl w:ilvl="1" w:tplc="A524F952">
      <w:start w:val="1"/>
      <w:numFmt w:val="bullet"/>
      <w:lvlText w:val=""/>
      <w:lvlJc w:val="left"/>
      <w:pPr>
        <w:ind w:left="1440" w:hanging="360"/>
      </w:pPr>
      <w:rPr>
        <w:rFonts w:ascii="Wingdings" w:hAnsi="Wingdings" w:hint="default"/>
        <w:lang w:val="fr-FR"/>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7762FF8"/>
    <w:multiLevelType w:val="hybridMultilevel"/>
    <w:tmpl w:val="E0DCF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D7D728D"/>
    <w:multiLevelType w:val="hybridMultilevel"/>
    <w:tmpl w:val="7C5C34DA"/>
    <w:lvl w:ilvl="0" w:tplc="F2B6DF1C">
      <w:start w:val="1"/>
      <w:numFmt w:val="decimal"/>
      <w:lvlText w:val="%1."/>
      <w:lvlJc w:val="left"/>
      <w:pPr>
        <w:ind w:left="360" w:hanging="360"/>
      </w:pPr>
      <w:rPr>
        <w:rFonts w:hint="default"/>
      </w:rPr>
    </w:lvl>
    <w:lvl w:ilvl="1" w:tplc="57388994" w:tentative="1">
      <w:start w:val="1"/>
      <w:numFmt w:val="lowerLetter"/>
      <w:lvlText w:val="%2."/>
      <w:lvlJc w:val="left"/>
      <w:pPr>
        <w:ind w:left="1080" w:hanging="360"/>
      </w:pPr>
    </w:lvl>
    <w:lvl w:ilvl="2" w:tplc="6F4C3284" w:tentative="1">
      <w:start w:val="1"/>
      <w:numFmt w:val="lowerRoman"/>
      <w:lvlText w:val="%3."/>
      <w:lvlJc w:val="right"/>
      <w:pPr>
        <w:ind w:left="1800" w:hanging="180"/>
      </w:pPr>
    </w:lvl>
    <w:lvl w:ilvl="3" w:tplc="4A2CF920" w:tentative="1">
      <w:start w:val="1"/>
      <w:numFmt w:val="decimal"/>
      <w:lvlText w:val="%4."/>
      <w:lvlJc w:val="left"/>
      <w:pPr>
        <w:ind w:left="2520" w:hanging="360"/>
      </w:pPr>
    </w:lvl>
    <w:lvl w:ilvl="4" w:tplc="ED7E8FB0" w:tentative="1">
      <w:start w:val="1"/>
      <w:numFmt w:val="lowerLetter"/>
      <w:lvlText w:val="%5."/>
      <w:lvlJc w:val="left"/>
      <w:pPr>
        <w:ind w:left="3240" w:hanging="360"/>
      </w:pPr>
    </w:lvl>
    <w:lvl w:ilvl="5" w:tplc="BADC1196" w:tentative="1">
      <w:start w:val="1"/>
      <w:numFmt w:val="lowerRoman"/>
      <w:lvlText w:val="%6."/>
      <w:lvlJc w:val="right"/>
      <w:pPr>
        <w:ind w:left="3960" w:hanging="180"/>
      </w:pPr>
    </w:lvl>
    <w:lvl w:ilvl="6" w:tplc="1F406640" w:tentative="1">
      <w:start w:val="1"/>
      <w:numFmt w:val="decimal"/>
      <w:lvlText w:val="%7."/>
      <w:lvlJc w:val="left"/>
      <w:pPr>
        <w:ind w:left="4680" w:hanging="360"/>
      </w:pPr>
    </w:lvl>
    <w:lvl w:ilvl="7" w:tplc="219CD41E" w:tentative="1">
      <w:start w:val="1"/>
      <w:numFmt w:val="lowerLetter"/>
      <w:lvlText w:val="%8."/>
      <w:lvlJc w:val="left"/>
      <w:pPr>
        <w:ind w:left="5400" w:hanging="360"/>
      </w:pPr>
    </w:lvl>
    <w:lvl w:ilvl="8" w:tplc="2F1A577C" w:tentative="1">
      <w:start w:val="1"/>
      <w:numFmt w:val="lowerRoman"/>
      <w:lvlText w:val="%9."/>
      <w:lvlJc w:val="right"/>
      <w:pPr>
        <w:ind w:left="6120"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4E47B5"/>
    <w:multiLevelType w:val="hybridMultilevel"/>
    <w:tmpl w:val="68FE4832"/>
    <w:lvl w:ilvl="0" w:tplc="1BC2451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F1FAAB52"/>
    <w:lvl w:ilvl="0" w:tplc="0B02B08A">
      <w:start w:val="1"/>
      <w:numFmt w:val="decimal"/>
      <w:pStyle w:val="GA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830455C"/>
    <w:multiLevelType w:val="hybridMultilevel"/>
    <w:tmpl w:val="1652B84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97A4DB1"/>
    <w:multiLevelType w:val="hybridMultilevel"/>
    <w:tmpl w:val="41360434"/>
    <w:lvl w:ilvl="0" w:tplc="B35A244C">
      <w:start w:val="1"/>
      <w:numFmt w:val="decimal"/>
      <w:pStyle w:val="GAParaResolut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7A66CBA"/>
    <w:multiLevelType w:val="hybridMultilevel"/>
    <w:tmpl w:val="2676D780"/>
    <w:lvl w:ilvl="0" w:tplc="77080C30">
      <w:start w:val="1"/>
      <w:numFmt w:val="decimal"/>
      <w:lvlText w:val="%1."/>
      <w:lvlJc w:val="left"/>
      <w:pPr>
        <w:ind w:left="1137" w:hanging="570"/>
      </w:pPr>
      <w:rPr>
        <w:rFonts w:hint="default"/>
      </w:rPr>
    </w:lvl>
    <w:lvl w:ilvl="1" w:tplc="C8561FE2" w:tentative="1">
      <w:start w:val="1"/>
      <w:numFmt w:val="lowerLetter"/>
      <w:lvlText w:val="%2."/>
      <w:lvlJc w:val="left"/>
      <w:pPr>
        <w:ind w:left="1647" w:hanging="360"/>
      </w:pPr>
    </w:lvl>
    <w:lvl w:ilvl="2" w:tplc="8ED27B6C" w:tentative="1">
      <w:start w:val="1"/>
      <w:numFmt w:val="lowerRoman"/>
      <w:lvlText w:val="%3."/>
      <w:lvlJc w:val="right"/>
      <w:pPr>
        <w:ind w:left="2367" w:hanging="180"/>
      </w:pPr>
    </w:lvl>
    <w:lvl w:ilvl="3" w:tplc="4EF6A39E" w:tentative="1">
      <w:start w:val="1"/>
      <w:numFmt w:val="decimal"/>
      <w:lvlText w:val="%4."/>
      <w:lvlJc w:val="left"/>
      <w:pPr>
        <w:ind w:left="3087" w:hanging="360"/>
      </w:pPr>
    </w:lvl>
    <w:lvl w:ilvl="4" w:tplc="624C5D1A" w:tentative="1">
      <w:start w:val="1"/>
      <w:numFmt w:val="lowerLetter"/>
      <w:lvlText w:val="%5."/>
      <w:lvlJc w:val="left"/>
      <w:pPr>
        <w:ind w:left="3807" w:hanging="360"/>
      </w:pPr>
    </w:lvl>
    <w:lvl w:ilvl="5" w:tplc="33EE84A0" w:tentative="1">
      <w:start w:val="1"/>
      <w:numFmt w:val="lowerRoman"/>
      <w:lvlText w:val="%6."/>
      <w:lvlJc w:val="right"/>
      <w:pPr>
        <w:ind w:left="4527" w:hanging="180"/>
      </w:pPr>
    </w:lvl>
    <w:lvl w:ilvl="6" w:tplc="7A323466" w:tentative="1">
      <w:start w:val="1"/>
      <w:numFmt w:val="decimal"/>
      <w:lvlText w:val="%7."/>
      <w:lvlJc w:val="left"/>
      <w:pPr>
        <w:ind w:left="5247" w:hanging="360"/>
      </w:pPr>
    </w:lvl>
    <w:lvl w:ilvl="7" w:tplc="876830A4" w:tentative="1">
      <w:start w:val="1"/>
      <w:numFmt w:val="lowerLetter"/>
      <w:lvlText w:val="%8."/>
      <w:lvlJc w:val="left"/>
      <w:pPr>
        <w:ind w:left="5967" w:hanging="360"/>
      </w:pPr>
    </w:lvl>
    <w:lvl w:ilvl="8" w:tplc="5E265756" w:tentative="1">
      <w:start w:val="1"/>
      <w:numFmt w:val="lowerRoman"/>
      <w:lvlText w:val="%9."/>
      <w:lvlJc w:val="right"/>
      <w:pPr>
        <w:ind w:left="6687"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5EB27FD"/>
    <w:multiLevelType w:val="hybridMultilevel"/>
    <w:tmpl w:val="BC6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16"/>
  </w:num>
  <w:num w:numId="5">
    <w:abstractNumId w:val="15"/>
  </w:num>
  <w:num w:numId="6">
    <w:abstractNumId w:val="1"/>
  </w:num>
  <w:num w:numId="7">
    <w:abstractNumId w:val="5"/>
  </w:num>
  <w:num w:numId="8">
    <w:abstractNumId w:val="11"/>
  </w:num>
  <w:num w:numId="9">
    <w:abstractNumId w:val="7"/>
  </w:num>
  <w:num w:numId="10">
    <w:abstractNumId w:val="10"/>
  </w:num>
  <w:num w:numId="11">
    <w:abstractNumId w:val="6"/>
  </w:num>
  <w:num w:numId="12">
    <w:abstractNumId w:val="4"/>
  </w:num>
  <w:num w:numId="13">
    <w:abstractNumId w:val="12"/>
  </w:num>
  <w:num w:numId="14">
    <w:abstractNumId w:val="4"/>
    <w:lvlOverride w:ilvl="0">
      <w:startOverride w:val="7"/>
    </w:lvlOverride>
  </w:num>
  <w:num w:numId="15">
    <w:abstractNumId w:val="4"/>
    <w:lvlOverride w:ilvl="0">
      <w:startOverride w:val="7"/>
    </w:lvlOverride>
  </w:num>
  <w:num w:numId="16">
    <w:abstractNumId w:val="0"/>
  </w:num>
  <w:num w:numId="17">
    <w:abstractNumId w:val="2"/>
  </w:num>
  <w:num w:numId="18">
    <w:abstractNumId w:val="7"/>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4B"/>
    <w:rsid w:val="00012146"/>
    <w:rsid w:val="00020BFC"/>
    <w:rsid w:val="00035993"/>
    <w:rsid w:val="0005176E"/>
    <w:rsid w:val="0005334B"/>
    <w:rsid w:val="00054478"/>
    <w:rsid w:val="0005672F"/>
    <w:rsid w:val="00060A08"/>
    <w:rsid w:val="00065762"/>
    <w:rsid w:val="00077AB7"/>
    <w:rsid w:val="00081CD8"/>
    <w:rsid w:val="0008329C"/>
    <w:rsid w:val="00095678"/>
    <w:rsid w:val="000A5E12"/>
    <w:rsid w:val="000A7F0E"/>
    <w:rsid w:val="000B053B"/>
    <w:rsid w:val="000D4A57"/>
    <w:rsid w:val="000D77E2"/>
    <w:rsid w:val="000E281B"/>
    <w:rsid w:val="000E4534"/>
    <w:rsid w:val="000E6CD7"/>
    <w:rsid w:val="000F3A3F"/>
    <w:rsid w:val="000F3CE8"/>
    <w:rsid w:val="001039F0"/>
    <w:rsid w:val="00111414"/>
    <w:rsid w:val="0012155E"/>
    <w:rsid w:val="0012267F"/>
    <w:rsid w:val="001253D3"/>
    <w:rsid w:val="00125642"/>
    <w:rsid w:val="001269BC"/>
    <w:rsid w:val="00131C38"/>
    <w:rsid w:val="001336BC"/>
    <w:rsid w:val="00137DF2"/>
    <w:rsid w:val="00152B3B"/>
    <w:rsid w:val="00160275"/>
    <w:rsid w:val="00164D56"/>
    <w:rsid w:val="00165F9C"/>
    <w:rsid w:val="00167B10"/>
    <w:rsid w:val="001721F4"/>
    <w:rsid w:val="00196C1B"/>
    <w:rsid w:val="001A7230"/>
    <w:rsid w:val="001A766C"/>
    <w:rsid w:val="001B0F73"/>
    <w:rsid w:val="001C69F7"/>
    <w:rsid w:val="001D3E8F"/>
    <w:rsid w:val="001D4837"/>
    <w:rsid w:val="001F17B5"/>
    <w:rsid w:val="00203CE6"/>
    <w:rsid w:val="0022012D"/>
    <w:rsid w:val="00220A43"/>
    <w:rsid w:val="00222A2D"/>
    <w:rsid w:val="002407AF"/>
    <w:rsid w:val="00246F13"/>
    <w:rsid w:val="00247F55"/>
    <w:rsid w:val="00261257"/>
    <w:rsid w:val="00267DF4"/>
    <w:rsid w:val="002842B0"/>
    <w:rsid w:val="00285BAE"/>
    <w:rsid w:val="00287BF0"/>
    <w:rsid w:val="002A6C11"/>
    <w:rsid w:val="002B5029"/>
    <w:rsid w:val="002C0D14"/>
    <w:rsid w:val="002C133D"/>
    <w:rsid w:val="002E3812"/>
    <w:rsid w:val="002E3D25"/>
    <w:rsid w:val="002E5246"/>
    <w:rsid w:val="002E58D4"/>
    <w:rsid w:val="00302817"/>
    <w:rsid w:val="0030546B"/>
    <w:rsid w:val="0031246B"/>
    <w:rsid w:val="00313E46"/>
    <w:rsid w:val="00314A40"/>
    <w:rsid w:val="0031716F"/>
    <w:rsid w:val="003428B6"/>
    <w:rsid w:val="00360AEC"/>
    <w:rsid w:val="00383884"/>
    <w:rsid w:val="00383A4A"/>
    <w:rsid w:val="003845BE"/>
    <w:rsid w:val="0039580C"/>
    <w:rsid w:val="00395C3A"/>
    <w:rsid w:val="003A3E5E"/>
    <w:rsid w:val="003B3E8C"/>
    <w:rsid w:val="003B4951"/>
    <w:rsid w:val="003B6151"/>
    <w:rsid w:val="003C1678"/>
    <w:rsid w:val="003D069C"/>
    <w:rsid w:val="003E05FA"/>
    <w:rsid w:val="003E07D8"/>
    <w:rsid w:val="003E2A08"/>
    <w:rsid w:val="003E78DF"/>
    <w:rsid w:val="003F03F9"/>
    <w:rsid w:val="003F113A"/>
    <w:rsid w:val="003F11B0"/>
    <w:rsid w:val="00400A60"/>
    <w:rsid w:val="00402272"/>
    <w:rsid w:val="00410328"/>
    <w:rsid w:val="004239C7"/>
    <w:rsid w:val="00433B14"/>
    <w:rsid w:val="00440F9B"/>
    <w:rsid w:val="004421E5"/>
    <w:rsid w:val="004423EF"/>
    <w:rsid w:val="00443880"/>
    <w:rsid w:val="00444E3F"/>
    <w:rsid w:val="00446B37"/>
    <w:rsid w:val="00452284"/>
    <w:rsid w:val="00455EFA"/>
    <w:rsid w:val="004566DE"/>
    <w:rsid w:val="00457456"/>
    <w:rsid w:val="00461DB0"/>
    <w:rsid w:val="00474534"/>
    <w:rsid w:val="0047580E"/>
    <w:rsid w:val="00476B92"/>
    <w:rsid w:val="004834E9"/>
    <w:rsid w:val="00487672"/>
    <w:rsid w:val="004876DE"/>
    <w:rsid w:val="00492775"/>
    <w:rsid w:val="00493EBF"/>
    <w:rsid w:val="0049705E"/>
    <w:rsid w:val="004A1D11"/>
    <w:rsid w:val="004A48B9"/>
    <w:rsid w:val="004A5EC1"/>
    <w:rsid w:val="004A63E1"/>
    <w:rsid w:val="004B5B8B"/>
    <w:rsid w:val="004C47AE"/>
    <w:rsid w:val="004C4C14"/>
    <w:rsid w:val="004D0C9B"/>
    <w:rsid w:val="004E04EC"/>
    <w:rsid w:val="004E1D82"/>
    <w:rsid w:val="004E2EC7"/>
    <w:rsid w:val="004F4B53"/>
    <w:rsid w:val="005134D8"/>
    <w:rsid w:val="00513872"/>
    <w:rsid w:val="005169D3"/>
    <w:rsid w:val="00517D5B"/>
    <w:rsid w:val="00523055"/>
    <w:rsid w:val="00526B7B"/>
    <w:rsid w:val="005308CE"/>
    <w:rsid w:val="00537126"/>
    <w:rsid w:val="00543B12"/>
    <w:rsid w:val="00550976"/>
    <w:rsid w:val="00555D9C"/>
    <w:rsid w:val="0057439C"/>
    <w:rsid w:val="005754E3"/>
    <w:rsid w:val="00585709"/>
    <w:rsid w:val="00587CC6"/>
    <w:rsid w:val="00593D09"/>
    <w:rsid w:val="00594B04"/>
    <w:rsid w:val="005A113E"/>
    <w:rsid w:val="005A1639"/>
    <w:rsid w:val="005A1A81"/>
    <w:rsid w:val="005B0127"/>
    <w:rsid w:val="005B2D3C"/>
    <w:rsid w:val="005B4B0E"/>
    <w:rsid w:val="005C094D"/>
    <w:rsid w:val="005C20A6"/>
    <w:rsid w:val="005C2DCD"/>
    <w:rsid w:val="005C30EB"/>
    <w:rsid w:val="005C4B73"/>
    <w:rsid w:val="005C5567"/>
    <w:rsid w:val="005C65F8"/>
    <w:rsid w:val="005D1150"/>
    <w:rsid w:val="005D769B"/>
    <w:rsid w:val="005E03D9"/>
    <w:rsid w:val="005E68F1"/>
    <w:rsid w:val="005F0F4B"/>
    <w:rsid w:val="005F14E9"/>
    <w:rsid w:val="005F51F0"/>
    <w:rsid w:val="005F5259"/>
    <w:rsid w:val="00600D93"/>
    <w:rsid w:val="00602D53"/>
    <w:rsid w:val="00604542"/>
    <w:rsid w:val="00604C2C"/>
    <w:rsid w:val="006108AD"/>
    <w:rsid w:val="0062108E"/>
    <w:rsid w:val="006238E9"/>
    <w:rsid w:val="006260FB"/>
    <w:rsid w:val="006270B6"/>
    <w:rsid w:val="00627C5C"/>
    <w:rsid w:val="00636AEB"/>
    <w:rsid w:val="0065262D"/>
    <w:rsid w:val="00655736"/>
    <w:rsid w:val="006557C8"/>
    <w:rsid w:val="00663B8D"/>
    <w:rsid w:val="00667989"/>
    <w:rsid w:val="00675F17"/>
    <w:rsid w:val="00681BDD"/>
    <w:rsid w:val="00682B15"/>
    <w:rsid w:val="006923BD"/>
    <w:rsid w:val="00696C8D"/>
    <w:rsid w:val="006A0927"/>
    <w:rsid w:val="006A1915"/>
    <w:rsid w:val="006A229C"/>
    <w:rsid w:val="006A2AC2"/>
    <w:rsid w:val="006A3617"/>
    <w:rsid w:val="006A42A9"/>
    <w:rsid w:val="006B5001"/>
    <w:rsid w:val="006B5964"/>
    <w:rsid w:val="006B64CC"/>
    <w:rsid w:val="006C5F7B"/>
    <w:rsid w:val="006D21D9"/>
    <w:rsid w:val="006D263F"/>
    <w:rsid w:val="006E19AF"/>
    <w:rsid w:val="006E46E4"/>
    <w:rsid w:val="006E6D3A"/>
    <w:rsid w:val="0070182C"/>
    <w:rsid w:val="007072E4"/>
    <w:rsid w:val="00707F37"/>
    <w:rsid w:val="00711538"/>
    <w:rsid w:val="00711BAE"/>
    <w:rsid w:val="00717DBD"/>
    <w:rsid w:val="00731A2C"/>
    <w:rsid w:val="00735F24"/>
    <w:rsid w:val="007426C9"/>
    <w:rsid w:val="00747C48"/>
    <w:rsid w:val="007548BB"/>
    <w:rsid w:val="007577FA"/>
    <w:rsid w:val="00760C75"/>
    <w:rsid w:val="00765A72"/>
    <w:rsid w:val="00767E02"/>
    <w:rsid w:val="007714AE"/>
    <w:rsid w:val="007715AB"/>
    <w:rsid w:val="00784B8C"/>
    <w:rsid w:val="0079060C"/>
    <w:rsid w:val="00791A37"/>
    <w:rsid w:val="007958C9"/>
    <w:rsid w:val="007A70D2"/>
    <w:rsid w:val="007B24B6"/>
    <w:rsid w:val="007C5359"/>
    <w:rsid w:val="007D3FA2"/>
    <w:rsid w:val="007F47E6"/>
    <w:rsid w:val="00803527"/>
    <w:rsid w:val="008042FC"/>
    <w:rsid w:val="00804318"/>
    <w:rsid w:val="008064F0"/>
    <w:rsid w:val="00817402"/>
    <w:rsid w:val="00817895"/>
    <w:rsid w:val="00823A11"/>
    <w:rsid w:val="00824EF7"/>
    <w:rsid w:val="0082529E"/>
    <w:rsid w:val="00826C98"/>
    <w:rsid w:val="00840228"/>
    <w:rsid w:val="0084201C"/>
    <w:rsid w:val="00843FF5"/>
    <w:rsid w:val="0084557C"/>
    <w:rsid w:val="0085414A"/>
    <w:rsid w:val="0086269D"/>
    <w:rsid w:val="00866ED5"/>
    <w:rsid w:val="008712A2"/>
    <w:rsid w:val="008724E5"/>
    <w:rsid w:val="0087572E"/>
    <w:rsid w:val="00880810"/>
    <w:rsid w:val="00884A9D"/>
    <w:rsid w:val="00895F1D"/>
    <w:rsid w:val="008A1EF0"/>
    <w:rsid w:val="008A4E1E"/>
    <w:rsid w:val="008A767F"/>
    <w:rsid w:val="008B0EC8"/>
    <w:rsid w:val="008B2AAD"/>
    <w:rsid w:val="008B6F83"/>
    <w:rsid w:val="008C296C"/>
    <w:rsid w:val="008C418E"/>
    <w:rsid w:val="008D3C06"/>
    <w:rsid w:val="008D4305"/>
    <w:rsid w:val="008D4683"/>
    <w:rsid w:val="008E02BA"/>
    <w:rsid w:val="009036C8"/>
    <w:rsid w:val="0090379B"/>
    <w:rsid w:val="0090657E"/>
    <w:rsid w:val="00913D86"/>
    <w:rsid w:val="009163A7"/>
    <w:rsid w:val="009224AF"/>
    <w:rsid w:val="009308A2"/>
    <w:rsid w:val="00932951"/>
    <w:rsid w:val="00933047"/>
    <w:rsid w:val="00936237"/>
    <w:rsid w:val="009463C7"/>
    <w:rsid w:val="009532ED"/>
    <w:rsid w:val="0095462C"/>
    <w:rsid w:val="00962119"/>
    <w:rsid w:val="009630F2"/>
    <w:rsid w:val="0096677A"/>
    <w:rsid w:val="00974249"/>
    <w:rsid w:val="00985990"/>
    <w:rsid w:val="00985DAD"/>
    <w:rsid w:val="009A18CD"/>
    <w:rsid w:val="009B34D8"/>
    <w:rsid w:val="009B50D2"/>
    <w:rsid w:val="009B776D"/>
    <w:rsid w:val="009C2B29"/>
    <w:rsid w:val="009C789B"/>
    <w:rsid w:val="009D164A"/>
    <w:rsid w:val="009D2B37"/>
    <w:rsid w:val="009E56F2"/>
    <w:rsid w:val="009E5B44"/>
    <w:rsid w:val="009F3C4B"/>
    <w:rsid w:val="00A0254B"/>
    <w:rsid w:val="00A0263E"/>
    <w:rsid w:val="00A04864"/>
    <w:rsid w:val="00A05DC8"/>
    <w:rsid w:val="00A12558"/>
    <w:rsid w:val="00A13903"/>
    <w:rsid w:val="00A21225"/>
    <w:rsid w:val="00A252BB"/>
    <w:rsid w:val="00A33B6C"/>
    <w:rsid w:val="00A34ED5"/>
    <w:rsid w:val="00A3531D"/>
    <w:rsid w:val="00A45DBF"/>
    <w:rsid w:val="00A5406F"/>
    <w:rsid w:val="00A55FD9"/>
    <w:rsid w:val="00A7116C"/>
    <w:rsid w:val="00A72F93"/>
    <w:rsid w:val="00A750E5"/>
    <w:rsid w:val="00A755A2"/>
    <w:rsid w:val="00A90761"/>
    <w:rsid w:val="00A936B3"/>
    <w:rsid w:val="00A93C54"/>
    <w:rsid w:val="00AA2DF3"/>
    <w:rsid w:val="00AB0F0C"/>
    <w:rsid w:val="00AB2C35"/>
    <w:rsid w:val="00AB2C36"/>
    <w:rsid w:val="00AB318C"/>
    <w:rsid w:val="00AB6C02"/>
    <w:rsid w:val="00AC4953"/>
    <w:rsid w:val="00AC4F4F"/>
    <w:rsid w:val="00AC662A"/>
    <w:rsid w:val="00AD1A86"/>
    <w:rsid w:val="00AD25E4"/>
    <w:rsid w:val="00AE0FCA"/>
    <w:rsid w:val="00AE103E"/>
    <w:rsid w:val="00AE1C67"/>
    <w:rsid w:val="00AE7CF3"/>
    <w:rsid w:val="00AE7DC6"/>
    <w:rsid w:val="00AF0A07"/>
    <w:rsid w:val="00AF0A59"/>
    <w:rsid w:val="00AF1379"/>
    <w:rsid w:val="00AF625E"/>
    <w:rsid w:val="00B010EE"/>
    <w:rsid w:val="00B04653"/>
    <w:rsid w:val="00B071BA"/>
    <w:rsid w:val="00B11947"/>
    <w:rsid w:val="00B20A75"/>
    <w:rsid w:val="00B32CBF"/>
    <w:rsid w:val="00B35D77"/>
    <w:rsid w:val="00B46770"/>
    <w:rsid w:val="00B4757E"/>
    <w:rsid w:val="00B5780C"/>
    <w:rsid w:val="00B801ED"/>
    <w:rsid w:val="00B80959"/>
    <w:rsid w:val="00B91327"/>
    <w:rsid w:val="00BB04C3"/>
    <w:rsid w:val="00BB1377"/>
    <w:rsid w:val="00BB1B24"/>
    <w:rsid w:val="00BB273F"/>
    <w:rsid w:val="00BB5DCF"/>
    <w:rsid w:val="00BC4019"/>
    <w:rsid w:val="00BD52C9"/>
    <w:rsid w:val="00BD6928"/>
    <w:rsid w:val="00BE125B"/>
    <w:rsid w:val="00BE4367"/>
    <w:rsid w:val="00BE6276"/>
    <w:rsid w:val="00BE6354"/>
    <w:rsid w:val="00BF3149"/>
    <w:rsid w:val="00BF5101"/>
    <w:rsid w:val="00C42EA1"/>
    <w:rsid w:val="00C45426"/>
    <w:rsid w:val="00C54BC5"/>
    <w:rsid w:val="00C70EA7"/>
    <w:rsid w:val="00C711A1"/>
    <w:rsid w:val="00C7516E"/>
    <w:rsid w:val="00C80B74"/>
    <w:rsid w:val="00C84578"/>
    <w:rsid w:val="00CB2486"/>
    <w:rsid w:val="00CD5853"/>
    <w:rsid w:val="00CE07ED"/>
    <w:rsid w:val="00CE0983"/>
    <w:rsid w:val="00CE4806"/>
    <w:rsid w:val="00CF266C"/>
    <w:rsid w:val="00CF7F25"/>
    <w:rsid w:val="00D2305C"/>
    <w:rsid w:val="00D23986"/>
    <w:rsid w:val="00D24877"/>
    <w:rsid w:val="00D25D34"/>
    <w:rsid w:val="00D26DB1"/>
    <w:rsid w:val="00D320F5"/>
    <w:rsid w:val="00D50538"/>
    <w:rsid w:val="00D7123E"/>
    <w:rsid w:val="00D73E0D"/>
    <w:rsid w:val="00D75D42"/>
    <w:rsid w:val="00D8402A"/>
    <w:rsid w:val="00D85134"/>
    <w:rsid w:val="00D859AA"/>
    <w:rsid w:val="00D871C7"/>
    <w:rsid w:val="00D903D5"/>
    <w:rsid w:val="00D92D74"/>
    <w:rsid w:val="00D94752"/>
    <w:rsid w:val="00D96D64"/>
    <w:rsid w:val="00DA36ED"/>
    <w:rsid w:val="00DA5340"/>
    <w:rsid w:val="00DB1821"/>
    <w:rsid w:val="00DB3EF7"/>
    <w:rsid w:val="00DB4A84"/>
    <w:rsid w:val="00DC1070"/>
    <w:rsid w:val="00DD2792"/>
    <w:rsid w:val="00DE34F1"/>
    <w:rsid w:val="00DE6E86"/>
    <w:rsid w:val="00DF4942"/>
    <w:rsid w:val="00DF7122"/>
    <w:rsid w:val="00E07144"/>
    <w:rsid w:val="00E10B1B"/>
    <w:rsid w:val="00E10CC0"/>
    <w:rsid w:val="00E1113C"/>
    <w:rsid w:val="00E22288"/>
    <w:rsid w:val="00E22304"/>
    <w:rsid w:val="00E270A6"/>
    <w:rsid w:val="00E2752D"/>
    <w:rsid w:val="00E327BC"/>
    <w:rsid w:val="00E40640"/>
    <w:rsid w:val="00E42341"/>
    <w:rsid w:val="00E627B1"/>
    <w:rsid w:val="00E66E3F"/>
    <w:rsid w:val="00E9376C"/>
    <w:rsid w:val="00EA0649"/>
    <w:rsid w:val="00EB24B8"/>
    <w:rsid w:val="00EB3388"/>
    <w:rsid w:val="00EB4FAD"/>
    <w:rsid w:val="00EB5F89"/>
    <w:rsid w:val="00EB6F51"/>
    <w:rsid w:val="00EC09D9"/>
    <w:rsid w:val="00EC0B3F"/>
    <w:rsid w:val="00ED061E"/>
    <w:rsid w:val="00ED2E9B"/>
    <w:rsid w:val="00EE27D3"/>
    <w:rsid w:val="00EE30E7"/>
    <w:rsid w:val="00EE3989"/>
    <w:rsid w:val="00EF6F89"/>
    <w:rsid w:val="00F07BDB"/>
    <w:rsid w:val="00F217E1"/>
    <w:rsid w:val="00F2366D"/>
    <w:rsid w:val="00F26810"/>
    <w:rsid w:val="00F404FD"/>
    <w:rsid w:val="00F502E3"/>
    <w:rsid w:val="00F541AE"/>
    <w:rsid w:val="00F54896"/>
    <w:rsid w:val="00F576CB"/>
    <w:rsid w:val="00F611DE"/>
    <w:rsid w:val="00F70189"/>
    <w:rsid w:val="00F732E3"/>
    <w:rsid w:val="00F77906"/>
    <w:rsid w:val="00F8558C"/>
    <w:rsid w:val="00F97A1D"/>
    <w:rsid w:val="00FA3971"/>
    <w:rsid w:val="00FA4789"/>
    <w:rsid w:val="00FB0055"/>
    <w:rsid w:val="00FB0F88"/>
    <w:rsid w:val="00FC2940"/>
    <w:rsid w:val="00FC2DE6"/>
    <w:rsid w:val="00FD1226"/>
    <w:rsid w:val="00FD2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25D06C"/>
  <w15:docId w15:val="{02555AA1-6229-455A-B890-4B64ADA2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789B"/>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COM Heading"/>
    <w:basedOn w:val="Normal"/>
    <w:next w:val="Normal"/>
    <w:link w:val="Heading4Char"/>
    <w:qFormat/>
    <w:rsid w:val="002E58D4"/>
    <w:pPr>
      <w:keepNext/>
      <w:spacing w:before="360" w:after="24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GAParabodytext">
    <w:name w:val="GA Para body text"/>
    <w:basedOn w:val="Marge"/>
    <w:qFormat/>
    <w:rsid w:val="001A766C"/>
    <w:pPr>
      <w:numPr>
        <w:numId w:val="9"/>
      </w:numPr>
      <w:spacing w:after="120"/>
    </w:pPr>
    <w:rPr>
      <w:rFonts w:cs="Arial"/>
      <w:szCs w:val="22"/>
      <w:lang w:val="en-US"/>
    </w:rPr>
  </w:style>
  <w:style w:type="paragraph" w:customStyle="1" w:styleId="GATitleResolution">
    <w:name w:val="GA Title Resolution"/>
    <w:basedOn w:val="Marge"/>
    <w:qFormat/>
    <w:rsid w:val="001A766C"/>
    <w:pPr>
      <w:keepNext/>
      <w:spacing w:before="240" w:after="120"/>
      <w:ind w:left="567"/>
    </w:pPr>
    <w:rPr>
      <w:rFonts w:eastAsia="SimSun" w:cs="Arial"/>
      <w:b/>
      <w:szCs w:val="22"/>
    </w:rPr>
  </w:style>
  <w:style w:type="paragraph" w:customStyle="1" w:styleId="GAPreambulaResolution">
    <w:name w:val="GA Preambula Resolution"/>
    <w:basedOn w:val="Marge"/>
    <w:qFormat/>
    <w:rsid w:val="001A766C"/>
    <w:pPr>
      <w:keepNext/>
      <w:spacing w:after="120"/>
      <w:ind w:left="567"/>
    </w:pPr>
    <w:rPr>
      <w:rFonts w:eastAsia="SimSun" w:cs="Arial"/>
      <w:szCs w:val="22"/>
    </w:rPr>
  </w:style>
  <w:style w:type="paragraph" w:customStyle="1" w:styleId="GAParaResolution">
    <w:name w:val="GA Para Resolut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ListParagraph">
    <w:name w:val="List Paragraph"/>
    <w:basedOn w:val="Normal"/>
    <w:uiPriority w:val="34"/>
    <w:qFormat/>
    <w:rsid w:val="00A0254B"/>
    <w:pPr>
      <w:ind w:left="720"/>
      <w:contextualSpacing/>
    </w:pPr>
  </w:style>
  <w:style w:type="character" w:customStyle="1" w:styleId="hps">
    <w:name w:val="hps"/>
    <w:rsid w:val="00A0254B"/>
  </w:style>
  <w:style w:type="paragraph" w:customStyle="1" w:styleId="5GAparabodytext">
    <w:name w:val="5GA para body text"/>
    <w:basedOn w:val="Marge"/>
    <w:autoRedefine/>
    <w:qFormat/>
    <w:rsid w:val="007715AB"/>
    <w:pPr>
      <w:tabs>
        <w:tab w:val="clear" w:pos="567"/>
      </w:tabs>
      <w:spacing w:before="60" w:after="60"/>
      <w:jc w:val="left"/>
    </w:pPr>
    <w:rPr>
      <w:rFonts w:cs="Arial"/>
      <w:b/>
      <w:szCs w:val="22"/>
      <w:lang w:eastAsia="fr-FR"/>
    </w:rPr>
  </w:style>
  <w:style w:type="character" w:styleId="Hyperlink">
    <w:name w:val="Hyperlink"/>
    <w:unhideWhenUsed/>
    <w:rsid w:val="00A0254B"/>
    <w:rPr>
      <w:color w:val="0000FF"/>
      <w:u w:val="single"/>
      <w:lang w:val="fr-FR" w:eastAsia="fr-FR"/>
    </w:rPr>
  </w:style>
  <w:style w:type="paragraph" w:styleId="FootnoteText">
    <w:name w:val="footnote text"/>
    <w:basedOn w:val="Normal"/>
    <w:link w:val="FootnoteTextChar"/>
    <w:uiPriority w:val="99"/>
    <w:semiHidden/>
    <w:unhideWhenUsed/>
    <w:rsid w:val="00A0254B"/>
    <w:rPr>
      <w:sz w:val="20"/>
      <w:szCs w:val="20"/>
    </w:rPr>
  </w:style>
  <w:style w:type="character" w:customStyle="1" w:styleId="FootnoteTextChar">
    <w:name w:val="Footnote Text Char"/>
    <w:basedOn w:val="DefaultParagraphFont"/>
    <w:link w:val="FootnoteText"/>
    <w:uiPriority w:val="99"/>
    <w:semiHidden/>
    <w:rsid w:val="00A0254B"/>
    <w:rPr>
      <w:rFonts w:ascii="Times New Roman" w:eastAsia="Times New Roman" w:hAnsi="Times New Roman"/>
    </w:rPr>
  </w:style>
  <w:style w:type="character" w:styleId="FootnoteReference">
    <w:name w:val="footnote reference"/>
    <w:uiPriority w:val="99"/>
    <w:unhideWhenUsed/>
    <w:rsid w:val="00A0254B"/>
    <w:rPr>
      <w:vertAlign w:val="superscript"/>
      <w:lang w:val="fr-FR" w:eastAsia="fr-FR"/>
    </w:rPr>
  </w:style>
  <w:style w:type="paragraph" w:customStyle="1" w:styleId="Default">
    <w:name w:val="Default"/>
    <w:link w:val="DefaultChar"/>
    <w:uiPriority w:val="99"/>
    <w:rsid w:val="00A0254B"/>
    <w:pPr>
      <w:autoSpaceDE w:val="0"/>
      <w:autoSpaceDN w:val="0"/>
      <w:adjustRightInd w:val="0"/>
    </w:pPr>
    <w:rPr>
      <w:rFonts w:ascii="Arial" w:hAnsi="Arial" w:cs="Arial"/>
      <w:color w:val="000000"/>
      <w:sz w:val="24"/>
      <w:szCs w:val="24"/>
    </w:rPr>
  </w:style>
  <w:style w:type="character" w:customStyle="1" w:styleId="DefaultChar">
    <w:name w:val="Default Char"/>
    <w:link w:val="Default"/>
    <w:uiPriority w:val="99"/>
    <w:rsid w:val="00A0254B"/>
    <w:rPr>
      <w:rFonts w:ascii="Arial" w:hAnsi="Arial" w:cs="Arial"/>
      <w:color w:val="000000"/>
      <w:sz w:val="24"/>
      <w:szCs w:val="24"/>
    </w:rPr>
  </w:style>
  <w:style w:type="paragraph" w:customStyle="1" w:styleId="5GAParaResolution">
    <w:name w:val="5GA Para Resolution"/>
    <w:basedOn w:val="Normal"/>
    <w:qFormat/>
    <w:rsid w:val="00A0254B"/>
    <w:pPr>
      <w:autoSpaceDE w:val="0"/>
      <w:autoSpaceDN w:val="0"/>
      <w:adjustRightInd w:val="0"/>
      <w:spacing w:after="120"/>
      <w:ind w:left="1134" w:hanging="567"/>
      <w:jc w:val="both"/>
    </w:pPr>
    <w:rPr>
      <w:rFonts w:ascii="Arial" w:eastAsia="SimSun" w:hAnsi="Arial" w:cs="Arial"/>
      <w:sz w:val="22"/>
      <w:szCs w:val="22"/>
    </w:rPr>
  </w:style>
  <w:style w:type="paragraph" w:customStyle="1" w:styleId="5GATitleResolution">
    <w:name w:val="5GA Title Resolution"/>
    <w:basedOn w:val="Normal"/>
    <w:qFormat/>
    <w:rsid w:val="00A0254B"/>
    <w:pPr>
      <w:keepNext/>
      <w:spacing w:before="240" w:after="120"/>
      <w:ind w:left="567"/>
      <w:jc w:val="both"/>
    </w:pPr>
    <w:rPr>
      <w:rFonts w:ascii="Arial" w:hAnsi="Arial" w:cs="Arial"/>
      <w:b/>
      <w:sz w:val="22"/>
      <w:szCs w:val="22"/>
    </w:rPr>
  </w:style>
  <w:style w:type="paragraph" w:customStyle="1" w:styleId="5GAPreambulaResolution">
    <w:name w:val="5GA Preambula Resolution"/>
    <w:basedOn w:val="Normal"/>
    <w:qFormat/>
    <w:rsid w:val="00A0254B"/>
    <w:pPr>
      <w:keepNext/>
      <w:spacing w:after="120"/>
      <w:ind w:left="567"/>
      <w:jc w:val="both"/>
    </w:pPr>
    <w:rPr>
      <w:rFonts w:ascii="Arial" w:hAnsi="Arial" w:cs="Arial"/>
      <w:sz w:val="22"/>
      <w:szCs w:val="22"/>
    </w:rPr>
  </w:style>
  <w:style w:type="paragraph" w:customStyle="1" w:styleId="GAPara">
    <w:name w:val="GA Para"/>
    <w:qFormat/>
    <w:rsid w:val="00A0254B"/>
    <w:pPr>
      <w:spacing w:after="120"/>
    </w:pPr>
    <w:rPr>
      <w:rFonts w:ascii="Arial" w:eastAsia="Times New Roman" w:hAnsi="Arial" w:cs="Arial"/>
      <w:snapToGrid w:val="0"/>
      <w:sz w:val="22"/>
      <w:szCs w:val="22"/>
    </w:rPr>
  </w:style>
  <w:style w:type="paragraph" w:customStyle="1" w:styleId="1GAParabodytext">
    <w:name w:val="1.GA Para body text"/>
    <w:basedOn w:val="Marge"/>
    <w:qFormat/>
    <w:rsid w:val="00985DAD"/>
    <w:pPr>
      <w:spacing w:after="120"/>
      <w:ind w:left="567" w:hanging="567"/>
    </w:pPr>
    <w:rPr>
      <w:rFonts w:cs="Arial"/>
      <w:szCs w:val="22"/>
    </w:rPr>
  </w:style>
  <w:style w:type="character" w:styleId="FollowedHyperlink">
    <w:name w:val="FollowedHyperlink"/>
    <w:basedOn w:val="DefaultParagraphFont"/>
    <w:uiPriority w:val="99"/>
    <w:semiHidden/>
    <w:unhideWhenUsed/>
    <w:rsid w:val="00125642"/>
    <w:rPr>
      <w:color w:val="800080" w:themeColor="followedHyperlink"/>
      <w:u w:val="single"/>
    </w:rPr>
  </w:style>
  <w:style w:type="character" w:styleId="CommentReference">
    <w:name w:val="annotation reference"/>
    <w:basedOn w:val="DefaultParagraphFont"/>
    <w:uiPriority w:val="99"/>
    <w:semiHidden/>
    <w:unhideWhenUsed/>
    <w:rsid w:val="002B5029"/>
    <w:rPr>
      <w:sz w:val="16"/>
      <w:szCs w:val="16"/>
    </w:rPr>
  </w:style>
  <w:style w:type="paragraph" w:styleId="CommentText">
    <w:name w:val="annotation text"/>
    <w:basedOn w:val="Normal"/>
    <w:link w:val="CommentTextChar"/>
    <w:uiPriority w:val="99"/>
    <w:semiHidden/>
    <w:unhideWhenUsed/>
    <w:rsid w:val="002B5029"/>
    <w:rPr>
      <w:sz w:val="20"/>
      <w:szCs w:val="20"/>
    </w:rPr>
  </w:style>
  <w:style w:type="character" w:customStyle="1" w:styleId="CommentTextChar">
    <w:name w:val="Comment Text Char"/>
    <w:basedOn w:val="DefaultParagraphFont"/>
    <w:link w:val="CommentText"/>
    <w:uiPriority w:val="99"/>
    <w:semiHidden/>
    <w:rsid w:val="002B502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5029"/>
    <w:rPr>
      <w:b/>
      <w:bCs/>
    </w:rPr>
  </w:style>
  <w:style w:type="character" w:customStyle="1" w:styleId="CommentSubjectChar">
    <w:name w:val="Comment Subject Char"/>
    <w:basedOn w:val="CommentTextChar"/>
    <w:link w:val="CommentSubject"/>
    <w:uiPriority w:val="99"/>
    <w:semiHidden/>
    <w:rsid w:val="002B5029"/>
    <w:rPr>
      <w:rFonts w:ascii="Times New Roman" w:eastAsia="Times New Roman" w:hAnsi="Times New Roman"/>
      <w:b/>
      <w:bCs/>
    </w:rPr>
  </w:style>
  <w:style w:type="paragraph" w:styleId="Revision">
    <w:name w:val="Revision"/>
    <w:hidden/>
    <w:uiPriority w:val="99"/>
    <w:semiHidden/>
    <w:rsid w:val="002B50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Resolutions/5.GA/7" TargetMode="External"/><Relationship Id="rId13" Type="http://schemas.openxmlformats.org/officeDocument/2006/relationships/hyperlink" Target="http://www.unesco.org/culture/ich/en/Decisions/8.COM/5.c.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nesdoc.unesco.org/images/0022/002230/223095F.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sco.org/culture/ich/en/Decisions/8.COM/5.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doc/src/ITH-14-9.COM_2.BUR-Decision-EN.doc" TargetMode="External"/><Relationship Id="rId5" Type="http://schemas.openxmlformats.org/officeDocument/2006/relationships/webSettings" Target="webSettings.xml"/><Relationship Id="rId15" Type="http://schemas.openxmlformats.org/officeDocument/2006/relationships/hyperlink" Target="http://www.unesco.org/culture/ich/doc/src/30195-EN.docx" TargetMode="External"/><Relationship Id="rId10" Type="http://schemas.openxmlformats.org/officeDocument/2006/relationships/hyperlink" Target="http://www.unesco.org/culture/ich/doc/src/ITH-14-9.COM_2.BUR-Decision-EN.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nesco.org/culture/ich/en/Decisions/8.COM/11" TargetMode="External"/><Relationship Id="rId14" Type="http://schemas.openxmlformats.org/officeDocument/2006/relationships/hyperlink" Target="http://www.unesco.org/culture/ich/en/Decisions/7.COM/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doc/src/33363-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FC1B-01CE-41E7-A213-26AD162B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document_FR</Template>
  <TotalTime>2</TotalTime>
  <Pages>13</Pages>
  <Words>5567</Words>
  <Characters>31738</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UNESCO</cp:lastModifiedBy>
  <cp:revision>3</cp:revision>
  <cp:lastPrinted>2011-08-06T09:22:00Z</cp:lastPrinted>
  <dcterms:created xsi:type="dcterms:W3CDTF">2016-05-29T10:46:00Z</dcterms:created>
  <dcterms:modified xsi:type="dcterms:W3CDTF">2016-05-29T10:48:00Z</dcterms:modified>
</cp:coreProperties>
</file>