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E5AD" w14:textId="77777777" w:rsidR="008B6E1C" w:rsidRPr="00D01265" w:rsidRDefault="008B6E1C" w:rsidP="008B6E1C">
      <w:pPr>
        <w:spacing w:before="1440"/>
        <w:jc w:val="center"/>
        <w:rPr>
          <w:rFonts w:ascii="Arial" w:hAnsi="Arial" w:cs="Arial"/>
          <w:b/>
          <w:sz w:val="22"/>
          <w:szCs w:val="22"/>
        </w:rPr>
      </w:pPr>
      <w:r w:rsidRPr="00D01265">
        <w:rPr>
          <w:rFonts w:ascii="Arial" w:hAnsi="Arial"/>
          <w:b/>
          <w:sz w:val="22"/>
        </w:rPr>
        <w:t>CONVENTION POUR LA SAUVEGARDE DU</w:t>
      </w:r>
      <w:r w:rsidRPr="00D01265">
        <w:t xml:space="preserve"> </w:t>
      </w:r>
      <w:r w:rsidRPr="00D01265">
        <w:br/>
      </w:r>
      <w:r w:rsidRPr="00D01265">
        <w:rPr>
          <w:rFonts w:ascii="Arial" w:hAnsi="Arial"/>
          <w:b/>
          <w:sz w:val="22"/>
        </w:rPr>
        <w:t>PATRIMOINE CULTUREL IMMATÉRIEL</w:t>
      </w:r>
    </w:p>
    <w:p w14:paraId="1F340720" w14:textId="77777777" w:rsidR="008B6E1C" w:rsidRPr="00D01265" w:rsidRDefault="008B6E1C" w:rsidP="008B6E1C">
      <w:pPr>
        <w:spacing w:before="1200" w:after="120"/>
        <w:jc w:val="center"/>
        <w:rPr>
          <w:rFonts w:ascii="Arial" w:eastAsia="SimSun" w:hAnsi="Arial" w:cs="Arial"/>
          <w:b/>
          <w:sz w:val="22"/>
          <w:szCs w:val="22"/>
        </w:rPr>
      </w:pPr>
      <w:r w:rsidRPr="00D01265">
        <w:rPr>
          <w:rFonts w:ascii="Arial" w:eastAsia="SimSun" w:hAnsi="Arial" w:cs="Arial"/>
          <w:b/>
          <w:sz w:val="22"/>
          <w:szCs w:val="22"/>
        </w:rPr>
        <w:t>COMITÉ INTERGOUVERNEMENTAL DE SAUVEGARDE</w:t>
      </w:r>
      <w:r w:rsidRPr="00D01265">
        <w:rPr>
          <w:rFonts w:ascii="Arial" w:eastAsia="SimSun" w:hAnsi="Arial" w:cs="Arial"/>
          <w:b/>
          <w:sz w:val="22"/>
          <w:szCs w:val="22"/>
        </w:rPr>
        <w:br/>
        <w:t>DU PATRIMOINE CULTUREL IMMATÉRIEL</w:t>
      </w:r>
    </w:p>
    <w:p w14:paraId="2A0211F8" w14:textId="77777777" w:rsidR="008B6E1C" w:rsidRPr="00F47A6C" w:rsidRDefault="008B6E1C" w:rsidP="008B6E1C">
      <w:pPr>
        <w:spacing w:before="840"/>
        <w:jc w:val="center"/>
        <w:rPr>
          <w:rFonts w:ascii="Arial" w:hAnsi="Arial" w:cs="Arial"/>
          <w:b/>
          <w:sz w:val="22"/>
          <w:szCs w:val="22"/>
        </w:rPr>
      </w:pPr>
      <w:r>
        <w:rPr>
          <w:rFonts w:ascii="Arial" w:hAnsi="Arial"/>
          <w:b/>
          <w:sz w:val="22"/>
        </w:rPr>
        <w:t>Réunion du Bureau</w:t>
      </w:r>
      <w:r>
        <w:rPr>
          <w:rFonts w:ascii="Arial" w:hAnsi="Arial"/>
          <w:b/>
          <w:sz w:val="22"/>
        </w:rPr>
        <w:br/>
        <w:t>Siège de l’UNESCO, Paris, salle VIII</w:t>
      </w:r>
      <w:r>
        <w:rPr>
          <w:rFonts w:ascii="Arial" w:hAnsi="Arial" w:cs="Arial"/>
          <w:b/>
          <w:sz w:val="22"/>
          <w:szCs w:val="22"/>
        </w:rPr>
        <w:br/>
      </w:r>
      <w:r w:rsidRPr="00F47A6C">
        <w:rPr>
          <w:rFonts w:ascii="Arial" w:hAnsi="Arial"/>
          <w:b/>
          <w:sz w:val="22"/>
        </w:rPr>
        <w:t>20 octobre 2014, 10 heures – 13 heures</w:t>
      </w:r>
    </w:p>
    <w:p w14:paraId="2C782B8A" w14:textId="609680F6" w:rsidR="008B6E1C" w:rsidRPr="00D01265" w:rsidRDefault="008B6E1C" w:rsidP="008B6E1C">
      <w:pPr>
        <w:pStyle w:val="Sansinterligne2"/>
        <w:spacing w:before="1080"/>
        <w:jc w:val="center"/>
        <w:rPr>
          <w:rFonts w:ascii="Arial" w:hAnsi="Arial"/>
          <w:b/>
          <w:sz w:val="22"/>
          <w:u w:val="single"/>
        </w:rPr>
      </w:pPr>
      <w:r w:rsidRPr="00D01265">
        <w:rPr>
          <w:rFonts w:ascii="Arial" w:hAnsi="Arial"/>
          <w:b/>
          <w:sz w:val="22"/>
          <w:u w:val="single"/>
        </w:rPr>
        <w:t xml:space="preserve">Point </w:t>
      </w:r>
      <w:r w:rsidR="00562ECA">
        <w:rPr>
          <w:rFonts w:ascii="Arial" w:hAnsi="Arial"/>
          <w:b/>
          <w:sz w:val="22"/>
          <w:u w:val="single"/>
        </w:rPr>
        <w:t>4</w:t>
      </w:r>
      <w:r w:rsidRPr="00D01265">
        <w:rPr>
          <w:rFonts w:ascii="Arial" w:hAnsi="Arial"/>
          <w:b/>
          <w:sz w:val="22"/>
          <w:u w:val="single"/>
        </w:rPr>
        <w:t> :</w:t>
      </w:r>
    </w:p>
    <w:p w14:paraId="25D6A366" w14:textId="6ABD9F67" w:rsidR="008B6E1C" w:rsidRPr="00F47A6C" w:rsidRDefault="008B6E1C" w:rsidP="00F47A6C">
      <w:pPr>
        <w:pStyle w:val="Sansinterligne2"/>
        <w:spacing w:after="840"/>
        <w:jc w:val="center"/>
        <w:rPr>
          <w:rFonts w:ascii="Arial" w:hAnsi="Arial"/>
          <w:b/>
          <w:sz w:val="22"/>
        </w:rPr>
      </w:pPr>
      <w:r w:rsidRPr="00E76B4F">
        <w:rPr>
          <w:rFonts w:ascii="Arial" w:hAnsi="Arial"/>
          <w:b/>
          <w:sz w:val="22"/>
        </w:rPr>
        <w:t>Examen d</w:t>
      </w:r>
      <w:r w:rsidR="00562ECA">
        <w:rPr>
          <w:rFonts w:ascii="Arial" w:hAnsi="Arial"/>
          <w:b/>
          <w:sz w:val="22"/>
        </w:rPr>
        <w:t xml:space="preserve">’une </w:t>
      </w:r>
      <w:r w:rsidRPr="00E76B4F">
        <w:rPr>
          <w:rFonts w:ascii="Arial" w:hAnsi="Arial"/>
          <w:b/>
          <w:sz w:val="22"/>
        </w:rPr>
        <w:t>deman</w:t>
      </w:r>
      <w:r w:rsidR="00562ECA">
        <w:rPr>
          <w:rFonts w:ascii="Arial" w:hAnsi="Arial"/>
          <w:b/>
          <w:sz w:val="22"/>
        </w:rPr>
        <w:t>de</w:t>
      </w:r>
      <w:r w:rsidR="00F47A6C">
        <w:rPr>
          <w:rFonts w:ascii="Arial" w:hAnsi="Arial"/>
          <w:b/>
          <w:sz w:val="22"/>
        </w:rPr>
        <w:t xml:space="preserve"> d’assistance internationale</w:t>
      </w:r>
      <w:r w:rsidR="00F47A6C">
        <w:rPr>
          <w:rFonts w:ascii="Arial" w:hAnsi="Arial"/>
          <w:b/>
          <w:sz w:val="22"/>
        </w:rPr>
        <w:br/>
      </w:r>
      <w:r w:rsidR="00562ECA">
        <w:rPr>
          <w:rFonts w:ascii="Arial" w:hAnsi="Arial"/>
          <w:b/>
          <w:sz w:val="22"/>
        </w:rPr>
        <w:t>supérieure</w:t>
      </w:r>
      <w:r w:rsidRPr="008B6E1C">
        <w:rPr>
          <w:rFonts w:ascii="Arial" w:hAnsi="Arial"/>
          <w:b/>
          <w:sz w:val="22"/>
        </w:rPr>
        <w:t xml:space="preserve"> à 100 000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B6E1C" w:rsidRPr="00D01265" w14:paraId="6DA6F476" w14:textId="77777777" w:rsidTr="008B6E1C">
        <w:trPr>
          <w:jc w:val="center"/>
        </w:trPr>
        <w:tc>
          <w:tcPr>
            <w:tcW w:w="5670" w:type="dxa"/>
            <w:vAlign w:val="center"/>
          </w:tcPr>
          <w:p w14:paraId="364759AB" w14:textId="77777777" w:rsidR="008B6E1C" w:rsidRDefault="008B6E1C" w:rsidP="008B6E1C">
            <w:pPr>
              <w:pStyle w:val="Sansinterligne1"/>
              <w:spacing w:before="200" w:after="200"/>
              <w:jc w:val="center"/>
              <w:rPr>
                <w:rFonts w:ascii="Arial" w:hAnsi="Arial"/>
                <w:b/>
                <w:sz w:val="22"/>
              </w:rPr>
            </w:pPr>
            <w:r w:rsidRPr="00D01265">
              <w:rPr>
                <w:rFonts w:ascii="Arial" w:hAnsi="Arial"/>
                <w:b/>
                <w:sz w:val="22"/>
              </w:rPr>
              <w:t>Résumé</w:t>
            </w:r>
          </w:p>
          <w:p w14:paraId="6A47D840" w14:textId="46F3A53C" w:rsidR="008B6E1C" w:rsidRPr="00F06D3F" w:rsidRDefault="00F06D3F" w:rsidP="00F06D3F">
            <w:pPr>
              <w:pStyle w:val="Sansinterligne1"/>
              <w:spacing w:before="200" w:after="200"/>
              <w:jc w:val="both"/>
              <w:rPr>
                <w:rFonts w:ascii="Arial" w:hAnsi="Arial" w:cs="Arial"/>
                <w:sz w:val="22"/>
                <w:szCs w:val="22"/>
              </w:rPr>
            </w:pPr>
            <w:r w:rsidRPr="00F06D3F">
              <w:rPr>
                <w:rFonts w:ascii="Arial" w:hAnsi="Arial"/>
                <w:sz w:val="22"/>
              </w:rPr>
              <w:t>À sa dixième session, le Comité</w:t>
            </w:r>
            <w:r>
              <w:rPr>
                <w:rFonts w:ascii="Arial" w:hAnsi="Arial"/>
                <w:sz w:val="22"/>
              </w:rPr>
              <w:t xml:space="preserve"> a décidé de déléguer son autorité au Bureau </w:t>
            </w:r>
            <w:r w:rsidR="004A323B">
              <w:rPr>
                <w:rFonts w:ascii="Arial" w:hAnsi="Arial"/>
                <w:sz w:val="22"/>
              </w:rPr>
              <w:t>pour</w:t>
            </w:r>
            <w:r>
              <w:rPr>
                <w:rFonts w:ascii="Arial" w:hAnsi="Arial"/>
                <w:sz w:val="22"/>
              </w:rPr>
              <w:t xml:space="preserve"> prendre une décision </w:t>
            </w:r>
            <w:r w:rsidR="004A323B">
              <w:rPr>
                <w:rFonts w:ascii="Arial" w:hAnsi="Arial"/>
                <w:sz w:val="22"/>
              </w:rPr>
              <w:t xml:space="preserve">concernant </w:t>
            </w:r>
            <w:r>
              <w:rPr>
                <w:rFonts w:ascii="Arial" w:hAnsi="Arial"/>
                <w:sz w:val="22"/>
              </w:rPr>
              <w:t>une version révisée de la demande d’assistance internationale</w:t>
            </w:r>
            <w:r w:rsidR="00403E78">
              <w:rPr>
                <w:rFonts w:ascii="Arial" w:hAnsi="Arial"/>
                <w:sz w:val="22"/>
              </w:rPr>
              <w:t xml:space="preserve"> soumise par le Kenya pour la </w:t>
            </w:r>
            <w:r w:rsidR="00FB11C6">
              <w:rPr>
                <w:rFonts w:ascii="Arial" w:hAnsi="Arial"/>
                <w:sz w:val="22"/>
              </w:rPr>
              <w:t>«</w:t>
            </w:r>
            <w:r w:rsidR="004A323B">
              <w:rPr>
                <w:rFonts w:ascii="Arial" w:hAnsi="Arial"/>
                <w:sz w:val="22"/>
              </w:rPr>
              <w:t> </w:t>
            </w:r>
            <w:r w:rsidR="00FB11C6">
              <w:rPr>
                <w:rFonts w:ascii="Arial" w:hAnsi="Arial"/>
                <w:sz w:val="22"/>
              </w:rPr>
              <w:t>S</w:t>
            </w:r>
            <w:r w:rsidRPr="00F06D3F">
              <w:rPr>
                <w:rFonts w:ascii="Arial" w:hAnsi="Arial"/>
                <w:sz w:val="22"/>
              </w:rPr>
              <w:t xml:space="preserve">auvegarde </w:t>
            </w:r>
            <w:r>
              <w:rPr>
                <w:rFonts w:ascii="Arial" w:hAnsi="Arial"/>
                <w:sz w:val="22"/>
              </w:rPr>
              <w:t xml:space="preserve">de Enkipaata, Eunoto et Olng’esherr, trois rites de passage masculins de la </w:t>
            </w:r>
            <w:r w:rsidRPr="00F06D3F">
              <w:rPr>
                <w:rFonts w:ascii="Arial" w:hAnsi="Arial"/>
                <w:sz w:val="22"/>
              </w:rPr>
              <w:t>communauté</w:t>
            </w:r>
            <w:r>
              <w:rPr>
                <w:rFonts w:ascii="Arial" w:hAnsi="Arial"/>
                <w:sz w:val="22"/>
              </w:rPr>
              <w:t xml:space="preserve"> masaï » (décision 10.COM 10.c.2), </w:t>
            </w:r>
            <w:r w:rsidRPr="00F06D3F">
              <w:rPr>
                <w:rFonts w:ascii="Arial" w:hAnsi="Arial"/>
                <w:sz w:val="22"/>
              </w:rPr>
              <w:t>conformément</w:t>
            </w:r>
            <w:r>
              <w:rPr>
                <w:rFonts w:ascii="Arial" w:hAnsi="Arial"/>
                <w:sz w:val="22"/>
              </w:rPr>
              <w:t xml:space="preserve"> aux recommandations de l’Organe d'évaluation. Le présent document concerne la demande révisée.</w:t>
            </w:r>
          </w:p>
          <w:p w14:paraId="613FF500" w14:textId="77777777" w:rsidR="008B6E1C" w:rsidRPr="00D01265" w:rsidRDefault="008B6E1C" w:rsidP="008B6E1C">
            <w:pPr>
              <w:pStyle w:val="Sansinterligne2"/>
              <w:spacing w:after="120"/>
              <w:jc w:val="both"/>
              <w:rPr>
                <w:rFonts w:ascii="Arial" w:hAnsi="Arial" w:cs="Arial"/>
                <w:b/>
                <w:sz w:val="22"/>
                <w:szCs w:val="22"/>
              </w:rPr>
            </w:pPr>
            <w:r w:rsidRPr="00F06D3F">
              <w:rPr>
                <w:rFonts w:ascii="Arial" w:hAnsi="Arial"/>
                <w:b/>
                <w:sz w:val="22"/>
              </w:rPr>
              <w:t xml:space="preserve">Décision requise : </w:t>
            </w:r>
            <w:r w:rsidRPr="00F06D3F">
              <w:rPr>
                <w:rFonts w:ascii="Arial" w:hAnsi="Arial"/>
                <w:sz w:val="22"/>
              </w:rPr>
              <w:t xml:space="preserve">paragraphe </w:t>
            </w:r>
            <w:r w:rsidR="00F06D3F" w:rsidRPr="00F06D3F">
              <w:rPr>
                <w:rFonts w:ascii="Arial" w:hAnsi="Arial"/>
                <w:sz w:val="22"/>
              </w:rPr>
              <w:t>3</w:t>
            </w:r>
          </w:p>
        </w:tc>
      </w:tr>
    </w:tbl>
    <w:p w14:paraId="38FD4F8C" w14:textId="77777777" w:rsidR="008B6E1C" w:rsidRPr="00D01265" w:rsidRDefault="008B6E1C" w:rsidP="008B6E1C">
      <w:pPr>
        <w:pStyle w:val="GAPara"/>
        <w:jc w:val="both"/>
      </w:pPr>
      <w:r w:rsidRPr="00D01265">
        <w:br w:type="page"/>
      </w:r>
    </w:p>
    <w:p w14:paraId="5E8C83DC" w14:textId="66592D09" w:rsidR="002D1EA8" w:rsidRPr="002D1EA8" w:rsidRDefault="005F2ACD" w:rsidP="002D1EA8">
      <w:pPr>
        <w:pStyle w:val="GAParabodytext"/>
        <w:tabs>
          <w:tab w:val="clear" w:pos="360"/>
        </w:tabs>
        <w:rPr>
          <w:lang w:val="fr-FR"/>
        </w:rPr>
      </w:pPr>
      <w:r w:rsidRPr="00C235FD">
        <w:rPr>
          <w:lang w:val="fr-FR"/>
        </w:rPr>
        <w:lastRenderedPageBreak/>
        <w:t>À sa dixième session en 2015, le Comité intergouvernemental pour la sauvegarde du patrimoine culturel immatériel a examiné la demande d’assistance internationale soumise par le Kenya pour un projet intitulé « </w:t>
      </w:r>
      <w:r w:rsidR="004A323B">
        <w:rPr>
          <w:lang w:val="fr-FR"/>
        </w:rPr>
        <w:t>La s</w:t>
      </w:r>
      <w:r w:rsidRPr="00C235FD">
        <w:rPr>
          <w:lang w:val="fr-FR"/>
        </w:rPr>
        <w:t>auvegarde de Enkipaata, Eunoto et Olng’esherr, trois rites de passage masculins de la communauté masaï »</w:t>
      </w:r>
      <w:r w:rsidR="00C235FD" w:rsidRPr="00C235FD">
        <w:rPr>
          <w:lang w:val="fr-FR"/>
        </w:rPr>
        <w:t xml:space="preserve"> (</w:t>
      </w:r>
      <w:hyperlink r:id="rId7" w:history="1">
        <w:r w:rsidR="00C235FD" w:rsidRPr="00C235FD">
          <w:rPr>
            <w:rStyle w:val="Hyperlink"/>
            <w:lang w:val="fr-FR"/>
          </w:rPr>
          <w:t>décision 10.COM 10.c.2</w:t>
        </w:r>
      </w:hyperlink>
      <w:r w:rsidR="00C235FD" w:rsidRPr="00C235FD">
        <w:rPr>
          <w:rStyle w:val="Hyperlink"/>
          <w:color w:val="auto"/>
          <w:u w:val="none"/>
          <w:lang w:val="fr-FR"/>
        </w:rPr>
        <w:t>)</w:t>
      </w:r>
      <w:r w:rsidR="00C235FD">
        <w:rPr>
          <w:rStyle w:val="FootnoteReference"/>
          <w:lang w:val="fr-FR"/>
        </w:rPr>
        <w:footnoteReference w:id="1"/>
      </w:r>
      <w:r w:rsidR="00C235FD" w:rsidRPr="00C235FD">
        <w:rPr>
          <w:rStyle w:val="Hyperlink"/>
          <w:color w:val="auto"/>
          <w:u w:val="none"/>
          <w:lang w:val="fr-FR"/>
        </w:rPr>
        <w:t xml:space="preserve">. </w:t>
      </w:r>
      <w:r w:rsidR="00C235FD">
        <w:rPr>
          <w:rStyle w:val="Hyperlink"/>
          <w:color w:val="auto"/>
          <w:u w:val="none"/>
          <w:lang w:val="fr-FR"/>
        </w:rPr>
        <w:t xml:space="preserve">Suite à la </w:t>
      </w:r>
      <w:r w:rsidR="00C235FD" w:rsidRPr="00C235FD">
        <w:rPr>
          <w:rStyle w:val="Hyperlink"/>
          <w:color w:val="auto"/>
          <w:u w:val="none"/>
          <w:lang w:val="fr-FR"/>
        </w:rPr>
        <w:t>recommandation</w:t>
      </w:r>
      <w:r w:rsidR="00C235FD">
        <w:rPr>
          <w:rStyle w:val="Hyperlink"/>
          <w:color w:val="auto"/>
          <w:u w:val="none"/>
          <w:lang w:val="fr-FR"/>
        </w:rPr>
        <w:t xml:space="preserve"> de l’Organe d'évaluation, le Comité a estimé que, dans l’ensemble, la demande ne satisfaisait pas aux critères d’éligibilité et de sélection des demandes d’assistance in</w:t>
      </w:r>
      <w:r w:rsidR="009D476C">
        <w:rPr>
          <w:rStyle w:val="Hyperlink"/>
          <w:color w:val="auto"/>
          <w:u w:val="none"/>
          <w:lang w:val="fr-FR"/>
        </w:rPr>
        <w:t>ternationale tels qu’énoncés au</w:t>
      </w:r>
      <w:r w:rsidR="00C235FD">
        <w:rPr>
          <w:rStyle w:val="Hyperlink"/>
          <w:color w:val="auto"/>
          <w:u w:val="none"/>
          <w:lang w:val="fr-FR"/>
        </w:rPr>
        <w:t xml:space="preserve"> </w:t>
      </w:r>
      <w:r w:rsidR="00C235FD" w:rsidRPr="00C235FD">
        <w:rPr>
          <w:rStyle w:val="Hyperlink"/>
          <w:color w:val="auto"/>
          <w:u w:val="none"/>
          <w:lang w:val="fr-FR"/>
        </w:rPr>
        <w:t>paragraphe</w:t>
      </w:r>
      <w:r w:rsidR="00C235FD">
        <w:rPr>
          <w:rStyle w:val="Hyperlink"/>
          <w:color w:val="auto"/>
          <w:u w:val="none"/>
          <w:lang w:val="fr-FR"/>
        </w:rPr>
        <w:t xml:space="preserve"> 12 des Directives opérationnelles. </w:t>
      </w:r>
      <w:r w:rsidR="006A1CB7">
        <w:rPr>
          <w:rStyle w:val="Hyperlink"/>
          <w:color w:val="auto"/>
          <w:u w:val="none"/>
          <w:lang w:val="fr-FR"/>
        </w:rPr>
        <w:t xml:space="preserve">Les principales réserves émises par l’Organe d'évaluation, et confirmées par le Comité, </w:t>
      </w:r>
      <w:r w:rsidR="00403E78">
        <w:rPr>
          <w:rStyle w:val="Hyperlink"/>
          <w:color w:val="auto"/>
          <w:u w:val="none"/>
          <w:lang w:val="fr-FR"/>
        </w:rPr>
        <w:t xml:space="preserve">portaient sur </w:t>
      </w:r>
      <w:r w:rsidR="006A1CB7">
        <w:rPr>
          <w:rStyle w:val="Hyperlink"/>
          <w:color w:val="auto"/>
          <w:u w:val="none"/>
          <w:lang w:val="fr-FR"/>
        </w:rPr>
        <w:t xml:space="preserve">l’absence de </w:t>
      </w:r>
      <w:r w:rsidR="006A1CB7" w:rsidRPr="006A1CB7">
        <w:rPr>
          <w:rStyle w:val="Hyperlink"/>
          <w:color w:val="auto"/>
          <w:u w:val="none"/>
          <w:lang w:val="fr-FR"/>
        </w:rPr>
        <w:t>participation</w:t>
      </w:r>
      <w:r w:rsidR="006A1CB7">
        <w:rPr>
          <w:rStyle w:val="Hyperlink"/>
          <w:color w:val="auto"/>
          <w:u w:val="none"/>
          <w:lang w:val="fr-FR"/>
        </w:rPr>
        <w:t xml:space="preserve"> des communautés concernées tant à la </w:t>
      </w:r>
      <w:r w:rsidR="006A1CB7" w:rsidRPr="006A1CB7">
        <w:rPr>
          <w:rStyle w:val="Hyperlink"/>
          <w:color w:val="auto"/>
          <w:u w:val="none"/>
          <w:lang w:val="fr-FR"/>
        </w:rPr>
        <w:t>préparation</w:t>
      </w:r>
      <w:r w:rsidR="006A1CB7">
        <w:rPr>
          <w:rStyle w:val="Hyperlink"/>
          <w:color w:val="auto"/>
          <w:u w:val="none"/>
          <w:lang w:val="fr-FR"/>
        </w:rPr>
        <w:t xml:space="preserve"> qu’à la mise en œuvre ou </w:t>
      </w:r>
      <w:r w:rsidR="006A1CB7" w:rsidRPr="006A1CB7">
        <w:rPr>
          <w:rStyle w:val="Hyperlink"/>
          <w:color w:val="auto"/>
          <w:u w:val="none"/>
          <w:lang w:val="fr-FR"/>
        </w:rPr>
        <w:t xml:space="preserve">l’évaluation </w:t>
      </w:r>
      <w:r w:rsidR="006A1CB7">
        <w:rPr>
          <w:rStyle w:val="Hyperlink"/>
          <w:color w:val="auto"/>
          <w:u w:val="none"/>
          <w:lang w:val="fr-FR"/>
        </w:rPr>
        <w:t xml:space="preserve">et le suivi du projet, l’absence de clarté et de </w:t>
      </w:r>
      <w:r w:rsidR="002D1EA8">
        <w:rPr>
          <w:rStyle w:val="Hyperlink"/>
          <w:color w:val="auto"/>
          <w:u w:val="none"/>
          <w:lang w:val="fr-FR"/>
        </w:rPr>
        <w:t xml:space="preserve">cohérence entre </w:t>
      </w:r>
      <w:r w:rsidR="00403E78">
        <w:rPr>
          <w:rStyle w:val="Hyperlink"/>
          <w:color w:val="auto"/>
          <w:u w:val="none"/>
          <w:lang w:val="fr-FR"/>
        </w:rPr>
        <w:t xml:space="preserve">les </w:t>
      </w:r>
      <w:r w:rsidR="002D1EA8">
        <w:rPr>
          <w:rStyle w:val="Hyperlink"/>
          <w:color w:val="auto"/>
          <w:u w:val="none"/>
          <w:lang w:val="fr-FR"/>
        </w:rPr>
        <w:t xml:space="preserve">principaux objectifs du projet, les résultats escomptés, les activités prévues, le calendrier et le budget et l’absence de </w:t>
      </w:r>
      <w:r w:rsidR="002D1EA8" w:rsidRPr="002D1EA8">
        <w:rPr>
          <w:rStyle w:val="Hyperlink"/>
          <w:color w:val="auto"/>
          <w:u w:val="none"/>
          <w:lang w:val="fr-FR"/>
        </w:rPr>
        <w:t>description</w:t>
      </w:r>
      <w:r w:rsidR="002D1EA8">
        <w:rPr>
          <w:rStyle w:val="Hyperlink"/>
          <w:color w:val="auto"/>
          <w:u w:val="none"/>
          <w:lang w:val="fr-FR"/>
        </w:rPr>
        <w:t xml:space="preserve"> précise des rites de passage masculins </w:t>
      </w:r>
      <w:r w:rsidR="00403E78">
        <w:rPr>
          <w:rStyle w:val="Hyperlink"/>
          <w:color w:val="auto"/>
          <w:u w:val="none"/>
          <w:lang w:val="fr-FR"/>
        </w:rPr>
        <w:t xml:space="preserve">afin de </w:t>
      </w:r>
      <w:r w:rsidR="002D1EA8">
        <w:rPr>
          <w:rStyle w:val="Hyperlink"/>
          <w:color w:val="auto"/>
          <w:u w:val="none"/>
          <w:lang w:val="fr-FR"/>
        </w:rPr>
        <w:t xml:space="preserve">pouvoir évaluer le caractère approprié des activités proposées </w:t>
      </w:r>
      <w:r w:rsidR="007636CC">
        <w:rPr>
          <w:rStyle w:val="Hyperlink"/>
          <w:color w:val="auto"/>
          <w:u w:val="none"/>
          <w:lang w:val="fr-FR"/>
        </w:rPr>
        <w:t>pour financement</w:t>
      </w:r>
      <w:r w:rsidR="002D1EA8">
        <w:rPr>
          <w:rStyle w:val="Hyperlink"/>
          <w:color w:val="auto"/>
          <w:u w:val="none"/>
          <w:lang w:val="fr-FR"/>
        </w:rPr>
        <w:t xml:space="preserve">. </w:t>
      </w:r>
      <w:r w:rsidR="00764AA7">
        <w:rPr>
          <w:rStyle w:val="Hyperlink"/>
          <w:color w:val="auto"/>
          <w:u w:val="none"/>
          <w:lang w:val="fr-FR"/>
        </w:rPr>
        <w:t xml:space="preserve">Dans cette même décision, le Comité a délégué son autorité au Bureau afin que celui-ci prenne toute décision appropriée concernant une demande d’assistance internationale révisée émanant du Kenya. </w:t>
      </w:r>
    </w:p>
    <w:p w14:paraId="559F7EE1" w14:textId="7EE19731" w:rsidR="00C44C28" w:rsidRDefault="00C44C28" w:rsidP="00C44C28">
      <w:pPr>
        <w:pStyle w:val="GAParabodytext"/>
        <w:tabs>
          <w:tab w:val="clear" w:pos="360"/>
        </w:tabs>
        <w:rPr>
          <w:lang w:val="fr-FR"/>
        </w:rPr>
      </w:pPr>
      <w:r>
        <w:rPr>
          <w:lang w:val="fr-FR"/>
        </w:rPr>
        <w:t xml:space="preserve">Entre janvier et juillet 2016, le Secrétariat a </w:t>
      </w:r>
      <w:r w:rsidR="009D476C">
        <w:rPr>
          <w:lang w:val="fr-FR"/>
        </w:rPr>
        <w:t xml:space="preserve">assisté </w:t>
      </w:r>
      <w:r>
        <w:rPr>
          <w:lang w:val="fr-FR"/>
        </w:rPr>
        <w:t xml:space="preserve">sans discontinuer le </w:t>
      </w:r>
      <w:r w:rsidRPr="00C44C28">
        <w:rPr>
          <w:lang w:val="fr-FR"/>
        </w:rPr>
        <w:t xml:space="preserve">Département </w:t>
      </w:r>
      <w:r>
        <w:rPr>
          <w:lang w:val="fr-FR"/>
        </w:rPr>
        <w:t xml:space="preserve">de la culture du </w:t>
      </w:r>
      <w:r w:rsidRPr="00C44C28">
        <w:rPr>
          <w:lang w:val="fr-FR"/>
        </w:rPr>
        <w:t>Ministère</w:t>
      </w:r>
      <w:r>
        <w:rPr>
          <w:lang w:val="fr-FR"/>
        </w:rPr>
        <w:t xml:space="preserve"> des sports, d</w:t>
      </w:r>
      <w:r w:rsidR="00F47A6C">
        <w:rPr>
          <w:lang w:val="fr-FR"/>
        </w:rPr>
        <w:t>e la culture et des arts dans le</w:t>
      </w:r>
      <w:r>
        <w:rPr>
          <w:lang w:val="fr-FR"/>
        </w:rPr>
        <w:t xml:space="preserve"> proc</w:t>
      </w:r>
      <w:r w:rsidR="007636CC">
        <w:rPr>
          <w:lang w:val="fr-FR"/>
        </w:rPr>
        <w:t>essus</w:t>
      </w:r>
      <w:r>
        <w:rPr>
          <w:lang w:val="fr-FR"/>
        </w:rPr>
        <w:t xml:space="preserve"> de révision de la demande. Des efforts particuliers ont été accomplis afin d’établir un budget précis et détaillé qui prenne en </w:t>
      </w:r>
      <w:r w:rsidRPr="00C44C28">
        <w:rPr>
          <w:lang w:val="fr-FR"/>
        </w:rPr>
        <w:t>considération</w:t>
      </w:r>
      <w:r>
        <w:rPr>
          <w:lang w:val="fr-FR"/>
        </w:rPr>
        <w:t xml:space="preserve"> toutes les activités pour lesquelles le financement </w:t>
      </w:r>
      <w:r w:rsidR="007636CC">
        <w:rPr>
          <w:lang w:val="fr-FR"/>
        </w:rPr>
        <w:t xml:space="preserve">est </w:t>
      </w:r>
      <w:r>
        <w:rPr>
          <w:lang w:val="fr-FR"/>
        </w:rPr>
        <w:t xml:space="preserve">demandé. La demande révisée a été soumise au Secrétariat le 9 août 2016. </w:t>
      </w:r>
      <w:r w:rsidR="008F5C82">
        <w:rPr>
          <w:lang w:val="fr-FR"/>
        </w:rPr>
        <w:t xml:space="preserve">Par le présent document, il est demandé au Bureau d’évaluer si la révision répond de façon adéquate aux recommandations de l’Organe d'évaluation telles que détaillées dans la décision susmentionnée. </w:t>
      </w:r>
    </w:p>
    <w:p w14:paraId="7749D40C" w14:textId="19AC964D" w:rsidR="008B6E1C" w:rsidRPr="008F5C82" w:rsidRDefault="008F5C82" w:rsidP="008F5C82">
      <w:pPr>
        <w:pStyle w:val="GAParabodytext"/>
        <w:tabs>
          <w:tab w:val="clear" w:pos="360"/>
        </w:tabs>
        <w:rPr>
          <w:lang w:val="fr-FR"/>
        </w:rPr>
      </w:pPr>
      <w:r w:rsidRPr="008F5C82">
        <w:rPr>
          <w:lang w:val="fr-FR"/>
        </w:rPr>
        <w:t>Le Bureau du Comité intergouvernemental souhaitera peut-être adopter les décisions suivantes </w:t>
      </w:r>
    </w:p>
    <w:p w14:paraId="6658CC10" w14:textId="29651C00" w:rsidR="008B6E1C" w:rsidRPr="00D01265" w:rsidRDefault="008B6E1C" w:rsidP="008B6E1C">
      <w:pPr>
        <w:pStyle w:val="COMTitleDecision"/>
        <w:rPr>
          <w:rFonts w:eastAsia="SimSun"/>
          <w:lang w:val="fr-FR"/>
        </w:rPr>
      </w:pPr>
      <w:r w:rsidRPr="008F5C82">
        <w:rPr>
          <w:lang w:val="fr-FR"/>
        </w:rPr>
        <w:t>PRO</w:t>
      </w:r>
      <w:r w:rsidR="008F5C82" w:rsidRPr="008F5C82">
        <w:rPr>
          <w:lang w:val="fr-FR"/>
        </w:rPr>
        <w:t xml:space="preserve">JET DE </w:t>
      </w:r>
      <w:r w:rsidR="00D6499E">
        <w:rPr>
          <w:lang w:val="fr-FR"/>
        </w:rPr>
        <w:t>DÉCISION 11.COM 3.BUR 4</w:t>
      </w:r>
    </w:p>
    <w:p w14:paraId="77997DD1" w14:textId="77777777" w:rsidR="008B6E1C" w:rsidRPr="00D01265" w:rsidRDefault="008B6E1C" w:rsidP="008B6E1C">
      <w:pPr>
        <w:pStyle w:val="Marge"/>
        <w:keepNext/>
        <w:spacing w:before="240" w:after="120"/>
        <w:ind w:left="1134" w:hanging="567"/>
        <w:rPr>
          <w:rFonts w:cs="Arial"/>
          <w:caps/>
          <w:szCs w:val="22"/>
        </w:rPr>
      </w:pPr>
      <w:r w:rsidRPr="00D01265">
        <w:rPr>
          <w:rFonts w:cs="Arial"/>
          <w:szCs w:val="22"/>
        </w:rPr>
        <w:t>Le Bureau,</w:t>
      </w:r>
    </w:p>
    <w:p w14:paraId="567CAC5E" w14:textId="589E416B" w:rsidR="008B6E1C" w:rsidRPr="00D01265" w:rsidRDefault="008B6E1C" w:rsidP="008B6E1C">
      <w:pPr>
        <w:pStyle w:val="COMParaDecision"/>
        <w:numPr>
          <w:ilvl w:val="0"/>
          <w:numId w:val="2"/>
        </w:numPr>
        <w:ind w:left="1134" w:hanging="567"/>
        <w:rPr>
          <w:lang w:val="fr-FR"/>
        </w:rPr>
      </w:pPr>
      <w:r w:rsidRPr="00D01265">
        <w:rPr>
          <w:u w:val="single"/>
          <w:lang w:val="fr-FR"/>
        </w:rPr>
        <w:t>Rappelant</w:t>
      </w:r>
      <w:r w:rsidR="009D476C">
        <w:rPr>
          <w:lang w:val="fr-FR"/>
        </w:rPr>
        <w:t xml:space="preserve"> le c</w:t>
      </w:r>
      <w:r w:rsidRPr="00D01265">
        <w:rPr>
          <w:lang w:val="fr-FR"/>
        </w:rPr>
        <w:t>ha</w:t>
      </w:r>
      <w:r w:rsidR="009D476C">
        <w:rPr>
          <w:lang w:val="fr-FR"/>
        </w:rPr>
        <w:t>pitre V de la Convention et le c</w:t>
      </w:r>
      <w:r w:rsidR="008F5C82">
        <w:rPr>
          <w:lang w:val="fr-FR"/>
        </w:rPr>
        <w:t xml:space="preserve">hapitre I </w:t>
      </w:r>
      <w:r w:rsidRPr="00D01265">
        <w:rPr>
          <w:lang w:val="fr-FR"/>
        </w:rPr>
        <w:t>des Directives opérationnelles,</w:t>
      </w:r>
    </w:p>
    <w:p w14:paraId="6ECC1ECC" w14:textId="2E3DA25B" w:rsidR="008F5C82" w:rsidRPr="008F5C82" w:rsidRDefault="008F5C82" w:rsidP="008B6E1C">
      <w:pPr>
        <w:pStyle w:val="COMParaDecision"/>
        <w:numPr>
          <w:ilvl w:val="0"/>
          <w:numId w:val="2"/>
        </w:numPr>
        <w:ind w:left="1134" w:hanging="567"/>
        <w:rPr>
          <w:lang w:val="fr-FR"/>
        </w:rPr>
      </w:pPr>
      <w:r w:rsidRPr="008F5C82">
        <w:rPr>
          <w:u w:val="single"/>
          <w:lang w:val="fr-FR"/>
        </w:rPr>
        <w:t xml:space="preserve">Rappelant </w:t>
      </w:r>
      <w:r w:rsidR="007636CC">
        <w:rPr>
          <w:u w:val="single"/>
          <w:lang w:val="fr-FR"/>
        </w:rPr>
        <w:t>en outre</w:t>
      </w:r>
      <w:r>
        <w:rPr>
          <w:lang w:val="fr-FR"/>
        </w:rPr>
        <w:t xml:space="preserve"> le document ITH/15/10.COM 10.c ainsi que la décision 10.COM 10.c.2,</w:t>
      </w:r>
    </w:p>
    <w:p w14:paraId="07ED6C4A" w14:textId="3D7863DC" w:rsidR="008B6E1C" w:rsidRPr="00D01265" w:rsidRDefault="008B6E1C" w:rsidP="008B6E1C">
      <w:pPr>
        <w:pStyle w:val="COMParaDecision"/>
        <w:numPr>
          <w:ilvl w:val="0"/>
          <w:numId w:val="2"/>
        </w:numPr>
        <w:ind w:left="1134" w:hanging="567"/>
        <w:rPr>
          <w:lang w:val="fr-FR"/>
        </w:rPr>
      </w:pPr>
      <w:r w:rsidRPr="00D01265">
        <w:rPr>
          <w:u w:val="single"/>
          <w:lang w:val="fr-FR"/>
        </w:rPr>
        <w:t>Ayant examiné</w:t>
      </w:r>
      <w:r w:rsidRPr="00D01265">
        <w:rPr>
          <w:lang w:val="fr-FR"/>
        </w:rPr>
        <w:t xml:space="preserve"> </w:t>
      </w:r>
      <w:r w:rsidR="00A15E5C">
        <w:rPr>
          <w:lang w:val="fr-FR"/>
        </w:rPr>
        <w:t>le document ITH/16/11.COM </w:t>
      </w:r>
      <w:bookmarkStart w:id="0" w:name="_GoBack"/>
      <w:bookmarkEnd w:id="0"/>
      <w:r w:rsidR="008F5C82">
        <w:rPr>
          <w:lang w:val="fr-FR"/>
        </w:rPr>
        <w:t>3.BU</w:t>
      </w:r>
      <w:r w:rsidR="00D6499E">
        <w:rPr>
          <w:lang w:val="fr-FR"/>
        </w:rPr>
        <w:t>R/4</w:t>
      </w:r>
      <w:r w:rsidR="008F5C82">
        <w:rPr>
          <w:lang w:val="fr-FR"/>
        </w:rPr>
        <w:t xml:space="preserve"> ainsi que la demande d’assistance internationale </w:t>
      </w:r>
      <w:r w:rsidR="007636CC">
        <w:rPr>
          <w:lang w:val="fr-FR"/>
        </w:rPr>
        <w:t>n</w:t>
      </w:r>
      <w:r w:rsidR="008F5C82">
        <w:rPr>
          <w:lang w:val="fr-FR"/>
        </w:rPr>
        <w:t>° 00888</w:t>
      </w:r>
      <w:r w:rsidR="00132539">
        <w:rPr>
          <w:lang w:val="fr-FR"/>
        </w:rPr>
        <w:t>,</w:t>
      </w:r>
    </w:p>
    <w:p w14:paraId="3A601A11" w14:textId="0D02C541" w:rsidR="008B6E1C" w:rsidRDefault="008B6E1C" w:rsidP="008B6E1C">
      <w:pPr>
        <w:pStyle w:val="COMParaDecision"/>
        <w:numPr>
          <w:ilvl w:val="0"/>
          <w:numId w:val="2"/>
        </w:numPr>
        <w:ind w:left="1134" w:hanging="567"/>
        <w:rPr>
          <w:lang w:val="fr-FR"/>
        </w:rPr>
      </w:pPr>
      <w:r w:rsidRPr="008F5C82">
        <w:rPr>
          <w:u w:val="single"/>
          <w:lang w:val="fr-FR"/>
        </w:rPr>
        <w:t>Prend note</w:t>
      </w:r>
      <w:r w:rsidRPr="008F5C82">
        <w:rPr>
          <w:lang w:val="fr-FR"/>
        </w:rPr>
        <w:t xml:space="preserve"> </w:t>
      </w:r>
      <w:r w:rsidR="008F5C82" w:rsidRPr="008F5C82">
        <w:rPr>
          <w:lang w:val="fr-FR"/>
        </w:rPr>
        <w:t>que le Kenya a demand</w:t>
      </w:r>
      <w:r w:rsidR="007636CC">
        <w:rPr>
          <w:lang w:val="fr-FR"/>
        </w:rPr>
        <w:t>é</w:t>
      </w:r>
      <w:r w:rsidR="008F5C82" w:rsidRPr="008F5C82">
        <w:rPr>
          <w:lang w:val="fr-FR"/>
        </w:rPr>
        <w:t xml:space="preserve"> </w:t>
      </w:r>
      <w:r w:rsidR="007636CC">
        <w:rPr>
          <w:lang w:val="fr-FR"/>
        </w:rPr>
        <w:t xml:space="preserve">une </w:t>
      </w:r>
      <w:r w:rsidR="008F5C82" w:rsidRPr="008F5C82">
        <w:rPr>
          <w:lang w:val="fr-FR"/>
        </w:rPr>
        <w:t>assistance internationale pour un projet intitulé : « </w:t>
      </w:r>
      <w:r w:rsidR="007636CC">
        <w:rPr>
          <w:b/>
          <w:lang w:val="fr-FR"/>
        </w:rPr>
        <w:t>La s</w:t>
      </w:r>
      <w:r w:rsidR="008F5C82" w:rsidRPr="007A0425">
        <w:rPr>
          <w:b/>
          <w:lang w:val="fr-FR"/>
        </w:rPr>
        <w:t>auvegarde de Enkipaata, Eunoto et Olng’esherr, trois rites de passage masculins de la communauté masaï </w:t>
      </w:r>
      <w:r w:rsidR="008F5C82">
        <w:rPr>
          <w:lang w:val="fr-FR"/>
        </w:rPr>
        <w:t>»</w:t>
      </w:r>
    </w:p>
    <w:p w14:paraId="08F1C1D2" w14:textId="1680FD44" w:rsidR="007A0425" w:rsidRDefault="007A0425" w:rsidP="007A0425">
      <w:pPr>
        <w:pStyle w:val="COMParaDecision"/>
        <w:ind w:left="1134" w:firstLine="0"/>
        <w:rPr>
          <w:rFonts w:eastAsiaTheme="minorEastAsia"/>
          <w:color w:val="323133"/>
          <w:lang w:val="fr-FR"/>
        </w:rPr>
      </w:pPr>
      <w:r w:rsidRPr="007A0425">
        <w:rPr>
          <w:rFonts w:eastAsiaTheme="minorEastAsia"/>
          <w:color w:val="323133"/>
          <w:lang w:val="fr-FR"/>
        </w:rPr>
        <w:t>Les trois rites masculins de la communauté masaï représentent chacun une étape dans le passage des garçons à l’âge adulte – un processus appelé moranisme impliquant la transmission de connaissances autochtones incluant rituels, légendes, traditions et savoir-faire vitaux des Masaïs. Enkipaata est la première phase de l’initiation des garçons, Eu</w:t>
      </w:r>
      <w:r>
        <w:rPr>
          <w:rFonts w:eastAsiaTheme="minorEastAsia"/>
          <w:color w:val="323133"/>
          <w:lang w:val="fr-FR"/>
        </w:rPr>
        <w:t>noto le rasage rituel des morans (in</w:t>
      </w:r>
      <w:r w:rsidR="009D476C">
        <w:rPr>
          <w:rFonts w:eastAsiaTheme="minorEastAsia"/>
          <w:color w:val="323133"/>
          <w:lang w:val="fr-FR"/>
        </w:rPr>
        <w:t>i</w:t>
      </w:r>
      <w:r>
        <w:rPr>
          <w:rFonts w:eastAsiaTheme="minorEastAsia"/>
          <w:color w:val="323133"/>
          <w:lang w:val="fr-FR"/>
        </w:rPr>
        <w:t>tiés)</w:t>
      </w:r>
      <w:r w:rsidRPr="007A0425">
        <w:rPr>
          <w:rFonts w:eastAsiaTheme="minorEastAsia"/>
          <w:color w:val="323133"/>
          <w:lang w:val="fr-FR"/>
        </w:rPr>
        <w:t xml:space="preserve"> avant leur isolement dans la brousse à des fins d’entraînement et Olng’esherr, la cérémonie lors de laquelle on mange de la viande et qui marque la fin du statut de moran e</w:t>
      </w:r>
      <w:r>
        <w:rPr>
          <w:rFonts w:eastAsiaTheme="minorEastAsia"/>
          <w:color w:val="323133"/>
          <w:lang w:val="fr-FR"/>
        </w:rPr>
        <w:t>t le début de l’âge adulte</w:t>
      </w:r>
      <w:r w:rsidRPr="007A0425">
        <w:rPr>
          <w:rFonts w:eastAsiaTheme="minorEastAsia"/>
          <w:color w:val="323133"/>
          <w:lang w:val="fr-FR"/>
        </w:rPr>
        <w:t>. Les rites impliquent la communauté entière et mêlent chants, contes populaires, proverbes, énigmes et événements, conférant ainsi à la communauté masaï un sens d’identité et de continuité culturelles. Les modes de transmission traditionnels sont néanmoins en perte de vitesse considérable depuis le début des années 1980, du fait d’une fr</w:t>
      </w:r>
      <w:r>
        <w:rPr>
          <w:rFonts w:eastAsiaTheme="minorEastAsia"/>
          <w:color w:val="323133"/>
          <w:lang w:val="fr-FR"/>
        </w:rPr>
        <w:t>équence et d’une participation moindres</w:t>
      </w:r>
      <w:r w:rsidRPr="007A0425">
        <w:rPr>
          <w:rFonts w:eastAsiaTheme="minorEastAsia"/>
          <w:color w:val="323133"/>
          <w:lang w:val="fr-FR"/>
        </w:rPr>
        <w:t xml:space="preserve">, car la plupart des garçons restent aujourd’hui chez eux et reçoivent une éducation formelle. </w:t>
      </w:r>
      <w:r w:rsidR="001A6230">
        <w:rPr>
          <w:rFonts w:eastAsiaTheme="minorEastAsia"/>
          <w:color w:val="323133"/>
          <w:lang w:val="fr-FR"/>
        </w:rPr>
        <w:t xml:space="preserve">Mises en œuvre par le </w:t>
      </w:r>
      <w:r w:rsidR="001A6230" w:rsidRPr="001A6230">
        <w:rPr>
          <w:rFonts w:eastAsiaTheme="minorEastAsia"/>
          <w:color w:val="323133"/>
          <w:lang w:val="fr-FR"/>
        </w:rPr>
        <w:lastRenderedPageBreak/>
        <w:t xml:space="preserve">Département </w:t>
      </w:r>
      <w:r w:rsidR="001A6230">
        <w:rPr>
          <w:rFonts w:eastAsiaTheme="minorEastAsia"/>
          <w:color w:val="323133"/>
          <w:lang w:val="fr-FR"/>
        </w:rPr>
        <w:t xml:space="preserve">de la culture du </w:t>
      </w:r>
      <w:r w:rsidR="001A6230" w:rsidRPr="001A6230">
        <w:rPr>
          <w:rFonts w:eastAsiaTheme="minorEastAsia"/>
          <w:color w:val="323133"/>
          <w:lang w:val="fr-FR"/>
        </w:rPr>
        <w:t>Ministère</w:t>
      </w:r>
      <w:r w:rsidR="001A6230">
        <w:rPr>
          <w:rFonts w:eastAsiaTheme="minorEastAsia"/>
          <w:color w:val="323133"/>
          <w:lang w:val="fr-FR"/>
        </w:rPr>
        <w:t xml:space="preserve"> des sports, de la culture et des arts dans l’ensemble des neufs clans des communautés masaï, les activités organisées dans le cadre du projet prévoient : des ateliers destinés à promouvoir l</w:t>
      </w:r>
      <w:r w:rsidR="00B60D69">
        <w:rPr>
          <w:rFonts w:eastAsiaTheme="minorEastAsia"/>
          <w:color w:val="323133"/>
          <w:lang w:val="fr-FR"/>
        </w:rPr>
        <w:t xml:space="preserve">’établissement </w:t>
      </w:r>
      <w:r w:rsidR="001A6230">
        <w:rPr>
          <w:rFonts w:eastAsiaTheme="minorEastAsia"/>
          <w:color w:val="323133"/>
          <w:lang w:val="fr-FR"/>
        </w:rPr>
        <w:t xml:space="preserve">d’inventaires </w:t>
      </w:r>
      <w:r w:rsidR="00B60D69">
        <w:rPr>
          <w:rFonts w:eastAsiaTheme="minorEastAsia"/>
          <w:color w:val="323133"/>
          <w:lang w:val="fr-FR"/>
        </w:rPr>
        <w:t xml:space="preserve">avec la </w:t>
      </w:r>
      <w:r w:rsidR="001A6230" w:rsidRPr="001A6230">
        <w:rPr>
          <w:rFonts w:eastAsiaTheme="minorEastAsia"/>
          <w:color w:val="323133"/>
          <w:lang w:val="fr-FR"/>
        </w:rPr>
        <w:t>participation</w:t>
      </w:r>
      <w:r w:rsidR="001A6230">
        <w:rPr>
          <w:rFonts w:eastAsiaTheme="minorEastAsia"/>
          <w:color w:val="323133"/>
          <w:lang w:val="fr-FR"/>
        </w:rPr>
        <w:t xml:space="preserve"> </w:t>
      </w:r>
      <w:r w:rsidR="00B60D69">
        <w:rPr>
          <w:rFonts w:eastAsiaTheme="minorEastAsia"/>
          <w:color w:val="323133"/>
          <w:lang w:val="fr-FR"/>
        </w:rPr>
        <w:t xml:space="preserve">des </w:t>
      </w:r>
      <w:r w:rsidR="001A6230">
        <w:rPr>
          <w:rFonts w:eastAsiaTheme="minorEastAsia"/>
          <w:color w:val="323133"/>
          <w:lang w:val="fr-FR"/>
        </w:rPr>
        <w:t>communaut</w:t>
      </w:r>
      <w:r w:rsidR="00B60D69">
        <w:rPr>
          <w:rFonts w:eastAsiaTheme="minorEastAsia"/>
          <w:color w:val="323133"/>
          <w:lang w:val="fr-FR"/>
        </w:rPr>
        <w:t>és</w:t>
      </w:r>
      <w:r w:rsidR="001A6230">
        <w:rPr>
          <w:rFonts w:eastAsiaTheme="minorEastAsia"/>
          <w:color w:val="323133"/>
          <w:lang w:val="fr-FR"/>
        </w:rPr>
        <w:t xml:space="preserve"> du patrimoine culturel immatériel, un exercice de cartographie afin de protéger les espaces naturels associés, un travail de </w:t>
      </w:r>
      <w:r w:rsidR="001A6230" w:rsidRPr="001A6230">
        <w:rPr>
          <w:rFonts w:eastAsiaTheme="minorEastAsia"/>
          <w:color w:val="323133"/>
          <w:lang w:val="fr-FR"/>
        </w:rPr>
        <w:t>recherche</w:t>
      </w:r>
      <w:r w:rsidR="001A6230">
        <w:rPr>
          <w:rFonts w:eastAsiaTheme="minorEastAsia"/>
          <w:color w:val="323133"/>
          <w:lang w:val="fr-FR"/>
        </w:rPr>
        <w:t xml:space="preserve"> et de </w:t>
      </w:r>
      <w:r w:rsidR="001A6230" w:rsidRPr="001A6230">
        <w:rPr>
          <w:rFonts w:eastAsiaTheme="minorEastAsia"/>
          <w:color w:val="323133"/>
          <w:lang w:val="fr-FR"/>
        </w:rPr>
        <w:t>documentation</w:t>
      </w:r>
      <w:r w:rsidR="001A6230">
        <w:rPr>
          <w:rFonts w:eastAsiaTheme="minorEastAsia"/>
          <w:color w:val="323133"/>
          <w:lang w:val="fr-FR"/>
        </w:rPr>
        <w:t xml:space="preserve"> de la pratique, des réunions communautaires rassemblant les ainés et les jeunes afin de transmettre à ces derni</w:t>
      </w:r>
      <w:r w:rsidR="0022786B">
        <w:rPr>
          <w:rFonts w:eastAsiaTheme="minorEastAsia"/>
          <w:color w:val="323133"/>
          <w:lang w:val="fr-FR"/>
        </w:rPr>
        <w:t xml:space="preserve">ers les connaissances et </w:t>
      </w:r>
      <w:r w:rsidR="0022786B" w:rsidRPr="0022786B">
        <w:rPr>
          <w:rFonts w:eastAsiaTheme="minorEastAsia"/>
          <w:color w:val="323133"/>
          <w:lang w:val="fr-FR"/>
        </w:rPr>
        <w:t>savoir-faire</w:t>
      </w:r>
      <w:r w:rsidR="001A6230">
        <w:rPr>
          <w:rFonts w:eastAsiaTheme="minorEastAsia"/>
          <w:color w:val="323133"/>
          <w:lang w:val="fr-FR"/>
        </w:rPr>
        <w:t xml:space="preserve"> nécessaires à la </w:t>
      </w:r>
      <w:r w:rsidR="001A6230" w:rsidRPr="001A6230">
        <w:rPr>
          <w:rFonts w:eastAsiaTheme="minorEastAsia"/>
          <w:color w:val="323133"/>
          <w:lang w:val="fr-FR"/>
        </w:rPr>
        <w:t>sauvegarde</w:t>
      </w:r>
      <w:r w:rsidR="001A6230">
        <w:rPr>
          <w:rFonts w:eastAsiaTheme="minorEastAsia"/>
          <w:color w:val="323133"/>
          <w:lang w:val="fr-FR"/>
        </w:rPr>
        <w:t xml:space="preserve"> de la pratique, ainsi que le parrainage des jeunes à des fins de </w:t>
      </w:r>
      <w:r w:rsidR="001A6230" w:rsidRPr="001A6230">
        <w:rPr>
          <w:rFonts w:eastAsiaTheme="minorEastAsia"/>
          <w:color w:val="323133"/>
          <w:lang w:val="fr-FR"/>
        </w:rPr>
        <w:t xml:space="preserve">transmission </w:t>
      </w:r>
      <w:r w:rsidR="001A6230">
        <w:rPr>
          <w:rFonts w:eastAsiaTheme="minorEastAsia"/>
          <w:color w:val="323133"/>
          <w:lang w:val="fr-FR"/>
        </w:rPr>
        <w:t xml:space="preserve">future. </w:t>
      </w:r>
    </w:p>
    <w:p w14:paraId="5385DC71" w14:textId="6D80CFA6" w:rsidR="0061270B" w:rsidRDefault="008B6E1C" w:rsidP="0061270B">
      <w:pPr>
        <w:pStyle w:val="COMParaDecision"/>
        <w:numPr>
          <w:ilvl w:val="0"/>
          <w:numId w:val="2"/>
        </w:numPr>
        <w:ind w:left="1134" w:hanging="567"/>
        <w:rPr>
          <w:lang w:val="fr-FR"/>
        </w:rPr>
      </w:pPr>
      <w:r w:rsidRPr="00D01265">
        <w:rPr>
          <w:u w:val="single"/>
          <w:lang w:val="fr-FR"/>
        </w:rPr>
        <w:t>Prend également note</w:t>
      </w:r>
      <w:r w:rsidR="0061270B">
        <w:rPr>
          <w:lang w:val="fr-FR"/>
        </w:rPr>
        <w:t xml:space="preserve"> que cette assistance concerne le soutien à un projet d</w:t>
      </w:r>
      <w:r w:rsidR="007636CC">
        <w:rPr>
          <w:lang w:val="fr-FR"/>
        </w:rPr>
        <w:t>e portée</w:t>
      </w:r>
      <w:r w:rsidR="0061270B">
        <w:rPr>
          <w:lang w:val="fr-FR"/>
        </w:rPr>
        <w:t xml:space="preserve"> locale destiné à sauvegarder le patrimoine culturel immatériel </w:t>
      </w:r>
      <w:r w:rsidR="0061270B" w:rsidRPr="0061270B">
        <w:rPr>
          <w:lang w:val="fr-FR"/>
        </w:rPr>
        <w:t>conformément</w:t>
      </w:r>
      <w:r w:rsidR="00132539">
        <w:rPr>
          <w:lang w:val="fr-FR"/>
        </w:rPr>
        <w:t xml:space="preserve"> à l’a</w:t>
      </w:r>
      <w:r w:rsidR="0061270B">
        <w:rPr>
          <w:lang w:val="fr-FR"/>
        </w:rPr>
        <w:t xml:space="preserve">rticle 20(c) de la </w:t>
      </w:r>
      <w:r w:rsidR="0061270B" w:rsidRPr="0061270B">
        <w:rPr>
          <w:lang w:val="fr-FR"/>
        </w:rPr>
        <w:t>Convention</w:t>
      </w:r>
      <w:r w:rsidR="0061270B">
        <w:rPr>
          <w:lang w:val="fr-FR"/>
        </w:rPr>
        <w:t xml:space="preserve">, et qu’elle prend la forme d’un octroi d’un don </w:t>
      </w:r>
      <w:r w:rsidR="0061270B" w:rsidRPr="0061270B">
        <w:rPr>
          <w:lang w:val="fr-FR"/>
        </w:rPr>
        <w:t>conformément</w:t>
      </w:r>
      <w:r w:rsidR="00132539">
        <w:rPr>
          <w:lang w:val="fr-FR"/>
        </w:rPr>
        <w:t xml:space="preserve"> à l’a</w:t>
      </w:r>
      <w:r w:rsidR="0061270B">
        <w:rPr>
          <w:lang w:val="fr-FR"/>
        </w:rPr>
        <w:t xml:space="preserve">rticle 21(g) de la </w:t>
      </w:r>
      <w:r w:rsidR="0061270B" w:rsidRPr="0061270B">
        <w:rPr>
          <w:lang w:val="fr-FR"/>
        </w:rPr>
        <w:t>Convention</w:t>
      </w:r>
      <w:r w:rsidR="0061270B">
        <w:rPr>
          <w:lang w:val="fr-FR"/>
        </w:rPr>
        <w:t> ;</w:t>
      </w:r>
    </w:p>
    <w:p w14:paraId="48647390" w14:textId="4BC06410" w:rsidR="0061270B" w:rsidRPr="00D01265" w:rsidRDefault="0061270B" w:rsidP="0061270B">
      <w:pPr>
        <w:pStyle w:val="COMParaDecision"/>
        <w:numPr>
          <w:ilvl w:val="0"/>
          <w:numId w:val="2"/>
        </w:numPr>
        <w:ind w:left="1134" w:hanging="567"/>
        <w:rPr>
          <w:lang w:val="fr-FR"/>
        </w:rPr>
      </w:pPr>
      <w:r w:rsidRPr="0061270B">
        <w:rPr>
          <w:u w:val="single"/>
          <w:lang w:val="fr-FR"/>
        </w:rPr>
        <w:t>Prend note</w:t>
      </w:r>
      <w:r w:rsidR="00B72904">
        <w:rPr>
          <w:u w:val="single"/>
          <w:lang w:val="fr-FR"/>
        </w:rPr>
        <w:t xml:space="preserve"> en outre</w:t>
      </w:r>
      <w:r>
        <w:rPr>
          <w:lang w:val="fr-FR"/>
        </w:rPr>
        <w:t xml:space="preserve"> que le Kenya</w:t>
      </w:r>
      <w:r w:rsidRPr="0061270B">
        <w:rPr>
          <w:lang w:val="fr-FR"/>
        </w:rPr>
        <w:t xml:space="preserve"> </w:t>
      </w:r>
      <w:r>
        <w:rPr>
          <w:lang w:val="fr-FR"/>
        </w:rPr>
        <w:t>a demandé que la somme de 144</w:t>
      </w:r>
      <w:r w:rsidR="00B72904">
        <w:rPr>
          <w:lang w:val="fr-FR"/>
        </w:rPr>
        <w:t> </w:t>
      </w:r>
      <w:r>
        <w:rPr>
          <w:lang w:val="fr-FR"/>
        </w:rPr>
        <w:t>430</w:t>
      </w:r>
      <w:r w:rsidR="00B72904">
        <w:rPr>
          <w:lang w:val="fr-FR"/>
        </w:rPr>
        <w:t> </w:t>
      </w:r>
      <w:r w:rsidRPr="003341CD">
        <w:rPr>
          <w:lang w:val="fr-FR"/>
        </w:rPr>
        <w:t>dollars des États-Unis</w:t>
      </w:r>
      <w:r w:rsidR="00132539">
        <w:rPr>
          <w:lang w:val="fr-FR"/>
        </w:rPr>
        <w:t xml:space="preserve"> soit allouée</w:t>
      </w:r>
      <w:r>
        <w:rPr>
          <w:lang w:val="fr-FR"/>
        </w:rPr>
        <w:t xml:space="preserve"> par le Fonds du patrimoine culturel immatériel pour la mise en œuvre du projet</w:t>
      </w:r>
      <w:r w:rsidR="00132539">
        <w:rPr>
          <w:lang w:val="fr-FR"/>
        </w:rPr>
        <w:t> ;</w:t>
      </w:r>
    </w:p>
    <w:p w14:paraId="4E810146" w14:textId="73C1EFCB" w:rsidR="0061270B" w:rsidRPr="0061270B" w:rsidRDefault="0061270B" w:rsidP="0061270B">
      <w:pPr>
        <w:pStyle w:val="COMParaDecision"/>
        <w:numPr>
          <w:ilvl w:val="0"/>
          <w:numId w:val="2"/>
        </w:numPr>
        <w:ind w:left="1134" w:hanging="567"/>
        <w:rPr>
          <w:u w:val="single"/>
          <w:lang w:val="fr-FR"/>
        </w:rPr>
      </w:pPr>
      <w:r w:rsidRPr="0061270B">
        <w:rPr>
          <w:u w:val="single"/>
          <w:lang w:val="fr-FR"/>
        </w:rPr>
        <w:t>Décide</w:t>
      </w:r>
      <w:r>
        <w:rPr>
          <w:lang w:val="fr-FR"/>
        </w:rPr>
        <w:t xml:space="preserve"> </w:t>
      </w:r>
      <w:r w:rsidR="00114532">
        <w:rPr>
          <w:lang w:val="fr-FR"/>
        </w:rPr>
        <w:t>sur la base</w:t>
      </w:r>
      <w:r>
        <w:rPr>
          <w:lang w:val="fr-FR"/>
        </w:rPr>
        <w:t xml:space="preserve"> </w:t>
      </w:r>
      <w:r w:rsidR="00114532">
        <w:rPr>
          <w:lang w:val="fr-FR"/>
        </w:rPr>
        <w:t>d</w:t>
      </w:r>
      <w:r>
        <w:rPr>
          <w:lang w:val="fr-FR"/>
        </w:rPr>
        <w:t xml:space="preserve">es </w:t>
      </w:r>
      <w:r w:rsidRPr="003341CD">
        <w:rPr>
          <w:lang w:val="fr-FR"/>
        </w:rPr>
        <w:t>informations</w:t>
      </w:r>
      <w:r>
        <w:rPr>
          <w:lang w:val="fr-FR"/>
        </w:rPr>
        <w:t xml:space="preserve"> présentées dans le dossier </w:t>
      </w:r>
      <w:r w:rsidR="00114532">
        <w:rPr>
          <w:lang w:val="fr-FR"/>
        </w:rPr>
        <w:t>n°</w:t>
      </w:r>
      <w:r>
        <w:rPr>
          <w:lang w:val="fr-FR"/>
        </w:rPr>
        <w:t xml:space="preserve"> 00888</w:t>
      </w:r>
      <w:r w:rsidR="00114532">
        <w:rPr>
          <w:lang w:val="fr-FR"/>
        </w:rPr>
        <w:t xml:space="preserve"> que</w:t>
      </w:r>
      <w:r>
        <w:rPr>
          <w:lang w:val="fr-FR"/>
        </w:rPr>
        <w:t xml:space="preserve"> la demande satisfait comme suit aux critères d’octroi d’assistance internationale énoncés aux </w:t>
      </w:r>
      <w:r w:rsidRPr="003341CD">
        <w:rPr>
          <w:lang w:val="fr-FR"/>
        </w:rPr>
        <w:t>p</w:t>
      </w:r>
      <w:r>
        <w:rPr>
          <w:lang w:val="fr-FR"/>
        </w:rPr>
        <w:t>aragraphes 10 et 12 des Directives opérationnelles :</w:t>
      </w:r>
    </w:p>
    <w:p w14:paraId="57DD3805" w14:textId="7219441E" w:rsidR="0061270B" w:rsidRDefault="0061270B" w:rsidP="0061270B">
      <w:pPr>
        <w:pStyle w:val="COMParaDecision"/>
        <w:ind w:left="1134" w:firstLine="0"/>
        <w:rPr>
          <w:lang w:val="fr-FR"/>
        </w:rPr>
      </w:pPr>
      <w:r w:rsidRPr="0061270B">
        <w:rPr>
          <w:b/>
          <w:lang w:val="fr-FR"/>
        </w:rPr>
        <w:t>Critère A.1 </w:t>
      </w:r>
      <w:r w:rsidRPr="0061270B">
        <w:rPr>
          <w:lang w:val="fr-FR"/>
        </w:rPr>
        <w:t>:</w:t>
      </w:r>
      <w:r>
        <w:rPr>
          <w:lang w:val="fr-FR"/>
        </w:rPr>
        <w:t xml:space="preserve"> </w:t>
      </w:r>
      <w:r w:rsidR="00646FD4">
        <w:rPr>
          <w:lang w:val="fr-FR"/>
        </w:rPr>
        <w:t xml:space="preserve">La demande établit clairement la </w:t>
      </w:r>
      <w:r w:rsidR="00646FD4" w:rsidRPr="00646FD4">
        <w:rPr>
          <w:lang w:val="fr-FR"/>
        </w:rPr>
        <w:t>participation</w:t>
      </w:r>
      <w:r w:rsidR="00646FD4">
        <w:rPr>
          <w:lang w:val="fr-FR"/>
        </w:rPr>
        <w:t xml:space="preserve"> active des communautés masaï à la </w:t>
      </w:r>
      <w:r w:rsidR="00646FD4" w:rsidRPr="00646FD4">
        <w:rPr>
          <w:lang w:val="fr-FR"/>
        </w:rPr>
        <w:t>préparation</w:t>
      </w:r>
      <w:r w:rsidR="00646FD4">
        <w:rPr>
          <w:lang w:val="fr-FR"/>
        </w:rPr>
        <w:t>, la mise en œuvre et l’</w:t>
      </w:r>
      <w:r w:rsidR="00646FD4" w:rsidRPr="00646FD4">
        <w:rPr>
          <w:lang w:val="fr-FR"/>
        </w:rPr>
        <w:t>évaluation</w:t>
      </w:r>
      <w:r w:rsidR="00646FD4">
        <w:rPr>
          <w:lang w:val="fr-FR"/>
        </w:rPr>
        <w:t xml:space="preserve"> du projet ; le conseil des ainés des neufs clans de la </w:t>
      </w:r>
      <w:r w:rsidR="00646FD4" w:rsidRPr="00646FD4">
        <w:rPr>
          <w:lang w:val="fr-FR"/>
        </w:rPr>
        <w:t>communauté</w:t>
      </w:r>
      <w:r w:rsidR="00132539">
        <w:rPr>
          <w:lang w:val="fr-FR"/>
        </w:rPr>
        <w:t xml:space="preserve"> masaï a travaillé en </w:t>
      </w:r>
      <w:r w:rsidR="00132539" w:rsidRPr="00132539">
        <w:rPr>
          <w:lang w:val="fr-FR"/>
        </w:rPr>
        <w:t>collaboration</w:t>
      </w:r>
      <w:r w:rsidR="00132539">
        <w:rPr>
          <w:lang w:val="fr-FR"/>
        </w:rPr>
        <w:t xml:space="preserve"> avec </w:t>
      </w:r>
      <w:r w:rsidR="00646FD4">
        <w:rPr>
          <w:lang w:val="fr-FR"/>
        </w:rPr>
        <w:t xml:space="preserve">le </w:t>
      </w:r>
      <w:r w:rsidR="00646FD4" w:rsidRPr="00646FD4">
        <w:rPr>
          <w:lang w:val="fr-FR"/>
        </w:rPr>
        <w:t xml:space="preserve">Département </w:t>
      </w:r>
      <w:r w:rsidR="00646FD4">
        <w:rPr>
          <w:lang w:val="fr-FR"/>
        </w:rPr>
        <w:t xml:space="preserve">de la culture à la </w:t>
      </w:r>
      <w:r w:rsidR="00646FD4" w:rsidRPr="00646FD4">
        <w:rPr>
          <w:lang w:val="fr-FR"/>
        </w:rPr>
        <w:t>préparation</w:t>
      </w:r>
      <w:r w:rsidR="00646FD4">
        <w:rPr>
          <w:lang w:val="fr-FR"/>
        </w:rPr>
        <w:t xml:space="preserve"> de la demande ; le rôle central des </w:t>
      </w:r>
      <w:r w:rsidR="00646FD4" w:rsidRPr="00646FD4">
        <w:rPr>
          <w:lang w:val="fr-FR"/>
        </w:rPr>
        <w:t>communauté</w:t>
      </w:r>
      <w:r w:rsidR="00646FD4">
        <w:rPr>
          <w:lang w:val="fr-FR"/>
        </w:rPr>
        <w:t xml:space="preserve">s masaï tout au long des différentes phases du projet est </w:t>
      </w:r>
      <w:r w:rsidR="00114532">
        <w:rPr>
          <w:lang w:val="fr-FR"/>
        </w:rPr>
        <w:t xml:space="preserve">bien </w:t>
      </w:r>
      <w:r w:rsidR="00646FD4">
        <w:rPr>
          <w:lang w:val="fr-FR"/>
        </w:rPr>
        <w:t xml:space="preserve">décrit dans la demande, y compris leur </w:t>
      </w:r>
      <w:r w:rsidR="00646FD4" w:rsidRPr="00646FD4">
        <w:rPr>
          <w:lang w:val="fr-FR"/>
        </w:rPr>
        <w:t>participation</w:t>
      </w:r>
      <w:r w:rsidR="00646FD4">
        <w:rPr>
          <w:lang w:val="fr-FR"/>
        </w:rPr>
        <w:t xml:space="preserve"> aux activités de </w:t>
      </w:r>
      <w:r w:rsidR="00646FD4" w:rsidRPr="00646FD4">
        <w:rPr>
          <w:lang w:val="fr-FR"/>
        </w:rPr>
        <w:t>recherche</w:t>
      </w:r>
      <w:r w:rsidR="00646FD4">
        <w:rPr>
          <w:lang w:val="fr-FR"/>
        </w:rPr>
        <w:t xml:space="preserve">, de </w:t>
      </w:r>
      <w:r w:rsidR="00646FD4" w:rsidRPr="00646FD4">
        <w:rPr>
          <w:lang w:val="fr-FR"/>
        </w:rPr>
        <w:t>documentation</w:t>
      </w:r>
      <w:r w:rsidR="00646FD4">
        <w:rPr>
          <w:lang w:val="fr-FR"/>
        </w:rPr>
        <w:t xml:space="preserve"> et d’</w:t>
      </w:r>
      <w:r w:rsidR="00646FD4" w:rsidRPr="00646FD4">
        <w:rPr>
          <w:lang w:val="fr-FR"/>
        </w:rPr>
        <w:t>inventaire</w:t>
      </w:r>
      <w:r w:rsidR="00646FD4">
        <w:rPr>
          <w:lang w:val="fr-FR"/>
        </w:rPr>
        <w:t xml:space="preserve">, leur </w:t>
      </w:r>
      <w:r w:rsidR="00646FD4" w:rsidRPr="00646FD4">
        <w:rPr>
          <w:lang w:val="fr-FR"/>
        </w:rPr>
        <w:t>consentement</w:t>
      </w:r>
      <w:r w:rsidR="00646FD4">
        <w:rPr>
          <w:lang w:val="fr-FR"/>
        </w:rPr>
        <w:t xml:space="preserve"> </w:t>
      </w:r>
      <w:r w:rsidR="00646FD4" w:rsidRPr="00646FD4">
        <w:rPr>
          <w:lang w:val="fr-FR"/>
        </w:rPr>
        <w:t>libre, préalable et éclairé</w:t>
      </w:r>
      <w:r w:rsidR="00646FD4">
        <w:rPr>
          <w:lang w:val="fr-FR"/>
        </w:rPr>
        <w:t xml:space="preserve"> à la collecte de données et leur </w:t>
      </w:r>
      <w:r w:rsidR="00646FD4" w:rsidRPr="00646FD4">
        <w:rPr>
          <w:lang w:val="fr-FR"/>
        </w:rPr>
        <w:t>participation</w:t>
      </w:r>
      <w:r w:rsidR="00646FD4">
        <w:rPr>
          <w:lang w:val="fr-FR"/>
        </w:rPr>
        <w:t xml:space="preserve"> aux programmes de </w:t>
      </w:r>
      <w:r w:rsidR="00132539">
        <w:rPr>
          <w:lang w:val="fr-FR"/>
        </w:rPr>
        <w:t xml:space="preserve">mentorat </w:t>
      </w:r>
      <w:r w:rsidR="00646FD4">
        <w:rPr>
          <w:lang w:val="fr-FR"/>
        </w:rPr>
        <w:t>organisés pendant les vacances scolaires.</w:t>
      </w:r>
    </w:p>
    <w:p w14:paraId="5D8BE2FA" w14:textId="4E571906" w:rsidR="00646FD4" w:rsidRDefault="00233B1E" w:rsidP="0061270B">
      <w:pPr>
        <w:pStyle w:val="COMParaDecision"/>
        <w:ind w:left="1134" w:firstLine="0"/>
        <w:rPr>
          <w:lang w:val="fr-FR"/>
        </w:rPr>
      </w:pPr>
      <w:r w:rsidRPr="00233B1E">
        <w:rPr>
          <w:b/>
          <w:lang w:val="fr-FR"/>
        </w:rPr>
        <w:t>Critère A.2 </w:t>
      </w:r>
      <w:r>
        <w:rPr>
          <w:lang w:val="fr-FR"/>
        </w:rPr>
        <w:t xml:space="preserve">: Le budget proposé est ventilé de façon </w:t>
      </w:r>
      <w:r w:rsidRPr="00233B1E">
        <w:rPr>
          <w:lang w:val="fr-FR"/>
        </w:rPr>
        <w:t xml:space="preserve">suffisamment </w:t>
      </w:r>
      <w:r>
        <w:rPr>
          <w:lang w:val="fr-FR"/>
        </w:rPr>
        <w:t xml:space="preserve">détaillée et est cohérent avec les activités prévues, démontrant ainsi la </w:t>
      </w:r>
      <w:r w:rsidR="00114532">
        <w:rPr>
          <w:lang w:val="fr-FR"/>
        </w:rPr>
        <w:t>pertinen</w:t>
      </w:r>
      <w:r w:rsidR="002E3245">
        <w:rPr>
          <w:lang w:val="fr-FR"/>
        </w:rPr>
        <w:t>c</w:t>
      </w:r>
      <w:r w:rsidR="00114532">
        <w:rPr>
          <w:lang w:val="fr-FR"/>
        </w:rPr>
        <w:t xml:space="preserve">e </w:t>
      </w:r>
      <w:r>
        <w:rPr>
          <w:lang w:val="fr-FR"/>
        </w:rPr>
        <w:t>du montant de l’</w:t>
      </w:r>
      <w:r w:rsidRPr="00233B1E">
        <w:rPr>
          <w:lang w:val="fr-FR"/>
        </w:rPr>
        <w:t>assistance</w:t>
      </w:r>
      <w:r>
        <w:rPr>
          <w:lang w:val="fr-FR"/>
        </w:rPr>
        <w:t xml:space="preserve"> demandée.</w:t>
      </w:r>
    </w:p>
    <w:p w14:paraId="027FCBD4" w14:textId="46C4EE96" w:rsidR="00233B1E" w:rsidRDefault="00233B1E" w:rsidP="00233B1E">
      <w:pPr>
        <w:pStyle w:val="COMParaDecision"/>
        <w:ind w:left="1134" w:firstLine="0"/>
        <w:rPr>
          <w:lang w:val="fr-FR"/>
        </w:rPr>
      </w:pPr>
      <w:r>
        <w:rPr>
          <w:b/>
          <w:lang w:val="fr-FR"/>
        </w:rPr>
        <w:t>Critère A</w:t>
      </w:r>
      <w:r w:rsidRPr="0022786B">
        <w:rPr>
          <w:b/>
          <w:lang w:val="fr-FR"/>
        </w:rPr>
        <w:t>.3 </w:t>
      </w:r>
      <w:r>
        <w:rPr>
          <w:lang w:val="fr-FR"/>
        </w:rPr>
        <w:t xml:space="preserve">: Le projet est bien structuré et décrit une série de huit </w:t>
      </w:r>
      <w:r w:rsidRPr="00233B1E">
        <w:rPr>
          <w:lang w:val="fr-FR"/>
        </w:rPr>
        <w:t>activités</w:t>
      </w:r>
      <w:r>
        <w:rPr>
          <w:lang w:val="fr-FR"/>
        </w:rPr>
        <w:t>, depuis les réunions préliminaires, la formation sur l’</w:t>
      </w:r>
      <w:r w:rsidRPr="00233B1E">
        <w:rPr>
          <w:lang w:val="fr-FR"/>
        </w:rPr>
        <w:t>inventaire</w:t>
      </w:r>
      <w:r>
        <w:rPr>
          <w:lang w:val="fr-FR"/>
        </w:rPr>
        <w:t xml:space="preserve"> </w:t>
      </w:r>
      <w:r w:rsidR="002E3245">
        <w:rPr>
          <w:lang w:val="fr-FR"/>
        </w:rPr>
        <w:t xml:space="preserve">avec la </w:t>
      </w:r>
      <w:r w:rsidRPr="00233B1E">
        <w:rPr>
          <w:lang w:val="fr-FR"/>
        </w:rPr>
        <w:t>participation</w:t>
      </w:r>
      <w:r>
        <w:rPr>
          <w:lang w:val="fr-FR"/>
        </w:rPr>
        <w:t xml:space="preserve"> </w:t>
      </w:r>
      <w:r w:rsidR="002E3245">
        <w:rPr>
          <w:lang w:val="fr-FR"/>
        </w:rPr>
        <w:t xml:space="preserve">des </w:t>
      </w:r>
      <w:r>
        <w:rPr>
          <w:lang w:val="fr-FR"/>
        </w:rPr>
        <w:t>communaut</w:t>
      </w:r>
      <w:r w:rsidR="002E3245">
        <w:rPr>
          <w:lang w:val="fr-FR"/>
        </w:rPr>
        <w:t>és</w:t>
      </w:r>
      <w:r>
        <w:rPr>
          <w:lang w:val="fr-FR"/>
        </w:rPr>
        <w:t xml:space="preserve">, un exercice de cartographie, des travaux de </w:t>
      </w:r>
      <w:r w:rsidRPr="00233B1E">
        <w:rPr>
          <w:lang w:val="fr-FR"/>
        </w:rPr>
        <w:t>recherche</w:t>
      </w:r>
      <w:r>
        <w:rPr>
          <w:lang w:val="fr-FR"/>
        </w:rPr>
        <w:t xml:space="preserve"> et de </w:t>
      </w:r>
      <w:r w:rsidRPr="00233B1E">
        <w:rPr>
          <w:lang w:val="fr-FR"/>
        </w:rPr>
        <w:t>documentation</w:t>
      </w:r>
      <w:r>
        <w:rPr>
          <w:lang w:val="fr-FR"/>
        </w:rPr>
        <w:t xml:space="preserve"> ainsi que des activités éducatives, jusqu’au suivi et à l’</w:t>
      </w:r>
      <w:r w:rsidRPr="00233B1E">
        <w:rPr>
          <w:lang w:val="fr-FR"/>
        </w:rPr>
        <w:t>évaluation</w:t>
      </w:r>
      <w:r>
        <w:rPr>
          <w:lang w:val="fr-FR"/>
        </w:rPr>
        <w:t xml:space="preserve"> du projet ; les activités semblent conçues</w:t>
      </w:r>
      <w:r w:rsidR="002E3245">
        <w:rPr>
          <w:lang w:val="fr-FR"/>
        </w:rPr>
        <w:t xml:space="preserve"> de façon adéquate</w:t>
      </w:r>
      <w:r>
        <w:rPr>
          <w:lang w:val="fr-FR"/>
        </w:rPr>
        <w:t xml:space="preserve"> afin d’obtenir les résultats escomptés selon le calendrier défini qui semble lui-même réaliste </w:t>
      </w:r>
      <w:r w:rsidR="0022786B">
        <w:rPr>
          <w:lang w:val="fr-FR"/>
        </w:rPr>
        <w:t xml:space="preserve">et s’étale sur une période de trois ans. </w:t>
      </w:r>
    </w:p>
    <w:p w14:paraId="36E42B31" w14:textId="5D6E3D3C" w:rsidR="0022786B" w:rsidRDefault="0022786B" w:rsidP="00233B1E">
      <w:pPr>
        <w:pStyle w:val="COMParaDecision"/>
        <w:ind w:left="1134" w:firstLine="0"/>
        <w:rPr>
          <w:lang w:val="fr-FR" w:eastAsia="en-US"/>
        </w:rPr>
      </w:pPr>
      <w:r w:rsidRPr="0022786B">
        <w:rPr>
          <w:b/>
          <w:lang w:val="fr-FR"/>
        </w:rPr>
        <w:t>Critère A.4 </w:t>
      </w:r>
      <w:r>
        <w:rPr>
          <w:lang w:val="fr-FR"/>
        </w:rPr>
        <w:t xml:space="preserve">: On attend de la </w:t>
      </w:r>
      <w:r w:rsidRPr="0022786B">
        <w:rPr>
          <w:lang w:val="fr-FR"/>
        </w:rPr>
        <w:t>participation</w:t>
      </w:r>
      <w:r>
        <w:rPr>
          <w:lang w:val="fr-FR"/>
        </w:rPr>
        <w:t xml:space="preserve"> active des </w:t>
      </w:r>
      <w:r w:rsidRPr="0022786B">
        <w:rPr>
          <w:lang w:val="fr-FR"/>
        </w:rPr>
        <w:t>communauté</w:t>
      </w:r>
      <w:r>
        <w:rPr>
          <w:lang w:val="fr-FR"/>
        </w:rPr>
        <w:t>s, y c</w:t>
      </w:r>
      <w:r w:rsidR="00132539">
        <w:rPr>
          <w:lang w:val="fr-FR"/>
        </w:rPr>
        <w:t>ompris des jeunes, qu’elle rende le projet pérenne</w:t>
      </w:r>
      <w:r>
        <w:rPr>
          <w:lang w:val="fr-FR"/>
        </w:rPr>
        <w:t xml:space="preserve"> une fois celui-ci achevé, grâce </w:t>
      </w:r>
      <w:r w:rsidR="00132539">
        <w:rPr>
          <w:lang w:val="fr-FR"/>
        </w:rPr>
        <w:t>à l’amélioration des</w:t>
      </w:r>
      <w:r>
        <w:rPr>
          <w:lang w:val="fr-FR"/>
        </w:rPr>
        <w:t xml:space="preserve"> connaissances et </w:t>
      </w:r>
      <w:r w:rsidRPr="0022786B">
        <w:rPr>
          <w:lang w:val="fr-FR"/>
        </w:rPr>
        <w:t>savoir-faire</w:t>
      </w:r>
      <w:r w:rsidR="00132539">
        <w:rPr>
          <w:lang w:val="fr-FR"/>
        </w:rPr>
        <w:t xml:space="preserve"> </w:t>
      </w:r>
      <w:r>
        <w:rPr>
          <w:lang w:val="fr-FR"/>
        </w:rPr>
        <w:t xml:space="preserve">en matière d’inventaire </w:t>
      </w:r>
      <w:r w:rsidR="002E3245">
        <w:rPr>
          <w:lang w:val="fr-FR"/>
        </w:rPr>
        <w:t xml:space="preserve">avec la </w:t>
      </w:r>
      <w:r w:rsidRPr="0022786B">
        <w:rPr>
          <w:lang w:val="fr-FR"/>
        </w:rPr>
        <w:t>participation</w:t>
      </w:r>
      <w:r>
        <w:rPr>
          <w:lang w:val="fr-FR"/>
        </w:rPr>
        <w:t xml:space="preserve"> </w:t>
      </w:r>
      <w:r w:rsidR="002E3245">
        <w:rPr>
          <w:lang w:val="fr-FR"/>
        </w:rPr>
        <w:t xml:space="preserve">des </w:t>
      </w:r>
      <w:r>
        <w:rPr>
          <w:lang w:val="fr-FR"/>
        </w:rPr>
        <w:t>communaut</w:t>
      </w:r>
      <w:r w:rsidR="002E3245">
        <w:rPr>
          <w:lang w:val="fr-FR"/>
        </w:rPr>
        <w:t>és</w:t>
      </w:r>
      <w:r>
        <w:rPr>
          <w:lang w:val="fr-FR"/>
        </w:rPr>
        <w:t xml:space="preserve"> et de </w:t>
      </w:r>
      <w:r w:rsidRPr="0022786B">
        <w:rPr>
          <w:lang w:val="fr-FR"/>
        </w:rPr>
        <w:t>sauvegarde</w:t>
      </w:r>
      <w:r>
        <w:rPr>
          <w:lang w:val="fr-FR"/>
        </w:rPr>
        <w:t xml:space="preserve"> ; </w:t>
      </w:r>
      <w:r w:rsidR="00CA5D97">
        <w:rPr>
          <w:lang w:val="fr-FR"/>
        </w:rPr>
        <w:t xml:space="preserve">le projet vise </w:t>
      </w:r>
      <w:r w:rsidR="00CA5D97" w:rsidRPr="00CA5D97">
        <w:rPr>
          <w:lang w:val="fr-FR"/>
        </w:rPr>
        <w:t>également</w:t>
      </w:r>
      <w:r w:rsidR="00CA5D97">
        <w:rPr>
          <w:lang w:val="fr-FR"/>
        </w:rPr>
        <w:t xml:space="preserve"> à assurer une </w:t>
      </w:r>
      <w:r w:rsidR="00CA5D97" w:rsidRPr="00CA5D97">
        <w:rPr>
          <w:lang w:val="fr-FR"/>
        </w:rPr>
        <w:t xml:space="preserve">transmission </w:t>
      </w:r>
      <w:r w:rsidR="00CA5D97">
        <w:rPr>
          <w:lang w:val="fr-FR"/>
        </w:rPr>
        <w:t xml:space="preserve"> continue aux jeunes générations par la diffusion, dans le cadre scolaire, de matériels écrits et audiovisuels sur le trois rites de passage masculins, ainsi que dans le cadre d’</w:t>
      </w:r>
      <w:r w:rsidR="00CA5D97">
        <w:rPr>
          <w:lang w:val="fr-FR" w:eastAsia="en-US"/>
        </w:rPr>
        <w:t xml:space="preserve">initiatives financées par le </w:t>
      </w:r>
      <w:r w:rsidR="00CA5D97" w:rsidRPr="00CA5D97">
        <w:rPr>
          <w:lang w:val="fr-FR" w:eastAsia="en-US"/>
        </w:rPr>
        <w:t>gouvernement</w:t>
      </w:r>
      <w:r w:rsidR="00CA5D97">
        <w:rPr>
          <w:lang w:val="fr-FR" w:eastAsia="en-US"/>
        </w:rPr>
        <w:t xml:space="preserve"> telles que le</w:t>
      </w:r>
      <w:r w:rsidR="008E678B">
        <w:rPr>
          <w:lang w:val="fr-FR" w:eastAsia="en-US"/>
        </w:rPr>
        <w:t xml:space="preserve">s éditions annuelles du </w:t>
      </w:r>
      <w:r w:rsidR="00300484">
        <w:rPr>
          <w:lang w:val="fr-FR" w:eastAsia="en-US"/>
        </w:rPr>
        <w:t>Festival de la musique et de la culture du Kenya (</w:t>
      </w:r>
      <w:r w:rsidR="00CA5D97">
        <w:rPr>
          <w:lang w:val="fr-FR" w:eastAsia="en-US"/>
        </w:rPr>
        <w:t>Keny</w:t>
      </w:r>
      <w:r w:rsidR="00300484">
        <w:rPr>
          <w:lang w:val="fr-FR" w:eastAsia="en-US"/>
        </w:rPr>
        <w:t xml:space="preserve">a Music and Cultural </w:t>
      </w:r>
      <w:r w:rsidR="002E3245">
        <w:rPr>
          <w:lang w:val="fr-FR" w:eastAsia="en-US"/>
        </w:rPr>
        <w:t>F</w:t>
      </w:r>
      <w:r w:rsidR="00300484">
        <w:rPr>
          <w:lang w:val="fr-FR" w:eastAsia="en-US"/>
        </w:rPr>
        <w:t>estival</w:t>
      </w:r>
      <w:r w:rsidR="00E350F4">
        <w:rPr>
          <w:lang w:val="fr-FR" w:eastAsia="en-US"/>
        </w:rPr>
        <w:t>) ; d</w:t>
      </w:r>
      <w:r w:rsidR="008E678B">
        <w:rPr>
          <w:lang w:val="fr-FR" w:eastAsia="en-US"/>
        </w:rPr>
        <w:t xml:space="preserve">es mesures </w:t>
      </w:r>
      <w:r w:rsidR="00527B84">
        <w:rPr>
          <w:lang w:val="fr-FR" w:eastAsia="en-US"/>
        </w:rPr>
        <w:t xml:space="preserve">sont prévues </w:t>
      </w:r>
      <w:r w:rsidR="00E350F4">
        <w:rPr>
          <w:lang w:val="fr-FR" w:eastAsia="en-US"/>
        </w:rPr>
        <w:t xml:space="preserve">afin de renforcer, une fois le projet achevé, les mécanismes de </w:t>
      </w:r>
      <w:r w:rsidR="00E350F4" w:rsidRPr="00E350F4">
        <w:rPr>
          <w:lang w:val="fr-FR" w:eastAsia="en-US"/>
        </w:rPr>
        <w:t>coopération</w:t>
      </w:r>
      <w:r w:rsidR="00E350F4">
        <w:rPr>
          <w:lang w:val="fr-FR" w:eastAsia="en-US"/>
        </w:rPr>
        <w:t xml:space="preserve"> établis entre les communautés masaï et le </w:t>
      </w:r>
      <w:r w:rsidR="00E350F4" w:rsidRPr="00E350F4">
        <w:rPr>
          <w:lang w:val="fr-FR" w:eastAsia="en-US"/>
        </w:rPr>
        <w:t xml:space="preserve">Département </w:t>
      </w:r>
      <w:r w:rsidR="00E350F4">
        <w:rPr>
          <w:lang w:val="fr-FR" w:eastAsia="en-US"/>
        </w:rPr>
        <w:t xml:space="preserve">de la culture lors de la mise en œuvre du projet. </w:t>
      </w:r>
    </w:p>
    <w:p w14:paraId="5F8961D9" w14:textId="1CCA6BF2" w:rsidR="00E350F4" w:rsidRDefault="00E350F4" w:rsidP="00E350F4">
      <w:pPr>
        <w:pStyle w:val="COMParaDecision"/>
        <w:ind w:left="1134" w:firstLine="0"/>
        <w:rPr>
          <w:bCs/>
          <w:lang w:val="fr-FR"/>
        </w:rPr>
      </w:pPr>
      <w:r w:rsidRPr="00E350F4">
        <w:rPr>
          <w:b/>
          <w:lang w:val="fr-FR"/>
        </w:rPr>
        <w:t xml:space="preserve">Critère </w:t>
      </w:r>
      <w:r w:rsidRPr="00132539">
        <w:rPr>
          <w:b/>
          <w:lang w:val="fr-FR"/>
        </w:rPr>
        <w:t>A.5 </w:t>
      </w:r>
      <w:r w:rsidRPr="00E350F4">
        <w:rPr>
          <w:lang w:val="fr-FR"/>
        </w:rPr>
        <w:t xml:space="preserve">: L’État soumissionnaire </w:t>
      </w:r>
      <w:r w:rsidR="002E3245">
        <w:rPr>
          <w:bCs/>
          <w:lang w:val="fr-FR"/>
        </w:rPr>
        <w:t>contribuera à hauteur de</w:t>
      </w:r>
      <w:r w:rsidRPr="00E350F4">
        <w:rPr>
          <w:bCs/>
          <w:lang w:val="fr-FR"/>
        </w:rPr>
        <w:t xml:space="preserve"> 1</w:t>
      </w:r>
      <w:r>
        <w:rPr>
          <w:bCs/>
          <w:lang w:val="fr-FR"/>
        </w:rPr>
        <w:t>9</w:t>
      </w:r>
      <w:r w:rsidRPr="00E350F4">
        <w:rPr>
          <w:bCs/>
          <w:lang w:val="fr-FR"/>
        </w:rPr>
        <w:t xml:space="preserve"> % </w:t>
      </w:r>
      <w:r w:rsidR="002E3245">
        <w:rPr>
          <w:bCs/>
          <w:lang w:val="fr-FR"/>
        </w:rPr>
        <w:t>a</w:t>
      </w:r>
      <w:r w:rsidRPr="00E350F4">
        <w:rPr>
          <w:bCs/>
          <w:lang w:val="fr-FR"/>
        </w:rPr>
        <w:t>u montant total du projet pour lequel l’assistance internationale est demandée</w:t>
      </w:r>
      <w:r>
        <w:rPr>
          <w:bCs/>
          <w:lang w:val="fr-FR"/>
        </w:rPr>
        <w:t xml:space="preserve">. </w:t>
      </w:r>
      <w:r w:rsidR="00132539">
        <w:rPr>
          <w:bCs/>
          <w:lang w:val="fr-FR"/>
        </w:rPr>
        <w:t xml:space="preserve">Un montant </w:t>
      </w:r>
      <w:r w:rsidR="00132539">
        <w:rPr>
          <w:bCs/>
          <w:lang w:val="fr-FR"/>
        </w:rPr>
        <w:lastRenderedPageBreak/>
        <w:t xml:space="preserve">complémentaire, </w:t>
      </w:r>
      <w:r w:rsidR="00132539" w:rsidRPr="00132539">
        <w:rPr>
          <w:bCs/>
          <w:lang w:val="fr-FR"/>
        </w:rPr>
        <w:t>représentant</w:t>
      </w:r>
      <w:r w:rsidR="00132539">
        <w:rPr>
          <w:bCs/>
          <w:lang w:val="fr-FR"/>
        </w:rPr>
        <w:t xml:space="preserve"> </w:t>
      </w:r>
      <w:r>
        <w:rPr>
          <w:bCs/>
          <w:lang w:val="fr-FR"/>
        </w:rPr>
        <w:t xml:space="preserve">13% du budget, sera pris en charge par les communautés masaï elles-mêmes. </w:t>
      </w:r>
    </w:p>
    <w:p w14:paraId="607DEF4B" w14:textId="21938AF8" w:rsidR="00E2717A" w:rsidRDefault="00E350F4" w:rsidP="00E350F4">
      <w:pPr>
        <w:pStyle w:val="COMParaDecision"/>
        <w:ind w:left="1134" w:firstLine="0"/>
        <w:rPr>
          <w:bCs/>
          <w:lang w:val="fr-FR"/>
        </w:rPr>
      </w:pPr>
      <w:r>
        <w:rPr>
          <w:b/>
          <w:lang w:val="fr-FR"/>
        </w:rPr>
        <w:t>Critère A</w:t>
      </w:r>
      <w:r w:rsidRPr="00FA4941">
        <w:rPr>
          <w:b/>
          <w:bCs/>
          <w:lang w:val="fr-FR"/>
        </w:rPr>
        <w:t>.6 </w:t>
      </w:r>
      <w:r>
        <w:rPr>
          <w:bCs/>
          <w:lang w:val="fr-FR"/>
        </w:rPr>
        <w:t xml:space="preserve">: La demande établit clairement que les </w:t>
      </w:r>
      <w:r w:rsidRPr="00E350F4">
        <w:rPr>
          <w:bCs/>
          <w:lang w:val="fr-FR"/>
        </w:rPr>
        <w:t>activités</w:t>
      </w:r>
      <w:r>
        <w:rPr>
          <w:bCs/>
          <w:lang w:val="fr-FR"/>
        </w:rPr>
        <w:t xml:space="preserve"> proposées permettront de renforcer les </w:t>
      </w:r>
      <w:r w:rsidRPr="00E350F4">
        <w:rPr>
          <w:bCs/>
          <w:lang w:val="fr-FR"/>
        </w:rPr>
        <w:t>capacités</w:t>
      </w:r>
      <w:r>
        <w:rPr>
          <w:bCs/>
          <w:lang w:val="fr-FR"/>
        </w:rPr>
        <w:t xml:space="preserve"> dans le domaine de la </w:t>
      </w:r>
      <w:r w:rsidRPr="00E350F4">
        <w:rPr>
          <w:bCs/>
          <w:lang w:val="fr-FR"/>
        </w:rPr>
        <w:t>sauvegarde</w:t>
      </w:r>
      <w:r>
        <w:rPr>
          <w:bCs/>
          <w:lang w:val="fr-FR"/>
        </w:rPr>
        <w:t xml:space="preserve"> du patrimoine culturel immatériel des différentes </w:t>
      </w:r>
      <w:r w:rsidRPr="00E350F4">
        <w:rPr>
          <w:bCs/>
          <w:lang w:val="fr-FR"/>
        </w:rPr>
        <w:t>parties prenantes</w:t>
      </w:r>
      <w:r>
        <w:rPr>
          <w:bCs/>
          <w:lang w:val="fr-FR"/>
        </w:rPr>
        <w:t xml:space="preserve"> concernées, y compris de toutes les classes d’âge des neuf clans de la </w:t>
      </w:r>
      <w:r w:rsidRPr="00E350F4">
        <w:rPr>
          <w:bCs/>
          <w:lang w:val="fr-FR"/>
        </w:rPr>
        <w:t>communauté</w:t>
      </w:r>
      <w:r>
        <w:rPr>
          <w:bCs/>
          <w:lang w:val="fr-FR"/>
        </w:rPr>
        <w:t xml:space="preserve"> masaï et des </w:t>
      </w:r>
      <w:r w:rsidR="00D07A1C">
        <w:rPr>
          <w:bCs/>
          <w:lang w:val="fr-FR"/>
        </w:rPr>
        <w:t xml:space="preserve">agents </w:t>
      </w:r>
      <w:r>
        <w:rPr>
          <w:bCs/>
          <w:lang w:val="fr-FR"/>
        </w:rPr>
        <w:t xml:space="preserve">du </w:t>
      </w:r>
      <w:r w:rsidRPr="00E350F4">
        <w:rPr>
          <w:bCs/>
          <w:lang w:val="fr-FR"/>
        </w:rPr>
        <w:t xml:space="preserve">Département </w:t>
      </w:r>
      <w:r>
        <w:rPr>
          <w:bCs/>
          <w:lang w:val="fr-FR"/>
        </w:rPr>
        <w:t>de la culture</w:t>
      </w:r>
      <w:r w:rsidR="00D07A1C">
        <w:rPr>
          <w:bCs/>
          <w:lang w:val="fr-FR"/>
        </w:rPr>
        <w:t xml:space="preserve"> et ses partenaires, les communautés acquerront des connaissances et </w:t>
      </w:r>
      <w:r w:rsidR="00D07A1C" w:rsidRPr="00D07A1C">
        <w:rPr>
          <w:bCs/>
          <w:lang w:val="fr-FR"/>
        </w:rPr>
        <w:t>savoir-faire</w:t>
      </w:r>
      <w:r w:rsidR="00D07A1C">
        <w:rPr>
          <w:bCs/>
          <w:lang w:val="fr-FR"/>
        </w:rPr>
        <w:t xml:space="preserve"> en matière de </w:t>
      </w:r>
      <w:r w:rsidR="00D07A1C" w:rsidRPr="00D07A1C">
        <w:rPr>
          <w:bCs/>
          <w:lang w:val="fr-FR"/>
        </w:rPr>
        <w:t>sauvegarde</w:t>
      </w:r>
      <w:r w:rsidR="00D07A1C">
        <w:rPr>
          <w:bCs/>
          <w:lang w:val="fr-FR"/>
        </w:rPr>
        <w:t xml:space="preserve"> en lien avec l’</w:t>
      </w:r>
      <w:r w:rsidR="00D07A1C" w:rsidRPr="00D07A1C">
        <w:rPr>
          <w:bCs/>
          <w:lang w:val="fr-FR"/>
        </w:rPr>
        <w:t>inventaire</w:t>
      </w:r>
      <w:r w:rsidR="00D07A1C">
        <w:rPr>
          <w:bCs/>
          <w:lang w:val="fr-FR"/>
        </w:rPr>
        <w:t xml:space="preserve"> </w:t>
      </w:r>
      <w:r w:rsidR="002E3245">
        <w:rPr>
          <w:bCs/>
          <w:lang w:val="fr-FR"/>
        </w:rPr>
        <w:t xml:space="preserve">avec la </w:t>
      </w:r>
      <w:r w:rsidR="00D07A1C" w:rsidRPr="00D07A1C">
        <w:rPr>
          <w:bCs/>
          <w:lang w:val="fr-FR"/>
        </w:rPr>
        <w:t>participation</w:t>
      </w:r>
      <w:r w:rsidR="00D07A1C">
        <w:rPr>
          <w:bCs/>
          <w:lang w:val="fr-FR"/>
        </w:rPr>
        <w:t xml:space="preserve"> </w:t>
      </w:r>
      <w:r w:rsidR="002E3245">
        <w:rPr>
          <w:bCs/>
          <w:lang w:val="fr-FR"/>
        </w:rPr>
        <w:t xml:space="preserve">des </w:t>
      </w:r>
      <w:r w:rsidR="00D07A1C">
        <w:rPr>
          <w:bCs/>
          <w:lang w:val="fr-FR"/>
        </w:rPr>
        <w:t>communaut</w:t>
      </w:r>
      <w:r w:rsidR="002E3245">
        <w:rPr>
          <w:bCs/>
          <w:lang w:val="fr-FR"/>
        </w:rPr>
        <w:t>és</w:t>
      </w:r>
      <w:r w:rsidR="00D07A1C">
        <w:rPr>
          <w:bCs/>
          <w:lang w:val="fr-FR"/>
        </w:rPr>
        <w:t>, notamment l’</w:t>
      </w:r>
      <w:r w:rsidR="00D07A1C" w:rsidRPr="00D07A1C">
        <w:rPr>
          <w:bCs/>
          <w:lang w:val="fr-FR"/>
        </w:rPr>
        <w:t>identification</w:t>
      </w:r>
      <w:r w:rsidR="00D07A1C">
        <w:rPr>
          <w:bCs/>
          <w:lang w:val="fr-FR"/>
        </w:rPr>
        <w:t xml:space="preserve"> et la sécurisation d’espaces naturels associés à la pratique ; les plus jeunes membres de la </w:t>
      </w:r>
      <w:r w:rsidR="00D07A1C" w:rsidRPr="00D07A1C">
        <w:rPr>
          <w:bCs/>
          <w:lang w:val="fr-FR"/>
        </w:rPr>
        <w:t>communauté</w:t>
      </w:r>
      <w:r w:rsidR="00D07A1C">
        <w:rPr>
          <w:bCs/>
          <w:lang w:val="fr-FR"/>
        </w:rPr>
        <w:t xml:space="preserve"> masaï bénéficieront de la </w:t>
      </w:r>
      <w:r w:rsidR="00D07A1C" w:rsidRPr="00D07A1C">
        <w:rPr>
          <w:bCs/>
          <w:lang w:val="fr-FR"/>
        </w:rPr>
        <w:t xml:space="preserve">transmission </w:t>
      </w:r>
      <w:r w:rsidR="00D07A1C">
        <w:rPr>
          <w:bCs/>
          <w:lang w:val="fr-FR"/>
        </w:rPr>
        <w:t>par les ainés des connaissances relatives aux trois rites de passage masculins, celle-ci sera mise en œuvre dans le cadre de programmes éducat</w:t>
      </w:r>
      <w:r w:rsidR="00132539">
        <w:rPr>
          <w:bCs/>
          <w:lang w:val="fr-FR"/>
        </w:rPr>
        <w:t>ifs et de mentorat</w:t>
      </w:r>
      <w:r w:rsidR="00E2717A">
        <w:rPr>
          <w:bCs/>
          <w:lang w:val="fr-FR"/>
        </w:rPr>
        <w:t xml:space="preserve"> tandis que, par leur </w:t>
      </w:r>
      <w:r w:rsidR="00E2717A" w:rsidRPr="00E2717A">
        <w:rPr>
          <w:bCs/>
          <w:lang w:val="fr-FR"/>
        </w:rPr>
        <w:t>participation</w:t>
      </w:r>
      <w:r w:rsidR="00E2717A">
        <w:rPr>
          <w:bCs/>
          <w:lang w:val="fr-FR"/>
        </w:rPr>
        <w:t xml:space="preserve"> à l’</w:t>
      </w:r>
      <w:r w:rsidR="00E2717A" w:rsidRPr="00E2717A">
        <w:rPr>
          <w:bCs/>
          <w:lang w:val="fr-FR"/>
        </w:rPr>
        <w:t>enregistrement</w:t>
      </w:r>
      <w:r w:rsidR="00E2717A">
        <w:rPr>
          <w:bCs/>
          <w:lang w:val="fr-FR"/>
        </w:rPr>
        <w:t xml:space="preserve"> et à la collecte et l’analyse de données, l</w:t>
      </w:r>
      <w:r w:rsidR="00D07A1C">
        <w:rPr>
          <w:bCs/>
          <w:lang w:val="fr-FR"/>
        </w:rPr>
        <w:t xml:space="preserve">es agents et représentants des </w:t>
      </w:r>
      <w:r w:rsidR="00D07A1C" w:rsidRPr="00D07A1C">
        <w:rPr>
          <w:bCs/>
          <w:lang w:val="fr-FR"/>
        </w:rPr>
        <w:t>institutions</w:t>
      </w:r>
      <w:r w:rsidR="00D07A1C">
        <w:rPr>
          <w:bCs/>
          <w:lang w:val="fr-FR"/>
        </w:rPr>
        <w:t xml:space="preserve"> concernées </w:t>
      </w:r>
      <w:r w:rsidR="00E2717A">
        <w:rPr>
          <w:bCs/>
          <w:lang w:val="fr-FR"/>
        </w:rPr>
        <w:t xml:space="preserve">par le projet </w:t>
      </w:r>
      <w:r w:rsidR="00D07A1C">
        <w:rPr>
          <w:bCs/>
          <w:lang w:val="fr-FR"/>
        </w:rPr>
        <w:t xml:space="preserve">auront l’occasion d’améliorer </w:t>
      </w:r>
      <w:r w:rsidR="00E2717A">
        <w:rPr>
          <w:bCs/>
          <w:lang w:val="fr-FR"/>
        </w:rPr>
        <w:t xml:space="preserve">leurs capacités dans le domaine de la </w:t>
      </w:r>
      <w:r w:rsidR="00E2717A" w:rsidRPr="00E2717A">
        <w:rPr>
          <w:bCs/>
          <w:lang w:val="fr-FR"/>
        </w:rPr>
        <w:t>recherche</w:t>
      </w:r>
      <w:r w:rsidR="00E2717A">
        <w:rPr>
          <w:bCs/>
          <w:lang w:val="fr-FR"/>
        </w:rPr>
        <w:t xml:space="preserve"> et de la </w:t>
      </w:r>
      <w:r w:rsidR="00E2717A" w:rsidRPr="00E2717A">
        <w:rPr>
          <w:bCs/>
          <w:lang w:val="fr-FR"/>
        </w:rPr>
        <w:t>documentation</w:t>
      </w:r>
      <w:r w:rsidR="00E2717A">
        <w:rPr>
          <w:bCs/>
          <w:lang w:val="fr-FR"/>
        </w:rPr>
        <w:t xml:space="preserve"> du patrimoine culturel immatériel.</w:t>
      </w:r>
    </w:p>
    <w:p w14:paraId="20D17508" w14:textId="0607F799" w:rsidR="00E350F4" w:rsidRDefault="00E2717A" w:rsidP="00E350F4">
      <w:pPr>
        <w:pStyle w:val="COMParaDecision"/>
        <w:ind w:left="1134" w:firstLine="0"/>
        <w:rPr>
          <w:bCs/>
          <w:lang w:val="fr-FR"/>
        </w:rPr>
      </w:pPr>
      <w:r w:rsidRPr="00FA4941">
        <w:rPr>
          <w:b/>
          <w:bCs/>
          <w:lang w:val="fr-FR"/>
        </w:rPr>
        <w:t>Critère A.7 </w:t>
      </w:r>
      <w:r>
        <w:rPr>
          <w:bCs/>
          <w:lang w:val="fr-FR"/>
        </w:rPr>
        <w:t xml:space="preserve">: </w:t>
      </w:r>
      <w:r w:rsidR="000C1850">
        <w:rPr>
          <w:bCs/>
          <w:lang w:val="fr-FR"/>
        </w:rPr>
        <w:t>L</w:t>
      </w:r>
      <w:r>
        <w:rPr>
          <w:bCs/>
          <w:lang w:val="fr-FR"/>
        </w:rPr>
        <w:t xml:space="preserve">e Kenya a bénéficié de l’assistance internationale du Fonds  du patrimoine culturel immatériel </w:t>
      </w:r>
      <w:r w:rsidR="000C1850">
        <w:rPr>
          <w:bCs/>
          <w:lang w:val="fr-FR"/>
        </w:rPr>
        <w:t xml:space="preserve">à cinq reprises </w:t>
      </w:r>
      <w:r>
        <w:rPr>
          <w:bCs/>
          <w:lang w:val="fr-FR"/>
        </w:rPr>
        <w:t xml:space="preserve">– deux fois sous la forme d’une </w:t>
      </w:r>
      <w:r w:rsidRPr="00E2717A">
        <w:rPr>
          <w:bCs/>
          <w:lang w:val="fr-FR"/>
        </w:rPr>
        <w:t>assistance</w:t>
      </w:r>
      <w:r>
        <w:rPr>
          <w:bCs/>
          <w:lang w:val="fr-FR"/>
        </w:rPr>
        <w:t xml:space="preserve"> </w:t>
      </w:r>
      <w:r w:rsidR="000C1850">
        <w:rPr>
          <w:bCs/>
          <w:lang w:val="fr-FR"/>
        </w:rPr>
        <w:t>préparatoire</w:t>
      </w:r>
      <w:r>
        <w:rPr>
          <w:bCs/>
          <w:lang w:val="fr-FR"/>
        </w:rPr>
        <w:t xml:space="preserve"> </w:t>
      </w:r>
      <w:r w:rsidR="000C1850">
        <w:rPr>
          <w:bCs/>
          <w:lang w:val="fr-FR"/>
        </w:rPr>
        <w:t xml:space="preserve">pour </w:t>
      </w:r>
      <w:r>
        <w:rPr>
          <w:bCs/>
          <w:lang w:val="fr-FR"/>
        </w:rPr>
        <w:t>de</w:t>
      </w:r>
      <w:r w:rsidR="000C1850">
        <w:rPr>
          <w:bCs/>
          <w:lang w:val="fr-FR"/>
        </w:rPr>
        <w:t>s</w:t>
      </w:r>
      <w:r>
        <w:rPr>
          <w:bCs/>
          <w:lang w:val="fr-FR"/>
        </w:rPr>
        <w:t xml:space="preserve"> dossiers de candidature à la Liste du patrimoine culturel immatériel nécessitant une </w:t>
      </w:r>
      <w:r w:rsidRPr="00E2717A">
        <w:rPr>
          <w:bCs/>
          <w:lang w:val="fr-FR"/>
        </w:rPr>
        <w:t>sauvegarde</w:t>
      </w:r>
      <w:r>
        <w:rPr>
          <w:bCs/>
          <w:lang w:val="fr-FR"/>
        </w:rPr>
        <w:t xml:space="preserve"> urgente, à savoir « Les traditions et pratiques associées aux Kayas dans les forêts sacrées des Mijikenda » (2009-10 ; 6</w:t>
      </w:r>
      <w:r w:rsidR="000C1850">
        <w:rPr>
          <w:bCs/>
          <w:lang w:val="fr-FR"/>
        </w:rPr>
        <w:t> </w:t>
      </w:r>
      <w:r>
        <w:rPr>
          <w:bCs/>
          <w:lang w:val="fr-FR"/>
        </w:rPr>
        <w:t>000</w:t>
      </w:r>
      <w:r w:rsidR="000C1850">
        <w:rPr>
          <w:bCs/>
          <w:lang w:val="fr-FR"/>
        </w:rPr>
        <w:t> </w:t>
      </w:r>
      <w:r w:rsidRPr="00E2717A">
        <w:rPr>
          <w:bCs/>
          <w:lang w:val="fr-FR"/>
        </w:rPr>
        <w:t>dollars des États-Unis</w:t>
      </w:r>
      <w:r>
        <w:rPr>
          <w:bCs/>
          <w:lang w:val="fr-FR"/>
        </w:rPr>
        <w:t xml:space="preserve">) inscrit en 2009, et « Les rituels et pratiques associés au sanctuaire de Kit Mikayi de la </w:t>
      </w:r>
      <w:r w:rsidRPr="00E2717A">
        <w:rPr>
          <w:bCs/>
          <w:lang w:val="fr-FR"/>
        </w:rPr>
        <w:t>communauté</w:t>
      </w:r>
      <w:r>
        <w:rPr>
          <w:bCs/>
          <w:lang w:val="fr-FR"/>
        </w:rPr>
        <w:t xml:space="preserve"> luo au Kenya » (2013-15 ; 17</w:t>
      </w:r>
      <w:r w:rsidR="000C1850">
        <w:rPr>
          <w:bCs/>
          <w:lang w:val="fr-FR"/>
        </w:rPr>
        <w:t> </w:t>
      </w:r>
      <w:r>
        <w:rPr>
          <w:bCs/>
          <w:lang w:val="fr-FR"/>
        </w:rPr>
        <w:t>668</w:t>
      </w:r>
      <w:r w:rsidR="000C1850">
        <w:rPr>
          <w:bCs/>
          <w:lang w:val="fr-FR"/>
        </w:rPr>
        <w:t> </w:t>
      </w:r>
      <w:r w:rsidRPr="00E2717A">
        <w:rPr>
          <w:bCs/>
          <w:lang w:val="fr-FR"/>
        </w:rPr>
        <w:t>dollars des États-Unis</w:t>
      </w:r>
      <w:r>
        <w:rPr>
          <w:bCs/>
          <w:lang w:val="fr-FR"/>
        </w:rPr>
        <w:t xml:space="preserve">) qui doit être examiné par la </w:t>
      </w:r>
      <w:r w:rsidR="000C1850">
        <w:rPr>
          <w:bCs/>
          <w:lang w:val="fr-FR"/>
        </w:rPr>
        <w:t xml:space="preserve">onzième </w:t>
      </w:r>
      <w:r>
        <w:rPr>
          <w:bCs/>
          <w:lang w:val="fr-FR"/>
        </w:rPr>
        <w:t>session du Comité à la fin de l’année 2016 ; et trois fois sous la forme d’</w:t>
      </w:r>
      <w:r w:rsidRPr="00E2717A">
        <w:rPr>
          <w:bCs/>
          <w:lang w:val="fr-FR"/>
        </w:rPr>
        <w:t>assistance</w:t>
      </w:r>
      <w:r>
        <w:rPr>
          <w:bCs/>
          <w:lang w:val="fr-FR"/>
        </w:rPr>
        <w:t xml:space="preserve"> financière pour des projets intitulés « Les traditions et pratiques associées aux Kayas dans les forêts sa</w:t>
      </w:r>
      <w:r w:rsidR="00FA4941">
        <w:rPr>
          <w:bCs/>
          <w:lang w:val="fr-FR"/>
        </w:rPr>
        <w:t>crées des Mijikenda » (2011-14 ; 126</w:t>
      </w:r>
      <w:r w:rsidR="000C1850">
        <w:rPr>
          <w:bCs/>
          <w:lang w:val="fr-FR"/>
        </w:rPr>
        <w:t> </w:t>
      </w:r>
      <w:r w:rsidR="00FA4941">
        <w:rPr>
          <w:bCs/>
          <w:lang w:val="fr-FR"/>
        </w:rPr>
        <w:t>580</w:t>
      </w:r>
      <w:r w:rsidR="000C1850">
        <w:rPr>
          <w:bCs/>
          <w:lang w:val="fr-FR"/>
        </w:rPr>
        <w:t> </w:t>
      </w:r>
      <w:r w:rsidR="00FA4941" w:rsidRPr="00FA4941">
        <w:rPr>
          <w:bCs/>
          <w:lang w:val="fr-FR"/>
        </w:rPr>
        <w:t>dollars des États-Unis</w:t>
      </w:r>
      <w:r w:rsidR="00FA4941">
        <w:rPr>
          <w:bCs/>
          <w:lang w:val="fr-FR"/>
        </w:rPr>
        <w:t>) mis en œuvre par la même agence que celle en charge du présent projet, « </w:t>
      </w:r>
      <w:r w:rsidR="000C1850">
        <w:rPr>
          <w:bCs/>
          <w:lang w:val="fr-FR"/>
        </w:rPr>
        <w:t>La d</w:t>
      </w:r>
      <w:r w:rsidR="00FA4941" w:rsidRPr="00FA4941">
        <w:rPr>
          <w:bCs/>
          <w:lang w:val="fr-FR"/>
        </w:rPr>
        <w:t>ocumentation</w:t>
      </w:r>
      <w:r w:rsidR="00FA4941">
        <w:rPr>
          <w:bCs/>
          <w:lang w:val="fr-FR"/>
        </w:rPr>
        <w:t xml:space="preserve"> et </w:t>
      </w:r>
      <w:r w:rsidR="00FA4941" w:rsidRPr="00FA4941">
        <w:rPr>
          <w:bCs/>
          <w:lang w:val="fr-FR"/>
        </w:rPr>
        <w:t>inventaire</w:t>
      </w:r>
      <w:r w:rsidR="00FA4941">
        <w:rPr>
          <w:bCs/>
          <w:lang w:val="fr-FR"/>
        </w:rPr>
        <w:t xml:space="preserve"> du patrimoine culturel immatériel de la </w:t>
      </w:r>
      <w:r w:rsidR="00FA4941" w:rsidRPr="00FA4941">
        <w:rPr>
          <w:bCs/>
          <w:lang w:val="fr-FR"/>
        </w:rPr>
        <w:t>communauté</w:t>
      </w:r>
      <w:r w:rsidR="00FA4941">
        <w:rPr>
          <w:bCs/>
          <w:lang w:val="fr-FR"/>
        </w:rPr>
        <w:t xml:space="preserve"> pastorale samburu du nord du Kenya, particulièrement dans la région de la réserve de biosphère du mont Kula » (2015-16, 24</w:t>
      </w:r>
      <w:r w:rsidR="000C1850">
        <w:rPr>
          <w:bCs/>
          <w:lang w:val="fr-FR"/>
        </w:rPr>
        <w:t> </w:t>
      </w:r>
      <w:r w:rsidR="00FA4941">
        <w:rPr>
          <w:bCs/>
          <w:lang w:val="fr-FR"/>
        </w:rPr>
        <w:t>038</w:t>
      </w:r>
      <w:r w:rsidR="000C1850">
        <w:rPr>
          <w:bCs/>
          <w:lang w:val="fr-FR"/>
        </w:rPr>
        <w:t> </w:t>
      </w:r>
      <w:r w:rsidR="00FA4941" w:rsidRPr="00FA4941">
        <w:rPr>
          <w:bCs/>
          <w:lang w:val="fr-FR"/>
        </w:rPr>
        <w:t>dollars des États-Unis</w:t>
      </w:r>
      <w:r w:rsidR="00FA4941">
        <w:rPr>
          <w:bCs/>
          <w:lang w:val="fr-FR"/>
        </w:rPr>
        <w:t>) et « </w:t>
      </w:r>
      <w:r w:rsidR="000C1850">
        <w:rPr>
          <w:bCs/>
          <w:lang w:val="fr-FR"/>
        </w:rPr>
        <w:t>La p</w:t>
      </w:r>
      <w:r w:rsidR="00FA4941">
        <w:rPr>
          <w:bCs/>
          <w:lang w:val="fr-FR"/>
        </w:rPr>
        <w:t>romotion des pratiques de poterie traditionnelle dans l’est du Kenya » (2016-en cours, 23</w:t>
      </w:r>
      <w:r w:rsidR="000C1850">
        <w:rPr>
          <w:bCs/>
          <w:lang w:val="fr-FR"/>
        </w:rPr>
        <w:t> </w:t>
      </w:r>
      <w:r w:rsidR="00FA4941">
        <w:rPr>
          <w:bCs/>
          <w:lang w:val="fr-FR"/>
        </w:rPr>
        <w:t xml:space="preserve">388 </w:t>
      </w:r>
      <w:r w:rsidR="00FA4941" w:rsidRPr="00FA4941">
        <w:rPr>
          <w:bCs/>
          <w:lang w:val="fr-FR"/>
        </w:rPr>
        <w:t>dollars des États-Unis</w:t>
      </w:r>
      <w:r w:rsidR="00FA4941">
        <w:rPr>
          <w:bCs/>
          <w:lang w:val="fr-FR"/>
        </w:rPr>
        <w:t xml:space="preserve">), deux projets mis en œuvre par </w:t>
      </w:r>
      <w:r w:rsidR="007B25BB">
        <w:rPr>
          <w:bCs/>
          <w:lang w:val="fr-FR"/>
        </w:rPr>
        <w:t xml:space="preserve">les Musées nationaux du Kenya ; </w:t>
      </w:r>
      <w:r w:rsidR="00FA4941">
        <w:rPr>
          <w:bCs/>
          <w:lang w:val="fr-FR"/>
        </w:rPr>
        <w:t xml:space="preserve">le travail </w:t>
      </w:r>
      <w:r w:rsidR="000C1850">
        <w:rPr>
          <w:bCs/>
          <w:lang w:val="fr-FR"/>
        </w:rPr>
        <w:t xml:space="preserve">stipulé </w:t>
      </w:r>
      <w:r w:rsidR="00FA4941">
        <w:rPr>
          <w:bCs/>
          <w:lang w:val="fr-FR"/>
        </w:rPr>
        <w:t xml:space="preserve">dans les contrats relatifs aux projets achevés a été </w:t>
      </w:r>
      <w:r w:rsidR="000C1850">
        <w:rPr>
          <w:bCs/>
          <w:lang w:val="fr-FR"/>
        </w:rPr>
        <w:t xml:space="preserve">mené à bien </w:t>
      </w:r>
      <w:r w:rsidR="00FA4941" w:rsidRPr="00FA4941">
        <w:rPr>
          <w:bCs/>
          <w:lang w:val="fr-FR"/>
        </w:rPr>
        <w:t>conformément</w:t>
      </w:r>
      <w:r w:rsidR="00FA4941">
        <w:rPr>
          <w:bCs/>
          <w:lang w:val="fr-FR"/>
        </w:rPr>
        <w:t xml:space="preserve"> aux </w:t>
      </w:r>
      <w:r w:rsidR="00F47A6C">
        <w:rPr>
          <w:bCs/>
          <w:lang w:val="fr-FR"/>
        </w:rPr>
        <w:t>règlements</w:t>
      </w:r>
      <w:r w:rsidR="00FA4941">
        <w:rPr>
          <w:bCs/>
          <w:lang w:val="fr-FR"/>
        </w:rPr>
        <w:t xml:space="preserve"> de l’UNESCO. </w:t>
      </w:r>
    </w:p>
    <w:p w14:paraId="640D3CA7" w14:textId="610D06A6" w:rsidR="0019660E" w:rsidRDefault="00FA4941" w:rsidP="0019660E">
      <w:pPr>
        <w:pStyle w:val="COMParaDecision"/>
        <w:ind w:left="1134" w:firstLine="0"/>
        <w:rPr>
          <w:bCs/>
          <w:lang w:val="fr-FR"/>
        </w:rPr>
      </w:pPr>
      <w:r w:rsidRPr="0019660E">
        <w:rPr>
          <w:b/>
          <w:bCs/>
          <w:lang w:val="fr-FR"/>
        </w:rPr>
        <w:t>Paragraphe 10(a) </w:t>
      </w:r>
      <w:r>
        <w:rPr>
          <w:bCs/>
          <w:lang w:val="fr-FR"/>
        </w:rPr>
        <w:t xml:space="preserve">: Le projet </w:t>
      </w:r>
      <w:r w:rsidR="000C1850">
        <w:rPr>
          <w:bCs/>
          <w:lang w:val="fr-FR"/>
        </w:rPr>
        <w:t>a une portée</w:t>
      </w:r>
      <w:r>
        <w:rPr>
          <w:bCs/>
          <w:lang w:val="fr-FR"/>
        </w:rPr>
        <w:t xml:space="preserve"> locale et implique des partenaires nationaux tels que</w:t>
      </w:r>
      <w:r w:rsidR="0019660E">
        <w:rPr>
          <w:bCs/>
          <w:lang w:val="fr-FR"/>
        </w:rPr>
        <w:t xml:space="preserve"> les Musées nationaux du Kenya</w:t>
      </w:r>
      <w:r>
        <w:rPr>
          <w:bCs/>
          <w:lang w:val="fr-FR"/>
        </w:rPr>
        <w:t xml:space="preserve">, la Commission présidentielle permanente en charge de la musique, l’Initiative culturelle pour la </w:t>
      </w:r>
      <w:r w:rsidRPr="00FA4941">
        <w:rPr>
          <w:bCs/>
          <w:lang w:val="fr-FR"/>
        </w:rPr>
        <w:t>conservation</w:t>
      </w:r>
      <w:r>
        <w:rPr>
          <w:bCs/>
          <w:lang w:val="fr-FR"/>
        </w:rPr>
        <w:t xml:space="preserve"> de la </w:t>
      </w:r>
      <w:r w:rsidRPr="00FA4941">
        <w:rPr>
          <w:bCs/>
          <w:lang w:val="fr-FR"/>
        </w:rPr>
        <w:t>biodiversité</w:t>
      </w:r>
      <w:r>
        <w:rPr>
          <w:bCs/>
          <w:lang w:val="fr-FR"/>
        </w:rPr>
        <w:t xml:space="preserve"> et la Commission nationale du Kenya pour l’UNESCO </w:t>
      </w:r>
      <w:r w:rsidR="0019660E">
        <w:rPr>
          <w:bCs/>
          <w:lang w:val="fr-FR"/>
        </w:rPr>
        <w:t>ainsi que les gouvernements des comtés de Kajiado et de Narok.</w:t>
      </w:r>
    </w:p>
    <w:p w14:paraId="60E57F74" w14:textId="5F29C129" w:rsidR="00100E1F" w:rsidRPr="00E350F4" w:rsidRDefault="0019660E" w:rsidP="00100E1F">
      <w:pPr>
        <w:pStyle w:val="COMParaDecision"/>
        <w:ind w:left="1134" w:firstLine="0"/>
        <w:rPr>
          <w:bCs/>
          <w:lang w:val="fr-FR"/>
        </w:rPr>
      </w:pPr>
      <w:r w:rsidRPr="0019660E">
        <w:rPr>
          <w:b/>
          <w:bCs/>
          <w:lang w:val="fr-FR"/>
        </w:rPr>
        <w:t>Paragraphe</w:t>
      </w:r>
      <w:r>
        <w:rPr>
          <w:bCs/>
          <w:lang w:val="fr-FR"/>
        </w:rPr>
        <w:t xml:space="preserve"> </w:t>
      </w:r>
      <w:r w:rsidRPr="00100E1F">
        <w:rPr>
          <w:b/>
          <w:bCs/>
          <w:lang w:val="fr-FR"/>
        </w:rPr>
        <w:t>10(b) </w:t>
      </w:r>
      <w:r>
        <w:rPr>
          <w:bCs/>
          <w:lang w:val="fr-FR"/>
        </w:rPr>
        <w:t xml:space="preserve">: </w:t>
      </w:r>
      <w:r w:rsidR="00100E1F">
        <w:rPr>
          <w:bCs/>
          <w:lang w:val="fr-FR"/>
        </w:rPr>
        <w:t xml:space="preserve">La demande fait état d’un effet multiplicateur potentiel en ce qui concerne de futurs financements et soutiens, tant de la part des actuels partenaires du projet que de nouveaux </w:t>
      </w:r>
      <w:r w:rsidR="007B25BB">
        <w:rPr>
          <w:bCs/>
          <w:lang w:val="fr-FR"/>
        </w:rPr>
        <w:t xml:space="preserve">partenaires qui pourraient s’y </w:t>
      </w:r>
      <w:r w:rsidR="00100E1F">
        <w:rPr>
          <w:bCs/>
          <w:lang w:val="fr-FR"/>
        </w:rPr>
        <w:t>joindre à l’avenir comme le Ministère de l’</w:t>
      </w:r>
      <w:r w:rsidR="00100E1F" w:rsidRPr="00100E1F">
        <w:rPr>
          <w:bCs/>
          <w:lang w:val="fr-FR"/>
        </w:rPr>
        <w:t>éducation</w:t>
      </w:r>
      <w:r w:rsidR="007C15D1">
        <w:rPr>
          <w:bCs/>
          <w:lang w:val="fr-FR"/>
        </w:rPr>
        <w:t> ;</w:t>
      </w:r>
      <w:r w:rsidR="00100E1F">
        <w:rPr>
          <w:bCs/>
          <w:lang w:val="fr-FR"/>
        </w:rPr>
        <w:t xml:space="preserve"> ils se sont tous engagés soit à poursuivre le travail de </w:t>
      </w:r>
      <w:r w:rsidR="00341473" w:rsidRPr="00341473">
        <w:rPr>
          <w:bCs/>
          <w:lang w:val="fr-FR"/>
        </w:rPr>
        <w:t>documentation</w:t>
      </w:r>
      <w:r w:rsidR="00341473">
        <w:rPr>
          <w:bCs/>
          <w:lang w:val="fr-FR"/>
        </w:rPr>
        <w:t xml:space="preserve"> des trois rites de passage masculins de la </w:t>
      </w:r>
      <w:r w:rsidR="00341473" w:rsidRPr="00341473">
        <w:rPr>
          <w:bCs/>
          <w:lang w:val="fr-FR"/>
        </w:rPr>
        <w:t>communauté</w:t>
      </w:r>
      <w:r w:rsidR="00341473">
        <w:rPr>
          <w:bCs/>
          <w:lang w:val="fr-FR"/>
        </w:rPr>
        <w:t xml:space="preserve"> masaï et à diffuser les connaissances dans les écoles, soit à collaborer directement avec les communautés masaï pour les sauvegarder ; on attend de ces efforts qu’ils s’ajoutent à l’</w:t>
      </w:r>
      <w:r w:rsidR="00341473" w:rsidRPr="00341473">
        <w:rPr>
          <w:bCs/>
          <w:lang w:val="fr-FR"/>
        </w:rPr>
        <w:t>engagement</w:t>
      </w:r>
      <w:r w:rsidR="00341473">
        <w:rPr>
          <w:bCs/>
          <w:lang w:val="fr-FR"/>
        </w:rPr>
        <w:t xml:space="preserve"> actuellement pris par le </w:t>
      </w:r>
      <w:r w:rsidR="00341473" w:rsidRPr="00341473">
        <w:rPr>
          <w:bCs/>
          <w:lang w:val="fr-FR"/>
        </w:rPr>
        <w:t xml:space="preserve">Département </w:t>
      </w:r>
      <w:r w:rsidR="00341473">
        <w:rPr>
          <w:bCs/>
          <w:lang w:val="fr-FR"/>
        </w:rPr>
        <w:t xml:space="preserve">de la culture d’allouer un budget pour la </w:t>
      </w:r>
      <w:r w:rsidR="00341473" w:rsidRPr="00341473">
        <w:rPr>
          <w:bCs/>
          <w:lang w:val="fr-FR"/>
        </w:rPr>
        <w:t>sauvegarde</w:t>
      </w:r>
      <w:r w:rsidR="00341473">
        <w:rPr>
          <w:bCs/>
          <w:lang w:val="fr-FR"/>
        </w:rPr>
        <w:t xml:space="preserve"> de ces pra</w:t>
      </w:r>
      <w:r w:rsidR="007B25BB">
        <w:rPr>
          <w:bCs/>
          <w:lang w:val="fr-FR"/>
        </w:rPr>
        <w:t>tiques dans le prochain exercice financier annuel</w:t>
      </w:r>
      <w:r w:rsidR="00341473">
        <w:rPr>
          <w:bCs/>
          <w:lang w:val="fr-FR"/>
        </w:rPr>
        <w:t xml:space="preserve"> et de </w:t>
      </w:r>
      <w:r w:rsidR="007B25BB">
        <w:rPr>
          <w:bCs/>
          <w:lang w:val="fr-FR"/>
        </w:rPr>
        <w:t>désigner d</w:t>
      </w:r>
      <w:r w:rsidR="00341473">
        <w:rPr>
          <w:bCs/>
          <w:lang w:val="fr-FR"/>
        </w:rPr>
        <w:t xml:space="preserve">es fonctionnaires </w:t>
      </w:r>
      <w:r w:rsidR="007B25BB">
        <w:rPr>
          <w:bCs/>
          <w:lang w:val="fr-FR"/>
        </w:rPr>
        <w:t xml:space="preserve">issus de ses services et </w:t>
      </w:r>
      <w:r w:rsidR="00341473">
        <w:rPr>
          <w:bCs/>
          <w:lang w:val="fr-FR"/>
        </w:rPr>
        <w:t xml:space="preserve">disposant d’une expertise dans le patrimoine culturel immatériel afin de piloter la </w:t>
      </w:r>
      <w:r w:rsidR="007C15D1">
        <w:rPr>
          <w:bCs/>
          <w:lang w:val="fr-FR"/>
        </w:rPr>
        <w:t xml:space="preserve">processus </w:t>
      </w:r>
      <w:r w:rsidR="00341473">
        <w:rPr>
          <w:bCs/>
          <w:lang w:val="fr-FR"/>
        </w:rPr>
        <w:t xml:space="preserve">de </w:t>
      </w:r>
      <w:r w:rsidR="00341473" w:rsidRPr="00341473">
        <w:rPr>
          <w:bCs/>
          <w:lang w:val="fr-FR"/>
        </w:rPr>
        <w:t>sauvegarde</w:t>
      </w:r>
      <w:r w:rsidR="00341473">
        <w:rPr>
          <w:bCs/>
          <w:lang w:val="fr-FR"/>
        </w:rPr>
        <w:t xml:space="preserve">. </w:t>
      </w:r>
    </w:p>
    <w:p w14:paraId="3E068882" w14:textId="48240AEE" w:rsidR="00341473" w:rsidRDefault="00341473" w:rsidP="008B6E1C">
      <w:pPr>
        <w:pStyle w:val="COMParaDecision"/>
        <w:numPr>
          <w:ilvl w:val="0"/>
          <w:numId w:val="2"/>
        </w:numPr>
        <w:ind w:left="1134" w:hanging="567"/>
        <w:rPr>
          <w:lang w:val="fr-FR"/>
        </w:rPr>
      </w:pPr>
      <w:r w:rsidRPr="00341473">
        <w:rPr>
          <w:u w:val="single"/>
          <w:lang w:val="fr-FR"/>
        </w:rPr>
        <w:t>Salue</w:t>
      </w:r>
      <w:r>
        <w:rPr>
          <w:lang w:val="fr-FR"/>
        </w:rPr>
        <w:t xml:space="preserve"> les efforts entrepris par </w:t>
      </w:r>
      <w:r w:rsidRPr="00341473">
        <w:rPr>
          <w:lang w:val="fr-FR"/>
        </w:rPr>
        <w:t>l’État partie</w:t>
      </w:r>
      <w:r>
        <w:rPr>
          <w:lang w:val="fr-FR"/>
        </w:rPr>
        <w:t xml:space="preserve"> afin de réviser la demande </w:t>
      </w:r>
      <w:r w:rsidRPr="00341473">
        <w:rPr>
          <w:lang w:val="fr-FR"/>
        </w:rPr>
        <w:t>conformément</w:t>
      </w:r>
      <w:r>
        <w:rPr>
          <w:lang w:val="fr-FR"/>
        </w:rPr>
        <w:t xml:space="preserve"> aux recommandations de l’Organe d'évaluation, confirmées par le Comité dans sa décision 10.COM 10.c.2 ;</w:t>
      </w:r>
    </w:p>
    <w:p w14:paraId="29C42D45" w14:textId="77777777" w:rsidR="00341473" w:rsidRPr="00341473" w:rsidRDefault="00341473" w:rsidP="00341473">
      <w:pPr>
        <w:pStyle w:val="COMParaDecision"/>
        <w:rPr>
          <w:lang w:val="fr-FR"/>
        </w:rPr>
      </w:pPr>
    </w:p>
    <w:p w14:paraId="7C8424B8" w14:textId="15B27A47" w:rsidR="008B6E1C" w:rsidRPr="00D01265" w:rsidRDefault="008B6E1C" w:rsidP="008B6E1C">
      <w:pPr>
        <w:pStyle w:val="COMParaDecision"/>
        <w:keepLines/>
        <w:numPr>
          <w:ilvl w:val="0"/>
          <w:numId w:val="2"/>
        </w:numPr>
        <w:ind w:left="1134" w:hanging="567"/>
        <w:rPr>
          <w:lang w:val="fr-FR"/>
        </w:rPr>
      </w:pPr>
      <w:r w:rsidRPr="00D01265">
        <w:rPr>
          <w:u w:val="single"/>
          <w:lang w:val="fr-FR"/>
        </w:rPr>
        <w:t>Décide d’approuver</w:t>
      </w:r>
      <w:r w:rsidR="00341473">
        <w:rPr>
          <w:lang w:val="fr-FR"/>
        </w:rPr>
        <w:t xml:space="preserve">, </w:t>
      </w:r>
      <w:r w:rsidR="00957A55">
        <w:rPr>
          <w:lang w:val="fr-FR"/>
        </w:rPr>
        <w:t>en sa qualité d’organe habilité</w:t>
      </w:r>
      <w:r w:rsidR="00341473">
        <w:rPr>
          <w:lang w:val="fr-FR"/>
        </w:rPr>
        <w:t>, la demande révisée d’assistance internationale du Kenya pour un projet intitulé : « </w:t>
      </w:r>
      <w:r w:rsidR="007C15D1">
        <w:rPr>
          <w:b/>
          <w:lang w:val="fr-FR"/>
        </w:rPr>
        <w:t>La s</w:t>
      </w:r>
      <w:r w:rsidR="00341473" w:rsidRPr="00EB411F">
        <w:rPr>
          <w:b/>
          <w:lang w:val="fr-FR"/>
        </w:rPr>
        <w:t>auvegarde de Enkipaata, Eunoto et Olng’esherr, trois rites de passage masculins de la communauté masaï</w:t>
      </w:r>
      <w:r w:rsidR="00F47A6C">
        <w:rPr>
          <w:lang w:val="fr-FR"/>
        </w:rPr>
        <w:t> » (n° </w:t>
      </w:r>
      <w:r w:rsidR="00EB411F">
        <w:rPr>
          <w:lang w:val="fr-FR"/>
        </w:rPr>
        <w:t xml:space="preserve">00888) et </w:t>
      </w:r>
      <w:r w:rsidR="00EB411F" w:rsidRPr="007B25BB">
        <w:rPr>
          <w:u w:val="single"/>
          <w:lang w:val="fr-FR"/>
        </w:rPr>
        <w:t>d’allouer</w:t>
      </w:r>
      <w:r w:rsidR="00EB411F">
        <w:rPr>
          <w:lang w:val="fr-FR"/>
        </w:rPr>
        <w:t xml:space="preserve"> un montant de 144</w:t>
      </w:r>
      <w:r w:rsidR="007C15D1">
        <w:rPr>
          <w:lang w:val="fr-FR"/>
        </w:rPr>
        <w:t> </w:t>
      </w:r>
      <w:r w:rsidR="00EB411F">
        <w:rPr>
          <w:lang w:val="fr-FR"/>
        </w:rPr>
        <w:t>430</w:t>
      </w:r>
      <w:r w:rsidR="007C15D1">
        <w:rPr>
          <w:lang w:val="fr-FR"/>
        </w:rPr>
        <w:t> </w:t>
      </w:r>
      <w:r w:rsidR="00EB411F" w:rsidRPr="00EB411F">
        <w:rPr>
          <w:lang w:val="fr-FR"/>
        </w:rPr>
        <w:t>dollars des États-Unis</w:t>
      </w:r>
      <w:r w:rsidR="00EB411F">
        <w:rPr>
          <w:lang w:val="fr-FR"/>
        </w:rPr>
        <w:t xml:space="preserve"> à l’</w:t>
      </w:r>
      <w:r w:rsidR="00EB411F" w:rsidRPr="00EB411F">
        <w:rPr>
          <w:lang w:val="fr-FR"/>
        </w:rPr>
        <w:t>État partie</w:t>
      </w:r>
      <w:r w:rsidR="00EB411F">
        <w:rPr>
          <w:lang w:val="fr-FR"/>
        </w:rPr>
        <w:t xml:space="preserve"> à cette fin ;</w:t>
      </w:r>
    </w:p>
    <w:p w14:paraId="74818F97" w14:textId="41FE9DE6" w:rsidR="008B6E1C" w:rsidRDefault="008B6E1C" w:rsidP="008B6E1C">
      <w:pPr>
        <w:pStyle w:val="COMParaDecision"/>
        <w:numPr>
          <w:ilvl w:val="0"/>
          <w:numId w:val="2"/>
        </w:numPr>
        <w:ind w:left="1134" w:hanging="567"/>
        <w:rPr>
          <w:lang w:val="fr-FR"/>
        </w:rPr>
      </w:pPr>
      <w:r w:rsidRPr="00D01265">
        <w:rPr>
          <w:u w:val="single"/>
          <w:lang w:val="fr-FR"/>
        </w:rPr>
        <w:t>Demande</w:t>
      </w:r>
      <w:r w:rsidRPr="00D01265">
        <w:rPr>
          <w:lang w:val="fr-FR"/>
        </w:rPr>
        <w:t xml:space="preserve"> </w:t>
      </w:r>
      <w:r w:rsidR="00EB411F">
        <w:rPr>
          <w:lang w:val="fr-FR"/>
        </w:rPr>
        <w:t xml:space="preserve">au Secrétariat de </w:t>
      </w:r>
      <w:r w:rsidR="007C15D1">
        <w:rPr>
          <w:lang w:val="fr-FR"/>
        </w:rPr>
        <w:t>se mettre</w:t>
      </w:r>
      <w:r w:rsidR="00EB411F">
        <w:rPr>
          <w:lang w:val="fr-FR"/>
        </w:rPr>
        <w:t xml:space="preserve"> </w:t>
      </w:r>
      <w:r w:rsidR="007C15D1">
        <w:rPr>
          <w:lang w:val="fr-FR"/>
        </w:rPr>
        <w:t>d’</w:t>
      </w:r>
      <w:r w:rsidR="00EB411F">
        <w:rPr>
          <w:lang w:val="fr-FR"/>
        </w:rPr>
        <w:t>accord avec l’</w:t>
      </w:r>
      <w:r w:rsidR="00EB411F" w:rsidRPr="00EB411F">
        <w:rPr>
          <w:lang w:val="fr-FR"/>
        </w:rPr>
        <w:t>État partie</w:t>
      </w:r>
      <w:r w:rsidR="00EB411F">
        <w:rPr>
          <w:lang w:val="fr-FR"/>
        </w:rPr>
        <w:t xml:space="preserve"> demandeur sur les détails techniques de l’</w:t>
      </w:r>
      <w:r w:rsidR="00EB411F" w:rsidRPr="00EB411F">
        <w:rPr>
          <w:lang w:val="fr-FR"/>
        </w:rPr>
        <w:t>assistance</w:t>
      </w:r>
      <w:r w:rsidR="00EB411F">
        <w:rPr>
          <w:lang w:val="fr-FR"/>
        </w:rPr>
        <w:t xml:space="preserve">, en accordant une attention particulière </w:t>
      </w:r>
      <w:r w:rsidR="007C15D1">
        <w:rPr>
          <w:lang w:val="fr-FR"/>
        </w:rPr>
        <w:t xml:space="preserve">à la </w:t>
      </w:r>
      <w:r w:rsidR="00EB411F">
        <w:rPr>
          <w:lang w:val="fr-FR"/>
        </w:rPr>
        <w:t>budg</w:t>
      </w:r>
      <w:r w:rsidR="007C15D1">
        <w:rPr>
          <w:lang w:val="fr-FR"/>
        </w:rPr>
        <w:t>é</w:t>
      </w:r>
      <w:r w:rsidR="00EB411F">
        <w:rPr>
          <w:lang w:val="fr-FR"/>
        </w:rPr>
        <w:t>t</w:t>
      </w:r>
      <w:r w:rsidR="007C15D1">
        <w:rPr>
          <w:lang w:val="fr-FR"/>
        </w:rPr>
        <w:t>isation</w:t>
      </w:r>
      <w:r w:rsidR="00EB411F">
        <w:rPr>
          <w:lang w:val="fr-FR"/>
        </w:rPr>
        <w:t xml:space="preserve"> détaillé</w:t>
      </w:r>
      <w:r w:rsidR="007C15D1">
        <w:rPr>
          <w:lang w:val="fr-FR"/>
        </w:rPr>
        <w:t>e</w:t>
      </w:r>
      <w:r w:rsidR="00EB411F">
        <w:rPr>
          <w:lang w:val="fr-FR"/>
        </w:rPr>
        <w:t xml:space="preserve"> des activités </w:t>
      </w:r>
      <w:r w:rsidR="007C15D1">
        <w:rPr>
          <w:lang w:val="fr-FR"/>
        </w:rPr>
        <w:t>prises</w:t>
      </w:r>
      <w:r w:rsidR="00EB411F">
        <w:rPr>
          <w:lang w:val="fr-FR"/>
        </w:rPr>
        <w:t xml:space="preserve"> en charge par le Fonds du patrimoine culturel immatériel ;</w:t>
      </w:r>
    </w:p>
    <w:p w14:paraId="7A5C8304" w14:textId="3AA77A60" w:rsidR="009B26CE" w:rsidRDefault="00EB411F" w:rsidP="00F47A6C">
      <w:pPr>
        <w:pStyle w:val="GAParaResolution"/>
      </w:pPr>
      <w:r w:rsidRPr="00EB411F">
        <w:t>Invite</w:t>
      </w:r>
      <w:r w:rsidRPr="00EB411F">
        <w:rPr>
          <w:u w:val="none"/>
        </w:rPr>
        <w:t xml:space="preserve"> l’État partie à utilise</w:t>
      </w:r>
      <w:r>
        <w:rPr>
          <w:u w:val="none"/>
        </w:rPr>
        <w:t>r</w:t>
      </w:r>
      <w:r w:rsidRPr="00EB411F">
        <w:rPr>
          <w:u w:val="none"/>
        </w:rPr>
        <w:t xml:space="preserve"> le formulaire ICH-04 </w:t>
      </w:r>
      <w:r w:rsidR="007C15D1">
        <w:rPr>
          <w:u w:val="none"/>
        </w:rPr>
        <w:t>pour rendre compte de</w:t>
      </w:r>
      <w:r w:rsidRPr="00EB411F">
        <w:rPr>
          <w:u w:val="none"/>
        </w:rPr>
        <w:t xml:space="preserve"> l’utilisation de l’assistance allouée</w:t>
      </w:r>
      <w:r>
        <w:rPr>
          <w:u w:val="none"/>
        </w:rPr>
        <w:t>.</w:t>
      </w:r>
    </w:p>
    <w:sectPr w:rsidR="009B26CE" w:rsidSect="008B6E1C">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6674" w14:textId="77777777" w:rsidR="00132539" w:rsidRDefault="00132539" w:rsidP="008B6E1C">
      <w:r>
        <w:separator/>
      </w:r>
    </w:p>
  </w:endnote>
  <w:endnote w:type="continuationSeparator" w:id="0">
    <w:p w14:paraId="3534217E" w14:textId="77777777" w:rsidR="00132539" w:rsidRDefault="00132539" w:rsidP="008B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BAB0" w14:textId="77777777" w:rsidR="006F63A5" w:rsidRDefault="006F6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A339" w14:textId="77777777" w:rsidR="006F63A5" w:rsidRDefault="006F6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0E14" w14:textId="77777777" w:rsidR="006F63A5" w:rsidRDefault="006F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3B4C" w14:textId="77777777" w:rsidR="00132539" w:rsidRDefault="00132539" w:rsidP="008B6E1C">
      <w:r>
        <w:separator/>
      </w:r>
    </w:p>
  </w:footnote>
  <w:footnote w:type="continuationSeparator" w:id="0">
    <w:p w14:paraId="58836520" w14:textId="77777777" w:rsidR="00132539" w:rsidRDefault="00132539" w:rsidP="008B6E1C">
      <w:r>
        <w:continuationSeparator/>
      </w:r>
    </w:p>
  </w:footnote>
  <w:footnote w:id="1">
    <w:p w14:paraId="7234343D" w14:textId="77777777" w:rsidR="00132539" w:rsidRDefault="00132539">
      <w:pPr>
        <w:pStyle w:val="FootnoteText"/>
      </w:pPr>
      <w:r>
        <w:rPr>
          <w:rStyle w:val="FootnoteReference"/>
        </w:rPr>
        <w:footnoteRef/>
      </w:r>
      <w:r>
        <w:t xml:space="preserve"> </w:t>
      </w:r>
      <w:hyperlink r:id="rId1" w:history="1">
        <w:r w:rsidRPr="007B41AE">
          <w:rPr>
            <w:rStyle w:val="Hyperlink"/>
          </w:rPr>
          <w:t>http://www.unesco.org/culture/ich/fr/Decisions/10.COM/10.c.2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1424D" w14:textId="77777777" w:rsidR="00132539" w:rsidRPr="004D71E7" w:rsidRDefault="00132539" w:rsidP="008B6E1C">
    <w:pPr>
      <w:pStyle w:val="Header"/>
      <w:rPr>
        <w:rFonts w:ascii="Arial" w:hAnsi="Arial" w:cs="Arial"/>
        <w:lang w:val="en-US"/>
      </w:rPr>
    </w:pPr>
    <w:r>
      <w:rPr>
        <w:rFonts w:ascii="Arial" w:hAnsi="Arial" w:cs="Arial"/>
        <w:sz w:val="20"/>
        <w:szCs w:val="20"/>
        <w:lang w:val="en-US"/>
      </w:rPr>
      <w:t>ITH/16/11.COM 3.BUR/XX</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Pr>
        <w:rStyle w:val="PageNumber"/>
        <w:rFonts w:ascii="Arial" w:hAnsi="Arial" w:cs="Arial"/>
        <w:noProof/>
        <w:sz w:val="20"/>
        <w:szCs w:val="20"/>
        <w:lang w:val="en-US"/>
      </w:rPr>
      <w:t>2</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E316" w14:textId="45E7D008" w:rsidR="00132539" w:rsidRPr="004D71E7" w:rsidRDefault="006F63A5">
    <w:pPr>
      <w:pStyle w:val="Header"/>
      <w:jc w:val="right"/>
      <w:rPr>
        <w:rFonts w:ascii="Arial" w:hAnsi="Arial" w:cs="Arial"/>
        <w:lang w:val="en-US"/>
      </w:rPr>
    </w:pPr>
    <w:r>
      <w:rPr>
        <w:rFonts w:ascii="Arial" w:hAnsi="Arial" w:cs="Arial"/>
        <w:sz w:val="20"/>
        <w:szCs w:val="20"/>
        <w:lang w:val="en-US"/>
      </w:rPr>
      <w:t>ITH/16/11.COM 3.BUR/4</w:t>
    </w:r>
    <w:r w:rsidR="00132539" w:rsidRPr="00EF563B">
      <w:rPr>
        <w:rFonts w:ascii="Arial" w:hAnsi="Arial" w:cs="Arial"/>
        <w:sz w:val="20"/>
        <w:szCs w:val="20"/>
        <w:lang w:val="en-US"/>
      </w:rPr>
      <w:t xml:space="preserve"> – page </w:t>
    </w:r>
    <w:r w:rsidR="00132539" w:rsidRPr="00EF563B">
      <w:rPr>
        <w:rStyle w:val="PageNumber"/>
        <w:rFonts w:ascii="Arial" w:hAnsi="Arial" w:cs="Arial"/>
        <w:sz w:val="20"/>
        <w:szCs w:val="20"/>
      </w:rPr>
      <w:fldChar w:fldCharType="begin"/>
    </w:r>
    <w:r w:rsidR="00132539" w:rsidRPr="00EF563B">
      <w:rPr>
        <w:rStyle w:val="PageNumber"/>
        <w:rFonts w:ascii="Arial" w:hAnsi="Arial" w:cs="Arial"/>
        <w:sz w:val="20"/>
        <w:szCs w:val="20"/>
        <w:lang w:val="en-US"/>
      </w:rPr>
      <w:instrText xml:space="preserve"> </w:instrText>
    </w:r>
    <w:r w:rsidR="00132539">
      <w:rPr>
        <w:rStyle w:val="PageNumber"/>
        <w:rFonts w:ascii="Arial" w:hAnsi="Arial" w:cs="Arial"/>
        <w:sz w:val="20"/>
        <w:szCs w:val="20"/>
        <w:lang w:val="en-US"/>
      </w:rPr>
      <w:instrText>PAGE</w:instrText>
    </w:r>
    <w:r w:rsidR="00132539" w:rsidRPr="00EF563B">
      <w:rPr>
        <w:rStyle w:val="PageNumber"/>
        <w:rFonts w:ascii="Arial" w:hAnsi="Arial" w:cs="Arial"/>
        <w:sz w:val="20"/>
        <w:szCs w:val="20"/>
        <w:lang w:val="en-US"/>
      </w:rPr>
      <w:instrText xml:space="preserve"> </w:instrText>
    </w:r>
    <w:r w:rsidR="00132539" w:rsidRPr="00EF563B">
      <w:rPr>
        <w:rStyle w:val="PageNumber"/>
        <w:rFonts w:ascii="Arial" w:hAnsi="Arial" w:cs="Arial"/>
        <w:sz w:val="20"/>
        <w:szCs w:val="20"/>
      </w:rPr>
      <w:fldChar w:fldCharType="separate"/>
    </w:r>
    <w:r w:rsidR="00A15E5C">
      <w:rPr>
        <w:rStyle w:val="PageNumber"/>
        <w:rFonts w:ascii="Arial" w:hAnsi="Arial" w:cs="Arial"/>
        <w:noProof/>
        <w:sz w:val="20"/>
        <w:szCs w:val="20"/>
        <w:lang w:val="en-US"/>
      </w:rPr>
      <w:t>3</w:t>
    </w:r>
    <w:r w:rsidR="00132539"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9F26" w14:textId="77777777" w:rsidR="00132539" w:rsidRPr="008724E5" w:rsidRDefault="00132539">
    <w:pPr>
      <w:pStyle w:val="Header"/>
    </w:pPr>
    <w:r>
      <w:rPr>
        <w:noProof/>
      </w:rPr>
      <w:drawing>
        <wp:anchor distT="0" distB="0" distL="114300" distR="114300" simplePos="0" relativeHeight="251659264" behindDoc="0" locked="0" layoutInCell="1" allowOverlap="1" wp14:anchorId="48539314" wp14:editId="493E32EB">
          <wp:simplePos x="0" y="0"/>
          <wp:positionH relativeFrom="column">
            <wp:posOffset>-377190</wp:posOffset>
          </wp:positionH>
          <wp:positionV relativeFrom="paragraph">
            <wp:posOffset>5080</wp:posOffset>
          </wp:positionV>
          <wp:extent cx="2038350" cy="1529080"/>
          <wp:effectExtent l="0" t="0" r="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F6A84" w14:textId="77777777" w:rsidR="00132539" w:rsidRPr="00985DAD" w:rsidRDefault="00132539" w:rsidP="008B6E1C">
    <w:pPr>
      <w:tabs>
        <w:tab w:val="center" w:pos="4536"/>
        <w:tab w:val="right" w:pos="9072"/>
      </w:tabs>
      <w:spacing w:after="520"/>
      <w:jc w:val="right"/>
      <w:rPr>
        <w:rFonts w:ascii="Arial" w:hAnsi="Arial" w:cs="Arial"/>
        <w:b/>
        <w:sz w:val="44"/>
        <w:szCs w:val="44"/>
        <w:lang w:val="en-GB"/>
      </w:rPr>
    </w:pPr>
    <w:r>
      <w:rPr>
        <w:rFonts w:ascii="Arial" w:hAnsi="Arial" w:cs="Arial"/>
        <w:b/>
        <w:sz w:val="44"/>
        <w:szCs w:val="44"/>
        <w:lang w:val="en-GB"/>
      </w:rPr>
      <w:t>11 COM 3</w:t>
    </w:r>
    <w:r w:rsidRPr="00985DAD">
      <w:rPr>
        <w:rFonts w:ascii="Arial" w:hAnsi="Arial" w:cs="Arial"/>
        <w:b/>
        <w:sz w:val="44"/>
        <w:szCs w:val="44"/>
        <w:lang w:val="en-GB"/>
      </w:rPr>
      <w:t xml:space="preserve"> BUR</w:t>
    </w:r>
  </w:p>
  <w:p w14:paraId="4A863181" w14:textId="27C7F2FA" w:rsidR="00132539" w:rsidRPr="00F47A6C" w:rsidRDefault="006F63A5" w:rsidP="008B6E1C">
    <w:pPr>
      <w:jc w:val="right"/>
      <w:rPr>
        <w:rFonts w:ascii="Arial" w:hAnsi="Arial" w:cs="Arial"/>
        <w:b/>
        <w:sz w:val="22"/>
        <w:szCs w:val="22"/>
        <w:lang w:val="en-US"/>
      </w:rPr>
    </w:pPr>
    <w:r>
      <w:rPr>
        <w:rFonts w:ascii="Arial" w:hAnsi="Arial"/>
        <w:b/>
        <w:sz w:val="22"/>
        <w:lang w:val="en-US"/>
      </w:rPr>
      <w:t>ITH/16/11 COM 3.BUR/4</w:t>
    </w:r>
  </w:p>
  <w:p w14:paraId="1925FCC1" w14:textId="77777777" w:rsidR="00132539" w:rsidRPr="008B6E1C" w:rsidRDefault="00132539" w:rsidP="008B6E1C">
    <w:pPr>
      <w:jc w:val="right"/>
      <w:rPr>
        <w:rFonts w:ascii="Arial" w:hAnsi="Arial" w:cs="Arial"/>
        <w:b/>
        <w:sz w:val="22"/>
        <w:szCs w:val="22"/>
      </w:rPr>
    </w:pPr>
    <w:r w:rsidRPr="008B6E1C">
      <w:rPr>
        <w:rFonts w:ascii="Arial" w:hAnsi="Arial"/>
        <w:b/>
        <w:sz w:val="22"/>
      </w:rPr>
      <w:t>Paris, 6 octobre 2016</w:t>
    </w:r>
  </w:p>
  <w:p w14:paraId="615E3840" w14:textId="77777777" w:rsidR="00132539" w:rsidRPr="008B6E1C" w:rsidRDefault="00132539" w:rsidP="008B6E1C">
    <w:pPr>
      <w:jc w:val="right"/>
      <w:rPr>
        <w:rFonts w:ascii="Arial" w:hAnsi="Arial" w:cs="Arial"/>
        <w:b/>
        <w:sz w:val="22"/>
        <w:szCs w:val="22"/>
      </w:rPr>
    </w:pPr>
    <w:r w:rsidRPr="008B6E1C">
      <w:rPr>
        <w:rFonts w:ascii="Arial" w:hAnsi="Arial"/>
        <w:b/>
        <w:sz w:val="22"/>
      </w:rPr>
      <w:t>Original : anglais</w:t>
    </w:r>
  </w:p>
  <w:p w14:paraId="76A0DBAB" w14:textId="77777777" w:rsidR="00132539" w:rsidRPr="008B6E1C" w:rsidRDefault="00132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07BFE"/>
    <w:multiLevelType w:val="hybridMultilevel"/>
    <w:tmpl w:val="920092E4"/>
    <w:lvl w:ilvl="0" w:tplc="DB8ABCAA">
      <w:start w:val="1"/>
      <w:numFmt w:val="decimal"/>
      <w:pStyle w:val="GA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7A4DB1"/>
    <w:multiLevelType w:val="hybridMultilevel"/>
    <w:tmpl w:val="B8CAA064"/>
    <w:lvl w:ilvl="0" w:tplc="848A449C">
      <w:start w:val="1"/>
      <w:numFmt w:val="decimal"/>
      <w:pStyle w:val="GAParaResolution"/>
      <w:lvlText w:val="%1."/>
      <w:lvlJc w:val="left"/>
      <w:pPr>
        <w:ind w:left="720"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7A4EDD"/>
    <w:multiLevelType w:val="hybridMultilevel"/>
    <w:tmpl w:val="5DCAA47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1C"/>
    <w:rsid w:val="000C1850"/>
    <w:rsid w:val="00100E1F"/>
    <w:rsid w:val="00114532"/>
    <w:rsid w:val="00132539"/>
    <w:rsid w:val="0019660E"/>
    <w:rsid w:val="001A03B3"/>
    <w:rsid w:val="001A6230"/>
    <w:rsid w:val="0022786B"/>
    <w:rsid w:val="00233B1E"/>
    <w:rsid w:val="002D1EA8"/>
    <w:rsid w:val="002E3245"/>
    <w:rsid w:val="00300484"/>
    <w:rsid w:val="00341473"/>
    <w:rsid w:val="00403E78"/>
    <w:rsid w:val="004A323B"/>
    <w:rsid w:val="00527B84"/>
    <w:rsid w:val="00562ECA"/>
    <w:rsid w:val="005F2ACD"/>
    <w:rsid w:val="0061270B"/>
    <w:rsid w:val="00646FD4"/>
    <w:rsid w:val="006A1CB7"/>
    <w:rsid w:val="006F63A5"/>
    <w:rsid w:val="007636CC"/>
    <w:rsid w:val="00764AA7"/>
    <w:rsid w:val="007A0425"/>
    <w:rsid w:val="007B25BB"/>
    <w:rsid w:val="007C15D1"/>
    <w:rsid w:val="008B6E1C"/>
    <w:rsid w:val="008E678B"/>
    <w:rsid w:val="008F5C82"/>
    <w:rsid w:val="009057AF"/>
    <w:rsid w:val="00957A55"/>
    <w:rsid w:val="009B26CE"/>
    <w:rsid w:val="009D476C"/>
    <w:rsid w:val="00A15E5C"/>
    <w:rsid w:val="00AD5937"/>
    <w:rsid w:val="00AF2226"/>
    <w:rsid w:val="00B60D69"/>
    <w:rsid w:val="00B72904"/>
    <w:rsid w:val="00C235FD"/>
    <w:rsid w:val="00C44C28"/>
    <w:rsid w:val="00CA5D97"/>
    <w:rsid w:val="00D07A1C"/>
    <w:rsid w:val="00D6499E"/>
    <w:rsid w:val="00E2717A"/>
    <w:rsid w:val="00E350F4"/>
    <w:rsid w:val="00EB411F"/>
    <w:rsid w:val="00F06D3F"/>
    <w:rsid w:val="00F47A6C"/>
    <w:rsid w:val="00FA4941"/>
    <w:rsid w:val="00FB11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050AC"/>
  <w14:defaultImageDpi w14:val="300"/>
  <w15:docId w15:val="{37D6141E-968B-4FC2-9AF1-4BF4CC3B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6E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A03B3"/>
    <w:rPr>
      <w:rFonts w:ascii="Arial" w:hAnsi="Arial"/>
      <w:sz w:val="16"/>
    </w:rPr>
  </w:style>
  <w:style w:type="character" w:customStyle="1" w:styleId="FootnoteTextChar">
    <w:name w:val="Footnote Text Char"/>
    <w:basedOn w:val="DefaultParagraphFont"/>
    <w:link w:val="FootnoteText"/>
    <w:rsid w:val="001A03B3"/>
    <w:rPr>
      <w:rFonts w:ascii="Arial" w:hAnsi="Arial"/>
      <w:sz w:val="16"/>
    </w:rPr>
  </w:style>
  <w:style w:type="paragraph" w:styleId="Header">
    <w:name w:val="header"/>
    <w:basedOn w:val="Normal"/>
    <w:link w:val="HeaderChar"/>
    <w:uiPriority w:val="99"/>
    <w:unhideWhenUsed/>
    <w:rsid w:val="008B6E1C"/>
    <w:pPr>
      <w:tabs>
        <w:tab w:val="center" w:pos="4536"/>
        <w:tab w:val="right" w:pos="9072"/>
      </w:tabs>
    </w:pPr>
  </w:style>
  <w:style w:type="character" w:customStyle="1" w:styleId="HeaderChar">
    <w:name w:val="Header Char"/>
    <w:basedOn w:val="DefaultParagraphFont"/>
    <w:link w:val="Header"/>
    <w:uiPriority w:val="99"/>
    <w:rsid w:val="008B6E1C"/>
    <w:rPr>
      <w:rFonts w:ascii="Times New Roman" w:eastAsia="Times New Roman" w:hAnsi="Times New Roman" w:cs="Times New Roman"/>
    </w:rPr>
  </w:style>
  <w:style w:type="paragraph" w:customStyle="1" w:styleId="Sansinterligne2">
    <w:name w:val="Sans interligne2"/>
    <w:uiPriority w:val="1"/>
    <w:rsid w:val="008B6E1C"/>
    <w:rPr>
      <w:rFonts w:ascii="Times New Roman" w:eastAsia="Times New Roman" w:hAnsi="Times New Roman" w:cs="Times New Roman"/>
    </w:rPr>
  </w:style>
  <w:style w:type="character" w:styleId="PageNumber">
    <w:name w:val="page number"/>
    <w:basedOn w:val="DefaultParagraphFont"/>
    <w:semiHidden/>
    <w:rsid w:val="008B6E1C"/>
  </w:style>
  <w:style w:type="paragraph" w:customStyle="1" w:styleId="Marge">
    <w:name w:val="Marge"/>
    <w:basedOn w:val="Normal"/>
    <w:link w:val="MargeChar"/>
    <w:rsid w:val="008B6E1C"/>
    <w:pPr>
      <w:tabs>
        <w:tab w:val="left" w:pos="567"/>
      </w:tabs>
      <w:snapToGrid w:val="0"/>
      <w:spacing w:after="240"/>
      <w:jc w:val="both"/>
    </w:pPr>
    <w:rPr>
      <w:rFonts w:ascii="Arial" w:hAnsi="Arial"/>
      <w:snapToGrid w:val="0"/>
      <w:sz w:val="22"/>
      <w:lang w:eastAsia="en-US"/>
    </w:rPr>
  </w:style>
  <w:style w:type="paragraph" w:customStyle="1" w:styleId="Sansinterligne1">
    <w:name w:val="Sans interligne1"/>
    <w:uiPriority w:val="1"/>
    <w:rsid w:val="008B6E1C"/>
    <w:rPr>
      <w:rFonts w:ascii="Times New Roman" w:eastAsia="Times New Roman" w:hAnsi="Times New Roman" w:cs="Times New Roman"/>
    </w:rPr>
  </w:style>
  <w:style w:type="paragraph" w:customStyle="1" w:styleId="GAParabodytext">
    <w:name w:val="GA Para body text"/>
    <w:basedOn w:val="Marge"/>
    <w:qFormat/>
    <w:rsid w:val="008B6E1C"/>
    <w:pPr>
      <w:numPr>
        <w:numId w:val="1"/>
      </w:numPr>
      <w:tabs>
        <w:tab w:val="num" w:pos="360"/>
      </w:tabs>
      <w:spacing w:after="120"/>
      <w:ind w:left="567" w:hanging="567"/>
    </w:pPr>
    <w:rPr>
      <w:rFonts w:cs="Arial"/>
      <w:szCs w:val="22"/>
      <w:lang w:val="en-US"/>
    </w:rPr>
  </w:style>
  <w:style w:type="paragraph" w:customStyle="1" w:styleId="GAParaResolution">
    <w:name w:val="GA Para Resolution"/>
    <w:basedOn w:val="Normal"/>
    <w:qFormat/>
    <w:rsid w:val="008B6E1C"/>
    <w:pPr>
      <w:numPr>
        <w:numId w:val="2"/>
      </w:numPr>
      <w:autoSpaceDE w:val="0"/>
      <w:autoSpaceDN w:val="0"/>
      <w:adjustRightInd w:val="0"/>
      <w:spacing w:after="120"/>
      <w:ind w:left="1134" w:hanging="567"/>
      <w:jc w:val="both"/>
    </w:pPr>
    <w:rPr>
      <w:rFonts w:ascii="Arial" w:hAnsi="Arial" w:cs="Arial"/>
      <w:sz w:val="22"/>
      <w:szCs w:val="22"/>
      <w:u w:val="single"/>
    </w:rPr>
  </w:style>
  <w:style w:type="paragraph" w:customStyle="1" w:styleId="GAPara">
    <w:name w:val="GA Para"/>
    <w:qFormat/>
    <w:rsid w:val="008B6E1C"/>
    <w:pPr>
      <w:spacing w:after="120"/>
    </w:pPr>
    <w:rPr>
      <w:rFonts w:ascii="Arial" w:eastAsia="Times New Roman" w:hAnsi="Arial" w:cs="Arial"/>
      <w:snapToGrid w:val="0"/>
      <w:sz w:val="22"/>
      <w:szCs w:val="22"/>
    </w:rPr>
  </w:style>
  <w:style w:type="paragraph" w:customStyle="1" w:styleId="1GAParabodytext">
    <w:name w:val="1.GA Para body text"/>
    <w:basedOn w:val="Marge"/>
    <w:qFormat/>
    <w:rsid w:val="008B6E1C"/>
    <w:pPr>
      <w:spacing w:after="120"/>
      <w:ind w:left="567" w:hanging="567"/>
    </w:pPr>
    <w:rPr>
      <w:rFonts w:cs="Arial"/>
      <w:szCs w:val="22"/>
    </w:rPr>
  </w:style>
  <w:style w:type="paragraph" w:customStyle="1" w:styleId="COMTitleDecision">
    <w:name w:val="COM Title Decision"/>
    <w:basedOn w:val="Normal"/>
    <w:qFormat/>
    <w:rsid w:val="008B6E1C"/>
    <w:pPr>
      <w:keepNext/>
      <w:spacing w:before="240" w:after="120"/>
      <w:ind w:left="567"/>
      <w:jc w:val="both"/>
    </w:pPr>
    <w:rPr>
      <w:rFonts w:ascii="Arial" w:hAnsi="Arial" w:cs="Arial"/>
      <w:b/>
      <w:sz w:val="22"/>
      <w:szCs w:val="22"/>
      <w:lang w:val="en-GB"/>
    </w:rPr>
  </w:style>
  <w:style w:type="paragraph" w:customStyle="1" w:styleId="COMParaDecision">
    <w:name w:val="COM Para Decision"/>
    <w:basedOn w:val="Normal"/>
    <w:qFormat/>
    <w:rsid w:val="008B6E1C"/>
    <w:pPr>
      <w:autoSpaceDE w:val="0"/>
      <w:autoSpaceDN w:val="0"/>
      <w:adjustRightInd w:val="0"/>
      <w:spacing w:after="120"/>
      <w:ind w:left="1287" w:hanging="360"/>
      <w:jc w:val="both"/>
    </w:pPr>
    <w:rPr>
      <w:rFonts w:ascii="Arial" w:eastAsia="SimSun" w:hAnsi="Arial" w:cs="Arial"/>
      <w:sz w:val="22"/>
      <w:szCs w:val="22"/>
      <w:lang w:val="en-GB"/>
    </w:rPr>
  </w:style>
  <w:style w:type="character" w:customStyle="1" w:styleId="MargeChar">
    <w:name w:val="Marge Char"/>
    <w:link w:val="Marge"/>
    <w:rsid w:val="008B6E1C"/>
    <w:rPr>
      <w:rFonts w:ascii="Arial" w:eastAsia="Times New Roman" w:hAnsi="Arial" w:cs="Times New Roman"/>
      <w:snapToGrid w:val="0"/>
      <w:sz w:val="22"/>
      <w:lang w:eastAsia="en-US"/>
    </w:rPr>
  </w:style>
  <w:style w:type="paragraph" w:styleId="Footer">
    <w:name w:val="footer"/>
    <w:basedOn w:val="Normal"/>
    <w:link w:val="FooterChar"/>
    <w:uiPriority w:val="99"/>
    <w:unhideWhenUsed/>
    <w:rsid w:val="008B6E1C"/>
    <w:pPr>
      <w:tabs>
        <w:tab w:val="center" w:pos="4536"/>
        <w:tab w:val="right" w:pos="9072"/>
      </w:tabs>
    </w:pPr>
  </w:style>
  <w:style w:type="character" w:customStyle="1" w:styleId="FooterChar">
    <w:name w:val="Footer Char"/>
    <w:basedOn w:val="DefaultParagraphFont"/>
    <w:link w:val="Footer"/>
    <w:uiPriority w:val="99"/>
    <w:rsid w:val="008B6E1C"/>
    <w:rPr>
      <w:rFonts w:ascii="Times New Roman" w:eastAsia="Times New Roman" w:hAnsi="Times New Roman" w:cs="Times New Roman"/>
    </w:rPr>
  </w:style>
  <w:style w:type="character" w:styleId="Hyperlink">
    <w:name w:val="Hyperlink"/>
    <w:basedOn w:val="DefaultParagraphFont"/>
    <w:uiPriority w:val="99"/>
    <w:unhideWhenUsed/>
    <w:rsid w:val="00C235FD"/>
    <w:rPr>
      <w:color w:val="0000FF" w:themeColor="hyperlink"/>
      <w:u w:val="single"/>
    </w:rPr>
  </w:style>
  <w:style w:type="character" w:styleId="FollowedHyperlink">
    <w:name w:val="FollowedHyperlink"/>
    <w:basedOn w:val="DefaultParagraphFont"/>
    <w:uiPriority w:val="99"/>
    <w:semiHidden/>
    <w:unhideWhenUsed/>
    <w:rsid w:val="00C235FD"/>
    <w:rPr>
      <w:color w:val="800080" w:themeColor="followedHyperlink"/>
      <w:u w:val="single"/>
    </w:rPr>
  </w:style>
  <w:style w:type="character" w:styleId="FootnoteReference">
    <w:name w:val="footnote reference"/>
    <w:basedOn w:val="DefaultParagraphFont"/>
    <w:uiPriority w:val="99"/>
    <w:unhideWhenUsed/>
    <w:rsid w:val="00C235FD"/>
    <w:rPr>
      <w:vertAlign w:val="superscript"/>
    </w:rPr>
  </w:style>
  <w:style w:type="paragraph" w:styleId="BalloonText">
    <w:name w:val="Balloon Text"/>
    <w:basedOn w:val="Normal"/>
    <w:link w:val="BalloonTextChar"/>
    <w:uiPriority w:val="99"/>
    <w:semiHidden/>
    <w:unhideWhenUsed/>
    <w:rsid w:val="00957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A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esco.org/culture/ich/fr/Decisions/10.COM/10.c.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fr/Decisions/10.COM/10.c.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2067</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FabDab formation</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Daboval</dc:creator>
  <cp:keywords/>
  <dc:description/>
  <cp:lastModifiedBy>Constantinou, Elena</cp:lastModifiedBy>
  <cp:revision>7</cp:revision>
  <cp:lastPrinted>2016-10-05T09:50:00Z</cp:lastPrinted>
  <dcterms:created xsi:type="dcterms:W3CDTF">2016-10-05T14:45:00Z</dcterms:created>
  <dcterms:modified xsi:type="dcterms:W3CDTF">2016-10-06T14:35:00Z</dcterms:modified>
</cp:coreProperties>
</file>