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rsidR="00E63D44" w:rsidRPr="00DC26B3" w:rsidRDefault="00E63D44" w:rsidP="00E63D44">
      <w:pPr>
        <w:spacing w:before="1200"/>
        <w:jc w:val="center"/>
        <w:rPr>
          <w:rFonts w:ascii="Arial" w:hAnsi="Arial" w:cs="Arial"/>
          <w:b/>
          <w:noProof/>
          <w:sz w:val="22"/>
          <w:szCs w:val="22"/>
        </w:rPr>
      </w:pPr>
      <w:r w:rsidRPr="00DC26B3">
        <w:rPr>
          <w:rFonts w:ascii="Arial" w:hAnsi="Arial" w:cs="Arial"/>
          <w:b/>
          <w:sz w:val="22"/>
          <w:szCs w:val="22"/>
        </w:rPr>
        <w:t>ASSEMBLÉE GÉNÉRALE DES ÉTATS PARTIES À LA CONVENTION</w:t>
      </w:r>
    </w:p>
    <w:p w:rsidR="00E63D44" w:rsidRPr="00DC26B3" w:rsidRDefault="00E63D44" w:rsidP="00E63D44">
      <w:pPr>
        <w:spacing w:before="840"/>
        <w:jc w:val="center"/>
        <w:rPr>
          <w:rFonts w:ascii="Arial" w:hAnsi="Arial" w:cs="Arial"/>
          <w:b/>
          <w:sz w:val="22"/>
          <w:szCs w:val="22"/>
        </w:rPr>
      </w:pPr>
      <w:r w:rsidRPr="00DC26B3">
        <w:rPr>
          <w:rFonts w:ascii="Arial" w:hAnsi="Arial" w:cs="Arial"/>
          <w:b/>
          <w:sz w:val="22"/>
          <w:szCs w:val="22"/>
        </w:rPr>
        <w:t>Sixième session</w:t>
      </w:r>
    </w:p>
    <w:p w:rsidR="00E63D44" w:rsidRPr="00DC26B3" w:rsidRDefault="00E63D44" w:rsidP="00E63D44">
      <w:pPr>
        <w:jc w:val="center"/>
        <w:rPr>
          <w:rFonts w:ascii="Arial" w:hAnsi="Arial" w:cs="Arial"/>
          <w:b/>
          <w:sz w:val="22"/>
          <w:szCs w:val="22"/>
        </w:rPr>
      </w:pPr>
      <w:r w:rsidRPr="00DC26B3">
        <w:rPr>
          <w:rFonts w:ascii="Arial" w:hAnsi="Arial" w:cs="Arial"/>
          <w:b/>
          <w:sz w:val="22"/>
          <w:szCs w:val="22"/>
        </w:rPr>
        <w:t>Siège de l’UNESCO, salle II</w:t>
      </w:r>
    </w:p>
    <w:p w:rsidR="00E63D44" w:rsidRPr="00DC26B3" w:rsidRDefault="00E63D44" w:rsidP="00E63D44">
      <w:pPr>
        <w:jc w:val="center"/>
        <w:rPr>
          <w:rFonts w:ascii="Arial" w:hAnsi="Arial" w:cs="Arial"/>
          <w:b/>
          <w:sz w:val="22"/>
          <w:szCs w:val="22"/>
        </w:rPr>
      </w:pPr>
      <w:r w:rsidRPr="00DC26B3">
        <w:rPr>
          <w:rFonts w:ascii="Arial" w:hAnsi="Arial" w:cs="Arial"/>
          <w:b/>
          <w:sz w:val="22"/>
          <w:szCs w:val="22"/>
        </w:rPr>
        <w:t>30 mai</w:t>
      </w:r>
      <w:r>
        <w:rPr>
          <w:rFonts w:ascii="Arial" w:hAnsi="Arial" w:cs="Arial"/>
          <w:b/>
          <w:sz w:val="22"/>
          <w:szCs w:val="22"/>
        </w:rPr>
        <w:t> – 1</w:t>
      </w:r>
      <w:r w:rsidRPr="00657AEC">
        <w:rPr>
          <w:rFonts w:ascii="Arial" w:hAnsi="Arial" w:cs="Arial"/>
          <w:b/>
          <w:sz w:val="22"/>
          <w:szCs w:val="22"/>
          <w:vertAlign w:val="superscript"/>
        </w:rPr>
        <w:t>er</w:t>
      </w:r>
      <w:r w:rsidRPr="00DC26B3">
        <w:rPr>
          <w:rFonts w:ascii="Arial" w:hAnsi="Arial" w:cs="Arial"/>
          <w:b/>
          <w:sz w:val="22"/>
          <w:szCs w:val="22"/>
        </w:rPr>
        <w:t xml:space="preserve"> juin 2016</w:t>
      </w:r>
    </w:p>
    <w:p w:rsidR="00BC3420" w:rsidRPr="00B43974" w:rsidRDefault="00BC3420" w:rsidP="00BC3420">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0E1288">
        <w:rPr>
          <w:rFonts w:ascii="Arial" w:hAnsi="Arial" w:cs="Arial"/>
          <w:b/>
          <w:sz w:val="22"/>
          <w:szCs w:val="22"/>
          <w:u w:val="single"/>
        </w:rPr>
        <w:t>5</w:t>
      </w:r>
      <w:r w:rsidRPr="00B43974">
        <w:rPr>
          <w:rFonts w:ascii="Arial" w:hAnsi="Arial" w:cs="Arial"/>
          <w:b/>
          <w:sz w:val="22"/>
          <w:szCs w:val="22"/>
          <w:u w:val="single"/>
        </w:rPr>
        <w:t xml:space="preserve"> de l’ordre du jour provisoire</w:t>
      </w:r>
      <w:r w:rsidRPr="003B7415">
        <w:rPr>
          <w:rFonts w:ascii="Arial" w:hAnsi="Arial" w:cs="Arial"/>
          <w:b/>
          <w:sz w:val="22"/>
          <w:szCs w:val="22"/>
        </w:rPr>
        <w:t> :</w:t>
      </w:r>
    </w:p>
    <w:p w:rsidR="000A2D62" w:rsidRDefault="000A2D62" w:rsidP="000A2D62">
      <w:pPr>
        <w:pStyle w:val="Sansinterligne2"/>
        <w:spacing w:after="1200"/>
        <w:jc w:val="center"/>
        <w:rPr>
          <w:rFonts w:ascii="Arial" w:hAnsi="Arial" w:cs="Arial"/>
          <w:b/>
          <w:sz w:val="22"/>
          <w:szCs w:val="22"/>
        </w:rPr>
      </w:pPr>
      <w:r>
        <w:rPr>
          <w:rFonts w:ascii="Arial" w:hAnsi="Arial"/>
          <w:b/>
          <w:sz w:val="22"/>
        </w:rPr>
        <w:t>Rapport du Comité à l’Assemblée générale</w:t>
      </w:r>
      <w:r w:rsidRPr="000A2D62">
        <w:rPr>
          <w:rFonts w:ascii="Arial" w:hAnsi="Arial" w:cs="Arial"/>
          <w:b/>
          <w:sz w:val="22"/>
          <w:szCs w:val="22"/>
        </w:rPr>
        <w:br/>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3420" w:rsidRPr="00B43974" w:rsidTr="0019264E">
        <w:trPr>
          <w:jc w:val="center"/>
        </w:trPr>
        <w:tc>
          <w:tcPr>
            <w:tcW w:w="7825" w:type="dxa"/>
            <w:vAlign w:val="center"/>
          </w:tcPr>
          <w:p w:rsidR="00BC3420" w:rsidRPr="00B43974" w:rsidRDefault="00BC3420" w:rsidP="0019264E">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rsidR="000E1288" w:rsidRDefault="000A2D62" w:rsidP="00B37E33">
            <w:pPr>
              <w:pStyle w:val="Sansinterligne1"/>
              <w:spacing w:after="120"/>
              <w:jc w:val="both"/>
              <w:rPr>
                <w:rFonts w:ascii="Arial" w:hAnsi="Arial" w:cs="Arial"/>
                <w:b/>
                <w:sz w:val="22"/>
                <w:szCs w:val="22"/>
              </w:rPr>
            </w:pPr>
            <w:r>
              <w:rPr>
                <w:rFonts w:ascii="Arial" w:hAnsi="Arial"/>
                <w:sz w:val="22"/>
              </w:rPr>
              <w:t>L’article 30.1 de la Convention pour la sauvegarde du patrimoine culturel immatériel de 2003 prévoit que</w:t>
            </w:r>
            <w:r w:rsidR="00D02A8D">
              <w:rPr>
                <w:rFonts w:ascii="Arial" w:hAnsi="Arial"/>
                <w:sz w:val="22"/>
              </w:rPr>
              <w:t xml:space="preserve"> « sur la base de ses activités </w:t>
            </w:r>
            <w:r w:rsidR="004B11B8">
              <w:rPr>
                <w:rFonts w:ascii="Arial" w:hAnsi="Arial"/>
                <w:sz w:val="22"/>
              </w:rPr>
              <w:t xml:space="preserve">et des rapports des </w:t>
            </w:r>
            <w:r w:rsidR="004B11B8">
              <w:rPr>
                <w:rFonts w:ascii="Arial" w:hAnsi="Arial" w:cs="Arial"/>
                <w:sz w:val="22"/>
              </w:rPr>
              <w:t>É</w:t>
            </w:r>
            <w:r w:rsidR="004B11B8">
              <w:rPr>
                <w:rFonts w:ascii="Arial" w:hAnsi="Arial"/>
                <w:sz w:val="22"/>
              </w:rPr>
              <w:t xml:space="preserve">tats parties </w:t>
            </w:r>
            <w:r w:rsidR="00D02A8D">
              <w:rPr>
                <w:rFonts w:ascii="Arial" w:hAnsi="Arial"/>
                <w:sz w:val="22"/>
              </w:rPr>
              <w:t>[…]</w:t>
            </w:r>
            <w:r>
              <w:rPr>
                <w:rFonts w:ascii="Arial" w:hAnsi="Arial"/>
                <w:sz w:val="22"/>
              </w:rPr>
              <w:t xml:space="preserve"> le Comité soumet un rapport à chaque session de l’Assemblée générale</w:t>
            </w:r>
            <w:r w:rsidR="00D02A8D">
              <w:rPr>
                <w:rFonts w:ascii="Arial" w:hAnsi="Arial"/>
                <w:sz w:val="22"/>
              </w:rPr>
              <w:t> »</w:t>
            </w:r>
            <w:r>
              <w:rPr>
                <w:rFonts w:ascii="Arial" w:hAnsi="Arial"/>
                <w:sz w:val="22"/>
              </w:rPr>
              <w:t xml:space="preserve">. Ce document contient </w:t>
            </w:r>
            <w:r w:rsidR="000E1288">
              <w:rPr>
                <w:rFonts w:ascii="Arial" w:hAnsi="Arial"/>
                <w:sz w:val="22"/>
              </w:rPr>
              <w:t>le</w:t>
            </w:r>
            <w:r>
              <w:rPr>
                <w:rFonts w:ascii="Arial" w:hAnsi="Arial"/>
                <w:sz w:val="22"/>
              </w:rPr>
              <w:t xml:space="preserve"> rapport </w:t>
            </w:r>
            <w:r w:rsidR="000E1288">
              <w:rPr>
                <w:rFonts w:ascii="Arial" w:hAnsi="Arial"/>
                <w:sz w:val="22"/>
              </w:rPr>
              <w:t xml:space="preserve">du Comité basé </w:t>
            </w:r>
            <w:r>
              <w:rPr>
                <w:rFonts w:ascii="Arial" w:hAnsi="Arial"/>
                <w:sz w:val="22"/>
              </w:rPr>
              <w:t xml:space="preserve">sur </w:t>
            </w:r>
            <w:r w:rsidR="000E1288">
              <w:rPr>
                <w:rFonts w:ascii="Arial" w:hAnsi="Arial"/>
                <w:sz w:val="22"/>
              </w:rPr>
              <w:t>s</w:t>
            </w:r>
            <w:r>
              <w:rPr>
                <w:rFonts w:ascii="Arial" w:hAnsi="Arial"/>
                <w:sz w:val="22"/>
              </w:rPr>
              <w:t xml:space="preserve">es activités </w:t>
            </w:r>
            <w:r w:rsidR="000E1288">
              <w:rPr>
                <w:rFonts w:ascii="Arial" w:hAnsi="Arial"/>
                <w:sz w:val="22"/>
              </w:rPr>
              <w:t>entre</w:t>
            </w:r>
            <w:r>
              <w:rPr>
                <w:rFonts w:ascii="Arial" w:hAnsi="Arial"/>
                <w:sz w:val="22"/>
              </w:rPr>
              <w:t xml:space="preserve"> juin 2014 </w:t>
            </w:r>
            <w:r w:rsidR="000E1288">
              <w:rPr>
                <w:rFonts w:ascii="Arial" w:hAnsi="Arial"/>
                <w:sz w:val="22"/>
              </w:rPr>
              <w:t xml:space="preserve">et </w:t>
            </w:r>
            <w:r>
              <w:rPr>
                <w:rFonts w:ascii="Arial" w:hAnsi="Arial"/>
                <w:sz w:val="22"/>
              </w:rPr>
              <w:t xml:space="preserve">juin 2016 </w:t>
            </w:r>
            <w:r w:rsidR="000E1288">
              <w:rPr>
                <w:rFonts w:ascii="Arial" w:hAnsi="Arial"/>
                <w:sz w:val="22"/>
              </w:rPr>
              <w:t xml:space="preserve">et les rapports des </w:t>
            </w:r>
            <w:r w:rsidR="000E1288">
              <w:rPr>
                <w:rFonts w:ascii="Arial" w:hAnsi="Arial" w:cs="Arial"/>
                <w:sz w:val="22"/>
              </w:rPr>
              <w:t>É</w:t>
            </w:r>
            <w:r w:rsidR="000E1288">
              <w:rPr>
                <w:rFonts w:ascii="Arial" w:hAnsi="Arial"/>
                <w:sz w:val="22"/>
              </w:rPr>
              <w:t>tats parties qu’</w:t>
            </w:r>
            <w:r w:rsidR="004B11B8">
              <w:rPr>
                <w:rFonts w:ascii="Arial" w:hAnsi="Arial"/>
                <w:sz w:val="22"/>
              </w:rPr>
              <w:t xml:space="preserve">il a adoptés lors de </w:t>
            </w:r>
            <w:proofErr w:type="gramStart"/>
            <w:r w:rsidR="004B11B8">
              <w:rPr>
                <w:rFonts w:ascii="Arial" w:hAnsi="Arial"/>
                <w:sz w:val="22"/>
              </w:rPr>
              <w:t>ses</w:t>
            </w:r>
            <w:r w:rsidR="000E1288">
              <w:rPr>
                <w:rFonts w:ascii="Arial" w:hAnsi="Arial"/>
                <w:sz w:val="22"/>
              </w:rPr>
              <w:t xml:space="preserve"> neuvième</w:t>
            </w:r>
            <w:proofErr w:type="gramEnd"/>
            <w:r w:rsidR="000E1288">
              <w:rPr>
                <w:rFonts w:ascii="Arial" w:hAnsi="Arial"/>
                <w:sz w:val="22"/>
              </w:rPr>
              <w:t xml:space="preserve"> et dixième session</w:t>
            </w:r>
            <w:r w:rsidR="004B11B8">
              <w:rPr>
                <w:rFonts w:ascii="Arial" w:hAnsi="Arial"/>
                <w:sz w:val="22"/>
              </w:rPr>
              <w:t>s</w:t>
            </w:r>
            <w:r w:rsidR="000E1288">
              <w:rPr>
                <w:rFonts w:ascii="Arial" w:hAnsi="Arial"/>
                <w:sz w:val="22"/>
              </w:rPr>
              <w:t xml:space="preserve">. </w:t>
            </w:r>
          </w:p>
          <w:p w:rsidR="00BC3420" w:rsidRPr="00B43974" w:rsidRDefault="008243FD" w:rsidP="00B37E33">
            <w:pPr>
              <w:pStyle w:val="Sansinterligne1"/>
              <w:jc w:val="both"/>
              <w:rPr>
                <w:rFonts w:ascii="Arial" w:hAnsi="Arial" w:cs="Arial"/>
                <w:b/>
                <w:sz w:val="22"/>
                <w:szCs w:val="22"/>
              </w:rPr>
            </w:pPr>
            <w:r>
              <w:rPr>
                <w:rFonts w:ascii="Arial" w:hAnsi="Arial" w:cs="Arial"/>
                <w:b/>
                <w:sz w:val="22"/>
                <w:szCs w:val="22"/>
              </w:rPr>
              <w:t>Décision</w:t>
            </w:r>
            <w:r w:rsidR="00325A3E" w:rsidRPr="00B43974">
              <w:rPr>
                <w:rFonts w:ascii="Arial" w:hAnsi="Arial" w:cs="Arial"/>
                <w:b/>
                <w:sz w:val="22"/>
                <w:szCs w:val="22"/>
              </w:rPr>
              <w:t xml:space="preserve"> </w:t>
            </w:r>
            <w:r w:rsidR="00BC3420" w:rsidRPr="00B43974">
              <w:rPr>
                <w:rFonts w:ascii="Arial" w:hAnsi="Arial" w:cs="Arial"/>
                <w:b/>
                <w:sz w:val="22"/>
                <w:szCs w:val="22"/>
              </w:rPr>
              <w:t xml:space="preserve">requise : </w:t>
            </w:r>
            <w:r w:rsidR="00BC3420" w:rsidRPr="00B43974">
              <w:rPr>
                <w:rFonts w:ascii="Arial" w:hAnsi="Arial" w:cs="Arial"/>
                <w:bCs/>
                <w:sz w:val="22"/>
                <w:szCs w:val="22"/>
              </w:rPr>
              <w:t>paragraphe</w:t>
            </w:r>
            <w:r w:rsidR="007651ED">
              <w:rPr>
                <w:rFonts w:ascii="Arial" w:hAnsi="Arial" w:cs="Arial"/>
                <w:bCs/>
                <w:sz w:val="22"/>
                <w:szCs w:val="22"/>
              </w:rPr>
              <w:t xml:space="preserve"> </w:t>
            </w:r>
            <w:r w:rsidR="000E1288">
              <w:rPr>
                <w:rFonts w:ascii="Arial" w:hAnsi="Arial" w:cs="Arial"/>
                <w:bCs/>
                <w:sz w:val="22"/>
                <w:szCs w:val="22"/>
              </w:rPr>
              <w:t>3</w:t>
            </w:r>
          </w:p>
        </w:tc>
      </w:tr>
    </w:tbl>
    <w:p w:rsidR="00BC3420" w:rsidRDefault="00BC3420" w:rsidP="004B08A2">
      <w:pPr>
        <w:pStyle w:val="COMParabodytext"/>
        <w:rPr>
          <w:lang w:val="fr-FR"/>
        </w:rPr>
      </w:pPr>
      <w:r w:rsidRPr="00022428">
        <w:rPr>
          <w:lang w:val="fr-FR"/>
        </w:rPr>
        <w:br w:type="page"/>
      </w:r>
      <w:r w:rsidR="000A2D62" w:rsidRPr="000A2D62">
        <w:rPr>
          <w:lang w:val="fr-FR"/>
        </w:rPr>
        <w:lastRenderedPageBreak/>
        <w:t xml:space="preserve">L’article 30.1 de la Convention </w:t>
      </w:r>
      <w:r w:rsidR="004B08A2" w:rsidRPr="000A2D62">
        <w:rPr>
          <w:lang w:val="fr-FR"/>
        </w:rPr>
        <w:t xml:space="preserve">de 2003 </w:t>
      </w:r>
      <w:r w:rsidR="000A2D62" w:rsidRPr="000A2D62">
        <w:rPr>
          <w:lang w:val="fr-FR"/>
        </w:rPr>
        <w:t xml:space="preserve">pour la sauvegarde du patrimoine culturel immatériel prévoit que </w:t>
      </w:r>
      <w:r w:rsidR="00D02A8D" w:rsidRPr="00EE2DFE">
        <w:rPr>
          <w:lang w:val="fr-FR"/>
        </w:rPr>
        <w:t xml:space="preserve">« sur la base de ses activités </w:t>
      </w:r>
      <w:r w:rsidR="004B11B8">
        <w:rPr>
          <w:lang w:val="fr-FR"/>
        </w:rPr>
        <w:t xml:space="preserve">et les rapports des États parties </w:t>
      </w:r>
      <w:r w:rsidR="00D02A8D" w:rsidRPr="00EE2DFE">
        <w:rPr>
          <w:lang w:val="fr-FR"/>
        </w:rPr>
        <w:t xml:space="preserve">[…] le Comité soumet un rapport à chaque session de l’Assemblée générale ». </w:t>
      </w:r>
      <w:r w:rsidR="000A2D62" w:rsidRPr="000A2D62">
        <w:rPr>
          <w:lang w:val="fr-FR"/>
        </w:rPr>
        <w:t xml:space="preserve">L’article 30.2 précise que « ce rapport est porté à la connaissance de la </w:t>
      </w:r>
      <w:r w:rsidR="000F1B01">
        <w:rPr>
          <w:lang w:val="fr-FR"/>
        </w:rPr>
        <w:t>Conférence générale de l’UNESCO</w:t>
      </w:r>
      <w:r w:rsidR="000A2D62" w:rsidRPr="000A2D62">
        <w:rPr>
          <w:lang w:val="fr-FR"/>
        </w:rPr>
        <w:t> »</w:t>
      </w:r>
      <w:r w:rsidR="000F1B01">
        <w:rPr>
          <w:lang w:val="fr-FR"/>
        </w:rPr>
        <w:t>.</w:t>
      </w:r>
      <w:r w:rsidR="000A2D62" w:rsidRPr="000A2D62">
        <w:rPr>
          <w:lang w:val="fr-FR"/>
        </w:rPr>
        <w:t xml:space="preserve"> </w:t>
      </w:r>
      <w:r w:rsidR="004B11B8">
        <w:rPr>
          <w:lang w:val="fr-FR"/>
        </w:rPr>
        <w:t>Ce document contient le rapport du Comité, basé sur ses activités entre juin 2014 et juin 2016</w:t>
      </w:r>
      <w:r w:rsidR="00325A3E">
        <w:rPr>
          <w:lang w:val="fr-FR"/>
        </w:rPr>
        <w:t>,</w:t>
      </w:r>
      <w:r w:rsidR="004B11B8">
        <w:rPr>
          <w:lang w:val="fr-FR"/>
        </w:rPr>
        <w:t xml:space="preserve"> et les rapports des États parties qu’il a adoptés lors de </w:t>
      </w:r>
      <w:proofErr w:type="gramStart"/>
      <w:r w:rsidR="004B11B8">
        <w:rPr>
          <w:lang w:val="fr-FR"/>
        </w:rPr>
        <w:t>ses neuvième</w:t>
      </w:r>
      <w:proofErr w:type="gramEnd"/>
      <w:r w:rsidR="004B11B8">
        <w:rPr>
          <w:lang w:val="fr-FR"/>
        </w:rPr>
        <w:t xml:space="preserve"> et dixième sessions, </w:t>
      </w:r>
      <w:r w:rsidR="000A2D62" w:rsidRPr="000A2D62">
        <w:rPr>
          <w:lang w:val="fr-FR"/>
        </w:rPr>
        <w:t>dans l’annexe au projet de décision.</w:t>
      </w:r>
    </w:p>
    <w:p w:rsidR="00630B0B" w:rsidRPr="00B37E33" w:rsidRDefault="000A2D62" w:rsidP="00B37E33">
      <w:pPr>
        <w:pStyle w:val="COMParabodytext"/>
        <w:rPr>
          <w:lang w:val="fr-FR"/>
        </w:rPr>
      </w:pPr>
      <w:r w:rsidRPr="00B37E33">
        <w:rPr>
          <w:lang w:val="fr-FR"/>
        </w:rPr>
        <w:t xml:space="preserve">Ce rapport doit être lu parallèlement au rapport du Secrétariat sur ses activités </w:t>
      </w:r>
      <w:r w:rsidR="00630B0B" w:rsidRPr="00B37E33">
        <w:rPr>
          <w:lang w:val="fr-FR"/>
        </w:rPr>
        <w:t xml:space="preserve">et ses annexes concernant le suivi des audits et des évaluations </w:t>
      </w:r>
      <w:r w:rsidRPr="00B37E33">
        <w:rPr>
          <w:lang w:val="fr-FR"/>
        </w:rPr>
        <w:t>(</w:t>
      </w:r>
      <w:r w:rsidR="00630B0B" w:rsidRPr="00B37E33">
        <w:rPr>
          <w:rFonts w:eastAsia="Arial"/>
          <w:lang w:val="fr-FR"/>
        </w:rPr>
        <w:t>document ITH/16/6.GA/6</w:t>
      </w:r>
      <w:r w:rsidRPr="00B37E33">
        <w:rPr>
          <w:lang w:val="fr-FR"/>
        </w:rPr>
        <w:t>)</w:t>
      </w:r>
      <w:r w:rsidR="00630B0B" w:rsidRPr="00B37E33">
        <w:rPr>
          <w:lang w:val="fr-FR"/>
        </w:rPr>
        <w:t xml:space="preserve"> et </w:t>
      </w:r>
      <w:r w:rsidRPr="00B37E33">
        <w:rPr>
          <w:lang w:val="fr-FR"/>
        </w:rPr>
        <w:t xml:space="preserve">au rapport financier du Fonds pour la sauvegarde du patrimoine culturel immatériel </w:t>
      </w:r>
      <w:r w:rsidR="00630B0B" w:rsidRPr="00B37E33">
        <w:rPr>
          <w:rFonts w:eastAsia="Arial"/>
          <w:lang w:val="fr-FR"/>
        </w:rPr>
        <w:t>(document ITH/16/6.GA/INF.9.1).</w:t>
      </w:r>
    </w:p>
    <w:p w:rsidR="0057439C" w:rsidRPr="000A2D62" w:rsidRDefault="00AF498B" w:rsidP="000A2D62">
      <w:pPr>
        <w:pStyle w:val="COMParabodytext"/>
        <w:jc w:val="left"/>
        <w:rPr>
          <w:lang w:val="fr-FR"/>
        </w:rPr>
      </w:pPr>
      <w:r>
        <w:rPr>
          <w:rFonts w:eastAsia="SimSun"/>
          <w:lang w:val="fr-FR"/>
        </w:rPr>
        <w:t>L’Assemblée générale</w:t>
      </w:r>
      <w:r w:rsidR="009E1B50" w:rsidRPr="000A2D62">
        <w:rPr>
          <w:rFonts w:eastAsia="SimSun"/>
          <w:lang w:val="fr-FR"/>
        </w:rPr>
        <w:t xml:space="preserve"> souhaitera peut-être adopter la décision suivante</w:t>
      </w:r>
      <w:r w:rsidR="00B90701" w:rsidRPr="000A2D62">
        <w:rPr>
          <w:rFonts w:eastAsia="SimSun"/>
          <w:lang w:val="fr-FR"/>
        </w:rPr>
        <w:t> </w:t>
      </w:r>
      <w:r w:rsidR="00962119" w:rsidRPr="000A2D62">
        <w:rPr>
          <w:rFonts w:eastAsia="SimSun"/>
          <w:lang w:val="fr-FR"/>
        </w:rPr>
        <w:t>:</w:t>
      </w:r>
    </w:p>
    <w:p w:rsidR="00630B0B" w:rsidRPr="00FD624F" w:rsidRDefault="009E1B50" w:rsidP="00630B0B">
      <w:pPr>
        <w:pStyle w:val="GATitleResolution"/>
      </w:pPr>
      <w:r w:rsidRPr="0020150F">
        <w:t xml:space="preserve">PROJET DE </w:t>
      </w:r>
      <w:r w:rsidR="00325A3E">
        <w:t xml:space="preserve">RÉSOLUTION </w:t>
      </w:r>
      <w:r w:rsidR="00630B0B">
        <w:t>6</w:t>
      </w:r>
      <w:r w:rsidR="00630B0B" w:rsidRPr="00FD624F">
        <w:t xml:space="preserve">.GA </w:t>
      </w:r>
      <w:r w:rsidR="00630B0B">
        <w:t>5</w:t>
      </w:r>
    </w:p>
    <w:p w:rsidR="0057439C" w:rsidRPr="00B43974" w:rsidRDefault="00630B0B" w:rsidP="00630B0B">
      <w:pPr>
        <w:pStyle w:val="COMPreambulaDecision"/>
      </w:pPr>
      <w:r>
        <w:t>L’Assemblée générale</w:t>
      </w:r>
      <w:r w:rsidR="00962119" w:rsidRPr="00B43974">
        <w:t>,</w:t>
      </w:r>
    </w:p>
    <w:p w:rsidR="00630B0B" w:rsidRPr="00B37E33" w:rsidRDefault="00DB4A84" w:rsidP="007651ED">
      <w:pPr>
        <w:pStyle w:val="COMParaDecision"/>
      </w:pPr>
      <w:r w:rsidRPr="00B43974">
        <w:t>Ayant examiné</w:t>
      </w:r>
      <w:r w:rsidRPr="00630B0B">
        <w:rPr>
          <w:u w:val="none"/>
        </w:rPr>
        <w:t xml:space="preserve"> le document</w:t>
      </w:r>
      <w:r w:rsidR="00764CF9" w:rsidRPr="00630B0B">
        <w:rPr>
          <w:u w:val="none"/>
        </w:rPr>
        <w:t xml:space="preserve"> </w:t>
      </w:r>
      <w:r w:rsidR="00630B0B" w:rsidRPr="002A72B0">
        <w:rPr>
          <w:u w:val="none"/>
        </w:rPr>
        <w:t>ITH/16/6.GA/5</w:t>
      </w:r>
      <w:r w:rsidR="00630B0B">
        <w:rPr>
          <w:u w:val="none"/>
        </w:rPr>
        <w:t>,</w:t>
      </w:r>
    </w:p>
    <w:p w:rsidR="0057439C" w:rsidRDefault="00DB4A84" w:rsidP="007651ED">
      <w:pPr>
        <w:pStyle w:val="COMParaDecision"/>
      </w:pPr>
      <w:r w:rsidRPr="00022428">
        <w:t>Rappelant</w:t>
      </w:r>
      <w:r w:rsidR="000A2D62" w:rsidRPr="00630B0B">
        <w:rPr>
          <w:u w:val="none"/>
        </w:rPr>
        <w:t xml:space="preserve"> l’article 30 de la Convention</w:t>
      </w:r>
      <w:r w:rsidR="0057439C" w:rsidRPr="00630B0B">
        <w:rPr>
          <w:u w:val="none"/>
        </w:rPr>
        <w:t>,</w:t>
      </w:r>
    </w:p>
    <w:p w:rsidR="000A2D62" w:rsidRDefault="000A2D62" w:rsidP="007651ED">
      <w:pPr>
        <w:pStyle w:val="COMParaDecision"/>
        <w:rPr>
          <w:u w:val="none"/>
        </w:rPr>
      </w:pPr>
      <w:r w:rsidRPr="007651ED">
        <w:t>Accueille</w:t>
      </w:r>
      <w:r w:rsidRPr="007651ED">
        <w:rPr>
          <w:u w:val="none"/>
        </w:rPr>
        <w:t xml:space="preserve"> </w:t>
      </w:r>
      <w:r w:rsidRPr="000A2D62">
        <w:rPr>
          <w:u w:val="none"/>
        </w:rPr>
        <w:t xml:space="preserve">les </w:t>
      </w:r>
      <w:r w:rsidR="00A03F75">
        <w:rPr>
          <w:u w:val="none"/>
        </w:rPr>
        <w:t>six</w:t>
      </w:r>
      <w:r w:rsidR="00630B0B">
        <w:rPr>
          <w:u w:val="none"/>
        </w:rPr>
        <w:t xml:space="preserve"> </w:t>
      </w:r>
      <w:r w:rsidRPr="000A2D62">
        <w:rPr>
          <w:u w:val="none"/>
        </w:rPr>
        <w:t>États</w:t>
      </w:r>
      <w:r w:rsidR="00630B0B">
        <w:rPr>
          <w:u w:val="none"/>
        </w:rPr>
        <w:t xml:space="preserve"> – </w:t>
      </w:r>
      <w:r w:rsidR="00630B0B" w:rsidRPr="00A03F75">
        <w:rPr>
          <w:u w:val="none"/>
        </w:rPr>
        <w:t xml:space="preserve">Cabo Verde, Ghana, </w:t>
      </w:r>
      <w:r w:rsidR="00A03F75" w:rsidRPr="00A03F75">
        <w:rPr>
          <w:u w:val="none"/>
        </w:rPr>
        <w:t xml:space="preserve">Guinée-Bissau, </w:t>
      </w:r>
      <w:r w:rsidR="00253CE3" w:rsidRPr="00A03F75">
        <w:rPr>
          <w:u w:val="none"/>
        </w:rPr>
        <w:t>Îles Marshall, Irlande et le</w:t>
      </w:r>
      <w:r w:rsidR="00FF43A2" w:rsidRPr="00A03F75">
        <w:rPr>
          <w:u w:val="none"/>
        </w:rPr>
        <w:t xml:space="preserve"> Koweït</w:t>
      </w:r>
      <w:r w:rsidR="00630B0B" w:rsidRPr="00A03F75">
        <w:rPr>
          <w:u w:val="none"/>
        </w:rPr>
        <w:t xml:space="preserve"> -</w:t>
      </w:r>
      <w:r w:rsidR="00630B0B">
        <w:rPr>
          <w:u w:val="none"/>
        </w:rPr>
        <w:t xml:space="preserve"> </w:t>
      </w:r>
      <w:r w:rsidRPr="000A2D62">
        <w:rPr>
          <w:u w:val="none"/>
        </w:rPr>
        <w:t>ayant ratifié la Convention depuis la cinquième session de l’Assemblée générale</w:t>
      </w:r>
      <w:r w:rsidR="00DB441F">
        <w:rPr>
          <w:u w:val="none"/>
        </w:rPr>
        <w:t xml:space="preserve"> et </w:t>
      </w:r>
      <w:r w:rsidR="00DB441F" w:rsidRPr="00B37E33">
        <w:t>exprime</w:t>
      </w:r>
      <w:r w:rsidR="00DB441F">
        <w:rPr>
          <w:u w:val="none"/>
        </w:rPr>
        <w:t xml:space="preserve"> sa satisfaction </w:t>
      </w:r>
      <w:r w:rsidR="00253CE3">
        <w:rPr>
          <w:u w:val="none"/>
        </w:rPr>
        <w:t>devant</w:t>
      </w:r>
      <w:r w:rsidR="00DB441F">
        <w:rPr>
          <w:u w:val="none"/>
        </w:rPr>
        <w:t xml:space="preserve"> </w:t>
      </w:r>
      <w:r w:rsidR="0090740E">
        <w:rPr>
          <w:u w:val="none"/>
        </w:rPr>
        <w:t xml:space="preserve">le </w:t>
      </w:r>
      <w:r w:rsidR="00DB441F">
        <w:rPr>
          <w:u w:val="none"/>
        </w:rPr>
        <w:t xml:space="preserve">rythme </w:t>
      </w:r>
      <w:r w:rsidR="0090740E">
        <w:rPr>
          <w:u w:val="none"/>
        </w:rPr>
        <w:t>rap</w:t>
      </w:r>
      <w:r w:rsidR="00122221">
        <w:rPr>
          <w:u w:val="none"/>
        </w:rPr>
        <w:t>ide et continu de ratification</w:t>
      </w:r>
      <w:r w:rsidR="00D6366A">
        <w:rPr>
          <w:u w:val="none"/>
        </w:rPr>
        <w:t xml:space="preserve"> </w:t>
      </w:r>
      <w:r w:rsidR="00D6366A" w:rsidRPr="000A2D62">
        <w:rPr>
          <w:u w:val="none"/>
        </w:rPr>
        <w:t>;</w:t>
      </w:r>
    </w:p>
    <w:p w:rsidR="0090740E" w:rsidRDefault="0090740E" w:rsidP="007651ED">
      <w:pPr>
        <w:pStyle w:val="COMParaDecision"/>
        <w:rPr>
          <w:u w:val="none"/>
        </w:rPr>
      </w:pPr>
      <w:r w:rsidRPr="00B37E33">
        <w:t>Prend note</w:t>
      </w:r>
      <w:r>
        <w:rPr>
          <w:u w:val="none"/>
        </w:rPr>
        <w:t xml:space="preserve"> du rapport du Comité à l’Assemblée générale sur ses activités entre juin 2014 et juin 2016 et </w:t>
      </w:r>
      <w:r w:rsidRPr="00B37E33">
        <w:t>remercie</w:t>
      </w:r>
      <w:r>
        <w:rPr>
          <w:u w:val="none"/>
        </w:rPr>
        <w:t xml:space="preserve"> le Comité pour son travail efficace</w:t>
      </w:r>
      <w:r w:rsidR="00325A3E">
        <w:rPr>
          <w:u w:val="none"/>
        </w:rPr>
        <w:t> ;</w:t>
      </w:r>
    </w:p>
    <w:p w:rsidR="0090740E" w:rsidRDefault="0090740E" w:rsidP="007651ED">
      <w:pPr>
        <w:pStyle w:val="COMParaDecision"/>
        <w:rPr>
          <w:u w:val="none"/>
        </w:rPr>
      </w:pPr>
      <w:r w:rsidRPr="00B37E33">
        <w:t>Félicite</w:t>
      </w:r>
      <w:r>
        <w:rPr>
          <w:u w:val="none"/>
        </w:rPr>
        <w:t xml:space="preserve"> le Comité pour les progrès accompli</w:t>
      </w:r>
      <w:r w:rsidR="00122221">
        <w:rPr>
          <w:u w:val="none"/>
        </w:rPr>
        <w:t>s</w:t>
      </w:r>
      <w:r>
        <w:rPr>
          <w:u w:val="none"/>
        </w:rPr>
        <w:t xml:space="preserve"> </w:t>
      </w:r>
      <w:r w:rsidR="007651ED">
        <w:rPr>
          <w:u w:val="none"/>
        </w:rPr>
        <w:t>par rapport à</w:t>
      </w:r>
      <w:r>
        <w:rPr>
          <w:u w:val="none"/>
        </w:rPr>
        <w:t xml:space="preserve"> </w:t>
      </w:r>
      <w:r w:rsidR="007651ED">
        <w:rPr>
          <w:u w:val="none"/>
        </w:rPr>
        <w:t>différents</w:t>
      </w:r>
      <w:r>
        <w:rPr>
          <w:u w:val="none"/>
        </w:rPr>
        <w:t xml:space="preserve"> </w:t>
      </w:r>
      <w:r w:rsidR="007651ED">
        <w:rPr>
          <w:u w:val="none"/>
        </w:rPr>
        <w:t>aspects</w:t>
      </w:r>
      <w:r>
        <w:rPr>
          <w:u w:val="none"/>
        </w:rPr>
        <w:t xml:space="preserve"> statutaires de la mise en œuvre de la Convention ainsi que pour son attention prioritaire au renforcement des capacités pour la mise en œuvre de la Convention au niveau national ;</w:t>
      </w:r>
    </w:p>
    <w:p w:rsidR="0090740E" w:rsidRPr="002A758B" w:rsidRDefault="0090740E" w:rsidP="007651ED">
      <w:pPr>
        <w:pStyle w:val="GAParaResolution"/>
        <w:numPr>
          <w:ilvl w:val="0"/>
          <w:numId w:val="10"/>
        </w:numPr>
        <w:ind w:left="1134" w:hanging="567"/>
      </w:pPr>
      <w:r w:rsidRPr="007651ED">
        <w:t>Reconnaît avec satisfaction</w:t>
      </w:r>
      <w:r w:rsidRPr="002A758B">
        <w:rPr>
          <w:u w:val="none"/>
        </w:rPr>
        <w:t xml:space="preserve"> l</w:t>
      </w:r>
      <w:r>
        <w:rPr>
          <w:u w:val="none"/>
        </w:rPr>
        <w:t>’</w:t>
      </w:r>
      <w:r w:rsidRPr="002A758B">
        <w:rPr>
          <w:u w:val="none"/>
        </w:rPr>
        <w:t>intérêt continu manifesté par les États parties aux mécanismes de coopération internationale</w:t>
      </w:r>
      <w:r>
        <w:rPr>
          <w:u w:val="none"/>
        </w:rPr>
        <w:t xml:space="preserve"> de la Convention</w:t>
      </w:r>
      <w:r w:rsidRPr="002A758B">
        <w:rPr>
          <w:u w:val="none"/>
        </w:rPr>
        <w:t xml:space="preserve">, </w:t>
      </w:r>
      <w:r>
        <w:rPr>
          <w:u w:val="none"/>
        </w:rPr>
        <w:t xml:space="preserve">et </w:t>
      </w:r>
      <w:r w:rsidRPr="00B37E33">
        <w:t>encourage</w:t>
      </w:r>
      <w:r>
        <w:rPr>
          <w:u w:val="none"/>
        </w:rPr>
        <w:t xml:space="preserve"> le Comité à poursuivre sa sensibilisation </w:t>
      </w:r>
      <w:r w:rsidR="00B90545">
        <w:rPr>
          <w:u w:val="none"/>
        </w:rPr>
        <w:t>à l’importance du</w:t>
      </w:r>
      <w:r>
        <w:rPr>
          <w:u w:val="none"/>
        </w:rPr>
        <w:t xml:space="preserve"> patrimoine culturel immatériel</w:t>
      </w:r>
      <w:r w:rsidRPr="002A758B">
        <w:rPr>
          <w:u w:val="none"/>
        </w:rPr>
        <w:t xml:space="preserve"> et à diffuser les meilleures pratiques de sauvegarde</w:t>
      </w:r>
      <w:r w:rsidR="00325A3E">
        <w:rPr>
          <w:u w:val="none"/>
        </w:rPr>
        <w:t> ;</w:t>
      </w:r>
    </w:p>
    <w:p w:rsidR="00B90545" w:rsidRPr="002A758B" w:rsidRDefault="00B90545" w:rsidP="007651ED">
      <w:pPr>
        <w:pStyle w:val="GAParaResolution"/>
        <w:numPr>
          <w:ilvl w:val="0"/>
          <w:numId w:val="10"/>
        </w:numPr>
        <w:ind w:left="1134" w:hanging="567"/>
        <w:rPr>
          <w:u w:val="none"/>
        </w:rPr>
      </w:pPr>
      <w:r w:rsidRPr="002A758B">
        <w:t>Demande</w:t>
      </w:r>
      <w:r w:rsidRPr="002A758B">
        <w:rPr>
          <w:u w:val="none"/>
        </w:rPr>
        <w:t xml:space="preserve"> à la Directrice générale de porter ce rapport à l</w:t>
      </w:r>
      <w:r>
        <w:rPr>
          <w:u w:val="none"/>
        </w:rPr>
        <w:t>’</w:t>
      </w:r>
      <w:r w:rsidRPr="002A758B">
        <w:rPr>
          <w:u w:val="none"/>
        </w:rPr>
        <w:t>attention de la Conférence générale de l</w:t>
      </w:r>
      <w:r>
        <w:rPr>
          <w:u w:val="none"/>
        </w:rPr>
        <w:t>’</w:t>
      </w:r>
      <w:r w:rsidRPr="002A758B">
        <w:rPr>
          <w:u w:val="none"/>
        </w:rPr>
        <w:t>UNESCO, conformément à l</w:t>
      </w:r>
      <w:r>
        <w:rPr>
          <w:u w:val="none"/>
        </w:rPr>
        <w:t>’</w:t>
      </w:r>
      <w:r w:rsidRPr="002A758B">
        <w:rPr>
          <w:u w:val="none"/>
        </w:rPr>
        <w:t>article 30</w:t>
      </w:r>
      <w:r w:rsidR="00BF68F5">
        <w:rPr>
          <w:u w:val="none"/>
        </w:rPr>
        <w:t>.</w:t>
      </w:r>
      <w:r w:rsidR="007651ED">
        <w:rPr>
          <w:u w:val="none"/>
        </w:rPr>
        <w:t xml:space="preserve"> 2 de la Convention</w:t>
      </w:r>
      <w:r w:rsidR="00325A3E">
        <w:rPr>
          <w:u w:val="none"/>
        </w:rPr>
        <w:t> ;</w:t>
      </w:r>
    </w:p>
    <w:p w:rsidR="00C9253C" w:rsidRPr="00C9253C" w:rsidRDefault="00B90545" w:rsidP="007651ED">
      <w:pPr>
        <w:pStyle w:val="COMParaDecision"/>
        <w:rPr>
          <w:u w:val="none"/>
        </w:rPr>
      </w:pPr>
      <w:r>
        <w:t>Demande en outre</w:t>
      </w:r>
      <w:r w:rsidRPr="00B37E33">
        <w:rPr>
          <w:u w:val="none"/>
        </w:rPr>
        <w:t xml:space="preserve"> au Comité de soumettre un rapport sur ses activités</w:t>
      </w:r>
      <w:r w:rsidR="00122221">
        <w:rPr>
          <w:u w:val="none"/>
        </w:rPr>
        <w:t xml:space="preserve"> pour la période ent</w:t>
      </w:r>
      <w:r w:rsidR="0000404D">
        <w:rPr>
          <w:u w:val="none"/>
        </w:rPr>
        <w:t>re janvier 2016 et décembre 2017</w:t>
      </w:r>
      <w:r w:rsidR="00122221">
        <w:rPr>
          <w:u w:val="none"/>
        </w:rPr>
        <w:t xml:space="preserve"> pour examen par l’Assemblée générale à sa septième session, et </w:t>
      </w:r>
      <w:r w:rsidR="00BC7ABB">
        <w:rPr>
          <w:u w:val="none"/>
        </w:rPr>
        <w:t xml:space="preserve">de désormais soumettre </w:t>
      </w:r>
      <w:r w:rsidR="00122221">
        <w:rPr>
          <w:u w:val="none"/>
        </w:rPr>
        <w:t>ses futurs rapports</w:t>
      </w:r>
      <w:r w:rsidR="00BC7ABB">
        <w:rPr>
          <w:u w:val="none"/>
        </w:rPr>
        <w:t xml:space="preserve"> à un rythme biennal</w:t>
      </w:r>
      <w:r w:rsidR="00122221">
        <w:rPr>
          <w:u w:val="none"/>
        </w:rPr>
        <w:t xml:space="preserve">. </w:t>
      </w:r>
    </w:p>
    <w:p w:rsidR="00C9253C" w:rsidRPr="00C9253C" w:rsidRDefault="00C9253C" w:rsidP="00C9253C">
      <w:pPr>
        <w:pageBreakBefore/>
        <w:jc w:val="center"/>
      </w:pPr>
      <w:r w:rsidRPr="00C9253C">
        <w:rPr>
          <w:rFonts w:ascii="Arial" w:hAnsi="Arial"/>
          <w:b/>
          <w:sz w:val="22"/>
          <w:u w:val="single"/>
        </w:rPr>
        <w:lastRenderedPageBreak/>
        <w:t>ANNEXE</w:t>
      </w:r>
    </w:p>
    <w:p w:rsidR="00C9253C" w:rsidRPr="00C9253C" w:rsidRDefault="001E250B" w:rsidP="00C9253C">
      <w:pPr>
        <w:spacing w:after="360"/>
        <w:jc w:val="center"/>
      </w:pPr>
      <w:r>
        <w:rPr>
          <w:rFonts w:ascii="Arial" w:hAnsi="Arial"/>
          <w:b/>
          <w:sz w:val="22"/>
        </w:rPr>
        <w:t>R</w:t>
      </w:r>
      <w:r w:rsidR="00C9253C" w:rsidRPr="00C9253C">
        <w:rPr>
          <w:rFonts w:ascii="Arial" w:hAnsi="Arial"/>
          <w:b/>
          <w:sz w:val="22"/>
        </w:rPr>
        <w:t xml:space="preserve">apport du Comité sur ses activités </w:t>
      </w:r>
      <w:r w:rsidR="00241C14">
        <w:rPr>
          <w:rFonts w:ascii="Arial" w:hAnsi="Arial"/>
          <w:b/>
          <w:sz w:val="22"/>
        </w:rPr>
        <w:t>à</w:t>
      </w:r>
      <w:r w:rsidR="00241C14" w:rsidRPr="00C9253C">
        <w:rPr>
          <w:rFonts w:ascii="Arial" w:hAnsi="Arial"/>
          <w:b/>
          <w:sz w:val="22"/>
        </w:rPr>
        <w:t xml:space="preserve"> </w:t>
      </w:r>
      <w:r w:rsidR="00C9253C" w:rsidRPr="00C9253C">
        <w:rPr>
          <w:rFonts w:ascii="Arial" w:hAnsi="Arial"/>
          <w:b/>
          <w:sz w:val="22"/>
        </w:rPr>
        <w:t>l’Assemblée générale</w:t>
      </w:r>
    </w:p>
    <w:p w:rsidR="00C9253C" w:rsidRPr="00C9253C" w:rsidRDefault="00C9253C" w:rsidP="00E1027E">
      <w:pPr>
        <w:numPr>
          <w:ilvl w:val="0"/>
          <w:numId w:val="15"/>
        </w:numPr>
        <w:tabs>
          <w:tab w:val="left" w:pos="567"/>
        </w:tabs>
        <w:snapToGrid w:val="0"/>
        <w:spacing w:after="120"/>
        <w:ind w:left="567" w:hanging="567"/>
        <w:jc w:val="both"/>
        <w:rPr>
          <w:rFonts w:ascii="Arial" w:hAnsi="Arial"/>
          <w:snapToGrid w:val="0"/>
          <w:sz w:val="22"/>
          <w:lang w:eastAsia="en-US"/>
        </w:rPr>
      </w:pPr>
      <w:r w:rsidRPr="00C9253C">
        <w:rPr>
          <w:rFonts w:ascii="Arial" w:hAnsi="Arial"/>
          <w:snapToGrid w:val="0"/>
          <w:sz w:val="22"/>
          <w:lang w:eastAsia="en-US"/>
        </w:rPr>
        <w:t xml:space="preserve">Les fonctions du Comité sont définies dans la Convention </w:t>
      </w:r>
      <w:r w:rsidR="00E1027E" w:rsidRPr="00C9253C">
        <w:rPr>
          <w:rFonts w:ascii="Arial" w:hAnsi="Arial"/>
          <w:snapToGrid w:val="0"/>
          <w:sz w:val="22"/>
          <w:lang w:eastAsia="en-US"/>
        </w:rPr>
        <w:t xml:space="preserve">de 2003 </w:t>
      </w:r>
      <w:r w:rsidRPr="00C9253C">
        <w:rPr>
          <w:rFonts w:ascii="Arial" w:hAnsi="Arial"/>
          <w:snapToGrid w:val="0"/>
          <w:sz w:val="22"/>
          <w:lang w:eastAsia="en-US"/>
        </w:rPr>
        <w:t>pour la sauvegarde du patrimoine culturel immatériel et plus particulièrement dans l’article 7. Ce rapport suit l’ordre des fonctions décrites dans l’article 7 de la Convention.</w:t>
      </w:r>
    </w:p>
    <w:p w:rsidR="00C9253C" w:rsidRPr="00C9253C" w:rsidRDefault="00C9253C" w:rsidP="00C9253C">
      <w:pPr>
        <w:numPr>
          <w:ilvl w:val="0"/>
          <w:numId w:val="15"/>
        </w:numPr>
        <w:tabs>
          <w:tab w:val="left" w:pos="567"/>
        </w:tabs>
        <w:snapToGrid w:val="0"/>
        <w:spacing w:after="120"/>
        <w:ind w:left="567" w:hanging="567"/>
        <w:jc w:val="both"/>
        <w:rPr>
          <w:rFonts w:ascii="Arial" w:hAnsi="Arial"/>
          <w:snapToGrid w:val="0"/>
          <w:sz w:val="22"/>
          <w:lang w:eastAsia="en-US"/>
        </w:rPr>
      </w:pPr>
      <w:r w:rsidRPr="00C9253C">
        <w:rPr>
          <w:rFonts w:ascii="Arial" w:hAnsi="Arial"/>
          <w:snapToGrid w:val="0"/>
          <w:sz w:val="22"/>
          <w:lang w:eastAsia="en-US"/>
        </w:rPr>
        <w:t xml:space="preserve">En 2014, l’Assemblée générale a renouvelé la moitié des 24 membres du Comité en élisant 12 États parties pour un mandat de quatre ans. Pour la période de juin 2014 à juin 2016, les 24 membres du Comité </w:t>
      </w:r>
      <w:r w:rsidR="00241C14">
        <w:rPr>
          <w:rFonts w:ascii="Arial" w:hAnsi="Arial"/>
          <w:snapToGrid w:val="0"/>
          <w:sz w:val="22"/>
          <w:lang w:eastAsia="en-US"/>
        </w:rPr>
        <w:t>étaien</w:t>
      </w:r>
      <w:r w:rsidR="00241C14" w:rsidRPr="00C9253C">
        <w:rPr>
          <w:rFonts w:ascii="Arial" w:hAnsi="Arial"/>
          <w:snapToGrid w:val="0"/>
          <w:sz w:val="22"/>
          <w:lang w:eastAsia="en-US"/>
        </w:rPr>
        <w:t xml:space="preserve">t </w:t>
      </w:r>
      <w:r w:rsidRPr="00C9253C">
        <w:rPr>
          <w:rFonts w:ascii="Arial" w:hAnsi="Arial"/>
          <w:snapToGrid w:val="0"/>
          <w:sz w:val="22"/>
          <w:lang w:eastAsia="en-US"/>
        </w:rPr>
        <w:t>les suivants : Afghanistan, Algérie, Belgique, Brésil, Bulgarie, Congo, Côte d’Ivoire, Égypte, Éthiopie, Grèce, Hongrie, Inde, Kirghizstan, Lettonie, Mongolie, Namibie, Nigeria, Pérou, République de Corée, Sainte-Lucie, Tunisie, Turquie, Ouganda et Uruguay.</w:t>
      </w:r>
    </w:p>
    <w:p w:rsidR="00C9253C" w:rsidRPr="00C9253C" w:rsidRDefault="00C9253C" w:rsidP="00C9253C">
      <w:pPr>
        <w:numPr>
          <w:ilvl w:val="0"/>
          <w:numId w:val="15"/>
        </w:numPr>
        <w:tabs>
          <w:tab w:val="left" w:pos="567"/>
        </w:tabs>
        <w:snapToGrid w:val="0"/>
        <w:spacing w:after="120"/>
        <w:ind w:left="567" w:hanging="567"/>
        <w:jc w:val="both"/>
        <w:rPr>
          <w:rFonts w:ascii="Arial" w:hAnsi="Arial"/>
          <w:snapToGrid w:val="0"/>
          <w:sz w:val="22"/>
          <w:lang w:eastAsia="en-US"/>
        </w:rPr>
      </w:pPr>
      <w:r w:rsidRPr="00C9253C">
        <w:rPr>
          <w:rFonts w:ascii="Arial" w:hAnsi="Arial"/>
          <w:snapToGrid w:val="0"/>
          <w:sz w:val="22"/>
          <w:lang w:eastAsia="en-US"/>
        </w:rPr>
        <w:t xml:space="preserve">Depuis son élection par l’Assemblée générale en juin 2014, le Comité s’est réuni deux fois : au </w:t>
      </w:r>
      <w:r w:rsidR="007F0B28">
        <w:rPr>
          <w:rFonts w:ascii="Arial" w:hAnsi="Arial"/>
          <w:snapToGrid w:val="0"/>
          <w:sz w:val="22"/>
          <w:lang w:eastAsia="en-US"/>
        </w:rPr>
        <w:t>S</w:t>
      </w:r>
      <w:r w:rsidRPr="00C9253C">
        <w:rPr>
          <w:rFonts w:ascii="Arial" w:hAnsi="Arial"/>
          <w:snapToGrid w:val="0"/>
          <w:sz w:val="22"/>
          <w:lang w:eastAsia="en-US"/>
        </w:rPr>
        <w:t>iège de l’UNESCO à Paris pour sa neuvième session (9.COM) du 24 au 28 novembre 2014</w:t>
      </w:r>
      <w:r w:rsidR="00241C14">
        <w:rPr>
          <w:rFonts w:ascii="Arial" w:hAnsi="Arial"/>
          <w:snapToGrid w:val="0"/>
          <w:sz w:val="22"/>
          <w:lang w:eastAsia="en-US"/>
        </w:rPr>
        <w:t>,</w:t>
      </w:r>
      <w:r w:rsidRPr="00C9253C">
        <w:rPr>
          <w:rFonts w:ascii="Arial" w:hAnsi="Arial"/>
          <w:snapToGrid w:val="0"/>
          <w:sz w:val="22"/>
          <w:lang w:eastAsia="en-US"/>
        </w:rPr>
        <w:t xml:space="preserve"> et à Windhoek en Namibie pour sa dixième session (10.COM) du 30 novembre au 4 décembre 2015.</w:t>
      </w:r>
    </w:p>
    <w:p w:rsidR="00C9253C" w:rsidRPr="00C9253C" w:rsidRDefault="00C9253C" w:rsidP="00FA3EFF">
      <w:pPr>
        <w:numPr>
          <w:ilvl w:val="0"/>
          <w:numId w:val="15"/>
        </w:numPr>
        <w:tabs>
          <w:tab w:val="left" w:pos="567"/>
        </w:tabs>
        <w:snapToGrid w:val="0"/>
        <w:spacing w:after="120"/>
        <w:ind w:left="567" w:hanging="567"/>
        <w:jc w:val="both"/>
        <w:rPr>
          <w:rFonts w:ascii="Arial" w:hAnsi="Arial"/>
          <w:snapToGrid w:val="0"/>
          <w:sz w:val="22"/>
          <w:lang w:eastAsia="en-US"/>
        </w:rPr>
      </w:pPr>
      <w:r w:rsidRPr="00C9253C">
        <w:rPr>
          <w:rFonts w:ascii="Arial" w:hAnsi="Arial"/>
          <w:snapToGrid w:val="0"/>
          <w:sz w:val="22"/>
          <w:lang w:eastAsia="en-US"/>
        </w:rPr>
        <w:t xml:space="preserve">Le Bureau de la neuvième session a été élu lors de la huitième session en décembre 2013 à Bakou en Azerbaïdjan et était composé de </w:t>
      </w:r>
      <w:r w:rsidR="00241C14">
        <w:rPr>
          <w:rFonts w:ascii="Arial" w:hAnsi="Arial"/>
          <w:snapToGrid w:val="0"/>
          <w:sz w:val="22"/>
          <w:lang w:eastAsia="en-US"/>
        </w:rPr>
        <w:t>S.Exc.</w:t>
      </w:r>
      <w:r w:rsidRPr="00C9253C">
        <w:rPr>
          <w:rFonts w:ascii="Arial" w:hAnsi="Arial"/>
          <w:snapToGrid w:val="0"/>
          <w:sz w:val="22"/>
          <w:lang w:eastAsia="en-US"/>
        </w:rPr>
        <w:t xml:space="preserve"> M. José Manuel </w:t>
      </w:r>
      <w:proofErr w:type="spellStart"/>
      <w:r w:rsidRPr="00C9253C">
        <w:rPr>
          <w:rFonts w:ascii="Arial" w:hAnsi="Arial"/>
          <w:snapToGrid w:val="0"/>
          <w:sz w:val="22"/>
          <w:lang w:eastAsia="en-US"/>
        </w:rPr>
        <w:t>Rodríguez</w:t>
      </w:r>
      <w:proofErr w:type="spellEnd"/>
      <w:r w:rsidRPr="00C9253C">
        <w:rPr>
          <w:rFonts w:ascii="Arial" w:hAnsi="Arial"/>
          <w:snapToGrid w:val="0"/>
          <w:sz w:val="22"/>
          <w:lang w:eastAsia="en-US"/>
        </w:rPr>
        <w:t xml:space="preserve"> Cuadros (Pérou) comme Président ; de la Belgique, de la Lettonie, du Kirghizstan, de la Namibie et de l’Égypte comme Vice-Présidents ; et de</w:t>
      </w:r>
      <w:r w:rsidR="00241C14">
        <w:rPr>
          <w:rFonts w:ascii="Arial" w:hAnsi="Arial"/>
          <w:snapToGrid w:val="0"/>
          <w:sz w:val="22"/>
          <w:lang w:eastAsia="en-US"/>
        </w:rPr>
        <w:t xml:space="preserve"> </w:t>
      </w:r>
      <w:r w:rsidRPr="00C9253C">
        <w:rPr>
          <w:rFonts w:ascii="Arial" w:hAnsi="Arial"/>
          <w:snapToGrid w:val="0"/>
          <w:sz w:val="22"/>
          <w:lang w:eastAsia="en-US"/>
        </w:rPr>
        <w:t>Mme</w:t>
      </w:r>
      <w:r w:rsidR="00B90545">
        <w:rPr>
          <w:rFonts w:ascii="Arial" w:hAnsi="Arial"/>
          <w:snapToGrid w:val="0"/>
          <w:sz w:val="22"/>
          <w:lang w:eastAsia="en-US"/>
        </w:rPr>
        <w:t> </w:t>
      </w:r>
      <w:r w:rsidRPr="00C9253C">
        <w:rPr>
          <w:rFonts w:ascii="Arial" w:hAnsi="Arial"/>
          <w:snapToGrid w:val="0"/>
          <w:sz w:val="22"/>
          <w:lang w:eastAsia="en-US"/>
        </w:rPr>
        <w:t>Anita</w:t>
      </w:r>
      <w:r w:rsidR="00B90545">
        <w:rPr>
          <w:rFonts w:ascii="Arial" w:hAnsi="Arial"/>
          <w:snapToGrid w:val="0"/>
          <w:sz w:val="22"/>
          <w:lang w:eastAsia="en-US"/>
        </w:rPr>
        <w:t xml:space="preserve"> </w:t>
      </w:r>
      <w:proofErr w:type="spellStart"/>
      <w:r w:rsidRPr="00C9253C">
        <w:rPr>
          <w:rFonts w:ascii="Arial" w:hAnsi="Arial"/>
          <w:snapToGrid w:val="0"/>
          <w:sz w:val="22"/>
          <w:lang w:eastAsia="en-US"/>
        </w:rPr>
        <w:t>Vaivade</w:t>
      </w:r>
      <w:proofErr w:type="spellEnd"/>
      <w:r w:rsidRPr="00C9253C">
        <w:rPr>
          <w:rFonts w:ascii="Arial" w:hAnsi="Arial"/>
          <w:snapToGrid w:val="0"/>
          <w:sz w:val="22"/>
          <w:lang w:eastAsia="en-US"/>
        </w:rPr>
        <w:t xml:space="preserve"> (Lettonie) comme Rapporteur.</w:t>
      </w:r>
    </w:p>
    <w:p w:rsidR="00C9253C" w:rsidRPr="00C9253C" w:rsidRDefault="00C9253C" w:rsidP="00FA3EFF">
      <w:pPr>
        <w:numPr>
          <w:ilvl w:val="0"/>
          <w:numId w:val="15"/>
        </w:numPr>
        <w:tabs>
          <w:tab w:val="left" w:pos="567"/>
        </w:tabs>
        <w:snapToGrid w:val="0"/>
        <w:spacing w:after="120"/>
        <w:ind w:left="567" w:hanging="567"/>
        <w:jc w:val="both"/>
        <w:rPr>
          <w:rFonts w:ascii="Arial" w:hAnsi="Arial"/>
          <w:snapToGrid w:val="0"/>
          <w:sz w:val="22"/>
          <w:lang w:eastAsia="en-US"/>
        </w:rPr>
      </w:pPr>
      <w:r w:rsidRPr="00C9253C">
        <w:rPr>
          <w:rFonts w:ascii="Arial" w:hAnsi="Arial"/>
          <w:snapToGrid w:val="0"/>
          <w:sz w:val="22"/>
          <w:lang w:eastAsia="en-US"/>
        </w:rPr>
        <w:t xml:space="preserve">Le Bureau de la dixième session a été élu lors de la neuvième session en décembre 2014 au </w:t>
      </w:r>
      <w:r w:rsidR="007F0B28">
        <w:rPr>
          <w:rFonts w:ascii="Arial" w:hAnsi="Arial"/>
          <w:snapToGrid w:val="0"/>
          <w:sz w:val="22"/>
          <w:lang w:eastAsia="en-US"/>
        </w:rPr>
        <w:t>S</w:t>
      </w:r>
      <w:r w:rsidRPr="00C9253C">
        <w:rPr>
          <w:rFonts w:ascii="Arial" w:hAnsi="Arial"/>
          <w:snapToGrid w:val="0"/>
          <w:sz w:val="22"/>
          <w:lang w:eastAsia="en-US"/>
        </w:rPr>
        <w:t xml:space="preserve">iège de l’UNESCO et était composé de </w:t>
      </w:r>
      <w:r w:rsidR="00241C14">
        <w:rPr>
          <w:rFonts w:ascii="Arial" w:hAnsi="Arial"/>
          <w:snapToGrid w:val="0"/>
          <w:sz w:val="22"/>
          <w:lang w:eastAsia="en-US"/>
        </w:rPr>
        <w:t>S.Exc.</w:t>
      </w:r>
      <w:r w:rsidRPr="00C9253C">
        <w:rPr>
          <w:rFonts w:ascii="Arial" w:hAnsi="Arial"/>
          <w:snapToGrid w:val="0"/>
          <w:sz w:val="22"/>
          <w:lang w:eastAsia="en-US"/>
        </w:rPr>
        <w:t xml:space="preserve"> Mme </w:t>
      </w:r>
      <w:proofErr w:type="spellStart"/>
      <w:r w:rsidRPr="00C9253C">
        <w:rPr>
          <w:rFonts w:ascii="Arial" w:hAnsi="Arial"/>
          <w:snapToGrid w:val="0"/>
          <w:sz w:val="22"/>
          <w:lang w:eastAsia="en-US"/>
        </w:rPr>
        <w:t>Trudie</w:t>
      </w:r>
      <w:proofErr w:type="spellEnd"/>
      <w:r w:rsidRPr="00C9253C">
        <w:rPr>
          <w:rFonts w:ascii="Arial" w:hAnsi="Arial"/>
          <w:snapToGrid w:val="0"/>
          <w:sz w:val="22"/>
          <w:lang w:eastAsia="en-US"/>
        </w:rPr>
        <w:t xml:space="preserve"> </w:t>
      </w:r>
      <w:proofErr w:type="spellStart"/>
      <w:r w:rsidRPr="00C9253C">
        <w:rPr>
          <w:rFonts w:ascii="Arial" w:hAnsi="Arial"/>
          <w:snapToGrid w:val="0"/>
          <w:sz w:val="22"/>
          <w:lang w:eastAsia="en-US"/>
        </w:rPr>
        <w:t>Amulungu</w:t>
      </w:r>
      <w:proofErr w:type="spellEnd"/>
      <w:r w:rsidRPr="00C9253C">
        <w:rPr>
          <w:rFonts w:ascii="Arial" w:hAnsi="Arial"/>
          <w:snapToGrid w:val="0"/>
          <w:sz w:val="22"/>
          <w:lang w:eastAsia="en-US"/>
        </w:rPr>
        <w:t xml:space="preserve"> (Namibie) comme Présidente ; de la Belgique, de la Hongrie, du Brésil, de l’Inde et de la Tunisie comme Vice-Présidents ; et de</w:t>
      </w:r>
      <w:r w:rsidR="00241C14">
        <w:rPr>
          <w:rFonts w:ascii="Arial" w:hAnsi="Arial"/>
          <w:snapToGrid w:val="0"/>
          <w:sz w:val="22"/>
          <w:lang w:eastAsia="en-US"/>
        </w:rPr>
        <w:t xml:space="preserve"> </w:t>
      </w:r>
      <w:r w:rsidRPr="00C9253C">
        <w:rPr>
          <w:rFonts w:ascii="Arial" w:hAnsi="Arial"/>
          <w:snapToGrid w:val="0"/>
          <w:sz w:val="22"/>
          <w:lang w:eastAsia="en-US"/>
        </w:rPr>
        <w:t xml:space="preserve">M. Ahmed Aly </w:t>
      </w:r>
      <w:proofErr w:type="spellStart"/>
      <w:r w:rsidRPr="00C9253C">
        <w:rPr>
          <w:rFonts w:ascii="Arial" w:hAnsi="Arial"/>
          <w:snapToGrid w:val="0"/>
          <w:sz w:val="22"/>
          <w:lang w:eastAsia="en-US"/>
        </w:rPr>
        <w:t>Morsi</w:t>
      </w:r>
      <w:proofErr w:type="spellEnd"/>
      <w:r w:rsidRPr="00C9253C">
        <w:rPr>
          <w:rFonts w:ascii="Arial" w:hAnsi="Arial"/>
          <w:snapToGrid w:val="0"/>
          <w:sz w:val="22"/>
          <w:lang w:eastAsia="en-US"/>
        </w:rPr>
        <w:t xml:space="preserve"> (Égypte) comme Rapporteur.</w:t>
      </w:r>
    </w:p>
    <w:p w:rsidR="00262E68" w:rsidRPr="003B7415" w:rsidRDefault="00C9253C" w:rsidP="00262E68">
      <w:pPr>
        <w:numPr>
          <w:ilvl w:val="0"/>
          <w:numId w:val="15"/>
        </w:numPr>
        <w:tabs>
          <w:tab w:val="left" w:pos="567"/>
        </w:tabs>
        <w:snapToGrid w:val="0"/>
        <w:spacing w:after="120"/>
        <w:ind w:left="567" w:hanging="567"/>
        <w:jc w:val="both"/>
        <w:rPr>
          <w:rFonts w:ascii="Arial" w:hAnsi="Arial"/>
          <w:snapToGrid w:val="0"/>
          <w:sz w:val="22"/>
          <w:lang w:eastAsia="en-US"/>
        </w:rPr>
      </w:pPr>
      <w:r w:rsidRPr="007F0B28">
        <w:rPr>
          <w:rFonts w:ascii="Arial" w:hAnsi="Arial"/>
          <w:snapToGrid w:val="0"/>
          <w:sz w:val="22"/>
          <w:lang w:eastAsia="en-US"/>
        </w:rPr>
        <w:t>Le Bureau de la onzième session</w:t>
      </w:r>
      <w:r w:rsidR="006D5008" w:rsidRPr="007F0B28">
        <w:rPr>
          <w:rFonts w:ascii="Arial" w:hAnsi="Arial"/>
          <w:snapToGrid w:val="0"/>
          <w:sz w:val="22"/>
          <w:lang w:eastAsia="en-US"/>
        </w:rPr>
        <w:t xml:space="preserve"> du Comité</w:t>
      </w:r>
      <w:r w:rsidRPr="007F0B28">
        <w:rPr>
          <w:rFonts w:ascii="Arial" w:hAnsi="Arial"/>
          <w:snapToGrid w:val="0"/>
          <w:sz w:val="22"/>
          <w:lang w:eastAsia="en-US"/>
        </w:rPr>
        <w:t xml:space="preserve"> a été élu à la fin de la dixième session en décembre 2015 à Windhoek en Namibie et </w:t>
      </w:r>
      <w:r w:rsidRPr="003B7415">
        <w:rPr>
          <w:rFonts w:ascii="Arial" w:hAnsi="Arial"/>
          <w:snapToGrid w:val="0"/>
          <w:sz w:val="22"/>
          <w:lang w:eastAsia="en-US"/>
        </w:rPr>
        <w:t>est composé de</w:t>
      </w:r>
      <w:r w:rsidR="00262E68" w:rsidRPr="003B7415">
        <w:rPr>
          <w:rFonts w:ascii="Arial" w:hAnsi="Arial"/>
          <w:snapToGrid w:val="0"/>
          <w:sz w:val="22"/>
          <w:lang w:eastAsia="en-US"/>
        </w:rPr>
        <w:t xml:space="preserve"> M. </w:t>
      </w:r>
      <w:proofErr w:type="spellStart"/>
      <w:r w:rsidR="00262E68" w:rsidRPr="003B7415">
        <w:rPr>
          <w:rFonts w:ascii="Arial" w:hAnsi="Arial"/>
          <w:snapToGrid w:val="0"/>
          <w:sz w:val="22"/>
          <w:lang w:eastAsia="en-US"/>
        </w:rPr>
        <w:t>Yonas</w:t>
      </w:r>
      <w:proofErr w:type="spellEnd"/>
      <w:r w:rsidR="00262E68" w:rsidRPr="003B7415">
        <w:rPr>
          <w:rFonts w:ascii="Arial" w:hAnsi="Arial"/>
          <w:snapToGrid w:val="0"/>
          <w:sz w:val="22"/>
          <w:lang w:eastAsia="en-US"/>
        </w:rPr>
        <w:t xml:space="preserve"> </w:t>
      </w:r>
      <w:proofErr w:type="spellStart"/>
      <w:r w:rsidR="00262E68" w:rsidRPr="003B7415">
        <w:rPr>
          <w:rFonts w:ascii="Arial" w:hAnsi="Arial"/>
          <w:snapToGrid w:val="0"/>
          <w:sz w:val="22"/>
          <w:lang w:eastAsia="en-US"/>
        </w:rPr>
        <w:t>Desta</w:t>
      </w:r>
      <w:proofErr w:type="spellEnd"/>
      <w:r w:rsidR="00262E68" w:rsidRPr="003B7415">
        <w:rPr>
          <w:rFonts w:ascii="Arial" w:hAnsi="Arial"/>
          <w:snapToGrid w:val="0"/>
          <w:sz w:val="22"/>
          <w:lang w:eastAsia="en-US"/>
        </w:rPr>
        <w:t xml:space="preserve"> </w:t>
      </w:r>
      <w:proofErr w:type="spellStart"/>
      <w:r w:rsidR="00262E68" w:rsidRPr="003B7415">
        <w:rPr>
          <w:rFonts w:ascii="Arial" w:hAnsi="Arial"/>
          <w:snapToGrid w:val="0"/>
          <w:sz w:val="22"/>
          <w:lang w:eastAsia="en-US"/>
        </w:rPr>
        <w:t>Tsegaye</w:t>
      </w:r>
      <w:proofErr w:type="spellEnd"/>
      <w:r w:rsidR="00262E68" w:rsidRPr="003B7415">
        <w:rPr>
          <w:rFonts w:ascii="Arial" w:hAnsi="Arial"/>
          <w:snapToGrid w:val="0"/>
          <w:sz w:val="22"/>
          <w:lang w:eastAsia="en-US"/>
        </w:rPr>
        <w:t xml:space="preserve"> (</w:t>
      </w:r>
      <w:proofErr w:type="spellStart"/>
      <w:r w:rsidR="00262E68" w:rsidRPr="003B7415">
        <w:rPr>
          <w:rFonts w:ascii="Arial" w:hAnsi="Arial"/>
          <w:snapToGrid w:val="0"/>
          <w:sz w:val="22"/>
          <w:lang w:eastAsia="en-US"/>
        </w:rPr>
        <w:t>Ethiopie</w:t>
      </w:r>
      <w:proofErr w:type="spellEnd"/>
      <w:r w:rsidR="00262E68" w:rsidRPr="003B7415">
        <w:rPr>
          <w:rFonts w:ascii="Arial" w:hAnsi="Arial"/>
          <w:snapToGrid w:val="0"/>
          <w:sz w:val="22"/>
          <w:lang w:eastAsia="en-US"/>
        </w:rPr>
        <w:t>) comme Président</w:t>
      </w:r>
      <w:r w:rsidR="007E78D2" w:rsidRPr="003B7415">
        <w:rPr>
          <w:rFonts w:ascii="Arial" w:hAnsi="Arial"/>
          <w:snapToGrid w:val="0"/>
          <w:sz w:val="22"/>
          <w:lang w:eastAsia="en-US"/>
        </w:rPr>
        <w:t> ;</w:t>
      </w:r>
      <w:r w:rsidR="00262E68" w:rsidRPr="003B7415">
        <w:rPr>
          <w:rFonts w:ascii="Arial" w:hAnsi="Arial"/>
          <w:snapToGrid w:val="0"/>
          <w:sz w:val="22"/>
          <w:lang w:eastAsia="en-US"/>
        </w:rPr>
        <w:t xml:space="preserve"> </w:t>
      </w:r>
      <w:r w:rsidR="007E78D2" w:rsidRPr="003B7415">
        <w:rPr>
          <w:rFonts w:ascii="Arial" w:hAnsi="Arial"/>
          <w:snapToGrid w:val="0"/>
          <w:sz w:val="22"/>
          <w:lang w:eastAsia="en-US"/>
        </w:rPr>
        <w:t xml:space="preserve">de la </w:t>
      </w:r>
      <w:r w:rsidR="00262E68" w:rsidRPr="003B7415">
        <w:rPr>
          <w:rFonts w:ascii="Arial" w:hAnsi="Arial"/>
          <w:snapToGrid w:val="0"/>
          <w:sz w:val="22"/>
          <w:lang w:eastAsia="en-US"/>
        </w:rPr>
        <w:t xml:space="preserve">Turquie, </w:t>
      </w:r>
      <w:r w:rsidR="007E78D2" w:rsidRPr="003B7415">
        <w:rPr>
          <w:rFonts w:ascii="Arial" w:hAnsi="Arial"/>
          <w:snapToGrid w:val="0"/>
          <w:sz w:val="22"/>
          <w:lang w:eastAsia="en-US"/>
        </w:rPr>
        <w:t xml:space="preserve">de la </w:t>
      </w:r>
      <w:r w:rsidR="00262E68" w:rsidRPr="003B7415">
        <w:rPr>
          <w:rFonts w:ascii="Arial" w:hAnsi="Arial"/>
          <w:snapToGrid w:val="0"/>
          <w:sz w:val="22"/>
          <w:lang w:eastAsia="en-US"/>
        </w:rPr>
        <w:t xml:space="preserve">Bulgarie, </w:t>
      </w:r>
      <w:r w:rsidR="007E78D2" w:rsidRPr="003B7415">
        <w:rPr>
          <w:rFonts w:ascii="Arial" w:hAnsi="Arial"/>
          <w:snapToGrid w:val="0"/>
          <w:sz w:val="22"/>
          <w:lang w:eastAsia="en-US"/>
        </w:rPr>
        <w:t xml:space="preserve">de </w:t>
      </w:r>
      <w:r w:rsidR="00262E68" w:rsidRPr="003B7415">
        <w:rPr>
          <w:rFonts w:ascii="Arial" w:hAnsi="Arial"/>
          <w:snapToGrid w:val="0"/>
          <w:sz w:val="22"/>
          <w:lang w:eastAsia="en-US"/>
        </w:rPr>
        <w:t xml:space="preserve">Sainte-Lucie, </w:t>
      </w:r>
      <w:r w:rsidR="007E78D2" w:rsidRPr="003B7415">
        <w:rPr>
          <w:rFonts w:ascii="Arial" w:hAnsi="Arial"/>
          <w:snapToGrid w:val="0"/>
          <w:sz w:val="22"/>
          <w:lang w:eastAsia="en-US"/>
        </w:rPr>
        <w:t xml:space="preserve">de la </w:t>
      </w:r>
      <w:r w:rsidR="00262E68" w:rsidRPr="003B7415">
        <w:rPr>
          <w:rFonts w:ascii="Arial" w:hAnsi="Arial"/>
          <w:snapToGrid w:val="0"/>
          <w:sz w:val="22"/>
          <w:lang w:eastAsia="en-US"/>
        </w:rPr>
        <w:t xml:space="preserve">République de Corée et </w:t>
      </w:r>
      <w:r w:rsidR="007E78D2" w:rsidRPr="003B7415">
        <w:rPr>
          <w:rFonts w:ascii="Arial" w:hAnsi="Arial"/>
          <w:snapToGrid w:val="0"/>
          <w:sz w:val="22"/>
          <w:lang w:eastAsia="en-US"/>
        </w:rPr>
        <w:t>de l’</w:t>
      </w:r>
      <w:r w:rsidR="00262E68" w:rsidRPr="003B7415">
        <w:rPr>
          <w:rFonts w:ascii="Arial" w:hAnsi="Arial"/>
          <w:snapToGrid w:val="0"/>
          <w:sz w:val="22"/>
          <w:lang w:eastAsia="en-US"/>
        </w:rPr>
        <w:t>Algérie comme Vice-Présidents</w:t>
      </w:r>
      <w:r w:rsidR="007E78D2" w:rsidRPr="003B7415">
        <w:rPr>
          <w:rFonts w:ascii="Arial" w:hAnsi="Arial"/>
          <w:snapToGrid w:val="0"/>
          <w:sz w:val="22"/>
          <w:lang w:eastAsia="en-US"/>
        </w:rPr>
        <w:t> ;</w:t>
      </w:r>
      <w:r w:rsidR="00262E68" w:rsidRPr="003B7415">
        <w:rPr>
          <w:rFonts w:ascii="Arial" w:hAnsi="Arial"/>
          <w:snapToGrid w:val="0"/>
          <w:sz w:val="22"/>
          <w:lang w:eastAsia="en-US"/>
        </w:rPr>
        <w:t xml:space="preserve"> et </w:t>
      </w:r>
      <w:r w:rsidR="007E78D2" w:rsidRPr="003B7415">
        <w:rPr>
          <w:rFonts w:ascii="Arial" w:hAnsi="Arial"/>
          <w:snapToGrid w:val="0"/>
          <w:sz w:val="22"/>
          <w:lang w:eastAsia="en-US"/>
        </w:rPr>
        <w:t xml:space="preserve">de </w:t>
      </w:r>
      <w:r w:rsidR="00262E68" w:rsidRPr="003B7415">
        <w:rPr>
          <w:rFonts w:ascii="Arial" w:hAnsi="Arial"/>
          <w:snapToGrid w:val="0"/>
          <w:sz w:val="22"/>
          <w:lang w:eastAsia="en-US"/>
        </w:rPr>
        <w:t xml:space="preserve">M. Murat </w:t>
      </w:r>
      <w:proofErr w:type="spellStart"/>
      <w:r w:rsidR="00262E68" w:rsidRPr="003B7415">
        <w:rPr>
          <w:rFonts w:ascii="Arial" w:hAnsi="Arial"/>
          <w:snapToGrid w:val="0"/>
          <w:sz w:val="22"/>
          <w:lang w:eastAsia="en-US"/>
        </w:rPr>
        <w:t>Soğangöz</w:t>
      </w:r>
      <w:proofErr w:type="spellEnd"/>
      <w:r w:rsidR="00262E68" w:rsidRPr="003B7415">
        <w:rPr>
          <w:rFonts w:ascii="Arial" w:hAnsi="Arial"/>
          <w:snapToGrid w:val="0"/>
          <w:sz w:val="22"/>
          <w:lang w:eastAsia="en-US"/>
        </w:rPr>
        <w:t xml:space="preserve"> (Turquie) comme Rapporteur</w:t>
      </w:r>
      <w:r w:rsidR="008D2D19" w:rsidRPr="003B7415">
        <w:rPr>
          <w:rFonts w:ascii="Arial" w:hAnsi="Arial"/>
          <w:snapToGrid w:val="0"/>
          <w:sz w:val="22"/>
          <w:lang w:eastAsia="en-US"/>
        </w:rPr>
        <w:t>.</w:t>
      </w:r>
    </w:p>
    <w:p w:rsidR="00C9253C" w:rsidRPr="003B7415" w:rsidRDefault="00C9253C" w:rsidP="00B37E33">
      <w:pPr>
        <w:numPr>
          <w:ilvl w:val="0"/>
          <w:numId w:val="15"/>
        </w:numPr>
        <w:tabs>
          <w:tab w:val="left" w:pos="567"/>
        </w:tabs>
        <w:snapToGrid w:val="0"/>
        <w:spacing w:after="120"/>
        <w:ind w:left="567" w:hanging="567"/>
        <w:jc w:val="both"/>
        <w:rPr>
          <w:rFonts w:ascii="Arial" w:hAnsi="Arial"/>
          <w:snapToGrid w:val="0"/>
          <w:sz w:val="22"/>
          <w:lang w:eastAsia="en-US"/>
        </w:rPr>
      </w:pPr>
      <w:r w:rsidRPr="005321FF">
        <w:rPr>
          <w:rFonts w:ascii="Arial" w:hAnsi="Arial"/>
          <w:snapToGrid w:val="0"/>
          <w:sz w:val="22"/>
          <w:lang w:eastAsia="en-US"/>
        </w:rPr>
        <w:t>Le Bureau s</w:t>
      </w:r>
      <w:r w:rsidR="00241C14" w:rsidRPr="005321FF">
        <w:rPr>
          <w:rFonts w:ascii="Arial" w:hAnsi="Arial"/>
          <w:snapToGrid w:val="0"/>
          <w:sz w:val="22"/>
          <w:lang w:eastAsia="en-US"/>
        </w:rPr>
        <w:t>’</w:t>
      </w:r>
      <w:r w:rsidRPr="00325A3E">
        <w:rPr>
          <w:rFonts w:ascii="Arial" w:hAnsi="Arial"/>
          <w:snapToGrid w:val="0"/>
          <w:sz w:val="22"/>
          <w:lang w:eastAsia="en-US"/>
        </w:rPr>
        <w:t>est réuni quotidiennement lors des sessions du Comité</w:t>
      </w:r>
      <w:r w:rsidR="00262E68" w:rsidRPr="00325A3E">
        <w:rPr>
          <w:rFonts w:ascii="Arial" w:hAnsi="Arial"/>
          <w:snapToGrid w:val="0"/>
          <w:sz w:val="22"/>
          <w:lang w:eastAsia="en-US"/>
        </w:rPr>
        <w:t xml:space="preserve"> pour mettre à jour le calendrier de la session en fonction des progrès accomplis. </w:t>
      </w:r>
      <w:r w:rsidRPr="00325A3E">
        <w:rPr>
          <w:rFonts w:ascii="Arial" w:hAnsi="Arial"/>
          <w:snapToGrid w:val="0"/>
          <w:sz w:val="22"/>
          <w:lang w:eastAsia="en-US"/>
        </w:rPr>
        <w:t>Depuis la cinquième session de l’Assemblée générale</w:t>
      </w:r>
      <w:r w:rsidRPr="003B7415">
        <w:rPr>
          <w:rFonts w:ascii="Arial" w:hAnsi="Arial"/>
          <w:snapToGrid w:val="0"/>
          <w:sz w:val="22"/>
          <w:lang w:eastAsia="en-US"/>
        </w:rPr>
        <w:t xml:space="preserve">, il s’est également réuni </w:t>
      </w:r>
      <w:r w:rsidR="00262E68" w:rsidRPr="003B7415">
        <w:rPr>
          <w:rFonts w:ascii="Arial" w:hAnsi="Arial"/>
          <w:snapToGrid w:val="0"/>
          <w:sz w:val="22"/>
          <w:lang w:eastAsia="en-US"/>
        </w:rPr>
        <w:t>trois fois</w:t>
      </w:r>
      <w:r w:rsidR="00F10443" w:rsidRPr="003B7415">
        <w:rPr>
          <w:rFonts w:ascii="Arial" w:hAnsi="Arial"/>
          <w:snapToGrid w:val="0"/>
          <w:sz w:val="22"/>
          <w:lang w:eastAsia="en-US"/>
        </w:rPr>
        <w:t>, dont deux fois</w:t>
      </w:r>
      <w:r w:rsidR="00262E68" w:rsidRPr="003B7415">
        <w:rPr>
          <w:rFonts w:ascii="Arial" w:hAnsi="Arial"/>
          <w:snapToGrid w:val="0"/>
          <w:sz w:val="22"/>
          <w:lang w:eastAsia="en-US"/>
        </w:rPr>
        <w:t xml:space="preserve"> </w:t>
      </w:r>
      <w:r w:rsidRPr="003B7415">
        <w:rPr>
          <w:rFonts w:ascii="Arial" w:hAnsi="Arial"/>
          <w:snapToGrid w:val="0"/>
          <w:sz w:val="22"/>
          <w:lang w:eastAsia="en-US"/>
        </w:rPr>
        <w:t xml:space="preserve">au </w:t>
      </w:r>
      <w:r w:rsidR="007F0B28" w:rsidRPr="003B7415">
        <w:rPr>
          <w:rFonts w:ascii="Arial" w:hAnsi="Arial"/>
          <w:snapToGrid w:val="0"/>
          <w:sz w:val="22"/>
          <w:lang w:eastAsia="en-US"/>
        </w:rPr>
        <w:t>S</w:t>
      </w:r>
      <w:r w:rsidRPr="003B7415">
        <w:rPr>
          <w:rFonts w:ascii="Arial" w:hAnsi="Arial"/>
          <w:snapToGrid w:val="0"/>
          <w:sz w:val="22"/>
          <w:lang w:eastAsia="en-US"/>
        </w:rPr>
        <w:t>iège de l’UNESCO</w:t>
      </w:r>
      <w:r w:rsidRPr="005321FF">
        <w:rPr>
          <w:rFonts w:ascii="Arial" w:hAnsi="Arial"/>
          <w:snapToGrid w:val="0"/>
          <w:sz w:val="22"/>
          <w:lang w:eastAsia="en-US"/>
        </w:rPr>
        <w:t> : le 13 octobre 2014 (9.COM 3.BUR) et le 6 octobre 2015 (10.COM 2.BUR)</w:t>
      </w:r>
      <w:r w:rsidR="00262E68" w:rsidRPr="005321FF">
        <w:rPr>
          <w:rFonts w:ascii="Arial" w:hAnsi="Arial"/>
          <w:snapToGrid w:val="0"/>
          <w:sz w:val="22"/>
          <w:lang w:eastAsia="en-US"/>
        </w:rPr>
        <w:t xml:space="preserve"> </w:t>
      </w:r>
      <w:r w:rsidR="00262E68" w:rsidRPr="003B7415">
        <w:rPr>
          <w:rFonts w:ascii="Arial" w:hAnsi="Arial"/>
          <w:snapToGrid w:val="0"/>
          <w:sz w:val="22"/>
          <w:lang w:eastAsia="en-US"/>
        </w:rPr>
        <w:t xml:space="preserve">et une fois à Windhoek, Namibie, le 4 décembre 2015 </w:t>
      </w:r>
      <w:r w:rsidR="00262E68" w:rsidRPr="003B7415">
        <w:rPr>
          <w:rFonts w:eastAsia="Arial" w:cs="Arial"/>
          <w:szCs w:val="22"/>
        </w:rPr>
        <w:t>(</w:t>
      </w:r>
      <w:r w:rsidR="00262E68" w:rsidRPr="003B7415">
        <w:rPr>
          <w:rFonts w:ascii="Arial" w:hAnsi="Arial"/>
          <w:snapToGrid w:val="0"/>
          <w:sz w:val="22"/>
          <w:lang w:eastAsia="en-US"/>
        </w:rPr>
        <w:t>10.COM 3.BUR).</w:t>
      </w:r>
      <w:r w:rsidRPr="005321FF">
        <w:rPr>
          <w:rFonts w:ascii="Arial" w:hAnsi="Arial"/>
          <w:snapToGrid w:val="0"/>
          <w:sz w:val="22"/>
          <w:lang w:eastAsia="en-US"/>
        </w:rPr>
        <w:t xml:space="preserve"> </w:t>
      </w:r>
      <w:r w:rsidR="00241C14" w:rsidRPr="005321FF">
        <w:rPr>
          <w:rFonts w:ascii="Arial" w:hAnsi="Arial"/>
          <w:snapToGrid w:val="0"/>
          <w:sz w:val="22"/>
          <w:lang w:eastAsia="en-US"/>
        </w:rPr>
        <w:t>De plus, d</w:t>
      </w:r>
      <w:r w:rsidRPr="00325A3E">
        <w:rPr>
          <w:rFonts w:ascii="Arial" w:hAnsi="Arial"/>
          <w:snapToGrid w:val="0"/>
          <w:sz w:val="22"/>
          <w:lang w:eastAsia="en-US"/>
        </w:rPr>
        <w:t>es consultations par voie électronique ont également eu lieu en juin 2014 (9.COM 2.BUR), en novembre 2014 (9.COM 4.BUR)</w:t>
      </w:r>
      <w:r w:rsidR="00262E68" w:rsidRPr="00325A3E">
        <w:rPr>
          <w:rFonts w:ascii="Arial" w:hAnsi="Arial"/>
          <w:snapToGrid w:val="0"/>
          <w:sz w:val="22"/>
          <w:lang w:eastAsia="en-US"/>
        </w:rPr>
        <w:t xml:space="preserve">, </w:t>
      </w:r>
      <w:r w:rsidRPr="00325A3E">
        <w:rPr>
          <w:rFonts w:ascii="Arial" w:hAnsi="Arial"/>
          <w:snapToGrid w:val="0"/>
          <w:sz w:val="22"/>
          <w:lang w:eastAsia="en-US"/>
        </w:rPr>
        <w:t>en juin 2015 (10.COM 1.BUR</w:t>
      </w:r>
      <w:r w:rsidR="00262E68" w:rsidRPr="00325A3E">
        <w:rPr>
          <w:rFonts w:ascii="Arial" w:hAnsi="Arial"/>
          <w:snapToGrid w:val="0"/>
          <w:sz w:val="22"/>
          <w:lang w:eastAsia="en-US"/>
        </w:rPr>
        <w:t xml:space="preserve">) </w:t>
      </w:r>
      <w:r w:rsidR="00262E68" w:rsidRPr="003B7415">
        <w:rPr>
          <w:rFonts w:ascii="Arial" w:hAnsi="Arial"/>
          <w:snapToGrid w:val="0"/>
          <w:sz w:val="22"/>
          <w:lang w:eastAsia="en-US"/>
        </w:rPr>
        <w:t>et en avril 2016</w:t>
      </w:r>
      <w:r w:rsidR="00262E68" w:rsidRPr="003B7415">
        <w:rPr>
          <w:rFonts w:ascii="Arial" w:hAnsi="Arial"/>
          <w:i/>
          <w:snapToGrid w:val="0"/>
          <w:sz w:val="22"/>
          <w:lang w:eastAsia="en-US"/>
        </w:rPr>
        <w:t xml:space="preserve"> </w:t>
      </w:r>
      <w:r w:rsidR="00262E68" w:rsidRPr="003B7415">
        <w:rPr>
          <w:rFonts w:ascii="Arial" w:hAnsi="Arial"/>
          <w:snapToGrid w:val="0"/>
          <w:sz w:val="22"/>
          <w:lang w:eastAsia="en-US"/>
        </w:rPr>
        <w:t>(11.COM 1</w:t>
      </w:r>
      <w:r w:rsidR="001D5442" w:rsidRPr="003B7415">
        <w:rPr>
          <w:rFonts w:ascii="Arial" w:hAnsi="Arial"/>
          <w:snapToGrid w:val="0"/>
          <w:sz w:val="22"/>
          <w:lang w:eastAsia="en-US"/>
        </w:rPr>
        <w:t>.</w:t>
      </w:r>
      <w:r w:rsidR="00262E68" w:rsidRPr="003B7415">
        <w:rPr>
          <w:rFonts w:ascii="Arial" w:hAnsi="Arial"/>
          <w:snapToGrid w:val="0"/>
          <w:sz w:val="22"/>
          <w:lang w:eastAsia="en-US"/>
        </w:rPr>
        <w:t>BUR).</w:t>
      </w:r>
    </w:p>
    <w:p w:rsidR="00C9253C" w:rsidRPr="003B7415" w:rsidRDefault="00C9253C">
      <w:pPr>
        <w:numPr>
          <w:ilvl w:val="0"/>
          <w:numId w:val="15"/>
        </w:numPr>
        <w:tabs>
          <w:tab w:val="left" w:pos="567"/>
        </w:tabs>
        <w:snapToGrid w:val="0"/>
        <w:spacing w:after="120"/>
        <w:ind w:left="567" w:hanging="567"/>
        <w:jc w:val="both"/>
        <w:rPr>
          <w:rFonts w:ascii="Arial" w:hAnsi="Arial"/>
          <w:snapToGrid w:val="0"/>
          <w:sz w:val="22"/>
          <w:lang w:eastAsia="en-US"/>
        </w:rPr>
      </w:pPr>
      <w:r w:rsidRPr="00C9253C">
        <w:rPr>
          <w:rFonts w:ascii="Arial" w:hAnsi="Arial"/>
          <w:snapToGrid w:val="0"/>
          <w:sz w:val="22"/>
          <w:lang w:eastAsia="en-US"/>
        </w:rPr>
        <w:t>Pendant la période</w:t>
      </w:r>
      <w:r w:rsidR="00641AB2">
        <w:rPr>
          <w:rFonts w:ascii="Arial" w:hAnsi="Arial"/>
          <w:snapToGrid w:val="0"/>
          <w:sz w:val="22"/>
          <w:lang w:eastAsia="en-US"/>
        </w:rPr>
        <w:t xml:space="preserve"> du rapport</w:t>
      </w:r>
      <w:r w:rsidRPr="00C9253C">
        <w:rPr>
          <w:rFonts w:ascii="Arial" w:hAnsi="Arial"/>
          <w:snapToGrid w:val="0"/>
          <w:sz w:val="22"/>
          <w:lang w:eastAsia="en-US"/>
        </w:rPr>
        <w:t xml:space="preserve">, le Comité et son Bureau ont examiné </w:t>
      </w:r>
      <w:r w:rsidR="00A51094">
        <w:rPr>
          <w:rFonts w:ascii="Arial" w:hAnsi="Arial"/>
          <w:snapToGrid w:val="0"/>
          <w:sz w:val="22"/>
          <w:lang w:eastAsia="en-US"/>
        </w:rPr>
        <w:t xml:space="preserve">un total de </w:t>
      </w:r>
      <w:r w:rsidR="00262E68" w:rsidRPr="003B7415">
        <w:rPr>
          <w:rFonts w:ascii="Arial" w:hAnsi="Arial"/>
          <w:snapToGrid w:val="0"/>
          <w:sz w:val="22"/>
          <w:lang w:eastAsia="en-US"/>
        </w:rPr>
        <w:t>76 </w:t>
      </w:r>
      <w:r w:rsidR="00A51094" w:rsidRPr="003B7415">
        <w:rPr>
          <w:rFonts w:ascii="Arial" w:hAnsi="Arial"/>
          <w:snapToGrid w:val="0"/>
          <w:sz w:val="22"/>
          <w:lang w:eastAsia="en-US"/>
        </w:rPr>
        <w:t xml:space="preserve">points </w:t>
      </w:r>
      <w:r w:rsidR="00262E68" w:rsidRPr="003B7415">
        <w:rPr>
          <w:rFonts w:ascii="Arial" w:hAnsi="Arial"/>
          <w:snapToGrid w:val="0"/>
          <w:sz w:val="22"/>
          <w:lang w:eastAsia="en-US"/>
        </w:rPr>
        <w:t>et sous-points</w:t>
      </w:r>
      <w:r w:rsidR="00262E68">
        <w:rPr>
          <w:rFonts w:ascii="Arial" w:hAnsi="Arial"/>
          <w:snapToGrid w:val="0"/>
          <w:sz w:val="22"/>
          <w:lang w:eastAsia="en-US"/>
        </w:rPr>
        <w:t xml:space="preserve"> </w:t>
      </w:r>
      <w:r w:rsidRPr="00C9253C">
        <w:rPr>
          <w:rFonts w:ascii="Arial" w:hAnsi="Arial"/>
          <w:snapToGrid w:val="0"/>
          <w:sz w:val="22"/>
          <w:lang w:eastAsia="en-US"/>
        </w:rPr>
        <w:t xml:space="preserve">inscrits à leur agenda. Ces derniers étaient accompagnés de </w:t>
      </w:r>
      <w:r w:rsidR="00262E68" w:rsidRPr="00B37E33">
        <w:rPr>
          <w:rFonts w:ascii="Arial" w:hAnsi="Arial"/>
          <w:snapToGrid w:val="0"/>
          <w:sz w:val="22"/>
          <w:lang w:eastAsia="en-US"/>
        </w:rPr>
        <w:t>7</w:t>
      </w:r>
      <w:r w:rsidRPr="00B37E33">
        <w:rPr>
          <w:rFonts w:ascii="Arial" w:hAnsi="Arial"/>
          <w:snapToGrid w:val="0"/>
          <w:sz w:val="22"/>
          <w:lang w:eastAsia="en-US"/>
        </w:rPr>
        <w:t>5</w:t>
      </w:r>
      <w:r w:rsidR="00B37E33">
        <w:rPr>
          <w:rFonts w:ascii="Arial" w:hAnsi="Arial"/>
          <w:snapToGrid w:val="0"/>
          <w:sz w:val="22"/>
          <w:lang w:eastAsia="en-US"/>
        </w:rPr>
        <w:t> </w:t>
      </w:r>
      <w:r w:rsidRPr="00C9253C">
        <w:rPr>
          <w:rFonts w:ascii="Arial" w:hAnsi="Arial"/>
          <w:snapToGrid w:val="0"/>
          <w:sz w:val="22"/>
          <w:lang w:eastAsia="en-US"/>
        </w:rPr>
        <w:t xml:space="preserve">documents de travail ou d’informations et </w:t>
      </w:r>
      <w:r w:rsidRPr="003B7415">
        <w:rPr>
          <w:rFonts w:ascii="Arial" w:hAnsi="Arial"/>
          <w:snapToGrid w:val="0"/>
          <w:sz w:val="22"/>
          <w:lang w:eastAsia="en-US"/>
        </w:rPr>
        <w:t xml:space="preserve">de </w:t>
      </w:r>
      <w:r w:rsidR="00262E68" w:rsidRPr="003B7415">
        <w:rPr>
          <w:rFonts w:ascii="Arial" w:hAnsi="Arial"/>
          <w:snapToGrid w:val="0"/>
          <w:sz w:val="22"/>
          <w:lang w:eastAsia="en-US"/>
        </w:rPr>
        <w:t>306</w:t>
      </w:r>
      <w:r w:rsidRPr="00EC5170">
        <w:rPr>
          <w:rFonts w:ascii="Arial" w:hAnsi="Arial"/>
          <w:snapToGrid w:val="0"/>
          <w:sz w:val="22"/>
          <w:lang w:eastAsia="en-US"/>
        </w:rPr>
        <w:t> </w:t>
      </w:r>
      <w:r w:rsidR="00A51094" w:rsidRPr="00EC5170">
        <w:rPr>
          <w:rFonts w:ascii="Arial" w:hAnsi="Arial"/>
          <w:snapToGrid w:val="0"/>
          <w:sz w:val="22"/>
          <w:lang w:eastAsia="en-US"/>
        </w:rPr>
        <w:t>c</w:t>
      </w:r>
      <w:r w:rsidR="00A51094">
        <w:rPr>
          <w:rFonts w:ascii="Arial" w:hAnsi="Arial"/>
          <w:snapToGrid w:val="0"/>
          <w:sz w:val="22"/>
          <w:lang w:eastAsia="en-US"/>
        </w:rPr>
        <w:t>andidatures</w:t>
      </w:r>
      <w:r w:rsidRPr="00C9253C">
        <w:rPr>
          <w:rFonts w:ascii="Arial" w:hAnsi="Arial"/>
          <w:snapToGrid w:val="0"/>
          <w:sz w:val="22"/>
          <w:lang w:eastAsia="en-US"/>
        </w:rPr>
        <w:t>, de demandes d’assistance internationale, de rapports soumis par les États parties ou de demandes d’accréditation des organisations non gouvernementales</w:t>
      </w:r>
      <w:r w:rsidR="006D5008">
        <w:rPr>
          <w:rFonts w:ascii="Arial" w:hAnsi="Arial"/>
          <w:snapToGrid w:val="0"/>
          <w:sz w:val="22"/>
          <w:lang w:eastAsia="en-US"/>
        </w:rPr>
        <w:t xml:space="preserve"> (ONG)</w:t>
      </w:r>
      <w:r w:rsidR="00262E68">
        <w:rPr>
          <w:rFonts w:ascii="Arial" w:hAnsi="Arial"/>
          <w:snapToGrid w:val="0"/>
          <w:sz w:val="22"/>
          <w:lang w:eastAsia="en-US"/>
        </w:rPr>
        <w:t xml:space="preserve"> </w:t>
      </w:r>
      <w:r w:rsidR="00262E68" w:rsidRPr="003B7415">
        <w:rPr>
          <w:rFonts w:ascii="Arial" w:hAnsi="Arial"/>
          <w:snapToGrid w:val="0"/>
          <w:sz w:val="22"/>
          <w:lang w:eastAsia="en-US"/>
        </w:rPr>
        <w:t>ainsi que</w:t>
      </w:r>
      <w:r w:rsidR="00325A3E">
        <w:rPr>
          <w:rFonts w:ascii="Arial" w:hAnsi="Arial"/>
          <w:snapToGrid w:val="0"/>
          <w:sz w:val="22"/>
          <w:lang w:eastAsia="en-US"/>
        </w:rPr>
        <w:t xml:space="preserve"> de</w:t>
      </w:r>
      <w:r w:rsidR="00262E68" w:rsidRPr="003B7415">
        <w:rPr>
          <w:rFonts w:ascii="Arial" w:hAnsi="Arial"/>
          <w:snapToGrid w:val="0"/>
          <w:sz w:val="22"/>
          <w:lang w:eastAsia="en-US"/>
        </w:rPr>
        <w:t xml:space="preserve"> l’examen des </w:t>
      </w:r>
      <w:r w:rsidR="0000404D">
        <w:rPr>
          <w:rFonts w:ascii="Arial" w:hAnsi="Arial"/>
          <w:snapToGrid w:val="0"/>
          <w:sz w:val="22"/>
          <w:lang w:eastAsia="en-US"/>
        </w:rPr>
        <w:t xml:space="preserve">rapports des </w:t>
      </w:r>
      <w:r w:rsidR="00262E68" w:rsidRPr="003B7415">
        <w:rPr>
          <w:rFonts w:ascii="Arial" w:hAnsi="Arial"/>
          <w:snapToGrid w:val="0"/>
          <w:sz w:val="22"/>
          <w:lang w:eastAsia="en-US"/>
        </w:rPr>
        <w:t>ONG accréditées</w:t>
      </w:r>
      <w:r w:rsidR="00262E68" w:rsidRPr="001267F4">
        <w:rPr>
          <w:rFonts w:ascii="Arial" w:hAnsi="Arial"/>
          <w:snapToGrid w:val="0"/>
          <w:sz w:val="22"/>
          <w:lang w:eastAsia="en-US"/>
        </w:rPr>
        <w:t xml:space="preserve">. </w:t>
      </w:r>
      <w:r w:rsidR="00262E68" w:rsidRPr="003B7415">
        <w:rPr>
          <w:rFonts w:ascii="Arial" w:hAnsi="Arial"/>
          <w:snapToGrid w:val="0"/>
          <w:sz w:val="22"/>
          <w:lang w:eastAsia="en-US"/>
        </w:rPr>
        <w:t>Le Comité a également examiné le rapport soumis par un État non partie à la Convention, à savoir la Fédération de Russie, sur deux éléments proclamés</w:t>
      </w:r>
      <w:r w:rsidR="00353D24" w:rsidRPr="003B7415">
        <w:rPr>
          <w:rFonts w:ascii="Arial" w:hAnsi="Arial"/>
          <w:snapToGrid w:val="0"/>
          <w:sz w:val="22"/>
          <w:lang w:eastAsia="en-US"/>
        </w:rPr>
        <w:t xml:space="preserve"> dans un premier temps Chefs-d’œuvre du patrimoine oral et immatériel de l’humanité, puis intégrés en 2008 à la Liste représentative du patrimoine culturel immatériel de l’humanité.</w:t>
      </w:r>
    </w:p>
    <w:p w:rsidR="00C9253C" w:rsidRPr="00262E68" w:rsidRDefault="00C9253C" w:rsidP="00C9253C">
      <w:pPr>
        <w:rPr>
          <w:rFonts w:ascii="Arial" w:hAnsi="Arial" w:cs="Arial"/>
          <w:b/>
          <w:sz w:val="22"/>
          <w:szCs w:val="22"/>
        </w:rPr>
      </w:pPr>
      <w:r w:rsidRPr="00C9253C">
        <w:br w:type="page"/>
      </w:r>
    </w:p>
    <w:p w:rsidR="00C9253C" w:rsidRPr="00C9253C" w:rsidRDefault="00C9253C" w:rsidP="00EE2DFE">
      <w:pPr>
        <w:keepNext/>
        <w:numPr>
          <w:ilvl w:val="0"/>
          <w:numId w:val="16"/>
        </w:numPr>
        <w:spacing w:before="360" w:after="240"/>
        <w:ind w:left="567" w:hanging="567"/>
        <w:rPr>
          <w:rFonts w:ascii="Arial" w:hAnsi="Arial" w:cs="Arial"/>
          <w:b/>
          <w:sz w:val="22"/>
          <w:szCs w:val="22"/>
        </w:rPr>
      </w:pPr>
      <w:r w:rsidRPr="00C9253C">
        <w:rPr>
          <w:rFonts w:ascii="Arial" w:hAnsi="Arial"/>
          <w:b/>
          <w:sz w:val="22"/>
        </w:rPr>
        <w:lastRenderedPageBreak/>
        <w:t xml:space="preserve">Promouvoir les objectifs de la Convention, encourager et assurer le suivi de sa mise en œuvre </w:t>
      </w:r>
      <w:r w:rsidRPr="00C9253C">
        <w:rPr>
          <w:rFonts w:ascii="Arial" w:hAnsi="Arial"/>
          <w:sz w:val="22"/>
        </w:rPr>
        <w:t>(Article 7[a])</w:t>
      </w:r>
    </w:p>
    <w:p w:rsidR="00C9253C" w:rsidRPr="00C9253C" w:rsidRDefault="00C9253C" w:rsidP="00EE2DFE">
      <w:pPr>
        <w:numPr>
          <w:ilvl w:val="0"/>
          <w:numId w:val="17"/>
        </w:numPr>
        <w:spacing w:before="240" w:after="120"/>
        <w:ind w:left="567" w:hanging="567"/>
        <w:rPr>
          <w:rFonts w:cs="Arial"/>
          <w:b/>
          <w:szCs w:val="22"/>
          <w:lang w:bidi="fr-FR"/>
        </w:rPr>
      </w:pPr>
      <w:r w:rsidRPr="00C9253C">
        <w:rPr>
          <w:rFonts w:ascii="Arial" w:hAnsi="Arial"/>
          <w:b/>
          <w:sz w:val="22"/>
        </w:rPr>
        <w:t>Rati</w:t>
      </w:r>
      <w:r w:rsidRPr="00C9253C">
        <w:rPr>
          <w:rFonts w:ascii="Arial" w:hAnsi="Arial"/>
          <w:b/>
          <w:sz w:val="22"/>
          <w:lang w:bidi="fr-FR"/>
        </w:rPr>
        <w:t>fication</w:t>
      </w:r>
    </w:p>
    <w:p w:rsidR="00C9253C" w:rsidRPr="00B37E33" w:rsidRDefault="008F6B98" w:rsidP="00EE2DFE">
      <w:pPr>
        <w:numPr>
          <w:ilvl w:val="0"/>
          <w:numId w:val="15"/>
        </w:numPr>
        <w:tabs>
          <w:tab w:val="left" w:pos="567"/>
        </w:tabs>
        <w:snapToGrid w:val="0"/>
        <w:spacing w:before="120" w:after="120"/>
        <w:ind w:left="567" w:hanging="567"/>
        <w:jc w:val="both"/>
        <w:rPr>
          <w:rFonts w:ascii="Arial" w:hAnsi="Arial"/>
          <w:snapToGrid w:val="0"/>
          <w:sz w:val="22"/>
          <w:lang w:eastAsia="en-US"/>
        </w:rPr>
      </w:pPr>
      <w:r>
        <w:rPr>
          <w:rFonts w:ascii="Arial" w:hAnsi="Arial"/>
          <w:snapToGrid w:val="0"/>
          <w:sz w:val="22"/>
          <w:lang w:eastAsia="en-US"/>
        </w:rPr>
        <w:t>Six</w:t>
      </w:r>
      <w:r w:rsidRPr="00B37E33">
        <w:rPr>
          <w:rFonts w:ascii="Arial" w:hAnsi="Arial"/>
          <w:snapToGrid w:val="0"/>
          <w:sz w:val="22"/>
          <w:lang w:eastAsia="en-US"/>
        </w:rPr>
        <w:t xml:space="preserve"> </w:t>
      </w:r>
      <w:r w:rsidR="00C9253C" w:rsidRPr="00B37E33">
        <w:rPr>
          <w:rFonts w:ascii="Arial" w:hAnsi="Arial"/>
          <w:snapToGrid w:val="0"/>
          <w:sz w:val="22"/>
          <w:lang w:eastAsia="en-US"/>
        </w:rPr>
        <w:t xml:space="preserve">États </w:t>
      </w:r>
      <w:r w:rsidR="001E4656" w:rsidRPr="00B37E33">
        <w:rPr>
          <w:rFonts w:ascii="Arial" w:hAnsi="Arial"/>
          <w:snapToGrid w:val="0"/>
          <w:sz w:val="22"/>
          <w:lang w:eastAsia="en-US"/>
        </w:rPr>
        <w:t xml:space="preserve">- </w:t>
      </w:r>
      <w:r w:rsidR="001E4656" w:rsidRPr="003B7415">
        <w:rPr>
          <w:rFonts w:ascii="Arial" w:hAnsi="Arial"/>
          <w:snapToGrid w:val="0"/>
          <w:sz w:val="22"/>
          <w:lang w:eastAsia="en-US"/>
        </w:rPr>
        <w:t>Cabo Verde, Ghana,</w:t>
      </w:r>
      <w:r w:rsidR="001D7E0D" w:rsidRPr="003B7415">
        <w:rPr>
          <w:rFonts w:ascii="Arial" w:hAnsi="Arial"/>
          <w:snapToGrid w:val="0"/>
          <w:sz w:val="22"/>
          <w:lang w:eastAsia="en-US"/>
        </w:rPr>
        <w:t xml:space="preserve"> </w:t>
      </w:r>
      <w:r w:rsidRPr="003B7415">
        <w:rPr>
          <w:rFonts w:ascii="Arial" w:hAnsi="Arial"/>
          <w:snapToGrid w:val="0"/>
          <w:sz w:val="22"/>
          <w:lang w:eastAsia="en-US"/>
        </w:rPr>
        <w:t xml:space="preserve">Guinée-Bissau, </w:t>
      </w:r>
      <w:r w:rsidR="001D7E0D" w:rsidRPr="003B7415">
        <w:rPr>
          <w:rFonts w:ascii="Arial" w:hAnsi="Arial"/>
          <w:snapToGrid w:val="0"/>
          <w:sz w:val="22"/>
          <w:lang w:eastAsia="en-US"/>
        </w:rPr>
        <w:t>Îles Marshall, Irlande et le Koweït</w:t>
      </w:r>
      <w:r w:rsidR="001E4656" w:rsidRPr="00B37E33">
        <w:rPr>
          <w:rFonts w:ascii="Arial" w:hAnsi="Arial"/>
          <w:snapToGrid w:val="0"/>
          <w:sz w:val="22"/>
          <w:lang w:eastAsia="en-US"/>
        </w:rPr>
        <w:t xml:space="preserve"> -</w:t>
      </w:r>
      <w:r w:rsidR="001E4656" w:rsidRPr="00B37E33">
        <w:t xml:space="preserve"> </w:t>
      </w:r>
      <w:r w:rsidR="00C9253C" w:rsidRPr="00B37E33">
        <w:rPr>
          <w:rFonts w:ascii="Arial" w:hAnsi="Arial"/>
          <w:snapToGrid w:val="0"/>
          <w:sz w:val="22"/>
          <w:lang w:eastAsia="en-US"/>
        </w:rPr>
        <w:t xml:space="preserve">ont ratifié la Convention entre juin 2014 et juin 2016. Au moment </w:t>
      </w:r>
      <w:r>
        <w:rPr>
          <w:rFonts w:ascii="Arial" w:hAnsi="Arial"/>
          <w:snapToGrid w:val="0"/>
          <w:sz w:val="22"/>
          <w:lang w:eastAsia="en-US"/>
        </w:rPr>
        <w:t xml:space="preserve">où se tient </w:t>
      </w:r>
      <w:r w:rsidR="00C9253C" w:rsidRPr="00B37E33">
        <w:rPr>
          <w:rFonts w:ascii="Arial" w:hAnsi="Arial"/>
          <w:snapToGrid w:val="0"/>
          <w:sz w:val="22"/>
          <w:lang w:eastAsia="en-US"/>
        </w:rPr>
        <w:t>la sixième session de l’Assemblée générale, 16</w:t>
      </w:r>
      <w:r w:rsidR="001E4656" w:rsidRPr="00B37E33">
        <w:rPr>
          <w:rFonts w:ascii="Arial" w:hAnsi="Arial"/>
          <w:snapToGrid w:val="0"/>
          <w:sz w:val="22"/>
          <w:lang w:eastAsia="en-US"/>
        </w:rPr>
        <w:t>6</w:t>
      </w:r>
      <w:r w:rsidR="00C9253C" w:rsidRPr="00B37E33">
        <w:rPr>
          <w:rFonts w:ascii="Arial" w:hAnsi="Arial"/>
          <w:snapToGrid w:val="0"/>
          <w:sz w:val="22"/>
          <w:lang w:eastAsia="en-US"/>
        </w:rPr>
        <w:t xml:space="preserve"> États étaient parties à la Convention. </w:t>
      </w:r>
    </w:p>
    <w:p w:rsidR="00C9253C" w:rsidRPr="00C9253C" w:rsidRDefault="00C9253C" w:rsidP="00B37E33">
      <w:pPr>
        <w:keepNext/>
        <w:numPr>
          <w:ilvl w:val="0"/>
          <w:numId w:val="17"/>
        </w:numPr>
        <w:spacing w:before="360" w:after="120"/>
        <w:ind w:left="567" w:hanging="567"/>
        <w:rPr>
          <w:rFonts w:cs="Arial"/>
          <w:b/>
          <w:szCs w:val="22"/>
          <w:lang w:bidi="fr-FR"/>
        </w:rPr>
      </w:pPr>
      <w:r w:rsidRPr="00C9253C">
        <w:rPr>
          <w:rFonts w:ascii="Arial" w:hAnsi="Arial"/>
          <w:b/>
          <w:sz w:val="22"/>
          <w:lang w:bidi="fr-FR"/>
        </w:rPr>
        <w:t>Renforcer les capacités</w:t>
      </w:r>
    </w:p>
    <w:p w:rsidR="00C9253C" w:rsidRPr="00C9253C" w:rsidRDefault="00C9253C" w:rsidP="00EE2DFE">
      <w:pPr>
        <w:numPr>
          <w:ilvl w:val="0"/>
          <w:numId w:val="15"/>
        </w:numPr>
        <w:tabs>
          <w:tab w:val="left" w:pos="567"/>
        </w:tabs>
        <w:snapToGrid w:val="0"/>
        <w:spacing w:before="120" w:after="120"/>
        <w:ind w:left="567" w:hanging="567"/>
        <w:jc w:val="both"/>
        <w:rPr>
          <w:rFonts w:ascii="Arial" w:hAnsi="Arial"/>
          <w:snapToGrid w:val="0"/>
          <w:sz w:val="22"/>
          <w:lang w:eastAsia="en-US"/>
        </w:rPr>
      </w:pPr>
      <w:r w:rsidRPr="00C9253C">
        <w:rPr>
          <w:rFonts w:ascii="Arial" w:hAnsi="Arial"/>
          <w:snapToGrid w:val="0"/>
          <w:sz w:val="22"/>
          <w:lang w:eastAsia="en-US"/>
        </w:rPr>
        <w:t xml:space="preserve">Le Comité continue de considérer le renforcement des capacités comme une </w:t>
      </w:r>
      <w:r w:rsidR="00B47629" w:rsidRPr="00C9253C">
        <w:rPr>
          <w:rFonts w:ascii="Arial" w:hAnsi="Arial"/>
          <w:snapToGrid w:val="0"/>
          <w:sz w:val="22"/>
          <w:lang w:eastAsia="en-US"/>
        </w:rPr>
        <w:t>priorité</w:t>
      </w:r>
      <w:r w:rsidRPr="00C9253C">
        <w:rPr>
          <w:rFonts w:ascii="Arial" w:hAnsi="Arial"/>
          <w:snapToGrid w:val="0"/>
          <w:sz w:val="22"/>
          <w:lang w:eastAsia="en-US"/>
        </w:rPr>
        <w:t xml:space="preserve">, car il est convaincu qu’une mise en œuvre efficace dépend d’une connaissance et d’une compréhension </w:t>
      </w:r>
      <w:proofErr w:type="gramStart"/>
      <w:r w:rsidRPr="00C9253C">
        <w:rPr>
          <w:rFonts w:ascii="Arial" w:hAnsi="Arial"/>
          <w:snapToGrid w:val="0"/>
          <w:sz w:val="22"/>
          <w:lang w:eastAsia="en-US"/>
        </w:rPr>
        <w:t>approfondies</w:t>
      </w:r>
      <w:proofErr w:type="gramEnd"/>
      <w:r w:rsidRPr="00C9253C">
        <w:rPr>
          <w:rFonts w:ascii="Arial" w:hAnsi="Arial"/>
          <w:snapToGrid w:val="0"/>
          <w:sz w:val="22"/>
          <w:lang w:eastAsia="en-US"/>
        </w:rPr>
        <w:t xml:space="preserve"> de la Convention et de ses concepts, mesures et mécanismes. Lors de sa cinquième session, l’Assemblée générale a autorisé l’utilisation du Fonds du patrimoine culturel immatériel pour poursuivre la stratégie globale de renforcement des capacités </w:t>
      </w:r>
      <w:r w:rsidR="006A4C96">
        <w:rPr>
          <w:rFonts w:ascii="Arial" w:hAnsi="Arial"/>
          <w:snapToGrid w:val="0"/>
          <w:sz w:val="22"/>
          <w:lang w:eastAsia="en-US"/>
        </w:rPr>
        <w:t xml:space="preserve">en utilisant la </w:t>
      </w:r>
      <w:r w:rsidRPr="00C9253C">
        <w:rPr>
          <w:rFonts w:ascii="Arial" w:hAnsi="Arial"/>
          <w:snapToGrid w:val="0"/>
          <w:sz w:val="22"/>
          <w:lang w:eastAsia="en-US"/>
        </w:rPr>
        <w:t>ligne budg</w:t>
      </w:r>
      <w:r w:rsidR="006A4C96">
        <w:rPr>
          <w:rFonts w:ascii="Arial" w:hAnsi="Arial"/>
          <w:snapToGrid w:val="0"/>
          <w:sz w:val="22"/>
          <w:lang w:eastAsia="en-US"/>
        </w:rPr>
        <w:t>é</w:t>
      </w:r>
      <w:r w:rsidRPr="00C9253C">
        <w:rPr>
          <w:rFonts w:ascii="Arial" w:hAnsi="Arial"/>
          <w:snapToGrid w:val="0"/>
          <w:sz w:val="22"/>
          <w:lang w:eastAsia="en-US"/>
        </w:rPr>
        <w:t>t</w:t>
      </w:r>
      <w:r w:rsidR="006A4C96">
        <w:rPr>
          <w:rFonts w:ascii="Arial" w:hAnsi="Arial"/>
          <w:snapToGrid w:val="0"/>
          <w:sz w:val="22"/>
          <w:lang w:eastAsia="en-US"/>
        </w:rPr>
        <w:t>aire</w:t>
      </w:r>
      <w:r w:rsidRPr="00C9253C">
        <w:rPr>
          <w:rFonts w:ascii="Arial" w:hAnsi="Arial"/>
          <w:snapToGrid w:val="0"/>
          <w:sz w:val="22"/>
          <w:lang w:eastAsia="en-US"/>
        </w:rPr>
        <w:t xml:space="preserve"> « Autres fonctions du Comité</w:t>
      </w:r>
      <w:r w:rsidR="006A4C96">
        <w:rPr>
          <w:rFonts w:ascii="Arial" w:hAnsi="Arial"/>
          <w:snapToGrid w:val="0"/>
          <w:sz w:val="22"/>
          <w:lang w:eastAsia="en-US"/>
        </w:rPr>
        <w:t> »</w:t>
      </w:r>
      <w:r w:rsidRPr="00C9253C">
        <w:rPr>
          <w:rFonts w:ascii="Arial" w:hAnsi="Arial"/>
          <w:snapToGrid w:val="0"/>
          <w:sz w:val="22"/>
          <w:lang w:eastAsia="en-US"/>
        </w:rPr>
        <w:t xml:space="preserve">. Dans sa décision 8.COM.11, le Comité a délégué à son Bureau l’autorité de décider comment le Fonds alloué à </w:t>
      </w:r>
      <w:r w:rsidR="006A4C96">
        <w:rPr>
          <w:rFonts w:ascii="Arial" w:hAnsi="Arial"/>
          <w:snapToGrid w:val="0"/>
          <w:sz w:val="22"/>
          <w:lang w:eastAsia="en-US"/>
        </w:rPr>
        <w:t>cette ligne</w:t>
      </w:r>
      <w:r w:rsidRPr="00C9253C">
        <w:rPr>
          <w:rFonts w:ascii="Arial" w:hAnsi="Arial"/>
          <w:snapToGrid w:val="0"/>
          <w:sz w:val="22"/>
          <w:lang w:eastAsia="en-US"/>
        </w:rPr>
        <w:t xml:space="preserve"> du Plan serait utilisé </w:t>
      </w:r>
      <w:r w:rsidR="006A4C96">
        <w:rPr>
          <w:rFonts w:ascii="Arial" w:hAnsi="Arial"/>
          <w:snapToGrid w:val="0"/>
          <w:sz w:val="22"/>
          <w:lang w:eastAsia="en-US"/>
        </w:rPr>
        <w:t>sur la base</w:t>
      </w:r>
      <w:r w:rsidR="006A4C96" w:rsidRPr="00C9253C">
        <w:rPr>
          <w:rFonts w:ascii="Arial" w:hAnsi="Arial"/>
          <w:snapToGrid w:val="0"/>
          <w:sz w:val="22"/>
          <w:lang w:eastAsia="en-US"/>
        </w:rPr>
        <w:t xml:space="preserve"> </w:t>
      </w:r>
      <w:r w:rsidRPr="00C9253C">
        <w:rPr>
          <w:rFonts w:ascii="Arial" w:hAnsi="Arial"/>
          <w:snapToGrid w:val="0"/>
          <w:sz w:val="22"/>
          <w:lang w:eastAsia="en-US"/>
        </w:rPr>
        <w:t xml:space="preserve">de propositions spécifiques </w:t>
      </w:r>
      <w:r w:rsidR="0000404D">
        <w:rPr>
          <w:rFonts w:ascii="Arial" w:hAnsi="Arial"/>
          <w:snapToGrid w:val="0"/>
          <w:sz w:val="22"/>
          <w:lang w:eastAsia="en-US"/>
        </w:rPr>
        <w:t>à préparer</w:t>
      </w:r>
      <w:r w:rsidRPr="00C9253C">
        <w:rPr>
          <w:rFonts w:ascii="Arial" w:hAnsi="Arial"/>
          <w:snapToGrid w:val="0"/>
          <w:sz w:val="22"/>
          <w:lang w:eastAsia="en-US"/>
        </w:rPr>
        <w:t xml:space="preserve"> par le Secrétariat. Pour informer les donateurs des besoins en financement du programme global de renforcement des capacités, le Secrétariat a développé une </w:t>
      </w:r>
      <w:hyperlink r:id="rId9" w:history="1">
        <w:r w:rsidRPr="00C9253C">
          <w:rPr>
            <w:rFonts w:ascii="Arial" w:hAnsi="Arial"/>
            <w:snapToGrid w:val="0"/>
            <w:color w:val="0000FF"/>
            <w:sz w:val="22"/>
            <w:u w:val="single"/>
            <w:lang w:eastAsia="en-US"/>
          </w:rPr>
          <w:t>note conceptuelle</w:t>
        </w:r>
      </w:hyperlink>
      <w:r w:rsidRPr="00C9253C">
        <w:rPr>
          <w:rFonts w:ascii="Arial" w:hAnsi="Arial"/>
          <w:snapToGrid w:val="0"/>
          <w:sz w:val="22"/>
          <w:lang w:eastAsia="en-US"/>
        </w:rPr>
        <w:t xml:space="preserve"> pour le Programme additionnel complémentaire 2014–2017, appelée « Renforcement des capacités de sauvegarde du patrimoine culturel immatériel pour le développement durable » et disponible </w:t>
      </w:r>
      <w:r w:rsidR="004B0E7E">
        <w:rPr>
          <w:rFonts w:ascii="Arial" w:hAnsi="Arial"/>
          <w:snapToGrid w:val="0"/>
          <w:sz w:val="22"/>
          <w:lang w:eastAsia="en-US"/>
        </w:rPr>
        <w:t>pour</w:t>
      </w:r>
      <w:r w:rsidRPr="00C9253C">
        <w:rPr>
          <w:rFonts w:ascii="Arial" w:hAnsi="Arial"/>
          <w:snapToGrid w:val="0"/>
          <w:sz w:val="22"/>
          <w:lang w:eastAsia="en-US"/>
        </w:rPr>
        <w:t xml:space="preserve"> consultation sur la page web </w:t>
      </w:r>
      <w:r w:rsidR="00001854">
        <w:rPr>
          <w:rFonts w:ascii="Arial" w:hAnsi="Arial"/>
          <w:snapToGrid w:val="0"/>
          <w:sz w:val="22"/>
          <w:lang w:eastAsia="en-US"/>
        </w:rPr>
        <w:t>globale du</w:t>
      </w:r>
      <w:r w:rsidR="004B0E7E">
        <w:rPr>
          <w:rFonts w:ascii="Arial" w:hAnsi="Arial"/>
          <w:snapToGrid w:val="0"/>
          <w:sz w:val="22"/>
          <w:lang w:eastAsia="en-US"/>
        </w:rPr>
        <w:t xml:space="preserve"> </w:t>
      </w:r>
      <w:r w:rsidR="00001854">
        <w:rPr>
          <w:rFonts w:ascii="Arial" w:hAnsi="Arial"/>
          <w:snapToGrid w:val="0"/>
          <w:sz w:val="22"/>
          <w:lang w:eastAsia="en-US"/>
        </w:rPr>
        <w:t>Partenariat</w:t>
      </w:r>
      <w:r w:rsidRPr="00C9253C">
        <w:rPr>
          <w:rFonts w:ascii="Arial" w:hAnsi="Arial"/>
          <w:snapToGrid w:val="0"/>
          <w:sz w:val="22"/>
          <w:lang w:eastAsia="en-US"/>
        </w:rPr>
        <w:t xml:space="preserve"> </w:t>
      </w:r>
      <w:r w:rsidR="00001854">
        <w:rPr>
          <w:rFonts w:ascii="Arial" w:hAnsi="Arial"/>
          <w:snapToGrid w:val="0"/>
          <w:sz w:val="22"/>
          <w:lang w:eastAsia="en-US"/>
        </w:rPr>
        <w:t>avec</w:t>
      </w:r>
      <w:r w:rsidRPr="00C9253C">
        <w:rPr>
          <w:rFonts w:ascii="Arial" w:hAnsi="Arial"/>
          <w:snapToGrid w:val="0"/>
          <w:sz w:val="22"/>
          <w:lang w:eastAsia="en-US"/>
        </w:rPr>
        <w:t xml:space="preserve"> l’UNESCO. Le Comité a approuvé la note conceptuelle lors de sa neuvième session en novembre 2014 (</w:t>
      </w:r>
      <w:r w:rsidR="00D56A25" w:rsidRPr="00EE2DFE">
        <w:rPr>
          <w:rFonts w:ascii="Arial" w:hAnsi="Arial"/>
          <w:snapToGrid w:val="0"/>
          <w:sz w:val="22"/>
          <w:lang w:eastAsia="en-US"/>
        </w:rPr>
        <w:t>Décision 9.COM 7</w:t>
      </w:r>
      <w:r w:rsidRPr="00C9253C">
        <w:rPr>
          <w:rFonts w:ascii="Arial" w:hAnsi="Arial"/>
          <w:snapToGrid w:val="0"/>
          <w:sz w:val="22"/>
          <w:lang w:eastAsia="en-US"/>
        </w:rPr>
        <w:t>)</w:t>
      </w:r>
      <w:r w:rsidR="004B0E7E">
        <w:rPr>
          <w:rFonts w:ascii="Arial" w:hAnsi="Arial"/>
          <w:snapToGrid w:val="0"/>
          <w:sz w:val="22"/>
          <w:lang w:eastAsia="en-US"/>
        </w:rPr>
        <w:t xml:space="preserve">, en tant que cadre </w:t>
      </w:r>
      <w:r w:rsidR="00DA68AC">
        <w:rPr>
          <w:rFonts w:ascii="Arial" w:hAnsi="Arial"/>
          <w:snapToGrid w:val="0"/>
          <w:sz w:val="22"/>
          <w:lang w:eastAsia="en-US"/>
        </w:rPr>
        <w:t>lui permettant</w:t>
      </w:r>
      <w:r w:rsidR="004B0E7E">
        <w:rPr>
          <w:rFonts w:ascii="Arial" w:hAnsi="Arial"/>
          <w:snapToGrid w:val="0"/>
          <w:sz w:val="22"/>
          <w:lang w:eastAsia="en-US"/>
        </w:rPr>
        <w:t xml:space="preserve"> </w:t>
      </w:r>
      <w:r w:rsidR="00DA68AC">
        <w:rPr>
          <w:rFonts w:ascii="Arial" w:hAnsi="Arial"/>
          <w:snapToGrid w:val="0"/>
          <w:sz w:val="22"/>
          <w:lang w:eastAsia="en-US"/>
        </w:rPr>
        <w:t>d’</w:t>
      </w:r>
      <w:r w:rsidR="004B0E7E">
        <w:rPr>
          <w:rFonts w:ascii="Arial" w:hAnsi="Arial"/>
          <w:snapToGrid w:val="0"/>
          <w:sz w:val="22"/>
          <w:lang w:eastAsia="en-US"/>
        </w:rPr>
        <w:t xml:space="preserve">accepter </w:t>
      </w:r>
      <w:r w:rsidR="00DA68AC">
        <w:rPr>
          <w:rFonts w:ascii="Arial" w:hAnsi="Arial"/>
          <w:snapToGrid w:val="0"/>
          <w:sz w:val="22"/>
          <w:lang w:eastAsia="en-US"/>
        </w:rPr>
        <w:t>d</w:t>
      </w:r>
      <w:r w:rsidR="004B0E7E">
        <w:rPr>
          <w:rFonts w:ascii="Arial" w:hAnsi="Arial"/>
          <w:snapToGrid w:val="0"/>
          <w:sz w:val="22"/>
          <w:lang w:eastAsia="en-US"/>
        </w:rPr>
        <w:t>es contributions volontaires supplémentaires sans autorisation expresse</w:t>
      </w:r>
      <w:r w:rsidR="00A23F06">
        <w:rPr>
          <w:rFonts w:ascii="Arial" w:hAnsi="Arial"/>
          <w:snapToGrid w:val="0"/>
          <w:sz w:val="22"/>
          <w:lang w:eastAsia="en-US"/>
        </w:rPr>
        <w:t>.</w:t>
      </w:r>
    </w:p>
    <w:p w:rsidR="00C9253C" w:rsidRPr="00C9253C" w:rsidRDefault="00C9253C" w:rsidP="00DA68AC">
      <w:pPr>
        <w:numPr>
          <w:ilvl w:val="0"/>
          <w:numId w:val="15"/>
        </w:numPr>
        <w:tabs>
          <w:tab w:val="left" w:pos="567"/>
        </w:tabs>
        <w:snapToGrid w:val="0"/>
        <w:spacing w:after="120"/>
        <w:ind w:left="567" w:hanging="567"/>
        <w:jc w:val="both"/>
        <w:rPr>
          <w:rFonts w:ascii="Arial" w:hAnsi="Arial" w:cs="Arial"/>
          <w:snapToGrid w:val="0"/>
          <w:sz w:val="22"/>
          <w:szCs w:val="22"/>
          <w:lang w:eastAsia="en-US"/>
        </w:rPr>
      </w:pPr>
      <w:r w:rsidRPr="00C9253C">
        <w:rPr>
          <w:rFonts w:ascii="Arial" w:hAnsi="Arial"/>
          <w:snapToGrid w:val="0"/>
          <w:sz w:val="22"/>
          <w:lang w:eastAsia="en-US"/>
        </w:rPr>
        <w:t>Le coût des activités approuvées par le Bureau s</w:t>
      </w:r>
      <w:r w:rsidR="00FA20B0">
        <w:rPr>
          <w:rFonts w:ascii="Arial" w:hAnsi="Arial"/>
          <w:snapToGrid w:val="0"/>
          <w:sz w:val="22"/>
          <w:lang w:eastAsia="en-US"/>
        </w:rPr>
        <w:t>’</w:t>
      </w:r>
      <w:r w:rsidRPr="00C9253C">
        <w:rPr>
          <w:rFonts w:ascii="Arial" w:hAnsi="Arial"/>
          <w:snapToGrid w:val="0"/>
          <w:sz w:val="22"/>
          <w:lang w:eastAsia="en-US"/>
        </w:rPr>
        <w:t xml:space="preserve">élevait à 785 097 dollars </w:t>
      </w:r>
      <w:r w:rsidR="00FA20B0">
        <w:rPr>
          <w:rFonts w:ascii="Arial" w:hAnsi="Arial"/>
          <w:snapToGrid w:val="0"/>
          <w:sz w:val="22"/>
          <w:lang w:eastAsia="en-US"/>
        </w:rPr>
        <w:t xml:space="preserve">des </w:t>
      </w:r>
      <w:r w:rsidR="00FA20B0">
        <w:rPr>
          <w:rFonts w:ascii="Arial" w:hAnsi="Arial" w:cs="Arial"/>
          <w:snapToGrid w:val="0"/>
          <w:sz w:val="22"/>
          <w:lang w:eastAsia="en-US"/>
        </w:rPr>
        <w:t>É</w:t>
      </w:r>
      <w:r w:rsidR="00FA20B0">
        <w:rPr>
          <w:rFonts w:ascii="Arial" w:hAnsi="Arial"/>
          <w:snapToGrid w:val="0"/>
          <w:sz w:val="22"/>
          <w:lang w:eastAsia="en-US"/>
        </w:rPr>
        <w:t>tats-Unis</w:t>
      </w:r>
      <w:r w:rsidR="00FA20B0" w:rsidRPr="00C9253C">
        <w:rPr>
          <w:rFonts w:ascii="Arial" w:hAnsi="Arial"/>
          <w:snapToGrid w:val="0"/>
          <w:sz w:val="22"/>
          <w:lang w:eastAsia="en-US"/>
        </w:rPr>
        <w:t xml:space="preserve"> </w:t>
      </w:r>
      <w:r w:rsidRPr="00C9253C">
        <w:rPr>
          <w:rFonts w:ascii="Arial" w:hAnsi="Arial"/>
          <w:snapToGrid w:val="0"/>
          <w:sz w:val="22"/>
          <w:lang w:eastAsia="en-US"/>
        </w:rPr>
        <w:t xml:space="preserve">pour la période de janvier 2014 à décembre 2015 et de 196 772 dollars </w:t>
      </w:r>
      <w:r w:rsidR="00FA20B0">
        <w:rPr>
          <w:rFonts w:ascii="Arial" w:hAnsi="Arial"/>
          <w:snapToGrid w:val="0"/>
          <w:sz w:val="22"/>
          <w:lang w:eastAsia="en-US"/>
        </w:rPr>
        <w:t xml:space="preserve">des </w:t>
      </w:r>
      <w:r w:rsidR="00FA20B0">
        <w:rPr>
          <w:rFonts w:ascii="Arial" w:hAnsi="Arial" w:cs="Arial"/>
          <w:snapToGrid w:val="0"/>
          <w:sz w:val="22"/>
          <w:lang w:eastAsia="en-US"/>
        </w:rPr>
        <w:t>É</w:t>
      </w:r>
      <w:r w:rsidR="00FA20B0">
        <w:rPr>
          <w:rFonts w:ascii="Arial" w:hAnsi="Arial"/>
          <w:snapToGrid w:val="0"/>
          <w:sz w:val="22"/>
          <w:lang w:eastAsia="en-US"/>
        </w:rPr>
        <w:t>tats-Unis</w:t>
      </w:r>
      <w:r w:rsidRPr="00C9253C">
        <w:rPr>
          <w:rFonts w:ascii="Arial" w:hAnsi="Arial"/>
          <w:snapToGrid w:val="0"/>
          <w:sz w:val="22"/>
          <w:lang w:eastAsia="en-US"/>
        </w:rPr>
        <w:t xml:space="preserve"> pour la période de janvier à juin 2016. Leur objectif est de soutenir un certain nombre de besoins transversaux, notamment : (i) l</w:t>
      </w:r>
      <w:r w:rsidR="00FA20B0">
        <w:rPr>
          <w:rFonts w:ascii="Arial" w:hAnsi="Arial"/>
          <w:snapToGrid w:val="0"/>
          <w:sz w:val="22"/>
          <w:lang w:eastAsia="en-US"/>
        </w:rPr>
        <w:t>’</w:t>
      </w:r>
      <w:r w:rsidRPr="00C9253C">
        <w:rPr>
          <w:rFonts w:ascii="Arial" w:hAnsi="Arial"/>
          <w:snapToGrid w:val="0"/>
          <w:sz w:val="22"/>
          <w:lang w:eastAsia="en-US"/>
        </w:rPr>
        <w:t>élaboration de contenus et supports de formation ; (ii) le renforcement du réseau d</w:t>
      </w:r>
      <w:r w:rsidR="00DA68AC">
        <w:rPr>
          <w:rFonts w:ascii="Arial" w:hAnsi="Arial"/>
          <w:snapToGrid w:val="0"/>
          <w:sz w:val="22"/>
          <w:lang w:eastAsia="en-US"/>
        </w:rPr>
        <w:t>’experts</w:t>
      </w:r>
      <w:r w:rsidR="00325A3E">
        <w:rPr>
          <w:rFonts w:ascii="Arial" w:hAnsi="Arial"/>
          <w:snapToGrid w:val="0"/>
          <w:sz w:val="22"/>
          <w:lang w:eastAsia="en-US"/>
        </w:rPr>
        <w:t>-</w:t>
      </w:r>
      <w:r w:rsidR="00FA20B0">
        <w:rPr>
          <w:rFonts w:ascii="Arial" w:hAnsi="Arial"/>
          <w:snapToGrid w:val="0"/>
          <w:sz w:val="22"/>
          <w:lang w:eastAsia="en-US"/>
        </w:rPr>
        <w:t>facilitateurs</w:t>
      </w:r>
      <w:r w:rsidRPr="00C9253C">
        <w:rPr>
          <w:rFonts w:ascii="Arial" w:hAnsi="Arial"/>
          <w:snapToGrid w:val="0"/>
          <w:sz w:val="22"/>
          <w:lang w:eastAsia="en-US"/>
        </w:rPr>
        <w:t xml:space="preserve"> ; et (iii) </w:t>
      </w:r>
      <w:r w:rsidR="00DA68AC">
        <w:rPr>
          <w:rFonts w:ascii="Arial" w:hAnsi="Arial"/>
          <w:snapToGrid w:val="0"/>
          <w:sz w:val="22"/>
          <w:lang w:eastAsia="en-US"/>
        </w:rPr>
        <w:t>le suivi</w:t>
      </w:r>
      <w:r w:rsidRPr="00C9253C">
        <w:rPr>
          <w:rFonts w:ascii="Arial" w:hAnsi="Arial"/>
          <w:snapToGrid w:val="0"/>
          <w:sz w:val="22"/>
          <w:lang w:eastAsia="en-US"/>
        </w:rPr>
        <w:t>, l</w:t>
      </w:r>
      <w:r w:rsidR="00FA20B0">
        <w:rPr>
          <w:rFonts w:ascii="Arial" w:hAnsi="Arial"/>
          <w:snapToGrid w:val="0"/>
          <w:sz w:val="22"/>
          <w:lang w:eastAsia="en-US"/>
        </w:rPr>
        <w:t>’</w:t>
      </w:r>
      <w:r w:rsidRPr="00C9253C">
        <w:rPr>
          <w:rFonts w:ascii="Arial" w:hAnsi="Arial"/>
          <w:snapToGrid w:val="0"/>
          <w:sz w:val="22"/>
          <w:lang w:eastAsia="en-US"/>
        </w:rPr>
        <w:t>évaluation et l</w:t>
      </w:r>
      <w:r w:rsidR="00FA20B0">
        <w:rPr>
          <w:rFonts w:ascii="Arial" w:hAnsi="Arial"/>
          <w:snapToGrid w:val="0"/>
          <w:sz w:val="22"/>
          <w:lang w:eastAsia="en-US"/>
        </w:rPr>
        <w:t>’</w:t>
      </w:r>
      <w:r w:rsidRPr="00C9253C">
        <w:rPr>
          <w:rFonts w:ascii="Arial" w:hAnsi="Arial"/>
          <w:snapToGrid w:val="0"/>
          <w:sz w:val="22"/>
          <w:lang w:eastAsia="en-US"/>
        </w:rPr>
        <w:t>adaptation de la stratégie selon les besoins</w:t>
      </w:r>
      <w:r w:rsidRPr="00C9253C">
        <w:rPr>
          <w:rFonts w:ascii="Arial" w:hAnsi="Arial"/>
          <w:snapToGrid w:val="0"/>
          <w:sz w:val="22"/>
          <w:vertAlign w:val="superscript"/>
          <w:lang w:eastAsia="en-US"/>
        </w:rPr>
        <w:footnoteReference w:id="1"/>
      </w:r>
      <w:r w:rsidRPr="00C9253C">
        <w:rPr>
          <w:rFonts w:ascii="Arial" w:hAnsi="Arial"/>
          <w:snapToGrid w:val="0"/>
          <w:sz w:val="22"/>
          <w:lang w:eastAsia="en-US"/>
        </w:rPr>
        <w:t xml:space="preserve">. </w:t>
      </w:r>
      <w:r w:rsidRPr="003B7415">
        <w:rPr>
          <w:rFonts w:ascii="Arial" w:hAnsi="Arial"/>
          <w:snapToGrid w:val="0"/>
          <w:sz w:val="22"/>
          <w:lang w:eastAsia="en-US"/>
        </w:rPr>
        <w:t xml:space="preserve">Le rapport du Secrétariat </w:t>
      </w:r>
      <w:r w:rsidR="001D7E0D" w:rsidRPr="003B7415">
        <w:rPr>
          <w:rFonts w:ascii="Arial" w:hAnsi="Arial"/>
          <w:snapToGrid w:val="0"/>
          <w:sz w:val="22"/>
          <w:lang w:eastAsia="en-US"/>
        </w:rPr>
        <w:t>sur ses activités</w:t>
      </w:r>
      <w:r w:rsidRPr="003B7415">
        <w:rPr>
          <w:rFonts w:ascii="Arial" w:hAnsi="Arial"/>
          <w:snapToGrid w:val="0"/>
          <w:sz w:val="22"/>
          <w:lang w:eastAsia="en-US"/>
        </w:rPr>
        <w:t xml:space="preserve"> </w:t>
      </w:r>
      <w:r w:rsidR="001D7E0D" w:rsidRPr="003B7415">
        <w:rPr>
          <w:rFonts w:ascii="Arial" w:hAnsi="Arial"/>
          <w:snapToGrid w:val="0"/>
          <w:sz w:val="22"/>
          <w:lang w:eastAsia="en-US"/>
        </w:rPr>
        <w:t>(</w:t>
      </w:r>
      <w:hyperlink r:id="rId10" w:history="1">
        <w:r w:rsidR="001D7E0D" w:rsidRPr="003B7415">
          <w:rPr>
            <w:rFonts w:ascii="Arial" w:hAnsi="Arial"/>
            <w:snapToGrid w:val="0"/>
            <w:sz w:val="22"/>
            <w:lang w:eastAsia="en-US"/>
          </w:rPr>
          <w:t>document ITH/16/6.GA/6</w:t>
        </w:r>
      </w:hyperlink>
      <w:r w:rsidR="008D2D19" w:rsidRPr="003B7415">
        <w:rPr>
          <w:rFonts w:ascii="Arial" w:hAnsi="Arial"/>
          <w:snapToGrid w:val="0"/>
          <w:sz w:val="22"/>
          <w:lang w:eastAsia="en-US"/>
        </w:rPr>
        <w:t>)</w:t>
      </w:r>
      <w:r w:rsidR="001D7E0D" w:rsidRPr="003B7415">
        <w:rPr>
          <w:rFonts w:ascii="Arial" w:hAnsi="Arial"/>
          <w:snapToGrid w:val="0"/>
          <w:sz w:val="22"/>
          <w:lang w:eastAsia="en-US"/>
        </w:rPr>
        <w:t xml:space="preserve"> </w:t>
      </w:r>
      <w:r w:rsidRPr="003B7415">
        <w:rPr>
          <w:rFonts w:ascii="Arial" w:hAnsi="Arial"/>
          <w:snapToGrid w:val="0"/>
          <w:sz w:val="22"/>
          <w:lang w:eastAsia="en-US"/>
        </w:rPr>
        <w:t xml:space="preserve">comporte des informations détaillées sur les résultats des activités relatives à ces questions </w:t>
      </w:r>
      <w:r w:rsidR="001E4656" w:rsidRPr="003B7415">
        <w:rPr>
          <w:rFonts w:ascii="Arial" w:hAnsi="Arial"/>
          <w:snapToGrid w:val="0"/>
          <w:sz w:val="22"/>
          <w:lang w:eastAsia="en-US"/>
        </w:rPr>
        <w:t>entre juin 2014 et juin 2016</w:t>
      </w:r>
      <w:r w:rsidR="008D2D19">
        <w:rPr>
          <w:rFonts w:ascii="Arial" w:hAnsi="Arial"/>
          <w:snapToGrid w:val="0"/>
          <w:sz w:val="22"/>
          <w:lang w:eastAsia="en-US"/>
        </w:rPr>
        <w:t>.</w:t>
      </w:r>
      <w:r w:rsidR="00D56A25">
        <w:rPr>
          <w:rFonts w:ascii="Arial" w:hAnsi="Arial"/>
          <w:snapToGrid w:val="0"/>
          <w:sz w:val="22"/>
          <w:lang w:eastAsia="en-US"/>
        </w:rPr>
        <w:t xml:space="preserve"> </w:t>
      </w:r>
      <w:r w:rsidRPr="00C9253C">
        <w:rPr>
          <w:rFonts w:ascii="Arial" w:hAnsi="Arial"/>
          <w:snapToGrid w:val="0"/>
          <w:sz w:val="22"/>
          <w:lang w:eastAsia="en-US"/>
        </w:rPr>
        <w:t xml:space="preserve">Le rapport tient également compte de la situation quant à la mise en œuvre des programmes de renforcement des capacités au niveau national </w:t>
      </w:r>
      <w:r w:rsidR="005F39AB">
        <w:rPr>
          <w:rFonts w:ascii="Arial" w:hAnsi="Arial"/>
          <w:snapToGrid w:val="0"/>
          <w:sz w:val="22"/>
          <w:lang w:eastAsia="en-US"/>
        </w:rPr>
        <w:t>qui</w:t>
      </w:r>
      <w:r w:rsidRPr="00C9253C">
        <w:rPr>
          <w:rFonts w:ascii="Arial" w:hAnsi="Arial"/>
          <w:snapToGrid w:val="0"/>
          <w:sz w:val="22"/>
          <w:lang w:eastAsia="en-US"/>
        </w:rPr>
        <w:t xml:space="preserve"> ont été possibles grâce aux contributions </w:t>
      </w:r>
      <w:r w:rsidR="008A22B7">
        <w:rPr>
          <w:rFonts w:ascii="Arial" w:hAnsi="Arial"/>
          <w:snapToGrid w:val="0"/>
          <w:sz w:val="22"/>
          <w:lang w:eastAsia="en-US"/>
        </w:rPr>
        <w:t xml:space="preserve">à des fins spécifiques </w:t>
      </w:r>
      <w:r w:rsidRPr="00C9253C">
        <w:rPr>
          <w:rFonts w:ascii="Arial" w:hAnsi="Arial"/>
          <w:snapToGrid w:val="0"/>
          <w:sz w:val="22"/>
          <w:lang w:eastAsia="en-US"/>
        </w:rPr>
        <w:t xml:space="preserve">au Fonds du patrimoine culturel immatériel et </w:t>
      </w:r>
      <w:r w:rsidR="008A22B7">
        <w:rPr>
          <w:rFonts w:ascii="Arial" w:hAnsi="Arial"/>
          <w:snapToGrid w:val="0"/>
          <w:sz w:val="22"/>
          <w:lang w:eastAsia="en-US"/>
        </w:rPr>
        <w:t>aux</w:t>
      </w:r>
      <w:r w:rsidR="008A22B7" w:rsidRPr="00C9253C">
        <w:rPr>
          <w:rFonts w:ascii="Arial" w:hAnsi="Arial"/>
          <w:snapToGrid w:val="0"/>
          <w:sz w:val="22"/>
          <w:lang w:eastAsia="en-US"/>
        </w:rPr>
        <w:t xml:space="preserve"> </w:t>
      </w:r>
      <w:r w:rsidRPr="00C9253C">
        <w:rPr>
          <w:rFonts w:ascii="Arial" w:hAnsi="Arial"/>
          <w:snapToGrid w:val="0"/>
          <w:sz w:val="22"/>
          <w:lang w:eastAsia="en-US"/>
        </w:rPr>
        <w:t>projet</w:t>
      </w:r>
      <w:r w:rsidR="008A22B7">
        <w:rPr>
          <w:rFonts w:ascii="Arial" w:hAnsi="Arial"/>
          <w:snapToGrid w:val="0"/>
          <w:sz w:val="22"/>
          <w:lang w:eastAsia="en-US"/>
        </w:rPr>
        <w:t>s</w:t>
      </w:r>
      <w:r w:rsidRPr="00C9253C">
        <w:rPr>
          <w:rFonts w:ascii="Arial" w:hAnsi="Arial"/>
          <w:snapToGrid w:val="0"/>
          <w:sz w:val="22"/>
          <w:lang w:eastAsia="en-US"/>
        </w:rPr>
        <w:t xml:space="preserve"> de fonds-en-dépôt. </w:t>
      </w:r>
    </w:p>
    <w:p w:rsidR="00C9253C" w:rsidRPr="00C9253C" w:rsidRDefault="00C9253C">
      <w:pPr>
        <w:keepNext/>
        <w:numPr>
          <w:ilvl w:val="0"/>
          <w:numId w:val="17"/>
        </w:numPr>
        <w:spacing w:before="240" w:after="120"/>
        <w:ind w:left="567" w:hanging="567"/>
        <w:rPr>
          <w:rFonts w:cs="Arial"/>
          <w:b/>
          <w:szCs w:val="22"/>
          <w:lang w:bidi="fr-FR"/>
        </w:rPr>
      </w:pPr>
      <w:r w:rsidRPr="00C9253C">
        <w:rPr>
          <w:rFonts w:ascii="Arial" w:hAnsi="Arial"/>
          <w:b/>
          <w:sz w:val="22"/>
          <w:lang w:bidi="fr-FR"/>
        </w:rPr>
        <w:t>Services de gestion des connaissances</w:t>
      </w:r>
    </w:p>
    <w:p w:rsidR="00C9253C" w:rsidRPr="00C9253C" w:rsidRDefault="00C9253C" w:rsidP="00EE2DFE">
      <w:pPr>
        <w:numPr>
          <w:ilvl w:val="0"/>
          <w:numId w:val="15"/>
        </w:numPr>
        <w:tabs>
          <w:tab w:val="left" w:pos="567"/>
        </w:tabs>
        <w:snapToGrid w:val="0"/>
        <w:spacing w:before="120" w:after="120"/>
        <w:ind w:left="567" w:hanging="567"/>
        <w:jc w:val="both"/>
        <w:rPr>
          <w:rFonts w:ascii="Arial" w:hAnsi="Arial" w:cs="Arial"/>
          <w:snapToGrid w:val="0"/>
          <w:sz w:val="22"/>
          <w:szCs w:val="22"/>
          <w:lang w:eastAsia="en-US"/>
        </w:rPr>
      </w:pPr>
      <w:r w:rsidRPr="00C9253C">
        <w:rPr>
          <w:rFonts w:ascii="Arial" w:hAnsi="Arial"/>
          <w:snapToGrid w:val="0"/>
          <w:sz w:val="22"/>
          <w:lang w:eastAsia="en-US"/>
        </w:rPr>
        <w:t xml:space="preserve">La gestion des connaissances </w:t>
      </w:r>
      <w:r w:rsidR="00B97824">
        <w:rPr>
          <w:rFonts w:ascii="Arial" w:hAnsi="Arial"/>
          <w:snapToGrid w:val="0"/>
          <w:sz w:val="22"/>
          <w:lang w:eastAsia="en-US"/>
        </w:rPr>
        <w:t>est devenue de plus en plus</w:t>
      </w:r>
      <w:r w:rsidR="00B97824" w:rsidRPr="00C9253C">
        <w:rPr>
          <w:rFonts w:ascii="Arial" w:hAnsi="Arial"/>
          <w:snapToGrid w:val="0"/>
          <w:sz w:val="22"/>
          <w:lang w:eastAsia="en-US"/>
        </w:rPr>
        <w:t xml:space="preserve"> </w:t>
      </w:r>
      <w:r w:rsidRPr="00C9253C">
        <w:rPr>
          <w:rFonts w:ascii="Arial" w:hAnsi="Arial"/>
          <w:snapToGrid w:val="0"/>
          <w:sz w:val="22"/>
          <w:lang w:eastAsia="en-US"/>
        </w:rPr>
        <w:t xml:space="preserve">indispensable au vu du développement de la Convention et de </w:t>
      </w:r>
      <w:r w:rsidR="00B97824">
        <w:rPr>
          <w:rFonts w:ascii="Arial" w:hAnsi="Arial"/>
          <w:snapToGrid w:val="0"/>
          <w:sz w:val="22"/>
          <w:lang w:eastAsia="en-US"/>
        </w:rPr>
        <w:t>l’expansion</w:t>
      </w:r>
      <w:r w:rsidR="00B97824" w:rsidRPr="00C9253C">
        <w:rPr>
          <w:rFonts w:ascii="Arial" w:hAnsi="Arial"/>
          <w:snapToGrid w:val="0"/>
          <w:sz w:val="22"/>
          <w:lang w:eastAsia="en-US"/>
        </w:rPr>
        <w:t xml:space="preserve"> </w:t>
      </w:r>
      <w:r w:rsidRPr="00C9253C">
        <w:rPr>
          <w:rFonts w:ascii="Arial" w:hAnsi="Arial"/>
          <w:snapToGrid w:val="0"/>
          <w:sz w:val="22"/>
          <w:lang w:eastAsia="en-US"/>
        </w:rPr>
        <w:t xml:space="preserve">du réseau </w:t>
      </w:r>
      <w:r w:rsidR="00B97824">
        <w:rPr>
          <w:rFonts w:ascii="Arial" w:hAnsi="Arial"/>
          <w:snapToGrid w:val="0"/>
          <w:sz w:val="22"/>
          <w:lang w:eastAsia="en-US"/>
        </w:rPr>
        <w:t>des parties prenantes</w:t>
      </w:r>
      <w:r w:rsidRPr="00C9253C">
        <w:rPr>
          <w:rFonts w:ascii="Arial" w:hAnsi="Arial"/>
          <w:snapToGrid w:val="0"/>
          <w:sz w:val="22"/>
          <w:lang w:eastAsia="en-US"/>
        </w:rPr>
        <w:t xml:space="preserve">. C’est </w:t>
      </w:r>
      <w:r w:rsidR="00B97824">
        <w:rPr>
          <w:rFonts w:ascii="Arial" w:hAnsi="Arial"/>
          <w:snapToGrid w:val="0"/>
          <w:sz w:val="22"/>
          <w:lang w:eastAsia="en-US"/>
        </w:rPr>
        <w:t xml:space="preserve">uniquement </w:t>
      </w:r>
      <w:r w:rsidRPr="00C9253C">
        <w:rPr>
          <w:rFonts w:ascii="Arial" w:hAnsi="Arial"/>
          <w:snapToGrid w:val="0"/>
          <w:sz w:val="22"/>
          <w:lang w:eastAsia="en-US"/>
        </w:rPr>
        <w:t xml:space="preserve">en améliorant continuellement la gestion des connaissances et des informations que le Secrétariat </w:t>
      </w:r>
      <w:r w:rsidR="00B97824">
        <w:rPr>
          <w:rFonts w:ascii="Arial" w:hAnsi="Arial"/>
          <w:snapToGrid w:val="0"/>
          <w:sz w:val="22"/>
          <w:lang w:eastAsia="en-US"/>
        </w:rPr>
        <w:t xml:space="preserve">peut </w:t>
      </w:r>
      <w:r w:rsidRPr="00C9253C">
        <w:rPr>
          <w:rFonts w:ascii="Arial" w:hAnsi="Arial"/>
          <w:snapToGrid w:val="0"/>
          <w:sz w:val="22"/>
          <w:lang w:eastAsia="en-US"/>
        </w:rPr>
        <w:t xml:space="preserve">fournir ses services aux États parties et organes </w:t>
      </w:r>
      <w:r w:rsidR="00B97824">
        <w:rPr>
          <w:rFonts w:ascii="Arial" w:hAnsi="Arial"/>
          <w:snapToGrid w:val="0"/>
          <w:sz w:val="22"/>
          <w:lang w:eastAsia="en-US"/>
        </w:rPr>
        <w:t>directeurs</w:t>
      </w:r>
      <w:r w:rsidRPr="00C9253C">
        <w:rPr>
          <w:rFonts w:ascii="Arial" w:hAnsi="Arial"/>
          <w:snapToGrid w:val="0"/>
          <w:sz w:val="22"/>
          <w:lang w:eastAsia="en-US"/>
        </w:rPr>
        <w:t xml:space="preserve"> de la Convention</w:t>
      </w:r>
      <w:r w:rsidR="00A23F06">
        <w:rPr>
          <w:rFonts w:ascii="Arial" w:hAnsi="Arial"/>
          <w:snapToGrid w:val="0"/>
          <w:sz w:val="22"/>
          <w:lang w:eastAsia="en-US"/>
        </w:rPr>
        <w:t>,</w:t>
      </w:r>
      <w:r w:rsidRPr="00C9253C">
        <w:rPr>
          <w:rFonts w:ascii="Arial" w:hAnsi="Arial"/>
          <w:snapToGrid w:val="0"/>
          <w:sz w:val="22"/>
          <w:lang w:eastAsia="en-US"/>
        </w:rPr>
        <w:t xml:space="preserve"> ainsi qu’à la communauté internationale au sens large</w:t>
      </w:r>
      <w:r w:rsidR="00B97824">
        <w:rPr>
          <w:rFonts w:ascii="Arial" w:hAnsi="Arial"/>
          <w:snapToGrid w:val="0"/>
          <w:sz w:val="22"/>
          <w:lang w:eastAsia="en-US"/>
        </w:rPr>
        <w:t>,</w:t>
      </w:r>
      <w:r w:rsidRPr="00C9253C">
        <w:rPr>
          <w:rFonts w:ascii="Arial" w:hAnsi="Arial"/>
          <w:snapToGrid w:val="0"/>
          <w:sz w:val="22"/>
          <w:lang w:eastAsia="en-US"/>
        </w:rPr>
        <w:t xml:space="preserve"> de façon aussi rapide et précise que possible. Le Bureau a approuvé les activités liées à l’amélioration de l’accessibilité, de la convivialité et des fonctions du système de gestion des connaissances de la Convention</w:t>
      </w:r>
      <w:r w:rsidR="00B97824">
        <w:rPr>
          <w:rFonts w:ascii="Arial" w:hAnsi="Arial"/>
          <w:snapToGrid w:val="0"/>
          <w:sz w:val="22"/>
          <w:lang w:eastAsia="en-US"/>
        </w:rPr>
        <w:t>, pour un montant total de</w:t>
      </w:r>
      <w:r w:rsidRPr="00C9253C">
        <w:rPr>
          <w:rFonts w:ascii="Arial" w:hAnsi="Arial"/>
          <w:snapToGrid w:val="0"/>
          <w:sz w:val="22"/>
          <w:lang w:eastAsia="en-US"/>
        </w:rPr>
        <w:t xml:space="preserve"> 304 000 dollars </w:t>
      </w:r>
      <w:r w:rsidR="00B97824">
        <w:rPr>
          <w:rFonts w:ascii="Arial" w:hAnsi="Arial"/>
          <w:snapToGrid w:val="0"/>
          <w:sz w:val="22"/>
          <w:lang w:eastAsia="en-US"/>
        </w:rPr>
        <w:t xml:space="preserve">des </w:t>
      </w:r>
      <w:r w:rsidR="00B97824">
        <w:rPr>
          <w:rFonts w:ascii="Arial" w:hAnsi="Arial" w:cs="Arial"/>
          <w:snapToGrid w:val="0"/>
          <w:sz w:val="22"/>
          <w:lang w:eastAsia="en-US"/>
        </w:rPr>
        <w:t>É</w:t>
      </w:r>
      <w:r w:rsidR="00B97824">
        <w:rPr>
          <w:rFonts w:ascii="Arial" w:hAnsi="Arial"/>
          <w:snapToGrid w:val="0"/>
          <w:sz w:val="22"/>
          <w:lang w:eastAsia="en-US"/>
        </w:rPr>
        <w:t>tats-Unis</w:t>
      </w:r>
      <w:r w:rsidRPr="00C9253C">
        <w:rPr>
          <w:rFonts w:ascii="Arial" w:hAnsi="Arial"/>
          <w:snapToGrid w:val="0"/>
          <w:sz w:val="22"/>
          <w:lang w:eastAsia="en-US"/>
        </w:rPr>
        <w:t xml:space="preserve"> pour la période de janvier 2014 à décembre 2015 et à 80 000 dollars </w:t>
      </w:r>
      <w:r w:rsidR="00B97824">
        <w:rPr>
          <w:rFonts w:ascii="Arial" w:hAnsi="Arial"/>
          <w:snapToGrid w:val="0"/>
          <w:sz w:val="22"/>
          <w:lang w:eastAsia="en-US"/>
        </w:rPr>
        <w:t xml:space="preserve">des </w:t>
      </w:r>
      <w:r w:rsidR="00B97824">
        <w:rPr>
          <w:rFonts w:ascii="Arial" w:hAnsi="Arial" w:cs="Arial"/>
          <w:snapToGrid w:val="0"/>
          <w:sz w:val="22"/>
          <w:lang w:eastAsia="en-US"/>
        </w:rPr>
        <w:t>É</w:t>
      </w:r>
      <w:r w:rsidR="00B97824">
        <w:rPr>
          <w:rFonts w:ascii="Arial" w:hAnsi="Arial"/>
          <w:snapToGrid w:val="0"/>
          <w:sz w:val="22"/>
          <w:lang w:eastAsia="en-US"/>
        </w:rPr>
        <w:t>tats-Unis</w:t>
      </w:r>
      <w:r w:rsidRPr="00C9253C">
        <w:rPr>
          <w:rFonts w:ascii="Arial" w:hAnsi="Arial"/>
          <w:snapToGrid w:val="0"/>
          <w:sz w:val="22"/>
          <w:lang w:eastAsia="en-US"/>
        </w:rPr>
        <w:t xml:space="preserve"> pour la période de janvier </w:t>
      </w:r>
      <w:r w:rsidR="00B97824" w:rsidRPr="00C9253C">
        <w:rPr>
          <w:rFonts w:ascii="Arial" w:hAnsi="Arial"/>
          <w:snapToGrid w:val="0"/>
          <w:sz w:val="22"/>
          <w:lang w:eastAsia="en-US"/>
        </w:rPr>
        <w:t>201</w:t>
      </w:r>
      <w:r w:rsidR="00B97824">
        <w:rPr>
          <w:rFonts w:ascii="Arial" w:hAnsi="Arial"/>
          <w:snapToGrid w:val="0"/>
          <w:sz w:val="22"/>
          <w:lang w:eastAsia="en-US"/>
        </w:rPr>
        <w:t>6</w:t>
      </w:r>
      <w:r w:rsidR="00B97824" w:rsidRPr="00C9253C">
        <w:rPr>
          <w:rFonts w:ascii="Arial" w:hAnsi="Arial"/>
          <w:snapToGrid w:val="0"/>
          <w:sz w:val="22"/>
          <w:lang w:eastAsia="en-US"/>
        </w:rPr>
        <w:t xml:space="preserve"> </w:t>
      </w:r>
      <w:r w:rsidRPr="00C9253C">
        <w:rPr>
          <w:rFonts w:ascii="Arial" w:hAnsi="Arial"/>
          <w:snapToGrid w:val="0"/>
          <w:sz w:val="22"/>
          <w:lang w:eastAsia="en-US"/>
        </w:rPr>
        <w:t>à juin 2016. Là encore, le rapport du Secrétariat mentionné ci-dessus fournit des détails sur les améliorations apportées et celles envisagées pour les services de gestion des connaissances.</w:t>
      </w:r>
    </w:p>
    <w:p w:rsidR="00B47629" w:rsidRDefault="00B47629" w:rsidP="00EE2DFE">
      <w:pPr>
        <w:keepNext/>
        <w:numPr>
          <w:ilvl w:val="0"/>
          <w:numId w:val="16"/>
        </w:numPr>
        <w:spacing w:before="360" w:after="240"/>
        <w:ind w:left="567" w:hanging="567"/>
        <w:rPr>
          <w:rFonts w:cs="Arial"/>
          <w:szCs w:val="22"/>
        </w:rPr>
      </w:pPr>
      <w:r>
        <w:rPr>
          <w:rFonts w:ascii="Arial" w:hAnsi="Arial"/>
          <w:b/>
          <w:sz w:val="22"/>
        </w:rPr>
        <w:lastRenderedPageBreak/>
        <w:t xml:space="preserve">Donner des conseils sur les meilleures pratiques et formuler des recommandations sur les mesures de sauvegarde </w:t>
      </w:r>
      <w:r>
        <w:rPr>
          <w:rFonts w:ascii="Arial" w:hAnsi="Arial"/>
          <w:sz w:val="22"/>
        </w:rPr>
        <w:t>(Article 7[b])</w:t>
      </w:r>
    </w:p>
    <w:p w:rsidR="00B47629" w:rsidRDefault="00B47629" w:rsidP="007B300D">
      <w:pPr>
        <w:pStyle w:val="Marge"/>
        <w:numPr>
          <w:ilvl w:val="0"/>
          <w:numId w:val="15"/>
        </w:numPr>
        <w:spacing w:after="120"/>
        <w:ind w:left="567" w:hanging="567"/>
        <w:rPr>
          <w:rStyle w:val="hps"/>
        </w:rPr>
      </w:pPr>
      <w:r>
        <w:rPr>
          <w:rStyle w:val="hps"/>
        </w:rPr>
        <w:t xml:space="preserve">Le Comité a demandé à </w:t>
      </w:r>
      <w:r w:rsidR="00137CFA">
        <w:rPr>
          <w:rStyle w:val="hps"/>
        </w:rPr>
        <w:t>toutes les parties prenantes</w:t>
      </w:r>
      <w:r>
        <w:rPr>
          <w:rStyle w:val="hps"/>
        </w:rPr>
        <w:t xml:space="preserve"> de développer </w:t>
      </w:r>
      <w:r w:rsidR="008A26CD" w:rsidRPr="00B95467">
        <w:t>d’autres moyens plus légers pour partager les expériences de sauvegarde</w:t>
      </w:r>
      <w:r>
        <w:rPr>
          <w:rStyle w:val="hps"/>
        </w:rPr>
        <w:t xml:space="preserve"> </w:t>
      </w:r>
      <w:r w:rsidR="00137CFA">
        <w:rPr>
          <w:rStyle w:val="hps"/>
        </w:rPr>
        <w:t xml:space="preserve">plutôt </w:t>
      </w:r>
      <w:r w:rsidR="008A26CD">
        <w:rPr>
          <w:rStyle w:val="hps"/>
        </w:rPr>
        <w:t>qu</w:t>
      </w:r>
      <w:r w:rsidR="009A1262">
        <w:rPr>
          <w:rStyle w:val="hps"/>
        </w:rPr>
        <w:t>e d’</w:t>
      </w:r>
      <w:r w:rsidR="008A26CD">
        <w:rPr>
          <w:rStyle w:val="hps"/>
        </w:rPr>
        <w:t xml:space="preserve">utiliser exclusivement le Registre des meilleures pratiques de sauvegarde </w:t>
      </w:r>
      <w:r>
        <w:t>(</w:t>
      </w:r>
      <w:r w:rsidRPr="00E614FD">
        <w:t>Décision 8.COM 5.c.1</w:t>
      </w:r>
      <w:r>
        <w:t xml:space="preserve">). </w:t>
      </w:r>
      <w:r w:rsidR="008A26CD">
        <w:t>Dans ce contexte, l</w:t>
      </w:r>
      <w:r>
        <w:t xml:space="preserve">e Bureau a alloué </w:t>
      </w:r>
      <w:r w:rsidR="00C342AE">
        <w:t xml:space="preserve">un montant total de </w:t>
      </w:r>
      <w:r>
        <w:t xml:space="preserve">133 000 dollars </w:t>
      </w:r>
      <w:r w:rsidR="008A26CD">
        <w:t xml:space="preserve">des </w:t>
      </w:r>
      <w:r w:rsidR="008A26CD">
        <w:rPr>
          <w:rFonts w:cs="Arial"/>
        </w:rPr>
        <w:t>É</w:t>
      </w:r>
      <w:r w:rsidR="008A26CD">
        <w:t>tats-Unis</w:t>
      </w:r>
      <w:r>
        <w:t xml:space="preserve"> pour la période de janvier 2014 à décembre 2015 et </w:t>
      </w:r>
      <w:r w:rsidR="00C342AE">
        <w:t xml:space="preserve">de </w:t>
      </w:r>
      <w:r>
        <w:t xml:space="preserve">43 000 dollars </w:t>
      </w:r>
      <w:r w:rsidR="008A26CD">
        <w:t xml:space="preserve">des </w:t>
      </w:r>
      <w:r w:rsidR="008A26CD">
        <w:rPr>
          <w:rFonts w:cs="Arial"/>
        </w:rPr>
        <w:t>É</w:t>
      </w:r>
      <w:r w:rsidR="008A26CD">
        <w:t>tats-Unis</w:t>
      </w:r>
      <w:r>
        <w:t xml:space="preserve"> pour la période de janvier</w:t>
      </w:r>
      <w:r w:rsidR="008D2D19">
        <w:t> </w:t>
      </w:r>
      <w:r>
        <w:t xml:space="preserve">2016 à juin 2016 pour </w:t>
      </w:r>
      <w:r w:rsidR="00AC0F46">
        <w:t xml:space="preserve">aider </w:t>
      </w:r>
      <w:r>
        <w:t xml:space="preserve">le Secrétariat </w:t>
      </w:r>
      <w:r w:rsidR="00AC0F46">
        <w:t xml:space="preserve">à </w:t>
      </w:r>
      <w:r>
        <w:t xml:space="preserve">identifier et partager les exemples intéressants et innovants, plus </w:t>
      </w:r>
      <w:r w:rsidR="00C342AE">
        <w:t xml:space="preserve">particulièrement </w:t>
      </w:r>
      <w:r>
        <w:t xml:space="preserve">en matière de codes d’éthique et d’autres thèmes. </w:t>
      </w:r>
      <w:r>
        <w:rPr>
          <w:rStyle w:val="hps"/>
        </w:rPr>
        <w:t xml:space="preserve">Il a également demandé à ce que la coopération avec WIPO en matière de connaissances traditionnelles et d’expressions culturelles soit renforcée. </w:t>
      </w:r>
      <w:r>
        <w:t xml:space="preserve">Le rapport du Secrétariat </w:t>
      </w:r>
      <w:r w:rsidR="00C342AE">
        <w:t xml:space="preserve">ci-dessus </w:t>
      </w:r>
      <w:r>
        <w:t>mentionné</w:t>
      </w:r>
      <w:r w:rsidR="00534782">
        <w:t xml:space="preserve"> et ses annexes sur le</w:t>
      </w:r>
      <w:r>
        <w:t xml:space="preserve"> suivi des audits et </w:t>
      </w:r>
      <w:r w:rsidR="00534782">
        <w:t xml:space="preserve">des </w:t>
      </w:r>
      <w:r>
        <w:t>évaluations fournissent des détails sur les améliorations réalisées.</w:t>
      </w:r>
    </w:p>
    <w:p w:rsidR="00B47629" w:rsidRDefault="00B47629" w:rsidP="00B47629">
      <w:pPr>
        <w:pStyle w:val="Marge"/>
        <w:numPr>
          <w:ilvl w:val="0"/>
          <w:numId w:val="15"/>
        </w:numPr>
        <w:spacing w:after="120"/>
        <w:ind w:left="567" w:hanging="567"/>
        <w:rPr>
          <w:rStyle w:val="hps"/>
        </w:rPr>
      </w:pPr>
      <w:r>
        <w:rPr>
          <w:rStyle w:val="hps"/>
        </w:rPr>
        <w:t xml:space="preserve">Le </w:t>
      </w:r>
      <w:r>
        <w:t xml:space="preserve">Bureau a également alloué </w:t>
      </w:r>
      <w:r>
        <w:rPr>
          <w:rStyle w:val="hps"/>
        </w:rPr>
        <w:t xml:space="preserve">129 000 </w:t>
      </w:r>
      <w:r>
        <w:t xml:space="preserve">dollars </w:t>
      </w:r>
      <w:r w:rsidR="0022667D">
        <w:t xml:space="preserve">des </w:t>
      </w:r>
      <w:r w:rsidR="0022667D">
        <w:rPr>
          <w:rFonts w:cs="Arial"/>
        </w:rPr>
        <w:t>É</w:t>
      </w:r>
      <w:r w:rsidR="0022667D">
        <w:t>tats-Unis</w:t>
      </w:r>
      <w:r w:rsidR="00EC7197">
        <w:t xml:space="preserve"> pour la période de janvier </w:t>
      </w:r>
      <w:r>
        <w:t xml:space="preserve">2014 à décembre 2015 et </w:t>
      </w:r>
      <w:r>
        <w:rPr>
          <w:rStyle w:val="hps"/>
        </w:rPr>
        <w:t xml:space="preserve">18 000 </w:t>
      </w:r>
      <w:r>
        <w:t xml:space="preserve">dollars </w:t>
      </w:r>
      <w:r w:rsidR="0022667D">
        <w:t xml:space="preserve">des </w:t>
      </w:r>
      <w:r w:rsidR="0022667D">
        <w:rPr>
          <w:rFonts w:cs="Arial"/>
        </w:rPr>
        <w:t>É</w:t>
      </w:r>
      <w:r w:rsidR="0022667D">
        <w:t>tats-Unis</w:t>
      </w:r>
      <w:r>
        <w:t xml:space="preserve"> pour la </w:t>
      </w:r>
      <w:r w:rsidR="00EC7197">
        <w:t>période de janvier 2016 à juin</w:t>
      </w:r>
      <w:r>
        <w:t xml:space="preserve"> 2016 pour la publication de supports de communication : </w:t>
      </w:r>
      <w:r>
        <w:rPr>
          <w:rStyle w:val="hps"/>
        </w:rPr>
        <w:t>la version 2014 des Textes fondamentaux en six langues</w:t>
      </w:r>
      <w:r w:rsidR="0033064F">
        <w:rPr>
          <w:rStyle w:val="hps"/>
        </w:rPr>
        <w:t>,</w:t>
      </w:r>
      <w:r>
        <w:rPr>
          <w:rStyle w:val="hps"/>
        </w:rPr>
        <w:t xml:space="preserve"> en version imprimée et électronique ; les brochures </w:t>
      </w:r>
      <w:r w:rsidR="0033064F">
        <w:rPr>
          <w:rStyle w:val="hps"/>
        </w:rPr>
        <w:t xml:space="preserve">électroniques </w:t>
      </w:r>
      <w:r>
        <w:rPr>
          <w:rStyle w:val="hps"/>
        </w:rPr>
        <w:t xml:space="preserve">des éléments inscrits à la Liste de sauvegarde urgente en 2012 et 2013 ainsi que les programmes sélectionnés pour le Registre des meilleures pratiques de sauvegarde ; un dépliant sur le patrimoine culturel immatériel et </w:t>
      </w:r>
      <w:r w:rsidR="0033064F">
        <w:rPr>
          <w:rStyle w:val="hps"/>
        </w:rPr>
        <w:t xml:space="preserve">le </w:t>
      </w:r>
      <w:r>
        <w:rPr>
          <w:rStyle w:val="hps"/>
        </w:rPr>
        <w:t>genre, et un dépliant sur le patrimoine culturel pour le développement durable en anglais, français et espagnol pour compléter le kit sur le patrimoine culturel immatériel</w:t>
      </w:r>
      <w:r w:rsidR="00ED1036">
        <w:rPr>
          <w:rStyle w:val="hps"/>
        </w:rPr>
        <w:t xml:space="preserve">, qui a été également </w:t>
      </w:r>
      <w:r>
        <w:rPr>
          <w:rStyle w:val="hps"/>
        </w:rPr>
        <w:t>réimprimé en anglais et en français pour l'occasion ; et le site web de la Convention disponible en plusieurs langues (anglais, français, espagnol).</w:t>
      </w:r>
    </w:p>
    <w:p w:rsidR="00B47629" w:rsidRDefault="002A7845" w:rsidP="00B47629">
      <w:pPr>
        <w:keepNext/>
        <w:numPr>
          <w:ilvl w:val="0"/>
          <w:numId w:val="16"/>
        </w:numPr>
        <w:spacing w:before="360" w:after="240"/>
        <w:ind w:left="567" w:hanging="567"/>
        <w:rPr>
          <w:rFonts w:ascii="Arial" w:hAnsi="Arial" w:cs="Arial"/>
          <w:sz w:val="22"/>
          <w:szCs w:val="22"/>
        </w:rPr>
      </w:pPr>
      <w:r>
        <w:rPr>
          <w:rFonts w:ascii="Arial" w:hAnsi="Arial"/>
          <w:b/>
          <w:sz w:val="22"/>
        </w:rPr>
        <w:t>Préparation</w:t>
      </w:r>
      <w:r w:rsidR="00CD1A57">
        <w:rPr>
          <w:rFonts w:ascii="Arial" w:hAnsi="Arial"/>
          <w:b/>
          <w:sz w:val="22"/>
        </w:rPr>
        <w:t xml:space="preserve"> d’</w:t>
      </w:r>
      <w:r w:rsidR="00B47629">
        <w:rPr>
          <w:rFonts w:ascii="Arial" w:hAnsi="Arial"/>
          <w:b/>
          <w:sz w:val="22"/>
        </w:rPr>
        <w:t>un projet de plan d’utilisation des ressources du Fonds du patrimoine culturel immatériel et augment</w:t>
      </w:r>
      <w:r>
        <w:rPr>
          <w:rFonts w:ascii="Arial" w:hAnsi="Arial"/>
          <w:b/>
          <w:sz w:val="22"/>
        </w:rPr>
        <w:t>ation</w:t>
      </w:r>
      <w:r w:rsidR="00B47629">
        <w:rPr>
          <w:rFonts w:ascii="Arial" w:hAnsi="Arial"/>
          <w:b/>
          <w:sz w:val="22"/>
        </w:rPr>
        <w:t xml:space="preserve"> </w:t>
      </w:r>
      <w:r>
        <w:rPr>
          <w:rFonts w:ascii="Arial" w:hAnsi="Arial"/>
          <w:b/>
          <w:sz w:val="22"/>
        </w:rPr>
        <w:t xml:space="preserve">des </w:t>
      </w:r>
      <w:r w:rsidR="00B47629">
        <w:rPr>
          <w:rFonts w:ascii="Arial" w:hAnsi="Arial"/>
          <w:b/>
          <w:sz w:val="22"/>
        </w:rPr>
        <w:t>ressources du Fonds</w:t>
      </w:r>
      <w:r w:rsidR="000F1B01">
        <w:rPr>
          <w:rFonts w:ascii="Arial" w:hAnsi="Arial"/>
          <w:sz w:val="22"/>
        </w:rPr>
        <w:t xml:space="preserve"> (Articles 7[c] et 7[d]</w:t>
      </w:r>
      <w:r w:rsidR="00B47629">
        <w:rPr>
          <w:rFonts w:ascii="Arial" w:hAnsi="Arial"/>
          <w:sz w:val="22"/>
        </w:rPr>
        <w:t>)</w:t>
      </w:r>
    </w:p>
    <w:p w:rsidR="00B47629" w:rsidRDefault="00B47629" w:rsidP="00B47629">
      <w:pPr>
        <w:pStyle w:val="Marge"/>
        <w:numPr>
          <w:ilvl w:val="0"/>
          <w:numId w:val="15"/>
        </w:numPr>
        <w:spacing w:after="120"/>
        <w:ind w:left="567" w:hanging="567"/>
      </w:pPr>
      <w:r>
        <w:t xml:space="preserve">Le Comité </w:t>
      </w:r>
      <w:r w:rsidR="001D7E0D">
        <w:t>soumet</w:t>
      </w:r>
      <w:r w:rsidR="002A7845">
        <w:t xml:space="preserve"> </w:t>
      </w:r>
      <w:r>
        <w:t xml:space="preserve">à la sixième </w:t>
      </w:r>
      <w:r w:rsidR="002A7845">
        <w:t xml:space="preserve">session </w:t>
      </w:r>
      <w:r>
        <w:t>de l’Assemblée générale un plan pour l’utilisation des ressources du Fonds pour la période du 1</w:t>
      </w:r>
      <w:r w:rsidRPr="000F1B01">
        <w:rPr>
          <w:vertAlign w:val="superscript"/>
        </w:rPr>
        <w:t>er</w:t>
      </w:r>
      <w:r w:rsidR="000F1B01">
        <w:t xml:space="preserve"> janvier </w:t>
      </w:r>
      <w:r>
        <w:t>2016 au 31 décembre 2017. Ce plan présente une ressemblance substantielle à celui proposé et présenté pour la période 2014</w:t>
      </w:r>
      <w:r w:rsidR="00EC7197">
        <w:t>-2015</w:t>
      </w:r>
      <w:r>
        <w:t xml:space="preserve"> avec la majorité des ressources allouées à l’assistance internationale, comme précédemment.</w:t>
      </w:r>
    </w:p>
    <w:p w:rsidR="001A49B4" w:rsidRPr="003B7415" w:rsidRDefault="00B47629" w:rsidP="007B300D">
      <w:pPr>
        <w:pStyle w:val="Marge"/>
        <w:numPr>
          <w:ilvl w:val="0"/>
          <w:numId w:val="15"/>
        </w:numPr>
        <w:spacing w:after="120"/>
        <w:ind w:left="567" w:hanging="567"/>
      </w:pPr>
      <w:r>
        <w:t xml:space="preserve">Depuis la dernière Assemblée générale de juin 2014, le Fonds a reçu </w:t>
      </w:r>
      <w:r w:rsidR="00311ECF">
        <w:t xml:space="preserve">des </w:t>
      </w:r>
      <w:r>
        <w:t xml:space="preserve">contributions volontaires </w:t>
      </w:r>
      <w:r w:rsidR="00311ECF">
        <w:t xml:space="preserve">supplémentaires </w:t>
      </w:r>
      <w:r>
        <w:t>de l’Azerbaïdjan, des Pays-Bas et de la Norvège pour financer sept projets de renforcement de</w:t>
      </w:r>
      <w:r w:rsidR="00311ECF">
        <w:t>s</w:t>
      </w:r>
      <w:r>
        <w:t xml:space="preserve"> capacités. Le sous-fonds du Fonds du patrimoine culturel immatériel, </w:t>
      </w:r>
      <w:r w:rsidR="00311ECF">
        <w:t xml:space="preserve">dédié </w:t>
      </w:r>
      <w:r>
        <w:t xml:space="preserve">exclusivement </w:t>
      </w:r>
      <w:r w:rsidR="00311ECF">
        <w:t xml:space="preserve">au renforcement </w:t>
      </w:r>
      <w:r>
        <w:t xml:space="preserve">des </w:t>
      </w:r>
      <w:r w:rsidR="00311ECF">
        <w:t xml:space="preserve">ressources </w:t>
      </w:r>
      <w:r>
        <w:t xml:space="preserve">humaines du Secrétariat, a également reçu des contributions </w:t>
      </w:r>
      <w:r w:rsidR="00172FA7">
        <w:t>de</w:t>
      </w:r>
      <w:r>
        <w:t xml:space="preserve"> </w:t>
      </w:r>
      <w:r w:rsidR="00534782" w:rsidRPr="003B7415">
        <w:rPr>
          <w:rFonts w:eastAsia="Arial" w:cs="Arial"/>
          <w:szCs w:val="22"/>
        </w:rPr>
        <w:t>417 345 </w:t>
      </w:r>
      <w:r w:rsidRPr="003B7415">
        <w:t xml:space="preserve">dollars </w:t>
      </w:r>
      <w:r w:rsidR="00311ECF" w:rsidRPr="003B7415">
        <w:t xml:space="preserve">des </w:t>
      </w:r>
      <w:r w:rsidR="00311ECF" w:rsidRPr="003B7415">
        <w:rPr>
          <w:rFonts w:cs="Arial"/>
        </w:rPr>
        <w:t>É</w:t>
      </w:r>
      <w:r w:rsidR="00311ECF" w:rsidRPr="003B7415">
        <w:t>tats-Unis</w:t>
      </w:r>
      <w:r w:rsidRPr="003B7415">
        <w:t xml:space="preserve"> pendant la </w:t>
      </w:r>
      <w:proofErr w:type="gramStart"/>
      <w:r w:rsidRPr="003B7415">
        <w:t>période .</w:t>
      </w:r>
      <w:proofErr w:type="gramEnd"/>
    </w:p>
    <w:p w:rsidR="00172FA7" w:rsidRPr="003B7415" w:rsidRDefault="00B47629" w:rsidP="00B37E33">
      <w:pPr>
        <w:pStyle w:val="Marge"/>
        <w:numPr>
          <w:ilvl w:val="0"/>
          <w:numId w:val="15"/>
        </w:numPr>
        <w:spacing w:after="120"/>
        <w:ind w:left="567" w:hanging="567"/>
        <w:rPr>
          <w:snapToGrid/>
        </w:rPr>
      </w:pPr>
      <w:r w:rsidRPr="003B7415">
        <w:rPr>
          <w:snapToGrid/>
        </w:rPr>
        <w:t xml:space="preserve">Le document </w:t>
      </w:r>
      <w:r w:rsidR="00534782" w:rsidRPr="003B7415">
        <w:rPr>
          <w:rFonts w:eastAsia="Arial" w:cs="Arial"/>
          <w:szCs w:val="22"/>
        </w:rPr>
        <w:t xml:space="preserve">ITH/16/6.GA/INF.9.2 </w:t>
      </w:r>
      <w:r w:rsidR="00F67850" w:rsidRPr="003B7415">
        <w:rPr>
          <w:snapToGrid/>
        </w:rPr>
        <w:t>comprend</w:t>
      </w:r>
      <w:r w:rsidR="005046AB" w:rsidRPr="003B7415">
        <w:rPr>
          <w:snapToGrid/>
        </w:rPr>
        <w:t xml:space="preserve"> une liste de ces contributions pour la période du 1</w:t>
      </w:r>
      <w:r w:rsidR="005046AB" w:rsidRPr="003B7415">
        <w:rPr>
          <w:vertAlign w:val="superscript"/>
        </w:rPr>
        <w:t>er</w:t>
      </w:r>
      <w:r w:rsidR="005046AB" w:rsidRPr="003B7415">
        <w:rPr>
          <w:snapToGrid/>
        </w:rPr>
        <w:t xml:space="preserve"> </w:t>
      </w:r>
      <w:r w:rsidR="00534782" w:rsidRPr="003B7415">
        <w:rPr>
          <w:snapToGrid/>
        </w:rPr>
        <w:t>juin</w:t>
      </w:r>
      <w:r w:rsidR="005046AB" w:rsidRPr="003B7415">
        <w:rPr>
          <w:snapToGrid/>
        </w:rPr>
        <w:t xml:space="preserve"> 2014 </w:t>
      </w:r>
      <w:r w:rsidR="00534782" w:rsidRPr="003B7415">
        <w:rPr>
          <w:snapToGrid/>
        </w:rPr>
        <w:t xml:space="preserve">à </w:t>
      </w:r>
      <w:r w:rsidR="0023364E">
        <w:rPr>
          <w:snapToGrid/>
        </w:rPr>
        <w:t>mars</w:t>
      </w:r>
      <w:r w:rsidR="005046AB" w:rsidRPr="003B7415">
        <w:rPr>
          <w:snapToGrid/>
        </w:rPr>
        <w:t xml:space="preserve"> 201</w:t>
      </w:r>
      <w:r w:rsidR="00534782" w:rsidRPr="003B7415">
        <w:rPr>
          <w:snapToGrid/>
        </w:rPr>
        <w:t>6</w:t>
      </w:r>
      <w:r w:rsidR="00534782" w:rsidRPr="003B7415">
        <w:t>.</w:t>
      </w:r>
      <w:r w:rsidR="005046AB" w:rsidRPr="003B7415">
        <w:rPr>
          <w:snapToGrid/>
        </w:rPr>
        <w:t xml:space="preserve"> </w:t>
      </w:r>
      <w:r w:rsidR="00C342AE" w:rsidRPr="003B7415">
        <w:rPr>
          <w:snapToGrid/>
        </w:rPr>
        <w:t>L</w:t>
      </w:r>
      <w:r w:rsidR="00F67850" w:rsidRPr="003B7415">
        <w:rPr>
          <w:snapToGrid/>
        </w:rPr>
        <w:t xml:space="preserve">e document </w:t>
      </w:r>
      <w:r w:rsidR="00534782" w:rsidRPr="003B7415">
        <w:rPr>
          <w:snapToGrid/>
        </w:rPr>
        <w:t>ITH/16/6.GA/INF.9.1</w:t>
      </w:r>
      <w:r w:rsidR="00534782" w:rsidRPr="003B7415">
        <w:rPr>
          <w:rFonts w:eastAsia="Arial" w:cs="Arial"/>
          <w:szCs w:val="22"/>
        </w:rPr>
        <w:t xml:space="preserve"> </w:t>
      </w:r>
      <w:r w:rsidR="00F67850" w:rsidRPr="003B7415">
        <w:rPr>
          <w:snapToGrid/>
        </w:rPr>
        <w:t xml:space="preserve">comprend </w:t>
      </w:r>
      <w:r w:rsidR="00203D5A" w:rsidRPr="003B7415">
        <w:rPr>
          <w:snapToGrid/>
        </w:rPr>
        <w:t>le rapport financier du Fonds du patrimoine culturel immatériel pour la période du 1</w:t>
      </w:r>
      <w:r w:rsidR="00203D5A" w:rsidRPr="003B7415">
        <w:rPr>
          <w:vertAlign w:val="superscript"/>
        </w:rPr>
        <w:t>er</w:t>
      </w:r>
      <w:r w:rsidR="00203D5A" w:rsidRPr="003B7415">
        <w:rPr>
          <w:snapToGrid/>
        </w:rPr>
        <w:t xml:space="preserve"> janvier 2014 au 31</w:t>
      </w:r>
      <w:r w:rsidR="001D7E0D" w:rsidRPr="003B7415">
        <w:rPr>
          <w:snapToGrid/>
        </w:rPr>
        <w:t> </w:t>
      </w:r>
      <w:r w:rsidR="00203D5A" w:rsidRPr="003B7415">
        <w:rPr>
          <w:snapToGrid/>
        </w:rPr>
        <w:t>décembre 2015 établi par le Bureau</w:t>
      </w:r>
      <w:r w:rsidR="004B3D6E" w:rsidRPr="003B7415">
        <w:rPr>
          <w:snapToGrid/>
        </w:rPr>
        <w:t xml:space="preserve"> de la gestion financière</w:t>
      </w:r>
      <w:r w:rsidR="00203D5A" w:rsidRPr="003B7415">
        <w:rPr>
          <w:snapToGrid/>
        </w:rPr>
        <w:t xml:space="preserve">, et précédé </w:t>
      </w:r>
      <w:r w:rsidR="004B3D6E" w:rsidRPr="003B7415">
        <w:rPr>
          <w:snapToGrid/>
        </w:rPr>
        <w:t>d’une</w:t>
      </w:r>
      <w:r w:rsidR="00203D5A" w:rsidRPr="003B7415">
        <w:rPr>
          <w:snapToGrid/>
        </w:rPr>
        <w:t xml:space="preserve"> brève note explicative. </w:t>
      </w:r>
    </w:p>
    <w:p w:rsidR="00172FA7" w:rsidRDefault="00172FA7">
      <w:pPr>
        <w:rPr>
          <w:rFonts w:ascii="Arial" w:hAnsi="Arial"/>
          <w:sz w:val="22"/>
          <w:highlight w:val="yellow"/>
          <w:lang w:eastAsia="en-US"/>
        </w:rPr>
      </w:pPr>
      <w:r>
        <w:rPr>
          <w:highlight w:val="yellow"/>
        </w:rPr>
        <w:br w:type="page"/>
      </w:r>
    </w:p>
    <w:p w:rsidR="00B47629" w:rsidRPr="00253CE3" w:rsidRDefault="00990D30" w:rsidP="00B37E33">
      <w:pPr>
        <w:pStyle w:val="Marge"/>
        <w:numPr>
          <w:ilvl w:val="0"/>
          <w:numId w:val="16"/>
        </w:numPr>
        <w:spacing w:before="360" w:after="120"/>
        <w:ind w:left="714" w:hanging="357"/>
        <w:rPr>
          <w:rFonts w:cs="Arial"/>
          <w:b/>
          <w:szCs w:val="22"/>
        </w:rPr>
      </w:pPr>
      <w:r w:rsidRPr="00203D5A">
        <w:rPr>
          <w:b/>
        </w:rPr>
        <w:lastRenderedPageBreak/>
        <w:t>Préparation</w:t>
      </w:r>
      <w:r w:rsidRPr="00E63D44">
        <w:rPr>
          <w:b/>
        </w:rPr>
        <w:t xml:space="preserve"> </w:t>
      </w:r>
      <w:r w:rsidR="00B47629" w:rsidRPr="00E63D44">
        <w:rPr>
          <w:b/>
        </w:rPr>
        <w:t xml:space="preserve">des </w:t>
      </w:r>
      <w:r w:rsidR="00A23F06" w:rsidRPr="00E63D44">
        <w:rPr>
          <w:b/>
        </w:rPr>
        <w:t>D</w:t>
      </w:r>
      <w:r w:rsidR="00B47629" w:rsidRPr="00E63D44">
        <w:rPr>
          <w:b/>
        </w:rPr>
        <w:t>irectives opérationnelles pour la mise en œuvre de la Convention</w:t>
      </w:r>
      <w:r w:rsidR="00B47629" w:rsidRPr="00E63D44">
        <w:t xml:space="preserve"> (Article 7[e])</w:t>
      </w:r>
    </w:p>
    <w:p w:rsidR="00B47629" w:rsidRPr="00EE2DFE" w:rsidRDefault="00B47629" w:rsidP="00B47629">
      <w:pPr>
        <w:pStyle w:val="Marge"/>
        <w:numPr>
          <w:ilvl w:val="0"/>
          <w:numId w:val="15"/>
        </w:numPr>
        <w:spacing w:after="120"/>
        <w:ind w:left="567" w:hanging="567"/>
        <w:rPr>
          <w:rFonts w:eastAsia="Arial" w:cs="Arial"/>
          <w:i/>
          <w:szCs w:val="22"/>
        </w:rPr>
      </w:pPr>
      <w:r w:rsidRPr="00A60448">
        <w:t xml:space="preserve">Pendant la période du rapport, le Comité a recommandé à l’Assemblée générale d’approuver de nouvelles </w:t>
      </w:r>
      <w:r w:rsidR="00990D30" w:rsidRPr="00A60448">
        <w:t>D</w:t>
      </w:r>
      <w:r w:rsidRPr="00A60448">
        <w:t xml:space="preserve">irectives ou des amendements aux </w:t>
      </w:r>
      <w:r w:rsidR="00990D30" w:rsidRPr="00A60448">
        <w:t>D</w:t>
      </w:r>
      <w:r w:rsidRPr="00A60448">
        <w:t>irectives opérationnelles pour la mise en œuvre de la Convention par rapport aux questions suivantes :</w:t>
      </w:r>
    </w:p>
    <w:p w:rsidR="00B47629" w:rsidRPr="00A60448" w:rsidRDefault="00990D30" w:rsidP="00EE2DFE">
      <w:pPr>
        <w:pStyle w:val="Marge"/>
        <w:numPr>
          <w:ilvl w:val="0"/>
          <w:numId w:val="18"/>
        </w:numPr>
        <w:tabs>
          <w:tab w:val="clear" w:pos="567"/>
          <w:tab w:val="left" w:pos="851"/>
        </w:tabs>
        <w:spacing w:after="60"/>
        <w:ind w:left="567" w:firstLine="0"/>
        <w:rPr>
          <w:rFonts w:eastAsia="Arial" w:cs="Arial"/>
          <w:szCs w:val="22"/>
        </w:rPr>
      </w:pPr>
      <w:r w:rsidRPr="00A60448">
        <w:t>r</w:t>
      </w:r>
      <w:r w:rsidR="00B47629" w:rsidRPr="00A60448">
        <w:t>apports périodiques,</w:t>
      </w:r>
    </w:p>
    <w:p w:rsidR="00B47629" w:rsidRPr="00A60448" w:rsidRDefault="00B47629" w:rsidP="00EE2DFE">
      <w:pPr>
        <w:pStyle w:val="Marge"/>
        <w:numPr>
          <w:ilvl w:val="0"/>
          <w:numId w:val="18"/>
        </w:numPr>
        <w:spacing w:after="60"/>
        <w:ind w:left="851" w:hanging="284"/>
        <w:rPr>
          <w:rFonts w:eastAsia="Arial" w:cs="Arial"/>
          <w:szCs w:val="22"/>
        </w:rPr>
      </w:pPr>
      <w:r w:rsidRPr="00A60448">
        <w:t>sauvegarde du patrimoine culturel immatériel et du développement durable,</w:t>
      </w:r>
    </w:p>
    <w:p w:rsidR="00B47629" w:rsidRPr="00A60448" w:rsidRDefault="00B47629" w:rsidP="00EE2DFE">
      <w:pPr>
        <w:pStyle w:val="Marge"/>
        <w:numPr>
          <w:ilvl w:val="0"/>
          <w:numId w:val="18"/>
        </w:numPr>
        <w:spacing w:after="60"/>
        <w:ind w:left="851" w:hanging="284"/>
        <w:rPr>
          <w:rFonts w:eastAsia="Arial" w:cs="Arial"/>
          <w:szCs w:val="22"/>
        </w:rPr>
      </w:pPr>
      <w:r w:rsidRPr="00A60448">
        <w:t>option de renvoi,</w:t>
      </w:r>
    </w:p>
    <w:p w:rsidR="00EA7976" w:rsidRPr="00B37E33" w:rsidRDefault="00B47629" w:rsidP="00EE2DFE">
      <w:pPr>
        <w:pStyle w:val="Marge"/>
        <w:numPr>
          <w:ilvl w:val="0"/>
          <w:numId w:val="18"/>
        </w:numPr>
        <w:spacing w:after="60"/>
        <w:ind w:left="851" w:hanging="284"/>
        <w:rPr>
          <w:rFonts w:eastAsia="Arial" w:cs="Arial"/>
          <w:szCs w:val="22"/>
        </w:rPr>
      </w:pPr>
      <w:r w:rsidRPr="00A60448">
        <w:t xml:space="preserve">calendrier d’évaluation des </w:t>
      </w:r>
      <w:r w:rsidR="002642F8" w:rsidRPr="00A60448">
        <w:t>organisations non gouvernementales</w:t>
      </w:r>
      <w:r w:rsidR="00EA7976">
        <w:t>,</w:t>
      </w:r>
    </w:p>
    <w:p w:rsidR="00B47629" w:rsidRPr="003B7415" w:rsidRDefault="00EA7976" w:rsidP="00EE2DFE">
      <w:pPr>
        <w:pStyle w:val="Marge"/>
        <w:numPr>
          <w:ilvl w:val="0"/>
          <w:numId w:val="18"/>
        </w:numPr>
        <w:spacing w:after="60"/>
        <w:ind w:left="851" w:hanging="284"/>
        <w:rPr>
          <w:rFonts w:eastAsia="Arial" w:cs="Arial"/>
          <w:szCs w:val="22"/>
        </w:rPr>
      </w:pPr>
      <w:r w:rsidRPr="003B7415">
        <w:t>examen des demandes d’assistance internationale</w:t>
      </w:r>
      <w:r w:rsidR="008D2D19" w:rsidRPr="003B7415">
        <w:t>.</w:t>
      </w:r>
    </w:p>
    <w:p w:rsidR="00B47629" w:rsidRDefault="002642F8" w:rsidP="00B47629">
      <w:pPr>
        <w:keepNext/>
        <w:numPr>
          <w:ilvl w:val="0"/>
          <w:numId w:val="16"/>
        </w:numPr>
        <w:spacing w:before="360" w:after="240"/>
        <w:ind w:left="567" w:hanging="567"/>
        <w:rPr>
          <w:rFonts w:ascii="Arial" w:hAnsi="Arial" w:cs="Arial"/>
          <w:b/>
          <w:sz w:val="22"/>
          <w:szCs w:val="22"/>
        </w:rPr>
      </w:pPr>
      <w:r>
        <w:rPr>
          <w:rFonts w:ascii="Arial" w:hAnsi="Arial"/>
          <w:b/>
          <w:sz w:val="22"/>
        </w:rPr>
        <w:t xml:space="preserve">Examen des </w:t>
      </w:r>
      <w:r w:rsidR="00B47629">
        <w:rPr>
          <w:rFonts w:ascii="Arial" w:hAnsi="Arial"/>
          <w:b/>
          <w:sz w:val="22"/>
        </w:rPr>
        <w:t>rapports périodiques</w:t>
      </w:r>
      <w:r w:rsidR="00B47629">
        <w:rPr>
          <w:rFonts w:ascii="Arial" w:hAnsi="Arial"/>
          <w:sz w:val="22"/>
        </w:rPr>
        <w:t xml:space="preserve"> (Article 7[f])</w:t>
      </w:r>
    </w:p>
    <w:p w:rsidR="00EA7976" w:rsidRPr="003B7415" w:rsidRDefault="00B47629" w:rsidP="00B37E33">
      <w:pPr>
        <w:pStyle w:val="Marge"/>
        <w:numPr>
          <w:ilvl w:val="0"/>
          <w:numId w:val="15"/>
        </w:numPr>
        <w:tabs>
          <w:tab w:val="clear" w:pos="786"/>
        </w:tabs>
        <w:spacing w:before="360"/>
        <w:ind w:left="567" w:hanging="567"/>
        <w:rPr>
          <w:rFonts w:eastAsia="Arial"/>
        </w:rPr>
      </w:pPr>
      <w:r w:rsidRPr="003B7415">
        <w:t xml:space="preserve">La </w:t>
      </w:r>
      <w:hyperlink r:id="rId11" w:history="1">
        <w:r w:rsidRPr="003B7415">
          <w:rPr>
            <w:rStyle w:val="Hyperlink"/>
          </w:rPr>
          <w:t>Convention</w:t>
        </w:r>
      </w:hyperlink>
      <w:r w:rsidRPr="003B7415">
        <w:t xml:space="preserve"> </w:t>
      </w:r>
      <w:r w:rsidR="002642F8" w:rsidRPr="003B7415">
        <w:t xml:space="preserve">stipule </w:t>
      </w:r>
      <w:r w:rsidRPr="003B7415">
        <w:t xml:space="preserve">dans l’article 29 que les États parties doivent soumettre au Comité des rapports sur les mesures législatives, réglementaires et autres mesures prises pour la mise en œuvre de la Convention. L’article 30 précise que « sur la base de ses activités et des rapports des États parties […] le Comité soumet un rapport à </w:t>
      </w:r>
      <w:r w:rsidR="002642F8" w:rsidRPr="003B7415">
        <w:t xml:space="preserve">chaque session de </w:t>
      </w:r>
      <w:r w:rsidRPr="003B7415">
        <w:t xml:space="preserve">l’Assemblée générale ». </w:t>
      </w:r>
      <w:r w:rsidR="00622A88" w:rsidRPr="003B7415">
        <w:t>Pendant la période du rapport, l</w:t>
      </w:r>
      <w:r w:rsidRPr="003B7415">
        <w:t xml:space="preserve">e Comité a examiné 51 rapports </w:t>
      </w:r>
      <w:r w:rsidR="00EA7976" w:rsidRPr="003B7415">
        <w:t xml:space="preserve">des </w:t>
      </w:r>
      <w:r w:rsidR="00EA7976" w:rsidRPr="003B7415">
        <w:rPr>
          <w:rFonts w:cs="Arial"/>
        </w:rPr>
        <w:t>É</w:t>
      </w:r>
      <w:r w:rsidR="00EA7976" w:rsidRPr="003B7415">
        <w:t>tats parties sur la mise en œuvre de la Convention au niveau national (</w:t>
      </w:r>
      <w:hyperlink r:id="rId12" w:history="1">
        <w:r w:rsidR="00EA7976" w:rsidRPr="003B7415">
          <w:rPr>
            <w:rStyle w:val="Hyperlink"/>
          </w:rPr>
          <w:t>27</w:t>
        </w:r>
      </w:hyperlink>
      <w:r w:rsidR="00EA7976" w:rsidRPr="003B7415">
        <w:t xml:space="preserve"> en 2014 et </w:t>
      </w:r>
      <w:hyperlink r:id="rId13" w:history="1">
        <w:r w:rsidR="00EA7976" w:rsidRPr="003B7415">
          <w:rPr>
            <w:rStyle w:val="Hyperlink"/>
          </w:rPr>
          <w:t>24</w:t>
        </w:r>
      </w:hyperlink>
      <w:r w:rsidR="00EA7976" w:rsidRPr="003B7415">
        <w:t xml:space="preserve"> en 2015) </w:t>
      </w:r>
      <w:r w:rsidRPr="003B7415">
        <w:t>et 11 rapports relatifs au patrimoine culturel immatériel inscrits sur la Liste du patrimoine culturel immatériel nécessitant une sauvegarde urgente</w:t>
      </w:r>
      <w:r w:rsidR="002642F8" w:rsidRPr="003B7415">
        <w:t xml:space="preserve"> </w:t>
      </w:r>
      <w:r w:rsidR="00EA7976" w:rsidRPr="003B7415">
        <w:t>(</w:t>
      </w:r>
      <w:hyperlink r:id="rId14" w:history="1">
        <w:r w:rsidR="00EA7976" w:rsidRPr="003B7415">
          <w:rPr>
            <w:rStyle w:val="Hyperlink"/>
          </w:rPr>
          <w:t>8</w:t>
        </w:r>
      </w:hyperlink>
      <w:r w:rsidR="00EA7976" w:rsidRPr="003B7415">
        <w:t xml:space="preserve"> en 2014 et </w:t>
      </w:r>
      <w:hyperlink r:id="rId15" w:history="1">
        <w:r w:rsidR="00EA7976" w:rsidRPr="003B7415">
          <w:rPr>
            <w:rStyle w:val="Hyperlink"/>
          </w:rPr>
          <w:t>3</w:t>
        </w:r>
      </w:hyperlink>
      <w:r w:rsidR="00EA7976" w:rsidRPr="003B7415">
        <w:t xml:space="preserve"> en 2015). </w:t>
      </w:r>
    </w:p>
    <w:p w:rsidR="00EA7976" w:rsidRPr="005A43D0" w:rsidRDefault="00EA7976" w:rsidP="00B37E33">
      <w:pPr>
        <w:pStyle w:val="Marge"/>
        <w:numPr>
          <w:ilvl w:val="0"/>
          <w:numId w:val="15"/>
        </w:numPr>
        <w:tabs>
          <w:tab w:val="clear" w:pos="786"/>
        </w:tabs>
        <w:spacing w:before="360"/>
        <w:ind w:left="567" w:hanging="567"/>
        <w:rPr>
          <w:rFonts w:cs="Arial"/>
          <w:b/>
          <w:szCs w:val="22"/>
        </w:rPr>
      </w:pPr>
      <w:r w:rsidRPr="003B7415">
        <w:t xml:space="preserve">Un aperçu détaillé et un résumé des rapports périodiques, tels qu’adoptés par le Comité dans ses décisions </w:t>
      </w:r>
      <w:hyperlink r:id="rId16" w:history="1">
        <w:r w:rsidRPr="003B7415">
          <w:rPr>
            <w:rStyle w:val="Hyperlink"/>
            <w:rFonts w:eastAsia="SimSun" w:cs="Arial"/>
            <w:szCs w:val="22"/>
          </w:rPr>
          <w:t>9.COM 5.a</w:t>
        </w:r>
      </w:hyperlink>
      <w:r w:rsidRPr="003B7415">
        <w:rPr>
          <w:rStyle w:val="Hyperlink"/>
          <w:rFonts w:eastAsia="SimSun" w:cs="Arial"/>
          <w:szCs w:val="22"/>
        </w:rPr>
        <w:t xml:space="preserve"> </w:t>
      </w:r>
      <w:r w:rsidRPr="003B7415">
        <w:t xml:space="preserve">et </w:t>
      </w:r>
      <w:hyperlink r:id="rId17" w:history="1">
        <w:r w:rsidRPr="003B7415">
          <w:rPr>
            <w:rStyle w:val="Hyperlink"/>
            <w:rFonts w:eastAsia="SimSun" w:cs="Arial"/>
            <w:szCs w:val="22"/>
          </w:rPr>
          <w:t>9.COM 5.b</w:t>
        </w:r>
      </w:hyperlink>
      <w:r w:rsidRPr="003B7415">
        <w:rPr>
          <w:rStyle w:val="Hyperlink"/>
          <w:rFonts w:eastAsia="SimSun" w:cs="Arial"/>
          <w:szCs w:val="22"/>
        </w:rPr>
        <w:t xml:space="preserve"> </w:t>
      </w:r>
      <w:r w:rsidRPr="003B7415">
        <w:t>(pour les rapports de 2014) ainsi que dans ses décisions</w:t>
      </w:r>
      <w:r w:rsidRPr="003B7415">
        <w:rPr>
          <w:rStyle w:val="Hyperlink"/>
          <w:rFonts w:eastAsia="SimSun" w:cs="Arial"/>
          <w:color w:val="auto"/>
          <w:szCs w:val="22"/>
          <w:u w:val="none"/>
        </w:rPr>
        <w:t xml:space="preserve"> </w:t>
      </w:r>
      <w:hyperlink r:id="rId18" w:history="1">
        <w:r w:rsidRPr="003B7415">
          <w:rPr>
            <w:rStyle w:val="Hyperlink"/>
            <w:rFonts w:eastAsia="SimSun" w:cs="Arial"/>
            <w:szCs w:val="22"/>
          </w:rPr>
          <w:t>10.COM 6.a</w:t>
        </w:r>
      </w:hyperlink>
      <w:r w:rsidRPr="003B7415">
        <w:rPr>
          <w:rFonts w:eastAsia="SimSun" w:cs="Arial"/>
          <w:szCs w:val="22"/>
        </w:rPr>
        <w:t xml:space="preserve">, </w:t>
      </w:r>
      <w:bookmarkStart w:id="0" w:name="_GoBack"/>
      <w:bookmarkEnd w:id="0"/>
      <w:r w:rsidRPr="003176ED">
        <w:rPr>
          <w:rFonts w:eastAsia="SimSun" w:cs="Arial"/>
          <w:szCs w:val="22"/>
        </w:rPr>
        <w:t>11.</w:t>
      </w:r>
      <w:r w:rsidR="00172FA7" w:rsidRPr="003176ED">
        <w:rPr>
          <w:rFonts w:eastAsia="SimSun" w:cs="Arial"/>
          <w:szCs w:val="22"/>
        </w:rPr>
        <w:t>COM 1.</w:t>
      </w:r>
      <w:r w:rsidR="006F190E" w:rsidRPr="003176ED">
        <w:rPr>
          <w:rFonts w:eastAsia="SimSun" w:cs="Arial"/>
          <w:szCs w:val="22"/>
        </w:rPr>
        <w:t>BUR </w:t>
      </w:r>
      <w:r w:rsidR="00172FA7" w:rsidRPr="003176ED">
        <w:rPr>
          <w:rFonts w:eastAsia="SimSun" w:cs="Arial"/>
          <w:szCs w:val="22"/>
        </w:rPr>
        <w:t>2</w:t>
      </w:r>
      <w:r w:rsidR="00064597" w:rsidRPr="003176ED">
        <w:rPr>
          <w:rFonts w:eastAsia="SimSun" w:cs="Arial"/>
          <w:szCs w:val="22"/>
        </w:rPr>
        <w:t> </w:t>
      </w:r>
      <w:proofErr w:type="spellStart"/>
      <w:r w:rsidR="00064597" w:rsidRPr="003176ED">
        <w:rPr>
          <w:rFonts w:eastAsia="SimSun" w:cs="Arial"/>
          <w:szCs w:val="22"/>
        </w:rPr>
        <w:t>Rev</w:t>
      </w:r>
      <w:proofErr w:type="spellEnd"/>
      <w:r w:rsidR="00064597">
        <w:rPr>
          <w:rFonts w:eastAsia="SimSun" w:cs="Arial"/>
          <w:szCs w:val="22"/>
        </w:rPr>
        <w:t xml:space="preserve"> </w:t>
      </w:r>
      <w:r w:rsidRPr="003B7415">
        <w:rPr>
          <w:rFonts w:eastAsia="SimSun" w:cs="Arial"/>
          <w:szCs w:val="22"/>
        </w:rPr>
        <w:t xml:space="preserve">et </w:t>
      </w:r>
      <w:hyperlink r:id="rId19" w:history="1">
        <w:r w:rsidRPr="003B7415">
          <w:rPr>
            <w:rStyle w:val="Hyperlink"/>
            <w:rFonts w:eastAsia="SimSun" w:cs="Arial"/>
            <w:szCs w:val="22"/>
          </w:rPr>
          <w:t>10.COM 6.b</w:t>
        </w:r>
      </w:hyperlink>
      <w:r w:rsidRPr="003B7415">
        <w:rPr>
          <w:rFonts w:eastAsia="SimSun" w:cs="Arial"/>
          <w:szCs w:val="22"/>
        </w:rPr>
        <w:t xml:space="preserve"> (pour les rapports de 2015), sont</w:t>
      </w:r>
      <w:r w:rsidR="00A644F0" w:rsidRPr="003B7415">
        <w:rPr>
          <w:rFonts w:eastAsia="SimSun" w:cs="Arial"/>
          <w:szCs w:val="22"/>
        </w:rPr>
        <w:t xml:space="preserve"> inclus dans les documents de travail du Comité (et du Bureau en ce qui concerne uniquement les 24 rapports sur la mise en œuvre de la Convention examinés en 2015) comme suit</w:t>
      </w:r>
      <w:r w:rsidR="00A644F0" w:rsidRPr="005A43D0">
        <w:rPr>
          <w:rFonts w:eastAsia="SimSun" w:cs="Arial"/>
          <w:szCs w:val="22"/>
        </w:rPr>
        <w:t xml:space="preserve"> :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57" w:type="dxa"/>
        </w:tblCellMar>
        <w:tblLook w:val="04A0" w:firstRow="1" w:lastRow="0" w:firstColumn="1" w:lastColumn="0" w:noHBand="0" w:noVBand="1"/>
      </w:tblPr>
      <w:tblGrid>
        <w:gridCol w:w="6190"/>
        <w:gridCol w:w="2826"/>
      </w:tblGrid>
      <w:tr w:rsidR="00A644F0" w:rsidRPr="005A43D0" w:rsidTr="006677E1">
        <w:tc>
          <w:tcPr>
            <w:tcW w:w="6190" w:type="dxa"/>
            <w:vAlign w:val="center"/>
            <w:hideMark/>
          </w:tcPr>
          <w:p w:rsidR="00531671" w:rsidRPr="003B7415" w:rsidRDefault="00531671" w:rsidP="00B37E33">
            <w:pPr>
              <w:pStyle w:val="Sansinterligne2"/>
              <w:spacing w:before="120" w:after="120"/>
              <w:rPr>
                <w:rFonts w:ascii="Arial" w:hAnsi="Arial"/>
                <w:b/>
                <w:sz w:val="22"/>
              </w:rPr>
            </w:pPr>
            <w:r w:rsidRPr="003B7415">
              <w:rPr>
                <w:rFonts w:ascii="Arial" w:hAnsi="Arial"/>
                <w:sz w:val="22"/>
              </w:rPr>
              <w:t>Examen des rapports des États parties sur la mise en œuvre de la Convention et sur l</w:t>
            </w:r>
            <w:r w:rsidRPr="003B7415">
              <w:rPr>
                <w:rFonts w:ascii="Arial" w:hAnsi="Arial" w:cs="Arial"/>
                <w:sz w:val="22"/>
              </w:rPr>
              <w:t>’</w:t>
            </w:r>
            <w:r w:rsidRPr="003B7415">
              <w:rPr>
                <w:rFonts w:ascii="Arial" w:hAnsi="Arial"/>
                <w:sz w:val="22"/>
              </w:rPr>
              <w:t>état actuel d</w:t>
            </w:r>
            <w:r w:rsidRPr="003B7415">
              <w:rPr>
                <w:rFonts w:ascii="Arial" w:hAnsi="Arial" w:cs="Arial"/>
                <w:sz w:val="22"/>
              </w:rPr>
              <w:t>’</w:t>
            </w:r>
            <w:r w:rsidRPr="003B7415">
              <w:rPr>
                <w:rFonts w:ascii="Arial" w:hAnsi="Arial"/>
                <w:sz w:val="22"/>
              </w:rPr>
              <w:t>éléments inscrits sur la Liste représentative du patrimoine culturel immatériel de l</w:t>
            </w:r>
            <w:r w:rsidRPr="003B7415">
              <w:rPr>
                <w:rFonts w:ascii="Arial" w:hAnsi="Arial" w:cs="Arial"/>
                <w:sz w:val="22"/>
              </w:rPr>
              <w:t>’</w:t>
            </w:r>
            <w:r w:rsidRPr="003B7415">
              <w:rPr>
                <w:rFonts w:ascii="Arial" w:hAnsi="Arial"/>
                <w:sz w:val="22"/>
              </w:rPr>
              <w:t>humanité (cycle de 2014)</w:t>
            </w:r>
          </w:p>
          <w:p w:rsidR="00A644F0" w:rsidRPr="003B7415" w:rsidRDefault="00A644F0" w:rsidP="00FB08C3">
            <w:pPr>
              <w:spacing w:before="120" w:after="120"/>
              <w:rPr>
                <w:rFonts w:ascii="Arial" w:hAnsi="Arial" w:cs="Arial"/>
                <w:sz w:val="22"/>
                <w:szCs w:val="22"/>
              </w:rPr>
            </w:pPr>
          </w:p>
        </w:tc>
        <w:tc>
          <w:tcPr>
            <w:tcW w:w="2826" w:type="dxa"/>
            <w:vAlign w:val="center"/>
            <w:hideMark/>
          </w:tcPr>
          <w:p w:rsidR="00A644F0" w:rsidRPr="003B7415" w:rsidRDefault="00A644F0" w:rsidP="00A644F0">
            <w:pPr>
              <w:spacing w:before="120" w:after="120"/>
              <w:rPr>
                <w:rFonts w:ascii="Arial" w:hAnsi="Arial" w:cs="Arial"/>
                <w:b/>
                <w:bCs/>
                <w:sz w:val="20"/>
                <w:szCs w:val="20"/>
              </w:rPr>
            </w:pPr>
            <w:r w:rsidRPr="003B7415">
              <w:rPr>
                <w:rFonts w:ascii="Arial" w:hAnsi="Arial" w:cs="Arial"/>
                <w:b/>
                <w:bCs/>
                <w:sz w:val="20"/>
                <w:szCs w:val="20"/>
              </w:rPr>
              <w:t>ITH/14/9.COM/5.a</w:t>
            </w:r>
            <w:r w:rsidR="00B37E33" w:rsidRPr="003B7415">
              <w:rPr>
                <w:rFonts w:ascii="Arial" w:hAnsi="Arial" w:cs="Arial"/>
                <w:b/>
                <w:bCs/>
                <w:sz w:val="20"/>
                <w:szCs w:val="20"/>
              </w:rPr>
              <w:t xml:space="preserve"> </w:t>
            </w:r>
            <w:r w:rsidRPr="003B7415">
              <w:rPr>
                <w:rFonts w:ascii="Arial" w:hAnsi="Arial" w:cs="Arial"/>
                <w:b/>
                <w:bCs/>
                <w:sz w:val="20"/>
                <w:szCs w:val="20"/>
              </w:rPr>
              <w:t xml:space="preserve">: </w:t>
            </w:r>
            <w:hyperlink r:id="rId20" w:history="1">
              <w:r w:rsidRPr="003B7415">
                <w:rPr>
                  <w:rStyle w:val="Hyperlink"/>
                  <w:rFonts w:ascii="Arial" w:hAnsi="Arial" w:cs="Arial"/>
                  <w:iCs/>
                  <w:sz w:val="20"/>
                  <w:szCs w:val="20"/>
                </w:rPr>
                <w:t>anglais</w:t>
              </w:r>
            </w:hyperlink>
            <w:r w:rsidRPr="003B7415">
              <w:rPr>
                <w:rStyle w:val="Hyperlink"/>
                <w:rFonts w:ascii="Arial" w:hAnsi="Arial" w:cs="Arial"/>
                <w:iCs/>
                <w:sz w:val="20"/>
                <w:szCs w:val="20"/>
              </w:rPr>
              <w:t>/</w:t>
            </w:r>
            <w:hyperlink r:id="rId21" w:history="1">
              <w:r w:rsidRPr="003B7415">
                <w:rPr>
                  <w:rStyle w:val="Hyperlink"/>
                  <w:rFonts w:ascii="Arial" w:hAnsi="Arial" w:cs="Arial"/>
                  <w:iCs/>
                  <w:sz w:val="20"/>
                  <w:szCs w:val="20"/>
                </w:rPr>
                <w:t>français</w:t>
              </w:r>
            </w:hyperlink>
            <w:r w:rsidRPr="003B7415">
              <w:rPr>
                <w:rFonts w:ascii="Arial" w:hAnsi="Arial" w:cs="Arial"/>
                <w:bCs/>
                <w:sz w:val="20"/>
                <w:szCs w:val="20"/>
              </w:rPr>
              <w:br/>
            </w:r>
            <w:r w:rsidRPr="003B7415">
              <w:rPr>
                <w:rFonts w:ascii="Arial" w:hAnsi="Arial" w:cs="Arial"/>
                <w:bCs/>
                <w:i/>
                <w:iCs/>
                <w:sz w:val="20"/>
                <w:szCs w:val="20"/>
              </w:rPr>
              <w:t xml:space="preserve">Voir les </w:t>
            </w:r>
            <w:hyperlink r:id="rId22" w:history="1">
              <w:r w:rsidRPr="003B7415">
                <w:rPr>
                  <w:rStyle w:val="Hyperlink"/>
                  <w:rFonts w:ascii="Arial" w:hAnsi="Arial" w:cs="Arial"/>
                  <w:bCs/>
                  <w:i/>
                  <w:iCs/>
                  <w:sz w:val="20"/>
                  <w:szCs w:val="20"/>
                </w:rPr>
                <w:t xml:space="preserve">27 rapports soumis </w:t>
              </w:r>
            </w:hyperlink>
          </w:p>
        </w:tc>
      </w:tr>
      <w:tr w:rsidR="00A644F0" w:rsidRPr="005A43D0" w:rsidTr="006677E1">
        <w:tc>
          <w:tcPr>
            <w:tcW w:w="6190" w:type="dxa"/>
            <w:vAlign w:val="center"/>
          </w:tcPr>
          <w:p w:rsidR="00A644F0" w:rsidRPr="003B7415" w:rsidRDefault="00E448F3" w:rsidP="00B37E33">
            <w:pPr>
              <w:pStyle w:val="Sansinterligne2"/>
              <w:spacing w:before="120" w:after="120"/>
              <w:rPr>
                <w:rFonts w:ascii="Arial" w:hAnsi="Arial" w:cs="Arial"/>
                <w:sz w:val="22"/>
                <w:szCs w:val="22"/>
              </w:rPr>
            </w:pPr>
            <w:r w:rsidRPr="003B7415">
              <w:rPr>
                <w:rFonts w:ascii="Arial" w:hAnsi="Arial"/>
                <w:sz w:val="22"/>
              </w:rPr>
              <w:t>Examen des rapports des États parties sur l’état actuel d’éléments inscrits sur la</w:t>
            </w:r>
            <w:r w:rsidR="00A6570E" w:rsidRPr="003B7415">
              <w:rPr>
                <w:rFonts w:ascii="Arial" w:hAnsi="Arial"/>
                <w:sz w:val="22"/>
              </w:rPr>
              <w:t xml:space="preserve"> </w:t>
            </w:r>
            <w:r w:rsidRPr="003B7415">
              <w:rPr>
                <w:rFonts w:ascii="Arial" w:hAnsi="Arial"/>
                <w:sz w:val="22"/>
              </w:rPr>
              <w:t>Liste du patrimoine culturel immatériel nécessitant une sauvegarde urgente</w:t>
            </w:r>
            <w:r w:rsidRPr="003B7415">
              <w:rPr>
                <w:rFonts w:ascii="Arial" w:hAnsi="Arial" w:cs="Arial"/>
                <w:sz w:val="22"/>
                <w:szCs w:val="22"/>
              </w:rPr>
              <w:t xml:space="preserve"> </w:t>
            </w:r>
            <w:r w:rsidR="00A644F0" w:rsidRPr="003B7415">
              <w:rPr>
                <w:rFonts w:ascii="Arial" w:hAnsi="Arial" w:cs="Arial"/>
                <w:sz w:val="22"/>
                <w:szCs w:val="22"/>
              </w:rPr>
              <w:t>(</w:t>
            </w:r>
            <w:r w:rsidRPr="003B7415">
              <w:rPr>
                <w:rFonts w:ascii="Arial" w:hAnsi="Arial" w:cs="Arial"/>
                <w:sz w:val="22"/>
                <w:szCs w:val="22"/>
              </w:rPr>
              <w:t xml:space="preserve">cycle de </w:t>
            </w:r>
            <w:r w:rsidR="00A644F0" w:rsidRPr="003B7415">
              <w:rPr>
                <w:rFonts w:ascii="Arial" w:hAnsi="Arial" w:cs="Arial"/>
                <w:sz w:val="22"/>
                <w:szCs w:val="22"/>
              </w:rPr>
              <w:t>2014</w:t>
            </w:r>
            <w:r w:rsidRPr="003B7415">
              <w:rPr>
                <w:rFonts w:ascii="Arial" w:hAnsi="Arial" w:cs="Arial"/>
                <w:sz w:val="22"/>
                <w:szCs w:val="22"/>
              </w:rPr>
              <w:t>)</w:t>
            </w:r>
            <w:r w:rsidR="00A644F0" w:rsidRPr="003B7415">
              <w:rPr>
                <w:rFonts w:ascii="Arial" w:hAnsi="Arial" w:cs="Arial"/>
                <w:sz w:val="22"/>
                <w:szCs w:val="22"/>
              </w:rPr>
              <w:t xml:space="preserve"> </w:t>
            </w:r>
          </w:p>
        </w:tc>
        <w:tc>
          <w:tcPr>
            <w:tcW w:w="2826" w:type="dxa"/>
            <w:vAlign w:val="center"/>
          </w:tcPr>
          <w:p w:rsidR="00A644F0" w:rsidRPr="003B7415" w:rsidRDefault="00A644F0" w:rsidP="00A644F0">
            <w:pPr>
              <w:spacing w:before="120" w:after="120"/>
              <w:rPr>
                <w:rFonts w:ascii="Arial" w:hAnsi="Arial" w:cs="Arial"/>
                <w:b/>
                <w:bCs/>
                <w:sz w:val="20"/>
                <w:szCs w:val="20"/>
              </w:rPr>
            </w:pPr>
            <w:r w:rsidRPr="003B7415">
              <w:rPr>
                <w:rFonts w:ascii="Arial" w:hAnsi="Arial" w:cs="Arial"/>
                <w:b/>
                <w:bCs/>
                <w:sz w:val="20"/>
                <w:szCs w:val="20"/>
              </w:rPr>
              <w:t>ITH/14/9.COM/5.b</w:t>
            </w:r>
            <w:r w:rsidR="00B37E33" w:rsidRPr="003B7415">
              <w:rPr>
                <w:rFonts w:ascii="Arial" w:hAnsi="Arial" w:cs="Arial"/>
                <w:b/>
                <w:bCs/>
                <w:sz w:val="20"/>
                <w:szCs w:val="20"/>
              </w:rPr>
              <w:t xml:space="preserve"> </w:t>
            </w:r>
            <w:r w:rsidRPr="003B7415">
              <w:rPr>
                <w:rFonts w:ascii="Arial" w:hAnsi="Arial" w:cs="Arial"/>
                <w:b/>
                <w:bCs/>
                <w:sz w:val="20"/>
                <w:szCs w:val="20"/>
              </w:rPr>
              <w:t xml:space="preserve">: </w:t>
            </w:r>
            <w:hyperlink r:id="rId23" w:history="1">
              <w:r w:rsidRPr="003B7415">
                <w:rPr>
                  <w:rStyle w:val="Hyperlink"/>
                  <w:rFonts w:ascii="Arial" w:hAnsi="Arial" w:cs="Arial"/>
                  <w:iCs/>
                  <w:sz w:val="20"/>
                  <w:szCs w:val="20"/>
                </w:rPr>
                <w:t>anglais</w:t>
              </w:r>
            </w:hyperlink>
            <w:r w:rsidRPr="003B7415">
              <w:rPr>
                <w:rStyle w:val="Hyperlink"/>
                <w:rFonts w:ascii="Arial" w:hAnsi="Arial" w:cs="Arial"/>
                <w:iCs/>
                <w:sz w:val="20"/>
                <w:szCs w:val="20"/>
              </w:rPr>
              <w:t>/</w:t>
            </w:r>
            <w:hyperlink r:id="rId24" w:history="1">
              <w:r w:rsidRPr="003B7415">
                <w:rPr>
                  <w:rStyle w:val="Hyperlink"/>
                  <w:rFonts w:ascii="Arial" w:hAnsi="Arial" w:cs="Arial"/>
                  <w:iCs/>
                  <w:sz w:val="20"/>
                  <w:szCs w:val="20"/>
                </w:rPr>
                <w:t>français</w:t>
              </w:r>
            </w:hyperlink>
            <w:r w:rsidRPr="003B7415">
              <w:rPr>
                <w:rFonts w:ascii="Arial" w:hAnsi="Arial" w:cs="Arial"/>
                <w:bCs/>
                <w:sz w:val="20"/>
                <w:szCs w:val="20"/>
              </w:rPr>
              <w:br/>
            </w:r>
            <w:r w:rsidRPr="003B7415">
              <w:rPr>
                <w:rFonts w:ascii="Arial" w:hAnsi="Arial" w:cs="Arial"/>
                <w:bCs/>
                <w:i/>
                <w:iCs/>
                <w:sz w:val="20"/>
                <w:szCs w:val="20"/>
              </w:rPr>
              <w:t xml:space="preserve">Voir les </w:t>
            </w:r>
            <w:hyperlink r:id="rId25" w:history="1">
              <w:r w:rsidRPr="003B7415">
                <w:rPr>
                  <w:rStyle w:val="Hyperlink"/>
                  <w:rFonts w:ascii="Arial" w:hAnsi="Arial" w:cs="Arial"/>
                  <w:bCs/>
                  <w:i/>
                  <w:iCs/>
                  <w:sz w:val="20"/>
                  <w:szCs w:val="20"/>
                </w:rPr>
                <w:t xml:space="preserve">8 rapports soumis </w:t>
              </w:r>
            </w:hyperlink>
          </w:p>
        </w:tc>
      </w:tr>
      <w:tr w:rsidR="00A644F0" w:rsidRPr="005A43D0" w:rsidTr="006677E1">
        <w:tc>
          <w:tcPr>
            <w:tcW w:w="6190" w:type="dxa"/>
            <w:vAlign w:val="center"/>
            <w:hideMark/>
          </w:tcPr>
          <w:p w:rsidR="00A644F0" w:rsidRPr="003B7415" w:rsidRDefault="00A6570E" w:rsidP="00FB08C3">
            <w:pPr>
              <w:spacing w:before="120" w:after="120"/>
              <w:rPr>
                <w:rFonts w:ascii="Arial" w:hAnsi="Arial" w:cs="Arial"/>
                <w:sz w:val="22"/>
                <w:szCs w:val="22"/>
                <w:lang w:eastAsia="en-GB"/>
              </w:rPr>
            </w:pPr>
            <w:r w:rsidRPr="003B7415">
              <w:rPr>
                <w:rFonts w:ascii="Arial" w:hAnsi="Arial"/>
                <w:sz w:val="22"/>
              </w:rPr>
              <w:t>Examen des rapports des États parties sur la mise en œuvre de la Convention et sur l</w:t>
            </w:r>
            <w:r w:rsidRPr="003B7415">
              <w:rPr>
                <w:rFonts w:ascii="Arial" w:hAnsi="Arial" w:cs="Arial"/>
                <w:sz w:val="22"/>
              </w:rPr>
              <w:t>’</w:t>
            </w:r>
            <w:r w:rsidRPr="003B7415">
              <w:rPr>
                <w:rFonts w:ascii="Arial" w:hAnsi="Arial"/>
                <w:sz w:val="22"/>
              </w:rPr>
              <w:t>état actuel d</w:t>
            </w:r>
            <w:r w:rsidRPr="003B7415">
              <w:rPr>
                <w:rFonts w:ascii="Arial" w:hAnsi="Arial" w:cs="Arial"/>
                <w:sz w:val="22"/>
              </w:rPr>
              <w:t>’</w:t>
            </w:r>
            <w:r w:rsidRPr="003B7415">
              <w:rPr>
                <w:rFonts w:ascii="Arial" w:hAnsi="Arial"/>
                <w:sz w:val="22"/>
              </w:rPr>
              <w:t>éléments inscrits sur la Liste représentative du patrimoine culturel immatériel de l</w:t>
            </w:r>
            <w:r w:rsidRPr="003B7415">
              <w:rPr>
                <w:rFonts w:ascii="Arial" w:hAnsi="Arial" w:cs="Arial"/>
                <w:sz w:val="22"/>
              </w:rPr>
              <w:t>’</w:t>
            </w:r>
            <w:r w:rsidRPr="003B7415">
              <w:rPr>
                <w:rFonts w:ascii="Arial" w:hAnsi="Arial"/>
                <w:sz w:val="22"/>
              </w:rPr>
              <w:t xml:space="preserve">humanité </w:t>
            </w:r>
            <w:r w:rsidRPr="003B7415">
              <w:rPr>
                <w:rFonts w:ascii="Arial" w:hAnsi="Arial" w:cs="Arial"/>
                <w:sz w:val="22"/>
                <w:szCs w:val="22"/>
              </w:rPr>
              <w:t>(</w:t>
            </w:r>
            <w:r w:rsidR="00A644F0" w:rsidRPr="003B7415">
              <w:rPr>
                <w:rFonts w:ascii="Arial" w:hAnsi="Arial" w:cs="Arial"/>
                <w:sz w:val="22"/>
                <w:szCs w:val="22"/>
              </w:rPr>
              <w:t>cycle</w:t>
            </w:r>
            <w:r w:rsidRPr="003B7415">
              <w:rPr>
                <w:rFonts w:ascii="Arial" w:hAnsi="Arial" w:cs="Arial"/>
                <w:sz w:val="22"/>
                <w:szCs w:val="22"/>
              </w:rPr>
              <w:t xml:space="preserve"> de 2015</w:t>
            </w:r>
            <w:r w:rsidR="00A644F0" w:rsidRPr="003B7415">
              <w:rPr>
                <w:rFonts w:ascii="Arial" w:hAnsi="Arial" w:cs="Arial"/>
                <w:sz w:val="22"/>
                <w:szCs w:val="22"/>
              </w:rPr>
              <w:t>)</w:t>
            </w:r>
          </w:p>
        </w:tc>
        <w:tc>
          <w:tcPr>
            <w:tcW w:w="2826" w:type="dxa"/>
            <w:vAlign w:val="center"/>
            <w:hideMark/>
          </w:tcPr>
          <w:p w:rsidR="00A644F0" w:rsidRPr="003B7415" w:rsidRDefault="00172FA7" w:rsidP="00A644F0">
            <w:pPr>
              <w:spacing w:before="120" w:after="120"/>
              <w:rPr>
                <w:rFonts w:ascii="Arial" w:hAnsi="Arial" w:cs="Arial"/>
                <w:sz w:val="20"/>
                <w:szCs w:val="20"/>
              </w:rPr>
            </w:pPr>
            <w:r w:rsidRPr="003B7415">
              <w:rPr>
                <w:rFonts w:ascii="Arial" w:hAnsi="Arial" w:cs="Arial"/>
                <w:b/>
                <w:bCs/>
                <w:sz w:val="20"/>
                <w:szCs w:val="20"/>
              </w:rPr>
              <w:t>ITH/16/11.COM 1.BUR/2</w:t>
            </w:r>
            <w:r w:rsidR="00064597">
              <w:rPr>
                <w:rFonts w:ascii="Arial" w:hAnsi="Arial" w:cs="Arial"/>
                <w:b/>
                <w:bCs/>
                <w:sz w:val="20"/>
                <w:szCs w:val="20"/>
              </w:rPr>
              <w:t> </w:t>
            </w:r>
            <w:proofErr w:type="spellStart"/>
            <w:r w:rsidR="00064597">
              <w:rPr>
                <w:rFonts w:ascii="Arial" w:hAnsi="Arial" w:cs="Arial"/>
                <w:b/>
                <w:bCs/>
                <w:sz w:val="20"/>
                <w:szCs w:val="20"/>
              </w:rPr>
              <w:t>Rev</w:t>
            </w:r>
            <w:proofErr w:type="spellEnd"/>
            <w:r w:rsidR="00A644F0" w:rsidRPr="003B7415">
              <w:rPr>
                <w:rFonts w:ascii="Arial" w:hAnsi="Arial" w:cs="Arial"/>
                <w:b/>
                <w:bCs/>
                <w:sz w:val="20"/>
                <w:szCs w:val="20"/>
              </w:rPr>
              <w:t xml:space="preserve">: </w:t>
            </w:r>
            <w:hyperlink r:id="rId26" w:history="1">
              <w:r w:rsidR="00A644F0" w:rsidRPr="005432F7">
                <w:rPr>
                  <w:rStyle w:val="Hyperlink"/>
                  <w:rFonts w:ascii="Arial" w:hAnsi="Arial" w:cs="Arial"/>
                  <w:iCs/>
                  <w:sz w:val="20"/>
                  <w:szCs w:val="20"/>
                </w:rPr>
                <w:t>anglais</w:t>
              </w:r>
            </w:hyperlink>
            <w:r w:rsidR="00A644F0" w:rsidRPr="003B7415">
              <w:rPr>
                <w:rStyle w:val="Hyperlink"/>
                <w:rFonts w:ascii="Arial" w:hAnsi="Arial" w:cs="Arial"/>
                <w:iCs/>
                <w:sz w:val="20"/>
                <w:szCs w:val="20"/>
              </w:rPr>
              <w:t>/</w:t>
            </w:r>
            <w:hyperlink r:id="rId27" w:history="1">
              <w:r w:rsidR="00A644F0" w:rsidRPr="005432F7">
                <w:rPr>
                  <w:rStyle w:val="Hyperlink"/>
                  <w:rFonts w:ascii="Arial" w:hAnsi="Arial" w:cs="Arial"/>
                  <w:iCs/>
                  <w:sz w:val="20"/>
                  <w:szCs w:val="20"/>
                </w:rPr>
                <w:t>français</w:t>
              </w:r>
            </w:hyperlink>
            <w:r w:rsidR="00A644F0" w:rsidRPr="003B7415">
              <w:rPr>
                <w:rFonts w:ascii="Arial" w:hAnsi="Arial" w:cs="Arial"/>
                <w:bCs/>
                <w:sz w:val="20"/>
                <w:szCs w:val="20"/>
              </w:rPr>
              <w:br/>
            </w:r>
            <w:r w:rsidR="00A644F0" w:rsidRPr="003B7415">
              <w:rPr>
                <w:rFonts w:ascii="Arial" w:hAnsi="Arial" w:cs="Arial"/>
                <w:bCs/>
                <w:i/>
                <w:iCs/>
                <w:sz w:val="20"/>
                <w:szCs w:val="20"/>
              </w:rPr>
              <w:t xml:space="preserve">voir les </w:t>
            </w:r>
            <w:hyperlink r:id="rId28" w:history="1">
              <w:r w:rsidR="00A644F0" w:rsidRPr="003B7415">
                <w:rPr>
                  <w:rStyle w:val="Hyperlink"/>
                  <w:rFonts w:ascii="Arial" w:hAnsi="Arial" w:cs="Arial"/>
                  <w:bCs/>
                  <w:i/>
                  <w:iCs/>
                  <w:sz w:val="20"/>
                  <w:szCs w:val="20"/>
                </w:rPr>
                <w:t xml:space="preserve">24 rapports soumis </w:t>
              </w:r>
            </w:hyperlink>
          </w:p>
        </w:tc>
      </w:tr>
      <w:tr w:rsidR="00A644F0" w:rsidRPr="003266CE" w:rsidTr="006677E1">
        <w:tc>
          <w:tcPr>
            <w:tcW w:w="6190" w:type="dxa"/>
            <w:vAlign w:val="center"/>
          </w:tcPr>
          <w:p w:rsidR="00A644F0" w:rsidRPr="003B7415" w:rsidRDefault="00A6570E" w:rsidP="00FB08C3">
            <w:pPr>
              <w:spacing w:before="120" w:after="120"/>
              <w:rPr>
                <w:rFonts w:ascii="Arial" w:hAnsi="Arial" w:cs="Arial"/>
                <w:sz w:val="22"/>
                <w:szCs w:val="22"/>
              </w:rPr>
            </w:pPr>
            <w:r w:rsidRPr="003B7415">
              <w:rPr>
                <w:rFonts w:ascii="Arial" w:hAnsi="Arial"/>
                <w:sz w:val="22"/>
              </w:rPr>
              <w:t>Examen des rapports des États parties sur l’état actuel d’éléments inscrits sur la Liste du patrimoine culturel immatériel nécessitant une sauvegarde urgente</w:t>
            </w:r>
            <w:r w:rsidRPr="003B7415">
              <w:rPr>
                <w:rFonts w:ascii="Arial" w:hAnsi="Arial" w:cs="Arial"/>
                <w:sz w:val="22"/>
                <w:szCs w:val="22"/>
              </w:rPr>
              <w:t xml:space="preserve"> (</w:t>
            </w:r>
            <w:r w:rsidR="00A644F0" w:rsidRPr="003B7415">
              <w:rPr>
                <w:rFonts w:ascii="Arial" w:hAnsi="Arial" w:cs="Arial"/>
                <w:sz w:val="22"/>
                <w:szCs w:val="22"/>
              </w:rPr>
              <w:t>cycle</w:t>
            </w:r>
            <w:r w:rsidRPr="003B7415">
              <w:rPr>
                <w:rFonts w:ascii="Arial" w:hAnsi="Arial" w:cs="Arial"/>
                <w:sz w:val="22"/>
                <w:szCs w:val="22"/>
              </w:rPr>
              <w:t xml:space="preserve"> de 2015</w:t>
            </w:r>
            <w:r w:rsidR="00A644F0" w:rsidRPr="003B7415">
              <w:rPr>
                <w:rFonts w:ascii="Arial" w:hAnsi="Arial" w:cs="Arial"/>
                <w:sz w:val="22"/>
                <w:szCs w:val="22"/>
              </w:rPr>
              <w:t>)</w:t>
            </w:r>
          </w:p>
        </w:tc>
        <w:tc>
          <w:tcPr>
            <w:tcW w:w="2826" w:type="dxa"/>
            <w:vAlign w:val="center"/>
          </w:tcPr>
          <w:p w:rsidR="00A644F0" w:rsidRPr="0010253E" w:rsidRDefault="00A644F0" w:rsidP="003266CE">
            <w:pPr>
              <w:spacing w:before="120" w:after="120"/>
              <w:rPr>
                <w:rStyle w:val="Strong"/>
                <w:rFonts w:ascii="Arial" w:hAnsi="Arial" w:cs="Arial"/>
                <w:sz w:val="20"/>
                <w:szCs w:val="20"/>
              </w:rPr>
            </w:pPr>
            <w:r w:rsidRPr="003B7415">
              <w:rPr>
                <w:rFonts w:ascii="Arial" w:hAnsi="Arial" w:cs="Arial"/>
                <w:b/>
                <w:bCs/>
                <w:sz w:val="20"/>
                <w:szCs w:val="20"/>
              </w:rPr>
              <w:t>ITH/15/10.COM/6.b</w:t>
            </w:r>
            <w:r w:rsidR="00B37E33" w:rsidRPr="003B7415">
              <w:rPr>
                <w:rFonts w:ascii="Arial" w:hAnsi="Arial" w:cs="Arial"/>
                <w:b/>
                <w:bCs/>
                <w:sz w:val="20"/>
                <w:szCs w:val="20"/>
              </w:rPr>
              <w:t xml:space="preserve"> </w:t>
            </w:r>
            <w:r w:rsidRPr="003B7415">
              <w:rPr>
                <w:rFonts w:ascii="Arial" w:hAnsi="Arial" w:cs="Arial"/>
                <w:b/>
                <w:bCs/>
                <w:sz w:val="20"/>
                <w:szCs w:val="20"/>
              </w:rPr>
              <w:t xml:space="preserve">: </w:t>
            </w:r>
            <w:hyperlink r:id="rId29" w:history="1">
              <w:r w:rsidRPr="003B7415">
                <w:rPr>
                  <w:rStyle w:val="Hyperlink"/>
                  <w:rFonts w:ascii="Arial" w:hAnsi="Arial" w:cs="Arial"/>
                  <w:iCs/>
                  <w:sz w:val="20"/>
                  <w:szCs w:val="20"/>
                </w:rPr>
                <w:t>anglais</w:t>
              </w:r>
            </w:hyperlink>
            <w:r w:rsidRPr="003B7415">
              <w:rPr>
                <w:rStyle w:val="Hyperlink"/>
                <w:rFonts w:ascii="Arial" w:hAnsi="Arial" w:cs="Arial"/>
                <w:iCs/>
                <w:sz w:val="20"/>
                <w:szCs w:val="20"/>
              </w:rPr>
              <w:t>/</w:t>
            </w:r>
            <w:hyperlink r:id="rId30" w:history="1">
              <w:r w:rsidRPr="003B7415">
                <w:rPr>
                  <w:rStyle w:val="Hyperlink"/>
                  <w:rFonts w:ascii="Arial" w:hAnsi="Arial" w:cs="Arial"/>
                  <w:iCs/>
                  <w:sz w:val="20"/>
                  <w:szCs w:val="20"/>
                </w:rPr>
                <w:t>français</w:t>
              </w:r>
            </w:hyperlink>
            <w:r w:rsidRPr="003B7415">
              <w:rPr>
                <w:rFonts w:ascii="Arial" w:hAnsi="Arial" w:cs="Arial"/>
                <w:bCs/>
                <w:sz w:val="20"/>
                <w:szCs w:val="20"/>
              </w:rPr>
              <w:br/>
            </w:r>
            <w:r w:rsidR="003266CE" w:rsidRPr="003B7415">
              <w:rPr>
                <w:rFonts w:ascii="Arial" w:hAnsi="Arial" w:cs="Arial"/>
                <w:bCs/>
                <w:i/>
                <w:iCs/>
                <w:sz w:val="20"/>
                <w:szCs w:val="20"/>
              </w:rPr>
              <w:t xml:space="preserve">Voir les </w:t>
            </w:r>
            <w:hyperlink r:id="rId31" w:history="1">
              <w:r w:rsidRPr="003B7415">
                <w:rPr>
                  <w:rStyle w:val="Hyperlink"/>
                  <w:rFonts w:ascii="Arial" w:hAnsi="Arial" w:cs="Arial"/>
                  <w:bCs/>
                  <w:i/>
                  <w:iCs/>
                  <w:sz w:val="20"/>
                  <w:szCs w:val="20"/>
                </w:rPr>
                <w:t>3 r</w:t>
              </w:r>
              <w:r w:rsidR="003266CE" w:rsidRPr="003B7415">
                <w:rPr>
                  <w:rStyle w:val="Hyperlink"/>
                  <w:rFonts w:ascii="Arial" w:hAnsi="Arial" w:cs="Arial"/>
                  <w:bCs/>
                  <w:i/>
                  <w:iCs/>
                  <w:sz w:val="20"/>
                  <w:szCs w:val="20"/>
                </w:rPr>
                <w:t xml:space="preserve">apports soumis </w:t>
              </w:r>
            </w:hyperlink>
          </w:p>
        </w:tc>
      </w:tr>
    </w:tbl>
    <w:p w:rsidR="00A644F0" w:rsidRPr="003B7415" w:rsidRDefault="00BE36FF" w:rsidP="00B37E33">
      <w:pPr>
        <w:pStyle w:val="Marge"/>
        <w:numPr>
          <w:ilvl w:val="0"/>
          <w:numId w:val="15"/>
        </w:numPr>
        <w:tabs>
          <w:tab w:val="clear" w:pos="786"/>
        </w:tabs>
        <w:spacing w:before="360"/>
        <w:ind w:left="567" w:hanging="567"/>
        <w:rPr>
          <w:rStyle w:val="Hyperlink"/>
          <w:rFonts w:cs="Arial"/>
          <w:color w:val="auto"/>
          <w:szCs w:val="22"/>
          <w:u w:val="none"/>
        </w:rPr>
      </w:pPr>
      <w:r w:rsidRPr="003B7415">
        <w:rPr>
          <w:rStyle w:val="Hyperlink"/>
          <w:rFonts w:cs="Arial"/>
          <w:color w:val="auto"/>
          <w:szCs w:val="22"/>
          <w:u w:val="none"/>
        </w:rPr>
        <w:t>Pendant</w:t>
      </w:r>
      <w:r w:rsidR="00D46E10" w:rsidRPr="003B7415">
        <w:rPr>
          <w:rStyle w:val="Hyperlink"/>
          <w:rFonts w:cs="Arial"/>
          <w:color w:val="auto"/>
          <w:szCs w:val="22"/>
          <w:u w:val="none"/>
        </w:rPr>
        <w:t xml:space="preserve"> la période du rapport, </w:t>
      </w:r>
      <w:r w:rsidR="00A86334" w:rsidRPr="003B7415">
        <w:rPr>
          <w:rStyle w:val="Hyperlink"/>
          <w:rFonts w:cs="Arial"/>
          <w:color w:val="auto"/>
          <w:szCs w:val="22"/>
          <w:u w:val="none"/>
        </w:rPr>
        <w:t xml:space="preserve">deux changements majeurs dans le traitement des rapports périodiques sur la mise en œuvre de la Convention ont été accueillis favorablement et approuvés par le Comité : l’inclusion dans l’aperçu d’une étude approfondie et </w:t>
      </w:r>
      <w:r w:rsidR="00554561" w:rsidRPr="003B7415">
        <w:rPr>
          <w:rStyle w:val="Hyperlink"/>
          <w:rFonts w:cs="Arial"/>
          <w:color w:val="auto"/>
          <w:szCs w:val="22"/>
          <w:u w:val="none"/>
        </w:rPr>
        <w:t>cumulative</w:t>
      </w:r>
      <w:r w:rsidR="00A86334" w:rsidRPr="003B7415">
        <w:rPr>
          <w:rStyle w:val="Hyperlink"/>
          <w:rFonts w:cs="Arial"/>
          <w:color w:val="auto"/>
          <w:szCs w:val="22"/>
          <w:u w:val="none"/>
        </w:rPr>
        <w:t xml:space="preserve"> sur </w:t>
      </w:r>
      <w:r w:rsidR="00A86334" w:rsidRPr="003B7415">
        <w:rPr>
          <w:rStyle w:val="Hyperlink"/>
          <w:rFonts w:cs="Arial"/>
          <w:color w:val="auto"/>
          <w:szCs w:val="22"/>
          <w:u w:val="none"/>
        </w:rPr>
        <w:lastRenderedPageBreak/>
        <w:t>un thème spécifique chaque année (l</w:t>
      </w:r>
      <w:r w:rsidRPr="003B7415">
        <w:rPr>
          <w:rStyle w:val="Hyperlink"/>
          <w:rFonts w:cs="Arial"/>
          <w:color w:val="auto"/>
          <w:szCs w:val="22"/>
          <w:u w:val="none"/>
        </w:rPr>
        <w:t>’élaboration</w:t>
      </w:r>
      <w:r w:rsidR="00A86334" w:rsidRPr="003B7415">
        <w:rPr>
          <w:rStyle w:val="Hyperlink"/>
          <w:rFonts w:cs="Arial"/>
          <w:color w:val="auto"/>
          <w:szCs w:val="22"/>
          <w:u w:val="none"/>
        </w:rPr>
        <w:t xml:space="preserve"> d’i</w:t>
      </w:r>
      <w:r w:rsidRPr="003B7415">
        <w:rPr>
          <w:rStyle w:val="Hyperlink"/>
          <w:rFonts w:cs="Arial"/>
          <w:color w:val="auto"/>
          <w:szCs w:val="22"/>
          <w:u w:val="none"/>
        </w:rPr>
        <w:t xml:space="preserve">nventaire en 2014 ; la </w:t>
      </w:r>
      <w:r w:rsidR="00A86334" w:rsidRPr="003B7415">
        <w:rPr>
          <w:rStyle w:val="Hyperlink"/>
          <w:rFonts w:cs="Arial"/>
          <w:color w:val="auto"/>
          <w:szCs w:val="22"/>
          <w:u w:val="none"/>
        </w:rPr>
        <w:t xml:space="preserve">transmission et </w:t>
      </w:r>
      <w:r w:rsidRPr="003B7415">
        <w:rPr>
          <w:rStyle w:val="Hyperlink"/>
          <w:rFonts w:cs="Arial"/>
          <w:color w:val="auto"/>
          <w:szCs w:val="22"/>
          <w:u w:val="none"/>
        </w:rPr>
        <w:t>l’</w:t>
      </w:r>
      <w:r w:rsidR="00A86334" w:rsidRPr="003B7415">
        <w:rPr>
          <w:rStyle w:val="Hyperlink"/>
          <w:rFonts w:cs="Arial"/>
          <w:color w:val="auto"/>
          <w:szCs w:val="22"/>
          <w:u w:val="none"/>
        </w:rPr>
        <w:t>éducation en 2015), ainsi que la préparation</w:t>
      </w:r>
      <w:r w:rsidR="00325A3E">
        <w:rPr>
          <w:rStyle w:val="Hyperlink"/>
          <w:rFonts w:cs="Arial"/>
          <w:color w:val="auto"/>
          <w:szCs w:val="22"/>
          <w:u w:val="none"/>
        </w:rPr>
        <w:t xml:space="preserve">, </w:t>
      </w:r>
      <w:r w:rsidR="00325A3E" w:rsidRPr="00815345">
        <w:rPr>
          <w:rStyle w:val="Hyperlink"/>
          <w:rFonts w:cs="Arial"/>
          <w:color w:val="auto"/>
          <w:szCs w:val="22"/>
          <w:u w:val="none"/>
        </w:rPr>
        <w:t>pour la première fois en 2015</w:t>
      </w:r>
      <w:r w:rsidR="00325A3E">
        <w:rPr>
          <w:rStyle w:val="Hyperlink"/>
          <w:rFonts w:cs="Arial"/>
          <w:color w:val="auto"/>
          <w:szCs w:val="22"/>
          <w:u w:val="none"/>
        </w:rPr>
        <w:t>,</w:t>
      </w:r>
      <w:r w:rsidR="00A86334" w:rsidRPr="003B7415">
        <w:rPr>
          <w:rStyle w:val="Hyperlink"/>
          <w:rFonts w:cs="Arial"/>
          <w:color w:val="auto"/>
          <w:szCs w:val="22"/>
          <w:u w:val="none"/>
        </w:rPr>
        <w:t xml:space="preserve"> d’un résumé pour </w:t>
      </w:r>
      <w:r w:rsidR="00C3752D" w:rsidRPr="003B7415">
        <w:rPr>
          <w:rStyle w:val="Hyperlink"/>
          <w:rFonts w:cs="Arial"/>
          <w:color w:val="auto"/>
          <w:szCs w:val="22"/>
          <w:u w:val="none"/>
        </w:rPr>
        <w:t>chaque rapport soumis</w:t>
      </w:r>
      <w:r w:rsidR="00A86334" w:rsidRPr="003B7415">
        <w:rPr>
          <w:rStyle w:val="Hyperlink"/>
          <w:rFonts w:cs="Arial"/>
          <w:color w:val="auto"/>
          <w:szCs w:val="22"/>
          <w:u w:val="none"/>
        </w:rPr>
        <w:t>.</w:t>
      </w:r>
    </w:p>
    <w:p w:rsidR="003E4EC8" w:rsidRPr="003B7415" w:rsidRDefault="003E4EC8" w:rsidP="00B37E33">
      <w:pPr>
        <w:pStyle w:val="Marge"/>
        <w:numPr>
          <w:ilvl w:val="0"/>
          <w:numId w:val="15"/>
        </w:numPr>
        <w:tabs>
          <w:tab w:val="clear" w:pos="786"/>
        </w:tabs>
        <w:spacing w:before="360"/>
        <w:ind w:left="567" w:hanging="567"/>
        <w:rPr>
          <w:rStyle w:val="Hyperlink"/>
          <w:rFonts w:cs="Arial"/>
          <w:color w:val="auto"/>
          <w:szCs w:val="22"/>
          <w:u w:val="none"/>
        </w:rPr>
      </w:pPr>
      <w:r w:rsidRPr="003B7415">
        <w:rPr>
          <w:rStyle w:val="Hyperlink"/>
          <w:rFonts w:cs="Arial"/>
          <w:color w:val="auto"/>
          <w:szCs w:val="22"/>
          <w:u w:val="none"/>
        </w:rPr>
        <w:t>Le Comité continue d’</w:t>
      </w:r>
      <w:r w:rsidR="00761367" w:rsidRPr="003B7415">
        <w:rPr>
          <w:rStyle w:val="Hyperlink"/>
          <w:rFonts w:cs="Arial"/>
          <w:color w:val="auto"/>
          <w:szCs w:val="22"/>
          <w:u w:val="none"/>
        </w:rPr>
        <w:t>être confronté</w:t>
      </w:r>
      <w:r w:rsidRPr="003B7415">
        <w:rPr>
          <w:rStyle w:val="Hyperlink"/>
          <w:rFonts w:cs="Arial"/>
          <w:color w:val="auto"/>
          <w:szCs w:val="22"/>
          <w:u w:val="none"/>
        </w:rPr>
        <w:t xml:space="preserve"> à un grand nombre d’États parties qui n’ont pas encore soumis leur rapport </w:t>
      </w:r>
      <w:r w:rsidR="00761367" w:rsidRPr="003B7415">
        <w:rPr>
          <w:rStyle w:val="Hyperlink"/>
          <w:rFonts w:cs="Arial"/>
          <w:color w:val="auto"/>
          <w:szCs w:val="22"/>
          <w:u w:val="none"/>
        </w:rPr>
        <w:t xml:space="preserve">comme dû : par exemple pour </w:t>
      </w:r>
      <w:r w:rsidR="00B37E33" w:rsidRPr="003B7415">
        <w:rPr>
          <w:rStyle w:val="Hyperlink"/>
          <w:rFonts w:cs="Arial"/>
          <w:color w:val="auto"/>
          <w:szCs w:val="22"/>
          <w:u w:val="none"/>
        </w:rPr>
        <w:t xml:space="preserve">les rapports sur la mise en œuvre de la Convention pour </w:t>
      </w:r>
      <w:r w:rsidR="00761367" w:rsidRPr="003B7415">
        <w:rPr>
          <w:rStyle w:val="Hyperlink"/>
          <w:rFonts w:cs="Arial"/>
          <w:color w:val="auto"/>
          <w:szCs w:val="22"/>
          <w:u w:val="none"/>
        </w:rPr>
        <w:t xml:space="preserve">le cycle de 2015, 24 des 48 rapports attendus n’ont pas été soumis. Afin d’essayer de remédier à cette situation, le Comité a dans ses décisions sur les rapports périodiques de 2015 encouragé pour la première fois les États parties à </w:t>
      </w:r>
      <w:r w:rsidR="000B5971" w:rsidRPr="003B7415">
        <w:t>remplir leur obligation</w:t>
      </w:r>
      <w:r w:rsidR="00761367" w:rsidRPr="003B7415">
        <w:t xml:space="preserve"> de faire rapport avant de soumettre de nouvelles candidatures</w:t>
      </w:r>
      <w:r w:rsidR="00172FA7" w:rsidRPr="003B7415">
        <w:t>.</w:t>
      </w:r>
    </w:p>
    <w:p w:rsidR="00B47629" w:rsidRPr="00325A3E" w:rsidRDefault="00B47629" w:rsidP="00B37E33">
      <w:pPr>
        <w:pStyle w:val="Marge"/>
        <w:keepNext/>
        <w:numPr>
          <w:ilvl w:val="0"/>
          <w:numId w:val="16"/>
        </w:numPr>
        <w:spacing w:before="360"/>
        <w:ind w:left="567" w:hanging="567"/>
        <w:rPr>
          <w:rFonts w:cs="Arial"/>
          <w:b/>
          <w:szCs w:val="22"/>
        </w:rPr>
      </w:pPr>
      <w:r w:rsidRPr="005A43D0">
        <w:rPr>
          <w:b/>
        </w:rPr>
        <w:t>Inscriptions sur les listes de la Convention, sélection des meilleures pratiques de sauvegarde et octroi de l’assistance internationale</w:t>
      </w:r>
      <w:r w:rsidRPr="00325A3E">
        <w:t xml:space="preserve"> (Article 7[g])</w:t>
      </w:r>
    </w:p>
    <w:p w:rsidR="00B47629" w:rsidRDefault="00B47629" w:rsidP="007B300D">
      <w:pPr>
        <w:pStyle w:val="Marge"/>
        <w:numPr>
          <w:ilvl w:val="0"/>
          <w:numId w:val="15"/>
        </w:numPr>
        <w:spacing w:after="120"/>
        <w:ind w:left="567" w:hanging="567"/>
        <w:rPr>
          <w:i/>
        </w:rPr>
      </w:pPr>
      <w:r w:rsidRPr="00325A3E">
        <w:t xml:space="preserve">Pendant la période de rapport, le Comité a inscrit </w:t>
      </w:r>
      <w:r w:rsidR="000A4E4A" w:rsidRPr="003B7415">
        <w:t>65 </w:t>
      </w:r>
      <w:r w:rsidRPr="003B7415">
        <w:t>éléments</w:t>
      </w:r>
      <w:r w:rsidRPr="005A43D0">
        <w:t xml:space="preserve"> </w:t>
      </w:r>
      <w:r w:rsidR="003D2025" w:rsidRPr="005A43D0">
        <w:t>sur les l</w:t>
      </w:r>
      <w:r w:rsidRPr="005A43D0">
        <w:t xml:space="preserve">istes de la Convention : </w:t>
      </w:r>
      <w:r w:rsidR="000A4E4A" w:rsidRPr="003B7415">
        <w:t>8 </w:t>
      </w:r>
      <w:r w:rsidRPr="003B7415">
        <w:t>éléments</w:t>
      </w:r>
      <w:r w:rsidRPr="005A43D0">
        <w:t xml:space="preserve"> sur la Liste du patrimoine culturel immatériel nécessitant une sauvegarde urgente et </w:t>
      </w:r>
      <w:r w:rsidR="000A4E4A" w:rsidRPr="003B7415">
        <w:t>57 </w:t>
      </w:r>
      <w:r w:rsidR="002D4C60" w:rsidRPr="003B7415">
        <w:t>éléments</w:t>
      </w:r>
      <w:r w:rsidR="002D4C60" w:rsidRPr="005A43D0">
        <w:t xml:space="preserve"> </w:t>
      </w:r>
      <w:r w:rsidRPr="005A43D0">
        <w:t>sur la Liste représentative du patrimoine culturel immatériel de l’humanité. Pendant la période du rapport, le Comité</w:t>
      </w:r>
      <w:r>
        <w:t xml:space="preserve"> a également sélectionné une meilleure pratique de sauvegarde.</w:t>
      </w:r>
      <w:r>
        <w:rPr>
          <w:i/>
          <w:highlight w:val="yellow"/>
        </w:rPr>
        <w:t xml:space="preserve"> </w:t>
      </w:r>
    </w:p>
    <w:p w:rsidR="000A4E4A" w:rsidRPr="00B37E33" w:rsidRDefault="00B47629" w:rsidP="000A4E4A">
      <w:pPr>
        <w:pStyle w:val="Marge"/>
        <w:numPr>
          <w:ilvl w:val="0"/>
          <w:numId w:val="15"/>
        </w:numPr>
        <w:spacing w:after="120"/>
        <w:ind w:left="567" w:hanging="567"/>
        <w:rPr>
          <w:i/>
        </w:rPr>
      </w:pPr>
      <w:r w:rsidRPr="00EC5170">
        <w:t>A</w:t>
      </w:r>
      <w:r>
        <w:t>p</w:t>
      </w:r>
      <w:r w:rsidR="00EC7197">
        <w:t xml:space="preserve">rès que l’Assemblée générale en </w:t>
      </w:r>
      <w:r>
        <w:t xml:space="preserve">2014 a approuvé les amendements aux </w:t>
      </w:r>
      <w:r w:rsidR="00843E12">
        <w:t xml:space="preserve">Directives </w:t>
      </w:r>
      <w:r>
        <w:t>opérationnelles pour la création d’un seul « </w:t>
      </w:r>
      <w:r w:rsidR="00843E12">
        <w:t>O</w:t>
      </w:r>
      <w:r>
        <w:t xml:space="preserve">rgane d’évaluation » (six experts représentant les États parties </w:t>
      </w:r>
      <w:r w:rsidR="00843E12">
        <w:t xml:space="preserve">à </w:t>
      </w:r>
      <w:r>
        <w:t xml:space="preserve">la Convention </w:t>
      </w:r>
      <w:r w:rsidR="00843E12">
        <w:t>non</w:t>
      </w:r>
      <w:r>
        <w:t xml:space="preserve"> membres du Comité et six organisations non gouvernementales accréditées), le Comité a établi le premier </w:t>
      </w:r>
      <w:r w:rsidR="00843E12">
        <w:t xml:space="preserve">Organe </w:t>
      </w:r>
      <w:r>
        <w:t xml:space="preserve">d’évaluation lors de la </w:t>
      </w:r>
      <w:r w:rsidRPr="00EC5170">
        <w:t>neuvième session et a renouvelé trois sièges lors de sa dixième session</w:t>
      </w:r>
      <w:r w:rsidR="008D2D19">
        <w:t>.</w:t>
      </w:r>
    </w:p>
    <w:p w:rsidR="00B47629" w:rsidRPr="00325A3E" w:rsidRDefault="00B47629" w:rsidP="000A4E4A">
      <w:pPr>
        <w:pStyle w:val="Marge"/>
        <w:numPr>
          <w:ilvl w:val="0"/>
          <w:numId w:val="15"/>
        </w:numPr>
        <w:spacing w:after="120"/>
        <w:ind w:left="567" w:hanging="567"/>
        <w:rPr>
          <w:i/>
        </w:rPr>
      </w:pPr>
      <w:r w:rsidRPr="00B37E33">
        <w:t xml:space="preserve">Le Comité (pour les demandes supérieures à 25 000 dollars </w:t>
      </w:r>
      <w:r w:rsidR="00843E12" w:rsidRPr="00B37E33">
        <w:t xml:space="preserve">des </w:t>
      </w:r>
      <w:r w:rsidR="00843E12" w:rsidRPr="00B37E33">
        <w:rPr>
          <w:rFonts w:cs="Arial"/>
        </w:rPr>
        <w:t>É</w:t>
      </w:r>
      <w:r w:rsidR="00843E12" w:rsidRPr="00B37E33">
        <w:t>tats-Unis</w:t>
      </w:r>
      <w:r w:rsidRPr="00B37E33">
        <w:t>) ou le Bureau (pour les demandes jusqu’à 25 0</w:t>
      </w:r>
      <w:r w:rsidR="007B300D" w:rsidRPr="00B37E33">
        <w:t>0</w:t>
      </w:r>
      <w:r w:rsidRPr="00B37E33">
        <w:t xml:space="preserve">0 dollars </w:t>
      </w:r>
      <w:r w:rsidR="00843E12" w:rsidRPr="00B37E33">
        <w:t xml:space="preserve">des </w:t>
      </w:r>
      <w:r w:rsidR="00843E12" w:rsidRPr="00B37E33">
        <w:rPr>
          <w:rFonts w:cs="Arial"/>
        </w:rPr>
        <w:t>É</w:t>
      </w:r>
      <w:r w:rsidR="00843E12" w:rsidRPr="00B37E33">
        <w:t>tats-Unis</w:t>
      </w:r>
      <w:r w:rsidRPr="00B37E33">
        <w:t xml:space="preserve"> et pour </w:t>
      </w:r>
      <w:r w:rsidR="007D56F5" w:rsidRPr="00B37E33">
        <w:t xml:space="preserve">les demandes </w:t>
      </w:r>
      <w:r w:rsidRPr="00B37E33">
        <w:t xml:space="preserve">d’urgence) </w:t>
      </w:r>
      <w:r w:rsidR="008D2D19">
        <w:t>a</w:t>
      </w:r>
      <w:r w:rsidRPr="00B37E33">
        <w:t xml:space="preserve"> approuvé </w:t>
      </w:r>
      <w:r w:rsidR="007D56F5" w:rsidRPr="00B37E33">
        <w:t xml:space="preserve">un total de </w:t>
      </w:r>
      <w:r w:rsidR="000A4E4A" w:rsidRPr="003B7415">
        <w:t xml:space="preserve">15 </w:t>
      </w:r>
      <w:r w:rsidR="007D56F5" w:rsidRPr="003B7415">
        <w:t>demandes</w:t>
      </w:r>
      <w:r w:rsidR="007D56F5" w:rsidRPr="005A43D0">
        <w:t xml:space="preserve"> </w:t>
      </w:r>
      <w:r w:rsidRPr="005A43D0">
        <w:t xml:space="preserve">d’assistance internationale pour un montant de </w:t>
      </w:r>
      <w:r w:rsidR="000A4E4A" w:rsidRPr="003B7415">
        <w:t>831 561 </w:t>
      </w:r>
      <w:r w:rsidRPr="003B7415">
        <w:t xml:space="preserve">dollars </w:t>
      </w:r>
      <w:r w:rsidR="007D56F5" w:rsidRPr="003B7415">
        <w:t xml:space="preserve">des </w:t>
      </w:r>
      <w:r w:rsidR="007D56F5" w:rsidRPr="003B7415">
        <w:rPr>
          <w:rFonts w:cs="Arial"/>
        </w:rPr>
        <w:t>É</w:t>
      </w:r>
      <w:r w:rsidR="007D56F5" w:rsidRPr="003B7415">
        <w:t>tats-Unis</w:t>
      </w:r>
      <w:r w:rsidRPr="005A43D0">
        <w:t xml:space="preserve"> (voir également le </w:t>
      </w:r>
      <w:hyperlink r:id="rId32" w:history="1">
        <w:r w:rsidRPr="005A43D0">
          <w:rPr>
            <w:rStyle w:val="Hyperlink"/>
          </w:rPr>
          <w:t>document ITH/15/10.COM/6.c</w:t>
        </w:r>
      </w:hyperlink>
      <w:r w:rsidRPr="005A43D0">
        <w:t xml:space="preserve"> pour obtenir le rapport sur l’utilisation de l’assistance internationale par les États parties). </w:t>
      </w:r>
      <w:r w:rsidR="00782242" w:rsidRPr="005A43D0">
        <w:t xml:space="preserve">Un total </w:t>
      </w:r>
      <w:r w:rsidR="00782242" w:rsidRPr="003B7415">
        <w:t xml:space="preserve">de </w:t>
      </w:r>
      <w:r w:rsidR="000A4E4A" w:rsidRPr="003B7415">
        <w:t xml:space="preserve">14 </w:t>
      </w:r>
      <w:r w:rsidRPr="003B7415">
        <w:t>pays ont reçu</w:t>
      </w:r>
      <w:r w:rsidRPr="005A43D0">
        <w:t xml:space="preserve"> une assistance financière du Fonds du patrimoine culturel immatériel pendant </w:t>
      </w:r>
      <w:r w:rsidR="002D4C60" w:rsidRPr="00325A3E">
        <w:t xml:space="preserve">la </w:t>
      </w:r>
      <w:r w:rsidRPr="00325A3E">
        <w:t>période</w:t>
      </w:r>
      <w:r w:rsidR="002D4C60" w:rsidRPr="00325A3E">
        <w:t xml:space="preserve"> du rapport</w:t>
      </w:r>
      <w:r w:rsidRPr="00325A3E">
        <w:t xml:space="preserve">. </w:t>
      </w:r>
    </w:p>
    <w:sectPr w:rsidR="00B47629" w:rsidRPr="00325A3E" w:rsidSect="00EE2DFE">
      <w:headerReference w:type="even" r:id="rId33"/>
      <w:headerReference w:type="default" r:id="rId34"/>
      <w:headerReference w:type="first" r:id="rId35"/>
      <w:pgSz w:w="11906" w:h="16838" w:code="9"/>
      <w:pgMar w:top="993" w:right="1134" w:bottom="851"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62" w:rsidRDefault="000A2D62" w:rsidP="00655736">
      <w:r>
        <w:separator/>
      </w:r>
    </w:p>
    <w:p w:rsidR="000A2D62" w:rsidRDefault="000A2D62"/>
    <w:p w:rsidR="000A2D62" w:rsidRDefault="000A2D62" w:rsidP="002E58D4"/>
    <w:p w:rsidR="000A2D62" w:rsidRDefault="000A2D62" w:rsidP="002E58D4"/>
    <w:p w:rsidR="000A2D62" w:rsidRDefault="000A2D62" w:rsidP="002E58D4"/>
  </w:endnote>
  <w:endnote w:type="continuationSeparator" w:id="0">
    <w:p w:rsidR="000A2D62" w:rsidRDefault="000A2D62" w:rsidP="00655736">
      <w:r>
        <w:continuationSeparator/>
      </w:r>
    </w:p>
    <w:p w:rsidR="000A2D62" w:rsidRDefault="000A2D62"/>
    <w:p w:rsidR="000A2D62" w:rsidRDefault="000A2D62" w:rsidP="002E58D4"/>
    <w:p w:rsidR="000A2D62" w:rsidRDefault="000A2D62" w:rsidP="002E58D4"/>
    <w:p w:rsidR="000A2D62" w:rsidRDefault="000A2D62"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62" w:rsidRDefault="000A2D62" w:rsidP="00161D4B">
      <w:r>
        <w:separator/>
      </w:r>
    </w:p>
  </w:footnote>
  <w:footnote w:type="continuationSeparator" w:id="0">
    <w:p w:rsidR="000A2D62" w:rsidRDefault="000A2D62" w:rsidP="00655736">
      <w:r>
        <w:continuationSeparator/>
      </w:r>
    </w:p>
    <w:p w:rsidR="000A2D62" w:rsidRDefault="000A2D62"/>
    <w:p w:rsidR="000A2D62" w:rsidRDefault="000A2D62" w:rsidP="002E58D4"/>
    <w:p w:rsidR="000A2D62" w:rsidRDefault="000A2D62" w:rsidP="002E58D4"/>
    <w:p w:rsidR="000A2D62" w:rsidRDefault="000A2D62" w:rsidP="002E58D4"/>
  </w:footnote>
  <w:footnote w:id="1">
    <w:p w:rsidR="00C9253C" w:rsidRPr="00141EE2" w:rsidRDefault="00C9253C" w:rsidP="000F1B01">
      <w:pPr>
        <w:pStyle w:val="FootnoteText"/>
        <w:tabs>
          <w:tab w:val="left" w:pos="284"/>
        </w:tabs>
        <w:ind w:left="284" w:hanging="284"/>
        <w:jc w:val="both"/>
      </w:pPr>
      <w:r w:rsidRPr="000F1B01">
        <w:rPr>
          <w:rStyle w:val="FootnoteReference"/>
          <w:rFonts w:ascii="Arial" w:hAnsi="Arial" w:cs="Arial"/>
          <w:vertAlign w:val="baseline"/>
        </w:rPr>
        <w:footnoteRef/>
      </w:r>
      <w:r w:rsidRPr="000F1B01">
        <w:rPr>
          <w:rFonts w:ascii="Arial" w:hAnsi="Arial" w:cs="Arial"/>
        </w:rPr>
        <w:t>.</w:t>
      </w:r>
      <w:r w:rsidRPr="000F1B01">
        <w:rPr>
          <w:rFonts w:ascii="Arial" w:hAnsi="Arial" w:cs="Arial"/>
        </w:rPr>
        <w:tab/>
      </w:r>
      <w:r w:rsidRPr="00C9253C">
        <w:rPr>
          <w:rFonts w:ascii="Arial" w:hAnsi="Arial" w:cs="Arial"/>
        </w:rPr>
        <w:t xml:space="preserve">Pour plus d’informations sur les indicateurs et les résultats, </w:t>
      </w:r>
      <w:r w:rsidR="000F1B01">
        <w:rPr>
          <w:rFonts w:ascii="Arial" w:hAnsi="Arial" w:cs="Arial"/>
        </w:rPr>
        <w:t xml:space="preserve">on peut </w:t>
      </w:r>
      <w:r w:rsidRPr="00C9253C">
        <w:rPr>
          <w:rFonts w:ascii="Arial" w:hAnsi="Arial" w:cs="Arial"/>
        </w:rPr>
        <w:t>consulte</w:t>
      </w:r>
      <w:r w:rsidR="000F1B01">
        <w:rPr>
          <w:rFonts w:ascii="Arial" w:hAnsi="Arial" w:cs="Arial"/>
        </w:rPr>
        <w:t>r</w:t>
      </w:r>
      <w:r w:rsidRPr="00C9253C">
        <w:rPr>
          <w:rFonts w:ascii="Arial" w:hAnsi="Arial" w:cs="Arial"/>
        </w:rPr>
        <w:t xml:space="preserve"> le document </w:t>
      </w:r>
      <w:hyperlink r:id="rId1" w:history="1">
        <w:r w:rsidR="009A1262" w:rsidRPr="009A1262">
          <w:rPr>
            <w:rStyle w:val="Hyperlink"/>
            <w:rFonts w:ascii="Arial" w:hAnsi="Arial" w:cs="Arial"/>
          </w:rPr>
          <w:t>ITH/14/9.COM</w:t>
        </w:r>
        <w:r w:rsidR="009A1262">
          <w:rPr>
            <w:rStyle w:val="Hyperlink"/>
            <w:rFonts w:ascii="Arial" w:hAnsi="Arial" w:cs="Arial"/>
          </w:rPr>
          <w:t> </w:t>
        </w:r>
        <w:r w:rsidR="009A1262" w:rsidRPr="009A1262">
          <w:rPr>
            <w:rStyle w:val="Hyperlink"/>
            <w:rFonts w:ascii="Arial" w:hAnsi="Arial" w:cs="Arial"/>
          </w:rPr>
          <w:t xml:space="preserve"> 2.BUR/1</w:t>
        </w:r>
      </w:hyperlink>
      <w:r w:rsidRPr="00C9253C">
        <w:rPr>
          <w:rStyle w:val="Hyperlink"/>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01" w:rsidRPr="002E58D4" w:rsidRDefault="00B37E33" w:rsidP="00B37E33">
    <w:pPr>
      <w:rPr>
        <w:rFonts w:ascii="Arial" w:hAnsi="Arial" w:cs="Arial"/>
        <w:lang w:val="en-US"/>
      </w:rPr>
    </w:pPr>
    <w:r w:rsidRPr="00B37E33">
      <w:rPr>
        <w:rFonts w:ascii="Arial" w:hAnsi="Arial" w:cs="Arial"/>
        <w:sz w:val="20"/>
        <w:szCs w:val="20"/>
        <w:lang w:val="pt-BR"/>
      </w:rPr>
      <w:t>ITH/16/6.GA/5</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3176ED">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01" w:rsidRPr="00BC3420" w:rsidRDefault="00B37E33" w:rsidP="00B37E33">
    <w:pPr>
      <w:pStyle w:val="Header"/>
      <w:jc w:val="right"/>
      <w:rPr>
        <w:rFonts w:ascii="Arial" w:hAnsi="Arial" w:cs="Arial"/>
        <w:lang w:val="en-US"/>
      </w:rPr>
    </w:pPr>
    <w:r w:rsidRPr="00B37E33">
      <w:rPr>
        <w:rFonts w:ascii="Arial" w:hAnsi="Arial" w:cs="Arial"/>
        <w:sz w:val="20"/>
        <w:szCs w:val="20"/>
        <w:lang w:val="pt-BR"/>
      </w:rPr>
      <w:t>ITH/16/6.GA/5</w:t>
    </w:r>
    <w:r w:rsidRPr="00EF563B">
      <w:rPr>
        <w:rFonts w:ascii="Arial" w:hAnsi="Arial" w:cs="Arial"/>
        <w:sz w:val="20"/>
        <w:szCs w:val="20"/>
        <w:lang w:val="en-US"/>
      </w:rPr>
      <w:t xml:space="preserve"> </w:t>
    </w:r>
    <w:r w:rsidR="002C0D14" w:rsidRPr="00EF563B">
      <w:rPr>
        <w:rFonts w:ascii="Arial" w:hAnsi="Arial" w:cs="Arial"/>
        <w:sz w:val="20"/>
        <w:szCs w:val="20"/>
        <w:lang w:val="en-US"/>
      </w:rPr>
      <w:t xml:space="preserve">–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3176ED">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6C" w:rsidRPr="008724E5" w:rsidRDefault="00AF5AE5">
    <w:pPr>
      <w:pStyle w:val="Header"/>
    </w:pPr>
    <w:r>
      <w:rPr>
        <w:noProof/>
      </w:rPr>
      <w:drawing>
        <wp:anchor distT="0" distB="0" distL="114300" distR="114300" simplePos="0" relativeHeight="251657728" behindDoc="0" locked="0" layoutInCell="1" allowOverlap="1" wp14:anchorId="426C76EB" wp14:editId="561AEED6">
          <wp:simplePos x="0" y="0"/>
          <wp:positionH relativeFrom="column">
            <wp:posOffset>-430530</wp:posOffset>
          </wp:positionH>
          <wp:positionV relativeFrom="paragraph">
            <wp:posOffset>-101600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76C" w:rsidRPr="000A2D62" w:rsidRDefault="00E63D44" w:rsidP="00655736">
    <w:pPr>
      <w:pStyle w:val="Header"/>
      <w:spacing w:after="520"/>
      <w:jc w:val="right"/>
      <w:rPr>
        <w:rFonts w:ascii="Arial" w:hAnsi="Arial" w:cs="Arial"/>
        <w:b/>
        <w:sz w:val="44"/>
        <w:szCs w:val="44"/>
        <w:lang w:val="pt-BR"/>
      </w:rPr>
    </w:pPr>
    <w:r>
      <w:rPr>
        <w:rFonts w:ascii="Arial" w:hAnsi="Arial" w:cs="Arial"/>
        <w:b/>
        <w:sz w:val="44"/>
        <w:szCs w:val="44"/>
        <w:lang w:val="pt-BR"/>
      </w:rPr>
      <w:t>6 GA</w:t>
    </w:r>
  </w:p>
  <w:p w:rsidR="00AF498B" w:rsidRPr="000A2D62" w:rsidRDefault="00165170" w:rsidP="00B37E33">
    <w:pPr>
      <w:jc w:val="right"/>
      <w:rPr>
        <w:rFonts w:ascii="Arial" w:hAnsi="Arial" w:cs="Arial"/>
        <w:b/>
        <w:sz w:val="22"/>
        <w:szCs w:val="22"/>
        <w:lang w:val="pt-BR"/>
      </w:rPr>
    </w:pPr>
    <w:r w:rsidRPr="000A2D62">
      <w:rPr>
        <w:rFonts w:ascii="Arial" w:hAnsi="Arial" w:cs="Arial"/>
        <w:b/>
        <w:sz w:val="22"/>
        <w:szCs w:val="22"/>
        <w:lang w:val="pt-BR"/>
      </w:rPr>
      <w:t>ITH/</w:t>
    </w:r>
    <w:r w:rsidR="00E63D44">
      <w:rPr>
        <w:rFonts w:ascii="Arial" w:hAnsi="Arial" w:cs="Arial"/>
        <w:b/>
        <w:sz w:val="22"/>
        <w:szCs w:val="22"/>
        <w:lang w:val="pt-BR"/>
      </w:rPr>
      <w:t>16/6.GA</w:t>
    </w:r>
    <w:r w:rsidR="00B37E33">
      <w:rPr>
        <w:rFonts w:ascii="Arial" w:hAnsi="Arial" w:cs="Arial"/>
        <w:b/>
        <w:sz w:val="22"/>
        <w:szCs w:val="22"/>
        <w:lang w:val="pt-BR"/>
      </w:rPr>
      <w:t>/5</w:t>
    </w:r>
  </w:p>
  <w:p w:rsidR="00E9376C" w:rsidRPr="000A2D62" w:rsidRDefault="00E9376C" w:rsidP="00655736">
    <w:pPr>
      <w:jc w:val="right"/>
      <w:rPr>
        <w:rFonts w:ascii="Arial" w:hAnsi="Arial" w:cs="Arial"/>
        <w:b/>
        <w:sz w:val="22"/>
        <w:szCs w:val="22"/>
        <w:lang w:val="pt-BR"/>
      </w:rPr>
    </w:pPr>
    <w:r w:rsidRPr="000A2D62">
      <w:rPr>
        <w:rFonts w:ascii="Arial" w:hAnsi="Arial" w:cs="Arial"/>
        <w:b/>
        <w:sz w:val="22"/>
        <w:szCs w:val="22"/>
        <w:lang w:val="pt-BR"/>
      </w:rPr>
      <w:t xml:space="preserve">Paris, </w:t>
    </w:r>
    <w:r w:rsidR="00962119" w:rsidRPr="000A2D62">
      <w:rPr>
        <w:rFonts w:ascii="Arial" w:hAnsi="Arial" w:cs="Arial"/>
        <w:b/>
        <w:sz w:val="22"/>
        <w:szCs w:val="22"/>
        <w:lang w:val="pt-BR"/>
      </w:rPr>
      <w:t xml:space="preserve">le </w:t>
    </w:r>
    <w:r w:rsidR="00662476">
      <w:rPr>
        <w:rFonts w:ascii="Arial" w:hAnsi="Arial" w:cs="Arial"/>
        <w:b/>
        <w:sz w:val="22"/>
        <w:szCs w:val="22"/>
        <w:lang w:val="pt-BR"/>
      </w:rPr>
      <w:t xml:space="preserve">29 </w:t>
    </w:r>
    <w:r w:rsidR="008C0248">
      <w:rPr>
        <w:rFonts w:ascii="Arial" w:hAnsi="Arial" w:cs="Arial"/>
        <w:b/>
        <w:sz w:val="22"/>
        <w:szCs w:val="22"/>
        <w:lang w:val="pt-BR"/>
      </w:rPr>
      <w:t>avril 2016</w:t>
    </w:r>
  </w:p>
  <w:p w:rsidR="00E9376C" w:rsidRPr="007405B8" w:rsidRDefault="00E9376C" w:rsidP="003E2A08">
    <w:pPr>
      <w:jc w:val="right"/>
      <w:rPr>
        <w:rFonts w:ascii="Arial" w:hAnsi="Arial" w:cs="Arial"/>
        <w:b/>
        <w:sz w:val="22"/>
        <w:szCs w:val="22"/>
        <w:lang w:val="pt-BR"/>
      </w:rPr>
    </w:pPr>
    <w:r w:rsidRPr="007405B8">
      <w:rPr>
        <w:rFonts w:ascii="Arial" w:hAnsi="Arial" w:cs="Arial"/>
        <w:b/>
        <w:sz w:val="22"/>
        <w:szCs w:val="22"/>
        <w:lang w:val="pt-BR"/>
      </w:rPr>
      <w:t>Original</w:t>
    </w:r>
    <w:r w:rsidR="003E2A08" w:rsidRPr="007405B8">
      <w:rPr>
        <w:rFonts w:ascii="Arial" w:hAnsi="Arial" w:cs="Arial"/>
        <w:b/>
        <w:sz w:val="22"/>
        <w:szCs w:val="22"/>
        <w:lang w:val="pt-BR"/>
      </w:rPr>
      <w:t> </w:t>
    </w:r>
    <w:r w:rsidRPr="007405B8">
      <w:rPr>
        <w:rFonts w:ascii="Arial" w:hAnsi="Arial" w:cs="Arial"/>
        <w:b/>
        <w:sz w:val="22"/>
        <w:szCs w:val="22"/>
        <w:lang w:val="pt-BR"/>
      </w:rPr>
      <w:t xml:space="preserve">: </w:t>
    </w:r>
    <w:r w:rsidR="000A2D62" w:rsidRPr="007405B8">
      <w:rPr>
        <w:rFonts w:ascii="Arial" w:hAnsi="Arial" w:cs="Arial"/>
        <w:b/>
        <w:sz w:val="22"/>
        <w:szCs w:val="22"/>
        <w:lang w:val="pt-BR"/>
      </w:rPr>
      <w:t>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w:hAnsi="Aria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B"/>
    <w:multiLevelType w:val="multilevel"/>
    <w:tmpl w:val="F44CAE50"/>
    <w:lvl w:ilvl="0">
      <w:start w:val="1"/>
      <w:numFmt w:val="upperRoman"/>
      <w:lvlText w:val="%1."/>
      <w:lvlJc w:val="right"/>
      <w:pPr>
        <w:tabs>
          <w:tab w:val="num" w:pos="720"/>
        </w:tabs>
        <w:ind w:left="720" w:hanging="360"/>
      </w:pPr>
      <w:rPr>
        <w:rFonts w:ascii="Arial" w:eastAsia="Arial" w:hAnsi="Arial" w:cs="Arial" w:hint="default"/>
        <w:b/>
        <w:bCs/>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E411C8"/>
    <w:multiLevelType w:val="hybridMultilevel"/>
    <w:tmpl w:val="37FE8E4C"/>
    <w:lvl w:ilvl="0" w:tplc="BFBAD998">
      <w:start w:val="1"/>
      <w:numFmt w:val="lowerLetter"/>
      <w:lvlText w:val="%1)"/>
      <w:lvlJc w:val="left"/>
      <w:pPr>
        <w:ind w:left="720" w:hanging="360"/>
      </w:pPr>
      <w:rPr>
        <w:rFonts w:ascii="Arial" w:hAnsi="Arial" w:cs="Times New Roman" w:hint="default"/>
        <w:sz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F7B6D05"/>
    <w:multiLevelType w:val="hybridMultilevel"/>
    <w:tmpl w:val="32241080"/>
    <w:lvl w:ilvl="0" w:tplc="42E600FC">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8">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2AB35019"/>
    <w:multiLevelType w:val="multilevel"/>
    <w:tmpl w:val="C9C28AFA"/>
    <w:lvl w:ilvl="0">
      <w:start w:val="1"/>
      <w:numFmt w:val="decimal"/>
      <w:lvlText w:val="%1."/>
      <w:lvlJc w:val="left"/>
      <w:pPr>
        <w:tabs>
          <w:tab w:val="num" w:pos="786"/>
        </w:tabs>
        <w:ind w:left="786" w:hanging="360"/>
      </w:pPr>
      <w:rPr>
        <w:rFonts w:ascii="Arial" w:eastAsia="Arial" w:hAnsi="Arial" w:cs="Arial"/>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17"/>
  </w:num>
  <w:num w:numId="5">
    <w:abstractNumId w:val="16"/>
  </w:num>
  <w:num w:numId="6">
    <w:abstractNumId w:val="4"/>
  </w:num>
  <w:num w:numId="7">
    <w:abstractNumId w:val="6"/>
  </w:num>
  <w:num w:numId="8">
    <w:abstractNumId w:val="14"/>
  </w:num>
  <w:num w:numId="9">
    <w:abstractNumId w:val="11"/>
  </w:num>
  <w:num w:numId="10">
    <w:abstractNumId w:val="13"/>
  </w:num>
  <w:num w:numId="11">
    <w:abstractNumId w:val="10"/>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62"/>
    <w:rsid w:val="00001854"/>
    <w:rsid w:val="0000404D"/>
    <w:rsid w:val="00020BFC"/>
    <w:rsid w:val="00022428"/>
    <w:rsid w:val="000263BA"/>
    <w:rsid w:val="0003530D"/>
    <w:rsid w:val="0005176E"/>
    <w:rsid w:val="00064597"/>
    <w:rsid w:val="00077AB7"/>
    <w:rsid w:val="00081CD8"/>
    <w:rsid w:val="0008329C"/>
    <w:rsid w:val="000A2D62"/>
    <w:rsid w:val="000A4E4A"/>
    <w:rsid w:val="000A7F0E"/>
    <w:rsid w:val="000B5971"/>
    <w:rsid w:val="000E1288"/>
    <w:rsid w:val="000E6CD7"/>
    <w:rsid w:val="000F1B01"/>
    <w:rsid w:val="000F3A3F"/>
    <w:rsid w:val="000F6323"/>
    <w:rsid w:val="0010253E"/>
    <w:rsid w:val="00122221"/>
    <w:rsid w:val="001267F4"/>
    <w:rsid w:val="00126FE5"/>
    <w:rsid w:val="00137CFA"/>
    <w:rsid w:val="00155A12"/>
    <w:rsid w:val="00161D4B"/>
    <w:rsid w:val="00164D56"/>
    <w:rsid w:val="00165170"/>
    <w:rsid w:val="00167B10"/>
    <w:rsid w:val="00172FA7"/>
    <w:rsid w:val="0019264E"/>
    <w:rsid w:val="00196C1B"/>
    <w:rsid w:val="001A49B4"/>
    <w:rsid w:val="001A766C"/>
    <w:rsid w:val="001B0F73"/>
    <w:rsid w:val="001C39A6"/>
    <w:rsid w:val="001D5442"/>
    <w:rsid w:val="001D7E0D"/>
    <w:rsid w:val="001E250B"/>
    <w:rsid w:val="001E4656"/>
    <w:rsid w:val="0020150F"/>
    <w:rsid w:val="00203D5A"/>
    <w:rsid w:val="00222A2D"/>
    <w:rsid w:val="0022667D"/>
    <w:rsid w:val="0023364E"/>
    <w:rsid w:val="002407AF"/>
    <w:rsid w:val="00241C14"/>
    <w:rsid w:val="00253CE3"/>
    <w:rsid w:val="00262E68"/>
    <w:rsid w:val="002642F8"/>
    <w:rsid w:val="00280D62"/>
    <w:rsid w:val="002A0430"/>
    <w:rsid w:val="002A6C11"/>
    <w:rsid w:val="002A6F73"/>
    <w:rsid w:val="002A7845"/>
    <w:rsid w:val="002C0D14"/>
    <w:rsid w:val="002D4C60"/>
    <w:rsid w:val="002E3D25"/>
    <w:rsid w:val="002E58D4"/>
    <w:rsid w:val="00311ECF"/>
    <w:rsid w:val="003176ED"/>
    <w:rsid w:val="00325A3E"/>
    <w:rsid w:val="003266CE"/>
    <w:rsid w:val="0033064F"/>
    <w:rsid w:val="00353D24"/>
    <w:rsid w:val="003845BE"/>
    <w:rsid w:val="0038723D"/>
    <w:rsid w:val="003B7415"/>
    <w:rsid w:val="003C1678"/>
    <w:rsid w:val="003C53C9"/>
    <w:rsid w:val="003D069C"/>
    <w:rsid w:val="003D2025"/>
    <w:rsid w:val="003E07D8"/>
    <w:rsid w:val="003E2A08"/>
    <w:rsid w:val="003E4130"/>
    <w:rsid w:val="003E4EC8"/>
    <w:rsid w:val="003F113A"/>
    <w:rsid w:val="004239C7"/>
    <w:rsid w:val="00440F9B"/>
    <w:rsid w:val="004421E5"/>
    <w:rsid w:val="00443880"/>
    <w:rsid w:val="00452284"/>
    <w:rsid w:val="00481ABF"/>
    <w:rsid w:val="00486948"/>
    <w:rsid w:val="0049705E"/>
    <w:rsid w:val="004A3918"/>
    <w:rsid w:val="004B08A2"/>
    <w:rsid w:val="004B0E7E"/>
    <w:rsid w:val="004B11B8"/>
    <w:rsid w:val="004B3D6E"/>
    <w:rsid w:val="005046AB"/>
    <w:rsid w:val="00526B7B"/>
    <w:rsid w:val="005308CE"/>
    <w:rsid w:val="00531671"/>
    <w:rsid w:val="005321FF"/>
    <w:rsid w:val="00534782"/>
    <w:rsid w:val="005432F7"/>
    <w:rsid w:val="00554561"/>
    <w:rsid w:val="0057439C"/>
    <w:rsid w:val="00581B1D"/>
    <w:rsid w:val="005824BA"/>
    <w:rsid w:val="005A43D0"/>
    <w:rsid w:val="005B0127"/>
    <w:rsid w:val="005C094D"/>
    <w:rsid w:val="005C4B73"/>
    <w:rsid w:val="005E79C2"/>
    <w:rsid w:val="005F39AB"/>
    <w:rsid w:val="00600D93"/>
    <w:rsid w:val="00622A88"/>
    <w:rsid w:val="00627C5C"/>
    <w:rsid w:val="00630B0B"/>
    <w:rsid w:val="00641AB2"/>
    <w:rsid w:val="00655736"/>
    <w:rsid w:val="00662476"/>
    <w:rsid w:val="00663B8D"/>
    <w:rsid w:val="006677E1"/>
    <w:rsid w:val="006923BD"/>
    <w:rsid w:val="00696C8D"/>
    <w:rsid w:val="006A2AC2"/>
    <w:rsid w:val="006A3617"/>
    <w:rsid w:val="006A4C96"/>
    <w:rsid w:val="006B5001"/>
    <w:rsid w:val="006D21D9"/>
    <w:rsid w:val="006D2536"/>
    <w:rsid w:val="006D5008"/>
    <w:rsid w:val="006E46E4"/>
    <w:rsid w:val="006F190E"/>
    <w:rsid w:val="006F582C"/>
    <w:rsid w:val="00717DBD"/>
    <w:rsid w:val="007405B8"/>
    <w:rsid w:val="00761367"/>
    <w:rsid w:val="00764CF9"/>
    <w:rsid w:val="007651ED"/>
    <w:rsid w:val="00782242"/>
    <w:rsid w:val="00784B8C"/>
    <w:rsid w:val="007B300D"/>
    <w:rsid w:val="007D56F5"/>
    <w:rsid w:val="007E07F4"/>
    <w:rsid w:val="007E78D2"/>
    <w:rsid w:val="007F0B28"/>
    <w:rsid w:val="008064F0"/>
    <w:rsid w:val="00823A11"/>
    <w:rsid w:val="008243FD"/>
    <w:rsid w:val="00824EF7"/>
    <w:rsid w:val="00832BEE"/>
    <w:rsid w:val="00843E12"/>
    <w:rsid w:val="0085414A"/>
    <w:rsid w:val="0086269D"/>
    <w:rsid w:val="00863302"/>
    <w:rsid w:val="008712A2"/>
    <w:rsid w:val="00871C8F"/>
    <w:rsid w:val="008724E5"/>
    <w:rsid w:val="008763B5"/>
    <w:rsid w:val="00884A9D"/>
    <w:rsid w:val="008A22B7"/>
    <w:rsid w:val="008A26CD"/>
    <w:rsid w:val="008A2724"/>
    <w:rsid w:val="008A4E1E"/>
    <w:rsid w:val="008C0248"/>
    <w:rsid w:val="008C296C"/>
    <w:rsid w:val="008D2D19"/>
    <w:rsid w:val="008D4305"/>
    <w:rsid w:val="008F6B98"/>
    <w:rsid w:val="0090740E"/>
    <w:rsid w:val="00907EFC"/>
    <w:rsid w:val="00913D86"/>
    <w:rsid w:val="009163A7"/>
    <w:rsid w:val="00922E3E"/>
    <w:rsid w:val="00933C6B"/>
    <w:rsid w:val="00950F68"/>
    <w:rsid w:val="00962119"/>
    <w:rsid w:val="00974249"/>
    <w:rsid w:val="00990D30"/>
    <w:rsid w:val="009A1262"/>
    <w:rsid w:val="009A18CD"/>
    <w:rsid w:val="009C5E41"/>
    <w:rsid w:val="009E1B50"/>
    <w:rsid w:val="009F5EA7"/>
    <w:rsid w:val="00A03F75"/>
    <w:rsid w:val="00A12558"/>
    <w:rsid w:val="00A13903"/>
    <w:rsid w:val="00A23F06"/>
    <w:rsid w:val="00A34ED5"/>
    <w:rsid w:val="00A444B9"/>
    <w:rsid w:val="00A45DBF"/>
    <w:rsid w:val="00A51094"/>
    <w:rsid w:val="00A60448"/>
    <w:rsid w:val="00A61C6E"/>
    <w:rsid w:val="00A644F0"/>
    <w:rsid w:val="00A6570E"/>
    <w:rsid w:val="00A755A2"/>
    <w:rsid w:val="00A81731"/>
    <w:rsid w:val="00A86334"/>
    <w:rsid w:val="00A90761"/>
    <w:rsid w:val="00AB2C36"/>
    <w:rsid w:val="00AC0F46"/>
    <w:rsid w:val="00AD1A86"/>
    <w:rsid w:val="00AE103E"/>
    <w:rsid w:val="00AF0A07"/>
    <w:rsid w:val="00AF0B85"/>
    <w:rsid w:val="00AF498B"/>
    <w:rsid w:val="00AF5AE5"/>
    <w:rsid w:val="00AF625E"/>
    <w:rsid w:val="00AF721B"/>
    <w:rsid w:val="00B152B1"/>
    <w:rsid w:val="00B37E33"/>
    <w:rsid w:val="00B43974"/>
    <w:rsid w:val="00B47629"/>
    <w:rsid w:val="00B90545"/>
    <w:rsid w:val="00B90701"/>
    <w:rsid w:val="00B97824"/>
    <w:rsid w:val="00B97883"/>
    <w:rsid w:val="00BC3420"/>
    <w:rsid w:val="00BC7ABB"/>
    <w:rsid w:val="00BD52C9"/>
    <w:rsid w:val="00BE36FF"/>
    <w:rsid w:val="00BE6354"/>
    <w:rsid w:val="00BF68F5"/>
    <w:rsid w:val="00C342AE"/>
    <w:rsid w:val="00C358C4"/>
    <w:rsid w:val="00C3752D"/>
    <w:rsid w:val="00C377F5"/>
    <w:rsid w:val="00C70EA7"/>
    <w:rsid w:val="00C7516E"/>
    <w:rsid w:val="00C9253C"/>
    <w:rsid w:val="00CD1A57"/>
    <w:rsid w:val="00CD3658"/>
    <w:rsid w:val="00CF4CF3"/>
    <w:rsid w:val="00D02A8D"/>
    <w:rsid w:val="00D1122A"/>
    <w:rsid w:val="00D24877"/>
    <w:rsid w:val="00D46E10"/>
    <w:rsid w:val="00D51F11"/>
    <w:rsid w:val="00D56A25"/>
    <w:rsid w:val="00D6366A"/>
    <w:rsid w:val="00D75D42"/>
    <w:rsid w:val="00DA36ED"/>
    <w:rsid w:val="00DA68AC"/>
    <w:rsid w:val="00DB441F"/>
    <w:rsid w:val="00DB4A84"/>
    <w:rsid w:val="00DB4E69"/>
    <w:rsid w:val="00DE34F1"/>
    <w:rsid w:val="00DF4942"/>
    <w:rsid w:val="00E1027E"/>
    <w:rsid w:val="00E10373"/>
    <w:rsid w:val="00E22288"/>
    <w:rsid w:val="00E37C57"/>
    <w:rsid w:val="00E448F3"/>
    <w:rsid w:val="00E548A0"/>
    <w:rsid w:val="00E614FD"/>
    <w:rsid w:val="00E627B1"/>
    <w:rsid w:val="00E62B4C"/>
    <w:rsid w:val="00E63D44"/>
    <w:rsid w:val="00E9376C"/>
    <w:rsid w:val="00EA7976"/>
    <w:rsid w:val="00EC5170"/>
    <w:rsid w:val="00EC7197"/>
    <w:rsid w:val="00ED1036"/>
    <w:rsid w:val="00EE2DFE"/>
    <w:rsid w:val="00F10443"/>
    <w:rsid w:val="00F134B7"/>
    <w:rsid w:val="00F576CB"/>
    <w:rsid w:val="00F67850"/>
    <w:rsid w:val="00FA20B0"/>
    <w:rsid w:val="00FA3EFF"/>
    <w:rsid w:val="00FC2940"/>
    <w:rsid w:val="00FC4715"/>
    <w:rsid w:val="00FD1226"/>
    <w:rsid w:val="00FF43A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9253C"/>
    <w:rPr>
      <w:sz w:val="20"/>
      <w:szCs w:val="20"/>
    </w:rPr>
  </w:style>
  <w:style w:type="character" w:customStyle="1" w:styleId="FootnoteTextChar">
    <w:name w:val="Footnote Text Char"/>
    <w:basedOn w:val="DefaultParagraphFont"/>
    <w:link w:val="FootnoteText"/>
    <w:uiPriority w:val="99"/>
    <w:semiHidden/>
    <w:rsid w:val="00C9253C"/>
    <w:rPr>
      <w:rFonts w:ascii="Times New Roman" w:eastAsia="Times New Roman" w:hAnsi="Times New Roman"/>
    </w:rPr>
  </w:style>
  <w:style w:type="character" w:styleId="Hyperlink">
    <w:name w:val="Hyperlink"/>
    <w:uiPriority w:val="99"/>
    <w:unhideWhenUsed/>
    <w:rsid w:val="00C9253C"/>
    <w:rPr>
      <w:color w:val="0000FF"/>
      <w:u w:val="single"/>
    </w:rPr>
  </w:style>
  <w:style w:type="character" w:styleId="FootnoteReference">
    <w:name w:val="footnote reference"/>
    <w:uiPriority w:val="99"/>
    <w:semiHidden/>
    <w:unhideWhenUsed/>
    <w:rsid w:val="00C9253C"/>
    <w:rPr>
      <w:vertAlign w:val="superscript"/>
    </w:rPr>
  </w:style>
  <w:style w:type="character" w:customStyle="1" w:styleId="hps">
    <w:name w:val="hps"/>
    <w:rsid w:val="00B47629"/>
  </w:style>
  <w:style w:type="paragraph" w:customStyle="1" w:styleId="GAParaResolution">
    <w:name w:val="GA Para Resolution"/>
    <w:basedOn w:val="Normal"/>
    <w:qFormat/>
    <w:rsid w:val="0090740E"/>
    <w:pPr>
      <w:autoSpaceDE w:val="0"/>
      <w:autoSpaceDN w:val="0"/>
      <w:adjustRightInd w:val="0"/>
      <w:spacing w:after="120"/>
      <w:ind w:left="720" w:hanging="360"/>
      <w:jc w:val="both"/>
    </w:pPr>
    <w:rPr>
      <w:rFonts w:ascii="Arial" w:hAnsi="Arial" w:cs="Arial"/>
      <w:sz w:val="22"/>
      <w:szCs w:val="22"/>
      <w:u w:val="single"/>
    </w:rPr>
  </w:style>
  <w:style w:type="character" w:styleId="Strong">
    <w:name w:val="Strong"/>
    <w:uiPriority w:val="22"/>
    <w:qFormat/>
    <w:rsid w:val="00A644F0"/>
    <w:rPr>
      <w:b/>
      <w:bCs/>
    </w:rPr>
  </w:style>
  <w:style w:type="character" w:styleId="FollowedHyperlink">
    <w:name w:val="FollowedHyperlink"/>
    <w:basedOn w:val="DefaultParagraphFont"/>
    <w:uiPriority w:val="99"/>
    <w:semiHidden/>
    <w:unhideWhenUsed/>
    <w:rsid w:val="001025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C9253C"/>
    <w:rPr>
      <w:sz w:val="20"/>
      <w:szCs w:val="20"/>
    </w:rPr>
  </w:style>
  <w:style w:type="character" w:customStyle="1" w:styleId="FootnoteTextChar">
    <w:name w:val="Footnote Text Char"/>
    <w:basedOn w:val="DefaultParagraphFont"/>
    <w:link w:val="FootnoteText"/>
    <w:uiPriority w:val="99"/>
    <w:semiHidden/>
    <w:rsid w:val="00C9253C"/>
    <w:rPr>
      <w:rFonts w:ascii="Times New Roman" w:eastAsia="Times New Roman" w:hAnsi="Times New Roman"/>
    </w:rPr>
  </w:style>
  <w:style w:type="character" w:styleId="Hyperlink">
    <w:name w:val="Hyperlink"/>
    <w:uiPriority w:val="99"/>
    <w:unhideWhenUsed/>
    <w:rsid w:val="00C9253C"/>
    <w:rPr>
      <w:color w:val="0000FF"/>
      <w:u w:val="single"/>
    </w:rPr>
  </w:style>
  <w:style w:type="character" w:styleId="FootnoteReference">
    <w:name w:val="footnote reference"/>
    <w:uiPriority w:val="99"/>
    <w:semiHidden/>
    <w:unhideWhenUsed/>
    <w:rsid w:val="00C9253C"/>
    <w:rPr>
      <w:vertAlign w:val="superscript"/>
    </w:rPr>
  </w:style>
  <w:style w:type="character" w:customStyle="1" w:styleId="hps">
    <w:name w:val="hps"/>
    <w:rsid w:val="00B47629"/>
  </w:style>
  <w:style w:type="paragraph" w:customStyle="1" w:styleId="GAParaResolution">
    <w:name w:val="GA Para Resolution"/>
    <w:basedOn w:val="Normal"/>
    <w:qFormat/>
    <w:rsid w:val="0090740E"/>
    <w:pPr>
      <w:autoSpaceDE w:val="0"/>
      <w:autoSpaceDN w:val="0"/>
      <w:adjustRightInd w:val="0"/>
      <w:spacing w:after="120"/>
      <w:ind w:left="720" w:hanging="360"/>
      <w:jc w:val="both"/>
    </w:pPr>
    <w:rPr>
      <w:rFonts w:ascii="Arial" w:hAnsi="Arial" w:cs="Arial"/>
      <w:sz w:val="22"/>
      <w:szCs w:val="22"/>
      <w:u w:val="single"/>
    </w:rPr>
  </w:style>
  <w:style w:type="character" w:styleId="Strong">
    <w:name w:val="Strong"/>
    <w:uiPriority w:val="22"/>
    <w:qFormat/>
    <w:rsid w:val="00A644F0"/>
    <w:rPr>
      <w:b/>
      <w:bCs/>
    </w:rPr>
  </w:style>
  <w:style w:type="character" w:styleId="FollowedHyperlink">
    <w:name w:val="FollowedHyperlink"/>
    <w:basedOn w:val="DefaultParagraphFont"/>
    <w:uiPriority w:val="99"/>
    <w:semiHidden/>
    <w:unhideWhenUsed/>
    <w:rsid w:val="00102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culture/ich/fr/6a-rapports-periodiques-00768" TargetMode="External"/><Relationship Id="rId18" Type="http://schemas.openxmlformats.org/officeDocument/2006/relationships/hyperlink" Target="http://www.unesco.org/culture/ich/fr/Decisions/10.COM/6.a" TargetMode="External"/><Relationship Id="rId26" Type="http://schemas.openxmlformats.org/officeDocument/2006/relationships/hyperlink" Target="http://www.unesco.org/culture/ich/doc/src/ITH-16-11.COM_1.BUR-2_Rev.-EN.docx" TargetMode="External"/><Relationship Id="rId21" Type="http://schemas.openxmlformats.org/officeDocument/2006/relationships/hyperlink" Target="http://www.unesco.org/culture/ich/doc/src/ITH-14-9.COM-5.a-FR__.doc"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nesco.org/culture/ich/fr/5a-rapports-periodiques-00707" TargetMode="External"/><Relationship Id="rId17" Type="http://schemas.openxmlformats.org/officeDocument/2006/relationships/hyperlink" Target="http://www.unesco.org/culture/ich/fr/Decisions/9.COM/5.b" TargetMode="External"/><Relationship Id="rId25" Type="http://schemas.openxmlformats.org/officeDocument/2006/relationships/hyperlink" Target="http://www.unesco.org/culture/ich/index.php?lg=fr&amp;pg=0070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fr/Decisions/9.COM/5.a" TargetMode="External"/><Relationship Id="rId20" Type="http://schemas.openxmlformats.org/officeDocument/2006/relationships/hyperlink" Target="http://www.unesco.org/culture/ich/doc/src/ITH-14-9.COM-5.a-EN_.doc" TargetMode="External"/><Relationship Id="rId29" Type="http://schemas.openxmlformats.org/officeDocument/2006/relationships/hyperlink" Target="http://www.unesco.org/culture/ich/doc/src/ITH-15-10.COM-6.b_E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index.php?lg=en&amp;pg=00022" TargetMode="External"/><Relationship Id="rId24" Type="http://schemas.openxmlformats.org/officeDocument/2006/relationships/hyperlink" Target="http://www.unesco.org/culture/ich/doc/src/ITH-14-9.COM-5.b-FR.doc" TargetMode="External"/><Relationship Id="rId32" Type="http://schemas.openxmlformats.org/officeDocument/2006/relationships/hyperlink" Target="http://www.unesco.org/culture/ich/doc/src/ITH-15-10.COM-6.c_FR.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esco.org/culture/ich/fr/6b-rapports-periodiques-lsu-00769" TargetMode="External"/><Relationship Id="rId23" Type="http://schemas.openxmlformats.org/officeDocument/2006/relationships/hyperlink" Target="http://www.unesco.org/culture/ich/doc/src/ITH-14-9.COM-5.b-EN.doc" TargetMode="External"/><Relationship Id="rId28" Type="http://schemas.openxmlformats.org/officeDocument/2006/relationships/hyperlink" Target="http://www.unesco.org/culture/ich/index.php?lg=fr&amp;pg=768" TargetMode="External"/><Relationship Id="rId36" Type="http://schemas.openxmlformats.org/officeDocument/2006/relationships/fontTable" Target="fontTable.xml"/><Relationship Id="rId10" Type="http://schemas.openxmlformats.org/officeDocument/2006/relationships/hyperlink" Target="http://www.unesco.org/culture/ich/doc/src/ITH-15-10.COM-7.b_FR.doc" TargetMode="External"/><Relationship Id="rId19" Type="http://schemas.openxmlformats.org/officeDocument/2006/relationships/hyperlink" Target="http://www.unesco.org/culture/ich/fr/Decisions/10.COM/6.b" TargetMode="External"/><Relationship Id="rId31" Type="http://schemas.openxmlformats.org/officeDocument/2006/relationships/hyperlink" Target="http://www.unesco.org/culture/ich/index.php?lg=fr&amp;pg=769" TargetMode="External"/><Relationship Id="rId4" Type="http://schemas.microsoft.com/office/2007/relationships/stylesWithEffects" Target="stylesWithEffects.xml"/><Relationship Id="rId9" Type="http://schemas.openxmlformats.org/officeDocument/2006/relationships/hyperlink" Target="http://en.unesco.org/system/files/Strengthening%20capacities%20to%20safeguard%20intangible%20cultural%20heritage%20for%20sustainable%20development_0.pdf" TargetMode="External"/><Relationship Id="rId14" Type="http://schemas.openxmlformats.org/officeDocument/2006/relationships/hyperlink" Target="http://www.unesco.org/culture/ich/fr/5b-rapports-periodiques-lsu-00708" TargetMode="External"/><Relationship Id="rId22" Type="http://schemas.openxmlformats.org/officeDocument/2006/relationships/hyperlink" Target="http://www.unesco.org/culture/ich/index.php?lg=fr&amp;pg=00707" TargetMode="External"/><Relationship Id="rId27" Type="http://schemas.openxmlformats.org/officeDocument/2006/relationships/hyperlink" Target="http://www.unesco.org/culture/ich/doc/src/ITH-16-11.COM_1.BUR-2_Rev.-FR.docx" TargetMode="External"/><Relationship Id="rId30" Type="http://schemas.openxmlformats.org/officeDocument/2006/relationships/hyperlink" Target="http://www.unesco.org/culture/ich/doc/src/ITH-15-10.COM-6.b_FR.doc"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doc/src/ITH-14-9.COM_2.BUR-1_FR.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_varnet\Document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CBB1-0293-48A2-B780-CC493396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4</TotalTime>
  <Pages>7</Pages>
  <Words>3247</Words>
  <Characters>17862</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Varnet</dc:creator>
  <cp:lastModifiedBy>Elena Constantinou</cp:lastModifiedBy>
  <cp:revision>7</cp:revision>
  <cp:lastPrinted>2016-04-21T08:04:00Z</cp:lastPrinted>
  <dcterms:created xsi:type="dcterms:W3CDTF">2016-04-28T10:35:00Z</dcterms:created>
  <dcterms:modified xsi:type="dcterms:W3CDTF">2016-04-29T10:06:00Z</dcterms:modified>
</cp:coreProperties>
</file>