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74A16" w14:textId="77777777" w:rsidR="00EC6F8D" w:rsidRPr="00696A00" w:rsidRDefault="00EC6F8D" w:rsidP="007460D9">
      <w:pPr>
        <w:spacing w:before="1440"/>
        <w:jc w:val="center"/>
        <w:rPr>
          <w:rFonts w:ascii="Arial" w:hAnsi="Arial" w:cs="Arial"/>
          <w:b/>
          <w:sz w:val="22"/>
          <w:szCs w:val="22"/>
          <w:lang w:val="en-GB"/>
        </w:rPr>
      </w:pPr>
      <w:r w:rsidRPr="00696A00">
        <w:rPr>
          <w:rFonts w:ascii="Arial" w:hAnsi="Arial" w:cs="Arial"/>
          <w:b/>
          <w:sz w:val="22"/>
          <w:szCs w:val="22"/>
          <w:lang w:val="en-GB"/>
        </w:rPr>
        <w:t>CONVENTION FOR THE SAFEGUARDING OF THE</w:t>
      </w:r>
      <w:r w:rsidRPr="00696A00">
        <w:rPr>
          <w:rFonts w:ascii="Arial" w:hAnsi="Arial" w:cs="Arial"/>
          <w:b/>
          <w:sz w:val="22"/>
          <w:szCs w:val="22"/>
          <w:lang w:val="en-GB"/>
        </w:rPr>
        <w:br/>
        <w:t>INTANGIBLE CULTURAL HERITAGE</w:t>
      </w:r>
      <w:bookmarkStart w:id="0" w:name="_GoBack"/>
      <w:bookmarkEnd w:id="0"/>
    </w:p>
    <w:p w14:paraId="2B41F793" w14:textId="77777777" w:rsidR="00EC6F8D" w:rsidRPr="00696A00" w:rsidRDefault="00EC6F8D">
      <w:pPr>
        <w:spacing w:before="1200"/>
        <w:jc w:val="center"/>
        <w:rPr>
          <w:rFonts w:ascii="Arial" w:hAnsi="Arial" w:cs="Arial"/>
          <w:b/>
          <w:sz w:val="22"/>
          <w:szCs w:val="22"/>
          <w:lang w:val="en-GB"/>
        </w:rPr>
      </w:pPr>
      <w:r w:rsidRPr="00696A00">
        <w:rPr>
          <w:rFonts w:ascii="Arial" w:hAnsi="Arial" w:cs="Arial"/>
          <w:b/>
          <w:sz w:val="22"/>
          <w:szCs w:val="22"/>
          <w:lang w:val="en-GB"/>
        </w:rPr>
        <w:t>INTERGOVERNMENTAL COMMITTEE FOR THE</w:t>
      </w:r>
      <w:r w:rsidRPr="00696A00">
        <w:rPr>
          <w:rFonts w:ascii="Arial" w:hAnsi="Arial" w:cs="Arial"/>
          <w:b/>
          <w:sz w:val="22"/>
          <w:szCs w:val="22"/>
          <w:lang w:val="en-GB"/>
        </w:rPr>
        <w:br/>
        <w:t>SAFEGUARDING OF THE INTANGIBLE CULTURAL HERITAGE</w:t>
      </w:r>
    </w:p>
    <w:p w14:paraId="1CC3841E" w14:textId="319B1378" w:rsidR="009A0C3A" w:rsidRPr="00A1575B" w:rsidRDefault="009A0C3A">
      <w:pPr>
        <w:spacing w:before="840"/>
        <w:jc w:val="center"/>
        <w:rPr>
          <w:rFonts w:ascii="Arial" w:eastAsia="Malgun Gothic" w:hAnsi="Arial" w:cs="Arial"/>
          <w:b/>
          <w:sz w:val="22"/>
          <w:szCs w:val="22"/>
          <w:lang w:val="en-GB" w:eastAsia="ko-KR"/>
        </w:rPr>
      </w:pPr>
      <w:r w:rsidRPr="00A1575B">
        <w:rPr>
          <w:rFonts w:ascii="Arial" w:hAnsi="Arial" w:cs="Arial"/>
          <w:b/>
          <w:sz w:val="22"/>
          <w:szCs w:val="22"/>
          <w:lang w:val="en-GB"/>
        </w:rPr>
        <w:t>Meeting of the Bureau</w:t>
      </w:r>
      <w:r w:rsidRPr="00A1575B">
        <w:rPr>
          <w:rFonts w:ascii="Arial" w:hAnsi="Arial" w:cs="Arial"/>
          <w:b/>
          <w:sz w:val="22"/>
          <w:szCs w:val="22"/>
          <w:lang w:val="en-GB"/>
        </w:rPr>
        <w:br/>
        <w:t>UNESCO Headquarters, Paris, Room </w:t>
      </w:r>
      <w:r w:rsidR="00B103DB">
        <w:rPr>
          <w:rFonts w:ascii="Arial" w:hAnsi="Arial" w:cs="Arial"/>
          <w:b/>
          <w:sz w:val="22"/>
          <w:szCs w:val="22"/>
          <w:lang w:val="en-GB"/>
        </w:rPr>
        <w:t>XIV</w:t>
      </w:r>
    </w:p>
    <w:p w14:paraId="13B031D7" w14:textId="77777777" w:rsidR="00EC6F8D" w:rsidRPr="00696A00" w:rsidRDefault="009A0C3A">
      <w:pPr>
        <w:jc w:val="center"/>
        <w:rPr>
          <w:rFonts w:ascii="Arial" w:hAnsi="Arial" w:cs="Arial"/>
          <w:b/>
          <w:sz w:val="22"/>
          <w:szCs w:val="22"/>
          <w:lang w:val="en-GB"/>
        </w:rPr>
      </w:pPr>
      <w:proofErr w:type="gramStart"/>
      <w:r w:rsidRPr="00A1575B">
        <w:rPr>
          <w:rFonts w:ascii="Arial" w:eastAsia="Malgun Gothic" w:hAnsi="Arial" w:cs="Arial"/>
          <w:b/>
          <w:sz w:val="22"/>
          <w:szCs w:val="22"/>
          <w:lang w:val="en-GB" w:eastAsia="ko-KR"/>
        </w:rPr>
        <w:t>24</w:t>
      </w:r>
      <w:proofErr w:type="gramEnd"/>
      <w:r w:rsidRPr="00A1575B">
        <w:rPr>
          <w:rFonts w:ascii="Arial" w:hAnsi="Arial" w:cs="Arial"/>
          <w:b/>
          <w:sz w:val="22"/>
          <w:szCs w:val="22"/>
          <w:lang w:val="en-GB"/>
        </w:rPr>
        <w:t> </w:t>
      </w:r>
      <w:r w:rsidRPr="00A1575B">
        <w:rPr>
          <w:rFonts w:ascii="Arial" w:eastAsia="Malgun Gothic" w:hAnsi="Arial" w:cs="Arial"/>
          <w:b/>
          <w:sz w:val="22"/>
          <w:szCs w:val="22"/>
          <w:lang w:val="en-GB" w:eastAsia="ko-KR"/>
        </w:rPr>
        <w:t>May</w:t>
      </w:r>
      <w:r w:rsidRPr="00A1575B">
        <w:rPr>
          <w:rFonts w:ascii="Arial" w:hAnsi="Arial" w:cs="Arial"/>
          <w:b/>
          <w:sz w:val="22"/>
          <w:szCs w:val="22"/>
          <w:lang w:val="en-GB"/>
        </w:rPr>
        <w:t> 201</w:t>
      </w:r>
      <w:r w:rsidRPr="00A1575B">
        <w:rPr>
          <w:rFonts w:ascii="Arial" w:eastAsia="Malgun Gothic" w:hAnsi="Arial" w:cs="Arial"/>
          <w:b/>
          <w:sz w:val="22"/>
          <w:szCs w:val="22"/>
          <w:lang w:val="en-GB" w:eastAsia="ko-KR"/>
        </w:rPr>
        <w:t>7</w:t>
      </w:r>
      <w:r w:rsidRPr="00A1575B">
        <w:rPr>
          <w:rFonts w:ascii="Arial" w:hAnsi="Arial" w:cs="Arial"/>
          <w:b/>
          <w:sz w:val="22"/>
          <w:szCs w:val="22"/>
          <w:lang w:val="en-GB"/>
        </w:rPr>
        <w:t>, 10 a.m. - 1 p.m.</w:t>
      </w:r>
      <w:r w:rsidRPr="00A1575B">
        <w:rPr>
          <w:rFonts w:ascii="Arial" w:eastAsia="Malgun Gothic" w:hAnsi="Arial" w:cs="Arial"/>
          <w:b/>
          <w:sz w:val="22"/>
          <w:szCs w:val="22"/>
          <w:lang w:val="en-GB" w:eastAsia="ko-KR"/>
        </w:rPr>
        <w:t xml:space="preserve"> and 3 p.m. - 6 p.m.</w:t>
      </w:r>
    </w:p>
    <w:p w14:paraId="6974CEC2" w14:textId="2546B31B" w:rsidR="00EC6F8D" w:rsidRPr="00696A00" w:rsidRDefault="00EC6F8D">
      <w:pPr>
        <w:pStyle w:val="Sansinterligne2"/>
        <w:spacing w:before="960"/>
        <w:jc w:val="center"/>
        <w:rPr>
          <w:rFonts w:ascii="Arial" w:hAnsi="Arial" w:cs="Arial"/>
          <w:b/>
          <w:sz w:val="22"/>
          <w:szCs w:val="22"/>
          <w:lang w:val="en-GB"/>
        </w:rPr>
      </w:pPr>
      <w:r w:rsidRPr="00696A00">
        <w:rPr>
          <w:rFonts w:ascii="Arial" w:hAnsi="Arial" w:cs="Arial"/>
          <w:b/>
          <w:sz w:val="22"/>
          <w:szCs w:val="22"/>
          <w:u w:val="single"/>
          <w:lang w:val="en-GB"/>
        </w:rPr>
        <w:t xml:space="preserve">Item </w:t>
      </w:r>
      <w:r w:rsidR="0019121A">
        <w:rPr>
          <w:rFonts w:ascii="Arial" w:hAnsi="Arial" w:cs="Arial"/>
          <w:b/>
          <w:sz w:val="22"/>
          <w:szCs w:val="22"/>
          <w:u w:val="single"/>
          <w:lang w:val="en-GB"/>
        </w:rPr>
        <w:t>3</w:t>
      </w:r>
      <w:r w:rsidRPr="00696A00">
        <w:rPr>
          <w:rFonts w:ascii="Arial" w:hAnsi="Arial" w:cs="Arial"/>
          <w:b/>
          <w:sz w:val="22"/>
          <w:szCs w:val="22"/>
          <w:lang w:val="en-GB"/>
        </w:rPr>
        <w:t>:</w:t>
      </w:r>
    </w:p>
    <w:p w14:paraId="412CD785" w14:textId="41603C55" w:rsidR="00EC6F8D" w:rsidRPr="00696A00" w:rsidRDefault="00350080">
      <w:pPr>
        <w:pStyle w:val="Sansinterligne2"/>
        <w:spacing w:after="960"/>
        <w:jc w:val="center"/>
        <w:rPr>
          <w:rFonts w:ascii="Arial" w:hAnsi="Arial" w:cs="Arial"/>
          <w:b/>
          <w:sz w:val="22"/>
          <w:szCs w:val="22"/>
          <w:lang w:val="en-GB"/>
        </w:rPr>
      </w:pPr>
      <w:r w:rsidRPr="00696A00">
        <w:rPr>
          <w:rFonts w:ascii="Arial" w:hAnsi="Arial" w:cs="Arial"/>
          <w:b/>
          <w:sz w:val="22"/>
          <w:szCs w:val="22"/>
          <w:lang w:val="en-GB"/>
        </w:rPr>
        <w:t>Utilization of the funds allocated for ‘</w:t>
      </w:r>
      <w:r w:rsidR="00A93214">
        <w:rPr>
          <w:rFonts w:ascii="Arial" w:hAnsi="Arial" w:cs="Arial"/>
          <w:b/>
          <w:sz w:val="22"/>
          <w:szCs w:val="22"/>
          <w:lang w:val="en-GB"/>
        </w:rPr>
        <w:t>O</w:t>
      </w:r>
      <w:r w:rsidRPr="00696A00">
        <w:rPr>
          <w:rFonts w:ascii="Arial" w:hAnsi="Arial" w:cs="Arial"/>
          <w:b/>
          <w:sz w:val="22"/>
          <w:szCs w:val="22"/>
          <w:lang w:val="en-GB"/>
        </w:rPr>
        <w:t>ther functions of the Committee’</w:t>
      </w:r>
      <w:r w:rsidRPr="00696A00">
        <w:rPr>
          <w:rFonts w:ascii="Arial" w:hAnsi="Arial" w:cs="Arial"/>
          <w:b/>
          <w:sz w:val="22"/>
          <w:szCs w:val="22"/>
          <w:lang w:val="en-GB"/>
        </w:rPr>
        <w:br/>
        <w:t>under the Plan for the use of the resources of the Intangible Cultural Heritage Fund</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696A00" w14:paraId="367B9F41" w14:textId="77777777" w:rsidTr="00EC6F8D">
        <w:trPr>
          <w:jc w:val="center"/>
        </w:trPr>
        <w:tc>
          <w:tcPr>
            <w:tcW w:w="5670" w:type="dxa"/>
            <w:vAlign w:val="center"/>
          </w:tcPr>
          <w:p w14:paraId="7054EA7F" w14:textId="77777777" w:rsidR="00EC6F8D" w:rsidRPr="00696A00" w:rsidRDefault="00EC6F8D">
            <w:pPr>
              <w:pStyle w:val="Sansinterligne1"/>
              <w:spacing w:before="200" w:after="200"/>
              <w:jc w:val="center"/>
              <w:rPr>
                <w:rFonts w:ascii="Arial" w:hAnsi="Arial" w:cs="Arial"/>
                <w:b/>
                <w:sz w:val="22"/>
                <w:szCs w:val="22"/>
                <w:lang w:val="en-GB"/>
              </w:rPr>
            </w:pPr>
            <w:r w:rsidRPr="00696A00">
              <w:rPr>
                <w:rFonts w:ascii="Arial" w:hAnsi="Arial" w:cs="Arial"/>
                <w:b/>
                <w:sz w:val="22"/>
                <w:szCs w:val="22"/>
                <w:lang w:val="en-GB"/>
              </w:rPr>
              <w:t>Summary</w:t>
            </w:r>
          </w:p>
          <w:p w14:paraId="04B4FA88" w14:textId="23F7675E" w:rsidR="00350080" w:rsidRPr="00696A00" w:rsidRDefault="00350080">
            <w:pPr>
              <w:pStyle w:val="NoSpacing"/>
              <w:spacing w:before="120" w:after="120"/>
              <w:jc w:val="both"/>
              <w:rPr>
                <w:rFonts w:ascii="Arial" w:hAnsi="Arial" w:cs="Arial"/>
                <w:sz w:val="22"/>
                <w:szCs w:val="22"/>
                <w:lang w:val="en-GB"/>
              </w:rPr>
            </w:pPr>
            <w:proofErr w:type="gramStart"/>
            <w:r w:rsidRPr="00696A00">
              <w:rPr>
                <w:rFonts w:ascii="Arial" w:hAnsi="Arial" w:cs="Arial"/>
                <w:sz w:val="22"/>
                <w:szCs w:val="22"/>
                <w:lang w:val="en-GB"/>
              </w:rPr>
              <w:t>The Plan for the use of the resources of the Intangible Cultural Heritage Fund approved by the General Assembly for the period</w:t>
            </w:r>
            <w:r w:rsidR="00D67D11">
              <w:rPr>
                <w:rFonts w:ascii="Arial" w:hAnsi="Arial" w:cs="Arial"/>
                <w:sz w:val="22"/>
                <w:szCs w:val="22"/>
                <w:lang w:val="en-GB"/>
              </w:rPr>
              <w:t>s</w:t>
            </w:r>
            <w:r w:rsidRPr="00696A00">
              <w:rPr>
                <w:rFonts w:ascii="Arial" w:hAnsi="Arial" w:cs="Arial"/>
                <w:sz w:val="22"/>
                <w:szCs w:val="22"/>
                <w:lang w:val="en-GB"/>
              </w:rPr>
              <w:t xml:space="preserve"> 1 January 2016 to 31 December 2017 and 1 January </w:t>
            </w:r>
            <w:r w:rsidR="00E55EFE">
              <w:rPr>
                <w:rFonts w:ascii="Arial" w:hAnsi="Arial" w:cs="Arial"/>
                <w:sz w:val="22"/>
                <w:szCs w:val="22"/>
                <w:lang w:val="en-GB"/>
              </w:rPr>
              <w:t xml:space="preserve">2018 </w:t>
            </w:r>
            <w:r w:rsidRPr="00696A00">
              <w:rPr>
                <w:rFonts w:ascii="Arial" w:hAnsi="Arial" w:cs="Arial"/>
                <w:sz w:val="22"/>
                <w:szCs w:val="22"/>
                <w:lang w:val="en-GB"/>
              </w:rPr>
              <w:t>to 30 June 2018 provides that 20% of the resources be allocated to ‘</w:t>
            </w:r>
            <w:r w:rsidR="00A93214">
              <w:rPr>
                <w:rFonts w:ascii="Arial" w:hAnsi="Arial" w:cs="Arial"/>
                <w:sz w:val="22"/>
                <w:szCs w:val="22"/>
                <w:lang w:val="en-GB"/>
              </w:rPr>
              <w:t>O</w:t>
            </w:r>
            <w:r w:rsidRPr="00696A00">
              <w:rPr>
                <w:rFonts w:ascii="Arial" w:hAnsi="Arial" w:cs="Arial"/>
                <w:sz w:val="22"/>
                <w:szCs w:val="22"/>
                <w:lang w:val="en-GB"/>
              </w:rPr>
              <w:t>ther functions of the Committee’ as described in Article 7 of the Convention and the Operational Directives.</w:t>
            </w:r>
            <w:proofErr w:type="gramEnd"/>
            <w:r w:rsidRPr="00696A00">
              <w:rPr>
                <w:rFonts w:ascii="Arial" w:hAnsi="Arial" w:cs="Arial"/>
                <w:sz w:val="22"/>
                <w:szCs w:val="22"/>
                <w:lang w:val="en-GB"/>
              </w:rPr>
              <w:t xml:space="preserve"> The present document provides a specific proposal prepared by the Secretariat for the utilization of these funds for </w:t>
            </w:r>
            <w:r w:rsidR="00FD6A9E" w:rsidRPr="00696A00">
              <w:rPr>
                <w:rFonts w:ascii="Arial" w:hAnsi="Arial" w:cs="Arial"/>
                <w:sz w:val="22"/>
                <w:szCs w:val="22"/>
                <w:lang w:val="en-GB"/>
              </w:rPr>
              <w:t>the period 1 January</w:t>
            </w:r>
            <w:r w:rsidR="0063400F">
              <w:rPr>
                <w:rFonts w:ascii="Arial" w:hAnsi="Arial" w:cs="Arial"/>
                <w:sz w:val="22"/>
                <w:szCs w:val="22"/>
                <w:lang w:val="en-GB"/>
              </w:rPr>
              <w:t> </w:t>
            </w:r>
            <w:r w:rsidR="00E55EFE">
              <w:rPr>
                <w:rFonts w:ascii="Arial" w:hAnsi="Arial" w:cs="Arial"/>
                <w:sz w:val="22"/>
                <w:szCs w:val="22"/>
                <w:lang w:val="en-GB"/>
              </w:rPr>
              <w:t xml:space="preserve">2018 </w:t>
            </w:r>
            <w:r w:rsidR="00FD6A9E" w:rsidRPr="00696A00">
              <w:rPr>
                <w:rFonts w:ascii="Arial" w:hAnsi="Arial" w:cs="Arial"/>
                <w:sz w:val="22"/>
                <w:szCs w:val="22"/>
                <w:lang w:val="en-GB"/>
              </w:rPr>
              <w:t>to 3</w:t>
            </w:r>
            <w:r w:rsidR="0063400F">
              <w:rPr>
                <w:rFonts w:ascii="Arial" w:hAnsi="Arial" w:cs="Arial"/>
                <w:sz w:val="22"/>
                <w:szCs w:val="22"/>
                <w:lang w:val="en-GB"/>
              </w:rPr>
              <w:t>0</w:t>
            </w:r>
            <w:r w:rsidR="00FD6A9E" w:rsidRPr="00696A00">
              <w:rPr>
                <w:rFonts w:ascii="Arial" w:hAnsi="Arial" w:cs="Arial"/>
                <w:sz w:val="22"/>
                <w:szCs w:val="22"/>
                <w:lang w:val="en-GB"/>
              </w:rPr>
              <w:t> </w:t>
            </w:r>
            <w:r w:rsidR="0063400F">
              <w:rPr>
                <w:rFonts w:ascii="Arial" w:hAnsi="Arial" w:cs="Arial"/>
                <w:sz w:val="22"/>
                <w:szCs w:val="22"/>
                <w:lang w:val="en-GB"/>
              </w:rPr>
              <w:t>June</w:t>
            </w:r>
            <w:r w:rsidR="0063400F" w:rsidRPr="00696A00">
              <w:rPr>
                <w:rFonts w:ascii="Arial" w:hAnsi="Arial" w:cs="Arial"/>
                <w:sz w:val="22"/>
                <w:szCs w:val="22"/>
                <w:lang w:val="en-GB"/>
              </w:rPr>
              <w:t> </w:t>
            </w:r>
            <w:r w:rsidR="00FD6A9E" w:rsidRPr="00696A00">
              <w:rPr>
                <w:rFonts w:ascii="Arial" w:hAnsi="Arial" w:cs="Arial"/>
                <w:sz w:val="22"/>
                <w:szCs w:val="22"/>
                <w:lang w:val="en-GB"/>
              </w:rPr>
              <w:t>201</w:t>
            </w:r>
            <w:r w:rsidR="00AB211A">
              <w:rPr>
                <w:rFonts w:ascii="Arial" w:hAnsi="Arial" w:cs="Arial"/>
                <w:sz w:val="22"/>
                <w:szCs w:val="22"/>
                <w:lang w:val="en-GB"/>
              </w:rPr>
              <w:t>8</w:t>
            </w:r>
            <w:r w:rsidRPr="00696A00">
              <w:rPr>
                <w:rFonts w:ascii="Arial" w:hAnsi="Arial" w:cs="Arial"/>
                <w:sz w:val="22"/>
                <w:szCs w:val="22"/>
                <w:lang w:val="en-GB"/>
              </w:rPr>
              <w:t xml:space="preserve">. Exercising the authority delegated to it by the Committee, the Bureau </w:t>
            </w:r>
            <w:proofErr w:type="gramStart"/>
            <w:r w:rsidRPr="00696A00">
              <w:rPr>
                <w:rFonts w:ascii="Arial" w:hAnsi="Arial" w:cs="Arial"/>
                <w:sz w:val="22"/>
                <w:szCs w:val="22"/>
                <w:lang w:val="en-GB"/>
              </w:rPr>
              <w:t>is invited</w:t>
            </w:r>
            <w:proofErr w:type="gramEnd"/>
            <w:r w:rsidRPr="00696A00">
              <w:rPr>
                <w:rFonts w:ascii="Arial" w:hAnsi="Arial" w:cs="Arial"/>
                <w:sz w:val="22"/>
                <w:szCs w:val="22"/>
                <w:lang w:val="en-GB"/>
              </w:rPr>
              <w:t xml:space="preserve"> to decide upon the utilization of these funds.</w:t>
            </w:r>
          </w:p>
          <w:p w14:paraId="2DFBF891" w14:textId="2451C919" w:rsidR="00EC6F8D" w:rsidRPr="00696A00" w:rsidRDefault="00EC6F8D" w:rsidP="00C02B0E">
            <w:pPr>
              <w:pStyle w:val="NoSpacing"/>
              <w:spacing w:before="120" w:after="120"/>
              <w:jc w:val="both"/>
              <w:rPr>
                <w:rFonts w:ascii="Arial" w:hAnsi="Arial" w:cs="Arial"/>
                <w:sz w:val="22"/>
                <w:szCs w:val="22"/>
                <w:lang w:val="en-GB"/>
              </w:rPr>
            </w:pPr>
            <w:r w:rsidRPr="00696A00">
              <w:rPr>
                <w:rFonts w:ascii="Arial" w:hAnsi="Arial" w:cs="Arial"/>
                <w:b/>
                <w:sz w:val="22"/>
                <w:szCs w:val="22"/>
                <w:lang w:val="en-GB"/>
              </w:rPr>
              <w:t xml:space="preserve">Decision required: </w:t>
            </w:r>
            <w:r w:rsidR="00124A1D" w:rsidRPr="00696A00">
              <w:rPr>
                <w:rFonts w:ascii="Arial" w:hAnsi="Arial" w:cs="Arial"/>
                <w:bCs/>
                <w:sz w:val="22"/>
                <w:szCs w:val="22"/>
                <w:lang w:val="en-GB"/>
              </w:rPr>
              <w:t>paragraph</w:t>
            </w:r>
            <w:r w:rsidR="00124A1D">
              <w:rPr>
                <w:rFonts w:ascii="Arial" w:hAnsi="Arial" w:cs="Arial"/>
                <w:bCs/>
                <w:sz w:val="22"/>
                <w:szCs w:val="22"/>
                <w:lang w:val="en-GB"/>
              </w:rPr>
              <w:t> </w:t>
            </w:r>
            <w:r w:rsidR="00C02B0E">
              <w:rPr>
                <w:rFonts w:ascii="Arial" w:hAnsi="Arial" w:cs="Arial"/>
                <w:bCs/>
                <w:sz w:val="22"/>
                <w:szCs w:val="22"/>
                <w:lang w:val="en-GB"/>
              </w:rPr>
              <w:t>24</w:t>
            </w:r>
          </w:p>
        </w:tc>
      </w:tr>
    </w:tbl>
    <w:p w14:paraId="3F994C84" w14:textId="77777777" w:rsidR="00350080" w:rsidRPr="00696A00" w:rsidRDefault="00350080">
      <w:pPr>
        <w:pStyle w:val="Heading4"/>
        <w:rPr>
          <w:snapToGrid/>
        </w:rPr>
      </w:pPr>
      <w:r w:rsidRPr="00696A00">
        <w:lastRenderedPageBreak/>
        <w:t>Introduction</w:t>
      </w:r>
    </w:p>
    <w:p w14:paraId="77193DDD" w14:textId="190D3DEB" w:rsidR="008E2636" w:rsidRDefault="00350080" w:rsidP="0054466D">
      <w:pPr>
        <w:pStyle w:val="5GAparabodytext"/>
      </w:pPr>
      <w:proofErr w:type="gramStart"/>
      <w:r w:rsidRPr="00696A00">
        <w:t xml:space="preserve">The Plan for the use of the resources of the Intangible Cultural Heritage Fund and </w:t>
      </w:r>
      <w:r w:rsidR="00D67D11">
        <w:t xml:space="preserve">the </w:t>
      </w:r>
      <w:r w:rsidRPr="00696A00">
        <w:t xml:space="preserve">budget plan adopted by the General Assembly at its </w:t>
      </w:r>
      <w:r w:rsidR="008E77E1" w:rsidRPr="00696A00">
        <w:t>sixth</w:t>
      </w:r>
      <w:r w:rsidRPr="00696A00">
        <w:t xml:space="preserve"> session (</w:t>
      </w:r>
      <w:hyperlink r:id="rId8" w:history="1">
        <w:r w:rsidRPr="006E5326">
          <w:rPr>
            <w:rStyle w:val="Hyperlink"/>
          </w:rPr>
          <w:t>Resolution 6.GA 9</w:t>
        </w:r>
      </w:hyperlink>
      <w:r w:rsidRPr="00696A00">
        <w:t>) allocates 20% of the total for ‘Other functions of the Committee’ as described in Article 7 of the Convention and in the Operational Directives</w:t>
      </w:r>
      <w:r w:rsidR="008E2636">
        <w:t xml:space="preserve"> for the period 1 January 2016 to 31 December 2017 as well as for the period 1 January</w:t>
      </w:r>
      <w:r w:rsidR="00646ADD">
        <w:t xml:space="preserve"> </w:t>
      </w:r>
      <w:r w:rsidR="00E55EFE">
        <w:t xml:space="preserve">2018 </w:t>
      </w:r>
      <w:r w:rsidR="008E2636">
        <w:t>to 30 June 2018</w:t>
      </w:r>
      <w:r w:rsidRPr="00696A00">
        <w:t>.</w:t>
      </w:r>
      <w:proofErr w:type="gramEnd"/>
    </w:p>
    <w:p w14:paraId="1E67464A" w14:textId="194555C5" w:rsidR="000871F1" w:rsidRDefault="000871F1" w:rsidP="0054466D">
      <w:pPr>
        <w:pStyle w:val="5GAparabodytext"/>
      </w:pPr>
      <w:r w:rsidRPr="00696A00">
        <w:t xml:space="preserve">In its </w:t>
      </w:r>
      <w:hyperlink r:id="rId9" w:history="1">
        <w:r w:rsidRPr="00D15D6C">
          <w:rPr>
            <w:rStyle w:val="Hyperlink"/>
          </w:rPr>
          <w:t>Decision</w:t>
        </w:r>
        <w:r>
          <w:rPr>
            <w:rStyle w:val="Hyperlink"/>
          </w:rPr>
          <w:t> </w:t>
        </w:r>
        <w:r w:rsidRPr="00D15D6C">
          <w:rPr>
            <w:rStyle w:val="Hyperlink"/>
          </w:rPr>
          <w:t>10.COM 8</w:t>
        </w:r>
      </w:hyperlink>
      <w:r w:rsidRPr="00696A00">
        <w:t>, the Committee decided to continue with the mechanism set in place in previous sessions for authorizing expenditures in this category. In that Decision, the Committee ‘delegates to its Bureau the authority to decide upon the utilization of the funds allocated under item 3 of the Plan, on the basis of specific proposals to be prepared by the Secretariat’.</w:t>
      </w:r>
      <w:r>
        <w:t xml:space="preserve"> </w:t>
      </w:r>
      <w:proofErr w:type="gramStart"/>
      <w:r>
        <w:t xml:space="preserve">While deciding on the plan for the </w:t>
      </w:r>
      <w:r w:rsidRPr="003A19C0">
        <w:t>utilization of the funds for ‘</w:t>
      </w:r>
      <w:r w:rsidR="00A93214">
        <w:t>O</w:t>
      </w:r>
      <w:r w:rsidR="00A93214" w:rsidRPr="003A19C0">
        <w:t xml:space="preserve">ther </w:t>
      </w:r>
      <w:r w:rsidRPr="003A19C0">
        <w:t>functions of the Committee’</w:t>
      </w:r>
      <w:r>
        <w:t xml:space="preserve"> in June 2016 (</w:t>
      </w:r>
      <w:hyperlink r:id="rId10" w:history="1">
        <w:r w:rsidRPr="000871F1">
          <w:rPr>
            <w:rStyle w:val="Hyperlink"/>
          </w:rPr>
          <w:t>Decision 11.COM 2.BUR 1</w:t>
        </w:r>
      </w:hyperlink>
      <w:r>
        <w:t xml:space="preserve">), the Bureau </w:t>
      </w:r>
      <w:r w:rsidR="00646ADD">
        <w:t xml:space="preserve">of the eleventh session of the Committee </w:t>
      </w:r>
      <w:r>
        <w:t>approved a plan for the period 1 January 2016 to 31 December 2017, on the understanding that t</w:t>
      </w:r>
      <w:r w:rsidRPr="00696A00">
        <w:t xml:space="preserve">he Bureau of the </w:t>
      </w:r>
      <w:r w:rsidR="00646ADD">
        <w:t xml:space="preserve">twelfth </w:t>
      </w:r>
      <w:r w:rsidRPr="00696A00">
        <w:t xml:space="preserve">session of the Committee </w:t>
      </w:r>
      <w:r w:rsidR="00D67D11">
        <w:t>would</w:t>
      </w:r>
      <w:r w:rsidR="00D67D11" w:rsidRPr="00696A00">
        <w:t xml:space="preserve"> </w:t>
      </w:r>
      <w:r w:rsidRPr="00696A00">
        <w:t xml:space="preserve">be </w:t>
      </w:r>
      <w:r>
        <w:t xml:space="preserve">tasked, in </w:t>
      </w:r>
      <w:r w:rsidRPr="00696A00">
        <w:t>mid-2017</w:t>
      </w:r>
      <w:r>
        <w:t xml:space="preserve">, </w:t>
      </w:r>
      <w:r w:rsidRPr="00696A00">
        <w:t xml:space="preserve">with </w:t>
      </w:r>
      <w:r>
        <w:t xml:space="preserve">approving </w:t>
      </w:r>
      <w:r w:rsidRPr="00696A00">
        <w:t>the proposal for</w:t>
      </w:r>
      <w:r w:rsidR="00D67D11">
        <w:t xml:space="preserve"> the</w:t>
      </w:r>
      <w:r w:rsidRPr="00696A00">
        <w:t xml:space="preserve"> utilization of these funds for the period 1 January </w:t>
      </w:r>
      <w:r w:rsidR="00E55EFE">
        <w:t xml:space="preserve">2018 </w:t>
      </w:r>
      <w:r w:rsidRPr="00696A00">
        <w:t xml:space="preserve">to </w:t>
      </w:r>
      <w:r>
        <w:t>30</w:t>
      </w:r>
      <w:r w:rsidR="00694710">
        <w:t> </w:t>
      </w:r>
      <w:r>
        <w:t>June</w:t>
      </w:r>
      <w:r w:rsidR="00694710">
        <w:t> </w:t>
      </w:r>
      <w:r>
        <w:t xml:space="preserve">2018, in order to align the </w:t>
      </w:r>
      <w:r w:rsidRPr="00696A00">
        <w:t xml:space="preserve">expected results </w:t>
      </w:r>
      <w:r>
        <w:t xml:space="preserve">of the proposal </w:t>
      </w:r>
      <w:r w:rsidRPr="00696A00">
        <w:t xml:space="preserve">with those of </w:t>
      </w:r>
      <w:r w:rsidR="00A93214">
        <w:t xml:space="preserve">the Draft </w:t>
      </w:r>
      <w:r w:rsidRPr="00696A00">
        <w:t>39C/5</w:t>
      </w:r>
      <w:r>
        <w:t>.</w:t>
      </w:r>
      <w:proofErr w:type="gramEnd"/>
    </w:p>
    <w:p w14:paraId="7B005A39" w14:textId="6C126B70" w:rsidR="00350080" w:rsidRPr="00696A00" w:rsidRDefault="00350080" w:rsidP="0054466D">
      <w:pPr>
        <w:pStyle w:val="5GAparabodytext"/>
      </w:pPr>
      <w:r w:rsidRPr="00696A00">
        <w:t>The amount of US$</w:t>
      </w:r>
      <w:r w:rsidR="0063400F" w:rsidRPr="00696A00">
        <w:t xml:space="preserve">397,687 </w:t>
      </w:r>
      <w:r w:rsidRPr="00696A00">
        <w:t>is available for this purpose for the period</w:t>
      </w:r>
      <w:r w:rsidR="008E77E1" w:rsidRPr="00696A00">
        <w:t xml:space="preserve"> </w:t>
      </w:r>
      <w:r w:rsidRPr="00696A00">
        <w:t xml:space="preserve">1 January </w:t>
      </w:r>
      <w:r w:rsidR="00E55EFE">
        <w:t xml:space="preserve">2018 </w:t>
      </w:r>
      <w:r w:rsidRPr="00696A00">
        <w:t>to 30 June</w:t>
      </w:r>
      <w:r w:rsidR="006E5326">
        <w:t> </w:t>
      </w:r>
      <w:r w:rsidRPr="00696A00">
        <w:t>201</w:t>
      </w:r>
      <w:r w:rsidR="008E77E1" w:rsidRPr="00696A00">
        <w:t>8</w:t>
      </w:r>
      <w:r w:rsidR="000871F1">
        <w:t xml:space="preserve">. </w:t>
      </w:r>
      <w:r w:rsidR="00211FE7" w:rsidRPr="00696A00">
        <w:t>Part II of the present document</w:t>
      </w:r>
      <w:r w:rsidR="001C5DF9">
        <w:t>,</w:t>
      </w:r>
      <w:r w:rsidR="00211FE7" w:rsidRPr="00696A00">
        <w:t xml:space="preserve"> therefore</w:t>
      </w:r>
      <w:r w:rsidR="001C5DF9">
        <w:t>,</w:t>
      </w:r>
      <w:r w:rsidR="00211FE7" w:rsidRPr="00696A00">
        <w:t xml:space="preserve"> introduces a specific proposal prepared </w:t>
      </w:r>
      <w:proofErr w:type="gramStart"/>
      <w:r w:rsidR="00211FE7" w:rsidRPr="00696A00">
        <w:t xml:space="preserve">by the Secretariat for the utilization of these funds for </w:t>
      </w:r>
      <w:r w:rsidR="00BB0891">
        <w:t>this period</w:t>
      </w:r>
      <w:r w:rsidR="004345C5">
        <w:t xml:space="preserve"> in line with the </w:t>
      </w:r>
      <w:hyperlink r:id="rId11" w:history="1">
        <w:r w:rsidR="00471D3D">
          <w:rPr>
            <w:rStyle w:val="Hyperlink"/>
          </w:rPr>
          <w:t>D</w:t>
        </w:r>
        <w:r w:rsidR="004345C5" w:rsidRPr="004345C5">
          <w:rPr>
            <w:rStyle w:val="Hyperlink"/>
          </w:rPr>
          <w:t>raft 39C/5</w:t>
        </w:r>
      </w:hyperlink>
      <w:r w:rsidR="004345C5">
        <w:t xml:space="preserve"> as submitted to the 201</w:t>
      </w:r>
      <w:r w:rsidR="004345C5" w:rsidRPr="00496531">
        <w:rPr>
          <w:vertAlign w:val="superscript"/>
        </w:rPr>
        <w:t>st</w:t>
      </w:r>
      <w:r w:rsidR="004345C5">
        <w:t xml:space="preserve"> session of </w:t>
      </w:r>
      <w:r w:rsidR="00D67D11">
        <w:t xml:space="preserve">the </w:t>
      </w:r>
      <w:r w:rsidR="004345C5">
        <w:t>UNESCO Executive Board</w:t>
      </w:r>
      <w:proofErr w:type="gramEnd"/>
      <w:r w:rsidR="00211FE7" w:rsidRPr="00696A00">
        <w:t xml:space="preserve">; the proposal </w:t>
      </w:r>
      <w:r w:rsidR="00211FE7" w:rsidRPr="0054466D">
        <w:t>constitutes</w:t>
      </w:r>
      <w:r w:rsidR="00211FE7" w:rsidRPr="00696A00">
        <w:t xml:space="preserve"> the annex to the draft decision proposed below. </w:t>
      </w:r>
      <w:proofErr w:type="gramStart"/>
      <w:r w:rsidR="00D81FD6">
        <w:t>It is understood that this proposal will have to be absorbed within the proposal for the 2018-2019 bienni</w:t>
      </w:r>
      <w:r w:rsidR="00D67D11">
        <w:t>u</w:t>
      </w:r>
      <w:r w:rsidR="00D81FD6">
        <w:t>m</w:t>
      </w:r>
      <w:r w:rsidR="00D67D11">
        <w:t>,</w:t>
      </w:r>
      <w:r w:rsidR="00D81FD6">
        <w:t xml:space="preserve"> which will </w:t>
      </w:r>
      <w:r w:rsidR="00D81FD6" w:rsidRPr="00696A00">
        <w:t>be examined by the Bureau of the</w:t>
      </w:r>
      <w:r w:rsidR="00646ADD">
        <w:t xml:space="preserve"> thirteen session of the</w:t>
      </w:r>
      <w:r w:rsidR="00D81FD6" w:rsidRPr="00696A00">
        <w:t xml:space="preserve"> Committee </w:t>
      </w:r>
      <w:r w:rsidR="00D67D11">
        <w:t xml:space="preserve">in </w:t>
      </w:r>
      <w:r w:rsidR="00D81FD6" w:rsidRPr="00696A00">
        <w:t>mid-201</w:t>
      </w:r>
      <w:r w:rsidR="00D81FD6">
        <w:t>8 on the basis of the 39C/5</w:t>
      </w:r>
      <w:r w:rsidR="00BB0891">
        <w:t>,</w:t>
      </w:r>
      <w:r w:rsidR="00D81FD6">
        <w:t xml:space="preserve"> as adopted by </w:t>
      </w:r>
      <w:r w:rsidR="00646ADD">
        <w:t xml:space="preserve">the </w:t>
      </w:r>
      <w:r w:rsidR="00D81FD6">
        <w:t>UNESCO General Conference in October/November 2017</w:t>
      </w:r>
      <w:r w:rsidR="00691D3F">
        <w:t xml:space="preserve">, and </w:t>
      </w:r>
      <w:r w:rsidR="00691D3F" w:rsidRPr="009139B8">
        <w:t xml:space="preserve">once the </w:t>
      </w:r>
      <w:r w:rsidR="00691D3F">
        <w:t xml:space="preserve">seventh session of the General Assembly of the </w:t>
      </w:r>
      <w:hyperlink r:id="rId12" w:history="1">
        <w:r w:rsidR="00691D3F">
          <w:rPr>
            <w:rStyle w:val="Hyperlink"/>
          </w:rPr>
          <w:t>States Parties to the Convention</w:t>
        </w:r>
      </w:hyperlink>
      <w:r w:rsidR="00691D3F">
        <w:t xml:space="preserve"> </w:t>
      </w:r>
      <w:r w:rsidR="00BB0891">
        <w:t>has</w:t>
      </w:r>
      <w:r w:rsidR="00691D3F" w:rsidRPr="009139B8">
        <w:t xml:space="preserve"> adopted a new Plan for the use of the resources of the Fund</w:t>
      </w:r>
      <w:r w:rsidR="00D81FD6">
        <w:t>.</w:t>
      </w:r>
      <w:proofErr w:type="gramEnd"/>
    </w:p>
    <w:p w14:paraId="579238A3" w14:textId="77777777" w:rsidR="00604676" w:rsidRPr="00696A00" w:rsidRDefault="00604676">
      <w:pPr>
        <w:pStyle w:val="Heading4"/>
        <w:rPr>
          <w:rFonts w:cs="Arial"/>
          <w:bCs w:val="0"/>
          <w:smallCaps/>
          <w:szCs w:val="22"/>
        </w:rPr>
      </w:pPr>
      <w:r w:rsidRPr="00696A00">
        <w:t>Proposal for the utilization of funds for ‘other functions of the Committee’</w:t>
      </w:r>
    </w:p>
    <w:p w14:paraId="1F93AFD7" w14:textId="3E176744" w:rsidR="00694710" w:rsidRPr="00696A00" w:rsidRDefault="00694710" w:rsidP="0054466D">
      <w:pPr>
        <w:pStyle w:val="5GAparabodytext"/>
      </w:pPr>
      <w:r w:rsidRPr="00696A00">
        <w:t xml:space="preserve">The Secretariat </w:t>
      </w:r>
      <w:r w:rsidR="00BB0891">
        <w:t>uses</w:t>
      </w:r>
      <w:r w:rsidRPr="00696A00">
        <w:t xml:space="preserve"> the</w:t>
      </w:r>
      <w:r w:rsidR="004345C5">
        <w:t xml:space="preserve"> </w:t>
      </w:r>
      <w:r w:rsidRPr="00696A00">
        <w:t xml:space="preserve">funds </w:t>
      </w:r>
      <w:r w:rsidR="004345C5">
        <w:t xml:space="preserve">under ‘Other functions of the Committee’ </w:t>
      </w:r>
      <w:r w:rsidRPr="00696A00">
        <w:t>to assist the Committee in performing these functions, as required by Article </w:t>
      </w:r>
      <w:r w:rsidR="00D174D7">
        <w:t>7</w:t>
      </w:r>
      <w:r w:rsidRPr="00696A00">
        <w:t xml:space="preserve"> of the Convention. </w:t>
      </w:r>
      <w:r w:rsidRPr="00696A00">
        <w:rPr>
          <w:rStyle w:val="hps"/>
        </w:rPr>
        <w:t>Throughout the assistance provided to the Committee, the Secretariat seek</w:t>
      </w:r>
      <w:r>
        <w:rPr>
          <w:rStyle w:val="hps"/>
        </w:rPr>
        <w:t>s</w:t>
      </w:r>
      <w:r w:rsidRPr="00696A00">
        <w:rPr>
          <w:rStyle w:val="hps"/>
        </w:rPr>
        <w:t xml:space="preserve"> to </w:t>
      </w:r>
      <w:r w:rsidRPr="00696A00">
        <w:t>follow</w:t>
      </w:r>
      <w:r w:rsidR="00BB0891">
        <w:t xml:space="preserve"> </w:t>
      </w:r>
      <w:r w:rsidRPr="00696A00">
        <w:t xml:space="preserve">up on the recommendations of </w:t>
      </w:r>
      <w:r w:rsidRPr="00696A00">
        <w:rPr>
          <w:rFonts w:eastAsia="SimSun"/>
          <w:lang w:bidi="en-US"/>
        </w:rPr>
        <w:t>UNESCO’s Internal Oversight Service (IOS) on UNESCO’s standard-setting work of the Culture Sector concerning the Convention</w:t>
      </w:r>
      <w:r w:rsidRPr="00696A00">
        <w:rPr>
          <w:rStyle w:val="hps"/>
        </w:rPr>
        <w:t xml:space="preserve">, as it did during the previous biennium. A significant number of </w:t>
      </w:r>
      <w:r w:rsidRPr="00696A00">
        <w:rPr>
          <w:rFonts w:eastAsia="SimSun"/>
          <w:lang w:bidi="en-US"/>
        </w:rPr>
        <w:t xml:space="preserve">such follow-up actions </w:t>
      </w:r>
      <w:r>
        <w:rPr>
          <w:rFonts w:eastAsia="SimSun"/>
          <w:lang w:bidi="en-US"/>
        </w:rPr>
        <w:t>are</w:t>
      </w:r>
      <w:r w:rsidRPr="00696A00">
        <w:rPr>
          <w:rFonts w:eastAsia="SimSun"/>
          <w:lang w:bidi="en-US"/>
        </w:rPr>
        <w:t xml:space="preserve"> only possible thanks to the support of this budget line.</w:t>
      </w:r>
    </w:p>
    <w:p w14:paraId="7FCD90C9" w14:textId="7569F352" w:rsidR="00E42717" w:rsidRPr="005826C1" w:rsidRDefault="00E42717" w:rsidP="0054466D">
      <w:pPr>
        <w:pStyle w:val="5GAparabodytext"/>
      </w:pPr>
      <w:r w:rsidRPr="0019737C">
        <w:t>Continuing the approach already adopted by the Bureau of the ninth session of the Committee to approve a spending plan expressed in terms of results, outputs and indicators – rather than specific activities or categories of expense – the Bureau is hereby asked to approve the proposal,</w:t>
      </w:r>
      <w:r w:rsidR="00646ADD">
        <w:t xml:space="preserve"> presented as an </w:t>
      </w:r>
      <w:r w:rsidRPr="0019737C">
        <w:t xml:space="preserve">annex, </w:t>
      </w:r>
      <w:r w:rsidR="00646ADD">
        <w:t xml:space="preserve">with a </w:t>
      </w:r>
      <w:r w:rsidRPr="0019737C">
        <w:t xml:space="preserve">results framework </w:t>
      </w:r>
      <w:r w:rsidR="00A93214">
        <w:t xml:space="preserve">that integrates </w:t>
      </w:r>
      <w:r w:rsidRPr="0019737C">
        <w:t xml:space="preserve">financial allocations for each result. </w:t>
      </w:r>
      <w:proofErr w:type="gramStart"/>
      <w:r w:rsidRPr="0019737C">
        <w:t xml:space="preserve">For greater consistency with the </w:t>
      </w:r>
      <w:r w:rsidR="00471D3D" w:rsidRPr="0019737C">
        <w:t>Draft 39C/5</w:t>
      </w:r>
      <w:r w:rsidRPr="0019737C">
        <w:t xml:space="preserve"> and better integration</w:t>
      </w:r>
      <w:r w:rsidR="0037592C" w:rsidRPr="0019737C">
        <w:t xml:space="preserve"> with the </w:t>
      </w:r>
      <w:r w:rsidR="00A93214">
        <w:t xml:space="preserve">related </w:t>
      </w:r>
      <w:r w:rsidR="0037592C" w:rsidRPr="0019737C">
        <w:t xml:space="preserve">reports to the governing bodies of both the Convention and UNESCO, the proposed results framework is aligned with </w:t>
      </w:r>
      <w:r w:rsidR="00646ADD">
        <w:t xml:space="preserve">the five performance indicators </w:t>
      </w:r>
      <w:r w:rsidR="0037592C" w:rsidRPr="0019737C">
        <w:t xml:space="preserve">included in the </w:t>
      </w:r>
      <w:r w:rsidR="002F41A2">
        <w:t xml:space="preserve">Draft </w:t>
      </w:r>
      <w:r w:rsidR="0037592C" w:rsidRPr="0019737C">
        <w:t>3</w:t>
      </w:r>
      <w:r w:rsidR="00471D3D">
        <w:t>9</w:t>
      </w:r>
      <w:r w:rsidR="0037592C" w:rsidRPr="0019737C">
        <w:t xml:space="preserve">C/5 for </w:t>
      </w:r>
      <w:r w:rsidR="00C12EC9" w:rsidRPr="0019737C">
        <w:t xml:space="preserve">Major </w:t>
      </w:r>
      <w:proofErr w:type="spellStart"/>
      <w:r w:rsidR="00C12EC9" w:rsidRPr="0019737C">
        <w:t>Programme</w:t>
      </w:r>
      <w:proofErr w:type="spellEnd"/>
      <w:r w:rsidR="0037592C" w:rsidRPr="0019737C">
        <w:t xml:space="preserve"> IV </w:t>
      </w:r>
      <w:r w:rsidR="00491576">
        <w:t xml:space="preserve">on </w:t>
      </w:r>
      <w:r w:rsidR="0037592C" w:rsidRPr="0019737C">
        <w:t xml:space="preserve">Culture, </w:t>
      </w:r>
      <w:r w:rsidR="00C12EC9" w:rsidRPr="0019737C">
        <w:t xml:space="preserve">Main Line of Action 2, </w:t>
      </w:r>
      <w:r w:rsidR="00A93214">
        <w:t xml:space="preserve">and </w:t>
      </w:r>
      <w:r w:rsidR="0037592C" w:rsidRPr="0019737C">
        <w:t>Expected Result </w:t>
      </w:r>
      <w:r w:rsidR="002F41A2">
        <w:t>6</w:t>
      </w:r>
      <w:r w:rsidR="0037592C" w:rsidRPr="0019737C">
        <w:t xml:space="preserve"> ‘</w:t>
      </w:r>
      <w:r w:rsidR="002F41A2">
        <w:t>Intangible cultural heritage identified and safeguarded by Member States and communities, in particular through the effective implementation of the 2003 Convention</w:t>
      </w:r>
      <w:r w:rsidR="0037592C" w:rsidRPr="0019737C">
        <w:t>’.</w:t>
      </w:r>
      <w:proofErr w:type="gramEnd"/>
      <w:r w:rsidR="00300A5A">
        <w:t xml:space="preserve"> </w:t>
      </w:r>
      <w:r w:rsidR="00646ADD">
        <w:t xml:space="preserve">Only performance indicator 4 </w:t>
      </w:r>
      <w:r w:rsidR="007B6E71">
        <w:t xml:space="preserve">dedicated to </w:t>
      </w:r>
      <w:r w:rsidR="00A93214">
        <w:t>I</w:t>
      </w:r>
      <w:r w:rsidR="007B6E71">
        <w:t xml:space="preserve">nternational </w:t>
      </w:r>
      <w:r w:rsidR="00A93214">
        <w:t>A</w:t>
      </w:r>
      <w:r w:rsidR="007B6E71">
        <w:t xml:space="preserve">ssistance </w:t>
      </w:r>
      <w:proofErr w:type="gramStart"/>
      <w:r w:rsidR="007B6E71">
        <w:t>is not reflected</w:t>
      </w:r>
      <w:proofErr w:type="gramEnd"/>
      <w:r w:rsidR="007B6E71">
        <w:t xml:space="preserve"> in the proposal since </w:t>
      </w:r>
      <w:r w:rsidR="00A93214">
        <w:t>I</w:t>
      </w:r>
      <w:r w:rsidR="007B6E71">
        <w:t xml:space="preserve">nternational </w:t>
      </w:r>
      <w:r w:rsidR="00A93214">
        <w:t>A</w:t>
      </w:r>
      <w:r w:rsidR="007B6E71">
        <w:t xml:space="preserve">ssistance is covered by another line of the Fund than </w:t>
      </w:r>
      <w:r w:rsidR="00A93214">
        <w:t xml:space="preserve">that of </w:t>
      </w:r>
      <w:r w:rsidR="007B6E71">
        <w:t>‘Other functions</w:t>
      </w:r>
      <w:r w:rsidR="00494AB6">
        <w:t xml:space="preserve"> of the Committee</w:t>
      </w:r>
      <w:r w:rsidR="007B6E71">
        <w:t xml:space="preserve">’. </w:t>
      </w:r>
    </w:p>
    <w:p w14:paraId="6BA2745E" w14:textId="176E28E1" w:rsidR="00696A00" w:rsidRPr="0019737C" w:rsidRDefault="00300A5A" w:rsidP="0054466D">
      <w:pPr>
        <w:pStyle w:val="5GAparabodytext"/>
      </w:pPr>
      <w:r w:rsidRPr="0019737C">
        <w:t xml:space="preserve">The proposal </w:t>
      </w:r>
      <w:r w:rsidR="0063771D">
        <w:t>remains in line with</w:t>
      </w:r>
      <w:r w:rsidR="0063771D" w:rsidRPr="0063771D">
        <w:t xml:space="preserve"> </w:t>
      </w:r>
      <w:r w:rsidR="00D81FD6">
        <w:t>the 20</w:t>
      </w:r>
      <w:r w:rsidR="004C4461">
        <w:t xml:space="preserve">16-2017 results framework </w:t>
      </w:r>
      <w:r w:rsidR="00494AB6">
        <w:t xml:space="preserve">of the line ‘Other functions of the Committee’ </w:t>
      </w:r>
      <w:r w:rsidR="004C4461">
        <w:t xml:space="preserve">and </w:t>
      </w:r>
      <w:r w:rsidRPr="0019737C">
        <w:t xml:space="preserve">builds on lessons learnt from activities implemented </w:t>
      </w:r>
      <w:r w:rsidR="008F7153">
        <w:t xml:space="preserve">during its first year </w:t>
      </w:r>
      <w:r w:rsidR="00491576">
        <w:t xml:space="preserve">and captured in the </w:t>
      </w:r>
      <w:r w:rsidRPr="0019737C">
        <w:t>report to the Bureau (</w:t>
      </w:r>
      <w:hyperlink r:id="rId13" w:history="1">
        <w:r w:rsidR="0063771D" w:rsidRPr="004672E4">
          <w:rPr>
            <w:rStyle w:val="Hyperlink"/>
          </w:rPr>
          <w:t>document ITH/17/12.COM 2.BUR/INF.</w:t>
        </w:r>
        <w:r w:rsidR="00613A35" w:rsidRPr="004672E4">
          <w:rPr>
            <w:rStyle w:val="Hyperlink"/>
          </w:rPr>
          <w:t>3</w:t>
        </w:r>
      </w:hyperlink>
      <w:r w:rsidRPr="0019737C">
        <w:t xml:space="preserve">). </w:t>
      </w:r>
      <w:r w:rsidR="004C4461">
        <w:t xml:space="preserve">In this vein, </w:t>
      </w:r>
      <w:r w:rsidR="004C4461">
        <w:lastRenderedPageBreak/>
        <w:t>t</w:t>
      </w:r>
      <w:r w:rsidR="00696A00" w:rsidRPr="0019737C">
        <w:t xml:space="preserve">he </w:t>
      </w:r>
      <w:r w:rsidR="00FF27BC" w:rsidRPr="0019737C">
        <w:t>table below shows that</w:t>
      </w:r>
      <w:r w:rsidR="00696A00" w:rsidRPr="0019737C">
        <w:t xml:space="preserve"> </w:t>
      </w:r>
      <w:r w:rsidR="00A93214">
        <w:t xml:space="preserve">the </w:t>
      </w:r>
      <w:r w:rsidR="00FF27BC" w:rsidRPr="0019737C">
        <w:t>focus continues to be on provid</w:t>
      </w:r>
      <w:r w:rsidR="00DF0CA0" w:rsidRPr="0019737C">
        <w:t xml:space="preserve">ing support </w:t>
      </w:r>
      <w:r w:rsidR="00FF27BC" w:rsidRPr="0019737C">
        <w:t xml:space="preserve">to Member States for </w:t>
      </w:r>
      <w:r w:rsidR="00491576">
        <w:t xml:space="preserve">the </w:t>
      </w:r>
      <w:r w:rsidR="00FF27BC" w:rsidRPr="0019737C">
        <w:t xml:space="preserve">implementation of the Convention at </w:t>
      </w:r>
      <w:r w:rsidR="00A93214">
        <w:t xml:space="preserve">the </w:t>
      </w:r>
      <w:r w:rsidR="00FF27BC" w:rsidRPr="0019737C">
        <w:t>national level</w:t>
      </w:r>
      <w:r w:rsidR="00A93214">
        <w:t>,</w:t>
      </w:r>
      <w:r w:rsidR="00FF27BC" w:rsidRPr="0019737C">
        <w:t xml:space="preserve"> mainly through the global </w:t>
      </w:r>
      <w:r w:rsidR="00696A00" w:rsidRPr="0019737C">
        <w:t xml:space="preserve">capacity-building </w:t>
      </w:r>
      <w:proofErr w:type="spellStart"/>
      <w:r w:rsidR="00696A00" w:rsidRPr="0019737C">
        <w:t>programme</w:t>
      </w:r>
      <w:proofErr w:type="spellEnd"/>
      <w:r w:rsidR="00FF27BC" w:rsidRPr="0019737C">
        <w:t>. As in previous plans,</w:t>
      </w:r>
      <w:r w:rsidR="00696A00" w:rsidRPr="0019737C">
        <w:t xml:space="preserve"> </w:t>
      </w:r>
      <w:r w:rsidR="00A93214">
        <w:t xml:space="preserve">the </w:t>
      </w:r>
      <w:r w:rsidR="00FF27BC" w:rsidRPr="0019737C">
        <w:t xml:space="preserve">budget allocation reflects the important role </w:t>
      </w:r>
      <w:r w:rsidR="00696A00" w:rsidRPr="0019737C">
        <w:t xml:space="preserve">that knowledge management plays in </w:t>
      </w:r>
      <w:r w:rsidR="00A93214">
        <w:t xml:space="preserve">the </w:t>
      </w:r>
      <w:r w:rsidR="00696A00" w:rsidRPr="0019737C">
        <w:t xml:space="preserve">effective implementation </w:t>
      </w:r>
      <w:r w:rsidR="00023C5A">
        <w:t xml:space="preserve">and sound governance </w:t>
      </w:r>
      <w:r w:rsidR="00696A00" w:rsidRPr="0019737C">
        <w:t>of the Convention at the international level</w:t>
      </w:r>
      <w:r w:rsidR="009669D7">
        <w:t>.</w:t>
      </w:r>
      <w:r w:rsidR="004C4461">
        <w:t xml:space="preserve"> </w:t>
      </w:r>
      <w:r w:rsidR="0067689E">
        <w:t>Enhancing</w:t>
      </w:r>
      <w:r w:rsidR="005826C1">
        <w:t xml:space="preserve"> the monitoring of the implementation of the Convention</w:t>
      </w:r>
      <w:r w:rsidR="009669D7">
        <w:t xml:space="preserve">, which was the subject of a dedicated </w:t>
      </w:r>
      <w:r w:rsidR="005826C1">
        <w:t>e</w:t>
      </w:r>
      <w:r w:rsidR="009669D7">
        <w:t xml:space="preserve">xpected result in the 2016-2017 results framework, </w:t>
      </w:r>
      <w:proofErr w:type="gramStart"/>
      <w:r w:rsidR="009669D7">
        <w:t>has been integrated</w:t>
      </w:r>
      <w:proofErr w:type="gramEnd"/>
      <w:r w:rsidR="009669D7">
        <w:t xml:space="preserve"> </w:t>
      </w:r>
      <w:r w:rsidR="00491576">
        <w:t>in</w:t>
      </w:r>
      <w:r w:rsidR="0067689E">
        <w:t>to</w:t>
      </w:r>
      <w:r w:rsidR="00491576">
        <w:t xml:space="preserve"> </w:t>
      </w:r>
      <w:r w:rsidR="005826C1">
        <w:t>ER </w:t>
      </w:r>
      <w:r w:rsidR="009669D7">
        <w:t xml:space="preserve">1 in order to align </w:t>
      </w:r>
      <w:r w:rsidR="0067689E">
        <w:t xml:space="preserve">it </w:t>
      </w:r>
      <w:r w:rsidR="009669D7">
        <w:t xml:space="preserve">with the proposed performance indicators of </w:t>
      </w:r>
      <w:r w:rsidR="00491576">
        <w:t xml:space="preserve">the </w:t>
      </w:r>
      <w:r w:rsidR="009669D7">
        <w:t>Draft 39C/5.</w:t>
      </w:r>
      <w:r w:rsidR="002867F8">
        <w:t xml:space="preserve"> In the same vein, the</w:t>
      </w:r>
      <w:r w:rsidR="00023C5A">
        <w:t xml:space="preserve"> new </w:t>
      </w:r>
      <w:r w:rsidR="005826C1">
        <w:t>ER </w:t>
      </w:r>
      <w:r w:rsidR="009669D7">
        <w:t xml:space="preserve">3 </w:t>
      </w:r>
      <w:r w:rsidR="00491576">
        <w:t>will focus</w:t>
      </w:r>
      <w:r w:rsidR="00023C5A">
        <w:t xml:space="preserve"> </w:t>
      </w:r>
      <w:r w:rsidR="00491576">
        <w:t xml:space="preserve">on </w:t>
      </w:r>
      <w:r w:rsidR="00023C5A">
        <w:t>promot</w:t>
      </w:r>
      <w:r w:rsidR="00491576">
        <w:t>ing</w:t>
      </w:r>
      <w:r w:rsidR="00023C5A">
        <w:t xml:space="preserve"> the objectives of the Convention through partnerships </w:t>
      </w:r>
      <w:r w:rsidR="0067689E">
        <w:t>to</w:t>
      </w:r>
      <w:r w:rsidR="0067689E" w:rsidRPr="0019737C">
        <w:t xml:space="preserve"> </w:t>
      </w:r>
      <w:r w:rsidR="00023C5A" w:rsidRPr="0019737C">
        <w:t>support the integration of intangible cultural heritage in</w:t>
      </w:r>
      <w:r w:rsidR="0067689E">
        <w:t>to</w:t>
      </w:r>
      <w:r w:rsidR="00023C5A" w:rsidRPr="0019737C">
        <w:t xml:space="preserve"> development plans, policies and </w:t>
      </w:r>
      <w:proofErr w:type="spellStart"/>
      <w:r w:rsidR="00023C5A" w:rsidRPr="0019737C">
        <w:t>programmes</w:t>
      </w:r>
      <w:proofErr w:type="spellEnd"/>
      <w:r w:rsidR="00491576">
        <w:t xml:space="preserve">. The </w:t>
      </w:r>
      <w:r w:rsidR="00023C5A">
        <w:t xml:space="preserve">activities foreseen </w:t>
      </w:r>
      <w:r w:rsidR="00B10CF7">
        <w:t xml:space="preserve">in the first semester </w:t>
      </w:r>
      <w:r w:rsidR="0067689E">
        <w:t xml:space="preserve">of </w:t>
      </w:r>
      <w:r w:rsidR="00B10CF7">
        <w:t xml:space="preserve">2018 </w:t>
      </w:r>
      <w:r w:rsidR="00491576">
        <w:t xml:space="preserve">under this ER are </w:t>
      </w:r>
      <w:r w:rsidR="00B10CF7">
        <w:t xml:space="preserve">in line with </w:t>
      </w:r>
      <w:r w:rsidR="00491576">
        <w:t xml:space="preserve">the scope of the outputs </w:t>
      </w:r>
      <w:r w:rsidR="00B10CF7">
        <w:t xml:space="preserve">initiated in 2016-2017 </w:t>
      </w:r>
      <w:r w:rsidR="00023C5A">
        <w:t>a</w:t>
      </w:r>
      <w:r w:rsidR="00491576">
        <w:t>nd</w:t>
      </w:r>
      <w:r w:rsidR="00023C5A">
        <w:t xml:space="preserve"> described below</w:t>
      </w:r>
      <w:r w:rsidR="00023C5A" w:rsidRPr="00023C5A">
        <w:t>.</w:t>
      </w:r>
      <w:r w:rsidR="00023C5A" w:rsidRPr="0019737C">
        <w:t xml:space="preserve"> </w:t>
      </w:r>
      <w:r w:rsidR="002867F8">
        <w:t xml:space="preserve">If </w:t>
      </w:r>
      <w:r w:rsidR="00023C5A" w:rsidRPr="0019737C">
        <w:t>e</w:t>
      </w:r>
      <w:r w:rsidR="00B253A5" w:rsidRPr="0019737C">
        <w:t xml:space="preserve">fforts </w:t>
      </w:r>
      <w:r w:rsidR="0067689E">
        <w:t>to</w:t>
      </w:r>
      <w:r w:rsidR="00B253A5" w:rsidRPr="0019737C">
        <w:t xml:space="preserve"> rais</w:t>
      </w:r>
      <w:r w:rsidR="0067689E">
        <w:t>e</w:t>
      </w:r>
      <w:r w:rsidR="00B253A5" w:rsidRPr="0019737C">
        <w:t xml:space="preserve"> awareness </w:t>
      </w:r>
      <w:r w:rsidR="00023C5A" w:rsidRPr="0019737C">
        <w:t xml:space="preserve">and outreach </w:t>
      </w:r>
      <w:r w:rsidR="00B253A5" w:rsidRPr="0019737C">
        <w:t xml:space="preserve">appear to be </w:t>
      </w:r>
      <w:r w:rsidR="00023C5A" w:rsidRPr="0019737C">
        <w:t xml:space="preserve">less </w:t>
      </w:r>
      <w:r w:rsidR="00B253A5" w:rsidRPr="0019737C">
        <w:t>important in terms of</w:t>
      </w:r>
      <w:r w:rsidR="0067689E">
        <w:t xml:space="preserve"> the</w:t>
      </w:r>
      <w:r w:rsidR="00B253A5" w:rsidRPr="0019737C">
        <w:t xml:space="preserve"> budget than in </w:t>
      </w:r>
      <w:r w:rsidR="009E592C" w:rsidRPr="0019737C">
        <w:t xml:space="preserve">the </w:t>
      </w:r>
      <w:r w:rsidR="00B253A5" w:rsidRPr="0019737C">
        <w:t xml:space="preserve">previous biennium, </w:t>
      </w:r>
      <w:r w:rsidR="0067689E">
        <w:t>this</w:t>
      </w:r>
      <w:r w:rsidR="007A6E13" w:rsidRPr="0019737C">
        <w:t xml:space="preserve"> is mainly because the </w:t>
      </w:r>
      <w:r w:rsidR="00DE6207">
        <w:t>v</w:t>
      </w:r>
      <w:r w:rsidR="007A6E13" w:rsidRPr="0019737C">
        <w:t xml:space="preserve">arious activities proposed </w:t>
      </w:r>
      <w:r w:rsidR="0067689E">
        <w:t>to</w:t>
      </w:r>
      <w:r w:rsidR="007A6E13" w:rsidRPr="0019737C">
        <w:t xml:space="preserve"> </w:t>
      </w:r>
      <w:r w:rsidR="0067689E" w:rsidRPr="0019737C">
        <w:t>engag</w:t>
      </w:r>
      <w:r w:rsidR="0067689E">
        <w:t>e</w:t>
      </w:r>
      <w:r w:rsidR="0067689E" w:rsidRPr="0019737C">
        <w:t xml:space="preserve"> </w:t>
      </w:r>
      <w:r w:rsidR="007A6E13" w:rsidRPr="0019737C">
        <w:t xml:space="preserve">effectively with </w:t>
      </w:r>
      <w:r w:rsidR="00D363A9" w:rsidRPr="0019737C">
        <w:t xml:space="preserve">a broader range of </w:t>
      </w:r>
      <w:r w:rsidR="0085685D" w:rsidRPr="0019737C">
        <w:t>stakeholders</w:t>
      </w:r>
      <w:r w:rsidR="00023C5A" w:rsidRPr="0019737C">
        <w:t xml:space="preserve"> </w:t>
      </w:r>
      <w:proofErr w:type="gramStart"/>
      <w:r w:rsidR="00023C5A" w:rsidRPr="0019737C">
        <w:t>have been shifted</w:t>
      </w:r>
      <w:proofErr w:type="gramEnd"/>
      <w:r w:rsidR="00023C5A" w:rsidRPr="0019737C">
        <w:t xml:space="preserve"> to the new </w:t>
      </w:r>
      <w:r w:rsidR="00DE6207">
        <w:t>ER</w:t>
      </w:r>
      <w:r w:rsidR="005826C1">
        <w:t> </w:t>
      </w:r>
      <w:r w:rsidR="00023C5A" w:rsidRPr="0019737C">
        <w:t>3</w:t>
      </w:r>
      <w:r w:rsidR="00023C5A">
        <w:t xml:space="preserve">, while efforts </w:t>
      </w:r>
      <w:r w:rsidR="0067689E">
        <w:t>to</w:t>
      </w:r>
      <w:r w:rsidR="00023C5A">
        <w:t xml:space="preserve"> develop a communication st</w:t>
      </w:r>
      <w:r w:rsidR="005826C1">
        <w:t>rategy will be pursued under ER </w:t>
      </w:r>
      <w:r w:rsidR="00023C5A">
        <w:t>4</w:t>
      </w:r>
      <w:r w:rsidR="00023C5A" w:rsidRPr="0019737C">
        <w:t>.</w:t>
      </w:r>
    </w:p>
    <w:tbl>
      <w:tblPr>
        <w:tblW w:w="0" w:type="auto"/>
        <w:tblInd w:w="1016" w:type="dxa"/>
        <w:tblLook w:val="04A0" w:firstRow="1" w:lastRow="0" w:firstColumn="1" w:lastColumn="0" w:noHBand="0" w:noVBand="1"/>
      </w:tblPr>
      <w:tblGrid>
        <w:gridCol w:w="6662"/>
        <w:gridCol w:w="1960"/>
      </w:tblGrid>
      <w:tr w:rsidR="00696A00" w:rsidRPr="00696A00" w14:paraId="3233636A" w14:textId="77777777" w:rsidTr="00FF27BC">
        <w:tc>
          <w:tcPr>
            <w:tcW w:w="6662" w:type="dxa"/>
            <w:shd w:val="clear" w:color="auto" w:fill="BFBFBF"/>
            <w:vAlign w:val="center"/>
          </w:tcPr>
          <w:p w14:paraId="52571DA7" w14:textId="77777777" w:rsidR="00696A00" w:rsidRPr="00696A00" w:rsidRDefault="00FF27BC">
            <w:pPr>
              <w:spacing w:before="60" w:after="60"/>
              <w:rPr>
                <w:rFonts w:ascii="Arial" w:hAnsi="Arial" w:cs="Arial"/>
                <w:b/>
                <w:sz w:val="20"/>
                <w:szCs w:val="20"/>
                <w:lang w:val="en-GB"/>
              </w:rPr>
            </w:pPr>
            <w:r>
              <w:rPr>
                <w:rFonts w:ascii="Arial" w:hAnsi="Arial" w:cs="Arial"/>
                <w:b/>
                <w:sz w:val="20"/>
                <w:szCs w:val="20"/>
                <w:lang w:val="en-GB"/>
              </w:rPr>
              <w:t xml:space="preserve">Expected </w:t>
            </w:r>
            <w:r w:rsidR="00696A00" w:rsidRPr="00696A00">
              <w:rPr>
                <w:rFonts w:ascii="Arial" w:hAnsi="Arial" w:cs="Arial"/>
                <w:b/>
                <w:sz w:val="20"/>
                <w:szCs w:val="20"/>
                <w:lang w:val="en-GB"/>
              </w:rPr>
              <w:t>Result</w:t>
            </w:r>
          </w:p>
        </w:tc>
        <w:tc>
          <w:tcPr>
            <w:tcW w:w="1960" w:type="dxa"/>
            <w:shd w:val="clear" w:color="auto" w:fill="BFBFBF"/>
            <w:vAlign w:val="center"/>
          </w:tcPr>
          <w:p w14:paraId="731971E5" w14:textId="77777777" w:rsidR="00696A00" w:rsidRPr="00696A00" w:rsidRDefault="006E5326">
            <w:pPr>
              <w:spacing w:before="60" w:after="60"/>
              <w:jc w:val="center"/>
              <w:rPr>
                <w:rFonts w:ascii="Arial" w:hAnsi="Arial" w:cs="Arial"/>
                <w:b/>
                <w:sz w:val="20"/>
                <w:szCs w:val="20"/>
                <w:lang w:val="en-GB"/>
              </w:rPr>
            </w:pPr>
            <w:r>
              <w:rPr>
                <w:rFonts w:ascii="Arial" w:hAnsi="Arial" w:cs="Arial"/>
                <w:b/>
                <w:sz w:val="20"/>
                <w:szCs w:val="20"/>
                <w:lang w:val="en-GB"/>
              </w:rPr>
              <w:t>1 January – 30 June 2018</w:t>
            </w:r>
          </w:p>
        </w:tc>
      </w:tr>
      <w:tr w:rsidR="00696A00" w:rsidRPr="00696A00" w14:paraId="35B1CD17" w14:textId="77777777" w:rsidTr="00FF27BC">
        <w:tc>
          <w:tcPr>
            <w:tcW w:w="6662" w:type="dxa"/>
            <w:shd w:val="clear" w:color="auto" w:fill="auto"/>
          </w:tcPr>
          <w:p w14:paraId="7879B1D8" w14:textId="77777777" w:rsidR="00696A00" w:rsidRPr="00696A00" w:rsidRDefault="00696A00">
            <w:pPr>
              <w:spacing w:before="60" w:after="60"/>
              <w:rPr>
                <w:rFonts w:ascii="Arial" w:hAnsi="Arial" w:cs="Arial"/>
                <w:sz w:val="20"/>
                <w:szCs w:val="20"/>
                <w:lang w:val="en-GB"/>
              </w:rPr>
            </w:pPr>
            <w:r w:rsidRPr="00696A00">
              <w:rPr>
                <w:rFonts w:ascii="Arial" w:hAnsi="Arial" w:cs="Arial"/>
                <w:sz w:val="20"/>
                <w:szCs w:val="20"/>
                <w:lang w:val="en-GB"/>
              </w:rPr>
              <w:t>E</w:t>
            </w:r>
            <w:r w:rsidR="00FF27BC">
              <w:rPr>
                <w:rFonts w:ascii="Arial" w:hAnsi="Arial" w:cs="Arial"/>
                <w:sz w:val="20"/>
                <w:szCs w:val="20"/>
                <w:lang w:val="en-GB"/>
              </w:rPr>
              <w:t>R </w:t>
            </w:r>
            <w:r w:rsidRPr="00696A00">
              <w:rPr>
                <w:rFonts w:ascii="Arial" w:hAnsi="Arial" w:cs="Arial"/>
                <w:sz w:val="20"/>
                <w:szCs w:val="20"/>
                <w:lang w:val="en-GB"/>
              </w:rPr>
              <w:t xml:space="preserve">1: </w:t>
            </w:r>
            <w:r w:rsidR="00FF27BC" w:rsidRPr="00FF27BC">
              <w:rPr>
                <w:rFonts w:ascii="Arial" w:hAnsi="Arial" w:cs="Arial"/>
                <w:sz w:val="20"/>
                <w:szCs w:val="20"/>
                <w:lang w:val="en-GB"/>
              </w:rPr>
              <w:t xml:space="preserve">Sound governance of the 2003 Convention facilitated by enhanced </w:t>
            </w:r>
            <w:r w:rsidR="005C115A">
              <w:rPr>
                <w:rFonts w:ascii="Arial" w:hAnsi="Arial" w:cs="Arial"/>
                <w:sz w:val="20"/>
                <w:szCs w:val="20"/>
                <w:lang w:val="en-GB"/>
              </w:rPr>
              <w:t xml:space="preserve">monitoring and </w:t>
            </w:r>
            <w:r w:rsidR="00FF27BC" w:rsidRPr="00FF27BC">
              <w:rPr>
                <w:rFonts w:ascii="Arial" w:hAnsi="Arial" w:cs="Arial"/>
                <w:sz w:val="20"/>
                <w:szCs w:val="20"/>
                <w:lang w:val="en-GB"/>
              </w:rPr>
              <w:t>knowledge management services</w:t>
            </w:r>
          </w:p>
        </w:tc>
        <w:tc>
          <w:tcPr>
            <w:tcW w:w="1960" w:type="dxa"/>
            <w:shd w:val="clear" w:color="auto" w:fill="auto"/>
          </w:tcPr>
          <w:p w14:paraId="6FA8B196" w14:textId="2554538C" w:rsidR="00696A00" w:rsidRPr="00696A00" w:rsidRDefault="005A3DC9">
            <w:pPr>
              <w:spacing w:before="60" w:after="60"/>
              <w:jc w:val="center"/>
              <w:rPr>
                <w:rFonts w:ascii="Arial" w:hAnsi="Arial" w:cs="Arial"/>
                <w:sz w:val="20"/>
                <w:szCs w:val="20"/>
                <w:lang w:val="en-GB"/>
              </w:rPr>
            </w:pPr>
            <w:r>
              <w:rPr>
                <w:rFonts w:ascii="Arial" w:hAnsi="Arial" w:cs="Arial"/>
                <w:sz w:val="20"/>
                <w:szCs w:val="20"/>
                <w:lang w:val="en-GB"/>
              </w:rPr>
              <w:t>36</w:t>
            </w:r>
            <w:r w:rsidR="00696A00" w:rsidRPr="00696A00">
              <w:rPr>
                <w:rFonts w:ascii="Arial" w:hAnsi="Arial" w:cs="Arial"/>
                <w:sz w:val="20"/>
                <w:szCs w:val="20"/>
                <w:lang w:val="en-GB"/>
              </w:rPr>
              <w:t>%</w:t>
            </w:r>
          </w:p>
        </w:tc>
      </w:tr>
      <w:tr w:rsidR="00696A00" w:rsidRPr="00696A00" w14:paraId="121C2A92" w14:textId="77777777" w:rsidTr="00FF27BC">
        <w:tc>
          <w:tcPr>
            <w:tcW w:w="6662" w:type="dxa"/>
            <w:shd w:val="clear" w:color="auto" w:fill="auto"/>
          </w:tcPr>
          <w:p w14:paraId="0115C01B" w14:textId="77777777" w:rsidR="00696A00" w:rsidRPr="00696A00" w:rsidRDefault="00FF27BC">
            <w:pPr>
              <w:spacing w:before="60" w:after="60"/>
              <w:rPr>
                <w:rFonts w:ascii="Arial" w:hAnsi="Arial" w:cs="Arial"/>
                <w:sz w:val="20"/>
                <w:szCs w:val="20"/>
                <w:lang w:val="en-GB"/>
              </w:rPr>
            </w:pPr>
            <w:r>
              <w:rPr>
                <w:rFonts w:ascii="Arial" w:hAnsi="Arial" w:cs="Arial"/>
                <w:sz w:val="20"/>
                <w:szCs w:val="20"/>
                <w:lang w:val="en-GB"/>
              </w:rPr>
              <w:t>ER </w:t>
            </w:r>
            <w:r w:rsidR="0063771D">
              <w:rPr>
                <w:rFonts w:ascii="Arial" w:hAnsi="Arial" w:cs="Arial"/>
                <w:sz w:val="20"/>
                <w:szCs w:val="20"/>
                <w:lang w:val="en-GB"/>
              </w:rPr>
              <w:t>2</w:t>
            </w:r>
            <w:r>
              <w:rPr>
                <w:rFonts w:ascii="Arial" w:hAnsi="Arial" w:cs="Arial"/>
                <w:sz w:val="20"/>
                <w:szCs w:val="20"/>
                <w:lang w:val="en-GB"/>
              </w:rPr>
              <w:t xml:space="preserve">: </w:t>
            </w:r>
            <w:r w:rsidRPr="00FF27BC">
              <w:rPr>
                <w:rFonts w:ascii="Arial" w:hAnsi="Arial" w:cs="Arial"/>
                <w:sz w:val="20"/>
                <w:szCs w:val="20"/>
                <w:lang w:val="en-GB"/>
              </w:rPr>
              <w:t>Implementation of the Convention in Member States encouraged through a strengthened capacity-building programme and guidance on safeguarding measures and good practices</w:t>
            </w:r>
          </w:p>
        </w:tc>
        <w:tc>
          <w:tcPr>
            <w:tcW w:w="1960" w:type="dxa"/>
            <w:shd w:val="clear" w:color="auto" w:fill="auto"/>
          </w:tcPr>
          <w:p w14:paraId="3A7769A1" w14:textId="2F15EFF0" w:rsidR="00696A00" w:rsidRPr="00696A00" w:rsidRDefault="005A3DC9">
            <w:pPr>
              <w:spacing w:before="60" w:after="60"/>
              <w:jc w:val="center"/>
              <w:rPr>
                <w:rFonts w:ascii="Arial" w:hAnsi="Arial" w:cs="Arial"/>
                <w:sz w:val="20"/>
                <w:szCs w:val="20"/>
                <w:lang w:val="en-GB"/>
              </w:rPr>
            </w:pPr>
            <w:r>
              <w:rPr>
                <w:rFonts w:ascii="Arial" w:hAnsi="Arial" w:cs="Arial"/>
                <w:sz w:val="20"/>
                <w:szCs w:val="20"/>
                <w:lang w:val="en-GB"/>
              </w:rPr>
              <w:t>33</w:t>
            </w:r>
            <w:r w:rsidR="00696A00" w:rsidRPr="00696A00">
              <w:rPr>
                <w:rFonts w:ascii="Arial" w:hAnsi="Arial" w:cs="Arial"/>
                <w:sz w:val="20"/>
                <w:szCs w:val="20"/>
                <w:lang w:val="en-GB"/>
              </w:rPr>
              <w:t>%</w:t>
            </w:r>
          </w:p>
        </w:tc>
      </w:tr>
      <w:tr w:rsidR="00696A00" w:rsidRPr="00696A00" w14:paraId="423BBFED" w14:textId="77777777" w:rsidTr="00FF27BC">
        <w:tc>
          <w:tcPr>
            <w:tcW w:w="6662" w:type="dxa"/>
            <w:shd w:val="clear" w:color="auto" w:fill="auto"/>
          </w:tcPr>
          <w:p w14:paraId="5D99E340" w14:textId="70C7BBE6" w:rsidR="00696A00" w:rsidRPr="00696A00" w:rsidRDefault="00975A7A" w:rsidP="00613A35">
            <w:pPr>
              <w:spacing w:before="60" w:after="60"/>
              <w:rPr>
                <w:rFonts w:ascii="Arial" w:hAnsi="Arial" w:cs="Arial"/>
                <w:sz w:val="20"/>
                <w:szCs w:val="20"/>
                <w:lang w:val="en-GB"/>
              </w:rPr>
            </w:pPr>
            <w:r>
              <w:rPr>
                <w:rFonts w:ascii="Arial" w:hAnsi="Arial" w:cs="Arial"/>
                <w:sz w:val="20"/>
                <w:szCs w:val="20"/>
                <w:lang w:val="en-GB"/>
              </w:rPr>
              <w:t>ER </w:t>
            </w:r>
            <w:r w:rsidR="0063771D">
              <w:rPr>
                <w:rFonts w:ascii="Arial" w:hAnsi="Arial" w:cs="Arial"/>
                <w:sz w:val="20"/>
                <w:szCs w:val="20"/>
                <w:lang w:val="en-GB"/>
              </w:rPr>
              <w:t>3</w:t>
            </w:r>
            <w:r w:rsidRPr="00FF27BC">
              <w:rPr>
                <w:rFonts w:ascii="Arial" w:hAnsi="Arial" w:cs="Arial"/>
                <w:sz w:val="20"/>
                <w:szCs w:val="20"/>
                <w:lang w:val="en-GB"/>
              </w:rPr>
              <w:t xml:space="preserve">: </w:t>
            </w:r>
            <w:r w:rsidR="00613A35">
              <w:rPr>
                <w:rFonts w:ascii="Arial" w:hAnsi="Arial" w:cs="Arial"/>
                <w:sz w:val="20"/>
                <w:szCs w:val="20"/>
                <w:lang w:val="en-GB"/>
              </w:rPr>
              <w:t>I</w:t>
            </w:r>
            <w:r w:rsidR="0063771D" w:rsidRPr="0019737C">
              <w:rPr>
                <w:rFonts w:ascii="Arial" w:hAnsi="Arial" w:cs="Arial"/>
                <w:sz w:val="20"/>
                <w:szCs w:val="20"/>
                <w:lang w:val="en-GB"/>
              </w:rPr>
              <w:t>ntegration of intangible cultural heritage in</w:t>
            </w:r>
            <w:r w:rsidR="0067689E">
              <w:rPr>
                <w:rFonts w:ascii="Arial" w:hAnsi="Arial" w:cs="Arial"/>
                <w:sz w:val="20"/>
                <w:szCs w:val="20"/>
                <w:lang w:val="en-GB"/>
              </w:rPr>
              <w:t>to</w:t>
            </w:r>
            <w:r w:rsidR="0063771D" w:rsidRPr="0019737C">
              <w:rPr>
                <w:rFonts w:ascii="Arial" w:hAnsi="Arial" w:cs="Arial"/>
                <w:sz w:val="20"/>
                <w:szCs w:val="20"/>
                <w:lang w:val="en-GB"/>
              </w:rPr>
              <w:t xml:space="preserve"> development plans, policies and programmes</w:t>
            </w:r>
            <w:r w:rsidR="0063771D" w:rsidDel="00975A7A">
              <w:rPr>
                <w:rFonts w:ascii="Arial" w:hAnsi="Arial" w:cs="Arial"/>
                <w:sz w:val="20"/>
                <w:szCs w:val="20"/>
                <w:lang w:val="en-GB"/>
              </w:rPr>
              <w:t xml:space="preserve"> </w:t>
            </w:r>
            <w:r w:rsidR="00613A35">
              <w:rPr>
                <w:rFonts w:ascii="Arial" w:hAnsi="Arial" w:cs="Arial"/>
                <w:sz w:val="20"/>
                <w:szCs w:val="20"/>
                <w:lang w:val="en-GB"/>
              </w:rPr>
              <w:t>supported</w:t>
            </w:r>
          </w:p>
        </w:tc>
        <w:tc>
          <w:tcPr>
            <w:tcW w:w="1960" w:type="dxa"/>
            <w:shd w:val="clear" w:color="auto" w:fill="auto"/>
          </w:tcPr>
          <w:p w14:paraId="73B001A3" w14:textId="39806569" w:rsidR="00696A00" w:rsidRPr="00696A00" w:rsidRDefault="005A3DC9">
            <w:pPr>
              <w:spacing w:before="60" w:after="60"/>
              <w:jc w:val="center"/>
              <w:rPr>
                <w:rFonts w:ascii="Arial" w:hAnsi="Arial" w:cs="Arial"/>
                <w:sz w:val="20"/>
                <w:szCs w:val="20"/>
                <w:lang w:val="en-GB"/>
              </w:rPr>
            </w:pPr>
            <w:r>
              <w:rPr>
                <w:rFonts w:ascii="Arial" w:hAnsi="Arial" w:cs="Arial"/>
                <w:sz w:val="20"/>
                <w:szCs w:val="20"/>
                <w:lang w:val="en-GB"/>
              </w:rPr>
              <w:t>16</w:t>
            </w:r>
            <w:r w:rsidR="00696A00" w:rsidRPr="00696A00">
              <w:rPr>
                <w:rFonts w:ascii="Arial" w:hAnsi="Arial" w:cs="Arial"/>
                <w:sz w:val="20"/>
                <w:szCs w:val="20"/>
                <w:lang w:val="en-GB"/>
              </w:rPr>
              <w:t>%</w:t>
            </w:r>
          </w:p>
        </w:tc>
      </w:tr>
      <w:tr w:rsidR="00696A00" w:rsidRPr="00696A00" w14:paraId="52375531" w14:textId="77777777" w:rsidTr="00FF27BC">
        <w:tc>
          <w:tcPr>
            <w:tcW w:w="6662" w:type="dxa"/>
            <w:shd w:val="clear" w:color="auto" w:fill="auto"/>
          </w:tcPr>
          <w:p w14:paraId="093ECEBA" w14:textId="3494ED5B" w:rsidR="00696A00" w:rsidRPr="00696A00" w:rsidRDefault="00FF27BC" w:rsidP="0067689E">
            <w:pPr>
              <w:spacing w:before="60" w:after="60"/>
              <w:rPr>
                <w:rFonts w:ascii="Arial" w:hAnsi="Arial" w:cs="Arial"/>
                <w:sz w:val="20"/>
                <w:szCs w:val="20"/>
                <w:lang w:val="en-GB"/>
              </w:rPr>
            </w:pPr>
            <w:r>
              <w:rPr>
                <w:rFonts w:ascii="Arial" w:hAnsi="Arial" w:cs="Arial"/>
                <w:sz w:val="20"/>
                <w:szCs w:val="20"/>
                <w:lang w:val="en-GB"/>
              </w:rPr>
              <w:t>ER </w:t>
            </w:r>
            <w:r w:rsidR="0063771D">
              <w:rPr>
                <w:rFonts w:ascii="Arial" w:hAnsi="Arial" w:cs="Arial"/>
                <w:sz w:val="20"/>
                <w:szCs w:val="20"/>
                <w:lang w:val="en-GB"/>
              </w:rPr>
              <w:t>4</w:t>
            </w:r>
            <w:r w:rsidRPr="00FF27BC">
              <w:rPr>
                <w:rFonts w:ascii="Arial" w:hAnsi="Arial" w:cs="Arial"/>
                <w:sz w:val="20"/>
                <w:szCs w:val="20"/>
                <w:lang w:val="en-GB"/>
              </w:rPr>
              <w:t>: Objectives of the Convention promoted through awareness</w:t>
            </w:r>
            <w:r w:rsidR="0067689E">
              <w:rPr>
                <w:rFonts w:ascii="Arial" w:hAnsi="Arial" w:cs="Arial"/>
                <w:sz w:val="20"/>
                <w:szCs w:val="20"/>
                <w:lang w:val="en-GB"/>
              </w:rPr>
              <w:t>-raising</w:t>
            </w:r>
            <w:r w:rsidRPr="00FF27BC">
              <w:rPr>
                <w:rFonts w:ascii="Arial" w:hAnsi="Arial" w:cs="Arial"/>
                <w:sz w:val="20"/>
                <w:szCs w:val="20"/>
                <w:lang w:val="en-GB"/>
              </w:rPr>
              <w:t xml:space="preserve"> and </w:t>
            </w:r>
            <w:r w:rsidRPr="002D091C">
              <w:rPr>
                <w:rFonts w:ascii="Arial" w:hAnsi="Arial" w:cs="Arial"/>
                <w:sz w:val="20"/>
                <w:szCs w:val="20"/>
                <w:lang w:val="en-GB"/>
              </w:rPr>
              <w:t>outreach</w:t>
            </w:r>
          </w:p>
        </w:tc>
        <w:tc>
          <w:tcPr>
            <w:tcW w:w="1960" w:type="dxa"/>
            <w:shd w:val="clear" w:color="auto" w:fill="auto"/>
          </w:tcPr>
          <w:p w14:paraId="498D7110" w14:textId="0DBF348E" w:rsidR="00696A00" w:rsidRPr="00696A00" w:rsidRDefault="005A3DC9">
            <w:pPr>
              <w:spacing w:before="60" w:after="60"/>
              <w:jc w:val="center"/>
              <w:rPr>
                <w:rFonts w:ascii="Arial" w:hAnsi="Arial" w:cs="Arial"/>
                <w:sz w:val="20"/>
                <w:szCs w:val="20"/>
                <w:lang w:val="en-GB"/>
              </w:rPr>
            </w:pPr>
            <w:r>
              <w:rPr>
                <w:rFonts w:ascii="Arial" w:hAnsi="Arial" w:cs="Arial"/>
                <w:sz w:val="20"/>
                <w:szCs w:val="20"/>
                <w:lang w:val="en-GB"/>
              </w:rPr>
              <w:t>15</w:t>
            </w:r>
            <w:r w:rsidR="00696A00" w:rsidRPr="00696A00">
              <w:rPr>
                <w:rFonts w:ascii="Arial" w:hAnsi="Arial" w:cs="Arial"/>
                <w:sz w:val="20"/>
                <w:szCs w:val="20"/>
                <w:lang w:val="en-GB"/>
              </w:rPr>
              <w:t>%</w:t>
            </w:r>
          </w:p>
        </w:tc>
      </w:tr>
      <w:tr w:rsidR="00696A00" w:rsidRPr="00696A00" w14:paraId="1EC4E9FB" w14:textId="77777777" w:rsidTr="00FF27BC">
        <w:tc>
          <w:tcPr>
            <w:tcW w:w="6662" w:type="dxa"/>
            <w:shd w:val="clear" w:color="auto" w:fill="auto"/>
          </w:tcPr>
          <w:p w14:paraId="2FCC2599" w14:textId="77777777" w:rsidR="00696A00" w:rsidRPr="00696A00" w:rsidRDefault="00696A00">
            <w:pPr>
              <w:spacing w:before="60" w:after="60"/>
              <w:ind w:left="709"/>
              <w:jc w:val="both"/>
              <w:rPr>
                <w:rFonts w:ascii="Arial" w:hAnsi="Arial" w:cs="Arial"/>
                <w:sz w:val="20"/>
                <w:szCs w:val="20"/>
                <w:lang w:val="en-GB"/>
              </w:rPr>
            </w:pPr>
            <w:r w:rsidRPr="00696A00">
              <w:rPr>
                <w:rFonts w:ascii="Arial" w:hAnsi="Arial" w:cs="Arial"/>
                <w:sz w:val="20"/>
                <w:szCs w:val="20"/>
                <w:lang w:val="en-GB"/>
              </w:rPr>
              <w:t>Total budget</w:t>
            </w:r>
          </w:p>
        </w:tc>
        <w:tc>
          <w:tcPr>
            <w:tcW w:w="1960" w:type="dxa"/>
            <w:shd w:val="clear" w:color="auto" w:fill="auto"/>
          </w:tcPr>
          <w:p w14:paraId="45CB2E88" w14:textId="77777777" w:rsidR="00696A00" w:rsidRPr="00696A00" w:rsidRDefault="00696A00">
            <w:pPr>
              <w:spacing w:before="60" w:after="60"/>
              <w:jc w:val="center"/>
              <w:rPr>
                <w:rFonts w:ascii="Arial" w:hAnsi="Arial" w:cs="Arial"/>
                <w:sz w:val="20"/>
                <w:szCs w:val="20"/>
                <w:lang w:val="en-GB"/>
              </w:rPr>
            </w:pPr>
            <w:r w:rsidRPr="00696A00">
              <w:rPr>
                <w:rFonts w:ascii="Arial" w:hAnsi="Arial" w:cs="Arial"/>
                <w:sz w:val="20"/>
                <w:szCs w:val="20"/>
                <w:lang w:val="en-GB"/>
              </w:rPr>
              <w:t>100%</w:t>
            </w:r>
          </w:p>
        </w:tc>
      </w:tr>
    </w:tbl>
    <w:p w14:paraId="0350FC1B" w14:textId="77777777" w:rsidR="0037592C" w:rsidRPr="00696A00" w:rsidRDefault="0037592C">
      <w:pPr>
        <w:pStyle w:val="Heading2"/>
        <w:tabs>
          <w:tab w:val="left" w:pos="567"/>
        </w:tabs>
        <w:snapToGrid w:val="0"/>
        <w:spacing w:before="360" w:after="240"/>
        <w:ind w:left="1134"/>
        <w:jc w:val="both"/>
        <w:rPr>
          <w:rFonts w:ascii="Arial" w:hAnsi="Arial" w:cs="Arial"/>
          <w:bCs w:val="0"/>
          <w:i w:val="0"/>
          <w:iCs w:val="0"/>
          <w:snapToGrid w:val="0"/>
          <w:sz w:val="22"/>
          <w:szCs w:val="22"/>
          <w:lang w:val="en-GB" w:eastAsia="en-US"/>
        </w:rPr>
      </w:pPr>
      <w:r w:rsidRPr="00696A00">
        <w:rPr>
          <w:rFonts w:ascii="Arial" w:hAnsi="Arial" w:cs="Arial"/>
          <w:bCs w:val="0"/>
          <w:i w:val="0"/>
          <w:iCs w:val="0"/>
          <w:snapToGrid w:val="0"/>
          <w:sz w:val="22"/>
          <w:szCs w:val="22"/>
          <w:lang w:val="en-GB" w:eastAsia="en-US"/>
        </w:rPr>
        <w:t xml:space="preserve">Expected Result 1: Sound governance of the 2003 Convention facilitated by </w:t>
      </w:r>
      <w:r w:rsidR="005B31B1" w:rsidRPr="00696A00">
        <w:rPr>
          <w:rFonts w:ascii="Arial" w:hAnsi="Arial" w:cs="Arial"/>
          <w:bCs w:val="0"/>
          <w:i w:val="0"/>
          <w:iCs w:val="0"/>
          <w:snapToGrid w:val="0"/>
          <w:sz w:val="22"/>
          <w:szCs w:val="22"/>
          <w:lang w:val="en-GB" w:eastAsia="en-US"/>
        </w:rPr>
        <w:t xml:space="preserve">enhanced </w:t>
      </w:r>
      <w:r w:rsidR="00251669">
        <w:rPr>
          <w:rFonts w:ascii="Arial" w:hAnsi="Arial" w:cs="Arial"/>
          <w:bCs w:val="0"/>
          <w:i w:val="0"/>
          <w:iCs w:val="0"/>
          <w:snapToGrid w:val="0"/>
          <w:sz w:val="22"/>
          <w:szCs w:val="22"/>
          <w:lang w:val="en-GB" w:eastAsia="en-US"/>
        </w:rPr>
        <w:t xml:space="preserve">monitoring and </w:t>
      </w:r>
      <w:r w:rsidRPr="00696A00">
        <w:rPr>
          <w:rFonts w:ascii="Arial" w:hAnsi="Arial" w:cs="Arial"/>
          <w:bCs w:val="0"/>
          <w:i w:val="0"/>
          <w:iCs w:val="0"/>
          <w:snapToGrid w:val="0"/>
          <w:sz w:val="22"/>
          <w:szCs w:val="22"/>
          <w:lang w:val="en-GB" w:eastAsia="en-US"/>
        </w:rPr>
        <w:t>knowledge management services</w:t>
      </w:r>
    </w:p>
    <w:p w14:paraId="56755D37" w14:textId="7B0D210D" w:rsidR="005839B5" w:rsidRPr="0054466D" w:rsidRDefault="00F41C6E" w:rsidP="0054466D">
      <w:pPr>
        <w:pStyle w:val="5GAparabodytext"/>
        <w:rPr>
          <w:rStyle w:val="hps"/>
          <w:rFonts w:ascii="Cambria" w:hAnsi="Cambria" w:cs="Times New Roman"/>
          <w:b/>
          <w:bCs w:val="0"/>
          <w:i/>
          <w:iCs w:val="0"/>
          <w:sz w:val="28"/>
          <w:szCs w:val="28"/>
        </w:rPr>
      </w:pPr>
      <w:r>
        <w:rPr>
          <w:rStyle w:val="hps"/>
        </w:rPr>
        <w:t>A</w:t>
      </w:r>
      <w:r w:rsidR="00E2435F">
        <w:rPr>
          <w:rStyle w:val="hps"/>
        </w:rPr>
        <w:t xml:space="preserve">s demonstrated over past years, a solid knowledge management system </w:t>
      </w:r>
      <w:r w:rsidR="0067689E">
        <w:rPr>
          <w:rStyle w:val="hps"/>
        </w:rPr>
        <w:t>helps</w:t>
      </w:r>
      <w:r w:rsidR="00E2435F">
        <w:rPr>
          <w:rStyle w:val="hps"/>
        </w:rPr>
        <w:t xml:space="preserve"> facilitate the sound governance of the Convention in a valuable manner by providing not only </w:t>
      </w:r>
      <w:r w:rsidR="006910F5" w:rsidRPr="00D7634C">
        <w:rPr>
          <w:rStyle w:val="hps"/>
        </w:rPr>
        <w:t>a fundamental working t</w:t>
      </w:r>
      <w:r w:rsidR="00F6262F" w:rsidRPr="00D7634C">
        <w:rPr>
          <w:rStyle w:val="hps"/>
        </w:rPr>
        <w:t xml:space="preserve">ool for </w:t>
      </w:r>
      <w:r w:rsidR="001F56CF" w:rsidRPr="00D7634C">
        <w:rPr>
          <w:rStyle w:val="hps"/>
        </w:rPr>
        <w:t xml:space="preserve">both its governing and advisory bodies and its Secretariat but also a unique repository of information </w:t>
      </w:r>
      <w:r w:rsidR="00E2435F">
        <w:rPr>
          <w:rStyle w:val="hps"/>
        </w:rPr>
        <w:t xml:space="preserve">accessible </w:t>
      </w:r>
      <w:r w:rsidR="001F56CF" w:rsidRPr="00D7634C">
        <w:rPr>
          <w:rStyle w:val="hps"/>
        </w:rPr>
        <w:t>to all interested parties.</w:t>
      </w:r>
      <w:r w:rsidR="005839B5">
        <w:rPr>
          <w:rStyle w:val="hps"/>
        </w:rPr>
        <w:t xml:space="preserve"> </w:t>
      </w:r>
      <w:r w:rsidR="005839B5" w:rsidRPr="00A966F2">
        <w:rPr>
          <w:rStyle w:val="hps"/>
        </w:rPr>
        <w:t>In addition</w:t>
      </w:r>
      <w:r w:rsidR="00A966F2">
        <w:rPr>
          <w:rStyle w:val="hps"/>
        </w:rPr>
        <w:t>,</w:t>
      </w:r>
      <w:r w:rsidR="005839B5" w:rsidRPr="00A966F2">
        <w:rPr>
          <w:rStyle w:val="hps"/>
        </w:rPr>
        <w:t xml:space="preserve"> </w:t>
      </w:r>
      <w:r w:rsidR="00A966F2">
        <w:rPr>
          <w:rStyle w:val="hps"/>
        </w:rPr>
        <w:t xml:space="preserve">the sound governance of the Convention requires </w:t>
      </w:r>
      <w:r w:rsidR="0067689E">
        <w:rPr>
          <w:rStyle w:val="hps"/>
        </w:rPr>
        <w:t xml:space="preserve">the </w:t>
      </w:r>
      <w:r w:rsidR="00A966F2">
        <w:rPr>
          <w:rStyle w:val="hps"/>
        </w:rPr>
        <w:t xml:space="preserve">enhanced monitoring of the Convention as highlighted by the </w:t>
      </w:r>
      <w:r w:rsidR="00A966F2" w:rsidRPr="007773D7">
        <w:t>evaluation of the standard-setting work of UNESCO’s Culture Sector</w:t>
      </w:r>
      <w:r w:rsidR="00A966F2">
        <w:t xml:space="preserve"> </w:t>
      </w:r>
      <w:r w:rsidR="00A966F2" w:rsidRPr="007773D7">
        <w:t>undertaken by the UNESCO’s IOS in 2013</w:t>
      </w:r>
      <w:r w:rsidR="00A966F2">
        <w:t>. I</w:t>
      </w:r>
      <w:r w:rsidR="005839B5" w:rsidRPr="00A966F2">
        <w:rPr>
          <w:rStyle w:val="hps"/>
        </w:rPr>
        <w:t xml:space="preserve">t </w:t>
      </w:r>
      <w:proofErr w:type="gramStart"/>
      <w:r w:rsidR="005839B5" w:rsidRPr="00A966F2">
        <w:rPr>
          <w:rStyle w:val="hps"/>
        </w:rPr>
        <w:t xml:space="preserve">is </w:t>
      </w:r>
      <w:r w:rsidR="00A966F2">
        <w:rPr>
          <w:rStyle w:val="hps"/>
        </w:rPr>
        <w:t xml:space="preserve">therefore </w:t>
      </w:r>
      <w:r w:rsidR="005839B5" w:rsidRPr="00A966F2">
        <w:rPr>
          <w:rStyle w:val="hps"/>
        </w:rPr>
        <w:t>proposed</w:t>
      </w:r>
      <w:proofErr w:type="gramEnd"/>
      <w:r w:rsidR="009669D7">
        <w:rPr>
          <w:rStyle w:val="hps"/>
        </w:rPr>
        <w:t>,</w:t>
      </w:r>
      <w:r w:rsidR="005839B5" w:rsidRPr="00A966F2">
        <w:rPr>
          <w:rStyle w:val="hps"/>
        </w:rPr>
        <w:t xml:space="preserve"> </w:t>
      </w:r>
      <w:r w:rsidR="00A966F2">
        <w:rPr>
          <w:rStyle w:val="hps"/>
        </w:rPr>
        <w:t>under Expected Result 1</w:t>
      </w:r>
      <w:r w:rsidR="009669D7">
        <w:rPr>
          <w:rStyle w:val="hps"/>
        </w:rPr>
        <w:t>,</w:t>
      </w:r>
      <w:r w:rsidR="00A966F2">
        <w:rPr>
          <w:rStyle w:val="hps"/>
        </w:rPr>
        <w:t xml:space="preserve"> </w:t>
      </w:r>
      <w:r w:rsidR="0067689E">
        <w:rPr>
          <w:rStyle w:val="hps"/>
          <w:bCs w:val="0"/>
          <w:iCs w:val="0"/>
        </w:rPr>
        <w:t xml:space="preserve">that work </w:t>
      </w:r>
      <w:r w:rsidR="00382975">
        <w:rPr>
          <w:rStyle w:val="hps"/>
          <w:bCs w:val="0"/>
          <w:iCs w:val="0"/>
        </w:rPr>
        <w:t>on</w:t>
      </w:r>
      <w:r w:rsidR="0067689E">
        <w:rPr>
          <w:rStyle w:val="hps"/>
          <w:bCs w:val="0"/>
          <w:iCs w:val="0"/>
        </w:rPr>
        <w:t xml:space="preserve"> enhanc</w:t>
      </w:r>
      <w:r w:rsidR="00382975">
        <w:rPr>
          <w:rStyle w:val="hps"/>
          <w:bCs w:val="0"/>
          <w:iCs w:val="0"/>
        </w:rPr>
        <w:t>ing</w:t>
      </w:r>
      <w:r>
        <w:rPr>
          <w:rStyle w:val="hps"/>
          <w:bCs w:val="0"/>
          <w:iCs w:val="0"/>
        </w:rPr>
        <w:t xml:space="preserve"> the </w:t>
      </w:r>
      <w:r w:rsidRPr="005839B5">
        <w:rPr>
          <w:rStyle w:val="hps"/>
          <w:bCs w:val="0"/>
          <w:iCs w:val="0"/>
        </w:rPr>
        <w:t>knowledge management services</w:t>
      </w:r>
      <w:r w:rsidR="0067689E">
        <w:rPr>
          <w:rStyle w:val="hps"/>
          <w:bCs w:val="0"/>
          <w:iCs w:val="0"/>
        </w:rPr>
        <w:t xml:space="preserve"> continue</w:t>
      </w:r>
      <w:r>
        <w:rPr>
          <w:rStyle w:val="hps"/>
          <w:bCs w:val="0"/>
          <w:iCs w:val="0"/>
        </w:rPr>
        <w:t xml:space="preserve">, </w:t>
      </w:r>
      <w:r w:rsidR="0067689E">
        <w:rPr>
          <w:rStyle w:val="hps"/>
        </w:rPr>
        <w:t>and that</w:t>
      </w:r>
      <w:r w:rsidR="00A966F2">
        <w:rPr>
          <w:rStyle w:val="hps"/>
        </w:rPr>
        <w:t xml:space="preserve"> the </w:t>
      </w:r>
      <w:r w:rsidR="005839B5" w:rsidRPr="00A966F2">
        <w:rPr>
          <w:rStyle w:val="hps"/>
        </w:rPr>
        <w:t xml:space="preserve">work carried out </w:t>
      </w:r>
      <w:r w:rsidR="00DB04F4">
        <w:rPr>
          <w:rStyle w:val="hps"/>
        </w:rPr>
        <w:t>under former Expected Result</w:t>
      </w:r>
      <w:r>
        <w:rPr>
          <w:rStyle w:val="hps"/>
        </w:rPr>
        <w:t> </w:t>
      </w:r>
      <w:r w:rsidR="00DB04F4">
        <w:rPr>
          <w:rStyle w:val="hps"/>
        </w:rPr>
        <w:t>3 of the 2</w:t>
      </w:r>
      <w:r w:rsidR="00A966F2" w:rsidRPr="00A966F2">
        <w:rPr>
          <w:rStyle w:val="hps"/>
        </w:rPr>
        <w:t xml:space="preserve">016-2017 </w:t>
      </w:r>
      <w:r>
        <w:rPr>
          <w:rStyle w:val="hps"/>
        </w:rPr>
        <w:t xml:space="preserve">spending plan </w:t>
      </w:r>
      <w:r w:rsidR="0067689E">
        <w:rPr>
          <w:rStyle w:val="hps"/>
        </w:rPr>
        <w:t xml:space="preserve">be pursued </w:t>
      </w:r>
      <w:r w:rsidR="00A966F2">
        <w:rPr>
          <w:rStyle w:val="hps"/>
        </w:rPr>
        <w:t xml:space="preserve">in </w:t>
      </w:r>
      <w:r w:rsidR="0067689E">
        <w:rPr>
          <w:rStyle w:val="hps"/>
        </w:rPr>
        <w:t>order to</w:t>
      </w:r>
      <w:r w:rsidR="00A966F2">
        <w:rPr>
          <w:rStyle w:val="hps"/>
        </w:rPr>
        <w:t xml:space="preserve"> </w:t>
      </w:r>
      <w:r>
        <w:rPr>
          <w:rStyle w:val="hps"/>
        </w:rPr>
        <w:t>enhanc</w:t>
      </w:r>
      <w:r w:rsidR="0067689E">
        <w:rPr>
          <w:rStyle w:val="hps"/>
        </w:rPr>
        <w:t>e</w:t>
      </w:r>
      <w:r>
        <w:rPr>
          <w:rStyle w:val="hps"/>
        </w:rPr>
        <w:t xml:space="preserve"> the monitoring of the implementation of the Convention</w:t>
      </w:r>
      <w:r w:rsidR="00A966F2" w:rsidRPr="00A966F2">
        <w:rPr>
          <w:rStyle w:val="hps"/>
        </w:rPr>
        <w:t>.</w:t>
      </w:r>
    </w:p>
    <w:p w14:paraId="54E45AF2" w14:textId="02C8DB0F" w:rsidR="00F6262F" w:rsidRPr="005839B5" w:rsidRDefault="00382975" w:rsidP="0054466D">
      <w:pPr>
        <w:pStyle w:val="5GAparabodytext"/>
        <w:rPr>
          <w:rStyle w:val="hps"/>
          <w:rFonts w:ascii="Cambria" w:hAnsi="Cambria" w:cs="Times New Roman"/>
          <w:b/>
          <w:bCs w:val="0"/>
          <w:iCs w:val="0"/>
          <w:sz w:val="28"/>
          <w:szCs w:val="28"/>
        </w:rPr>
      </w:pPr>
      <w:r>
        <w:rPr>
          <w:rStyle w:val="hps"/>
        </w:rPr>
        <w:t>The</w:t>
      </w:r>
      <w:r w:rsidR="005839B5">
        <w:rPr>
          <w:rStyle w:val="hps"/>
        </w:rPr>
        <w:t xml:space="preserve"> knowledge management system</w:t>
      </w:r>
      <w:r>
        <w:rPr>
          <w:rStyle w:val="hps"/>
        </w:rPr>
        <w:t xml:space="preserve"> needs to </w:t>
      </w:r>
      <w:proofErr w:type="gramStart"/>
      <w:r>
        <w:rPr>
          <w:rStyle w:val="hps"/>
        </w:rPr>
        <w:t>be</w:t>
      </w:r>
      <w:r w:rsidR="005839B5">
        <w:rPr>
          <w:rStyle w:val="hps"/>
        </w:rPr>
        <w:t xml:space="preserve"> stead</w:t>
      </w:r>
      <w:r>
        <w:rPr>
          <w:rStyle w:val="hps"/>
        </w:rPr>
        <w:t>ily</w:t>
      </w:r>
      <w:r w:rsidR="005839B5">
        <w:rPr>
          <w:rStyle w:val="hps"/>
        </w:rPr>
        <w:t xml:space="preserve"> improv</w:t>
      </w:r>
      <w:r>
        <w:rPr>
          <w:rStyle w:val="hps"/>
        </w:rPr>
        <w:t>ed</w:t>
      </w:r>
      <w:proofErr w:type="gramEnd"/>
      <w:r w:rsidR="005839B5">
        <w:rPr>
          <w:rStyle w:val="hps"/>
        </w:rPr>
        <w:t xml:space="preserve"> </w:t>
      </w:r>
      <w:r w:rsidR="00E2435F">
        <w:rPr>
          <w:rStyle w:val="hps"/>
        </w:rPr>
        <w:t>in order to adapt to the constant</w:t>
      </w:r>
      <w:r w:rsidR="00162095">
        <w:rPr>
          <w:rStyle w:val="hps"/>
        </w:rPr>
        <w:t>l</w:t>
      </w:r>
      <w:r w:rsidR="00E2435F">
        <w:rPr>
          <w:rStyle w:val="hps"/>
        </w:rPr>
        <w:t xml:space="preserve">y changing reality of the Convention and to </w:t>
      </w:r>
      <w:r w:rsidR="00E2435F" w:rsidRPr="00D7634C">
        <w:rPr>
          <w:rStyle w:val="hps"/>
        </w:rPr>
        <w:t xml:space="preserve">meet the </w:t>
      </w:r>
      <w:r w:rsidR="00E2435F">
        <w:rPr>
          <w:rStyle w:val="hps"/>
        </w:rPr>
        <w:t xml:space="preserve">evolving </w:t>
      </w:r>
      <w:r w:rsidR="00E2435F" w:rsidRPr="00D7634C">
        <w:rPr>
          <w:rStyle w:val="hps"/>
        </w:rPr>
        <w:t>demands of a wide range of stakeholders</w:t>
      </w:r>
      <w:r w:rsidR="00E2435F">
        <w:rPr>
          <w:rStyle w:val="hps"/>
        </w:rPr>
        <w:t xml:space="preserve">. </w:t>
      </w:r>
      <w:r w:rsidR="007D0E41">
        <w:rPr>
          <w:rStyle w:val="hps"/>
        </w:rPr>
        <w:t>Therefore</w:t>
      </w:r>
      <w:r w:rsidR="00E2435F">
        <w:rPr>
          <w:rStyle w:val="hps"/>
        </w:rPr>
        <w:t xml:space="preserve">, </w:t>
      </w:r>
      <w:r w:rsidR="00444239">
        <w:rPr>
          <w:rStyle w:val="hps"/>
        </w:rPr>
        <w:t xml:space="preserve">during the first semester of 2018, </w:t>
      </w:r>
      <w:r w:rsidR="001F56CF" w:rsidRPr="00D7634C">
        <w:rPr>
          <w:rStyle w:val="hps"/>
        </w:rPr>
        <w:t>work will continue on improving the functioning of the Convention’s knowledge management system and its usefulness to its diverse constituencies</w:t>
      </w:r>
      <w:r w:rsidR="00444239">
        <w:rPr>
          <w:rStyle w:val="hps"/>
        </w:rPr>
        <w:t xml:space="preserve"> </w:t>
      </w:r>
      <w:r w:rsidR="007D0E41">
        <w:rPr>
          <w:rStyle w:val="hps"/>
        </w:rPr>
        <w:t>at three levels</w:t>
      </w:r>
      <w:r w:rsidR="007F7670" w:rsidRPr="00D7634C">
        <w:rPr>
          <w:rStyle w:val="hps"/>
        </w:rPr>
        <w:t>.</w:t>
      </w:r>
      <w:r w:rsidR="00FF025C" w:rsidRPr="00D7634C">
        <w:rPr>
          <w:rStyle w:val="hps"/>
        </w:rPr>
        <w:t xml:space="preserve"> </w:t>
      </w:r>
    </w:p>
    <w:p w14:paraId="5781C62A" w14:textId="09D86F6C" w:rsidR="004969E1" w:rsidRPr="001B75E7" w:rsidRDefault="00444239" w:rsidP="0054466D">
      <w:pPr>
        <w:pStyle w:val="5GAparabodytext"/>
        <w:rPr>
          <w:rStyle w:val="hps"/>
        </w:rPr>
      </w:pPr>
      <w:r w:rsidRPr="00444239">
        <w:rPr>
          <w:rStyle w:val="hps"/>
          <w:b/>
        </w:rPr>
        <w:t>ER</w:t>
      </w:r>
      <w:r w:rsidR="007D0E41">
        <w:rPr>
          <w:rStyle w:val="hps"/>
          <w:b/>
        </w:rPr>
        <w:t> </w:t>
      </w:r>
      <w:r w:rsidRPr="00444239">
        <w:rPr>
          <w:rStyle w:val="hps"/>
          <w:b/>
        </w:rPr>
        <w:t>1.1: External and internal a</w:t>
      </w:r>
      <w:r w:rsidR="006940F6" w:rsidRPr="00444239">
        <w:rPr>
          <w:rStyle w:val="hps"/>
          <w:b/>
        </w:rPr>
        <w:t>ccess to information concerning the Convention’s operations</w:t>
      </w:r>
      <w:r w:rsidRPr="00444239">
        <w:rPr>
          <w:rStyle w:val="hps"/>
          <w:b/>
        </w:rPr>
        <w:t xml:space="preserve"> improved</w:t>
      </w:r>
      <w:r w:rsidR="00DC00C4">
        <w:rPr>
          <w:rStyle w:val="hps"/>
          <w:b/>
        </w:rPr>
        <w:t>.</w:t>
      </w:r>
      <w:r>
        <w:rPr>
          <w:rStyle w:val="hps"/>
        </w:rPr>
        <w:t xml:space="preserve"> </w:t>
      </w:r>
      <w:r w:rsidR="00DC00C4">
        <w:rPr>
          <w:rStyle w:val="hps"/>
        </w:rPr>
        <w:t>H</w:t>
      </w:r>
      <w:r w:rsidR="0069691F" w:rsidRPr="00D7634C">
        <w:rPr>
          <w:rStyle w:val="hps"/>
        </w:rPr>
        <w:t>aving access to information through interfaces that display it in a consistent and focused manner is highly appreciated by all stakeholders</w:t>
      </w:r>
      <w:r w:rsidR="008A5DF3" w:rsidRPr="00D7634C">
        <w:rPr>
          <w:rStyle w:val="hps"/>
        </w:rPr>
        <w:t>,</w:t>
      </w:r>
      <w:r w:rsidR="0069691F" w:rsidRPr="00D7634C">
        <w:rPr>
          <w:rStyle w:val="hps"/>
        </w:rPr>
        <w:t xml:space="preserve"> especially those who </w:t>
      </w:r>
      <w:proofErr w:type="gramStart"/>
      <w:r w:rsidR="0069691F" w:rsidRPr="00D7634C">
        <w:rPr>
          <w:rStyle w:val="hps"/>
        </w:rPr>
        <w:t>are expected</w:t>
      </w:r>
      <w:proofErr w:type="gramEnd"/>
      <w:r w:rsidR="0069691F" w:rsidRPr="00D7634C">
        <w:rPr>
          <w:rStyle w:val="hps"/>
        </w:rPr>
        <w:t xml:space="preserve"> to take specific action in </w:t>
      </w:r>
      <w:r w:rsidR="00852ED7" w:rsidRPr="00D7634C">
        <w:rPr>
          <w:rStyle w:val="hps"/>
        </w:rPr>
        <w:t>implementing</w:t>
      </w:r>
      <w:r w:rsidR="0069691F" w:rsidRPr="00D7634C">
        <w:rPr>
          <w:rStyle w:val="hps"/>
        </w:rPr>
        <w:t xml:space="preserve"> the Convention. </w:t>
      </w:r>
      <w:r w:rsidR="00F46309" w:rsidRPr="001B75E7">
        <w:rPr>
          <w:rStyle w:val="hps"/>
        </w:rPr>
        <w:t>T</w:t>
      </w:r>
      <w:r w:rsidR="000D7030" w:rsidRPr="001B75E7">
        <w:rPr>
          <w:rStyle w:val="hps"/>
        </w:rPr>
        <w:t xml:space="preserve">he Secretariat </w:t>
      </w:r>
      <w:r w:rsidRPr="001B75E7">
        <w:rPr>
          <w:rStyle w:val="hps"/>
        </w:rPr>
        <w:t>will</w:t>
      </w:r>
      <w:r w:rsidR="000D7030" w:rsidRPr="001B75E7">
        <w:rPr>
          <w:rStyle w:val="hps"/>
        </w:rPr>
        <w:t xml:space="preserve"> </w:t>
      </w:r>
      <w:r w:rsidR="00F46309" w:rsidRPr="001B75E7">
        <w:rPr>
          <w:rStyle w:val="hps"/>
        </w:rPr>
        <w:t xml:space="preserve">therefore </w:t>
      </w:r>
      <w:r w:rsidR="000D7030" w:rsidRPr="001B75E7">
        <w:rPr>
          <w:rStyle w:val="hps"/>
        </w:rPr>
        <w:t>finaliz</w:t>
      </w:r>
      <w:r w:rsidRPr="001B75E7">
        <w:rPr>
          <w:rStyle w:val="hps"/>
        </w:rPr>
        <w:t>e</w:t>
      </w:r>
      <w:r w:rsidR="000D7030" w:rsidRPr="001B75E7">
        <w:rPr>
          <w:rStyle w:val="hps"/>
        </w:rPr>
        <w:t xml:space="preserve"> the work undertaken during the previous biennium to release a monitoring </w:t>
      </w:r>
      <w:r w:rsidR="000D7030" w:rsidRPr="001B75E7">
        <w:rPr>
          <w:rStyle w:val="hps"/>
        </w:rPr>
        <w:lastRenderedPageBreak/>
        <w:t>interface for</w:t>
      </w:r>
      <w:r w:rsidR="001B75E7">
        <w:rPr>
          <w:rStyle w:val="hps"/>
        </w:rPr>
        <w:t xml:space="preserve"> t</w:t>
      </w:r>
      <w:r w:rsidR="001B75E7" w:rsidRPr="001B75E7">
        <w:rPr>
          <w:rStyle w:val="hps"/>
        </w:rPr>
        <w:t xml:space="preserve">he </w:t>
      </w:r>
      <w:proofErr w:type="spellStart"/>
      <w:r w:rsidR="001B75E7" w:rsidRPr="001B75E7">
        <w:rPr>
          <w:rStyle w:val="hps"/>
        </w:rPr>
        <w:t>mulilingualism</w:t>
      </w:r>
      <w:proofErr w:type="spellEnd"/>
      <w:r w:rsidR="001B75E7" w:rsidRPr="001B75E7">
        <w:rPr>
          <w:rStyle w:val="hps"/>
        </w:rPr>
        <w:t xml:space="preserve"> management of the website of the Convention,</w:t>
      </w:r>
      <w:r w:rsidR="001B75E7">
        <w:rPr>
          <w:rStyle w:val="hps"/>
        </w:rPr>
        <w:t xml:space="preserve"> </w:t>
      </w:r>
      <w:r w:rsidR="001B75E7" w:rsidRPr="001B75E7">
        <w:rPr>
          <w:rStyle w:val="hps"/>
        </w:rPr>
        <w:t xml:space="preserve">thus </w:t>
      </w:r>
      <w:r w:rsidR="00382975">
        <w:rPr>
          <w:rStyle w:val="hps"/>
        </w:rPr>
        <w:t>providing</w:t>
      </w:r>
      <w:r w:rsidR="001B75E7">
        <w:rPr>
          <w:rStyle w:val="hps"/>
        </w:rPr>
        <w:t xml:space="preserve"> a better overview of the status</w:t>
      </w:r>
      <w:r w:rsidR="001B75E7" w:rsidRPr="001B75E7">
        <w:rPr>
          <w:rStyle w:val="hps"/>
        </w:rPr>
        <w:t xml:space="preserve"> of </w:t>
      </w:r>
      <w:r w:rsidR="00382975">
        <w:rPr>
          <w:rStyle w:val="hps"/>
        </w:rPr>
        <w:t xml:space="preserve">its </w:t>
      </w:r>
      <w:r w:rsidR="001B75E7" w:rsidRPr="001B75E7">
        <w:rPr>
          <w:rStyle w:val="hps"/>
        </w:rPr>
        <w:t>translation in</w:t>
      </w:r>
      <w:r w:rsidR="00382975">
        <w:rPr>
          <w:rStyle w:val="hps"/>
        </w:rPr>
        <w:t>to</w:t>
      </w:r>
      <w:r w:rsidR="001B75E7" w:rsidRPr="001B75E7">
        <w:rPr>
          <w:rStyle w:val="hps"/>
        </w:rPr>
        <w:t xml:space="preserve"> </w:t>
      </w:r>
      <w:r w:rsidR="001B75E7">
        <w:rPr>
          <w:rStyle w:val="hps"/>
        </w:rPr>
        <w:t xml:space="preserve">Arabic, </w:t>
      </w:r>
      <w:r w:rsidR="001B75E7" w:rsidRPr="001B75E7">
        <w:rPr>
          <w:rStyle w:val="hps"/>
        </w:rPr>
        <w:t>English, French</w:t>
      </w:r>
      <w:r w:rsidR="001B75E7">
        <w:rPr>
          <w:rStyle w:val="hps"/>
        </w:rPr>
        <w:t xml:space="preserve"> and</w:t>
      </w:r>
      <w:r w:rsidR="001B75E7" w:rsidRPr="001B75E7">
        <w:rPr>
          <w:rStyle w:val="hps"/>
        </w:rPr>
        <w:t xml:space="preserve"> Spanish </w:t>
      </w:r>
      <w:r w:rsidR="001B75E7">
        <w:rPr>
          <w:rStyle w:val="hps"/>
        </w:rPr>
        <w:t xml:space="preserve">while </w:t>
      </w:r>
      <w:r w:rsidR="001B75E7" w:rsidRPr="001B75E7">
        <w:rPr>
          <w:rStyle w:val="hps"/>
        </w:rPr>
        <w:t xml:space="preserve">taking into </w:t>
      </w:r>
      <w:proofErr w:type="gramStart"/>
      <w:r w:rsidR="001B75E7" w:rsidRPr="001B75E7">
        <w:rPr>
          <w:rStyle w:val="hps"/>
        </w:rPr>
        <w:t xml:space="preserve">account </w:t>
      </w:r>
      <w:r w:rsidR="00382975">
        <w:rPr>
          <w:rStyle w:val="hps"/>
        </w:rPr>
        <w:t>page view</w:t>
      </w:r>
      <w:r w:rsidR="00382975" w:rsidRPr="001B75E7">
        <w:rPr>
          <w:rStyle w:val="hps"/>
        </w:rPr>
        <w:t xml:space="preserve"> </w:t>
      </w:r>
      <w:r w:rsidR="001B75E7" w:rsidRPr="001B75E7">
        <w:rPr>
          <w:rStyle w:val="hps"/>
        </w:rPr>
        <w:t>statistics</w:t>
      </w:r>
      <w:proofErr w:type="gramEnd"/>
      <w:r w:rsidR="006910F5" w:rsidRPr="001B75E7">
        <w:rPr>
          <w:rStyle w:val="hps"/>
        </w:rPr>
        <w:t>.</w:t>
      </w:r>
      <w:r w:rsidR="00F46309" w:rsidRPr="001B75E7">
        <w:rPr>
          <w:rStyle w:val="hps"/>
        </w:rPr>
        <w:t xml:space="preserve"> </w:t>
      </w:r>
    </w:p>
    <w:p w14:paraId="289C1858" w14:textId="05F613CD" w:rsidR="000C4151" w:rsidRDefault="00444239" w:rsidP="0054466D">
      <w:pPr>
        <w:pStyle w:val="5GAparabodytext"/>
      </w:pPr>
      <w:r w:rsidRPr="00444239">
        <w:rPr>
          <w:rStyle w:val="hps"/>
          <w:b/>
        </w:rPr>
        <w:t>ER</w:t>
      </w:r>
      <w:r w:rsidR="007D0E41">
        <w:rPr>
          <w:rStyle w:val="hps"/>
          <w:b/>
        </w:rPr>
        <w:t> 1</w:t>
      </w:r>
      <w:r w:rsidRPr="00444239">
        <w:rPr>
          <w:rStyle w:val="hps"/>
          <w:b/>
        </w:rPr>
        <w:t>.2: A</w:t>
      </w:r>
      <w:r w:rsidR="006910F5" w:rsidRPr="00444239">
        <w:rPr>
          <w:rStyle w:val="hps"/>
          <w:b/>
        </w:rPr>
        <w:t xml:space="preserve">ccessibility and usability </w:t>
      </w:r>
      <w:r w:rsidR="000C4151" w:rsidRPr="00444239">
        <w:rPr>
          <w:rStyle w:val="hps"/>
          <w:b/>
        </w:rPr>
        <w:t>of</w:t>
      </w:r>
      <w:r w:rsidR="006910F5" w:rsidRPr="00444239">
        <w:rPr>
          <w:rStyle w:val="hps"/>
          <w:b/>
        </w:rPr>
        <w:t xml:space="preserve"> documents </w:t>
      </w:r>
      <w:r w:rsidR="00014871" w:rsidRPr="00444239">
        <w:rPr>
          <w:rStyle w:val="hps"/>
          <w:b/>
        </w:rPr>
        <w:t>and decisions of</w:t>
      </w:r>
      <w:r w:rsidR="006910F5" w:rsidRPr="00444239">
        <w:rPr>
          <w:rStyle w:val="hps"/>
          <w:b/>
        </w:rPr>
        <w:t xml:space="preserve"> the Convention</w:t>
      </w:r>
      <w:r w:rsidR="00D67AEE" w:rsidRPr="00444239">
        <w:rPr>
          <w:rStyle w:val="hps"/>
          <w:b/>
        </w:rPr>
        <w:t>’s governing bodies</w:t>
      </w:r>
      <w:r w:rsidRPr="00444239">
        <w:rPr>
          <w:rStyle w:val="hps"/>
          <w:b/>
        </w:rPr>
        <w:t xml:space="preserve"> improved</w:t>
      </w:r>
      <w:r w:rsidR="00DC00C4">
        <w:rPr>
          <w:rStyle w:val="hps"/>
          <w:b/>
        </w:rPr>
        <w:t>.</w:t>
      </w:r>
      <w:r w:rsidR="00DC00C4">
        <w:rPr>
          <w:rStyle w:val="hps"/>
        </w:rPr>
        <w:t xml:space="preserve"> </w:t>
      </w:r>
      <w:r w:rsidR="00382975">
        <w:rPr>
          <w:rStyle w:val="hps"/>
        </w:rPr>
        <w:t>S</w:t>
      </w:r>
      <w:r w:rsidR="006910F5" w:rsidRPr="00D7634C">
        <w:t xml:space="preserve">tatutory meeting documents </w:t>
      </w:r>
      <w:r w:rsidR="00F4269D">
        <w:t xml:space="preserve">will </w:t>
      </w:r>
      <w:r w:rsidR="00382975">
        <w:t>continue to be processed, in order</w:t>
      </w:r>
      <w:r w:rsidR="00F4269D">
        <w:t xml:space="preserve"> </w:t>
      </w:r>
      <w:r w:rsidR="006910F5" w:rsidRPr="00D7634C">
        <w:t>to systematically insert cross-link</w:t>
      </w:r>
      <w:r w:rsidR="00382975">
        <w:t>s</w:t>
      </w:r>
      <w:r w:rsidR="006910F5" w:rsidRPr="00D7634C">
        <w:t xml:space="preserve"> and include them i</w:t>
      </w:r>
      <w:r w:rsidR="00382975">
        <w:t>n</w:t>
      </w:r>
      <w:r w:rsidR="006910F5" w:rsidRPr="00D7634C">
        <w:t xml:space="preserve"> UNESDOC – the UNESCO-wide repository of documents. </w:t>
      </w:r>
      <w:r w:rsidR="00201D83">
        <w:t xml:space="preserve">During the first semester </w:t>
      </w:r>
      <w:r w:rsidR="00382975">
        <w:t xml:space="preserve">of </w:t>
      </w:r>
      <w:r w:rsidR="00201D83">
        <w:t>2018</w:t>
      </w:r>
      <w:r w:rsidR="00251669">
        <w:t xml:space="preserve">, </w:t>
      </w:r>
      <w:r w:rsidR="00382975">
        <w:t xml:space="preserve">this </w:t>
      </w:r>
      <w:r w:rsidR="00251669">
        <w:t xml:space="preserve">will mainly concern documents and decisions related to </w:t>
      </w:r>
      <w:r w:rsidR="00FF025C" w:rsidRPr="00D7634C">
        <w:t xml:space="preserve">the </w:t>
      </w:r>
      <w:r w:rsidR="00251669">
        <w:t>twel</w:t>
      </w:r>
      <w:r w:rsidR="00201D83">
        <w:t>f</w:t>
      </w:r>
      <w:r w:rsidR="00251669">
        <w:t xml:space="preserve">th </w:t>
      </w:r>
      <w:r w:rsidR="00FF025C" w:rsidRPr="00D7634C">
        <w:t>session o</w:t>
      </w:r>
      <w:r>
        <w:t>f the Committee and its Bureau.</w:t>
      </w:r>
    </w:p>
    <w:p w14:paraId="075EAEB4" w14:textId="71DBB40B" w:rsidR="00B17022" w:rsidRPr="005C5700" w:rsidRDefault="007D0E41" w:rsidP="0054466D">
      <w:pPr>
        <w:pStyle w:val="5GAparabodytext"/>
        <w:rPr>
          <w:rStyle w:val="apple-converted-space"/>
        </w:rPr>
      </w:pPr>
      <w:r w:rsidRPr="00313B8D">
        <w:rPr>
          <w:b/>
        </w:rPr>
        <w:t>ER </w:t>
      </w:r>
      <w:r w:rsidR="00444239" w:rsidRPr="00313B8D">
        <w:rPr>
          <w:b/>
        </w:rPr>
        <w:t>1.3:</w:t>
      </w:r>
      <w:r w:rsidR="00444239" w:rsidRPr="00444239">
        <w:rPr>
          <w:rStyle w:val="hps"/>
          <w:b/>
        </w:rPr>
        <w:t xml:space="preserve"> </w:t>
      </w:r>
      <w:r w:rsidR="00194247">
        <w:rPr>
          <w:rStyle w:val="hps"/>
          <w:b/>
        </w:rPr>
        <w:t>W</w:t>
      </w:r>
      <w:r w:rsidR="00E10845" w:rsidRPr="00444239">
        <w:rPr>
          <w:rStyle w:val="hps"/>
          <w:b/>
        </w:rPr>
        <w:t>ebsite</w:t>
      </w:r>
      <w:r w:rsidR="0012612E" w:rsidRPr="00444239">
        <w:rPr>
          <w:rStyle w:val="hps"/>
          <w:b/>
        </w:rPr>
        <w:t xml:space="preserve"> of the 2003 Convention</w:t>
      </w:r>
      <w:r w:rsidR="00444239" w:rsidRPr="00444239">
        <w:rPr>
          <w:rStyle w:val="hps"/>
          <w:b/>
        </w:rPr>
        <w:t xml:space="preserve"> enhance</w:t>
      </w:r>
      <w:r w:rsidR="005C5700">
        <w:rPr>
          <w:rStyle w:val="hps"/>
          <w:b/>
        </w:rPr>
        <w:t xml:space="preserve">d </w:t>
      </w:r>
      <w:r w:rsidR="005C5700" w:rsidRPr="005C5700">
        <w:rPr>
          <w:rStyle w:val="hps"/>
          <w:b/>
        </w:rPr>
        <w:t>with improved navigation and ergonomics, optimized search engine and additional web content</w:t>
      </w:r>
      <w:r w:rsidR="00DC00C4">
        <w:rPr>
          <w:rStyle w:val="hps"/>
          <w:b/>
        </w:rPr>
        <w:t>.</w:t>
      </w:r>
      <w:r w:rsidR="00444239">
        <w:rPr>
          <w:rStyle w:val="hps"/>
        </w:rPr>
        <w:t xml:space="preserve"> This concerns </w:t>
      </w:r>
      <w:r w:rsidR="00444239" w:rsidRPr="00D7634C">
        <w:rPr>
          <w:rStyle w:val="hps"/>
        </w:rPr>
        <w:t>the visible part of the knowledge management system</w:t>
      </w:r>
      <w:r w:rsidR="00382975">
        <w:rPr>
          <w:rStyle w:val="hps"/>
        </w:rPr>
        <w:t>,</w:t>
      </w:r>
      <w:r w:rsidR="00E10845" w:rsidRPr="00D7634C">
        <w:rPr>
          <w:rStyle w:val="hps"/>
        </w:rPr>
        <w:t xml:space="preserve"> </w:t>
      </w:r>
      <w:r w:rsidR="00444239">
        <w:rPr>
          <w:rStyle w:val="hps"/>
        </w:rPr>
        <w:t xml:space="preserve">which has allowed </w:t>
      </w:r>
      <w:r w:rsidR="00382975">
        <w:rPr>
          <w:rStyle w:val="hps"/>
        </w:rPr>
        <w:t xml:space="preserve">for the </w:t>
      </w:r>
      <w:r w:rsidR="005C5700">
        <w:rPr>
          <w:rStyle w:val="hps"/>
        </w:rPr>
        <w:t>release</w:t>
      </w:r>
      <w:r w:rsidR="00382975">
        <w:rPr>
          <w:rStyle w:val="hps"/>
        </w:rPr>
        <w:t xml:space="preserve"> of</w:t>
      </w:r>
      <w:r w:rsidR="005C5700">
        <w:rPr>
          <w:rStyle w:val="hps"/>
        </w:rPr>
        <w:t xml:space="preserve"> a </w:t>
      </w:r>
      <w:r w:rsidR="00E10845" w:rsidRPr="00D7634C">
        <w:rPr>
          <w:rStyle w:val="hps"/>
        </w:rPr>
        <w:t>fully renovated website in November 2015</w:t>
      </w:r>
      <w:r w:rsidR="005C5700">
        <w:rPr>
          <w:rStyle w:val="hps"/>
        </w:rPr>
        <w:t xml:space="preserve">. Nevertheless, </w:t>
      </w:r>
      <w:r w:rsidR="00E10845" w:rsidRPr="00D7634C">
        <w:rPr>
          <w:rStyle w:val="hps"/>
        </w:rPr>
        <w:t xml:space="preserve">resources </w:t>
      </w:r>
      <w:r w:rsidR="005C5700">
        <w:rPr>
          <w:rStyle w:val="hps"/>
        </w:rPr>
        <w:t xml:space="preserve">are required </w:t>
      </w:r>
      <w:r w:rsidR="00E10845" w:rsidRPr="00D7634C">
        <w:rPr>
          <w:rStyle w:val="hps"/>
        </w:rPr>
        <w:t xml:space="preserve">to ensure </w:t>
      </w:r>
      <w:r w:rsidR="00382975">
        <w:rPr>
          <w:rStyle w:val="hps"/>
        </w:rPr>
        <w:t xml:space="preserve">the website’s </w:t>
      </w:r>
      <w:r w:rsidR="00E10845" w:rsidRPr="00D7634C">
        <w:rPr>
          <w:rStyle w:val="hps"/>
        </w:rPr>
        <w:t xml:space="preserve">maintenance, further development and security but also to </w:t>
      </w:r>
      <w:r w:rsidR="00382975">
        <w:rPr>
          <w:rStyle w:val="hps"/>
        </w:rPr>
        <w:t>ensure it is</w:t>
      </w:r>
      <w:r w:rsidR="00382975" w:rsidRPr="00D7634C">
        <w:rPr>
          <w:rStyle w:val="hps"/>
        </w:rPr>
        <w:t xml:space="preserve"> </w:t>
      </w:r>
      <w:r w:rsidR="00E10845" w:rsidRPr="00D7634C">
        <w:rPr>
          <w:rStyle w:val="hps"/>
        </w:rPr>
        <w:t xml:space="preserve">easily readable and </w:t>
      </w:r>
      <w:proofErr w:type="spellStart"/>
      <w:r w:rsidR="00E10845" w:rsidRPr="00D7634C">
        <w:rPr>
          <w:rStyle w:val="hps"/>
        </w:rPr>
        <w:t>naviga</w:t>
      </w:r>
      <w:r w:rsidR="00382975">
        <w:rPr>
          <w:rStyle w:val="hps"/>
        </w:rPr>
        <w:t>ta</w:t>
      </w:r>
      <w:r w:rsidR="00E10845" w:rsidRPr="00D7634C">
        <w:rPr>
          <w:rStyle w:val="hps"/>
        </w:rPr>
        <w:t>ble</w:t>
      </w:r>
      <w:proofErr w:type="spellEnd"/>
      <w:r w:rsidR="00E10845" w:rsidRPr="00D7634C">
        <w:rPr>
          <w:rStyle w:val="hps"/>
        </w:rPr>
        <w:t xml:space="preserve"> from </w:t>
      </w:r>
      <w:r w:rsidR="006F49D1" w:rsidRPr="00D7634C">
        <w:rPr>
          <w:rStyle w:val="hps"/>
        </w:rPr>
        <w:t>new devices (</w:t>
      </w:r>
      <w:r w:rsidR="00E10845" w:rsidRPr="00D7634C">
        <w:rPr>
          <w:rStyle w:val="hps"/>
        </w:rPr>
        <w:t>mobile phones</w:t>
      </w:r>
      <w:r w:rsidR="006F49D1" w:rsidRPr="00D7634C">
        <w:rPr>
          <w:rStyle w:val="hps"/>
        </w:rPr>
        <w:t>, tablets, etc.)</w:t>
      </w:r>
      <w:r w:rsidR="00E10845" w:rsidRPr="00D7634C">
        <w:rPr>
          <w:rStyle w:val="hps"/>
        </w:rPr>
        <w:t xml:space="preserve">. </w:t>
      </w:r>
      <w:r w:rsidR="005C5700" w:rsidRPr="005C5700">
        <w:rPr>
          <w:rStyle w:val="hps"/>
        </w:rPr>
        <w:t xml:space="preserve">Work </w:t>
      </w:r>
      <w:proofErr w:type="gramStart"/>
      <w:r w:rsidR="005C5700" w:rsidRPr="005C5700">
        <w:rPr>
          <w:rStyle w:val="hps"/>
        </w:rPr>
        <w:t>will therefore be pursued</w:t>
      </w:r>
      <w:proofErr w:type="gramEnd"/>
      <w:r w:rsidR="005C5700" w:rsidRPr="005C5700">
        <w:rPr>
          <w:rStyle w:val="hps"/>
        </w:rPr>
        <w:t xml:space="preserve"> </w:t>
      </w:r>
      <w:r w:rsidR="00DA22BD" w:rsidRPr="005C5700">
        <w:rPr>
          <w:rStyle w:val="hps"/>
        </w:rPr>
        <w:t xml:space="preserve">to </w:t>
      </w:r>
      <w:r w:rsidR="00DA22BD" w:rsidRPr="005C5700">
        <w:t xml:space="preserve">improve </w:t>
      </w:r>
      <w:r w:rsidR="00382975">
        <w:t xml:space="preserve">the </w:t>
      </w:r>
      <w:r w:rsidR="00DA22BD" w:rsidRPr="005C5700">
        <w:t xml:space="preserve">browsing experience and provide more user-friendly interfaces </w:t>
      </w:r>
      <w:r w:rsidR="005C5700" w:rsidRPr="005C5700">
        <w:t xml:space="preserve">while constantly </w:t>
      </w:r>
      <w:r w:rsidR="00DA22BD" w:rsidRPr="005C5700">
        <w:t>adapt</w:t>
      </w:r>
      <w:r w:rsidR="005C5700" w:rsidRPr="005C5700">
        <w:t>ing</w:t>
      </w:r>
      <w:r w:rsidR="00DA22BD" w:rsidRPr="005C5700">
        <w:t xml:space="preserve"> the site’s layout to other viewing environments</w:t>
      </w:r>
      <w:r w:rsidR="00DA22BD" w:rsidRPr="005C5700">
        <w:rPr>
          <w:rStyle w:val="apple-converted-space"/>
          <w:color w:val="252525"/>
          <w:sz w:val="21"/>
          <w:szCs w:val="21"/>
          <w:shd w:val="clear" w:color="auto" w:fill="FFFFFF"/>
        </w:rPr>
        <w:t xml:space="preserve">. </w:t>
      </w:r>
    </w:p>
    <w:p w14:paraId="429E8155" w14:textId="744CB45A" w:rsidR="008F7153" w:rsidRPr="0054466D" w:rsidRDefault="0005302A" w:rsidP="0054466D">
      <w:pPr>
        <w:pStyle w:val="5GAparabodytext"/>
        <w:rPr>
          <w:rStyle w:val="hps"/>
        </w:rPr>
      </w:pPr>
      <w:r w:rsidRPr="0005302A">
        <w:rPr>
          <w:rStyle w:val="hps"/>
          <w:b/>
        </w:rPr>
        <w:t xml:space="preserve">ER 1.4: Overall results framework complemented. </w:t>
      </w:r>
      <w:r w:rsidR="008608EF">
        <w:rPr>
          <w:rStyle w:val="hps"/>
        </w:rPr>
        <w:t xml:space="preserve">Significant progress </w:t>
      </w:r>
      <w:proofErr w:type="gramStart"/>
      <w:r w:rsidR="008608EF">
        <w:rPr>
          <w:rStyle w:val="hps"/>
        </w:rPr>
        <w:t>should have been made</w:t>
      </w:r>
      <w:proofErr w:type="gramEnd"/>
      <w:r w:rsidR="008608EF">
        <w:rPr>
          <w:rStyle w:val="hps"/>
        </w:rPr>
        <w:t xml:space="preserve"> in</w:t>
      </w:r>
      <w:r w:rsidR="008F7153" w:rsidRPr="00341099">
        <w:rPr>
          <w:rStyle w:val="hps"/>
        </w:rPr>
        <w:t xml:space="preserve"> </w:t>
      </w:r>
      <w:r w:rsidR="008608EF">
        <w:rPr>
          <w:rStyle w:val="hps"/>
        </w:rPr>
        <w:t xml:space="preserve">the work to </w:t>
      </w:r>
      <w:r w:rsidR="008F7153" w:rsidRPr="00341099">
        <w:rPr>
          <w:rStyle w:val="hps"/>
        </w:rPr>
        <w:t xml:space="preserve">develop an overall results framework </w:t>
      </w:r>
      <w:r w:rsidR="008F7153">
        <w:rPr>
          <w:rStyle w:val="hps"/>
        </w:rPr>
        <w:t xml:space="preserve">for the Convention, </w:t>
      </w:r>
      <w:r w:rsidR="008F7153" w:rsidRPr="00341099">
        <w:rPr>
          <w:rStyle w:val="hps"/>
        </w:rPr>
        <w:t xml:space="preserve">with </w:t>
      </w:r>
      <w:r w:rsidR="008F7153">
        <w:rPr>
          <w:rStyle w:val="hps"/>
        </w:rPr>
        <w:t>a view to</w:t>
      </w:r>
      <w:r w:rsidR="008F7153" w:rsidRPr="00341099">
        <w:rPr>
          <w:rStyle w:val="hps"/>
        </w:rPr>
        <w:t xml:space="preserve"> </w:t>
      </w:r>
      <w:r w:rsidR="008F7153" w:rsidRPr="004141FD">
        <w:rPr>
          <w:rStyle w:val="hps"/>
        </w:rPr>
        <w:t>improv</w:t>
      </w:r>
      <w:r w:rsidR="008F7153">
        <w:rPr>
          <w:rStyle w:val="hps"/>
        </w:rPr>
        <w:t>ing</w:t>
      </w:r>
      <w:r w:rsidR="008F7153" w:rsidRPr="00341099">
        <w:rPr>
          <w:rStyle w:val="hps"/>
        </w:rPr>
        <w:t xml:space="preserve"> </w:t>
      </w:r>
      <w:r w:rsidR="008F7153">
        <w:rPr>
          <w:rStyle w:val="hps"/>
        </w:rPr>
        <w:t>its</w:t>
      </w:r>
      <w:r w:rsidR="008F7153" w:rsidRPr="00341099">
        <w:rPr>
          <w:rStyle w:val="hps"/>
        </w:rPr>
        <w:t xml:space="preserve"> </w:t>
      </w:r>
      <w:r w:rsidR="008F7153">
        <w:rPr>
          <w:rStyle w:val="hps"/>
        </w:rPr>
        <w:t xml:space="preserve">overall </w:t>
      </w:r>
      <w:r w:rsidR="008F7153" w:rsidRPr="00341099">
        <w:rPr>
          <w:rStyle w:val="hps"/>
        </w:rPr>
        <w:t>monitoring</w:t>
      </w:r>
      <w:r w:rsidR="008F7153">
        <w:rPr>
          <w:rStyle w:val="hps"/>
        </w:rPr>
        <w:t>,</w:t>
      </w:r>
      <w:r w:rsidR="008F7153" w:rsidRPr="00341099">
        <w:rPr>
          <w:rStyle w:val="hps"/>
        </w:rPr>
        <w:t xml:space="preserve"> before the start of the period covered by this </w:t>
      </w:r>
      <w:r w:rsidR="008F7153">
        <w:rPr>
          <w:rStyle w:val="hps"/>
        </w:rPr>
        <w:t>spending</w:t>
      </w:r>
      <w:r w:rsidR="008F7153" w:rsidRPr="00341099">
        <w:rPr>
          <w:rStyle w:val="hps"/>
        </w:rPr>
        <w:t xml:space="preserve"> plan.</w:t>
      </w:r>
      <w:r w:rsidR="008F7153">
        <w:rPr>
          <w:rStyle w:val="hps"/>
        </w:rPr>
        <w:t xml:space="preserve"> Building on the outcomes of a preliminary </w:t>
      </w:r>
      <w:r w:rsidR="008F7153" w:rsidRPr="0026007A">
        <w:t xml:space="preserve">expert meeting held in Beijing, China, from 7 to 9 September 2016 </w:t>
      </w:r>
      <w:r w:rsidR="008F7153">
        <w:t xml:space="preserve">and the discussions of the eleventh session of the Committee on the subject </w:t>
      </w:r>
      <w:r w:rsidR="008F7153" w:rsidRPr="0026007A">
        <w:t xml:space="preserve">(see </w:t>
      </w:r>
      <w:hyperlink r:id="rId14" w:history="1">
        <w:r w:rsidR="008F7153" w:rsidRPr="0026007A">
          <w:rPr>
            <w:rStyle w:val="Hyperlink"/>
          </w:rPr>
          <w:t>Document ITH/16/11.COM/14</w:t>
        </w:r>
      </w:hyperlink>
      <w:r w:rsidR="008F7153" w:rsidRPr="0026007A">
        <w:t>)</w:t>
      </w:r>
      <w:r w:rsidR="008F7153">
        <w:t xml:space="preserve">, an </w:t>
      </w:r>
      <w:r w:rsidR="008F7153" w:rsidRPr="00282A9D">
        <w:t>open</w:t>
      </w:r>
      <w:r w:rsidR="008608EF">
        <w:t>-</w:t>
      </w:r>
      <w:r w:rsidR="008F7153" w:rsidRPr="00282A9D">
        <w:t xml:space="preserve">ended </w:t>
      </w:r>
      <w:proofErr w:type="spellStart"/>
      <w:r w:rsidR="008F7153">
        <w:t>intergovernemental</w:t>
      </w:r>
      <w:proofErr w:type="spellEnd"/>
      <w:r w:rsidR="008F7153">
        <w:t xml:space="preserve"> </w:t>
      </w:r>
      <w:r w:rsidR="008F7153" w:rsidRPr="00282A9D">
        <w:t>working group</w:t>
      </w:r>
      <w:r w:rsidR="008F7153">
        <w:t xml:space="preserve"> will meet in Chengdu, China, from 11 to 13 June 2017</w:t>
      </w:r>
      <w:r w:rsidR="008608EF">
        <w:t>. The purpose of the meeting will be</w:t>
      </w:r>
      <w:r w:rsidR="008F7153">
        <w:t xml:space="preserve"> </w:t>
      </w:r>
      <w:r w:rsidR="008F7153" w:rsidRPr="00282A9D">
        <w:t xml:space="preserve">to reach </w:t>
      </w:r>
      <w:r w:rsidR="008608EF">
        <w:t xml:space="preserve">a </w:t>
      </w:r>
      <w:r w:rsidR="008F7153" w:rsidRPr="00282A9D">
        <w:t xml:space="preserve">consensus on a set of </w:t>
      </w:r>
      <w:r w:rsidR="008F7153">
        <w:t xml:space="preserve">26 </w:t>
      </w:r>
      <w:r w:rsidR="008F7153" w:rsidRPr="00282A9D">
        <w:t>indicators capable of effectively measuring the outputs, outcomes and impacts identified in the results map</w:t>
      </w:r>
      <w:r w:rsidR="008F7153">
        <w:t xml:space="preserve"> drawn up by the expert group and welcomed by the Committee </w:t>
      </w:r>
      <w:r w:rsidR="008F7153" w:rsidRPr="00282A9D">
        <w:t>(</w:t>
      </w:r>
      <w:hyperlink r:id="rId15" w:history="1">
        <w:r w:rsidR="008F7153" w:rsidRPr="0026007A">
          <w:rPr>
            <w:rStyle w:val="Hyperlink"/>
          </w:rPr>
          <w:t>Decision 11.COM 14</w:t>
        </w:r>
      </w:hyperlink>
      <w:r w:rsidR="008F7153" w:rsidRPr="0026007A">
        <w:t>).</w:t>
      </w:r>
      <w:r w:rsidR="008F7153">
        <w:t xml:space="preserve"> With a complete set of indicators, </w:t>
      </w:r>
      <w:r w:rsidR="008F7153" w:rsidRPr="00B924C8">
        <w:t xml:space="preserve">the draft overall results framework </w:t>
      </w:r>
      <w:r w:rsidR="008F7153">
        <w:t>should</w:t>
      </w:r>
      <w:r w:rsidR="008F7153" w:rsidRPr="00B924C8">
        <w:t xml:space="preserve"> be completed for examination by the Committee at its twelfth session </w:t>
      </w:r>
      <w:r w:rsidR="008F7153" w:rsidRPr="0026007A">
        <w:t xml:space="preserve">and, if the Committee so agrees, </w:t>
      </w:r>
      <w:r w:rsidR="008608EF">
        <w:t xml:space="preserve">it should </w:t>
      </w:r>
      <w:r w:rsidR="008F7153" w:rsidRPr="0026007A">
        <w:t>be submitted to the General Assembly at its seventh session (Paris, June 2018).</w:t>
      </w:r>
      <w:r w:rsidR="008F7153">
        <w:t xml:space="preserve"> </w:t>
      </w:r>
      <w:r w:rsidR="008F7153" w:rsidRPr="0009309E">
        <w:t xml:space="preserve">The working group members </w:t>
      </w:r>
      <w:proofErr w:type="gramStart"/>
      <w:r w:rsidR="008F7153" w:rsidRPr="0009309E">
        <w:t>will also be invited</w:t>
      </w:r>
      <w:proofErr w:type="gramEnd"/>
      <w:r w:rsidR="008F7153" w:rsidRPr="0009309E">
        <w:t xml:space="preserve"> to examine two </w:t>
      </w:r>
      <w:hyperlink r:id="rId16" w:history="1">
        <w:r w:rsidR="008F7153" w:rsidRPr="0009309E">
          <w:rPr>
            <w:rStyle w:val="Hyperlink"/>
          </w:rPr>
          <w:t>sample guidance notes</w:t>
        </w:r>
      </w:hyperlink>
      <w:r w:rsidR="0009309E">
        <w:t xml:space="preserve">. </w:t>
      </w:r>
      <w:r w:rsidR="008F7153">
        <w:t xml:space="preserve">Such documents </w:t>
      </w:r>
      <w:r w:rsidR="008608EF">
        <w:t xml:space="preserve">are deemed </w:t>
      </w:r>
      <w:r w:rsidR="008F7153">
        <w:t xml:space="preserve">necessary to </w:t>
      </w:r>
      <w:r w:rsidR="008F7153" w:rsidRPr="0026007A">
        <w:t xml:space="preserve">provide a common understanding of </w:t>
      </w:r>
      <w:r w:rsidR="008608EF">
        <w:t xml:space="preserve">the </w:t>
      </w:r>
      <w:r w:rsidR="008F7153" w:rsidRPr="0026007A">
        <w:t>essential terminology so that the diverse stakeholders who will be involved in the long-term monitoring and evaluation of the Convention can apply the indicators in a comparable way.</w:t>
      </w:r>
      <w:r w:rsidR="008F7153">
        <w:t xml:space="preserve"> </w:t>
      </w:r>
      <w:proofErr w:type="gramStart"/>
      <w:r w:rsidR="008F7153">
        <w:t>Assuming that neither the working g</w:t>
      </w:r>
      <w:r w:rsidR="008F7153" w:rsidRPr="00153C9C">
        <w:t xml:space="preserve">roup nor the Committee will </w:t>
      </w:r>
      <w:r w:rsidR="008F7153">
        <w:t>object</w:t>
      </w:r>
      <w:r w:rsidR="008F7153" w:rsidRPr="00153C9C">
        <w:t xml:space="preserve"> </w:t>
      </w:r>
      <w:r w:rsidR="008F7153">
        <w:t xml:space="preserve">to </w:t>
      </w:r>
      <w:r w:rsidR="007F1E68">
        <w:t xml:space="preserve">the </w:t>
      </w:r>
      <w:r w:rsidR="008F7153">
        <w:t>devel</w:t>
      </w:r>
      <w:r w:rsidR="007F1E68">
        <w:t>o</w:t>
      </w:r>
      <w:r w:rsidR="008F7153">
        <w:t>p</w:t>
      </w:r>
      <w:r w:rsidR="007F1E68">
        <w:t>ment of</w:t>
      </w:r>
      <w:r w:rsidR="008F7153">
        <w:t xml:space="preserve"> </w:t>
      </w:r>
      <w:r w:rsidR="008F7153" w:rsidRPr="00153C9C">
        <w:t>these tools,</w:t>
      </w:r>
      <w:proofErr w:type="gramEnd"/>
      <w:r w:rsidR="008F7153" w:rsidRPr="00153C9C">
        <w:t xml:space="preserve"> </w:t>
      </w:r>
      <w:proofErr w:type="gramStart"/>
      <w:r w:rsidR="008F7153" w:rsidRPr="00153C9C">
        <w:t>it</w:t>
      </w:r>
      <w:proofErr w:type="gramEnd"/>
      <w:r w:rsidR="008F7153" w:rsidRPr="00153C9C">
        <w:t xml:space="preserve"> is proposed that the first half of 2018 </w:t>
      </w:r>
      <w:r w:rsidR="007F1E68">
        <w:t xml:space="preserve">see the continuation of </w:t>
      </w:r>
      <w:r w:rsidR="008F7153" w:rsidRPr="00153C9C">
        <w:t xml:space="preserve">this work </w:t>
      </w:r>
      <w:r w:rsidR="008F7153">
        <w:t>of developing s</w:t>
      </w:r>
      <w:r w:rsidR="008F7153" w:rsidRPr="0026007A">
        <w:t xml:space="preserve">imilar guidance notes for </w:t>
      </w:r>
      <w:r w:rsidR="008F7153">
        <w:t>the</w:t>
      </w:r>
      <w:r w:rsidR="008F7153" w:rsidRPr="0026007A">
        <w:t xml:space="preserve"> indicator</w:t>
      </w:r>
      <w:r w:rsidR="008F7153">
        <w:t>s that will not have been covered by the end of 2017.</w:t>
      </w:r>
    </w:p>
    <w:p w14:paraId="6C6BBE12" w14:textId="77777777" w:rsidR="0037592C" w:rsidRPr="00696A00" w:rsidRDefault="0037592C">
      <w:pPr>
        <w:pStyle w:val="Heading2"/>
        <w:tabs>
          <w:tab w:val="left" w:pos="567"/>
        </w:tabs>
        <w:snapToGrid w:val="0"/>
        <w:spacing w:before="360" w:after="240"/>
        <w:ind w:left="1134"/>
        <w:jc w:val="both"/>
        <w:rPr>
          <w:rFonts w:ascii="Arial" w:hAnsi="Arial" w:cs="Arial"/>
          <w:bCs w:val="0"/>
          <w:i w:val="0"/>
          <w:iCs w:val="0"/>
          <w:snapToGrid w:val="0"/>
          <w:sz w:val="22"/>
          <w:szCs w:val="22"/>
          <w:lang w:val="en-GB" w:eastAsia="en-US"/>
        </w:rPr>
      </w:pPr>
      <w:r w:rsidRPr="00696A00">
        <w:rPr>
          <w:rFonts w:ascii="Arial" w:hAnsi="Arial" w:cs="Arial"/>
          <w:bCs w:val="0"/>
          <w:i w:val="0"/>
          <w:iCs w:val="0"/>
          <w:snapToGrid w:val="0"/>
          <w:sz w:val="22"/>
          <w:szCs w:val="22"/>
          <w:lang w:val="en-GB" w:eastAsia="en-US"/>
        </w:rPr>
        <w:t>Expected Result </w:t>
      </w:r>
      <w:r w:rsidR="00D57879">
        <w:rPr>
          <w:rFonts w:ascii="Arial" w:hAnsi="Arial" w:cs="Arial"/>
          <w:bCs w:val="0"/>
          <w:i w:val="0"/>
          <w:iCs w:val="0"/>
          <w:snapToGrid w:val="0"/>
          <w:sz w:val="22"/>
          <w:szCs w:val="22"/>
          <w:lang w:val="en-GB" w:eastAsia="en-US"/>
        </w:rPr>
        <w:t>2</w:t>
      </w:r>
      <w:r w:rsidRPr="00696A00">
        <w:rPr>
          <w:rFonts w:ascii="Arial" w:hAnsi="Arial" w:cs="Arial"/>
          <w:bCs w:val="0"/>
          <w:i w:val="0"/>
          <w:iCs w:val="0"/>
          <w:snapToGrid w:val="0"/>
          <w:sz w:val="22"/>
          <w:szCs w:val="22"/>
          <w:lang w:val="en-GB" w:eastAsia="en-US"/>
        </w:rPr>
        <w:t xml:space="preserve">: Implementation of the Convention </w:t>
      </w:r>
      <w:r w:rsidR="00A405C0" w:rsidRPr="00696A00">
        <w:rPr>
          <w:rFonts w:ascii="Arial" w:hAnsi="Arial" w:cs="Arial"/>
          <w:bCs w:val="0"/>
          <w:i w:val="0"/>
          <w:iCs w:val="0"/>
          <w:snapToGrid w:val="0"/>
          <w:sz w:val="22"/>
          <w:szCs w:val="22"/>
          <w:lang w:val="en-GB" w:eastAsia="en-US"/>
        </w:rPr>
        <w:t xml:space="preserve">in Member States </w:t>
      </w:r>
      <w:r w:rsidRPr="00696A00">
        <w:rPr>
          <w:rFonts w:ascii="Arial" w:hAnsi="Arial" w:cs="Arial"/>
          <w:bCs w:val="0"/>
          <w:i w:val="0"/>
          <w:iCs w:val="0"/>
          <w:snapToGrid w:val="0"/>
          <w:sz w:val="22"/>
          <w:szCs w:val="22"/>
          <w:lang w:val="en-GB" w:eastAsia="en-US"/>
        </w:rPr>
        <w:t>encouraged through a strengthened capacity-building programme and guidance on safeguarding measures and good practices</w:t>
      </w:r>
    </w:p>
    <w:p w14:paraId="7C67B524" w14:textId="4027488D" w:rsidR="00246090" w:rsidRPr="0054466D" w:rsidRDefault="006525BE" w:rsidP="0054466D">
      <w:pPr>
        <w:pStyle w:val="5GAparabodytext"/>
        <w:rPr>
          <w:rStyle w:val="hps"/>
          <w:rFonts w:ascii="Cambria" w:hAnsi="Cambria" w:cs="Times New Roman"/>
          <w:b/>
          <w:bCs w:val="0"/>
          <w:i/>
          <w:iCs w:val="0"/>
          <w:sz w:val="28"/>
          <w:szCs w:val="28"/>
        </w:rPr>
      </w:pPr>
      <w:r>
        <w:rPr>
          <w:rStyle w:val="hps"/>
        </w:rPr>
        <w:t>T</w:t>
      </w:r>
      <w:r w:rsidR="00DA22BD" w:rsidRPr="00F41C6E">
        <w:rPr>
          <w:rStyle w:val="hps"/>
        </w:rPr>
        <w:t xml:space="preserve">he capacity-building </w:t>
      </w:r>
      <w:proofErr w:type="spellStart"/>
      <w:r w:rsidR="00DA22BD" w:rsidRPr="00F41C6E">
        <w:rPr>
          <w:rStyle w:val="hps"/>
        </w:rPr>
        <w:t>programme</w:t>
      </w:r>
      <w:proofErr w:type="spellEnd"/>
      <w:r w:rsidR="00DA22BD" w:rsidRPr="00F41C6E">
        <w:rPr>
          <w:rStyle w:val="hps"/>
        </w:rPr>
        <w:t xml:space="preserve"> </w:t>
      </w:r>
      <w:r w:rsidR="00F41C6E" w:rsidRPr="00F41C6E">
        <w:rPr>
          <w:rStyle w:val="hps"/>
        </w:rPr>
        <w:t xml:space="preserve">will remain </w:t>
      </w:r>
      <w:r w:rsidR="00DA22BD" w:rsidRPr="00F41C6E">
        <w:rPr>
          <w:rStyle w:val="hps"/>
        </w:rPr>
        <w:t xml:space="preserve">the </w:t>
      </w:r>
      <w:r w:rsidR="00F41C6E">
        <w:rPr>
          <w:rStyle w:val="hps"/>
        </w:rPr>
        <w:t xml:space="preserve">priority </w:t>
      </w:r>
      <w:r w:rsidR="00DA22BD" w:rsidRPr="00F41C6E">
        <w:rPr>
          <w:rStyle w:val="hps"/>
        </w:rPr>
        <w:t xml:space="preserve">strategy for </w:t>
      </w:r>
      <w:r w:rsidR="00F41C6E" w:rsidRPr="00F41C6E">
        <w:rPr>
          <w:rStyle w:val="hps"/>
        </w:rPr>
        <w:t>supporting the implementation of the Convention</w:t>
      </w:r>
      <w:r w:rsidR="00DA22BD" w:rsidRPr="00F41C6E">
        <w:rPr>
          <w:rStyle w:val="hps"/>
        </w:rPr>
        <w:t xml:space="preserve"> </w:t>
      </w:r>
      <w:r w:rsidR="001774AD">
        <w:rPr>
          <w:rStyle w:val="hps"/>
        </w:rPr>
        <w:t xml:space="preserve">at </w:t>
      </w:r>
      <w:r w:rsidR="007F1E68">
        <w:rPr>
          <w:rStyle w:val="hps"/>
        </w:rPr>
        <w:t xml:space="preserve">the </w:t>
      </w:r>
      <w:r w:rsidR="001774AD">
        <w:rPr>
          <w:rStyle w:val="hps"/>
        </w:rPr>
        <w:t xml:space="preserve">national level </w:t>
      </w:r>
      <w:r w:rsidR="00DA22BD" w:rsidRPr="00F41C6E">
        <w:rPr>
          <w:rStyle w:val="hps"/>
        </w:rPr>
        <w:t xml:space="preserve">given </w:t>
      </w:r>
      <w:r w:rsidR="001774AD">
        <w:rPr>
          <w:rStyle w:val="hps"/>
        </w:rPr>
        <w:t xml:space="preserve">the persisting </w:t>
      </w:r>
      <w:r w:rsidR="00DA22BD" w:rsidRPr="00F41C6E">
        <w:rPr>
          <w:rStyle w:val="hps"/>
        </w:rPr>
        <w:t xml:space="preserve">demand from Member States. </w:t>
      </w:r>
      <w:r w:rsidR="003A4F88">
        <w:rPr>
          <w:rStyle w:val="hps"/>
        </w:rPr>
        <w:t xml:space="preserve">While </w:t>
      </w:r>
      <w:r w:rsidR="007F1E68">
        <w:rPr>
          <w:rStyle w:val="hps"/>
        </w:rPr>
        <w:t xml:space="preserve">the </w:t>
      </w:r>
      <w:r w:rsidR="003A4F88">
        <w:rPr>
          <w:rStyle w:val="hps"/>
        </w:rPr>
        <w:t xml:space="preserve">implementation of the </w:t>
      </w:r>
      <w:proofErr w:type="spellStart"/>
      <w:r w:rsidR="003A4F88">
        <w:rPr>
          <w:rStyle w:val="hps"/>
        </w:rPr>
        <w:t>programme</w:t>
      </w:r>
      <w:proofErr w:type="spellEnd"/>
      <w:r w:rsidR="001774AD">
        <w:rPr>
          <w:rStyle w:val="hps"/>
        </w:rPr>
        <w:t xml:space="preserve"> at </w:t>
      </w:r>
      <w:r w:rsidR="007F1E68">
        <w:rPr>
          <w:rStyle w:val="hps"/>
        </w:rPr>
        <w:t xml:space="preserve">the </w:t>
      </w:r>
      <w:r w:rsidR="001774AD">
        <w:rPr>
          <w:rStyle w:val="hps"/>
        </w:rPr>
        <w:t>national level</w:t>
      </w:r>
      <w:r w:rsidR="003A4F88">
        <w:rPr>
          <w:rStyle w:val="hps"/>
        </w:rPr>
        <w:t xml:space="preserve"> </w:t>
      </w:r>
      <w:proofErr w:type="gramStart"/>
      <w:r w:rsidR="003A4F88">
        <w:rPr>
          <w:rStyle w:val="hps"/>
        </w:rPr>
        <w:t>is supported</w:t>
      </w:r>
      <w:proofErr w:type="gramEnd"/>
      <w:r w:rsidR="003A4F88">
        <w:rPr>
          <w:rStyle w:val="hps"/>
        </w:rPr>
        <w:t xml:space="preserve"> by </w:t>
      </w:r>
      <w:r w:rsidR="003A4F88" w:rsidRPr="00524C74">
        <w:rPr>
          <w:rStyle w:val="hps"/>
        </w:rPr>
        <w:t xml:space="preserve">earmarked contributions to the Intangible Cultural Heritage Fund and Funds-in-Trust arrangements, </w:t>
      </w:r>
      <w:r w:rsidR="003A4F88">
        <w:rPr>
          <w:rStyle w:val="hps"/>
        </w:rPr>
        <w:t xml:space="preserve">the development of the </w:t>
      </w:r>
      <w:proofErr w:type="spellStart"/>
      <w:r w:rsidR="003A4F88">
        <w:rPr>
          <w:rStyle w:val="hps"/>
        </w:rPr>
        <w:t>programme</w:t>
      </w:r>
      <w:proofErr w:type="spellEnd"/>
      <w:r w:rsidR="003A4F88">
        <w:rPr>
          <w:rStyle w:val="hps"/>
        </w:rPr>
        <w:t xml:space="preserve"> itself relies mostly on </w:t>
      </w:r>
      <w:r w:rsidR="003A4F88" w:rsidRPr="00524C74">
        <w:rPr>
          <w:rStyle w:val="hps"/>
        </w:rPr>
        <w:t>the funds allocated to ‘</w:t>
      </w:r>
      <w:r w:rsidR="007F1E68">
        <w:rPr>
          <w:rStyle w:val="hps"/>
        </w:rPr>
        <w:t>O</w:t>
      </w:r>
      <w:r w:rsidR="007F1E68" w:rsidRPr="00524C74">
        <w:rPr>
          <w:rStyle w:val="hps"/>
        </w:rPr>
        <w:t xml:space="preserve">ther </w:t>
      </w:r>
      <w:r w:rsidR="003A4F88" w:rsidRPr="00524C74">
        <w:rPr>
          <w:rStyle w:val="hps"/>
        </w:rPr>
        <w:t>functions of the Committee’</w:t>
      </w:r>
      <w:r w:rsidR="003A4F88">
        <w:rPr>
          <w:rStyle w:val="hps"/>
        </w:rPr>
        <w:t xml:space="preserve">. </w:t>
      </w:r>
      <w:r>
        <w:rPr>
          <w:rStyle w:val="hps"/>
        </w:rPr>
        <w:t>In this context</w:t>
      </w:r>
      <w:r w:rsidR="005D64DB">
        <w:rPr>
          <w:rStyle w:val="hps"/>
        </w:rPr>
        <w:t xml:space="preserve"> and</w:t>
      </w:r>
      <w:r>
        <w:rPr>
          <w:rStyle w:val="hps"/>
        </w:rPr>
        <w:t xml:space="preserve"> b</w:t>
      </w:r>
      <w:r w:rsidRPr="00F41C6E">
        <w:rPr>
          <w:rStyle w:val="hps"/>
        </w:rPr>
        <w:t xml:space="preserve">uilding on the results </w:t>
      </w:r>
      <w:r w:rsidR="001774AD">
        <w:rPr>
          <w:rStyle w:val="hps"/>
        </w:rPr>
        <w:t xml:space="preserve">achieved under </w:t>
      </w:r>
      <w:r w:rsidRPr="00F41C6E">
        <w:rPr>
          <w:rStyle w:val="hps"/>
        </w:rPr>
        <w:t>the 2016-</w:t>
      </w:r>
      <w:r w:rsidRPr="006525BE">
        <w:rPr>
          <w:rStyle w:val="hps"/>
        </w:rPr>
        <w:t xml:space="preserve">2017 spending plan, it </w:t>
      </w:r>
      <w:proofErr w:type="gramStart"/>
      <w:r w:rsidRPr="006525BE">
        <w:rPr>
          <w:rStyle w:val="hps"/>
        </w:rPr>
        <w:t>is proposed</w:t>
      </w:r>
      <w:proofErr w:type="gramEnd"/>
      <w:r w:rsidR="007F1E68">
        <w:rPr>
          <w:rStyle w:val="hps"/>
        </w:rPr>
        <w:t xml:space="preserve"> that</w:t>
      </w:r>
      <w:r w:rsidR="00FA43C7">
        <w:rPr>
          <w:rStyle w:val="hps"/>
        </w:rPr>
        <w:t xml:space="preserve"> </w:t>
      </w:r>
      <w:r w:rsidR="001774AD">
        <w:rPr>
          <w:rStyle w:val="hps"/>
        </w:rPr>
        <w:t xml:space="preserve">work </w:t>
      </w:r>
      <w:r w:rsidR="007F1E68">
        <w:rPr>
          <w:rStyle w:val="hps"/>
        </w:rPr>
        <w:t xml:space="preserve">continue </w:t>
      </w:r>
      <w:r w:rsidR="006D2730">
        <w:rPr>
          <w:rStyle w:val="hps"/>
        </w:rPr>
        <w:t>under Expected Result 2</w:t>
      </w:r>
      <w:r w:rsidR="00F45014">
        <w:rPr>
          <w:rStyle w:val="hps"/>
        </w:rPr>
        <w:t xml:space="preserve"> along the </w:t>
      </w:r>
      <w:r w:rsidR="001774AD">
        <w:rPr>
          <w:rStyle w:val="hps"/>
        </w:rPr>
        <w:t xml:space="preserve">three established main </w:t>
      </w:r>
      <w:r w:rsidR="00062E12">
        <w:rPr>
          <w:rStyle w:val="hps"/>
        </w:rPr>
        <w:t>a</w:t>
      </w:r>
      <w:r w:rsidR="001774AD">
        <w:rPr>
          <w:rStyle w:val="hps"/>
        </w:rPr>
        <w:t>ctions required for</w:t>
      </w:r>
      <w:r w:rsidR="00F45014">
        <w:rPr>
          <w:rStyle w:val="hps"/>
        </w:rPr>
        <w:t xml:space="preserve"> </w:t>
      </w:r>
      <w:r w:rsidR="00FA43C7">
        <w:rPr>
          <w:rStyle w:val="hps"/>
        </w:rPr>
        <w:t>the</w:t>
      </w:r>
      <w:r w:rsidR="001774AD">
        <w:rPr>
          <w:rStyle w:val="hps"/>
        </w:rPr>
        <w:t xml:space="preserve"> effective delivery of the</w:t>
      </w:r>
      <w:r w:rsidR="00FA43C7">
        <w:rPr>
          <w:rStyle w:val="hps"/>
        </w:rPr>
        <w:t xml:space="preserve"> capacity-building </w:t>
      </w:r>
      <w:proofErr w:type="spellStart"/>
      <w:r w:rsidR="00FA43C7">
        <w:rPr>
          <w:rStyle w:val="hps"/>
        </w:rPr>
        <w:t>programme</w:t>
      </w:r>
      <w:proofErr w:type="spellEnd"/>
      <w:r w:rsidR="001774AD">
        <w:rPr>
          <w:rStyle w:val="hps"/>
        </w:rPr>
        <w:t xml:space="preserve">. </w:t>
      </w:r>
      <w:r w:rsidR="007F1E68">
        <w:rPr>
          <w:rStyle w:val="hps"/>
        </w:rPr>
        <w:t xml:space="preserve">These </w:t>
      </w:r>
      <w:r w:rsidR="001774AD">
        <w:rPr>
          <w:rStyle w:val="hps"/>
        </w:rPr>
        <w:t>ar</w:t>
      </w:r>
      <w:r w:rsidR="007F1E68">
        <w:rPr>
          <w:rStyle w:val="hps"/>
        </w:rPr>
        <w:t>e</w:t>
      </w:r>
      <w:r w:rsidR="00F45014">
        <w:rPr>
          <w:rStyle w:val="hps"/>
        </w:rPr>
        <w:t xml:space="preserve">: </w:t>
      </w:r>
      <w:r w:rsidR="00F45014" w:rsidRPr="00F45014">
        <w:rPr>
          <w:rStyle w:val="hps"/>
        </w:rPr>
        <w:t>(</w:t>
      </w:r>
      <w:proofErr w:type="spellStart"/>
      <w:r w:rsidR="00F45014" w:rsidRPr="00F45014">
        <w:rPr>
          <w:rStyle w:val="hps"/>
        </w:rPr>
        <w:t>i</w:t>
      </w:r>
      <w:proofErr w:type="spellEnd"/>
      <w:r w:rsidR="00F45014" w:rsidRPr="00F45014">
        <w:rPr>
          <w:rStyle w:val="hps"/>
        </w:rPr>
        <w:t xml:space="preserve">) strengthening the network of expert facilitators, (ii) developing adequate </w:t>
      </w:r>
      <w:r w:rsidR="001774AD">
        <w:rPr>
          <w:rStyle w:val="hps"/>
        </w:rPr>
        <w:t xml:space="preserve">capacity-building </w:t>
      </w:r>
      <w:r w:rsidR="00F45014" w:rsidRPr="00F45014">
        <w:rPr>
          <w:rStyle w:val="hps"/>
        </w:rPr>
        <w:t>content</w:t>
      </w:r>
      <w:r w:rsidR="001774AD">
        <w:rPr>
          <w:rStyle w:val="hps"/>
        </w:rPr>
        <w:t xml:space="preserve"> and</w:t>
      </w:r>
      <w:r w:rsidR="00F45014" w:rsidRPr="00F45014">
        <w:rPr>
          <w:rStyle w:val="hps"/>
        </w:rPr>
        <w:t xml:space="preserve"> formats, and (iii) monitoring, evaluating and adapting the strategy</w:t>
      </w:r>
      <w:r w:rsidRPr="00F45014">
        <w:rPr>
          <w:rStyle w:val="hps"/>
        </w:rPr>
        <w:t xml:space="preserve">. </w:t>
      </w:r>
      <w:r w:rsidR="006D2730" w:rsidRPr="00F45014">
        <w:rPr>
          <w:rStyle w:val="hps"/>
        </w:rPr>
        <w:t>Furthermore</w:t>
      </w:r>
      <w:r w:rsidR="00F41C6E" w:rsidRPr="00F45014">
        <w:rPr>
          <w:rStyle w:val="hps"/>
        </w:rPr>
        <w:t xml:space="preserve">, </w:t>
      </w:r>
      <w:r w:rsidRPr="00F45014">
        <w:rPr>
          <w:rStyle w:val="hps"/>
        </w:rPr>
        <w:t>to support t</w:t>
      </w:r>
      <w:r w:rsidR="00DA22BD" w:rsidRPr="00F45014">
        <w:rPr>
          <w:rStyle w:val="hps"/>
        </w:rPr>
        <w:t xml:space="preserve">he Committee </w:t>
      </w:r>
      <w:r w:rsidRPr="00F45014">
        <w:rPr>
          <w:rStyle w:val="hps"/>
        </w:rPr>
        <w:t xml:space="preserve">in fulfilling its function </w:t>
      </w:r>
      <w:r w:rsidR="00DA22BD" w:rsidRPr="00F45014">
        <w:rPr>
          <w:rStyle w:val="hps"/>
        </w:rPr>
        <w:t xml:space="preserve">to provide guidance on </w:t>
      </w:r>
      <w:r w:rsidRPr="00F45014">
        <w:rPr>
          <w:rStyle w:val="hps"/>
        </w:rPr>
        <w:t>safeguarding measures and good practices, t</w:t>
      </w:r>
      <w:r w:rsidR="00DA22BD" w:rsidRPr="00F45014">
        <w:rPr>
          <w:rStyle w:val="hps"/>
        </w:rPr>
        <w:t xml:space="preserve">he Secretariat plans to </w:t>
      </w:r>
      <w:r w:rsidRPr="00F45014">
        <w:rPr>
          <w:rStyle w:val="hps"/>
        </w:rPr>
        <w:t xml:space="preserve">also </w:t>
      </w:r>
      <w:r w:rsidR="00DA22BD" w:rsidRPr="00F45014">
        <w:rPr>
          <w:rStyle w:val="hps"/>
        </w:rPr>
        <w:t xml:space="preserve">use funds </w:t>
      </w:r>
      <w:r w:rsidR="00DA22BD" w:rsidRPr="00F45014">
        <w:rPr>
          <w:rStyle w:val="hps"/>
        </w:rPr>
        <w:lastRenderedPageBreak/>
        <w:t>allocated to ‘</w:t>
      </w:r>
      <w:r w:rsidR="007F1E68">
        <w:rPr>
          <w:rStyle w:val="hps"/>
        </w:rPr>
        <w:t>O</w:t>
      </w:r>
      <w:r w:rsidR="00DA22BD" w:rsidRPr="00F45014">
        <w:rPr>
          <w:rStyle w:val="hps"/>
        </w:rPr>
        <w:t>ther functions of the</w:t>
      </w:r>
      <w:r w:rsidR="00DA22BD" w:rsidRPr="006525BE">
        <w:rPr>
          <w:rStyle w:val="hps"/>
        </w:rPr>
        <w:t xml:space="preserve"> Committee</w:t>
      </w:r>
      <w:r w:rsidR="003F58A3">
        <w:rPr>
          <w:rStyle w:val="hps"/>
        </w:rPr>
        <w:t>’</w:t>
      </w:r>
      <w:r w:rsidR="00DA22BD" w:rsidRPr="006525BE">
        <w:rPr>
          <w:rStyle w:val="hps"/>
        </w:rPr>
        <w:t xml:space="preserve"> to continue consider</w:t>
      </w:r>
      <w:r w:rsidRPr="006525BE">
        <w:rPr>
          <w:rStyle w:val="hps"/>
        </w:rPr>
        <w:t>ing</w:t>
      </w:r>
      <w:r w:rsidR="00DA22BD" w:rsidRPr="006525BE">
        <w:rPr>
          <w:rStyle w:val="hps"/>
        </w:rPr>
        <w:t xml:space="preserve"> mechanisms to promote greater sharing of good safeguarding practices.</w:t>
      </w:r>
      <w:r w:rsidR="00F45014">
        <w:rPr>
          <w:rStyle w:val="hps"/>
        </w:rPr>
        <w:t xml:space="preserve"> </w:t>
      </w:r>
    </w:p>
    <w:p w14:paraId="7539E53F" w14:textId="42C593A1" w:rsidR="00246090" w:rsidRPr="00DE0C70" w:rsidRDefault="00F45014" w:rsidP="0054466D">
      <w:pPr>
        <w:pStyle w:val="5GAparabodytext"/>
        <w:rPr>
          <w:rStyle w:val="hps"/>
        </w:rPr>
      </w:pPr>
      <w:r w:rsidRPr="00B41AD5">
        <w:rPr>
          <w:rStyle w:val="hps"/>
          <w:b/>
        </w:rPr>
        <w:t>ER 2.1: Facilitators</w:t>
      </w:r>
      <w:r w:rsidR="007F1E68">
        <w:rPr>
          <w:rStyle w:val="hps"/>
          <w:b/>
        </w:rPr>
        <w:t>’</w:t>
      </w:r>
      <w:r w:rsidRPr="00B41AD5">
        <w:rPr>
          <w:rStyle w:val="hps"/>
          <w:b/>
        </w:rPr>
        <w:t xml:space="preserve"> network strengthened</w:t>
      </w:r>
      <w:r w:rsidR="00DC00C4" w:rsidRPr="00B41AD5">
        <w:rPr>
          <w:rStyle w:val="hps"/>
          <w:b/>
        </w:rPr>
        <w:t xml:space="preserve">. </w:t>
      </w:r>
      <w:r w:rsidR="00FA43C7" w:rsidRPr="00B41AD5">
        <w:rPr>
          <w:rStyle w:val="hps"/>
        </w:rPr>
        <w:t>T</w:t>
      </w:r>
      <w:r w:rsidR="00DA22BD" w:rsidRPr="00B41AD5">
        <w:rPr>
          <w:rStyle w:val="hps"/>
        </w:rPr>
        <w:t xml:space="preserve">he </w:t>
      </w:r>
      <w:r w:rsidR="00553354">
        <w:rPr>
          <w:rStyle w:val="hps"/>
        </w:rPr>
        <w:t xml:space="preserve">resourceful </w:t>
      </w:r>
      <w:r w:rsidR="00DA22BD" w:rsidRPr="00B41AD5">
        <w:rPr>
          <w:rStyle w:val="hps"/>
        </w:rPr>
        <w:t xml:space="preserve">network </w:t>
      </w:r>
      <w:r w:rsidR="00FA43C7" w:rsidRPr="00B41AD5">
        <w:rPr>
          <w:rStyle w:val="hps"/>
        </w:rPr>
        <w:t>of UNESCO-trained facilitators</w:t>
      </w:r>
      <w:r w:rsidR="00553354">
        <w:rPr>
          <w:rStyle w:val="hps"/>
        </w:rPr>
        <w:t xml:space="preserve"> is </w:t>
      </w:r>
      <w:proofErr w:type="gramStart"/>
      <w:r w:rsidR="00553354">
        <w:rPr>
          <w:rStyle w:val="hps"/>
        </w:rPr>
        <w:t>well</w:t>
      </w:r>
      <w:r w:rsidR="007F1E68">
        <w:rPr>
          <w:rStyle w:val="hps"/>
        </w:rPr>
        <w:t>-</w:t>
      </w:r>
      <w:r w:rsidR="00553354">
        <w:rPr>
          <w:rStyle w:val="hps"/>
        </w:rPr>
        <w:t>established</w:t>
      </w:r>
      <w:proofErr w:type="gramEnd"/>
      <w:r w:rsidR="00553354">
        <w:rPr>
          <w:rStyle w:val="hps"/>
        </w:rPr>
        <w:t xml:space="preserve"> and its services </w:t>
      </w:r>
      <w:r w:rsidR="007F1E68">
        <w:rPr>
          <w:rStyle w:val="hps"/>
        </w:rPr>
        <w:t xml:space="preserve">are in </w:t>
      </w:r>
      <w:r w:rsidR="00553354">
        <w:rPr>
          <w:rStyle w:val="hps"/>
        </w:rPr>
        <w:t xml:space="preserve">demand. While its members are doing excellent work </w:t>
      </w:r>
      <w:r w:rsidR="007F1E68">
        <w:rPr>
          <w:rStyle w:val="hps"/>
        </w:rPr>
        <w:t xml:space="preserve">to </w:t>
      </w:r>
      <w:r w:rsidR="00553354">
        <w:rPr>
          <w:rStyle w:val="hps"/>
        </w:rPr>
        <w:t xml:space="preserve">support countries with the implementation of the Convention, they also turn to UNESCO for </w:t>
      </w:r>
      <w:proofErr w:type="spellStart"/>
      <w:r w:rsidR="00553354">
        <w:rPr>
          <w:rStyle w:val="hps"/>
        </w:rPr>
        <w:t>futher</w:t>
      </w:r>
      <w:proofErr w:type="spellEnd"/>
      <w:r w:rsidR="00553354">
        <w:rPr>
          <w:rStyle w:val="hps"/>
        </w:rPr>
        <w:t xml:space="preserve"> training to keep abre</w:t>
      </w:r>
      <w:r w:rsidR="007F1E68">
        <w:rPr>
          <w:rStyle w:val="hps"/>
        </w:rPr>
        <w:t>a</w:t>
      </w:r>
      <w:r w:rsidR="00553354">
        <w:rPr>
          <w:rStyle w:val="hps"/>
        </w:rPr>
        <w:t xml:space="preserve">st </w:t>
      </w:r>
      <w:r w:rsidR="007F1E68">
        <w:rPr>
          <w:rStyle w:val="hps"/>
        </w:rPr>
        <w:t>of</w:t>
      </w:r>
      <w:r w:rsidR="00553354">
        <w:rPr>
          <w:rStyle w:val="hps"/>
        </w:rPr>
        <w:t xml:space="preserve"> the latest developments of the Convention, discuss their experiences of providing </w:t>
      </w:r>
      <w:proofErr w:type="spellStart"/>
      <w:r w:rsidR="00553354">
        <w:rPr>
          <w:rStyle w:val="hps"/>
        </w:rPr>
        <w:t>trainng</w:t>
      </w:r>
      <w:proofErr w:type="spellEnd"/>
      <w:r w:rsidR="00553354">
        <w:rPr>
          <w:rStyle w:val="hps"/>
        </w:rPr>
        <w:t xml:space="preserve"> and advisory services, and learn about the latest themes of the curriculum.</w:t>
      </w:r>
      <w:r w:rsidR="00FA43C7" w:rsidRPr="00B41AD5">
        <w:rPr>
          <w:rStyle w:val="hps"/>
        </w:rPr>
        <w:t xml:space="preserve"> </w:t>
      </w:r>
      <w:r w:rsidR="00553354">
        <w:rPr>
          <w:rStyle w:val="hps"/>
        </w:rPr>
        <w:t>It is therefore</w:t>
      </w:r>
      <w:r w:rsidR="00BA3399" w:rsidRPr="00B41AD5">
        <w:rPr>
          <w:rStyle w:val="hps"/>
        </w:rPr>
        <w:t xml:space="preserve"> proposed </w:t>
      </w:r>
      <w:r w:rsidR="0068587E">
        <w:rPr>
          <w:rStyle w:val="hps"/>
        </w:rPr>
        <w:t>that</w:t>
      </w:r>
      <w:r w:rsidR="00DA22BD" w:rsidRPr="00B41AD5">
        <w:rPr>
          <w:rStyle w:val="hps"/>
        </w:rPr>
        <w:t xml:space="preserve"> regional </w:t>
      </w:r>
      <w:r w:rsidR="00DA22BD" w:rsidRPr="0054466D">
        <w:t xml:space="preserve">workshops </w:t>
      </w:r>
      <w:r w:rsidR="0068587E">
        <w:t xml:space="preserve">continue to be organized </w:t>
      </w:r>
      <w:r w:rsidR="00DA22BD" w:rsidRPr="0054466D">
        <w:t xml:space="preserve">to train facilitators and update their skills, covering </w:t>
      </w:r>
      <w:r w:rsidR="0068587E">
        <w:t xml:space="preserve">the </w:t>
      </w:r>
      <w:r w:rsidR="00DA22BD" w:rsidRPr="0054466D">
        <w:t xml:space="preserve">content areas developed in </w:t>
      </w:r>
      <w:r w:rsidR="007C6D12" w:rsidRPr="0054466D">
        <w:t>2016-2017</w:t>
      </w:r>
      <w:r w:rsidR="00BA3399" w:rsidRPr="0054466D">
        <w:t xml:space="preserve"> (</w:t>
      </w:r>
      <w:r w:rsidR="00DA22BD" w:rsidRPr="0054466D">
        <w:t>i.e. policy and legal development, safeguarding plans, gender</w:t>
      </w:r>
      <w:r w:rsidR="00553354" w:rsidRPr="0054466D">
        <w:t>, ethics</w:t>
      </w:r>
      <w:r w:rsidR="00DA22BD" w:rsidRPr="0054466D">
        <w:t xml:space="preserve"> and sustainable development</w:t>
      </w:r>
      <w:r w:rsidR="00BA3399" w:rsidRPr="0054466D">
        <w:t>), complemented with audiovisual tutorials for facilitators</w:t>
      </w:r>
      <w:r w:rsidR="00553354" w:rsidRPr="0054466D">
        <w:t xml:space="preserve"> developed for three </w:t>
      </w:r>
      <w:r w:rsidR="00BA3399" w:rsidRPr="0054466D">
        <w:t>topics in 2016-2017</w:t>
      </w:r>
      <w:r w:rsidR="00553354" w:rsidRPr="0054466D">
        <w:t xml:space="preserve"> (policy support, gender and safeguarding plans)</w:t>
      </w:r>
      <w:r w:rsidR="00BA3399" w:rsidRPr="0054466D">
        <w:t>.</w:t>
      </w:r>
      <w:r w:rsidR="00BA3399" w:rsidRPr="00B41AD5">
        <w:t xml:space="preserve"> During the first semester of 2018, t</w:t>
      </w:r>
      <w:r w:rsidR="00FA43C7" w:rsidRPr="0054466D">
        <w:t>he Secretariat plans</w:t>
      </w:r>
      <w:r w:rsidR="00FA43C7" w:rsidRPr="00B41AD5">
        <w:rPr>
          <w:rStyle w:val="hps"/>
        </w:rPr>
        <w:t xml:space="preserve"> to hold o</w:t>
      </w:r>
      <w:r w:rsidR="00FA43C7" w:rsidRPr="00B41AD5">
        <w:t>ne training workshop</w:t>
      </w:r>
      <w:r w:rsidR="00BA3399" w:rsidRPr="00B41AD5">
        <w:t xml:space="preserve"> </w:t>
      </w:r>
      <w:r w:rsidR="00CE7148">
        <w:t xml:space="preserve">for </w:t>
      </w:r>
      <w:proofErr w:type="spellStart"/>
      <w:r w:rsidR="00CE7148">
        <w:t>faciltiators</w:t>
      </w:r>
      <w:proofErr w:type="spellEnd"/>
      <w:r w:rsidR="00CE7148">
        <w:t xml:space="preserve"> </w:t>
      </w:r>
      <w:r w:rsidR="00BA3399" w:rsidRPr="00B41AD5">
        <w:t>in the Asia-Pacific region</w:t>
      </w:r>
      <w:r w:rsidR="00FA43C7" w:rsidRPr="00B41AD5">
        <w:t xml:space="preserve">. The identification of a host country or partner support to complement the required resources in addition to the funds </w:t>
      </w:r>
      <w:r w:rsidR="005C0504" w:rsidRPr="00B41AD5">
        <w:t xml:space="preserve">available under </w:t>
      </w:r>
      <w:r w:rsidR="00FA43C7" w:rsidRPr="00B41AD5">
        <w:t>‘Other functions</w:t>
      </w:r>
      <w:r w:rsidR="0068587E">
        <w:t xml:space="preserve"> of the Committee</w:t>
      </w:r>
      <w:r w:rsidR="00FA43C7" w:rsidRPr="00B41AD5">
        <w:t>’</w:t>
      </w:r>
      <w:r w:rsidR="00BA3399" w:rsidRPr="00B41AD5">
        <w:t xml:space="preserve"> is already ongoing</w:t>
      </w:r>
      <w:r w:rsidR="00FA43C7" w:rsidRPr="00B41AD5">
        <w:t xml:space="preserve">. </w:t>
      </w:r>
      <w:r w:rsidR="00DE0C70" w:rsidRPr="00DE0C70">
        <w:t xml:space="preserve">Moreover, </w:t>
      </w:r>
      <w:r w:rsidR="00CE7148">
        <w:t xml:space="preserve">the Secretariat would need to continue </w:t>
      </w:r>
      <w:r w:rsidR="0068587E">
        <w:t xml:space="preserve">to </w:t>
      </w:r>
      <w:r w:rsidR="00DE0C70" w:rsidRPr="00DE0C70">
        <w:t>maintain and enhanc</w:t>
      </w:r>
      <w:r w:rsidR="0068587E">
        <w:t>e</w:t>
      </w:r>
      <w:r w:rsidR="00DE0C70" w:rsidRPr="00DE0C70">
        <w:t xml:space="preserve"> the materials browser</w:t>
      </w:r>
      <w:r w:rsidR="0068587E">
        <w:t>,</w:t>
      </w:r>
      <w:r w:rsidR="00DE0C70" w:rsidRPr="00DE0C70">
        <w:t xml:space="preserve"> </w:t>
      </w:r>
      <w:r w:rsidR="00CE7148">
        <w:t xml:space="preserve">which provides </w:t>
      </w:r>
      <w:r w:rsidR="00DE0C70" w:rsidRPr="00DE0C70">
        <w:t xml:space="preserve">a key interface for the </w:t>
      </w:r>
      <w:r w:rsidR="00CE7148">
        <w:t xml:space="preserve">daily work </w:t>
      </w:r>
      <w:r w:rsidR="00966970">
        <w:t xml:space="preserve">of </w:t>
      </w:r>
      <w:r w:rsidR="00CE7148">
        <w:t xml:space="preserve">the </w:t>
      </w:r>
      <w:r w:rsidR="00DE0C70" w:rsidRPr="00DE0C70">
        <w:t>facilitators.</w:t>
      </w:r>
    </w:p>
    <w:p w14:paraId="491C8757" w14:textId="30BD6CB8" w:rsidR="00246090" w:rsidRPr="00035902" w:rsidRDefault="00DC00C4" w:rsidP="0054466D">
      <w:pPr>
        <w:pStyle w:val="5GAparabodytext"/>
        <w:rPr>
          <w:rStyle w:val="hps"/>
        </w:rPr>
      </w:pPr>
      <w:r w:rsidRPr="00035902">
        <w:rPr>
          <w:rStyle w:val="hps"/>
          <w:b/>
        </w:rPr>
        <w:t xml:space="preserve">ER 2.2: </w:t>
      </w:r>
      <w:r w:rsidR="001E79B6">
        <w:rPr>
          <w:rStyle w:val="hps"/>
          <w:b/>
        </w:rPr>
        <w:t>C</w:t>
      </w:r>
      <w:r w:rsidRPr="00035902">
        <w:rPr>
          <w:rStyle w:val="hps"/>
          <w:b/>
        </w:rPr>
        <w:t xml:space="preserve">ontent and format of the capacity-building </w:t>
      </w:r>
      <w:proofErr w:type="spellStart"/>
      <w:r w:rsidRPr="00035902">
        <w:rPr>
          <w:rStyle w:val="hps"/>
          <w:b/>
        </w:rPr>
        <w:t>programme</w:t>
      </w:r>
      <w:proofErr w:type="spellEnd"/>
      <w:r w:rsidRPr="00035902">
        <w:rPr>
          <w:rStyle w:val="hps"/>
          <w:b/>
        </w:rPr>
        <w:t xml:space="preserve"> reviewed and adapted. </w:t>
      </w:r>
      <w:r w:rsidR="00864E4C" w:rsidRPr="00864E4C">
        <w:rPr>
          <w:rStyle w:val="hps"/>
        </w:rPr>
        <w:t xml:space="preserve">Several decisions of the </w:t>
      </w:r>
      <w:r w:rsidR="00864E4C" w:rsidRPr="000E5C15">
        <w:rPr>
          <w:rStyle w:val="hps"/>
        </w:rPr>
        <w:t xml:space="preserve">Committee included requests </w:t>
      </w:r>
      <w:r w:rsidR="0068587E">
        <w:rPr>
          <w:rStyle w:val="hps"/>
        </w:rPr>
        <w:t>that</w:t>
      </w:r>
      <w:r w:rsidR="0068587E" w:rsidRPr="000E5C15">
        <w:rPr>
          <w:rStyle w:val="hps"/>
        </w:rPr>
        <w:t xml:space="preserve"> </w:t>
      </w:r>
      <w:r w:rsidR="00864E4C" w:rsidRPr="000E5C15">
        <w:rPr>
          <w:rStyle w:val="hps"/>
        </w:rPr>
        <w:t>the Secretariat further update and expand the thematic scope of the capacity-building curriculum, which has matured into an online system of more than 50 training units in three languages with some materials also available in Russian and Arabic</w:t>
      </w:r>
      <w:r w:rsidR="00864E4C" w:rsidRPr="00864E4C">
        <w:rPr>
          <w:rStyle w:val="hps"/>
        </w:rPr>
        <w:t>.</w:t>
      </w:r>
      <w:r w:rsidR="00864E4C">
        <w:rPr>
          <w:rStyle w:val="hps"/>
        </w:rPr>
        <w:t xml:space="preserve"> It </w:t>
      </w:r>
      <w:proofErr w:type="gramStart"/>
      <w:r w:rsidR="00864E4C">
        <w:rPr>
          <w:rStyle w:val="hps"/>
        </w:rPr>
        <w:t>is proposed</w:t>
      </w:r>
      <w:proofErr w:type="gramEnd"/>
      <w:r w:rsidR="00864E4C">
        <w:rPr>
          <w:rStyle w:val="hps"/>
        </w:rPr>
        <w:t xml:space="preserve"> </w:t>
      </w:r>
      <w:r w:rsidR="0068587E">
        <w:rPr>
          <w:rStyle w:val="hps"/>
        </w:rPr>
        <w:t xml:space="preserve">that </w:t>
      </w:r>
      <w:r w:rsidR="00864E4C">
        <w:rPr>
          <w:rStyle w:val="hps"/>
        </w:rPr>
        <w:t xml:space="preserve">the work of the first semester </w:t>
      </w:r>
      <w:r w:rsidR="0068587E">
        <w:rPr>
          <w:rStyle w:val="hps"/>
        </w:rPr>
        <w:t xml:space="preserve">of </w:t>
      </w:r>
      <w:r w:rsidR="00864E4C">
        <w:rPr>
          <w:rStyle w:val="hps"/>
        </w:rPr>
        <w:t xml:space="preserve">2018 </w:t>
      </w:r>
      <w:r w:rsidR="0068587E">
        <w:rPr>
          <w:rStyle w:val="hps"/>
        </w:rPr>
        <w:t xml:space="preserve">focus </w:t>
      </w:r>
      <w:r w:rsidR="00864E4C">
        <w:rPr>
          <w:rStyle w:val="hps"/>
        </w:rPr>
        <w:t xml:space="preserve">on the translation </w:t>
      </w:r>
      <w:r w:rsidR="000E5C15">
        <w:rPr>
          <w:rStyle w:val="hps"/>
        </w:rPr>
        <w:t xml:space="preserve">of </w:t>
      </w:r>
      <w:r w:rsidR="00864E4C">
        <w:rPr>
          <w:rStyle w:val="hps"/>
        </w:rPr>
        <w:t xml:space="preserve">the new </w:t>
      </w:r>
      <w:r w:rsidR="000E5C15">
        <w:rPr>
          <w:rStyle w:val="hps"/>
        </w:rPr>
        <w:t>curricul</w:t>
      </w:r>
      <w:r w:rsidR="0068587E">
        <w:rPr>
          <w:rStyle w:val="hps"/>
        </w:rPr>
        <w:t>um</w:t>
      </w:r>
      <w:r w:rsidR="000E5C15">
        <w:rPr>
          <w:rStyle w:val="hps"/>
        </w:rPr>
        <w:t xml:space="preserve"> content developed in 2016-2017</w:t>
      </w:r>
      <w:r w:rsidR="00453691">
        <w:rPr>
          <w:rStyle w:val="hps"/>
        </w:rPr>
        <w:t xml:space="preserve"> in the areas of </w:t>
      </w:r>
      <w:r w:rsidR="000E5C15" w:rsidRPr="0054466D">
        <w:rPr>
          <w:rStyle w:val="hps"/>
        </w:rPr>
        <w:t xml:space="preserve">policy development, gender, </w:t>
      </w:r>
      <w:r w:rsidR="00453691" w:rsidRPr="0054466D">
        <w:rPr>
          <w:rStyle w:val="hps"/>
        </w:rPr>
        <w:t xml:space="preserve">ethics, inventorying </w:t>
      </w:r>
      <w:r w:rsidR="000E5C15" w:rsidRPr="0054466D">
        <w:rPr>
          <w:rStyle w:val="hps"/>
        </w:rPr>
        <w:t>and sustainable development</w:t>
      </w:r>
      <w:r w:rsidR="000E5C15">
        <w:rPr>
          <w:rStyle w:val="hps"/>
        </w:rPr>
        <w:t xml:space="preserve">, </w:t>
      </w:r>
      <w:r w:rsidR="00864E4C">
        <w:rPr>
          <w:rStyle w:val="hps"/>
        </w:rPr>
        <w:t xml:space="preserve">in order to </w:t>
      </w:r>
      <w:r w:rsidR="00453691">
        <w:rPr>
          <w:rStyle w:val="hps"/>
        </w:rPr>
        <w:t xml:space="preserve">make </w:t>
      </w:r>
      <w:r w:rsidR="0068587E">
        <w:rPr>
          <w:rStyle w:val="hps"/>
        </w:rPr>
        <w:t xml:space="preserve">it </w:t>
      </w:r>
      <w:r w:rsidR="00864E4C">
        <w:rPr>
          <w:rStyle w:val="hps"/>
        </w:rPr>
        <w:t>available in English</w:t>
      </w:r>
      <w:r w:rsidR="00453691">
        <w:rPr>
          <w:rStyle w:val="hps"/>
        </w:rPr>
        <w:t xml:space="preserve"> and</w:t>
      </w:r>
      <w:r w:rsidR="00864E4C">
        <w:rPr>
          <w:rStyle w:val="hps"/>
        </w:rPr>
        <w:t xml:space="preserve"> French.</w:t>
      </w:r>
    </w:p>
    <w:p w14:paraId="7AF7E0B4" w14:textId="26DBDB36" w:rsidR="00246090" w:rsidRPr="00035902" w:rsidRDefault="00DC00C4" w:rsidP="0054466D">
      <w:pPr>
        <w:pStyle w:val="5GAparabodytext"/>
        <w:rPr>
          <w:rStyle w:val="hps"/>
        </w:rPr>
      </w:pPr>
      <w:r w:rsidRPr="00F50AAE">
        <w:rPr>
          <w:rStyle w:val="hps"/>
          <w:b/>
        </w:rPr>
        <w:t xml:space="preserve">ER 2.3: </w:t>
      </w:r>
      <w:r w:rsidR="001E79B6" w:rsidRPr="00F50AAE">
        <w:rPr>
          <w:rStyle w:val="hps"/>
          <w:b/>
        </w:rPr>
        <w:t>F</w:t>
      </w:r>
      <w:r w:rsidRPr="00F50AAE">
        <w:rPr>
          <w:rStyle w:val="hps"/>
          <w:b/>
        </w:rPr>
        <w:t>ollow-up and evalua</w:t>
      </w:r>
      <w:r w:rsidRPr="009B34A0">
        <w:rPr>
          <w:rStyle w:val="hps"/>
          <w:b/>
        </w:rPr>
        <w:t xml:space="preserve">tion mechanism for </w:t>
      </w:r>
      <w:proofErr w:type="gramStart"/>
      <w:r w:rsidRPr="009B34A0">
        <w:rPr>
          <w:rStyle w:val="hps"/>
          <w:b/>
        </w:rPr>
        <w:t>capacity-building</w:t>
      </w:r>
      <w:proofErr w:type="gramEnd"/>
      <w:r w:rsidRPr="009B34A0">
        <w:rPr>
          <w:rStyle w:val="hps"/>
          <w:b/>
        </w:rPr>
        <w:t xml:space="preserve"> </w:t>
      </w:r>
      <w:r w:rsidR="00D10105">
        <w:rPr>
          <w:rStyle w:val="hps"/>
          <w:b/>
        </w:rPr>
        <w:t>piloted</w:t>
      </w:r>
      <w:r w:rsidRPr="009B34A0">
        <w:rPr>
          <w:rStyle w:val="hps"/>
          <w:b/>
        </w:rPr>
        <w:t>.</w:t>
      </w:r>
      <w:r w:rsidRPr="00035902">
        <w:rPr>
          <w:rStyle w:val="hps"/>
        </w:rPr>
        <w:t xml:space="preserve"> </w:t>
      </w:r>
      <w:r w:rsidR="00DA22BD" w:rsidRPr="00035902">
        <w:rPr>
          <w:rStyle w:val="hps"/>
        </w:rPr>
        <w:t>Pending the establishment of an overall results framework of the Convention</w:t>
      </w:r>
      <w:r w:rsidR="00194247">
        <w:rPr>
          <w:rStyle w:val="hps"/>
        </w:rPr>
        <w:t xml:space="preserve">, </w:t>
      </w:r>
      <w:r w:rsidR="0068587E" w:rsidRPr="00035902">
        <w:rPr>
          <w:rStyle w:val="hps"/>
        </w:rPr>
        <w:t>in 2016-2017</w:t>
      </w:r>
      <w:r w:rsidR="0068587E">
        <w:rPr>
          <w:rStyle w:val="hps"/>
        </w:rPr>
        <w:t xml:space="preserve"> </w:t>
      </w:r>
      <w:r w:rsidR="00DA22BD" w:rsidRPr="00035902">
        <w:rPr>
          <w:rStyle w:val="hps"/>
        </w:rPr>
        <w:t xml:space="preserve">the work </w:t>
      </w:r>
      <w:r w:rsidR="0068587E">
        <w:rPr>
          <w:rStyle w:val="hps"/>
        </w:rPr>
        <w:t>to</w:t>
      </w:r>
      <w:r w:rsidR="0068587E" w:rsidRPr="00035902">
        <w:rPr>
          <w:rStyle w:val="hps"/>
        </w:rPr>
        <w:t xml:space="preserve"> </w:t>
      </w:r>
      <w:r w:rsidR="00DA22BD" w:rsidRPr="00035902">
        <w:rPr>
          <w:rStyle w:val="hps"/>
        </w:rPr>
        <w:t xml:space="preserve">develop a follow-up and evaluation mechanism for the capacity-building </w:t>
      </w:r>
      <w:proofErr w:type="spellStart"/>
      <w:r w:rsidR="00DA22BD" w:rsidRPr="00035902">
        <w:rPr>
          <w:rStyle w:val="hps"/>
        </w:rPr>
        <w:t>programme</w:t>
      </w:r>
      <w:proofErr w:type="spellEnd"/>
      <w:r w:rsidR="00DA22BD" w:rsidRPr="00035902">
        <w:rPr>
          <w:rStyle w:val="hps"/>
        </w:rPr>
        <w:t xml:space="preserve"> focus</w:t>
      </w:r>
      <w:r w:rsidR="00035902" w:rsidRPr="00035902">
        <w:rPr>
          <w:rStyle w:val="hps"/>
        </w:rPr>
        <w:t>ed</w:t>
      </w:r>
      <w:r w:rsidR="00DA22BD" w:rsidRPr="00035902">
        <w:rPr>
          <w:rStyle w:val="hps"/>
        </w:rPr>
        <w:t xml:space="preserve"> on piloting a tracer study in a selected number of countries that benefitted from capacity-building activities</w:t>
      </w:r>
      <w:r w:rsidR="00835895">
        <w:rPr>
          <w:rStyle w:val="hps"/>
        </w:rPr>
        <w:t>. This study</w:t>
      </w:r>
      <w:r w:rsidR="00035902" w:rsidRPr="00035902">
        <w:rPr>
          <w:rStyle w:val="hps"/>
        </w:rPr>
        <w:t xml:space="preserve"> </w:t>
      </w:r>
      <w:r w:rsidR="0068587E">
        <w:rPr>
          <w:rStyle w:val="hps"/>
        </w:rPr>
        <w:t>made it possible to identify</w:t>
      </w:r>
      <w:r w:rsidR="00DA22BD" w:rsidRPr="00035902">
        <w:rPr>
          <w:rStyle w:val="hps"/>
        </w:rPr>
        <w:t xml:space="preserve"> </w:t>
      </w:r>
      <w:r w:rsidR="0068587E">
        <w:rPr>
          <w:rStyle w:val="hps"/>
        </w:rPr>
        <w:t xml:space="preserve">the effect that </w:t>
      </w:r>
      <w:r w:rsidR="00DA22BD" w:rsidRPr="00035902">
        <w:rPr>
          <w:rStyle w:val="hps"/>
        </w:rPr>
        <w:t xml:space="preserve">individuals’ participation in the capacity-building </w:t>
      </w:r>
      <w:proofErr w:type="spellStart"/>
      <w:r w:rsidR="00DA22BD" w:rsidRPr="00035902">
        <w:rPr>
          <w:rStyle w:val="hps"/>
        </w:rPr>
        <w:t>programme</w:t>
      </w:r>
      <w:proofErr w:type="spellEnd"/>
      <w:r w:rsidR="00DA22BD" w:rsidRPr="00035902">
        <w:rPr>
          <w:rStyle w:val="hps"/>
        </w:rPr>
        <w:t xml:space="preserve"> </w:t>
      </w:r>
      <w:r w:rsidR="0068587E">
        <w:rPr>
          <w:rStyle w:val="hps"/>
        </w:rPr>
        <w:t>had had on</w:t>
      </w:r>
      <w:r w:rsidR="00DA22BD" w:rsidRPr="00035902">
        <w:rPr>
          <w:rStyle w:val="hps"/>
        </w:rPr>
        <w:t xml:space="preserve"> their engagement in intangible cultural heritage and what they </w:t>
      </w:r>
      <w:r w:rsidR="0068587E">
        <w:rPr>
          <w:rStyle w:val="hps"/>
        </w:rPr>
        <w:t xml:space="preserve">would </w:t>
      </w:r>
      <w:r w:rsidR="00DA22BD" w:rsidRPr="00035902">
        <w:rPr>
          <w:rStyle w:val="hps"/>
        </w:rPr>
        <w:t xml:space="preserve">recommend </w:t>
      </w:r>
      <w:proofErr w:type="gramStart"/>
      <w:r w:rsidR="00DA22BD" w:rsidRPr="00035902">
        <w:rPr>
          <w:rStyle w:val="hps"/>
        </w:rPr>
        <w:t xml:space="preserve">to further </w:t>
      </w:r>
      <w:r w:rsidR="00453691">
        <w:rPr>
          <w:rStyle w:val="hps"/>
        </w:rPr>
        <w:t>develop</w:t>
      </w:r>
      <w:proofErr w:type="gramEnd"/>
      <w:r w:rsidR="00453691" w:rsidRPr="00035902">
        <w:rPr>
          <w:rStyle w:val="hps"/>
        </w:rPr>
        <w:t xml:space="preserve"> </w:t>
      </w:r>
      <w:r w:rsidR="00DA22BD" w:rsidRPr="00035902">
        <w:rPr>
          <w:rStyle w:val="hps"/>
        </w:rPr>
        <w:t xml:space="preserve">the </w:t>
      </w:r>
      <w:proofErr w:type="spellStart"/>
      <w:r w:rsidR="00DA22BD" w:rsidRPr="00035902">
        <w:rPr>
          <w:rStyle w:val="hps"/>
        </w:rPr>
        <w:t>programme</w:t>
      </w:r>
      <w:proofErr w:type="spellEnd"/>
      <w:r w:rsidR="00DA22BD" w:rsidRPr="00035902">
        <w:rPr>
          <w:rStyle w:val="hps"/>
        </w:rPr>
        <w:t xml:space="preserve">. </w:t>
      </w:r>
      <w:r w:rsidR="00035902" w:rsidRPr="00035902">
        <w:rPr>
          <w:rStyle w:val="hps"/>
        </w:rPr>
        <w:t>A</w:t>
      </w:r>
      <w:r w:rsidR="00453691">
        <w:rPr>
          <w:rStyle w:val="hps"/>
        </w:rPr>
        <w:t xml:space="preserve"> second</w:t>
      </w:r>
      <w:r w:rsidR="00DA22BD" w:rsidRPr="00035902">
        <w:rPr>
          <w:rStyle w:val="hps"/>
        </w:rPr>
        <w:t xml:space="preserve"> survey </w:t>
      </w:r>
      <w:r w:rsidR="00453691">
        <w:rPr>
          <w:rStyle w:val="hps"/>
        </w:rPr>
        <w:t xml:space="preserve">focused </w:t>
      </w:r>
      <w:r w:rsidR="00DA22BD" w:rsidRPr="00035902">
        <w:rPr>
          <w:rStyle w:val="hps"/>
        </w:rPr>
        <w:t>on the use of UNESCO</w:t>
      </w:r>
      <w:r w:rsidR="00453691">
        <w:rPr>
          <w:rStyle w:val="hps"/>
        </w:rPr>
        <w:t>’s</w:t>
      </w:r>
      <w:r w:rsidR="00DA22BD" w:rsidRPr="00035902">
        <w:rPr>
          <w:rStyle w:val="hps"/>
        </w:rPr>
        <w:t xml:space="preserve"> training materials</w:t>
      </w:r>
      <w:r w:rsidR="00453691">
        <w:rPr>
          <w:rStyle w:val="hps"/>
        </w:rPr>
        <w:t>, which are available online,</w:t>
      </w:r>
      <w:r w:rsidR="00DA22BD" w:rsidRPr="00035902">
        <w:rPr>
          <w:rStyle w:val="hps"/>
        </w:rPr>
        <w:t xml:space="preserve"> by users other than UNESCO.</w:t>
      </w:r>
      <w:r w:rsidR="009B34A0">
        <w:rPr>
          <w:rStyle w:val="hps"/>
        </w:rPr>
        <w:t xml:space="preserve"> Moreover, the Secretariat developed indicators </w:t>
      </w:r>
      <w:r w:rsidR="00396CD7">
        <w:rPr>
          <w:rStyle w:val="hps"/>
        </w:rPr>
        <w:t>to monitor progress in the area of capacity</w:t>
      </w:r>
      <w:r w:rsidR="0068587E">
        <w:rPr>
          <w:rStyle w:val="hps"/>
        </w:rPr>
        <w:t xml:space="preserve"> </w:t>
      </w:r>
      <w:r w:rsidR="00396CD7">
        <w:rPr>
          <w:rStyle w:val="hps"/>
        </w:rPr>
        <w:t>building for the implementation of the Convention</w:t>
      </w:r>
      <w:r w:rsidR="0068587E">
        <w:rPr>
          <w:rStyle w:val="hps"/>
        </w:rPr>
        <w:t>,</w:t>
      </w:r>
      <w:r w:rsidR="00396CD7">
        <w:rPr>
          <w:rStyle w:val="hps"/>
        </w:rPr>
        <w:t xml:space="preserve"> which </w:t>
      </w:r>
      <w:proofErr w:type="gramStart"/>
      <w:r w:rsidR="00396CD7">
        <w:rPr>
          <w:rStyle w:val="hps"/>
        </w:rPr>
        <w:t>were integrated</w:t>
      </w:r>
      <w:proofErr w:type="gramEnd"/>
      <w:r w:rsidR="00396CD7">
        <w:rPr>
          <w:rStyle w:val="hps"/>
        </w:rPr>
        <w:t xml:space="preserve"> in</w:t>
      </w:r>
      <w:r w:rsidR="0068587E">
        <w:rPr>
          <w:rStyle w:val="hps"/>
        </w:rPr>
        <w:t>to</w:t>
      </w:r>
      <w:r w:rsidR="00396CD7">
        <w:rPr>
          <w:rStyle w:val="hps"/>
        </w:rPr>
        <w:t xml:space="preserve"> the Convention’s overall results framework. In light of these </w:t>
      </w:r>
      <w:r w:rsidR="00F54083">
        <w:rPr>
          <w:rStyle w:val="hps"/>
        </w:rPr>
        <w:t xml:space="preserve">developments, </w:t>
      </w:r>
      <w:r w:rsidR="00396CD7">
        <w:rPr>
          <w:rStyle w:val="hps"/>
        </w:rPr>
        <w:t>the Secretariat</w:t>
      </w:r>
      <w:r w:rsidR="009B34A0">
        <w:rPr>
          <w:rStyle w:val="hps"/>
        </w:rPr>
        <w:t xml:space="preserve"> proposes </w:t>
      </w:r>
      <w:r w:rsidR="00F54083">
        <w:rPr>
          <w:rStyle w:val="hps"/>
        </w:rPr>
        <w:t xml:space="preserve">that </w:t>
      </w:r>
      <w:r w:rsidR="00396CD7">
        <w:rPr>
          <w:rStyle w:val="hps"/>
        </w:rPr>
        <w:t xml:space="preserve">work </w:t>
      </w:r>
      <w:r w:rsidR="00F54083">
        <w:rPr>
          <w:rStyle w:val="hps"/>
        </w:rPr>
        <w:t>in</w:t>
      </w:r>
      <w:r w:rsidR="00396CD7">
        <w:rPr>
          <w:rStyle w:val="hps"/>
        </w:rPr>
        <w:t xml:space="preserve"> the </w:t>
      </w:r>
      <w:r w:rsidR="009B34A0">
        <w:rPr>
          <w:rStyle w:val="hps"/>
        </w:rPr>
        <w:t xml:space="preserve">first semester of 2018 </w:t>
      </w:r>
      <w:r w:rsidR="00F54083">
        <w:rPr>
          <w:rStyle w:val="hps"/>
        </w:rPr>
        <w:t xml:space="preserve">focus </w:t>
      </w:r>
      <w:r w:rsidR="009B34A0">
        <w:rPr>
          <w:rStyle w:val="hps"/>
        </w:rPr>
        <w:t xml:space="preserve">on </w:t>
      </w:r>
      <w:r w:rsidR="009B34A0" w:rsidRPr="00035902">
        <w:rPr>
          <w:rStyle w:val="hps"/>
        </w:rPr>
        <w:t>aligning the</w:t>
      </w:r>
      <w:r w:rsidR="009B34A0">
        <w:rPr>
          <w:rStyle w:val="hps"/>
        </w:rPr>
        <w:t xml:space="preserve"> follow-up and evaluation mechanism of the capacity-building </w:t>
      </w:r>
      <w:proofErr w:type="spellStart"/>
      <w:r w:rsidR="009B34A0">
        <w:rPr>
          <w:rStyle w:val="hps"/>
        </w:rPr>
        <w:t>programme</w:t>
      </w:r>
      <w:proofErr w:type="spellEnd"/>
      <w:r w:rsidR="009B34A0">
        <w:rPr>
          <w:rStyle w:val="hps"/>
        </w:rPr>
        <w:t xml:space="preserve"> with the Convention’s overall results framework, taking into account the </w:t>
      </w:r>
      <w:r w:rsidR="00396CD7">
        <w:rPr>
          <w:rStyle w:val="hps"/>
        </w:rPr>
        <w:t xml:space="preserve">insights gained from </w:t>
      </w:r>
      <w:r w:rsidR="009B34A0">
        <w:rPr>
          <w:rStyle w:val="hps"/>
        </w:rPr>
        <w:t>the</w:t>
      </w:r>
      <w:r w:rsidR="00396CD7">
        <w:rPr>
          <w:rStyle w:val="hps"/>
        </w:rPr>
        <w:t xml:space="preserve"> above-mentioned </w:t>
      </w:r>
      <w:r w:rsidR="009B34A0">
        <w:rPr>
          <w:rStyle w:val="hps"/>
        </w:rPr>
        <w:t>studies and the deliberations of the Committee</w:t>
      </w:r>
      <w:r w:rsidR="009B34A0" w:rsidRPr="00035902">
        <w:rPr>
          <w:rStyle w:val="hps"/>
        </w:rPr>
        <w:t>.</w:t>
      </w:r>
    </w:p>
    <w:p w14:paraId="12745972" w14:textId="411C503C" w:rsidR="002810A7" w:rsidRPr="00656462" w:rsidRDefault="009322F5" w:rsidP="0054466D">
      <w:pPr>
        <w:pStyle w:val="5GAparabodytext"/>
        <w:rPr>
          <w:rStyle w:val="hps"/>
        </w:rPr>
      </w:pPr>
      <w:r w:rsidRPr="00656462">
        <w:rPr>
          <w:rStyle w:val="hps"/>
          <w:b/>
        </w:rPr>
        <w:t>ER 2.4: Guidance on safeguarding measures and good practices strengthened.</w:t>
      </w:r>
      <w:r w:rsidRPr="00656462">
        <w:rPr>
          <w:rStyle w:val="hps"/>
        </w:rPr>
        <w:t xml:space="preserve"> </w:t>
      </w:r>
      <w:r w:rsidR="00DA22BD" w:rsidRPr="00656462">
        <w:rPr>
          <w:rStyle w:val="hps"/>
        </w:rPr>
        <w:t xml:space="preserve">Responding to </w:t>
      </w:r>
      <w:r w:rsidR="00F54083">
        <w:rPr>
          <w:rStyle w:val="hps"/>
        </w:rPr>
        <w:t xml:space="preserve">the </w:t>
      </w:r>
      <w:r w:rsidR="00E11A2B" w:rsidRPr="00656462">
        <w:rPr>
          <w:rStyle w:val="hps"/>
        </w:rPr>
        <w:t xml:space="preserve">2013 Evaluation of the </w:t>
      </w:r>
      <w:r w:rsidR="00F54083">
        <w:rPr>
          <w:rStyle w:val="hps"/>
        </w:rPr>
        <w:t>IOS</w:t>
      </w:r>
      <w:r w:rsidR="00E11A2B" w:rsidRPr="00656462">
        <w:rPr>
          <w:rStyle w:val="hps"/>
        </w:rPr>
        <w:t xml:space="preserve"> </w:t>
      </w:r>
      <w:r w:rsidR="00DA22BD" w:rsidRPr="00656462">
        <w:rPr>
          <w:rStyle w:val="hps"/>
        </w:rPr>
        <w:t xml:space="preserve">recommendations, the Committee called on different constituencies, including the Secretariat, to ‘complement the Register of </w:t>
      </w:r>
      <w:r w:rsidR="00DA22BD" w:rsidRPr="0054466D">
        <w:rPr>
          <w:rStyle w:val="hps"/>
        </w:rPr>
        <w:t>Best Safeguarding Practices by developing alternate, lighter ways of sharing safeguarding experiences such as dedicated websites, e-newsletters, online forums, etc.’</w:t>
      </w:r>
      <w:r w:rsidR="00DA22BD" w:rsidRPr="00656462">
        <w:rPr>
          <w:rStyle w:val="hps"/>
        </w:rPr>
        <w:t xml:space="preserve"> (</w:t>
      </w:r>
      <w:hyperlink r:id="rId17" w:history="1">
        <w:r w:rsidR="00DA22BD" w:rsidRPr="00656462">
          <w:rPr>
            <w:rStyle w:val="hps"/>
          </w:rPr>
          <w:t>Decision 8.COM 5.c.1</w:t>
        </w:r>
      </w:hyperlink>
      <w:r w:rsidR="00DA22BD" w:rsidRPr="00656462">
        <w:rPr>
          <w:rStyle w:val="hps"/>
        </w:rPr>
        <w:t xml:space="preserve">). </w:t>
      </w:r>
      <w:r w:rsidR="00E11A2B" w:rsidRPr="00656462">
        <w:rPr>
          <w:rStyle w:val="hps"/>
        </w:rPr>
        <w:t>To respond to this request of the Committee, in 2016-2017, t</w:t>
      </w:r>
      <w:r w:rsidR="00DA22BD" w:rsidRPr="00656462">
        <w:rPr>
          <w:rStyle w:val="hps"/>
        </w:rPr>
        <w:t xml:space="preserve">he Secretariat has been </w:t>
      </w:r>
      <w:proofErr w:type="spellStart"/>
      <w:r w:rsidR="00F54083">
        <w:rPr>
          <w:rStyle w:val="hps"/>
        </w:rPr>
        <w:t>endeavouring</w:t>
      </w:r>
      <w:proofErr w:type="spellEnd"/>
      <w:r w:rsidR="00F54083" w:rsidRPr="00656462">
        <w:rPr>
          <w:rStyle w:val="hps"/>
        </w:rPr>
        <w:t xml:space="preserve"> </w:t>
      </w:r>
      <w:r w:rsidR="00E11A2B" w:rsidRPr="00656462">
        <w:rPr>
          <w:rStyle w:val="hps"/>
        </w:rPr>
        <w:t>to identify an appropriate approach</w:t>
      </w:r>
      <w:r w:rsidR="00967D0B" w:rsidRPr="00656462">
        <w:rPr>
          <w:rStyle w:val="hps"/>
        </w:rPr>
        <w:t xml:space="preserve"> to explore different possibilities </w:t>
      </w:r>
      <w:r w:rsidR="00F54083">
        <w:rPr>
          <w:rStyle w:val="hps"/>
        </w:rPr>
        <w:t>for</w:t>
      </w:r>
      <w:r w:rsidR="00F54083" w:rsidRPr="00656462">
        <w:rPr>
          <w:rStyle w:val="hps"/>
        </w:rPr>
        <w:t xml:space="preserve"> </w:t>
      </w:r>
      <w:r w:rsidR="00967D0B" w:rsidRPr="00656462">
        <w:rPr>
          <w:rStyle w:val="hps"/>
        </w:rPr>
        <w:t>effectively sharing safeguarding practices with proven efficiency</w:t>
      </w:r>
      <w:r w:rsidR="006B7C1B" w:rsidRPr="00656462">
        <w:rPr>
          <w:rStyle w:val="hps"/>
        </w:rPr>
        <w:t xml:space="preserve">, which would </w:t>
      </w:r>
      <w:r w:rsidR="00E11A2B" w:rsidRPr="00656462">
        <w:rPr>
          <w:rStyle w:val="hps"/>
        </w:rPr>
        <w:t>giv</w:t>
      </w:r>
      <w:r w:rsidR="006B7C1B" w:rsidRPr="00656462">
        <w:rPr>
          <w:rStyle w:val="hps"/>
        </w:rPr>
        <w:t xml:space="preserve">e </w:t>
      </w:r>
      <w:r w:rsidR="00E11A2B" w:rsidRPr="00656462">
        <w:rPr>
          <w:rStyle w:val="hps"/>
        </w:rPr>
        <w:t>due consideration to the wide range of stakeholders</w:t>
      </w:r>
      <w:r w:rsidR="006B7C1B" w:rsidRPr="00656462">
        <w:rPr>
          <w:rStyle w:val="hps"/>
        </w:rPr>
        <w:t xml:space="preserve"> concerned</w:t>
      </w:r>
      <w:r w:rsidR="00E11A2B" w:rsidRPr="00656462">
        <w:rPr>
          <w:rStyle w:val="hps"/>
        </w:rPr>
        <w:t xml:space="preserve">. </w:t>
      </w:r>
      <w:r w:rsidR="00F54083">
        <w:rPr>
          <w:rStyle w:val="hps"/>
        </w:rPr>
        <w:t>One</w:t>
      </w:r>
      <w:r w:rsidR="00F54083" w:rsidRPr="00656462">
        <w:rPr>
          <w:rStyle w:val="hps"/>
        </w:rPr>
        <w:t xml:space="preserve"> </w:t>
      </w:r>
      <w:r w:rsidR="00E11A2B" w:rsidRPr="00656462">
        <w:rPr>
          <w:rStyle w:val="hps"/>
        </w:rPr>
        <w:t xml:space="preserve">proposal to </w:t>
      </w:r>
      <w:proofErr w:type="gramStart"/>
      <w:r w:rsidR="006B7C1B" w:rsidRPr="00656462">
        <w:rPr>
          <w:rStyle w:val="hps"/>
        </w:rPr>
        <w:t xml:space="preserve">be </w:t>
      </w:r>
      <w:r w:rsidR="00E11A2B" w:rsidRPr="00656462">
        <w:rPr>
          <w:rStyle w:val="hps"/>
        </w:rPr>
        <w:t>developed</w:t>
      </w:r>
      <w:proofErr w:type="gramEnd"/>
      <w:r w:rsidR="00E11A2B" w:rsidRPr="00656462">
        <w:rPr>
          <w:rStyle w:val="hps"/>
        </w:rPr>
        <w:t xml:space="preserve"> in </w:t>
      </w:r>
      <w:r w:rsidR="006B7C1B" w:rsidRPr="00656462">
        <w:rPr>
          <w:rStyle w:val="hps"/>
        </w:rPr>
        <w:t xml:space="preserve">the course of </w:t>
      </w:r>
      <w:r w:rsidR="00E11A2B" w:rsidRPr="00656462">
        <w:rPr>
          <w:rStyle w:val="hps"/>
        </w:rPr>
        <w:t xml:space="preserve">2017 is </w:t>
      </w:r>
      <w:r w:rsidR="00967D0B" w:rsidRPr="00656462">
        <w:rPr>
          <w:rStyle w:val="hps"/>
        </w:rPr>
        <w:t xml:space="preserve">to rely on existing networks such as </w:t>
      </w:r>
      <w:r w:rsidR="00F54083">
        <w:rPr>
          <w:rStyle w:val="hps"/>
        </w:rPr>
        <w:t>n</w:t>
      </w:r>
      <w:r w:rsidR="00F54083" w:rsidRPr="00656462">
        <w:rPr>
          <w:rStyle w:val="hps"/>
        </w:rPr>
        <w:t>on</w:t>
      </w:r>
      <w:r w:rsidR="00967D0B" w:rsidRPr="00656462">
        <w:rPr>
          <w:rStyle w:val="hps"/>
        </w:rPr>
        <w:t>-</w:t>
      </w:r>
      <w:r w:rsidR="00F54083">
        <w:rPr>
          <w:rStyle w:val="hps"/>
        </w:rPr>
        <w:t>g</w:t>
      </w:r>
      <w:r w:rsidR="00F54083" w:rsidRPr="00656462">
        <w:rPr>
          <w:rStyle w:val="hps"/>
        </w:rPr>
        <w:t xml:space="preserve">overnmental </w:t>
      </w:r>
      <w:r w:rsidR="00F54083">
        <w:rPr>
          <w:rStyle w:val="hps"/>
        </w:rPr>
        <w:t>O</w:t>
      </w:r>
      <w:r w:rsidR="00F54083" w:rsidRPr="00656462">
        <w:rPr>
          <w:rStyle w:val="hps"/>
        </w:rPr>
        <w:t xml:space="preserve">rganizations </w:t>
      </w:r>
      <w:r w:rsidR="00967D0B" w:rsidRPr="00656462">
        <w:rPr>
          <w:rStyle w:val="hps"/>
        </w:rPr>
        <w:t>(NGO</w:t>
      </w:r>
      <w:r w:rsidR="00F54083">
        <w:rPr>
          <w:rStyle w:val="hps"/>
        </w:rPr>
        <w:t>s</w:t>
      </w:r>
      <w:r w:rsidR="00967D0B" w:rsidRPr="00656462">
        <w:rPr>
          <w:rStyle w:val="hps"/>
        </w:rPr>
        <w:t xml:space="preserve">) accredited to the Convention, </w:t>
      </w:r>
      <w:r w:rsidR="00967D0B" w:rsidRPr="00656462">
        <w:rPr>
          <w:lang w:val="en-GB"/>
        </w:rPr>
        <w:t>indigenous peoples</w:t>
      </w:r>
      <w:r w:rsidR="00396CD7">
        <w:rPr>
          <w:lang w:val="en-GB"/>
        </w:rPr>
        <w:t>’</w:t>
      </w:r>
      <w:r w:rsidR="00967D0B" w:rsidRPr="00656462">
        <w:rPr>
          <w:lang w:val="en-GB"/>
        </w:rPr>
        <w:t xml:space="preserve"> organizations, cities and local authorities, UNESCO Chairs</w:t>
      </w:r>
      <w:r w:rsidR="00396CD7">
        <w:rPr>
          <w:lang w:val="en-GB"/>
        </w:rPr>
        <w:t xml:space="preserve"> and</w:t>
      </w:r>
      <w:r w:rsidR="00967D0B" w:rsidRPr="00656462">
        <w:rPr>
          <w:lang w:val="en-GB"/>
        </w:rPr>
        <w:t xml:space="preserve"> Category 2 Centres</w:t>
      </w:r>
      <w:r w:rsidR="00967D0B" w:rsidRPr="00656462">
        <w:rPr>
          <w:rStyle w:val="hps"/>
        </w:rPr>
        <w:t xml:space="preserve">. </w:t>
      </w:r>
      <w:r w:rsidR="008F7153" w:rsidRPr="00656462">
        <w:rPr>
          <w:rStyle w:val="hps"/>
        </w:rPr>
        <w:t>T</w:t>
      </w:r>
      <w:r w:rsidR="00967D0B" w:rsidRPr="00656462">
        <w:rPr>
          <w:rStyle w:val="hps"/>
        </w:rPr>
        <w:t>he NGO Forum</w:t>
      </w:r>
      <w:r w:rsidR="006B7C1B" w:rsidRPr="00656462">
        <w:rPr>
          <w:rStyle w:val="hps"/>
        </w:rPr>
        <w:t xml:space="preserve"> </w:t>
      </w:r>
      <w:r w:rsidR="00967D0B" w:rsidRPr="00656462">
        <w:rPr>
          <w:rStyle w:val="hps"/>
        </w:rPr>
        <w:t>could play a key role in ensuring the liaison</w:t>
      </w:r>
      <w:r w:rsidR="008F7153" w:rsidRPr="00656462">
        <w:rPr>
          <w:rStyle w:val="hps"/>
        </w:rPr>
        <w:t>,</w:t>
      </w:r>
      <w:r w:rsidR="00967D0B" w:rsidRPr="00656462">
        <w:rPr>
          <w:rStyle w:val="hps"/>
        </w:rPr>
        <w:t xml:space="preserve"> </w:t>
      </w:r>
      <w:r w:rsidR="008F7153" w:rsidRPr="00656462">
        <w:rPr>
          <w:rStyle w:val="hps"/>
        </w:rPr>
        <w:t xml:space="preserve">in particular </w:t>
      </w:r>
      <w:r w:rsidR="00396CD7">
        <w:rPr>
          <w:rStyle w:val="hps"/>
        </w:rPr>
        <w:t xml:space="preserve">with and </w:t>
      </w:r>
      <w:r w:rsidR="008F7153" w:rsidRPr="00656462">
        <w:rPr>
          <w:rStyle w:val="hps"/>
        </w:rPr>
        <w:t xml:space="preserve">among accredited </w:t>
      </w:r>
      <w:proofErr w:type="gramStart"/>
      <w:r w:rsidR="008F7153" w:rsidRPr="00656462">
        <w:rPr>
          <w:rStyle w:val="hps"/>
        </w:rPr>
        <w:t>NGOs</w:t>
      </w:r>
      <w:r w:rsidR="008F7153" w:rsidRPr="00656462" w:rsidDel="008F7153">
        <w:rPr>
          <w:rStyle w:val="hps"/>
        </w:rPr>
        <w:t xml:space="preserve"> </w:t>
      </w:r>
      <w:r w:rsidR="006B7C1B" w:rsidRPr="00656462">
        <w:rPr>
          <w:rStyle w:val="hps"/>
        </w:rPr>
        <w:t>.</w:t>
      </w:r>
      <w:proofErr w:type="gramEnd"/>
      <w:r w:rsidR="006B7C1B" w:rsidRPr="00656462">
        <w:rPr>
          <w:rStyle w:val="hps"/>
        </w:rPr>
        <w:t xml:space="preserve"> </w:t>
      </w:r>
      <w:proofErr w:type="gramStart"/>
      <w:r w:rsidR="006B7C1B" w:rsidRPr="00656462">
        <w:rPr>
          <w:rStyle w:val="hps"/>
        </w:rPr>
        <w:t xml:space="preserve">Should this </w:t>
      </w:r>
      <w:r w:rsidR="006B7C1B" w:rsidRPr="00656462">
        <w:rPr>
          <w:rStyle w:val="hps"/>
        </w:rPr>
        <w:lastRenderedPageBreak/>
        <w:t>approach be confirmed</w:t>
      </w:r>
      <w:proofErr w:type="gramEnd"/>
      <w:r w:rsidR="006B7C1B" w:rsidRPr="00656462">
        <w:rPr>
          <w:rStyle w:val="hps"/>
        </w:rPr>
        <w:t xml:space="preserve">, </w:t>
      </w:r>
      <w:r w:rsidRPr="00656462">
        <w:rPr>
          <w:rStyle w:val="hps"/>
        </w:rPr>
        <w:t xml:space="preserve">it is proposed </w:t>
      </w:r>
      <w:r w:rsidR="00F54083">
        <w:rPr>
          <w:rStyle w:val="hps"/>
        </w:rPr>
        <w:t>that</w:t>
      </w:r>
      <w:r w:rsidR="006B7C1B" w:rsidRPr="00656462">
        <w:rPr>
          <w:rStyle w:val="hps"/>
        </w:rPr>
        <w:t xml:space="preserve"> th</w:t>
      </w:r>
      <w:r w:rsidR="00201D83" w:rsidRPr="00656462">
        <w:rPr>
          <w:rStyle w:val="hps"/>
        </w:rPr>
        <w:t>e</w:t>
      </w:r>
      <w:r w:rsidR="006B7C1B" w:rsidRPr="00656462">
        <w:rPr>
          <w:rStyle w:val="hps"/>
        </w:rPr>
        <w:t>s</w:t>
      </w:r>
      <w:r w:rsidR="00201D83" w:rsidRPr="00656462">
        <w:rPr>
          <w:rStyle w:val="hps"/>
        </w:rPr>
        <w:t>e</w:t>
      </w:r>
      <w:r w:rsidR="006B7C1B" w:rsidRPr="00656462">
        <w:rPr>
          <w:rStyle w:val="hps"/>
        </w:rPr>
        <w:t xml:space="preserve"> </w:t>
      </w:r>
      <w:proofErr w:type="spellStart"/>
      <w:r w:rsidR="006B7C1B" w:rsidRPr="00656462">
        <w:rPr>
          <w:rStyle w:val="hps"/>
        </w:rPr>
        <w:t>patnerships</w:t>
      </w:r>
      <w:proofErr w:type="spellEnd"/>
      <w:r w:rsidR="006B7C1B" w:rsidRPr="00656462">
        <w:rPr>
          <w:rStyle w:val="hps"/>
        </w:rPr>
        <w:t xml:space="preserve"> </w:t>
      </w:r>
      <w:r w:rsidR="00F54083">
        <w:rPr>
          <w:rStyle w:val="hps"/>
        </w:rPr>
        <w:t xml:space="preserve">be consolidated </w:t>
      </w:r>
      <w:r w:rsidR="006B7C1B" w:rsidRPr="00656462">
        <w:rPr>
          <w:rStyle w:val="hps"/>
        </w:rPr>
        <w:t>during the first semester of 2018</w:t>
      </w:r>
      <w:r w:rsidR="00DA22BD" w:rsidRPr="00656462">
        <w:rPr>
          <w:rStyle w:val="hps"/>
        </w:rPr>
        <w:t xml:space="preserve">. </w:t>
      </w:r>
    </w:p>
    <w:p w14:paraId="7867850D" w14:textId="210C4E2C" w:rsidR="0037592C" w:rsidRPr="00696A00" w:rsidRDefault="007D0E41">
      <w:pPr>
        <w:pStyle w:val="Heading2"/>
        <w:tabs>
          <w:tab w:val="left" w:pos="567"/>
        </w:tabs>
        <w:snapToGrid w:val="0"/>
        <w:spacing w:before="360" w:after="240"/>
        <w:ind w:left="1134"/>
        <w:jc w:val="both"/>
        <w:rPr>
          <w:rFonts w:ascii="Arial" w:hAnsi="Arial" w:cs="Arial"/>
          <w:bCs w:val="0"/>
          <w:i w:val="0"/>
          <w:iCs w:val="0"/>
          <w:snapToGrid w:val="0"/>
          <w:sz w:val="22"/>
          <w:szCs w:val="22"/>
          <w:lang w:val="en-GB" w:eastAsia="en-US"/>
        </w:rPr>
      </w:pPr>
      <w:r>
        <w:rPr>
          <w:rFonts w:ascii="Arial" w:hAnsi="Arial" w:cs="Arial"/>
          <w:bCs w:val="0"/>
          <w:i w:val="0"/>
          <w:iCs w:val="0"/>
          <w:snapToGrid w:val="0"/>
          <w:sz w:val="22"/>
          <w:szCs w:val="22"/>
          <w:lang w:val="en-GB" w:eastAsia="en-US"/>
        </w:rPr>
        <w:t>Expected Result 3</w:t>
      </w:r>
      <w:r w:rsidR="0037592C" w:rsidRPr="00696A00">
        <w:rPr>
          <w:rFonts w:ascii="Arial" w:hAnsi="Arial" w:cs="Arial"/>
          <w:bCs w:val="0"/>
          <w:i w:val="0"/>
          <w:iCs w:val="0"/>
          <w:snapToGrid w:val="0"/>
          <w:sz w:val="22"/>
          <w:szCs w:val="22"/>
          <w:lang w:val="en-GB" w:eastAsia="en-US"/>
        </w:rPr>
        <w:t xml:space="preserve">: </w:t>
      </w:r>
      <w:r w:rsidR="00C02B0E">
        <w:rPr>
          <w:rFonts w:ascii="Arial" w:hAnsi="Arial" w:cs="Arial"/>
          <w:i w:val="0"/>
          <w:sz w:val="22"/>
          <w:szCs w:val="22"/>
          <w:lang w:val="en-GB"/>
        </w:rPr>
        <w:t>I</w:t>
      </w:r>
      <w:r w:rsidR="001956CB" w:rsidRPr="001956CB">
        <w:rPr>
          <w:rFonts w:ascii="Arial" w:hAnsi="Arial" w:cs="Arial"/>
          <w:i w:val="0"/>
          <w:sz w:val="22"/>
          <w:szCs w:val="22"/>
          <w:lang w:val="en-GB"/>
        </w:rPr>
        <w:t>ntegration of intangible cultural heritage in</w:t>
      </w:r>
      <w:r w:rsidR="00F82A28">
        <w:rPr>
          <w:rFonts w:ascii="Arial" w:hAnsi="Arial" w:cs="Arial"/>
          <w:i w:val="0"/>
          <w:sz w:val="22"/>
          <w:szCs w:val="22"/>
          <w:lang w:val="en-GB"/>
        </w:rPr>
        <w:t>to the</w:t>
      </w:r>
      <w:r w:rsidR="001956CB" w:rsidRPr="001956CB">
        <w:rPr>
          <w:rFonts w:ascii="Arial" w:hAnsi="Arial" w:cs="Arial"/>
          <w:i w:val="0"/>
          <w:sz w:val="22"/>
          <w:szCs w:val="22"/>
          <w:lang w:val="en-GB"/>
        </w:rPr>
        <w:t xml:space="preserve"> development plans, policies and programmes</w:t>
      </w:r>
      <w:r w:rsidR="00C02B0E">
        <w:rPr>
          <w:rFonts w:ascii="Arial" w:hAnsi="Arial" w:cs="Arial"/>
          <w:i w:val="0"/>
          <w:sz w:val="22"/>
          <w:szCs w:val="22"/>
          <w:lang w:val="en-GB"/>
        </w:rPr>
        <w:t xml:space="preserve"> supported</w:t>
      </w:r>
    </w:p>
    <w:p w14:paraId="36683D42" w14:textId="5BB5B97B" w:rsidR="00CE7E04" w:rsidRPr="0054466D" w:rsidRDefault="002F3D72" w:rsidP="0054466D">
      <w:pPr>
        <w:pStyle w:val="5GAparabodytext"/>
        <w:rPr>
          <w:rStyle w:val="hps"/>
          <w:rFonts w:ascii="Cambria" w:hAnsi="Cambria" w:cs="Times New Roman"/>
          <w:b/>
          <w:i/>
          <w:sz w:val="28"/>
          <w:szCs w:val="28"/>
        </w:rPr>
      </w:pPr>
      <w:r w:rsidRPr="0054466D">
        <w:rPr>
          <w:rStyle w:val="hps"/>
        </w:rPr>
        <w:t xml:space="preserve">With the adoption of the Operational Directives on </w:t>
      </w:r>
      <w:r w:rsidR="00F82A28">
        <w:rPr>
          <w:rStyle w:val="hps"/>
        </w:rPr>
        <w:t>s</w:t>
      </w:r>
      <w:r w:rsidR="00F82A28" w:rsidRPr="0054466D">
        <w:rPr>
          <w:rStyle w:val="hps"/>
        </w:rPr>
        <w:t xml:space="preserve">afeguarding </w:t>
      </w:r>
      <w:r w:rsidRPr="0054466D">
        <w:rPr>
          <w:rStyle w:val="hps"/>
        </w:rPr>
        <w:t>intangible cultural heritage and sustainable development at the national level</w:t>
      </w:r>
      <w:r w:rsidR="00F50AAE" w:rsidRPr="0054466D">
        <w:rPr>
          <w:rStyle w:val="hps"/>
        </w:rPr>
        <w:t>,</w:t>
      </w:r>
      <w:r w:rsidRPr="0054466D">
        <w:rPr>
          <w:rStyle w:val="hps"/>
        </w:rPr>
        <w:t xml:space="preserve"> the General Assembly of States Parties to the </w:t>
      </w:r>
      <w:r w:rsidRPr="008B093D">
        <w:t>Convention</w:t>
      </w:r>
      <w:r w:rsidR="008B093D">
        <w:t xml:space="preserve"> </w:t>
      </w:r>
      <w:r w:rsidRPr="0054466D">
        <w:rPr>
          <w:rStyle w:val="hps"/>
        </w:rPr>
        <w:t xml:space="preserve">expressed </w:t>
      </w:r>
      <w:r w:rsidR="00F82A28">
        <w:rPr>
          <w:rStyle w:val="hps"/>
        </w:rPr>
        <w:t xml:space="preserve">its </w:t>
      </w:r>
      <w:r w:rsidR="006E7003">
        <w:rPr>
          <w:rStyle w:val="hps"/>
        </w:rPr>
        <w:t>commitment to</w:t>
      </w:r>
      <w:r w:rsidRPr="0054466D">
        <w:rPr>
          <w:rStyle w:val="hps"/>
        </w:rPr>
        <w:t xml:space="preserve"> </w:t>
      </w:r>
      <w:r w:rsidR="006E7003" w:rsidRPr="0054466D">
        <w:rPr>
          <w:rStyle w:val="hps"/>
        </w:rPr>
        <w:t>recogniz</w:t>
      </w:r>
      <w:r w:rsidR="00F82A28">
        <w:rPr>
          <w:rStyle w:val="hps"/>
        </w:rPr>
        <w:t>ing</w:t>
      </w:r>
      <w:r w:rsidR="006E7003" w:rsidRPr="0054466D">
        <w:rPr>
          <w:rStyle w:val="hps"/>
        </w:rPr>
        <w:t xml:space="preserve"> the importance and strengthen</w:t>
      </w:r>
      <w:r w:rsidR="00F82A28">
        <w:rPr>
          <w:rStyle w:val="hps"/>
        </w:rPr>
        <w:t>ing</w:t>
      </w:r>
      <w:r w:rsidR="006E7003">
        <w:rPr>
          <w:rStyle w:val="hps"/>
        </w:rPr>
        <w:t xml:space="preserve"> </w:t>
      </w:r>
      <w:r w:rsidR="006E7003" w:rsidRPr="0054466D">
        <w:rPr>
          <w:rStyle w:val="hps"/>
        </w:rPr>
        <w:t>the role of intangible cultural heritage as a driver and guarantee of sustainable</w:t>
      </w:r>
      <w:r w:rsidR="006E7003">
        <w:rPr>
          <w:rStyle w:val="hps"/>
        </w:rPr>
        <w:t xml:space="preserve"> </w:t>
      </w:r>
      <w:r w:rsidR="006E7003" w:rsidRPr="0054466D">
        <w:rPr>
          <w:rStyle w:val="hps"/>
        </w:rPr>
        <w:t>development</w:t>
      </w:r>
      <w:r w:rsidR="006E7003">
        <w:rPr>
          <w:rStyle w:val="hps"/>
        </w:rPr>
        <w:t xml:space="preserve">. </w:t>
      </w:r>
      <w:r w:rsidR="001023C3">
        <w:rPr>
          <w:rStyle w:val="hps"/>
        </w:rPr>
        <w:t xml:space="preserve">It </w:t>
      </w:r>
      <w:r w:rsidR="006E7003">
        <w:rPr>
          <w:rStyle w:val="hps"/>
        </w:rPr>
        <w:t xml:space="preserve">furthermore </w:t>
      </w:r>
      <w:r w:rsidR="001023C3">
        <w:rPr>
          <w:rStyle w:val="hps"/>
        </w:rPr>
        <w:t xml:space="preserve">declared its </w:t>
      </w:r>
      <w:proofErr w:type="spellStart"/>
      <w:r w:rsidR="006E7003">
        <w:rPr>
          <w:rStyle w:val="hps"/>
        </w:rPr>
        <w:t>committ</w:t>
      </w:r>
      <w:r w:rsidR="001023C3">
        <w:rPr>
          <w:rStyle w:val="hps"/>
        </w:rPr>
        <w:t>ment</w:t>
      </w:r>
      <w:proofErr w:type="spellEnd"/>
      <w:r w:rsidR="006E7003">
        <w:rPr>
          <w:rStyle w:val="hps"/>
        </w:rPr>
        <w:t xml:space="preserve"> to </w:t>
      </w:r>
      <w:r w:rsidR="006E7003" w:rsidRPr="0054466D">
        <w:rPr>
          <w:rStyle w:val="hps"/>
        </w:rPr>
        <w:t>fully integrat</w:t>
      </w:r>
      <w:r w:rsidR="001023C3">
        <w:rPr>
          <w:rStyle w:val="hps"/>
        </w:rPr>
        <w:t>ing</w:t>
      </w:r>
      <w:r w:rsidR="006E7003" w:rsidRPr="0054466D">
        <w:rPr>
          <w:rStyle w:val="hps"/>
        </w:rPr>
        <w:t xml:space="preserve"> the safeguarding of intangible cultural</w:t>
      </w:r>
      <w:r w:rsidR="006E7003">
        <w:rPr>
          <w:rStyle w:val="hps"/>
        </w:rPr>
        <w:t xml:space="preserve"> </w:t>
      </w:r>
      <w:r w:rsidR="006E7003" w:rsidRPr="0054466D">
        <w:rPr>
          <w:rStyle w:val="hps"/>
        </w:rPr>
        <w:t xml:space="preserve">heritage into development plans, policies and </w:t>
      </w:r>
      <w:proofErr w:type="spellStart"/>
      <w:r w:rsidR="006E7003" w:rsidRPr="0054466D">
        <w:rPr>
          <w:rStyle w:val="hps"/>
        </w:rPr>
        <w:t>programmes</w:t>
      </w:r>
      <w:proofErr w:type="spellEnd"/>
      <w:r w:rsidR="006E7003" w:rsidRPr="0054466D">
        <w:rPr>
          <w:rStyle w:val="hps"/>
        </w:rPr>
        <w:t xml:space="preserve"> at all levels</w:t>
      </w:r>
      <w:r w:rsidR="006E7003">
        <w:rPr>
          <w:rStyle w:val="hps"/>
        </w:rPr>
        <w:t xml:space="preserve">. </w:t>
      </w:r>
      <w:r w:rsidR="00F50AAE" w:rsidRPr="0054466D">
        <w:rPr>
          <w:rStyle w:val="hps"/>
        </w:rPr>
        <w:t xml:space="preserve">This commitment </w:t>
      </w:r>
      <w:proofErr w:type="gramStart"/>
      <w:r w:rsidR="00F50AAE" w:rsidRPr="0054466D">
        <w:rPr>
          <w:rStyle w:val="hps"/>
        </w:rPr>
        <w:t>is embedded</w:t>
      </w:r>
      <w:proofErr w:type="gramEnd"/>
      <w:r w:rsidR="00F50AAE" w:rsidRPr="0054466D">
        <w:rPr>
          <w:rStyle w:val="hps"/>
        </w:rPr>
        <w:t xml:space="preserve"> in UNESCO’s house-wide action to contribute to the achievement of the </w:t>
      </w:r>
      <w:r w:rsidR="006E7003">
        <w:rPr>
          <w:rStyle w:val="hps"/>
        </w:rPr>
        <w:t xml:space="preserve">2030 Agenda </w:t>
      </w:r>
      <w:r w:rsidR="00F50AAE" w:rsidRPr="0054466D">
        <w:rPr>
          <w:rStyle w:val="hps"/>
        </w:rPr>
        <w:t>Sustainable Development Goals</w:t>
      </w:r>
      <w:r w:rsidR="00E55EFE">
        <w:rPr>
          <w:rStyle w:val="hps"/>
        </w:rPr>
        <w:t xml:space="preserve"> (SDGs)</w:t>
      </w:r>
      <w:r w:rsidR="00F50AAE" w:rsidRPr="0054466D">
        <w:rPr>
          <w:rStyle w:val="hps"/>
        </w:rPr>
        <w:t xml:space="preserve">. </w:t>
      </w:r>
      <w:r w:rsidR="004038D7" w:rsidRPr="0054466D">
        <w:rPr>
          <w:rStyle w:val="hps"/>
        </w:rPr>
        <w:t xml:space="preserve">In this </w:t>
      </w:r>
      <w:r w:rsidR="00CE7E04" w:rsidRPr="0054466D">
        <w:rPr>
          <w:rStyle w:val="hps"/>
        </w:rPr>
        <w:t>context</w:t>
      </w:r>
      <w:r w:rsidR="004038D7" w:rsidRPr="0054466D">
        <w:rPr>
          <w:rStyle w:val="hps"/>
        </w:rPr>
        <w:t xml:space="preserve">, </w:t>
      </w:r>
      <w:r w:rsidR="00922BD7" w:rsidRPr="0054466D">
        <w:rPr>
          <w:rStyle w:val="hps"/>
        </w:rPr>
        <w:t xml:space="preserve">it </w:t>
      </w:r>
      <w:proofErr w:type="gramStart"/>
      <w:r w:rsidR="00922BD7" w:rsidRPr="0054466D">
        <w:rPr>
          <w:rStyle w:val="hps"/>
        </w:rPr>
        <w:t>is proposed</w:t>
      </w:r>
      <w:proofErr w:type="gramEnd"/>
      <w:r w:rsidR="00922BD7" w:rsidRPr="0054466D">
        <w:rPr>
          <w:rStyle w:val="hps"/>
        </w:rPr>
        <w:t xml:space="preserve"> </w:t>
      </w:r>
      <w:r w:rsidR="00CA5B41" w:rsidRPr="0054466D">
        <w:rPr>
          <w:rStyle w:val="hps"/>
        </w:rPr>
        <w:t xml:space="preserve">under Expected Result 3 </w:t>
      </w:r>
      <w:r w:rsidR="00922BD7" w:rsidRPr="0054466D">
        <w:rPr>
          <w:rStyle w:val="hps"/>
        </w:rPr>
        <w:t xml:space="preserve">that </w:t>
      </w:r>
      <w:r w:rsidR="004038D7" w:rsidRPr="0054466D">
        <w:rPr>
          <w:rStyle w:val="hps"/>
        </w:rPr>
        <w:t xml:space="preserve">the Secretariat pursue its </w:t>
      </w:r>
      <w:r w:rsidR="006E7003">
        <w:rPr>
          <w:rStyle w:val="hps"/>
        </w:rPr>
        <w:t>action of</w:t>
      </w:r>
      <w:r w:rsidR="004038D7" w:rsidRPr="0054466D">
        <w:rPr>
          <w:rStyle w:val="hps"/>
        </w:rPr>
        <w:t xml:space="preserve"> d</w:t>
      </w:r>
      <w:r w:rsidR="00562EA5" w:rsidRPr="0054466D">
        <w:rPr>
          <w:rStyle w:val="hps"/>
        </w:rPr>
        <w:t xml:space="preserve">eveloping </w:t>
      </w:r>
      <w:r w:rsidR="004038D7" w:rsidRPr="0054466D">
        <w:rPr>
          <w:rStyle w:val="hps"/>
        </w:rPr>
        <w:t xml:space="preserve">and implementing </w:t>
      </w:r>
      <w:r w:rsidR="00562EA5" w:rsidRPr="0054466D">
        <w:rPr>
          <w:rStyle w:val="hps"/>
        </w:rPr>
        <w:t>institutional partnerships</w:t>
      </w:r>
      <w:r w:rsidR="00710AFA" w:rsidRPr="0054466D">
        <w:rPr>
          <w:rStyle w:val="hps"/>
        </w:rPr>
        <w:t xml:space="preserve"> to </w:t>
      </w:r>
      <w:r w:rsidR="001342C1" w:rsidRPr="0054466D">
        <w:rPr>
          <w:rStyle w:val="hps"/>
        </w:rPr>
        <w:t>support the integration of intangible cultural heritage in</w:t>
      </w:r>
      <w:r w:rsidR="001023C3">
        <w:rPr>
          <w:rStyle w:val="hps"/>
        </w:rPr>
        <w:t>to</w:t>
      </w:r>
      <w:r w:rsidR="001342C1" w:rsidRPr="0054466D">
        <w:rPr>
          <w:rStyle w:val="hps"/>
        </w:rPr>
        <w:t xml:space="preserve"> development plans, policies and </w:t>
      </w:r>
      <w:proofErr w:type="spellStart"/>
      <w:r w:rsidR="001342C1" w:rsidRPr="0054466D">
        <w:rPr>
          <w:rStyle w:val="hps"/>
        </w:rPr>
        <w:t>programmes</w:t>
      </w:r>
      <w:proofErr w:type="spellEnd"/>
      <w:r w:rsidR="00AB58C5" w:rsidRPr="0054466D">
        <w:rPr>
          <w:rStyle w:val="hps"/>
        </w:rPr>
        <w:t xml:space="preserve"> in two complementary </w:t>
      </w:r>
      <w:r w:rsidR="006E7003">
        <w:rPr>
          <w:rStyle w:val="hps"/>
        </w:rPr>
        <w:t>ways</w:t>
      </w:r>
      <w:r w:rsidR="00AB58C5" w:rsidRPr="0054466D">
        <w:rPr>
          <w:rStyle w:val="hps"/>
        </w:rPr>
        <w:t>.</w:t>
      </w:r>
    </w:p>
    <w:p w14:paraId="6F0D8F5A" w14:textId="324BF970" w:rsidR="00D31C31" w:rsidRPr="0054466D" w:rsidRDefault="00806555" w:rsidP="0054466D">
      <w:pPr>
        <w:pStyle w:val="5GAparabodytext"/>
        <w:rPr>
          <w:rStyle w:val="hps"/>
        </w:rPr>
      </w:pPr>
      <w:r w:rsidRPr="0054466D">
        <w:rPr>
          <w:rStyle w:val="hps"/>
          <w:b/>
        </w:rPr>
        <w:t>ER 3.1: New part</w:t>
      </w:r>
      <w:r w:rsidR="00922BD7" w:rsidRPr="0054466D">
        <w:rPr>
          <w:rStyle w:val="hps"/>
          <w:b/>
        </w:rPr>
        <w:t xml:space="preserve">nerships established with relevant </w:t>
      </w:r>
      <w:r w:rsidR="001023C3">
        <w:rPr>
          <w:rStyle w:val="hps"/>
          <w:b/>
        </w:rPr>
        <w:t xml:space="preserve">educational </w:t>
      </w:r>
      <w:r w:rsidR="00922BD7" w:rsidRPr="0054466D">
        <w:rPr>
          <w:rStyle w:val="hps"/>
          <w:b/>
        </w:rPr>
        <w:t>institutions</w:t>
      </w:r>
      <w:r w:rsidR="00DF3411">
        <w:rPr>
          <w:rStyle w:val="hps"/>
          <w:b/>
        </w:rPr>
        <w:t>.</w:t>
      </w:r>
      <w:r w:rsidR="00922BD7" w:rsidRPr="0054466D">
        <w:rPr>
          <w:rStyle w:val="hps"/>
        </w:rPr>
        <w:t xml:space="preserve"> </w:t>
      </w:r>
      <w:r w:rsidR="00D31C31" w:rsidRPr="0054466D">
        <w:rPr>
          <w:rStyle w:val="hps"/>
        </w:rPr>
        <w:t xml:space="preserve">Education can play a valuable role in safeguarding intangible cultural heritage, which is why the Convention includes </w:t>
      </w:r>
      <w:r w:rsidR="001023C3">
        <w:rPr>
          <w:rStyle w:val="hps"/>
        </w:rPr>
        <w:t xml:space="preserve">both </w:t>
      </w:r>
      <w:r w:rsidR="00D31C31" w:rsidRPr="0054466D">
        <w:rPr>
          <w:rStyle w:val="hps"/>
        </w:rPr>
        <w:t xml:space="preserve">formal and non-formal education as part of the proposed safeguarding measures. Therefore, </w:t>
      </w:r>
      <w:r w:rsidR="00DE54B4" w:rsidRPr="0054466D">
        <w:rPr>
          <w:rStyle w:val="hps"/>
        </w:rPr>
        <w:t>it is essential to int</w:t>
      </w:r>
      <w:r w:rsidR="001023C3">
        <w:rPr>
          <w:rStyle w:val="hps"/>
        </w:rPr>
        <w:t>e</w:t>
      </w:r>
      <w:r w:rsidR="00DE54B4" w:rsidRPr="0054466D">
        <w:rPr>
          <w:rStyle w:val="hps"/>
        </w:rPr>
        <w:t>grate intangible cultural heritage in</w:t>
      </w:r>
      <w:r w:rsidR="001023C3">
        <w:rPr>
          <w:rStyle w:val="hps"/>
        </w:rPr>
        <w:t>to</w:t>
      </w:r>
      <w:r w:rsidR="00DE54B4" w:rsidRPr="0054466D">
        <w:rPr>
          <w:rStyle w:val="hps"/>
        </w:rPr>
        <w:t xml:space="preserve"> education, which requires solid </w:t>
      </w:r>
      <w:proofErr w:type="spellStart"/>
      <w:r w:rsidR="00D31C31" w:rsidRPr="0054466D">
        <w:rPr>
          <w:rStyle w:val="hps"/>
        </w:rPr>
        <w:t>parterships</w:t>
      </w:r>
      <w:proofErr w:type="spellEnd"/>
      <w:r w:rsidR="00D31C31" w:rsidRPr="0054466D">
        <w:rPr>
          <w:rStyle w:val="hps"/>
        </w:rPr>
        <w:t xml:space="preserve"> with education</w:t>
      </w:r>
      <w:r w:rsidR="001023C3">
        <w:rPr>
          <w:rStyle w:val="hps"/>
        </w:rPr>
        <w:t>al</w:t>
      </w:r>
      <w:r w:rsidR="00D31C31" w:rsidRPr="0054466D">
        <w:rPr>
          <w:rStyle w:val="hps"/>
        </w:rPr>
        <w:t xml:space="preserve"> institutions</w:t>
      </w:r>
      <w:r w:rsidR="00DE54B4" w:rsidRPr="0054466D">
        <w:rPr>
          <w:rStyle w:val="hps"/>
        </w:rPr>
        <w:t xml:space="preserve">. Hence, </w:t>
      </w:r>
      <w:r w:rsidR="007C516F">
        <w:rPr>
          <w:rStyle w:val="hps"/>
        </w:rPr>
        <w:t xml:space="preserve">further to initial consultations held in 2016 with </w:t>
      </w:r>
      <w:r w:rsidR="007C516F">
        <w:t xml:space="preserve">UNESCO’s network of partners in the field of education, </w:t>
      </w:r>
      <w:r w:rsidR="00DE54B4" w:rsidRPr="0054466D">
        <w:rPr>
          <w:rStyle w:val="hps"/>
        </w:rPr>
        <w:t xml:space="preserve">the </w:t>
      </w:r>
      <w:r w:rsidR="00020E05" w:rsidRPr="0054466D">
        <w:rPr>
          <w:rStyle w:val="hps"/>
        </w:rPr>
        <w:t xml:space="preserve">Secretariat </w:t>
      </w:r>
      <w:r w:rsidR="004C7F01" w:rsidRPr="0054466D">
        <w:rPr>
          <w:rStyle w:val="hps"/>
        </w:rPr>
        <w:t>organiz</w:t>
      </w:r>
      <w:r w:rsidR="00784423">
        <w:rPr>
          <w:rStyle w:val="hps"/>
        </w:rPr>
        <w:t>ed on 17-19 May 2017</w:t>
      </w:r>
      <w:r w:rsidR="004C7F01" w:rsidRPr="0054466D">
        <w:rPr>
          <w:rStyle w:val="hps"/>
        </w:rPr>
        <w:t xml:space="preserve"> an </w:t>
      </w:r>
      <w:proofErr w:type="spellStart"/>
      <w:r w:rsidR="004C7F01" w:rsidRPr="0054466D">
        <w:rPr>
          <w:rStyle w:val="hps"/>
        </w:rPr>
        <w:t>intersectoral</w:t>
      </w:r>
      <w:proofErr w:type="spellEnd"/>
      <w:r w:rsidR="004C7F01" w:rsidRPr="0054466D">
        <w:rPr>
          <w:rStyle w:val="hps"/>
        </w:rPr>
        <w:t xml:space="preserve"> consultation meeting with </w:t>
      </w:r>
      <w:proofErr w:type="spellStart"/>
      <w:r w:rsidR="004C7F01" w:rsidRPr="0054466D">
        <w:rPr>
          <w:rStyle w:val="hps"/>
        </w:rPr>
        <w:t>programme</w:t>
      </w:r>
      <w:proofErr w:type="spellEnd"/>
      <w:r w:rsidR="004C7F01" w:rsidRPr="0054466D">
        <w:rPr>
          <w:rStyle w:val="hps"/>
        </w:rPr>
        <w:t xml:space="preserve"> specialists from</w:t>
      </w:r>
      <w:r w:rsidR="001023C3">
        <w:rPr>
          <w:rStyle w:val="hps"/>
        </w:rPr>
        <w:t xml:space="preserve"> the</w:t>
      </w:r>
      <w:r w:rsidR="004C7F01" w:rsidRPr="0054466D">
        <w:rPr>
          <w:rStyle w:val="hps"/>
        </w:rPr>
        <w:t xml:space="preserve"> Education and Culture Sectors, to engage in sharing, discussion</w:t>
      </w:r>
      <w:r w:rsidR="001023C3">
        <w:rPr>
          <w:rStyle w:val="hps"/>
        </w:rPr>
        <w:t>s</w:t>
      </w:r>
      <w:r w:rsidR="004C7F01" w:rsidRPr="0054466D">
        <w:rPr>
          <w:rStyle w:val="hps"/>
        </w:rPr>
        <w:t xml:space="preserve"> and planning around the goal of integrating intangible cultural heritage in</w:t>
      </w:r>
      <w:r w:rsidR="001023C3">
        <w:rPr>
          <w:rStyle w:val="hps"/>
        </w:rPr>
        <w:t>to</w:t>
      </w:r>
      <w:r w:rsidR="004C7F01" w:rsidRPr="0054466D">
        <w:rPr>
          <w:rStyle w:val="hps"/>
        </w:rPr>
        <w:t xml:space="preserve"> education. </w:t>
      </w:r>
      <w:r w:rsidR="007460D9">
        <w:rPr>
          <w:rStyle w:val="hps"/>
        </w:rPr>
        <w:t xml:space="preserve">For the period of </w:t>
      </w:r>
      <w:r w:rsidR="007F22C6">
        <w:rPr>
          <w:rStyle w:val="hps"/>
        </w:rPr>
        <w:t xml:space="preserve">1 </w:t>
      </w:r>
      <w:r w:rsidR="007460D9">
        <w:rPr>
          <w:rStyle w:val="hps"/>
        </w:rPr>
        <w:t xml:space="preserve">January </w:t>
      </w:r>
      <w:r w:rsidR="007F22C6">
        <w:rPr>
          <w:rStyle w:val="hps"/>
        </w:rPr>
        <w:t xml:space="preserve">2018 </w:t>
      </w:r>
      <w:r w:rsidR="007460D9">
        <w:rPr>
          <w:rStyle w:val="hps"/>
        </w:rPr>
        <w:t xml:space="preserve">to </w:t>
      </w:r>
      <w:r w:rsidR="007F22C6">
        <w:rPr>
          <w:rStyle w:val="hps"/>
        </w:rPr>
        <w:t xml:space="preserve">30 </w:t>
      </w:r>
      <w:r w:rsidR="007460D9">
        <w:rPr>
          <w:rStyle w:val="hps"/>
        </w:rPr>
        <w:t xml:space="preserve">June 2018, the </w:t>
      </w:r>
      <w:r w:rsidR="004C7F01" w:rsidRPr="0054466D">
        <w:rPr>
          <w:rStyle w:val="hps"/>
        </w:rPr>
        <w:t xml:space="preserve">Secretariat proposes </w:t>
      </w:r>
      <w:r w:rsidR="001023C3">
        <w:rPr>
          <w:rStyle w:val="hps"/>
        </w:rPr>
        <w:t>initiating</w:t>
      </w:r>
      <w:r w:rsidR="004C7F01" w:rsidRPr="0054466D">
        <w:rPr>
          <w:rStyle w:val="hps"/>
        </w:rPr>
        <w:t xml:space="preserve"> the implementation of the recommendations resulting from the consultations, thereby further strengthening partnerships to promote </w:t>
      </w:r>
      <w:r w:rsidR="001023C3">
        <w:rPr>
          <w:rStyle w:val="hps"/>
        </w:rPr>
        <w:t xml:space="preserve">the </w:t>
      </w:r>
      <w:r w:rsidR="004C7F01" w:rsidRPr="0054466D">
        <w:rPr>
          <w:rStyle w:val="hps"/>
        </w:rPr>
        <w:t xml:space="preserve">safeguarding of intangible cultural heritage and at the same time contributing towards achieving SDG Goal 4 on quality education. </w:t>
      </w:r>
      <w:r w:rsidR="007C516F">
        <w:rPr>
          <w:rStyle w:val="hps"/>
        </w:rPr>
        <w:t>In addition, b</w:t>
      </w:r>
      <w:r w:rsidR="004C7F01" w:rsidRPr="0054466D">
        <w:rPr>
          <w:rStyle w:val="hps"/>
        </w:rPr>
        <w:t xml:space="preserve">eyond primary and secondary education, </w:t>
      </w:r>
      <w:r w:rsidR="001023C3">
        <w:rPr>
          <w:rStyle w:val="hps"/>
        </w:rPr>
        <w:t xml:space="preserve">in recent years </w:t>
      </w:r>
      <w:r w:rsidR="004C7F01" w:rsidRPr="0054466D">
        <w:rPr>
          <w:rStyle w:val="hps"/>
        </w:rPr>
        <w:t xml:space="preserve">the </w:t>
      </w:r>
      <w:proofErr w:type="spellStart"/>
      <w:r w:rsidR="004C7F01" w:rsidRPr="0054466D">
        <w:rPr>
          <w:rStyle w:val="hps"/>
        </w:rPr>
        <w:t>Secretaritat</w:t>
      </w:r>
      <w:proofErr w:type="spellEnd"/>
      <w:r w:rsidR="004C7F01" w:rsidRPr="0054466D">
        <w:rPr>
          <w:rStyle w:val="hps"/>
        </w:rPr>
        <w:t xml:space="preserve"> </w:t>
      </w:r>
      <w:r w:rsidR="007C516F">
        <w:rPr>
          <w:rStyle w:val="hps"/>
        </w:rPr>
        <w:t>has started to develop</w:t>
      </w:r>
      <w:r w:rsidR="004C7F01" w:rsidRPr="0054466D">
        <w:rPr>
          <w:rStyle w:val="hps"/>
        </w:rPr>
        <w:t xml:space="preserve"> partnerships with tertiary education</w:t>
      </w:r>
      <w:r w:rsidR="001023C3">
        <w:rPr>
          <w:rStyle w:val="hps"/>
        </w:rPr>
        <w:t>al</w:t>
      </w:r>
      <w:r w:rsidR="004C7F01" w:rsidRPr="0054466D">
        <w:rPr>
          <w:rStyle w:val="hps"/>
        </w:rPr>
        <w:t xml:space="preserve"> institutions, since they are educating the future administrators and decision</w:t>
      </w:r>
      <w:r w:rsidR="001023C3">
        <w:rPr>
          <w:rStyle w:val="hps"/>
        </w:rPr>
        <w:t>-</w:t>
      </w:r>
      <w:r w:rsidR="004C7F01" w:rsidRPr="0054466D">
        <w:rPr>
          <w:rStyle w:val="hps"/>
        </w:rPr>
        <w:t xml:space="preserve">makers in the field of intangible cultural heritage. </w:t>
      </w:r>
      <w:r w:rsidR="0038708E" w:rsidRPr="0054466D">
        <w:rPr>
          <w:rStyle w:val="hps"/>
        </w:rPr>
        <w:t xml:space="preserve">Activities focused on strengthening networking and information exchange with universities in Asia Pacific and Latin America to support the integration of intangible cultural heritage into their </w:t>
      </w:r>
      <w:proofErr w:type="spellStart"/>
      <w:r w:rsidR="0038708E" w:rsidRPr="0054466D">
        <w:rPr>
          <w:rStyle w:val="hps"/>
        </w:rPr>
        <w:t>programmes</w:t>
      </w:r>
      <w:proofErr w:type="spellEnd"/>
      <w:r w:rsidR="00DE54B4" w:rsidRPr="0054466D">
        <w:rPr>
          <w:rStyle w:val="hps"/>
        </w:rPr>
        <w:t xml:space="preserve">. </w:t>
      </w:r>
      <w:r w:rsidR="008B093D" w:rsidRPr="0054466D">
        <w:rPr>
          <w:rStyle w:val="hps"/>
        </w:rPr>
        <w:t>Building on the lessons learnt, it</w:t>
      </w:r>
      <w:r w:rsidR="0038708E" w:rsidRPr="0054466D">
        <w:rPr>
          <w:rStyle w:val="hps"/>
        </w:rPr>
        <w:t xml:space="preserve"> </w:t>
      </w:r>
      <w:proofErr w:type="gramStart"/>
      <w:r w:rsidR="0038708E" w:rsidRPr="0054466D">
        <w:rPr>
          <w:rStyle w:val="hps"/>
        </w:rPr>
        <w:t>is proposed</w:t>
      </w:r>
      <w:proofErr w:type="gramEnd"/>
      <w:r w:rsidR="0038708E" w:rsidRPr="0054466D">
        <w:rPr>
          <w:rStyle w:val="hps"/>
        </w:rPr>
        <w:t xml:space="preserve"> </w:t>
      </w:r>
      <w:r w:rsidR="001023C3">
        <w:rPr>
          <w:rStyle w:val="hps"/>
        </w:rPr>
        <w:t xml:space="preserve">that </w:t>
      </w:r>
      <w:r w:rsidR="001342C1" w:rsidRPr="0054466D">
        <w:rPr>
          <w:rStyle w:val="hps"/>
        </w:rPr>
        <w:t xml:space="preserve">a regional </w:t>
      </w:r>
      <w:r w:rsidR="0038708E" w:rsidRPr="0054466D">
        <w:rPr>
          <w:rStyle w:val="hps"/>
        </w:rPr>
        <w:t xml:space="preserve">symposium </w:t>
      </w:r>
      <w:r w:rsidR="003916F6" w:rsidRPr="0054466D">
        <w:rPr>
          <w:rStyle w:val="hps"/>
        </w:rPr>
        <w:t>of</w:t>
      </w:r>
      <w:r w:rsidR="0038708E" w:rsidRPr="0054466D">
        <w:rPr>
          <w:rStyle w:val="hps"/>
        </w:rPr>
        <w:t xml:space="preserve"> tertiary </w:t>
      </w:r>
      <w:proofErr w:type="spellStart"/>
      <w:r w:rsidR="0038708E" w:rsidRPr="0054466D">
        <w:rPr>
          <w:rStyle w:val="hps"/>
        </w:rPr>
        <w:t>instutions</w:t>
      </w:r>
      <w:proofErr w:type="spellEnd"/>
      <w:r w:rsidR="0038708E" w:rsidRPr="0054466D">
        <w:rPr>
          <w:rStyle w:val="hps"/>
        </w:rPr>
        <w:t xml:space="preserve"> </w:t>
      </w:r>
      <w:r w:rsidR="008B093D" w:rsidRPr="0054466D">
        <w:rPr>
          <w:rStyle w:val="hps"/>
        </w:rPr>
        <w:t xml:space="preserve">in Africa </w:t>
      </w:r>
      <w:r w:rsidR="001023C3">
        <w:rPr>
          <w:rStyle w:val="hps"/>
        </w:rPr>
        <w:t xml:space="preserve">be organized </w:t>
      </w:r>
      <w:r w:rsidR="001023C3" w:rsidRPr="0054466D">
        <w:rPr>
          <w:rStyle w:val="hps"/>
        </w:rPr>
        <w:t xml:space="preserve">during the first semester </w:t>
      </w:r>
      <w:r w:rsidR="001023C3">
        <w:rPr>
          <w:rStyle w:val="hps"/>
        </w:rPr>
        <w:t xml:space="preserve">of </w:t>
      </w:r>
      <w:r w:rsidR="001023C3" w:rsidRPr="0054466D">
        <w:rPr>
          <w:rStyle w:val="hps"/>
        </w:rPr>
        <w:t>2018</w:t>
      </w:r>
      <w:r w:rsidR="001023C3">
        <w:rPr>
          <w:rStyle w:val="hps"/>
        </w:rPr>
        <w:t xml:space="preserve">, </w:t>
      </w:r>
      <w:r w:rsidR="00710AFA" w:rsidRPr="0054466D">
        <w:rPr>
          <w:rStyle w:val="hps"/>
        </w:rPr>
        <w:t>to support the integration of intangible cultural heritage in</w:t>
      </w:r>
      <w:r w:rsidR="001023C3">
        <w:rPr>
          <w:rStyle w:val="hps"/>
        </w:rPr>
        <w:t>to</w:t>
      </w:r>
      <w:r w:rsidR="00710AFA" w:rsidRPr="0054466D">
        <w:rPr>
          <w:rStyle w:val="hps"/>
        </w:rPr>
        <w:t xml:space="preserve"> </w:t>
      </w:r>
      <w:r w:rsidR="008B093D" w:rsidRPr="0054466D">
        <w:rPr>
          <w:rStyle w:val="hps"/>
        </w:rPr>
        <w:t xml:space="preserve">their </w:t>
      </w:r>
      <w:proofErr w:type="spellStart"/>
      <w:r w:rsidR="008B093D" w:rsidRPr="0054466D">
        <w:rPr>
          <w:rStyle w:val="hps"/>
        </w:rPr>
        <w:t>programmes</w:t>
      </w:r>
      <w:proofErr w:type="spellEnd"/>
      <w:r w:rsidR="008B093D" w:rsidRPr="0054466D">
        <w:rPr>
          <w:rStyle w:val="hps"/>
        </w:rPr>
        <w:t xml:space="preserve">. </w:t>
      </w:r>
    </w:p>
    <w:p w14:paraId="0035CA6F" w14:textId="36C121BB" w:rsidR="00C72429" w:rsidRPr="00696A00" w:rsidRDefault="00922BD7" w:rsidP="0054466D">
      <w:pPr>
        <w:pStyle w:val="5GAparabodytext"/>
      </w:pPr>
      <w:r w:rsidRPr="00AB58C5">
        <w:rPr>
          <w:b/>
        </w:rPr>
        <w:t>ER 3.2: UNESCO’s cooperation with WIPO or other UN agencies strengthened</w:t>
      </w:r>
      <w:r w:rsidR="00DF3411">
        <w:rPr>
          <w:b/>
        </w:rPr>
        <w:t>.</w:t>
      </w:r>
      <w:r>
        <w:t xml:space="preserve"> </w:t>
      </w:r>
      <w:r w:rsidR="00DF3411">
        <w:t>T</w:t>
      </w:r>
      <w:r w:rsidR="00AD0EA7" w:rsidRPr="00696A00">
        <w:t xml:space="preserve">he Secretariat </w:t>
      </w:r>
      <w:r w:rsidR="00AD0EA7">
        <w:t xml:space="preserve">will intensify its </w:t>
      </w:r>
      <w:r w:rsidR="00AD0EA7" w:rsidRPr="00696A00">
        <w:t>engage</w:t>
      </w:r>
      <w:r w:rsidR="00AD0EA7">
        <w:t xml:space="preserve">ment </w:t>
      </w:r>
      <w:r w:rsidR="00AD0EA7" w:rsidRPr="00696A00">
        <w:t>in interagency work</w:t>
      </w:r>
      <w:r w:rsidR="00AD0EA7">
        <w:t>, building on collaboration initiated in 2016-2017, for example with the World Health Organization on cultural contexts of health</w:t>
      </w:r>
      <w:r w:rsidR="00AD0EA7" w:rsidRPr="00696A00">
        <w:t>.</w:t>
      </w:r>
      <w:r w:rsidR="00AD0EA7">
        <w:t xml:space="preserve"> </w:t>
      </w:r>
      <w:r w:rsidR="00CE7E04" w:rsidRPr="00CE7E04">
        <w:t>T</w:t>
      </w:r>
      <w:r w:rsidR="00AD0EA7">
        <w:t xml:space="preserve">he cooperation with </w:t>
      </w:r>
      <w:r w:rsidR="001023C3">
        <w:t>the World Intellectual Property Organization (</w:t>
      </w:r>
      <w:r w:rsidR="00AD0EA7">
        <w:t>WIPO</w:t>
      </w:r>
      <w:r w:rsidR="001023C3">
        <w:t>)</w:t>
      </w:r>
      <w:r w:rsidR="00FB4A71">
        <w:t xml:space="preserve"> will</w:t>
      </w:r>
      <w:r w:rsidR="00CE7E04">
        <w:t xml:space="preserve"> also</w:t>
      </w:r>
      <w:r w:rsidR="00AD0EA7">
        <w:t xml:space="preserve"> be pursued as requested by the Committee </w:t>
      </w:r>
      <w:r w:rsidR="00AD0EA7">
        <w:rPr>
          <w:rStyle w:val="hps"/>
        </w:rPr>
        <w:t>(</w:t>
      </w:r>
      <w:hyperlink r:id="rId18" w:history="1">
        <w:r w:rsidR="00D0091E" w:rsidRPr="00696A00">
          <w:rPr>
            <w:rStyle w:val="Hyperlink"/>
          </w:rPr>
          <w:t>Decision 8.COM 5.c.1</w:t>
        </w:r>
      </w:hyperlink>
      <w:r w:rsidR="00AD0EA7">
        <w:rPr>
          <w:rStyle w:val="Hyperlink"/>
        </w:rPr>
        <w:t>)</w:t>
      </w:r>
      <w:r w:rsidR="00AB58C5">
        <w:rPr>
          <w:rStyle w:val="Hyperlink"/>
        </w:rPr>
        <w:t>,</w:t>
      </w:r>
      <w:r w:rsidR="00D0091E" w:rsidRPr="00696A00">
        <w:rPr>
          <w:rStyle w:val="hps"/>
        </w:rPr>
        <w:t xml:space="preserve"> which called for strengthening </w:t>
      </w:r>
      <w:r w:rsidR="00D0091E" w:rsidRPr="00AB58C5">
        <w:rPr>
          <w:rStyle w:val="hps"/>
          <w:i/>
        </w:rPr>
        <w:t>‘UNESCO’s long-standing cooperation with WIPO over traditional knowledge and culture to ensure an ongoing exchange and learning between the two organizations and their Member States’</w:t>
      </w:r>
      <w:r w:rsidR="001023C3">
        <w:rPr>
          <w:rStyle w:val="hps"/>
        </w:rPr>
        <w:t xml:space="preserve">. This </w:t>
      </w:r>
      <w:proofErr w:type="gramStart"/>
      <w:r w:rsidR="001023C3">
        <w:rPr>
          <w:rStyle w:val="hps"/>
        </w:rPr>
        <w:t>will be achieved</w:t>
      </w:r>
      <w:proofErr w:type="gramEnd"/>
      <w:r w:rsidR="00D0091E" w:rsidRPr="00696A00">
        <w:rPr>
          <w:rStyle w:val="hps"/>
        </w:rPr>
        <w:t xml:space="preserve"> </w:t>
      </w:r>
      <w:r w:rsidR="00FB4A71">
        <w:rPr>
          <w:rStyle w:val="hps"/>
        </w:rPr>
        <w:t>through high</w:t>
      </w:r>
      <w:r w:rsidR="001023C3">
        <w:rPr>
          <w:rStyle w:val="hps"/>
        </w:rPr>
        <w:t>-</w:t>
      </w:r>
      <w:r w:rsidR="00FB4A71">
        <w:rPr>
          <w:rStyle w:val="hps"/>
        </w:rPr>
        <w:t xml:space="preserve">level </w:t>
      </w:r>
      <w:r w:rsidR="002623AC">
        <w:rPr>
          <w:rStyle w:val="hps"/>
        </w:rPr>
        <w:t xml:space="preserve">exchange </w:t>
      </w:r>
      <w:r w:rsidR="00FB4A71">
        <w:rPr>
          <w:rStyle w:val="hps"/>
        </w:rPr>
        <w:t xml:space="preserve">and </w:t>
      </w:r>
      <w:r w:rsidR="002623AC">
        <w:rPr>
          <w:rStyle w:val="hps"/>
        </w:rPr>
        <w:t xml:space="preserve">discussion on </w:t>
      </w:r>
      <w:r w:rsidR="00FB4A71">
        <w:rPr>
          <w:rStyle w:val="hps"/>
        </w:rPr>
        <w:t xml:space="preserve">possible </w:t>
      </w:r>
      <w:r w:rsidR="002623AC">
        <w:rPr>
          <w:rStyle w:val="hps"/>
        </w:rPr>
        <w:t xml:space="preserve">ways of </w:t>
      </w:r>
      <w:r w:rsidR="001023C3">
        <w:rPr>
          <w:rStyle w:val="hps"/>
        </w:rPr>
        <w:t xml:space="preserve">collaborating </w:t>
      </w:r>
      <w:r w:rsidR="002623AC">
        <w:rPr>
          <w:rStyle w:val="hps"/>
        </w:rPr>
        <w:t xml:space="preserve">as well as </w:t>
      </w:r>
      <w:r w:rsidR="001023C3">
        <w:rPr>
          <w:rStyle w:val="hps"/>
        </w:rPr>
        <w:t xml:space="preserve">through </w:t>
      </w:r>
      <w:r w:rsidR="00EF44FF">
        <w:rPr>
          <w:rStyle w:val="hps"/>
        </w:rPr>
        <w:t xml:space="preserve">the </w:t>
      </w:r>
      <w:r w:rsidR="00FB4A71">
        <w:rPr>
          <w:rStyle w:val="hps"/>
        </w:rPr>
        <w:t xml:space="preserve">participation </w:t>
      </w:r>
      <w:r w:rsidR="00EF44FF">
        <w:rPr>
          <w:rStyle w:val="hps"/>
        </w:rPr>
        <w:t xml:space="preserve">of the Secretariat </w:t>
      </w:r>
      <w:r w:rsidR="00870ACC" w:rsidRPr="00696A00">
        <w:t xml:space="preserve">in </w:t>
      </w:r>
      <w:r w:rsidR="00870ACC" w:rsidRPr="00696A00">
        <w:rPr>
          <w:rStyle w:val="hps"/>
        </w:rPr>
        <w:t xml:space="preserve">the periodic meetings of the WIPO Intergovernmental Committee on Intellectual Property and Genetic Resources, Traditional Knowledge and Folklore, to the extent </w:t>
      </w:r>
      <w:r w:rsidR="001023C3">
        <w:rPr>
          <w:rStyle w:val="hps"/>
        </w:rPr>
        <w:t>permitted by</w:t>
      </w:r>
      <w:r w:rsidR="001023C3" w:rsidRPr="00696A00">
        <w:rPr>
          <w:rStyle w:val="hps"/>
        </w:rPr>
        <w:t xml:space="preserve"> </w:t>
      </w:r>
      <w:r w:rsidR="00870ACC" w:rsidRPr="00696A00">
        <w:rPr>
          <w:rStyle w:val="hps"/>
        </w:rPr>
        <w:t xml:space="preserve">the </w:t>
      </w:r>
      <w:proofErr w:type="spellStart"/>
      <w:r w:rsidR="00EF44FF">
        <w:rPr>
          <w:rStyle w:val="hps"/>
        </w:rPr>
        <w:t>calendat</w:t>
      </w:r>
      <w:proofErr w:type="spellEnd"/>
      <w:r w:rsidR="00EF44FF">
        <w:rPr>
          <w:rStyle w:val="hps"/>
        </w:rPr>
        <w:t xml:space="preserve"> of the </w:t>
      </w:r>
      <w:r w:rsidR="00870ACC" w:rsidRPr="00696A00">
        <w:rPr>
          <w:rStyle w:val="hps"/>
        </w:rPr>
        <w:t xml:space="preserve">various statutory meetings. </w:t>
      </w:r>
    </w:p>
    <w:p w14:paraId="2AA3A8F7" w14:textId="3F73F748" w:rsidR="00C21A7E" w:rsidRPr="00696A00" w:rsidRDefault="00C21A7E">
      <w:pPr>
        <w:pStyle w:val="Heading2"/>
        <w:tabs>
          <w:tab w:val="left" w:pos="567"/>
        </w:tabs>
        <w:snapToGrid w:val="0"/>
        <w:spacing w:before="360" w:after="240"/>
        <w:ind w:left="1134"/>
        <w:jc w:val="both"/>
        <w:rPr>
          <w:rFonts w:ascii="Arial" w:hAnsi="Arial" w:cs="Arial"/>
          <w:bCs w:val="0"/>
          <w:i w:val="0"/>
          <w:iCs w:val="0"/>
          <w:snapToGrid w:val="0"/>
          <w:sz w:val="22"/>
          <w:szCs w:val="22"/>
          <w:lang w:val="en-GB" w:eastAsia="en-US"/>
        </w:rPr>
      </w:pPr>
      <w:r w:rsidRPr="00696A00">
        <w:rPr>
          <w:rFonts w:ascii="Arial" w:hAnsi="Arial" w:cs="Arial"/>
          <w:bCs w:val="0"/>
          <w:i w:val="0"/>
          <w:iCs w:val="0"/>
          <w:snapToGrid w:val="0"/>
          <w:sz w:val="22"/>
          <w:szCs w:val="22"/>
          <w:lang w:val="en-GB" w:eastAsia="en-US"/>
        </w:rPr>
        <w:lastRenderedPageBreak/>
        <w:t>Expected Result </w:t>
      </w:r>
      <w:r w:rsidR="001B75E7">
        <w:rPr>
          <w:rFonts w:ascii="Arial" w:hAnsi="Arial" w:cs="Arial"/>
          <w:bCs w:val="0"/>
          <w:i w:val="0"/>
          <w:iCs w:val="0"/>
          <w:snapToGrid w:val="0"/>
          <w:sz w:val="22"/>
          <w:szCs w:val="22"/>
          <w:lang w:val="en-GB" w:eastAsia="en-US"/>
        </w:rPr>
        <w:t>4</w:t>
      </w:r>
      <w:r w:rsidRPr="00696A00">
        <w:rPr>
          <w:rFonts w:ascii="Arial" w:hAnsi="Arial" w:cs="Arial"/>
          <w:bCs w:val="0"/>
          <w:i w:val="0"/>
          <w:iCs w:val="0"/>
          <w:snapToGrid w:val="0"/>
          <w:sz w:val="22"/>
          <w:szCs w:val="22"/>
          <w:lang w:val="en-GB" w:eastAsia="en-US"/>
        </w:rPr>
        <w:t xml:space="preserve">: Objectives of the Convention promoted through </w:t>
      </w:r>
      <w:r w:rsidR="001023C3">
        <w:rPr>
          <w:rFonts w:ascii="Arial" w:hAnsi="Arial" w:cs="Arial"/>
          <w:bCs w:val="0"/>
          <w:i w:val="0"/>
          <w:iCs w:val="0"/>
          <w:snapToGrid w:val="0"/>
          <w:sz w:val="22"/>
          <w:szCs w:val="22"/>
          <w:lang w:val="en-GB" w:eastAsia="en-US"/>
        </w:rPr>
        <w:t>awareness-</w:t>
      </w:r>
      <w:r w:rsidRPr="00696A00">
        <w:rPr>
          <w:rFonts w:ascii="Arial" w:hAnsi="Arial" w:cs="Arial"/>
          <w:bCs w:val="0"/>
          <w:i w:val="0"/>
          <w:iCs w:val="0"/>
          <w:snapToGrid w:val="0"/>
          <w:sz w:val="22"/>
          <w:szCs w:val="22"/>
          <w:lang w:val="en-GB" w:eastAsia="en-US"/>
        </w:rPr>
        <w:t>raising and outreach</w:t>
      </w:r>
    </w:p>
    <w:p w14:paraId="6D52E890" w14:textId="5EE25208" w:rsidR="00AB58C5" w:rsidRDefault="005779AF" w:rsidP="0054466D">
      <w:pPr>
        <w:pStyle w:val="5GAparabodytext"/>
      </w:pPr>
      <w:r w:rsidRPr="00793289">
        <w:t xml:space="preserve">Raising awareness of the importance of intangible cultural heritage </w:t>
      </w:r>
      <w:r w:rsidR="009B1665" w:rsidRPr="00793289">
        <w:t>and</w:t>
      </w:r>
      <w:r w:rsidRPr="00793289">
        <w:t xml:space="preserve"> ensuring mutual appreciation thereof is one of the purposes of the 2003 Convention. </w:t>
      </w:r>
      <w:r w:rsidR="00793289" w:rsidRPr="001956CB">
        <w:t xml:space="preserve">To this end, </w:t>
      </w:r>
      <w:r w:rsidR="00C21A7E" w:rsidRPr="00C643C7">
        <w:t xml:space="preserve">in </w:t>
      </w:r>
      <w:r w:rsidR="001B75E7">
        <w:t xml:space="preserve">accordance with the </w:t>
      </w:r>
      <w:r w:rsidR="00C21A7E" w:rsidRPr="00C643C7">
        <w:t>2006-2017</w:t>
      </w:r>
      <w:r w:rsidR="001B75E7">
        <w:t xml:space="preserve"> spending plan</w:t>
      </w:r>
      <w:r w:rsidR="00C21A7E">
        <w:t xml:space="preserve">, </w:t>
      </w:r>
      <w:r w:rsidRPr="00793289">
        <w:t xml:space="preserve">a </w:t>
      </w:r>
      <w:r w:rsidR="00793289" w:rsidRPr="001956CB">
        <w:t xml:space="preserve">communications and outreach </w:t>
      </w:r>
      <w:r w:rsidRPr="00793289">
        <w:t xml:space="preserve">strategy </w:t>
      </w:r>
      <w:proofErr w:type="gramStart"/>
      <w:r w:rsidR="00793289" w:rsidRPr="001956CB">
        <w:t>was designed</w:t>
      </w:r>
      <w:proofErr w:type="gramEnd"/>
      <w:r w:rsidR="00793289" w:rsidRPr="001956CB">
        <w:t xml:space="preserve"> with a view </w:t>
      </w:r>
      <w:r w:rsidR="0029512B" w:rsidRPr="00793289">
        <w:t>to promot</w:t>
      </w:r>
      <w:r w:rsidR="00030FFC" w:rsidRPr="00793289">
        <w:t>ing</w:t>
      </w:r>
      <w:r w:rsidR="0029512B" w:rsidRPr="00793289">
        <w:t xml:space="preserve"> the objectives of the Convention</w:t>
      </w:r>
      <w:r w:rsidR="00696A00" w:rsidRPr="00793289">
        <w:t xml:space="preserve"> </w:t>
      </w:r>
      <w:r w:rsidR="0029512B" w:rsidRPr="00793289">
        <w:t xml:space="preserve">and </w:t>
      </w:r>
      <w:r w:rsidR="009F320C" w:rsidRPr="00793289">
        <w:t>engag</w:t>
      </w:r>
      <w:r w:rsidR="00682CB8" w:rsidRPr="00793289">
        <w:t>ing</w:t>
      </w:r>
      <w:r w:rsidR="009F320C" w:rsidRPr="00793289">
        <w:t xml:space="preserve"> with</w:t>
      </w:r>
      <w:r w:rsidR="0029512B" w:rsidRPr="00793289">
        <w:t xml:space="preserve"> the wide range of constituencies concerned.</w:t>
      </w:r>
      <w:r w:rsidR="00793289" w:rsidRPr="001956CB">
        <w:t xml:space="preserve"> </w:t>
      </w:r>
      <w:r w:rsidR="00C21A7E">
        <w:t>Initial steps to implement the strategy shoul</w:t>
      </w:r>
      <w:r w:rsidR="001B75E7">
        <w:t xml:space="preserve">d be launched by the end of 2017, and it is therefore proposed </w:t>
      </w:r>
      <w:r w:rsidR="00E55EFE">
        <w:t xml:space="preserve">that </w:t>
      </w:r>
      <w:r w:rsidR="001B75E7">
        <w:t>activities under Expected Result 4 to be carrie</w:t>
      </w:r>
      <w:r w:rsidR="0085718E">
        <w:t>d</w:t>
      </w:r>
      <w:r w:rsidR="001B75E7">
        <w:t xml:space="preserve"> out in the first semester o</w:t>
      </w:r>
      <w:r w:rsidR="00E55EFE">
        <w:t>f</w:t>
      </w:r>
      <w:r w:rsidR="001B75E7">
        <w:t xml:space="preserve"> 2018 </w:t>
      </w:r>
      <w:r w:rsidR="00E55EFE">
        <w:t xml:space="preserve">focus </w:t>
      </w:r>
      <w:r w:rsidR="001B75E7">
        <w:t>on the continuation of this endeavor</w:t>
      </w:r>
      <w:r w:rsidR="00AB58C5">
        <w:t>.</w:t>
      </w:r>
    </w:p>
    <w:p w14:paraId="6395DEC0" w14:textId="3D035F42" w:rsidR="002810A7" w:rsidRPr="00793289" w:rsidRDefault="00AB58C5" w:rsidP="0054466D">
      <w:pPr>
        <w:pStyle w:val="5GAparabodytext"/>
      </w:pPr>
      <w:r w:rsidRPr="00AB58C5">
        <w:rPr>
          <w:b/>
        </w:rPr>
        <w:t xml:space="preserve">ER 4.1: </w:t>
      </w:r>
      <w:r w:rsidR="001E79B6">
        <w:rPr>
          <w:b/>
        </w:rPr>
        <w:t>I</w:t>
      </w:r>
      <w:r w:rsidRPr="00AB58C5">
        <w:rPr>
          <w:b/>
        </w:rPr>
        <w:t>mplementation of the outreach strategy initiated</w:t>
      </w:r>
      <w:r w:rsidR="00660D34">
        <w:t>.</w:t>
      </w:r>
      <w:r w:rsidR="00793289" w:rsidRPr="001956CB">
        <w:t xml:space="preserve"> </w:t>
      </w:r>
      <w:r w:rsidR="00660D34">
        <w:t>T</w:t>
      </w:r>
      <w:r w:rsidR="00793289" w:rsidRPr="001956CB">
        <w:t xml:space="preserve">he Secretariat will pursue </w:t>
      </w:r>
      <w:r w:rsidR="00C21A7E">
        <w:t xml:space="preserve">the </w:t>
      </w:r>
      <w:r w:rsidR="00201D83">
        <w:t xml:space="preserve">initial </w:t>
      </w:r>
      <w:r w:rsidR="00BD3376">
        <w:t>implement</w:t>
      </w:r>
      <w:r w:rsidR="00C21A7E">
        <w:t>ation of</w:t>
      </w:r>
      <w:r w:rsidR="00BD3376">
        <w:t xml:space="preserve"> the strategy </w:t>
      </w:r>
      <w:r w:rsidR="00793289">
        <w:t xml:space="preserve">through the </w:t>
      </w:r>
      <w:r w:rsidR="00E55EFE">
        <w:t xml:space="preserve">preparation </w:t>
      </w:r>
      <w:r w:rsidR="00793289">
        <w:t xml:space="preserve">of </w:t>
      </w:r>
      <w:r w:rsidR="00C21A7E">
        <w:t>additional</w:t>
      </w:r>
      <w:r w:rsidR="00793289">
        <w:t xml:space="preserve"> o</w:t>
      </w:r>
      <w:r w:rsidR="00793289" w:rsidRPr="00696A00">
        <w:t>utreach materials</w:t>
      </w:r>
      <w:r w:rsidR="00793289">
        <w:t xml:space="preserve"> as defined in the strategy.</w:t>
      </w:r>
    </w:p>
    <w:p w14:paraId="078F5DDF" w14:textId="77777777" w:rsidR="00C852FB" w:rsidRPr="00696A00" w:rsidRDefault="00C852FB">
      <w:pPr>
        <w:pStyle w:val="Heading4"/>
      </w:pPr>
      <w:r w:rsidRPr="00696A00">
        <w:t>Other provisions and draft decision</w:t>
      </w:r>
    </w:p>
    <w:p w14:paraId="2210D9A1" w14:textId="77777777" w:rsidR="00C852FB" w:rsidRPr="00696A00" w:rsidRDefault="00C852FB" w:rsidP="0054466D">
      <w:pPr>
        <w:pStyle w:val="5GAparabodytext"/>
        <w:rPr>
          <w:rStyle w:val="hps"/>
          <w:rFonts w:cs="Times New Roman"/>
          <w:b/>
          <w:bCs w:val="0"/>
          <w:iCs w:val="0"/>
          <w:caps/>
          <w:snapToGrid w:val="0"/>
          <w:szCs w:val="24"/>
          <w:lang w:val="en-GB" w:eastAsia="en-US"/>
        </w:rPr>
      </w:pPr>
      <w:proofErr w:type="gramStart"/>
      <w:r w:rsidRPr="00696A00">
        <w:rPr>
          <w:rStyle w:val="hps"/>
        </w:rPr>
        <w:t>The Bureau is reminded that to avoid interruptions or delays in execution, the Committee decided (</w:t>
      </w:r>
      <w:hyperlink r:id="rId19" w:history="1">
        <w:r w:rsidRPr="002068C3">
          <w:rPr>
            <w:rStyle w:val="Hyperlink"/>
          </w:rPr>
          <w:t>Decision 10.COM 8</w:t>
        </w:r>
      </w:hyperlink>
      <w:r w:rsidRPr="00696A00">
        <w:rPr>
          <w:rStyle w:val="hps"/>
        </w:rPr>
        <w:t xml:space="preserve">) to authorize the Director-General to make transfers between </w:t>
      </w:r>
      <w:r w:rsidR="005027B0">
        <w:rPr>
          <w:rStyle w:val="hps"/>
        </w:rPr>
        <w:t xml:space="preserve">expected results </w:t>
      </w:r>
      <w:r w:rsidRPr="00696A00">
        <w:t xml:space="preserve">included within the specific proposals approved by the Bureau up to a cumulative amount equivalent to 2% of the initial total allocation proposed to the General Assembly for this purpose, which is equivalent to </w:t>
      </w:r>
      <w:r w:rsidRPr="00713C5F">
        <w:t>US$</w:t>
      </w:r>
      <w:r w:rsidR="006E5326" w:rsidRPr="00713C5F">
        <w:t>7,953.74</w:t>
      </w:r>
      <w:r w:rsidRPr="00713C5F">
        <w:t>.</w:t>
      </w:r>
      <w:proofErr w:type="gramEnd"/>
      <w:r w:rsidRPr="00713C5F">
        <w:rPr>
          <w:rStyle w:val="hps"/>
        </w:rPr>
        <w:t xml:space="preserve"> Th</w:t>
      </w:r>
      <w:r w:rsidRPr="00696A00">
        <w:rPr>
          <w:rStyle w:val="hps"/>
        </w:rPr>
        <w:t>e Secretariat would then inform the Bureau in writing, at the session following such action, of the details and reasons for such transfers. As decided by the Committee, any transfers larger than that amount would require the Bureau’s prior approval of a revised plan of expenditure.</w:t>
      </w:r>
    </w:p>
    <w:p w14:paraId="7B79B001" w14:textId="77777777" w:rsidR="00D95C4C" w:rsidRPr="00696A00" w:rsidRDefault="000B1C8F" w:rsidP="0054466D">
      <w:pPr>
        <w:pStyle w:val="5GAparabodytext"/>
      </w:pPr>
      <w:r w:rsidRPr="00696A00">
        <w:t xml:space="preserve">The </w:t>
      </w:r>
      <w:r w:rsidR="00C852FB" w:rsidRPr="00696A00">
        <w:rPr>
          <w:rStyle w:val="hps"/>
        </w:rPr>
        <w:t>Bureau</w:t>
      </w:r>
      <w:r w:rsidRPr="00696A00">
        <w:t xml:space="preserve"> may wish to adopt the following decision</w:t>
      </w:r>
      <w:r w:rsidR="00D95C4C" w:rsidRPr="00696A00">
        <w:t>:</w:t>
      </w:r>
    </w:p>
    <w:p w14:paraId="06621140" w14:textId="456A2996" w:rsidR="00D95C4C" w:rsidRPr="00696A00" w:rsidRDefault="004A34A0">
      <w:pPr>
        <w:pStyle w:val="COMTitleDecision"/>
        <w:rPr>
          <w:rFonts w:eastAsia="SimSun"/>
        </w:rPr>
      </w:pPr>
      <w:r w:rsidRPr="00696A00">
        <w:t xml:space="preserve">DRAFT </w:t>
      </w:r>
      <w:r w:rsidR="00CB0542" w:rsidRPr="00696A00">
        <w:t xml:space="preserve">DECISION </w:t>
      </w:r>
      <w:r w:rsidR="00C852FB" w:rsidRPr="00696A00">
        <w:t>1</w:t>
      </w:r>
      <w:r w:rsidR="008024FE">
        <w:t>2</w:t>
      </w:r>
      <w:r w:rsidR="00C852FB" w:rsidRPr="00696A00">
        <w:t>.COM 2.BUR </w:t>
      </w:r>
      <w:r w:rsidR="00313B8D">
        <w:t>3</w:t>
      </w:r>
    </w:p>
    <w:p w14:paraId="7B3C7387" w14:textId="77777777" w:rsidR="00D95C4C" w:rsidRPr="00696A00" w:rsidRDefault="00285BB4">
      <w:pPr>
        <w:pStyle w:val="COMPreambulaDecisions"/>
        <w:rPr>
          <w:rFonts w:eastAsia="SimSun"/>
        </w:rPr>
      </w:pPr>
      <w:r w:rsidRPr="00696A00">
        <w:t xml:space="preserve">The </w:t>
      </w:r>
      <w:r w:rsidR="0027170E">
        <w:t>Bureau</w:t>
      </w:r>
      <w:r w:rsidRPr="00696A00">
        <w:t>,</w:t>
      </w:r>
    </w:p>
    <w:p w14:paraId="5928F37C" w14:textId="2FC683DE" w:rsidR="0057439C" w:rsidRPr="00696A00" w:rsidRDefault="00D95C4C">
      <w:pPr>
        <w:pStyle w:val="COMParaDecision"/>
      </w:pPr>
      <w:r w:rsidRPr="00696A00">
        <w:t>Having examined</w:t>
      </w:r>
      <w:r w:rsidRPr="00696A00">
        <w:rPr>
          <w:u w:val="none"/>
        </w:rPr>
        <w:t xml:space="preserve"> doc</w:t>
      </w:r>
      <w:r w:rsidR="00CB0542" w:rsidRPr="00696A00">
        <w:rPr>
          <w:u w:val="none"/>
        </w:rPr>
        <w:t>ument</w:t>
      </w:r>
      <w:r w:rsidR="00005E68">
        <w:rPr>
          <w:u w:val="none"/>
        </w:rPr>
        <w:t>s</w:t>
      </w:r>
      <w:r w:rsidR="00CB0542" w:rsidRPr="00696A00">
        <w:rPr>
          <w:u w:val="none"/>
        </w:rPr>
        <w:t xml:space="preserve"> </w:t>
      </w:r>
      <w:r w:rsidR="00005E68" w:rsidRPr="00005E68">
        <w:rPr>
          <w:u w:val="none"/>
        </w:rPr>
        <w:t>ITH/1</w:t>
      </w:r>
      <w:r w:rsidR="008024FE">
        <w:rPr>
          <w:u w:val="none"/>
        </w:rPr>
        <w:t>7</w:t>
      </w:r>
      <w:r w:rsidR="00005E68" w:rsidRPr="00005E68">
        <w:rPr>
          <w:u w:val="none"/>
        </w:rPr>
        <w:t>/1</w:t>
      </w:r>
      <w:r w:rsidR="008024FE">
        <w:rPr>
          <w:u w:val="none"/>
        </w:rPr>
        <w:t>2</w:t>
      </w:r>
      <w:r w:rsidR="00005E68" w:rsidRPr="00005E68">
        <w:rPr>
          <w:u w:val="none"/>
        </w:rPr>
        <w:t>.COM</w:t>
      </w:r>
      <w:r w:rsidR="00BB554A">
        <w:rPr>
          <w:u w:val="none"/>
        </w:rPr>
        <w:t> </w:t>
      </w:r>
      <w:r w:rsidR="00005E68" w:rsidRPr="00005E68">
        <w:rPr>
          <w:u w:val="none"/>
        </w:rPr>
        <w:t>2.BUR/</w:t>
      </w:r>
      <w:r w:rsidR="00CC3C73">
        <w:rPr>
          <w:u w:val="none"/>
        </w:rPr>
        <w:t>3</w:t>
      </w:r>
      <w:r w:rsidR="00005E68">
        <w:rPr>
          <w:u w:val="none"/>
        </w:rPr>
        <w:t xml:space="preserve"> and its annex and document </w:t>
      </w:r>
      <w:r w:rsidR="00005E68" w:rsidRPr="00005E68">
        <w:rPr>
          <w:u w:val="none"/>
        </w:rPr>
        <w:t>ITH/1</w:t>
      </w:r>
      <w:r w:rsidR="008024FE">
        <w:rPr>
          <w:u w:val="none"/>
        </w:rPr>
        <w:t>7</w:t>
      </w:r>
      <w:r w:rsidR="00005E68" w:rsidRPr="00005E68">
        <w:rPr>
          <w:u w:val="none"/>
        </w:rPr>
        <w:t>/1</w:t>
      </w:r>
      <w:r w:rsidR="008024FE">
        <w:rPr>
          <w:u w:val="none"/>
        </w:rPr>
        <w:t>2</w:t>
      </w:r>
      <w:r w:rsidR="00005E68" w:rsidRPr="00005E68">
        <w:rPr>
          <w:u w:val="none"/>
        </w:rPr>
        <w:t>.COM 2.BUR/INF.</w:t>
      </w:r>
      <w:r w:rsidR="00CC3C73">
        <w:rPr>
          <w:u w:val="none"/>
        </w:rPr>
        <w:t>3</w:t>
      </w:r>
      <w:r w:rsidR="00005E68">
        <w:rPr>
          <w:u w:val="none"/>
        </w:rPr>
        <w:t xml:space="preserve">, </w:t>
      </w:r>
    </w:p>
    <w:p w14:paraId="1311B630" w14:textId="3AC9FA27" w:rsidR="0057439C" w:rsidRPr="00005E68" w:rsidRDefault="0057439C">
      <w:pPr>
        <w:pStyle w:val="COMParaDecision"/>
        <w:jc w:val="left"/>
      </w:pPr>
      <w:r w:rsidRPr="00696A00">
        <w:t>Recalling</w:t>
      </w:r>
      <w:r w:rsidR="005B7A35" w:rsidRPr="00696A00">
        <w:rPr>
          <w:u w:val="none"/>
        </w:rPr>
        <w:t xml:space="preserve"> </w:t>
      </w:r>
      <w:r w:rsidR="00FD5A47">
        <w:rPr>
          <w:u w:val="none"/>
        </w:rPr>
        <w:t xml:space="preserve">Resolution 6.GA 9, </w:t>
      </w:r>
      <w:r w:rsidR="00005E68">
        <w:rPr>
          <w:u w:val="none"/>
        </w:rPr>
        <w:t>Decision 10.COM </w:t>
      </w:r>
      <w:r w:rsidR="003A19C0">
        <w:rPr>
          <w:u w:val="none"/>
        </w:rPr>
        <w:t>8</w:t>
      </w:r>
      <w:r w:rsidR="00FD5A47">
        <w:rPr>
          <w:u w:val="none"/>
        </w:rPr>
        <w:t xml:space="preserve"> and Decision </w:t>
      </w:r>
      <w:r w:rsidR="00FD5A47" w:rsidRPr="00FD5A47">
        <w:rPr>
          <w:u w:val="none"/>
        </w:rPr>
        <w:t>11.COM 2.BUR 1</w:t>
      </w:r>
      <w:r w:rsidRPr="00696A00">
        <w:rPr>
          <w:u w:val="none"/>
        </w:rPr>
        <w:t>,</w:t>
      </w:r>
    </w:p>
    <w:p w14:paraId="2987169F" w14:textId="4B5ED701" w:rsidR="00005E68" w:rsidRPr="003A19C0" w:rsidRDefault="003A19C0">
      <w:pPr>
        <w:pStyle w:val="COMParaDecision"/>
        <w:rPr>
          <w:u w:val="none"/>
        </w:rPr>
      </w:pPr>
      <w:r w:rsidRPr="003A19C0">
        <w:t>Approves</w:t>
      </w:r>
      <w:r w:rsidRPr="003A19C0">
        <w:rPr>
          <w:u w:val="none"/>
        </w:rPr>
        <w:t xml:space="preserve"> the Proposal for the utilization of the funds for ‘</w:t>
      </w:r>
      <w:r w:rsidR="00E55EFE">
        <w:rPr>
          <w:u w:val="none"/>
        </w:rPr>
        <w:t>O</w:t>
      </w:r>
      <w:r w:rsidR="00E55EFE" w:rsidRPr="003A19C0">
        <w:rPr>
          <w:u w:val="none"/>
        </w:rPr>
        <w:t xml:space="preserve">ther </w:t>
      </w:r>
      <w:r w:rsidRPr="003A19C0">
        <w:rPr>
          <w:u w:val="none"/>
        </w:rPr>
        <w:t>functions of the Committee’ as annexed to this Decision;</w:t>
      </w:r>
    </w:p>
    <w:p w14:paraId="3E7B9AAB" w14:textId="2C40886D" w:rsidR="003A19C0" w:rsidRPr="003A19C0" w:rsidRDefault="003A19C0">
      <w:pPr>
        <w:pStyle w:val="COMParaDecision"/>
        <w:rPr>
          <w:u w:val="none"/>
        </w:rPr>
      </w:pPr>
      <w:r w:rsidRPr="003A19C0">
        <w:t>Requests</w:t>
      </w:r>
      <w:r w:rsidRPr="003A19C0">
        <w:rPr>
          <w:u w:val="none"/>
        </w:rPr>
        <w:t xml:space="preserve"> </w:t>
      </w:r>
      <w:r w:rsidR="00E55EFE">
        <w:rPr>
          <w:u w:val="none"/>
        </w:rPr>
        <w:t xml:space="preserve">that </w:t>
      </w:r>
      <w:r w:rsidRPr="003A19C0">
        <w:rPr>
          <w:u w:val="none"/>
        </w:rPr>
        <w:t>the Secretariat report</w:t>
      </w:r>
      <w:r w:rsidR="00313B8D">
        <w:rPr>
          <w:u w:val="none"/>
        </w:rPr>
        <w:t>s</w:t>
      </w:r>
      <w:r w:rsidRPr="003A19C0">
        <w:rPr>
          <w:u w:val="none"/>
        </w:rPr>
        <w:t xml:space="preserve"> on the progress of implementation and the way the funds are spent;</w:t>
      </w:r>
    </w:p>
    <w:p w14:paraId="26E961D9" w14:textId="77777777" w:rsidR="003A19C0" w:rsidRPr="00FD5A47" w:rsidRDefault="003A19C0">
      <w:pPr>
        <w:pStyle w:val="COMParaDecision"/>
        <w:rPr>
          <w:u w:val="none"/>
        </w:rPr>
      </w:pPr>
      <w:r w:rsidRPr="00FD5A47">
        <w:t>Invites</w:t>
      </w:r>
      <w:r w:rsidRPr="00FD5A47">
        <w:rPr>
          <w:u w:val="none"/>
        </w:rPr>
        <w:t xml:space="preserve"> the Chairperson of the Committee to bring this decision to the attention of the Committee at its </w:t>
      </w:r>
      <w:proofErr w:type="spellStart"/>
      <w:r w:rsidR="008024FE" w:rsidRPr="00FD5A47">
        <w:rPr>
          <w:u w:val="none"/>
        </w:rPr>
        <w:t>twelth</w:t>
      </w:r>
      <w:proofErr w:type="spellEnd"/>
      <w:r w:rsidRPr="00FD5A47">
        <w:rPr>
          <w:u w:val="none"/>
        </w:rPr>
        <w:t xml:space="preserve"> session.</w:t>
      </w:r>
    </w:p>
    <w:p w14:paraId="625B7F7F" w14:textId="77777777" w:rsidR="00D95C4C" w:rsidRPr="00696A00" w:rsidRDefault="00D95C4C" w:rsidP="00AC202D">
      <w:pPr>
        <w:pStyle w:val="COMParaDecision"/>
        <w:numPr>
          <w:ilvl w:val="0"/>
          <w:numId w:val="0"/>
        </w:numPr>
        <w:ind w:left="1134"/>
        <w:jc w:val="left"/>
      </w:pPr>
    </w:p>
    <w:p w14:paraId="6B3717C8" w14:textId="77777777" w:rsidR="00C852FB" w:rsidRPr="00696A00" w:rsidRDefault="00C852FB" w:rsidP="00AC202D">
      <w:pPr>
        <w:pStyle w:val="COMParaDecision"/>
        <w:numPr>
          <w:ilvl w:val="0"/>
          <w:numId w:val="0"/>
        </w:numPr>
        <w:ind w:left="1134"/>
        <w:jc w:val="left"/>
        <w:sectPr w:rsidR="00C852FB" w:rsidRPr="00696A00" w:rsidSect="00655736">
          <w:headerReference w:type="even" r:id="rId20"/>
          <w:headerReference w:type="default" r:id="rId21"/>
          <w:headerReference w:type="first" r:id="rId22"/>
          <w:pgSz w:w="11906" w:h="16838" w:code="9"/>
          <w:pgMar w:top="1418" w:right="1134" w:bottom="1134" w:left="1134" w:header="397" w:footer="284" w:gutter="0"/>
          <w:cols w:space="708"/>
          <w:titlePg/>
          <w:docGrid w:linePitch="360"/>
        </w:sectPr>
      </w:pPr>
    </w:p>
    <w:p w14:paraId="71E73DA9" w14:textId="77777777" w:rsidR="008A6D2F" w:rsidRPr="00696A00" w:rsidRDefault="008A6D2F">
      <w:pPr>
        <w:pStyle w:val="Marge"/>
        <w:pageBreakBefore/>
        <w:tabs>
          <w:tab w:val="clear" w:pos="567"/>
        </w:tabs>
        <w:spacing w:before="120" w:after="120"/>
        <w:jc w:val="center"/>
        <w:rPr>
          <w:rFonts w:cs="Arial"/>
          <w:b/>
          <w:bCs/>
          <w:szCs w:val="22"/>
          <w:lang w:val="en-GB"/>
        </w:rPr>
      </w:pPr>
      <w:r w:rsidRPr="00696A00">
        <w:rPr>
          <w:rFonts w:cs="Arial"/>
          <w:b/>
          <w:bCs/>
          <w:szCs w:val="22"/>
          <w:lang w:val="en-GB"/>
        </w:rPr>
        <w:lastRenderedPageBreak/>
        <w:t>ANNEX</w:t>
      </w:r>
    </w:p>
    <w:p w14:paraId="4F3578B3" w14:textId="55E7F443" w:rsidR="008A6D2F" w:rsidRPr="00696A00" w:rsidRDefault="008A6D2F">
      <w:pPr>
        <w:pStyle w:val="Marge"/>
        <w:tabs>
          <w:tab w:val="clear" w:pos="567"/>
        </w:tabs>
        <w:spacing w:before="120" w:after="120"/>
        <w:jc w:val="center"/>
        <w:rPr>
          <w:rFonts w:cs="Arial"/>
          <w:b/>
          <w:bCs/>
          <w:szCs w:val="22"/>
          <w:lang w:val="en-GB"/>
        </w:rPr>
      </w:pPr>
      <w:r w:rsidRPr="00696A00">
        <w:rPr>
          <w:rFonts w:cs="Arial"/>
          <w:b/>
          <w:bCs/>
          <w:szCs w:val="22"/>
          <w:lang w:val="en-GB"/>
        </w:rPr>
        <w:t>Proposal for the utilization of the funds for ‘</w:t>
      </w:r>
      <w:r w:rsidR="00E55EFE">
        <w:rPr>
          <w:rFonts w:cs="Arial"/>
          <w:b/>
          <w:bCs/>
          <w:szCs w:val="22"/>
          <w:lang w:val="en-GB"/>
        </w:rPr>
        <w:t>O</w:t>
      </w:r>
      <w:r w:rsidR="00E55EFE" w:rsidRPr="00696A00">
        <w:rPr>
          <w:rFonts w:cs="Arial"/>
          <w:b/>
          <w:bCs/>
          <w:szCs w:val="22"/>
          <w:lang w:val="en-GB"/>
        </w:rPr>
        <w:t xml:space="preserve">ther </w:t>
      </w:r>
      <w:r w:rsidRPr="00696A00">
        <w:rPr>
          <w:rFonts w:cs="Arial"/>
          <w:b/>
          <w:bCs/>
          <w:szCs w:val="22"/>
          <w:lang w:val="en-GB"/>
        </w:rPr>
        <w:t>functions of the Committee’</w:t>
      </w:r>
      <w:r>
        <w:rPr>
          <w:rFonts w:cs="Arial"/>
          <w:b/>
          <w:bCs/>
          <w:szCs w:val="22"/>
          <w:lang w:val="en-GB"/>
        </w:rPr>
        <w:br/>
        <w:t>for the period</w:t>
      </w:r>
      <w:r w:rsidRPr="00696A00">
        <w:rPr>
          <w:rFonts w:cs="Arial"/>
          <w:b/>
          <w:bCs/>
          <w:szCs w:val="22"/>
          <w:lang w:val="en-GB"/>
        </w:rPr>
        <w:t xml:space="preserve"> 1 January</w:t>
      </w:r>
      <w:r>
        <w:rPr>
          <w:rFonts w:cs="Arial"/>
          <w:b/>
          <w:bCs/>
          <w:szCs w:val="22"/>
          <w:lang w:val="en-GB"/>
        </w:rPr>
        <w:t> </w:t>
      </w:r>
      <w:r w:rsidRPr="00696A00">
        <w:rPr>
          <w:rFonts w:cs="Arial"/>
          <w:b/>
          <w:bCs/>
          <w:szCs w:val="22"/>
          <w:lang w:val="en-GB"/>
        </w:rPr>
        <w:t>201</w:t>
      </w:r>
      <w:r>
        <w:rPr>
          <w:rFonts w:cs="Arial"/>
          <w:b/>
          <w:bCs/>
          <w:szCs w:val="22"/>
          <w:lang w:val="en-GB"/>
        </w:rPr>
        <w:t>8</w:t>
      </w:r>
      <w:r w:rsidRPr="00696A00">
        <w:rPr>
          <w:rFonts w:cs="Arial"/>
          <w:b/>
          <w:bCs/>
          <w:szCs w:val="22"/>
          <w:lang w:val="en-GB"/>
        </w:rPr>
        <w:t xml:space="preserve"> to 3</w:t>
      </w:r>
      <w:r>
        <w:rPr>
          <w:rFonts w:cs="Arial"/>
          <w:b/>
          <w:bCs/>
          <w:szCs w:val="22"/>
          <w:lang w:val="en-GB"/>
        </w:rPr>
        <w:t>0 June </w:t>
      </w:r>
      <w:r w:rsidRPr="00696A00">
        <w:rPr>
          <w:rFonts w:cs="Arial"/>
          <w:b/>
          <w:bCs/>
          <w:szCs w:val="22"/>
          <w:lang w:val="en-GB"/>
        </w:rPr>
        <w:t>201</w:t>
      </w:r>
      <w:r>
        <w:rPr>
          <w:rFonts w:cs="Arial"/>
          <w:b/>
          <w:bCs/>
          <w:szCs w:val="22"/>
          <w:lang w:val="en-GB"/>
        </w:rPr>
        <w:t>8</w:t>
      </w:r>
    </w:p>
    <w:p w14:paraId="5164520E" w14:textId="0202967C" w:rsidR="008A6D2F" w:rsidRPr="00696A00" w:rsidRDefault="008A6D2F">
      <w:pPr>
        <w:pStyle w:val="Marge"/>
        <w:spacing w:before="360" w:after="360"/>
        <w:rPr>
          <w:rFonts w:cs="Arial"/>
          <w:szCs w:val="22"/>
          <w:lang w:val="en-GB"/>
        </w:rPr>
      </w:pPr>
      <w:r w:rsidRPr="00696A00">
        <w:rPr>
          <w:rFonts w:cs="Arial"/>
          <w:szCs w:val="22"/>
          <w:lang w:val="en-GB"/>
        </w:rPr>
        <w:t xml:space="preserve">Funds </w:t>
      </w:r>
      <w:proofErr w:type="gramStart"/>
      <w:r w:rsidRPr="00696A00">
        <w:rPr>
          <w:rFonts w:cs="Arial"/>
          <w:szCs w:val="22"/>
          <w:lang w:val="en-GB"/>
        </w:rPr>
        <w:t>shall be used</w:t>
      </w:r>
      <w:proofErr w:type="gramEnd"/>
      <w:r w:rsidRPr="00696A00">
        <w:rPr>
          <w:rFonts w:cs="Arial"/>
          <w:szCs w:val="22"/>
          <w:lang w:val="en-GB"/>
        </w:rPr>
        <w:t xml:space="preserve"> in conformity with the Financial Regulations of the Special Account for the Fund for the Safeguarding of the Intangible Cultural Heritage and the Financial Regulations of UNESCO to cover all costs in line with full budgeting principles to achieve the project’s objectives. These costs </w:t>
      </w:r>
      <w:proofErr w:type="gramStart"/>
      <w:r w:rsidRPr="00696A00">
        <w:rPr>
          <w:rFonts w:cs="Arial"/>
          <w:szCs w:val="22"/>
          <w:lang w:val="en-GB"/>
        </w:rPr>
        <w:t>include</w:t>
      </w:r>
      <w:r>
        <w:rPr>
          <w:rFonts w:cs="Arial"/>
          <w:szCs w:val="22"/>
          <w:lang w:val="en-GB"/>
        </w:rPr>
        <w:t>:</w:t>
      </w:r>
      <w:proofErr w:type="gramEnd"/>
      <w:r w:rsidRPr="00696A00">
        <w:rPr>
          <w:rFonts w:cs="Arial"/>
          <w:szCs w:val="22"/>
          <w:lang w:val="en-GB"/>
        </w:rPr>
        <w:t xml:space="preserve"> training, seminars and meetings; </w:t>
      </w:r>
      <w:r w:rsidR="00E55EFE">
        <w:rPr>
          <w:rFonts w:cs="Arial"/>
          <w:szCs w:val="22"/>
          <w:lang w:val="en-GB"/>
        </w:rPr>
        <w:t xml:space="preserve">the </w:t>
      </w:r>
      <w:r w:rsidRPr="00696A00">
        <w:rPr>
          <w:rFonts w:cs="Arial"/>
          <w:szCs w:val="22"/>
          <w:lang w:val="en-GB"/>
        </w:rPr>
        <w:t>preparation of technical reports; monitoring and evaluation; subcontracts; staff; travel; equipment</w:t>
      </w:r>
      <w:r>
        <w:rPr>
          <w:rFonts w:cs="Arial"/>
          <w:szCs w:val="22"/>
          <w:lang w:val="en-GB"/>
        </w:rPr>
        <w:t>;</w:t>
      </w:r>
      <w:r w:rsidRPr="00696A00">
        <w:rPr>
          <w:rFonts w:cs="Arial"/>
          <w:szCs w:val="22"/>
          <w:lang w:val="en-GB"/>
        </w:rPr>
        <w:t xml:space="preserve"> and any other item necessary to implement the project’s activities.</w:t>
      </w:r>
    </w:p>
    <w:tbl>
      <w:tblPr>
        <w:tblStyle w:val="TableGrid"/>
        <w:tblW w:w="5000" w:type="pct"/>
        <w:tblLayout w:type="fixed"/>
        <w:tblLook w:val="04A0" w:firstRow="1" w:lastRow="0" w:firstColumn="1" w:lastColumn="0" w:noHBand="0" w:noVBand="1"/>
      </w:tblPr>
      <w:tblGrid>
        <w:gridCol w:w="2263"/>
        <w:gridCol w:w="7365"/>
      </w:tblGrid>
      <w:tr w:rsidR="008A6D2F" w:rsidRPr="00696A00" w14:paraId="326127A0" w14:textId="77777777" w:rsidTr="00F82A28">
        <w:trPr>
          <w:cantSplit/>
        </w:trPr>
        <w:tc>
          <w:tcPr>
            <w:tcW w:w="1175" w:type="pct"/>
            <w:shd w:val="clear" w:color="auto" w:fill="F2F2F2" w:themeFill="background1" w:themeFillShade="F2"/>
            <w:vAlign w:val="center"/>
          </w:tcPr>
          <w:p w14:paraId="10ACB390" w14:textId="77777777" w:rsidR="008A6D2F" w:rsidRPr="00696A00" w:rsidRDefault="008A6D2F">
            <w:pPr>
              <w:keepNext/>
              <w:spacing w:before="120" w:after="120"/>
              <w:rPr>
                <w:rFonts w:ascii="Arial" w:hAnsi="Arial" w:cs="Arial"/>
                <w:b/>
                <w:bCs/>
                <w:sz w:val="22"/>
                <w:szCs w:val="22"/>
                <w:lang w:val="en-GB"/>
              </w:rPr>
            </w:pPr>
          </w:p>
        </w:tc>
        <w:tc>
          <w:tcPr>
            <w:tcW w:w="3825" w:type="pct"/>
            <w:shd w:val="clear" w:color="auto" w:fill="F2F2F2" w:themeFill="background1" w:themeFillShade="F2"/>
            <w:vAlign w:val="center"/>
          </w:tcPr>
          <w:p w14:paraId="4C7151EF" w14:textId="77777777" w:rsidR="008A6D2F" w:rsidRPr="00696A00" w:rsidRDefault="008A6D2F">
            <w:pPr>
              <w:keepNext/>
              <w:spacing w:before="120" w:after="120"/>
              <w:rPr>
                <w:rFonts w:ascii="Arial" w:hAnsi="Arial" w:cs="Arial"/>
                <w:b/>
                <w:bCs/>
                <w:sz w:val="22"/>
                <w:szCs w:val="22"/>
                <w:lang w:val="en-GB"/>
              </w:rPr>
            </w:pPr>
            <w:r w:rsidRPr="00696A00">
              <w:rPr>
                <w:rFonts w:ascii="Arial" w:hAnsi="Arial" w:cs="Arial"/>
                <w:b/>
                <w:bCs/>
                <w:sz w:val="22"/>
                <w:szCs w:val="22"/>
                <w:lang w:val="en-GB"/>
              </w:rPr>
              <w:t>Total budgetary allocation:</w:t>
            </w:r>
            <w:r w:rsidRPr="00696A00">
              <w:rPr>
                <w:rFonts w:ascii="Arial" w:hAnsi="Arial" w:cs="Arial"/>
                <w:b/>
                <w:bCs/>
                <w:sz w:val="22"/>
                <w:szCs w:val="22"/>
                <w:lang w:val="en-GB"/>
              </w:rPr>
              <w:br/>
              <w:t>US$</w:t>
            </w:r>
            <w:r w:rsidRPr="008024FE">
              <w:rPr>
                <w:rFonts w:ascii="Arial" w:hAnsi="Arial" w:cs="Arial"/>
                <w:b/>
                <w:bCs/>
                <w:sz w:val="22"/>
                <w:szCs w:val="22"/>
                <w:lang w:val="en-GB"/>
              </w:rPr>
              <w:t>397,687</w:t>
            </w:r>
          </w:p>
        </w:tc>
      </w:tr>
    </w:tbl>
    <w:p w14:paraId="5439EAE2" w14:textId="77777777" w:rsidR="008A6D2F" w:rsidRPr="00696A00" w:rsidRDefault="008A6D2F">
      <w:pPr>
        <w:pStyle w:val="Marge"/>
        <w:spacing w:before="120" w:after="120"/>
        <w:rPr>
          <w:rFonts w:cs="Arial"/>
          <w:b/>
          <w:bCs/>
          <w:szCs w:val="22"/>
          <w:lang w:val="en-GB"/>
        </w:rPr>
      </w:pPr>
    </w:p>
    <w:tbl>
      <w:tblPr>
        <w:tblStyle w:val="TableGrid"/>
        <w:tblW w:w="5002" w:type="pct"/>
        <w:tblLook w:val="04A0" w:firstRow="1" w:lastRow="0" w:firstColumn="1" w:lastColumn="0" w:noHBand="0" w:noVBand="1"/>
      </w:tblPr>
      <w:tblGrid>
        <w:gridCol w:w="730"/>
        <w:gridCol w:w="1558"/>
        <w:gridCol w:w="2888"/>
        <w:gridCol w:w="4456"/>
      </w:tblGrid>
      <w:tr w:rsidR="008A6D2F" w:rsidRPr="008A19F0" w14:paraId="10313816" w14:textId="77777777" w:rsidTr="00F82A28">
        <w:trPr>
          <w:cantSplit/>
        </w:trPr>
        <w:tc>
          <w:tcPr>
            <w:tcW w:w="1188" w:type="pct"/>
            <w:gridSpan w:val="2"/>
            <w:shd w:val="clear" w:color="auto" w:fill="808080" w:themeFill="background1" w:themeFillShade="80"/>
            <w:vAlign w:val="center"/>
          </w:tcPr>
          <w:p w14:paraId="4CF4BE10" w14:textId="77777777" w:rsidR="008A6D2F" w:rsidRPr="00696A00" w:rsidRDefault="008A6D2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 xml:space="preserve">Draft </w:t>
            </w:r>
            <w:r w:rsidRPr="00696A00">
              <w:rPr>
                <w:rFonts w:ascii="Arial" w:hAnsi="Arial" w:cs="Arial"/>
                <w:b/>
                <w:bCs/>
                <w:color w:val="FFFFFF" w:themeColor="background1"/>
                <w:sz w:val="22"/>
                <w:szCs w:val="22"/>
                <w:lang w:val="en-GB"/>
              </w:rPr>
              <w:t>3</w:t>
            </w:r>
            <w:r>
              <w:rPr>
                <w:rFonts w:ascii="Arial" w:hAnsi="Arial" w:cs="Arial"/>
                <w:b/>
                <w:bCs/>
                <w:color w:val="FFFFFF" w:themeColor="background1"/>
                <w:sz w:val="22"/>
                <w:szCs w:val="22"/>
                <w:lang w:val="en-GB"/>
              </w:rPr>
              <w:t>9</w:t>
            </w:r>
            <w:r w:rsidRPr="00696A00">
              <w:rPr>
                <w:rFonts w:ascii="Arial" w:hAnsi="Arial" w:cs="Arial"/>
                <w:b/>
                <w:bCs/>
                <w:color w:val="FFFFFF" w:themeColor="background1"/>
                <w:sz w:val="22"/>
                <w:szCs w:val="22"/>
                <w:lang w:val="en-GB"/>
              </w:rPr>
              <w:t>C/5 Performance Indicator 1</w:t>
            </w:r>
          </w:p>
        </w:tc>
        <w:tc>
          <w:tcPr>
            <w:tcW w:w="3812" w:type="pct"/>
            <w:gridSpan w:val="2"/>
            <w:shd w:val="clear" w:color="auto" w:fill="808080" w:themeFill="background1" w:themeFillShade="80"/>
            <w:vAlign w:val="center"/>
          </w:tcPr>
          <w:p w14:paraId="642C3D1C" w14:textId="77777777" w:rsidR="008A6D2F" w:rsidRPr="00696A00" w:rsidRDefault="008A6D2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Sound governance exercised through the adoption and implementation of strategic resolutions/decisions of the governing bodies of the 2003 Convention</w:t>
            </w:r>
          </w:p>
        </w:tc>
      </w:tr>
      <w:tr w:rsidR="008A6D2F" w:rsidRPr="008A19F0" w14:paraId="1E774947" w14:textId="77777777" w:rsidTr="00F82A28">
        <w:trPr>
          <w:cantSplit/>
        </w:trPr>
        <w:tc>
          <w:tcPr>
            <w:tcW w:w="1188" w:type="pct"/>
            <w:gridSpan w:val="2"/>
            <w:vMerge w:val="restart"/>
            <w:shd w:val="clear" w:color="auto" w:fill="F2F2F2" w:themeFill="background1" w:themeFillShade="F2"/>
            <w:vAlign w:val="center"/>
          </w:tcPr>
          <w:p w14:paraId="4B416075" w14:textId="77777777" w:rsidR="008A6D2F" w:rsidRPr="00696A00" w:rsidRDefault="008A6D2F">
            <w:pPr>
              <w:keepNext/>
              <w:spacing w:before="60" w:after="60"/>
              <w:rPr>
                <w:rFonts w:ascii="Arial" w:hAnsi="Arial" w:cs="Arial"/>
                <w:b/>
                <w:bCs/>
                <w:sz w:val="22"/>
                <w:szCs w:val="22"/>
                <w:lang w:val="en-GB"/>
              </w:rPr>
            </w:pPr>
            <w:r w:rsidRPr="00696A00">
              <w:rPr>
                <w:rFonts w:ascii="Arial" w:hAnsi="Arial" w:cs="Arial"/>
                <w:b/>
                <w:bCs/>
                <w:sz w:val="22"/>
                <w:szCs w:val="22"/>
                <w:lang w:val="en-GB"/>
              </w:rPr>
              <w:t>ICH Fund Expected Result 1</w:t>
            </w:r>
          </w:p>
          <w:p w14:paraId="261E58C0" w14:textId="77777777" w:rsidR="008A6D2F" w:rsidRPr="00696A00" w:rsidRDefault="008A6D2F">
            <w:pPr>
              <w:keepNext/>
              <w:spacing w:before="60" w:after="60"/>
              <w:rPr>
                <w:rFonts w:ascii="Arial" w:hAnsi="Arial" w:cs="Arial"/>
                <w:b/>
                <w:bCs/>
                <w:sz w:val="22"/>
                <w:szCs w:val="22"/>
                <w:lang w:val="en-GB"/>
              </w:rPr>
            </w:pPr>
          </w:p>
        </w:tc>
        <w:tc>
          <w:tcPr>
            <w:tcW w:w="3812" w:type="pct"/>
            <w:gridSpan w:val="2"/>
            <w:shd w:val="clear" w:color="auto" w:fill="F2F2F2" w:themeFill="background1" w:themeFillShade="F2"/>
            <w:vAlign w:val="center"/>
          </w:tcPr>
          <w:p w14:paraId="753F74F8" w14:textId="77777777" w:rsidR="008A6D2F" w:rsidRPr="00696A00" w:rsidRDefault="008A6D2F">
            <w:pPr>
              <w:keepNext/>
              <w:spacing w:before="60" w:after="60"/>
              <w:rPr>
                <w:rFonts w:ascii="Arial" w:hAnsi="Arial" w:cs="Arial"/>
                <w:b/>
                <w:bCs/>
                <w:sz w:val="22"/>
                <w:szCs w:val="22"/>
                <w:lang w:val="en-GB"/>
              </w:rPr>
            </w:pPr>
            <w:r w:rsidRPr="00696A00">
              <w:rPr>
                <w:rFonts w:ascii="Arial" w:hAnsi="Arial" w:cs="Arial"/>
                <w:b/>
                <w:bCs/>
                <w:sz w:val="22"/>
                <w:szCs w:val="22"/>
                <w:lang w:val="en-GB"/>
              </w:rPr>
              <w:t xml:space="preserve">Sound governance of the 2003 Convention facilitated by enhanced </w:t>
            </w:r>
            <w:r w:rsidRPr="00656462">
              <w:rPr>
                <w:rFonts w:ascii="Arial" w:hAnsi="Arial" w:cs="Arial"/>
                <w:b/>
                <w:bCs/>
                <w:sz w:val="22"/>
                <w:szCs w:val="22"/>
                <w:lang w:val="en-GB"/>
              </w:rPr>
              <w:t>monitoring</w:t>
            </w:r>
            <w:r>
              <w:rPr>
                <w:rFonts w:ascii="Arial" w:hAnsi="Arial" w:cs="Arial"/>
                <w:b/>
                <w:bCs/>
                <w:sz w:val="22"/>
                <w:szCs w:val="22"/>
                <w:lang w:val="en-GB"/>
              </w:rPr>
              <w:t xml:space="preserve"> and </w:t>
            </w:r>
            <w:r w:rsidRPr="00696A00">
              <w:rPr>
                <w:rFonts w:ascii="Arial" w:hAnsi="Arial" w:cs="Arial"/>
                <w:b/>
                <w:bCs/>
                <w:sz w:val="22"/>
                <w:szCs w:val="22"/>
                <w:lang w:val="en-GB"/>
              </w:rPr>
              <w:t>knowledge management services</w:t>
            </w:r>
          </w:p>
        </w:tc>
      </w:tr>
      <w:tr w:rsidR="008A6D2F" w:rsidRPr="00696A00" w14:paraId="5F58257F" w14:textId="77777777" w:rsidTr="00F82A28">
        <w:trPr>
          <w:cantSplit/>
        </w:trPr>
        <w:tc>
          <w:tcPr>
            <w:tcW w:w="1188" w:type="pct"/>
            <w:gridSpan w:val="2"/>
            <w:vMerge/>
            <w:shd w:val="clear" w:color="auto" w:fill="auto"/>
            <w:vAlign w:val="center"/>
          </w:tcPr>
          <w:p w14:paraId="6142F3F2" w14:textId="77777777" w:rsidR="008A6D2F" w:rsidRPr="00696A00" w:rsidRDefault="008A6D2F">
            <w:pPr>
              <w:keepNext/>
              <w:spacing w:before="60" w:after="60"/>
              <w:rPr>
                <w:rFonts w:ascii="Arial" w:hAnsi="Arial" w:cs="Arial"/>
                <w:b/>
                <w:bCs/>
                <w:sz w:val="22"/>
                <w:szCs w:val="22"/>
                <w:lang w:val="en-GB"/>
              </w:rPr>
            </w:pPr>
          </w:p>
        </w:tc>
        <w:tc>
          <w:tcPr>
            <w:tcW w:w="3812" w:type="pct"/>
            <w:gridSpan w:val="2"/>
            <w:shd w:val="clear" w:color="auto" w:fill="F2F2F2" w:themeFill="background1" w:themeFillShade="F2"/>
            <w:vAlign w:val="center"/>
          </w:tcPr>
          <w:p w14:paraId="60956BDF" w14:textId="75545CA4" w:rsidR="008A6D2F" w:rsidRPr="00696A00" w:rsidRDefault="008A6D2F" w:rsidP="00E82670">
            <w:pPr>
              <w:keepNext/>
              <w:spacing w:before="60" w:after="60"/>
              <w:rPr>
                <w:rFonts w:ascii="Arial" w:hAnsi="Arial" w:cs="Arial"/>
                <w:b/>
                <w:bCs/>
                <w:sz w:val="22"/>
                <w:szCs w:val="22"/>
                <w:lang w:val="en-GB"/>
              </w:rPr>
            </w:pPr>
            <w:r w:rsidRPr="00696A00">
              <w:rPr>
                <w:rFonts w:ascii="Arial" w:hAnsi="Arial" w:cs="Arial"/>
                <w:b/>
                <w:bCs/>
                <w:sz w:val="22"/>
                <w:szCs w:val="22"/>
                <w:lang w:val="en-GB"/>
              </w:rPr>
              <w:t xml:space="preserve">Budgetary allocation: </w:t>
            </w:r>
            <w:r w:rsidRPr="00C06F15">
              <w:rPr>
                <w:rFonts w:ascii="Arial" w:hAnsi="Arial" w:cs="Arial"/>
                <w:b/>
                <w:bCs/>
                <w:sz w:val="22"/>
                <w:szCs w:val="22"/>
                <w:lang w:val="en-GB"/>
              </w:rPr>
              <w:t>US$</w:t>
            </w:r>
            <w:r w:rsidR="005A3DC9">
              <w:rPr>
                <w:rFonts w:ascii="Arial" w:hAnsi="Arial" w:cs="Arial"/>
                <w:b/>
                <w:bCs/>
                <w:sz w:val="22"/>
                <w:szCs w:val="22"/>
                <w:lang w:val="en-GB"/>
              </w:rPr>
              <w:t>14</w:t>
            </w:r>
            <w:r w:rsidR="00E82670">
              <w:rPr>
                <w:rFonts w:ascii="Arial" w:hAnsi="Arial" w:cs="Arial"/>
                <w:b/>
                <w:bCs/>
                <w:sz w:val="22"/>
                <w:szCs w:val="22"/>
                <w:lang w:val="en-GB"/>
              </w:rPr>
              <w:t>3</w:t>
            </w:r>
            <w:r w:rsidR="005A3DC9">
              <w:rPr>
                <w:rFonts w:ascii="Arial" w:hAnsi="Arial" w:cs="Arial"/>
                <w:b/>
                <w:bCs/>
                <w:sz w:val="22"/>
                <w:szCs w:val="22"/>
                <w:lang w:val="en-GB"/>
              </w:rPr>
              <w:t>,</w:t>
            </w:r>
            <w:r w:rsidR="00E82670">
              <w:rPr>
                <w:rFonts w:ascii="Arial" w:hAnsi="Arial" w:cs="Arial"/>
                <w:b/>
                <w:bCs/>
                <w:sz w:val="22"/>
                <w:szCs w:val="22"/>
                <w:lang w:val="en-GB"/>
              </w:rPr>
              <w:t>167</w:t>
            </w:r>
          </w:p>
        </w:tc>
      </w:tr>
      <w:tr w:rsidR="008A6D2F" w:rsidRPr="008A19F0" w14:paraId="57C8CBCB" w14:textId="77777777" w:rsidTr="00F82A28">
        <w:trPr>
          <w:cantSplit/>
        </w:trPr>
        <w:tc>
          <w:tcPr>
            <w:tcW w:w="379" w:type="pct"/>
            <w:shd w:val="clear" w:color="auto" w:fill="F2F2F2" w:themeFill="background1" w:themeFillShade="F2"/>
            <w:vAlign w:val="center"/>
          </w:tcPr>
          <w:p w14:paraId="53A37105" w14:textId="77777777" w:rsidR="008A6D2F" w:rsidRPr="00696A00" w:rsidRDefault="008A6D2F">
            <w:pPr>
              <w:keepNext/>
              <w:spacing w:before="60" w:after="60"/>
              <w:jc w:val="center"/>
              <w:rPr>
                <w:rFonts w:ascii="Arial" w:hAnsi="Arial" w:cs="Arial"/>
                <w:i/>
                <w:iCs/>
                <w:sz w:val="22"/>
                <w:szCs w:val="22"/>
                <w:lang w:val="en-GB"/>
              </w:rPr>
            </w:pPr>
          </w:p>
        </w:tc>
        <w:tc>
          <w:tcPr>
            <w:tcW w:w="2308" w:type="pct"/>
            <w:gridSpan w:val="2"/>
            <w:shd w:val="clear" w:color="auto" w:fill="F2F2F2" w:themeFill="background1" w:themeFillShade="F2"/>
            <w:vAlign w:val="center"/>
          </w:tcPr>
          <w:p w14:paraId="4033BEA2" w14:textId="79D2A727" w:rsidR="008A6D2F" w:rsidRPr="00696A00" w:rsidRDefault="00656462">
            <w:pPr>
              <w:keepNext/>
              <w:spacing w:before="60" w:after="60"/>
              <w:jc w:val="center"/>
              <w:rPr>
                <w:rFonts w:ascii="Arial" w:hAnsi="Arial" w:cs="Arial"/>
                <w:i/>
                <w:iCs/>
                <w:sz w:val="22"/>
                <w:szCs w:val="22"/>
                <w:lang w:val="en-GB"/>
              </w:rPr>
            </w:pPr>
            <w:r>
              <w:rPr>
                <w:rFonts w:ascii="Arial" w:hAnsi="Arial" w:cs="Arial"/>
                <w:i/>
                <w:iCs/>
                <w:sz w:val="22"/>
                <w:szCs w:val="22"/>
                <w:lang w:val="en-GB"/>
              </w:rPr>
              <w:t>Outputs</w:t>
            </w:r>
          </w:p>
        </w:tc>
        <w:tc>
          <w:tcPr>
            <w:tcW w:w="2313" w:type="pct"/>
            <w:shd w:val="clear" w:color="auto" w:fill="F2F2F2" w:themeFill="background1" w:themeFillShade="F2"/>
            <w:vAlign w:val="center"/>
          </w:tcPr>
          <w:p w14:paraId="1C252352" w14:textId="3E92A481" w:rsidR="008A6D2F" w:rsidRPr="00696A00" w:rsidRDefault="008A6D2F" w:rsidP="00E55EFE">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Indicators (</w:t>
            </w:r>
            <w:r w:rsidR="00656462">
              <w:rPr>
                <w:rFonts w:ascii="Arial" w:hAnsi="Arial" w:cs="Arial"/>
                <w:i/>
                <w:iCs/>
                <w:sz w:val="22"/>
                <w:szCs w:val="22"/>
                <w:lang w:val="en-GB"/>
              </w:rPr>
              <w:t>benchmarks</w:t>
            </w:r>
            <w:r w:rsidRPr="00696A00">
              <w:rPr>
                <w:rFonts w:ascii="Arial" w:hAnsi="Arial" w:cs="Arial"/>
                <w:i/>
                <w:iCs/>
                <w:sz w:val="22"/>
                <w:szCs w:val="22"/>
                <w:lang w:val="en-GB"/>
              </w:rPr>
              <w:t>)</w:t>
            </w:r>
            <w:r>
              <w:rPr>
                <w:rFonts w:ascii="Arial" w:hAnsi="Arial" w:cs="Arial"/>
                <w:i/>
                <w:iCs/>
                <w:sz w:val="22"/>
                <w:szCs w:val="22"/>
                <w:lang w:val="en-GB"/>
              </w:rPr>
              <w:br/>
              <w:t>1 January </w:t>
            </w:r>
            <w:r w:rsidR="00E55EFE">
              <w:rPr>
                <w:rFonts w:ascii="Arial" w:hAnsi="Arial" w:cs="Arial"/>
                <w:i/>
                <w:iCs/>
                <w:sz w:val="22"/>
                <w:szCs w:val="22"/>
                <w:lang w:val="en-GB"/>
              </w:rPr>
              <w:t xml:space="preserve">2018 to </w:t>
            </w:r>
            <w:r>
              <w:rPr>
                <w:rFonts w:ascii="Arial" w:hAnsi="Arial" w:cs="Arial"/>
                <w:i/>
                <w:iCs/>
                <w:sz w:val="22"/>
                <w:szCs w:val="22"/>
                <w:lang w:val="en-GB"/>
              </w:rPr>
              <w:t>30 June 2018</w:t>
            </w:r>
          </w:p>
        </w:tc>
      </w:tr>
      <w:tr w:rsidR="008A6D2F" w:rsidRPr="008A19F0" w14:paraId="377F0014" w14:textId="77777777" w:rsidTr="00F82A28">
        <w:trPr>
          <w:cantSplit/>
        </w:trPr>
        <w:tc>
          <w:tcPr>
            <w:tcW w:w="379" w:type="pct"/>
            <w:shd w:val="clear" w:color="auto" w:fill="auto"/>
            <w:vAlign w:val="center"/>
          </w:tcPr>
          <w:p w14:paraId="4D3EFDC4" w14:textId="77777777" w:rsidR="008A6D2F" w:rsidRPr="00696A00" w:rsidRDefault="008A6D2F">
            <w:pPr>
              <w:spacing w:before="60" w:after="60"/>
              <w:jc w:val="center"/>
              <w:rPr>
                <w:rFonts w:ascii="Arial" w:hAnsi="Arial" w:cs="Arial"/>
                <w:iCs/>
                <w:sz w:val="22"/>
                <w:szCs w:val="22"/>
                <w:lang w:val="en-GB"/>
              </w:rPr>
            </w:pPr>
            <w:r w:rsidRPr="00696A00">
              <w:rPr>
                <w:rFonts w:ascii="Arial" w:hAnsi="Arial" w:cs="Arial"/>
                <w:iCs/>
                <w:sz w:val="22"/>
                <w:szCs w:val="22"/>
                <w:lang w:val="en-GB"/>
              </w:rPr>
              <w:t>1.1</w:t>
            </w:r>
          </w:p>
        </w:tc>
        <w:tc>
          <w:tcPr>
            <w:tcW w:w="2308" w:type="pct"/>
            <w:gridSpan w:val="2"/>
            <w:shd w:val="clear" w:color="auto" w:fill="auto"/>
            <w:vAlign w:val="center"/>
          </w:tcPr>
          <w:p w14:paraId="049A2BF0" w14:textId="77777777" w:rsidR="008A6D2F" w:rsidRPr="00696A00" w:rsidRDefault="008A6D2F">
            <w:pPr>
              <w:spacing w:before="60" w:after="60"/>
              <w:rPr>
                <w:rFonts w:ascii="Arial" w:hAnsi="Arial" w:cs="Arial"/>
                <w:i/>
                <w:iCs/>
                <w:sz w:val="22"/>
                <w:szCs w:val="22"/>
                <w:lang w:val="en-GB"/>
              </w:rPr>
            </w:pPr>
            <w:r w:rsidRPr="00696A00">
              <w:rPr>
                <w:rFonts w:ascii="Arial" w:hAnsi="Arial" w:cs="Arial"/>
                <w:color w:val="000000"/>
                <w:sz w:val="22"/>
                <w:szCs w:val="22"/>
                <w:lang w:val="en-GB"/>
              </w:rPr>
              <w:t>External and internal access to information increased and processes, workflows and response time optimized thanks to monitoring interfaces</w:t>
            </w:r>
          </w:p>
        </w:tc>
        <w:tc>
          <w:tcPr>
            <w:tcW w:w="2313" w:type="pct"/>
            <w:shd w:val="clear" w:color="auto" w:fill="auto"/>
            <w:vAlign w:val="center"/>
          </w:tcPr>
          <w:p w14:paraId="29944099" w14:textId="015A8932" w:rsidR="008A6D2F" w:rsidRPr="00696A00" w:rsidRDefault="008A6D2F" w:rsidP="00AC202D">
            <w:pPr>
              <w:pStyle w:val="ListParagraph"/>
              <w:numPr>
                <w:ilvl w:val="0"/>
                <w:numId w:val="6"/>
              </w:numPr>
              <w:spacing w:before="60" w:after="60"/>
              <w:ind w:left="357" w:hanging="357"/>
              <w:contextualSpacing w:val="0"/>
              <w:rPr>
                <w:rFonts w:ascii="Arial" w:hAnsi="Arial" w:cs="Arial"/>
                <w:i/>
                <w:iCs/>
                <w:sz w:val="22"/>
                <w:szCs w:val="22"/>
                <w:lang w:val="en-GB"/>
              </w:rPr>
            </w:pPr>
            <w:r w:rsidRPr="002B119A">
              <w:rPr>
                <w:rFonts w:ascii="Arial" w:hAnsi="Arial" w:cs="Arial"/>
                <w:sz w:val="22"/>
                <w:szCs w:val="22"/>
                <w:lang w:val="en-GB"/>
              </w:rPr>
              <w:t>Number</w:t>
            </w:r>
            <w:r w:rsidRPr="00696A00">
              <w:rPr>
                <w:rFonts w:ascii="Arial" w:hAnsi="Arial" w:cs="Arial"/>
                <w:color w:val="000000"/>
                <w:sz w:val="22"/>
                <w:szCs w:val="22"/>
                <w:lang w:val="en-GB"/>
              </w:rPr>
              <w:t xml:space="preserve"> of monitoring interfaces (</w:t>
            </w:r>
            <w:r w:rsidR="00656462">
              <w:rPr>
                <w:rFonts w:ascii="Arial" w:hAnsi="Arial" w:cs="Arial"/>
                <w:color w:val="000000"/>
                <w:sz w:val="22"/>
                <w:szCs w:val="22"/>
                <w:lang w:val="en-GB"/>
              </w:rPr>
              <w:t>B=</w:t>
            </w:r>
            <w:r>
              <w:rPr>
                <w:rFonts w:ascii="Arial" w:hAnsi="Arial" w:cs="Arial"/>
                <w:color w:val="000000"/>
                <w:sz w:val="22"/>
                <w:szCs w:val="22"/>
                <w:lang w:val="en-GB"/>
              </w:rPr>
              <w:t>1</w:t>
            </w:r>
            <w:r w:rsidRPr="00696A00">
              <w:rPr>
                <w:rFonts w:ascii="Arial" w:hAnsi="Arial" w:cs="Arial"/>
                <w:color w:val="000000"/>
                <w:sz w:val="22"/>
                <w:szCs w:val="22"/>
                <w:lang w:val="en-GB"/>
              </w:rPr>
              <w:t>)</w:t>
            </w:r>
          </w:p>
        </w:tc>
      </w:tr>
      <w:tr w:rsidR="008A6D2F" w:rsidRPr="008A19F0" w14:paraId="47AB8728" w14:textId="77777777" w:rsidTr="00F82A28">
        <w:trPr>
          <w:cantSplit/>
        </w:trPr>
        <w:tc>
          <w:tcPr>
            <w:tcW w:w="379" w:type="pct"/>
            <w:shd w:val="clear" w:color="auto" w:fill="auto"/>
            <w:vAlign w:val="center"/>
          </w:tcPr>
          <w:p w14:paraId="1E32D895" w14:textId="77777777" w:rsidR="008A6D2F" w:rsidRPr="00696A00" w:rsidRDefault="008A6D2F">
            <w:pPr>
              <w:spacing w:before="60" w:after="60"/>
              <w:jc w:val="center"/>
              <w:rPr>
                <w:rFonts w:ascii="Arial" w:hAnsi="Arial" w:cs="Arial"/>
                <w:iCs/>
                <w:sz w:val="22"/>
                <w:szCs w:val="22"/>
                <w:lang w:val="en-GB"/>
              </w:rPr>
            </w:pPr>
            <w:r w:rsidRPr="00696A00">
              <w:rPr>
                <w:rFonts w:ascii="Arial" w:hAnsi="Arial" w:cs="Arial"/>
                <w:iCs/>
                <w:sz w:val="22"/>
                <w:szCs w:val="22"/>
                <w:lang w:val="en-GB"/>
              </w:rPr>
              <w:t>1.2</w:t>
            </w:r>
          </w:p>
        </w:tc>
        <w:tc>
          <w:tcPr>
            <w:tcW w:w="2308" w:type="pct"/>
            <w:gridSpan w:val="2"/>
            <w:shd w:val="clear" w:color="auto" w:fill="auto"/>
            <w:vAlign w:val="center"/>
          </w:tcPr>
          <w:p w14:paraId="1FAB9363" w14:textId="77777777" w:rsidR="008A6D2F" w:rsidRPr="00696A00" w:rsidRDefault="008A6D2F">
            <w:pPr>
              <w:spacing w:before="60" w:after="60"/>
              <w:rPr>
                <w:rFonts w:ascii="Arial" w:hAnsi="Arial" w:cs="Arial"/>
                <w:i/>
                <w:iCs/>
                <w:sz w:val="22"/>
                <w:szCs w:val="22"/>
                <w:lang w:val="en-GB"/>
              </w:rPr>
            </w:pPr>
            <w:r w:rsidRPr="00696A00">
              <w:rPr>
                <w:rFonts w:ascii="Arial" w:hAnsi="Arial" w:cs="Arial"/>
                <w:color w:val="000000"/>
                <w:sz w:val="22"/>
                <w:szCs w:val="22"/>
                <w:lang w:val="en-GB"/>
              </w:rPr>
              <w:t>Improved accessibility and usability of Convention documents and decisions; better indexing and improved search capacities</w:t>
            </w:r>
          </w:p>
        </w:tc>
        <w:tc>
          <w:tcPr>
            <w:tcW w:w="2313" w:type="pct"/>
            <w:shd w:val="clear" w:color="auto" w:fill="auto"/>
            <w:vAlign w:val="center"/>
          </w:tcPr>
          <w:p w14:paraId="14420CD7" w14:textId="094E02DB" w:rsidR="008A6D2F" w:rsidRPr="00696A00" w:rsidRDefault="008A6D2F" w:rsidP="00AC202D">
            <w:pPr>
              <w:pStyle w:val="ListParagraph"/>
              <w:numPr>
                <w:ilvl w:val="0"/>
                <w:numId w:val="6"/>
              </w:numPr>
              <w:spacing w:before="60" w:after="60"/>
              <w:ind w:left="357" w:hanging="357"/>
              <w:contextualSpacing w:val="0"/>
              <w:rPr>
                <w:rFonts w:ascii="Arial" w:hAnsi="Arial" w:cs="Arial"/>
                <w:color w:val="000000"/>
                <w:sz w:val="22"/>
                <w:szCs w:val="22"/>
                <w:lang w:val="en-GB"/>
              </w:rPr>
            </w:pPr>
            <w:r w:rsidRPr="002B119A">
              <w:rPr>
                <w:rFonts w:ascii="Arial" w:hAnsi="Arial" w:cs="Arial"/>
                <w:sz w:val="22"/>
                <w:szCs w:val="22"/>
                <w:lang w:val="en-GB"/>
              </w:rPr>
              <w:t>Number</w:t>
            </w:r>
            <w:r w:rsidRPr="00696A00">
              <w:rPr>
                <w:rFonts w:ascii="Arial" w:hAnsi="Arial" w:cs="Arial"/>
                <w:color w:val="000000"/>
                <w:sz w:val="22"/>
                <w:szCs w:val="22"/>
                <w:lang w:val="en-GB"/>
              </w:rPr>
              <w:t xml:space="preserve"> of additional decision documents loaded in UNESDOC (</w:t>
            </w:r>
            <w:r w:rsidR="00656462">
              <w:rPr>
                <w:rFonts w:ascii="Arial" w:hAnsi="Arial" w:cs="Arial"/>
                <w:color w:val="000000"/>
                <w:sz w:val="22"/>
                <w:szCs w:val="22"/>
                <w:lang w:val="en-GB"/>
              </w:rPr>
              <w:t>B=</w:t>
            </w:r>
            <w:r>
              <w:rPr>
                <w:rFonts w:ascii="Arial" w:hAnsi="Arial" w:cs="Arial"/>
                <w:color w:val="000000"/>
                <w:sz w:val="22"/>
                <w:szCs w:val="22"/>
                <w:lang w:val="en-GB"/>
              </w:rPr>
              <w:t>4</w:t>
            </w:r>
            <w:r w:rsidRPr="00696A00">
              <w:rPr>
                <w:rFonts w:ascii="Arial" w:hAnsi="Arial" w:cs="Arial"/>
                <w:color w:val="000000"/>
                <w:sz w:val="22"/>
                <w:szCs w:val="22"/>
                <w:lang w:val="en-GB"/>
              </w:rPr>
              <w:t>)</w:t>
            </w:r>
          </w:p>
          <w:p w14:paraId="44F35FB5" w14:textId="10D04E2D" w:rsidR="008A6D2F" w:rsidRPr="00696A00" w:rsidRDefault="008A6D2F" w:rsidP="00AC202D">
            <w:pPr>
              <w:pStyle w:val="ListParagraph"/>
              <w:numPr>
                <w:ilvl w:val="0"/>
                <w:numId w:val="6"/>
              </w:numPr>
              <w:spacing w:before="60" w:after="60"/>
              <w:ind w:left="357" w:hanging="357"/>
              <w:contextualSpacing w:val="0"/>
              <w:rPr>
                <w:rFonts w:ascii="Arial" w:hAnsi="Arial" w:cs="Arial"/>
                <w:iCs/>
                <w:sz w:val="22"/>
                <w:szCs w:val="22"/>
                <w:lang w:val="en-GB"/>
              </w:rPr>
            </w:pPr>
            <w:r w:rsidRPr="00696A00">
              <w:rPr>
                <w:rFonts w:ascii="Arial" w:hAnsi="Arial" w:cs="Arial"/>
                <w:color w:val="000000"/>
                <w:sz w:val="22"/>
                <w:szCs w:val="22"/>
                <w:lang w:val="en-GB"/>
              </w:rPr>
              <w:t>Number of additional decisions/resolutions referenced in the KMS (</w:t>
            </w:r>
            <w:r w:rsidR="00656462">
              <w:rPr>
                <w:rFonts w:ascii="Arial" w:hAnsi="Arial" w:cs="Arial"/>
                <w:color w:val="000000"/>
                <w:sz w:val="22"/>
                <w:szCs w:val="22"/>
                <w:lang w:val="en-GB"/>
              </w:rPr>
              <w:t>B=</w:t>
            </w:r>
            <w:r w:rsidRPr="00AF13FE">
              <w:rPr>
                <w:rFonts w:ascii="Arial" w:hAnsi="Arial" w:cs="Arial"/>
                <w:color w:val="000000"/>
                <w:sz w:val="22"/>
                <w:szCs w:val="22"/>
                <w:lang w:val="en-GB"/>
              </w:rPr>
              <w:t>70)</w:t>
            </w:r>
          </w:p>
        </w:tc>
      </w:tr>
      <w:tr w:rsidR="008A6D2F" w:rsidRPr="008A19F0" w14:paraId="4E40C788" w14:textId="77777777" w:rsidTr="00F82A28">
        <w:trPr>
          <w:cantSplit/>
        </w:trPr>
        <w:tc>
          <w:tcPr>
            <w:tcW w:w="379" w:type="pct"/>
            <w:shd w:val="clear" w:color="auto" w:fill="auto"/>
            <w:vAlign w:val="center"/>
          </w:tcPr>
          <w:p w14:paraId="1A6CF2A9" w14:textId="77777777" w:rsidR="008A6D2F" w:rsidRPr="00696A00" w:rsidRDefault="008A6D2F">
            <w:pPr>
              <w:spacing w:before="60" w:after="60"/>
              <w:jc w:val="center"/>
              <w:rPr>
                <w:rFonts w:ascii="Arial" w:hAnsi="Arial" w:cs="Arial"/>
                <w:iCs/>
                <w:sz w:val="22"/>
                <w:szCs w:val="22"/>
                <w:lang w:val="en-GB"/>
              </w:rPr>
            </w:pPr>
            <w:r w:rsidRPr="00696A00">
              <w:rPr>
                <w:rFonts w:ascii="Arial" w:hAnsi="Arial" w:cs="Arial"/>
                <w:iCs/>
                <w:sz w:val="22"/>
                <w:szCs w:val="22"/>
                <w:lang w:val="en-GB"/>
              </w:rPr>
              <w:t>1.</w:t>
            </w:r>
            <w:r>
              <w:rPr>
                <w:rFonts w:ascii="Arial" w:hAnsi="Arial" w:cs="Arial"/>
                <w:iCs/>
                <w:sz w:val="22"/>
                <w:szCs w:val="22"/>
                <w:lang w:val="en-GB"/>
              </w:rPr>
              <w:t>3</w:t>
            </w:r>
          </w:p>
        </w:tc>
        <w:tc>
          <w:tcPr>
            <w:tcW w:w="2308" w:type="pct"/>
            <w:gridSpan w:val="2"/>
            <w:shd w:val="clear" w:color="auto" w:fill="auto"/>
            <w:vAlign w:val="center"/>
          </w:tcPr>
          <w:p w14:paraId="60A5EACD" w14:textId="77777777" w:rsidR="008A6D2F" w:rsidRPr="00696A00" w:rsidRDefault="008A6D2F">
            <w:pPr>
              <w:spacing w:before="60" w:after="60"/>
              <w:rPr>
                <w:rFonts w:ascii="Arial" w:hAnsi="Arial" w:cs="Arial"/>
                <w:i/>
                <w:iCs/>
                <w:sz w:val="22"/>
                <w:szCs w:val="22"/>
                <w:lang w:val="en-GB"/>
              </w:rPr>
            </w:pPr>
            <w:r w:rsidRPr="00696A00">
              <w:rPr>
                <w:rFonts w:ascii="Arial" w:hAnsi="Arial" w:cs="Arial"/>
                <w:color w:val="000000"/>
                <w:sz w:val="22"/>
                <w:szCs w:val="22"/>
                <w:lang w:val="en-GB"/>
              </w:rPr>
              <w:t>Convention website enhanced with improved navigation and ergonomics, search engine optimization and additional multilingual web content</w:t>
            </w:r>
          </w:p>
        </w:tc>
        <w:tc>
          <w:tcPr>
            <w:tcW w:w="2313" w:type="pct"/>
            <w:shd w:val="clear" w:color="auto" w:fill="auto"/>
            <w:vAlign w:val="center"/>
          </w:tcPr>
          <w:p w14:paraId="582D9728" w14:textId="2253BF52" w:rsidR="008A6D2F" w:rsidRPr="00696A00" w:rsidRDefault="008A6D2F" w:rsidP="00AC202D">
            <w:pPr>
              <w:pStyle w:val="ListParagraph"/>
              <w:numPr>
                <w:ilvl w:val="0"/>
                <w:numId w:val="6"/>
              </w:numPr>
              <w:spacing w:before="60" w:after="60"/>
              <w:ind w:left="357" w:hanging="357"/>
              <w:contextualSpacing w:val="0"/>
              <w:rPr>
                <w:rFonts w:ascii="Arial" w:hAnsi="Arial" w:cs="Arial"/>
                <w:color w:val="000000"/>
                <w:sz w:val="22"/>
                <w:szCs w:val="22"/>
                <w:lang w:val="en-GB"/>
              </w:rPr>
            </w:pPr>
            <w:r w:rsidRPr="00696A00">
              <w:rPr>
                <w:rFonts w:ascii="Arial" w:hAnsi="Arial" w:cs="Arial"/>
                <w:color w:val="000000"/>
                <w:sz w:val="22"/>
                <w:szCs w:val="22"/>
                <w:lang w:val="en-GB"/>
              </w:rPr>
              <w:t>Number of page views (</w:t>
            </w:r>
            <w:r w:rsidR="00656462">
              <w:rPr>
                <w:rFonts w:ascii="Arial" w:hAnsi="Arial" w:cs="Arial"/>
                <w:color w:val="000000"/>
                <w:sz w:val="22"/>
                <w:szCs w:val="22"/>
                <w:lang w:val="en-GB"/>
              </w:rPr>
              <w:t>B=</w:t>
            </w:r>
            <w:r>
              <w:rPr>
                <w:rFonts w:ascii="Arial" w:hAnsi="Arial" w:cs="Arial"/>
                <w:color w:val="000000"/>
                <w:sz w:val="22"/>
                <w:szCs w:val="22"/>
                <w:lang w:val="en-GB"/>
              </w:rPr>
              <w:t>1</w:t>
            </w:r>
            <w:r w:rsidRPr="00D24488">
              <w:rPr>
                <w:rFonts w:ascii="Arial" w:hAnsi="Arial" w:cs="Arial"/>
                <w:color w:val="000000"/>
                <w:sz w:val="22"/>
                <w:szCs w:val="22"/>
                <w:lang w:val="en-GB"/>
              </w:rPr>
              <w:t>,</w:t>
            </w:r>
            <w:r>
              <w:rPr>
                <w:rFonts w:ascii="Arial" w:hAnsi="Arial" w:cs="Arial"/>
                <w:color w:val="000000"/>
                <w:sz w:val="22"/>
                <w:szCs w:val="22"/>
                <w:lang w:val="en-GB"/>
              </w:rPr>
              <w:t>0</w:t>
            </w:r>
            <w:r w:rsidRPr="00D24488">
              <w:rPr>
                <w:rFonts w:ascii="Arial" w:hAnsi="Arial" w:cs="Arial"/>
                <w:color w:val="000000"/>
                <w:sz w:val="22"/>
                <w:szCs w:val="22"/>
                <w:lang w:val="en-GB"/>
              </w:rPr>
              <w:t>00,000</w:t>
            </w:r>
            <w:r w:rsidRPr="00696A00">
              <w:rPr>
                <w:rFonts w:ascii="Arial" w:hAnsi="Arial" w:cs="Arial"/>
                <w:color w:val="000000"/>
                <w:sz w:val="22"/>
                <w:szCs w:val="22"/>
                <w:lang w:val="en-GB"/>
              </w:rPr>
              <w:t>)</w:t>
            </w:r>
          </w:p>
          <w:p w14:paraId="680CCDD1" w14:textId="1ABDAD80" w:rsidR="008A6D2F" w:rsidRPr="00696A00" w:rsidRDefault="008A6D2F" w:rsidP="00AC202D">
            <w:pPr>
              <w:pStyle w:val="ListParagraph"/>
              <w:numPr>
                <w:ilvl w:val="0"/>
                <w:numId w:val="6"/>
              </w:numPr>
              <w:spacing w:before="60" w:after="60"/>
              <w:ind w:left="357" w:hanging="357"/>
              <w:contextualSpacing w:val="0"/>
              <w:rPr>
                <w:rFonts w:ascii="Arial" w:hAnsi="Arial" w:cs="Arial"/>
                <w:iCs/>
                <w:sz w:val="22"/>
                <w:szCs w:val="22"/>
                <w:lang w:val="en-GB"/>
              </w:rPr>
            </w:pPr>
            <w:r w:rsidRPr="00696A00">
              <w:rPr>
                <w:rFonts w:ascii="Arial" w:hAnsi="Arial" w:cs="Arial"/>
                <w:color w:val="000000"/>
                <w:sz w:val="22"/>
                <w:szCs w:val="22"/>
                <w:lang w:val="en-GB"/>
              </w:rPr>
              <w:t>Number of new web</w:t>
            </w:r>
            <w:r>
              <w:rPr>
                <w:rFonts w:ascii="Arial" w:hAnsi="Arial" w:cs="Arial"/>
                <w:color w:val="000000"/>
                <w:sz w:val="22"/>
                <w:szCs w:val="22"/>
                <w:lang w:val="en-GB"/>
              </w:rPr>
              <w:t xml:space="preserve"> </w:t>
            </w:r>
            <w:r w:rsidRPr="00696A00">
              <w:rPr>
                <w:rFonts w:ascii="Arial" w:hAnsi="Arial" w:cs="Arial"/>
                <w:color w:val="000000"/>
                <w:sz w:val="22"/>
                <w:szCs w:val="22"/>
                <w:lang w:val="en-GB"/>
              </w:rPr>
              <w:t>pages published in English, French</w:t>
            </w:r>
            <w:r w:rsidR="00E55EFE">
              <w:rPr>
                <w:rFonts w:ascii="Arial" w:hAnsi="Arial" w:cs="Arial"/>
                <w:color w:val="000000"/>
                <w:sz w:val="22"/>
                <w:szCs w:val="22"/>
                <w:lang w:val="en-GB"/>
              </w:rPr>
              <w:t xml:space="preserve"> and</w:t>
            </w:r>
            <w:r w:rsidRPr="00696A00">
              <w:rPr>
                <w:rFonts w:ascii="Arial" w:hAnsi="Arial" w:cs="Arial"/>
                <w:color w:val="000000"/>
                <w:sz w:val="22"/>
                <w:szCs w:val="22"/>
                <w:lang w:val="en-GB"/>
              </w:rPr>
              <w:t xml:space="preserve"> Spanish (</w:t>
            </w:r>
            <w:r w:rsidR="00656462">
              <w:rPr>
                <w:rFonts w:ascii="Arial" w:hAnsi="Arial" w:cs="Arial"/>
                <w:color w:val="000000"/>
                <w:sz w:val="22"/>
                <w:szCs w:val="22"/>
                <w:lang w:val="en-GB"/>
              </w:rPr>
              <w:t>B=</w:t>
            </w:r>
            <w:r w:rsidRPr="002B119A">
              <w:rPr>
                <w:rFonts w:ascii="Arial" w:hAnsi="Arial" w:cs="Arial"/>
                <w:color w:val="000000"/>
                <w:sz w:val="22"/>
                <w:szCs w:val="22"/>
                <w:lang w:val="en-GB"/>
              </w:rPr>
              <w:t>5</w:t>
            </w:r>
            <w:r w:rsidRPr="00AF13FE">
              <w:rPr>
                <w:rFonts w:ascii="Arial" w:hAnsi="Arial" w:cs="Arial"/>
                <w:color w:val="000000"/>
                <w:sz w:val="22"/>
                <w:szCs w:val="22"/>
                <w:lang w:val="en-GB"/>
              </w:rPr>
              <w:t>0)</w:t>
            </w:r>
          </w:p>
        </w:tc>
      </w:tr>
      <w:tr w:rsidR="008A6D2F" w:rsidRPr="008A19F0" w14:paraId="636C09ED" w14:textId="77777777" w:rsidTr="00F82A28">
        <w:trPr>
          <w:cantSplit/>
        </w:trPr>
        <w:tc>
          <w:tcPr>
            <w:tcW w:w="379" w:type="pct"/>
            <w:shd w:val="clear" w:color="auto" w:fill="auto"/>
            <w:vAlign w:val="center"/>
          </w:tcPr>
          <w:p w14:paraId="263388DF" w14:textId="77777777" w:rsidR="008A6D2F" w:rsidRPr="00696A00" w:rsidRDefault="008A6D2F">
            <w:pPr>
              <w:spacing w:before="60" w:after="60"/>
              <w:jc w:val="center"/>
              <w:rPr>
                <w:rFonts w:ascii="Arial" w:hAnsi="Arial" w:cs="Arial"/>
                <w:iCs/>
                <w:sz w:val="22"/>
                <w:szCs w:val="22"/>
                <w:lang w:val="en-GB"/>
              </w:rPr>
            </w:pPr>
            <w:r>
              <w:rPr>
                <w:rFonts w:ascii="Arial" w:hAnsi="Arial" w:cs="Arial"/>
                <w:iCs/>
                <w:sz w:val="22"/>
                <w:szCs w:val="22"/>
                <w:lang w:val="en-GB"/>
              </w:rPr>
              <w:t>1.4</w:t>
            </w:r>
          </w:p>
        </w:tc>
        <w:tc>
          <w:tcPr>
            <w:tcW w:w="2308" w:type="pct"/>
            <w:gridSpan w:val="2"/>
            <w:shd w:val="clear" w:color="auto" w:fill="auto"/>
            <w:vAlign w:val="center"/>
          </w:tcPr>
          <w:p w14:paraId="22168C09" w14:textId="79B5C9A9" w:rsidR="008A6D2F" w:rsidRPr="00696A00" w:rsidRDefault="00E55EFE">
            <w:pPr>
              <w:spacing w:before="60" w:after="60"/>
              <w:rPr>
                <w:rFonts w:ascii="Arial" w:hAnsi="Arial" w:cs="Arial"/>
                <w:color w:val="000000"/>
                <w:sz w:val="22"/>
                <w:szCs w:val="22"/>
                <w:lang w:val="en-GB"/>
              </w:rPr>
            </w:pPr>
            <w:r>
              <w:rPr>
                <w:rFonts w:ascii="Arial" w:hAnsi="Arial" w:cs="Arial"/>
                <w:iCs/>
                <w:sz w:val="22"/>
                <w:szCs w:val="22"/>
                <w:lang w:val="en-GB"/>
              </w:rPr>
              <w:t>O</w:t>
            </w:r>
            <w:r w:rsidR="008A6D2F" w:rsidRPr="00596D07">
              <w:rPr>
                <w:rFonts w:ascii="Arial" w:hAnsi="Arial" w:cs="Arial"/>
                <w:iCs/>
                <w:sz w:val="22"/>
                <w:szCs w:val="22"/>
                <w:lang w:val="en-GB"/>
              </w:rPr>
              <w:t>verall results framework for the Convention complemented</w:t>
            </w:r>
          </w:p>
        </w:tc>
        <w:tc>
          <w:tcPr>
            <w:tcW w:w="2313" w:type="pct"/>
            <w:shd w:val="clear" w:color="auto" w:fill="auto"/>
            <w:vAlign w:val="center"/>
          </w:tcPr>
          <w:p w14:paraId="5606F183" w14:textId="40730148" w:rsidR="008A6D2F" w:rsidRPr="00696A00" w:rsidRDefault="00656462" w:rsidP="00AC202D">
            <w:pPr>
              <w:pStyle w:val="ListParagraph"/>
              <w:numPr>
                <w:ilvl w:val="0"/>
                <w:numId w:val="6"/>
              </w:numPr>
              <w:spacing w:before="60" w:after="60"/>
              <w:ind w:left="357" w:hanging="357"/>
              <w:contextualSpacing w:val="0"/>
              <w:rPr>
                <w:rFonts w:ascii="Arial" w:hAnsi="Arial" w:cs="Arial"/>
                <w:color w:val="000000"/>
                <w:sz w:val="22"/>
                <w:szCs w:val="22"/>
                <w:lang w:val="en-GB"/>
              </w:rPr>
            </w:pPr>
            <w:r>
              <w:rPr>
                <w:rFonts w:ascii="Arial" w:hAnsi="Arial" w:cs="Arial"/>
                <w:sz w:val="22"/>
                <w:szCs w:val="22"/>
                <w:lang w:val="en-GB"/>
              </w:rPr>
              <w:t>Number of g</w:t>
            </w:r>
            <w:r w:rsidRPr="00596D07">
              <w:rPr>
                <w:rFonts w:ascii="Arial" w:hAnsi="Arial" w:cs="Arial"/>
                <w:sz w:val="22"/>
                <w:szCs w:val="22"/>
                <w:lang w:val="en-GB"/>
              </w:rPr>
              <w:t xml:space="preserve">uidance notes developed to </w:t>
            </w:r>
            <w:r w:rsidRPr="00F224EF">
              <w:rPr>
                <w:rFonts w:ascii="Arial" w:hAnsi="Arial" w:cs="Arial"/>
                <w:sz w:val="22"/>
                <w:szCs w:val="22"/>
                <w:lang w:val="en-GB"/>
              </w:rPr>
              <w:t>assist in the collection of relevant information for each indicator</w:t>
            </w:r>
            <w:r w:rsidRPr="00596D07">
              <w:rPr>
                <w:rFonts w:ascii="Arial" w:hAnsi="Arial" w:cs="Arial"/>
                <w:sz w:val="22"/>
                <w:szCs w:val="22"/>
                <w:lang w:val="en-GB"/>
              </w:rPr>
              <w:t xml:space="preserve"> of the results </w:t>
            </w:r>
            <w:r w:rsidRPr="00341099">
              <w:rPr>
                <w:rFonts w:ascii="Arial" w:hAnsi="Arial" w:cs="Arial"/>
                <w:color w:val="000000"/>
                <w:sz w:val="22"/>
                <w:szCs w:val="22"/>
                <w:lang w:val="en-GB"/>
              </w:rPr>
              <w:t>framework</w:t>
            </w:r>
            <w:r w:rsidRPr="00596D07">
              <w:rPr>
                <w:rFonts w:ascii="Arial" w:hAnsi="Arial" w:cs="Arial"/>
                <w:sz w:val="22"/>
                <w:szCs w:val="22"/>
                <w:lang w:val="en-GB"/>
              </w:rPr>
              <w:t xml:space="preserve"> (</w:t>
            </w:r>
            <w:r>
              <w:rPr>
                <w:rFonts w:ascii="Arial" w:hAnsi="Arial" w:cs="Arial"/>
                <w:sz w:val="22"/>
                <w:szCs w:val="22"/>
                <w:lang w:val="en-GB"/>
              </w:rPr>
              <w:t>B=</w:t>
            </w:r>
            <w:r w:rsidRPr="00596D07">
              <w:rPr>
                <w:rFonts w:ascii="Arial" w:hAnsi="Arial" w:cs="Arial"/>
                <w:sz w:val="22"/>
                <w:szCs w:val="22"/>
                <w:lang w:val="en-GB"/>
              </w:rPr>
              <w:t>1</w:t>
            </w:r>
            <w:r>
              <w:rPr>
                <w:rFonts w:ascii="Arial" w:hAnsi="Arial" w:cs="Arial"/>
                <w:sz w:val="22"/>
                <w:szCs w:val="22"/>
                <w:lang w:val="en-GB"/>
              </w:rPr>
              <w:t>0</w:t>
            </w:r>
            <w:r w:rsidRPr="00596D07">
              <w:rPr>
                <w:rFonts w:ascii="Arial" w:hAnsi="Arial" w:cs="Arial"/>
                <w:sz w:val="22"/>
                <w:szCs w:val="22"/>
                <w:lang w:val="en-GB"/>
              </w:rPr>
              <w:t>)</w:t>
            </w:r>
          </w:p>
        </w:tc>
      </w:tr>
    </w:tbl>
    <w:p w14:paraId="42C5B30C" w14:textId="77777777" w:rsidR="008A6D2F" w:rsidRPr="002B119A" w:rsidRDefault="008A6D2F">
      <w:pPr>
        <w:rPr>
          <w:lang w:val="en-US"/>
        </w:rPr>
      </w:pPr>
    </w:p>
    <w:tbl>
      <w:tblPr>
        <w:tblStyle w:val="TableGrid"/>
        <w:tblW w:w="5000" w:type="pct"/>
        <w:tblLook w:val="04A0" w:firstRow="1" w:lastRow="0" w:firstColumn="1" w:lastColumn="0" w:noHBand="0" w:noVBand="1"/>
      </w:tblPr>
      <w:tblGrid>
        <w:gridCol w:w="699"/>
        <w:gridCol w:w="1564"/>
        <w:gridCol w:w="2900"/>
        <w:gridCol w:w="4465"/>
      </w:tblGrid>
      <w:tr w:rsidR="008A6D2F" w:rsidRPr="008A19F0" w14:paraId="5C3C45E2" w14:textId="77777777" w:rsidTr="00F82A28">
        <w:trPr>
          <w:cantSplit/>
        </w:trPr>
        <w:tc>
          <w:tcPr>
            <w:tcW w:w="1175" w:type="pct"/>
            <w:gridSpan w:val="2"/>
            <w:shd w:val="clear" w:color="auto" w:fill="808080" w:themeFill="background1" w:themeFillShade="80"/>
            <w:vAlign w:val="center"/>
          </w:tcPr>
          <w:p w14:paraId="3572A70E" w14:textId="77777777" w:rsidR="008A6D2F" w:rsidRPr="00696A00" w:rsidRDefault="008A6D2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lastRenderedPageBreak/>
              <w:t xml:space="preserve">Draft </w:t>
            </w:r>
            <w:r w:rsidRPr="00696A00">
              <w:rPr>
                <w:rFonts w:ascii="Arial" w:hAnsi="Arial" w:cs="Arial"/>
                <w:b/>
                <w:bCs/>
                <w:color w:val="FFFFFF" w:themeColor="background1"/>
                <w:sz w:val="22"/>
                <w:szCs w:val="22"/>
                <w:lang w:val="en-GB"/>
              </w:rPr>
              <w:t>3</w:t>
            </w:r>
            <w:r>
              <w:rPr>
                <w:rFonts w:ascii="Arial" w:hAnsi="Arial" w:cs="Arial"/>
                <w:b/>
                <w:bCs/>
                <w:color w:val="FFFFFF" w:themeColor="background1"/>
                <w:sz w:val="22"/>
                <w:szCs w:val="22"/>
                <w:lang w:val="en-GB"/>
              </w:rPr>
              <w:t>9</w:t>
            </w:r>
            <w:r w:rsidRPr="00696A00">
              <w:rPr>
                <w:rFonts w:ascii="Arial" w:hAnsi="Arial" w:cs="Arial"/>
                <w:b/>
                <w:bCs/>
                <w:color w:val="FFFFFF" w:themeColor="background1"/>
                <w:sz w:val="22"/>
                <w:szCs w:val="22"/>
                <w:lang w:val="en-GB"/>
              </w:rPr>
              <w:t>C/5 Performance Indicator 2</w:t>
            </w:r>
          </w:p>
        </w:tc>
        <w:tc>
          <w:tcPr>
            <w:tcW w:w="3825" w:type="pct"/>
            <w:gridSpan w:val="2"/>
            <w:shd w:val="clear" w:color="auto" w:fill="808080" w:themeFill="background1" w:themeFillShade="80"/>
            <w:vAlign w:val="center"/>
          </w:tcPr>
          <w:p w14:paraId="0A7F99CF" w14:textId="77777777" w:rsidR="008A6D2F" w:rsidRPr="00696A00" w:rsidRDefault="008A6D2F">
            <w:pPr>
              <w:keepNext/>
              <w:spacing w:before="120" w:after="120"/>
              <w:rPr>
                <w:rFonts w:ascii="Arial" w:hAnsi="Arial" w:cs="Arial"/>
                <w:b/>
                <w:bCs/>
                <w:color w:val="FFFFFF" w:themeColor="background1"/>
                <w:sz w:val="22"/>
                <w:szCs w:val="22"/>
                <w:lang w:val="en-GB"/>
              </w:rPr>
            </w:pPr>
            <w:r w:rsidRPr="00696A00">
              <w:rPr>
                <w:rFonts w:ascii="Arial" w:hAnsi="Arial" w:cs="Arial"/>
                <w:b/>
                <w:bCs/>
                <w:color w:val="FFFFFF" w:themeColor="background1"/>
                <w:sz w:val="22"/>
                <w:szCs w:val="22"/>
                <w:lang w:val="en-GB"/>
              </w:rPr>
              <w:t xml:space="preserve">Number of supported Member States utilizing strengthened human and institutional resources for </w:t>
            </w:r>
            <w:r>
              <w:rPr>
                <w:rFonts w:ascii="Arial" w:hAnsi="Arial" w:cs="Arial"/>
                <w:b/>
                <w:bCs/>
                <w:color w:val="FFFFFF" w:themeColor="background1"/>
                <w:sz w:val="22"/>
                <w:szCs w:val="22"/>
                <w:lang w:val="en-GB"/>
              </w:rPr>
              <w:t xml:space="preserve">the safeguarding of </w:t>
            </w:r>
            <w:r w:rsidRPr="00696A00">
              <w:rPr>
                <w:rFonts w:ascii="Arial" w:hAnsi="Arial" w:cs="Arial"/>
                <w:b/>
                <w:bCs/>
                <w:color w:val="FFFFFF" w:themeColor="background1"/>
                <w:sz w:val="22"/>
                <w:szCs w:val="22"/>
                <w:lang w:val="en-GB"/>
              </w:rPr>
              <w:t xml:space="preserve">intangible cultural heritage </w:t>
            </w:r>
          </w:p>
        </w:tc>
      </w:tr>
      <w:tr w:rsidR="008A6D2F" w:rsidRPr="008A19F0" w14:paraId="4398D590" w14:textId="77777777" w:rsidTr="00F82A28">
        <w:trPr>
          <w:cantSplit/>
        </w:trPr>
        <w:tc>
          <w:tcPr>
            <w:tcW w:w="1175" w:type="pct"/>
            <w:gridSpan w:val="2"/>
            <w:vMerge w:val="restart"/>
            <w:shd w:val="clear" w:color="auto" w:fill="F2F2F2" w:themeFill="background1" w:themeFillShade="F2"/>
            <w:vAlign w:val="center"/>
          </w:tcPr>
          <w:p w14:paraId="0F51C4F9" w14:textId="77777777" w:rsidR="008A6D2F" w:rsidRPr="00696A00" w:rsidRDefault="008A6D2F">
            <w:pPr>
              <w:keepNext/>
              <w:spacing w:before="60" w:after="60"/>
              <w:rPr>
                <w:rFonts w:ascii="Arial" w:hAnsi="Arial" w:cs="Arial"/>
                <w:b/>
                <w:bCs/>
                <w:sz w:val="22"/>
                <w:szCs w:val="22"/>
                <w:lang w:val="en-GB"/>
              </w:rPr>
            </w:pPr>
            <w:r w:rsidRPr="00696A00">
              <w:rPr>
                <w:rFonts w:ascii="Arial" w:hAnsi="Arial" w:cs="Arial"/>
                <w:b/>
                <w:bCs/>
                <w:sz w:val="22"/>
                <w:szCs w:val="22"/>
                <w:lang w:val="en-GB"/>
              </w:rPr>
              <w:t>ICH Fund Expected Result </w:t>
            </w:r>
            <w:r>
              <w:rPr>
                <w:rFonts w:ascii="Arial" w:hAnsi="Arial" w:cs="Arial"/>
                <w:b/>
                <w:bCs/>
                <w:sz w:val="22"/>
                <w:szCs w:val="22"/>
                <w:lang w:val="en-GB"/>
              </w:rPr>
              <w:t>2</w:t>
            </w:r>
          </w:p>
          <w:p w14:paraId="4EFE3E14" w14:textId="77777777" w:rsidR="008A6D2F" w:rsidRPr="00696A00" w:rsidRDefault="008A6D2F">
            <w:pPr>
              <w:keepNext/>
              <w:spacing w:before="60" w:after="60"/>
              <w:rPr>
                <w:rFonts w:ascii="Arial" w:hAnsi="Arial" w:cs="Arial"/>
                <w:b/>
                <w:bCs/>
                <w:sz w:val="22"/>
                <w:szCs w:val="22"/>
                <w:lang w:val="en-GB"/>
              </w:rPr>
            </w:pPr>
          </w:p>
        </w:tc>
        <w:tc>
          <w:tcPr>
            <w:tcW w:w="3825" w:type="pct"/>
            <w:gridSpan w:val="2"/>
            <w:shd w:val="clear" w:color="auto" w:fill="F2F2F2" w:themeFill="background1" w:themeFillShade="F2"/>
            <w:vAlign w:val="center"/>
          </w:tcPr>
          <w:p w14:paraId="0AA052E5" w14:textId="77777777" w:rsidR="008A6D2F" w:rsidRPr="00696A00" w:rsidRDefault="008A6D2F">
            <w:pPr>
              <w:keepNext/>
              <w:spacing w:before="60" w:after="60"/>
              <w:rPr>
                <w:rFonts w:ascii="Arial" w:hAnsi="Arial" w:cs="Arial"/>
                <w:b/>
                <w:bCs/>
                <w:sz w:val="22"/>
                <w:szCs w:val="22"/>
                <w:lang w:val="en-GB"/>
              </w:rPr>
            </w:pPr>
            <w:r w:rsidRPr="00696A00">
              <w:rPr>
                <w:rFonts w:ascii="Arial" w:hAnsi="Arial" w:cs="Arial"/>
                <w:b/>
                <w:bCs/>
                <w:sz w:val="22"/>
                <w:szCs w:val="22"/>
                <w:lang w:val="en-GB"/>
              </w:rPr>
              <w:t>Implementation of the Convention in Member States encouraged through a strengthened capacity-building programme and guidance on safeguarding measures and good practices</w:t>
            </w:r>
          </w:p>
        </w:tc>
      </w:tr>
      <w:tr w:rsidR="008A6D2F" w:rsidRPr="00696A00" w14:paraId="13FCAF99" w14:textId="77777777" w:rsidTr="00F82A28">
        <w:trPr>
          <w:cantSplit/>
        </w:trPr>
        <w:tc>
          <w:tcPr>
            <w:tcW w:w="1175" w:type="pct"/>
            <w:gridSpan w:val="2"/>
            <w:vMerge/>
            <w:shd w:val="clear" w:color="auto" w:fill="F2F2F2" w:themeFill="background1" w:themeFillShade="F2"/>
            <w:vAlign w:val="center"/>
          </w:tcPr>
          <w:p w14:paraId="5945BBE5" w14:textId="77777777" w:rsidR="008A6D2F" w:rsidRPr="00696A00" w:rsidRDefault="008A6D2F">
            <w:pPr>
              <w:keepNext/>
              <w:spacing w:before="60" w:after="60"/>
              <w:rPr>
                <w:rFonts w:ascii="Arial" w:hAnsi="Arial" w:cs="Arial"/>
                <w:b/>
                <w:bCs/>
                <w:sz w:val="22"/>
                <w:szCs w:val="22"/>
                <w:lang w:val="en-GB"/>
              </w:rPr>
            </w:pPr>
          </w:p>
        </w:tc>
        <w:tc>
          <w:tcPr>
            <w:tcW w:w="3825" w:type="pct"/>
            <w:gridSpan w:val="2"/>
            <w:shd w:val="clear" w:color="auto" w:fill="F2F2F2" w:themeFill="background1" w:themeFillShade="F2"/>
            <w:vAlign w:val="center"/>
          </w:tcPr>
          <w:p w14:paraId="63461E13" w14:textId="52552874" w:rsidR="008A6D2F" w:rsidRPr="00696A00" w:rsidRDefault="008A6D2F" w:rsidP="005A3DC9">
            <w:pPr>
              <w:keepNext/>
              <w:spacing w:before="60" w:after="60"/>
              <w:rPr>
                <w:rFonts w:ascii="Arial" w:hAnsi="Arial" w:cs="Arial"/>
                <w:b/>
                <w:bCs/>
                <w:sz w:val="22"/>
                <w:szCs w:val="22"/>
                <w:lang w:val="en-GB"/>
              </w:rPr>
            </w:pPr>
            <w:r w:rsidRPr="00696A00">
              <w:rPr>
                <w:rFonts w:ascii="Arial" w:hAnsi="Arial" w:cs="Arial"/>
                <w:b/>
                <w:bCs/>
                <w:sz w:val="22"/>
                <w:szCs w:val="22"/>
                <w:lang w:val="en-GB"/>
              </w:rPr>
              <w:t xml:space="preserve">Budgetary allocations: </w:t>
            </w:r>
            <w:r w:rsidRPr="00C06F15">
              <w:rPr>
                <w:rFonts w:ascii="Arial" w:hAnsi="Arial" w:cs="Arial"/>
                <w:b/>
                <w:bCs/>
                <w:sz w:val="22"/>
                <w:szCs w:val="22"/>
                <w:lang w:val="en-GB"/>
              </w:rPr>
              <w:t>US$</w:t>
            </w:r>
            <w:r w:rsidR="005A3DC9">
              <w:rPr>
                <w:rFonts w:ascii="Arial" w:hAnsi="Arial" w:cs="Arial"/>
                <w:b/>
                <w:bCs/>
                <w:sz w:val="22"/>
                <w:szCs w:val="22"/>
                <w:lang w:val="en-GB"/>
              </w:rPr>
              <w:t>13</w:t>
            </w:r>
            <w:r w:rsidR="00E82670">
              <w:rPr>
                <w:rFonts w:ascii="Arial" w:hAnsi="Arial" w:cs="Arial"/>
                <w:b/>
                <w:bCs/>
                <w:sz w:val="22"/>
                <w:szCs w:val="22"/>
                <w:lang w:val="en-GB"/>
              </w:rPr>
              <w:t>1</w:t>
            </w:r>
            <w:r w:rsidR="005A3DC9">
              <w:rPr>
                <w:rFonts w:ascii="Arial" w:hAnsi="Arial" w:cs="Arial"/>
                <w:b/>
                <w:bCs/>
                <w:sz w:val="22"/>
                <w:szCs w:val="22"/>
                <w:lang w:val="en-GB"/>
              </w:rPr>
              <w:t>,</w:t>
            </w:r>
            <w:r w:rsidR="00E82670">
              <w:rPr>
                <w:rFonts w:ascii="Arial" w:hAnsi="Arial" w:cs="Arial"/>
                <w:b/>
                <w:bCs/>
                <w:sz w:val="22"/>
                <w:szCs w:val="22"/>
                <w:lang w:val="en-GB"/>
              </w:rPr>
              <w:t>236</w:t>
            </w:r>
          </w:p>
        </w:tc>
      </w:tr>
      <w:tr w:rsidR="008A6D2F" w:rsidRPr="008A19F0" w14:paraId="3F620B5C" w14:textId="77777777" w:rsidTr="00F82A28">
        <w:trPr>
          <w:cantSplit/>
        </w:trPr>
        <w:tc>
          <w:tcPr>
            <w:tcW w:w="363" w:type="pct"/>
            <w:shd w:val="clear" w:color="auto" w:fill="F2F2F2" w:themeFill="background1" w:themeFillShade="F2"/>
            <w:vAlign w:val="center"/>
          </w:tcPr>
          <w:p w14:paraId="5FE93B40" w14:textId="77777777" w:rsidR="008A6D2F" w:rsidRPr="00696A00" w:rsidRDefault="008A6D2F">
            <w:pPr>
              <w:keepNext/>
              <w:spacing w:before="60" w:after="60"/>
              <w:jc w:val="right"/>
              <w:rPr>
                <w:rFonts w:ascii="Arial" w:hAnsi="Arial" w:cs="Arial"/>
                <w:i/>
                <w:iCs/>
                <w:sz w:val="22"/>
                <w:szCs w:val="22"/>
                <w:lang w:val="en-GB"/>
              </w:rPr>
            </w:pPr>
          </w:p>
        </w:tc>
        <w:tc>
          <w:tcPr>
            <w:tcW w:w="2318" w:type="pct"/>
            <w:gridSpan w:val="2"/>
            <w:shd w:val="clear" w:color="auto" w:fill="F2F2F2" w:themeFill="background1" w:themeFillShade="F2"/>
            <w:vAlign w:val="center"/>
          </w:tcPr>
          <w:p w14:paraId="1192E8B5" w14:textId="27FDBC90" w:rsidR="008A6D2F" w:rsidRPr="00696A00" w:rsidRDefault="00656462">
            <w:pPr>
              <w:keepNext/>
              <w:spacing w:before="60" w:after="60"/>
              <w:jc w:val="center"/>
              <w:rPr>
                <w:rFonts w:ascii="Arial" w:hAnsi="Arial" w:cs="Arial"/>
                <w:i/>
                <w:iCs/>
                <w:sz w:val="22"/>
                <w:szCs w:val="22"/>
                <w:lang w:val="en-GB"/>
              </w:rPr>
            </w:pPr>
            <w:r>
              <w:rPr>
                <w:rFonts w:ascii="Arial" w:hAnsi="Arial" w:cs="Arial"/>
                <w:i/>
                <w:iCs/>
                <w:sz w:val="22"/>
                <w:szCs w:val="22"/>
                <w:lang w:val="en-GB"/>
              </w:rPr>
              <w:t>Outputs</w:t>
            </w:r>
          </w:p>
        </w:tc>
        <w:tc>
          <w:tcPr>
            <w:tcW w:w="2319" w:type="pct"/>
            <w:shd w:val="clear" w:color="auto" w:fill="F2F2F2" w:themeFill="background1" w:themeFillShade="F2"/>
            <w:vAlign w:val="center"/>
          </w:tcPr>
          <w:p w14:paraId="4BF63528" w14:textId="4E064125" w:rsidR="008A6D2F" w:rsidRPr="00696A00" w:rsidRDefault="008A6D2F">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Indicators (</w:t>
            </w:r>
            <w:r w:rsidR="00656462">
              <w:rPr>
                <w:rFonts w:ascii="Arial" w:hAnsi="Arial" w:cs="Arial"/>
                <w:i/>
                <w:iCs/>
                <w:sz w:val="22"/>
                <w:szCs w:val="22"/>
                <w:lang w:val="en-GB"/>
              </w:rPr>
              <w:t>benchmarks</w:t>
            </w:r>
            <w:r w:rsidRPr="00696A00">
              <w:rPr>
                <w:rFonts w:ascii="Arial" w:hAnsi="Arial" w:cs="Arial"/>
                <w:i/>
                <w:iCs/>
                <w:sz w:val="22"/>
                <w:szCs w:val="22"/>
                <w:lang w:val="en-GB"/>
              </w:rPr>
              <w:t>)</w:t>
            </w:r>
            <w:r>
              <w:rPr>
                <w:rFonts w:ascii="Arial" w:hAnsi="Arial" w:cs="Arial"/>
                <w:i/>
                <w:iCs/>
                <w:sz w:val="22"/>
                <w:szCs w:val="22"/>
                <w:lang w:val="en-GB"/>
              </w:rPr>
              <w:br/>
              <w:t>1 January </w:t>
            </w:r>
            <w:r w:rsidR="00E55EFE">
              <w:rPr>
                <w:rFonts w:ascii="Arial" w:hAnsi="Arial" w:cs="Arial"/>
                <w:i/>
                <w:iCs/>
                <w:sz w:val="22"/>
                <w:szCs w:val="22"/>
                <w:lang w:val="en-GB"/>
              </w:rPr>
              <w:t>2018 to</w:t>
            </w:r>
            <w:r>
              <w:rPr>
                <w:rFonts w:ascii="Arial" w:hAnsi="Arial" w:cs="Arial"/>
                <w:i/>
                <w:iCs/>
                <w:sz w:val="22"/>
                <w:szCs w:val="22"/>
                <w:lang w:val="en-GB"/>
              </w:rPr>
              <w:t> 30 June 2018</w:t>
            </w:r>
          </w:p>
        </w:tc>
      </w:tr>
      <w:tr w:rsidR="008A6D2F" w:rsidRPr="008A19F0" w14:paraId="10AE5674" w14:textId="77777777" w:rsidTr="00F82A28">
        <w:trPr>
          <w:cantSplit/>
        </w:trPr>
        <w:tc>
          <w:tcPr>
            <w:tcW w:w="363" w:type="pct"/>
            <w:shd w:val="clear" w:color="auto" w:fill="auto"/>
            <w:vAlign w:val="center"/>
          </w:tcPr>
          <w:p w14:paraId="2F5A9B5E" w14:textId="77777777" w:rsidR="008A6D2F" w:rsidRPr="00696A00" w:rsidRDefault="008A6D2F">
            <w:pPr>
              <w:spacing w:before="60" w:after="60"/>
              <w:jc w:val="center"/>
              <w:rPr>
                <w:rFonts w:ascii="Arial" w:hAnsi="Arial" w:cs="Arial"/>
                <w:iCs/>
                <w:sz w:val="22"/>
                <w:szCs w:val="22"/>
                <w:lang w:val="en-GB"/>
              </w:rPr>
            </w:pPr>
            <w:r>
              <w:rPr>
                <w:rFonts w:ascii="Arial" w:hAnsi="Arial" w:cs="Arial"/>
                <w:iCs/>
                <w:sz w:val="22"/>
                <w:szCs w:val="22"/>
                <w:lang w:val="en-GB"/>
              </w:rPr>
              <w:t>2</w:t>
            </w:r>
            <w:r w:rsidRPr="00696A00">
              <w:rPr>
                <w:rFonts w:ascii="Arial" w:hAnsi="Arial" w:cs="Arial"/>
                <w:iCs/>
                <w:sz w:val="22"/>
                <w:szCs w:val="22"/>
                <w:lang w:val="en-GB"/>
              </w:rPr>
              <w:t>.1</w:t>
            </w:r>
          </w:p>
        </w:tc>
        <w:tc>
          <w:tcPr>
            <w:tcW w:w="2318" w:type="pct"/>
            <w:gridSpan w:val="2"/>
            <w:shd w:val="clear" w:color="auto" w:fill="auto"/>
            <w:vAlign w:val="center"/>
          </w:tcPr>
          <w:p w14:paraId="420741E9" w14:textId="77777777" w:rsidR="008A6D2F" w:rsidRPr="00696A00" w:rsidRDefault="008A6D2F">
            <w:pPr>
              <w:spacing w:before="60" w:after="60"/>
              <w:rPr>
                <w:rFonts w:ascii="Arial" w:hAnsi="Arial" w:cs="Arial"/>
                <w:i/>
                <w:iCs/>
                <w:sz w:val="22"/>
                <w:szCs w:val="22"/>
                <w:lang w:val="en-GB"/>
              </w:rPr>
            </w:pPr>
            <w:r w:rsidRPr="00696A00">
              <w:rPr>
                <w:rFonts w:ascii="Arial" w:hAnsi="Arial" w:cs="Arial"/>
                <w:sz w:val="22"/>
                <w:szCs w:val="22"/>
                <w:lang w:val="en-GB"/>
              </w:rPr>
              <w:t>Facilitators’ network strengthened</w:t>
            </w:r>
          </w:p>
        </w:tc>
        <w:tc>
          <w:tcPr>
            <w:tcW w:w="2319" w:type="pct"/>
            <w:shd w:val="clear" w:color="auto" w:fill="auto"/>
            <w:vAlign w:val="center"/>
          </w:tcPr>
          <w:p w14:paraId="2B785C8A" w14:textId="60FDFFE2" w:rsidR="008A6D2F" w:rsidRPr="00696A00" w:rsidRDefault="008A6D2F" w:rsidP="00AC202D">
            <w:pPr>
              <w:pStyle w:val="ListParagraph"/>
              <w:numPr>
                <w:ilvl w:val="0"/>
                <w:numId w:val="6"/>
              </w:numPr>
              <w:spacing w:before="60" w:after="60"/>
              <w:ind w:left="357" w:hanging="357"/>
              <w:contextualSpacing w:val="0"/>
              <w:rPr>
                <w:rFonts w:ascii="Arial" w:hAnsi="Arial" w:cs="Arial"/>
                <w:sz w:val="22"/>
                <w:szCs w:val="22"/>
                <w:lang w:val="en-GB"/>
              </w:rPr>
            </w:pPr>
            <w:r w:rsidRPr="00696A00">
              <w:rPr>
                <w:rFonts w:ascii="Arial" w:hAnsi="Arial" w:cs="Arial"/>
                <w:sz w:val="22"/>
                <w:szCs w:val="22"/>
                <w:lang w:val="en-GB"/>
              </w:rPr>
              <w:t xml:space="preserve">Regional workshops to train facilitators and update </w:t>
            </w:r>
            <w:r w:rsidR="00E55EFE">
              <w:rPr>
                <w:rFonts w:ascii="Arial" w:hAnsi="Arial" w:cs="Arial"/>
                <w:sz w:val="22"/>
                <w:szCs w:val="22"/>
                <w:lang w:val="en-GB"/>
              </w:rPr>
              <w:t xml:space="preserve">their </w:t>
            </w:r>
            <w:r w:rsidRPr="00696A00">
              <w:rPr>
                <w:rFonts w:ascii="Arial" w:hAnsi="Arial" w:cs="Arial"/>
                <w:sz w:val="22"/>
                <w:szCs w:val="22"/>
                <w:lang w:val="en-GB"/>
              </w:rPr>
              <w:t>skills</w:t>
            </w:r>
            <w:r w:rsidRPr="00696A00">
              <w:rPr>
                <w:rFonts w:ascii="Arial" w:hAnsi="Arial" w:cs="Arial"/>
                <w:sz w:val="22"/>
                <w:szCs w:val="22"/>
                <w:lang w:val="en-GB"/>
              </w:rPr>
              <w:br/>
              <w:t>(</w:t>
            </w:r>
            <w:r w:rsidR="00656462">
              <w:rPr>
                <w:rFonts w:ascii="Arial" w:hAnsi="Arial" w:cs="Arial"/>
                <w:sz w:val="22"/>
                <w:szCs w:val="22"/>
                <w:lang w:val="en-GB"/>
              </w:rPr>
              <w:t>B=</w:t>
            </w:r>
            <w:r>
              <w:rPr>
                <w:rFonts w:ascii="Arial" w:hAnsi="Arial" w:cs="Arial"/>
                <w:sz w:val="22"/>
                <w:szCs w:val="22"/>
                <w:lang w:val="en-GB"/>
              </w:rPr>
              <w:t>1</w:t>
            </w:r>
            <w:r w:rsidRPr="00696A00">
              <w:rPr>
                <w:rFonts w:ascii="Arial" w:hAnsi="Arial" w:cs="Arial"/>
                <w:sz w:val="22"/>
                <w:szCs w:val="22"/>
                <w:lang w:val="en-GB"/>
              </w:rPr>
              <w:t>, contingent on host</w:t>
            </w:r>
            <w:r w:rsidR="00E55EFE">
              <w:rPr>
                <w:rFonts w:ascii="Arial" w:hAnsi="Arial" w:cs="Arial"/>
                <w:sz w:val="22"/>
                <w:szCs w:val="22"/>
                <w:lang w:val="en-GB"/>
              </w:rPr>
              <w:t xml:space="preserve"> </w:t>
            </w:r>
            <w:r w:rsidRPr="00696A00">
              <w:rPr>
                <w:rFonts w:ascii="Arial" w:hAnsi="Arial" w:cs="Arial"/>
                <w:sz w:val="22"/>
                <w:szCs w:val="22"/>
                <w:lang w:val="en-GB"/>
              </w:rPr>
              <w:t>country or partner support)</w:t>
            </w:r>
          </w:p>
          <w:p w14:paraId="4382EC41" w14:textId="5E28AE3C" w:rsidR="008A6D2F" w:rsidRPr="00696A00" w:rsidRDefault="008A6D2F" w:rsidP="00AC202D">
            <w:pPr>
              <w:pStyle w:val="ListParagraph"/>
              <w:numPr>
                <w:ilvl w:val="0"/>
                <w:numId w:val="6"/>
              </w:numPr>
              <w:spacing w:before="60" w:after="60"/>
              <w:ind w:left="357" w:hanging="357"/>
              <w:contextualSpacing w:val="0"/>
              <w:rPr>
                <w:rFonts w:ascii="Arial" w:hAnsi="Arial" w:cs="Arial"/>
                <w:iCs/>
                <w:sz w:val="22"/>
                <w:szCs w:val="22"/>
                <w:lang w:val="en-GB"/>
              </w:rPr>
            </w:pPr>
            <w:r w:rsidRPr="00696A00">
              <w:rPr>
                <w:rFonts w:ascii="Arial" w:hAnsi="Arial" w:cs="Arial"/>
                <w:sz w:val="22"/>
                <w:szCs w:val="22"/>
                <w:lang w:val="en-GB"/>
              </w:rPr>
              <w:t xml:space="preserve">IT functionalities </w:t>
            </w:r>
            <w:r>
              <w:rPr>
                <w:rFonts w:ascii="Arial" w:hAnsi="Arial" w:cs="Arial"/>
                <w:sz w:val="22"/>
                <w:szCs w:val="22"/>
                <w:lang w:val="en-GB"/>
              </w:rPr>
              <w:t>maintained</w:t>
            </w:r>
            <w:r w:rsidRPr="00696A00">
              <w:rPr>
                <w:rFonts w:ascii="Arial" w:hAnsi="Arial" w:cs="Arial"/>
                <w:sz w:val="22"/>
                <w:szCs w:val="22"/>
                <w:lang w:val="en-GB"/>
              </w:rPr>
              <w:t xml:space="preserve"> for the capacity-building programme (</w:t>
            </w:r>
            <w:r w:rsidR="00656462">
              <w:rPr>
                <w:rFonts w:ascii="Arial" w:hAnsi="Arial" w:cs="Arial"/>
                <w:sz w:val="22"/>
                <w:szCs w:val="22"/>
                <w:lang w:val="en-GB"/>
              </w:rPr>
              <w:t>B=</w:t>
            </w:r>
            <w:r>
              <w:rPr>
                <w:rFonts w:ascii="Arial" w:hAnsi="Arial" w:cs="Arial"/>
                <w:sz w:val="22"/>
                <w:szCs w:val="22"/>
                <w:lang w:val="en-GB"/>
              </w:rPr>
              <w:t>1</w:t>
            </w:r>
            <w:r w:rsidRPr="00696A00">
              <w:rPr>
                <w:rFonts w:ascii="Arial" w:hAnsi="Arial" w:cs="Arial"/>
                <w:sz w:val="22"/>
                <w:szCs w:val="22"/>
                <w:lang w:val="en-GB"/>
              </w:rPr>
              <w:t>)</w:t>
            </w:r>
          </w:p>
        </w:tc>
      </w:tr>
      <w:tr w:rsidR="008A6D2F" w:rsidRPr="008A19F0" w14:paraId="50DADBA7" w14:textId="77777777" w:rsidTr="00F82A28">
        <w:trPr>
          <w:cantSplit/>
        </w:trPr>
        <w:tc>
          <w:tcPr>
            <w:tcW w:w="363" w:type="pct"/>
            <w:shd w:val="clear" w:color="auto" w:fill="auto"/>
            <w:vAlign w:val="center"/>
          </w:tcPr>
          <w:p w14:paraId="0B3755A5" w14:textId="77777777" w:rsidR="008A6D2F" w:rsidRPr="00696A00" w:rsidRDefault="008A6D2F">
            <w:pPr>
              <w:spacing w:before="60" w:after="60"/>
              <w:jc w:val="center"/>
              <w:rPr>
                <w:rFonts w:ascii="Arial" w:hAnsi="Arial" w:cs="Arial"/>
                <w:iCs/>
                <w:sz w:val="22"/>
                <w:szCs w:val="22"/>
                <w:lang w:val="en-GB"/>
              </w:rPr>
            </w:pPr>
            <w:r>
              <w:rPr>
                <w:rFonts w:ascii="Arial" w:hAnsi="Arial" w:cs="Arial"/>
                <w:iCs/>
                <w:sz w:val="22"/>
                <w:szCs w:val="22"/>
                <w:lang w:val="en-GB"/>
              </w:rPr>
              <w:t>2</w:t>
            </w:r>
            <w:r w:rsidRPr="00696A00">
              <w:rPr>
                <w:rFonts w:ascii="Arial" w:hAnsi="Arial" w:cs="Arial"/>
                <w:iCs/>
                <w:sz w:val="22"/>
                <w:szCs w:val="22"/>
                <w:lang w:val="en-GB"/>
              </w:rPr>
              <w:t>.2</w:t>
            </w:r>
          </w:p>
        </w:tc>
        <w:tc>
          <w:tcPr>
            <w:tcW w:w="2318" w:type="pct"/>
            <w:gridSpan w:val="2"/>
            <w:shd w:val="clear" w:color="auto" w:fill="auto"/>
            <w:vAlign w:val="center"/>
          </w:tcPr>
          <w:p w14:paraId="64DD4294" w14:textId="77777777" w:rsidR="008A6D2F" w:rsidRPr="00696A00" w:rsidRDefault="008A6D2F">
            <w:pPr>
              <w:spacing w:before="60" w:after="60"/>
              <w:rPr>
                <w:rFonts w:ascii="Arial" w:hAnsi="Arial" w:cs="Arial"/>
                <w:i/>
                <w:iCs/>
                <w:sz w:val="22"/>
                <w:szCs w:val="22"/>
                <w:lang w:val="en-GB"/>
              </w:rPr>
            </w:pPr>
            <w:r w:rsidRPr="00696A00">
              <w:rPr>
                <w:rFonts w:ascii="Arial" w:hAnsi="Arial" w:cs="Arial"/>
                <w:color w:val="000000"/>
                <w:sz w:val="22"/>
                <w:szCs w:val="22"/>
                <w:lang w:val="en-GB"/>
              </w:rPr>
              <w:t xml:space="preserve">Content and format of the capacity-building programme reviewed and adapted to respond to major implementation challenges </w:t>
            </w:r>
          </w:p>
        </w:tc>
        <w:tc>
          <w:tcPr>
            <w:tcW w:w="2319" w:type="pct"/>
            <w:shd w:val="clear" w:color="auto" w:fill="auto"/>
            <w:vAlign w:val="center"/>
          </w:tcPr>
          <w:p w14:paraId="175004FB" w14:textId="7AA99DC2" w:rsidR="008A6D2F" w:rsidRPr="00696A00" w:rsidRDefault="008A6D2F" w:rsidP="00AC202D">
            <w:pPr>
              <w:pStyle w:val="ListParagraph"/>
              <w:numPr>
                <w:ilvl w:val="0"/>
                <w:numId w:val="6"/>
              </w:numPr>
              <w:spacing w:before="60" w:after="60"/>
              <w:ind w:left="357" w:hanging="357"/>
              <w:contextualSpacing w:val="0"/>
              <w:rPr>
                <w:rFonts w:ascii="Arial" w:hAnsi="Arial" w:cs="Arial"/>
                <w:sz w:val="22"/>
                <w:szCs w:val="22"/>
                <w:lang w:val="en-GB"/>
              </w:rPr>
            </w:pPr>
            <w:r w:rsidRPr="00696A00">
              <w:rPr>
                <w:rFonts w:ascii="Arial" w:hAnsi="Arial" w:cs="Arial"/>
                <w:sz w:val="22"/>
                <w:szCs w:val="22"/>
                <w:lang w:val="en-GB"/>
              </w:rPr>
              <w:t xml:space="preserve">New curricular content </w:t>
            </w:r>
            <w:r>
              <w:rPr>
                <w:rFonts w:ascii="Arial" w:hAnsi="Arial" w:cs="Arial"/>
                <w:sz w:val="22"/>
                <w:szCs w:val="22"/>
                <w:lang w:val="en-GB"/>
              </w:rPr>
              <w:t>translated and available in two languages</w:t>
            </w:r>
            <w:r w:rsidRPr="00696A00">
              <w:rPr>
                <w:rFonts w:ascii="Arial" w:hAnsi="Arial" w:cs="Arial"/>
                <w:sz w:val="22"/>
                <w:szCs w:val="22"/>
                <w:lang w:val="en-GB"/>
              </w:rPr>
              <w:t xml:space="preserve"> (</w:t>
            </w:r>
            <w:r w:rsidR="00656462">
              <w:rPr>
                <w:rFonts w:ascii="Arial" w:hAnsi="Arial" w:cs="Arial"/>
                <w:sz w:val="22"/>
                <w:szCs w:val="22"/>
                <w:lang w:val="en-GB"/>
              </w:rPr>
              <w:t>B=</w:t>
            </w:r>
            <w:r>
              <w:rPr>
                <w:rFonts w:ascii="Arial" w:hAnsi="Arial" w:cs="Arial"/>
                <w:sz w:val="22"/>
                <w:szCs w:val="22"/>
                <w:lang w:val="en-GB"/>
              </w:rPr>
              <w:t>2</w:t>
            </w:r>
            <w:r w:rsidRPr="00696A00">
              <w:rPr>
                <w:rFonts w:ascii="Arial" w:hAnsi="Arial" w:cs="Arial"/>
                <w:sz w:val="22"/>
                <w:szCs w:val="22"/>
                <w:lang w:val="en-GB"/>
              </w:rPr>
              <w:t>)</w:t>
            </w:r>
          </w:p>
          <w:p w14:paraId="73DBC328" w14:textId="64DA20D1" w:rsidR="008A6D2F" w:rsidRPr="00696A00" w:rsidRDefault="008A6D2F" w:rsidP="00AC202D">
            <w:pPr>
              <w:pStyle w:val="ListParagraph"/>
              <w:numPr>
                <w:ilvl w:val="0"/>
                <w:numId w:val="6"/>
              </w:numPr>
              <w:spacing w:before="60" w:after="60"/>
              <w:ind w:left="357" w:hanging="357"/>
              <w:contextualSpacing w:val="0"/>
              <w:rPr>
                <w:rFonts w:ascii="Arial" w:hAnsi="Arial" w:cs="Arial"/>
                <w:iCs/>
                <w:sz w:val="22"/>
                <w:szCs w:val="22"/>
                <w:lang w:val="en-GB"/>
              </w:rPr>
            </w:pPr>
            <w:r w:rsidRPr="00696A00">
              <w:rPr>
                <w:rFonts w:ascii="Arial" w:hAnsi="Arial" w:cs="Arial"/>
                <w:sz w:val="22"/>
                <w:szCs w:val="22"/>
                <w:lang w:val="en-GB"/>
              </w:rPr>
              <w:t>IT functionalities updated for the capacity-building programme (</w:t>
            </w:r>
            <w:r w:rsidR="00656462">
              <w:rPr>
                <w:rFonts w:ascii="Arial" w:hAnsi="Arial" w:cs="Arial"/>
                <w:sz w:val="22"/>
                <w:szCs w:val="22"/>
                <w:lang w:val="en-GB"/>
              </w:rPr>
              <w:t>B=</w:t>
            </w:r>
            <w:r>
              <w:rPr>
                <w:rFonts w:ascii="Arial" w:hAnsi="Arial" w:cs="Arial"/>
                <w:sz w:val="22"/>
                <w:szCs w:val="22"/>
                <w:lang w:val="en-GB"/>
              </w:rPr>
              <w:t>1</w:t>
            </w:r>
            <w:r w:rsidRPr="00696A00">
              <w:rPr>
                <w:rFonts w:ascii="Arial" w:hAnsi="Arial" w:cs="Arial"/>
                <w:sz w:val="22"/>
                <w:szCs w:val="22"/>
                <w:lang w:val="en-GB"/>
              </w:rPr>
              <w:t>)</w:t>
            </w:r>
          </w:p>
        </w:tc>
      </w:tr>
      <w:tr w:rsidR="008A6D2F" w:rsidRPr="008A19F0" w14:paraId="76BC477A" w14:textId="77777777" w:rsidTr="00F82A28">
        <w:trPr>
          <w:cantSplit/>
        </w:trPr>
        <w:tc>
          <w:tcPr>
            <w:tcW w:w="363" w:type="pct"/>
            <w:shd w:val="clear" w:color="auto" w:fill="auto"/>
            <w:vAlign w:val="center"/>
          </w:tcPr>
          <w:p w14:paraId="772974E6" w14:textId="77777777" w:rsidR="008A6D2F" w:rsidRPr="00696A00" w:rsidRDefault="008A6D2F">
            <w:pPr>
              <w:spacing w:before="60" w:after="60"/>
              <w:jc w:val="center"/>
              <w:rPr>
                <w:rFonts w:ascii="Arial" w:hAnsi="Arial" w:cs="Arial"/>
                <w:iCs/>
                <w:sz w:val="22"/>
                <w:szCs w:val="22"/>
                <w:lang w:val="en-GB"/>
              </w:rPr>
            </w:pPr>
            <w:r>
              <w:rPr>
                <w:rFonts w:ascii="Arial" w:hAnsi="Arial" w:cs="Arial"/>
                <w:iCs/>
                <w:sz w:val="22"/>
                <w:szCs w:val="22"/>
                <w:lang w:val="en-GB"/>
              </w:rPr>
              <w:t>2</w:t>
            </w:r>
            <w:r w:rsidRPr="00696A00">
              <w:rPr>
                <w:rFonts w:ascii="Arial" w:hAnsi="Arial" w:cs="Arial"/>
                <w:iCs/>
                <w:sz w:val="22"/>
                <w:szCs w:val="22"/>
                <w:lang w:val="en-GB"/>
              </w:rPr>
              <w:t>.3</w:t>
            </w:r>
          </w:p>
        </w:tc>
        <w:tc>
          <w:tcPr>
            <w:tcW w:w="2318" w:type="pct"/>
            <w:gridSpan w:val="2"/>
            <w:shd w:val="clear" w:color="auto" w:fill="auto"/>
            <w:vAlign w:val="center"/>
          </w:tcPr>
          <w:p w14:paraId="0C769697" w14:textId="77777777" w:rsidR="008A6D2F" w:rsidRPr="00696A00" w:rsidRDefault="008A6D2F">
            <w:pPr>
              <w:spacing w:before="60" w:after="60"/>
              <w:rPr>
                <w:rFonts w:ascii="Arial" w:hAnsi="Arial" w:cs="Arial"/>
                <w:i/>
                <w:iCs/>
                <w:sz w:val="22"/>
                <w:szCs w:val="22"/>
                <w:lang w:val="en-GB"/>
              </w:rPr>
            </w:pPr>
            <w:r>
              <w:rPr>
                <w:rFonts w:ascii="Arial" w:hAnsi="Arial" w:cs="Arial"/>
                <w:sz w:val="22"/>
                <w:szCs w:val="22"/>
                <w:lang w:val="en-GB"/>
              </w:rPr>
              <w:t>P</w:t>
            </w:r>
            <w:r w:rsidRPr="00696A00">
              <w:rPr>
                <w:rFonts w:ascii="Arial" w:hAnsi="Arial" w:cs="Arial"/>
                <w:sz w:val="22"/>
                <w:szCs w:val="22"/>
                <w:lang w:val="en-GB"/>
              </w:rPr>
              <w:t>reliminary follow-up and evaluation mechanism for capacity building</w:t>
            </w:r>
            <w:r>
              <w:rPr>
                <w:rFonts w:ascii="Arial" w:hAnsi="Arial" w:cs="Arial"/>
                <w:sz w:val="22"/>
                <w:szCs w:val="22"/>
                <w:lang w:val="en-GB"/>
              </w:rPr>
              <w:t xml:space="preserve"> piloted</w:t>
            </w:r>
          </w:p>
        </w:tc>
        <w:tc>
          <w:tcPr>
            <w:tcW w:w="2319" w:type="pct"/>
            <w:shd w:val="clear" w:color="auto" w:fill="auto"/>
            <w:vAlign w:val="center"/>
          </w:tcPr>
          <w:p w14:paraId="3C7BDC39" w14:textId="1F29D62F" w:rsidR="008A6D2F" w:rsidRPr="00C06F15" w:rsidRDefault="008A6D2F" w:rsidP="00AC202D">
            <w:pPr>
              <w:pStyle w:val="ListParagraph"/>
              <w:numPr>
                <w:ilvl w:val="0"/>
                <w:numId w:val="6"/>
              </w:numPr>
              <w:spacing w:before="60" w:after="60"/>
              <w:ind w:left="357" w:hanging="357"/>
              <w:contextualSpacing w:val="0"/>
              <w:rPr>
                <w:rFonts w:ascii="Arial" w:hAnsi="Arial" w:cs="Arial"/>
                <w:sz w:val="22"/>
                <w:szCs w:val="22"/>
                <w:lang w:val="en-GB"/>
              </w:rPr>
            </w:pPr>
            <w:r>
              <w:rPr>
                <w:rFonts w:ascii="Arial" w:hAnsi="Arial" w:cs="Arial"/>
                <w:sz w:val="22"/>
                <w:szCs w:val="22"/>
                <w:lang w:val="en-GB"/>
              </w:rPr>
              <w:t>Follow-up and evaluation mechanism aligned with overall results framework (</w:t>
            </w:r>
            <w:r w:rsidR="00656462">
              <w:rPr>
                <w:rFonts w:ascii="Arial" w:hAnsi="Arial" w:cs="Arial"/>
                <w:sz w:val="22"/>
                <w:szCs w:val="22"/>
                <w:lang w:val="en-GB"/>
              </w:rPr>
              <w:t>B=</w:t>
            </w:r>
            <w:r>
              <w:rPr>
                <w:rFonts w:ascii="Arial" w:hAnsi="Arial" w:cs="Arial"/>
                <w:sz w:val="22"/>
                <w:szCs w:val="22"/>
                <w:lang w:val="en-GB"/>
              </w:rPr>
              <w:t>1)</w:t>
            </w:r>
          </w:p>
        </w:tc>
      </w:tr>
      <w:tr w:rsidR="008A6D2F" w:rsidRPr="008A19F0" w14:paraId="183B033D" w14:textId="77777777" w:rsidTr="00F82A28">
        <w:trPr>
          <w:cantSplit/>
        </w:trPr>
        <w:tc>
          <w:tcPr>
            <w:tcW w:w="363" w:type="pct"/>
            <w:shd w:val="clear" w:color="auto" w:fill="auto"/>
            <w:vAlign w:val="center"/>
          </w:tcPr>
          <w:p w14:paraId="300F0C2E" w14:textId="77777777" w:rsidR="008A6D2F" w:rsidRPr="00696A00" w:rsidRDefault="008A6D2F">
            <w:pPr>
              <w:spacing w:before="60" w:after="60"/>
              <w:jc w:val="center"/>
              <w:rPr>
                <w:rFonts w:ascii="Arial" w:hAnsi="Arial" w:cs="Arial"/>
                <w:iCs/>
                <w:sz w:val="22"/>
                <w:szCs w:val="22"/>
                <w:lang w:val="en-GB"/>
              </w:rPr>
            </w:pPr>
            <w:r>
              <w:rPr>
                <w:rFonts w:ascii="Arial" w:hAnsi="Arial" w:cs="Arial"/>
                <w:iCs/>
                <w:sz w:val="22"/>
                <w:szCs w:val="22"/>
                <w:lang w:val="en-GB"/>
              </w:rPr>
              <w:t>2</w:t>
            </w:r>
            <w:r w:rsidRPr="00696A00">
              <w:rPr>
                <w:rFonts w:ascii="Arial" w:hAnsi="Arial" w:cs="Arial"/>
                <w:iCs/>
                <w:sz w:val="22"/>
                <w:szCs w:val="22"/>
                <w:lang w:val="en-GB"/>
              </w:rPr>
              <w:t>.</w:t>
            </w:r>
            <w:r>
              <w:rPr>
                <w:rFonts w:ascii="Arial" w:hAnsi="Arial" w:cs="Arial"/>
                <w:iCs/>
                <w:sz w:val="22"/>
                <w:szCs w:val="22"/>
                <w:lang w:val="en-GB"/>
              </w:rPr>
              <w:t>4</w:t>
            </w:r>
          </w:p>
        </w:tc>
        <w:tc>
          <w:tcPr>
            <w:tcW w:w="2318" w:type="pct"/>
            <w:gridSpan w:val="2"/>
            <w:shd w:val="clear" w:color="auto" w:fill="auto"/>
            <w:vAlign w:val="center"/>
          </w:tcPr>
          <w:p w14:paraId="4C531A1A" w14:textId="77777777" w:rsidR="008A6D2F" w:rsidRPr="00696A00" w:rsidRDefault="008A6D2F">
            <w:pPr>
              <w:spacing w:before="60" w:after="60"/>
              <w:rPr>
                <w:rFonts w:ascii="Arial" w:hAnsi="Arial" w:cs="Arial"/>
                <w:iCs/>
                <w:sz w:val="22"/>
                <w:szCs w:val="22"/>
                <w:lang w:val="en-GB"/>
              </w:rPr>
            </w:pPr>
            <w:r w:rsidRPr="00696A00">
              <w:rPr>
                <w:rFonts w:ascii="Arial" w:hAnsi="Arial" w:cs="Arial"/>
                <w:iCs/>
                <w:sz w:val="22"/>
                <w:szCs w:val="22"/>
                <w:lang w:val="en-GB"/>
              </w:rPr>
              <w:t xml:space="preserve">Guidance on </w:t>
            </w:r>
            <w:r w:rsidRPr="00696A00">
              <w:rPr>
                <w:rFonts w:ascii="Arial" w:hAnsi="Arial" w:cs="Arial"/>
                <w:bCs/>
                <w:sz w:val="22"/>
                <w:szCs w:val="22"/>
                <w:lang w:val="en-GB"/>
              </w:rPr>
              <w:t>safeguarding measures and good practices strengthened</w:t>
            </w:r>
          </w:p>
        </w:tc>
        <w:tc>
          <w:tcPr>
            <w:tcW w:w="2319" w:type="pct"/>
            <w:shd w:val="clear" w:color="auto" w:fill="auto"/>
            <w:vAlign w:val="center"/>
          </w:tcPr>
          <w:p w14:paraId="2B1D25AC" w14:textId="0B4E59F8" w:rsidR="008A6D2F" w:rsidRPr="00696A00" w:rsidRDefault="008A6D2F" w:rsidP="00966970">
            <w:pPr>
              <w:pStyle w:val="ListParagraph"/>
              <w:numPr>
                <w:ilvl w:val="0"/>
                <w:numId w:val="6"/>
              </w:numPr>
              <w:spacing w:before="60" w:after="60"/>
              <w:ind w:left="357" w:hanging="357"/>
              <w:contextualSpacing w:val="0"/>
              <w:rPr>
                <w:rFonts w:ascii="Arial" w:hAnsi="Arial" w:cs="Arial"/>
                <w:iCs/>
                <w:sz w:val="22"/>
                <w:szCs w:val="22"/>
                <w:lang w:val="en-GB"/>
              </w:rPr>
            </w:pPr>
            <w:r w:rsidRPr="004876DE">
              <w:rPr>
                <w:rFonts w:ascii="Arial" w:hAnsi="Arial" w:cs="Arial"/>
                <w:iCs/>
                <w:sz w:val="22"/>
                <w:szCs w:val="22"/>
                <w:lang w:val="en-GB"/>
              </w:rPr>
              <w:t xml:space="preserve">Proposals collected for alternative, lighter ways of sharing safeguarding experiences to complement the Register of </w:t>
            </w:r>
            <w:r w:rsidR="00966970">
              <w:rPr>
                <w:rFonts w:ascii="Arial" w:hAnsi="Arial" w:cs="Arial"/>
                <w:iCs/>
                <w:sz w:val="22"/>
                <w:szCs w:val="22"/>
                <w:lang w:val="en-GB"/>
              </w:rPr>
              <w:t>Good</w:t>
            </w:r>
            <w:r w:rsidR="00966970" w:rsidRPr="004876DE">
              <w:rPr>
                <w:rFonts w:ascii="Arial" w:hAnsi="Arial" w:cs="Arial"/>
                <w:iCs/>
                <w:sz w:val="22"/>
                <w:szCs w:val="22"/>
                <w:lang w:val="en-GB"/>
              </w:rPr>
              <w:t xml:space="preserve"> </w:t>
            </w:r>
            <w:r w:rsidRPr="004876DE">
              <w:rPr>
                <w:rFonts w:ascii="Arial" w:hAnsi="Arial" w:cs="Arial"/>
                <w:iCs/>
                <w:sz w:val="22"/>
                <w:szCs w:val="22"/>
                <w:lang w:val="en-GB"/>
              </w:rPr>
              <w:t>Safeguarding Practices (</w:t>
            </w:r>
            <w:r w:rsidR="00656462">
              <w:rPr>
                <w:rFonts w:ascii="Arial" w:hAnsi="Arial" w:cs="Arial"/>
                <w:iCs/>
                <w:sz w:val="22"/>
                <w:szCs w:val="22"/>
                <w:lang w:val="en-GB"/>
              </w:rPr>
              <w:t>B=</w:t>
            </w:r>
            <w:r w:rsidRPr="004876DE">
              <w:rPr>
                <w:rFonts w:ascii="Arial" w:hAnsi="Arial" w:cs="Arial"/>
                <w:iCs/>
                <w:sz w:val="22"/>
                <w:szCs w:val="22"/>
                <w:lang w:val="en-GB"/>
              </w:rPr>
              <w:t>1)</w:t>
            </w:r>
          </w:p>
        </w:tc>
      </w:tr>
    </w:tbl>
    <w:p w14:paraId="2AF80724" w14:textId="77777777" w:rsidR="008A6D2F" w:rsidRPr="00696A00" w:rsidRDefault="008A6D2F">
      <w:pPr>
        <w:pStyle w:val="Marge"/>
        <w:spacing w:before="120" w:after="120"/>
        <w:rPr>
          <w:rFonts w:cs="Arial"/>
          <w:b/>
          <w:bCs/>
          <w:szCs w:val="22"/>
          <w:lang w:val="en-GB"/>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8A6D2F" w:rsidRPr="008A19F0" w14:paraId="6A47AF16" w14:textId="77777777" w:rsidTr="00F82A28">
        <w:trPr>
          <w:cantSplit/>
        </w:trPr>
        <w:tc>
          <w:tcPr>
            <w:tcW w:w="1175" w:type="pct"/>
            <w:gridSpan w:val="2"/>
            <w:shd w:val="clear" w:color="auto" w:fill="808080" w:themeFill="background1" w:themeFillShade="80"/>
            <w:vAlign w:val="center"/>
          </w:tcPr>
          <w:p w14:paraId="0836AA9A" w14:textId="77777777" w:rsidR="008A6D2F" w:rsidRPr="00696A00" w:rsidRDefault="008A6D2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 xml:space="preserve">Draft </w:t>
            </w:r>
            <w:r w:rsidRPr="00696A00">
              <w:rPr>
                <w:rFonts w:ascii="Arial" w:hAnsi="Arial" w:cs="Arial"/>
                <w:b/>
                <w:bCs/>
                <w:color w:val="FFFFFF" w:themeColor="background1"/>
                <w:sz w:val="22"/>
                <w:szCs w:val="22"/>
                <w:lang w:val="en-GB"/>
              </w:rPr>
              <w:t>3</w:t>
            </w:r>
            <w:r>
              <w:rPr>
                <w:rFonts w:ascii="Arial" w:hAnsi="Arial" w:cs="Arial"/>
                <w:b/>
                <w:bCs/>
                <w:color w:val="FFFFFF" w:themeColor="background1"/>
                <w:sz w:val="22"/>
                <w:szCs w:val="22"/>
                <w:lang w:val="en-GB"/>
              </w:rPr>
              <w:t>9</w:t>
            </w:r>
            <w:r w:rsidRPr="00696A00">
              <w:rPr>
                <w:rFonts w:ascii="Arial" w:hAnsi="Arial" w:cs="Arial"/>
                <w:b/>
                <w:bCs/>
                <w:color w:val="FFFFFF" w:themeColor="background1"/>
                <w:sz w:val="22"/>
                <w:szCs w:val="22"/>
                <w:lang w:val="en-GB"/>
              </w:rPr>
              <w:t>C/5 Performance Indicator 3</w:t>
            </w:r>
          </w:p>
        </w:tc>
        <w:tc>
          <w:tcPr>
            <w:tcW w:w="3825" w:type="pct"/>
            <w:gridSpan w:val="2"/>
            <w:shd w:val="clear" w:color="auto" w:fill="808080" w:themeFill="background1" w:themeFillShade="80"/>
            <w:vAlign w:val="center"/>
          </w:tcPr>
          <w:p w14:paraId="343B841A" w14:textId="0C3AF22F" w:rsidR="008A6D2F" w:rsidRPr="00696A00" w:rsidRDefault="008A6D2F" w:rsidP="00E55EFE">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Number of supported Member States which have integrated intangible cultural heritage into their plans, policies and programmes, in particular as a contribution towards the achievement of SDGs</w:t>
            </w:r>
          </w:p>
        </w:tc>
      </w:tr>
      <w:tr w:rsidR="008A6D2F" w:rsidRPr="008A19F0" w14:paraId="661E38AB" w14:textId="77777777" w:rsidTr="00313B8D">
        <w:trPr>
          <w:cantSplit/>
        </w:trPr>
        <w:tc>
          <w:tcPr>
            <w:tcW w:w="1175" w:type="pct"/>
            <w:gridSpan w:val="2"/>
            <w:vMerge w:val="restart"/>
            <w:shd w:val="clear" w:color="auto" w:fill="F2F2F2" w:themeFill="background1" w:themeFillShade="F2"/>
            <w:vAlign w:val="center"/>
          </w:tcPr>
          <w:p w14:paraId="5B14D06F" w14:textId="77777777" w:rsidR="008A6D2F" w:rsidRPr="00696A00" w:rsidRDefault="008A6D2F">
            <w:pPr>
              <w:keepNext/>
              <w:spacing w:before="60" w:after="60"/>
              <w:rPr>
                <w:rFonts w:ascii="Arial" w:hAnsi="Arial" w:cs="Arial"/>
                <w:b/>
                <w:bCs/>
                <w:sz w:val="22"/>
                <w:szCs w:val="22"/>
                <w:lang w:val="en-GB"/>
              </w:rPr>
            </w:pPr>
            <w:r w:rsidRPr="00696A00">
              <w:rPr>
                <w:rFonts w:ascii="Arial" w:hAnsi="Arial" w:cs="Arial"/>
                <w:b/>
                <w:bCs/>
                <w:sz w:val="22"/>
                <w:szCs w:val="22"/>
                <w:lang w:val="en-GB"/>
              </w:rPr>
              <w:t>ICH Fund Expected Result </w:t>
            </w:r>
            <w:r>
              <w:rPr>
                <w:rFonts w:ascii="Arial" w:hAnsi="Arial" w:cs="Arial"/>
                <w:b/>
                <w:bCs/>
                <w:sz w:val="22"/>
                <w:szCs w:val="22"/>
                <w:lang w:val="en-GB"/>
              </w:rPr>
              <w:t>3</w:t>
            </w:r>
          </w:p>
        </w:tc>
        <w:tc>
          <w:tcPr>
            <w:tcW w:w="3825" w:type="pct"/>
            <w:gridSpan w:val="2"/>
            <w:shd w:val="clear" w:color="auto" w:fill="F2F2F2" w:themeFill="background1" w:themeFillShade="F2"/>
            <w:vAlign w:val="center"/>
          </w:tcPr>
          <w:p w14:paraId="488D0C50" w14:textId="55080216" w:rsidR="008A6D2F" w:rsidRPr="00696A00" w:rsidRDefault="00D94FF1" w:rsidP="00D94FF1">
            <w:pPr>
              <w:keepNext/>
              <w:spacing w:before="60" w:after="60"/>
              <w:rPr>
                <w:rFonts w:ascii="Arial" w:hAnsi="Arial" w:cs="Arial"/>
                <w:b/>
                <w:bCs/>
                <w:sz w:val="22"/>
                <w:szCs w:val="22"/>
                <w:lang w:val="en-GB"/>
              </w:rPr>
            </w:pPr>
            <w:r>
              <w:rPr>
                <w:rFonts w:ascii="Arial" w:hAnsi="Arial" w:cs="Arial"/>
                <w:b/>
                <w:bCs/>
                <w:sz w:val="22"/>
                <w:szCs w:val="22"/>
                <w:lang w:val="en-GB"/>
              </w:rPr>
              <w:t>I</w:t>
            </w:r>
            <w:r w:rsidR="008A6D2F" w:rsidRPr="008A6D2F">
              <w:rPr>
                <w:rFonts w:ascii="Arial" w:hAnsi="Arial" w:cs="Arial"/>
                <w:b/>
                <w:bCs/>
                <w:sz w:val="22"/>
                <w:szCs w:val="22"/>
                <w:lang w:val="en-GB"/>
              </w:rPr>
              <w:t>ntegration of intangible cultural heritage in</w:t>
            </w:r>
            <w:r w:rsidR="00E55EFE">
              <w:rPr>
                <w:rFonts w:ascii="Arial" w:hAnsi="Arial" w:cs="Arial"/>
                <w:b/>
                <w:bCs/>
                <w:sz w:val="22"/>
                <w:szCs w:val="22"/>
                <w:lang w:val="en-GB"/>
              </w:rPr>
              <w:t>to</w:t>
            </w:r>
            <w:r w:rsidR="008A6D2F" w:rsidRPr="008A6D2F">
              <w:rPr>
                <w:rFonts w:ascii="Arial" w:hAnsi="Arial" w:cs="Arial"/>
                <w:b/>
                <w:bCs/>
                <w:sz w:val="22"/>
                <w:szCs w:val="22"/>
                <w:lang w:val="en-GB"/>
              </w:rPr>
              <w:t xml:space="preserve"> development plans, policies and programmes</w:t>
            </w:r>
            <w:r>
              <w:rPr>
                <w:rFonts w:ascii="Arial" w:hAnsi="Arial" w:cs="Arial"/>
                <w:b/>
                <w:bCs/>
                <w:sz w:val="22"/>
                <w:szCs w:val="22"/>
                <w:lang w:val="en-GB"/>
              </w:rPr>
              <w:t xml:space="preserve"> supported</w:t>
            </w:r>
          </w:p>
        </w:tc>
      </w:tr>
      <w:tr w:rsidR="008A6D2F" w:rsidRPr="00696A00" w14:paraId="32E1D1BA" w14:textId="77777777" w:rsidTr="00F82A28">
        <w:trPr>
          <w:cantSplit/>
        </w:trPr>
        <w:tc>
          <w:tcPr>
            <w:tcW w:w="1175" w:type="pct"/>
            <w:gridSpan w:val="2"/>
            <w:vMerge/>
            <w:shd w:val="clear" w:color="auto" w:fill="F2F2F2" w:themeFill="background1" w:themeFillShade="F2"/>
            <w:vAlign w:val="center"/>
          </w:tcPr>
          <w:p w14:paraId="3070EFA2" w14:textId="77777777" w:rsidR="008A6D2F" w:rsidRPr="00696A00" w:rsidRDefault="008A6D2F">
            <w:pPr>
              <w:keepNext/>
              <w:spacing w:before="60" w:after="60"/>
              <w:rPr>
                <w:rFonts w:ascii="Arial" w:hAnsi="Arial" w:cs="Arial"/>
                <w:b/>
                <w:bCs/>
                <w:sz w:val="22"/>
                <w:szCs w:val="22"/>
                <w:lang w:val="en-GB"/>
              </w:rPr>
            </w:pPr>
          </w:p>
        </w:tc>
        <w:tc>
          <w:tcPr>
            <w:tcW w:w="3825" w:type="pct"/>
            <w:gridSpan w:val="2"/>
            <w:shd w:val="clear" w:color="auto" w:fill="F2F2F2" w:themeFill="background1" w:themeFillShade="F2"/>
            <w:vAlign w:val="center"/>
          </w:tcPr>
          <w:p w14:paraId="77A5E8D3" w14:textId="1AABD69C" w:rsidR="008A6D2F" w:rsidRPr="00696A00" w:rsidRDefault="008A6D2F">
            <w:pPr>
              <w:keepNext/>
              <w:spacing w:before="60" w:after="60"/>
              <w:rPr>
                <w:rFonts w:ascii="Arial" w:hAnsi="Arial" w:cs="Arial"/>
                <w:b/>
                <w:bCs/>
                <w:sz w:val="22"/>
                <w:szCs w:val="22"/>
                <w:lang w:val="en-GB"/>
              </w:rPr>
            </w:pPr>
            <w:r w:rsidRPr="00696A00">
              <w:rPr>
                <w:rFonts w:ascii="Arial" w:hAnsi="Arial" w:cs="Arial"/>
                <w:b/>
                <w:bCs/>
                <w:sz w:val="22"/>
                <w:szCs w:val="22"/>
                <w:lang w:val="en-GB"/>
              </w:rPr>
              <w:t xml:space="preserve">Budgetary allocation: </w:t>
            </w:r>
            <w:r w:rsidRPr="00323D97">
              <w:rPr>
                <w:rFonts w:ascii="Arial" w:hAnsi="Arial" w:cs="Arial"/>
                <w:b/>
                <w:bCs/>
                <w:sz w:val="22"/>
                <w:szCs w:val="22"/>
                <w:lang w:val="en-GB"/>
              </w:rPr>
              <w:t>US$</w:t>
            </w:r>
            <w:r w:rsidR="005A3DC9">
              <w:rPr>
                <w:rFonts w:ascii="Arial" w:hAnsi="Arial" w:cs="Arial"/>
                <w:b/>
                <w:bCs/>
                <w:sz w:val="22"/>
                <w:szCs w:val="22"/>
                <w:lang w:val="en-GB"/>
              </w:rPr>
              <w:t>6</w:t>
            </w:r>
            <w:r w:rsidR="00E82670">
              <w:rPr>
                <w:rFonts w:ascii="Arial" w:hAnsi="Arial" w:cs="Arial"/>
                <w:b/>
                <w:bCs/>
                <w:sz w:val="22"/>
                <w:szCs w:val="22"/>
                <w:lang w:val="en-GB"/>
              </w:rPr>
              <w:t>3</w:t>
            </w:r>
            <w:r w:rsidR="005A3DC9">
              <w:rPr>
                <w:rFonts w:ascii="Arial" w:hAnsi="Arial" w:cs="Arial"/>
                <w:b/>
                <w:bCs/>
                <w:sz w:val="22"/>
                <w:szCs w:val="22"/>
                <w:lang w:val="en-GB"/>
              </w:rPr>
              <w:t>,</w:t>
            </w:r>
            <w:r w:rsidR="00E82670">
              <w:rPr>
                <w:rFonts w:ascii="Arial" w:hAnsi="Arial" w:cs="Arial"/>
                <w:b/>
                <w:bCs/>
                <w:sz w:val="22"/>
                <w:szCs w:val="22"/>
                <w:lang w:val="en-GB"/>
              </w:rPr>
              <w:t>629</w:t>
            </w:r>
          </w:p>
        </w:tc>
      </w:tr>
      <w:tr w:rsidR="008A6D2F" w:rsidRPr="008A19F0" w14:paraId="15A2F6A4" w14:textId="77777777" w:rsidTr="00F82A28">
        <w:trPr>
          <w:cantSplit/>
        </w:trPr>
        <w:tc>
          <w:tcPr>
            <w:tcW w:w="363" w:type="pct"/>
            <w:shd w:val="clear" w:color="auto" w:fill="F2F2F2" w:themeFill="background1" w:themeFillShade="F2"/>
            <w:vAlign w:val="center"/>
          </w:tcPr>
          <w:p w14:paraId="1C3795C7" w14:textId="77777777" w:rsidR="008A6D2F" w:rsidRPr="00696A00" w:rsidRDefault="008A6D2F">
            <w:pPr>
              <w:keepNext/>
              <w:spacing w:before="60" w:after="60"/>
              <w:jc w:val="right"/>
              <w:rPr>
                <w:rFonts w:ascii="Arial" w:hAnsi="Arial" w:cs="Arial"/>
                <w:i/>
                <w:iCs/>
                <w:sz w:val="22"/>
                <w:szCs w:val="22"/>
                <w:lang w:val="en-GB"/>
              </w:rPr>
            </w:pPr>
          </w:p>
        </w:tc>
        <w:tc>
          <w:tcPr>
            <w:tcW w:w="2318" w:type="pct"/>
            <w:gridSpan w:val="2"/>
            <w:shd w:val="clear" w:color="auto" w:fill="F2F2F2" w:themeFill="background1" w:themeFillShade="F2"/>
            <w:vAlign w:val="center"/>
          </w:tcPr>
          <w:p w14:paraId="1B79B887" w14:textId="648CBC91" w:rsidR="008A6D2F" w:rsidRPr="00696A00" w:rsidRDefault="00656462">
            <w:pPr>
              <w:keepNext/>
              <w:spacing w:before="60" w:after="60"/>
              <w:jc w:val="center"/>
              <w:rPr>
                <w:rFonts w:ascii="Arial" w:hAnsi="Arial" w:cs="Arial"/>
                <w:i/>
                <w:iCs/>
                <w:sz w:val="22"/>
                <w:szCs w:val="22"/>
                <w:lang w:val="en-GB"/>
              </w:rPr>
            </w:pPr>
            <w:r>
              <w:rPr>
                <w:rFonts w:ascii="Arial" w:hAnsi="Arial" w:cs="Arial"/>
                <w:i/>
                <w:iCs/>
                <w:sz w:val="22"/>
                <w:szCs w:val="22"/>
                <w:lang w:val="en-GB"/>
              </w:rPr>
              <w:t>Outputs</w:t>
            </w:r>
          </w:p>
        </w:tc>
        <w:tc>
          <w:tcPr>
            <w:tcW w:w="2319" w:type="pct"/>
            <w:shd w:val="clear" w:color="auto" w:fill="F2F2F2" w:themeFill="background1" w:themeFillShade="F2"/>
            <w:vAlign w:val="center"/>
          </w:tcPr>
          <w:p w14:paraId="27A8E697" w14:textId="5B8437AB" w:rsidR="008A6D2F" w:rsidRPr="00696A00" w:rsidRDefault="008A6D2F" w:rsidP="00E55EFE">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Indicators (</w:t>
            </w:r>
            <w:r w:rsidR="00656462">
              <w:rPr>
                <w:rFonts w:ascii="Arial" w:hAnsi="Arial" w:cs="Arial"/>
                <w:i/>
                <w:iCs/>
                <w:sz w:val="22"/>
                <w:szCs w:val="22"/>
                <w:lang w:val="en-GB"/>
              </w:rPr>
              <w:t>benchmarks</w:t>
            </w:r>
            <w:r w:rsidRPr="00696A00">
              <w:rPr>
                <w:rFonts w:ascii="Arial" w:hAnsi="Arial" w:cs="Arial"/>
                <w:i/>
                <w:iCs/>
                <w:sz w:val="22"/>
                <w:szCs w:val="22"/>
                <w:lang w:val="en-GB"/>
              </w:rPr>
              <w:t>)</w:t>
            </w:r>
            <w:r>
              <w:rPr>
                <w:rFonts w:ascii="Arial" w:hAnsi="Arial" w:cs="Arial"/>
                <w:i/>
                <w:iCs/>
                <w:sz w:val="22"/>
                <w:szCs w:val="22"/>
                <w:lang w:val="en-GB"/>
              </w:rPr>
              <w:br/>
              <w:t>1 January </w:t>
            </w:r>
            <w:r w:rsidR="00E55EFE">
              <w:rPr>
                <w:rFonts w:ascii="Arial" w:hAnsi="Arial" w:cs="Arial"/>
                <w:i/>
                <w:iCs/>
                <w:sz w:val="22"/>
                <w:szCs w:val="22"/>
                <w:lang w:val="en-GB"/>
              </w:rPr>
              <w:t xml:space="preserve">2018 to </w:t>
            </w:r>
            <w:r>
              <w:rPr>
                <w:rFonts w:ascii="Arial" w:hAnsi="Arial" w:cs="Arial"/>
                <w:i/>
                <w:iCs/>
                <w:sz w:val="22"/>
                <w:szCs w:val="22"/>
                <w:lang w:val="en-GB"/>
              </w:rPr>
              <w:t>30 June 2018</w:t>
            </w:r>
          </w:p>
        </w:tc>
      </w:tr>
      <w:tr w:rsidR="008A6D2F" w:rsidRPr="008A19F0" w14:paraId="1264BD58" w14:textId="77777777" w:rsidTr="00F82A28">
        <w:trPr>
          <w:cantSplit/>
        </w:trPr>
        <w:tc>
          <w:tcPr>
            <w:tcW w:w="363" w:type="pct"/>
            <w:shd w:val="clear" w:color="auto" w:fill="auto"/>
            <w:vAlign w:val="center"/>
          </w:tcPr>
          <w:p w14:paraId="27DCA581" w14:textId="77777777" w:rsidR="008A6D2F" w:rsidRPr="00696A00" w:rsidRDefault="008A6D2F">
            <w:pPr>
              <w:spacing w:before="60" w:after="60"/>
              <w:jc w:val="center"/>
              <w:rPr>
                <w:rFonts w:ascii="Arial" w:hAnsi="Arial" w:cs="Arial"/>
                <w:iCs/>
                <w:sz w:val="22"/>
                <w:szCs w:val="22"/>
                <w:lang w:val="en-GB"/>
              </w:rPr>
            </w:pPr>
            <w:r>
              <w:rPr>
                <w:rFonts w:ascii="Arial" w:hAnsi="Arial" w:cs="Arial"/>
                <w:iCs/>
                <w:sz w:val="22"/>
                <w:szCs w:val="22"/>
                <w:lang w:val="en-GB"/>
              </w:rPr>
              <w:t>3</w:t>
            </w:r>
            <w:r w:rsidRPr="00696A00">
              <w:rPr>
                <w:rFonts w:ascii="Arial" w:hAnsi="Arial" w:cs="Arial"/>
                <w:iCs/>
                <w:sz w:val="22"/>
                <w:szCs w:val="22"/>
                <w:lang w:val="en-GB"/>
              </w:rPr>
              <w:t>.</w:t>
            </w:r>
            <w:r>
              <w:rPr>
                <w:rFonts w:ascii="Arial" w:hAnsi="Arial" w:cs="Arial"/>
                <w:iCs/>
                <w:sz w:val="22"/>
                <w:szCs w:val="22"/>
                <w:lang w:val="en-GB"/>
              </w:rPr>
              <w:t>1</w:t>
            </w:r>
          </w:p>
        </w:tc>
        <w:tc>
          <w:tcPr>
            <w:tcW w:w="2318" w:type="pct"/>
            <w:gridSpan w:val="2"/>
            <w:shd w:val="clear" w:color="auto" w:fill="auto"/>
            <w:vAlign w:val="center"/>
          </w:tcPr>
          <w:p w14:paraId="56C61AFB" w14:textId="29C69D59" w:rsidR="008A6D2F" w:rsidRPr="00696A00" w:rsidRDefault="008A6D2F">
            <w:pPr>
              <w:spacing w:before="60" w:after="60"/>
              <w:rPr>
                <w:rFonts w:ascii="Arial" w:hAnsi="Arial" w:cs="Arial"/>
                <w:i/>
                <w:iCs/>
                <w:sz w:val="22"/>
                <w:szCs w:val="22"/>
                <w:lang w:val="en-GB"/>
              </w:rPr>
            </w:pPr>
            <w:r w:rsidRPr="00696A00">
              <w:rPr>
                <w:rFonts w:ascii="Arial" w:hAnsi="Arial" w:cs="Arial"/>
                <w:sz w:val="22"/>
                <w:szCs w:val="22"/>
                <w:lang w:val="en-GB"/>
              </w:rPr>
              <w:t>New partnerships with relevant institutions established to integrate intangible cultural heritage in</w:t>
            </w:r>
            <w:r w:rsidR="00E55EFE">
              <w:rPr>
                <w:rFonts w:ascii="Arial" w:hAnsi="Arial" w:cs="Arial"/>
                <w:sz w:val="22"/>
                <w:szCs w:val="22"/>
                <w:lang w:val="en-GB"/>
              </w:rPr>
              <w:t>to</w:t>
            </w:r>
            <w:r w:rsidRPr="00696A00">
              <w:rPr>
                <w:rFonts w:ascii="Arial" w:hAnsi="Arial" w:cs="Arial"/>
                <w:sz w:val="22"/>
                <w:szCs w:val="22"/>
                <w:lang w:val="en-GB"/>
              </w:rPr>
              <w:t xml:space="preserve"> education</w:t>
            </w:r>
          </w:p>
        </w:tc>
        <w:tc>
          <w:tcPr>
            <w:tcW w:w="2319" w:type="pct"/>
            <w:shd w:val="clear" w:color="auto" w:fill="auto"/>
            <w:vAlign w:val="center"/>
          </w:tcPr>
          <w:p w14:paraId="0905F637" w14:textId="4FF50757" w:rsidR="008A6D2F" w:rsidRPr="00696A00" w:rsidRDefault="008A6D2F" w:rsidP="00AC202D">
            <w:pPr>
              <w:pStyle w:val="ListParagraph"/>
              <w:numPr>
                <w:ilvl w:val="0"/>
                <w:numId w:val="7"/>
              </w:numPr>
              <w:spacing w:before="60" w:after="60"/>
              <w:ind w:left="357" w:hanging="357"/>
              <w:contextualSpacing w:val="0"/>
              <w:rPr>
                <w:rFonts w:ascii="Arial" w:hAnsi="Arial" w:cs="Arial"/>
                <w:sz w:val="22"/>
                <w:szCs w:val="22"/>
                <w:lang w:val="en-GB"/>
              </w:rPr>
            </w:pPr>
            <w:r w:rsidRPr="00696A00">
              <w:rPr>
                <w:rFonts w:ascii="Arial" w:hAnsi="Arial" w:cs="Arial"/>
                <w:sz w:val="22"/>
                <w:szCs w:val="22"/>
                <w:lang w:val="en-GB"/>
              </w:rPr>
              <w:t>Regional workshop with tertiary education</w:t>
            </w:r>
            <w:r w:rsidR="00E55EFE">
              <w:rPr>
                <w:rFonts w:ascii="Arial" w:hAnsi="Arial" w:cs="Arial"/>
                <w:sz w:val="22"/>
                <w:szCs w:val="22"/>
                <w:lang w:val="en-GB"/>
              </w:rPr>
              <w:t>al</w:t>
            </w:r>
            <w:r w:rsidRPr="00696A00">
              <w:rPr>
                <w:rFonts w:ascii="Arial" w:hAnsi="Arial" w:cs="Arial"/>
                <w:sz w:val="22"/>
                <w:szCs w:val="22"/>
                <w:lang w:val="en-GB"/>
              </w:rPr>
              <w:t xml:space="preserve"> institutions organized (</w:t>
            </w:r>
            <w:r w:rsidR="00656462">
              <w:rPr>
                <w:rFonts w:ascii="Arial" w:hAnsi="Arial" w:cs="Arial"/>
                <w:sz w:val="22"/>
                <w:szCs w:val="22"/>
                <w:lang w:val="en-GB"/>
              </w:rPr>
              <w:t>B=</w:t>
            </w:r>
            <w:r w:rsidRPr="00696A00">
              <w:rPr>
                <w:rFonts w:ascii="Arial" w:hAnsi="Arial" w:cs="Arial"/>
                <w:sz w:val="22"/>
                <w:szCs w:val="22"/>
                <w:lang w:val="en-GB"/>
              </w:rPr>
              <w:t>1)</w:t>
            </w:r>
          </w:p>
          <w:p w14:paraId="44C34617" w14:textId="7A5894A7" w:rsidR="008A6D2F" w:rsidRPr="00C06F15" w:rsidRDefault="008A6D2F" w:rsidP="00E55EFE">
            <w:pPr>
              <w:pStyle w:val="ListParagraph"/>
              <w:numPr>
                <w:ilvl w:val="0"/>
                <w:numId w:val="7"/>
              </w:numPr>
              <w:spacing w:before="60" w:after="60"/>
              <w:ind w:left="357" w:hanging="357"/>
              <w:contextualSpacing w:val="0"/>
              <w:rPr>
                <w:rFonts w:ascii="Arial" w:hAnsi="Arial" w:cs="Arial"/>
                <w:sz w:val="22"/>
                <w:szCs w:val="22"/>
                <w:lang w:val="en-GB"/>
              </w:rPr>
            </w:pPr>
            <w:r>
              <w:rPr>
                <w:rFonts w:ascii="Arial" w:hAnsi="Arial" w:cs="Arial"/>
                <w:sz w:val="22"/>
                <w:szCs w:val="22"/>
                <w:lang w:val="en-GB"/>
              </w:rPr>
              <w:t xml:space="preserve">Implementation of recommendations </w:t>
            </w:r>
            <w:r w:rsidR="00E55EFE">
              <w:rPr>
                <w:rFonts w:ascii="Arial" w:hAnsi="Arial" w:cs="Arial"/>
                <w:sz w:val="22"/>
                <w:szCs w:val="22"/>
                <w:lang w:val="en-GB"/>
              </w:rPr>
              <w:t xml:space="preserve">from </w:t>
            </w:r>
            <w:r>
              <w:rPr>
                <w:rFonts w:ascii="Arial" w:hAnsi="Arial" w:cs="Arial"/>
                <w:sz w:val="22"/>
                <w:szCs w:val="22"/>
                <w:lang w:val="en-GB"/>
              </w:rPr>
              <w:t>the c</w:t>
            </w:r>
            <w:r w:rsidRPr="00696A00">
              <w:rPr>
                <w:rFonts w:ascii="Arial" w:hAnsi="Arial" w:cs="Arial"/>
                <w:sz w:val="22"/>
                <w:szCs w:val="22"/>
                <w:lang w:val="en-GB"/>
              </w:rPr>
              <w:t xml:space="preserve">onsultation </w:t>
            </w:r>
            <w:r>
              <w:rPr>
                <w:rFonts w:ascii="Arial" w:hAnsi="Arial" w:cs="Arial"/>
                <w:sz w:val="22"/>
                <w:szCs w:val="22"/>
                <w:lang w:val="en-GB"/>
              </w:rPr>
              <w:t xml:space="preserve">held </w:t>
            </w:r>
            <w:r w:rsidRPr="00696A00">
              <w:rPr>
                <w:rFonts w:ascii="Arial" w:hAnsi="Arial" w:cs="Arial"/>
                <w:sz w:val="22"/>
                <w:szCs w:val="22"/>
                <w:lang w:val="en-GB"/>
              </w:rPr>
              <w:t>with relevant education</w:t>
            </w:r>
            <w:r w:rsidR="00E55EFE">
              <w:rPr>
                <w:rFonts w:ascii="Arial" w:hAnsi="Arial" w:cs="Arial"/>
                <w:sz w:val="22"/>
                <w:szCs w:val="22"/>
                <w:lang w:val="en-GB"/>
              </w:rPr>
              <w:t>al</w:t>
            </w:r>
            <w:r w:rsidRPr="00696A00">
              <w:rPr>
                <w:rFonts w:ascii="Arial" w:hAnsi="Arial" w:cs="Arial"/>
                <w:sz w:val="22"/>
                <w:szCs w:val="22"/>
                <w:lang w:val="en-GB"/>
              </w:rPr>
              <w:t xml:space="preserve"> institutions on integrating intangible cultural heritage into their programmes </w:t>
            </w:r>
            <w:r>
              <w:rPr>
                <w:rFonts w:ascii="Arial" w:hAnsi="Arial" w:cs="Arial"/>
                <w:sz w:val="22"/>
                <w:szCs w:val="22"/>
                <w:lang w:val="en-GB"/>
              </w:rPr>
              <w:t xml:space="preserve">initiated </w:t>
            </w:r>
            <w:r w:rsidRPr="00696A00">
              <w:rPr>
                <w:rFonts w:ascii="Arial" w:hAnsi="Arial" w:cs="Arial"/>
                <w:sz w:val="22"/>
                <w:szCs w:val="22"/>
                <w:lang w:val="en-GB"/>
              </w:rPr>
              <w:t>(</w:t>
            </w:r>
            <w:r w:rsidR="00656462">
              <w:rPr>
                <w:rFonts w:ascii="Arial" w:hAnsi="Arial" w:cs="Arial"/>
                <w:sz w:val="22"/>
                <w:szCs w:val="22"/>
                <w:lang w:val="en-GB"/>
              </w:rPr>
              <w:t>B=</w:t>
            </w:r>
            <w:r w:rsidRPr="00696A00">
              <w:rPr>
                <w:rFonts w:ascii="Arial" w:hAnsi="Arial" w:cs="Arial"/>
                <w:sz w:val="22"/>
                <w:szCs w:val="22"/>
                <w:lang w:val="en-GB"/>
              </w:rPr>
              <w:t>1)</w:t>
            </w:r>
          </w:p>
        </w:tc>
      </w:tr>
      <w:tr w:rsidR="008A6D2F" w:rsidRPr="008A19F0" w14:paraId="511DC504" w14:textId="77777777" w:rsidTr="00F82A28">
        <w:trPr>
          <w:cantSplit/>
        </w:trPr>
        <w:tc>
          <w:tcPr>
            <w:tcW w:w="363" w:type="pct"/>
            <w:shd w:val="clear" w:color="auto" w:fill="auto"/>
            <w:vAlign w:val="center"/>
          </w:tcPr>
          <w:p w14:paraId="3DC09C68" w14:textId="77777777" w:rsidR="008A6D2F" w:rsidRPr="00696A00" w:rsidRDefault="008A6D2F">
            <w:pPr>
              <w:spacing w:before="60" w:after="60"/>
              <w:jc w:val="center"/>
              <w:rPr>
                <w:rFonts w:ascii="Arial" w:hAnsi="Arial" w:cs="Arial"/>
                <w:iCs/>
                <w:sz w:val="22"/>
                <w:szCs w:val="22"/>
                <w:lang w:val="en-GB"/>
              </w:rPr>
            </w:pPr>
            <w:r>
              <w:rPr>
                <w:rFonts w:ascii="Arial" w:hAnsi="Arial" w:cs="Arial"/>
                <w:iCs/>
                <w:sz w:val="22"/>
                <w:szCs w:val="22"/>
                <w:lang w:val="en-GB"/>
              </w:rPr>
              <w:lastRenderedPageBreak/>
              <w:t>3</w:t>
            </w:r>
            <w:r w:rsidRPr="00696A00">
              <w:rPr>
                <w:rFonts w:ascii="Arial" w:hAnsi="Arial" w:cs="Arial"/>
                <w:iCs/>
                <w:sz w:val="22"/>
                <w:szCs w:val="22"/>
                <w:lang w:val="en-GB"/>
              </w:rPr>
              <w:t>.</w:t>
            </w:r>
            <w:r>
              <w:rPr>
                <w:rFonts w:ascii="Arial" w:hAnsi="Arial" w:cs="Arial"/>
                <w:iCs/>
                <w:sz w:val="22"/>
                <w:szCs w:val="22"/>
                <w:lang w:val="en-GB"/>
              </w:rPr>
              <w:t>2</w:t>
            </w:r>
          </w:p>
        </w:tc>
        <w:tc>
          <w:tcPr>
            <w:tcW w:w="2318" w:type="pct"/>
            <w:gridSpan w:val="2"/>
            <w:shd w:val="clear" w:color="auto" w:fill="auto"/>
            <w:vAlign w:val="center"/>
          </w:tcPr>
          <w:p w14:paraId="213D078B" w14:textId="77777777" w:rsidR="008A6D2F" w:rsidRPr="00696A00" w:rsidRDefault="008A6D2F">
            <w:pPr>
              <w:spacing w:before="60" w:after="60"/>
              <w:rPr>
                <w:rFonts w:ascii="Arial" w:hAnsi="Arial" w:cs="Arial"/>
                <w:iCs/>
                <w:sz w:val="22"/>
                <w:szCs w:val="22"/>
                <w:lang w:val="en-GB"/>
              </w:rPr>
            </w:pPr>
            <w:r w:rsidRPr="00696A00">
              <w:rPr>
                <w:rFonts w:ascii="Arial" w:hAnsi="Arial" w:cs="Arial"/>
                <w:sz w:val="22"/>
                <w:szCs w:val="22"/>
                <w:lang w:val="en-GB"/>
              </w:rPr>
              <w:t>UNESCO’s cooperation with WIPO or other UN agencies strengthened to ensure ongoing exchange and learning between the organizations and their Member States</w:t>
            </w:r>
          </w:p>
        </w:tc>
        <w:tc>
          <w:tcPr>
            <w:tcW w:w="2319" w:type="pct"/>
            <w:shd w:val="clear" w:color="auto" w:fill="auto"/>
            <w:vAlign w:val="center"/>
          </w:tcPr>
          <w:p w14:paraId="3D571718" w14:textId="0D8F83DC" w:rsidR="008A6D2F" w:rsidRPr="001C3674" w:rsidRDefault="008A6D2F" w:rsidP="00AC202D">
            <w:pPr>
              <w:pStyle w:val="ListParagraph"/>
              <w:numPr>
                <w:ilvl w:val="0"/>
                <w:numId w:val="9"/>
              </w:numPr>
              <w:spacing w:before="60" w:after="60"/>
              <w:ind w:left="393" w:hanging="393"/>
              <w:rPr>
                <w:rFonts w:ascii="Arial" w:hAnsi="Arial" w:cs="Arial"/>
                <w:i/>
                <w:iCs/>
                <w:sz w:val="22"/>
                <w:szCs w:val="22"/>
                <w:lang w:val="en-GB"/>
              </w:rPr>
            </w:pPr>
            <w:r w:rsidRPr="001C3674">
              <w:rPr>
                <w:rFonts w:ascii="Arial" w:hAnsi="Arial" w:cs="Arial"/>
                <w:sz w:val="22"/>
                <w:szCs w:val="22"/>
                <w:lang w:val="en-GB"/>
              </w:rPr>
              <w:t>Participation in meetings organized by WIPO or other UN agencies (</w:t>
            </w:r>
            <w:r w:rsidR="00656462">
              <w:rPr>
                <w:rFonts w:ascii="Arial" w:hAnsi="Arial" w:cs="Arial"/>
                <w:sz w:val="22"/>
                <w:szCs w:val="22"/>
                <w:lang w:val="en-GB"/>
              </w:rPr>
              <w:t>B=</w:t>
            </w:r>
            <w:r w:rsidRPr="001C3674">
              <w:rPr>
                <w:rFonts w:ascii="Arial" w:hAnsi="Arial" w:cs="Arial"/>
                <w:sz w:val="22"/>
                <w:szCs w:val="22"/>
                <w:lang w:val="en-GB"/>
              </w:rPr>
              <w:t>1)</w:t>
            </w:r>
          </w:p>
        </w:tc>
      </w:tr>
    </w:tbl>
    <w:p w14:paraId="7E1C075C" w14:textId="77777777" w:rsidR="008A6D2F" w:rsidRPr="00696A00" w:rsidRDefault="008A6D2F">
      <w:pPr>
        <w:pStyle w:val="Marge"/>
        <w:spacing w:before="120" w:after="120"/>
        <w:rPr>
          <w:rFonts w:cs="Arial"/>
          <w:b/>
          <w:bCs/>
          <w:szCs w:val="22"/>
          <w:lang w:val="en-GB"/>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8A6D2F" w:rsidRPr="008A19F0" w14:paraId="4520A140" w14:textId="77777777" w:rsidTr="00F82A28">
        <w:trPr>
          <w:cantSplit/>
        </w:trPr>
        <w:tc>
          <w:tcPr>
            <w:tcW w:w="1175" w:type="pct"/>
            <w:gridSpan w:val="2"/>
            <w:shd w:val="clear" w:color="auto" w:fill="808080" w:themeFill="background1" w:themeFillShade="80"/>
            <w:vAlign w:val="center"/>
          </w:tcPr>
          <w:p w14:paraId="14535D9E" w14:textId="77777777" w:rsidR="008A6D2F" w:rsidRPr="00696A00" w:rsidRDefault="008A6D2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 xml:space="preserve">Draft </w:t>
            </w:r>
            <w:r w:rsidRPr="00696A00">
              <w:rPr>
                <w:rFonts w:ascii="Arial" w:hAnsi="Arial" w:cs="Arial"/>
                <w:b/>
                <w:bCs/>
                <w:color w:val="FFFFFF" w:themeColor="background1"/>
                <w:sz w:val="22"/>
                <w:szCs w:val="22"/>
                <w:lang w:val="en-GB"/>
              </w:rPr>
              <w:t>3</w:t>
            </w:r>
            <w:r>
              <w:rPr>
                <w:rFonts w:ascii="Arial" w:hAnsi="Arial" w:cs="Arial"/>
                <w:b/>
                <w:bCs/>
                <w:color w:val="FFFFFF" w:themeColor="background1"/>
                <w:sz w:val="22"/>
                <w:szCs w:val="22"/>
                <w:lang w:val="en-GB"/>
              </w:rPr>
              <w:t>9</w:t>
            </w:r>
            <w:r w:rsidRPr="00696A00">
              <w:rPr>
                <w:rFonts w:ascii="Arial" w:hAnsi="Arial" w:cs="Arial"/>
                <w:b/>
                <w:bCs/>
                <w:color w:val="FFFFFF" w:themeColor="background1"/>
                <w:sz w:val="22"/>
                <w:szCs w:val="22"/>
                <w:lang w:val="en-GB"/>
              </w:rPr>
              <w:t>C/5 Performance Indicator 5</w:t>
            </w:r>
          </w:p>
        </w:tc>
        <w:tc>
          <w:tcPr>
            <w:tcW w:w="3825" w:type="pct"/>
            <w:gridSpan w:val="2"/>
            <w:shd w:val="clear" w:color="auto" w:fill="808080" w:themeFill="background1" w:themeFillShade="80"/>
            <w:vAlign w:val="center"/>
          </w:tcPr>
          <w:p w14:paraId="5D3B405A" w14:textId="77777777" w:rsidR="008A6D2F" w:rsidRPr="00696A00" w:rsidRDefault="008A6D2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Number of initiatives undertaken by supported Member States which have enhanced knowledge and understanding of intangible cultural heritage safeguarding and of the 2003 Convention</w:t>
            </w:r>
          </w:p>
        </w:tc>
      </w:tr>
      <w:tr w:rsidR="008A6D2F" w:rsidRPr="008A19F0" w14:paraId="4DF8A150" w14:textId="77777777" w:rsidTr="00F82A28">
        <w:trPr>
          <w:cantSplit/>
        </w:trPr>
        <w:tc>
          <w:tcPr>
            <w:tcW w:w="1175" w:type="pct"/>
            <w:gridSpan w:val="2"/>
            <w:vMerge w:val="restart"/>
            <w:shd w:val="clear" w:color="auto" w:fill="F2F2F2" w:themeFill="background1" w:themeFillShade="F2"/>
            <w:vAlign w:val="center"/>
          </w:tcPr>
          <w:p w14:paraId="0FD6E4F3" w14:textId="77777777" w:rsidR="008A6D2F" w:rsidRPr="00696A00" w:rsidRDefault="008A6D2F">
            <w:pPr>
              <w:keepNext/>
              <w:spacing w:before="60" w:after="60"/>
              <w:rPr>
                <w:rFonts w:ascii="Arial" w:hAnsi="Arial" w:cs="Arial"/>
                <w:b/>
                <w:bCs/>
                <w:sz w:val="22"/>
                <w:szCs w:val="22"/>
                <w:lang w:val="en-GB"/>
              </w:rPr>
            </w:pPr>
            <w:r w:rsidRPr="00696A00">
              <w:rPr>
                <w:rFonts w:ascii="Arial" w:hAnsi="Arial" w:cs="Arial"/>
                <w:b/>
                <w:bCs/>
                <w:sz w:val="22"/>
                <w:szCs w:val="22"/>
                <w:lang w:val="en-GB"/>
              </w:rPr>
              <w:t>ICH Fund Expected Result 4</w:t>
            </w:r>
          </w:p>
          <w:p w14:paraId="421A09CE" w14:textId="77777777" w:rsidR="008A6D2F" w:rsidRPr="00696A00" w:rsidRDefault="008A6D2F">
            <w:pPr>
              <w:keepNext/>
              <w:spacing w:before="60" w:after="60"/>
              <w:rPr>
                <w:rFonts w:ascii="Arial" w:hAnsi="Arial" w:cs="Arial"/>
                <w:b/>
                <w:bCs/>
                <w:sz w:val="22"/>
                <w:szCs w:val="22"/>
                <w:lang w:val="en-GB"/>
              </w:rPr>
            </w:pPr>
          </w:p>
        </w:tc>
        <w:tc>
          <w:tcPr>
            <w:tcW w:w="3825" w:type="pct"/>
            <w:gridSpan w:val="2"/>
            <w:shd w:val="clear" w:color="auto" w:fill="F2F2F2" w:themeFill="background1" w:themeFillShade="F2"/>
            <w:vAlign w:val="center"/>
          </w:tcPr>
          <w:p w14:paraId="7BF70145" w14:textId="334BBC56" w:rsidR="008A6D2F" w:rsidRPr="00696A00" w:rsidRDefault="008A6D2F" w:rsidP="00E55EFE">
            <w:pPr>
              <w:keepNext/>
              <w:spacing w:before="60" w:after="60"/>
              <w:rPr>
                <w:rFonts w:ascii="Arial" w:hAnsi="Arial" w:cs="Arial"/>
                <w:b/>
                <w:bCs/>
                <w:sz w:val="22"/>
                <w:szCs w:val="22"/>
                <w:lang w:val="en-GB"/>
              </w:rPr>
            </w:pPr>
            <w:r w:rsidRPr="00696A00">
              <w:rPr>
                <w:rFonts w:ascii="Arial" w:hAnsi="Arial" w:cs="Arial"/>
                <w:b/>
                <w:bCs/>
                <w:sz w:val="22"/>
                <w:szCs w:val="22"/>
                <w:lang w:val="en-GB"/>
              </w:rPr>
              <w:t>Objectives of the Convention promoted through awareness</w:t>
            </w:r>
            <w:r w:rsidR="00E55EFE">
              <w:rPr>
                <w:rFonts w:ascii="Arial" w:hAnsi="Arial" w:cs="Arial"/>
                <w:b/>
                <w:bCs/>
                <w:sz w:val="22"/>
                <w:szCs w:val="22"/>
                <w:lang w:val="en-GB"/>
              </w:rPr>
              <w:t>-raising</w:t>
            </w:r>
            <w:r w:rsidRPr="00696A00">
              <w:rPr>
                <w:rFonts w:ascii="Arial" w:hAnsi="Arial" w:cs="Arial"/>
                <w:b/>
                <w:bCs/>
                <w:sz w:val="22"/>
                <w:szCs w:val="22"/>
                <w:lang w:val="en-GB"/>
              </w:rPr>
              <w:t xml:space="preserve"> and outreach</w:t>
            </w:r>
          </w:p>
        </w:tc>
      </w:tr>
      <w:tr w:rsidR="008A6D2F" w:rsidRPr="00696A00" w14:paraId="13DF396F" w14:textId="77777777" w:rsidTr="00F82A28">
        <w:trPr>
          <w:cantSplit/>
        </w:trPr>
        <w:tc>
          <w:tcPr>
            <w:tcW w:w="1175" w:type="pct"/>
            <w:gridSpan w:val="2"/>
            <w:vMerge/>
            <w:shd w:val="clear" w:color="auto" w:fill="F2F2F2" w:themeFill="background1" w:themeFillShade="F2"/>
            <w:vAlign w:val="center"/>
          </w:tcPr>
          <w:p w14:paraId="56514D9B" w14:textId="77777777" w:rsidR="008A6D2F" w:rsidRPr="00696A00" w:rsidRDefault="008A6D2F">
            <w:pPr>
              <w:keepNext/>
              <w:spacing w:before="60" w:after="60"/>
              <w:rPr>
                <w:rFonts w:ascii="Arial" w:hAnsi="Arial" w:cs="Arial"/>
                <w:b/>
                <w:bCs/>
                <w:sz w:val="22"/>
                <w:szCs w:val="22"/>
                <w:lang w:val="en-GB"/>
              </w:rPr>
            </w:pPr>
          </w:p>
        </w:tc>
        <w:tc>
          <w:tcPr>
            <w:tcW w:w="3825" w:type="pct"/>
            <w:gridSpan w:val="2"/>
            <w:shd w:val="clear" w:color="auto" w:fill="F2F2F2" w:themeFill="background1" w:themeFillShade="F2"/>
            <w:vAlign w:val="center"/>
          </w:tcPr>
          <w:p w14:paraId="081B2175" w14:textId="784BDD51" w:rsidR="008A6D2F" w:rsidRPr="00696A00" w:rsidRDefault="008A6D2F" w:rsidP="005A3DC9">
            <w:pPr>
              <w:keepNext/>
              <w:spacing w:before="60" w:after="60"/>
              <w:rPr>
                <w:rFonts w:ascii="Arial" w:hAnsi="Arial" w:cs="Arial"/>
                <w:b/>
                <w:bCs/>
                <w:sz w:val="22"/>
                <w:szCs w:val="22"/>
                <w:lang w:val="en-GB"/>
              </w:rPr>
            </w:pPr>
            <w:r w:rsidRPr="00696A00">
              <w:rPr>
                <w:rFonts w:ascii="Arial" w:hAnsi="Arial" w:cs="Arial"/>
                <w:b/>
                <w:bCs/>
                <w:sz w:val="22"/>
                <w:szCs w:val="22"/>
                <w:lang w:val="en-GB"/>
              </w:rPr>
              <w:t xml:space="preserve">Budgetary allocation: </w:t>
            </w:r>
            <w:r w:rsidRPr="00323D97">
              <w:rPr>
                <w:rFonts w:ascii="Arial" w:hAnsi="Arial" w:cs="Arial"/>
                <w:b/>
                <w:bCs/>
                <w:sz w:val="22"/>
                <w:szCs w:val="22"/>
                <w:lang w:val="en-GB"/>
              </w:rPr>
              <w:t>US$</w:t>
            </w:r>
            <w:r w:rsidR="005A3DC9">
              <w:rPr>
                <w:rFonts w:ascii="Arial" w:hAnsi="Arial" w:cs="Arial"/>
                <w:b/>
                <w:bCs/>
                <w:sz w:val="22"/>
                <w:szCs w:val="22"/>
                <w:lang w:val="en-GB"/>
              </w:rPr>
              <w:t>5</w:t>
            </w:r>
            <w:r w:rsidR="00E82670">
              <w:rPr>
                <w:rFonts w:ascii="Arial" w:hAnsi="Arial" w:cs="Arial"/>
                <w:b/>
                <w:bCs/>
                <w:sz w:val="22"/>
                <w:szCs w:val="22"/>
                <w:lang w:val="en-GB"/>
              </w:rPr>
              <w:t>9</w:t>
            </w:r>
            <w:r w:rsidR="005A3DC9">
              <w:rPr>
                <w:rFonts w:ascii="Arial" w:hAnsi="Arial" w:cs="Arial"/>
                <w:b/>
                <w:bCs/>
                <w:sz w:val="22"/>
                <w:szCs w:val="22"/>
                <w:lang w:val="en-GB"/>
              </w:rPr>
              <w:t>,</w:t>
            </w:r>
            <w:r w:rsidR="008A19F0">
              <w:rPr>
                <w:rFonts w:ascii="Arial" w:hAnsi="Arial" w:cs="Arial"/>
                <w:b/>
                <w:bCs/>
                <w:sz w:val="22"/>
                <w:szCs w:val="22"/>
                <w:lang w:val="en-GB"/>
              </w:rPr>
              <w:t>655</w:t>
            </w:r>
          </w:p>
        </w:tc>
      </w:tr>
      <w:tr w:rsidR="008A6D2F" w:rsidRPr="008A19F0" w14:paraId="7626BCB3" w14:textId="77777777" w:rsidTr="00F82A28">
        <w:trPr>
          <w:cantSplit/>
        </w:trPr>
        <w:tc>
          <w:tcPr>
            <w:tcW w:w="363" w:type="pct"/>
            <w:shd w:val="clear" w:color="auto" w:fill="F2F2F2" w:themeFill="background1" w:themeFillShade="F2"/>
            <w:vAlign w:val="center"/>
          </w:tcPr>
          <w:p w14:paraId="75AB0614" w14:textId="77777777" w:rsidR="008A6D2F" w:rsidRPr="00696A00" w:rsidRDefault="008A6D2F">
            <w:pPr>
              <w:keepNext/>
              <w:spacing w:before="60" w:after="60"/>
              <w:jc w:val="right"/>
              <w:rPr>
                <w:rFonts w:ascii="Arial" w:hAnsi="Arial" w:cs="Arial"/>
                <w:i/>
                <w:iCs/>
                <w:sz w:val="22"/>
                <w:szCs w:val="22"/>
                <w:lang w:val="en-GB"/>
              </w:rPr>
            </w:pPr>
          </w:p>
        </w:tc>
        <w:tc>
          <w:tcPr>
            <w:tcW w:w="2318" w:type="pct"/>
            <w:gridSpan w:val="2"/>
            <w:shd w:val="clear" w:color="auto" w:fill="F2F2F2" w:themeFill="background1" w:themeFillShade="F2"/>
            <w:vAlign w:val="center"/>
          </w:tcPr>
          <w:p w14:paraId="3D15144B" w14:textId="55C244CB" w:rsidR="008A6D2F" w:rsidRPr="00696A00" w:rsidRDefault="00656462">
            <w:pPr>
              <w:keepNext/>
              <w:spacing w:before="60" w:after="60"/>
              <w:jc w:val="center"/>
              <w:rPr>
                <w:rFonts w:ascii="Arial" w:hAnsi="Arial" w:cs="Arial"/>
                <w:i/>
                <w:iCs/>
                <w:sz w:val="22"/>
                <w:szCs w:val="22"/>
                <w:lang w:val="en-GB"/>
              </w:rPr>
            </w:pPr>
            <w:r>
              <w:rPr>
                <w:rFonts w:ascii="Arial" w:hAnsi="Arial" w:cs="Arial"/>
                <w:i/>
                <w:iCs/>
                <w:sz w:val="22"/>
                <w:szCs w:val="22"/>
                <w:lang w:val="en-GB"/>
              </w:rPr>
              <w:t>Outputs</w:t>
            </w:r>
          </w:p>
        </w:tc>
        <w:tc>
          <w:tcPr>
            <w:tcW w:w="2319" w:type="pct"/>
            <w:shd w:val="clear" w:color="auto" w:fill="F2F2F2" w:themeFill="background1" w:themeFillShade="F2"/>
            <w:vAlign w:val="center"/>
          </w:tcPr>
          <w:p w14:paraId="6CB851CB" w14:textId="7B84F7D8" w:rsidR="008A6D2F" w:rsidRPr="00696A00" w:rsidRDefault="008A6D2F">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Indicators (</w:t>
            </w:r>
            <w:r w:rsidR="00656462">
              <w:rPr>
                <w:rFonts w:ascii="Arial" w:hAnsi="Arial" w:cs="Arial"/>
                <w:i/>
                <w:iCs/>
                <w:sz w:val="22"/>
                <w:szCs w:val="22"/>
                <w:lang w:val="en-GB"/>
              </w:rPr>
              <w:t>benchmarks</w:t>
            </w:r>
            <w:r w:rsidRPr="00696A00">
              <w:rPr>
                <w:rFonts w:ascii="Arial" w:hAnsi="Arial" w:cs="Arial"/>
                <w:i/>
                <w:iCs/>
                <w:sz w:val="22"/>
                <w:szCs w:val="22"/>
                <w:lang w:val="en-GB"/>
              </w:rPr>
              <w:t>)</w:t>
            </w:r>
            <w:r>
              <w:rPr>
                <w:rFonts w:ascii="Arial" w:hAnsi="Arial" w:cs="Arial"/>
                <w:i/>
                <w:iCs/>
                <w:sz w:val="22"/>
                <w:szCs w:val="22"/>
                <w:lang w:val="en-GB"/>
              </w:rPr>
              <w:br/>
              <w:t>1 January </w:t>
            </w:r>
            <w:r w:rsidR="00E55EFE">
              <w:rPr>
                <w:rFonts w:ascii="Arial" w:hAnsi="Arial" w:cs="Arial"/>
                <w:i/>
                <w:iCs/>
                <w:sz w:val="22"/>
                <w:szCs w:val="22"/>
                <w:lang w:val="en-GB"/>
              </w:rPr>
              <w:t>2018 to</w:t>
            </w:r>
            <w:r>
              <w:rPr>
                <w:rFonts w:ascii="Arial" w:hAnsi="Arial" w:cs="Arial"/>
                <w:i/>
                <w:iCs/>
                <w:sz w:val="22"/>
                <w:szCs w:val="22"/>
                <w:lang w:val="en-GB"/>
              </w:rPr>
              <w:t> 30 June 2018</w:t>
            </w:r>
          </w:p>
        </w:tc>
      </w:tr>
      <w:tr w:rsidR="008A6D2F" w:rsidRPr="008A19F0" w14:paraId="4937126B" w14:textId="77777777" w:rsidTr="00F82A28">
        <w:trPr>
          <w:cantSplit/>
        </w:trPr>
        <w:tc>
          <w:tcPr>
            <w:tcW w:w="363" w:type="pct"/>
            <w:shd w:val="clear" w:color="auto" w:fill="auto"/>
            <w:vAlign w:val="center"/>
          </w:tcPr>
          <w:p w14:paraId="472204DB" w14:textId="77777777" w:rsidR="008A6D2F" w:rsidRPr="00696A00" w:rsidRDefault="008A6D2F">
            <w:pPr>
              <w:spacing w:before="60" w:after="60"/>
              <w:jc w:val="center"/>
              <w:rPr>
                <w:rFonts w:ascii="Arial" w:hAnsi="Arial" w:cs="Arial"/>
                <w:iCs/>
                <w:sz w:val="22"/>
                <w:szCs w:val="22"/>
                <w:lang w:val="en-GB"/>
              </w:rPr>
            </w:pPr>
            <w:r>
              <w:rPr>
                <w:rFonts w:ascii="Arial" w:hAnsi="Arial" w:cs="Arial"/>
                <w:iCs/>
                <w:sz w:val="22"/>
                <w:szCs w:val="22"/>
                <w:lang w:val="en-GB"/>
              </w:rPr>
              <w:t>4</w:t>
            </w:r>
            <w:r w:rsidRPr="00696A00">
              <w:rPr>
                <w:rFonts w:ascii="Arial" w:hAnsi="Arial" w:cs="Arial"/>
                <w:iCs/>
                <w:sz w:val="22"/>
                <w:szCs w:val="22"/>
                <w:lang w:val="en-GB"/>
              </w:rPr>
              <w:t>.</w:t>
            </w:r>
            <w:r>
              <w:rPr>
                <w:rFonts w:ascii="Arial" w:hAnsi="Arial" w:cs="Arial"/>
                <w:iCs/>
                <w:sz w:val="22"/>
                <w:szCs w:val="22"/>
                <w:lang w:val="en-GB"/>
              </w:rPr>
              <w:t>1</w:t>
            </w:r>
          </w:p>
        </w:tc>
        <w:tc>
          <w:tcPr>
            <w:tcW w:w="2318" w:type="pct"/>
            <w:gridSpan w:val="2"/>
            <w:shd w:val="clear" w:color="auto" w:fill="auto"/>
            <w:vAlign w:val="center"/>
          </w:tcPr>
          <w:p w14:paraId="7F2119B3" w14:textId="77777777" w:rsidR="008A6D2F" w:rsidRPr="00696A00" w:rsidRDefault="008A6D2F">
            <w:pPr>
              <w:spacing w:before="60" w:after="60"/>
              <w:rPr>
                <w:rFonts w:ascii="Arial" w:hAnsi="Arial" w:cs="Arial"/>
                <w:color w:val="000000"/>
                <w:sz w:val="22"/>
                <w:szCs w:val="22"/>
                <w:lang w:val="en-GB"/>
              </w:rPr>
            </w:pPr>
            <w:r>
              <w:rPr>
                <w:rFonts w:ascii="Arial" w:hAnsi="Arial" w:cs="Arial"/>
                <w:color w:val="000000"/>
                <w:sz w:val="22"/>
                <w:szCs w:val="22"/>
                <w:lang w:val="en-GB"/>
              </w:rPr>
              <w:t>Implementation of the</w:t>
            </w:r>
            <w:r w:rsidRPr="00696A00">
              <w:rPr>
                <w:rFonts w:ascii="Arial" w:hAnsi="Arial" w:cs="Arial"/>
                <w:color w:val="000000"/>
                <w:sz w:val="22"/>
                <w:szCs w:val="22"/>
                <w:lang w:val="en-GB"/>
              </w:rPr>
              <w:t xml:space="preserve"> outreach strategy </w:t>
            </w:r>
            <w:r>
              <w:rPr>
                <w:rFonts w:ascii="Arial" w:hAnsi="Arial" w:cs="Arial"/>
                <w:color w:val="000000"/>
                <w:sz w:val="22"/>
                <w:szCs w:val="22"/>
                <w:lang w:val="en-GB"/>
              </w:rPr>
              <w:t xml:space="preserve">initiated </w:t>
            </w:r>
            <w:r w:rsidRPr="00696A00">
              <w:rPr>
                <w:rFonts w:ascii="Arial" w:hAnsi="Arial" w:cs="Arial"/>
                <w:color w:val="000000"/>
                <w:sz w:val="22"/>
                <w:szCs w:val="22"/>
                <w:lang w:val="en-GB"/>
              </w:rPr>
              <w:t xml:space="preserve">to promote the objectives of the Convention and engage effectively with stakeholders </w:t>
            </w:r>
          </w:p>
        </w:tc>
        <w:tc>
          <w:tcPr>
            <w:tcW w:w="2319" w:type="pct"/>
            <w:shd w:val="clear" w:color="auto" w:fill="auto"/>
            <w:vAlign w:val="center"/>
          </w:tcPr>
          <w:p w14:paraId="33E3E78E" w14:textId="67473975" w:rsidR="008A6D2F" w:rsidRPr="00C06F15" w:rsidRDefault="008A6D2F" w:rsidP="00AC202D">
            <w:pPr>
              <w:pStyle w:val="ListParagraph"/>
              <w:numPr>
                <w:ilvl w:val="0"/>
                <w:numId w:val="7"/>
              </w:numPr>
              <w:spacing w:before="60" w:after="60"/>
              <w:ind w:left="357" w:hanging="357"/>
              <w:contextualSpacing w:val="0"/>
              <w:rPr>
                <w:rFonts w:ascii="Arial" w:hAnsi="Arial" w:cs="Arial"/>
                <w:iCs/>
                <w:sz w:val="22"/>
                <w:szCs w:val="22"/>
                <w:lang w:val="en-GB"/>
              </w:rPr>
            </w:pPr>
            <w:r w:rsidRPr="00696A00">
              <w:rPr>
                <w:rFonts w:ascii="Arial" w:hAnsi="Arial" w:cs="Arial"/>
                <w:iCs/>
                <w:sz w:val="22"/>
                <w:szCs w:val="22"/>
                <w:lang w:val="en-GB"/>
              </w:rPr>
              <w:t>Outreach materials designed and produced (</w:t>
            </w:r>
            <w:r w:rsidR="00656462">
              <w:rPr>
                <w:rFonts w:ascii="Arial" w:hAnsi="Arial" w:cs="Arial"/>
                <w:iCs/>
                <w:sz w:val="22"/>
                <w:szCs w:val="22"/>
                <w:lang w:val="en-GB"/>
              </w:rPr>
              <w:t>B=</w:t>
            </w:r>
            <w:r w:rsidRPr="00696A00">
              <w:rPr>
                <w:rFonts w:ascii="Arial" w:hAnsi="Arial" w:cs="Arial"/>
                <w:iCs/>
                <w:sz w:val="22"/>
                <w:szCs w:val="22"/>
                <w:lang w:val="en-GB"/>
              </w:rPr>
              <w:t>2)</w:t>
            </w:r>
          </w:p>
        </w:tc>
      </w:tr>
    </w:tbl>
    <w:p w14:paraId="7748E645" w14:textId="77777777" w:rsidR="001E21CE" w:rsidRPr="00696A00" w:rsidRDefault="001E21CE" w:rsidP="00313B8D">
      <w:pPr>
        <w:pStyle w:val="Marge"/>
        <w:tabs>
          <w:tab w:val="clear" w:pos="567"/>
        </w:tabs>
        <w:spacing w:before="120" w:after="120"/>
        <w:rPr>
          <w:rFonts w:cs="Arial"/>
          <w:b/>
          <w:bCs/>
          <w:szCs w:val="22"/>
          <w:lang w:val="en-GB"/>
        </w:rPr>
      </w:pPr>
    </w:p>
    <w:sectPr w:rsidR="001E21CE" w:rsidRPr="00696A00" w:rsidSect="00C852FB">
      <w:headerReference w:type="even" r:id="rId23"/>
      <w:headerReference w:type="first" r:id="rId24"/>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D7F3" w14:textId="77777777" w:rsidR="00F82A28" w:rsidRDefault="00F82A28" w:rsidP="00655736">
      <w:r>
        <w:separator/>
      </w:r>
    </w:p>
  </w:endnote>
  <w:endnote w:type="continuationSeparator" w:id="0">
    <w:p w14:paraId="11275214" w14:textId="77777777" w:rsidR="00F82A28" w:rsidRDefault="00F82A2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065A8" w14:textId="77777777" w:rsidR="00F82A28" w:rsidRDefault="00F82A28" w:rsidP="00655736">
      <w:r>
        <w:separator/>
      </w:r>
    </w:p>
  </w:footnote>
  <w:footnote w:type="continuationSeparator" w:id="0">
    <w:p w14:paraId="361DC531" w14:textId="77777777" w:rsidR="00F82A28" w:rsidRDefault="00F82A28"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ABB3" w14:textId="11BCECAF" w:rsidR="00F82A28" w:rsidRPr="00C23A97" w:rsidRDefault="00F82A28">
    <w:pPr>
      <w:pStyle w:val="Header"/>
      <w:rPr>
        <w:rFonts w:ascii="Arial" w:hAnsi="Arial" w:cs="Arial"/>
        <w:lang w:val="en-GB"/>
      </w:rPr>
    </w:pPr>
    <w:r w:rsidRPr="00AB211A">
      <w:rPr>
        <w:rFonts w:ascii="Arial" w:hAnsi="Arial" w:cs="Arial"/>
        <w:sz w:val="22"/>
        <w:szCs w:val="22"/>
        <w:lang w:val="en-GB"/>
      </w:rPr>
      <w:t>ITH/1</w:t>
    </w:r>
    <w:r w:rsidRPr="00AB211A">
      <w:rPr>
        <w:rFonts w:ascii="Arial" w:eastAsia="Malgun Gothic" w:hAnsi="Arial" w:cs="Arial" w:hint="eastAsia"/>
        <w:sz w:val="22"/>
        <w:szCs w:val="22"/>
        <w:lang w:val="en-GB" w:eastAsia="ko-KR"/>
      </w:rPr>
      <w:t>7</w:t>
    </w:r>
    <w:r w:rsidRPr="00AB211A">
      <w:rPr>
        <w:rFonts w:ascii="Arial" w:hAnsi="Arial" w:cs="Arial"/>
        <w:sz w:val="22"/>
        <w:szCs w:val="22"/>
        <w:lang w:val="en-GB"/>
      </w:rPr>
      <w:t>/1</w:t>
    </w:r>
    <w:r w:rsidRPr="00AB211A">
      <w:rPr>
        <w:rFonts w:ascii="Arial" w:eastAsia="Malgun Gothic" w:hAnsi="Arial" w:cs="Arial" w:hint="eastAsia"/>
        <w:sz w:val="22"/>
        <w:szCs w:val="22"/>
        <w:lang w:val="en-GB" w:eastAsia="ko-KR"/>
      </w:rPr>
      <w:t>2</w:t>
    </w:r>
    <w:r w:rsidRPr="00AB211A">
      <w:rPr>
        <w:rFonts w:ascii="Arial" w:hAnsi="Arial" w:cs="Arial"/>
        <w:sz w:val="22"/>
        <w:szCs w:val="22"/>
        <w:lang w:val="en-GB"/>
      </w:rPr>
      <w:t>.COM/</w:t>
    </w:r>
    <w:r w:rsidRPr="00AB211A">
      <w:rPr>
        <w:rFonts w:ascii="Arial" w:eastAsia="Malgun Gothic" w:hAnsi="Arial" w:cs="Arial" w:hint="eastAsia"/>
        <w:sz w:val="22"/>
        <w:szCs w:val="22"/>
        <w:lang w:val="en-GB" w:eastAsia="ko-KR"/>
      </w:rPr>
      <w:t>2</w:t>
    </w:r>
    <w:r w:rsidRPr="00AB211A">
      <w:rPr>
        <w:rFonts w:ascii="Arial" w:hAnsi="Arial" w:cs="Arial"/>
        <w:sz w:val="22"/>
        <w:szCs w:val="22"/>
        <w:lang w:val="en-GB"/>
      </w:rPr>
      <w:t>.BUR/</w:t>
    </w:r>
    <w:r w:rsidR="00550C5F">
      <w:rPr>
        <w:rFonts w:ascii="Arial" w:eastAsia="Malgun Gothic" w:hAnsi="Arial" w:cs="Arial"/>
        <w:bCs/>
        <w:sz w:val="22"/>
        <w:szCs w:val="22"/>
        <w:lang w:val="en-GB" w:eastAsia="ko-KR"/>
      </w:rPr>
      <w:t>3</w:t>
    </w:r>
    <w:r w:rsidRPr="00AB211A">
      <w:rPr>
        <w:rFonts w:ascii="Arial" w:hAnsi="Arial" w:cs="Arial"/>
        <w:sz w:val="20"/>
        <w:szCs w:val="20"/>
        <w:lang w:val="en-GB"/>
      </w:rPr>
      <w:t xml:space="preserve"> –</w:t>
    </w:r>
    <w:r w:rsidRPr="00C23A97">
      <w:rPr>
        <w:rFonts w:ascii="Arial" w:hAnsi="Arial" w:cs="Arial"/>
        <w:sz w:val="20"/>
        <w:szCs w:val="20"/>
        <w:lang w:val="en-GB"/>
      </w:rPr>
      <w:t xml:space="preserve">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C6329C">
      <w:rPr>
        <w:rStyle w:val="PageNumber"/>
        <w:rFonts w:ascii="Arial" w:hAnsi="Arial" w:cs="Arial"/>
        <w:noProof/>
        <w:sz w:val="20"/>
        <w:szCs w:val="20"/>
        <w:lang w:val="en-GB"/>
      </w:rPr>
      <w:t>6</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BCB3" w14:textId="476B3836" w:rsidR="00F82A28" w:rsidRPr="0063300C" w:rsidRDefault="00F82A28" w:rsidP="0063300C">
    <w:pPr>
      <w:pStyle w:val="Header"/>
      <w:jc w:val="right"/>
      <w:rPr>
        <w:rFonts w:ascii="Arial" w:hAnsi="Arial" w:cs="Arial"/>
        <w:lang w:val="en-GB"/>
      </w:rPr>
    </w:pPr>
    <w:r w:rsidRPr="00AB211A">
      <w:rPr>
        <w:rFonts w:ascii="Arial" w:hAnsi="Arial" w:cs="Arial"/>
        <w:sz w:val="22"/>
        <w:szCs w:val="22"/>
        <w:lang w:val="en-GB"/>
      </w:rPr>
      <w:t>ITH/1</w:t>
    </w:r>
    <w:r w:rsidRPr="00AB211A">
      <w:rPr>
        <w:rFonts w:ascii="Arial" w:eastAsia="Malgun Gothic" w:hAnsi="Arial" w:cs="Arial" w:hint="eastAsia"/>
        <w:sz w:val="22"/>
        <w:szCs w:val="22"/>
        <w:lang w:val="en-GB" w:eastAsia="ko-KR"/>
      </w:rPr>
      <w:t>7</w:t>
    </w:r>
    <w:r w:rsidRPr="00AB211A">
      <w:rPr>
        <w:rFonts w:ascii="Arial" w:hAnsi="Arial" w:cs="Arial"/>
        <w:sz w:val="22"/>
        <w:szCs w:val="22"/>
        <w:lang w:val="en-GB"/>
      </w:rPr>
      <w:t>/1</w:t>
    </w:r>
    <w:r w:rsidRPr="00AB211A">
      <w:rPr>
        <w:rFonts w:ascii="Arial" w:eastAsia="Malgun Gothic" w:hAnsi="Arial" w:cs="Arial" w:hint="eastAsia"/>
        <w:sz w:val="22"/>
        <w:szCs w:val="22"/>
        <w:lang w:val="en-GB" w:eastAsia="ko-KR"/>
      </w:rPr>
      <w:t>2</w:t>
    </w:r>
    <w:r w:rsidRPr="00AB211A">
      <w:rPr>
        <w:rFonts w:ascii="Arial" w:hAnsi="Arial" w:cs="Arial"/>
        <w:sz w:val="22"/>
        <w:szCs w:val="22"/>
        <w:lang w:val="en-GB"/>
      </w:rPr>
      <w:t>.COM/</w:t>
    </w:r>
    <w:r w:rsidRPr="00AB211A">
      <w:rPr>
        <w:rFonts w:ascii="Arial" w:eastAsia="Malgun Gothic" w:hAnsi="Arial" w:cs="Arial" w:hint="eastAsia"/>
        <w:sz w:val="22"/>
        <w:szCs w:val="22"/>
        <w:lang w:val="en-GB" w:eastAsia="ko-KR"/>
      </w:rPr>
      <w:t>2</w:t>
    </w:r>
    <w:r w:rsidRPr="00AB211A">
      <w:rPr>
        <w:rFonts w:ascii="Arial" w:hAnsi="Arial" w:cs="Arial"/>
        <w:sz w:val="22"/>
        <w:szCs w:val="22"/>
        <w:lang w:val="en-GB"/>
      </w:rPr>
      <w:t>.BUR/</w:t>
    </w:r>
    <w:r w:rsidR="00550C5F">
      <w:rPr>
        <w:rFonts w:ascii="Arial" w:eastAsia="Malgun Gothic" w:hAnsi="Arial" w:cs="Arial"/>
        <w:bCs/>
        <w:sz w:val="22"/>
        <w:szCs w:val="22"/>
        <w:lang w:val="en-GB" w:eastAsia="ko-KR"/>
      </w:rPr>
      <w:t>3</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C6329C">
      <w:rPr>
        <w:rStyle w:val="PageNumber"/>
        <w:rFonts w:ascii="Arial" w:hAnsi="Arial" w:cs="Arial"/>
        <w:noProof/>
        <w:sz w:val="20"/>
        <w:szCs w:val="20"/>
        <w:lang w:val="en-GB"/>
      </w:rPr>
      <w:t>9</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E39A" w14:textId="77777777" w:rsidR="00F82A28" w:rsidRPr="00F32C23" w:rsidRDefault="00F82A28">
    <w:pPr>
      <w:pStyle w:val="Header"/>
      <w:rPr>
        <w:lang w:val="en-GB"/>
      </w:rPr>
    </w:pPr>
    <w:r>
      <w:rPr>
        <w:noProof/>
      </w:rPr>
      <w:drawing>
        <wp:anchor distT="0" distB="0" distL="114300" distR="114300" simplePos="0" relativeHeight="251657728" behindDoc="0" locked="0" layoutInCell="1" allowOverlap="1" wp14:anchorId="6379DFBD" wp14:editId="55894FF1">
          <wp:simplePos x="0" y="0"/>
          <wp:positionH relativeFrom="column">
            <wp:posOffset>-567690</wp:posOffset>
          </wp:positionH>
          <wp:positionV relativeFrom="paragraph">
            <wp:posOffset>3810</wp:posOffset>
          </wp:positionV>
          <wp:extent cx="2228215" cy="1367790"/>
          <wp:effectExtent l="0" t="0" r="635" b="3810"/>
          <wp:wrapNone/>
          <wp:docPr id="2"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anchor>
      </w:drawing>
    </w:r>
  </w:p>
  <w:p w14:paraId="33966E3A" w14:textId="77777777" w:rsidR="00F82A28" w:rsidRPr="00F30DC6" w:rsidRDefault="00F82A28" w:rsidP="00655736">
    <w:pPr>
      <w:pStyle w:val="Header"/>
      <w:spacing w:after="520"/>
      <w:jc w:val="right"/>
      <w:rPr>
        <w:rFonts w:ascii="Arial" w:hAnsi="Arial" w:cs="Arial"/>
        <w:b/>
        <w:sz w:val="44"/>
        <w:szCs w:val="44"/>
        <w:lang w:val="en-GB"/>
      </w:rPr>
    </w:pPr>
    <w:r>
      <w:rPr>
        <w:rFonts w:ascii="Arial" w:hAnsi="Arial" w:cs="Arial"/>
        <w:b/>
        <w:sz w:val="44"/>
        <w:szCs w:val="44"/>
        <w:lang w:val="en-GB"/>
      </w:rPr>
      <w:t>12 </w:t>
    </w:r>
    <w:r w:rsidRPr="00F30DC6">
      <w:rPr>
        <w:rFonts w:ascii="Arial" w:hAnsi="Arial" w:cs="Arial"/>
        <w:b/>
        <w:sz w:val="44"/>
        <w:szCs w:val="44"/>
        <w:lang w:val="en-GB"/>
      </w:rPr>
      <w:t>COM</w:t>
    </w:r>
    <w:r>
      <w:rPr>
        <w:rFonts w:ascii="Arial" w:hAnsi="Arial" w:cs="Arial"/>
        <w:b/>
        <w:sz w:val="44"/>
        <w:szCs w:val="44"/>
        <w:lang w:val="en-GB"/>
      </w:rPr>
      <w:t> 2 BUR</w:t>
    </w:r>
  </w:p>
  <w:p w14:paraId="2D0F7466" w14:textId="06D457B3" w:rsidR="00F82A28" w:rsidRPr="00C6329C" w:rsidRDefault="00F82A28" w:rsidP="00655736">
    <w:pPr>
      <w:jc w:val="right"/>
      <w:rPr>
        <w:rFonts w:ascii="Arial" w:hAnsi="Arial" w:cs="Arial"/>
        <w:b/>
        <w:sz w:val="22"/>
        <w:szCs w:val="22"/>
        <w:lang w:val="en-GB"/>
      </w:rPr>
    </w:pPr>
    <w:r w:rsidRPr="00C6329C">
      <w:rPr>
        <w:rFonts w:ascii="Arial" w:hAnsi="Arial" w:cs="Arial"/>
        <w:b/>
        <w:sz w:val="22"/>
        <w:szCs w:val="22"/>
        <w:lang w:val="en-GB"/>
      </w:rPr>
      <w:t>ITH/1</w:t>
    </w:r>
    <w:r w:rsidRPr="00C6329C">
      <w:rPr>
        <w:rFonts w:ascii="Arial" w:eastAsia="Malgun Gothic" w:hAnsi="Arial" w:cs="Arial" w:hint="eastAsia"/>
        <w:b/>
        <w:sz w:val="22"/>
        <w:szCs w:val="22"/>
        <w:lang w:val="en-GB" w:eastAsia="ko-KR"/>
      </w:rPr>
      <w:t>7</w:t>
    </w:r>
    <w:r w:rsidRPr="00C6329C">
      <w:rPr>
        <w:rFonts w:ascii="Arial" w:hAnsi="Arial" w:cs="Arial"/>
        <w:b/>
        <w:sz w:val="22"/>
        <w:szCs w:val="22"/>
        <w:lang w:val="en-GB"/>
      </w:rPr>
      <w:t>/1</w:t>
    </w:r>
    <w:r w:rsidRPr="00C6329C">
      <w:rPr>
        <w:rFonts w:ascii="Arial" w:eastAsia="Malgun Gothic" w:hAnsi="Arial" w:cs="Arial" w:hint="eastAsia"/>
        <w:b/>
        <w:sz w:val="22"/>
        <w:szCs w:val="22"/>
        <w:lang w:val="en-GB" w:eastAsia="ko-KR"/>
      </w:rPr>
      <w:t>2</w:t>
    </w:r>
    <w:r w:rsidRPr="00C6329C">
      <w:rPr>
        <w:rFonts w:ascii="Arial" w:hAnsi="Arial" w:cs="Arial"/>
        <w:b/>
        <w:sz w:val="22"/>
        <w:szCs w:val="22"/>
        <w:lang w:val="en-GB"/>
      </w:rPr>
      <w:t>.COM/</w:t>
    </w:r>
    <w:r w:rsidRPr="00C6329C">
      <w:rPr>
        <w:rFonts w:ascii="Arial" w:eastAsia="Malgun Gothic" w:hAnsi="Arial" w:cs="Arial" w:hint="eastAsia"/>
        <w:b/>
        <w:sz w:val="22"/>
        <w:szCs w:val="22"/>
        <w:lang w:val="en-GB" w:eastAsia="ko-KR"/>
      </w:rPr>
      <w:t>2</w:t>
    </w:r>
    <w:r w:rsidRPr="00C6329C">
      <w:rPr>
        <w:rFonts w:ascii="Arial" w:hAnsi="Arial" w:cs="Arial"/>
        <w:b/>
        <w:sz w:val="22"/>
        <w:szCs w:val="22"/>
        <w:lang w:val="en-GB"/>
      </w:rPr>
      <w:t>.BUR/</w:t>
    </w:r>
    <w:r w:rsidR="00550C5F" w:rsidRPr="00C6329C">
      <w:rPr>
        <w:rFonts w:ascii="Arial" w:eastAsia="Malgun Gothic" w:hAnsi="Arial" w:cs="Arial"/>
        <w:b/>
        <w:bCs/>
        <w:sz w:val="22"/>
        <w:szCs w:val="22"/>
        <w:lang w:val="en-GB" w:eastAsia="ko-KR"/>
      </w:rPr>
      <w:t>3</w:t>
    </w:r>
  </w:p>
  <w:p w14:paraId="44F131EA" w14:textId="44958D75" w:rsidR="00F82A28" w:rsidRPr="00C6329C" w:rsidRDefault="00F82A28" w:rsidP="00655736">
    <w:pPr>
      <w:jc w:val="right"/>
      <w:rPr>
        <w:rFonts w:ascii="Arial" w:hAnsi="Arial" w:cs="Arial"/>
        <w:b/>
        <w:sz w:val="22"/>
        <w:szCs w:val="22"/>
        <w:lang w:val="en-GB"/>
      </w:rPr>
    </w:pPr>
    <w:r w:rsidRPr="00C6329C">
      <w:rPr>
        <w:rFonts w:ascii="Arial" w:hAnsi="Arial" w:cs="Arial"/>
        <w:b/>
        <w:sz w:val="22"/>
        <w:szCs w:val="22"/>
        <w:lang w:val="en-GB"/>
      </w:rPr>
      <w:t xml:space="preserve">Paris, </w:t>
    </w:r>
    <w:r w:rsidR="00C6329C" w:rsidRPr="00C6329C">
      <w:rPr>
        <w:rFonts w:ascii="Arial" w:hAnsi="Arial" w:cs="Arial"/>
        <w:b/>
        <w:sz w:val="22"/>
        <w:szCs w:val="22"/>
        <w:lang w:val="en-GB"/>
      </w:rPr>
      <w:t>19</w:t>
    </w:r>
    <w:r w:rsidRPr="00C6329C">
      <w:rPr>
        <w:rFonts w:ascii="Arial" w:hAnsi="Arial" w:cs="Arial"/>
        <w:b/>
        <w:sz w:val="22"/>
        <w:szCs w:val="22"/>
        <w:lang w:val="en-GB"/>
      </w:rPr>
      <w:t xml:space="preserve"> May 2017</w:t>
    </w:r>
  </w:p>
  <w:p w14:paraId="7414B512" w14:textId="77777777" w:rsidR="00F82A28" w:rsidRPr="00F32C23" w:rsidRDefault="00F82A28" w:rsidP="000048ED">
    <w:pPr>
      <w:jc w:val="right"/>
      <w:rPr>
        <w:rFonts w:ascii="Arial" w:hAnsi="Arial" w:cs="Arial"/>
        <w:b/>
        <w:sz w:val="22"/>
        <w:szCs w:val="22"/>
        <w:lang w:val="en-GB"/>
      </w:rPr>
    </w:pPr>
    <w:r w:rsidRPr="00C6329C">
      <w:rPr>
        <w:rFonts w:ascii="Arial" w:hAnsi="Arial" w:cs="Arial"/>
        <w:b/>
        <w:sz w:val="22"/>
        <w:szCs w:val="22"/>
        <w:lang w:val="en-GB"/>
      </w:rPr>
      <w:t>Original: English</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DDEB5" w14:textId="0E915B80" w:rsidR="00F82A28" w:rsidRPr="00BF635B" w:rsidRDefault="00BF635B">
    <w:pPr>
      <w:pStyle w:val="Header"/>
      <w:rPr>
        <w:rFonts w:ascii="Arial" w:hAnsi="Arial" w:cs="Arial"/>
        <w:lang w:val="en-GB"/>
      </w:rPr>
    </w:pPr>
    <w:r w:rsidRPr="00AB211A">
      <w:rPr>
        <w:rFonts w:ascii="Arial" w:hAnsi="Arial" w:cs="Arial"/>
        <w:sz w:val="22"/>
        <w:szCs w:val="22"/>
        <w:lang w:val="en-GB"/>
      </w:rPr>
      <w:t>ITH/1</w:t>
    </w:r>
    <w:r w:rsidRPr="00AB211A">
      <w:rPr>
        <w:rFonts w:ascii="Arial" w:eastAsia="Malgun Gothic" w:hAnsi="Arial" w:cs="Arial" w:hint="eastAsia"/>
        <w:sz w:val="22"/>
        <w:szCs w:val="22"/>
        <w:lang w:val="en-GB" w:eastAsia="ko-KR"/>
      </w:rPr>
      <w:t>7</w:t>
    </w:r>
    <w:r w:rsidRPr="00AB211A">
      <w:rPr>
        <w:rFonts w:ascii="Arial" w:hAnsi="Arial" w:cs="Arial"/>
        <w:sz w:val="22"/>
        <w:szCs w:val="22"/>
        <w:lang w:val="en-GB"/>
      </w:rPr>
      <w:t>/1</w:t>
    </w:r>
    <w:r w:rsidRPr="00AB211A">
      <w:rPr>
        <w:rFonts w:ascii="Arial" w:eastAsia="Malgun Gothic" w:hAnsi="Arial" w:cs="Arial" w:hint="eastAsia"/>
        <w:sz w:val="22"/>
        <w:szCs w:val="22"/>
        <w:lang w:val="en-GB" w:eastAsia="ko-KR"/>
      </w:rPr>
      <w:t>2</w:t>
    </w:r>
    <w:r w:rsidRPr="00AB211A">
      <w:rPr>
        <w:rFonts w:ascii="Arial" w:hAnsi="Arial" w:cs="Arial"/>
        <w:sz w:val="22"/>
        <w:szCs w:val="22"/>
        <w:lang w:val="en-GB"/>
      </w:rPr>
      <w:t>.COM/</w:t>
    </w:r>
    <w:r w:rsidRPr="00AB211A">
      <w:rPr>
        <w:rFonts w:ascii="Arial" w:eastAsia="Malgun Gothic" w:hAnsi="Arial" w:cs="Arial" w:hint="eastAsia"/>
        <w:sz w:val="22"/>
        <w:szCs w:val="22"/>
        <w:lang w:val="en-GB" w:eastAsia="ko-KR"/>
      </w:rPr>
      <w:t>2</w:t>
    </w:r>
    <w:r w:rsidRPr="00AB211A">
      <w:rPr>
        <w:rFonts w:ascii="Arial" w:hAnsi="Arial" w:cs="Arial"/>
        <w:sz w:val="22"/>
        <w:szCs w:val="22"/>
        <w:lang w:val="en-GB"/>
      </w:rPr>
      <w:t>.BUR/</w:t>
    </w:r>
    <w:r>
      <w:rPr>
        <w:rFonts w:ascii="Arial" w:eastAsia="Malgun Gothic" w:hAnsi="Arial" w:cs="Arial"/>
        <w:bCs/>
        <w:sz w:val="22"/>
        <w:szCs w:val="22"/>
        <w:lang w:val="en-GB" w:eastAsia="ko-KR"/>
      </w:rPr>
      <w:t>3</w:t>
    </w:r>
    <w:r w:rsidRPr="00AB211A">
      <w:rPr>
        <w:rFonts w:ascii="Arial" w:hAnsi="Arial" w:cs="Arial"/>
        <w:sz w:val="20"/>
        <w:szCs w:val="20"/>
        <w:lang w:val="en-GB"/>
      </w:rPr>
      <w:t xml:space="preserve"> –</w:t>
    </w:r>
    <w:r w:rsidRPr="00C23A97">
      <w:rPr>
        <w:rFonts w:ascii="Arial" w:hAnsi="Arial" w:cs="Arial"/>
        <w:sz w:val="20"/>
        <w:szCs w:val="20"/>
        <w:lang w:val="en-GB"/>
      </w:rPr>
      <w:t xml:space="preserve">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C6329C">
      <w:rPr>
        <w:rStyle w:val="PageNumber"/>
        <w:rFonts w:ascii="Arial" w:hAnsi="Arial" w:cs="Arial"/>
        <w:noProof/>
        <w:sz w:val="20"/>
        <w:szCs w:val="20"/>
        <w:lang w:val="en-GB"/>
      </w:rPr>
      <w:t>10</w:t>
    </w:r>
    <w:r w:rsidRPr="00C23A97">
      <w:rPr>
        <w:rStyle w:val="PageNumber"/>
        <w:rFonts w:ascii="Arial" w:hAnsi="Arial" w:cs="Arial"/>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9C35" w14:textId="77777777" w:rsidR="00F82A28" w:rsidRPr="00F32C23" w:rsidRDefault="00F82A28">
    <w:pPr>
      <w:pStyle w:val="Header"/>
      <w:rPr>
        <w:lang w:val="en-GB"/>
      </w:rPr>
    </w:pPr>
    <w:r>
      <w:rPr>
        <w:noProof/>
      </w:rPr>
      <w:drawing>
        <wp:anchor distT="0" distB="0" distL="114300" distR="114300" simplePos="0" relativeHeight="251663872" behindDoc="0" locked="0" layoutInCell="1" allowOverlap="1" wp14:anchorId="6204A25C" wp14:editId="66D59888">
          <wp:simplePos x="0" y="0"/>
          <wp:positionH relativeFrom="column">
            <wp:posOffset>-567690</wp:posOffset>
          </wp:positionH>
          <wp:positionV relativeFrom="paragraph">
            <wp:posOffset>3810</wp:posOffset>
          </wp:positionV>
          <wp:extent cx="2228215" cy="1367790"/>
          <wp:effectExtent l="0" t="0" r="635" b="3810"/>
          <wp:wrapNone/>
          <wp:docPr id="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D6A6E" w14:textId="77777777" w:rsidR="00F82A28" w:rsidRPr="00F30DC6" w:rsidRDefault="00F82A28" w:rsidP="00655736">
    <w:pPr>
      <w:pStyle w:val="Header"/>
      <w:spacing w:after="520"/>
      <w:jc w:val="right"/>
      <w:rPr>
        <w:rFonts w:ascii="Arial" w:hAnsi="Arial" w:cs="Arial"/>
        <w:b/>
        <w:sz w:val="44"/>
        <w:szCs w:val="44"/>
        <w:lang w:val="en-GB"/>
      </w:rPr>
    </w:pPr>
    <w:r>
      <w:rPr>
        <w:rFonts w:ascii="Arial" w:hAnsi="Arial" w:cs="Arial"/>
        <w:b/>
        <w:sz w:val="44"/>
        <w:szCs w:val="44"/>
        <w:lang w:val="en-GB"/>
      </w:rPr>
      <w:t>11 </w:t>
    </w:r>
    <w:r w:rsidRPr="00F30DC6">
      <w:rPr>
        <w:rFonts w:ascii="Arial" w:hAnsi="Arial" w:cs="Arial"/>
        <w:b/>
        <w:sz w:val="44"/>
        <w:szCs w:val="44"/>
        <w:lang w:val="en-GB"/>
      </w:rPr>
      <w:t>COM</w:t>
    </w:r>
    <w:r>
      <w:rPr>
        <w:rFonts w:ascii="Arial" w:hAnsi="Arial" w:cs="Arial"/>
        <w:b/>
        <w:sz w:val="44"/>
        <w:szCs w:val="44"/>
        <w:lang w:val="en-GB"/>
      </w:rPr>
      <w:t> 2 BUR</w:t>
    </w:r>
  </w:p>
  <w:p w14:paraId="5368DB3F" w14:textId="77777777" w:rsidR="00F82A28" w:rsidRPr="009D5428" w:rsidRDefault="00F82A28" w:rsidP="00655736">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11</w:t>
    </w:r>
    <w:r w:rsidRPr="009D5428">
      <w:rPr>
        <w:rFonts w:ascii="Arial" w:hAnsi="Arial" w:cs="Arial"/>
        <w:b/>
        <w:sz w:val="22"/>
        <w:szCs w:val="22"/>
        <w:lang w:val="en-GB"/>
      </w:rPr>
      <w:t>.COM</w:t>
    </w:r>
    <w:r>
      <w:rPr>
        <w:rFonts w:ascii="Arial" w:hAnsi="Arial" w:cs="Arial"/>
        <w:b/>
        <w:sz w:val="22"/>
        <w:szCs w:val="22"/>
        <w:lang w:val="en-GB"/>
      </w:rPr>
      <w:t> 2.BUR/</w:t>
    </w:r>
    <w:r w:rsidRPr="00350080">
      <w:rPr>
        <w:rFonts w:ascii="Arial" w:hAnsi="Arial" w:cs="Arial"/>
        <w:b/>
        <w:sz w:val="22"/>
        <w:szCs w:val="22"/>
        <w:highlight w:val="yellow"/>
        <w:lang w:val="en-GB"/>
      </w:rPr>
      <w:t>X</w:t>
    </w:r>
  </w:p>
  <w:p w14:paraId="78AFDF31" w14:textId="77777777" w:rsidR="00F82A28" w:rsidRPr="00F32C23" w:rsidRDefault="00F82A28" w:rsidP="00655736">
    <w:pPr>
      <w:jc w:val="right"/>
      <w:rPr>
        <w:rFonts w:ascii="Arial" w:hAnsi="Arial" w:cs="Arial"/>
        <w:b/>
        <w:sz w:val="22"/>
        <w:szCs w:val="22"/>
        <w:lang w:val="en-GB"/>
      </w:rPr>
    </w:pPr>
    <w:r w:rsidRPr="009D5428">
      <w:rPr>
        <w:rFonts w:ascii="Arial" w:hAnsi="Arial" w:cs="Arial"/>
        <w:b/>
        <w:sz w:val="22"/>
        <w:szCs w:val="22"/>
        <w:lang w:val="en-GB"/>
      </w:rPr>
      <w:t xml:space="preserve">Paris, </w:t>
    </w:r>
    <w:r>
      <w:rPr>
        <w:rFonts w:ascii="Arial" w:hAnsi="Arial" w:cs="Arial"/>
        <w:b/>
        <w:sz w:val="22"/>
        <w:szCs w:val="22"/>
        <w:lang w:val="en-GB"/>
      </w:rPr>
      <w:t>2 June 2016</w:t>
    </w:r>
  </w:p>
  <w:p w14:paraId="0E125CCE" w14:textId="77777777" w:rsidR="00F82A28" w:rsidRPr="00F32C23" w:rsidRDefault="00F82A28"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717F0401" w14:textId="3636F174" w:rsidR="00F82A28" w:rsidRDefault="00F82A28" w:rsidP="00350080">
    <w:pPr>
      <w:pStyle w:val="Header"/>
      <w:spacing w:before="600"/>
      <w:rPr>
        <w:rFonts w:ascii="Arial" w:hAnsi="Arial" w:cs="Arial"/>
        <w:sz w:val="22"/>
        <w:szCs w:val="22"/>
        <w:lang w:val="en-GB"/>
      </w:rPr>
    </w:pPr>
    <w:r>
      <w:rPr>
        <w:rFonts w:ascii="Arial" w:hAnsi="Arial" w:cs="Arial"/>
        <w:sz w:val="22"/>
        <w:szCs w:val="22"/>
        <w:lang w:val="en-GB"/>
      </w:rPr>
      <w:t xml:space="preserve">Drafted by </w:t>
    </w:r>
    <w:proofErr w:type="spellStart"/>
    <w:r>
      <w:rPr>
        <w:rFonts w:ascii="Arial" w:hAnsi="Arial" w:cs="Arial"/>
        <w:sz w:val="22"/>
        <w:szCs w:val="22"/>
        <w:lang w:val="en-GB"/>
      </w:rPr>
      <w:t>BdS</w:t>
    </w:r>
    <w:proofErr w:type="spellEnd"/>
    <w:r>
      <w:rPr>
        <w:rFonts w:ascii="Arial" w:hAnsi="Arial" w:cs="Arial"/>
        <w:sz w:val="22"/>
        <w:szCs w:val="22"/>
        <w:lang w:val="en-GB"/>
      </w:rPr>
      <w:t xml:space="preserve"> </w:t>
    </w:r>
    <w:r>
      <w:rPr>
        <w:rFonts w:ascii="Arial" w:hAnsi="Arial" w:cs="Arial"/>
        <w:sz w:val="22"/>
        <w:szCs w:val="22"/>
        <w:lang w:val="en-GB"/>
      </w:rPr>
      <w:fldChar w:fldCharType="begin"/>
    </w:r>
    <w:r>
      <w:rPr>
        <w:rFonts w:ascii="Arial" w:hAnsi="Arial" w:cs="Arial"/>
        <w:sz w:val="22"/>
        <w:szCs w:val="22"/>
        <w:lang w:val="en-GB"/>
      </w:rPr>
      <w:instrText xml:space="preserve"> DATE \@ "yyyy-MM-dd" </w:instrText>
    </w:r>
    <w:r>
      <w:rPr>
        <w:rFonts w:ascii="Arial" w:hAnsi="Arial" w:cs="Arial"/>
        <w:sz w:val="22"/>
        <w:szCs w:val="22"/>
        <w:lang w:val="en-GB"/>
      </w:rPr>
      <w:fldChar w:fldCharType="separate"/>
    </w:r>
    <w:r w:rsidR="008A19F0">
      <w:rPr>
        <w:rFonts w:ascii="Arial" w:hAnsi="Arial" w:cs="Arial"/>
        <w:noProof/>
        <w:sz w:val="22"/>
        <w:szCs w:val="22"/>
        <w:lang w:val="en-GB"/>
      </w:rPr>
      <w:t>2017-05-19</w:t>
    </w:r>
    <w:r>
      <w:rPr>
        <w:rFonts w:ascii="Arial" w:hAnsi="Arial" w:cs="Arial"/>
        <w:sz w:val="22"/>
        <w:szCs w:val="22"/>
        <w:lang w:val="en-GB"/>
      </w:rPr>
      <w:fldChar w:fldCharType="end"/>
    </w:r>
  </w:p>
  <w:p w14:paraId="30C98AE8" w14:textId="77777777" w:rsidR="00F82A28" w:rsidRDefault="00F82A28" w:rsidP="00350080">
    <w:pPr>
      <w:pStyle w:val="Header"/>
      <w:tabs>
        <w:tab w:val="clear" w:pos="4536"/>
        <w:tab w:val="left" w:pos="993"/>
        <w:tab w:val="right" w:pos="5245"/>
      </w:tabs>
      <w:spacing w:before="120" w:after="120"/>
      <w:rPr>
        <w:rFonts w:ascii="Arial" w:hAnsi="Arial" w:cs="Arial"/>
        <w:sz w:val="22"/>
        <w:szCs w:val="22"/>
        <w:lang w:val="en-GB"/>
      </w:rPr>
    </w:pPr>
    <w:r>
      <w:rPr>
        <w:rFonts w:ascii="Arial" w:hAnsi="Arial" w:cs="Arial"/>
        <w:sz w:val="22"/>
        <w:szCs w:val="22"/>
        <w:lang w:val="en-GB"/>
      </w:rPr>
      <w:t>Visa by</w:t>
    </w:r>
    <w:r>
      <w:rPr>
        <w:rFonts w:ascii="Arial" w:hAnsi="Arial" w:cs="Arial"/>
        <w:sz w:val="22"/>
        <w:szCs w:val="22"/>
        <w:lang w:val="en-GB"/>
      </w:rPr>
      <w:tab/>
      <w:t>CLT/CRE/ITH, Chief PRG Unit</w:t>
    </w:r>
    <w:r>
      <w:rPr>
        <w:rFonts w:ascii="Arial" w:hAnsi="Arial" w:cs="Arial"/>
        <w:sz w:val="22"/>
        <w:szCs w:val="22"/>
        <w:lang w:val="en-GB"/>
      </w:rPr>
      <w:tab/>
      <w:t>_________</w:t>
    </w:r>
  </w:p>
  <w:p w14:paraId="3EE2B987" w14:textId="77777777" w:rsidR="00F82A28" w:rsidRDefault="00F82A28" w:rsidP="00350080">
    <w:pPr>
      <w:pStyle w:val="Header"/>
      <w:tabs>
        <w:tab w:val="clear" w:pos="4536"/>
        <w:tab w:val="left" w:pos="993"/>
        <w:tab w:val="right" w:pos="5245"/>
      </w:tabs>
      <w:spacing w:before="120" w:after="120"/>
      <w:rPr>
        <w:rFonts w:ascii="Arial" w:hAnsi="Arial" w:cs="Arial"/>
        <w:sz w:val="22"/>
        <w:szCs w:val="22"/>
        <w:lang w:val="en-GB"/>
      </w:rPr>
    </w:pPr>
    <w:r>
      <w:rPr>
        <w:rFonts w:ascii="Arial" w:hAnsi="Arial" w:cs="Arial"/>
        <w:sz w:val="22"/>
        <w:szCs w:val="22"/>
        <w:lang w:val="en-GB"/>
      </w:rPr>
      <w:tab/>
      <w:t>Chief CLT/CRE/ITH</w:t>
    </w:r>
    <w:r>
      <w:rPr>
        <w:rFonts w:ascii="Arial" w:hAnsi="Arial" w:cs="Arial"/>
        <w:sz w:val="22"/>
        <w:szCs w:val="22"/>
        <w:lang w:val="en-GB"/>
      </w:rPr>
      <w:tab/>
      <w:t>__________________</w:t>
    </w:r>
  </w:p>
  <w:p w14:paraId="1AF44251" w14:textId="77777777" w:rsidR="00F82A28" w:rsidRPr="00350080" w:rsidRDefault="00F82A28" w:rsidP="00350080">
    <w:pPr>
      <w:pStyle w:val="Header"/>
      <w:tabs>
        <w:tab w:val="clear" w:pos="4536"/>
        <w:tab w:val="left" w:pos="993"/>
        <w:tab w:val="right" w:pos="5245"/>
      </w:tabs>
      <w:spacing w:before="120" w:after="120"/>
      <w:rPr>
        <w:rFonts w:ascii="Arial" w:hAnsi="Arial" w:cs="Arial"/>
        <w:sz w:val="22"/>
        <w:szCs w:val="22"/>
        <w:lang w:val="en-GB"/>
      </w:rPr>
    </w:pPr>
    <w:r>
      <w:rPr>
        <w:rFonts w:ascii="Arial" w:hAnsi="Arial" w:cs="Arial"/>
        <w:sz w:val="22"/>
        <w:szCs w:val="22"/>
        <w:lang w:val="en-GB"/>
      </w:rPr>
      <w:tab/>
      <w:t>ADG/CLT</w:t>
    </w:r>
    <w:r>
      <w:rPr>
        <w:rFonts w:ascii="Arial" w:hAnsi="Arial" w:cs="Arial"/>
        <w:sz w:val="22"/>
        <w:szCs w:val="22"/>
        <w:lang w:val="en-GB"/>
      </w:rPr>
      <w:tab/>
      <w:t>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26F960B4"/>
    <w:multiLevelType w:val="hybridMultilevel"/>
    <w:tmpl w:val="AA46D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AC30BD2"/>
    <w:multiLevelType w:val="hybridMultilevel"/>
    <w:tmpl w:val="27C40886"/>
    <w:lvl w:ilvl="0" w:tplc="F2A68DC4">
      <w:start w:val="1"/>
      <w:numFmt w:val="upperRoman"/>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3447DA"/>
    <w:multiLevelType w:val="hybridMultilevel"/>
    <w:tmpl w:val="E0FE2928"/>
    <w:lvl w:ilvl="0" w:tplc="35960A5A">
      <w:start w:val="1"/>
      <w:numFmt w:val="decimal"/>
      <w:pStyle w:val="5GAparabodytext"/>
      <w:lvlText w:val="%1."/>
      <w:lvlJc w:val="left"/>
      <w:pPr>
        <w:ind w:left="720" w:hanging="360"/>
      </w:pPr>
      <w:rPr>
        <w:rFonts w:ascii="Arial" w:hAnsi="Arial" w:cs="Arial" w:hint="default"/>
        <w:b w:val="0"/>
        <w:i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B82CF8"/>
    <w:multiLevelType w:val="hybridMultilevel"/>
    <w:tmpl w:val="E9089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7"/>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1AAF"/>
    <w:rsid w:val="00002055"/>
    <w:rsid w:val="000048ED"/>
    <w:rsid w:val="00005E68"/>
    <w:rsid w:val="00007575"/>
    <w:rsid w:val="00014871"/>
    <w:rsid w:val="000151EE"/>
    <w:rsid w:val="00020E05"/>
    <w:rsid w:val="00023C5A"/>
    <w:rsid w:val="000264B6"/>
    <w:rsid w:val="0003096A"/>
    <w:rsid w:val="00030FFC"/>
    <w:rsid w:val="000338B3"/>
    <w:rsid w:val="00035902"/>
    <w:rsid w:val="00037466"/>
    <w:rsid w:val="00041A66"/>
    <w:rsid w:val="000430CB"/>
    <w:rsid w:val="0005176E"/>
    <w:rsid w:val="00052E50"/>
    <w:rsid w:val="0005302A"/>
    <w:rsid w:val="00056738"/>
    <w:rsid w:val="00060C9A"/>
    <w:rsid w:val="00062E12"/>
    <w:rsid w:val="000632F7"/>
    <w:rsid w:val="0007613B"/>
    <w:rsid w:val="000765F7"/>
    <w:rsid w:val="00077614"/>
    <w:rsid w:val="00077AB7"/>
    <w:rsid w:val="00081CD8"/>
    <w:rsid w:val="000871F1"/>
    <w:rsid w:val="0009309E"/>
    <w:rsid w:val="000A7F0E"/>
    <w:rsid w:val="000B1C8F"/>
    <w:rsid w:val="000B455B"/>
    <w:rsid w:val="000C0D61"/>
    <w:rsid w:val="000C1058"/>
    <w:rsid w:val="000C4151"/>
    <w:rsid w:val="000D7030"/>
    <w:rsid w:val="000E5C15"/>
    <w:rsid w:val="000F19FD"/>
    <w:rsid w:val="000F33D8"/>
    <w:rsid w:val="000F3A3F"/>
    <w:rsid w:val="001023C3"/>
    <w:rsid w:val="00102557"/>
    <w:rsid w:val="001025CB"/>
    <w:rsid w:val="00104B05"/>
    <w:rsid w:val="00117945"/>
    <w:rsid w:val="00123C77"/>
    <w:rsid w:val="00124A1D"/>
    <w:rsid w:val="00124AF4"/>
    <w:rsid w:val="0012612E"/>
    <w:rsid w:val="00132152"/>
    <w:rsid w:val="001342C1"/>
    <w:rsid w:val="0013608A"/>
    <w:rsid w:val="00137005"/>
    <w:rsid w:val="00141DE9"/>
    <w:rsid w:val="00147CC3"/>
    <w:rsid w:val="00153F98"/>
    <w:rsid w:val="00154570"/>
    <w:rsid w:val="00154E7B"/>
    <w:rsid w:val="00155972"/>
    <w:rsid w:val="00157C0F"/>
    <w:rsid w:val="00162095"/>
    <w:rsid w:val="00164189"/>
    <w:rsid w:val="00164D56"/>
    <w:rsid w:val="00165804"/>
    <w:rsid w:val="00167B10"/>
    <w:rsid w:val="0017170F"/>
    <w:rsid w:val="0017402F"/>
    <w:rsid w:val="001774AD"/>
    <w:rsid w:val="0019121A"/>
    <w:rsid w:val="00191E17"/>
    <w:rsid w:val="00194247"/>
    <w:rsid w:val="00194969"/>
    <w:rsid w:val="001956CB"/>
    <w:rsid w:val="00196C1B"/>
    <w:rsid w:val="0019737C"/>
    <w:rsid w:val="001A2415"/>
    <w:rsid w:val="001B0F73"/>
    <w:rsid w:val="001B75E7"/>
    <w:rsid w:val="001C2DB7"/>
    <w:rsid w:val="001C5DF9"/>
    <w:rsid w:val="001D5556"/>
    <w:rsid w:val="001D5C04"/>
    <w:rsid w:val="001E21CE"/>
    <w:rsid w:val="001E79B6"/>
    <w:rsid w:val="001F21FA"/>
    <w:rsid w:val="001F56CF"/>
    <w:rsid w:val="001F6724"/>
    <w:rsid w:val="00201D83"/>
    <w:rsid w:val="00205C93"/>
    <w:rsid w:val="002068C3"/>
    <w:rsid w:val="00211FE7"/>
    <w:rsid w:val="002130B3"/>
    <w:rsid w:val="00213EEA"/>
    <w:rsid w:val="00217477"/>
    <w:rsid w:val="00222A2D"/>
    <w:rsid w:val="00223029"/>
    <w:rsid w:val="00227C59"/>
    <w:rsid w:val="00234745"/>
    <w:rsid w:val="002407AF"/>
    <w:rsid w:val="00246090"/>
    <w:rsid w:val="00247199"/>
    <w:rsid w:val="00251669"/>
    <w:rsid w:val="00254A27"/>
    <w:rsid w:val="002623AC"/>
    <w:rsid w:val="0027170E"/>
    <w:rsid w:val="0027466B"/>
    <w:rsid w:val="002810A7"/>
    <w:rsid w:val="002838A5"/>
    <w:rsid w:val="00285BB4"/>
    <w:rsid w:val="002867F8"/>
    <w:rsid w:val="0029512B"/>
    <w:rsid w:val="002953CA"/>
    <w:rsid w:val="00295825"/>
    <w:rsid w:val="00297B2D"/>
    <w:rsid w:val="002A0427"/>
    <w:rsid w:val="002A598F"/>
    <w:rsid w:val="002B3B0A"/>
    <w:rsid w:val="002B3B4B"/>
    <w:rsid w:val="002B5B5E"/>
    <w:rsid w:val="002C09E3"/>
    <w:rsid w:val="002C7207"/>
    <w:rsid w:val="002D091C"/>
    <w:rsid w:val="002F08A3"/>
    <w:rsid w:val="002F20BA"/>
    <w:rsid w:val="002F3D72"/>
    <w:rsid w:val="002F41A2"/>
    <w:rsid w:val="002F57A2"/>
    <w:rsid w:val="00300A5A"/>
    <w:rsid w:val="003022FF"/>
    <w:rsid w:val="003030B6"/>
    <w:rsid w:val="0031145D"/>
    <w:rsid w:val="00313B8D"/>
    <w:rsid w:val="00323D97"/>
    <w:rsid w:val="0032752E"/>
    <w:rsid w:val="00335A22"/>
    <w:rsid w:val="00336166"/>
    <w:rsid w:val="0034029C"/>
    <w:rsid w:val="00344B58"/>
    <w:rsid w:val="00345CB4"/>
    <w:rsid w:val="003478F2"/>
    <w:rsid w:val="00350080"/>
    <w:rsid w:val="00355CB9"/>
    <w:rsid w:val="003608C1"/>
    <w:rsid w:val="0037592C"/>
    <w:rsid w:val="00375D42"/>
    <w:rsid w:val="00382975"/>
    <w:rsid w:val="00386C90"/>
    <w:rsid w:val="0038708E"/>
    <w:rsid w:val="003916F6"/>
    <w:rsid w:val="00391D64"/>
    <w:rsid w:val="00396CD7"/>
    <w:rsid w:val="003975A6"/>
    <w:rsid w:val="003A19C0"/>
    <w:rsid w:val="003A44F2"/>
    <w:rsid w:val="003A4F88"/>
    <w:rsid w:val="003A6A12"/>
    <w:rsid w:val="003B0AB8"/>
    <w:rsid w:val="003B32D8"/>
    <w:rsid w:val="003B5600"/>
    <w:rsid w:val="003C6A01"/>
    <w:rsid w:val="003D069C"/>
    <w:rsid w:val="003D50CE"/>
    <w:rsid w:val="003D7646"/>
    <w:rsid w:val="003D7AAF"/>
    <w:rsid w:val="003E4179"/>
    <w:rsid w:val="003E5B44"/>
    <w:rsid w:val="003F113A"/>
    <w:rsid w:val="003F3C31"/>
    <w:rsid w:val="003F3E63"/>
    <w:rsid w:val="003F58A3"/>
    <w:rsid w:val="004038D7"/>
    <w:rsid w:val="00407480"/>
    <w:rsid w:val="004107A5"/>
    <w:rsid w:val="00414643"/>
    <w:rsid w:val="004345C5"/>
    <w:rsid w:val="004408D8"/>
    <w:rsid w:val="00441886"/>
    <w:rsid w:val="004421E5"/>
    <w:rsid w:val="00444239"/>
    <w:rsid w:val="00452284"/>
    <w:rsid w:val="00453691"/>
    <w:rsid w:val="004558CA"/>
    <w:rsid w:val="00457B5F"/>
    <w:rsid w:val="00457C8E"/>
    <w:rsid w:val="00460878"/>
    <w:rsid w:val="0046107C"/>
    <w:rsid w:val="00463B97"/>
    <w:rsid w:val="004672E4"/>
    <w:rsid w:val="00471D3D"/>
    <w:rsid w:val="00472520"/>
    <w:rsid w:val="0047606E"/>
    <w:rsid w:val="004856CA"/>
    <w:rsid w:val="00486408"/>
    <w:rsid w:val="004876DE"/>
    <w:rsid w:val="00487E67"/>
    <w:rsid w:val="00491576"/>
    <w:rsid w:val="00494AB6"/>
    <w:rsid w:val="00496531"/>
    <w:rsid w:val="004969E1"/>
    <w:rsid w:val="00496FE5"/>
    <w:rsid w:val="0049705E"/>
    <w:rsid w:val="004A0F6F"/>
    <w:rsid w:val="004A34A0"/>
    <w:rsid w:val="004B1631"/>
    <w:rsid w:val="004B1B8E"/>
    <w:rsid w:val="004C4461"/>
    <w:rsid w:val="004C7F01"/>
    <w:rsid w:val="004D6344"/>
    <w:rsid w:val="004E1984"/>
    <w:rsid w:val="004E21B3"/>
    <w:rsid w:val="004F6402"/>
    <w:rsid w:val="005008A8"/>
    <w:rsid w:val="005027B0"/>
    <w:rsid w:val="0051576E"/>
    <w:rsid w:val="005223B8"/>
    <w:rsid w:val="00526B7B"/>
    <w:rsid w:val="005308CE"/>
    <w:rsid w:val="00532F54"/>
    <w:rsid w:val="005335F1"/>
    <w:rsid w:val="00535FBB"/>
    <w:rsid w:val="00543297"/>
    <w:rsid w:val="00543330"/>
    <w:rsid w:val="0054466D"/>
    <w:rsid w:val="00550C5F"/>
    <w:rsid w:val="00553354"/>
    <w:rsid w:val="00555348"/>
    <w:rsid w:val="00555823"/>
    <w:rsid w:val="00557352"/>
    <w:rsid w:val="00557AEE"/>
    <w:rsid w:val="00562EA5"/>
    <w:rsid w:val="0056313A"/>
    <w:rsid w:val="00566E96"/>
    <w:rsid w:val="00567E04"/>
    <w:rsid w:val="0057242B"/>
    <w:rsid w:val="0057439C"/>
    <w:rsid w:val="005760C2"/>
    <w:rsid w:val="005779AF"/>
    <w:rsid w:val="005826C1"/>
    <w:rsid w:val="005839B5"/>
    <w:rsid w:val="00586471"/>
    <w:rsid w:val="0059121E"/>
    <w:rsid w:val="00597650"/>
    <w:rsid w:val="005A3DC9"/>
    <w:rsid w:val="005A44C5"/>
    <w:rsid w:val="005A7594"/>
    <w:rsid w:val="005B0127"/>
    <w:rsid w:val="005B31B1"/>
    <w:rsid w:val="005B75AA"/>
    <w:rsid w:val="005B7A35"/>
    <w:rsid w:val="005C0504"/>
    <w:rsid w:val="005C115A"/>
    <w:rsid w:val="005C20F0"/>
    <w:rsid w:val="005C4B73"/>
    <w:rsid w:val="005C5700"/>
    <w:rsid w:val="005C7652"/>
    <w:rsid w:val="005D2AF8"/>
    <w:rsid w:val="005D64DB"/>
    <w:rsid w:val="005D7A93"/>
    <w:rsid w:val="005E1D2B"/>
    <w:rsid w:val="005E3C15"/>
    <w:rsid w:val="005E6BEB"/>
    <w:rsid w:val="005E7074"/>
    <w:rsid w:val="005F2BAF"/>
    <w:rsid w:val="00600D93"/>
    <w:rsid w:val="00604676"/>
    <w:rsid w:val="00613A35"/>
    <w:rsid w:val="00616341"/>
    <w:rsid w:val="0063300C"/>
    <w:rsid w:val="0063375C"/>
    <w:rsid w:val="0063400F"/>
    <w:rsid w:val="0063771D"/>
    <w:rsid w:val="00646ADD"/>
    <w:rsid w:val="006473CB"/>
    <w:rsid w:val="006525BE"/>
    <w:rsid w:val="00655736"/>
    <w:rsid w:val="00656462"/>
    <w:rsid w:val="00660D34"/>
    <w:rsid w:val="00662615"/>
    <w:rsid w:val="00663B8D"/>
    <w:rsid w:val="00676713"/>
    <w:rsid w:val="0067689E"/>
    <w:rsid w:val="00682CB8"/>
    <w:rsid w:val="0068587E"/>
    <w:rsid w:val="006910F5"/>
    <w:rsid w:val="00691BB1"/>
    <w:rsid w:val="00691D3F"/>
    <w:rsid w:val="00692B46"/>
    <w:rsid w:val="006940F6"/>
    <w:rsid w:val="00694710"/>
    <w:rsid w:val="0069691F"/>
    <w:rsid w:val="00696A00"/>
    <w:rsid w:val="00696C8D"/>
    <w:rsid w:val="006A1AB3"/>
    <w:rsid w:val="006A2AC2"/>
    <w:rsid w:val="006A3617"/>
    <w:rsid w:val="006B13A5"/>
    <w:rsid w:val="006B7C1B"/>
    <w:rsid w:val="006C715C"/>
    <w:rsid w:val="006D2730"/>
    <w:rsid w:val="006D34A7"/>
    <w:rsid w:val="006D5E77"/>
    <w:rsid w:val="006D76E9"/>
    <w:rsid w:val="006E46E4"/>
    <w:rsid w:val="006E5326"/>
    <w:rsid w:val="006E7003"/>
    <w:rsid w:val="006F49D1"/>
    <w:rsid w:val="006F51F2"/>
    <w:rsid w:val="00710AFA"/>
    <w:rsid w:val="00713C5F"/>
    <w:rsid w:val="00715694"/>
    <w:rsid w:val="00717DA5"/>
    <w:rsid w:val="00731F00"/>
    <w:rsid w:val="00744484"/>
    <w:rsid w:val="007460D9"/>
    <w:rsid w:val="00747566"/>
    <w:rsid w:val="007507F9"/>
    <w:rsid w:val="007515E4"/>
    <w:rsid w:val="00763DEB"/>
    <w:rsid w:val="00773188"/>
    <w:rsid w:val="00774E41"/>
    <w:rsid w:val="00777252"/>
    <w:rsid w:val="00777CFD"/>
    <w:rsid w:val="00783782"/>
    <w:rsid w:val="00784423"/>
    <w:rsid w:val="00784B8C"/>
    <w:rsid w:val="007879E1"/>
    <w:rsid w:val="00793289"/>
    <w:rsid w:val="007958A3"/>
    <w:rsid w:val="007A1368"/>
    <w:rsid w:val="007A6E13"/>
    <w:rsid w:val="007B18E1"/>
    <w:rsid w:val="007B2276"/>
    <w:rsid w:val="007B4004"/>
    <w:rsid w:val="007B6E71"/>
    <w:rsid w:val="007C516F"/>
    <w:rsid w:val="007C6D12"/>
    <w:rsid w:val="007C7336"/>
    <w:rsid w:val="007D0E41"/>
    <w:rsid w:val="007D13D8"/>
    <w:rsid w:val="007F0899"/>
    <w:rsid w:val="007F1E68"/>
    <w:rsid w:val="007F22C6"/>
    <w:rsid w:val="007F53EB"/>
    <w:rsid w:val="007F7670"/>
    <w:rsid w:val="008024FE"/>
    <w:rsid w:val="00806555"/>
    <w:rsid w:val="00823A11"/>
    <w:rsid w:val="008300A3"/>
    <w:rsid w:val="00835895"/>
    <w:rsid w:val="00840869"/>
    <w:rsid w:val="008475DD"/>
    <w:rsid w:val="00852ED7"/>
    <w:rsid w:val="0085405E"/>
    <w:rsid w:val="0085414A"/>
    <w:rsid w:val="00855F7A"/>
    <w:rsid w:val="0085685D"/>
    <w:rsid w:val="0085718E"/>
    <w:rsid w:val="008608EF"/>
    <w:rsid w:val="0086269D"/>
    <w:rsid w:val="00864E4C"/>
    <w:rsid w:val="0086543A"/>
    <w:rsid w:val="00870ACC"/>
    <w:rsid w:val="008724E5"/>
    <w:rsid w:val="008759DE"/>
    <w:rsid w:val="00884A9D"/>
    <w:rsid w:val="0088512B"/>
    <w:rsid w:val="008861E6"/>
    <w:rsid w:val="008914D0"/>
    <w:rsid w:val="008954B4"/>
    <w:rsid w:val="00896185"/>
    <w:rsid w:val="008A101C"/>
    <w:rsid w:val="008A19F0"/>
    <w:rsid w:val="008A1EA8"/>
    <w:rsid w:val="008A2B2D"/>
    <w:rsid w:val="008A4E1E"/>
    <w:rsid w:val="008A5DF3"/>
    <w:rsid w:val="008A6D2F"/>
    <w:rsid w:val="008A7159"/>
    <w:rsid w:val="008A7E7D"/>
    <w:rsid w:val="008B093D"/>
    <w:rsid w:val="008B4BB4"/>
    <w:rsid w:val="008B6A16"/>
    <w:rsid w:val="008B7F96"/>
    <w:rsid w:val="008C296C"/>
    <w:rsid w:val="008C6D02"/>
    <w:rsid w:val="008C760C"/>
    <w:rsid w:val="008D0C06"/>
    <w:rsid w:val="008D0D0E"/>
    <w:rsid w:val="008D4305"/>
    <w:rsid w:val="008E1A85"/>
    <w:rsid w:val="008E2636"/>
    <w:rsid w:val="008E4A37"/>
    <w:rsid w:val="008E77E1"/>
    <w:rsid w:val="008F3055"/>
    <w:rsid w:val="008F7153"/>
    <w:rsid w:val="00902699"/>
    <w:rsid w:val="00903EE0"/>
    <w:rsid w:val="00904621"/>
    <w:rsid w:val="009046D5"/>
    <w:rsid w:val="009110BB"/>
    <w:rsid w:val="009163A7"/>
    <w:rsid w:val="00922BD7"/>
    <w:rsid w:val="00925412"/>
    <w:rsid w:val="009262D7"/>
    <w:rsid w:val="00927FEC"/>
    <w:rsid w:val="009307A8"/>
    <w:rsid w:val="009322F5"/>
    <w:rsid w:val="009379BF"/>
    <w:rsid w:val="00937A7E"/>
    <w:rsid w:val="009455F0"/>
    <w:rsid w:val="00946D0B"/>
    <w:rsid w:val="009502B6"/>
    <w:rsid w:val="009556EB"/>
    <w:rsid w:val="00955877"/>
    <w:rsid w:val="00961B14"/>
    <w:rsid w:val="009646AA"/>
    <w:rsid w:val="00966970"/>
    <w:rsid w:val="009669D7"/>
    <w:rsid w:val="00967D0B"/>
    <w:rsid w:val="00975A7A"/>
    <w:rsid w:val="00977480"/>
    <w:rsid w:val="00984913"/>
    <w:rsid w:val="009A0C3A"/>
    <w:rsid w:val="009A18CD"/>
    <w:rsid w:val="009A547B"/>
    <w:rsid w:val="009B09F7"/>
    <w:rsid w:val="009B1665"/>
    <w:rsid w:val="009B1A47"/>
    <w:rsid w:val="009B34A0"/>
    <w:rsid w:val="009B3DEF"/>
    <w:rsid w:val="009B6383"/>
    <w:rsid w:val="009D5428"/>
    <w:rsid w:val="009E592C"/>
    <w:rsid w:val="009F320C"/>
    <w:rsid w:val="009F6909"/>
    <w:rsid w:val="00A029FF"/>
    <w:rsid w:val="00A0636D"/>
    <w:rsid w:val="00A12558"/>
    <w:rsid w:val="00A12897"/>
    <w:rsid w:val="00A129D4"/>
    <w:rsid w:val="00A13391"/>
    <w:rsid w:val="00A13903"/>
    <w:rsid w:val="00A20475"/>
    <w:rsid w:val="00A25EA2"/>
    <w:rsid w:val="00A2766E"/>
    <w:rsid w:val="00A34ED5"/>
    <w:rsid w:val="00A37756"/>
    <w:rsid w:val="00A405C0"/>
    <w:rsid w:val="00A42553"/>
    <w:rsid w:val="00A4539A"/>
    <w:rsid w:val="00A45DBF"/>
    <w:rsid w:val="00A53A2F"/>
    <w:rsid w:val="00A644EB"/>
    <w:rsid w:val="00A64BD6"/>
    <w:rsid w:val="00A6505D"/>
    <w:rsid w:val="00A65D3E"/>
    <w:rsid w:val="00A72338"/>
    <w:rsid w:val="00A7322B"/>
    <w:rsid w:val="00A755A2"/>
    <w:rsid w:val="00A77BDC"/>
    <w:rsid w:val="00A81D3E"/>
    <w:rsid w:val="00A8256F"/>
    <w:rsid w:val="00A8501B"/>
    <w:rsid w:val="00A93214"/>
    <w:rsid w:val="00A95180"/>
    <w:rsid w:val="00A966F2"/>
    <w:rsid w:val="00AA650C"/>
    <w:rsid w:val="00AA6660"/>
    <w:rsid w:val="00AB211A"/>
    <w:rsid w:val="00AB2C36"/>
    <w:rsid w:val="00AB4DC8"/>
    <w:rsid w:val="00AB56F2"/>
    <w:rsid w:val="00AB58C5"/>
    <w:rsid w:val="00AB6DDE"/>
    <w:rsid w:val="00AB70B6"/>
    <w:rsid w:val="00AC202D"/>
    <w:rsid w:val="00AC280A"/>
    <w:rsid w:val="00AC4CED"/>
    <w:rsid w:val="00AD0EA7"/>
    <w:rsid w:val="00AD1228"/>
    <w:rsid w:val="00AD1A86"/>
    <w:rsid w:val="00AD1B90"/>
    <w:rsid w:val="00AD4078"/>
    <w:rsid w:val="00AD5800"/>
    <w:rsid w:val="00AE103E"/>
    <w:rsid w:val="00AE6533"/>
    <w:rsid w:val="00AF0A07"/>
    <w:rsid w:val="00AF13FE"/>
    <w:rsid w:val="00AF2790"/>
    <w:rsid w:val="00AF3D14"/>
    <w:rsid w:val="00AF4AEC"/>
    <w:rsid w:val="00AF4E4B"/>
    <w:rsid w:val="00AF625E"/>
    <w:rsid w:val="00B07D61"/>
    <w:rsid w:val="00B103DB"/>
    <w:rsid w:val="00B10427"/>
    <w:rsid w:val="00B10CF7"/>
    <w:rsid w:val="00B17022"/>
    <w:rsid w:val="00B253A5"/>
    <w:rsid w:val="00B26DEB"/>
    <w:rsid w:val="00B35DA3"/>
    <w:rsid w:val="00B41AD5"/>
    <w:rsid w:val="00B423DB"/>
    <w:rsid w:val="00B42758"/>
    <w:rsid w:val="00B45FD7"/>
    <w:rsid w:val="00B510F0"/>
    <w:rsid w:val="00B5433F"/>
    <w:rsid w:val="00B56577"/>
    <w:rsid w:val="00B67E53"/>
    <w:rsid w:val="00B77652"/>
    <w:rsid w:val="00B831B0"/>
    <w:rsid w:val="00B86BD9"/>
    <w:rsid w:val="00B872A0"/>
    <w:rsid w:val="00B960F9"/>
    <w:rsid w:val="00BA3399"/>
    <w:rsid w:val="00BA7D92"/>
    <w:rsid w:val="00BB04AF"/>
    <w:rsid w:val="00BB0891"/>
    <w:rsid w:val="00BB3C3D"/>
    <w:rsid w:val="00BB554A"/>
    <w:rsid w:val="00BC1CCD"/>
    <w:rsid w:val="00BC3050"/>
    <w:rsid w:val="00BC37E2"/>
    <w:rsid w:val="00BC7D18"/>
    <w:rsid w:val="00BD0F68"/>
    <w:rsid w:val="00BD2324"/>
    <w:rsid w:val="00BD3376"/>
    <w:rsid w:val="00BD52C9"/>
    <w:rsid w:val="00BD5654"/>
    <w:rsid w:val="00BE449D"/>
    <w:rsid w:val="00BE4B2C"/>
    <w:rsid w:val="00BE6354"/>
    <w:rsid w:val="00BF1043"/>
    <w:rsid w:val="00BF635B"/>
    <w:rsid w:val="00C00F29"/>
    <w:rsid w:val="00C02B0E"/>
    <w:rsid w:val="00C06F15"/>
    <w:rsid w:val="00C1210B"/>
    <w:rsid w:val="00C12739"/>
    <w:rsid w:val="00C12EC9"/>
    <w:rsid w:val="00C138D1"/>
    <w:rsid w:val="00C21A7E"/>
    <w:rsid w:val="00C232DD"/>
    <w:rsid w:val="00C23A97"/>
    <w:rsid w:val="00C43AD9"/>
    <w:rsid w:val="00C44F09"/>
    <w:rsid w:val="00C52C9E"/>
    <w:rsid w:val="00C6329C"/>
    <w:rsid w:val="00C64855"/>
    <w:rsid w:val="00C70EA7"/>
    <w:rsid w:val="00C72429"/>
    <w:rsid w:val="00C7516E"/>
    <w:rsid w:val="00C75770"/>
    <w:rsid w:val="00C76BC2"/>
    <w:rsid w:val="00C77D8A"/>
    <w:rsid w:val="00C82018"/>
    <w:rsid w:val="00C852FB"/>
    <w:rsid w:val="00C875AA"/>
    <w:rsid w:val="00CA56BB"/>
    <w:rsid w:val="00CA5B41"/>
    <w:rsid w:val="00CB0542"/>
    <w:rsid w:val="00CB3618"/>
    <w:rsid w:val="00CC2405"/>
    <w:rsid w:val="00CC3C73"/>
    <w:rsid w:val="00CC7CFA"/>
    <w:rsid w:val="00CD113D"/>
    <w:rsid w:val="00CE7148"/>
    <w:rsid w:val="00CE7E04"/>
    <w:rsid w:val="00CF6BA4"/>
    <w:rsid w:val="00D0091E"/>
    <w:rsid w:val="00D00B2B"/>
    <w:rsid w:val="00D028A6"/>
    <w:rsid w:val="00D03635"/>
    <w:rsid w:val="00D10105"/>
    <w:rsid w:val="00D1014A"/>
    <w:rsid w:val="00D127DF"/>
    <w:rsid w:val="00D15D6C"/>
    <w:rsid w:val="00D174D7"/>
    <w:rsid w:val="00D24488"/>
    <w:rsid w:val="00D24877"/>
    <w:rsid w:val="00D26719"/>
    <w:rsid w:val="00D31C31"/>
    <w:rsid w:val="00D363A9"/>
    <w:rsid w:val="00D409A6"/>
    <w:rsid w:val="00D41CDC"/>
    <w:rsid w:val="00D4347B"/>
    <w:rsid w:val="00D573BE"/>
    <w:rsid w:val="00D57879"/>
    <w:rsid w:val="00D57BA1"/>
    <w:rsid w:val="00D67AEE"/>
    <w:rsid w:val="00D67D11"/>
    <w:rsid w:val="00D75775"/>
    <w:rsid w:val="00D7634C"/>
    <w:rsid w:val="00D81FD6"/>
    <w:rsid w:val="00D8250F"/>
    <w:rsid w:val="00D82F5F"/>
    <w:rsid w:val="00D83DE5"/>
    <w:rsid w:val="00D9451D"/>
    <w:rsid w:val="00D94FF1"/>
    <w:rsid w:val="00D95C4C"/>
    <w:rsid w:val="00DA22BD"/>
    <w:rsid w:val="00DA36ED"/>
    <w:rsid w:val="00DA3D73"/>
    <w:rsid w:val="00DB04F4"/>
    <w:rsid w:val="00DB2068"/>
    <w:rsid w:val="00DC00C4"/>
    <w:rsid w:val="00DC16A2"/>
    <w:rsid w:val="00DD5EBE"/>
    <w:rsid w:val="00DD7F62"/>
    <w:rsid w:val="00DE0C70"/>
    <w:rsid w:val="00DE34F1"/>
    <w:rsid w:val="00DE54B4"/>
    <w:rsid w:val="00DE602E"/>
    <w:rsid w:val="00DE6160"/>
    <w:rsid w:val="00DE6207"/>
    <w:rsid w:val="00DF0CA0"/>
    <w:rsid w:val="00DF3411"/>
    <w:rsid w:val="00DF4942"/>
    <w:rsid w:val="00DF5BF2"/>
    <w:rsid w:val="00E0796D"/>
    <w:rsid w:val="00E10845"/>
    <w:rsid w:val="00E11A2B"/>
    <w:rsid w:val="00E20A42"/>
    <w:rsid w:val="00E2435F"/>
    <w:rsid w:val="00E244E1"/>
    <w:rsid w:val="00E24F12"/>
    <w:rsid w:val="00E260DC"/>
    <w:rsid w:val="00E27999"/>
    <w:rsid w:val="00E42717"/>
    <w:rsid w:val="00E55EFE"/>
    <w:rsid w:val="00E627B1"/>
    <w:rsid w:val="00E70169"/>
    <w:rsid w:val="00E707C1"/>
    <w:rsid w:val="00E82670"/>
    <w:rsid w:val="00E836F4"/>
    <w:rsid w:val="00E86C31"/>
    <w:rsid w:val="00E9002F"/>
    <w:rsid w:val="00E9376C"/>
    <w:rsid w:val="00E949E7"/>
    <w:rsid w:val="00E966D6"/>
    <w:rsid w:val="00E96C28"/>
    <w:rsid w:val="00EA335E"/>
    <w:rsid w:val="00EA528C"/>
    <w:rsid w:val="00EA580C"/>
    <w:rsid w:val="00EA6614"/>
    <w:rsid w:val="00EA68D0"/>
    <w:rsid w:val="00EC6F8D"/>
    <w:rsid w:val="00EC70A8"/>
    <w:rsid w:val="00ED0438"/>
    <w:rsid w:val="00ED111F"/>
    <w:rsid w:val="00EF34E2"/>
    <w:rsid w:val="00EF44FF"/>
    <w:rsid w:val="00EF53ED"/>
    <w:rsid w:val="00EF7E44"/>
    <w:rsid w:val="00F11BF3"/>
    <w:rsid w:val="00F21719"/>
    <w:rsid w:val="00F30DC6"/>
    <w:rsid w:val="00F32C23"/>
    <w:rsid w:val="00F33B11"/>
    <w:rsid w:val="00F37E72"/>
    <w:rsid w:val="00F41C6E"/>
    <w:rsid w:val="00F4269D"/>
    <w:rsid w:val="00F45014"/>
    <w:rsid w:val="00F46309"/>
    <w:rsid w:val="00F464DE"/>
    <w:rsid w:val="00F46BEE"/>
    <w:rsid w:val="00F46F21"/>
    <w:rsid w:val="00F50AAE"/>
    <w:rsid w:val="00F53DE9"/>
    <w:rsid w:val="00F54083"/>
    <w:rsid w:val="00F576CB"/>
    <w:rsid w:val="00F6262F"/>
    <w:rsid w:val="00F64580"/>
    <w:rsid w:val="00F7035D"/>
    <w:rsid w:val="00F71A02"/>
    <w:rsid w:val="00F72336"/>
    <w:rsid w:val="00F72848"/>
    <w:rsid w:val="00F74467"/>
    <w:rsid w:val="00F82672"/>
    <w:rsid w:val="00F82A28"/>
    <w:rsid w:val="00F83084"/>
    <w:rsid w:val="00F9415A"/>
    <w:rsid w:val="00FA0D63"/>
    <w:rsid w:val="00FA2F77"/>
    <w:rsid w:val="00FA43C7"/>
    <w:rsid w:val="00FA5349"/>
    <w:rsid w:val="00FB0D4D"/>
    <w:rsid w:val="00FB4A71"/>
    <w:rsid w:val="00FB5197"/>
    <w:rsid w:val="00FC5578"/>
    <w:rsid w:val="00FD1226"/>
    <w:rsid w:val="00FD37C1"/>
    <w:rsid w:val="00FD5A47"/>
    <w:rsid w:val="00FD6A9E"/>
    <w:rsid w:val="00FF025C"/>
    <w:rsid w:val="00FF27BC"/>
    <w:rsid w:val="00FF31B0"/>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D7CDCFA"/>
  <w15:docId w15:val="{E1E65CB3-1F8B-4654-BDE2-F84345E2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3500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F744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D6A9E"/>
    <w:pPr>
      <w:keepNext/>
      <w:keepLines/>
      <w:numPr>
        <w:numId w:val="4"/>
      </w:numPr>
      <w:tabs>
        <w:tab w:val="left" w:pos="567"/>
      </w:tabs>
      <w:snapToGrid w:val="0"/>
      <w:spacing w:before="360" w:after="120"/>
      <w:ind w:left="567" w:hanging="567"/>
      <w:outlineLvl w:val="3"/>
    </w:pPr>
    <w:rPr>
      <w:rFonts w:ascii="Arial" w:hAnsi="Arial"/>
      <w:b/>
      <w:bCs/>
      <w:cap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D6A9E"/>
    <w:rPr>
      <w:rFonts w:ascii="Arial" w:eastAsia="Times New Roman" w:hAnsi="Arial"/>
      <w:b/>
      <w:bCs/>
      <w:cap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Sansinterligne3">
    <w:name w:val="Sans interligne3"/>
    <w:uiPriority w:val="1"/>
    <w:qFormat/>
    <w:rsid w:val="00350080"/>
    <w:rPr>
      <w:rFonts w:ascii="Times New Roman" w:eastAsia="Times New Roman" w:hAnsi="Times New Roman"/>
      <w:sz w:val="24"/>
      <w:szCs w:val="24"/>
    </w:rPr>
  </w:style>
  <w:style w:type="paragraph" w:styleId="NoSpacing">
    <w:name w:val="No Spacing"/>
    <w:uiPriority w:val="1"/>
    <w:qFormat/>
    <w:rsid w:val="00350080"/>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0080"/>
    <w:rPr>
      <w:rFonts w:ascii="Calibri Light" w:eastAsia="Times New Roman" w:hAnsi="Calibri Light"/>
      <w:b/>
      <w:bCs/>
      <w:kern w:val="32"/>
      <w:sz w:val="32"/>
      <w:szCs w:val="32"/>
    </w:rPr>
  </w:style>
  <w:style w:type="paragraph" w:customStyle="1" w:styleId="Paragraph">
    <w:name w:val="Paragraph"/>
    <w:basedOn w:val="Normal"/>
    <w:link w:val="ParagraphChar"/>
    <w:qFormat/>
    <w:rsid w:val="00350080"/>
    <w:pPr>
      <w:numPr>
        <w:numId w:val="5"/>
      </w:numPr>
      <w:spacing w:before="240"/>
      <w:ind w:left="567" w:hanging="567"/>
      <w:jc w:val="both"/>
    </w:pPr>
    <w:rPr>
      <w:rFonts w:ascii="Arial" w:hAnsi="Arial" w:cs="Arial"/>
      <w:sz w:val="22"/>
      <w:szCs w:val="22"/>
      <w:lang w:val="en-GB"/>
    </w:rPr>
  </w:style>
  <w:style w:type="character" w:customStyle="1" w:styleId="ParagraphChar">
    <w:name w:val="Paragraph Char"/>
    <w:link w:val="Paragraph"/>
    <w:rsid w:val="00350080"/>
    <w:rPr>
      <w:rFonts w:ascii="Arial" w:eastAsia="Times New Roman" w:hAnsi="Arial" w:cs="Arial"/>
      <w:sz w:val="22"/>
      <w:szCs w:val="22"/>
      <w:lang w:val="en-GB"/>
    </w:rPr>
  </w:style>
  <w:style w:type="paragraph" w:styleId="FootnoteText">
    <w:name w:val="footnote text"/>
    <w:basedOn w:val="Normal"/>
    <w:link w:val="FootnoteTextChar"/>
    <w:uiPriority w:val="99"/>
    <w:unhideWhenUsed/>
    <w:rsid w:val="00350080"/>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350080"/>
    <w:rPr>
      <w:rFonts w:ascii="Arial" w:eastAsia="Times New Roman" w:hAnsi="Arial"/>
      <w:lang w:val="en-GB"/>
    </w:rPr>
  </w:style>
  <w:style w:type="character" w:styleId="FootnoteReference">
    <w:name w:val="footnote reference"/>
    <w:uiPriority w:val="99"/>
    <w:unhideWhenUsed/>
    <w:rsid w:val="00350080"/>
    <w:rPr>
      <w:vertAlign w:val="superscript"/>
    </w:rPr>
  </w:style>
  <w:style w:type="character" w:customStyle="1" w:styleId="atenuated">
    <w:name w:val="atenuated"/>
    <w:rsid w:val="00350080"/>
  </w:style>
  <w:style w:type="character" w:customStyle="1" w:styleId="hps">
    <w:name w:val="hps"/>
    <w:rsid w:val="008E77E1"/>
  </w:style>
  <w:style w:type="paragraph" w:customStyle="1" w:styleId="5GAparabodytext">
    <w:name w:val="5GA para body text"/>
    <w:basedOn w:val="Marge"/>
    <w:autoRedefine/>
    <w:qFormat/>
    <w:rsid w:val="0054466D"/>
    <w:pPr>
      <w:numPr>
        <w:numId w:val="8"/>
      </w:numPr>
      <w:spacing w:after="120"/>
      <w:ind w:left="567" w:hanging="567"/>
    </w:pPr>
    <w:rPr>
      <w:rFonts w:cs="Arial"/>
      <w:bCs/>
      <w:iCs/>
      <w:snapToGrid/>
      <w:szCs w:val="22"/>
      <w:lang w:val="en-US" w:eastAsia="fr-FR"/>
    </w:rPr>
  </w:style>
  <w:style w:type="character" w:styleId="Hyperlink">
    <w:name w:val="Hyperlink"/>
    <w:basedOn w:val="DefaultParagraphFont"/>
    <w:uiPriority w:val="99"/>
    <w:unhideWhenUsed/>
    <w:rsid w:val="00E42717"/>
    <w:rPr>
      <w:color w:val="0000FF" w:themeColor="hyperlink"/>
      <w:u w:val="single"/>
    </w:rPr>
  </w:style>
  <w:style w:type="character" w:customStyle="1" w:styleId="MargeChar">
    <w:name w:val="Marge Char"/>
    <w:link w:val="Marge"/>
    <w:rsid w:val="00C852FB"/>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BD2324"/>
    <w:rPr>
      <w:sz w:val="16"/>
      <w:szCs w:val="16"/>
    </w:rPr>
  </w:style>
  <w:style w:type="paragraph" w:styleId="CommentText">
    <w:name w:val="annotation text"/>
    <w:basedOn w:val="Normal"/>
    <w:link w:val="CommentTextChar"/>
    <w:uiPriority w:val="99"/>
    <w:unhideWhenUsed/>
    <w:rsid w:val="00BD2324"/>
    <w:rPr>
      <w:sz w:val="20"/>
      <w:szCs w:val="20"/>
    </w:rPr>
  </w:style>
  <w:style w:type="character" w:customStyle="1" w:styleId="CommentTextChar">
    <w:name w:val="Comment Text Char"/>
    <w:basedOn w:val="DefaultParagraphFont"/>
    <w:link w:val="CommentText"/>
    <w:uiPriority w:val="99"/>
    <w:rsid w:val="00BD23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2324"/>
    <w:rPr>
      <w:b/>
      <w:bCs/>
    </w:rPr>
  </w:style>
  <w:style w:type="character" w:customStyle="1" w:styleId="CommentSubjectChar">
    <w:name w:val="Comment Subject Char"/>
    <w:basedOn w:val="CommentTextChar"/>
    <w:link w:val="CommentSubject"/>
    <w:uiPriority w:val="99"/>
    <w:semiHidden/>
    <w:rsid w:val="00BD2324"/>
    <w:rPr>
      <w:rFonts w:ascii="Times New Roman" w:eastAsia="Times New Roman" w:hAnsi="Times New Roman"/>
      <w:b/>
      <w:bCs/>
    </w:rPr>
  </w:style>
  <w:style w:type="paragraph" w:styleId="ListParagraph">
    <w:name w:val="List Paragraph"/>
    <w:basedOn w:val="Normal"/>
    <w:uiPriority w:val="34"/>
    <w:qFormat/>
    <w:rsid w:val="00961B14"/>
    <w:pPr>
      <w:ind w:left="720"/>
      <w:contextualSpacing/>
    </w:pPr>
  </w:style>
  <w:style w:type="paragraph" w:styleId="Revision">
    <w:name w:val="Revision"/>
    <w:hidden/>
    <w:uiPriority w:val="99"/>
    <w:semiHidden/>
    <w:rsid w:val="0077725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7446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63400F"/>
    <w:rPr>
      <w:color w:val="800080" w:themeColor="followedHyperlink"/>
      <w:u w:val="single"/>
    </w:rPr>
  </w:style>
  <w:style w:type="paragraph" w:customStyle="1" w:styleId="Default">
    <w:name w:val="Default"/>
    <w:rsid w:val="00D31C31"/>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517">
      <w:bodyDiv w:val="1"/>
      <w:marLeft w:val="0"/>
      <w:marRight w:val="0"/>
      <w:marTop w:val="0"/>
      <w:marBottom w:val="0"/>
      <w:divBdr>
        <w:top w:val="none" w:sz="0" w:space="0" w:color="auto"/>
        <w:left w:val="none" w:sz="0" w:space="0" w:color="auto"/>
        <w:bottom w:val="none" w:sz="0" w:space="0" w:color="auto"/>
        <w:right w:val="none" w:sz="0" w:space="0" w:color="auto"/>
      </w:divBdr>
    </w:div>
    <w:div w:id="80226799">
      <w:bodyDiv w:val="1"/>
      <w:marLeft w:val="0"/>
      <w:marRight w:val="0"/>
      <w:marTop w:val="0"/>
      <w:marBottom w:val="0"/>
      <w:divBdr>
        <w:top w:val="none" w:sz="0" w:space="0" w:color="auto"/>
        <w:left w:val="none" w:sz="0" w:space="0" w:color="auto"/>
        <w:bottom w:val="none" w:sz="0" w:space="0" w:color="auto"/>
        <w:right w:val="none" w:sz="0" w:space="0" w:color="auto"/>
      </w:divBdr>
    </w:div>
    <w:div w:id="427583778">
      <w:bodyDiv w:val="1"/>
      <w:marLeft w:val="0"/>
      <w:marRight w:val="0"/>
      <w:marTop w:val="0"/>
      <w:marBottom w:val="0"/>
      <w:divBdr>
        <w:top w:val="none" w:sz="0" w:space="0" w:color="auto"/>
        <w:left w:val="none" w:sz="0" w:space="0" w:color="auto"/>
        <w:bottom w:val="none" w:sz="0" w:space="0" w:color="auto"/>
        <w:right w:val="none" w:sz="0" w:space="0" w:color="auto"/>
      </w:divBdr>
    </w:div>
    <w:div w:id="509755751">
      <w:bodyDiv w:val="1"/>
      <w:marLeft w:val="0"/>
      <w:marRight w:val="0"/>
      <w:marTop w:val="0"/>
      <w:marBottom w:val="0"/>
      <w:divBdr>
        <w:top w:val="none" w:sz="0" w:space="0" w:color="auto"/>
        <w:left w:val="none" w:sz="0" w:space="0" w:color="auto"/>
        <w:bottom w:val="none" w:sz="0" w:space="0" w:color="auto"/>
        <w:right w:val="none" w:sz="0" w:space="0" w:color="auto"/>
      </w:divBdr>
    </w:div>
    <w:div w:id="518858120">
      <w:bodyDiv w:val="1"/>
      <w:marLeft w:val="0"/>
      <w:marRight w:val="0"/>
      <w:marTop w:val="0"/>
      <w:marBottom w:val="0"/>
      <w:divBdr>
        <w:top w:val="none" w:sz="0" w:space="0" w:color="auto"/>
        <w:left w:val="none" w:sz="0" w:space="0" w:color="auto"/>
        <w:bottom w:val="none" w:sz="0" w:space="0" w:color="auto"/>
        <w:right w:val="none" w:sz="0" w:space="0" w:color="auto"/>
      </w:divBdr>
    </w:div>
    <w:div w:id="564877740">
      <w:bodyDiv w:val="1"/>
      <w:marLeft w:val="0"/>
      <w:marRight w:val="0"/>
      <w:marTop w:val="0"/>
      <w:marBottom w:val="0"/>
      <w:divBdr>
        <w:top w:val="none" w:sz="0" w:space="0" w:color="auto"/>
        <w:left w:val="none" w:sz="0" w:space="0" w:color="auto"/>
        <w:bottom w:val="none" w:sz="0" w:space="0" w:color="auto"/>
        <w:right w:val="none" w:sz="0" w:space="0" w:color="auto"/>
      </w:divBdr>
    </w:div>
    <w:div w:id="75393624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18695083">
      <w:bodyDiv w:val="1"/>
      <w:marLeft w:val="0"/>
      <w:marRight w:val="0"/>
      <w:marTop w:val="0"/>
      <w:marBottom w:val="0"/>
      <w:divBdr>
        <w:top w:val="none" w:sz="0" w:space="0" w:color="auto"/>
        <w:left w:val="none" w:sz="0" w:space="0" w:color="auto"/>
        <w:bottom w:val="none" w:sz="0" w:space="0" w:color="auto"/>
        <w:right w:val="none" w:sz="0" w:space="0" w:color="auto"/>
      </w:divBdr>
    </w:div>
    <w:div w:id="1011689782">
      <w:bodyDiv w:val="1"/>
      <w:marLeft w:val="0"/>
      <w:marRight w:val="0"/>
      <w:marTop w:val="0"/>
      <w:marBottom w:val="0"/>
      <w:divBdr>
        <w:top w:val="none" w:sz="0" w:space="0" w:color="auto"/>
        <w:left w:val="none" w:sz="0" w:space="0" w:color="auto"/>
        <w:bottom w:val="none" w:sz="0" w:space="0" w:color="auto"/>
        <w:right w:val="none" w:sz="0" w:space="0" w:color="auto"/>
      </w:divBdr>
    </w:div>
    <w:div w:id="1047755257">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11304320">
      <w:bodyDiv w:val="1"/>
      <w:marLeft w:val="0"/>
      <w:marRight w:val="0"/>
      <w:marTop w:val="0"/>
      <w:marBottom w:val="0"/>
      <w:divBdr>
        <w:top w:val="none" w:sz="0" w:space="0" w:color="auto"/>
        <w:left w:val="none" w:sz="0" w:space="0" w:color="auto"/>
        <w:bottom w:val="none" w:sz="0" w:space="0" w:color="auto"/>
        <w:right w:val="none" w:sz="0" w:space="0" w:color="auto"/>
      </w:divBdr>
    </w:div>
    <w:div w:id="1303920725">
      <w:bodyDiv w:val="1"/>
      <w:marLeft w:val="0"/>
      <w:marRight w:val="0"/>
      <w:marTop w:val="0"/>
      <w:marBottom w:val="0"/>
      <w:divBdr>
        <w:top w:val="none" w:sz="0" w:space="0" w:color="auto"/>
        <w:left w:val="none" w:sz="0" w:space="0" w:color="auto"/>
        <w:bottom w:val="none" w:sz="0" w:space="0" w:color="auto"/>
        <w:right w:val="none" w:sz="0" w:space="0" w:color="auto"/>
      </w:divBdr>
    </w:div>
    <w:div w:id="1399553620">
      <w:bodyDiv w:val="1"/>
      <w:marLeft w:val="0"/>
      <w:marRight w:val="0"/>
      <w:marTop w:val="0"/>
      <w:marBottom w:val="0"/>
      <w:divBdr>
        <w:top w:val="none" w:sz="0" w:space="0" w:color="auto"/>
        <w:left w:val="none" w:sz="0" w:space="0" w:color="auto"/>
        <w:bottom w:val="none" w:sz="0" w:space="0" w:color="auto"/>
        <w:right w:val="none" w:sz="0" w:space="0" w:color="auto"/>
      </w:divBdr>
      <w:divsChild>
        <w:div w:id="1981421891">
          <w:marLeft w:val="0"/>
          <w:marRight w:val="0"/>
          <w:marTop w:val="0"/>
          <w:marBottom w:val="0"/>
          <w:divBdr>
            <w:top w:val="none" w:sz="0" w:space="0" w:color="auto"/>
            <w:left w:val="none" w:sz="0" w:space="0" w:color="auto"/>
            <w:bottom w:val="none" w:sz="0" w:space="0" w:color="auto"/>
            <w:right w:val="none" w:sz="0" w:space="0" w:color="auto"/>
          </w:divBdr>
          <w:divsChild>
            <w:div w:id="1261447427">
              <w:marLeft w:val="0"/>
              <w:marRight w:val="60"/>
              <w:marTop w:val="0"/>
              <w:marBottom w:val="0"/>
              <w:divBdr>
                <w:top w:val="none" w:sz="0" w:space="0" w:color="auto"/>
                <w:left w:val="none" w:sz="0" w:space="0" w:color="auto"/>
                <w:bottom w:val="none" w:sz="0" w:space="0" w:color="auto"/>
                <w:right w:val="none" w:sz="0" w:space="0" w:color="auto"/>
              </w:divBdr>
              <w:divsChild>
                <w:div w:id="684017080">
                  <w:marLeft w:val="0"/>
                  <w:marRight w:val="0"/>
                  <w:marTop w:val="0"/>
                  <w:marBottom w:val="120"/>
                  <w:divBdr>
                    <w:top w:val="single" w:sz="6" w:space="0" w:color="C0C0C0"/>
                    <w:left w:val="single" w:sz="6" w:space="0" w:color="D9D9D9"/>
                    <w:bottom w:val="single" w:sz="6" w:space="0" w:color="D9D9D9"/>
                    <w:right w:val="single" w:sz="6" w:space="0" w:color="D9D9D9"/>
                  </w:divBdr>
                  <w:divsChild>
                    <w:div w:id="1314599777">
                      <w:marLeft w:val="0"/>
                      <w:marRight w:val="0"/>
                      <w:marTop w:val="0"/>
                      <w:marBottom w:val="0"/>
                      <w:divBdr>
                        <w:top w:val="none" w:sz="0" w:space="0" w:color="auto"/>
                        <w:left w:val="none" w:sz="0" w:space="0" w:color="auto"/>
                        <w:bottom w:val="none" w:sz="0" w:space="0" w:color="auto"/>
                        <w:right w:val="none" w:sz="0" w:space="0" w:color="auto"/>
                      </w:divBdr>
                      <w:divsChild>
                        <w:div w:id="2018730330">
                          <w:marLeft w:val="0"/>
                          <w:marRight w:val="0"/>
                          <w:marTop w:val="0"/>
                          <w:marBottom w:val="0"/>
                          <w:divBdr>
                            <w:top w:val="none" w:sz="0" w:space="0" w:color="auto"/>
                            <w:left w:val="none" w:sz="0" w:space="0" w:color="auto"/>
                            <w:bottom w:val="none" w:sz="0" w:space="0" w:color="auto"/>
                            <w:right w:val="none" w:sz="0" w:space="0" w:color="auto"/>
                          </w:divBdr>
                          <w:divsChild>
                            <w:div w:id="818839294">
                              <w:marLeft w:val="0"/>
                              <w:marRight w:val="0"/>
                              <w:marTop w:val="0"/>
                              <w:marBottom w:val="0"/>
                              <w:divBdr>
                                <w:top w:val="none" w:sz="0" w:space="0" w:color="auto"/>
                                <w:left w:val="none" w:sz="0" w:space="0" w:color="auto"/>
                                <w:bottom w:val="none" w:sz="0" w:space="0" w:color="auto"/>
                                <w:right w:val="none" w:sz="0" w:space="0" w:color="auto"/>
                              </w:divBdr>
                              <w:divsChild>
                                <w:div w:id="618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1841">
          <w:marLeft w:val="0"/>
          <w:marRight w:val="0"/>
          <w:marTop w:val="0"/>
          <w:marBottom w:val="0"/>
          <w:divBdr>
            <w:top w:val="none" w:sz="0" w:space="0" w:color="auto"/>
            <w:left w:val="none" w:sz="0" w:space="0" w:color="auto"/>
            <w:bottom w:val="none" w:sz="0" w:space="0" w:color="auto"/>
            <w:right w:val="none" w:sz="0" w:space="0" w:color="auto"/>
          </w:divBdr>
          <w:divsChild>
            <w:div w:id="1204975478">
              <w:marLeft w:val="60"/>
              <w:marRight w:val="0"/>
              <w:marTop w:val="0"/>
              <w:marBottom w:val="0"/>
              <w:divBdr>
                <w:top w:val="none" w:sz="0" w:space="0" w:color="auto"/>
                <w:left w:val="none" w:sz="0" w:space="0" w:color="auto"/>
                <w:bottom w:val="none" w:sz="0" w:space="0" w:color="auto"/>
                <w:right w:val="none" w:sz="0" w:space="0" w:color="auto"/>
              </w:divBdr>
              <w:divsChild>
                <w:div w:id="408381446">
                  <w:marLeft w:val="0"/>
                  <w:marRight w:val="0"/>
                  <w:marTop w:val="0"/>
                  <w:marBottom w:val="0"/>
                  <w:divBdr>
                    <w:top w:val="none" w:sz="0" w:space="0" w:color="auto"/>
                    <w:left w:val="none" w:sz="0" w:space="0" w:color="auto"/>
                    <w:bottom w:val="none" w:sz="0" w:space="0" w:color="auto"/>
                    <w:right w:val="none" w:sz="0" w:space="0" w:color="auto"/>
                  </w:divBdr>
                  <w:divsChild>
                    <w:div w:id="2142112449">
                      <w:marLeft w:val="0"/>
                      <w:marRight w:val="0"/>
                      <w:marTop w:val="0"/>
                      <w:marBottom w:val="120"/>
                      <w:divBdr>
                        <w:top w:val="single" w:sz="6" w:space="0" w:color="F5F5F5"/>
                        <w:left w:val="single" w:sz="6" w:space="0" w:color="F5F5F5"/>
                        <w:bottom w:val="single" w:sz="6" w:space="0" w:color="F5F5F5"/>
                        <w:right w:val="single" w:sz="6" w:space="0" w:color="F5F5F5"/>
                      </w:divBdr>
                      <w:divsChild>
                        <w:div w:id="217589082">
                          <w:marLeft w:val="0"/>
                          <w:marRight w:val="0"/>
                          <w:marTop w:val="0"/>
                          <w:marBottom w:val="0"/>
                          <w:divBdr>
                            <w:top w:val="none" w:sz="0" w:space="0" w:color="auto"/>
                            <w:left w:val="none" w:sz="0" w:space="0" w:color="auto"/>
                            <w:bottom w:val="none" w:sz="0" w:space="0" w:color="auto"/>
                            <w:right w:val="none" w:sz="0" w:space="0" w:color="auto"/>
                          </w:divBdr>
                          <w:divsChild>
                            <w:div w:id="924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60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87895035">
      <w:bodyDiv w:val="1"/>
      <w:marLeft w:val="0"/>
      <w:marRight w:val="0"/>
      <w:marTop w:val="0"/>
      <w:marBottom w:val="0"/>
      <w:divBdr>
        <w:top w:val="none" w:sz="0" w:space="0" w:color="auto"/>
        <w:left w:val="none" w:sz="0" w:space="0" w:color="auto"/>
        <w:bottom w:val="none" w:sz="0" w:space="0" w:color="auto"/>
        <w:right w:val="none" w:sz="0" w:space="0" w:color="auto"/>
      </w:divBdr>
    </w:div>
    <w:div w:id="17922391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Resolutions/6.GA/9" TargetMode="External"/><Relationship Id="rId13" Type="http://schemas.openxmlformats.org/officeDocument/2006/relationships/hyperlink" Target="https://ich.unesco.org/doc/src/ITH-17-12.COM_2.BUR-INF.3-EN.doc" TargetMode="External"/><Relationship Id="rId18" Type="http://schemas.openxmlformats.org/officeDocument/2006/relationships/hyperlink" Target="http://www.unesco.org/culture/ich/en/Decisions/8.COM/5.c.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nesco.org/culture/ich/index.php?lg=en&amp;pg=00024" TargetMode="External"/><Relationship Id="rId17" Type="http://schemas.openxmlformats.org/officeDocument/2006/relationships/hyperlink" Target="http://www.unesco.org/culture/ich/en/Decisions/8.COM/5.c.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ITH-17-12.COM_WG-4_EN.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24/002480/248078e.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unesco.org/culture/ich/en/Decisions/11.COM/14" TargetMode="External"/><Relationship Id="rId23" Type="http://schemas.openxmlformats.org/officeDocument/2006/relationships/header" Target="header4.xml"/><Relationship Id="rId10" Type="http://schemas.openxmlformats.org/officeDocument/2006/relationships/hyperlink" Target="http://www.unesco.org/culture/ich/doc/src/ITH-16-11.COM_2.BUR-Decisions-EN.docx" TargetMode="External"/><Relationship Id="rId19" Type="http://schemas.openxmlformats.org/officeDocument/2006/relationships/hyperlink" Target="http://www.unesco.org/culture/ich/en/Decisions/10.COM/8" TargetMode="External"/><Relationship Id="rId4" Type="http://schemas.openxmlformats.org/officeDocument/2006/relationships/settings" Target="settings.xml"/><Relationship Id="rId9" Type="http://schemas.openxmlformats.org/officeDocument/2006/relationships/hyperlink" Target="http://www.unesco.org/culture/ich/en/Decisions/10.COM/8" TargetMode="External"/><Relationship Id="rId14" Type="http://schemas.openxmlformats.org/officeDocument/2006/relationships/hyperlink" Target="http://www.unesco.org/culture/ich/doc/src/ITH-16-11.COM-14-EN.doc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6AD2-999E-4430-8DB0-378EDE72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215</TotalTime>
  <Pages>10</Pages>
  <Words>4717</Words>
  <Characters>25947</Characters>
  <Application>Microsoft Office Word</Application>
  <DocSecurity>0</DocSecurity>
  <Lines>216</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Delsol, Christine</dc:creator>
  <cp:lastModifiedBy>Elena Constantinou</cp:lastModifiedBy>
  <cp:revision>24</cp:revision>
  <cp:lastPrinted>2017-04-25T15:29:00Z</cp:lastPrinted>
  <dcterms:created xsi:type="dcterms:W3CDTF">2017-05-05T12:04:00Z</dcterms:created>
  <dcterms:modified xsi:type="dcterms:W3CDTF">2017-05-19T13:21:00Z</dcterms:modified>
</cp:coreProperties>
</file>