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7549A" w14:textId="77777777" w:rsidR="000A6B14" w:rsidRPr="00524C74" w:rsidRDefault="000A6B14" w:rsidP="000A6B14">
      <w:pPr>
        <w:spacing w:before="1440"/>
        <w:jc w:val="center"/>
        <w:rPr>
          <w:rFonts w:ascii="Arial" w:hAnsi="Arial" w:cs="Arial"/>
          <w:b/>
          <w:sz w:val="22"/>
          <w:szCs w:val="22"/>
        </w:rPr>
      </w:pPr>
      <w:r>
        <w:rPr>
          <w:rFonts w:ascii="Arial" w:hAnsi="Arial"/>
          <w:b/>
          <w:sz w:val="22"/>
        </w:rPr>
        <w:t>CONVENTION POUR LA SAUVEGARDE DU</w:t>
      </w:r>
      <w:r>
        <w:br/>
      </w:r>
      <w:r>
        <w:rPr>
          <w:rFonts w:ascii="Arial" w:hAnsi="Arial"/>
          <w:b/>
          <w:sz w:val="22"/>
        </w:rPr>
        <w:t>PATRIMOINE CULTUREL IMMATÉRIEL</w:t>
      </w:r>
    </w:p>
    <w:p w14:paraId="22C56E31" w14:textId="77777777" w:rsidR="00EC6F8D" w:rsidRPr="00696A00" w:rsidRDefault="00EC6F8D">
      <w:pPr>
        <w:spacing w:before="1200"/>
        <w:jc w:val="center"/>
        <w:rPr>
          <w:rFonts w:ascii="Arial" w:hAnsi="Arial" w:cs="Arial"/>
          <w:b/>
          <w:sz w:val="22"/>
          <w:szCs w:val="22"/>
        </w:rPr>
      </w:pPr>
      <w:r>
        <w:rPr>
          <w:rFonts w:ascii="Arial" w:hAnsi="Arial"/>
          <w:b/>
          <w:sz w:val="22"/>
        </w:rPr>
        <w:t xml:space="preserve">COMITÉ INTERGOUVERNEMENTAL DE </w:t>
      </w:r>
      <w:r>
        <w:rPr>
          <w:rFonts w:ascii="Arial" w:hAnsi="Arial" w:cs="Arial"/>
          <w:b/>
          <w:sz w:val="22"/>
          <w:szCs w:val="22"/>
        </w:rPr>
        <w:br/>
      </w:r>
      <w:r>
        <w:rPr>
          <w:rFonts w:ascii="Arial" w:hAnsi="Arial"/>
          <w:b/>
          <w:sz w:val="22"/>
        </w:rPr>
        <w:t>SAUVEGARDE DU PATRIMOINE CULTUREL IMMATÉRIEL</w:t>
      </w:r>
    </w:p>
    <w:p w14:paraId="0B2103E7" w14:textId="4BA78AAC" w:rsidR="009A0C3A" w:rsidRPr="00A1575B" w:rsidRDefault="009A0C3A">
      <w:pPr>
        <w:spacing w:before="840"/>
        <w:jc w:val="center"/>
        <w:rPr>
          <w:rFonts w:ascii="Arial" w:eastAsia="Malgun Gothic" w:hAnsi="Arial" w:cs="Arial"/>
          <w:b/>
          <w:sz w:val="22"/>
          <w:szCs w:val="22"/>
        </w:rPr>
      </w:pPr>
      <w:r>
        <w:rPr>
          <w:rFonts w:ascii="Arial" w:hAnsi="Arial"/>
          <w:b/>
          <w:sz w:val="22"/>
        </w:rPr>
        <w:t>Réunion du Bureau</w:t>
      </w:r>
      <w:r>
        <w:rPr>
          <w:rFonts w:ascii="Arial" w:hAnsi="Arial" w:cs="Arial"/>
          <w:b/>
          <w:sz w:val="22"/>
          <w:szCs w:val="22"/>
        </w:rPr>
        <w:br/>
      </w:r>
      <w:r>
        <w:rPr>
          <w:rFonts w:ascii="Arial" w:hAnsi="Arial"/>
          <w:b/>
          <w:sz w:val="22"/>
        </w:rPr>
        <w:t xml:space="preserve">Siège de </w:t>
      </w:r>
      <w:r w:rsidR="00684ACE">
        <w:rPr>
          <w:rFonts w:ascii="Arial" w:hAnsi="Arial"/>
          <w:b/>
          <w:sz w:val="22"/>
        </w:rPr>
        <w:t>l’</w:t>
      </w:r>
      <w:r>
        <w:rPr>
          <w:rFonts w:ascii="Arial" w:hAnsi="Arial"/>
          <w:b/>
          <w:sz w:val="22"/>
        </w:rPr>
        <w:t>UNESCO, Paris, Salle </w:t>
      </w:r>
      <w:r w:rsidR="00AC65B8">
        <w:rPr>
          <w:rFonts w:ascii="Arial" w:hAnsi="Arial"/>
          <w:b/>
          <w:sz w:val="22"/>
        </w:rPr>
        <w:t>XI</w:t>
      </w:r>
      <w:r>
        <w:rPr>
          <w:rFonts w:ascii="Arial" w:hAnsi="Arial"/>
          <w:b/>
          <w:sz w:val="22"/>
        </w:rPr>
        <w:t>V</w:t>
      </w:r>
    </w:p>
    <w:p w14:paraId="0C9F6DF1" w14:textId="77777777" w:rsidR="00EC6F8D" w:rsidRPr="008F6A4D" w:rsidRDefault="009A0C3A">
      <w:pPr>
        <w:jc w:val="center"/>
        <w:rPr>
          <w:rFonts w:ascii="Arial" w:hAnsi="Arial" w:cs="Arial"/>
          <w:b/>
          <w:sz w:val="22"/>
          <w:szCs w:val="22"/>
          <w:lang w:val="pt-BR"/>
        </w:rPr>
      </w:pPr>
      <w:r w:rsidRPr="008F6A4D">
        <w:rPr>
          <w:rFonts w:ascii="Arial" w:hAnsi="Arial"/>
          <w:b/>
          <w:sz w:val="22"/>
          <w:lang w:val="pt-BR"/>
        </w:rPr>
        <w:t>24 mai 2017, 10 h - 13 h et 15 h - 18 h</w:t>
      </w:r>
    </w:p>
    <w:p w14:paraId="5B4972CB" w14:textId="757FD6C7" w:rsidR="00EC6F8D" w:rsidRPr="008F6A4D" w:rsidRDefault="00EC6F8D">
      <w:pPr>
        <w:pStyle w:val="Sansinterligne2"/>
        <w:spacing w:before="960"/>
        <w:jc w:val="center"/>
        <w:rPr>
          <w:rFonts w:ascii="Arial" w:hAnsi="Arial" w:cs="Arial"/>
          <w:b/>
          <w:sz w:val="22"/>
          <w:szCs w:val="22"/>
          <w:lang w:val="pt-BR"/>
        </w:rPr>
      </w:pPr>
      <w:r w:rsidRPr="008F6A4D">
        <w:rPr>
          <w:rFonts w:ascii="Arial" w:hAnsi="Arial"/>
          <w:b/>
          <w:sz w:val="22"/>
          <w:u w:val="single"/>
          <w:lang w:val="pt-BR"/>
        </w:rPr>
        <w:t>Point </w:t>
      </w:r>
      <w:r w:rsidR="00AC65B8">
        <w:rPr>
          <w:rFonts w:ascii="Arial" w:hAnsi="Arial"/>
          <w:b/>
          <w:sz w:val="22"/>
          <w:u w:val="single"/>
          <w:lang w:val="pt-BR"/>
        </w:rPr>
        <w:t>3</w:t>
      </w:r>
      <w:r w:rsidRPr="008F6A4D">
        <w:rPr>
          <w:rFonts w:ascii="Arial" w:hAnsi="Arial"/>
          <w:b/>
          <w:sz w:val="22"/>
          <w:u w:val="single"/>
          <w:lang w:val="pt-BR"/>
        </w:rPr>
        <w:t> </w:t>
      </w:r>
      <w:r w:rsidRPr="008F6A4D">
        <w:rPr>
          <w:rFonts w:ascii="Arial" w:hAnsi="Arial"/>
          <w:b/>
          <w:sz w:val="22"/>
          <w:lang w:val="pt-BR"/>
        </w:rPr>
        <w:t>:</w:t>
      </w:r>
    </w:p>
    <w:p w14:paraId="2BC5B116" w14:textId="77777777" w:rsidR="00EC6F8D" w:rsidRPr="00696A00" w:rsidRDefault="00350080">
      <w:pPr>
        <w:pStyle w:val="Sansinterligne2"/>
        <w:spacing w:after="960"/>
        <w:jc w:val="center"/>
        <w:rPr>
          <w:rFonts w:ascii="Arial" w:hAnsi="Arial" w:cs="Arial"/>
          <w:b/>
          <w:sz w:val="22"/>
          <w:szCs w:val="22"/>
        </w:rPr>
      </w:pPr>
      <w:r>
        <w:rPr>
          <w:rFonts w:ascii="Arial" w:hAnsi="Arial"/>
          <w:b/>
          <w:sz w:val="22"/>
        </w:rPr>
        <w:t>Utilisation des fonds alloués au titre des « autres fonctions du Comité »</w:t>
      </w:r>
      <w:r>
        <w:rPr>
          <w:rFonts w:ascii="Arial" w:hAnsi="Arial" w:cs="Arial"/>
          <w:b/>
          <w:sz w:val="22"/>
          <w:szCs w:val="22"/>
        </w:rPr>
        <w:br/>
      </w:r>
      <w:r>
        <w:rPr>
          <w:rFonts w:ascii="Arial" w:hAnsi="Arial"/>
          <w:b/>
          <w:sz w:val="22"/>
        </w:rPr>
        <w:t>dans le cadre du Plan d'utilisation des ressources du Fonds du patrimoine culturel immatériel</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696A00" w14:paraId="38AED58A" w14:textId="77777777" w:rsidTr="00EC6F8D">
        <w:trPr>
          <w:jc w:val="center"/>
        </w:trPr>
        <w:tc>
          <w:tcPr>
            <w:tcW w:w="5670" w:type="dxa"/>
            <w:vAlign w:val="center"/>
          </w:tcPr>
          <w:p w14:paraId="5A275C94" w14:textId="77777777" w:rsidR="00EC6F8D" w:rsidRPr="00696A00" w:rsidRDefault="00EC6F8D">
            <w:pPr>
              <w:pStyle w:val="Sansinterligne1"/>
              <w:spacing w:before="200" w:after="200"/>
              <w:jc w:val="center"/>
              <w:rPr>
                <w:rFonts w:ascii="Arial" w:hAnsi="Arial" w:cs="Arial"/>
                <w:b/>
                <w:sz w:val="22"/>
                <w:szCs w:val="22"/>
              </w:rPr>
            </w:pPr>
            <w:r>
              <w:rPr>
                <w:rFonts w:ascii="Arial" w:hAnsi="Arial"/>
                <w:b/>
                <w:sz w:val="22"/>
              </w:rPr>
              <w:t>Résumé</w:t>
            </w:r>
          </w:p>
          <w:p w14:paraId="33176D76" w14:textId="49EFE0D5" w:rsidR="00350080" w:rsidRPr="00696A00" w:rsidRDefault="00350080">
            <w:pPr>
              <w:pStyle w:val="NoSpacing"/>
              <w:spacing w:before="120" w:after="120"/>
              <w:jc w:val="both"/>
              <w:rPr>
                <w:rFonts w:ascii="Arial" w:hAnsi="Arial" w:cs="Arial"/>
                <w:sz w:val="22"/>
                <w:szCs w:val="22"/>
              </w:rPr>
            </w:pPr>
            <w:r>
              <w:rPr>
                <w:rFonts w:ascii="Arial" w:hAnsi="Arial"/>
                <w:sz w:val="22"/>
              </w:rPr>
              <w:t xml:space="preserve">Le Plan d'utilisation des ressources du Fonds du patrimoine culturel immatériel approuvé par </w:t>
            </w:r>
            <w:r w:rsidR="00684ACE">
              <w:rPr>
                <w:rFonts w:ascii="Arial" w:hAnsi="Arial"/>
                <w:sz w:val="22"/>
              </w:rPr>
              <w:t>l’</w:t>
            </w:r>
            <w:r>
              <w:rPr>
                <w:rFonts w:ascii="Arial" w:hAnsi="Arial"/>
                <w:sz w:val="22"/>
              </w:rPr>
              <w:t>Assemblée générale pour les périodes du 1</w:t>
            </w:r>
            <w:r>
              <w:rPr>
                <w:rFonts w:ascii="Arial" w:hAnsi="Arial"/>
                <w:sz w:val="22"/>
                <w:vertAlign w:val="superscript"/>
              </w:rPr>
              <w:t>er</w:t>
            </w:r>
            <w:r>
              <w:rPr>
                <w:rFonts w:ascii="Arial" w:hAnsi="Arial"/>
                <w:sz w:val="22"/>
              </w:rPr>
              <w:t> janvier 2016 au 31 décembre 2017 et du 1</w:t>
            </w:r>
            <w:r>
              <w:rPr>
                <w:rFonts w:ascii="Arial" w:hAnsi="Arial"/>
                <w:sz w:val="22"/>
                <w:vertAlign w:val="superscript"/>
              </w:rPr>
              <w:t>er</w:t>
            </w:r>
            <w:r>
              <w:rPr>
                <w:rFonts w:ascii="Arial" w:hAnsi="Arial"/>
                <w:sz w:val="22"/>
              </w:rPr>
              <w:t xml:space="preserve"> janvier 2018 au 30 juin 2018 prévoit </w:t>
            </w:r>
            <w:r w:rsidR="00684ACE">
              <w:rPr>
                <w:rFonts w:ascii="Arial" w:hAnsi="Arial"/>
                <w:sz w:val="22"/>
              </w:rPr>
              <w:t>l’</w:t>
            </w:r>
            <w:r>
              <w:rPr>
                <w:rFonts w:ascii="Arial" w:hAnsi="Arial"/>
                <w:sz w:val="22"/>
              </w:rPr>
              <w:t xml:space="preserve">allocation de 20 % des ressources aux « autres fonctions du Comité » conformément à </w:t>
            </w:r>
            <w:r w:rsidR="00684ACE">
              <w:rPr>
                <w:rFonts w:ascii="Arial" w:hAnsi="Arial"/>
                <w:sz w:val="22"/>
              </w:rPr>
              <w:t>l’</w:t>
            </w:r>
            <w:r>
              <w:rPr>
                <w:rFonts w:ascii="Arial" w:hAnsi="Arial"/>
                <w:sz w:val="22"/>
              </w:rPr>
              <w:t xml:space="preserve">article 7 de la Convention et aux Directives opérationnelles. Le présent document formule une proposition spécifique préparée par le Secrétariat concernant </w:t>
            </w:r>
            <w:r w:rsidR="00684ACE">
              <w:rPr>
                <w:rFonts w:ascii="Arial" w:hAnsi="Arial"/>
                <w:sz w:val="22"/>
              </w:rPr>
              <w:t>l’</w:t>
            </w:r>
            <w:r>
              <w:rPr>
                <w:rFonts w:ascii="Arial" w:hAnsi="Arial"/>
                <w:sz w:val="22"/>
              </w:rPr>
              <w:t>utilisation de ces fonds pour la période du 1</w:t>
            </w:r>
            <w:r>
              <w:rPr>
                <w:rFonts w:ascii="Arial" w:hAnsi="Arial"/>
                <w:sz w:val="22"/>
                <w:vertAlign w:val="superscript"/>
              </w:rPr>
              <w:t>er</w:t>
            </w:r>
            <w:r>
              <w:rPr>
                <w:rFonts w:ascii="Arial" w:hAnsi="Arial"/>
                <w:sz w:val="22"/>
              </w:rPr>
              <w:t xml:space="preserve"> janvier 2018 au 30 juin 2018. Exerçant le pouvoir que lui a délégué le Comité, le Bureau est invité à statuer sur </w:t>
            </w:r>
            <w:r w:rsidR="00684ACE">
              <w:rPr>
                <w:rFonts w:ascii="Arial" w:hAnsi="Arial"/>
                <w:sz w:val="22"/>
              </w:rPr>
              <w:t>l’</w:t>
            </w:r>
            <w:r>
              <w:rPr>
                <w:rFonts w:ascii="Arial" w:hAnsi="Arial"/>
                <w:sz w:val="22"/>
              </w:rPr>
              <w:t>utilisation de ces fonds.</w:t>
            </w:r>
          </w:p>
          <w:p w14:paraId="24CF1D96" w14:textId="12913914" w:rsidR="00EC6F8D" w:rsidRPr="00696A00" w:rsidRDefault="00EC6F8D" w:rsidP="00AC65B8">
            <w:pPr>
              <w:pStyle w:val="NoSpacing"/>
              <w:spacing w:before="120" w:after="120"/>
              <w:jc w:val="both"/>
              <w:rPr>
                <w:rFonts w:ascii="Arial" w:hAnsi="Arial" w:cs="Arial"/>
                <w:sz w:val="22"/>
                <w:szCs w:val="22"/>
              </w:rPr>
            </w:pPr>
            <w:r>
              <w:rPr>
                <w:rFonts w:ascii="Arial" w:hAnsi="Arial"/>
                <w:b/>
                <w:sz w:val="22"/>
              </w:rPr>
              <w:t xml:space="preserve">Décision requise : </w:t>
            </w:r>
            <w:r>
              <w:rPr>
                <w:rFonts w:ascii="Arial" w:hAnsi="Arial"/>
                <w:sz w:val="22"/>
              </w:rPr>
              <w:t xml:space="preserve">paragraphe </w:t>
            </w:r>
            <w:r w:rsidR="00AC65B8">
              <w:rPr>
                <w:rFonts w:ascii="Arial" w:hAnsi="Arial"/>
                <w:sz w:val="22"/>
              </w:rPr>
              <w:t>24</w:t>
            </w:r>
          </w:p>
        </w:tc>
      </w:tr>
    </w:tbl>
    <w:p w14:paraId="2642E501" w14:textId="77777777" w:rsidR="00350080" w:rsidRPr="00696A00" w:rsidRDefault="00350080">
      <w:pPr>
        <w:pStyle w:val="Heading4"/>
        <w:rPr>
          <w:snapToGrid/>
        </w:rPr>
      </w:pPr>
      <w:r>
        <w:lastRenderedPageBreak/>
        <w:t>Introduction</w:t>
      </w:r>
    </w:p>
    <w:p w14:paraId="6F5810FB" w14:textId="0E4C2A34" w:rsidR="008E2636" w:rsidRDefault="00350080" w:rsidP="0054466D">
      <w:pPr>
        <w:pStyle w:val="5GAparabodytext"/>
      </w:pPr>
      <w:r>
        <w:t xml:space="preserve">Le Plan d'utilisation des ressources du Fonds du patrimoine culturel immatériel et le Plan budgétaire approuvés par </w:t>
      </w:r>
      <w:r w:rsidR="00684ACE">
        <w:t>l’</w:t>
      </w:r>
      <w:r>
        <w:t xml:space="preserve">Assemblée générale à </w:t>
      </w:r>
      <w:r w:rsidR="00684ACE">
        <w:t>l’</w:t>
      </w:r>
      <w:r>
        <w:t>occasion de sa sixième session (</w:t>
      </w:r>
      <w:hyperlink r:id="rId8">
        <w:r>
          <w:rPr>
            <w:rStyle w:val="Hyperlink"/>
          </w:rPr>
          <w:t>Résolution 6.GA 9</w:t>
        </w:r>
      </w:hyperlink>
      <w:r>
        <w:t xml:space="preserve">) prévoient </w:t>
      </w:r>
      <w:r w:rsidR="00684ACE">
        <w:t>l’</w:t>
      </w:r>
      <w:r>
        <w:t xml:space="preserve">allocation de 20 % des ressources globales aux « autres fonctions du Comité » conformément à </w:t>
      </w:r>
      <w:r w:rsidR="00684ACE">
        <w:t>l’</w:t>
      </w:r>
      <w:r>
        <w:t>article 7 de la Convention et aux Directives opérationnelles pour les périodes du 1</w:t>
      </w:r>
      <w:r>
        <w:rPr>
          <w:vertAlign w:val="superscript"/>
        </w:rPr>
        <w:t>er</w:t>
      </w:r>
      <w:r>
        <w:t> janvier 2016 au 31 décembre 2017 et du 1</w:t>
      </w:r>
      <w:r>
        <w:rPr>
          <w:vertAlign w:val="superscript"/>
        </w:rPr>
        <w:t>er</w:t>
      </w:r>
      <w:r>
        <w:t> janvier 2018 au 30 juin 2018.</w:t>
      </w:r>
    </w:p>
    <w:p w14:paraId="2090612D" w14:textId="48D013A5" w:rsidR="000871F1" w:rsidRDefault="000871F1" w:rsidP="0054466D">
      <w:pPr>
        <w:pStyle w:val="5GAparabodytext"/>
      </w:pPr>
      <w:r>
        <w:t xml:space="preserve">Dans sa </w:t>
      </w:r>
      <w:hyperlink r:id="rId9">
        <w:r>
          <w:rPr>
            <w:rStyle w:val="Hyperlink"/>
          </w:rPr>
          <w:t>décision 10.COM 8</w:t>
        </w:r>
      </w:hyperlink>
      <w:r>
        <w:t xml:space="preserve">, le Comité a décidé de maintenir le mécanisme mis en place au cours des sessions précédentes pour </w:t>
      </w:r>
      <w:r w:rsidR="00684ACE">
        <w:t>l’</w:t>
      </w:r>
      <w:r>
        <w:t xml:space="preserve">autorisation des dépenses dans cette catégorie. Dans cette décision, le Comité « délègue à son Bureau le pouvoir de décider de </w:t>
      </w:r>
      <w:r w:rsidR="00684ACE">
        <w:t>l’</w:t>
      </w:r>
      <w:r>
        <w:t>utilisation des fonds alloués au titre du point 3 du Plan, sur la base de propositions spécifiques à préparer par le Secrétariat ». Tout en décidant du Plan d'utilisation des fonds alloués aux « autres fonctions du Comité » en juin 2016 (</w:t>
      </w:r>
      <w:hyperlink r:id="rId10">
        <w:r>
          <w:rPr>
            <w:rStyle w:val="Hyperlink"/>
          </w:rPr>
          <w:t>Décision 11.COM 2.BUR 1</w:t>
        </w:r>
      </w:hyperlink>
      <w:r>
        <w:t>), le Bureau de la onzième session du Comité a approuvé un plan pour la période du 1</w:t>
      </w:r>
      <w:r>
        <w:rPr>
          <w:vertAlign w:val="superscript"/>
        </w:rPr>
        <w:t>er</w:t>
      </w:r>
      <w:r>
        <w:t> janvier 2016 au 31 décembre 2017, étant entendu que le Bureau de la douzième session du Comité serait chargé, mi-2017, d'approuver la proposition d'utilisation de ces fonds pour la période du 1</w:t>
      </w:r>
      <w:r>
        <w:rPr>
          <w:vertAlign w:val="superscript"/>
        </w:rPr>
        <w:t>er</w:t>
      </w:r>
      <w:r>
        <w:t xml:space="preserve"> janvier 2018 au 30 juin 2018, afin d'aligner les résultats escomptés de la proposition sur ceux du projet </w:t>
      </w:r>
      <w:r w:rsidR="00AC65B8">
        <w:t xml:space="preserve">de </w:t>
      </w:r>
      <w:r>
        <w:t>39 C/5.</w:t>
      </w:r>
    </w:p>
    <w:p w14:paraId="5DECB5B7" w14:textId="160416A2" w:rsidR="00350080" w:rsidRPr="00696A00" w:rsidRDefault="00350080" w:rsidP="0054466D">
      <w:pPr>
        <w:pStyle w:val="5GAparabodytext"/>
      </w:pPr>
      <w:r>
        <w:t>Le montant de 397 687 dollars des États-Unis est disponible à cette fin pour la période du 1</w:t>
      </w:r>
      <w:r>
        <w:rPr>
          <w:vertAlign w:val="superscript"/>
        </w:rPr>
        <w:t>er</w:t>
      </w:r>
      <w:r>
        <w:t xml:space="preserve"> janvier 2018 au 30 juin 2018. La partie II de ce document présente par conséquent une proposition spécifique préparée par le Secrétariat concernant </w:t>
      </w:r>
      <w:r w:rsidR="00684ACE">
        <w:t>l’</w:t>
      </w:r>
      <w:r>
        <w:t xml:space="preserve">utilisation de ces fonds pour cette période conformément au </w:t>
      </w:r>
      <w:hyperlink r:id="rId11">
        <w:r>
          <w:rPr>
            <w:rStyle w:val="Hyperlink"/>
          </w:rPr>
          <w:t>projet</w:t>
        </w:r>
        <w:r w:rsidR="00AC65B8">
          <w:rPr>
            <w:rStyle w:val="Hyperlink"/>
          </w:rPr>
          <w:t xml:space="preserve"> de</w:t>
        </w:r>
        <w:r>
          <w:rPr>
            <w:rStyle w:val="Hyperlink"/>
          </w:rPr>
          <w:t xml:space="preserve"> 39 C/5</w:t>
        </w:r>
      </w:hyperlink>
      <w:r>
        <w:t xml:space="preserve"> soumis à la 201</w:t>
      </w:r>
      <w:r>
        <w:rPr>
          <w:vertAlign w:val="superscript"/>
        </w:rPr>
        <w:t>e</w:t>
      </w:r>
      <w:r>
        <w:t xml:space="preserve"> session du Conseil exécutif de </w:t>
      </w:r>
      <w:r w:rsidR="00684ACE">
        <w:t>l’</w:t>
      </w:r>
      <w:r>
        <w:t xml:space="preserve">UNESCO ; la proposition constitue </w:t>
      </w:r>
      <w:r w:rsidR="00684ACE">
        <w:t>l’</w:t>
      </w:r>
      <w:r>
        <w:t xml:space="preserve">annexe du projet de décision proposé ci-dessous. Il est entendu que cette proposition devra être absorbée dans la proposition relative à </w:t>
      </w:r>
      <w:r w:rsidR="00684ACE">
        <w:t>l’</w:t>
      </w:r>
      <w:r>
        <w:t xml:space="preserve">exercice biennal 2018-2019, qui sera examinée par le Bureau de la treizième session du Comité mi-2018 en fonction du projet </w:t>
      </w:r>
      <w:r w:rsidR="00AC65B8">
        <w:t xml:space="preserve">de </w:t>
      </w:r>
      <w:r>
        <w:t xml:space="preserve">39 C/5, adopté par la Conférence générale de </w:t>
      </w:r>
      <w:r w:rsidR="00684ACE">
        <w:t>l’</w:t>
      </w:r>
      <w:r>
        <w:t xml:space="preserve">UNESCO en octobre/novembre 2017, et une fois que la septième session de </w:t>
      </w:r>
      <w:r w:rsidR="00684ACE">
        <w:t>l’</w:t>
      </w:r>
      <w:r>
        <w:t xml:space="preserve">Assemblée générale des </w:t>
      </w:r>
      <w:hyperlink r:id="rId12">
        <w:r>
          <w:rPr>
            <w:rStyle w:val="Hyperlink"/>
          </w:rPr>
          <w:t>États parties à la Convention</w:t>
        </w:r>
      </w:hyperlink>
      <w:r>
        <w:t xml:space="preserve"> aura adopté un nouveau Plan d’utilisation des ressources du Fonds.</w:t>
      </w:r>
    </w:p>
    <w:p w14:paraId="5D041A6D" w14:textId="77777777" w:rsidR="00604676" w:rsidRPr="00696A00" w:rsidRDefault="00604676">
      <w:pPr>
        <w:pStyle w:val="Heading4"/>
        <w:rPr>
          <w:rFonts w:cs="Arial"/>
          <w:bCs w:val="0"/>
          <w:smallCaps/>
          <w:szCs w:val="22"/>
        </w:rPr>
      </w:pPr>
      <w:r>
        <w:t>Proposition d'utilisation des fonds alloués aux « autres fonctions du Comité »</w:t>
      </w:r>
    </w:p>
    <w:p w14:paraId="0176A57D" w14:textId="27649679" w:rsidR="00694710" w:rsidRPr="00696A00" w:rsidRDefault="00694710" w:rsidP="0054466D">
      <w:pPr>
        <w:pStyle w:val="5GAparabodytext"/>
      </w:pPr>
      <w:r>
        <w:t xml:space="preserve">Le Secrétariat utilise les fonds alloués aux « autres fonctions du Comité » pour aider le Comité à remplir ces fonctions, conformément à </w:t>
      </w:r>
      <w:r w:rsidR="00684ACE">
        <w:t>l’</w:t>
      </w:r>
      <w:r>
        <w:t xml:space="preserve">Article 7 de la Convention. </w:t>
      </w:r>
      <w:r>
        <w:rPr>
          <w:rStyle w:val="hps"/>
        </w:rPr>
        <w:t xml:space="preserve">Dans le cadre de </w:t>
      </w:r>
      <w:r w:rsidR="00684ACE">
        <w:rPr>
          <w:rStyle w:val="hps"/>
        </w:rPr>
        <w:t>l’</w:t>
      </w:r>
      <w:r>
        <w:rPr>
          <w:rStyle w:val="hps"/>
        </w:rPr>
        <w:t>assistance qu'il apporte au Comité, le Secrétariat s'efforce d'assurer</w:t>
      </w:r>
      <w:r>
        <w:t xml:space="preserve"> le suivi des recommandations du Service d'évaluation et d'audit (IOS) de </w:t>
      </w:r>
      <w:r w:rsidR="00684ACE">
        <w:t>l’</w:t>
      </w:r>
      <w:r>
        <w:t xml:space="preserve">UNESCO sur le travail normatif de </w:t>
      </w:r>
      <w:r w:rsidR="00684ACE">
        <w:t>l’</w:t>
      </w:r>
      <w:r>
        <w:t>UNESCO dans le domaine de la culture concernant la Convention</w:t>
      </w:r>
      <w:r>
        <w:rPr>
          <w:rStyle w:val="hps"/>
        </w:rPr>
        <w:t xml:space="preserve">, comme il </w:t>
      </w:r>
      <w:r w:rsidR="00684ACE">
        <w:rPr>
          <w:rStyle w:val="hps"/>
        </w:rPr>
        <w:t>l’</w:t>
      </w:r>
      <w:r>
        <w:rPr>
          <w:rStyle w:val="hps"/>
        </w:rPr>
        <w:t xml:space="preserve">a déjà fait au cours de </w:t>
      </w:r>
      <w:r w:rsidR="00684ACE">
        <w:rPr>
          <w:rStyle w:val="hps"/>
        </w:rPr>
        <w:t>l’</w:t>
      </w:r>
      <w:r>
        <w:rPr>
          <w:rStyle w:val="hps"/>
        </w:rPr>
        <w:t>exercice biennal précédent. Nombre de ces mesures</w:t>
      </w:r>
      <w:r>
        <w:t xml:space="preserve"> de suivi sont possibles uniquement grâce au soutien de cette ligne budgétaire.</w:t>
      </w:r>
    </w:p>
    <w:p w14:paraId="3FB75060" w14:textId="72CD8A91" w:rsidR="00E42717" w:rsidRPr="005826C1" w:rsidRDefault="00E42717" w:rsidP="0054466D">
      <w:pPr>
        <w:pStyle w:val="5GAparabodytext"/>
      </w:pPr>
      <w:r>
        <w:t xml:space="preserve">Dans la lignée de </w:t>
      </w:r>
      <w:r w:rsidR="00684ACE">
        <w:t>l’</w:t>
      </w:r>
      <w:r>
        <w:t xml:space="preserve">approche déjà adoptée par le Bureau de la neuvième session du Comité concernant </w:t>
      </w:r>
      <w:r w:rsidR="00684ACE">
        <w:t>l’</w:t>
      </w:r>
      <w:r>
        <w:t xml:space="preserve">approbation d'un plan de dépenses exprimé d'après les résultats, les produits et des indicateurs (plutôt que d'après des activités ou des catégories spécifiques de dépenses), le Bureau est par la présente invité à approuver la proposition, </w:t>
      </w:r>
      <w:r w:rsidR="000A3B79">
        <w:t xml:space="preserve">telle que </w:t>
      </w:r>
      <w:r>
        <w:t xml:space="preserve">présentée en annexe, avec un cadre de résultats intégrant </w:t>
      </w:r>
      <w:r w:rsidR="000A3B79">
        <w:t>d</w:t>
      </w:r>
      <w:r>
        <w:t xml:space="preserve">es allocations financières pour chaque résultat. Pour une plus grande cohérence avec le projet </w:t>
      </w:r>
      <w:r w:rsidR="00AC65B8">
        <w:t xml:space="preserve">de </w:t>
      </w:r>
      <w:r>
        <w:t xml:space="preserve">39 C/5 et une meilleure intégration avec les rapports associés rendus aux organes directeurs de la Convention et de </w:t>
      </w:r>
      <w:r w:rsidR="00684ACE">
        <w:t>l’</w:t>
      </w:r>
      <w:r>
        <w:t xml:space="preserve">UNESCO, le cadre de résultats proposé est aligné sur les cinq indicateurs de performance inclus dans le projet </w:t>
      </w:r>
      <w:r w:rsidR="00AC65B8">
        <w:t xml:space="preserve">de </w:t>
      </w:r>
      <w:r>
        <w:t xml:space="preserve">39 C/5 pour le Grand programme IV Culture, Axe d'action 2, Résultat escompté 6 « Identification et sauvegarde du patrimoine culturel immatériel par les États membres et les communautés, notamment par la mise en œuvre effective de la Convention de 2003 ». Seul </w:t>
      </w:r>
      <w:r w:rsidR="00684ACE">
        <w:t>l’</w:t>
      </w:r>
      <w:r>
        <w:t xml:space="preserve">indicateur de performance 4 dédié à </w:t>
      </w:r>
      <w:r w:rsidR="00684ACE">
        <w:t>l’</w:t>
      </w:r>
      <w:r>
        <w:t xml:space="preserve">assistance internationale n'est pas reflété dans la proposition, </w:t>
      </w:r>
      <w:r w:rsidR="00684ACE">
        <w:t>l’</w:t>
      </w:r>
      <w:r>
        <w:t xml:space="preserve">assistance internationale étant couverte par une autre ligne du Fonds que celle des « autres fonctions du Comité ». </w:t>
      </w:r>
    </w:p>
    <w:p w14:paraId="769353E8" w14:textId="1BAA043D" w:rsidR="00696A00" w:rsidRPr="0019737C" w:rsidRDefault="00300A5A" w:rsidP="0054466D">
      <w:pPr>
        <w:pStyle w:val="5GAparabodytext"/>
      </w:pPr>
      <w:r>
        <w:lastRenderedPageBreak/>
        <w:t xml:space="preserve">La proposition reste conforme au cadre de résultats 2016-2017 de la ligne budgétaire « autres fonctions du Comité » et s'appuie sur les leçons tirées des activités mises en œuvre au cours de sa première année et recueillies dans le rapport adressé au Bureau </w:t>
      </w:r>
      <w:r w:rsidRPr="00267D3B">
        <w:t>(</w:t>
      </w:r>
      <w:hyperlink r:id="rId13" w:history="1">
        <w:r w:rsidRPr="00267D3B">
          <w:rPr>
            <w:rStyle w:val="Hyperlink"/>
          </w:rPr>
          <w:t>document ITH/17/12.COM 2.BUR/INF.</w:t>
        </w:r>
        <w:r w:rsidR="000A3B79" w:rsidRPr="00267D3B">
          <w:rPr>
            <w:rStyle w:val="Hyperlink"/>
          </w:rPr>
          <w:t>3</w:t>
        </w:r>
      </w:hyperlink>
      <w:r>
        <w:t xml:space="preserve">). Dans cet esprit, le tableau ci-dessous montre que la priorité est toujours donnée au soutien des États membres pour la mise en œuvre de la Convention au niveau national, principalement par le biais du programme </w:t>
      </w:r>
      <w:r w:rsidR="000A3B79">
        <w:t xml:space="preserve">mondial </w:t>
      </w:r>
      <w:r>
        <w:t xml:space="preserve">de renforcement des capacités. Comme dans les plans précédents, </w:t>
      </w:r>
      <w:r w:rsidR="00684ACE">
        <w:t>l’</w:t>
      </w:r>
      <w:r>
        <w:t xml:space="preserve">allocation budgétaire reflète le rôle important de la gestion des connaissances dans la mise en œuvre efficace et la gouvernance saine de la Convention au niveau international. </w:t>
      </w:r>
      <w:r w:rsidR="00684ACE">
        <w:t>L’</w:t>
      </w:r>
      <w:r>
        <w:t xml:space="preserve">amélioration du suivi de la mise en œuvre de la Convention, qui a été </w:t>
      </w:r>
      <w:r w:rsidR="00684ACE">
        <w:t>l’</w:t>
      </w:r>
      <w:r>
        <w:t xml:space="preserve">objet d'un résultat escompté spécifique dans le cadre de résultats 2016-2017, a été intégrée à </w:t>
      </w:r>
      <w:r w:rsidR="00684ACE">
        <w:t>l’</w:t>
      </w:r>
      <w:r>
        <w:t xml:space="preserve">ER 1 dans </w:t>
      </w:r>
      <w:r w:rsidR="00684ACE">
        <w:t>l’</w:t>
      </w:r>
      <w:r>
        <w:t xml:space="preserve">optique de sa mise en conformité avec les indicateurs de performance proposés dans le projet </w:t>
      </w:r>
      <w:r w:rsidR="00AC65B8">
        <w:t xml:space="preserve">de </w:t>
      </w:r>
      <w:r>
        <w:t xml:space="preserve">39 C/5. Dans le même esprit, le nouvel ER 3 portera sur la promotion des objectifs de la Convention via des partenariats visant à soutenir </w:t>
      </w:r>
      <w:r w:rsidR="00684ACE">
        <w:t>l’</w:t>
      </w:r>
      <w:r>
        <w:t xml:space="preserve">intégration du patrimoine culturel immatériel dans des programmes, des politiques et des plans de développement. Les activités prévues au premier semestre 2018 dans le cadre de cet ER sont conformes à la portée des produits mis en place en 2016-2017 et décrits ci-dessous. Si les efforts en matière de sensibilisation et d'information semblent moins importants sur le plan budgétaire qu'au cours de </w:t>
      </w:r>
      <w:r w:rsidR="00684ACE">
        <w:t>l’</w:t>
      </w:r>
      <w:r>
        <w:t xml:space="preserve">exercice biennal précédent, c'est principalement en raison du passage au nouvel ER3 des diverses activités proposées dans </w:t>
      </w:r>
      <w:r w:rsidR="00684ACE">
        <w:t>l’</w:t>
      </w:r>
      <w:r>
        <w:t xml:space="preserve">optique d'un engagement efficace auprès d'un plus grand nombre de parties prenantes, tandis que les efforts de </w:t>
      </w:r>
      <w:r w:rsidR="000A3B79">
        <w:t xml:space="preserve">développement </w:t>
      </w:r>
      <w:r>
        <w:t xml:space="preserve">d'une stratégie de communication seront menés dans le cadre de </w:t>
      </w:r>
      <w:r w:rsidR="00684ACE">
        <w:t>l’</w:t>
      </w:r>
      <w:r>
        <w:t>ER 4.</w:t>
      </w:r>
    </w:p>
    <w:tbl>
      <w:tblPr>
        <w:tblW w:w="0" w:type="auto"/>
        <w:tblInd w:w="1016" w:type="dxa"/>
        <w:tblLook w:val="04A0" w:firstRow="1" w:lastRow="0" w:firstColumn="1" w:lastColumn="0" w:noHBand="0" w:noVBand="1"/>
      </w:tblPr>
      <w:tblGrid>
        <w:gridCol w:w="6662"/>
        <w:gridCol w:w="1960"/>
      </w:tblGrid>
      <w:tr w:rsidR="00696A00" w:rsidRPr="00696A00" w14:paraId="2E87EFC9" w14:textId="77777777" w:rsidTr="00FF27BC">
        <w:tc>
          <w:tcPr>
            <w:tcW w:w="6662" w:type="dxa"/>
            <w:shd w:val="clear" w:color="auto" w:fill="BFBFBF"/>
            <w:vAlign w:val="center"/>
          </w:tcPr>
          <w:p w14:paraId="0D06D934" w14:textId="77777777" w:rsidR="00696A00" w:rsidRPr="00696A00" w:rsidRDefault="00FF27BC">
            <w:pPr>
              <w:spacing w:before="60" w:after="60"/>
              <w:rPr>
                <w:rFonts w:ascii="Arial" w:hAnsi="Arial" w:cs="Arial"/>
                <w:b/>
                <w:sz w:val="20"/>
                <w:szCs w:val="20"/>
              </w:rPr>
            </w:pPr>
            <w:r>
              <w:rPr>
                <w:rFonts w:ascii="Arial" w:hAnsi="Arial"/>
                <w:b/>
                <w:sz w:val="20"/>
              </w:rPr>
              <w:t>Résultat escompté</w:t>
            </w:r>
          </w:p>
        </w:tc>
        <w:tc>
          <w:tcPr>
            <w:tcW w:w="1960" w:type="dxa"/>
            <w:shd w:val="clear" w:color="auto" w:fill="BFBFBF"/>
            <w:vAlign w:val="center"/>
          </w:tcPr>
          <w:p w14:paraId="5AC76559" w14:textId="77777777" w:rsidR="00696A00" w:rsidRPr="00696A00" w:rsidRDefault="006E5326">
            <w:pPr>
              <w:spacing w:before="60" w:after="60"/>
              <w:jc w:val="center"/>
              <w:rPr>
                <w:rFonts w:ascii="Arial" w:hAnsi="Arial" w:cs="Arial"/>
                <w:b/>
                <w:sz w:val="20"/>
                <w:szCs w:val="20"/>
              </w:rPr>
            </w:pPr>
            <w:r>
              <w:rPr>
                <w:rFonts w:ascii="Arial" w:hAnsi="Arial"/>
                <w:b/>
                <w:sz w:val="20"/>
              </w:rPr>
              <w:t>1</w:t>
            </w:r>
            <w:r>
              <w:rPr>
                <w:rFonts w:ascii="Arial" w:hAnsi="Arial"/>
                <w:b/>
                <w:sz w:val="20"/>
                <w:vertAlign w:val="superscript"/>
              </w:rPr>
              <w:t>er</w:t>
            </w:r>
            <w:r>
              <w:rPr>
                <w:rFonts w:ascii="Arial" w:hAnsi="Arial"/>
                <w:b/>
                <w:sz w:val="20"/>
              </w:rPr>
              <w:t> janvier - 30 juin 2018</w:t>
            </w:r>
          </w:p>
        </w:tc>
      </w:tr>
      <w:tr w:rsidR="00696A00" w:rsidRPr="00696A00" w14:paraId="11241901" w14:textId="77777777" w:rsidTr="00FF27BC">
        <w:tc>
          <w:tcPr>
            <w:tcW w:w="6662" w:type="dxa"/>
            <w:shd w:val="clear" w:color="auto" w:fill="auto"/>
          </w:tcPr>
          <w:p w14:paraId="3006AD70" w14:textId="40973142" w:rsidR="00696A00" w:rsidRPr="00696A00" w:rsidRDefault="00696A00">
            <w:pPr>
              <w:spacing w:before="60" w:after="60"/>
              <w:rPr>
                <w:rFonts w:ascii="Arial" w:hAnsi="Arial" w:cs="Arial"/>
                <w:sz w:val="20"/>
                <w:szCs w:val="20"/>
              </w:rPr>
            </w:pPr>
            <w:r>
              <w:rPr>
                <w:rFonts w:ascii="Arial" w:hAnsi="Arial"/>
                <w:sz w:val="20"/>
              </w:rPr>
              <w:t xml:space="preserve">ER 1 : </w:t>
            </w:r>
            <w:r w:rsidR="000A3B79" w:rsidRPr="00AA34E1">
              <w:rPr>
                <w:rFonts w:ascii="Arial" w:hAnsi="Arial"/>
                <w:sz w:val="20"/>
              </w:rPr>
              <w:t xml:space="preserve">Bonne gouvernance de la Convention de 2003 facilitée par </w:t>
            </w:r>
            <w:r w:rsidR="000A3B79">
              <w:rPr>
                <w:rFonts w:ascii="Arial" w:hAnsi="Arial"/>
                <w:sz w:val="20"/>
              </w:rPr>
              <w:t xml:space="preserve">un suivi et </w:t>
            </w:r>
            <w:r w:rsidR="000A3B79" w:rsidRPr="00AA34E1">
              <w:rPr>
                <w:rFonts w:ascii="Arial" w:hAnsi="Arial"/>
                <w:sz w:val="20"/>
              </w:rPr>
              <w:t>des services de gestion des connaissances améliorés</w:t>
            </w:r>
          </w:p>
        </w:tc>
        <w:tc>
          <w:tcPr>
            <w:tcW w:w="1960" w:type="dxa"/>
            <w:shd w:val="clear" w:color="auto" w:fill="auto"/>
          </w:tcPr>
          <w:p w14:paraId="0B387D1B" w14:textId="03499469" w:rsidR="00696A00" w:rsidRPr="004558AA" w:rsidRDefault="000A3B79">
            <w:pPr>
              <w:spacing w:before="60" w:after="60"/>
              <w:jc w:val="center"/>
              <w:rPr>
                <w:rFonts w:ascii="Arial" w:hAnsi="Arial" w:cs="Arial"/>
                <w:sz w:val="20"/>
                <w:szCs w:val="20"/>
              </w:rPr>
            </w:pPr>
            <w:r w:rsidRPr="00AA34E1">
              <w:rPr>
                <w:rFonts w:ascii="Arial" w:hAnsi="Arial"/>
                <w:sz w:val="20"/>
              </w:rPr>
              <w:t>36 </w:t>
            </w:r>
            <w:r w:rsidR="006E5326" w:rsidRPr="004558AA">
              <w:rPr>
                <w:rFonts w:ascii="Arial" w:hAnsi="Arial"/>
                <w:sz w:val="20"/>
              </w:rPr>
              <w:t>%</w:t>
            </w:r>
          </w:p>
        </w:tc>
      </w:tr>
      <w:tr w:rsidR="00696A00" w:rsidRPr="00696A00" w14:paraId="6AB623A9" w14:textId="77777777" w:rsidTr="00FF27BC">
        <w:tc>
          <w:tcPr>
            <w:tcW w:w="6662" w:type="dxa"/>
            <w:shd w:val="clear" w:color="auto" w:fill="auto"/>
          </w:tcPr>
          <w:p w14:paraId="30DFE493" w14:textId="0032C9FC" w:rsidR="00696A00" w:rsidRPr="00696A00" w:rsidRDefault="00FF27BC">
            <w:pPr>
              <w:spacing w:before="60" w:after="60"/>
              <w:rPr>
                <w:rFonts w:ascii="Arial" w:hAnsi="Arial" w:cs="Arial"/>
                <w:sz w:val="20"/>
                <w:szCs w:val="20"/>
              </w:rPr>
            </w:pPr>
            <w:r>
              <w:rPr>
                <w:rFonts w:ascii="Arial" w:hAnsi="Arial"/>
                <w:sz w:val="20"/>
              </w:rPr>
              <w:t xml:space="preserve">ER 2 : </w:t>
            </w:r>
            <w:r w:rsidR="000A3B79" w:rsidRPr="00AA34E1">
              <w:rPr>
                <w:rFonts w:ascii="Arial" w:hAnsi="Arial"/>
                <w:sz w:val="20"/>
              </w:rPr>
              <w:t>Mise en œuvre de la Convention dans les États membres encouragée par un programme de renforcement de capacités consolidé et des conseils sur des mesures de sauvegarde et des bonnes pratiques</w:t>
            </w:r>
          </w:p>
        </w:tc>
        <w:tc>
          <w:tcPr>
            <w:tcW w:w="1960" w:type="dxa"/>
            <w:shd w:val="clear" w:color="auto" w:fill="auto"/>
          </w:tcPr>
          <w:p w14:paraId="1850B17F" w14:textId="377B6AA4" w:rsidR="00696A00" w:rsidRPr="004558AA" w:rsidRDefault="000A3B79">
            <w:pPr>
              <w:spacing w:before="60" w:after="60"/>
              <w:jc w:val="center"/>
              <w:rPr>
                <w:rFonts w:ascii="Arial" w:hAnsi="Arial" w:cs="Arial"/>
                <w:sz w:val="20"/>
                <w:szCs w:val="20"/>
              </w:rPr>
            </w:pPr>
            <w:r w:rsidRPr="00AA34E1">
              <w:rPr>
                <w:rFonts w:ascii="Arial" w:hAnsi="Arial"/>
                <w:sz w:val="20"/>
              </w:rPr>
              <w:t>33 </w:t>
            </w:r>
            <w:r w:rsidR="006E5326" w:rsidRPr="004558AA">
              <w:rPr>
                <w:rFonts w:ascii="Arial" w:hAnsi="Arial"/>
                <w:sz w:val="20"/>
              </w:rPr>
              <w:t>%</w:t>
            </w:r>
          </w:p>
        </w:tc>
      </w:tr>
      <w:tr w:rsidR="00696A00" w:rsidRPr="00696A00" w14:paraId="3E7A27DE" w14:textId="77777777" w:rsidTr="00FF27BC">
        <w:tc>
          <w:tcPr>
            <w:tcW w:w="6662" w:type="dxa"/>
            <w:shd w:val="clear" w:color="auto" w:fill="auto"/>
          </w:tcPr>
          <w:p w14:paraId="6882F205" w14:textId="14B6E1DC" w:rsidR="00696A00" w:rsidRPr="00696A00" w:rsidRDefault="00975A7A" w:rsidP="000A3B79">
            <w:pPr>
              <w:spacing w:before="60" w:after="60"/>
              <w:rPr>
                <w:rFonts w:ascii="Arial" w:hAnsi="Arial" w:cs="Arial"/>
                <w:sz w:val="20"/>
                <w:szCs w:val="20"/>
              </w:rPr>
            </w:pPr>
            <w:r>
              <w:rPr>
                <w:rFonts w:ascii="Arial" w:hAnsi="Arial"/>
                <w:sz w:val="20"/>
              </w:rPr>
              <w:t xml:space="preserve">ER 3 : </w:t>
            </w:r>
            <w:r w:rsidR="000A3B79">
              <w:rPr>
                <w:rFonts w:ascii="Arial" w:hAnsi="Arial"/>
                <w:sz w:val="20"/>
              </w:rPr>
              <w:t>I</w:t>
            </w:r>
            <w:r>
              <w:rPr>
                <w:rFonts w:ascii="Arial" w:hAnsi="Arial"/>
                <w:sz w:val="20"/>
              </w:rPr>
              <w:t xml:space="preserve">ntégration du patrimoine culturel immatériel dans des programmes, des politiques et des plans de développement </w:t>
            </w:r>
            <w:r w:rsidR="000A3B79">
              <w:rPr>
                <w:rFonts w:ascii="Arial" w:hAnsi="Arial"/>
                <w:sz w:val="20"/>
              </w:rPr>
              <w:t>soutenue</w:t>
            </w:r>
          </w:p>
        </w:tc>
        <w:tc>
          <w:tcPr>
            <w:tcW w:w="1960" w:type="dxa"/>
            <w:shd w:val="clear" w:color="auto" w:fill="auto"/>
          </w:tcPr>
          <w:p w14:paraId="028B8BAD" w14:textId="47037356" w:rsidR="00696A00" w:rsidRPr="004558AA" w:rsidRDefault="000A3B79">
            <w:pPr>
              <w:spacing w:before="60" w:after="60"/>
              <w:jc w:val="center"/>
              <w:rPr>
                <w:rFonts w:ascii="Arial" w:hAnsi="Arial" w:cs="Arial"/>
                <w:sz w:val="20"/>
                <w:szCs w:val="20"/>
              </w:rPr>
            </w:pPr>
            <w:r w:rsidRPr="00AA34E1">
              <w:rPr>
                <w:rFonts w:ascii="Arial" w:hAnsi="Arial"/>
                <w:sz w:val="20"/>
              </w:rPr>
              <w:t>16 </w:t>
            </w:r>
            <w:r w:rsidR="006E5326" w:rsidRPr="004558AA">
              <w:rPr>
                <w:rFonts w:ascii="Arial" w:hAnsi="Arial"/>
                <w:sz w:val="20"/>
              </w:rPr>
              <w:t>%</w:t>
            </w:r>
          </w:p>
        </w:tc>
      </w:tr>
      <w:tr w:rsidR="00696A00" w:rsidRPr="00696A00" w14:paraId="27DFDFC9" w14:textId="77777777" w:rsidTr="00FF27BC">
        <w:tc>
          <w:tcPr>
            <w:tcW w:w="6662" w:type="dxa"/>
            <w:shd w:val="clear" w:color="auto" w:fill="auto"/>
          </w:tcPr>
          <w:p w14:paraId="6F583615" w14:textId="61D736FF" w:rsidR="00696A00" w:rsidRPr="00696A00" w:rsidRDefault="00FF27BC" w:rsidP="0067689E">
            <w:pPr>
              <w:spacing w:before="60" w:after="60"/>
              <w:rPr>
                <w:rFonts w:ascii="Arial" w:hAnsi="Arial" w:cs="Arial"/>
                <w:sz w:val="20"/>
                <w:szCs w:val="20"/>
              </w:rPr>
            </w:pPr>
            <w:r>
              <w:rPr>
                <w:rFonts w:ascii="Arial" w:hAnsi="Arial"/>
                <w:sz w:val="20"/>
              </w:rPr>
              <w:t xml:space="preserve">ER 4 : </w:t>
            </w:r>
            <w:r w:rsidR="000A3B79" w:rsidRPr="00AA34E1">
              <w:rPr>
                <w:rFonts w:ascii="Arial" w:hAnsi="Arial"/>
                <w:sz w:val="20"/>
              </w:rPr>
              <w:t>Objectifs de la Convention promus par des actions de sensibilisation et d’information</w:t>
            </w:r>
          </w:p>
        </w:tc>
        <w:tc>
          <w:tcPr>
            <w:tcW w:w="1960" w:type="dxa"/>
            <w:shd w:val="clear" w:color="auto" w:fill="auto"/>
          </w:tcPr>
          <w:p w14:paraId="261FAA95" w14:textId="1865B333" w:rsidR="00696A00" w:rsidRPr="004558AA" w:rsidRDefault="000A3B79">
            <w:pPr>
              <w:spacing w:before="60" w:after="60"/>
              <w:jc w:val="center"/>
              <w:rPr>
                <w:rFonts w:ascii="Arial" w:hAnsi="Arial" w:cs="Arial"/>
                <w:sz w:val="20"/>
                <w:szCs w:val="20"/>
              </w:rPr>
            </w:pPr>
            <w:r w:rsidRPr="00AA34E1">
              <w:rPr>
                <w:rFonts w:ascii="Arial" w:hAnsi="Arial"/>
                <w:sz w:val="20"/>
              </w:rPr>
              <w:t>15 </w:t>
            </w:r>
            <w:r w:rsidR="006E5326" w:rsidRPr="004558AA">
              <w:rPr>
                <w:rFonts w:ascii="Arial" w:hAnsi="Arial"/>
                <w:sz w:val="20"/>
              </w:rPr>
              <w:t>%</w:t>
            </w:r>
          </w:p>
        </w:tc>
      </w:tr>
      <w:tr w:rsidR="00696A00" w:rsidRPr="00696A00" w14:paraId="320AFFA6" w14:textId="77777777" w:rsidTr="00FF27BC">
        <w:tc>
          <w:tcPr>
            <w:tcW w:w="6662" w:type="dxa"/>
            <w:shd w:val="clear" w:color="auto" w:fill="auto"/>
          </w:tcPr>
          <w:p w14:paraId="5298EAB3" w14:textId="77777777" w:rsidR="00696A00" w:rsidRPr="00696A00" w:rsidRDefault="00696A00">
            <w:pPr>
              <w:spacing w:before="60" w:after="60"/>
              <w:ind w:left="709"/>
              <w:jc w:val="both"/>
              <w:rPr>
                <w:rFonts w:ascii="Arial" w:hAnsi="Arial" w:cs="Arial"/>
                <w:sz w:val="20"/>
                <w:szCs w:val="20"/>
              </w:rPr>
            </w:pPr>
            <w:r>
              <w:rPr>
                <w:rFonts w:ascii="Arial" w:hAnsi="Arial"/>
                <w:sz w:val="20"/>
              </w:rPr>
              <w:t>Budget total</w:t>
            </w:r>
          </w:p>
        </w:tc>
        <w:tc>
          <w:tcPr>
            <w:tcW w:w="1960" w:type="dxa"/>
            <w:shd w:val="clear" w:color="auto" w:fill="auto"/>
          </w:tcPr>
          <w:p w14:paraId="4F70B635" w14:textId="77777777" w:rsidR="00696A00" w:rsidRPr="00696A00" w:rsidRDefault="00696A00">
            <w:pPr>
              <w:spacing w:before="60" w:after="60"/>
              <w:jc w:val="center"/>
              <w:rPr>
                <w:rFonts w:ascii="Arial" w:hAnsi="Arial" w:cs="Arial"/>
                <w:sz w:val="20"/>
                <w:szCs w:val="20"/>
              </w:rPr>
            </w:pPr>
            <w:r>
              <w:rPr>
                <w:rFonts w:ascii="Arial" w:hAnsi="Arial"/>
                <w:sz w:val="20"/>
              </w:rPr>
              <w:t>100 %</w:t>
            </w:r>
          </w:p>
        </w:tc>
      </w:tr>
    </w:tbl>
    <w:p w14:paraId="6AFE4876" w14:textId="16CEB0C3" w:rsidR="0037592C" w:rsidRPr="00696A00" w:rsidRDefault="0037592C">
      <w:pPr>
        <w:pStyle w:val="Heading2"/>
        <w:tabs>
          <w:tab w:val="left" w:pos="567"/>
        </w:tabs>
        <w:snapToGrid w:val="0"/>
        <w:spacing w:before="360" w:after="240"/>
        <w:ind w:left="1134"/>
        <w:jc w:val="both"/>
        <w:rPr>
          <w:rFonts w:ascii="Arial" w:hAnsi="Arial" w:cs="Arial"/>
          <w:bCs w:val="0"/>
          <w:i w:val="0"/>
          <w:iCs w:val="0"/>
          <w:snapToGrid w:val="0"/>
          <w:sz w:val="22"/>
          <w:szCs w:val="22"/>
        </w:rPr>
      </w:pPr>
      <w:r>
        <w:rPr>
          <w:rFonts w:ascii="Arial" w:hAnsi="Arial"/>
          <w:i w:val="0"/>
          <w:snapToGrid w:val="0"/>
          <w:sz w:val="22"/>
        </w:rPr>
        <w:t xml:space="preserve">Résultat escompté 1 : </w:t>
      </w:r>
      <w:r w:rsidR="00684ACE" w:rsidRPr="00AA34E1">
        <w:rPr>
          <w:rFonts w:ascii="Arial" w:hAnsi="Arial"/>
          <w:i w:val="0"/>
          <w:snapToGrid w:val="0"/>
          <w:sz w:val="22"/>
        </w:rPr>
        <w:t xml:space="preserve">Bonne gouvernance de la Convention de 2003 facilitée par un suivi et des services de gestion des connaissances </w:t>
      </w:r>
      <w:proofErr w:type="spellStart"/>
      <w:r w:rsidR="00684ACE" w:rsidRPr="00AA34E1">
        <w:rPr>
          <w:rFonts w:ascii="Arial" w:hAnsi="Arial"/>
          <w:i w:val="0"/>
          <w:snapToGrid w:val="0"/>
          <w:sz w:val="22"/>
        </w:rPr>
        <w:t>améliorés</w:t>
      </w:r>
      <w:r w:rsidR="00684ACE">
        <w:rPr>
          <w:rFonts w:ascii="Arial" w:hAnsi="Arial"/>
          <w:i w:val="0"/>
          <w:snapToGrid w:val="0"/>
          <w:sz w:val="22"/>
        </w:rPr>
        <w:t>l</w:t>
      </w:r>
      <w:proofErr w:type="spellEnd"/>
      <w:r w:rsidR="00684ACE">
        <w:rPr>
          <w:rFonts w:ascii="Arial" w:hAnsi="Arial"/>
          <w:i w:val="0"/>
          <w:snapToGrid w:val="0"/>
          <w:sz w:val="22"/>
        </w:rPr>
        <w:t>’</w:t>
      </w:r>
    </w:p>
    <w:p w14:paraId="382EC9CF" w14:textId="39A54F48" w:rsidR="005839B5" w:rsidRPr="0054466D" w:rsidRDefault="00F41C6E" w:rsidP="0054466D">
      <w:pPr>
        <w:pStyle w:val="5GAparabodytext"/>
        <w:rPr>
          <w:rStyle w:val="hps"/>
          <w:rFonts w:ascii="Cambria" w:hAnsi="Cambria" w:cs="Times New Roman"/>
          <w:b/>
          <w:bCs w:val="0"/>
          <w:i/>
          <w:iCs w:val="0"/>
          <w:sz w:val="28"/>
          <w:szCs w:val="28"/>
        </w:rPr>
      </w:pPr>
      <w:r>
        <w:rPr>
          <w:rStyle w:val="hps"/>
        </w:rPr>
        <w:t xml:space="preserve">Comme cela a été démontré ces dernières années, un système de gestion solide des connaissances permet de favoriser une </w:t>
      </w:r>
      <w:r w:rsidR="00684ACE">
        <w:rPr>
          <w:rStyle w:val="hps"/>
        </w:rPr>
        <w:t xml:space="preserve">bonne </w:t>
      </w:r>
      <w:r>
        <w:rPr>
          <w:rStyle w:val="hps"/>
        </w:rPr>
        <w:t xml:space="preserve">gouvernance de la Convention, en proposant non seulement un outil de travail fondamental à ses organes directeurs, à ses organes consultatifs et à son Secrétariat, mais également un répertoire d'informations unique, accessible à toutes les parties intéressées. En outre, la </w:t>
      </w:r>
      <w:r w:rsidR="00684ACE">
        <w:rPr>
          <w:rStyle w:val="hps"/>
        </w:rPr>
        <w:t xml:space="preserve">bonne </w:t>
      </w:r>
      <w:r>
        <w:rPr>
          <w:rStyle w:val="hps"/>
        </w:rPr>
        <w:t xml:space="preserve">gouvernance de la Convention nécessite </w:t>
      </w:r>
      <w:r w:rsidR="00684ACE">
        <w:rPr>
          <w:rStyle w:val="hps"/>
        </w:rPr>
        <w:t>l’</w:t>
      </w:r>
      <w:r>
        <w:rPr>
          <w:rStyle w:val="hps"/>
        </w:rPr>
        <w:t xml:space="preserve">amélioration du suivi de la Convention, comme </w:t>
      </w:r>
      <w:r w:rsidR="00684ACE">
        <w:rPr>
          <w:rStyle w:val="hps"/>
        </w:rPr>
        <w:t>l’</w:t>
      </w:r>
      <w:r>
        <w:rPr>
          <w:rStyle w:val="hps"/>
        </w:rPr>
        <w:t xml:space="preserve">a souligné </w:t>
      </w:r>
      <w:r w:rsidR="00684ACE">
        <w:t>l’</w:t>
      </w:r>
      <w:r>
        <w:t xml:space="preserve">évaluation du travail normatif de </w:t>
      </w:r>
      <w:r w:rsidR="00684ACE">
        <w:t>l’</w:t>
      </w:r>
      <w:r>
        <w:t xml:space="preserve">UNESCO dans le domaine de la culture, entreprise par </w:t>
      </w:r>
      <w:r w:rsidR="00684ACE">
        <w:t>l’</w:t>
      </w:r>
      <w:r>
        <w:t xml:space="preserve">IOS de </w:t>
      </w:r>
      <w:r w:rsidR="00684ACE">
        <w:t>l’</w:t>
      </w:r>
      <w:r>
        <w:t>UNESCO en 2013. Il</w:t>
      </w:r>
      <w:r>
        <w:rPr>
          <w:rStyle w:val="hps"/>
        </w:rPr>
        <w:t xml:space="preserve"> </w:t>
      </w:r>
      <w:r w:rsidR="00684ACE">
        <w:rPr>
          <w:rStyle w:val="hps"/>
        </w:rPr>
        <w:t>est ainsi</w:t>
      </w:r>
      <w:r>
        <w:rPr>
          <w:rStyle w:val="hps"/>
        </w:rPr>
        <w:t xml:space="preserve"> proposé, dans le cadre du résultat escompté 1, de poursuivre le travail sur </w:t>
      </w:r>
      <w:r w:rsidR="00684ACE">
        <w:rPr>
          <w:rStyle w:val="hps"/>
        </w:rPr>
        <w:t>l’</w:t>
      </w:r>
      <w:r>
        <w:rPr>
          <w:rStyle w:val="hps"/>
        </w:rPr>
        <w:t xml:space="preserve">amélioration des services de gestion des connaissances, ainsi que le travail réalisé dans le cadre de </w:t>
      </w:r>
      <w:r w:rsidR="00684ACE">
        <w:rPr>
          <w:rStyle w:val="hps"/>
        </w:rPr>
        <w:t>l’</w:t>
      </w:r>
      <w:r>
        <w:rPr>
          <w:rStyle w:val="hps"/>
        </w:rPr>
        <w:t>ancien résultat escompté 3 du plan de dépenses 2016-2017 afin d'améliorer le suivi de la mise en œuvre de la Convention.</w:t>
      </w:r>
    </w:p>
    <w:p w14:paraId="7600D640" w14:textId="01252A37" w:rsidR="00F6262F" w:rsidRPr="005839B5" w:rsidRDefault="00684ACE" w:rsidP="0054466D">
      <w:pPr>
        <w:pStyle w:val="5GAparabodytext"/>
        <w:rPr>
          <w:rStyle w:val="hps"/>
          <w:rFonts w:ascii="Cambria" w:hAnsi="Cambria" w:cs="Times New Roman"/>
          <w:b/>
          <w:bCs w:val="0"/>
          <w:iCs w:val="0"/>
          <w:sz w:val="28"/>
          <w:szCs w:val="28"/>
        </w:rPr>
      </w:pPr>
      <w:r>
        <w:rPr>
          <w:rStyle w:val="hps"/>
        </w:rPr>
        <w:t>L</w:t>
      </w:r>
      <w:r w:rsidR="00382975">
        <w:rPr>
          <w:rStyle w:val="hps"/>
        </w:rPr>
        <w:t>e système de gestion des connaissances</w:t>
      </w:r>
      <w:r>
        <w:rPr>
          <w:rStyle w:val="hps"/>
        </w:rPr>
        <w:t xml:space="preserve"> nécessite d’être régulièrement</w:t>
      </w:r>
      <w:r w:rsidR="00382975">
        <w:rPr>
          <w:rStyle w:val="hps"/>
        </w:rPr>
        <w:t xml:space="preserve"> </w:t>
      </w:r>
      <w:r>
        <w:rPr>
          <w:rStyle w:val="hps"/>
        </w:rPr>
        <w:t xml:space="preserve">amélioré afin de </w:t>
      </w:r>
      <w:r w:rsidR="00382975">
        <w:rPr>
          <w:rStyle w:val="hps"/>
        </w:rPr>
        <w:t>s'adapte</w:t>
      </w:r>
      <w:r>
        <w:rPr>
          <w:rStyle w:val="hps"/>
        </w:rPr>
        <w:t>r</w:t>
      </w:r>
      <w:r w:rsidR="00382975">
        <w:rPr>
          <w:rStyle w:val="hps"/>
        </w:rPr>
        <w:t xml:space="preserve"> à la réalité de la Convention </w:t>
      </w:r>
      <w:r>
        <w:rPr>
          <w:rStyle w:val="hps"/>
        </w:rPr>
        <w:t xml:space="preserve">qui est en constante évolution </w:t>
      </w:r>
      <w:r w:rsidR="00382975">
        <w:rPr>
          <w:rStyle w:val="hps"/>
        </w:rPr>
        <w:t xml:space="preserve">et </w:t>
      </w:r>
      <w:r>
        <w:rPr>
          <w:rStyle w:val="hps"/>
        </w:rPr>
        <w:t xml:space="preserve">de </w:t>
      </w:r>
      <w:r w:rsidR="00382975">
        <w:rPr>
          <w:rStyle w:val="hps"/>
        </w:rPr>
        <w:t>réponde aux demandes changeantes de</w:t>
      </w:r>
      <w:r w:rsidR="009852D5">
        <w:rPr>
          <w:rStyle w:val="hps"/>
        </w:rPr>
        <w:t>s</w:t>
      </w:r>
      <w:r w:rsidR="00382975">
        <w:rPr>
          <w:rStyle w:val="hps"/>
        </w:rPr>
        <w:t xml:space="preserve"> nombreuses parties prenantes. Par conséquent, au cours du premier semestre 2018, les efforts d'amélioration du fonctionnement du système de gestion </w:t>
      </w:r>
      <w:r w:rsidR="00382975">
        <w:rPr>
          <w:rStyle w:val="hps"/>
        </w:rPr>
        <w:lastRenderedPageBreak/>
        <w:t xml:space="preserve">des connaissances de la Convention et de son utilité pour ses diverses </w:t>
      </w:r>
      <w:r>
        <w:rPr>
          <w:rStyle w:val="hps"/>
        </w:rPr>
        <w:t xml:space="preserve">parties intéressées </w:t>
      </w:r>
      <w:r w:rsidR="00382975">
        <w:rPr>
          <w:rStyle w:val="hps"/>
        </w:rPr>
        <w:t xml:space="preserve">seront poursuivis à trois niveaux. </w:t>
      </w:r>
    </w:p>
    <w:p w14:paraId="19283D1A" w14:textId="78558D49" w:rsidR="004969E1" w:rsidRPr="001B75E7" w:rsidRDefault="00444239" w:rsidP="0054466D">
      <w:pPr>
        <w:pStyle w:val="5GAparabodytext"/>
        <w:rPr>
          <w:rStyle w:val="hps"/>
        </w:rPr>
      </w:pPr>
      <w:r>
        <w:rPr>
          <w:rStyle w:val="hps"/>
          <w:b/>
        </w:rPr>
        <w:t xml:space="preserve">ER 1.1 : </w:t>
      </w:r>
      <w:r w:rsidR="00DF6166" w:rsidRPr="00AA34E1">
        <w:rPr>
          <w:b/>
          <w:color w:val="000000"/>
        </w:rPr>
        <w:t xml:space="preserve">Accès externe </w:t>
      </w:r>
      <w:r w:rsidR="00DF6166">
        <w:rPr>
          <w:b/>
          <w:color w:val="000000"/>
        </w:rPr>
        <w:t>et interne à l’information concernant la Convention</w:t>
      </w:r>
      <w:r w:rsidR="00DF6166" w:rsidRPr="00AA34E1">
        <w:rPr>
          <w:b/>
          <w:color w:val="000000"/>
        </w:rPr>
        <w:t xml:space="preserve"> optimisés</w:t>
      </w:r>
      <w:r w:rsidR="0090098F">
        <w:rPr>
          <w:rStyle w:val="hps"/>
          <w:b/>
        </w:rPr>
        <w:t>.</w:t>
      </w:r>
      <w:r>
        <w:rPr>
          <w:rStyle w:val="hps"/>
        </w:rPr>
        <w:t xml:space="preserve"> </w:t>
      </w:r>
      <w:r w:rsidR="00684ACE">
        <w:rPr>
          <w:rStyle w:val="hps"/>
        </w:rPr>
        <w:t>L’</w:t>
      </w:r>
      <w:r>
        <w:rPr>
          <w:rStyle w:val="hps"/>
        </w:rPr>
        <w:t xml:space="preserve">accès aux informations via des interfaces cohérentes et ciblées est très apprécié de toutes les parties prenantes, en particulier de celles </w:t>
      </w:r>
      <w:r w:rsidR="0090098F">
        <w:rPr>
          <w:rStyle w:val="hps"/>
        </w:rPr>
        <w:t>qui doivent</w:t>
      </w:r>
      <w:r>
        <w:rPr>
          <w:rStyle w:val="hps"/>
        </w:rPr>
        <w:t xml:space="preserve"> mener des actions spécifiques dans la mise en œuvre de la Convention. Le Secrétariat finalisera ainsi le travail entrepris au cours de </w:t>
      </w:r>
      <w:r w:rsidR="00684ACE">
        <w:rPr>
          <w:rStyle w:val="hps"/>
        </w:rPr>
        <w:t>l’</w:t>
      </w:r>
      <w:r>
        <w:rPr>
          <w:rStyle w:val="hps"/>
        </w:rPr>
        <w:t xml:space="preserve">exercice biennal précédent dans </w:t>
      </w:r>
      <w:r w:rsidR="00684ACE">
        <w:rPr>
          <w:rStyle w:val="hps"/>
        </w:rPr>
        <w:t>l’</w:t>
      </w:r>
      <w:r>
        <w:rPr>
          <w:rStyle w:val="hps"/>
        </w:rPr>
        <w:t xml:space="preserve">optique de la publication d'une interface de suivi de la gestion multilingue du site Internet de la Convention, offrant ainsi une meilleure vue d'ensemble de </w:t>
      </w:r>
      <w:r w:rsidR="00684ACE">
        <w:rPr>
          <w:rStyle w:val="hps"/>
        </w:rPr>
        <w:t>l’</w:t>
      </w:r>
      <w:r>
        <w:rPr>
          <w:rStyle w:val="hps"/>
        </w:rPr>
        <w:t xml:space="preserve">état de sa traduction en arabe, en anglais, en français et en espagnol tout en tenant compte du nombre de vues. </w:t>
      </w:r>
    </w:p>
    <w:p w14:paraId="37BCDEFE" w14:textId="3D9A1B6E" w:rsidR="000C4151" w:rsidRDefault="00444239" w:rsidP="0054466D">
      <w:pPr>
        <w:pStyle w:val="5GAparabodytext"/>
      </w:pPr>
      <w:r>
        <w:rPr>
          <w:rStyle w:val="hps"/>
          <w:b/>
        </w:rPr>
        <w:t xml:space="preserve">ER 1.2 : </w:t>
      </w:r>
      <w:r w:rsidR="00DF6166" w:rsidRPr="00AA34E1">
        <w:rPr>
          <w:b/>
          <w:color w:val="000000"/>
        </w:rPr>
        <w:t xml:space="preserve">Accessibilité et facilité d’utilisation des documents et décisions </w:t>
      </w:r>
      <w:r w:rsidR="00DF6166">
        <w:rPr>
          <w:b/>
          <w:color w:val="000000"/>
        </w:rPr>
        <w:t xml:space="preserve">des organes directeurs </w:t>
      </w:r>
      <w:r w:rsidR="00DF6166" w:rsidRPr="00AA34E1">
        <w:rPr>
          <w:b/>
          <w:color w:val="000000"/>
        </w:rPr>
        <w:t>de la Convention améliorée</w:t>
      </w:r>
      <w:r w:rsidR="00DF6166">
        <w:rPr>
          <w:b/>
          <w:color w:val="000000"/>
        </w:rPr>
        <w:t>s</w:t>
      </w:r>
      <w:r>
        <w:rPr>
          <w:rStyle w:val="hps"/>
          <w:b/>
        </w:rPr>
        <w:t>.</w:t>
      </w:r>
      <w:r>
        <w:rPr>
          <w:rStyle w:val="hps"/>
        </w:rPr>
        <w:t xml:space="preserve"> Les documents des réunions statutaires</w:t>
      </w:r>
      <w:r>
        <w:t xml:space="preserve"> continueront à être traités</w:t>
      </w:r>
      <w:r w:rsidR="009852D5">
        <w:t xml:space="preserve"> afin d’</w:t>
      </w:r>
      <w:r>
        <w:t xml:space="preserve">insérer de façon systématique des liens croisés et </w:t>
      </w:r>
      <w:r w:rsidR="009852D5">
        <w:t xml:space="preserve">de </w:t>
      </w:r>
      <w:r>
        <w:t xml:space="preserve">les inclure dans UNESDOC, la base de données documentaire de </w:t>
      </w:r>
      <w:r w:rsidR="00684ACE">
        <w:t>l’</w:t>
      </w:r>
      <w:r>
        <w:t>UNESCO. Au cours du premier semestre 2018, cela concernera principalement les documents et les décisions liés à la douzième session du Comité et de son Bureau.</w:t>
      </w:r>
    </w:p>
    <w:p w14:paraId="63C39A3A" w14:textId="5699DF0A" w:rsidR="00B17022" w:rsidRPr="005C5700" w:rsidRDefault="007D0E41" w:rsidP="0054466D">
      <w:pPr>
        <w:pStyle w:val="5GAparabodytext"/>
        <w:rPr>
          <w:rStyle w:val="apple-converted-space"/>
        </w:rPr>
      </w:pPr>
      <w:r w:rsidRPr="00AA34E1">
        <w:rPr>
          <w:b/>
        </w:rPr>
        <w:t>ER 1.3 :</w:t>
      </w:r>
      <w:r>
        <w:rPr>
          <w:rStyle w:val="hps"/>
          <w:b/>
        </w:rPr>
        <w:t xml:space="preserve"> </w:t>
      </w:r>
      <w:r w:rsidR="00B65682" w:rsidRPr="00AA34E1">
        <w:rPr>
          <w:b/>
          <w:color w:val="000000"/>
        </w:rPr>
        <w:t>Site web de la Convention renforcé par l’amélioration de la navigation et de l’ergonomie, l’optimisation des moteurs de recherche et des contenus multilingues supplémentaires</w:t>
      </w:r>
      <w:r w:rsidRPr="00B65682">
        <w:rPr>
          <w:rStyle w:val="hps"/>
          <w:b/>
        </w:rPr>
        <w:t>.</w:t>
      </w:r>
      <w:r>
        <w:rPr>
          <w:rStyle w:val="hps"/>
        </w:rPr>
        <w:t xml:space="preserve"> Cela concerne la partie visible du système de gestion des connaissances, qui a permis la publication d'un site Internet totalement repensé en </w:t>
      </w:r>
      <w:proofErr w:type="gramStart"/>
      <w:r>
        <w:rPr>
          <w:rStyle w:val="hps"/>
        </w:rPr>
        <w:t>novembre  2015</w:t>
      </w:r>
      <w:proofErr w:type="gramEnd"/>
      <w:r>
        <w:rPr>
          <w:rStyle w:val="hps"/>
        </w:rPr>
        <w:t>. Néanmoins, des ressources sont nécessaires pour assurer la maintenance du site Internet, son développement et sa sécurité, mais aussi pour en garantir la lisibilité et la compatibilité avec les nouvelles technologies (téléphones mobiles, tablettes, etc.). Les efforts d'amélioration de la navigation seront</w:t>
      </w:r>
      <w:r w:rsidR="009852D5">
        <w:rPr>
          <w:rStyle w:val="hps"/>
        </w:rPr>
        <w:t xml:space="preserve"> donc</w:t>
      </w:r>
      <w:r>
        <w:rPr>
          <w:rStyle w:val="hps"/>
        </w:rPr>
        <w:t xml:space="preserve"> poursuivis</w:t>
      </w:r>
      <w:r>
        <w:t xml:space="preserve">. </w:t>
      </w:r>
      <w:r w:rsidR="00684ACE">
        <w:t>L’</w:t>
      </w:r>
      <w:r>
        <w:t xml:space="preserve">accent sera placé sur </w:t>
      </w:r>
      <w:r w:rsidR="00684ACE">
        <w:t>l’</w:t>
      </w:r>
      <w:r>
        <w:t xml:space="preserve">amélioration des interfaces de façon à ce qu'elles soient plus conviviales, et </w:t>
      </w:r>
      <w:r w:rsidR="00684ACE">
        <w:t>l’</w:t>
      </w:r>
      <w:r>
        <w:t>adaptation permanente de la présentation du site aux autres environnements de visualisation</w:t>
      </w:r>
      <w:r>
        <w:rPr>
          <w:rStyle w:val="apple-converted-space"/>
          <w:color w:val="252525"/>
          <w:sz w:val="21"/>
          <w:shd w:val="clear" w:color="auto" w:fill="FFFFFF"/>
        </w:rPr>
        <w:t xml:space="preserve">. </w:t>
      </w:r>
    </w:p>
    <w:p w14:paraId="620088BF" w14:textId="65EF3403" w:rsidR="008F7153" w:rsidRPr="0054466D" w:rsidRDefault="0005302A" w:rsidP="0006228E">
      <w:pPr>
        <w:pStyle w:val="5GAparabodytext"/>
        <w:rPr>
          <w:rStyle w:val="hps"/>
        </w:rPr>
      </w:pPr>
      <w:r>
        <w:rPr>
          <w:rStyle w:val="hps"/>
          <w:b/>
        </w:rPr>
        <w:t xml:space="preserve">ER 1.4 : </w:t>
      </w:r>
      <w:r w:rsidR="00B65682">
        <w:rPr>
          <w:rStyle w:val="hps"/>
          <w:b/>
        </w:rPr>
        <w:t>C</w:t>
      </w:r>
      <w:r>
        <w:rPr>
          <w:rStyle w:val="hps"/>
          <w:b/>
        </w:rPr>
        <w:t>adre global de résultats</w:t>
      </w:r>
      <w:r w:rsidR="00B65682">
        <w:rPr>
          <w:rStyle w:val="hps"/>
          <w:b/>
        </w:rPr>
        <w:t xml:space="preserve"> complété</w:t>
      </w:r>
      <w:r>
        <w:rPr>
          <w:rStyle w:val="hps"/>
          <w:b/>
        </w:rPr>
        <w:t xml:space="preserve">. </w:t>
      </w:r>
      <w:r>
        <w:rPr>
          <w:rStyle w:val="hps"/>
        </w:rPr>
        <w:t xml:space="preserve">Des progrès significatifs </w:t>
      </w:r>
      <w:r w:rsidR="009852D5">
        <w:rPr>
          <w:rStyle w:val="hps"/>
        </w:rPr>
        <w:t xml:space="preserve">devront </w:t>
      </w:r>
      <w:r>
        <w:rPr>
          <w:rStyle w:val="hps"/>
        </w:rPr>
        <w:t xml:space="preserve">avoir été accomplis dans </w:t>
      </w:r>
      <w:r w:rsidR="00684ACE">
        <w:rPr>
          <w:rStyle w:val="hps"/>
        </w:rPr>
        <w:t>l’</w:t>
      </w:r>
      <w:r>
        <w:rPr>
          <w:rStyle w:val="hps"/>
        </w:rPr>
        <w:t xml:space="preserve">élaboration d'un cadre global de résultats pour la Convention en vue d'améliorer son suivi global, avant le début de la période couverte par ce plan de dépenses. </w:t>
      </w:r>
      <w:r w:rsidR="009852D5">
        <w:rPr>
          <w:rStyle w:val="hps"/>
        </w:rPr>
        <w:t xml:space="preserve">En effet, </w:t>
      </w:r>
      <w:r w:rsidR="009852D5">
        <w:t xml:space="preserve">un groupe de travail intergouvernemental ouvert se réunira à Chengdu, en Chine, du 11 au 13 juin 2017, et travaillera </w:t>
      </w:r>
      <w:r w:rsidR="009852D5">
        <w:rPr>
          <w:rStyle w:val="hps"/>
        </w:rPr>
        <w:t>s</w:t>
      </w:r>
      <w:r>
        <w:rPr>
          <w:rStyle w:val="hps"/>
        </w:rPr>
        <w:t xml:space="preserve">ur la base des résultats d'une réunion d'experts préliminaire </w:t>
      </w:r>
      <w:r>
        <w:t xml:space="preserve">organisée à Beijing, en Chine, du 7 au 9 septembre 2016, et des discussions de la onzième session du Comité sur le sujet (voir le </w:t>
      </w:r>
      <w:hyperlink r:id="rId14">
        <w:r>
          <w:rPr>
            <w:rStyle w:val="Hyperlink"/>
          </w:rPr>
          <w:t>document ITH/16/11.COM/14</w:t>
        </w:r>
      </w:hyperlink>
      <w:r>
        <w:t>). Les participants à la réunion s'efforceront de parvenir à un consensus sur un ensemble de 26 indicateurs à même de mesurer efficacement les produits, les résultats et les impacts identifiés dans la carte de résultats établie par le groupe d'experts et accueillie favorablement par le Comité (</w:t>
      </w:r>
      <w:hyperlink r:id="rId15">
        <w:r>
          <w:rPr>
            <w:rStyle w:val="Hyperlink"/>
          </w:rPr>
          <w:t>Décision</w:t>
        </w:r>
        <w:r w:rsidR="003E4792">
          <w:rPr>
            <w:rStyle w:val="Hyperlink"/>
          </w:rPr>
          <w:t> </w:t>
        </w:r>
        <w:bookmarkStart w:id="0" w:name="_GoBack"/>
        <w:bookmarkEnd w:id="0"/>
        <w:r>
          <w:rPr>
            <w:rStyle w:val="Hyperlink"/>
          </w:rPr>
          <w:t>11.COM 14</w:t>
        </w:r>
      </w:hyperlink>
      <w:r>
        <w:t xml:space="preserve">). Avec </w:t>
      </w:r>
      <w:r w:rsidR="009852D5">
        <w:t xml:space="preserve">cet </w:t>
      </w:r>
      <w:r>
        <w:t xml:space="preserve">ensemble complet d'indicateurs, le projet de cadre global de résultats </w:t>
      </w:r>
      <w:r w:rsidR="009852D5">
        <w:t xml:space="preserve">devrait donc </w:t>
      </w:r>
      <w:r>
        <w:t xml:space="preserve">être </w:t>
      </w:r>
      <w:r w:rsidR="009852D5">
        <w:t xml:space="preserve">prêt </w:t>
      </w:r>
      <w:r>
        <w:t xml:space="preserve">pour être examiné par le Comité à </w:t>
      </w:r>
      <w:r w:rsidR="00684ACE">
        <w:t>l’</w:t>
      </w:r>
      <w:r>
        <w:t xml:space="preserve">occasion de sa douzième session et, si le Comité </w:t>
      </w:r>
      <w:r w:rsidR="00684ACE">
        <w:t>l’</w:t>
      </w:r>
      <w:r>
        <w:t xml:space="preserve">approuve, soumis à </w:t>
      </w:r>
      <w:r w:rsidR="00684ACE">
        <w:t>l’</w:t>
      </w:r>
      <w:r>
        <w:t xml:space="preserve">Assemblée générale au cours de sa septième session (Paris, juin 2018). </w:t>
      </w:r>
      <w:r w:rsidRPr="0006228E">
        <w:t xml:space="preserve">Les membres du groupe de travail seront également invités à examiner deux </w:t>
      </w:r>
      <w:hyperlink r:id="rId16" w:history="1">
        <w:r w:rsidRPr="0006228E">
          <w:rPr>
            <w:rStyle w:val="Hyperlink"/>
          </w:rPr>
          <w:t>exemples de note d’orientation</w:t>
        </w:r>
      </w:hyperlink>
      <w:r w:rsidRPr="0006228E">
        <w:t>.</w:t>
      </w:r>
      <w:r>
        <w:t xml:space="preserve"> Ces documents sont jugés nécessaires pour proposer une interprétation commune de la terminologie essentielle afin que les diverses parties prenantes qui prendront part au suivi et à </w:t>
      </w:r>
      <w:r w:rsidR="00684ACE">
        <w:t>l’</w:t>
      </w:r>
      <w:r>
        <w:t xml:space="preserve">évaluation à long terme de la Convention puissent appliquer les indicateurs de façon comparable. En supposant que ni le groupe de travail, ni le Comité ne s'opposeront au développement de ces outils, il </w:t>
      </w:r>
      <w:r w:rsidR="009852D5">
        <w:t>est</w:t>
      </w:r>
      <w:r>
        <w:t xml:space="preserve"> proposé que, durant la première moitié de </w:t>
      </w:r>
      <w:r w:rsidR="00684ACE">
        <w:t>l’</w:t>
      </w:r>
      <w:r>
        <w:t>année 2018, les travaux d'élaboration de notes d'orientation similaires concernant les indicateurs qui n'auront pas été abordés d'ici la fin 2017 soient poursuivis.</w:t>
      </w:r>
    </w:p>
    <w:p w14:paraId="498AF3E2" w14:textId="140E7341" w:rsidR="0037592C" w:rsidRPr="00696A00" w:rsidRDefault="0037592C">
      <w:pPr>
        <w:pStyle w:val="Heading2"/>
        <w:tabs>
          <w:tab w:val="left" w:pos="567"/>
        </w:tabs>
        <w:snapToGrid w:val="0"/>
        <w:spacing w:before="360" w:after="240"/>
        <w:ind w:left="1134"/>
        <w:jc w:val="both"/>
        <w:rPr>
          <w:rFonts w:ascii="Arial" w:hAnsi="Arial" w:cs="Arial"/>
          <w:bCs w:val="0"/>
          <w:i w:val="0"/>
          <w:iCs w:val="0"/>
          <w:snapToGrid w:val="0"/>
          <w:sz w:val="22"/>
          <w:szCs w:val="22"/>
        </w:rPr>
      </w:pPr>
      <w:r>
        <w:rPr>
          <w:rFonts w:ascii="Arial" w:hAnsi="Arial"/>
          <w:i w:val="0"/>
          <w:snapToGrid w:val="0"/>
          <w:sz w:val="22"/>
        </w:rPr>
        <w:t xml:space="preserve">Résultat escompté 2 : </w:t>
      </w:r>
      <w:r w:rsidR="004558AA" w:rsidRPr="00AA34E1">
        <w:rPr>
          <w:rFonts w:ascii="Arial" w:hAnsi="Arial"/>
          <w:i w:val="0"/>
          <w:snapToGrid w:val="0"/>
          <w:sz w:val="22"/>
        </w:rPr>
        <w:t>Mise en œuvre de la Convention dans les États membres encouragée par un programme de renforcement de capacités consolidé et des conseils sur des mesures de sauvegarde et des bonnes pratiques</w:t>
      </w:r>
    </w:p>
    <w:p w14:paraId="72BAFF8A" w14:textId="426E55A5" w:rsidR="00246090" w:rsidRPr="0054466D" w:rsidRDefault="006525BE" w:rsidP="0054466D">
      <w:pPr>
        <w:pStyle w:val="5GAparabodytext"/>
        <w:rPr>
          <w:rStyle w:val="hps"/>
          <w:rFonts w:ascii="Cambria" w:hAnsi="Cambria" w:cs="Times New Roman"/>
          <w:b/>
          <w:bCs w:val="0"/>
          <w:i/>
          <w:iCs w:val="0"/>
          <w:sz w:val="28"/>
          <w:szCs w:val="28"/>
        </w:rPr>
      </w:pPr>
      <w:r>
        <w:rPr>
          <w:rStyle w:val="hps"/>
        </w:rPr>
        <w:t xml:space="preserve">Le programme de renforcement des capacités restera la stratégie prioritaire de soutien à la mise en œuvre de la Convention au niveau national, étant donné la demande persistante des </w:t>
      </w:r>
      <w:r>
        <w:rPr>
          <w:rStyle w:val="hps"/>
        </w:rPr>
        <w:lastRenderedPageBreak/>
        <w:t>États membres. Tandis que la mise en œuvre du programme au niveau national est soutenue par les contributions affectées au Fonds du patrimoine culturel immatériel et aux dispositions du Fonds-en-dépôt, le développement du programme lui-même repose principalement sur les fonds alloués aux « autres fonctions du Comité ». Dans ce contexte et d'après les résultats obtenus dans le cadre du plan de dépenses 2016-2017, il est proposé que les travaux relatifs au résultat escompté 2 soient poursuivis conformément aux trois principales actions requises pour la mise en œuvre efficace du programme de renforcement des capacités</w:t>
      </w:r>
      <w:r w:rsidR="004558AA">
        <w:rPr>
          <w:rStyle w:val="hps"/>
        </w:rPr>
        <w:t>, à savoir </w:t>
      </w:r>
      <w:r>
        <w:rPr>
          <w:rStyle w:val="hps"/>
        </w:rPr>
        <w:t>: (i) </w:t>
      </w:r>
      <w:r w:rsidR="004558AA">
        <w:rPr>
          <w:rStyle w:val="hps"/>
        </w:rPr>
        <w:t xml:space="preserve">le </w:t>
      </w:r>
      <w:r>
        <w:rPr>
          <w:rStyle w:val="hps"/>
        </w:rPr>
        <w:t xml:space="preserve">renforcement du réseau d'experts facilitateurs, (ii) </w:t>
      </w:r>
      <w:r w:rsidR="004558AA">
        <w:rPr>
          <w:rStyle w:val="hps"/>
        </w:rPr>
        <w:t>l’</w:t>
      </w:r>
      <w:r>
        <w:rPr>
          <w:rStyle w:val="hps"/>
        </w:rPr>
        <w:t>élaboration d</w:t>
      </w:r>
      <w:r w:rsidR="004558AA">
        <w:rPr>
          <w:rStyle w:val="hps"/>
        </w:rPr>
        <w:t>e</w:t>
      </w:r>
      <w:r>
        <w:rPr>
          <w:rStyle w:val="hps"/>
        </w:rPr>
        <w:t xml:space="preserve"> contenu</w:t>
      </w:r>
      <w:r w:rsidR="004558AA">
        <w:rPr>
          <w:rStyle w:val="hps"/>
        </w:rPr>
        <w:t>s</w:t>
      </w:r>
      <w:r>
        <w:rPr>
          <w:rStyle w:val="hps"/>
        </w:rPr>
        <w:t xml:space="preserve"> et de formats adéquats de renforcement des capacités, et (iii) </w:t>
      </w:r>
      <w:r w:rsidR="004558AA">
        <w:rPr>
          <w:rStyle w:val="hps"/>
        </w:rPr>
        <w:t xml:space="preserve">le </w:t>
      </w:r>
      <w:r>
        <w:rPr>
          <w:rStyle w:val="hps"/>
        </w:rPr>
        <w:t xml:space="preserve">suivi, </w:t>
      </w:r>
      <w:r w:rsidR="004558AA">
        <w:rPr>
          <w:rStyle w:val="hps"/>
        </w:rPr>
        <w:t>l’</w:t>
      </w:r>
      <w:r>
        <w:rPr>
          <w:rStyle w:val="hps"/>
        </w:rPr>
        <w:t xml:space="preserve">évaluation et </w:t>
      </w:r>
      <w:r w:rsidR="004558AA">
        <w:rPr>
          <w:rStyle w:val="hps"/>
        </w:rPr>
        <w:t>l’</w:t>
      </w:r>
      <w:r>
        <w:rPr>
          <w:rStyle w:val="hps"/>
        </w:rPr>
        <w:t xml:space="preserve">adaptation de la stratégie. </w:t>
      </w:r>
      <w:r w:rsidR="004558AA">
        <w:rPr>
          <w:rStyle w:val="hps"/>
        </w:rPr>
        <w:t>Par ailleurs</w:t>
      </w:r>
      <w:r>
        <w:rPr>
          <w:rStyle w:val="hps"/>
        </w:rPr>
        <w:t xml:space="preserve">, </w:t>
      </w:r>
      <w:r w:rsidR="004558AA">
        <w:rPr>
          <w:rStyle w:val="hps"/>
        </w:rPr>
        <w:t xml:space="preserve">afin de </w:t>
      </w:r>
      <w:r>
        <w:rPr>
          <w:rStyle w:val="hps"/>
        </w:rPr>
        <w:t xml:space="preserve">soutenir le Comité dans </w:t>
      </w:r>
      <w:r w:rsidR="00684ACE">
        <w:rPr>
          <w:rStyle w:val="hps"/>
        </w:rPr>
        <w:t>l’</w:t>
      </w:r>
      <w:r>
        <w:rPr>
          <w:rStyle w:val="hps"/>
        </w:rPr>
        <w:t>exercice de ses fonctions</w:t>
      </w:r>
      <w:r w:rsidR="004558AA">
        <w:rPr>
          <w:rStyle w:val="hps"/>
        </w:rPr>
        <w:t xml:space="preserve"> de conseil </w:t>
      </w:r>
      <w:r>
        <w:rPr>
          <w:rStyle w:val="hps"/>
        </w:rPr>
        <w:t xml:space="preserve">sur les bonnes pratiques et les mesures de sauvegarde, le Secrétariat prévoit d'utiliser les fonds alloués aux « autres fonctions du Comité » pour continuer à </w:t>
      </w:r>
      <w:r w:rsidR="004558AA">
        <w:rPr>
          <w:rStyle w:val="hps"/>
        </w:rPr>
        <w:t xml:space="preserve">étudier </w:t>
      </w:r>
      <w:r>
        <w:rPr>
          <w:rStyle w:val="hps"/>
        </w:rPr>
        <w:t>des mécanismes de promotion du partage des bonnes pratiques de sauvegarde.</w:t>
      </w:r>
    </w:p>
    <w:p w14:paraId="0AEA3431" w14:textId="05BA9B84" w:rsidR="00246090" w:rsidRPr="00DE0C70" w:rsidRDefault="00F45014" w:rsidP="0054466D">
      <w:pPr>
        <w:pStyle w:val="5GAparabodytext"/>
        <w:rPr>
          <w:rStyle w:val="hps"/>
        </w:rPr>
      </w:pPr>
      <w:r>
        <w:rPr>
          <w:rStyle w:val="hps"/>
          <w:b/>
        </w:rPr>
        <w:t xml:space="preserve">ER 2.1 : </w:t>
      </w:r>
      <w:r w:rsidR="00B65682">
        <w:rPr>
          <w:rStyle w:val="hps"/>
          <w:b/>
        </w:rPr>
        <w:t>R</w:t>
      </w:r>
      <w:r>
        <w:rPr>
          <w:rStyle w:val="hps"/>
          <w:b/>
        </w:rPr>
        <w:t>éseau de facilitateurs</w:t>
      </w:r>
      <w:r w:rsidR="00B65682">
        <w:rPr>
          <w:rStyle w:val="hps"/>
          <w:b/>
        </w:rPr>
        <w:t xml:space="preserve"> renforcé</w:t>
      </w:r>
      <w:r>
        <w:rPr>
          <w:rStyle w:val="hps"/>
          <w:b/>
        </w:rPr>
        <w:t xml:space="preserve">. </w:t>
      </w:r>
      <w:r>
        <w:rPr>
          <w:rStyle w:val="hps"/>
        </w:rPr>
        <w:t xml:space="preserve">Le vaste réseau de facilitateurs formés par </w:t>
      </w:r>
      <w:r w:rsidR="00684ACE">
        <w:rPr>
          <w:rStyle w:val="hps"/>
        </w:rPr>
        <w:t>l’</w:t>
      </w:r>
      <w:r>
        <w:rPr>
          <w:rStyle w:val="hps"/>
        </w:rPr>
        <w:t xml:space="preserve">UNESCO est bien établi et ses services sont très demandés. Si ses membres accomplissent un excellent travail de soutien à la mise en œuvre de la Convention auprès des pays, ils </w:t>
      </w:r>
      <w:r w:rsidR="004558AA">
        <w:rPr>
          <w:rStyle w:val="hps"/>
        </w:rPr>
        <w:t xml:space="preserve">se tournent </w:t>
      </w:r>
      <w:r>
        <w:rPr>
          <w:rStyle w:val="hps"/>
        </w:rPr>
        <w:t xml:space="preserve">également </w:t>
      </w:r>
      <w:r w:rsidR="004558AA">
        <w:rPr>
          <w:rStyle w:val="hps"/>
        </w:rPr>
        <w:t xml:space="preserve">vers </w:t>
      </w:r>
      <w:r w:rsidR="00684ACE">
        <w:rPr>
          <w:rStyle w:val="hps"/>
        </w:rPr>
        <w:t>l’</w:t>
      </w:r>
      <w:r>
        <w:rPr>
          <w:rStyle w:val="hps"/>
        </w:rPr>
        <w:t>UNESCO pour bénéficier d</w:t>
      </w:r>
      <w:r w:rsidR="004558AA">
        <w:rPr>
          <w:rStyle w:val="hps"/>
        </w:rPr>
        <w:t xml:space="preserve">e </w:t>
      </w:r>
      <w:r>
        <w:rPr>
          <w:rStyle w:val="hps"/>
        </w:rPr>
        <w:t>formation</w:t>
      </w:r>
      <w:r w:rsidR="004558AA">
        <w:rPr>
          <w:rStyle w:val="hps"/>
        </w:rPr>
        <w:t>s</w:t>
      </w:r>
      <w:r>
        <w:rPr>
          <w:rStyle w:val="hps"/>
        </w:rPr>
        <w:t xml:space="preserve"> </w:t>
      </w:r>
      <w:r w:rsidR="004558AA">
        <w:rPr>
          <w:rStyle w:val="hps"/>
        </w:rPr>
        <w:t xml:space="preserve">afin de </w:t>
      </w:r>
      <w:r>
        <w:rPr>
          <w:rStyle w:val="hps"/>
        </w:rPr>
        <w:t xml:space="preserve">se tenir au courant des derniers développements de la Convention, </w:t>
      </w:r>
      <w:r w:rsidR="004558AA">
        <w:rPr>
          <w:rStyle w:val="hps"/>
        </w:rPr>
        <w:t xml:space="preserve">d’échanger sur </w:t>
      </w:r>
      <w:r>
        <w:rPr>
          <w:rStyle w:val="hps"/>
        </w:rPr>
        <w:t xml:space="preserve">leurs expériences de formation et de services consultatifs, et </w:t>
      </w:r>
      <w:r w:rsidR="004558AA">
        <w:rPr>
          <w:rStyle w:val="hps"/>
        </w:rPr>
        <w:t>d’</w:t>
      </w:r>
      <w:r>
        <w:rPr>
          <w:rStyle w:val="hps"/>
        </w:rPr>
        <w:t xml:space="preserve">étudier les derniers thèmes du programme. </w:t>
      </w:r>
      <w:r w:rsidR="004558AA">
        <w:rPr>
          <w:rStyle w:val="hps"/>
        </w:rPr>
        <w:t xml:space="preserve">Il est donc proposé de </w:t>
      </w:r>
      <w:r>
        <w:rPr>
          <w:rStyle w:val="hps"/>
        </w:rPr>
        <w:t>poursui</w:t>
      </w:r>
      <w:r w:rsidR="004558AA">
        <w:rPr>
          <w:rStyle w:val="hps"/>
        </w:rPr>
        <w:t>vre</w:t>
      </w:r>
      <w:r>
        <w:rPr>
          <w:rStyle w:val="hps"/>
        </w:rPr>
        <w:t xml:space="preserve"> </w:t>
      </w:r>
      <w:r w:rsidR="004558AA">
        <w:rPr>
          <w:rStyle w:val="hps"/>
        </w:rPr>
        <w:t>la tenue d’</w:t>
      </w:r>
      <w:r>
        <w:rPr>
          <w:rStyle w:val="hps"/>
        </w:rPr>
        <w:t xml:space="preserve">ateliers régionaux </w:t>
      </w:r>
      <w:r>
        <w:t>de formation des facilitateurs et d'actualisation de leurs compétences</w:t>
      </w:r>
      <w:r w:rsidR="004558AA">
        <w:t xml:space="preserve"> en </w:t>
      </w:r>
      <w:r>
        <w:t xml:space="preserve">abordent les thèmes développés en 2016-2017 (à savoir, développement juridique et </w:t>
      </w:r>
      <w:r w:rsidR="003A0126">
        <w:t xml:space="preserve">des </w:t>
      </w:r>
      <w:r>
        <w:t>politique</w:t>
      </w:r>
      <w:r w:rsidR="003A0126">
        <w:t>s</w:t>
      </w:r>
      <w:r>
        <w:t>, plans de sauvegarde, genre, éthique et développement durable)</w:t>
      </w:r>
      <w:r w:rsidR="003A0126">
        <w:t>. Ces ateliers</w:t>
      </w:r>
      <w:r>
        <w:t xml:space="preserve"> sont complétés par des didacticiels audiovisuels destinés aux facilitateurs</w:t>
      </w:r>
      <w:r w:rsidR="003A0126">
        <w:t xml:space="preserve"> qui ont été développés pour trois thèmes e</w:t>
      </w:r>
      <w:r>
        <w:t>n</w:t>
      </w:r>
      <w:r w:rsidR="003A0126">
        <w:t xml:space="preserve"> </w:t>
      </w:r>
      <w:r>
        <w:t xml:space="preserve">2016-2017 (soutien aux politiques, genre et plans de sauvegarde). </w:t>
      </w:r>
      <w:r w:rsidR="003A0126">
        <w:t>Dans ce contexte, a</w:t>
      </w:r>
      <w:r>
        <w:t>u cours du premier semestre 2018, le Secrétariat prévoit</w:t>
      </w:r>
      <w:r>
        <w:rPr>
          <w:rStyle w:val="hps"/>
        </w:rPr>
        <w:t xml:space="preserve"> d'organiser un atelier de </w:t>
      </w:r>
      <w:r>
        <w:t xml:space="preserve">formation destiné aux facilitateurs de la région Asie-Pacifique. </w:t>
      </w:r>
      <w:r w:rsidR="00684ACE">
        <w:t>L’</w:t>
      </w:r>
      <w:r>
        <w:t xml:space="preserve">identification d'un pays hôte ou de partenaires pour compléter les ressources nécessaires en sus des fonds disponibles dans le cadre des « autres fonctions du Comité » est déjà en cours. </w:t>
      </w:r>
      <w:r w:rsidR="003A0126">
        <w:t>Par ailleurs</w:t>
      </w:r>
      <w:r>
        <w:t xml:space="preserve">, le Secrétariat </w:t>
      </w:r>
      <w:r w:rsidR="003A0126">
        <w:t xml:space="preserve">devra </w:t>
      </w:r>
      <w:r>
        <w:t xml:space="preserve">continuer à assurer la maintenance et </w:t>
      </w:r>
      <w:r w:rsidR="00684ACE">
        <w:t>l’</w:t>
      </w:r>
      <w:r>
        <w:t>amélioration du navigateur documentaire, qui représente une interface essentielle au travail quotidien des facilitateurs.</w:t>
      </w:r>
    </w:p>
    <w:p w14:paraId="55E0F45F" w14:textId="6CCCAAA7" w:rsidR="00246090" w:rsidRPr="00035902" w:rsidRDefault="00DC00C4" w:rsidP="0054466D">
      <w:pPr>
        <w:pStyle w:val="5GAparabodytext"/>
        <w:rPr>
          <w:rStyle w:val="hps"/>
        </w:rPr>
      </w:pPr>
      <w:r>
        <w:rPr>
          <w:rStyle w:val="hps"/>
          <w:b/>
        </w:rPr>
        <w:t xml:space="preserve">ER 2.2 : </w:t>
      </w:r>
      <w:r w:rsidR="006B2F83" w:rsidRPr="00AA34E1">
        <w:rPr>
          <w:b/>
          <w:color w:val="000000"/>
        </w:rPr>
        <w:t>Contenu et format du programme de renforcement de capacités revus et adaptés</w:t>
      </w:r>
      <w:r w:rsidRPr="006B2F83">
        <w:rPr>
          <w:rStyle w:val="hps"/>
          <w:b/>
        </w:rPr>
        <w:t>.</w:t>
      </w:r>
      <w:r>
        <w:rPr>
          <w:rStyle w:val="hps"/>
          <w:b/>
        </w:rPr>
        <w:t xml:space="preserve"> </w:t>
      </w:r>
      <w:r>
        <w:rPr>
          <w:rStyle w:val="hps"/>
        </w:rPr>
        <w:t xml:space="preserve">Dans le cadre de plusieurs décisions du Comité, le Secrétariat a été invité à actualiser et à élargir la portée thématique du programme de renforcement des capacités, qui est devenu un système en ligne comptant plus de </w:t>
      </w:r>
      <w:proofErr w:type="gramStart"/>
      <w:r>
        <w:rPr>
          <w:rStyle w:val="hps"/>
        </w:rPr>
        <w:t>50  unités</w:t>
      </w:r>
      <w:proofErr w:type="gramEnd"/>
      <w:r>
        <w:rPr>
          <w:rStyle w:val="hps"/>
        </w:rPr>
        <w:t xml:space="preserve"> de formation en trois langues. Certains documents sont même disponibles en russe et en arabe. </w:t>
      </w:r>
      <w:r w:rsidR="003A0126">
        <w:rPr>
          <w:rStyle w:val="hps"/>
        </w:rPr>
        <w:t xml:space="preserve">Dans ce cadre, pour le </w:t>
      </w:r>
      <w:r>
        <w:rPr>
          <w:rStyle w:val="hps"/>
        </w:rPr>
        <w:t>premier semestre 2018</w:t>
      </w:r>
      <w:r w:rsidR="003A0126">
        <w:rPr>
          <w:rStyle w:val="hps"/>
        </w:rPr>
        <w:t>, il est proposé de focaliser les efforts</w:t>
      </w:r>
      <w:r>
        <w:rPr>
          <w:rStyle w:val="hps"/>
        </w:rPr>
        <w:t xml:space="preserve"> sur la traduction du nouveau contenu du programme développé en 2016-2017 dans les domaines de </w:t>
      </w:r>
      <w:r w:rsidR="00684ACE">
        <w:rPr>
          <w:rStyle w:val="hps"/>
        </w:rPr>
        <w:t>l’</w:t>
      </w:r>
      <w:r>
        <w:rPr>
          <w:rStyle w:val="hps"/>
        </w:rPr>
        <w:t xml:space="preserve">élaboration de politiques, du genre, de </w:t>
      </w:r>
      <w:r w:rsidR="00684ACE">
        <w:rPr>
          <w:rStyle w:val="hps"/>
        </w:rPr>
        <w:t>l’</w:t>
      </w:r>
      <w:r>
        <w:rPr>
          <w:rStyle w:val="hps"/>
        </w:rPr>
        <w:t xml:space="preserve">éthique, de </w:t>
      </w:r>
      <w:r w:rsidR="00684ACE">
        <w:rPr>
          <w:rStyle w:val="hps"/>
        </w:rPr>
        <w:t>l’</w:t>
      </w:r>
      <w:r>
        <w:rPr>
          <w:rStyle w:val="hps"/>
        </w:rPr>
        <w:t>inventaire et du développement durable, afin qu'il soit disponible en anglais et en français.</w:t>
      </w:r>
    </w:p>
    <w:p w14:paraId="320BBFAC" w14:textId="157E6691" w:rsidR="00246090" w:rsidRPr="00035902" w:rsidRDefault="00DC00C4" w:rsidP="0054466D">
      <w:pPr>
        <w:pStyle w:val="5GAparabodytext"/>
        <w:rPr>
          <w:rStyle w:val="hps"/>
        </w:rPr>
      </w:pPr>
      <w:r>
        <w:rPr>
          <w:rStyle w:val="hps"/>
          <w:b/>
        </w:rPr>
        <w:t xml:space="preserve">ER 2.3 : </w:t>
      </w:r>
      <w:r w:rsidR="00DB5B71" w:rsidRPr="00AA34E1">
        <w:rPr>
          <w:b/>
        </w:rPr>
        <w:t>Mécanisme préliminaire de suivi et d’évaluation pour le renforcement des capacités mis à l’essai</w:t>
      </w:r>
      <w:r w:rsidRPr="00DB5B71">
        <w:rPr>
          <w:rStyle w:val="hps"/>
          <w:b/>
        </w:rPr>
        <w:t>.</w:t>
      </w:r>
      <w:r>
        <w:rPr>
          <w:rStyle w:val="hps"/>
        </w:rPr>
        <w:t xml:space="preserve"> Dans </w:t>
      </w:r>
      <w:r w:rsidR="00684ACE">
        <w:rPr>
          <w:rStyle w:val="hps"/>
        </w:rPr>
        <w:t>l’</w:t>
      </w:r>
      <w:r>
        <w:rPr>
          <w:rStyle w:val="hps"/>
        </w:rPr>
        <w:t xml:space="preserve">attente de </w:t>
      </w:r>
      <w:r w:rsidR="00684ACE">
        <w:rPr>
          <w:rStyle w:val="hps"/>
        </w:rPr>
        <w:t>l’</w:t>
      </w:r>
      <w:r>
        <w:rPr>
          <w:rStyle w:val="hps"/>
        </w:rPr>
        <w:t xml:space="preserve">établissement d'un cadre global de résultats relatif à la Convention, en 2016-2017, le travail d'élaboration d'un mécanisme de suivi et d'évaluation du programme de renforcement des capacités s'est concentré sur la réalisation d'une étude de suivi dans un certain nombre de pays ayant bénéficié d'activités de renforcement des capacités. Cette étude a permis d'identifier </w:t>
      </w:r>
      <w:r w:rsidR="00684ACE">
        <w:rPr>
          <w:rStyle w:val="hps"/>
        </w:rPr>
        <w:t>l’</w:t>
      </w:r>
      <w:r>
        <w:rPr>
          <w:rStyle w:val="hps"/>
        </w:rPr>
        <w:t xml:space="preserve">effet de la participation des individus au programme de renforcement des capacités sur leur engagement relatif au patrimoine culturel immatériel, ainsi que leurs recommandations éventuelles pour le développement du programme. Une deuxième étude portait sur </w:t>
      </w:r>
      <w:r w:rsidR="00684ACE">
        <w:rPr>
          <w:rStyle w:val="hps"/>
        </w:rPr>
        <w:t>l’</w:t>
      </w:r>
      <w:r>
        <w:rPr>
          <w:rStyle w:val="hps"/>
        </w:rPr>
        <w:t xml:space="preserve">utilisation des documents de formation de </w:t>
      </w:r>
      <w:r w:rsidR="00684ACE">
        <w:rPr>
          <w:rStyle w:val="hps"/>
        </w:rPr>
        <w:t>l’</w:t>
      </w:r>
      <w:r>
        <w:rPr>
          <w:rStyle w:val="hps"/>
        </w:rPr>
        <w:t xml:space="preserve">UNESCO, disponibles en ligne, par d'autres utilisateurs que </w:t>
      </w:r>
      <w:r w:rsidR="00684ACE">
        <w:rPr>
          <w:rStyle w:val="hps"/>
        </w:rPr>
        <w:t>l’</w:t>
      </w:r>
      <w:r>
        <w:rPr>
          <w:rStyle w:val="hps"/>
        </w:rPr>
        <w:t xml:space="preserve">UNESCO. De plus, le Secrétariat a mis au point des indicateurs permettant de suivre les progrès accomplis dans le domaine du renforcement des capacités pour la mise en œuvre de la Convention. Ils ont été intégrés au cadre global de résultats de la Convention. Au vu de ces développements, le Secrétariat propose </w:t>
      </w:r>
      <w:r w:rsidR="003A0126">
        <w:rPr>
          <w:rStyle w:val="hps"/>
        </w:rPr>
        <w:t xml:space="preserve">que le </w:t>
      </w:r>
      <w:r>
        <w:rPr>
          <w:rStyle w:val="hps"/>
        </w:rPr>
        <w:t xml:space="preserve">premier semestre 2018 </w:t>
      </w:r>
      <w:r w:rsidR="003A0126">
        <w:rPr>
          <w:rStyle w:val="hps"/>
        </w:rPr>
        <w:t xml:space="preserve">soit dédié à </w:t>
      </w:r>
      <w:r w:rsidR="00684ACE">
        <w:rPr>
          <w:rStyle w:val="hps"/>
        </w:rPr>
        <w:t>l’</w:t>
      </w:r>
      <w:r>
        <w:rPr>
          <w:rStyle w:val="hps"/>
        </w:rPr>
        <w:t xml:space="preserve">alignement du mécanisme de suivi et d'évaluation du programme de renforcement des capacités sur le cadre global de </w:t>
      </w:r>
      <w:r>
        <w:rPr>
          <w:rStyle w:val="hps"/>
        </w:rPr>
        <w:lastRenderedPageBreak/>
        <w:t xml:space="preserve">résultats de la Convention, en tenant compte des </w:t>
      </w:r>
      <w:r w:rsidR="003A0126">
        <w:rPr>
          <w:rStyle w:val="hps"/>
        </w:rPr>
        <w:t xml:space="preserve">résultats </w:t>
      </w:r>
      <w:r>
        <w:rPr>
          <w:rStyle w:val="hps"/>
        </w:rPr>
        <w:t>des études susmentionnées et des délibérations du Comité.</w:t>
      </w:r>
    </w:p>
    <w:p w14:paraId="07C4F730" w14:textId="61F0A9EA" w:rsidR="002810A7" w:rsidRPr="00656462" w:rsidRDefault="009322F5" w:rsidP="0054466D">
      <w:pPr>
        <w:pStyle w:val="5GAparabodytext"/>
        <w:rPr>
          <w:rStyle w:val="hps"/>
        </w:rPr>
      </w:pPr>
      <w:r>
        <w:rPr>
          <w:rStyle w:val="hps"/>
          <w:b/>
        </w:rPr>
        <w:t xml:space="preserve">ER 2.4 : </w:t>
      </w:r>
      <w:r w:rsidR="00CB1176" w:rsidRPr="00AA34E1">
        <w:rPr>
          <w:b/>
        </w:rPr>
        <w:t>Conseils renforcés sur les mesures de sauvegarde et les bonnes pratiques</w:t>
      </w:r>
      <w:r w:rsidRPr="00CB1176">
        <w:rPr>
          <w:rStyle w:val="hps"/>
          <w:b/>
        </w:rPr>
        <w:t>.</w:t>
      </w:r>
      <w:r>
        <w:rPr>
          <w:rStyle w:val="hps"/>
        </w:rPr>
        <w:t xml:space="preserve"> En réponse </w:t>
      </w:r>
      <w:r w:rsidR="003A0126">
        <w:rPr>
          <w:rStyle w:val="hps"/>
        </w:rPr>
        <w:t xml:space="preserve">aux </w:t>
      </w:r>
      <w:r>
        <w:rPr>
          <w:rStyle w:val="hps"/>
        </w:rPr>
        <w:t xml:space="preserve">recommandations de </w:t>
      </w:r>
      <w:r w:rsidR="003A0126">
        <w:rPr>
          <w:rStyle w:val="hps"/>
        </w:rPr>
        <w:t xml:space="preserve">l’évaluation de </w:t>
      </w:r>
      <w:r w:rsidR="00684ACE">
        <w:rPr>
          <w:rStyle w:val="hps"/>
        </w:rPr>
        <w:t>l’</w:t>
      </w:r>
      <w:r>
        <w:rPr>
          <w:rStyle w:val="hps"/>
        </w:rPr>
        <w:t xml:space="preserve">IOS de 2013, le Comité a appelé les différentes </w:t>
      </w:r>
      <w:r w:rsidR="00684ACE">
        <w:rPr>
          <w:rStyle w:val="hps"/>
        </w:rPr>
        <w:t>parties intéressées</w:t>
      </w:r>
      <w:r>
        <w:rPr>
          <w:rStyle w:val="hps"/>
        </w:rPr>
        <w:t>, y compris le Secrétariat, à « compléter le Registre des meilleures pratiques de sauvegarde en développant d’autres moyens plus légers pour partager les expériences de sauvegarde tels que des sites web dédiés, des bulletins d’information électroniques, des forums en ligne, etc. » (</w:t>
      </w:r>
      <w:hyperlink r:id="rId17">
        <w:r>
          <w:rPr>
            <w:rStyle w:val="hps"/>
          </w:rPr>
          <w:t>Décision 8.COM 5.c.1</w:t>
        </w:r>
      </w:hyperlink>
      <w:r>
        <w:rPr>
          <w:rStyle w:val="hps"/>
        </w:rPr>
        <w:t xml:space="preserve">). Pour répondre à cet appel du Comité, le Secrétariat s'est efforcé </w:t>
      </w:r>
      <w:r w:rsidR="003A0126">
        <w:rPr>
          <w:rStyle w:val="hps"/>
        </w:rPr>
        <w:t xml:space="preserve">en 2016-2017 </w:t>
      </w:r>
      <w:r>
        <w:rPr>
          <w:rStyle w:val="hps"/>
        </w:rPr>
        <w:t>d'identifier une approche appropriée pour explorer les différentes possibilités de partage efficace des pratiques de sauvegarde</w:t>
      </w:r>
      <w:r w:rsidR="003A0126">
        <w:rPr>
          <w:rStyle w:val="hps"/>
        </w:rPr>
        <w:t xml:space="preserve"> qui</w:t>
      </w:r>
      <w:r>
        <w:rPr>
          <w:rStyle w:val="hps"/>
        </w:rPr>
        <w:t xml:space="preserve"> accorder</w:t>
      </w:r>
      <w:r w:rsidR="003A0126">
        <w:rPr>
          <w:rStyle w:val="hps"/>
        </w:rPr>
        <w:t>aient</w:t>
      </w:r>
      <w:r>
        <w:rPr>
          <w:rStyle w:val="hps"/>
        </w:rPr>
        <w:t xml:space="preserve"> </w:t>
      </w:r>
      <w:r w:rsidR="00684ACE">
        <w:rPr>
          <w:rStyle w:val="hps"/>
        </w:rPr>
        <w:t>l’</w:t>
      </w:r>
      <w:r>
        <w:rPr>
          <w:rStyle w:val="hps"/>
        </w:rPr>
        <w:t xml:space="preserve">attention nécessaire aux nombreuses parties prenantes concernées. </w:t>
      </w:r>
      <w:r w:rsidR="003A0126">
        <w:rPr>
          <w:rStyle w:val="hps"/>
        </w:rPr>
        <w:t xml:space="preserve">Une </w:t>
      </w:r>
      <w:r>
        <w:rPr>
          <w:rStyle w:val="hps"/>
        </w:rPr>
        <w:t xml:space="preserve">proposition développée au cours de </w:t>
      </w:r>
      <w:r w:rsidR="003A0126">
        <w:rPr>
          <w:rStyle w:val="hps"/>
        </w:rPr>
        <w:t xml:space="preserve">la deuxième partie de </w:t>
      </w:r>
      <w:r w:rsidR="00684ACE">
        <w:rPr>
          <w:rStyle w:val="hps"/>
        </w:rPr>
        <w:t>l’</w:t>
      </w:r>
      <w:r>
        <w:rPr>
          <w:rStyle w:val="hps"/>
        </w:rPr>
        <w:t>année 2017</w:t>
      </w:r>
      <w:r w:rsidR="003A0126">
        <w:rPr>
          <w:rStyle w:val="hps"/>
        </w:rPr>
        <w:t xml:space="preserve"> sera de</w:t>
      </w:r>
      <w:r>
        <w:rPr>
          <w:rStyle w:val="hps"/>
        </w:rPr>
        <w:t xml:space="preserve"> s'appuyer sur les réseaux existants tels que les organisations non gouvernementales (ONG) accréditées </w:t>
      </w:r>
      <w:r w:rsidR="003A0126">
        <w:rPr>
          <w:rStyle w:val="hps"/>
        </w:rPr>
        <w:t xml:space="preserve">auprès de </w:t>
      </w:r>
      <w:r>
        <w:rPr>
          <w:rStyle w:val="hps"/>
        </w:rPr>
        <w:t xml:space="preserve">la Convention, </w:t>
      </w:r>
      <w:r>
        <w:t xml:space="preserve">les organisations </w:t>
      </w:r>
      <w:r w:rsidR="003A0126">
        <w:t xml:space="preserve">des peuples </w:t>
      </w:r>
      <w:r>
        <w:t>autochtones, les villes et les autorités locales, les chaires UNESCO et les centres de catégorie 2</w:t>
      </w:r>
      <w:r>
        <w:rPr>
          <w:rStyle w:val="hps"/>
        </w:rPr>
        <w:t xml:space="preserve">. Le forum des ONG </w:t>
      </w:r>
      <w:r w:rsidR="003A0126">
        <w:rPr>
          <w:rStyle w:val="hps"/>
        </w:rPr>
        <w:t xml:space="preserve">pourrait </w:t>
      </w:r>
      <w:r>
        <w:rPr>
          <w:rStyle w:val="hps"/>
        </w:rPr>
        <w:t xml:space="preserve">jouer un rôle clé </w:t>
      </w:r>
      <w:r w:rsidR="003A0126">
        <w:rPr>
          <w:rStyle w:val="hps"/>
        </w:rPr>
        <w:t>établir ces liens</w:t>
      </w:r>
      <w:r>
        <w:rPr>
          <w:rStyle w:val="hps"/>
        </w:rPr>
        <w:t xml:space="preserve">, en particulier avec et parmi les ONG accréditées. Si cette approche est confirmée, la consolidation de ces partenariats est proposée pour le premier semestre 2018. </w:t>
      </w:r>
    </w:p>
    <w:p w14:paraId="2A4BADC7" w14:textId="2DF113BD" w:rsidR="0037592C" w:rsidRPr="00696A00" w:rsidRDefault="007D0E41">
      <w:pPr>
        <w:pStyle w:val="Heading2"/>
        <w:tabs>
          <w:tab w:val="left" w:pos="567"/>
        </w:tabs>
        <w:snapToGrid w:val="0"/>
        <w:spacing w:before="360" w:after="240"/>
        <w:ind w:left="1134"/>
        <w:jc w:val="both"/>
        <w:rPr>
          <w:rFonts w:ascii="Arial" w:hAnsi="Arial" w:cs="Arial"/>
          <w:bCs w:val="0"/>
          <w:i w:val="0"/>
          <w:iCs w:val="0"/>
          <w:snapToGrid w:val="0"/>
          <w:sz w:val="22"/>
          <w:szCs w:val="22"/>
        </w:rPr>
      </w:pPr>
      <w:r>
        <w:rPr>
          <w:rFonts w:ascii="Arial" w:hAnsi="Arial"/>
          <w:i w:val="0"/>
          <w:snapToGrid w:val="0"/>
          <w:sz w:val="22"/>
        </w:rPr>
        <w:t xml:space="preserve">Résultat escompté 3 : </w:t>
      </w:r>
      <w:r w:rsidR="003A0126">
        <w:rPr>
          <w:rFonts w:ascii="Arial" w:hAnsi="Arial"/>
          <w:i w:val="0"/>
          <w:sz w:val="22"/>
        </w:rPr>
        <w:t>I</w:t>
      </w:r>
      <w:r>
        <w:rPr>
          <w:rFonts w:ascii="Arial" w:hAnsi="Arial"/>
          <w:i w:val="0"/>
          <w:sz w:val="22"/>
        </w:rPr>
        <w:t>ntégration du patrimoine culturel immatériel dans des programmes, des politiques et des plans de développement</w:t>
      </w:r>
      <w:r w:rsidR="003A0126">
        <w:rPr>
          <w:rFonts w:ascii="Arial" w:hAnsi="Arial"/>
          <w:i w:val="0"/>
          <w:sz w:val="22"/>
        </w:rPr>
        <w:t xml:space="preserve"> soutenue</w:t>
      </w:r>
    </w:p>
    <w:p w14:paraId="34566DC1" w14:textId="4C2DB910" w:rsidR="00CE7E04" w:rsidRPr="0054466D" w:rsidRDefault="002F3D72" w:rsidP="0054466D">
      <w:pPr>
        <w:pStyle w:val="5GAparabodytext"/>
        <w:rPr>
          <w:rStyle w:val="hps"/>
          <w:rFonts w:ascii="Cambria" w:hAnsi="Cambria" w:cs="Times New Roman"/>
          <w:b/>
          <w:i/>
          <w:sz w:val="28"/>
          <w:szCs w:val="28"/>
        </w:rPr>
      </w:pPr>
      <w:r>
        <w:rPr>
          <w:rStyle w:val="hps"/>
        </w:rPr>
        <w:t xml:space="preserve">Avec </w:t>
      </w:r>
      <w:r w:rsidR="00684ACE">
        <w:rPr>
          <w:rStyle w:val="hps"/>
        </w:rPr>
        <w:t>l’</w:t>
      </w:r>
      <w:r>
        <w:rPr>
          <w:rStyle w:val="hps"/>
        </w:rPr>
        <w:t xml:space="preserve">adoption des Directives opérationnelles sur la sauvegarde du patrimoine culturel immatériel et le développement durable au niveau national, </w:t>
      </w:r>
      <w:r w:rsidR="00684ACE">
        <w:rPr>
          <w:rStyle w:val="hps"/>
        </w:rPr>
        <w:t>l’</w:t>
      </w:r>
      <w:r>
        <w:rPr>
          <w:rStyle w:val="hps"/>
        </w:rPr>
        <w:t xml:space="preserve">Assemblée générale des États parties à la </w:t>
      </w:r>
      <w:r>
        <w:t>Convention</w:t>
      </w:r>
      <w:r>
        <w:rPr>
          <w:rStyle w:val="hps"/>
        </w:rPr>
        <w:t xml:space="preserve"> a exprimé son engagement et sa détermination à reconnaître </w:t>
      </w:r>
      <w:r w:rsidR="00684ACE">
        <w:rPr>
          <w:rStyle w:val="hps"/>
        </w:rPr>
        <w:t>l’</w:t>
      </w:r>
      <w:r>
        <w:rPr>
          <w:rStyle w:val="hps"/>
        </w:rPr>
        <w:t xml:space="preserve">importance et le renforcement du rôle du patrimoine culturel immatériel en tant que vecteur et garantie du développement durable. Elle a en outre fait part de son engagement </w:t>
      </w:r>
      <w:r w:rsidR="003A0126">
        <w:rPr>
          <w:rStyle w:val="hps"/>
        </w:rPr>
        <w:t xml:space="preserve">pour pleinement intégrer </w:t>
      </w:r>
      <w:r>
        <w:rPr>
          <w:rStyle w:val="hps"/>
        </w:rPr>
        <w:t xml:space="preserve">la sauvegarde du patrimoine culturel immatériel dans les programmes, les politiques et les plans de développement à tous les niveaux. Cet engagement s'inscrit dans </w:t>
      </w:r>
      <w:r w:rsidR="00684ACE">
        <w:rPr>
          <w:rStyle w:val="hps"/>
        </w:rPr>
        <w:t>l’</w:t>
      </w:r>
      <w:r>
        <w:rPr>
          <w:rStyle w:val="hps"/>
        </w:rPr>
        <w:t xml:space="preserve">action globale de </w:t>
      </w:r>
      <w:r w:rsidR="00684ACE">
        <w:rPr>
          <w:rStyle w:val="hps"/>
        </w:rPr>
        <w:t>l’</w:t>
      </w:r>
      <w:r>
        <w:rPr>
          <w:rStyle w:val="hps"/>
        </w:rPr>
        <w:t xml:space="preserve">UNESCO, qui vise à contribuer à la réalisation des objectifs de développement durable (ODD) à </w:t>
      </w:r>
      <w:r w:rsidR="00684ACE">
        <w:rPr>
          <w:rStyle w:val="hps"/>
        </w:rPr>
        <w:t>l’</w:t>
      </w:r>
      <w:r>
        <w:rPr>
          <w:rStyle w:val="hps"/>
        </w:rPr>
        <w:t xml:space="preserve">horizon 2030. Dans ce contexte, dans le cadre du résultat escompté 3, le Secrétariat est invité à poursuivre son action consistant à développer et à mettre en œuvre des partenariats institutionnels de façon à soutenir </w:t>
      </w:r>
      <w:r w:rsidR="00684ACE">
        <w:rPr>
          <w:rStyle w:val="hps"/>
        </w:rPr>
        <w:t>l’</w:t>
      </w:r>
      <w:r>
        <w:rPr>
          <w:rStyle w:val="hps"/>
        </w:rPr>
        <w:t>intégration du patrimoine culturel immatériel dans des programmes, des politiques et des plans de développement de deux façons complémentaires.</w:t>
      </w:r>
    </w:p>
    <w:p w14:paraId="72BD635F" w14:textId="7820320C" w:rsidR="00D31C31" w:rsidRPr="0054466D" w:rsidRDefault="00806555" w:rsidP="0054466D">
      <w:pPr>
        <w:pStyle w:val="5GAparabodytext"/>
        <w:rPr>
          <w:rStyle w:val="hps"/>
        </w:rPr>
      </w:pPr>
      <w:r>
        <w:rPr>
          <w:rStyle w:val="hps"/>
          <w:b/>
        </w:rPr>
        <w:t xml:space="preserve">ER 3.1 : </w:t>
      </w:r>
      <w:r w:rsidR="00CB1176" w:rsidRPr="00AA34E1">
        <w:rPr>
          <w:b/>
        </w:rPr>
        <w:t xml:space="preserve">Nouveaux partenariats </w:t>
      </w:r>
      <w:r w:rsidR="00CB1176">
        <w:rPr>
          <w:b/>
        </w:rPr>
        <w:t xml:space="preserve">établis </w:t>
      </w:r>
      <w:r w:rsidR="00CB1176" w:rsidRPr="00AA34E1">
        <w:rPr>
          <w:b/>
        </w:rPr>
        <w:t>avec des institutions compétentes.</w:t>
      </w:r>
      <w:r w:rsidR="00CB1176">
        <w:t xml:space="preserve"> </w:t>
      </w:r>
      <w:r w:rsidR="00684ACE">
        <w:rPr>
          <w:rStyle w:val="hps"/>
        </w:rPr>
        <w:t>L’</w:t>
      </w:r>
      <w:r>
        <w:rPr>
          <w:rStyle w:val="hps"/>
        </w:rPr>
        <w:t xml:space="preserve">éducation peut jouer un rôle précieux dans la sauvegarde du patrimoine culturel immatériel. C'est pourquoi la Convention intègre </w:t>
      </w:r>
      <w:r w:rsidR="00684ACE">
        <w:rPr>
          <w:rStyle w:val="hps"/>
        </w:rPr>
        <w:t>l’</w:t>
      </w:r>
      <w:r>
        <w:rPr>
          <w:rStyle w:val="hps"/>
        </w:rPr>
        <w:t xml:space="preserve">éducation formelle et non formelle dans ses propositions de mesures de sauvegarde. Par conséquent, il est essentiel d'inclure le patrimoine culturel immatériel dans </w:t>
      </w:r>
      <w:r w:rsidR="00684ACE">
        <w:rPr>
          <w:rStyle w:val="hps"/>
        </w:rPr>
        <w:t>l’</w:t>
      </w:r>
      <w:r>
        <w:rPr>
          <w:rStyle w:val="hps"/>
        </w:rPr>
        <w:t xml:space="preserve">éducation, ce qui nécessite de solides partenariats avec les institutions éducatives. Ainsi, </w:t>
      </w:r>
      <w:r w:rsidR="003A0126">
        <w:rPr>
          <w:rStyle w:val="hps"/>
        </w:rPr>
        <w:t xml:space="preserve">suite aux </w:t>
      </w:r>
      <w:r>
        <w:rPr>
          <w:rStyle w:val="hps"/>
        </w:rPr>
        <w:t xml:space="preserve">consultations initiales organisées en 2016 avec le </w:t>
      </w:r>
      <w:r>
        <w:t xml:space="preserve">réseau de partenaires de </w:t>
      </w:r>
      <w:r w:rsidR="00684ACE">
        <w:t>l’</w:t>
      </w:r>
      <w:r>
        <w:t xml:space="preserve">UNESCO dans le domaine de </w:t>
      </w:r>
      <w:r w:rsidR="00684ACE">
        <w:t>l’</w:t>
      </w:r>
      <w:r>
        <w:t xml:space="preserve">éducation, </w:t>
      </w:r>
      <w:r>
        <w:rPr>
          <w:rStyle w:val="hps"/>
        </w:rPr>
        <w:t xml:space="preserve">le Secrétariat a organisé, du 17 au 19 mai 2017, une réunion consultative intersectorielle avec des spécialistes du programme des secteurs de </w:t>
      </w:r>
      <w:r w:rsidR="00684ACE">
        <w:rPr>
          <w:rStyle w:val="hps"/>
        </w:rPr>
        <w:t>l’</w:t>
      </w:r>
      <w:r>
        <w:rPr>
          <w:rStyle w:val="hps"/>
        </w:rPr>
        <w:t xml:space="preserve">Éducation et de la Culture. </w:t>
      </w:r>
      <w:r w:rsidR="00684ACE">
        <w:rPr>
          <w:rStyle w:val="hps"/>
        </w:rPr>
        <w:t>L’</w:t>
      </w:r>
      <w:r>
        <w:rPr>
          <w:rStyle w:val="hps"/>
        </w:rPr>
        <w:t xml:space="preserve">objectif de cette réunion était de permettre à ses participants d'échanger, de discuter et de planifier </w:t>
      </w:r>
      <w:r w:rsidR="00684ACE">
        <w:rPr>
          <w:rStyle w:val="hps"/>
        </w:rPr>
        <w:t>l’</w:t>
      </w:r>
      <w:r>
        <w:rPr>
          <w:rStyle w:val="hps"/>
        </w:rPr>
        <w:t xml:space="preserve">intégration du patrimoine culturel immatériel dans </w:t>
      </w:r>
      <w:r w:rsidR="00684ACE">
        <w:rPr>
          <w:rStyle w:val="hps"/>
        </w:rPr>
        <w:t>l’</w:t>
      </w:r>
      <w:r>
        <w:rPr>
          <w:rStyle w:val="hps"/>
        </w:rPr>
        <w:t>éducation. Pour la période du 1</w:t>
      </w:r>
      <w:r>
        <w:rPr>
          <w:rStyle w:val="hps"/>
          <w:vertAlign w:val="superscript"/>
        </w:rPr>
        <w:t>er</w:t>
      </w:r>
      <w:r>
        <w:rPr>
          <w:rStyle w:val="hps"/>
        </w:rPr>
        <w:t> janvier 2018 au 30 juin 2018, le Secrétariat propose de procéder à la mise en œuvre des recommandations formulées au cours de</w:t>
      </w:r>
      <w:r w:rsidR="003A0126">
        <w:rPr>
          <w:rStyle w:val="hps"/>
        </w:rPr>
        <w:t xml:space="preserve"> ce</w:t>
      </w:r>
      <w:r>
        <w:rPr>
          <w:rStyle w:val="hps"/>
        </w:rPr>
        <w:t xml:space="preserve">s consultations, en renforçant de ce fait les partenariats afin de promouvoir la sauvegarde du patrimoine immatériel et, dans le même temps, de tenter d'atteindre </w:t>
      </w:r>
      <w:r w:rsidR="00684ACE">
        <w:rPr>
          <w:rStyle w:val="hps"/>
        </w:rPr>
        <w:t>l’</w:t>
      </w:r>
      <w:r>
        <w:rPr>
          <w:rStyle w:val="hps"/>
        </w:rPr>
        <w:t xml:space="preserve">ODD 4 relatif à une éducation de qualité. En outre, au-delà de </w:t>
      </w:r>
      <w:r w:rsidR="00684ACE">
        <w:rPr>
          <w:rStyle w:val="hps"/>
        </w:rPr>
        <w:t>l’</w:t>
      </w:r>
      <w:r>
        <w:rPr>
          <w:rStyle w:val="hps"/>
        </w:rPr>
        <w:t xml:space="preserve">enseignement primaire et secondaire, ces dernières années, le Secrétariat a commencé à établir des partenariats avec des établissements d'enseignement supérieur, qui forment les administrateurs et les décideurs de demain dans le domaine du patrimoine culturel immatériel. Les activités portaient sur le renforcement de </w:t>
      </w:r>
      <w:r w:rsidR="00684ACE">
        <w:rPr>
          <w:rStyle w:val="hps"/>
        </w:rPr>
        <w:t>l’</w:t>
      </w:r>
      <w:r>
        <w:rPr>
          <w:rStyle w:val="hps"/>
        </w:rPr>
        <w:t>établissement de réseaux et d</w:t>
      </w:r>
      <w:r w:rsidR="00684ACE">
        <w:rPr>
          <w:rStyle w:val="hps"/>
        </w:rPr>
        <w:t>’</w:t>
      </w:r>
      <w:r>
        <w:rPr>
          <w:rStyle w:val="hps"/>
        </w:rPr>
        <w:t>échange d'informations avec les universités de</w:t>
      </w:r>
      <w:r w:rsidR="007F18A1">
        <w:rPr>
          <w:rStyle w:val="hps"/>
        </w:rPr>
        <w:t>s</w:t>
      </w:r>
      <w:r>
        <w:rPr>
          <w:rStyle w:val="hps"/>
        </w:rPr>
        <w:t xml:space="preserve"> région</w:t>
      </w:r>
      <w:r w:rsidR="007F18A1">
        <w:rPr>
          <w:rStyle w:val="hps"/>
        </w:rPr>
        <w:t>s</w:t>
      </w:r>
      <w:r>
        <w:rPr>
          <w:rStyle w:val="hps"/>
        </w:rPr>
        <w:t xml:space="preserve"> Asie-Pacifique et Amérique latine pour soutenir </w:t>
      </w:r>
      <w:r w:rsidR="00684ACE">
        <w:rPr>
          <w:rStyle w:val="hps"/>
        </w:rPr>
        <w:t>l’</w:t>
      </w:r>
      <w:r>
        <w:rPr>
          <w:rStyle w:val="hps"/>
        </w:rPr>
        <w:t xml:space="preserve">intégration du patrimoine culturel </w:t>
      </w:r>
      <w:r>
        <w:rPr>
          <w:rStyle w:val="hps"/>
        </w:rPr>
        <w:lastRenderedPageBreak/>
        <w:t xml:space="preserve">immatériel dans leurs programmes. </w:t>
      </w:r>
      <w:r w:rsidR="007F18A1">
        <w:rPr>
          <w:rStyle w:val="hps"/>
        </w:rPr>
        <w:t>Sur la base d</w:t>
      </w:r>
      <w:r>
        <w:rPr>
          <w:rStyle w:val="hps"/>
        </w:rPr>
        <w:t xml:space="preserve">es enseignements tirés </w:t>
      </w:r>
      <w:r w:rsidR="007F18A1">
        <w:rPr>
          <w:rStyle w:val="hps"/>
        </w:rPr>
        <w:t>de ces activités, il est proposé d’</w:t>
      </w:r>
      <w:r>
        <w:rPr>
          <w:rStyle w:val="hps"/>
        </w:rPr>
        <w:t xml:space="preserve">organiser un symposium régional d'établissements d'enseignement supérieur en Afrique, au premier semestre 2018, pour soutenir </w:t>
      </w:r>
      <w:r w:rsidR="00684ACE">
        <w:rPr>
          <w:rStyle w:val="hps"/>
        </w:rPr>
        <w:t>l’</w:t>
      </w:r>
      <w:r>
        <w:rPr>
          <w:rStyle w:val="hps"/>
        </w:rPr>
        <w:t xml:space="preserve">intégration du patrimoine culturel immatériel dans leurs programmes. </w:t>
      </w:r>
    </w:p>
    <w:p w14:paraId="669A20AE" w14:textId="4CA978AC" w:rsidR="00C72429" w:rsidRPr="00696A00" w:rsidRDefault="00922BD7" w:rsidP="0054466D">
      <w:pPr>
        <w:pStyle w:val="5GAparabodytext"/>
      </w:pPr>
      <w:r>
        <w:rPr>
          <w:b/>
        </w:rPr>
        <w:t xml:space="preserve">ER 3.2 : </w:t>
      </w:r>
      <w:r w:rsidR="00CB1176" w:rsidRPr="00AA34E1">
        <w:rPr>
          <w:b/>
        </w:rPr>
        <w:t>Coopération renforcée de l’UNESCO avec l’OMPI ou d’autres organisations des Nations unies.</w:t>
      </w:r>
      <w:r w:rsidR="00CB1176">
        <w:t xml:space="preserve"> L</w:t>
      </w:r>
      <w:r>
        <w:t xml:space="preserve">e Secrétariat intensifiera son engagement dans le travail inter-agences, en s'appuyant sur la collaboration mise en place en 2016-2017, par exemple avec </w:t>
      </w:r>
      <w:r w:rsidR="00684ACE">
        <w:t>l’</w:t>
      </w:r>
      <w:r>
        <w:t xml:space="preserve">Organisation mondiale de la </w:t>
      </w:r>
      <w:r w:rsidR="004B668F">
        <w:t>s</w:t>
      </w:r>
      <w:r>
        <w:t xml:space="preserve">anté sur les contextes culturels de la santé. La coopération avec </w:t>
      </w:r>
      <w:r w:rsidR="00684ACE">
        <w:t>l’</w:t>
      </w:r>
      <w:r>
        <w:t xml:space="preserve">Organisation mondiale de la propriété intellectuelle (OMPI) sera également poursuivie, comme </w:t>
      </w:r>
      <w:r w:rsidR="00684ACE">
        <w:t>l’</w:t>
      </w:r>
      <w:r>
        <w:t xml:space="preserve">a demandé le Comité </w:t>
      </w:r>
      <w:r>
        <w:rPr>
          <w:rStyle w:val="hps"/>
        </w:rPr>
        <w:t>(</w:t>
      </w:r>
      <w:hyperlink r:id="rId18">
        <w:r>
          <w:rPr>
            <w:rStyle w:val="Hyperlink"/>
          </w:rPr>
          <w:t>Décision 8.COM 5.c.1</w:t>
        </w:r>
      </w:hyperlink>
      <w:r>
        <w:rPr>
          <w:rStyle w:val="Hyperlink"/>
        </w:rPr>
        <w:t>),</w:t>
      </w:r>
      <w:r>
        <w:rPr>
          <w:rStyle w:val="hps"/>
        </w:rPr>
        <w:t xml:space="preserve"> qui a appelé au renforcement de </w:t>
      </w:r>
      <w:r>
        <w:rPr>
          <w:rStyle w:val="hps"/>
          <w:i/>
        </w:rPr>
        <w:t xml:space="preserve">« la coopération de longue date entre </w:t>
      </w:r>
      <w:r w:rsidR="00684ACE">
        <w:rPr>
          <w:rStyle w:val="hps"/>
          <w:i/>
        </w:rPr>
        <w:t>l’</w:t>
      </w:r>
      <w:r>
        <w:rPr>
          <w:rStyle w:val="hps"/>
          <w:i/>
        </w:rPr>
        <w:t xml:space="preserve">UNESCO et </w:t>
      </w:r>
      <w:r w:rsidR="00684ACE">
        <w:rPr>
          <w:rStyle w:val="hps"/>
          <w:i/>
        </w:rPr>
        <w:t>l’</w:t>
      </w:r>
      <w:r>
        <w:rPr>
          <w:rStyle w:val="hps"/>
          <w:i/>
        </w:rPr>
        <w:t>OMPI sur les savoirs traditionnels et la culture afin d’assurer un échange et un apprentissage continus entre les deux organisations et leurs États membres »</w:t>
      </w:r>
      <w:r>
        <w:rPr>
          <w:rStyle w:val="hps"/>
        </w:rPr>
        <w:t xml:space="preserve">. Cela sera </w:t>
      </w:r>
      <w:r w:rsidR="004B668F">
        <w:rPr>
          <w:rStyle w:val="hps"/>
        </w:rPr>
        <w:t xml:space="preserve">rendu </w:t>
      </w:r>
      <w:r>
        <w:rPr>
          <w:rStyle w:val="hps"/>
        </w:rPr>
        <w:t xml:space="preserve">possible grâce aux discussions et aux échanges de haut niveau sur les modes éventuels de collaboration, ainsi que par </w:t>
      </w:r>
      <w:r w:rsidR="004B668F">
        <w:rPr>
          <w:rStyle w:val="hps"/>
        </w:rPr>
        <w:t>l</w:t>
      </w:r>
      <w:r>
        <w:rPr>
          <w:rStyle w:val="hps"/>
        </w:rPr>
        <w:t xml:space="preserve">a participation </w:t>
      </w:r>
      <w:r w:rsidR="004B668F">
        <w:rPr>
          <w:rStyle w:val="hps"/>
        </w:rPr>
        <w:t xml:space="preserve">du Secrétariat </w:t>
      </w:r>
      <w:r>
        <w:t>aux</w:t>
      </w:r>
      <w:r>
        <w:rPr>
          <w:rStyle w:val="hps"/>
        </w:rPr>
        <w:t xml:space="preserve"> réunions périodiques du Comité intergouvernemental de </w:t>
      </w:r>
      <w:r w:rsidR="00684ACE">
        <w:rPr>
          <w:rStyle w:val="hps"/>
        </w:rPr>
        <w:t>l’</w:t>
      </w:r>
      <w:r>
        <w:rPr>
          <w:rStyle w:val="hps"/>
        </w:rPr>
        <w:t xml:space="preserve">OMPI sur la propriété intellectuelle et les ressources génétiques, le folklore et les connaissances traditionnelles, dans la mesure </w:t>
      </w:r>
      <w:r w:rsidR="004B668F">
        <w:rPr>
          <w:rStyle w:val="hps"/>
        </w:rPr>
        <w:t xml:space="preserve">où le calendrier des </w:t>
      </w:r>
      <w:r>
        <w:rPr>
          <w:rStyle w:val="hps"/>
        </w:rPr>
        <w:t>différentes réunions statutaires</w:t>
      </w:r>
      <w:r w:rsidR="004B668F">
        <w:rPr>
          <w:rStyle w:val="hps"/>
        </w:rPr>
        <w:t xml:space="preserve"> le permettra</w:t>
      </w:r>
      <w:r>
        <w:rPr>
          <w:rStyle w:val="hps"/>
        </w:rPr>
        <w:t xml:space="preserve">. </w:t>
      </w:r>
    </w:p>
    <w:p w14:paraId="41E4A614" w14:textId="1C87431E" w:rsidR="00C21A7E" w:rsidRPr="00696A00" w:rsidRDefault="00C21A7E">
      <w:pPr>
        <w:pStyle w:val="Heading2"/>
        <w:tabs>
          <w:tab w:val="left" w:pos="567"/>
        </w:tabs>
        <w:snapToGrid w:val="0"/>
        <w:spacing w:before="360" w:after="240"/>
        <w:ind w:left="1134"/>
        <w:jc w:val="both"/>
        <w:rPr>
          <w:rFonts w:ascii="Arial" w:hAnsi="Arial" w:cs="Arial"/>
          <w:bCs w:val="0"/>
          <w:i w:val="0"/>
          <w:iCs w:val="0"/>
          <w:snapToGrid w:val="0"/>
          <w:sz w:val="22"/>
          <w:szCs w:val="22"/>
        </w:rPr>
      </w:pPr>
      <w:r>
        <w:rPr>
          <w:rFonts w:ascii="Arial" w:hAnsi="Arial"/>
          <w:i w:val="0"/>
          <w:snapToGrid w:val="0"/>
          <w:sz w:val="22"/>
        </w:rPr>
        <w:t xml:space="preserve">Résultat escompté 4 : Promotion des objectifs de la Convention par la sensibilisation et </w:t>
      </w:r>
      <w:r w:rsidR="00684ACE">
        <w:rPr>
          <w:rFonts w:ascii="Arial" w:hAnsi="Arial"/>
          <w:i w:val="0"/>
          <w:snapToGrid w:val="0"/>
          <w:sz w:val="22"/>
        </w:rPr>
        <w:t>l’</w:t>
      </w:r>
      <w:r>
        <w:rPr>
          <w:rFonts w:ascii="Arial" w:hAnsi="Arial"/>
          <w:i w:val="0"/>
          <w:snapToGrid w:val="0"/>
          <w:sz w:val="22"/>
        </w:rPr>
        <w:t>information</w:t>
      </w:r>
    </w:p>
    <w:p w14:paraId="7BC41232" w14:textId="75960E97" w:rsidR="00AB58C5" w:rsidRDefault="005779AF" w:rsidP="0054466D">
      <w:pPr>
        <w:pStyle w:val="5GAparabodytext"/>
      </w:pPr>
      <w:r>
        <w:t xml:space="preserve">La sensibilisation à </w:t>
      </w:r>
      <w:r w:rsidR="00684ACE">
        <w:t>l’</w:t>
      </w:r>
      <w:r>
        <w:t xml:space="preserve">importance du patrimoine culturel immatériel et de son appréciation mutuelle est </w:t>
      </w:r>
      <w:r w:rsidR="00684ACE">
        <w:t>l’</w:t>
      </w:r>
      <w:r>
        <w:t xml:space="preserve">un des objectifs de la Convention de 2003. À cette fin, conformément au plan de dépenses 2006-2017, une stratégie de communication et d'information a été élaborée en vue de promouvoir les objectifs de la Convention et d'établir une coopération avec les nombreuses </w:t>
      </w:r>
      <w:r w:rsidR="00684ACE">
        <w:t>parties intéressées</w:t>
      </w:r>
      <w:r>
        <w:t xml:space="preserve"> concernées. Les étapes initiales de mise en œuvre de la stratégie doivent être lancées avant la fin 2017</w:t>
      </w:r>
      <w:r w:rsidR="000F380E">
        <w:t xml:space="preserve">. Il est donc proposé que </w:t>
      </w:r>
      <w:r>
        <w:t xml:space="preserve">les activités relatives au résultat escompté 4 au cours du premier trimestre 2018 </w:t>
      </w:r>
      <w:r w:rsidR="008C3214">
        <w:t xml:space="preserve">s’inscrivent dans la continuité </w:t>
      </w:r>
      <w:r>
        <w:t>de ces efforts.</w:t>
      </w:r>
    </w:p>
    <w:p w14:paraId="2BFB0C90" w14:textId="4CB77B83" w:rsidR="002810A7" w:rsidRPr="00793289" w:rsidRDefault="00AB58C5" w:rsidP="0054466D">
      <w:pPr>
        <w:pStyle w:val="5GAparabodytext"/>
      </w:pPr>
      <w:r>
        <w:rPr>
          <w:b/>
        </w:rPr>
        <w:t>ER 4.1 :</w:t>
      </w:r>
      <w:r w:rsidR="00901534">
        <w:rPr>
          <w:b/>
        </w:rPr>
        <w:t xml:space="preserve"> </w:t>
      </w:r>
      <w:r w:rsidR="00901534" w:rsidRPr="00AA34E1">
        <w:rPr>
          <w:b/>
          <w:color w:val="000000"/>
        </w:rPr>
        <w:t xml:space="preserve">Mise en œuvre de la stratégie d'information </w:t>
      </w:r>
      <w:r w:rsidR="0052066A">
        <w:rPr>
          <w:b/>
          <w:color w:val="000000"/>
        </w:rPr>
        <w:t>initiée</w:t>
      </w:r>
      <w:r w:rsidR="00901534" w:rsidRPr="00AA34E1">
        <w:rPr>
          <w:b/>
        </w:rPr>
        <w:t>.</w:t>
      </w:r>
      <w:r>
        <w:t xml:space="preserve"> </w:t>
      </w:r>
      <w:proofErr w:type="gramStart"/>
      <w:r>
        <w:t>le</w:t>
      </w:r>
      <w:proofErr w:type="gramEnd"/>
      <w:r>
        <w:t xml:space="preserve"> Secrétariat poursuivra la mise en œuvre initiale de la stratégie via la préparation de documents d'information supplémentaires, comme défini dans la stratégie.</w:t>
      </w:r>
    </w:p>
    <w:p w14:paraId="591DC8A7" w14:textId="77777777" w:rsidR="00C852FB" w:rsidRPr="00696A00" w:rsidRDefault="00C852FB">
      <w:pPr>
        <w:pStyle w:val="Heading4"/>
      </w:pPr>
      <w:r>
        <w:t>Autres dispositions et projet de décision</w:t>
      </w:r>
    </w:p>
    <w:p w14:paraId="66A78E6D" w14:textId="445FDB11" w:rsidR="00C852FB" w:rsidRPr="006020EC" w:rsidRDefault="00C852FB" w:rsidP="0054466D">
      <w:pPr>
        <w:pStyle w:val="5GAparabodytext"/>
        <w:rPr>
          <w:rStyle w:val="hps"/>
          <w:rFonts w:cs="Times New Roman"/>
          <w:b/>
          <w:bCs w:val="0"/>
          <w:iCs w:val="0"/>
          <w:caps/>
          <w:snapToGrid w:val="0"/>
          <w:szCs w:val="24"/>
        </w:rPr>
      </w:pPr>
      <w:r>
        <w:rPr>
          <w:rStyle w:val="hps"/>
        </w:rPr>
        <w:t>Il est rappelé au Bureau que, pour éviter les interruptions ou retards d</w:t>
      </w:r>
      <w:r w:rsidR="00220DD2">
        <w:rPr>
          <w:rStyle w:val="hps"/>
        </w:rPr>
        <w:t>’</w:t>
      </w:r>
      <w:r>
        <w:rPr>
          <w:rStyle w:val="hps"/>
        </w:rPr>
        <w:t>exécution, le Comité a décidé (</w:t>
      </w:r>
      <w:hyperlink r:id="rId19">
        <w:r>
          <w:rPr>
            <w:rStyle w:val="Hyperlink"/>
          </w:rPr>
          <w:t>Décision 10.COM 8</w:t>
        </w:r>
      </w:hyperlink>
      <w:r>
        <w:rPr>
          <w:rStyle w:val="hps"/>
        </w:rPr>
        <w:t>) d</w:t>
      </w:r>
      <w:r w:rsidR="00220DD2">
        <w:rPr>
          <w:rStyle w:val="hps"/>
        </w:rPr>
        <w:t>’</w:t>
      </w:r>
      <w:r>
        <w:rPr>
          <w:rStyle w:val="hps"/>
        </w:rPr>
        <w:t xml:space="preserve">autoriser </w:t>
      </w:r>
      <w:r w:rsidR="008A2CB3">
        <w:rPr>
          <w:rStyle w:val="hps"/>
        </w:rPr>
        <w:t xml:space="preserve">la </w:t>
      </w:r>
      <w:r>
        <w:rPr>
          <w:rStyle w:val="hps"/>
        </w:rPr>
        <w:t>Direct</w:t>
      </w:r>
      <w:r w:rsidR="008A2CB3">
        <w:rPr>
          <w:rStyle w:val="hps"/>
        </w:rPr>
        <w:t>rice</w:t>
      </w:r>
      <w:r>
        <w:rPr>
          <w:rStyle w:val="hps"/>
        </w:rPr>
        <w:t xml:space="preserve"> général</w:t>
      </w:r>
      <w:r w:rsidR="008A2CB3">
        <w:rPr>
          <w:rStyle w:val="hps"/>
        </w:rPr>
        <w:t>e</w:t>
      </w:r>
      <w:r>
        <w:rPr>
          <w:rStyle w:val="hps"/>
        </w:rPr>
        <w:t xml:space="preserve"> à </w:t>
      </w:r>
      <w:r w:rsidR="008A2CB3">
        <w:rPr>
          <w:rStyle w:val="hps"/>
        </w:rPr>
        <w:t xml:space="preserve">procéder à </w:t>
      </w:r>
      <w:r>
        <w:rPr>
          <w:rStyle w:val="hps"/>
        </w:rPr>
        <w:t xml:space="preserve">des </w:t>
      </w:r>
      <w:r w:rsidR="008A2CB3">
        <w:rPr>
          <w:rStyle w:val="hps"/>
        </w:rPr>
        <w:t>transferts</w:t>
      </w:r>
      <w:r>
        <w:rPr>
          <w:rStyle w:val="hps"/>
        </w:rPr>
        <w:t xml:space="preserve"> entre les résultats escomptés </w:t>
      </w:r>
      <w:r>
        <w:t xml:space="preserve">inclus dans les propositions spécifiques approuvées par le Bureau à </w:t>
      </w:r>
      <w:r w:rsidR="00220DD2">
        <w:t>concurrence d’</w:t>
      </w:r>
      <w:r>
        <w:t>un montant cumulatif équivalent à 2 % d</w:t>
      </w:r>
      <w:r w:rsidR="00220DD2">
        <w:t>e</w:t>
      </w:r>
      <w:r>
        <w:t xml:space="preserve"> </w:t>
      </w:r>
      <w:r w:rsidR="00220DD2">
        <w:t xml:space="preserve">la dotation </w:t>
      </w:r>
      <w:r>
        <w:t>initial</w:t>
      </w:r>
      <w:r w:rsidR="00220DD2">
        <w:t>e</w:t>
      </w:r>
      <w:r>
        <w:t xml:space="preserve"> proposé</w:t>
      </w:r>
      <w:r w:rsidR="00220DD2">
        <w:t>e</w:t>
      </w:r>
      <w:r>
        <w:t xml:space="preserve"> à </w:t>
      </w:r>
      <w:r w:rsidR="00684ACE">
        <w:t>l’</w:t>
      </w:r>
      <w:r>
        <w:t xml:space="preserve">Assemblée générale à </w:t>
      </w:r>
      <w:r w:rsidR="00220DD2">
        <w:t>cet effet</w:t>
      </w:r>
      <w:r>
        <w:t xml:space="preserve">, soit </w:t>
      </w:r>
      <w:r w:rsidRPr="00AA34E1">
        <w:t>7 953,74 dollars des États-Unis</w:t>
      </w:r>
      <w:r w:rsidRPr="00220DD2">
        <w:t>.</w:t>
      </w:r>
      <w:r w:rsidRPr="00220DD2">
        <w:rPr>
          <w:rStyle w:val="hps"/>
        </w:rPr>
        <w:t xml:space="preserve"> </w:t>
      </w:r>
      <w:r w:rsidR="00220DD2">
        <w:rPr>
          <w:rStyle w:val="hps"/>
        </w:rPr>
        <w:t>L</w:t>
      </w:r>
      <w:r>
        <w:rPr>
          <w:rStyle w:val="hps"/>
        </w:rPr>
        <w:t xml:space="preserve">e Secrétariat </w:t>
      </w:r>
      <w:r w:rsidR="00220DD2">
        <w:rPr>
          <w:rStyle w:val="hps"/>
        </w:rPr>
        <w:t xml:space="preserve">doit alors </w:t>
      </w:r>
      <w:r>
        <w:rPr>
          <w:rStyle w:val="hps"/>
        </w:rPr>
        <w:t xml:space="preserve">informer le Bureau par écrit, </w:t>
      </w:r>
      <w:r w:rsidR="00220DD2" w:rsidRPr="009C7F4B">
        <w:rPr>
          <w:snapToGrid w:val="0"/>
          <w:lang w:eastAsia="en-US"/>
        </w:rPr>
        <w:t>lors de la session qui suivra cette action</w:t>
      </w:r>
      <w:r>
        <w:rPr>
          <w:rStyle w:val="hps"/>
        </w:rPr>
        <w:t xml:space="preserve">, des détails et des </w:t>
      </w:r>
      <w:r w:rsidR="00220DD2" w:rsidRPr="009C7F4B">
        <w:rPr>
          <w:snapToGrid w:val="0"/>
          <w:lang w:eastAsia="en-US"/>
        </w:rPr>
        <w:t xml:space="preserve">raisons </w:t>
      </w:r>
      <w:r>
        <w:rPr>
          <w:rStyle w:val="hps"/>
        </w:rPr>
        <w:t xml:space="preserve">de ces </w:t>
      </w:r>
      <w:r w:rsidR="008A2CB3">
        <w:rPr>
          <w:rStyle w:val="hps"/>
        </w:rPr>
        <w:t>transferts</w:t>
      </w:r>
      <w:r>
        <w:rPr>
          <w:rStyle w:val="hps"/>
        </w:rPr>
        <w:t xml:space="preserve">. </w:t>
      </w:r>
      <w:r w:rsidR="00220DD2" w:rsidRPr="009C7F4B">
        <w:rPr>
          <w:snapToGrid w:val="0"/>
          <w:lang w:eastAsia="en-US"/>
        </w:rPr>
        <w:t xml:space="preserve">Comme l’a décidé le </w:t>
      </w:r>
      <w:r>
        <w:rPr>
          <w:rStyle w:val="hps"/>
        </w:rPr>
        <w:t xml:space="preserve">Comité, tout </w:t>
      </w:r>
      <w:r w:rsidR="008A2CB3">
        <w:rPr>
          <w:rStyle w:val="hps"/>
        </w:rPr>
        <w:t xml:space="preserve">transfert </w:t>
      </w:r>
      <w:r>
        <w:rPr>
          <w:rStyle w:val="hps"/>
        </w:rPr>
        <w:t xml:space="preserve">supérieur à ce montant nécessite </w:t>
      </w:r>
      <w:r w:rsidR="00684ACE">
        <w:rPr>
          <w:rStyle w:val="hps"/>
        </w:rPr>
        <w:t>l’</w:t>
      </w:r>
      <w:r>
        <w:rPr>
          <w:rStyle w:val="hps"/>
        </w:rPr>
        <w:t xml:space="preserve">approbation préalable </w:t>
      </w:r>
      <w:r w:rsidR="00220DD2">
        <w:rPr>
          <w:rStyle w:val="hps"/>
        </w:rPr>
        <w:t>d’un plan de dépenses révisé</w:t>
      </w:r>
      <w:r w:rsidR="00220DD2" w:rsidDel="00220DD2">
        <w:rPr>
          <w:rStyle w:val="hps"/>
        </w:rPr>
        <w:t xml:space="preserve"> </w:t>
      </w:r>
      <w:r w:rsidR="00220DD2">
        <w:rPr>
          <w:rStyle w:val="hps"/>
        </w:rPr>
        <w:t xml:space="preserve">par le </w:t>
      </w:r>
      <w:r>
        <w:rPr>
          <w:rStyle w:val="hps"/>
        </w:rPr>
        <w:t>Bureau.</w:t>
      </w:r>
    </w:p>
    <w:p w14:paraId="09DF624F" w14:textId="77777777" w:rsidR="00D95C4C" w:rsidRPr="00696A00" w:rsidRDefault="000B1C8F" w:rsidP="0054466D">
      <w:pPr>
        <w:pStyle w:val="5GAparabodytext"/>
      </w:pPr>
      <w:r>
        <w:t xml:space="preserve">Le </w:t>
      </w:r>
      <w:r>
        <w:rPr>
          <w:rStyle w:val="hps"/>
        </w:rPr>
        <w:t>Bureau</w:t>
      </w:r>
      <w:r>
        <w:t xml:space="preserve"> souhaitera peut-être adopter la décision suivante :</w:t>
      </w:r>
    </w:p>
    <w:p w14:paraId="59CB3628" w14:textId="2C640414" w:rsidR="00D95C4C" w:rsidRPr="00696A00" w:rsidRDefault="004A34A0">
      <w:pPr>
        <w:pStyle w:val="COMTitleDecision"/>
        <w:rPr>
          <w:rFonts w:eastAsia="SimSun"/>
        </w:rPr>
      </w:pPr>
      <w:r>
        <w:t>PROJET DE DÉCISION 12.COM 2.BUR </w:t>
      </w:r>
      <w:r w:rsidR="006020EC">
        <w:t>3</w:t>
      </w:r>
    </w:p>
    <w:p w14:paraId="63E984FB" w14:textId="77777777" w:rsidR="00D95C4C" w:rsidRPr="00696A00" w:rsidRDefault="00285BB4">
      <w:pPr>
        <w:pStyle w:val="COMPreambulaDecisions"/>
        <w:rPr>
          <w:rFonts w:eastAsia="SimSun"/>
        </w:rPr>
      </w:pPr>
      <w:r>
        <w:t>Le Bureau,</w:t>
      </w:r>
    </w:p>
    <w:p w14:paraId="109F72F8" w14:textId="73790509" w:rsidR="0057439C" w:rsidRPr="00696A00" w:rsidRDefault="00D95C4C">
      <w:pPr>
        <w:pStyle w:val="COMParaDecision"/>
      </w:pPr>
      <w:r>
        <w:t>Ayant examiné</w:t>
      </w:r>
      <w:r>
        <w:rPr>
          <w:u w:val="none"/>
        </w:rPr>
        <w:t xml:space="preserve"> le document ITH/17/12.COM 2.BUR/</w:t>
      </w:r>
      <w:r w:rsidR="00C658BF">
        <w:rPr>
          <w:u w:val="none"/>
        </w:rPr>
        <w:t>3</w:t>
      </w:r>
      <w:r>
        <w:rPr>
          <w:u w:val="none"/>
        </w:rPr>
        <w:t xml:space="preserve"> et son annexe, et le document ITH/17/12.COM 2.BUR/INF.</w:t>
      </w:r>
      <w:r w:rsidR="00C658BF">
        <w:rPr>
          <w:u w:val="none"/>
        </w:rPr>
        <w:t>3</w:t>
      </w:r>
      <w:r>
        <w:rPr>
          <w:u w:val="none"/>
        </w:rPr>
        <w:t xml:space="preserve">, </w:t>
      </w:r>
    </w:p>
    <w:p w14:paraId="500A4924" w14:textId="77777777" w:rsidR="0057439C" w:rsidRPr="00005E68" w:rsidRDefault="0057439C">
      <w:pPr>
        <w:pStyle w:val="COMParaDecision"/>
        <w:jc w:val="left"/>
      </w:pPr>
      <w:r>
        <w:t>Rappelant</w:t>
      </w:r>
      <w:r>
        <w:rPr>
          <w:u w:val="none"/>
        </w:rPr>
        <w:t xml:space="preserve"> la résolution 6.GA 9, la décision 10.COM 8 et la décision 11.COM 2.BUR 1,</w:t>
      </w:r>
    </w:p>
    <w:p w14:paraId="35A4DAFF" w14:textId="6F5A987A" w:rsidR="00005E68" w:rsidRPr="003A19C0" w:rsidRDefault="003A19C0">
      <w:pPr>
        <w:pStyle w:val="COMParaDecision"/>
        <w:rPr>
          <w:u w:val="none"/>
        </w:rPr>
      </w:pPr>
      <w:r>
        <w:t>Approuve</w:t>
      </w:r>
      <w:r>
        <w:rPr>
          <w:u w:val="none"/>
        </w:rPr>
        <w:t xml:space="preserve"> la proposition d</w:t>
      </w:r>
      <w:r w:rsidR="00C658BF">
        <w:rPr>
          <w:u w:val="none"/>
        </w:rPr>
        <w:t>’</w:t>
      </w:r>
      <w:r>
        <w:rPr>
          <w:u w:val="none"/>
        </w:rPr>
        <w:t xml:space="preserve">utilisation des fonds alloués aux « autres fonctions du Comité », </w:t>
      </w:r>
      <w:r w:rsidR="00C658BF">
        <w:rPr>
          <w:u w:val="none"/>
        </w:rPr>
        <w:t>telle qu’</w:t>
      </w:r>
      <w:r>
        <w:rPr>
          <w:u w:val="none"/>
        </w:rPr>
        <w:t>annex</w:t>
      </w:r>
      <w:r w:rsidR="00C658BF">
        <w:rPr>
          <w:u w:val="none"/>
        </w:rPr>
        <w:t>ée</w:t>
      </w:r>
      <w:r>
        <w:rPr>
          <w:u w:val="none"/>
        </w:rPr>
        <w:t xml:space="preserve"> à la présente décision ;</w:t>
      </w:r>
    </w:p>
    <w:p w14:paraId="10723837" w14:textId="528D262B" w:rsidR="003A19C0" w:rsidRPr="003A19C0" w:rsidRDefault="003A19C0">
      <w:pPr>
        <w:pStyle w:val="COMParaDecision"/>
        <w:rPr>
          <w:u w:val="none"/>
        </w:rPr>
      </w:pPr>
      <w:r>
        <w:lastRenderedPageBreak/>
        <w:t>Demande</w:t>
      </w:r>
      <w:r>
        <w:rPr>
          <w:u w:val="none"/>
        </w:rPr>
        <w:t xml:space="preserve"> au Secrétariat </w:t>
      </w:r>
      <w:r w:rsidR="00C658BF" w:rsidRPr="00AA34E1">
        <w:rPr>
          <w:u w:val="none"/>
        </w:rPr>
        <w:t xml:space="preserve">de rendre compte de </w:t>
      </w:r>
      <w:r w:rsidR="00684ACE" w:rsidRPr="00C658BF">
        <w:rPr>
          <w:u w:val="none"/>
        </w:rPr>
        <w:t>l’</w:t>
      </w:r>
      <w:r w:rsidRPr="00C658BF">
        <w:rPr>
          <w:u w:val="none"/>
        </w:rPr>
        <w:t>avancement</w:t>
      </w:r>
      <w:r>
        <w:rPr>
          <w:u w:val="none"/>
        </w:rPr>
        <w:t xml:space="preserve"> de la mise en œuvre et</w:t>
      </w:r>
      <w:r w:rsidR="00C658BF">
        <w:rPr>
          <w:u w:val="none"/>
        </w:rPr>
        <w:t xml:space="preserve"> de</w:t>
      </w:r>
      <w:r>
        <w:rPr>
          <w:u w:val="none"/>
        </w:rPr>
        <w:t xml:space="preserve"> la façon dont les fonds sont dépensés ;</w:t>
      </w:r>
    </w:p>
    <w:p w14:paraId="08E345B7" w14:textId="3683FF83" w:rsidR="003A19C0" w:rsidRDefault="003A19C0">
      <w:pPr>
        <w:pStyle w:val="COMParaDecision"/>
        <w:rPr>
          <w:u w:val="none"/>
        </w:rPr>
      </w:pPr>
      <w:r>
        <w:t>Invite</w:t>
      </w:r>
      <w:r>
        <w:rPr>
          <w:u w:val="none"/>
        </w:rPr>
        <w:t xml:space="preserve"> le Président du Comité à porter cette décision à </w:t>
      </w:r>
      <w:r w:rsidR="00684ACE">
        <w:rPr>
          <w:u w:val="none"/>
        </w:rPr>
        <w:t>l’</w:t>
      </w:r>
      <w:r>
        <w:rPr>
          <w:u w:val="none"/>
        </w:rPr>
        <w:t xml:space="preserve">attention du Comité </w:t>
      </w:r>
      <w:r w:rsidR="00C658BF">
        <w:rPr>
          <w:u w:val="none"/>
        </w:rPr>
        <w:t>lors</w:t>
      </w:r>
      <w:r>
        <w:rPr>
          <w:u w:val="none"/>
        </w:rPr>
        <w:t xml:space="preserve"> de sa douzième session.</w:t>
      </w:r>
    </w:p>
    <w:p w14:paraId="2B0EEC35" w14:textId="77777777" w:rsidR="00D95C4C" w:rsidRPr="00696A00" w:rsidRDefault="00D95C4C" w:rsidP="00AC202D">
      <w:pPr>
        <w:pStyle w:val="COMParaDecision"/>
        <w:numPr>
          <w:ilvl w:val="0"/>
          <w:numId w:val="0"/>
        </w:numPr>
        <w:ind w:left="1134"/>
        <w:jc w:val="left"/>
      </w:pPr>
    </w:p>
    <w:p w14:paraId="768868BE" w14:textId="77777777" w:rsidR="00C852FB" w:rsidRPr="00696A00" w:rsidRDefault="00C852FB" w:rsidP="00AC202D">
      <w:pPr>
        <w:pStyle w:val="COMParaDecision"/>
        <w:numPr>
          <w:ilvl w:val="0"/>
          <w:numId w:val="0"/>
        </w:numPr>
        <w:ind w:left="1134"/>
        <w:jc w:val="left"/>
        <w:sectPr w:rsidR="00C852FB" w:rsidRPr="00696A00" w:rsidSect="00655736">
          <w:headerReference w:type="even" r:id="rId20"/>
          <w:headerReference w:type="default" r:id="rId21"/>
          <w:headerReference w:type="first" r:id="rId22"/>
          <w:pgSz w:w="11906" w:h="16838" w:code="9"/>
          <w:pgMar w:top="1418" w:right="1134" w:bottom="1134" w:left="1134" w:header="397" w:footer="284" w:gutter="0"/>
          <w:cols w:space="708"/>
          <w:titlePg/>
          <w:docGrid w:linePitch="360"/>
        </w:sectPr>
      </w:pPr>
    </w:p>
    <w:p w14:paraId="6A2749C4" w14:textId="77777777" w:rsidR="008A6D2F" w:rsidRPr="00696A00" w:rsidRDefault="008A6D2F">
      <w:pPr>
        <w:pStyle w:val="Marge"/>
        <w:pageBreakBefore/>
        <w:tabs>
          <w:tab w:val="clear" w:pos="567"/>
        </w:tabs>
        <w:spacing w:before="120" w:after="120"/>
        <w:jc w:val="center"/>
        <w:rPr>
          <w:rFonts w:cs="Arial"/>
          <w:b/>
          <w:bCs/>
          <w:szCs w:val="22"/>
        </w:rPr>
      </w:pPr>
      <w:r>
        <w:rPr>
          <w:b/>
        </w:rPr>
        <w:lastRenderedPageBreak/>
        <w:t>ANNEXE</w:t>
      </w:r>
    </w:p>
    <w:p w14:paraId="0045D114" w14:textId="77777777" w:rsidR="008A6D2F" w:rsidRPr="00696A00" w:rsidRDefault="008A6D2F">
      <w:pPr>
        <w:pStyle w:val="Marge"/>
        <w:tabs>
          <w:tab w:val="clear" w:pos="567"/>
        </w:tabs>
        <w:spacing w:before="120" w:after="120"/>
        <w:jc w:val="center"/>
        <w:rPr>
          <w:rFonts w:cs="Arial"/>
          <w:b/>
          <w:bCs/>
          <w:szCs w:val="22"/>
        </w:rPr>
      </w:pPr>
      <w:r>
        <w:rPr>
          <w:b/>
        </w:rPr>
        <w:t>Proposition d'utilisation des fonds alloués aux « autres fonctions du Comité »</w:t>
      </w:r>
      <w:r>
        <w:rPr>
          <w:rFonts w:cs="Arial"/>
          <w:b/>
          <w:bCs/>
          <w:szCs w:val="22"/>
        </w:rPr>
        <w:br/>
      </w:r>
      <w:r>
        <w:rPr>
          <w:b/>
        </w:rPr>
        <w:t>pour la période du 1</w:t>
      </w:r>
      <w:r>
        <w:rPr>
          <w:b/>
          <w:vertAlign w:val="superscript"/>
        </w:rPr>
        <w:t>er</w:t>
      </w:r>
      <w:r>
        <w:rPr>
          <w:b/>
        </w:rPr>
        <w:t> janvier 2018 au 30 juin 2018</w:t>
      </w:r>
    </w:p>
    <w:p w14:paraId="11729CD3" w14:textId="6080CFBC" w:rsidR="00495C3F" w:rsidRPr="009C7F4B" w:rsidRDefault="00495C3F" w:rsidP="00495C3F">
      <w:pPr>
        <w:tabs>
          <w:tab w:val="left" w:pos="567"/>
        </w:tabs>
        <w:snapToGrid w:val="0"/>
        <w:spacing w:before="360" w:after="360"/>
        <w:jc w:val="both"/>
        <w:rPr>
          <w:rFonts w:ascii="Arial" w:hAnsi="Arial" w:cs="Arial"/>
          <w:snapToGrid w:val="0"/>
          <w:sz w:val="22"/>
          <w:szCs w:val="22"/>
          <w:lang w:eastAsia="en-US"/>
        </w:rPr>
      </w:pPr>
      <w:r w:rsidRPr="009C7F4B">
        <w:rPr>
          <w:rFonts w:ascii="Arial" w:hAnsi="Arial" w:cs="Arial"/>
          <w:snapToGrid w:val="0"/>
          <w:sz w:val="22"/>
          <w:szCs w:val="22"/>
          <w:lang w:eastAsia="en-US"/>
        </w:rPr>
        <w:t xml:space="preserve">Les fonds </w:t>
      </w:r>
      <w:r>
        <w:rPr>
          <w:rFonts w:ascii="Arial" w:hAnsi="Arial" w:cs="Arial"/>
          <w:snapToGrid w:val="0"/>
          <w:sz w:val="22"/>
          <w:szCs w:val="22"/>
          <w:lang w:eastAsia="en-US"/>
        </w:rPr>
        <w:t>doivent être</w:t>
      </w:r>
      <w:r w:rsidRPr="009C7F4B">
        <w:rPr>
          <w:rFonts w:ascii="Arial" w:hAnsi="Arial" w:cs="Arial"/>
          <w:snapToGrid w:val="0"/>
          <w:sz w:val="22"/>
          <w:szCs w:val="22"/>
          <w:lang w:eastAsia="en-US"/>
        </w:rPr>
        <w:t xml:space="preserve"> utilisés conformément au Règlement financier du Compte spécial pour le Fonds pour la sauvegarde du patrimoine culturel immatériel et au Règlement financier de l’UNESCO qui exigent de couvrir tous les coûts selon les principes de la budgétisation intégrale pour atteindre les objectifs du projet. Ces coûts incluent : la formation, les séminaires et les réunions ; la préparation des rapports techniques ; le suivi et l’évaluation ; la sous-traitance ; le personnel ; les voyages ; le matériel et tout autre élément nécessaire pour mettre en œuvre les activités du projet.</w:t>
      </w:r>
    </w:p>
    <w:tbl>
      <w:tblPr>
        <w:tblStyle w:val="TableGrid"/>
        <w:tblW w:w="5000" w:type="pct"/>
        <w:tblLayout w:type="fixed"/>
        <w:tblLook w:val="04A0" w:firstRow="1" w:lastRow="0" w:firstColumn="1" w:lastColumn="0" w:noHBand="0" w:noVBand="1"/>
      </w:tblPr>
      <w:tblGrid>
        <w:gridCol w:w="2263"/>
        <w:gridCol w:w="7365"/>
      </w:tblGrid>
      <w:tr w:rsidR="008A6D2F" w:rsidRPr="00696A00" w14:paraId="3AAEC3CC" w14:textId="77777777" w:rsidTr="00F82A28">
        <w:trPr>
          <w:cantSplit/>
        </w:trPr>
        <w:tc>
          <w:tcPr>
            <w:tcW w:w="1175" w:type="pct"/>
            <w:shd w:val="clear" w:color="auto" w:fill="F2F2F2" w:themeFill="background1" w:themeFillShade="F2"/>
            <w:vAlign w:val="center"/>
          </w:tcPr>
          <w:p w14:paraId="40CB2BAF" w14:textId="77777777" w:rsidR="008A6D2F" w:rsidRPr="00696A00" w:rsidRDefault="008A6D2F">
            <w:pPr>
              <w:keepNext/>
              <w:spacing w:before="120" w:after="120"/>
              <w:rPr>
                <w:rFonts w:ascii="Arial" w:hAnsi="Arial" w:cs="Arial"/>
                <w:b/>
                <w:bCs/>
                <w:sz w:val="22"/>
                <w:szCs w:val="22"/>
              </w:rPr>
            </w:pPr>
          </w:p>
        </w:tc>
        <w:tc>
          <w:tcPr>
            <w:tcW w:w="3825" w:type="pct"/>
            <w:shd w:val="clear" w:color="auto" w:fill="F2F2F2" w:themeFill="background1" w:themeFillShade="F2"/>
            <w:vAlign w:val="center"/>
          </w:tcPr>
          <w:p w14:paraId="4D57C1B3" w14:textId="48AE39A9" w:rsidR="008A6D2F" w:rsidRPr="00696A00" w:rsidRDefault="00AA34E1">
            <w:pPr>
              <w:keepNext/>
              <w:spacing w:before="120" w:after="120"/>
              <w:rPr>
                <w:rFonts w:ascii="Arial" w:hAnsi="Arial" w:cs="Arial"/>
                <w:b/>
                <w:bCs/>
                <w:sz w:val="22"/>
                <w:szCs w:val="22"/>
              </w:rPr>
            </w:pPr>
            <w:r>
              <w:rPr>
                <w:rFonts w:ascii="Arial" w:hAnsi="Arial"/>
                <w:b/>
                <w:sz w:val="22"/>
              </w:rPr>
              <w:t xml:space="preserve">Dotation </w:t>
            </w:r>
            <w:r w:rsidR="008A6D2F">
              <w:rPr>
                <w:rFonts w:ascii="Arial" w:hAnsi="Arial"/>
                <w:b/>
                <w:sz w:val="22"/>
              </w:rPr>
              <w:t>budgétaire totale :</w:t>
            </w:r>
            <w:r w:rsidR="008A6D2F">
              <w:rPr>
                <w:rFonts w:ascii="Arial" w:hAnsi="Arial" w:cs="Arial"/>
                <w:b/>
                <w:bCs/>
                <w:sz w:val="22"/>
                <w:szCs w:val="22"/>
              </w:rPr>
              <w:br/>
            </w:r>
            <w:r w:rsidR="008A6D2F">
              <w:rPr>
                <w:rFonts w:ascii="Arial" w:hAnsi="Arial"/>
                <w:b/>
                <w:sz w:val="22"/>
              </w:rPr>
              <w:t>397 687 dollars des États-Unis</w:t>
            </w:r>
          </w:p>
        </w:tc>
      </w:tr>
    </w:tbl>
    <w:p w14:paraId="5D9A45CB" w14:textId="77777777" w:rsidR="008A6D2F" w:rsidRPr="00696A00" w:rsidRDefault="008A6D2F">
      <w:pPr>
        <w:pStyle w:val="Marge"/>
        <w:spacing w:before="120" w:after="120"/>
        <w:rPr>
          <w:rFonts w:cs="Arial"/>
          <w:b/>
          <w:bCs/>
          <w:szCs w:val="22"/>
        </w:rPr>
      </w:pPr>
    </w:p>
    <w:tbl>
      <w:tblPr>
        <w:tblStyle w:val="TableGrid"/>
        <w:tblW w:w="5002" w:type="pct"/>
        <w:tblLook w:val="04A0" w:firstRow="1" w:lastRow="0" w:firstColumn="1" w:lastColumn="0" w:noHBand="0" w:noVBand="1"/>
      </w:tblPr>
      <w:tblGrid>
        <w:gridCol w:w="730"/>
        <w:gridCol w:w="1558"/>
        <w:gridCol w:w="2888"/>
        <w:gridCol w:w="4456"/>
      </w:tblGrid>
      <w:tr w:rsidR="008A6D2F" w:rsidRPr="00132152" w14:paraId="3E1B4A0E" w14:textId="77777777" w:rsidTr="00F82A28">
        <w:trPr>
          <w:cantSplit/>
        </w:trPr>
        <w:tc>
          <w:tcPr>
            <w:tcW w:w="1188" w:type="pct"/>
            <w:gridSpan w:val="2"/>
            <w:shd w:val="clear" w:color="auto" w:fill="808080" w:themeFill="background1" w:themeFillShade="80"/>
            <w:vAlign w:val="center"/>
          </w:tcPr>
          <w:p w14:paraId="0274710A" w14:textId="5EE6E47B" w:rsidR="008A6D2F" w:rsidRPr="00696A00" w:rsidRDefault="008A6D2F">
            <w:pPr>
              <w:keepNext/>
              <w:spacing w:before="120" w:after="120"/>
              <w:rPr>
                <w:rFonts w:ascii="Arial" w:hAnsi="Arial" w:cs="Arial"/>
                <w:b/>
                <w:bCs/>
                <w:color w:val="FFFFFF" w:themeColor="background1"/>
                <w:sz w:val="22"/>
                <w:szCs w:val="22"/>
              </w:rPr>
            </w:pPr>
            <w:r>
              <w:rPr>
                <w:rFonts w:ascii="Arial" w:hAnsi="Arial"/>
                <w:b/>
                <w:color w:val="FFFFFF" w:themeColor="background1"/>
                <w:sz w:val="22"/>
              </w:rPr>
              <w:t>Projet</w:t>
            </w:r>
            <w:r w:rsidR="00AC65B8">
              <w:rPr>
                <w:rFonts w:ascii="Arial" w:hAnsi="Arial"/>
                <w:b/>
                <w:color w:val="FFFFFF" w:themeColor="background1"/>
                <w:sz w:val="22"/>
              </w:rPr>
              <w:t xml:space="preserve"> de </w:t>
            </w:r>
            <w:r>
              <w:rPr>
                <w:rFonts w:ascii="Arial" w:hAnsi="Arial"/>
                <w:b/>
                <w:color w:val="FFFFFF" w:themeColor="background1"/>
                <w:sz w:val="22"/>
              </w:rPr>
              <w:t>39 C/5 Indicateur de performance 1</w:t>
            </w:r>
          </w:p>
        </w:tc>
        <w:tc>
          <w:tcPr>
            <w:tcW w:w="3812" w:type="pct"/>
            <w:gridSpan w:val="2"/>
            <w:shd w:val="clear" w:color="auto" w:fill="808080" w:themeFill="background1" w:themeFillShade="80"/>
            <w:vAlign w:val="center"/>
          </w:tcPr>
          <w:p w14:paraId="48213C83" w14:textId="3BD3ECDB" w:rsidR="008A6D2F" w:rsidRPr="00696A00" w:rsidRDefault="00D715B4">
            <w:pPr>
              <w:keepNext/>
              <w:spacing w:before="120" w:after="120"/>
              <w:rPr>
                <w:rFonts w:ascii="Arial" w:hAnsi="Arial" w:cs="Arial"/>
                <w:b/>
                <w:bCs/>
                <w:color w:val="FFFFFF" w:themeColor="background1"/>
                <w:sz w:val="22"/>
                <w:szCs w:val="22"/>
              </w:rPr>
            </w:pPr>
            <w:r w:rsidRPr="00AA34E1">
              <w:rPr>
                <w:rFonts w:ascii="Arial" w:hAnsi="Arial"/>
                <w:b/>
                <w:color w:val="FFFFFF" w:themeColor="background1"/>
                <w:sz w:val="22"/>
              </w:rPr>
              <w:t>Exercice d’une bonne gouvernance au moyen de l’adoption et de la mise en œuvre des résolutions/décisions stratégiques des organes directeurs de la Convention de 2003</w:t>
            </w:r>
          </w:p>
        </w:tc>
      </w:tr>
      <w:tr w:rsidR="008A6D2F" w:rsidRPr="00132152" w14:paraId="1F9881AB" w14:textId="77777777" w:rsidTr="00F82A28">
        <w:trPr>
          <w:cantSplit/>
        </w:trPr>
        <w:tc>
          <w:tcPr>
            <w:tcW w:w="1188" w:type="pct"/>
            <w:gridSpan w:val="2"/>
            <w:vMerge w:val="restart"/>
            <w:shd w:val="clear" w:color="auto" w:fill="F2F2F2" w:themeFill="background1" w:themeFillShade="F2"/>
            <w:vAlign w:val="center"/>
          </w:tcPr>
          <w:p w14:paraId="37F4CB1C" w14:textId="4C3262C0" w:rsidR="008A6D2F" w:rsidRPr="00696A00" w:rsidRDefault="00314A7D">
            <w:pPr>
              <w:keepNext/>
              <w:spacing w:before="60" w:after="60"/>
              <w:rPr>
                <w:rFonts w:ascii="Arial" w:hAnsi="Arial" w:cs="Arial"/>
                <w:b/>
                <w:bCs/>
                <w:sz w:val="22"/>
                <w:szCs w:val="22"/>
              </w:rPr>
            </w:pPr>
            <w:r>
              <w:rPr>
                <w:rFonts w:ascii="Arial" w:hAnsi="Arial"/>
                <w:b/>
                <w:sz w:val="22"/>
              </w:rPr>
              <w:t xml:space="preserve">Résultat escompté 1 du </w:t>
            </w:r>
            <w:r w:rsidR="008A6D2F">
              <w:rPr>
                <w:rFonts w:ascii="Arial" w:hAnsi="Arial"/>
                <w:b/>
                <w:sz w:val="22"/>
              </w:rPr>
              <w:t xml:space="preserve">Fonds du PCI </w:t>
            </w:r>
          </w:p>
          <w:p w14:paraId="4520CAB6" w14:textId="77777777" w:rsidR="008A6D2F" w:rsidRPr="00696A00" w:rsidRDefault="008A6D2F">
            <w:pPr>
              <w:keepNext/>
              <w:spacing w:before="60" w:after="60"/>
              <w:rPr>
                <w:rFonts w:ascii="Arial" w:hAnsi="Arial" w:cs="Arial"/>
                <w:b/>
                <w:bCs/>
                <w:sz w:val="22"/>
                <w:szCs w:val="22"/>
              </w:rPr>
            </w:pPr>
          </w:p>
        </w:tc>
        <w:tc>
          <w:tcPr>
            <w:tcW w:w="3812" w:type="pct"/>
            <w:gridSpan w:val="2"/>
            <w:shd w:val="clear" w:color="auto" w:fill="F2F2F2" w:themeFill="background1" w:themeFillShade="F2"/>
            <w:vAlign w:val="center"/>
          </w:tcPr>
          <w:p w14:paraId="160D8448" w14:textId="31E09A18" w:rsidR="008A6D2F" w:rsidRPr="00696A00" w:rsidRDefault="00314A7D">
            <w:pPr>
              <w:keepNext/>
              <w:spacing w:before="60" w:after="60"/>
              <w:rPr>
                <w:rFonts w:ascii="Arial" w:hAnsi="Arial" w:cs="Arial"/>
                <w:b/>
                <w:bCs/>
                <w:sz w:val="22"/>
                <w:szCs w:val="22"/>
              </w:rPr>
            </w:pPr>
            <w:r w:rsidRPr="00AA34E1">
              <w:rPr>
                <w:rFonts w:ascii="Arial" w:hAnsi="Arial"/>
                <w:b/>
                <w:sz w:val="22"/>
              </w:rPr>
              <w:t>Bonne gouvernance de la Convention de 2003 facilitée par un suivi et des services de gestion des connaissances améliorés</w:t>
            </w:r>
          </w:p>
        </w:tc>
      </w:tr>
      <w:tr w:rsidR="008A6D2F" w:rsidRPr="00696A00" w14:paraId="0F3F0F29" w14:textId="77777777" w:rsidTr="00F82A28">
        <w:trPr>
          <w:cantSplit/>
        </w:trPr>
        <w:tc>
          <w:tcPr>
            <w:tcW w:w="1188" w:type="pct"/>
            <w:gridSpan w:val="2"/>
            <w:vMerge/>
            <w:shd w:val="clear" w:color="auto" w:fill="auto"/>
            <w:vAlign w:val="center"/>
          </w:tcPr>
          <w:p w14:paraId="38B349D9" w14:textId="77777777" w:rsidR="008A6D2F" w:rsidRPr="00696A00" w:rsidRDefault="008A6D2F">
            <w:pPr>
              <w:keepNext/>
              <w:spacing w:before="60" w:after="60"/>
              <w:rPr>
                <w:rFonts w:ascii="Arial" w:hAnsi="Arial" w:cs="Arial"/>
                <w:b/>
                <w:bCs/>
                <w:sz w:val="22"/>
                <w:szCs w:val="22"/>
              </w:rPr>
            </w:pPr>
          </w:p>
        </w:tc>
        <w:tc>
          <w:tcPr>
            <w:tcW w:w="3812" w:type="pct"/>
            <w:gridSpan w:val="2"/>
            <w:shd w:val="clear" w:color="auto" w:fill="F2F2F2" w:themeFill="background1" w:themeFillShade="F2"/>
            <w:vAlign w:val="center"/>
          </w:tcPr>
          <w:p w14:paraId="5124E3AC" w14:textId="41B977A1" w:rsidR="008A6D2F" w:rsidRPr="00696A00" w:rsidRDefault="006D099C">
            <w:pPr>
              <w:keepNext/>
              <w:spacing w:before="60" w:after="60"/>
              <w:rPr>
                <w:rFonts w:ascii="Arial" w:hAnsi="Arial" w:cs="Arial"/>
                <w:b/>
                <w:bCs/>
                <w:sz w:val="22"/>
                <w:szCs w:val="22"/>
              </w:rPr>
            </w:pPr>
            <w:r>
              <w:rPr>
                <w:rFonts w:ascii="Arial" w:hAnsi="Arial"/>
                <w:b/>
                <w:sz w:val="22"/>
              </w:rPr>
              <w:t xml:space="preserve">Dotation </w:t>
            </w:r>
            <w:r w:rsidR="008A6D2F">
              <w:rPr>
                <w:rFonts w:ascii="Arial" w:hAnsi="Arial"/>
                <w:b/>
                <w:sz w:val="22"/>
              </w:rPr>
              <w:t xml:space="preserve">budgétaire : </w:t>
            </w:r>
            <w:r w:rsidR="00314A7D" w:rsidRPr="00AA34E1">
              <w:rPr>
                <w:rFonts w:ascii="Arial" w:hAnsi="Arial" w:cs="Arial"/>
                <w:b/>
                <w:bCs/>
                <w:sz w:val="22"/>
                <w:szCs w:val="22"/>
              </w:rPr>
              <w:t>143,167</w:t>
            </w:r>
            <w:r w:rsidR="00314A7D" w:rsidRPr="00AA34E1">
              <w:rPr>
                <w:rFonts w:ascii="Arial" w:hAnsi="Arial"/>
                <w:b/>
                <w:sz w:val="22"/>
              </w:rPr>
              <w:t> </w:t>
            </w:r>
            <w:r w:rsidR="008A6D2F" w:rsidRPr="00AA34E1">
              <w:rPr>
                <w:rFonts w:ascii="Arial" w:hAnsi="Arial"/>
                <w:b/>
                <w:sz w:val="22"/>
              </w:rPr>
              <w:t>dollars des États-Unis</w:t>
            </w:r>
          </w:p>
        </w:tc>
      </w:tr>
      <w:tr w:rsidR="008A6D2F" w:rsidRPr="00132152" w14:paraId="7E9D16D9" w14:textId="77777777" w:rsidTr="00F82A28">
        <w:trPr>
          <w:cantSplit/>
        </w:trPr>
        <w:tc>
          <w:tcPr>
            <w:tcW w:w="379" w:type="pct"/>
            <w:shd w:val="clear" w:color="auto" w:fill="F2F2F2" w:themeFill="background1" w:themeFillShade="F2"/>
            <w:vAlign w:val="center"/>
          </w:tcPr>
          <w:p w14:paraId="01354AED" w14:textId="77777777" w:rsidR="008A6D2F" w:rsidRPr="00696A00" w:rsidRDefault="008A6D2F">
            <w:pPr>
              <w:keepNext/>
              <w:spacing w:before="60" w:after="60"/>
              <w:jc w:val="center"/>
              <w:rPr>
                <w:rFonts w:ascii="Arial" w:hAnsi="Arial" w:cs="Arial"/>
                <w:i/>
                <w:iCs/>
                <w:sz w:val="22"/>
                <w:szCs w:val="22"/>
              </w:rPr>
            </w:pPr>
          </w:p>
        </w:tc>
        <w:tc>
          <w:tcPr>
            <w:tcW w:w="2308" w:type="pct"/>
            <w:gridSpan w:val="2"/>
            <w:shd w:val="clear" w:color="auto" w:fill="F2F2F2" w:themeFill="background1" w:themeFillShade="F2"/>
            <w:vAlign w:val="center"/>
          </w:tcPr>
          <w:p w14:paraId="74880DF5" w14:textId="77777777" w:rsidR="008A6D2F" w:rsidRPr="00696A00" w:rsidRDefault="00656462">
            <w:pPr>
              <w:keepNext/>
              <w:spacing w:before="60" w:after="60"/>
              <w:jc w:val="center"/>
              <w:rPr>
                <w:rFonts w:ascii="Arial" w:hAnsi="Arial" w:cs="Arial"/>
                <w:i/>
                <w:iCs/>
                <w:sz w:val="22"/>
                <w:szCs w:val="22"/>
              </w:rPr>
            </w:pPr>
            <w:r>
              <w:rPr>
                <w:rFonts w:ascii="Arial" w:hAnsi="Arial"/>
                <w:i/>
                <w:sz w:val="22"/>
              </w:rPr>
              <w:t>Produits</w:t>
            </w:r>
          </w:p>
        </w:tc>
        <w:tc>
          <w:tcPr>
            <w:tcW w:w="2313" w:type="pct"/>
            <w:shd w:val="clear" w:color="auto" w:fill="F2F2F2" w:themeFill="background1" w:themeFillShade="F2"/>
            <w:vAlign w:val="center"/>
          </w:tcPr>
          <w:p w14:paraId="228C621F" w14:textId="77777777" w:rsidR="008A6D2F" w:rsidRPr="00696A00" w:rsidRDefault="008A6D2F" w:rsidP="00E55EFE">
            <w:pPr>
              <w:keepNext/>
              <w:spacing w:before="60" w:after="60"/>
              <w:jc w:val="center"/>
              <w:rPr>
                <w:rFonts w:ascii="Arial" w:hAnsi="Arial" w:cs="Arial"/>
                <w:i/>
                <w:iCs/>
                <w:sz w:val="22"/>
                <w:szCs w:val="22"/>
              </w:rPr>
            </w:pPr>
            <w:r>
              <w:rPr>
                <w:rFonts w:ascii="Arial" w:hAnsi="Arial"/>
                <w:i/>
                <w:sz w:val="22"/>
              </w:rPr>
              <w:t>Indicateurs (références)</w:t>
            </w:r>
            <w:r>
              <w:rPr>
                <w:rFonts w:ascii="Arial" w:hAnsi="Arial" w:cs="Arial"/>
                <w:i/>
                <w:iCs/>
                <w:sz w:val="22"/>
                <w:szCs w:val="22"/>
              </w:rPr>
              <w:br/>
            </w:r>
            <w:r>
              <w:rPr>
                <w:rFonts w:ascii="Arial" w:hAnsi="Arial"/>
                <w:i/>
                <w:sz w:val="22"/>
              </w:rPr>
              <w:t>Du 1</w:t>
            </w:r>
            <w:r>
              <w:rPr>
                <w:rFonts w:ascii="Arial" w:hAnsi="Arial"/>
                <w:i/>
                <w:sz w:val="22"/>
                <w:vertAlign w:val="superscript"/>
              </w:rPr>
              <w:t>er</w:t>
            </w:r>
            <w:r>
              <w:rPr>
                <w:rFonts w:ascii="Arial" w:hAnsi="Arial"/>
                <w:i/>
                <w:sz w:val="22"/>
              </w:rPr>
              <w:t> janvier 2018 au 30 juin 2018</w:t>
            </w:r>
          </w:p>
        </w:tc>
      </w:tr>
      <w:tr w:rsidR="008A6D2F" w:rsidRPr="00132152" w14:paraId="0D18E5BB" w14:textId="77777777" w:rsidTr="00F82A28">
        <w:trPr>
          <w:cantSplit/>
        </w:trPr>
        <w:tc>
          <w:tcPr>
            <w:tcW w:w="379" w:type="pct"/>
            <w:shd w:val="clear" w:color="auto" w:fill="auto"/>
            <w:vAlign w:val="center"/>
          </w:tcPr>
          <w:p w14:paraId="6B828FFF" w14:textId="032F418B" w:rsidR="008A6D2F" w:rsidRPr="00696A00" w:rsidRDefault="008A6D2F">
            <w:pPr>
              <w:spacing w:before="60" w:after="60"/>
              <w:jc w:val="center"/>
              <w:rPr>
                <w:rFonts w:ascii="Arial" w:hAnsi="Arial" w:cs="Arial"/>
                <w:iCs/>
                <w:sz w:val="22"/>
                <w:szCs w:val="22"/>
              </w:rPr>
            </w:pPr>
            <w:r>
              <w:rPr>
                <w:rFonts w:ascii="Arial" w:hAnsi="Arial"/>
                <w:sz w:val="22"/>
              </w:rPr>
              <w:t>1</w:t>
            </w:r>
            <w:r w:rsidR="00314A7D">
              <w:rPr>
                <w:rFonts w:ascii="Arial" w:hAnsi="Arial"/>
                <w:sz w:val="22"/>
              </w:rPr>
              <w:t>.</w:t>
            </w:r>
            <w:r>
              <w:rPr>
                <w:rFonts w:ascii="Arial" w:hAnsi="Arial"/>
                <w:sz w:val="22"/>
              </w:rPr>
              <w:t>1</w:t>
            </w:r>
          </w:p>
        </w:tc>
        <w:tc>
          <w:tcPr>
            <w:tcW w:w="2308" w:type="pct"/>
            <w:gridSpan w:val="2"/>
            <w:shd w:val="clear" w:color="auto" w:fill="auto"/>
            <w:vAlign w:val="center"/>
          </w:tcPr>
          <w:p w14:paraId="0ADB0B92" w14:textId="45960E4B" w:rsidR="008A6D2F" w:rsidRPr="00696A00" w:rsidRDefault="008C4F24">
            <w:pPr>
              <w:spacing w:before="60" w:after="60"/>
              <w:rPr>
                <w:rFonts w:ascii="Arial" w:hAnsi="Arial" w:cs="Arial"/>
                <w:i/>
                <w:iCs/>
                <w:sz w:val="22"/>
                <w:szCs w:val="22"/>
              </w:rPr>
            </w:pPr>
            <w:r w:rsidRPr="009C7F4B">
              <w:rPr>
                <w:rFonts w:ascii="Arial" w:hAnsi="Arial" w:cs="Arial"/>
                <w:color w:val="000000"/>
                <w:sz w:val="22"/>
                <w:szCs w:val="22"/>
              </w:rPr>
              <w:t>Accès externe et interne à l’information accru et processus, flux de travail et délais de réaction optimisés grâce aux interfaces de suivi</w:t>
            </w:r>
          </w:p>
        </w:tc>
        <w:tc>
          <w:tcPr>
            <w:tcW w:w="2313" w:type="pct"/>
            <w:shd w:val="clear" w:color="auto" w:fill="auto"/>
            <w:vAlign w:val="center"/>
          </w:tcPr>
          <w:p w14:paraId="1057A31A" w14:textId="77777777" w:rsidR="008A6D2F" w:rsidRPr="00696A00" w:rsidRDefault="008A6D2F" w:rsidP="00AC202D">
            <w:pPr>
              <w:pStyle w:val="ListParagraph"/>
              <w:numPr>
                <w:ilvl w:val="0"/>
                <w:numId w:val="6"/>
              </w:numPr>
              <w:spacing w:before="60" w:after="60"/>
              <w:ind w:left="357" w:hanging="357"/>
              <w:contextualSpacing w:val="0"/>
              <w:rPr>
                <w:rFonts w:ascii="Arial" w:hAnsi="Arial" w:cs="Arial"/>
                <w:i/>
                <w:iCs/>
                <w:sz w:val="22"/>
                <w:szCs w:val="22"/>
              </w:rPr>
            </w:pPr>
            <w:r>
              <w:rPr>
                <w:rFonts w:ascii="Arial" w:hAnsi="Arial"/>
                <w:sz w:val="22"/>
              </w:rPr>
              <w:t>Nombre d'</w:t>
            </w:r>
            <w:r>
              <w:rPr>
                <w:rFonts w:ascii="Arial" w:hAnsi="Arial"/>
                <w:color w:val="000000"/>
                <w:sz w:val="22"/>
              </w:rPr>
              <w:t>interfaces de suivi (B = 1)</w:t>
            </w:r>
          </w:p>
        </w:tc>
      </w:tr>
      <w:tr w:rsidR="008A6D2F" w:rsidRPr="00132152" w14:paraId="40ABD043" w14:textId="77777777" w:rsidTr="00F82A28">
        <w:trPr>
          <w:cantSplit/>
        </w:trPr>
        <w:tc>
          <w:tcPr>
            <w:tcW w:w="379" w:type="pct"/>
            <w:shd w:val="clear" w:color="auto" w:fill="auto"/>
            <w:vAlign w:val="center"/>
          </w:tcPr>
          <w:p w14:paraId="0F31DCC7" w14:textId="28AF3DB9" w:rsidR="008A6D2F" w:rsidRPr="00696A00" w:rsidRDefault="008A6D2F">
            <w:pPr>
              <w:spacing w:before="60" w:after="60"/>
              <w:jc w:val="center"/>
              <w:rPr>
                <w:rFonts w:ascii="Arial" w:hAnsi="Arial" w:cs="Arial"/>
                <w:iCs/>
                <w:sz w:val="22"/>
                <w:szCs w:val="22"/>
              </w:rPr>
            </w:pPr>
            <w:r>
              <w:rPr>
                <w:rFonts w:ascii="Arial" w:hAnsi="Arial"/>
                <w:sz w:val="22"/>
              </w:rPr>
              <w:t>1</w:t>
            </w:r>
            <w:r w:rsidR="006D099C">
              <w:rPr>
                <w:rFonts w:ascii="Arial" w:hAnsi="Arial"/>
                <w:sz w:val="22"/>
              </w:rPr>
              <w:t>.</w:t>
            </w:r>
            <w:r>
              <w:rPr>
                <w:rFonts w:ascii="Arial" w:hAnsi="Arial"/>
                <w:sz w:val="22"/>
              </w:rPr>
              <w:t>2</w:t>
            </w:r>
          </w:p>
        </w:tc>
        <w:tc>
          <w:tcPr>
            <w:tcW w:w="2308" w:type="pct"/>
            <w:gridSpan w:val="2"/>
            <w:shd w:val="clear" w:color="auto" w:fill="auto"/>
            <w:vAlign w:val="center"/>
          </w:tcPr>
          <w:p w14:paraId="06EF675C" w14:textId="29FCF1AF" w:rsidR="008A6D2F" w:rsidRPr="00696A00" w:rsidRDefault="008C4F24">
            <w:pPr>
              <w:spacing w:before="60" w:after="60"/>
              <w:rPr>
                <w:rFonts w:ascii="Arial" w:hAnsi="Arial" w:cs="Arial"/>
                <w:i/>
                <w:iCs/>
                <w:sz w:val="22"/>
                <w:szCs w:val="22"/>
              </w:rPr>
            </w:pPr>
            <w:r w:rsidRPr="009C7F4B">
              <w:rPr>
                <w:rFonts w:ascii="Arial" w:hAnsi="Arial" w:cs="Arial"/>
                <w:color w:val="000000"/>
                <w:sz w:val="22"/>
                <w:szCs w:val="22"/>
              </w:rPr>
              <w:t>Accessibilité et facilité d’utilisation des documents et décisions de la Convention améliorées ; meilleure indexation et possibilités de recherche améliorées</w:t>
            </w:r>
          </w:p>
        </w:tc>
        <w:tc>
          <w:tcPr>
            <w:tcW w:w="2313" w:type="pct"/>
            <w:shd w:val="clear" w:color="auto" w:fill="auto"/>
            <w:vAlign w:val="center"/>
          </w:tcPr>
          <w:p w14:paraId="295CD637" w14:textId="67D09F23" w:rsidR="008A6D2F" w:rsidRPr="00696A00" w:rsidRDefault="008A6D2F" w:rsidP="00AC202D">
            <w:pPr>
              <w:pStyle w:val="ListParagraph"/>
              <w:numPr>
                <w:ilvl w:val="0"/>
                <w:numId w:val="6"/>
              </w:numPr>
              <w:spacing w:before="60" w:after="60"/>
              <w:ind w:left="357" w:hanging="357"/>
              <w:contextualSpacing w:val="0"/>
              <w:rPr>
                <w:rFonts w:ascii="Arial" w:hAnsi="Arial" w:cs="Arial"/>
                <w:color w:val="000000"/>
                <w:sz w:val="22"/>
                <w:szCs w:val="22"/>
              </w:rPr>
            </w:pPr>
            <w:r>
              <w:rPr>
                <w:rFonts w:ascii="Arial" w:hAnsi="Arial"/>
                <w:sz w:val="22"/>
              </w:rPr>
              <w:t xml:space="preserve">Nombre de documents </w:t>
            </w:r>
            <w:r w:rsidR="008C4F24">
              <w:rPr>
                <w:rFonts w:ascii="Arial" w:hAnsi="Arial"/>
                <w:sz w:val="22"/>
              </w:rPr>
              <w:t xml:space="preserve">de </w:t>
            </w:r>
            <w:r>
              <w:rPr>
                <w:rFonts w:ascii="Arial" w:hAnsi="Arial"/>
                <w:sz w:val="22"/>
              </w:rPr>
              <w:t xml:space="preserve">décisions supplémentaires chargés dans </w:t>
            </w:r>
            <w:r>
              <w:rPr>
                <w:rFonts w:ascii="Arial" w:hAnsi="Arial"/>
                <w:color w:val="000000"/>
                <w:sz w:val="22"/>
              </w:rPr>
              <w:t>UNESDOC (B = 4)</w:t>
            </w:r>
          </w:p>
          <w:p w14:paraId="6992D2BF" w14:textId="77777777" w:rsidR="008A6D2F" w:rsidRPr="00696A00" w:rsidRDefault="008A6D2F" w:rsidP="00AC202D">
            <w:pPr>
              <w:pStyle w:val="ListParagraph"/>
              <w:numPr>
                <w:ilvl w:val="0"/>
                <w:numId w:val="6"/>
              </w:numPr>
              <w:spacing w:before="60" w:after="60"/>
              <w:ind w:left="357" w:hanging="357"/>
              <w:contextualSpacing w:val="0"/>
              <w:rPr>
                <w:rFonts w:ascii="Arial" w:hAnsi="Arial" w:cs="Arial"/>
                <w:iCs/>
                <w:sz w:val="22"/>
                <w:szCs w:val="22"/>
              </w:rPr>
            </w:pPr>
            <w:r>
              <w:rPr>
                <w:rFonts w:ascii="Arial" w:hAnsi="Arial"/>
                <w:color w:val="000000"/>
                <w:sz w:val="22"/>
              </w:rPr>
              <w:t>Nombre de décisions/résolutions supplémentaires référencées dans le système de gestion des connaissances (B = 70)</w:t>
            </w:r>
          </w:p>
        </w:tc>
      </w:tr>
      <w:tr w:rsidR="008A6D2F" w:rsidRPr="00132152" w14:paraId="00ABC36D" w14:textId="77777777" w:rsidTr="00F82A28">
        <w:trPr>
          <w:cantSplit/>
        </w:trPr>
        <w:tc>
          <w:tcPr>
            <w:tcW w:w="379" w:type="pct"/>
            <w:shd w:val="clear" w:color="auto" w:fill="auto"/>
            <w:vAlign w:val="center"/>
          </w:tcPr>
          <w:p w14:paraId="1A61833E" w14:textId="4975F661" w:rsidR="008A6D2F" w:rsidRPr="00696A00" w:rsidRDefault="008A6D2F">
            <w:pPr>
              <w:spacing w:before="60" w:after="60"/>
              <w:jc w:val="center"/>
              <w:rPr>
                <w:rFonts w:ascii="Arial" w:hAnsi="Arial" w:cs="Arial"/>
                <w:iCs/>
                <w:sz w:val="22"/>
                <w:szCs w:val="22"/>
              </w:rPr>
            </w:pPr>
            <w:r>
              <w:rPr>
                <w:rFonts w:ascii="Arial" w:hAnsi="Arial"/>
                <w:sz w:val="22"/>
              </w:rPr>
              <w:t>1</w:t>
            </w:r>
            <w:r w:rsidR="006D099C">
              <w:rPr>
                <w:rFonts w:ascii="Arial" w:hAnsi="Arial"/>
                <w:sz w:val="22"/>
              </w:rPr>
              <w:t>.</w:t>
            </w:r>
            <w:r>
              <w:rPr>
                <w:rFonts w:ascii="Arial" w:hAnsi="Arial"/>
                <w:sz w:val="22"/>
              </w:rPr>
              <w:t>3</w:t>
            </w:r>
          </w:p>
        </w:tc>
        <w:tc>
          <w:tcPr>
            <w:tcW w:w="2308" w:type="pct"/>
            <w:gridSpan w:val="2"/>
            <w:shd w:val="clear" w:color="auto" w:fill="auto"/>
            <w:vAlign w:val="center"/>
          </w:tcPr>
          <w:p w14:paraId="29F4A064" w14:textId="72839068" w:rsidR="008A6D2F" w:rsidRPr="00696A00" w:rsidRDefault="008C4F24">
            <w:pPr>
              <w:spacing w:before="60" w:after="60"/>
              <w:rPr>
                <w:rFonts w:ascii="Arial" w:hAnsi="Arial" w:cs="Arial"/>
                <w:i/>
                <w:iCs/>
                <w:sz w:val="22"/>
                <w:szCs w:val="22"/>
              </w:rPr>
            </w:pPr>
            <w:r w:rsidRPr="009C7F4B">
              <w:rPr>
                <w:rFonts w:ascii="Arial" w:hAnsi="Arial" w:cs="Arial"/>
                <w:color w:val="000000"/>
                <w:sz w:val="22"/>
                <w:szCs w:val="22"/>
              </w:rPr>
              <w:t>Site web de la Convention renforcé par l’amélioration de la navigation et de l’ergonomie, l’optimisation des moteurs de recherche et des contenus multilingues supplémentaires</w:t>
            </w:r>
          </w:p>
        </w:tc>
        <w:tc>
          <w:tcPr>
            <w:tcW w:w="2313" w:type="pct"/>
            <w:shd w:val="clear" w:color="auto" w:fill="auto"/>
            <w:vAlign w:val="center"/>
          </w:tcPr>
          <w:p w14:paraId="28B9DF04" w14:textId="3C47D49A" w:rsidR="008A6D2F" w:rsidRPr="00696A00" w:rsidRDefault="008C4F24" w:rsidP="00AC202D">
            <w:pPr>
              <w:pStyle w:val="ListParagraph"/>
              <w:numPr>
                <w:ilvl w:val="0"/>
                <w:numId w:val="6"/>
              </w:numPr>
              <w:spacing w:before="60" w:after="60"/>
              <w:ind w:left="357" w:hanging="357"/>
              <w:contextualSpacing w:val="0"/>
              <w:rPr>
                <w:rFonts w:ascii="Arial" w:hAnsi="Arial" w:cs="Arial"/>
                <w:color w:val="000000"/>
                <w:sz w:val="22"/>
                <w:szCs w:val="22"/>
              </w:rPr>
            </w:pPr>
            <w:r w:rsidRPr="009C7F4B">
              <w:rPr>
                <w:rFonts w:ascii="Arial" w:hAnsi="Arial" w:cs="Arial"/>
                <w:color w:val="000000"/>
                <w:sz w:val="22"/>
                <w:szCs w:val="22"/>
              </w:rPr>
              <w:t xml:space="preserve">Nombre de page visitées </w:t>
            </w:r>
            <w:r w:rsidR="008A6D2F">
              <w:rPr>
                <w:rFonts w:ascii="Arial" w:hAnsi="Arial"/>
                <w:color w:val="000000"/>
                <w:sz w:val="22"/>
              </w:rPr>
              <w:t>(B = 1 000 000)</w:t>
            </w:r>
          </w:p>
          <w:p w14:paraId="7DAD6940" w14:textId="2AB3E44D" w:rsidR="008A6D2F" w:rsidRPr="00696A00" w:rsidRDefault="008A6D2F">
            <w:pPr>
              <w:pStyle w:val="ListParagraph"/>
              <w:numPr>
                <w:ilvl w:val="0"/>
                <w:numId w:val="6"/>
              </w:numPr>
              <w:spacing w:before="60" w:after="60"/>
              <w:ind w:left="357" w:hanging="357"/>
              <w:contextualSpacing w:val="0"/>
              <w:rPr>
                <w:rFonts w:ascii="Arial" w:hAnsi="Arial" w:cs="Arial"/>
                <w:iCs/>
                <w:sz w:val="22"/>
                <w:szCs w:val="22"/>
              </w:rPr>
            </w:pPr>
            <w:r>
              <w:rPr>
                <w:rFonts w:ascii="Arial" w:hAnsi="Arial"/>
                <w:color w:val="000000"/>
                <w:sz w:val="22"/>
              </w:rPr>
              <w:t>Nombre de nouvelles pages </w:t>
            </w:r>
            <w:r w:rsidR="008C4F24">
              <w:rPr>
                <w:rFonts w:ascii="Arial" w:hAnsi="Arial"/>
                <w:color w:val="000000"/>
                <w:sz w:val="22"/>
              </w:rPr>
              <w:t>w</w:t>
            </w:r>
            <w:r>
              <w:rPr>
                <w:rFonts w:ascii="Arial" w:hAnsi="Arial"/>
                <w:color w:val="000000"/>
                <w:sz w:val="22"/>
              </w:rPr>
              <w:t>eb publiées en anglais, en français et en espagnol (B = 50)</w:t>
            </w:r>
          </w:p>
        </w:tc>
      </w:tr>
      <w:tr w:rsidR="008A6D2F" w:rsidRPr="00132152" w14:paraId="5801DEEE" w14:textId="77777777" w:rsidTr="00F82A28">
        <w:trPr>
          <w:cantSplit/>
        </w:trPr>
        <w:tc>
          <w:tcPr>
            <w:tcW w:w="379" w:type="pct"/>
            <w:shd w:val="clear" w:color="auto" w:fill="auto"/>
            <w:vAlign w:val="center"/>
          </w:tcPr>
          <w:p w14:paraId="5874D3C9" w14:textId="77777777" w:rsidR="008A6D2F" w:rsidRPr="00696A00" w:rsidRDefault="008A6D2F">
            <w:pPr>
              <w:spacing w:before="60" w:after="60"/>
              <w:jc w:val="center"/>
              <w:rPr>
                <w:rFonts w:ascii="Arial" w:hAnsi="Arial" w:cs="Arial"/>
                <w:iCs/>
                <w:sz w:val="22"/>
                <w:szCs w:val="22"/>
              </w:rPr>
            </w:pPr>
            <w:r>
              <w:rPr>
                <w:rFonts w:ascii="Arial" w:hAnsi="Arial"/>
                <w:sz w:val="22"/>
              </w:rPr>
              <w:t>1.4</w:t>
            </w:r>
          </w:p>
        </w:tc>
        <w:tc>
          <w:tcPr>
            <w:tcW w:w="2308" w:type="pct"/>
            <w:gridSpan w:val="2"/>
            <w:shd w:val="clear" w:color="auto" w:fill="auto"/>
            <w:vAlign w:val="center"/>
          </w:tcPr>
          <w:p w14:paraId="14ED9FCA" w14:textId="77777777" w:rsidR="008A6D2F" w:rsidRPr="00696A00" w:rsidRDefault="00E55EFE">
            <w:pPr>
              <w:spacing w:before="60" w:after="60"/>
              <w:rPr>
                <w:rFonts w:ascii="Arial" w:hAnsi="Arial" w:cs="Arial"/>
                <w:color w:val="000000"/>
                <w:sz w:val="22"/>
                <w:szCs w:val="22"/>
              </w:rPr>
            </w:pPr>
            <w:r>
              <w:rPr>
                <w:rFonts w:ascii="Arial" w:hAnsi="Arial"/>
                <w:sz w:val="22"/>
              </w:rPr>
              <w:t>Cadre global de résultats pour la Convention complété</w:t>
            </w:r>
          </w:p>
        </w:tc>
        <w:tc>
          <w:tcPr>
            <w:tcW w:w="2313" w:type="pct"/>
            <w:shd w:val="clear" w:color="auto" w:fill="auto"/>
            <w:vAlign w:val="center"/>
          </w:tcPr>
          <w:p w14:paraId="7B17B82F" w14:textId="77777777" w:rsidR="008A6D2F" w:rsidRPr="00696A00" w:rsidRDefault="00656462" w:rsidP="00AC202D">
            <w:pPr>
              <w:pStyle w:val="ListParagraph"/>
              <w:numPr>
                <w:ilvl w:val="0"/>
                <w:numId w:val="6"/>
              </w:numPr>
              <w:spacing w:before="60" w:after="60"/>
              <w:ind w:left="357" w:hanging="357"/>
              <w:contextualSpacing w:val="0"/>
              <w:rPr>
                <w:rFonts w:ascii="Arial" w:hAnsi="Arial" w:cs="Arial"/>
                <w:color w:val="000000"/>
                <w:sz w:val="22"/>
                <w:szCs w:val="22"/>
              </w:rPr>
            </w:pPr>
            <w:r>
              <w:rPr>
                <w:rFonts w:ascii="Arial" w:hAnsi="Arial"/>
                <w:sz w:val="22"/>
              </w:rPr>
              <w:t>Nombre de notes d'orientation élaborées pour contribuer à la collecte des informations appropriées pour chaque indicateur du cadre de résultats (B = 10)</w:t>
            </w:r>
          </w:p>
        </w:tc>
      </w:tr>
    </w:tbl>
    <w:p w14:paraId="5AD2340A" w14:textId="77777777" w:rsidR="008A6D2F" w:rsidRPr="002B119A" w:rsidRDefault="008A6D2F"/>
    <w:tbl>
      <w:tblPr>
        <w:tblStyle w:val="TableGrid"/>
        <w:tblW w:w="5000" w:type="pct"/>
        <w:tblLook w:val="04A0" w:firstRow="1" w:lastRow="0" w:firstColumn="1" w:lastColumn="0" w:noHBand="0" w:noVBand="1"/>
      </w:tblPr>
      <w:tblGrid>
        <w:gridCol w:w="699"/>
        <w:gridCol w:w="1564"/>
        <w:gridCol w:w="2900"/>
        <w:gridCol w:w="4465"/>
      </w:tblGrid>
      <w:tr w:rsidR="008A6D2F" w:rsidRPr="00132152" w14:paraId="738BF176" w14:textId="77777777" w:rsidTr="00F82A28">
        <w:trPr>
          <w:cantSplit/>
        </w:trPr>
        <w:tc>
          <w:tcPr>
            <w:tcW w:w="1175" w:type="pct"/>
            <w:gridSpan w:val="2"/>
            <w:shd w:val="clear" w:color="auto" w:fill="808080" w:themeFill="background1" w:themeFillShade="80"/>
            <w:vAlign w:val="center"/>
          </w:tcPr>
          <w:p w14:paraId="4D234CD5" w14:textId="524A14F8" w:rsidR="008A6D2F" w:rsidRPr="00696A00" w:rsidRDefault="008A6D2F">
            <w:pPr>
              <w:keepNext/>
              <w:spacing w:before="120" w:after="120"/>
              <w:rPr>
                <w:rFonts w:ascii="Arial" w:hAnsi="Arial" w:cs="Arial"/>
                <w:b/>
                <w:bCs/>
                <w:color w:val="FFFFFF" w:themeColor="background1"/>
                <w:sz w:val="22"/>
                <w:szCs w:val="22"/>
              </w:rPr>
            </w:pPr>
            <w:r>
              <w:rPr>
                <w:rFonts w:ascii="Arial" w:hAnsi="Arial"/>
                <w:b/>
                <w:color w:val="FFFFFF" w:themeColor="background1"/>
                <w:sz w:val="22"/>
              </w:rPr>
              <w:lastRenderedPageBreak/>
              <w:t>Projet</w:t>
            </w:r>
            <w:r w:rsidR="00AC65B8">
              <w:rPr>
                <w:rFonts w:ascii="Arial" w:hAnsi="Arial"/>
                <w:b/>
                <w:color w:val="FFFFFF" w:themeColor="background1"/>
                <w:sz w:val="22"/>
              </w:rPr>
              <w:t xml:space="preserve"> de </w:t>
            </w:r>
            <w:r>
              <w:rPr>
                <w:rFonts w:ascii="Arial" w:hAnsi="Arial"/>
                <w:b/>
                <w:color w:val="FFFFFF" w:themeColor="background1"/>
                <w:sz w:val="22"/>
              </w:rPr>
              <w:t>39 C/5 Indicateur de performance 2</w:t>
            </w:r>
          </w:p>
        </w:tc>
        <w:tc>
          <w:tcPr>
            <w:tcW w:w="3825" w:type="pct"/>
            <w:gridSpan w:val="2"/>
            <w:shd w:val="clear" w:color="auto" w:fill="808080" w:themeFill="background1" w:themeFillShade="80"/>
            <w:vAlign w:val="center"/>
          </w:tcPr>
          <w:p w14:paraId="5E47621E" w14:textId="7F13545E" w:rsidR="008A6D2F" w:rsidRPr="00696A00" w:rsidRDefault="00045281">
            <w:pPr>
              <w:keepNext/>
              <w:spacing w:before="120" w:after="120"/>
              <w:rPr>
                <w:rFonts w:ascii="Arial" w:hAnsi="Arial" w:cs="Arial"/>
                <w:b/>
                <w:bCs/>
                <w:color w:val="FFFFFF" w:themeColor="background1"/>
                <w:sz w:val="22"/>
                <w:szCs w:val="22"/>
              </w:rPr>
            </w:pPr>
            <w:r w:rsidRPr="00AA34E1">
              <w:rPr>
                <w:rFonts w:ascii="Arial" w:hAnsi="Arial"/>
                <w:b/>
                <w:color w:val="FFFFFF" w:themeColor="background1"/>
                <w:sz w:val="22"/>
              </w:rPr>
              <w:t xml:space="preserve">Nombre d’États membres aidés qui utilisent des ressources humaines et </w:t>
            </w:r>
            <w:r w:rsidR="00572C2B">
              <w:rPr>
                <w:rFonts w:ascii="Arial" w:hAnsi="Arial"/>
                <w:b/>
                <w:color w:val="FFFFFF" w:themeColor="background1"/>
                <w:sz w:val="22"/>
              </w:rPr>
              <w:t>institutionnelles</w:t>
            </w:r>
            <w:r w:rsidRPr="00AA34E1">
              <w:rPr>
                <w:rFonts w:ascii="Arial" w:hAnsi="Arial"/>
                <w:b/>
                <w:color w:val="FFFFFF" w:themeColor="background1"/>
                <w:sz w:val="22"/>
              </w:rPr>
              <w:t xml:space="preserve"> renforcées pour la sauvegarde du patrimoine culturel immatériel</w:t>
            </w:r>
          </w:p>
        </w:tc>
      </w:tr>
      <w:tr w:rsidR="008A6D2F" w:rsidRPr="00132152" w14:paraId="2FF7A29E" w14:textId="77777777" w:rsidTr="00F82A28">
        <w:trPr>
          <w:cantSplit/>
        </w:trPr>
        <w:tc>
          <w:tcPr>
            <w:tcW w:w="1175" w:type="pct"/>
            <w:gridSpan w:val="2"/>
            <w:vMerge w:val="restart"/>
            <w:shd w:val="clear" w:color="auto" w:fill="F2F2F2" w:themeFill="background1" w:themeFillShade="F2"/>
            <w:vAlign w:val="center"/>
          </w:tcPr>
          <w:p w14:paraId="5ABB3087" w14:textId="23989808" w:rsidR="008A6D2F" w:rsidRPr="00696A00" w:rsidRDefault="006D099C">
            <w:pPr>
              <w:keepNext/>
              <w:spacing w:before="60" w:after="60"/>
              <w:rPr>
                <w:rFonts w:ascii="Arial" w:hAnsi="Arial" w:cs="Arial"/>
                <w:b/>
                <w:bCs/>
                <w:sz w:val="22"/>
                <w:szCs w:val="22"/>
              </w:rPr>
            </w:pPr>
            <w:r>
              <w:rPr>
                <w:rFonts w:ascii="Arial" w:hAnsi="Arial"/>
                <w:b/>
                <w:sz w:val="22"/>
              </w:rPr>
              <w:t xml:space="preserve">Résultat escompté 2 du </w:t>
            </w:r>
            <w:r w:rsidR="008A6D2F">
              <w:rPr>
                <w:rFonts w:ascii="Arial" w:hAnsi="Arial"/>
                <w:b/>
                <w:sz w:val="22"/>
              </w:rPr>
              <w:t xml:space="preserve">Fonds du PCI </w:t>
            </w:r>
          </w:p>
          <w:p w14:paraId="5A41A433" w14:textId="77777777" w:rsidR="008A6D2F" w:rsidRPr="00696A00" w:rsidRDefault="008A6D2F">
            <w:pPr>
              <w:keepNext/>
              <w:spacing w:before="60" w:after="60"/>
              <w:rPr>
                <w:rFonts w:ascii="Arial" w:hAnsi="Arial" w:cs="Arial"/>
                <w:b/>
                <w:bCs/>
                <w:sz w:val="22"/>
                <w:szCs w:val="22"/>
              </w:rPr>
            </w:pPr>
          </w:p>
        </w:tc>
        <w:tc>
          <w:tcPr>
            <w:tcW w:w="3825" w:type="pct"/>
            <w:gridSpan w:val="2"/>
            <w:shd w:val="clear" w:color="auto" w:fill="F2F2F2" w:themeFill="background1" w:themeFillShade="F2"/>
            <w:vAlign w:val="center"/>
          </w:tcPr>
          <w:p w14:paraId="23452DB8" w14:textId="30CA73BD" w:rsidR="008A6D2F" w:rsidRPr="00696A00" w:rsidRDefault="006D099C">
            <w:pPr>
              <w:keepNext/>
              <w:spacing w:before="60" w:after="60"/>
              <w:rPr>
                <w:rFonts w:ascii="Arial" w:hAnsi="Arial" w:cs="Arial"/>
                <w:b/>
                <w:bCs/>
                <w:sz w:val="22"/>
                <w:szCs w:val="22"/>
              </w:rPr>
            </w:pPr>
            <w:r w:rsidRPr="00AA34E1">
              <w:rPr>
                <w:rFonts w:ascii="Arial" w:hAnsi="Arial"/>
                <w:b/>
                <w:sz w:val="22"/>
              </w:rPr>
              <w:t>Mise en œuvre de la Convention dans les États membres encouragée par un programme de renforcement de capacités consolidé et des conseils sur des mesures de sauvegarde et des bonnes pratiques</w:t>
            </w:r>
          </w:p>
        </w:tc>
      </w:tr>
      <w:tr w:rsidR="008A6D2F" w:rsidRPr="00696A00" w14:paraId="742F311F" w14:textId="77777777" w:rsidTr="00F82A28">
        <w:trPr>
          <w:cantSplit/>
        </w:trPr>
        <w:tc>
          <w:tcPr>
            <w:tcW w:w="1175" w:type="pct"/>
            <w:gridSpan w:val="2"/>
            <w:vMerge/>
            <w:shd w:val="clear" w:color="auto" w:fill="F2F2F2" w:themeFill="background1" w:themeFillShade="F2"/>
            <w:vAlign w:val="center"/>
          </w:tcPr>
          <w:p w14:paraId="4A2658C5" w14:textId="77777777" w:rsidR="008A6D2F" w:rsidRPr="00696A00" w:rsidRDefault="008A6D2F">
            <w:pPr>
              <w:keepNext/>
              <w:spacing w:before="60" w:after="60"/>
              <w:rPr>
                <w:rFonts w:ascii="Arial" w:hAnsi="Arial" w:cs="Arial"/>
                <w:b/>
                <w:bCs/>
                <w:sz w:val="22"/>
                <w:szCs w:val="22"/>
              </w:rPr>
            </w:pPr>
          </w:p>
        </w:tc>
        <w:tc>
          <w:tcPr>
            <w:tcW w:w="3825" w:type="pct"/>
            <w:gridSpan w:val="2"/>
            <w:shd w:val="clear" w:color="auto" w:fill="F2F2F2" w:themeFill="background1" w:themeFillShade="F2"/>
            <w:vAlign w:val="center"/>
          </w:tcPr>
          <w:p w14:paraId="3C286172" w14:textId="1BA1A89C" w:rsidR="008A6D2F" w:rsidRPr="00696A00" w:rsidRDefault="006D099C">
            <w:pPr>
              <w:keepNext/>
              <w:spacing w:before="60" w:after="60"/>
              <w:rPr>
                <w:rFonts w:ascii="Arial" w:hAnsi="Arial" w:cs="Arial"/>
                <w:b/>
                <w:bCs/>
                <w:sz w:val="22"/>
                <w:szCs w:val="22"/>
              </w:rPr>
            </w:pPr>
            <w:r>
              <w:rPr>
                <w:rFonts w:ascii="Arial" w:hAnsi="Arial"/>
                <w:b/>
                <w:sz w:val="22"/>
              </w:rPr>
              <w:t xml:space="preserve">Dotation </w:t>
            </w:r>
            <w:r w:rsidR="008A6D2F">
              <w:rPr>
                <w:rFonts w:ascii="Arial" w:hAnsi="Arial"/>
                <w:b/>
                <w:sz w:val="22"/>
              </w:rPr>
              <w:t xml:space="preserve">budgétaire : </w:t>
            </w:r>
            <w:r w:rsidRPr="00AA34E1">
              <w:rPr>
                <w:rFonts w:ascii="Arial" w:hAnsi="Arial" w:cs="Arial"/>
                <w:b/>
                <w:bCs/>
                <w:sz w:val="22"/>
                <w:szCs w:val="22"/>
              </w:rPr>
              <w:t>131,236</w:t>
            </w:r>
            <w:r w:rsidR="008A6D2F" w:rsidRPr="00AA34E1">
              <w:rPr>
                <w:rFonts w:ascii="Arial" w:hAnsi="Arial"/>
                <w:b/>
                <w:sz w:val="22"/>
              </w:rPr>
              <w:t> dollars des États-Unis</w:t>
            </w:r>
          </w:p>
        </w:tc>
      </w:tr>
      <w:tr w:rsidR="008A6D2F" w:rsidRPr="00132152" w14:paraId="5362AFA4" w14:textId="77777777" w:rsidTr="00F82A28">
        <w:trPr>
          <w:cantSplit/>
        </w:trPr>
        <w:tc>
          <w:tcPr>
            <w:tcW w:w="363" w:type="pct"/>
            <w:shd w:val="clear" w:color="auto" w:fill="F2F2F2" w:themeFill="background1" w:themeFillShade="F2"/>
            <w:vAlign w:val="center"/>
          </w:tcPr>
          <w:p w14:paraId="517C62E1" w14:textId="77777777" w:rsidR="008A6D2F" w:rsidRPr="00696A00" w:rsidRDefault="008A6D2F">
            <w:pPr>
              <w:keepNext/>
              <w:spacing w:before="60" w:after="60"/>
              <w:jc w:val="right"/>
              <w:rPr>
                <w:rFonts w:ascii="Arial" w:hAnsi="Arial" w:cs="Arial"/>
                <w:i/>
                <w:iCs/>
                <w:sz w:val="22"/>
                <w:szCs w:val="22"/>
              </w:rPr>
            </w:pPr>
          </w:p>
        </w:tc>
        <w:tc>
          <w:tcPr>
            <w:tcW w:w="2318" w:type="pct"/>
            <w:gridSpan w:val="2"/>
            <w:shd w:val="clear" w:color="auto" w:fill="F2F2F2" w:themeFill="background1" w:themeFillShade="F2"/>
            <w:vAlign w:val="center"/>
          </w:tcPr>
          <w:p w14:paraId="2BEA2BE1" w14:textId="23CE218B" w:rsidR="008A6D2F" w:rsidRPr="00696A00" w:rsidRDefault="00656462">
            <w:pPr>
              <w:keepNext/>
              <w:spacing w:before="60" w:after="60"/>
              <w:jc w:val="center"/>
              <w:rPr>
                <w:rFonts w:ascii="Arial" w:hAnsi="Arial" w:cs="Arial"/>
                <w:i/>
                <w:iCs/>
                <w:sz w:val="22"/>
                <w:szCs w:val="22"/>
              </w:rPr>
            </w:pPr>
            <w:r>
              <w:rPr>
                <w:rFonts w:ascii="Arial" w:hAnsi="Arial"/>
                <w:i/>
                <w:sz w:val="22"/>
              </w:rPr>
              <w:t>Produits</w:t>
            </w:r>
          </w:p>
        </w:tc>
        <w:tc>
          <w:tcPr>
            <w:tcW w:w="2319" w:type="pct"/>
            <w:shd w:val="clear" w:color="auto" w:fill="F2F2F2" w:themeFill="background1" w:themeFillShade="F2"/>
            <w:vAlign w:val="center"/>
          </w:tcPr>
          <w:p w14:paraId="51A21DEB" w14:textId="77777777" w:rsidR="008A6D2F" w:rsidRPr="00696A00" w:rsidRDefault="008A6D2F">
            <w:pPr>
              <w:keepNext/>
              <w:spacing w:before="60" w:after="60"/>
              <w:jc w:val="center"/>
              <w:rPr>
                <w:rFonts w:ascii="Arial" w:hAnsi="Arial" w:cs="Arial"/>
                <w:i/>
                <w:iCs/>
                <w:sz w:val="22"/>
                <w:szCs w:val="22"/>
              </w:rPr>
            </w:pPr>
            <w:r>
              <w:rPr>
                <w:rFonts w:ascii="Arial" w:hAnsi="Arial"/>
                <w:i/>
                <w:sz w:val="22"/>
              </w:rPr>
              <w:t>Indicateurs (références)</w:t>
            </w:r>
            <w:r>
              <w:rPr>
                <w:rFonts w:ascii="Arial" w:hAnsi="Arial" w:cs="Arial"/>
                <w:i/>
                <w:iCs/>
                <w:sz w:val="22"/>
                <w:szCs w:val="22"/>
              </w:rPr>
              <w:br/>
            </w:r>
            <w:r>
              <w:rPr>
                <w:rFonts w:ascii="Arial" w:hAnsi="Arial"/>
                <w:i/>
                <w:sz w:val="22"/>
              </w:rPr>
              <w:t>Du 1</w:t>
            </w:r>
            <w:r>
              <w:rPr>
                <w:rFonts w:ascii="Arial" w:hAnsi="Arial"/>
                <w:i/>
                <w:sz w:val="22"/>
                <w:vertAlign w:val="superscript"/>
              </w:rPr>
              <w:t>er</w:t>
            </w:r>
            <w:r>
              <w:rPr>
                <w:rFonts w:ascii="Arial" w:hAnsi="Arial"/>
                <w:i/>
                <w:sz w:val="22"/>
              </w:rPr>
              <w:t> janvier 2018 au 30 juin 2018</w:t>
            </w:r>
          </w:p>
        </w:tc>
      </w:tr>
      <w:tr w:rsidR="008A6D2F" w:rsidRPr="00132152" w14:paraId="61D7203D" w14:textId="77777777" w:rsidTr="00F82A28">
        <w:trPr>
          <w:cantSplit/>
        </w:trPr>
        <w:tc>
          <w:tcPr>
            <w:tcW w:w="363" w:type="pct"/>
            <w:shd w:val="clear" w:color="auto" w:fill="auto"/>
            <w:vAlign w:val="center"/>
          </w:tcPr>
          <w:p w14:paraId="0BF8F64E" w14:textId="77777777" w:rsidR="008A6D2F" w:rsidRPr="00696A00" w:rsidRDefault="008A6D2F">
            <w:pPr>
              <w:spacing w:before="60" w:after="60"/>
              <w:jc w:val="center"/>
              <w:rPr>
                <w:rFonts w:ascii="Arial" w:hAnsi="Arial" w:cs="Arial"/>
                <w:iCs/>
                <w:sz w:val="22"/>
                <w:szCs w:val="22"/>
              </w:rPr>
            </w:pPr>
            <w:r>
              <w:rPr>
                <w:rFonts w:ascii="Arial" w:hAnsi="Arial"/>
                <w:sz w:val="22"/>
              </w:rPr>
              <w:t>2.1</w:t>
            </w:r>
          </w:p>
        </w:tc>
        <w:tc>
          <w:tcPr>
            <w:tcW w:w="2318" w:type="pct"/>
            <w:gridSpan w:val="2"/>
            <w:shd w:val="clear" w:color="auto" w:fill="auto"/>
            <w:vAlign w:val="center"/>
          </w:tcPr>
          <w:p w14:paraId="690DCC00" w14:textId="35E9A62A" w:rsidR="008A6D2F" w:rsidRPr="00696A00" w:rsidRDefault="007D09F3">
            <w:pPr>
              <w:spacing w:before="60" w:after="60"/>
              <w:rPr>
                <w:rFonts w:ascii="Arial" w:hAnsi="Arial" w:cs="Arial"/>
                <w:i/>
                <w:iCs/>
                <w:sz w:val="22"/>
                <w:szCs w:val="22"/>
              </w:rPr>
            </w:pPr>
            <w:r w:rsidRPr="009C7F4B">
              <w:rPr>
                <w:rFonts w:ascii="Arial" w:hAnsi="Arial" w:cs="Arial"/>
                <w:sz w:val="22"/>
                <w:szCs w:val="22"/>
              </w:rPr>
              <w:t>Réseau de facilitateurs renforcé</w:t>
            </w:r>
          </w:p>
        </w:tc>
        <w:tc>
          <w:tcPr>
            <w:tcW w:w="2319" w:type="pct"/>
            <w:shd w:val="clear" w:color="auto" w:fill="auto"/>
            <w:vAlign w:val="center"/>
          </w:tcPr>
          <w:p w14:paraId="515808A5" w14:textId="77FA06F0" w:rsidR="008A6D2F" w:rsidRPr="00696A00" w:rsidRDefault="007D09F3" w:rsidP="00AC202D">
            <w:pPr>
              <w:pStyle w:val="ListParagraph"/>
              <w:numPr>
                <w:ilvl w:val="0"/>
                <w:numId w:val="6"/>
              </w:numPr>
              <w:spacing w:before="60" w:after="60"/>
              <w:ind w:left="357" w:hanging="357"/>
              <w:contextualSpacing w:val="0"/>
              <w:rPr>
                <w:rFonts w:ascii="Arial" w:hAnsi="Arial" w:cs="Arial"/>
                <w:sz w:val="22"/>
                <w:szCs w:val="22"/>
              </w:rPr>
            </w:pPr>
            <w:r w:rsidRPr="009C7F4B">
              <w:rPr>
                <w:rFonts w:ascii="Arial" w:hAnsi="Arial" w:cs="Arial"/>
                <w:sz w:val="22"/>
                <w:szCs w:val="22"/>
              </w:rPr>
              <w:t>Ateliers régionaux pour former des facilitateurs et mettre à niveau leurs compétences</w:t>
            </w:r>
            <w:r w:rsidR="008A6D2F">
              <w:rPr>
                <w:rFonts w:ascii="Arial" w:hAnsi="Arial" w:cs="Arial"/>
                <w:sz w:val="22"/>
                <w:szCs w:val="22"/>
              </w:rPr>
              <w:br/>
            </w:r>
            <w:r w:rsidR="008A6D2F">
              <w:rPr>
                <w:rFonts w:ascii="Arial" w:hAnsi="Arial"/>
                <w:sz w:val="22"/>
              </w:rPr>
              <w:t xml:space="preserve">(B = 1, </w:t>
            </w:r>
            <w:r w:rsidRPr="009C7F4B">
              <w:rPr>
                <w:rFonts w:ascii="Arial" w:hAnsi="Arial" w:cs="Arial"/>
                <w:sz w:val="22"/>
                <w:szCs w:val="22"/>
              </w:rPr>
              <w:t>subordonnés au soutien d’un pays-hôte ou d’un partenaire</w:t>
            </w:r>
            <w:r w:rsidR="008A6D2F">
              <w:rPr>
                <w:rFonts w:ascii="Arial" w:hAnsi="Arial"/>
                <w:sz w:val="22"/>
              </w:rPr>
              <w:t>)</w:t>
            </w:r>
          </w:p>
          <w:p w14:paraId="39508A51" w14:textId="046EBD87" w:rsidR="008A6D2F" w:rsidRPr="00696A00" w:rsidRDefault="007D09F3" w:rsidP="00AC202D">
            <w:pPr>
              <w:pStyle w:val="ListParagraph"/>
              <w:numPr>
                <w:ilvl w:val="0"/>
                <w:numId w:val="6"/>
              </w:numPr>
              <w:spacing w:before="60" w:after="60"/>
              <w:ind w:left="357" w:hanging="357"/>
              <w:contextualSpacing w:val="0"/>
              <w:rPr>
                <w:rFonts w:ascii="Arial" w:hAnsi="Arial" w:cs="Arial"/>
                <w:iCs/>
                <w:sz w:val="22"/>
                <w:szCs w:val="22"/>
              </w:rPr>
            </w:pPr>
            <w:r w:rsidRPr="009C7F4B">
              <w:rPr>
                <w:rFonts w:ascii="Arial" w:hAnsi="Arial" w:cs="Arial"/>
                <w:sz w:val="22"/>
                <w:szCs w:val="22"/>
              </w:rPr>
              <w:t>Fonctionnalités informatiques mises à jour pour le programme de renforcement des capacités</w:t>
            </w:r>
            <w:r w:rsidR="008A6D2F">
              <w:rPr>
                <w:rFonts w:ascii="Arial" w:hAnsi="Arial"/>
                <w:sz w:val="22"/>
              </w:rPr>
              <w:t xml:space="preserve"> (B = 1)</w:t>
            </w:r>
          </w:p>
        </w:tc>
      </w:tr>
      <w:tr w:rsidR="008A6D2F" w:rsidRPr="00132152" w14:paraId="1DE33CBE" w14:textId="77777777" w:rsidTr="00F82A28">
        <w:trPr>
          <w:cantSplit/>
        </w:trPr>
        <w:tc>
          <w:tcPr>
            <w:tcW w:w="363" w:type="pct"/>
            <w:shd w:val="clear" w:color="auto" w:fill="auto"/>
            <w:vAlign w:val="center"/>
          </w:tcPr>
          <w:p w14:paraId="14FCA3B2" w14:textId="77777777" w:rsidR="008A6D2F" w:rsidRPr="00696A00" w:rsidRDefault="008A6D2F">
            <w:pPr>
              <w:spacing w:before="60" w:after="60"/>
              <w:jc w:val="center"/>
              <w:rPr>
                <w:rFonts w:ascii="Arial" w:hAnsi="Arial" w:cs="Arial"/>
                <w:iCs/>
                <w:sz w:val="22"/>
                <w:szCs w:val="22"/>
              </w:rPr>
            </w:pPr>
            <w:r>
              <w:rPr>
                <w:rFonts w:ascii="Arial" w:hAnsi="Arial"/>
                <w:sz w:val="22"/>
              </w:rPr>
              <w:t>2.2</w:t>
            </w:r>
          </w:p>
        </w:tc>
        <w:tc>
          <w:tcPr>
            <w:tcW w:w="2318" w:type="pct"/>
            <w:gridSpan w:val="2"/>
            <w:shd w:val="clear" w:color="auto" w:fill="auto"/>
            <w:vAlign w:val="center"/>
          </w:tcPr>
          <w:p w14:paraId="3B20ADD8" w14:textId="183742E1" w:rsidR="008A6D2F" w:rsidRPr="00696A00" w:rsidRDefault="007D09F3">
            <w:pPr>
              <w:spacing w:before="60" w:after="60"/>
              <w:rPr>
                <w:rFonts w:ascii="Arial" w:hAnsi="Arial" w:cs="Arial"/>
                <w:i/>
                <w:iCs/>
                <w:sz w:val="22"/>
                <w:szCs w:val="22"/>
              </w:rPr>
            </w:pPr>
            <w:r w:rsidRPr="009C7F4B">
              <w:rPr>
                <w:rFonts w:ascii="Arial" w:hAnsi="Arial" w:cs="Arial"/>
                <w:color w:val="000000"/>
                <w:sz w:val="22"/>
                <w:szCs w:val="22"/>
              </w:rPr>
              <w:t>Contenu et format du programme de renforcement de capacités revus et adaptés pour répondre aux principaux défis de mise en œuvre</w:t>
            </w:r>
          </w:p>
        </w:tc>
        <w:tc>
          <w:tcPr>
            <w:tcW w:w="2319" w:type="pct"/>
            <w:shd w:val="clear" w:color="auto" w:fill="auto"/>
            <w:vAlign w:val="center"/>
          </w:tcPr>
          <w:p w14:paraId="6FBA0A90" w14:textId="1B0D79F9" w:rsidR="008A6D2F" w:rsidRPr="00696A00" w:rsidRDefault="008A6D2F" w:rsidP="00AC202D">
            <w:pPr>
              <w:pStyle w:val="ListParagraph"/>
              <w:numPr>
                <w:ilvl w:val="0"/>
                <w:numId w:val="6"/>
              </w:numPr>
              <w:spacing w:before="60" w:after="60"/>
              <w:ind w:left="357" w:hanging="357"/>
              <w:contextualSpacing w:val="0"/>
              <w:rPr>
                <w:rFonts w:ascii="Arial" w:hAnsi="Arial" w:cs="Arial"/>
                <w:sz w:val="22"/>
                <w:szCs w:val="22"/>
              </w:rPr>
            </w:pPr>
            <w:r>
              <w:rPr>
                <w:rFonts w:ascii="Arial" w:hAnsi="Arial"/>
                <w:sz w:val="22"/>
              </w:rPr>
              <w:t xml:space="preserve">Nouveau contenu </w:t>
            </w:r>
            <w:r w:rsidR="007D09F3">
              <w:rPr>
                <w:rFonts w:ascii="Arial" w:hAnsi="Arial"/>
                <w:sz w:val="22"/>
              </w:rPr>
              <w:t xml:space="preserve">de formation </w:t>
            </w:r>
            <w:r>
              <w:rPr>
                <w:rFonts w:ascii="Arial" w:hAnsi="Arial"/>
                <w:sz w:val="22"/>
              </w:rPr>
              <w:t>traduit et disponible en deux langues (B = 2)</w:t>
            </w:r>
          </w:p>
          <w:p w14:paraId="4F342103" w14:textId="6F0CFCD4" w:rsidR="008A6D2F" w:rsidRPr="00696A00" w:rsidRDefault="007D09F3" w:rsidP="00AC202D">
            <w:pPr>
              <w:pStyle w:val="ListParagraph"/>
              <w:numPr>
                <w:ilvl w:val="0"/>
                <w:numId w:val="6"/>
              </w:numPr>
              <w:spacing w:before="60" w:after="60"/>
              <w:ind w:left="357" w:hanging="357"/>
              <w:contextualSpacing w:val="0"/>
              <w:rPr>
                <w:rFonts w:ascii="Arial" w:hAnsi="Arial" w:cs="Arial"/>
                <w:iCs/>
                <w:sz w:val="22"/>
                <w:szCs w:val="22"/>
              </w:rPr>
            </w:pPr>
            <w:r w:rsidRPr="009C7F4B">
              <w:rPr>
                <w:rFonts w:ascii="Arial" w:hAnsi="Arial" w:cs="Arial"/>
                <w:sz w:val="22"/>
                <w:szCs w:val="22"/>
              </w:rPr>
              <w:t>Fonctionnalités informatiques mises à jour pour le programme de renforcement des capacités</w:t>
            </w:r>
            <w:r w:rsidDel="007D09F3">
              <w:rPr>
                <w:rFonts w:ascii="Arial" w:hAnsi="Arial"/>
                <w:sz w:val="22"/>
              </w:rPr>
              <w:t xml:space="preserve"> </w:t>
            </w:r>
            <w:r w:rsidR="008A6D2F">
              <w:rPr>
                <w:rFonts w:ascii="Arial" w:hAnsi="Arial"/>
                <w:sz w:val="22"/>
              </w:rPr>
              <w:t>(B = 1)</w:t>
            </w:r>
          </w:p>
        </w:tc>
      </w:tr>
      <w:tr w:rsidR="008A6D2F" w:rsidRPr="00132152" w14:paraId="6FCE5B0F" w14:textId="77777777" w:rsidTr="00F82A28">
        <w:trPr>
          <w:cantSplit/>
        </w:trPr>
        <w:tc>
          <w:tcPr>
            <w:tcW w:w="363" w:type="pct"/>
            <w:shd w:val="clear" w:color="auto" w:fill="auto"/>
            <w:vAlign w:val="center"/>
          </w:tcPr>
          <w:p w14:paraId="319E17E5" w14:textId="77777777" w:rsidR="008A6D2F" w:rsidRPr="00696A00" w:rsidRDefault="008A6D2F">
            <w:pPr>
              <w:spacing w:before="60" w:after="60"/>
              <w:jc w:val="center"/>
              <w:rPr>
                <w:rFonts w:ascii="Arial" w:hAnsi="Arial" w:cs="Arial"/>
                <w:iCs/>
                <w:sz w:val="22"/>
                <w:szCs w:val="22"/>
              </w:rPr>
            </w:pPr>
            <w:r>
              <w:rPr>
                <w:rFonts w:ascii="Arial" w:hAnsi="Arial"/>
                <w:sz w:val="22"/>
              </w:rPr>
              <w:t>2.3</w:t>
            </w:r>
          </w:p>
        </w:tc>
        <w:tc>
          <w:tcPr>
            <w:tcW w:w="2318" w:type="pct"/>
            <w:gridSpan w:val="2"/>
            <w:shd w:val="clear" w:color="auto" w:fill="auto"/>
            <w:vAlign w:val="center"/>
          </w:tcPr>
          <w:p w14:paraId="190781FD" w14:textId="666AF5FD" w:rsidR="008A6D2F" w:rsidRPr="00696A00" w:rsidRDefault="007D09F3">
            <w:pPr>
              <w:spacing w:before="60" w:after="60"/>
              <w:rPr>
                <w:rFonts w:ascii="Arial" w:hAnsi="Arial" w:cs="Arial"/>
                <w:i/>
                <w:iCs/>
                <w:sz w:val="22"/>
                <w:szCs w:val="22"/>
              </w:rPr>
            </w:pPr>
            <w:r w:rsidRPr="009C7F4B">
              <w:rPr>
                <w:rFonts w:ascii="Arial" w:hAnsi="Arial" w:cs="Arial"/>
                <w:sz w:val="22"/>
                <w:szCs w:val="22"/>
              </w:rPr>
              <w:t>Mécanisme préliminaire de suivi et d’évaluation pour le renforcement des capacités mis à l’essai</w:t>
            </w:r>
          </w:p>
        </w:tc>
        <w:tc>
          <w:tcPr>
            <w:tcW w:w="2319" w:type="pct"/>
            <w:shd w:val="clear" w:color="auto" w:fill="auto"/>
            <w:vAlign w:val="center"/>
          </w:tcPr>
          <w:p w14:paraId="50127990" w14:textId="34AC45CA" w:rsidR="008A6D2F" w:rsidRPr="00C06F15" w:rsidRDefault="008A6D2F">
            <w:pPr>
              <w:pStyle w:val="ListParagraph"/>
              <w:numPr>
                <w:ilvl w:val="0"/>
                <w:numId w:val="6"/>
              </w:numPr>
              <w:spacing w:before="60" w:after="60"/>
              <w:ind w:left="357" w:hanging="357"/>
              <w:contextualSpacing w:val="0"/>
              <w:rPr>
                <w:rFonts w:ascii="Arial" w:hAnsi="Arial" w:cs="Arial"/>
                <w:sz w:val="22"/>
                <w:szCs w:val="22"/>
              </w:rPr>
            </w:pPr>
            <w:r>
              <w:rPr>
                <w:rFonts w:ascii="Arial" w:hAnsi="Arial"/>
                <w:sz w:val="22"/>
              </w:rPr>
              <w:t xml:space="preserve">Mécanisme de suivi et d'évaluation </w:t>
            </w:r>
            <w:r w:rsidR="007D09F3">
              <w:rPr>
                <w:rFonts w:ascii="Arial" w:hAnsi="Arial"/>
                <w:sz w:val="22"/>
              </w:rPr>
              <w:t>aligné sur le</w:t>
            </w:r>
            <w:r>
              <w:rPr>
                <w:rFonts w:ascii="Arial" w:hAnsi="Arial"/>
                <w:sz w:val="22"/>
              </w:rPr>
              <w:t xml:space="preserve"> cadre global de résultats (B = 1)</w:t>
            </w:r>
          </w:p>
        </w:tc>
      </w:tr>
      <w:tr w:rsidR="008A6D2F" w:rsidRPr="00132152" w14:paraId="22C9EA78" w14:textId="77777777" w:rsidTr="00F82A28">
        <w:trPr>
          <w:cantSplit/>
        </w:trPr>
        <w:tc>
          <w:tcPr>
            <w:tcW w:w="363" w:type="pct"/>
            <w:shd w:val="clear" w:color="auto" w:fill="auto"/>
            <w:vAlign w:val="center"/>
          </w:tcPr>
          <w:p w14:paraId="5A882ECE" w14:textId="77777777" w:rsidR="008A6D2F" w:rsidRPr="00696A00" w:rsidRDefault="008A6D2F">
            <w:pPr>
              <w:spacing w:before="60" w:after="60"/>
              <w:jc w:val="center"/>
              <w:rPr>
                <w:rFonts w:ascii="Arial" w:hAnsi="Arial" w:cs="Arial"/>
                <w:iCs/>
                <w:sz w:val="22"/>
                <w:szCs w:val="22"/>
              </w:rPr>
            </w:pPr>
            <w:r>
              <w:rPr>
                <w:rFonts w:ascii="Arial" w:hAnsi="Arial"/>
                <w:sz w:val="22"/>
              </w:rPr>
              <w:t>2.4</w:t>
            </w:r>
          </w:p>
        </w:tc>
        <w:tc>
          <w:tcPr>
            <w:tcW w:w="2318" w:type="pct"/>
            <w:gridSpan w:val="2"/>
            <w:shd w:val="clear" w:color="auto" w:fill="auto"/>
            <w:vAlign w:val="center"/>
          </w:tcPr>
          <w:p w14:paraId="35788574" w14:textId="1C5C2888" w:rsidR="008A6D2F" w:rsidRPr="00696A00" w:rsidRDefault="007D09F3">
            <w:pPr>
              <w:spacing w:before="60" w:after="60"/>
              <w:rPr>
                <w:rFonts w:ascii="Arial" w:hAnsi="Arial" w:cs="Arial"/>
                <w:iCs/>
                <w:sz w:val="22"/>
                <w:szCs w:val="22"/>
              </w:rPr>
            </w:pPr>
            <w:r w:rsidRPr="009C7F4B">
              <w:rPr>
                <w:rFonts w:ascii="Arial" w:hAnsi="Arial" w:cs="Arial"/>
                <w:iCs/>
                <w:sz w:val="22"/>
                <w:szCs w:val="22"/>
              </w:rPr>
              <w:t>Conseils renforcés sur les mesures de sauvegarde et les bonnes pratiques</w:t>
            </w:r>
          </w:p>
        </w:tc>
        <w:tc>
          <w:tcPr>
            <w:tcW w:w="2319" w:type="pct"/>
            <w:shd w:val="clear" w:color="auto" w:fill="auto"/>
            <w:vAlign w:val="center"/>
          </w:tcPr>
          <w:p w14:paraId="6BA48D34" w14:textId="1FB8B26E" w:rsidR="008A6D2F" w:rsidRPr="00696A00" w:rsidRDefault="007D09F3" w:rsidP="0095699A">
            <w:pPr>
              <w:pStyle w:val="ListParagraph"/>
              <w:numPr>
                <w:ilvl w:val="0"/>
                <w:numId w:val="6"/>
              </w:numPr>
              <w:spacing w:before="60" w:after="60"/>
              <w:ind w:left="357" w:hanging="357"/>
              <w:contextualSpacing w:val="0"/>
              <w:rPr>
                <w:rFonts w:ascii="Arial" w:hAnsi="Arial" w:cs="Arial"/>
                <w:iCs/>
                <w:sz w:val="22"/>
                <w:szCs w:val="22"/>
              </w:rPr>
            </w:pPr>
            <w:r w:rsidRPr="009C7F4B">
              <w:rPr>
                <w:rFonts w:ascii="Arial" w:hAnsi="Arial" w:cs="Arial"/>
                <w:iCs/>
                <w:sz w:val="22"/>
                <w:szCs w:val="22"/>
              </w:rPr>
              <w:t xml:space="preserve">Propositions de moyens plus légers de partage des expériences de sauvegarde recueillies pour compléter le Registre des meilleures pratiques de sauvegarde </w:t>
            </w:r>
            <w:r w:rsidR="008A6D2F">
              <w:rPr>
                <w:rFonts w:ascii="Arial" w:hAnsi="Arial"/>
                <w:sz w:val="22"/>
              </w:rPr>
              <w:t>(B = 1)</w:t>
            </w:r>
          </w:p>
        </w:tc>
      </w:tr>
    </w:tbl>
    <w:p w14:paraId="3734CAB2" w14:textId="77777777" w:rsidR="008A6D2F" w:rsidRPr="00696A00" w:rsidRDefault="008A6D2F">
      <w:pPr>
        <w:pStyle w:val="Marge"/>
        <w:spacing w:before="120" w:after="120"/>
        <w:rPr>
          <w:rFonts w:cs="Arial"/>
          <w:b/>
          <w:bCs/>
          <w:szCs w:val="22"/>
        </w:rPr>
      </w:pPr>
    </w:p>
    <w:tbl>
      <w:tblPr>
        <w:tblStyle w:val="TableGrid"/>
        <w:tblW w:w="5002" w:type="pct"/>
        <w:tblLayout w:type="fixed"/>
        <w:tblLook w:val="04A0" w:firstRow="1" w:lastRow="0" w:firstColumn="1" w:lastColumn="0" w:noHBand="0" w:noVBand="1"/>
      </w:tblPr>
      <w:tblGrid>
        <w:gridCol w:w="700"/>
        <w:gridCol w:w="1564"/>
        <w:gridCol w:w="2901"/>
        <w:gridCol w:w="4467"/>
      </w:tblGrid>
      <w:tr w:rsidR="008A6D2F" w:rsidRPr="00132152" w14:paraId="4653E65F" w14:textId="77777777" w:rsidTr="00F82A28">
        <w:trPr>
          <w:cantSplit/>
        </w:trPr>
        <w:tc>
          <w:tcPr>
            <w:tcW w:w="1175" w:type="pct"/>
            <w:gridSpan w:val="2"/>
            <w:shd w:val="clear" w:color="auto" w:fill="808080" w:themeFill="background1" w:themeFillShade="80"/>
            <w:vAlign w:val="center"/>
          </w:tcPr>
          <w:p w14:paraId="7F50E4FA" w14:textId="0BA1D95E" w:rsidR="008A6D2F" w:rsidRPr="00696A00" w:rsidRDefault="008A6D2F" w:rsidP="00AC65B8">
            <w:pPr>
              <w:keepNext/>
              <w:spacing w:before="120" w:after="120"/>
              <w:rPr>
                <w:rFonts w:ascii="Arial" w:hAnsi="Arial" w:cs="Arial"/>
                <w:b/>
                <w:bCs/>
                <w:color w:val="FFFFFF" w:themeColor="background1"/>
                <w:sz w:val="22"/>
                <w:szCs w:val="22"/>
              </w:rPr>
            </w:pPr>
            <w:r>
              <w:rPr>
                <w:rFonts w:ascii="Arial" w:hAnsi="Arial"/>
                <w:b/>
                <w:color w:val="FFFFFF" w:themeColor="background1"/>
                <w:sz w:val="22"/>
              </w:rPr>
              <w:lastRenderedPageBreak/>
              <w:t>Projet</w:t>
            </w:r>
            <w:r w:rsidR="00AC65B8">
              <w:rPr>
                <w:rFonts w:ascii="Arial" w:hAnsi="Arial"/>
                <w:b/>
                <w:color w:val="FFFFFF" w:themeColor="background1"/>
                <w:sz w:val="22"/>
              </w:rPr>
              <w:t xml:space="preserve"> de </w:t>
            </w:r>
            <w:r>
              <w:rPr>
                <w:rFonts w:ascii="Arial" w:hAnsi="Arial"/>
                <w:b/>
                <w:color w:val="FFFFFF" w:themeColor="background1"/>
                <w:sz w:val="22"/>
              </w:rPr>
              <w:t>39 C/5 Indicateur de performance 3</w:t>
            </w:r>
          </w:p>
        </w:tc>
        <w:tc>
          <w:tcPr>
            <w:tcW w:w="3825" w:type="pct"/>
            <w:gridSpan w:val="2"/>
            <w:shd w:val="clear" w:color="auto" w:fill="808080" w:themeFill="background1" w:themeFillShade="80"/>
            <w:vAlign w:val="center"/>
          </w:tcPr>
          <w:p w14:paraId="5D6D549D" w14:textId="71B98BEB" w:rsidR="008A6D2F" w:rsidRPr="00696A00" w:rsidRDefault="00572C2B">
            <w:pPr>
              <w:keepNext/>
              <w:spacing w:before="120" w:after="120"/>
              <w:rPr>
                <w:rFonts w:ascii="Arial" w:hAnsi="Arial" w:cs="Arial"/>
                <w:b/>
                <w:bCs/>
                <w:color w:val="FFFFFF" w:themeColor="background1"/>
                <w:sz w:val="22"/>
                <w:szCs w:val="22"/>
              </w:rPr>
            </w:pPr>
            <w:r w:rsidRPr="00AA34E1">
              <w:rPr>
                <w:rFonts w:ascii="Arial" w:hAnsi="Arial"/>
                <w:b/>
                <w:color w:val="FFFFFF" w:themeColor="background1"/>
                <w:sz w:val="22"/>
              </w:rPr>
              <w:t>Nombre d’États membres aidés qui ont intégré le patrimoine culturel immatériel dans leurs plans, politiques et programmes à titre de contribution à la réalisation des ODD</w:t>
            </w:r>
          </w:p>
        </w:tc>
      </w:tr>
      <w:tr w:rsidR="008A6D2F" w:rsidRPr="00132152" w14:paraId="2735F808" w14:textId="77777777" w:rsidTr="00AA34E1">
        <w:trPr>
          <w:cantSplit/>
        </w:trPr>
        <w:tc>
          <w:tcPr>
            <w:tcW w:w="1175" w:type="pct"/>
            <w:gridSpan w:val="2"/>
            <w:vMerge w:val="restart"/>
            <w:shd w:val="clear" w:color="auto" w:fill="F2F2F2" w:themeFill="background1" w:themeFillShade="F2"/>
            <w:vAlign w:val="center"/>
          </w:tcPr>
          <w:p w14:paraId="1BB9B476" w14:textId="7639AA95" w:rsidR="008A6D2F" w:rsidRPr="00696A00" w:rsidRDefault="006D099C">
            <w:pPr>
              <w:keepNext/>
              <w:spacing w:before="60" w:after="60"/>
              <w:rPr>
                <w:rFonts w:ascii="Arial" w:hAnsi="Arial" w:cs="Arial"/>
                <w:b/>
                <w:bCs/>
                <w:sz w:val="22"/>
                <w:szCs w:val="22"/>
              </w:rPr>
            </w:pPr>
            <w:r>
              <w:rPr>
                <w:rFonts w:ascii="Arial" w:hAnsi="Arial"/>
                <w:b/>
                <w:sz w:val="22"/>
              </w:rPr>
              <w:t xml:space="preserve">Résultat escompté 3 du </w:t>
            </w:r>
            <w:r w:rsidR="008A6D2F">
              <w:rPr>
                <w:rFonts w:ascii="Arial" w:hAnsi="Arial"/>
                <w:b/>
                <w:sz w:val="22"/>
              </w:rPr>
              <w:t xml:space="preserve">Fonds du PCI </w:t>
            </w:r>
          </w:p>
        </w:tc>
        <w:tc>
          <w:tcPr>
            <w:tcW w:w="3825" w:type="pct"/>
            <w:gridSpan w:val="2"/>
            <w:shd w:val="clear" w:color="auto" w:fill="F2F2F2" w:themeFill="background1" w:themeFillShade="F2"/>
            <w:vAlign w:val="center"/>
          </w:tcPr>
          <w:p w14:paraId="3E4CE690" w14:textId="0ED3A0EB" w:rsidR="008A6D2F" w:rsidRPr="006020EC" w:rsidRDefault="006D099C" w:rsidP="00E55EFE">
            <w:pPr>
              <w:keepNext/>
              <w:spacing w:before="60" w:after="60"/>
              <w:rPr>
                <w:rFonts w:ascii="Arial" w:hAnsi="Arial"/>
                <w:b/>
                <w:sz w:val="22"/>
              </w:rPr>
            </w:pPr>
            <w:r w:rsidRPr="00AA34E1">
              <w:rPr>
                <w:rFonts w:ascii="Arial" w:hAnsi="Arial"/>
                <w:b/>
                <w:sz w:val="22"/>
              </w:rPr>
              <w:t>Intégration du patrimoine culturel immatériel dans des programmes, des politiques et des plans de développement soutenue</w:t>
            </w:r>
          </w:p>
        </w:tc>
      </w:tr>
      <w:tr w:rsidR="008A6D2F" w:rsidRPr="00696A00" w14:paraId="39F96536" w14:textId="77777777" w:rsidTr="00F82A28">
        <w:trPr>
          <w:cantSplit/>
        </w:trPr>
        <w:tc>
          <w:tcPr>
            <w:tcW w:w="1175" w:type="pct"/>
            <w:gridSpan w:val="2"/>
            <w:vMerge/>
            <w:shd w:val="clear" w:color="auto" w:fill="F2F2F2" w:themeFill="background1" w:themeFillShade="F2"/>
            <w:vAlign w:val="center"/>
          </w:tcPr>
          <w:p w14:paraId="5C791CF4" w14:textId="77777777" w:rsidR="008A6D2F" w:rsidRPr="00696A00" w:rsidRDefault="008A6D2F">
            <w:pPr>
              <w:keepNext/>
              <w:spacing w:before="60" w:after="60"/>
              <w:rPr>
                <w:rFonts w:ascii="Arial" w:hAnsi="Arial" w:cs="Arial"/>
                <w:b/>
                <w:bCs/>
                <w:sz w:val="22"/>
                <w:szCs w:val="22"/>
              </w:rPr>
            </w:pPr>
          </w:p>
        </w:tc>
        <w:tc>
          <w:tcPr>
            <w:tcW w:w="3825" w:type="pct"/>
            <w:gridSpan w:val="2"/>
            <w:shd w:val="clear" w:color="auto" w:fill="F2F2F2" w:themeFill="background1" w:themeFillShade="F2"/>
            <w:vAlign w:val="center"/>
          </w:tcPr>
          <w:p w14:paraId="2D589283" w14:textId="58CB01D0" w:rsidR="008A6D2F" w:rsidRPr="00696A00" w:rsidRDefault="006D099C">
            <w:pPr>
              <w:keepNext/>
              <w:spacing w:before="60" w:after="60"/>
              <w:rPr>
                <w:rFonts w:ascii="Arial" w:hAnsi="Arial" w:cs="Arial"/>
                <w:b/>
                <w:bCs/>
                <w:sz w:val="22"/>
                <w:szCs w:val="22"/>
              </w:rPr>
            </w:pPr>
            <w:r>
              <w:rPr>
                <w:rFonts w:ascii="Arial" w:hAnsi="Arial"/>
                <w:b/>
                <w:sz w:val="22"/>
              </w:rPr>
              <w:t xml:space="preserve">Dotation </w:t>
            </w:r>
            <w:r w:rsidR="008A6D2F">
              <w:rPr>
                <w:rFonts w:ascii="Arial" w:hAnsi="Arial"/>
                <w:b/>
                <w:sz w:val="22"/>
              </w:rPr>
              <w:t xml:space="preserve">budgétaire : </w:t>
            </w:r>
            <w:r w:rsidRPr="00AA34E1">
              <w:rPr>
                <w:rFonts w:ascii="Arial" w:hAnsi="Arial" w:cs="Arial"/>
                <w:b/>
                <w:bCs/>
                <w:sz w:val="22"/>
                <w:szCs w:val="22"/>
              </w:rPr>
              <w:t>63,629</w:t>
            </w:r>
            <w:r w:rsidR="008A6D2F" w:rsidRPr="00AA34E1">
              <w:rPr>
                <w:rFonts w:ascii="Arial" w:hAnsi="Arial"/>
                <w:b/>
                <w:sz w:val="22"/>
              </w:rPr>
              <w:t> dollars des États-Unis</w:t>
            </w:r>
          </w:p>
        </w:tc>
      </w:tr>
      <w:tr w:rsidR="008A6D2F" w:rsidRPr="00132152" w14:paraId="6C4FBED5" w14:textId="77777777" w:rsidTr="00F82A28">
        <w:trPr>
          <w:cantSplit/>
        </w:trPr>
        <w:tc>
          <w:tcPr>
            <w:tcW w:w="363" w:type="pct"/>
            <w:shd w:val="clear" w:color="auto" w:fill="F2F2F2" w:themeFill="background1" w:themeFillShade="F2"/>
            <w:vAlign w:val="center"/>
          </w:tcPr>
          <w:p w14:paraId="2FAC963F" w14:textId="77777777" w:rsidR="008A6D2F" w:rsidRPr="00696A00" w:rsidRDefault="008A6D2F">
            <w:pPr>
              <w:keepNext/>
              <w:spacing w:before="60" w:after="60"/>
              <w:jc w:val="right"/>
              <w:rPr>
                <w:rFonts w:ascii="Arial" w:hAnsi="Arial" w:cs="Arial"/>
                <w:i/>
                <w:iCs/>
                <w:sz w:val="22"/>
                <w:szCs w:val="22"/>
              </w:rPr>
            </w:pPr>
          </w:p>
        </w:tc>
        <w:tc>
          <w:tcPr>
            <w:tcW w:w="2318" w:type="pct"/>
            <w:gridSpan w:val="2"/>
            <w:shd w:val="clear" w:color="auto" w:fill="F2F2F2" w:themeFill="background1" w:themeFillShade="F2"/>
            <w:vAlign w:val="center"/>
          </w:tcPr>
          <w:p w14:paraId="0B0CA942" w14:textId="77777777" w:rsidR="008A6D2F" w:rsidRPr="00696A00" w:rsidRDefault="00656462">
            <w:pPr>
              <w:keepNext/>
              <w:spacing w:before="60" w:after="60"/>
              <w:jc w:val="center"/>
              <w:rPr>
                <w:rFonts w:ascii="Arial" w:hAnsi="Arial" w:cs="Arial"/>
                <w:i/>
                <w:iCs/>
                <w:sz w:val="22"/>
                <w:szCs w:val="22"/>
              </w:rPr>
            </w:pPr>
            <w:r>
              <w:rPr>
                <w:rFonts w:ascii="Arial" w:hAnsi="Arial"/>
                <w:i/>
                <w:sz w:val="22"/>
              </w:rPr>
              <w:t>Produits</w:t>
            </w:r>
          </w:p>
        </w:tc>
        <w:tc>
          <w:tcPr>
            <w:tcW w:w="2319" w:type="pct"/>
            <w:shd w:val="clear" w:color="auto" w:fill="F2F2F2" w:themeFill="background1" w:themeFillShade="F2"/>
            <w:vAlign w:val="center"/>
          </w:tcPr>
          <w:p w14:paraId="7FC60F8E" w14:textId="13C24809" w:rsidR="008A6D2F" w:rsidRPr="00696A00" w:rsidRDefault="008A6D2F" w:rsidP="00E55EFE">
            <w:pPr>
              <w:keepNext/>
              <w:spacing w:before="60" w:after="60"/>
              <w:jc w:val="center"/>
              <w:rPr>
                <w:rFonts w:ascii="Arial" w:hAnsi="Arial" w:cs="Arial"/>
                <w:i/>
                <w:iCs/>
                <w:sz w:val="22"/>
                <w:szCs w:val="22"/>
              </w:rPr>
            </w:pPr>
            <w:r>
              <w:rPr>
                <w:rFonts w:ascii="Arial" w:hAnsi="Arial"/>
                <w:i/>
                <w:sz w:val="22"/>
              </w:rPr>
              <w:t>Indicateurs (références)</w:t>
            </w:r>
            <w:r>
              <w:rPr>
                <w:rFonts w:ascii="Arial" w:hAnsi="Arial" w:cs="Arial"/>
                <w:i/>
                <w:iCs/>
                <w:sz w:val="22"/>
                <w:szCs w:val="22"/>
              </w:rPr>
              <w:br/>
            </w:r>
            <w:r>
              <w:rPr>
                <w:rFonts w:ascii="Arial" w:hAnsi="Arial"/>
                <w:i/>
                <w:sz w:val="22"/>
              </w:rPr>
              <w:t>Du 1</w:t>
            </w:r>
            <w:r>
              <w:rPr>
                <w:rFonts w:ascii="Arial" w:hAnsi="Arial"/>
                <w:i/>
                <w:sz w:val="22"/>
                <w:vertAlign w:val="superscript"/>
              </w:rPr>
              <w:t>er</w:t>
            </w:r>
            <w:r>
              <w:rPr>
                <w:rFonts w:ascii="Arial" w:hAnsi="Arial"/>
                <w:i/>
                <w:sz w:val="22"/>
              </w:rPr>
              <w:t> janvier 2018 au 30 juin 2018</w:t>
            </w:r>
          </w:p>
        </w:tc>
      </w:tr>
      <w:tr w:rsidR="008A6D2F" w:rsidRPr="00132152" w14:paraId="3F237E88" w14:textId="77777777" w:rsidTr="00F82A28">
        <w:trPr>
          <w:cantSplit/>
        </w:trPr>
        <w:tc>
          <w:tcPr>
            <w:tcW w:w="363" w:type="pct"/>
            <w:shd w:val="clear" w:color="auto" w:fill="auto"/>
            <w:vAlign w:val="center"/>
          </w:tcPr>
          <w:p w14:paraId="4A58E225" w14:textId="77777777" w:rsidR="008A6D2F" w:rsidRPr="00696A00" w:rsidRDefault="008A6D2F">
            <w:pPr>
              <w:spacing w:before="60" w:after="60"/>
              <w:jc w:val="center"/>
              <w:rPr>
                <w:rFonts w:ascii="Arial" w:hAnsi="Arial" w:cs="Arial"/>
                <w:iCs/>
                <w:sz w:val="22"/>
                <w:szCs w:val="22"/>
              </w:rPr>
            </w:pPr>
            <w:r>
              <w:rPr>
                <w:rFonts w:ascii="Arial" w:hAnsi="Arial"/>
                <w:sz w:val="22"/>
              </w:rPr>
              <w:t>3.1</w:t>
            </w:r>
          </w:p>
        </w:tc>
        <w:tc>
          <w:tcPr>
            <w:tcW w:w="2318" w:type="pct"/>
            <w:gridSpan w:val="2"/>
            <w:shd w:val="clear" w:color="auto" w:fill="auto"/>
            <w:vAlign w:val="center"/>
          </w:tcPr>
          <w:p w14:paraId="4EE88D84" w14:textId="3FBEE64A" w:rsidR="008A6D2F" w:rsidRPr="00696A00" w:rsidRDefault="0067553A">
            <w:pPr>
              <w:spacing w:before="60" w:after="60"/>
              <w:rPr>
                <w:rFonts w:ascii="Arial" w:hAnsi="Arial" w:cs="Arial"/>
                <w:i/>
                <w:iCs/>
                <w:sz w:val="22"/>
                <w:szCs w:val="22"/>
              </w:rPr>
            </w:pPr>
            <w:r w:rsidRPr="009C7F4B">
              <w:rPr>
                <w:rFonts w:ascii="Arial" w:hAnsi="Arial" w:cs="Arial"/>
                <w:sz w:val="22"/>
                <w:szCs w:val="22"/>
              </w:rPr>
              <w:t>Nouveaux partenariats avec des institutions compétentes établis pour intégrer le patrimoine culturel immatériel dans l’éducation</w:t>
            </w:r>
          </w:p>
        </w:tc>
        <w:tc>
          <w:tcPr>
            <w:tcW w:w="2319" w:type="pct"/>
            <w:shd w:val="clear" w:color="auto" w:fill="auto"/>
            <w:vAlign w:val="center"/>
          </w:tcPr>
          <w:p w14:paraId="4A89E641" w14:textId="19958AA3" w:rsidR="008A6D2F" w:rsidRPr="00696A00" w:rsidRDefault="0067553A" w:rsidP="00AC202D">
            <w:pPr>
              <w:pStyle w:val="ListParagraph"/>
              <w:numPr>
                <w:ilvl w:val="0"/>
                <w:numId w:val="7"/>
              </w:numPr>
              <w:spacing w:before="60" w:after="60"/>
              <w:ind w:left="357" w:hanging="357"/>
              <w:contextualSpacing w:val="0"/>
              <w:rPr>
                <w:rFonts w:ascii="Arial" w:hAnsi="Arial" w:cs="Arial"/>
                <w:sz w:val="22"/>
                <w:szCs w:val="22"/>
              </w:rPr>
            </w:pPr>
            <w:r w:rsidRPr="009C7F4B">
              <w:rPr>
                <w:rFonts w:ascii="Arial" w:hAnsi="Arial" w:cs="Arial"/>
                <w:sz w:val="22"/>
                <w:szCs w:val="22"/>
              </w:rPr>
              <w:t xml:space="preserve">Un atelier régional organisé avec des établissements d’enseignement supérieur </w:t>
            </w:r>
            <w:r w:rsidR="008A6D2F">
              <w:rPr>
                <w:rFonts w:ascii="Arial" w:hAnsi="Arial"/>
                <w:sz w:val="22"/>
              </w:rPr>
              <w:t>(B = 1)</w:t>
            </w:r>
          </w:p>
          <w:p w14:paraId="27533BA2" w14:textId="52E2F67A" w:rsidR="0067553A" w:rsidRPr="00C06F15" w:rsidRDefault="008A6D2F">
            <w:pPr>
              <w:pStyle w:val="ListParagraph"/>
              <w:numPr>
                <w:ilvl w:val="0"/>
                <w:numId w:val="7"/>
              </w:numPr>
              <w:spacing w:before="60" w:after="60"/>
              <w:ind w:left="357" w:hanging="357"/>
              <w:contextualSpacing w:val="0"/>
              <w:rPr>
                <w:rFonts w:ascii="Arial" w:hAnsi="Arial" w:cs="Arial"/>
                <w:sz w:val="22"/>
                <w:szCs w:val="22"/>
              </w:rPr>
            </w:pPr>
            <w:r>
              <w:rPr>
                <w:rFonts w:ascii="Arial" w:hAnsi="Arial"/>
                <w:sz w:val="22"/>
              </w:rPr>
              <w:t>Mise en œuvre des recommandations formulées lors de</w:t>
            </w:r>
            <w:r w:rsidR="0067553A">
              <w:rPr>
                <w:rFonts w:ascii="Arial" w:hAnsi="Arial"/>
                <w:sz w:val="22"/>
              </w:rPr>
              <w:t>s</w:t>
            </w:r>
            <w:r>
              <w:rPr>
                <w:rFonts w:ascii="Arial" w:hAnsi="Arial"/>
                <w:sz w:val="22"/>
              </w:rPr>
              <w:t xml:space="preserve"> consultation</w:t>
            </w:r>
            <w:r w:rsidR="0067553A">
              <w:rPr>
                <w:rFonts w:ascii="Arial" w:hAnsi="Arial"/>
                <w:sz w:val="22"/>
              </w:rPr>
              <w:t xml:space="preserve">s tenues </w:t>
            </w:r>
            <w:r>
              <w:rPr>
                <w:rFonts w:ascii="Arial" w:hAnsi="Arial"/>
                <w:sz w:val="22"/>
              </w:rPr>
              <w:t xml:space="preserve"> avec les </w:t>
            </w:r>
            <w:r w:rsidR="0067553A" w:rsidRPr="009C7F4B">
              <w:rPr>
                <w:rFonts w:ascii="Arial" w:hAnsi="Arial" w:cs="Arial"/>
                <w:sz w:val="22"/>
                <w:szCs w:val="22"/>
              </w:rPr>
              <w:t>établissements d’enseignement compétents sur l’intégration du patrimoine culturel immatériel dans leurs programmes</w:t>
            </w:r>
            <w:r w:rsidR="0067553A" w:rsidDel="0067553A">
              <w:rPr>
                <w:rFonts w:ascii="Arial" w:hAnsi="Arial"/>
                <w:sz w:val="22"/>
              </w:rPr>
              <w:t xml:space="preserve"> </w:t>
            </w:r>
            <w:r>
              <w:rPr>
                <w:rFonts w:ascii="Arial" w:hAnsi="Arial"/>
                <w:sz w:val="22"/>
              </w:rPr>
              <w:t>(B = 1)</w:t>
            </w:r>
          </w:p>
        </w:tc>
      </w:tr>
      <w:tr w:rsidR="008A6D2F" w:rsidRPr="00132152" w14:paraId="73EC2DB3" w14:textId="77777777" w:rsidTr="00F82A28">
        <w:trPr>
          <w:cantSplit/>
        </w:trPr>
        <w:tc>
          <w:tcPr>
            <w:tcW w:w="363" w:type="pct"/>
            <w:shd w:val="clear" w:color="auto" w:fill="auto"/>
            <w:vAlign w:val="center"/>
          </w:tcPr>
          <w:p w14:paraId="4FBA0896" w14:textId="77777777" w:rsidR="008A6D2F" w:rsidRPr="00696A00" w:rsidRDefault="008A6D2F">
            <w:pPr>
              <w:spacing w:before="60" w:after="60"/>
              <w:jc w:val="center"/>
              <w:rPr>
                <w:rFonts w:ascii="Arial" w:hAnsi="Arial" w:cs="Arial"/>
                <w:iCs/>
                <w:sz w:val="22"/>
                <w:szCs w:val="22"/>
              </w:rPr>
            </w:pPr>
            <w:r>
              <w:rPr>
                <w:rFonts w:ascii="Arial" w:hAnsi="Arial"/>
                <w:sz w:val="22"/>
              </w:rPr>
              <w:t>3.2</w:t>
            </w:r>
          </w:p>
        </w:tc>
        <w:tc>
          <w:tcPr>
            <w:tcW w:w="2318" w:type="pct"/>
            <w:gridSpan w:val="2"/>
            <w:shd w:val="clear" w:color="auto" w:fill="auto"/>
            <w:vAlign w:val="center"/>
          </w:tcPr>
          <w:p w14:paraId="2EE852E3" w14:textId="130EE7D9" w:rsidR="008A6D2F" w:rsidRPr="00696A00" w:rsidRDefault="0067553A">
            <w:pPr>
              <w:spacing w:before="60" w:after="60"/>
              <w:rPr>
                <w:rFonts w:ascii="Arial" w:hAnsi="Arial" w:cs="Arial"/>
                <w:iCs/>
                <w:sz w:val="22"/>
                <w:szCs w:val="22"/>
              </w:rPr>
            </w:pPr>
            <w:r w:rsidRPr="009C7F4B">
              <w:rPr>
                <w:rFonts w:ascii="Arial" w:hAnsi="Arial" w:cs="Arial"/>
                <w:sz w:val="22"/>
                <w:szCs w:val="22"/>
              </w:rPr>
              <w:t>Coopération renforcée de l’UNESCO avec l’OMPI ou d’autres organisations des Nations unies pour permettre un échange et un apprentissage permanents entre les organisations et leurs États membres</w:t>
            </w:r>
          </w:p>
        </w:tc>
        <w:tc>
          <w:tcPr>
            <w:tcW w:w="2319" w:type="pct"/>
            <w:shd w:val="clear" w:color="auto" w:fill="auto"/>
            <w:vAlign w:val="center"/>
          </w:tcPr>
          <w:p w14:paraId="21C093A0" w14:textId="5B99F4BE" w:rsidR="008A6D2F" w:rsidRPr="001C3674" w:rsidRDefault="0067553A" w:rsidP="00AC202D">
            <w:pPr>
              <w:pStyle w:val="ListParagraph"/>
              <w:numPr>
                <w:ilvl w:val="0"/>
                <w:numId w:val="9"/>
              </w:numPr>
              <w:spacing w:before="60" w:after="60"/>
              <w:ind w:left="393" w:hanging="393"/>
              <w:rPr>
                <w:rFonts w:ascii="Arial" w:hAnsi="Arial" w:cs="Arial"/>
                <w:i/>
                <w:iCs/>
                <w:sz w:val="22"/>
                <w:szCs w:val="22"/>
              </w:rPr>
            </w:pPr>
            <w:r w:rsidRPr="009C7F4B">
              <w:rPr>
                <w:rFonts w:ascii="Arial" w:hAnsi="Arial" w:cs="Arial"/>
                <w:sz w:val="22"/>
                <w:szCs w:val="22"/>
              </w:rPr>
              <w:t xml:space="preserve">Participation aux réunions organisées par l’OMPI ou d’autres organisations des Nations Unies </w:t>
            </w:r>
            <w:r w:rsidR="008A6D2F">
              <w:rPr>
                <w:rFonts w:ascii="Arial" w:hAnsi="Arial"/>
                <w:sz w:val="22"/>
              </w:rPr>
              <w:t>(B = 1)</w:t>
            </w:r>
          </w:p>
        </w:tc>
      </w:tr>
    </w:tbl>
    <w:p w14:paraId="46A21E4B" w14:textId="77777777" w:rsidR="008A6D2F" w:rsidRPr="00696A00" w:rsidRDefault="008A6D2F">
      <w:pPr>
        <w:pStyle w:val="Marge"/>
        <w:spacing w:before="120" w:after="120"/>
        <w:rPr>
          <w:rFonts w:cs="Arial"/>
          <w:b/>
          <w:bCs/>
          <w:szCs w:val="22"/>
        </w:rPr>
      </w:pPr>
    </w:p>
    <w:tbl>
      <w:tblPr>
        <w:tblStyle w:val="TableGrid"/>
        <w:tblW w:w="5002" w:type="pct"/>
        <w:tblLayout w:type="fixed"/>
        <w:tblLook w:val="04A0" w:firstRow="1" w:lastRow="0" w:firstColumn="1" w:lastColumn="0" w:noHBand="0" w:noVBand="1"/>
      </w:tblPr>
      <w:tblGrid>
        <w:gridCol w:w="700"/>
        <w:gridCol w:w="1564"/>
        <w:gridCol w:w="2901"/>
        <w:gridCol w:w="4467"/>
      </w:tblGrid>
      <w:tr w:rsidR="008A6D2F" w:rsidRPr="00132152" w14:paraId="2B5B54EE" w14:textId="77777777" w:rsidTr="00F82A28">
        <w:trPr>
          <w:cantSplit/>
        </w:trPr>
        <w:tc>
          <w:tcPr>
            <w:tcW w:w="1175" w:type="pct"/>
            <w:gridSpan w:val="2"/>
            <w:shd w:val="clear" w:color="auto" w:fill="808080" w:themeFill="background1" w:themeFillShade="80"/>
            <w:vAlign w:val="center"/>
          </w:tcPr>
          <w:p w14:paraId="5470FD3C" w14:textId="3C4EFAE9" w:rsidR="008A6D2F" w:rsidRPr="00696A00" w:rsidRDefault="008A6D2F">
            <w:pPr>
              <w:keepNext/>
              <w:spacing w:before="120" w:after="120"/>
              <w:rPr>
                <w:rFonts w:ascii="Arial" w:hAnsi="Arial" w:cs="Arial"/>
                <w:b/>
                <w:bCs/>
                <w:color w:val="FFFFFF" w:themeColor="background1"/>
                <w:sz w:val="22"/>
                <w:szCs w:val="22"/>
              </w:rPr>
            </w:pPr>
            <w:r>
              <w:rPr>
                <w:rFonts w:ascii="Arial" w:hAnsi="Arial"/>
                <w:b/>
                <w:color w:val="FFFFFF" w:themeColor="background1"/>
                <w:sz w:val="22"/>
              </w:rPr>
              <w:t>Projet</w:t>
            </w:r>
            <w:r w:rsidR="00AC65B8">
              <w:rPr>
                <w:rFonts w:ascii="Arial" w:hAnsi="Arial"/>
                <w:b/>
                <w:color w:val="FFFFFF" w:themeColor="background1"/>
                <w:sz w:val="22"/>
              </w:rPr>
              <w:t xml:space="preserve"> de </w:t>
            </w:r>
            <w:r>
              <w:rPr>
                <w:rFonts w:ascii="Arial" w:hAnsi="Arial"/>
                <w:b/>
                <w:color w:val="FFFFFF" w:themeColor="background1"/>
                <w:sz w:val="22"/>
              </w:rPr>
              <w:t>39 C/5 Indicateur de performance 5</w:t>
            </w:r>
          </w:p>
        </w:tc>
        <w:tc>
          <w:tcPr>
            <w:tcW w:w="3825" w:type="pct"/>
            <w:gridSpan w:val="2"/>
            <w:shd w:val="clear" w:color="auto" w:fill="808080" w:themeFill="background1" w:themeFillShade="80"/>
            <w:vAlign w:val="center"/>
          </w:tcPr>
          <w:p w14:paraId="0DAFC669" w14:textId="3ED2DF7D" w:rsidR="008A6D2F" w:rsidRPr="00696A00" w:rsidRDefault="00FD1C3F">
            <w:pPr>
              <w:keepNext/>
              <w:spacing w:before="120" w:after="120"/>
              <w:rPr>
                <w:rFonts w:ascii="Arial" w:hAnsi="Arial" w:cs="Arial"/>
                <w:b/>
                <w:bCs/>
                <w:color w:val="FFFFFF" w:themeColor="background1"/>
                <w:sz w:val="22"/>
                <w:szCs w:val="22"/>
              </w:rPr>
            </w:pPr>
            <w:r w:rsidRPr="00AA34E1">
              <w:rPr>
                <w:rFonts w:ascii="Arial" w:hAnsi="Arial"/>
                <w:b/>
                <w:color w:val="FFFFFF" w:themeColor="background1"/>
                <w:sz w:val="22"/>
              </w:rPr>
              <w:t>Nombre d’initiatives lancées par des États membres aidés qui ont amélioré la connaissance et la compréhension de la sauvegarde du patrimoine culturel immatériel et de la Convention de 2003</w:t>
            </w:r>
          </w:p>
        </w:tc>
      </w:tr>
      <w:tr w:rsidR="008A6D2F" w:rsidRPr="00132152" w14:paraId="33151FB4" w14:textId="77777777" w:rsidTr="00F82A28">
        <w:trPr>
          <w:cantSplit/>
        </w:trPr>
        <w:tc>
          <w:tcPr>
            <w:tcW w:w="1175" w:type="pct"/>
            <w:gridSpan w:val="2"/>
            <w:vMerge w:val="restart"/>
            <w:shd w:val="clear" w:color="auto" w:fill="F2F2F2" w:themeFill="background1" w:themeFillShade="F2"/>
            <w:vAlign w:val="center"/>
          </w:tcPr>
          <w:p w14:paraId="69D5FD6F" w14:textId="0A2C320E" w:rsidR="008A6D2F" w:rsidRPr="00696A00" w:rsidRDefault="008A6D2F">
            <w:pPr>
              <w:keepNext/>
              <w:spacing w:before="60" w:after="60"/>
              <w:rPr>
                <w:rFonts w:ascii="Arial" w:hAnsi="Arial" w:cs="Arial"/>
                <w:b/>
                <w:bCs/>
                <w:sz w:val="22"/>
                <w:szCs w:val="22"/>
              </w:rPr>
            </w:pPr>
            <w:r>
              <w:rPr>
                <w:rFonts w:ascii="Arial" w:hAnsi="Arial"/>
                <w:b/>
                <w:sz w:val="22"/>
              </w:rPr>
              <w:t>Résultat escompté</w:t>
            </w:r>
            <w:r w:rsidR="00057D3E">
              <w:rPr>
                <w:rFonts w:ascii="Arial" w:hAnsi="Arial"/>
                <w:b/>
                <w:sz w:val="22"/>
              </w:rPr>
              <w:t> </w:t>
            </w:r>
            <w:r>
              <w:rPr>
                <w:rFonts w:ascii="Arial" w:hAnsi="Arial"/>
                <w:b/>
                <w:sz w:val="22"/>
              </w:rPr>
              <w:t>4</w:t>
            </w:r>
            <w:r w:rsidR="00057D3E">
              <w:rPr>
                <w:rFonts w:ascii="Arial" w:hAnsi="Arial"/>
                <w:b/>
                <w:sz w:val="22"/>
              </w:rPr>
              <w:t xml:space="preserve"> du Fonds du PCI</w:t>
            </w:r>
          </w:p>
          <w:p w14:paraId="51687665" w14:textId="77777777" w:rsidR="008A6D2F" w:rsidRPr="00696A00" w:rsidRDefault="008A6D2F">
            <w:pPr>
              <w:keepNext/>
              <w:spacing w:before="60" w:after="60"/>
              <w:rPr>
                <w:rFonts w:ascii="Arial" w:hAnsi="Arial" w:cs="Arial"/>
                <w:b/>
                <w:bCs/>
                <w:sz w:val="22"/>
                <w:szCs w:val="22"/>
              </w:rPr>
            </w:pPr>
          </w:p>
        </w:tc>
        <w:tc>
          <w:tcPr>
            <w:tcW w:w="3825" w:type="pct"/>
            <w:gridSpan w:val="2"/>
            <w:shd w:val="clear" w:color="auto" w:fill="F2F2F2" w:themeFill="background1" w:themeFillShade="F2"/>
            <w:vAlign w:val="center"/>
          </w:tcPr>
          <w:p w14:paraId="2F92F030" w14:textId="53671A62" w:rsidR="008A6D2F" w:rsidRPr="00696A00" w:rsidRDefault="00057D3E" w:rsidP="00E55EFE">
            <w:pPr>
              <w:keepNext/>
              <w:spacing w:before="60" w:after="60"/>
              <w:rPr>
                <w:rFonts w:ascii="Arial" w:hAnsi="Arial" w:cs="Arial"/>
                <w:b/>
                <w:bCs/>
                <w:sz w:val="22"/>
                <w:szCs w:val="22"/>
              </w:rPr>
            </w:pPr>
            <w:r w:rsidRPr="00AA34E1">
              <w:rPr>
                <w:rFonts w:ascii="Arial" w:hAnsi="Arial"/>
                <w:b/>
                <w:sz w:val="22"/>
              </w:rPr>
              <w:t>Objectifs de la Convention promus par des actions de sensibilisation et d’information</w:t>
            </w:r>
          </w:p>
        </w:tc>
      </w:tr>
      <w:tr w:rsidR="008A6D2F" w:rsidRPr="00057D3E" w14:paraId="5DB8915E" w14:textId="77777777" w:rsidTr="00F82A28">
        <w:trPr>
          <w:cantSplit/>
        </w:trPr>
        <w:tc>
          <w:tcPr>
            <w:tcW w:w="1175" w:type="pct"/>
            <w:gridSpan w:val="2"/>
            <w:vMerge/>
            <w:shd w:val="clear" w:color="auto" w:fill="F2F2F2" w:themeFill="background1" w:themeFillShade="F2"/>
            <w:vAlign w:val="center"/>
          </w:tcPr>
          <w:p w14:paraId="4C6E140E" w14:textId="77777777" w:rsidR="008A6D2F" w:rsidRPr="00696A00" w:rsidRDefault="008A6D2F">
            <w:pPr>
              <w:keepNext/>
              <w:spacing w:before="60" w:after="60"/>
              <w:rPr>
                <w:rFonts w:ascii="Arial" w:hAnsi="Arial" w:cs="Arial"/>
                <w:b/>
                <w:bCs/>
                <w:sz w:val="22"/>
                <w:szCs w:val="22"/>
              </w:rPr>
            </w:pPr>
          </w:p>
        </w:tc>
        <w:tc>
          <w:tcPr>
            <w:tcW w:w="3825" w:type="pct"/>
            <w:gridSpan w:val="2"/>
            <w:shd w:val="clear" w:color="auto" w:fill="F2F2F2" w:themeFill="background1" w:themeFillShade="F2"/>
            <w:vAlign w:val="center"/>
          </w:tcPr>
          <w:p w14:paraId="36044ADB" w14:textId="0835A658" w:rsidR="008A6D2F" w:rsidRPr="00057D3E" w:rsidRDefault="00AA34E1">
            <w:pPr>
              <w:keepNext/>
              <w:spacing w:before="60" w:after="60"/>
              <w:rPr>
                <w:rFonts w:ascii="Arial" w:hAnsi="Arial" w:cs="Arial"/>
                <w:b/>
                <w:bCs/>
                <w:sz w:val="22"/>
                <w:szCs w:val="22"/>
              </w:rPr>
            </w:pPr>
            <w:r>
              <w:rPr>
                <w:rFonts w:ascii="Arial" w:hAnsi="Arial"/>
                <w:b/>
                <w:sz w:val="22"/>
              </w:rPr>
              <w:t>Dotation</w:t>
            </w:r>
            <w:r w:rsidRPr="00057D3E">
              <w:rPr>
                <w:rFonts w:ascii="Arial" w:hAnsi="Arial"/>
                <w:b/>
                <w:sz w:val="22"/>
              </w:rPr>
              <w:t xml:space="preserve"> </w:t>
            </w:r>
            <w:r w:rsidR="008A6D2F" w:rsidRPr="00057D3E">
              <w:rPr>
                <w:rFonts w:ascii="Arial" w:hAnsi="Arial"/>
                <w:b/>
                <w:sz w:val="22"/>
              </w:rPr>
              <w:t xml:space="preserve">budgétaire : </w:t>
            </w:r>
            <w:r w:rsidR="001E0F72">
              <w:rPr>
                <w:rFonts w:ascii="Arial" w:hAnsi="Arial" w:cs="Arial"/>
                <w:b/>
                <w:bCs/>
                <w:sz w:val="22"/>
                <w:szCs w:val="22"/>
              </w:rPr>
              <w:t>59,655</w:t>
            </w:r>
            <w:r w:rsidR="008A6D2F" w:rsidRPr="00AA34E1">
              <w:rPr>
                <w:rFonts w:ascii="Arial" w:hAnsi="Arial"/>
                <w:b/>
                <w:sz w:val="22"/>
              </w:rPr>
              <w:t> dollars des États-Unis</w:t>
            </w:r>
          </w:p>
        </w:tc>
      </w:tr>
      <w:tr w:rsidR="008A6D2F" w:rsidRPr="00132152" w14:paraId="33F05F9B" w14:textId="77777777" w:rsidTr="00F82A28">
        <w:trPr>
          <w:cantSplit/>
        </w:trPr>
        <w:tc>
          <w:tcPr>
            <w:tcW w:w="363" w:type="pct"/>
            <w:shd w:val="clear" w:color="auto" w:fill="F2F2F2" w:themeFill="background1" w:themeFillShade="F2"/>
            <w:vAlign w:val="center"/>
          </w:tcPr>
          <w:p w14:paraId="0CADACE0" w14:textId="77777777" w:rsidR="008A6D2F" w:rsidRPr="00696A00" w:rsidRDefault="008A6D2F">
            <w:pPr>
              <w:keepNext/>
              <w:spacing w:before="60" w:after="60"/>
              <w:jc w:val="right"/>
              <w:rPr>
                <w:rFonts w:ascii="Arial" w:hAnsi="Arial" w:cs="Arial"/>
                <w:i/>
                <w:iCs/>
                <w:sz w:val="22"/>
                <w:szCs w:val="22"/>
              </w:rPr>
            </w:pPr>
          </w:p>
        </w:tc>
        <w:tc>
          <w:tcPr>
            <w:tcW w:w="2318" w:type="pct"/>
            <w:gridSpan w:val="2"/>
            <w:shd w:val="clear" w:color="auto" w:fill="F2F2F2" w:themeFill="background1" w:themeFillShade="F2"/>
            <w:vAlign w:val="center"/>
          </w:tcPr>
          <w:p w14:paraId="7DCDCC29" w14:textId="77777777" w:rsidR="008A6D2F" w:rsidRPr="00696A00" w:rsidRDefault="00656462">
            <w:pPr>
              <w:keepNext/>
              <w:spacing w:before="60" w:after="60"/>
              <w:jc w:val="center"/>
              <w:rPr>
                <w:rFonts w:ascii="Arial" w:hAnsi="Arial" w:cs="Arial"/>
                <w:i/>
                <w:iCs/>
                <w:sz w:val="22"/>
                <w:szCs w:val="22"/>
              </w:rPr>
            </w:pPr>
            <w:r>
              <w:rPr>
                <w:rFonts w:ascii="Arial" w:hAnsi="Arial"/>
                <w:i/>
                <w:sz w:val="22"/>
              </w:rPr>
              <w:t>Produits</w:t>
            </w:r>
          </w:p>
        </w:tc>
        <w:tc>
          <w:tcPr>
            <w:tcW w:w="2319" w:type="pct"/>
            <w:shd w:val="clear" w:color="auto" w:fill="F2F2F2" w:themeFill="background1" w:themeFillShade="F2"/>
            <w:vAlign w:val="center"/>
          </w:tcPr>
          <w:p w14:paraId="5B1E4956" w14:textId="77777777" w:rsidR="008A6D2F" w:rsidRPr="00696A00" w:rsidRDefault="008A6D2F">
            <w:pPr>
              <w:keepNext/>
              <w:spacing w:before="60" w:after="60"/>
              <w:jc w:val="center"/>
              <w:rPr>
                <w:rFonts w:ascii="Arial" w:hAnsi="Arial" w:cs="Arial"/>
                <w:i/>
                <w:iCs/>
                <w:sz w:val="22"/>
                <w:szCs w:val="22"/>
              </w:rPr>
            </w:pPr>
            <w:r>
              <w:rPr>
                <w:rFonts w:ascii="Arial" w:hAnsi="Arial"/>
                <w:i/>
                <w:sz w:val="22"/>
              </w:rPr>
              <w:t>Indicateurs (références)</w:t>
            </w:r>
            <w:r>
              <w:rPr>
                <w:rFonts w:ascii="Arial" w:hAnsi="Arial" w:cs="Arial"/>
                <w:i/>
                <w:iCs/>
                <w:sz w:val="22"/>
                <w:szCs w:val="22"/>
              </w:rPr>
              <w:br/>
            </w:r>
            <w:r>
              <w:rPr>
                <w:rFonts w:ascii="Arial" w:hAnsi="Arial"/>
                <w:i/>
                <w:sz w:val="22"/>
              </w:rPr>
              <w:t>Du 1</w:t>
            </w:r>
            <w:r>
              <w:rPr>
                <w:rFonts w:ascii="Arial" w:hAnsi="Arial"/>
                <w:i/>
                <w:sz w:val="22"/>
                <w:vertAlign w:val="superscript"/>
              </w:rPr>
              <w:t>er</w:t>
            </w:r>
            <w:r>
              <w:rPr>
                <w:rFonts w:ascii="Arial" w:hAnsi="Arial"/>
                <w:i/>
                <w:sz w:val="22"/>
              </w:rPr>
              <w:t> janvier 2018 au 30 juin 2018</w:t>
            </w:r>
          </w:p>
        </w:tc>
      </w:tr>
      <w:tr w:rsidR="008A6D2F" w:rsidRPr="00132152" w14:paraId="2ABC2C61" w14:textId="77777777" w:rsidTr="00F82A28">
        <w:trPr>
          <w:cantSplit/>
        </w:trPr>
        <w:tc>
          <w:tcPr>
            <w:tcW w:w="363" w:type="pct"/>
            <w:shd w:val="clear" w:color="auto" w:fill="auto"/>
            <w:vAlign w:val="center"/>
          </w:tcPr>
          <w:p w14:paraId="27907E59" w14:textId="77777777" w:rsidR="008A6D2F" w:rsidRPr="00696A00" w:rsidRDefault="008A6D2F">
            <w:pPr>
              <w:spacing w:before="60" w:after="60"/>
              <w:jc w:val="center"/>
              <w:rPr>
                <w:rFonts w:ascii="Arial" w:hAnsi="Arial" w:cs="Arial"/>
                <w:iCs/>
                <w:sz w:val="22"/>
                <w:szCs w:val="22"/>
              </w:rPr>
            </w:pPr>
            <w:r>
              <w:rPr>
                <w:rFonts w:ascii="Arial" w:hAnsi="Arial"/>
                <w:sz w:val="22"/>
              </w:rPr>
              <w:t>4.1</w:t>
            </w:r>
          </w:p>
        </w:tc>
        <w:tc>
          <w:tcPr>
            <w:tcW w:w="2318" w:type="pct"/>
            <w:gridSpan w:val="2"/>
            <w:shd w:val="clear" w:color="auto" w:fill="auto"/>
            <w:vAlign w:val="center"/>
          </w:tcPr>
          <w:p w14:paraId="6D4BE948" w14:textId="606718D0" w:rsidR="008A6D2F" w:rsidRPr="00696A00" w:rsidRDefault="008A6D2F">
            <w:pPr>
              <w:spacing w:before="60" w:after="60"/>
              <w:rPr>
                <w:rFonts w:ascii="Arial" w:hAnsi="Arial" w:cs="Arial"/>
                <w:color w:val="000000"/>
                <w:sz w:val="22"/>
                <w:szCs w:val="22"/>
              </w:rPr>
            </w:pPr>
            <w:r>
              <w:rPr>
                <w:rFonts w:ascii="Arial" w:hAnsi="Arial"/>
                <w:color w:val="000000"/>
                <w:sz w:val="22"/>
              </w:rPr>
              <w:t>Mise en œuvre de la stratégie d'information pour promouvoir les objectifs de la Convention et s'engager de façon efficace auprès des parties prenantes</w:t>
            </w:r>
          </w:p>
        </w:tc>
        <w:tc>
          <w:tcPr>
            <w:tcW w:w="2319" w:type="pct"/>
            <w:shd w:val="clear" w:color="auto" w:fill="auto"/>
            <w:vAlign w:val="center"/>
          </w:tcPr>
          <w:p w14:paraId="14415DE7" w14:textId="6E2FBF6C" w:rsidR="008A6D2F" w:rsidRPr="00C06F15" w:rsidRDefault="004D204A">
            <w:pPr>
              <w:pStyle w:val="ListParagraph"/>
              <w:numPr>
                <w:ilvl w:val="0"/>
                <w:numId w:val="7"/>
              </w:numPr>
              <w:spacing w:before="60" w:after="60"/>
              <w:ind w:left="357" w:hanging="357"/>
              <w:contextualSpacing w:val="0"/>
              <w:rPr>
                <w:rFonts w:ascii="Arial" w:hAnsi="Arial" w:cs="Arial"/>
                <w:iCs/>
                <w:sz w:val="22"/>
                <w:szCs w:val="22"/>
              </w:rPr>
            </w:pPr>
            <w:r w:rsidRPr="009C7F4B">
              <w:rPr>
                <w:rFonts w:ascii="Arial" w:hAnsi="Arial" w:cs="Arial"/>
                <w:iCs/>
                <w:sz w:val="22"/>
                <w:szCs w:val="22"/>
              </w:rPr>
              <w:t>Matériels de sensibilisation conçus et produits</w:t>
            </w:r>
            <w:r w:rsidDel="004D204A">
              <w:rPr>
                <w:rFonts w:ascii="Arial" w:hAnsi="Arial"/>
                <w:sz w:val="22"/>
              </w:rPr>
              <w:t xml:space="preserve"> </w:t>
            </w:r>
            <w:r w:rsidR="008A6D2F">
              <w:rPr>
                <w:rFonts w:ascii="Arial" w:hAnsi="Arial"/>
                <w:sz w:val="22"/>
              </w:rPr>
              <w:t>(B = 2)</w:t>
            </w:r>
          </w:p>
        </w:tc>
      </w:tr>
    </w:tbl>
    <w:p w14:paraId="6984C053" w14:textId="77777777" w:rsidR="001E0F72" w:rsidRPr="00696A00" w:rsidRDefault="001E0F72" w:rsidP="001E0F72">
      <w:pPr>
        <w:pStyle w:val="Marge"/>
        <w:tabs>
          <w:tab w:val="clear" w:pos="567"/>
        </w:tabs>
        <w:spacing w:before="120" w:after="120"/>
        <w:rPr>
          <w:rFonts w:cs="Arial"/>
          <w:b/>
          <w:bCs/>
          <w:szCs w:val="22"/>
        </w:rPr>
      </w:pPr>
    </w:p>
    <w:sectPr w:rsidR="001E0F72" w:rsidRPr="00696A00" w:rsidSect="00C852FB">
      <w:headerReference w:type="even" r:id="rId23"/>
      <w:headerReference w:type="first" r:id="rId24"/>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94F37" w14:textId="77777777" w:rsidR="00684ACE" w:rsidRDefault="00684ACE" w:rsidP="00655736">
      <w:r>
        <w:separator/>
      </w:r>
    </w:p>
  </w:endnote>
  <w:endnote w:type="continuationSeparator" w:id="0">
    <w:p w14:paraId="503F9DAA" w14:textId="77777777" w:rsidR="00684ACE" w:rsidRDefault="00684ACE"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8D869" w14:textId="77777777" w:rsidR="00684ACE" w:rsidRDefault="00684ACE" w:rsidP="00655736">
      <w:r>
        <w:separator/>
      </w:r>
    </w:p>
  </w:footnote>
  <w:footnote w:type="continuationSeparator" w:id="0">
    <w:p w14:paraId="1D6D9399" w14:textId="77777777" w:rsidR="00684ACE" w:rsidRDefault="00684ACE"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78678" w14:textId="50C2E5E9" w:rsidR="00684ACE" w:rsidRPr="00C23A97" w:rsidRDefault="00684ACE">
    <w:pPr>
      <w:pStyle w:val="Header"/>
      <w:rPr>
        <w:rFonts w:ascii="Arial" w:hAnsi="Arial" w:cs="Arial"/>
      </w:rPr>
    </w:pPr>
    <w:r>
      <w:rPr>
        <w:rFonts w:ascii="Arial" w:hAnsi="Arial"/>
        <w:sz w:val="22"/>
      </w:rPr>
      <w:t>ITH/17/12.COM/2.BUR/</w:t>
    </w:r>
    <w:r w:rsidR="001A36EE">
      <w:rPr>
        <w:rFonts w:ascii="Arial" w:hAnsi="Arial"/>
        <w:sz w:val="22"/>
      </w:rPr>
      <w:t>3</w:t>
    </w:r>
    <w:r>
      <w:rPr>
        <w:rFonts w:ascii="Arial" w:hAnsi="Arial"/>
        <w:sz w:val="20"/>
      </w:rPr>
      <w:t xml:space="preserve"> – page </w:t>
    </w:r>
    <w:r w:rsidRPr="00C23A97">
      <w:rPr>
        <w:rStyle w:val="PageNumber"/>
        <w:rFonts w:ascii="Arial" w:hAnsi="Arial" w:cs="Arial"/>
        <w:sz w:val="20"/>
        <w:szCs w:val="20"/>
      </w:rPr>
      <w:fldChar w:fldCharType="begin"/>
    </w:r>
    <w:r w:rsidRPr="00C23A97">
      <w:rPr>
        <w:rStyle w:val="PageNumber"/>
        <w:rFonts w:ascii="Arial" w:hAnsi="Arial" w:cs="Arial"/>
        <w:sz w:val="20"/>
        <w:szCs w:val="20"/>
      </w:rPr>
      <w:instrText xml:space="preserve"> PAGE </w:instrText>
    </w:r>
    <w:r w:rsidRPr="00C23A97">
      <w:rPr>
        <w:rStyle w:val="PageNumber"/>
        <w:rFonts w:ascii="Arial" w:hAnsi="Arial" w:cs="Arial"/>
        <w:sz w:val="20"/>
        <w:szCs w:val="20"/>
      </w:rPr>
      <w:fldChar w:fldCharType="separate"/>
    </w:r>
    <w:r w:rsidR="003E4792">
      <w:rPr>
        <w:rStyle w:val="PageNumber"/>
        <w:rFonts w:ascii="Arial" w:hAnsi="Arial" w:cs="Arial"/>
        <w:noProof/>
        <w:sz w:val="20"/>
        <w:szCs w:val="20"/>
      </w:rPr>
      <w:t>8</w:t>
    </w:r>
    <w:r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92A18" w14:textId="45FE0438" w:rsidR="00684ACE" w:rsidRPr="0063300C" w:rsidRDefault="00684ACE" w:rsidP="0063300C">
    <w:pPr>
      <w:pStyle w:val="Header"/>
      <w:jc w:val="right"/>
      <w:rPr>
        <w:rFonts w:ascii="Arial" w:hAnsi="Arial" w:cs="Arial"/>
      </w:rPr>
    </w:pPr>
    <w:r>
      <w:rPr>
        <w:rFonts w:ascii="Arial" w:hAnsi="Arial"/>
        <w:sz w:val="22"/>
      </w:rPr>
      <w:t>ITH/17/12.COM/2.BUR/</w:t>
    </w:r>
    <w:r w:rsidR="007F18A1">
      <w:rPr>
        <w:rFonts w:ascii="Arial" w:hAnsi="Arial"/>
        <w:sz w:val="22"/>
      </w:rPr>
      <w:t>3</w:t>
    </w:r>
    <w:r>
      <w:rPr>
        <w:rFonts w:ascii="Arial" w:hAnsi="Arial"/>
        <w:sz w:val="20"/>
      </w:rPr>
      <w:t xml:space="preserve"> – page </w:t>
    </w:r>
    <w:r w:rsidRPr="0063300C">
      <w:rPr>
        <w:rStyle w:val="PageNumber"/>
        <w:rFonts w:ascii="Arial" w:hAnsi="Arial" w:cs="Arial"/>
        <w:sz w:val="20"/>
        <w:szCs w:val="20"/>
      </w:rPr>
      <w:fldChar w:fldCharType="begin"/>
    </w:r>
    <w:r w:rsidRPr="0063300C">
      <w:rPr>
        <w:rStyle w:val="PageNumber"/>
        <w:rFonts w:ascii="Arial" w:hAnsi="Arial" w:cs="Arial"/>
        <w:sz w:val="20"/>
        <w:szCs w:val="20"/>
      </w:rPr>
      <w:instrText xml:space="preserve"> PAGE </w:instrText>
    </w:r>
    <w:r w:rsidRPr="0063300C">
      <w:rPr>
        <w:rStyle w:val="PageNumber"/>
        <w:rFonts w:ascii="Arial" w:hAnsi="Arial" w:cs="Arial"/>
        <w:sz w:val="20"/>
        <w:szCs w:val="20"/>
      </w:rPr>
      <w:fldChar w:fldCharType="separate"/>
    </w:r>
    <w:r w:rsidR="003E4792">
      <w:rPr>
        <w:rStyle w:val="PageNumber"/>
        <w:rFonts w:ascii="Arial" w:hAnsi="Arial" w:cs="Arial"/>
        <w:noProof/>
        <w:sz w:val="20"/>
        <w:szCs w:val="20"/>
      </w:rPr>
      <w:t>11</w:t>
    </w:r>
    <w:r w:rsidRPr="0063300C">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7B630" w14:textId="77777777" w:rsidR="00684ACE" w:rsidRPr="00F32C23" w:rsidRDefault="00684ACE">
    <w:pPr>
      <w:pStyle w:val="Header"/>
    </w:pPr>
    <w:r>
      <w:rPr>
        <w:noProof/>
        <w:lang w:bidi="ar-SA"/>
      </w:rPr>
      <w:drawing>
        <wp:anchor distT="0" distB="0" distL="114300" distR="114300" simplePos="0" relativeHeight="251657728" behindDoc="0" locked="0" layoutInCell="1" allowOverlap="1" wp14:anchorId="284035FC" wp14:editId="4263DBEA">
          <wp:simplePos x="0" y="0"/>
          <wp:positionH relativeFrom="column">
            <wp:posOffset>-567690</wp:posOffset>
          </wp:positionH>
          <wp:positionV relativeFrom="paragraph">
            <wp:posOffset>3810</wp:posOffset>
          </wp:positionV>
          <wp:extent cx="2228215" cy="1367790"/>
          <wp:effectExtent l="0" t="0" r="635" b="3810"/>
          <wp:wrapNone/>
          <wp:docPr id="2"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anchor>
      </w:drawing>
    </w:r>
  </w:p>
  <w:p w14:paraId="51A528FA" w14:textId="77777777" w:rsidR="00684ACE" w:rsidRPr="008F6A4D" w:rsidRDefault="00684ACE" w:rsidP="00655736">
    <w:pPr>
      <w:pStyle w:val="Header"/>
      <w:spacing w:after="520"/>
      <w:jc w:val="right"/>
      <w:rPr>
        <w:rFonts w:ascii="Arial" w:hAnsi="Arial" w:cs="Arial"/>
        <w:b/>
        <w:sz w:val="44"/>
        <w:szCs w:val="44"/>
        <w:lang w:val="en-US"/>
      </w:rPr>
    </w:pPr>
    <w:r w:rsidRPr="008F6A4D">
      <w:rPr>
        <w:rFonts w:ascii="Arial" w:hAnsi="Arial"/>
        <w:b/>
        <w:sz w:val="44"/>
        <w:lang w:val="en-US"/>
      </w:rPr>
      <w:t>12 COM 2 BUR</w:t>
    </w:r>
  </w:p>
  <w:p w14:paraId="4821DAFB" w14:textId="1208BBF6" w:rsidR="00684ACE" w:rsidRPr="00063F02" w:rsidRDefault="00684ACE" w:rsidP="00655736">
    <w:pPr>
      <w:jc w:val="right"/>
      <w:rPr>
        <w:rFonts w:ascii="Arial" w:hAnsi="Arial" w:cs="Arial"/>
        <w:b/>
        <w:sz w:val="22"/>
        <w:szCs w:val="22"/>
        <w:lang w:val="en-US"/>
      </w:rPr>
    </w:pPr>
    <w:r w:rsidRPr="00063F02">
      <w:rPr>
        <w:rFonts w:ascii="Arial" w:hAnsi="Arial"/>
        <w:b/>
        <w:sz w:val="22"/>
        <w:lang w:val="en-US"/>
      </w:rPr>
      <w:t>ITH/17/12.COM/2.BUR/3</w:t>
    </w:r>
  </w:p>
  <w:p w14:paraId="55DAB90E" w14:textId="2CFE2D05" w:rsidR="00684ACE" w:rsidRPr="00063F02" w:rsidRDefault="00684ACE" w:rsidP="00655736">
    <w:pPr>
      <w:jc w:val="right"/>
      <w:rPr>
        <w:rFonts w:ascii="Arial" w:hAnsi="Arial" w:cs="Arial"/>
        <w:b/>
        <w:sz w:val="22"/>
        <w:szCs w:val="22"/>
      </w:rPr>
    </w:pPr>
    <w:r w:rsidRPr="00063F02">
      <w:rPr>
        <w:rFonts w:ascii="Arial" w:hAnsi="Arial"/>
        <w:b/>
        <w:sz w:val="22"/>
      </w:rPr>
      <w:t xml:space="preserve">Paris, le </w:t>
    </w:r>
    <w:r w:rsidR="00063F02" w:rsidRPr="00063F02">
      <w:rPr>
        <w:rFonts w:ascii="Arial" w:hAnsi="Arial"/>
        <w:b/>
        <w:sz w:val="22"/>
      </w:rPr>
      <w:t>19</w:t>
    </w:r>
    <w:r w:rsidRPr="00063F02">
      <w:rPr>
        <w:rFonts w:ascii="Arial" w:hAnsi="Arial"/>
        <w:b/>
        <w:sz w:val="22"/>
      </w:rPr>
      <w:t> mai 2017</w:t>
    </w:r>
  </w:p>
  <w:p w14:paraId="42FA412D" w14:textId="77777777" w:rsidR="00684ACE" w:rsidRPr="00F32C23" w:rsidRDefault="00684ACE" w:rsidP="000048ED">
    <w:pPr>
      <w:jc w:val="right"/>
      <w:rPr>
        <w:rFonts w:ascii="Arial" w:hAnsi="Arial" w:cs="Arial"/>
        <w:b/>
        <w:sz w:val="22"/>
        <w:szCs w:val="22"/>
      </w:rPr>
    </w:pPr>
    <w:r w:rsidRPr="00063F02">
      <w:rPr>
        <w:rFonts w:ascii="Arial" w:hAnsi="Arial"/>
        <w:b/>
        <w:sz w:val="22"/>
      </w:rPr>
      <w:t>Original : anglais</w:t>
    </w:r>
  </w:p>
  <w:p w14:paraId="15A33531" w14:textId="77777777" w:rsidR="00684ACE" w:rsidRPr="00350080" w:rsidRDefault="00684ACE" w:rsidP="00840869">
    <w:pPr>
      <w:pStyle w:val="Header"/>
      <w:tabs>
        <w:tab w:val="clear" w:pos="4536"/>
        <w:tab w:val="left" w:pos="993"/>
        <w:tab w:val="right" w:pos="5245"/>
      </w:tabs>
      <w:rPr>
        <w:rFonts w:ascii="Arial" w:hAnsi="Arial" w:cs="Arial"/>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DBF8F" w14:textId="77777777" w:rsidR="00684ACE" w:rsidRDefault="00684A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90AE3" w14:textId="77777777" w:rsidR="00684ACE" w:rsidRPr="00F32C23" w:rsidRDefault="00684ACE">
    <w:pPr>
      <w:pStyle w:val="Header"/>
    </w:pPr>
    <w:r>
      <w:rPr>
        <w:noProof/>
        <w:lang w:bidi="ar-SA"/>
      </w:rPr>
      <w:drawing>
        <wp:anchor distT="0" distB="0" distL="114300" distR="114300" simplePos="0" relativeHeight="251663872" behindDoc="0" locked="0" layoutInCell="1" allowOverlap="1" wp14:anchorId="2CD03621" wp14:editId="4AB9578B">
          <wp:simplePos x="0" y="0"/>
          <wp:positionH relativeFrom="column">
            <wp:posOffset>-567690</wp:posOffset>
          </wp:positionH>
          <wp:positionV relativeFrom="paragraph">
            <wp:posOffset>3810</wp:posOffset>
          </wp:positionV>
          <wp:extent cx="2228215" cy="1367790"/>
          <wp:effectExtent l="0" t="0" r="635" b="3810"/>
          <wp:wrapNone/>
          <wp:docPr id="7" name="Picture 7"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anchor>
      </w:drawing>
    </w:r>
  </w:p>
  <w:p w14:paraId="17237272" w14:textId="77777777" w:rsidR="00684ACE" w:rsidRPr="008F6A4D" w:rsidRDefault="00684ACE" w:rsidP="00655736">
    <w:pPr>
      <w:pStyle w:val="Header"/>
      <w:spacing w:after="520"/>
      <w:jc w:val="right"/>
      <w:rPr>
        <w:rFonts w:ascii="Arial" w:hAnsi="Arial" w:cs="Arial"/>
        <w:b/>
        <w:sz w:val="44"/>
        <w:szCs w:val="44"/>
        <w:lang w:val="en-US"/>
      </w:rPr>
    </w:pPr>
    <w:r w:rsidRPr="008F6A4D">
      <w:rPr>
        <w:rFonts w:ascii="Arial" w:hAnsi="Arial"/>
        <w:b/>
        <w:sz w:val="44"/>
        <w:lang w:val="en-US"/>
      </w:rPr>
      <w:t>11 COM 2 BUR</w:t>
    </w:r>
  </w:p>
  <w:p w14:paraId="45EA39EF" w14:textId="77777777" w:rsidR="00684ACE" w:rsidRPr="008F6A4D" w:rsidRDefault="00684ACE" w:rsidP="00655736">
    <w:pPr>
      <w:jc w:val="right"/>
      <w:rPr>
        <w:rFonts w:ascii="Arial" w:hAnsi="Arial" w:cs="Arial"/>
        <w:b/>
        <w:sz w:val="22"/>
        <w:szCs w:val="22"/>
        <w:lang w:val="en-US"/>
      </w:rPr>
    </w:pPr>
    <w:r w:rsidRPr="008F6A4D">
      <w:rPr>
        <w:rFonts w:ascii="Arial" w:hAnsi="Arial"/>
        <w:b/>
        <w:sz w:val="22"/>
        <w:lang w:val="en-US"/>
      </w:rPr>
      <w:t>ITH/16/11.COM 2.BUR/</w:t>
    </w:r>
    <w:r w:rsidRPr="008F6A4D">
      <w:rPr>
        <w:rFonts w:ascii="Arial" w:hAnsi="Arial"/>
        <w:b/>
        <w:sz w:val="22"/>
        <w:highlight w:val="yellow"/>
        <w:lang w:val="en-US"/>
      </w:rPr>
      <w:t>X</w:t>
    </w:r>
  </w:p>
  <w:p w14:paraId="45BD5A58" w14:textId="77777777" w:rsidR="00684ACE" w:rsidRPr="00F32C23" w:rsidRDefault="00684ACE" w:rsidP="00655736">
    <w:pPr>
      <w:jc w:val="right"/>
      <w:rPr>
        <w:rFonts w:ascii="Arial" w:hAnsi="Arial" w:cs="Arial"/>
        <w:b/>
        <w:sz w:val="22"/>
        <w:szCs w:val="22"/>
      </w:rPr>
    </w:pPr>
    <w:r>
      <w:rPr>
        <w:rFonts w:ascii="Arial" w:hAnsi="Arial"/>
        <w:b/>
        <w:sz w:val="22"/>
      </w:rPr>
      <w:t>Paris, le 2 juin 2016</w:t>
    </w:r>
  </w:p>
  <w:p w14:paraId="0C3FB79E" w14:textId="77777777" w:rsidR="00684ACE" w:rsidRPr="00F32C23" w:rsidRDefault="00684ACE" w:rsidP="000048ED">
    <w:pPr>
      <w:jc w:val="right"/>
      <w:rPr>
        <w:rFonts w:ascii="Arial" w:hAnsi="Arial" w:cs="Arial"/>
        <w:b/>
        <w:sz w:val="22"/>
        <w:szCs w:val="22"/>
      </w:rPr>
    </w:pPr>
    <w:r>
      <w:rPr>
        <w:rFonts w:ascii="Arial" w:hAnsi="Arial"/>
        <w:b/>
        <w:sz w:val="22"/>
      </w:rPr>
      <w:t>Original : anglais</w:t>
    </w:r>
  </w:p>
  <w:p w14:paraId="0373CD1E" w14:textId="0B141205" w:rsidR="00684ACE" w:rsidRDefault="00684ACE" w:rsidP="00350080">
    <w:pPr>
      <w:pStyle w:val="Header"/>
      <w:spacing w:before="600"/>
      <w:rPr>
        <w:rFonts w:ascii="Arial" w:hAnsi="Arial" w:cs="Arial"/>
        <w:sz w:val="22"/>
        <w:szCs w:val="22"/>
      </w:rPr>
    </w:pPr>
    <w:r>
      <w:rPr>
        <w:rFonts w:ascii="Arial" w:hAnsi="Arial"/>
        <w:sz w:val="22"/>
      </w:rPr>
      <w:t xml:space="preserve">Rédigé par </w:t>
    </w:r>
    <w:proofErr w:type="spellStart"/>
    <w:r>
      <w:rPr>
        <w:rFonts w:ascii="Arial" w:hAnsi="Arial"/>
        <w:sz w:val="22"/>
      </w:rPr>
      <w:t>BdS</w:t>
    </w:r>
    <w:proofErr w:type="spellEnd"/>
    <w:r>
      <w:rPr>
        <w:rFonts w:ascii="Arial" w:hAnsi="Arial"/>
        <w:sz w:val="22"/>
      </w:rPr>
      <w:t xml:space="preserve"> </w:t>
    </w:r>
    <w:r>
      <w:rPr>
        <w:rFonts w:ascii="Arial" w:hAnsi="Arial" w:cs="Arial"/>
        <w:sz w:val="22"/>
        <w:szCs w:val="22"/>
      </w:rPr>
      <w:fldChar w:fldCharType="begin"/>
    </w:r>
    <w:r>
      <w:rPr>
        <w:rFonts w:ascii="Arial" w:hAnsi="Arial" w:cs="Arial"/>
        <w:sz w:val="22"/>
        <w:szCs w:val="22"/>
      </w:rPr>
      <w:instrText xml:space="preserve"> DATE \@ "yyyy-MM-dd" </w:instrText>
    </w:r>
    <w:r>
      <w:rPr>
        <w:rFonts w:ascii="Arial" w:hAnsi="Arial" w:cs="Arial"/>
        <w:sz w:val="22"/>
        <w:szCs w:val="22"/>
      </w:rPr>
      <w:fldChar w:fldCharType="separate"/>
    </w:r>
    <w:r w:rsidR="003E4792">
      <w:rPr>
        <w:rFonts w:ascii="Arial" w:hAnsi="Arial" w:cs="Arial"/>
        <w:noProof/>
        <w:sz w:val="22"/>
        <w:szCs w:val="22"/>
      </w:rPr>
      <w:t>2017-05-19</w:t>
    </w:r>
    <w:r>
      <w:rPr>
        <w:rFonts w:ascii="Arial" w:hAnsi="Arial" w:cs="Arial"/>
        <w:sz w:val="22"/>
        <w:szCs w:val="22"/>
      </w:rPr>
      <w:fldChar w:fldCharType="end"/>
    </w:r>
  </w:p>
  <w:p w14:paraId="0C90AB87" w14:textId="7BAD4005" w:rsidR="00684ACE" w:rsidRDefault="00684ACE" w:rsidP="00350080">
    <w:pPr>
      <w:pStyle w:val="Header"/>
      <w:tabs>
        <w:tab w:val="clear" w:pos="4536"/>
        <w:tab w:val="left" w:pos="993"/>
        <w:tab w:val="right" w:pos="5245"/>
      </w:tabs>
      <w:spacing w:before="120" w:after="120"/>
      <w:rPr>
        <w:rFonts w:ascii="Arial" w:hAnsi="Arial" w:cs="Arial"/>
        <w:sz w:val="22"/>
        <w:szCs w:val="22"/>
      </w:rPr>
    </w:pPr>
    <w:r>
      <w:rPr>
        <w:rFonts w:ascii="Arial" w:hAnsi="Arial"/>
        <w:sz w:val="22"/>
      </w:rPr>
      <w:t>Visa de</w:t>
    </w:r>
    <w:r>
      <w:tab/>
    </w:r>
    <w:r>
      <w:rPr>
        <w:rFonts w:ascii="Arial" w:hAnsi="Arial"/>
        <w:sz w:val="22"/>
      </w:rPr>
      <w:t xml:space="preserve">CLT/CRE/ITH, Chef de l’Unité des publications </w:t>
    </w:r>
    <w:r>
      <w:tab/>
    </w:r>
    <w:r>
      <w:rPr>
        <w:rFonts w:ascii="Arial" w:hAnsi="Arial"/>
        <w:sz w:val="22"/>
      </w:rPr>
      <w:t>_________</w:t>
    </w:r>
  </w:p>
  <w:p w14:paraId="2511134A" w14:textId="77777777" w:rsidR="00684ACE" w:rsidRPr="008F6A4D" w:rsidRDefault="00684ACE" w:rsidP="00350080">
    <w:pPr>
      <w:pStyle w:val="Header"/>
      <w:tabs>
        <w:tab w:val="clear" w:pos="4536"/>
        <w:tab w:val="left" w:pos="993"/>
        <w:tab w:val="right" w:pos="5245"/>
      </w:tabs>
      <w:spacing w:before="120" w:after="120"/>
      <w:rPr>
        <w:rFonts w:ascii="Arial" w:hAnsi="Arial" w:cs="Arial"/>
        <w:sz w:val="22"/>
        <w:szCs w:val="22"/>
        <w:lang w:val="en-US"/>
      </w:rPr>
    </w:pPr>
    <w:r>
      <w:tab/>
    </w:r>
    <w:r w:rsidRPr="008F6A4D">
      <w:rPr>
        <w:rFonts w:ascii="Arial" w:hAnsi="Arial"/>
        <w:sz w:val="22"/>
        <w:lang w:val="en-US"/>
      </w:rPr>
      <w:t>Chef CLT/CRE/ITH</w:t>
    </w:r>
    <w:r w:rsidRPr="008F6A4D">
      <w:rPr>
        <w:lang w:val="en-US"/>
      </w:rPr>
      <w:tab/>
    </w:r>
    <w:r w:rsidRPr="008F6A4D">
      <w:rPr>
        <w:rFonts w:ascii="Arial" w:hAnsi="Arial"/>
        <w:sz w:val="22"/>
        <w:lang w:val="en-US"/>
      </w:rPr>
      <w:t>__________________</w:t>
    </w:r>
  </w:p>
  <w:p w14:paraId="1B1DCF08" w14:textId="77777777" w:rsidR="00684ACE" w:rsidRPr="008F6A4D" w:rsidRDefault="00684ACE" w:rsidP="00350080">
    <w:pPr>
      <w:pStyle w:val="Header"/>
      <w:tabs>
        <w:tab w:val="clear" w:pos="4536"/>
        <w:tab w:val="left" w:pos="993"/>
        <w:tab w:val="right" w:pos="5245"/>
      </w:tabs>
      <w:spacing w:before="120" w:after="120"/>
      <w:rPr>
        <w:rFonts w:ascii="Arial" w:hAnsi="Arial" w:cs="Arial"/>
        <w:sz w:val="22"/>
        <w:szCs w:val="22"/>
        <w:lang w:val="en-US"/>
      </w:rPr>
    </w:pPr>
    <w:r w:rsidRPr="008F6A4D">
      <w:rPr>
        <w:lang w:val="en-US"/>
      </w:rPr>
      <w:tab/>
    </w:r>
    <w:r w:rsidRPr="008F6A4D">
      <w:rPr>
        <w:rFonts w:ascii="Arial" w:hAnsi="Arial"/>
        <w:sz w:val="22"/>
        <w:lang w:val="en-US"/>
      </w:rPr>
      <w:t>ADG/CLT</w:t>
    </w:r>
    <w:r w:rsidRPr="008F6A4D">
      <w:rPr>
        <w:lang w:val="en-US"/>
      </w:rPr>
      <w:tab/>
    </w:r>
    <w:r w:rsidRPr="008F6A4D">
      <w:rPr>
        <w:rFonts w:ascii="Arial" w:hAnsi="Arial"/>
        <w:sz w:val="22"/>
        <w:lang w:val="en-US"/>
      </w:rPr>
      <w:t>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26F960B4"/>
    <w:multiLevelType w:val="hybridMultilevel"/>
    <w:tmpl w:val="AA46D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3AC30BD2"/>
    <w:multiLevelType w:val="hybridMultilevel"/>
    <w:tmpl w:val="27C40886"/>
    <w:lvl w:ilvl="0" w:tplc="F2A68DC4">
      <w:start w:val="1"/>
      <w:numFmt w:val="upperRoman"/>
      <w:pStyle w:val="Heading4"/>
      <w:lvlText w:val="%1."/>
      <w:lvlJc w:val="left"/>
      <w:pPr>
        <w:ind w:left="36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DC778C2"/>
    <w:multiLevelType w:val="hybridMultilevel"/>
    <w:tmpl w:val="08B2D8F0"/>
    <w:lvl w:ilvl="0" w:tplc="24D08236">
      <w:start w:val="1"/>
      <w:numFmt w:val="decimal"/>
      <w:pStyle w:val="Paragraph"/>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E3447DA"/>
    <w:multiLevelType w:val="hybridMultilevel"/>
    <w:tmpl w:val="E0FE2928"/>
    <w:lvl w:ilvl="0" w:tplc="35960A5A">
      <w:start w:val="1"/>
      <w:numFmt w:val="decimal"/>
      <w:pStyle w:val="5GAparabodytext"/>
      <w:lvlText w:val="%1."/>
      <w:lvlJc w:val="left"/>
      <w:pPr>
        <w:ind w:left="720" w:hanging="360"/>
      </w:pPr>
      <w:rPr>
        <w:rFonts w:ascii="Arial" w:hAnsi="Arial" w:cs="Arial" w:hint="default"/>
        <w:b w:val="0"/>
        <w:i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E8120B4"/>
    <w:multiLevelType w:val="hybridMultilevel"/>
    <w:tmpl w:val="1966DD76"/>
    <w:lvl w:ilvl="0" w:tplc="AD0E9A7C">
      <w:start w:val="1"/>
      <w:numFmt w:val="decimal"/>
      <w:lvlText w:val="%1."/>
      <w:lvlJc w:val="left"/>
      <w:pPr>
        <w:ind w:left="1070" w:hanging="360"/>
      </w:pPr>
      <w:rPr>
        <w:rFonts w:ascii="Arial" w:hAnsi="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37765A9"/>
    <w:multiLevelType w:val="hybridMultilevel"/>
    <w:tmpl w:val="99E09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3B82CF8"/>
    <w:multiLevelType w:val="hybridMultilevel"/>
    <w:tmpl w:val="E90895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 w:numId="7">
    <w:abstractNumId w:val="8"/>
  </w:num>
  <w:num w:numId="8">
    <w:abstractNumId w:val="6"/>
  </w:num>
  <w:num w:numId="9">
    <w:abstractNumId w:val="9"/>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29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1AAF"/>
    <w:rsid w:val="00002055"/>
    <w:rsid w:val="000048ED"/>
    <w:rsid w:val="00005E68"/>
    <w:rsid w:val="00007575"/>
    <w:rsid w:val="00014871"/>
    <w:rsid w:val="000151EE"/>
    <w:rsid w:val="00020E05"/>
    <w:rsid w:val="00023C5A"/>
    <w:rsid w:val="000264B6"/>
    <w:rsid w:val="0003096A"/>
    <w:rsid w:val="00030FFC"/>
    <w:rsid w:val="000338B3"/>
    <w:rsid w:val="00035902"/>
    <w:rsid w:val="00037466"/>
    <w:rsid w:val="00041A66"/>
    <w:rsid w:val="000430CB"/>
    <w:rsid w:val="00045281"/>
    <w:rsid w:val="0005176E"/>
    <w:rsid w:val="00052E50"/>
    <w:rsid w:val="0005302A"/>
    <w:rsid w:val="00053C9F"/>
    <w:rsid w:val="00056738"/>
    <w:rsid w:val="00057D3E"/>
    <w:rsid w:val="00060C9A"/>
    <w:rsid w:val="0006228E"/>
    <w:rsid w:val="00062E12"/>
    <w:rsid w:val="000632F7"/>
    <w:rsid w:val="00063F02"/>
    <w:rsid w:val="0007613B"/>
    <w:rsid w:val="000765F7"/>
    <w:rsid w:val="00077614"/>
    <w:rsid w:val="00077AB7"/>
    <w:rsid w:val="00081CD8"/>
    <w:rsid w:val="000871F1"/>
    <w:rsid w:val="000A3B79"/>
    <w:rsid w:val="000A6B14"/>
    <w:rsid w:val="000A7F0E"/>
    <w:rsid w:val="000B1C8F"/>
    <w:rsid w:val="000B455B"/>
    <w:rsid w:val="000C03D8"/>
    <w:rsid w:val="000C0D61"/>
    <w:rsid w:val="000C1058"/>
    <w:rsid w:val="000C4151"/>
    <w:rsid w:val="000C4CC6"/>
    <w:rsid w:val="000D7030"/>
    <w:rsid w:val="000E5C15"/>
    <w:rsid w:val="000F19FD"/>
    <w:rsid w:val="000F380E"/>
    <w:rsid w:val="000F3A3F"/>
    <w:rsid w:val="001023C3"/>
    <w:rsid w:val="00102557"/>
    <w:rsid w:val="001025CB"/>
    <w:rsid w:val="00104B05"/>
    <w:rsid w:val="001135E0"/>
    <w:rsid w:val="00117945"/>
    <w:rsid w:val="00123C77"/>
    <w:rsid w:val="00124A1D"/>
    <w:rsid w:val="00124AF4"/>
    <w:rsid w:val="0012612E"/>
    <w:rsid w:val="00132152"/>
    <w:rsid w:val="001342C1"/>
    <w:rsid w:val="0013608A"/>
    <w:rsid w:val="00137005"/>
    <w:rsid w:val="00141DE9"/>
    <w:rsid w:val="00153F98"/>
    <w:rsid w:val="00154570"/>
    <w:rsid w:val="00154E7B"/>
    <w:rsid w:val="00155972"/>
    <w:rsid w:val="00157C0F"/>
    <w:rsid w:val="00162095"/>
    <w:rsid w:val="00164189"/>
    <w:rsid w:val="00164D56"/>
    <w:rsid w:val="00165804"/>
    <w:rsid w:val="00167B10"/>
    <w:rsid w:val="0017170F"/>
    <w:rsid w:val="0017402F"/>
    <w:rsid w:val="001774AD"/>
    <w:rsid w:val="00191E17"/>
    <w:rsid w:val="00194247"/>
    <w:rsid w:val="00194969"/>
    <w:rsid w:val="001956CB"/>
    <w:rsid w:val="00196C1B"/>
    <w:rsid w:val="0019737C"/>
    <w:rsid w:val="001A2415"/>
    <w:rsid w:val="001A36EE"/>
    <w:rsid w:val="001B0F73"/>
    <w:rsid w:val="001B75E7"/>
    <w:rsid w:val="001C2DB7"/>
    <w:rsid w:val="001C5DF9"/>
    <w:rsid w:val="001D5556"/>
    <w:rsid w:val="001D5C04"/>
    <w:rsid w:val="001E0F72"/>
    <w:rsid w:val="001E21CE"/>
    <w:rsid w:val="001E79B6"/>
    <w:rsid w:val="001F21FA"/>
    <w:rsid w:val="001F56CF"/>
    <w:rsid w:val="00201D83"/>
    <w:rsid w:val="00205C93"/>
    <w:rsid w:val="002068C3"/>
    <w:rsid w:val="00211FE7"/>
    <w:rsid w:val="002130B3"/>
    <w:rsid w:val="00213EEA"/>
    <w:rsid w:val="00217477"/>
    <w:rsid w:val="00220DD2"/>
    <w:rsid w:val="00222A2D"/>
    <w:rsid w:val="00223029"/>
    <w:rsid w:val="002248CF"/>
    <w:rsid w:val="002279C1"/>
    <w:rsid w:val="00227C59"/>
    <w:rsid w:val="00234745"/>
    <w:rsid w:val="002407AF"/>
    <w:rsid w:val="00246090"/>
    <w:rsid w:val="00247199"/>
    <w:rsid w:val="00251669"/>
    <w:rsid w:val="00254A27"/>
    <w:rsid w:val="002623AC"/>
    <w:rsid w:val="00267D3B"/>
    <w:rsid w:val="0027170E"/>
    <w:rsid w:val="00273CDA"/>
    <w:rsid w:val="0027466B"/>
    <w:rsid w:val="002810A7"/>
    <w:rsid w:val="002838A5"/>
    <w:rsid w:val="00285BB4"/>
    <w:rsid w:val="002867F8"/>
    <w:rsid w:val="0029512B"/>
    <w:rsid w:val="002953CA"/>
    <w:rsid w:val="00295825"/>
    <w:rsid w:val="00297B2D"/>
    <w:rsid w:val="002A0427"/>
    <w:rsid w:val="002A598F"/>
    <w:rsid w:val="002B3B0A"/>
    <w:rsid w:val="002B3B4B"/>
    <w:rsid w:val="002B5B5E"/>
    <w:rsid w:val="002C09E3"/>
    <w:rsid w:val="002C7207"/>
    <w:rsid w:val="002D091C"/>
    <w:rsid w:val="002F08A3"/>
    <w:rsid w:val="002F20BA"/>
    <w:rsid w:val="002F3D72"/>
    <w:rsid w:val="002F41A2"/>
    <w:rsid w:val="002F57A2"/>
    <w:rsid w:val="00300A5A"/>
    <w:rsid w:val="003022FF"/>
    <w:rsid w:val="003030B6"/>
    <w:rsid w:val="0031145D"/>
    <w:rsid w:val="00314A7D"/>
    <w:rsid w:val="00323D97"/>
    <w:rsid w:val="00325E5C"/>
    <w:rsid w:val="0032752E"/>
    <w:rsid w:val="00335A22"/>
    <w:rsid w:val="00336166"/>
    <w:rsid w:val="0034029C"/>
    <w:rsid w:val="00344B58"/>
    <w:rsid w:val="00345CB4"/>
    <w:rsid w:val="003478F2"/>
    <w:rsid w:val="00350080"/>
    <w:rsid w:val="00355CB9"/>
    <w:rsid w:val="003608C1"/>
    <w:rsid w:val="0037244F"/>
    <w:rsid w:val="0037592C"/>
    <w:rsid w:val="00375D42"/>
    <w:rsid w:val="00382975"/>
    <w:rsid w:val="00386C90"/>
    <w:rsid w:val="0038708E"/>
    <w:rsid w:val="003916F6"/>
    <w:rsid w:val="00391D64"/>
    <w:rsid w:val="00396CD7"/>
    <w:rsid w:val="003975A6"/>
    <w:rsid w:val="003A0126"/>
    <w:rsid w:val="003A19C0"/>
    <w:rsid w:val="003A44F2"/>
    <w:rsid w:val="003A4F88"/>
    <w:rsid w:val="003A6A12"/>
    <w:rsid w:val="003B0AB8"/>
    <w:rsid w:val="003B32D8"/>
    <w:rsid w:val="003B5600"/>
    <w:rsid w:val="003C6A01"/>
    <w:rsid w:val="003D069C"/>
    <w:rsid w:val="003D50CE"/>
    <w:rsid w:val="003D7646"/>
    <w:rsid w:val="003D7AAF"/>
    <w:rsid w:val="003E373A"/>
    <w:rsid w:val="003E4179"/>
    <w:rsid w:val="003E4792"/>
    <w:rsid w:val="003E5B44"/>
    <w:rsid w:val="003E5BE6"/>
    <w:rsid w:val="003F113A"/>
    <w:rsid w:val="003F3C31"/>
    <w:rsid w:val="003F3E63"/>
    <w:rsid w:val="003F58A3"/>
    <w:rsid w:val="004038D7"/>
    <w:rsid w:val="00407480"/>
    <w:rsid w:val="004107A5"/>
    <w:rsid w:val="00414643"/>
    <w:rsid w:val="00423D56"/>
    <w:rsid w:val="004345C5"/>
    <w:rsid w:val="004408D8"/>
    <w:rsid w:val="00441886"/>
    <w:rsid w:val="00441CFC"/>
    <w:rsid w:val="004421E5"/>
    <w:rsid w:val="00444239"/>
    <w:rsid w:val="00452284"/>
    <w:rsid w:val="00453691"/>
    <w:rsid w:val="004558AA"/>
    <w:rsid w:val="004558CA"/>
    <w:rsid w:val="00457B5F"/>
    <w:rsid w:val="00457C8E"/>
    <w:rsid w:val="00460878"/>
    <w:rsid w:val="0046107C"/>
    <w:rsid w:val="00463B97"/>
    <w:rsid w:val="00471D3D"/>
    <w:rsid w:val="00472520"/>
    <w:rsid w:val="0047606E"/>
    <w:rsid w:val="004856CA"/>
    <w:rsid w:val="00486408"/>
    <w:rsid w:val="004876DE"/>
    <w:rsid w:val="00487E67"/>
    <w:rsid w:val="00491576"/>
    <w:rsid w:val="00494AB6"/>
    <w:rsid w:val="00495C3F"/>
    <w:rsid w:val="00496531"/>
    <w:rsid w:val="004969E1"/>
    <w:rsid w:val="00496FE5"/>
    <w:rsid w:val="0049705E"/>
    <w:rsid w:val="004A0F6F"/>
    <w:rsid w:val="004A34A0"/>
    <w:rsid w:val="004A5627"/>
    <w:rsid w:val="004B1631"/>
    <w:rsid w:val="004B1B8E"/>
    <w:rsid w:val="004B668F"/>
    <w:rsid w:val="004C4461"/>
    <w:rsid w:val="004C7F01"/>
    <w:rsid w:val="004D204A"/>
    <w:rsid w:val="004D6344"/>
    <w:rsid w:val="004E1984"/>
    <w:rsid w:val="004E21B3"/>
    <w:rsid w:val="004F6402"/>
    <w:rsid w:val="005008A8"/>
    <w:rsid w:val="005027B0"/>
    <w:rsid w:val="0051576E"/>
    <w:rsid w:val="0052066A"/>
    <w:rsid w:val="005223B8"/>
    <w:rsid w:val="00526B7B"/>
    <w:rsid w:val="005308CE"/>
    <w:rsid w:val="00532F54"/>
    <w:rsid w:val="005335F1"/>
    <w:rsid w:val="00535FBB"/>
    <w:rsid w:val="00543297"/>
    <w:rsid w:val="00543330"/>
    <w:rsid w:val="0054466D"/>
    <w:rsid w:val="00553354"/>
    <w:rsid w:val="00555348"/>
    <w:rsid w:val="00555823"/>
    <w:rsid w:val="00557352"/>
    <w:rsid w:val="00557AEE"/>
    <w:rsid w:val="00562EA5"/>
    <w:rsid w:val="0056313A"/>
    <w:rsid w:val="00566E96"/>
    <w:rsid w:val="00567E04"/>
    <w:rsid w:val="0057242B"/>
    <w:rsid w:val="00572C2B"/>
    <w:rsid w:val="0057439C"/>
    <w:rsid w:val="005760C2"/>
    <w:rsid w:val="005779AF"/>
    <w:rsid w:val="005826C1"/>
    <w:rsid w:val="005839B5"/>
    <w:rsid w:val="00586471"/>
    <w:rsid w:val="0059121E"/>
    <w:rsid w:val="00597650"/>
    <w:rsid w:val="005A0152"/>
    <w:rsid w:val="005A44C5"/>
    <w:rsid w:val="005A7594"/>
    <w:rsid w:val="005B0127"/>
    <w:rsid w:val="005B31B1"/>
    <w:rsid w:val="005B75AA"/>
    <w:rsid w:val="005B7A35"/>
    <w:rsid w:val="005C0504"/>
    <w:rsid w:val="005C115A"/>
    <w:rsid w:val="005C4B73"/>
    <w:rsid w:val="005C5700"/>
    <w:rsid w:val="005C7652"/>
    <w:rsid w:val="005D2AF8"/>
    <w:rsid w:val="005D64DB"/>
    <w:rsid w:val="005D7A93"/>
    <w:rsid w:val="005E1D2B"/>
    <w:rsid w:val="005E3C15"/>
    <w:rsid w:val="005E6BEB"/>
    <w:rsid w:val="005E7074"/>
    <w:rsid w:val="005F2BAF"/>
    <w:rsid w:val="00600D93"/>
    <w:rsid w:val="006020EC"/>
    <w:rsid w:val="00604676"/>
    <w:rsid w:val="00616341"/>
    <w:rsid w:val="00632DEB"/>
    <w:rsid w:val="0063300C"/>
    <w:rsid w:val="0063400F"/>
    <w:rsid w:val="0063771D"/>
    <w:rsid w:val="00646ADD"/>
    <w:rsid w:val="006473CB"/>
    <w:rsid w:val="006525BE"/>
    <w:rsid w:val="00654F03"/>
    <w:rsid w:val="00655736"/>
    <w:rsid w:val="00656462"/>
    <w:rsid w:val="00662615"/>
    <w:rsid w:val="00663B8D"/>
    <w:rsid w:val="0067553A"/>
    <w:rsid w:val="00676713"/>
    <w:rsid w:val="0067689E"/>
    <w:rsid w:val="00682CB8"/>
    <w:rsid w:val="00684ACE"/>
    <w:rsid w:val="0068587E"/>
    <w:rsid w:val="006910F5"/>
    <w:rsid w:val="00691BB1"/>
    <w:rsid w:val="00691D3F"/>
    <w:rsid w:val="00692B46"/>
    <w:rsid w:val="006940F6"/>
    <w:rsid w:val="00694710"/>
    <w:rsid w:val="0069691F"/>
    <w:rsid w:val="00696A00"/>
    <w:rsid w:val="00696C8D"/>
    <w:rsid w:val="006A1AB3"/>
    <w:rsid w:val="006A2AC2"/>
    <w:rsid w:val="006A3617"/>
    <w:rsid w:val="006B13A5"/>
    <w:rsid w:val="006B2F83"/>
    <w:rsid w:val="006B7C1B"/>
    <w:rsid w:val="006C715C"/>
    <w:rsid w:val="006D099C"/>
    <w:rsid w:val="006D2730"/>
    <w:rsid w:val="006D34A7"/>
    <w:rsid w:val="006D5E77"/>
    <w:rsid w:val="006D76E9"/>
    <w:rsid w:val="006E46E4"/>
    <w:rsid w:val="006E4D68"/>
    <w:rsid w:val="006E5326"/>
    <w:rsid w:val="006E7003"/>
    <w:rsid w:val="006F3FB2"/>
    <w:rsid w:val="006F4463"/>
    <w:rsid w:val="006F49D1"/>
    <w:rsid w:val="006F51F2"/>
    <w:rsid w:val="00710AFA"/>
    <w:rsid w:val="00715694"/>
    <w:rsid w:val="00717DA5"/>
    <w:rsid w:val="00731F00"/>
    <w:rsid w:val="00744484"/>
    <w:rsid w:val="007460D9"/>
    <w:rsid w:val="00747566"/>
    <w:rsid w:val="007507F9"/>
    <w:rsid w:val="007515E4"/>
    <w:rsid w:val="00763DEB"/>
    <w:rsid w:val="00773188"/>
    <w:rsid w:val="00777252"/>
    <w:rsid w:val="00777CFD"/>
    <w:rsid w:val="00783782"/>
    <w:rsid w:val="00784423"/>
    <w:rsid w:val="00784B8C"/>
    <w:rsid w:val="007879E1"/>
    <w:rsid w:val="00793289"/>
    <w:rsid w:val="007958A3"/>
    <w:rsid w:val="007A1368"/>
    <w:rsid w:val="007A6E13"/>
    <w:rsid w:val="007B18E1"/>
    <w:rsid w:val="007B2276"/>
    <w:rsid w:val="007B4004"/>
    <w:rsid w:val="007B6E71"/>
    <w:rsid w:val="007C516F"/>
    <w:rsid w:val="007C6D12"/>
    <w:rsid w:val="007C7336"/>
    <w:rsid w:val="007D09F3"/>
    <w:rsid w:val="007D0E41"/>
    <w:rsid w:val="007D13D8"/>
    <w:rsid w:val="007F0899"/>
    <w:rsid w:val="007F18A1"/>
    <w:rsid w:val="007F1E68"/>
    <w:rsid w:val="007F22C6"/>
    <w:rsid w:val="007F53EB"/>
    <w:rsid w:val="007F7670"/>
    <w:rsid w:val="008024FE"/>
    <w:rsid w:val="00806555"/>
    <w:rsid w:val="00823A11"/>
    <w:rsid w:val="008300A3"/>
    <w:rsid w:val="00835895"/>
    <w:rsid w:val="00840869"/>
    <w:rsid w:val="008475DD"/>
    <w:rsid w:val="00852ED7"/>
    <w:rsid w:val="0085405E"/>
    <w:rsid w:val="0085414A"/>
    <w:rsid w:val="00855F7A"/>
    <w:rsid w:val="0085685D"/>
    <w:rsid w:val="0085718E"/>
    <w:rsid w:val="008608EF"/>
    <w:rsid w:val="0086269D"/>
    <w:rsid w:val="00864E4C"/>
    <w:rsid w:val="0086543A"/>
    <w:rsid w:val="00870ACC"/>
    <w:rsid w:val="008724E5"/>
    <w:rsid w:val="008759DE"/>
    <w:rsid w:val="00884A9D"/>
    <w:rsid w:val="0088512B"/>
    <w:rsid w:val="008861E6"/>
    <w:rsid w:val="008954B4"/>
    <w:rsid w:val="00896185"/>
    <w:rsid w:val="008A101C"/>
    <w:rsid w:val="008A1EA8"/>
    <w:rsid w:val="008A2B2D"/>
    <w:rsid w:val="008A2CB3"/>
    <w:rsid w:val="008A4E1E"/>
    <w:rsid w:val="008A5DF3"/>
    <w:rsid w:val="008A6D2F"/>
    <w:rsid w:val="008A7159"/>
    <w:rsid w:val="008A7E7D"/>
    <w:rsid w:val="008B093D"/>
    <w:rsid w:val="008B4BB4"/>
    <w:rsid w:val="008B6A16"/>
    <w:rsid w:val="008B7F96"/>
    <w:rsid w:val="008C296C"/>
    <w:rsid w:val="008C3214"/>
    <w:rsid w:val="008C4F24"/>
    <w:rsid w:val="008C55D3"/>
    <w:rsid w:val="008C6D02"/>
    <w:rsid w:val="008C760C"/>
    <w:rsid w:val="008D0C06"/>
    <w:rsid w:val="008D0D0E"/>
    <w:rsid w:val="008D4305"/>
    <w:rsid w:val="008E1A85"/>
    <w:rsid w:val="008E2636"/>
    <w:rsid w:val="008E4A37"/>
    <w:rsid w:val="008E77E1"/>
    <w:rsid w:val="008F3055"/>
    <w:rsid w:val="008F6A4D"/>
    <w:rsid w:val="008F7153"/>
    <w:rsid w:val="0090098F"/>
    <w:rsid w:val="00901534"/>
    <w:rsid w:val="00902699"/>
    <w:rsid w:val="00903EE0"/>
    <w:rsid w:val="00904621"/>
    <w:rsid w:val="009046D5"/>
    <w:rsid w:val="009110BB"/>
    <w:rsid w:val="009163A7"/>
    <w:rsid w:val="00922BD7"/>
    <w:rsid w:val="00925412"/>
    <w:rsid w:val="009262D7"/>
    <w:rsid w:val="00927FEC"/>
    <w:rsid w:val="009307A8"/>
    <w:rsid w:val="009322F5"/>
    <w:rsid w:val="00933108"/>
    <w:rsid w:val="009379BF"/>
    <w:rsid w:val="00937A7E"/>
    <w:rsid w:val="009455F0"/>
    <w:rsid w:val="00946D0B"/>
    <w:rsid w:val="009502B6"/>
    <w:rsid w:val="009556EB"/>
    <w:rsid w:val="00955877"/>
    <w:rsid w:val="0095699A"/>
    <w:rsid w:val="00961B14"/>
    <w:rsid w:val="009646AA"/>
    <w:rsid w:val="00966970"/>
    <w:rsid w:val="009669D7"/>
    <w:rsid w:val="00967D0B"/>
    <w:rsid w:val="00975A7A"/>
    <w:rsid w:val="00977480"/>
    <w:rsid w:val="00984913"/>
    <w:rsid w:val="009852D5"/>
    <w:rsid w:val="009A0C3A"/>
    <w:rsid w:val="009A18CD"/>
    <w:rsid w:val="009A547B"/>
    <w:rsid w:val="009B09F7"/>
    <w:rsid w:val="009B1665"/>
    <w:rsid w:val="009B1A47"/>
    <w:rsid w:val="009B34A0"/>
    <w:rsid w:val="009B3DEF"/>
    <w:rsid w:val="009B6383"/>
    <w:rsid w:val="009D5428"/>
    <w:rsid w:val="009E592C"/>
    <w:rsid w:val="009F320C"/>
    <w:rsid w:val="009F6909"/>
    <w:rsid w:val="00A029FF"/>
    <w:rsid w:val="00A0636D"/>
    <w:rsid w:val="00A12558"/>
    <w:rsid w:val="00A12897"/>
    <w:rsid w:val="00A129D4"/>
    <w:rsid w:val="00A13391"/>
    <w:rsid w:val="00A13903"/>
    <w:rsid w:val="00A20475"/>
    <w:rsid w:val="00A25EA2"/>
    <w:rsid w:val="00A2766E"/>
    <w:rsid w:val="00A34ED5"/>
    <w:rsid w:val="00A37756"/>
    <w:rsid w:val="00A405C0"/>
    <w:rsid w:val="00A42553"/>
    <w:rsid w:val="00A4539A"/>
    <w:rsid w:val="00A45DBF"/>
    <w:rsid w:val="00A53A2F"/>
    <w:rsid w:val="00A644EB"/>
    <w:rsid w:val="00A64BD6"/>
    <w:rsid w:val="00A6505D"/>
    <w:rsid w:val="00A65D3E"/>
    <w:rsid w:val="00A72338"/>
    <w:rsid w:val="00A7322B"/>
    <w:rsid w:val="00A755A2"/>
    <w:rsid w:val="00A77BDC"/>
    <w:rsid w:val="00A81D3E"/>
    <w:rsid w:val="00A8256F"/>
    <w:rsid w:val="00A8501B"/>
    <w:rsid w:val="00A93214"/>
    <w:rsid w:val="00A95180"/>
    <w:rsid w:val="00A966F2"/>
    <w:rsid w:val="00AA34E1"/>
    <w:rsid w:val="00AA650C"/>
    <w:rsid w:val="00AA6660"/>
    <w:rsid w:val="00AB211A"/>
    <w:rsid w:val="00AB2C36"/>
    <w:rsid w:val="00AB4DC8"/>
    <w:rsid w:val="00AB56F2"/>
    <w:rsid w:val="00AB58C5"/>
    <w:rsid w:val="00AB6DDE"/>
    <w:rsid w:val="00AB70B6"/>
    <w:rsid w:val="00AC202D"/>
    <w:rsid w:val="00AC280A"/>
    <w:rsid w:val="00AC4CED"/>
    <w:rsid w:val="00AC65B8"/>
    <w:rsid w:val="00AD0EA7"/>
    <w:rsid w:val="00AD1228"/>
    <w:rsid w:val="00AD1A86"/>
    <w:rsid w:val="00AD1B90"/>
    <w:rsid w:val="00AD4078"/>
    <w:rsid w:val="00AD5800"/>
    <w:rsid w:val="00AE103E"/>
    <w:rsid w:val="00AE6533"/>
    <w:rsid w:val="00AF0A07"/>
    <w:rsid w:val="00AF13FE"/>
    <w:rsid w:val="00AF2790"/>
    <w:rsid w:val="00AF3D14"/>
    <w:rsid w:val="00AF4AEC"/>
    <w:rsid w:val="00AF4E4B"/>
    <w:rsid w:val="00AF625E"/>
    <w:rsid w:val="00B07D61"/>
    <w:rsid w:val="00B10427"/>
    <w:rsid w:val="00B10CF7"/>
    <w:rsid w:val="00B17022"/>
    <w:rsid w:val="00B253A5"/>
    <w:rsid w:val="00B26DEB"/>
    <w:rsid w:val="00B35DA3"/>
    <w:rsid w:val="00B41AD5"/>
    <w:rsid w:val="00B423DB"/>
    <w:rsid w:val="00B42758"/>
    <w:rsid w:val="00B45FD7"/>
    <w:rsid w:val="00B510F0"/>
    <w:rsid w:val="00B5433F"/>
    <w:rsid w:val="00B56577"/>
    <w:rsid w:val="00B65682"/>
    <w:rsid w:val="00B67E53"/>
    <w:rsid w:val="00B831B0"/>
    <w:rsid w:val="00B86BD9"/>
    <w:rsid w:val="00B872A0"/>
    <w:rsid w:val="00B960F9"/>
    <w:rsid w:val="00BA3399"/>
    <w:rsid w:val="00BA7D92"/>
    <w:rsid w:val="00BB04AF"/>
    <w:rsid w:val="00BB0891"/>
    <w:rsid w:val="00BB3C3D"/>
    <w:rsid w:val="00BB554A"/>
    <w:rsid w:val="00BC1CCD"/>
    <w:rsid w:val="00BC3050"/>
    <w:rsid w:val="00BC37E2"/>
    <w:rsid w:val="00BC7D18"/>
    <w:rsid w:val="00BD0F68"/>
    <w:rsid w:val="00BD2324"/>
    <w:rsid w:val="00BD3376"/>
    <w:rsid w:val="00BD52C9"/>
    <w:rsid w:val="00BD5654"/>
    <w:rsid w:val="00BE449D"/>
    <w:rsid w:val="00BE4B2C"/>
    <w:rsid w:val="00BE6354"/>
    <w:rsid w:val="00BF1043"/>
    <w:rsid w:val="00C00F29"/>
    <w:rsid w:val="00C06F15"/>
    <w:rsid w:val="00C1210B"/>
    <w:rsid w:val="00C12739"/>
    <w:rsid w:val="00C12EC9"/>
    <w:rsid w:val="00C138D1"/>
    <w:rsid w:val="00C20ECC"/>
    <w:rsid w:val="00C21A7E"/>
    <w:rsid w:val="00C232DD"/>
    <w:rsid w:val="00C23A97"/>
    <w:rsid w:val="00C357AF"/>
    <w:rsid w:val="00C44F09"/>
    <w:rsid w:val="00C52C9E"/>
    <w:rsid w:val="00C64855"/>
    <w:rsid w:val="00C658BF"/>
    <w:rsid w:val="00C70EA7"/>
    <w:rsid w:val="00C72429"/>
    <w:rsid w:val="00C7516E"/>
    <w:rsid w:val="00C75770"/>
    <w:rsid w:val="00C76BC2"/>
    <w:rsid w:val="00C77D8A"/>
    <w:rsid w:val="00C82018"/>
    <w:rsid w:val="00C852FB"/>
    <w:rsid w:val="00C875AA"/>
    <w:rsid w:val="00CA56BB"/>
    <w:rsid w:val="00CA5B41"/>
    <w:rsid w:val="00CB0542"/>
    <w:rsid w:val="00CB1176"/>
    <w:rsid w:val="00CB3618"/>
    <w:rsid w:val="00CC2405"/>
    <w:rsid w:val="00CC5C18"/>
    <w:rsid w:val="00CC7CFA"/>
    <w:rsid w:val="00CD113D"/>
    <w:rsid w:val="00CE7148"/>
    <w:rsid w:val="00CE7E04"/>
    <w:rsid w:val="00CF6BA4"/>
    <w:rsid w:val="00D0091E"/>
    <w:rsid w:val="00D00B2B"/>
    <w:rsid w:val="00D028A6"/>
    <w:rsid w:val="00D03635"/>
    <w:rsid w:val="00D1014A"/>
    <w:rsid w:val="00D127DF"/>
    <w:rsid w:val="00D15D6C"/>
    <w:rsid w:val="00D174D7"/>
    <w:rsid w:val="00D24488"/>
    <w:rsid w:val="00D24877"/>
    <w:rsid w:val="00D26719"/>
    <w:rsid w:val="00D31C31"/>
    <w:rsid w:val="00D363A9"/>
    <w:rsid w:val="00D409A6"/>
    <w:rsid w:val="00D41CDC"/>
    <w:rsid w:val="00D4347B"/>
    <w:rsid w:val="00D573BE"/>
    <w:rsid w:val="00D57879"/>
    <w:rsid w:val="00D57BA1"/>
    <w:rsid w:val="00D67AEE"/>
    <w:rsid w:val="00D67D11"/>
    <w:rsid w:val="00D715B4"/>
    <w:rsid w:val="00D75775"/>
    <w:rsid w:val="00D7634C"/>
    <w:rsid w:val="00D81FD6"/>
    <w:rsid w:val="00D8250F"/>
    <w:rsid w:val="00D82F5F"/>
    <w:rsid w:val="00D83DE5"/>
    <w:rsid w:val="00D9451D"/>
    <w:rsid w:val="00D95C4C"/>
    <w:rsid w:val="00DA22BD"/>
    <w:rsid w:val="00DA36ED"/>
    <w:rsid w:val="00DA3D73"/>
    <w:rsid w:val="00DB04F4"/>
    <w:rsid w:val="00DB2068"/>
    <w:rsid w:val="00DB5B71"/>
    <w:rsid w:val="00DC00C4"/>
    <w:rsid w:val="00DD5EBE"/>
    <w:rsid w:val="00DD7F62"/>
    <w:rsid w:val="00DE0C70"/>
    <w:rsid w:val="00DE34F1"/>
    <w:rsid w:val="00DE54B4"/>
    <w:rsid w:val="00DE602E"/>
    <w:rsid w:val="00DE6160"/>
    <w:rsid w:val="00DE6207"/>
    <w:rsid w:val="00DF0CA0"/>
    <w:rsid w:val="00DF4942"/>
    <w:rsid w:val="00DF5BF2"/>
    <w:rsid w:val="00DF6166"/>
    <w:rsid w:val="00E0796D"/>
    <w:rsid w:val="00E10845"/>
    <w:rsid w:val="00E11A2B"/>
    <w:rsid w:val="00E20A42"/>
    <w:rsid w:val="00E2435F"/>
    <w:rsid w:val="00E244E1"/>
    <w:rsid w:val="00E24F12"/>
    <w:rsid w:val="00E260DC"/>
    <w:rsid w:val="00E27999"/>
    <w:rsid w:val="00E42717"/>
    <w:rsid w:val="00E55EFE"/>
    <w:rsid w:val="00E627B1"/>
    <w:rsid w:val="00E70169"/>
    <w:rsid w:val="00E707C1"/>
    <w:rsid w:val="00E836F4"/>
    <w:rsid w:val="00E86C31"/>
    <w:rsid w:val="00E9002F"/>
    <w:rsid w:val="00E9376C"/>
    <w:rsid w:val="00E949E7"/>
    <w:rsid w:val="00E966D6"/>
    <w:rsid w:val="00E96C28"/>
    <w:rsid w:val="00EA335E"/>
    <w:rsid w:val="00EA528C"/>
    <w:rsid w:val="00EA580C"/>
    <w:rsid w:val="00EA6614"/>
    <w:rsid w:val="00EA68D0"/>
    <w:rsid w:val="00EC6F8D"/>
    <w:rsid w:val="00EC70A8"/>
    <w:rsid w:val="00ED0438"/>
    <w:rsid w:val="00ED111F"/>
    <w:rsid w:val="00EF34E2"/>
    <w:rsid w:val="00EF53ED"/>
    <w:rsid w:val="00EF7E44"/>
    <w:rsid w:val="00F11BF3"/>
    <w:rsid w:val="00F21719"/>
    <w:rsid w:val="00F30DC6"/>
    <w:rsid w:val="00F32C23"/>
    <w:rsid w:val="00F33B11"/>
    <w:rsid w:val="00F37E72"/>
    <w:rsid w:val="00F41C6E"/>
    <w:rsid w:val="00F4269D"/>
    <w:rsid w:val="00F45014"/>
    <w:rsid w:val="00F46309"/>
    <w:rsid w:val="00F464DE"/>
    <w:rsid w:val="00F46BEE"/>
    <w:rsid w:val="00F46F21"/>
    <w:rsid w:val="00F50AAE"/>
    <w:rsid w:val="00F53DE9"/>
    <w:rsid w:val="00F54083"/>
    <w:rsid w:val="00F576CB"/>
    <w:rsid w:val="00F6262F"/>
    <w:rsid w:val="00F64580"/>
    <w:rsid w:val="00F7035D"/>
    <w:rsid w:val="00F71A02"/>
    <w:rsid w:val="00F72336"/>
    <w:rsid w:val="00F72848"/>
    <w:rsid w:val="00F74467"/>
    <w:rsid w:val="00F82672"/>
    <w:rsid w:val="00F82A28"/>
    <w:rsid w:val="00F83084"/>
    <w:rsid w:val="00F9415A"/>
    <w:rsid w:val="00FA0D63"/>
    <w:rsid w:val="00FA2F77"/>
    <w:rsid w:val="00FA43C7"/>
    <w:rsid w:val="00FA5349"/>
    <w:rsid w:val="00FB0D4D"/>
    <w:rsid w:val="00FB4A71"/>
    <w:rsid w:val="00FB5197"/>
    <w:rsid w:val="00FC5578"/>
    <w:rsid w:val="00FD1226"/>
    <w:rsid w:val="00FD1C3F"/>
    <w:rsid w:val="00FD37C1"/>
    <w:rsid w:val="00FD5A47"/>
    <w:rsid w:val="00FD6A9E"/>
    <w:rsid w:val="00FF025C"/>
    <w:rsid w:val="00FF27BC"/>
    <w:rsid w:val="00FF31B0"/>
    <w:rsid w:val="00FF483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0BF871E8"/>
  <w15:docId w15:val="{0D24FE83-43E3-4D94-94F0-366E4AEC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fr-FR"/>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qFormat/>
    <w:rsid w:val="00350080"/>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rsid w:val="00F7446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COM Heading"/>
    <w:basedOn w:val="Normal"/>
    <w:next w:val="Normal"/>
    <w:link w:val="Heading4Char"/>
    <w:qFormat/>
    <w:rsid w:val="00FD6A9E"/>
    <w:pPr>
      <w:keepNext/>
      <w:keepLines/>
      <w:numPr>
        <w:numId w:val="4"/>
      </w:numPr>
      <w:tabs>
        <w:tab w:val="left" w:pos="567"/>
      </w:tabs>
      <w:snapToGrid w:val="0"/>
      <w:spacing w:before="360" w:after="120"/>
      <w:ind w:left="567" w:hanging="567"/>
      <w:outlineLvl w:val="3"/>
    </w:pPr>
    <w:rPr>
      <w:rFonts w:ascii="Arial" w:hAnsi="Arial"/>
      <w:b/>
      <w:bCs/>
      <w:caps/>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D6A9E"/>
    <w:rPr>
      <w:rFonts w:ascii="Arial" w:eastAsia="Times New Roman" w:hAnsi="Arial"/>
      <w:b/>
      <w:bCs/>
      <w:caps/>
      <w:snapToGrid w:val="0"/>
      <w:sz w:val="22"/>
      <w:szCs w:val="24"/>
      <w:lang w:val="fr-FR" w:eastAsia="fr-FR"/>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ind w:left="567" w:hanging="567"/>
    </w:pPr>
    <w:rPr>
      <w:rFonts w:ascii="Arial" w:eastAsia="Times New Roman" w:hAnsi="Arial" w:cs="Arial"/>
      <w:snapToGrid w:val="0"/>
      <w:sz w:val="22"/>
      <w:szCs w:val="22"/>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rPr>
  </w:style>
  <w:style w:type="paragraph" w:customStyle="1" w:styleId="Sansinterligne3">
    <w:name w:val="Sans interligne3"/>
    <w:uiPriority w:val="1"/>
    <w:qFormat/>
    <w:rsid w:val="00350080"/>
    <w:rPr>
      <w:rFonts w:ascii="Times New Roman" w:eastAsia="Times New Roman" w:hAnsi="Times New Roman"/>
      <w:sz w:val="24"/>
      <w:szCs w:val="24"/>
    </w:rPr>
  </w:style>
  <w:style w:type="paragraph" w:styleId="NoSpacing">
    <w:name w:val="No Spacing"/>
    <w:uiPriority w:val="1"/>
    <w:qFormat/>
    <w:rsid w:val="00350080"/>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350080"/>
    <w:rPr>
      <w:rFonts w:ascii="Calibri Light" w:eastAsia="Times New Roman" w:hAnsi="Calibri Light"/>
      <w:b/>
      <w:bCs/>
      <w:kern w:val="32"/>
      <w:sz w:val="32"/>
      <w:szCs w:val="32"/>
    </w:rPr>
  </w:style>
  <w:style w:type="paragraph" w:customStyle="1" w:styleId="Paragraph">
    <w:name w:val="Paragraph"/>
    <w:basedOn w:val="Normal"/>
    <w:link w:val="ParagraphChar"/>
    <w:qFormat/>
    <w:rsid w:val="00350080"/>
    <w:pPr>
      <w:numPr>
        <w:numId w:val="5"/>
      </w:numPr>
      <w:spacing w:before="240"/>
      <w:ind w:left="567" w:hanging="567"/>
      <w:jc w:val="both"/>
    </w:pPr>
    <w:rPr>
      <w:rFonts w:ascii="Arial" w:hAnsi="Arial" w:cs="Arial"/>
      <w:sz w:val="22"/>
      <w:szCs w:val="22"/>
    </w:rPr>
  </w:style>
  <w:style w:type="character" w:customStyle="1" w:styleId="ParagraphChar">
    <w:name w:val="Paragraph Char"/>
    <w:link w:val="Paragraph"/>
    <w:rsid w:val="00350080"/>
    <w:rPr>
      <w:rFonts w:ascii="Arial" w:eastAsia="Times New Roman" w:hAnsi="Arial" w:cs="Arial"/>
      <w:sz w:val="22"/>
      <w:szCs w:val="22"/>
      <w:lang w:val="fr-FR"/>
    </w:rPr>
  </w:style>
  <w:style w:type="paragraph" w:styleId="FootnoteText">
    <w:name w:val="footnote text"/>
    <w:basedOn w:val="Normal"/>
    <w:link w:val="FootnoteTextChar"/>
    <w:uiPriority w:val="99"/>
    <w:unhideWhenUsed/>
    <w:rsid w:val="00350080"/>
    <w:pPr>
      <w:spacing w:before="60" w:after="60"/>
      <w:jc w:val="both"/>
    </w:pPr>
    <w:rPr>
      <w:rFonts w:ascii="Arial" w:hAnsi="Arial"/>
      <w:sz w:val="20"/>
      <w:szCs w:val="20"/>
    </w:rPr>
  </w:style>
  <w:style w:type="character" w:customStyle="1" w:styleId="FootnoteTextChar">
    <w:name w:val="Footnote Text Char"/>
    <w:basedOn w:val="DefaultParagraphFont"/>
    <w:link w:val="FootnoteText"/>
    <w:uiPriority w:val="99"/>
    <w:rsid w:val="00350080"/>
    <w:rPr>
      <w:rFonts w:ascii="Arial" w:eastAsia="Times New Roman" w:hAnsi="Arial"/>
      <w:lang w:val="fr-FR"/>
    </w:rPr>
  </w:style>
  <w:style w:type="character" w:styleId="FootnoteReference">
    <w:name w:val="footnote reference"/>
    <w:uiPriority w:val="99"/>
    <w:unhideWhenUsed/>
    <w:rsid w:val="00350080"/>
    <w:rPr>
      <w:vertAlign w:val="superscript"/>
    </w:rPr>
  </w:style>
  <w:style w:type="character" w:customStyle="1" w:styleId="atenuated">
    <w:name w:val="atenuated"/>
    <w:rsid w:val="00350080"/>
  </w:style>
  <w:style w:type="character" w:customStyle="1" w:styleId="hps">
    <w:name w:val="hps"/>
    <w:rsid w:val="008E77E1"/>
  </w:style>
  <w:style w:type="paragraph" w:customStyle="1" w:styleId="5GAparabodytext">
    <w:name w:val="5GA para body text"/>
    <w:basedOn w:val="Marge"/>
    <w:autoRedefine/>
    <w:qFormat/>
    <w:rsid w:val="0054466D"/>
    <w:pPr>
      <w:numPr>
        <w:numId w:val="8"/>
      </w:numPr>
      <w:spacing w:after="120"/>
      <w:ind w:left="567" w:hanging="567"/>
    </w:pPr>
    <w:rPr>
      <w:rFonts w:cs="Arial"/>
      <w:bCs/>
      <w:iCs/>
      <w:snapToGrid/>
      <w:szCs w:val="22"/>
    </w:rPr>
  </w:style>
  <w:style w:type="character" w:styleId="Hyperlink">
    <w:name w:val="Hyperlink"/>
    <w:basedOn w:val="DefaultParagraphFont"/>
    <w:uiPriority w:val="99"/>
    <w:unhideWhenUsed/>
    <w:rsid w:val="00E42717"/>
    <w:rPr>
      <w:color w:val="0000FF" w:themeColor="hyperlink"/>
      <w:u w:val="single"/>
    </w:rPr>
  </w:style>
  <w:style w:type="character" w:customStyle="1" w:styleId="MargeChar">
    <w:name w:val="Marge Char"/>
    <w:link w:val="Marge"/>
    <w:rsid w:val="00C852FB"/>
    <w:rPr>
      <w:rFonts w:ascii="Arial" w:eastAsia="Times New Roman" w:hAnsi="Arial"/>
      <w:snapToGrid w:val="0"/>
      <w:sz w:val="22"/>
      <w:szCs w:val="24"/>
      <w:lang w:eastAsia="fr-FR"/>
    </w:rPr>
  </w:style>
  <w:style w:type="character" w:styleId="CommentReference">
    <w:name w:val="annotation reference"/>
    <w:basedOn w:val="DefaultParagraphFont"/>
    <w:uiPriority w:val="99"/>
    <w:semiHidden/>
    <w:unhideWhenUsed/>
    <w:rsid w:val="00BD2324"/>
    <w:rPr>
      <w:sz w:val="16"/>
      <w:szCs w:val="16"/>
    </w:rPr>
  </w:style>
  <w:style w:type="paragraph" w:styleId="CommentText">
    <w:name w:val="annotation text"/>
    <w:basedOn w:val="Normal"/>
    <w:link w:val="CommentTextChar"/>
    <w:uiPriority w:val="99"/>
    <w:unhideWhenUsed/>
    <w:rsid w:val="00BD2324"/>
    <w:rPr>
      <w:sz w:val="20"/>
      <w:szCs w:val="20"/>
    </w:rPr>
  </w:style>
  <w:style w:type="character" w:customStyle="1" w:styleId="CommentTextChar">
    <w:name w:val="Comment Text Char"/>
    <w:basedOn w:val="DefaultParagraphFont"/>
    <w:link w:val="CommentText"/>
    <w:uiPriority w:val="99"/>
    <w:rsid w:val="00BD232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D2324"/>
    <w:rPr>
      <w:b/>
      <w:bCs/>
    </w:rPr>
  </w:style>
  <w:style w:type="character" w:customStyle="1" w:styleId="CommentSubjectChar">
    <w:name w:val="Comment Subject Char"/>
    <w:basedOn w:val="CommentTextChar"/>
    <w:link w:val="CommentSubject"/>
    <w:uiPriority w:val="99"/>
    <w:semiHidden/>
    <w:rsid w:val="00BD2324"/>
    <w:rPr>
      <w:rFonts w:ascii="Times New Roman" w:eastAsia="Times New Roman" w:hAnsi="Times New Roman"/>
      <w:b/>
      <w:bCs/>
    </w:rPr>
  </w:style>
  <w:style w:type="paragraph" w:styleId="ListParagraph">
    <w:name w:val="List Paragraph"/>
    <w:basedOn w:val="Normal"/>
    <w:uiPriority w:val="34"/>
    <w:qFormat/>
    <w:rsid w:val="00961B14"/>
    <w:pPr>
      <w:ind w:left="720"/>
      <w:contextualSpacing/>
    </w:pPr>
  </w:style>
  <w:style w:type="paragraph" w:styleId="Revision">
    <w:name w:val="Revision"/>
    <w:hidden/>
    <w:uiPriority w:val="99"/>
    <w:semiHidden/>
    <w:rsid w:val="00777252"/>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F74467"/>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63400F"/>
    <w:rPr>
      <w:color w:val="800080" w:themeColor="followedHyperlink"/>
      <w:u w:val="single"/>
    </w:rPr>
  </w:style>
  <w:style w:type="paragraph" w:customStyle="1" w:styleId="Default">
    <w:name w:val="Default"/>
    <w:rsid w:val="00D31C31"/>
    <w:pPr>
      <w:autoSpaceDE w:val="0"/>
      <w:autoSpaceDN w:val="0"/>
      <w:adjustRightInd w:val="0"/>
    </w:pPr>
    <w:rPr>
      <w:rFonts w:eastAsiaTheme="minorHAns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3517">
      <w:bodyDiv w:val="1"/>
      <w:marLeft w:val="0"/>
      <w:marRight w:val="0"/>
      <w:marTop w:val="0"/>
      <w:marBottom w:val="0"/>
      <w:divBdr>
        <w:top w:val="none" w:sz="0" w:space="0" w:color="auto"/>
        <w:left w:val="none" w:sz="0" w:space="0" w:color="auto"/>
        <w:bottom w:val="none" w:sz="0" w:space="0" w:color="auto"/>
        <w:right w:val="none" w:sz="0" w:space="0" w:color="auto"/>
      </w:divBdr>
    </w:div>
    <w:div w:id="80226799">
      <w:bodyDiv w:val="1"/>
      <w:marLeft w:val="0"/>
      <w:marRight w:val="0"/>
      <w:marTop w:val="0"/>
      <w:marBottom w:val="0"/>
      <w:divBdr>
        <w:top w:val="none" w:sz="0" w:space="0" w:color="auto"/>
        <w:left w:val="none" w:sz="0" w:space="0" w:color="auto"/>
        <w:bottom w:val="none" w:sz="0" w:space="0" w:color="auto"/>
        <w:right w:val="none" w:sz="0" w:space="0" w:color="auto"/>
      </w:divBdr>
    </w:div>
    <w:div w:id="427583778">
      <w:bodyDiv w:val="1"/>
      <w:marLeft w:val="0"/>
      <w:marRight w:val="0"/>
      <w:marTop w:val="0"/>
      <w:marBottom w:val="0"/>
      <w:divBdr>
        <w:top w:val="none" w:sz="0" w:space="0" w:color="auto"/>
        <w:left w:val="none" w:sz="0" w:space="0" w:color="auto"/>
        <w:bottom w:val="none" w:sz="0" w:space="0" w:color="auto"/>
        <w:right w:val="none" w:sz="0" w:space="0" w:color="auto"/>
      </w:divBdr>
    </w:div>
    <w:div w:id="469254173">
      <w:bodyDiv w:val="1"/>
      <w:marLeft w:val="0"/>
      <w:marRight w:val="0"/>
      <w:marTop w:val="0"/>
      <w:marBottom w:val="0"/>
      <w:divBdr>
        <w:top w:val="none" w:sz="0" w:space="0" w:color="auto"/>
        <w:left w:val="none" w:sz="0" w:space="0" w:color="auto"/>
        <w:bottom w:val="none" w:sz="0" w:space="0" w:color="auto"/>
        <w:right w:val="none" w:sz="0" w:space="0" w:color="auto"/>
      </w:divBdr>
      <w:divsChild>
        <w:div w:id="1670793877">
          <w:marLeft w:val="0"/>
          <w:marRight w:val="0"/>
          <w:marTop w:val="0"/>
          <w:marBottom w:val="0"/>
          <w:divBdr>
            <w:top w:val="none" w:sz="0" w:space="0" w:color="auto"/>
            <w:left w:val="none" w:sz="0" w:space="0" w:color="auto"/>
            <w:bottom w:val="none" w:sz="0" w:space="0" w:color="auto"/>
            <w:right w:val="none" w:sz="0" w:space="0" w:color="auto"/>
          </w:divBdr>
        </w:div>
        <w:div w:id="1524250703">
          <w:marLeft w:val="0"/>
          <w:marRight w:val="0"/>
          <w:marTop w:val="0"/>
          <w:marBottom w:val="0"/>
          <w:divBdr>
            <w:top w:val="none" w:sz="0" w:space="0" w:color="auto"/>
            <w:left w:val="none" w:sz="0" w:space="0" w:color="auto"/>
            <w:bottom w:val="none" w:sz="0" w:space="0" w:color="auto"/>
            <w:right w:val="none" w:sz="0" w:space="0" w:color="auto"/>
          </w:divBdr>
        </w:div>
        <w:div w:id="942104965">
          <w:marLeft w:val="0"/>
          <w:marRight w:val="0"/>
          <w:marTop w:val="0"/>
          <w:marBottom w:val="0"/>
          <w:divBdr>
            <w:top w:val="none" w:sz="0" w:space="0" w:color="auto"/>
            <w:left w:val="none" w:sz="0" w:space="0" w:color="auto"/>
            <w:bottom w:val="none" w:sz="0" w:space="0" w:color="auto"/>
            <w:right w:val="none" w:sz="0" w:space="0" w:color="auto"/>
          </w:divBdr>
        </w:div>
        <w:div w:id="1401488840">
          <w:marLeft w:val="0"/>
          <w:marRight w:val="0"/>
          <w:marTop w:val="0"/>
          <w:marBottom w:val="0"/>
          <w:divBdr>
            <w:top w:val="none" w:sz="0" w:space="0" w:color="auto"/>
            <w:left w:val="none" w:sz="0" w:space="0" w:color="auto"/>
            <w:bottom w:val="none" w:sz="0" w:space="0" w:color="auto"/>
            <w:right w:val="none" w:sz="0" w:space="0" w:color="auto"/>
          </w:divBdr>
        </w:div>
        <w:div w:id="1342009893">
          <w:marLeft w:val="0"/>
          <w:marRight w:val="0"/>
          <w:marTop w:val="0"/>
          <w:marBottom w:val="0"/>
          <w:divBdr>
            <w:top w:val="none" w:sz="0" w:space="0" w:color="auto"/>
            <w:left w:val="none" w:sz="0" w:space="0" w:color="auto"/>
            <w:bottom w:val="none" w:sz="0" w:space="0" w:color="auto"/>
            <w:right w:val="none" w:sz="0" w:space="0" w:color="auto"/>
          </w:divBdr>
        </w:div>
      </w:divsChild>
    </w:div>
    <w:div w:id="509755751">
      <w:bodyDiv w:val="1"/>
      <w:marLeft w:val="0"/>
      <w:marRight w:val="0"/>
      <w:marTop w:val="0"/>
      <w:marBottom w:val="0"/>
      <w:divBdr>
        <w:top w:val="none" w:sz="0" w:space="0" w:color="auto"/>
        <w:left w:val="none" w:sz="0" w:space="0" w:color="auto"/>
        <w:bottom w:val="none" w:sz="0" w:space="0" w:color="auto"/>
        <w:right w:val="none" w:sz="0" w:space="0" w:color="auto"/>
      </w:divBdr>
    </w:div>
    <w:div w:id="518858120">
      <w:bodyDiv w:val="1"/>
      <w:marLeft w:val="0"/>
      <w:marRight w:val="0"/>
      <w:marTop w:val="0"/>
      <w:marBottom w:val="0"/>
      <w:divBdr>
        <w:top w:val="none" w:sz="0" w:space="0" w:color="auto"/>
        <w:left w:val="none" w:sz="0" w:space="0" w:color="auto"/>
        <w:bottom w:val="none" w:sz="0" w:space="0" w:color="auto"/>
        <w:right w:val="none" w:sz="0" w:space="0" w:color="auto"/>
      </w:divBdr>
    </w:div>
    <w:div w:id="564877740">
      <w:bodyDiv w:val="1"/>
      <w:marLeft w:val="0"/>
      <w:marRight w:val="0"/>
      <w:marTop w:val="0"/>
      <w:marBottom w:val="0"/>
      <w:divBdr>
        <w:top w:val="none" w:sz="0" w:space="0" w:color="auto"/>
        <w:left w:val="none" w:sz="0" w:space="0" w:color="auto"/>
        <w:bottom w:val="none" w:sz="0" w:space="0" w:color="auto"/>
        <w:right w:val="none" w:sz="0" w:space="0" w:color="auto"/>
      </w:divBdr>
    </w:div>
    <w:div w:id="753936244">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18695083">
      <w:bodyDiv w:val="1"/>
      <w:marLeft w:val="0"/>
      <w:marRight w:val="0"/>
      <w:marTop w:val="0"/>
      <w:marBottom w:val="0"/>
      <w:divBdr>
        <w:top w:val="none" w:sz="0" w:space="0" w:color="auto"/>
        <w:left w:val="none" w:sz="0" w:space="0" w:color="auto"/>
        <w:bottom w:val="none" w:sz="0" w:space="0" w:color="auto"/>
        <w:right w:val="none" w:sz="0" w:space="0" w:color="auto"/>
      </w:divBdr>
    </w:div>
    <w:div w:id="1011689782">
      <w:bodyDiv w:val="1"/>
      <w:marLeft w:val="0"/>
      <w:marRight w:val="0"/>
      <w:marTop w:val="0"/>
      <w:marBottom w:val="0"/>
      <w:divBdr>
        <w:top w:val="none" w:sz="0" w:space="0" w:color="auto"/>
        <w:left w:val="none" w:sz="0" w:space="0" w:color="auto"/>
        <w:bottom w:val="none" w:sz="0" w:space="0" w:color="auto"/>
        <w:right w:val="none" w:sz="0" w:space="0" w:color="auto"/>
      </w:divBdr>
    </w:div>
    <w:div w:id="1047755257">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211304320">
      <w:bodyDiv w:val="1"/>
      <w:marLeft w:val="0"/>
      <w:marRight w:val="0"/>
      <w:marTop w:val="0"/>
      <w:marBottom w:val="0"/>
      <w:divBdr>
        <w:top w:val="none" w:sz="0" w:space="0" w:color="auto"/>
        <w:left w:val="none" w:sz="0" w:space="0" w:color="auto"/>
        <w:bottom w:val="none" w:sz="0" w:space="0" w:color="auto"/>
        <w:right w:val="none" w:sz="0" w:space="0" w:color="auto"/>
      </w:divBdr>
    </w:div>
    <w:div w:id="1303920725">
      <w:bodyDiv w:val="1"/>
      <w:marLeft w:val="0"/>
      <w:marRight w:val="0"/>
      <w:marTop w:val="0"/>
      <w:marBottom w:val="0"/>
      <w:divBdr>
        <w:top w:val="none" w:sz="0" w:space="0" w:color="auto"/>
        <w:left w:val="none" w:sz="0" w:space="0" w:color="auto"/>
        <w:bottom w:val="none" w:sz="0" w:space="0" w:color="auto"/>
        <w:right w:val="none" w:sz="0" w:space="0" w:color="auto"/>
      </w:divBdr>
    </w:div>
    <w:div w:id="1399553620">
      <w:bodyDiv w:val="1"/>
      <w:marLeft w:val="0"/>
      <w:marRight w:val="0"/>
      <w:marTop w:val="0"/>
      <w:marBottom w:val="0"/>
      <w:divBdr>
        <w:top w:val="none" w:sz="0" w:space="0" w:color="auto"/>
        <w:left w:val="none" w:sz="0" w:space="0" w:color="auto"/>
        <w:bottom w:val="none" w:sz="0" w:space="0" w:color="auto"/>
        <w:right w:val="none" w:sz="0" w:space="0" w:color="auto"/>
      </w:divBdr>
      <w:divsChild>
        <w:div w:id="1981421891">
          <w:marLeft w:val="0"/>
          <w:marRight w:val="0"/>
          <w:marTop w:val="0"/>
          <w:marBottom w:val="0"/>
          <w:divBdr>
            <w:top w:val="none" w:sz="0" w:space="0" w:color="auto"/>
            <w:left w:val="none" w:sz="0" w:space="0" w:color="auto"/>
            <w:bottom w:val="none" w:sz="0" w:space="0" w:color="auto"/>
            <w:right w:val="none" w:sz="0" w:space="0" w:color="auto"/>
          </w:divBdr>
          <w:divsChild>
            <w:div w:id="1261447427">
              <w:marLeft w:val="0"/>
              <w:marRight w:val="60"/>
              <w:marTop w:val="0"/>
              <w:marBottom w:val="0"/>
              <w:divBdr>
                <w:top w:val="none" w:sz="0" w:space="0" w:color="auto"/>
                <w:left w:val="none" w:sz="0" w:space="0" w:color="auto"/>
                <w:bottom w:val="none" w:sz="0" w:space="0" w:color="auto"/>
                <w:right w:val="none" w:sz="0" w:space="0" w:color="auto"/>
              </w:divBdr>
              <w:divsChild>
                <w:div w:id="684017080">
                  <w:marLeft w:val="0"/>
                  <w:marRight w:val="0"/>
                  <w:marTop w:val="0"/>
                  <w:marBottom w:val="120"/>
                  <w:divBdr>
                    <w:top w:val="single" w:sz="6" w:space="0" w:color="C0C0C0"/>
                    <w:left w:val="single" w:sz="6" w:space="0" w:color="D9D9D9"/>
                    <w:bottom w:val="single" w:sz="6" w:space="0" w:color="D9D9D9"/>
                    <w:right w:val="single" w:sz="6" w:space="0" w:color="D9D9D9"/>
                  </w:divBdr>
                  <w:divsChild>
                    <w:div w:id="1314599777">
                      <w:marLeft w:val="0"/>
                      <w:marRight w:val="0"/>
                      <w:marTop w:val="0"/>
                      <w:marBottom w:val="0"/>
                      <w:divBdr>
                        <w:top w:val="none" w:sz="0" w:space="0" w:color="auto"/>
                        <w:left w:val="none" w:sz="0" w:space="0" w:color="auto"/>
                        <w:bottom w:val="none" w:sz="0" w:space="0" w:color="auto"/>
                        <w:right w:val="none" w:sz="0" w:space="0" w:color="auto"/>
                      </w:divBdr>
                      <w:divsChild>
                        <w:div w:id="2018730330">
                          <w:marLeft w:val="0"/>
                          <w:marRight w:val="0"/>
                          <w:marTop w:val="0"/>
                          <w:marBottom w:val="0"/>
                          <w:divBdr>
                            <w:top w:val="none" w:sz="0" w:space="0" w:color="auto"/>
                            <w:left w:val="none" w:sz="0" w:space="0" w:color="auto"/>
                            <w:bottom w:val="none" w:sz="0" w:space="0" w:color="auto"/>
                            <w:right w:val="none" w:sz="0" w:space="0" w:color="auto"/>
                          </w:divBdr>
                          <w:divsChild>
                            <w:div w:id="818839294">
                              <w:marLeft w:val="0"/>
                              <w:marRight w:val="0"/>
                              <w:marTop w:val="0"/>
                              <w:marBottom w:val="0"/>
                              <w:divBdr>
                                <w:top w:val="none" w:sz="0" w:space="0" w:color="auto"/>
                                <w:left w:val="none" w:sz="0" w:space="0" w:color="auto"/>
                                <w:bottom w:val="none" w:sz="0" w:space="0" w:color="auto"/>
                                <w:right w:val="none" w:sz="0" w:space="0" w:color="auto"/>
                              </w:divBdr>
                              <w:divsChild>
                                <w:div w:id="618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471841">
          <w:marLeft w:val="0"/>
          <w:marRight w:val="0"/>
          <w:marTop w:val="0"/>
          <w:marBottom w:val="0"/>
          <w:divBdr>
            <w:top w:val="none" w:sz="0" w:space="0" w:color="auto"/>
            <w:left w:val="none" w:sz="0" w:space="0" w:color="auto"/>
            <w:bottom w:val="none" w:sz="0" w:space="0" w:color="auto"/>
            <w:right w:val="none" w:sz="0" w:space="0" w:color="auto"/>
          </w:divBdr>
          <w:divsChild>
            <w:div w:id="1204975478">
              <w:marLeft w:val="60"/>
              <w:marRight w:val="0"/>
              <w:marTop w:val="0"/>
              <w:marBottom w:val="0"/>
              <w:divBdr>
                <w:top w:val="none" w:sz="0" w:space="0" w:color="auto"/>
                <w:left w:val="none" w:sz="0" w:space="0" w:color="auto"/>
                <w:bottom w:val="none" w:sz="0" w:space="0" w:color="auto"/>
                <w:right w:val="none" w:sz="0" w:space="0" w:color="auto"/>
              </w:divBdr>
              <w:divsChild>
                <w:div w:id="408381446">
                  <w:marLeft w:val="0"/>
                  <w:marRight w:val="0"/>
                  <w:marTop w:val="0"/>
                  <w:marBottom w:val="0"/>
                  <w:divBdr>
                    <w:top w:val="none" w:sz="0" w:space="0" w:color="auto"/>
                    <w:left w:val="none" w:sz="0" w:space="0" w:color="auto"/>
                    <w:bottom w:val="none" w:sz="0" w:space="0" w:color="auto"/>
                    <w:right w:val="none" w:sz="0" w:space="0" w:color="auto"/>
                  </w:divBdr>
                  <w:divsChild>
                    <w:div w:id="2142112449">
                      <w:marLeft w:val="0"/>
                      <w:marRight w:val="0"/>
                      <w:marTop w:val="0"/>
                      <w:marBottom w:val="120"/>
                      <w:divBdr>
                        <w:top w:val="single" w:sz="6" w:space="0" w:color="F5F5F5"/>
                        <w:left w:val="single" w:sz="6" w:space="0" w:color="F5F5F5"/>
                        <w:bottom w:val="single" w:sz="6" w:space="0" w:color="F5F5F5"/>
                        <w:right w:val="single" w:sz="6" w:space="0" w:color="F5F5F5"/>
                      </w:divBdr>
                      <w:divsChild>
                        <w:div w:id="217589082">
                          <w:marLeft w:val="0"/>
                          <w:marRight w:val="0"/>
                          <w:marTop w:val="0"/>
                          <w:marBottom w:val="0"/>
                          <w:divBdr>
                            <w:top w:val="none" w:sz="0" w:space="0" w:color="auto"/>
                            <w:left w:val="none" w:sz="0" w:space="0" w:color="auto"/>
                            <w:bottom w:val="none" w:sz="0" w:space="0" w:color="auto"/>
                            <w:right w:val="none" w:sz="0" w:space="0" w:color="auto"/>
                          </w:divBdr>
                          <w:divsChild>
                            <w:div w:id="924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436035">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39605678">
      <w:bodyDiv w:val="1"/>
      <w:marLeft w:val="0"/>
      <w:marRight w:val="0"/>
      <w:marTop w:val="0"/>
      <w:marBottom w:val="0"/>
      <w:divBdr>
        <w:top w:val="none" w:sz="0" w:space="0" w:color="auto"/>
        <w:left w:val="none" w:sz="0" w:space="0" w:color="auto"/>
        <w:bottom w:val="none" w:sz="0" w:space="0" w:color="auto"/>
        <w:right w:val="none" w:sz="0" w:space="0" w:color="auto"/>
      </w:divBdr>
      <w:divsChild>
        <w:div w:id="1704865850">
          <w:marLeft w:val="0"/>
          <w:marRight w:val="0"/>
          <w:marTop w:val="0"/>
          <w:marBottom w:val="0"/>
          <w:divBdr>
            <w:top w:val="none" w:sz="0" w:space="0" w:color="auto"/>
            <w:left w:val="none" w:sz="0" w:space="0" w:color="auto"/>
            <w:bottom w:val="none" w:sz="0" w:space="0" w:color="auto"/>
            <w:right w:val="none" w:sz="0" w:space="0" w:color="auto"/>
          </w:divBdr>
        </w:div>
        <w:div w:id="931744600">
          <w:marLeft w:val="0"/>
          <w:marRight w:val="0"/>
          <w:marTop w:val="0"/>
          <w:marBottom w:val="0"/>
          <w:divBdr>
            <w:top w:val="none" w:sz="0" w:space="0" w:color="auto"/>
            <w:left w:val="none" w:sz="0" w:space="0" w:color="auto"/>
            <w:bottom w:val="none" w:sz="0" w:space="0" w:color="auto"/>
            <w:right w:val="none" w:sz="0" w:space="0" w:color="auto"/>
          </w:divBdr>
        </w:div>
        <w:div w:id="495149540">
          <w:marLeft w:val="0"/>
          <w:marRight w:val="0"/>
          <w:marTop w:val="0"/>
          <w:marBottom w:val="0"/>
          <w:divBdr>
            <w:top w:val="none" w:sz="0" w:space="0" w:color="auto"/>
            <w:left w:val="none" w:sz="0" w:space="0" w:color="auto"/>
            <w:bottom w:val="none" w:sz="0" w:space="0" w:color="auto"/>
            <w:right w:val="none" w:sz="0" w:space="0" w:color="auto"/>
          </w:divBdr>
        </w:div>
        <w:div w:id="48461035">
          <w:marLeft w:val="0"/>
          <w:marRight w:val="0"/>
          <w:marTop w:val="0"/>
          <w:marBottom w:val="0"/>
          <w:divBdr>
            <w:top w:val="none" w:sz="0" w:space="0" w:color="auto"/>
            <w:left w:val="none" w:sz="0" w:space="0" w:color="auto"/>
            <w:bottom w:val="none" w:sz="0" w:space="0" w:color="auto"/>
            <w:right w:val="none" w:sz="0" w:space="0" w:color="auto"/>
          </w:divBdr>
        </w:div>
        <w:div w:id="2020816964">
          <w:marLeft w:val="0"/>
          <w:marRight w:val="0"/>
          <w:marTop w:val="0"/>
          <w:marBottom w:val="0"/>
          <w:divBdr>
            <w:top w:val="none" w:sz="0" w:space="0" w:color="auto"/>
            <w:left w:val="none" w:sz="0" w:space="0" w:color="auto"/>
            <w:bottom w:val="none" w:sz="0" w:space="0" w:color="auto"/>
            <w:right w:val="none" w:sz="0" w:space="0" w:color="auto"/>
          </w:divBdr>
        </w:div>
        <w:div w:id="266811203">
          <w:marLeft w:val="0"/>
          <w:marRight w:val="0"/>
          <w:marTop w:val="0"/>
          <w:marBottom w:val="0"/>
          <w:divBdr>
            <w:top w:val="none" w:sz="0" w:space="0" w:color="auto"/>
            <w:left w:val="none" w:sz="0" w:space="0" w:color="auto"/>
            <w:bottom w:val="none" w:sz="0" w:space="0" w:color="auto"/>
            <w:right w:val="none" w:sz="0" w:space="0" w:color="auto"/>
          </w:divBdr>
        </w:div>
        <w:div w:id="294339828">
          <w:marLeft w:val="0"/>
          <w:marRight w:val="0"/>
          <w:marTop w:val="0"/>
          <w:marBottom w:val="0"/>
          <w:divBdr>
            <w:top w:val="none" w:sz="0" w:space="0" w:color="auto"/>
            <w:left w:val="none" w:sz="0" w:space="0" w:color="auto"/>
            <w:bottom w:val="none" w:sz="0" w:space="0" w:color="auto"/>
            <w:right w:val="none" w:sz="0" w:space="0" w:color="auto"/>
          </w:divBdr>
        </w:div>
      </w:divsChild>
    </w:div>
    <w:div w:id="1787895035">
      <w:bodyDiv w:val="1"/>
      <w:marLeft w:val="0"/>
      <w:marRight w:val="0"/>
      <w:marTop w:val="0"/>
      <w:marBottom w:val="0"/>
      <w:divBdr>
        <w:top w:val="none" w:sz="0" w:space="0" w:color="auto"/>
        <w:left w:val="none" w:sz="0" w:space="0" w:color="auto"/>
        <w:bottom w:val="none" w:sz="0" w:space="0" w:color="auto"/>
        <w:right w:val="none" w:sz="0" w:space="0" w:color="auto"/>
      </w:divBdr>
    </w:div>
    <w:div w:id="1792239199">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016103858">
      <w:bodyDiv w:val="1"/>
      <w:marLeft w:val="0"/>
      <w:marRight w:val="0"/>
      <w:marTop w:val="0"/>
      <w:marBottom w:val="0"/>
      <w:divBdr>
        <w:top w:val="none" w:sz="0" w:space="0" w:color="auto"/>
        <w:left w:val="none" w:sz="0" w:space="0" w:color="auto"/>
        <w:bottom w:val="none" w:sz="0" w:space="0" w:color="auto"/>
        <w:right w:val="none" w:sz="0" w:space="0" w:color="auto"/>
      </w:divBdr>
      <w:divsChild>
        <w:div w:id="1446346240">
          <w:marLeft w:val="0"/>
          <w:marRight w:val="0"/>
          <w:marTop w:val="0"/>
          <w:marBottom w:val="0"/>
          <w:divBdr>
            <w:top w:val="none" w:sz="0" w:space="0" w:color="auto"/>
            <w:left w:val="none" w:sz="0" w:space="0" w:color="auto"/>
            <w:bottom w:val="none" w:sz="0" w:space="0" w:color="auto"/>
            <w:right w:val="none" w:sz="0" w:space="0" w:color="auto"/>
          </w:divBdr>
        </w:div>
        <w:div w:id="1792361941">
          <w:marLeft w:val="0"/>
          <w:marRight w:val="0"/>
          <w:marTop w:val="0"/>
          <w:marBottom w:val="0"/>
          <w:divBdr>
            <w:top w:val="none" w:sz="0" w:space="0" w:color="auto"/>
            <w:left w:val="none" w:sz="0" w:space="0" w:color="auto"/>
            <w:bottom w:val="none" w:sz="0" w:space="0" w:color="auto"/>
            <w:right w:val="none" w:sz="0" w:space="0" w:color="auto"/>
          </w:divBdr>
        </w:div>
        <w:div w:id="285627356">
          <w:marLeft w:val="0"/>
          <w:marRight w:val="0"/>
          <w:marTop w:val="0"/>
          <w:marBottom w:val="0"/>
          <w:divBdr>
            <w:top w:val="none" w:sz="0" w:space="0" w:color="auto"/>
            <w:left w:val="none" w:sz="0" w:space="0" w:color="auto"/>
            <w:bottom w:val="none" w:sz="0" w:space="0" w:color="auto"/>
            <w:right w:val="none" w:sz="0" w:space="0" w:color="auto"/>
          </w:divBdr>
        </w:div>
        <w:div w:id="1006175756">
          <w:marLeft w:val="0"/>
          <w:marRight w:val="0"/>
          <w:marTop w:val="0"/>
          <w:marBottom w:val="0"/>
          <w:divBdr>
            <w:top w:val="none" w:sz="0" w:space="0" w:color="auto"/>
            <w:left w:val="none" w:sz="0" w:space="0" w:color="auto"/>
            <w:bottom w:val="none" w:sz="0" w:space="0" w:color="auto"/>
            <w:right w:val="none" w:sz="0" w:space="0" w:color="auto"/>
          </w:divBdr>
        </w:div>
        <w:div w:id="1988237343">
          <w:marLeft w:val="0"/>
          <w:marRight w:val="0"/>
          <w:marTop w:val="0"/>
          <w:marBottom w:val="0"/>
          <w:divBdr>
            <w:top w:val="none" w:sz="0" w:space="0" w:color="auto"/>
            <w:left w:val="none" w:sz="0" w:space="0" w:color="auto"/>
            <w:bottom w:val="none" w:sz="0" w:space="0" w:color="auto"/>
            <w:right w:val="none" w:sz="0" w:space="0" w:color="auto"/>
          </w:divBdr>
        </w:div>
        <w:div w:id="1599605887">
          <w:marLeft w:val="0"/>
          <w:marRight w:val="0"/>
          <w:marTop w:val="0"/>
          <w:marBottom w:val="0"/>
          <w:divBdr>
            <w:top w:val="none" w:sz="0" w:space="0" w:color="auto"/>
            <w:left w:val="none" w:sz="0" w:space="0" w:color="auto"/>
            <w:bottom w:val="none" w:sz="0" w:space="0" w:color="auto"/>
            <w:right w:val="none" w:sz="0" w:space="0" w:color="auto"/>
          </w:divBdr>
        </w:div>
        <w:div w:id="2046324731">
          <w:marLeft w:val="0"/>
          <w:marRight w:val="0"/>
          <w:marTop w:val="0"/>
          <w:marBottom w:val="0"/>
          <w:divBdr>
            <w:top w:val="none" w:sz="0" w:space="0" w:color="auto"/>
            <w:left w:val="none" w:sz="0" w:space="0" w:color="auto"/>
            <w:bottom w:val="none" w:sz="0" w:space="0" w:color="auto"/>
            <w:right w:val="none" w:sz="0" w:space="0" w:color="auto"/>
          </w:divBdr>
        </w:div>
        <w:div w:id="426855529">
          <w:marLeft w:val="0"/>
          <w:marRight w:val="0"/>
          <w:marTop w:val="0"/>
          <w:marBottom w:val="0"/>
          <w:divBdr>
            <w:top w:val="none" w:sz="0" w:space="0" w:color="auto"/>
            <w:left w:val="none" w:sz="0" w:space="0" w:color="auto"/>
            <w:bottom w:val="none" w:sz="0" w:space="0" w:color="auto"/>
            <w:right w:val="none" w:sz="0" w:space="0" w:color="auto"/>
          </w:divBdr>
        </w:div>
      </w:divsChild>
    </w:div>
    <w:div w:id="2115588159">
      <w:bodyDiv w:val="1"/>
      <w:marLeft w:val="0"/>
      <w:marRight w:val="0"/>
      <w:marTop w:val="0"/>
      <w:marBottom w:val="0"/>
      <w:divBdr>
        <w:top w:val="none" w:sz="0" w:space="0" w:color="auto"/>
        <w:left w:val="none" w:sz="0" w:space="0" w:color="auto"/>
        <w:bottom w:val="none" w:sz="0" w:space="0" w:color="auto"/>
        <w:right w:val="none" w:sz="0" w:space="0" w:color="auto"/>
      </w:divBdr>
      <w:divsChild>
        <w:div w:id="2039039747">
          <w:marLeft w:val="0"/>
          <w:marRight w:val="0"/>
          <w:marTop w:val="0"/>
          <w:marBottom w:val="0"/>
          <w:divBdr>
            <w:top w:val="none" w:sz="0" w:space="0" w:color="auto"/>
            <w:left w:val="none" w:sz="0" w:space="0" w:color="auto"/>
            <w:bottom w:val="none" w:sz="0" w:space="0" w:color="auto"/>
            <w:right w:val="none" w:sz="0" w:space="0" w:color="auto"/>
          </w:divBdr>
        </w:div>
        <w:div w:id="1732071368">
          <w:marLeft w:val="0"/>
          <w:marRight w:val="0"/>
          <w:marTop w:val="0"/>
          <w:marBottom w:val="0"/>
          <w:divBdr>
            <w:top w:val="none" w:sz="0" w:space="0" w:color="auto"/>
            <w:left w:val="none" w:sz="0" w:space="0" w:color="auto"/>
            <w:bottom w:val="none" w:sz="0" w:space="0" w:color="auto"/>
            <w:right w:val="none" w:sz="0" w:space="0" w:color="auto"/>
          </w:divBdr>
        </w:div>
        <w:div w:id="1221938160">
          <w:marLeft w:val="0"/>
          <w:marRight w:val="0"/>
          <w:marTop w:val="0"/>
          <w:marBottom w:val="0"/>
          <w:divBdr>
            <w:top w:val="none" w:sz="0" w:space="0" w:color="auto"/>
            <w:left w:val="none" w:sz="0" w:space="0" w:color="auto"/>
            <w:bottom w:val="none" w:sz="0" w:space="0" w:color="auto"/>
            <w:right w:val="none" w:sz="0" w:space="0" w:color="auto"/>
          </w:divBdr>
        </w:div>
        <w:div w:id="1584146664">
          <w:marLeft w:val="0"/>
          <w:marRight w:val="0"/>
          <w:marTop w:val="0"/>
          <w:marBottom w:val="0"/>
          <w:divBdr>
            <w:top w:val="none" w:sz="0" w:space="0" w:color="auto"/>
            <w:left w:val="none" w:sz="0" w:space="0" w:color="auto"/>
            <w:bottom w:val="none" w:sz="0" w:space="0" w:color="auto"/>
            <w:right w:val="none" w:sz="0" w:space="0" w:color="auto"/>
          </w:divBdr>
        </w:div>
        <w:div w:id="1464081609">
          <w:marLeft w:val="0"/>
          <w:marRight w:val="0"/>
          <w:marTop w:val="0"/>
          <w:marBottom w:val="0"/>
          <w:divBdr>
            <w:top w:val="none" w:sz="0" w:space="0" w:color="auto"/>
            <w:left w:val="none" w:sz="0" w:space="0" w:color="auto"/>
            <w:bottom w:val="none" w:sz="0" w:space="0" w:color="auto"/>
            <w:right w:val="none" w:sz="0" w:space="0" w:color="auto"/>
          </w:divBdr>
        </w:div>
        <w:div w:id="1519810796">
          <w:marLeft w:val="0"/>
          <w:marRight w:val="0"/>
          <w:marTop w:val="0"/>
          <w:marBottom w:val="0"/>
          <w:divBdr>
            <w:top w:val="none" w:sz="0" w:space="0" w:color="auto"/>
            <w:left w:val="none" w:sz="0" w:space="0" w:color="auto"/>
            <w:bottom w:val="none" w:sz="0" w:space="0" w:color="auto"/>
            <w:right w:val="none" w:sz="0" w:space="0" w:color="auto"/>
          </w:divBdr>
        </w:div>
        <w:div w:id="325019495">
          <w:marLeft w:val="0"/>
          <w:marRight w:val="0"/>
          <w:marTop w:val="0"/>
          <w:marBottom w:val="0"/>
          <w:divBdr>
            <w:top w:val="none" w:sz="0" w:space="0" w:color="auto"/>
            <w:left w:val="none" w:sz="0" w:space="0" w:color="auto"/>
            <w:bottom w:val="none" w:sz="0" w:space="0" w:color="auto"/>
            <w:right w:val="none" w:sz="0" w:space="0" w:color="auto"/>
          </w:divBdr>
        </w:div>
        <w:div w:id="2078090129">
          <w:marLeft w:val="0"/>
          <w:marRight w:val="0"/>
          <w:marTop w:val="0"/>
          <w:marBottom w:val="0"/>
          <w:divBdr>
            <w:top w:val="none" w:sz="0" w:space="0" w:color="auto"/>
            <w:left w:val="none" w:sz="0" w:space="0" w:color="auto"/>
            <w:bottom w:val="none" w:sz="0" w:space="0" w:color="auto"/>
            <w:right w:val="none" w:sz="0" w:space="0" w:color="auto"/>
          </w:divBdr>
        </w:div>
      </w:divsChild>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sco.org/culture/ich/fr/resolutions/6.GA/9?dec=resolutions&amp;amp;ref_decision=6.GA" TargetMode="External"/><Relationship Id="rId13" Type="http://schemas.openxmlformats.org/officeDocument/2006/relationships/hyperlink" Target="https://ich.unesco.org/doc/src/ITH-17-12.COM_2.BUR-INF.3-FR__.doc" TargetMode="External"/><Relationship Id="rId18" Type="http://schemas.openxmlformats.org/officeDocument/2006/relationships/hyperlink" Target="http://www.unesco.org/culture/ich/fr/Decisions/8.COM/5.c.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nesco.org/culture/ich/fr/les-etats-parties-00024" TargetMode="External"/><Relationship Id="rId17" Type="http://schemas.openxmlformats.org/officeDocument/2006/relationships/hyperlink" Target="http://www.unesco.org/culture/ich/fr/Decisions/8.COM/5.c.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ch.unesco.org/doc/src/ITH-17-12.COM_WG-4_FR.do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esdoc.unesco.org/images/0024/002480/248078f.pdf"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unesco.org/culture/ich/fr/decisions/11.COM/14?dec=decisions&amp;amp;ref_decision=11.COM" TargetMode="External"/><Relationship Id="rId23" Type="http://schemas.openxmlformats.org/officeDocument/2006/relationships/header" Target="header4.xml"/><Relationship Id="rId10" Type="http://schemas.openxmlformats.org/officeDocument/2006/relationships/hyperlink" Target="http://www.unesco.org/culture/ich/doc/src/ITH-16-11.COM_2.BUR-Decisions-FR.docx" TargetMode="External"/><Relationship Id="rId19" Type="http://schemas.openxmlformats.org/officeDocument/2006/relationships/hyperlink" Target="http://www.unesco.org/culture/ich/fr/decisions/10.COM/8" TargetMode="External"/><Relationship Id="rId4" Type="http://schemas.openxmlformats.org/officeDocument/2006/relationships/settings" Target="settings.xml"/><Relationship Id="rId9" Type="http://schemas.openxmlformats.org/officeDocument/2006/relationships/hyperlink" Target="http://www.unesco.org/culture/ich/fr/decisions/10.COM/8" TargetMode="External"/><Relationship Id="rId14" Type="http://schemas.openxmlformats.org/officeDocument/2006/relationships/hyperlink" Target="http://www.unesco.org/culture/ich/doc/src/ITH-16-11.COM-14-EN.docx"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CC8A9-2C32-42BA-9703-B95591F7B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123</TotalTime>
  <Pages>11</Pages>
  <Words>5214</Words>
  <Characters>28677</Characters>
  <Application>Microsoft Office Word</Application>
  <DocSecurity>0</DocSecurity>
  <Lines>238</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Delsol, Christine</dc:creator>
  <cp:lastModifiedBy>Elena Constantinou</cp:lastModifiedBy>
  <cp:revision>39</cp:revision>
  <cp:lastPrinted>2017-04-25T15:29:00Z</cp:lastPrinted>
  <dcterms:created xsi:type="dcterms:W3CDTF">2017-05-18T08:42:00Z</dcterms:created>
  <dcterms:modified xsi:type="dcterms:W3CDTF">2017-05-19T13:23:00Z</dcterms:modified>
</cp:coreProperties>
</file>