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F8D" w:rsidRPr="004001D1" w:rsidRDefault="00EC6F8D" w:rsidP="00EC6F8D">
      <w:pPr>
        <w:spacing w:before="1440"/>
        <w:jc w:val="center"/>
        <w:rPr>
          <w:rFonts w:ascii="Arial" w:hAnsi="Arial" w:cs="Arial"/>
          <w:b/>
          <w:sz w:val="22"/>
          <w:szCs w:val="22"/>
        </w:rPr>
      </w:pPr>
      <w:r w:rsidRPr="004001D1">
        <w:rPr>
          <w:rFonts w:ascii="Arial" w:hAnsi="Arial"/>
          <w:b/>
          <w:sz w:val="22"/>
        </w:rPr>
        <w:t xml:space="preserve">CONVENTION POUR LA SAUVEGARDE DU </w:t>
      </w:r>
      <w:r w:rsidRPr="004001D1">
        <w:rPr>
          <w:rFonts w:ascii="Arial" w:hAnsi="Arial" w:cs="Arial"/>
          <w:b/>
          <w:sz w:val="22"/>
          <w:szCs w:val="22"/>
        </w:rPr>
        <w:br/>
      </w:r>
      <w:r w:rsidRPr="004001D1">
        <w:rPr>
          <w:rFonts w:ascii="Arial" w:hAnsi="Arial"/>
          <w:b/>
          <w:sz w:val="22"/>
        </w:rPr>
        <w:t>PATRIMOINE CULTUREL IMMATÉRIEL</w:t>
      </w:r>
    </w:p>
    <w:p w:rsidR="00EC6F8D" w:rsidRPr="004001D1" w:rsidRDefault="00EC6F8D" w:rsidP="00A81997">
      <w:pPr>
        <w:spacing w:before="1200"/>
        <w:jc w:val="center"/>
        <w:rPr>
          <w:rFonts w:ascii="Arial" w:hAnsi="Arial" w:cs="Arial"/>
          <w:b/>
          <w:sz w:val="22"/>
          <w:szCs w:val="22"/>
        </w:rPr>
      </w:pPr>
      <w:r w:rsidRPr="004001D1">
        <w:rPr>
          <w:rFonts w:ascii="Arial" w:hAnsi="Arial"/>
          <w:b/>
          <w:sz w:val="22"/>
        </w:rPr>
        <w:t>COMITÉ INTERGOUVERNEMENTAL DE</w:t>
      </w:r>
      <w:r w:rsidR="00A81997" w:rsidRPr="00A81997">
        <w:rPr>
          <w:rFonts w:ascii="Arial" w:hAnsi="Arial"/>
          <w:b/>
          <w:sz w:val="22"/>
        </w:rPr>
        <w:t xml:space="preserve"> </w:t>
      </w:r>
      <w:r w:rsidR="00A81997" w:rsidRPr="004001D1">
        <w:rPr>
          <w:rFonts w:ascii="Arial" w:hAnsi="Arial"/>
          <w:b/>
          <w:sz w:val="22"/>
        </w:rPr>
        <w:t>SAUVEGARDE</w:t>
      </w:r>
      <w:r w:rsidRPr="004001D1">
        <w:rPr>
          <w:rFonts w:ascii="Arial" w:hAnsi="Arial" w:cs="Arial"/>
          <w:b/>
          <w:sz w:val="22"/>
          <w:szCs w:val="22"/>
        </w:rPr>
        <w:br/>
      </w:r>
      <w:r w:rsidRPr="004001D1">
        <w:rPr>
          <w:rFonts w:ascii="Arial" w:hAnsi="Arial"/>
          <w:b/>
          <w:sz w:val="22"/>
        </w:rPr>
        <w:t>DU PATRIMOINE CULTUREL IMMATÉRIEL</w:t>
      </w:r>
    </w:p>
    <w:p w:rsidR="00EC6F8D" w:rsidRPr="004001D1" w:rsidRDefault="00C7433F" w:rsidP="001D14FE">
      <w:pPr>
        <w:spacing w:before="840"/>
        <w:jc w:val="center"/>
        <w:rPr>
          <w:rFonts w:ascii="Arial" w:hAnsi="Arial" w:cs="Arial"/>
          <w:b/>
          <w:sz w:val="22"/>
          <w:szCs w:val="22"/>
        </w:rPr>
      </w:pPr>
      <w:r w:rsidRPr="004001D1">
        <w:rPr>
          <w:rFonts w:ascii="Arial" w:eastAsiaTheme="minorEastAsia" w:hAnsi="Arial" w:hint="eastAsia"/>
          <w:b/>
          <w:sz w:val="22"/>
        </w:rPr>
        <w:t>T</w:t>
      </w:r>
      <w:r w:rsidRPr="004001D1">
        <w:rPr>
          <w:rFonts w:ascii="Arial" w:eastAsiaTheme="minorEastAsia" w:hAnsi="Arial"/>
          <w:b/>
          <w:sz w:val="22"/>
        </w:rPr>
        <w:t>reizième session</w:t>
      </w:r>
    </w:p>
    <w:p w:rsidR="009D5428" w:rsidRPr="004001D1" w:rsidRDefault="001D14FE" w:rsidP="001D14FE">
      <w:pPr>
        <w:jc w:val="center"/>
        <w:rPr>
          <w:rFonts w:ascii="Arial" w:eastAsiaTheme="minorEastAsia" w:hAnsi="Arial" w:cs="Arial"/>
          <w:b/>
          <w:sz w:val="22"/>
          <w:szCs w:val="22"/>
        </w:rPr>
      </w:pPr>
      <w:r w:rsidRPr="004001D1">
        <w:rPr>
          <w:rFonts w:ascii="Arial" w:eastAsiaTheme="minorEastAsia" w:hAnsi="Arial"/>
          <w:b/>
          <w:sz w:val="22"/>
        </w:rPr>
        <w:t>Port</w:t>
      </w:r>
      <w:r w:rsidR="00092D07">
        <w:rPr>
          <w:rFonts w:ascii="Arial" w:eastAsiaTheme="minorEastAsia" w:hAnsi="Arial"/>
          <w:b/>
          <w:sz w:val="22"/>
        </w:rPr>
        <w:t>-</w:t>
      </w:r>
      <w:r w:rsidRPr="004001D1">
        <w:rPr>
          <w:rFonts w:ascii="Arial" w:eastAsiaTheme="minorEastAsia" w:hAnsi="Arial"/>
          <w:b/>
          <w:sz w:val="22"/>
        </w:rPr>
        <w:t>Louis, République de Maurice</w:t>
      </w:r>
    </w:p>
    <w:p w:rsidR="00EC6F8D" w:rsidRPr="004001D1" w:rsidRDefault="001D14FE" w:rsidP="00107741">
      <w:pPr>
        <w:jc w:val="center"/>
        <w:rPr>
          <w:rFonts w:ascii="Arial" w:eastAsiaTheme="minorEastAsia" w:hAnsi="Arial" w:cs="Arial"/>
          <w:b/>
          <w:sz w:val="22"/>
          <w:szCs w:val="22"/>
        </w:rPr>
      </w:pPr>
      <w:r w:rsidRPr="004001D1">
        <w:rPr>
          <w:rFonts w:ascii="Arial" w:eastAsiaTheme="minorEastAsia" w:hAnsi="Arial"/>
          <w:b/>
          <w:sz w:val="22"/>
        </w:rPr>
        <w:t xml:space="preserve">26 novembre </w:t>
      </w:r>
      <w:r w:rsidR="00107741">
        <w:rPr>
          <w:rFonts w:ascii="Arial" w:eastAsiaTheme="minorEastAsia" w:hAnsi="Arial"/>
          <w:b/>
          <w:sz w:val="22"/>
        </w:rPr>
        <w:t>–</w:t>
      </w:r>
      <w:r w:rsidRPr="004001D1">
        <w:rPr>
          <w:rFonts w:ascii="Arial" w:eastAsiaTheme="minorEastAsia" w:hAnsi="Arial"/>
          <w:b/>
          <w:sz w:val="22"/>
        </w:rPr>
        <w:t xml:space="preserve"> 1</w:t>
      </w:r>
      <w:r w:rsidR="00107741" w:rsidRPr="00107741">
        <w:rPr>
          <w:rFonts w:ascii="Arial" w:eastAsiaTheme="minorEastAsia" w:hAnsi="Arial"/>
          <w:b/>
          <w:sz w:val="22"/>
          <w:vertAlign w:val="superscript"/>
        </w:rPr>
        <w:t>er</w:t>
      </w:r>
      <w:r w:rsidRPr="004001D1">
        <w:rPr>
          <w:rFonts w:ascii="Arial" w:eastAsiaTheme="minorEastAsia" w:hAnsi="Arial"/>
          <w:b/>
          <w:sz w:val="22"/>
        </w:rPr>
        <w:t> décembre 2018</w:t>
      </w:r>
    </w:p>
    <w:p w:rsidR="00EC6F8D" w:rsidRPr="004001D1" w:rsidRDefault="00EC6F8D" w:rsidP="00EC6F8D">
      <w:pPr>
        <w:pStyle w:val="Sansinterligne2"/>
        <w:spacing w:before="1200"/>
        <w:jc w:val="center"/>
        <w:rPr>
          <w:rFonts w:ascii="Arial" w:hAnsi="Arial" w:cs="Arial"/>
          <w:b/>
          <w:sz w:val="22"/>
          <w:szCs w:val="22"/>
        </w:rPr>
      </w:pPr>
      <w:r w:rsidRPr="004001D1">
        <w:rPr>
          <w:rFonts w:ascii="Arial" w:hAnsi="Arial"/>
          <w:b/>
          <w:sz w:val="22"/>
          <w:u w:val="single"/>
        </w:rPr>
        <w:t>Point 10.d de l</w:t>
      </w:r>
      <w:r w:rsidR="0055538F">
        <w:rPr>
          <w:rFonts w:ascii="Arial" w:hAnsi="Arial"/>
          <w:b/>
          <w:sz w:val="22"/>
          <w:u w:val="single"/>
        </w:rPr>
        <w:t>’</w:t>
      </w:r>
      <w:r w:rsidRPr="004001D1">
        <w:rPr>
          <w:rFonts w:ascii="Arial" w:hAnsi="Arial"/>
          <w:b/>
          <w:sz w:val="22"/>
          <w:u w:val="single"/>
        </w:rPr>
        <w:t>ordre du jour provisoire</w:t>
      </w:r>
      <w:r w:rsidRPr="00292763">
        <w:rPr>
          <w:rFonts w:ascii="Arial" w:hAnsi="Arial"/>
          <w:b/>
          <w:sz w:val="22"/>
        </w:rPr>
        <w:t> :</w:t>
      </w:r>
    </w:p>
    <w:p w:rsidR="00EC6F8D" w:rsidRPr="004001D1" w:rsidRDefault="003950DF" w:rsidP="00EC6F8D">
      <w:pPr>
        <w:pStyle w:val="Sansinterligne2"/>
        <w:spacing w:after="1200"/>
        <w:jc w:val="center"/>
        <w:rPr>
          <w:rFonts w:ascii="Arial" w:hAnsi="Arial" w:cs="Arial"/>
          <w:b/>
          <w:sz w:val="22"/>
          <w:szCs w:val="22"/>
        </w:rPr>
      </w:pPr>
      <w:r w:rsidRPr="004001D1">
        <w:rPr>
          <w:rFonts w:ascii="Arial" w:hAnsi="Arial"/>
          <w:b/>
          <w:sz w:val="22"/>
        </w:rPr>
        <w:t>Examen des demandes d</w:t>
      </w:r>
      <w:r w:rsidR="0055538F">
        <w:rPr>
          <w:rFonts w:ascii="Arial" w:hAnsi="Arial"/>
          <w:b/>
          <w:sz w:val="22"/>
        </w:rPr>
        <w:t>’</w:t>
      </w:r>
      <w:r w:rsidRPr="004001D1">
        <w:rPr>
          <w:rFonts w:ascii="Arial" w:hAnsi="Arial"/>
          <w:b/>
          <w:sz w:val="22"/>
        </w:rPr>
        <w:t>assistance internationale</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4001D1" w:rsidTr="00EC6F8D">
        <w:trPr>
          <w:jc w:val="center"/>
        </w:trPr>
        <w:tc>
          <w:tcPr>
            <w:tcW w:w="5670" w:type="dxa"/>
            <w:vAlign w:val="center"/>
          </w:tcPr>
          <w:p w:rsidR="00EC6F8D" w:rsidRPr="004001D1" w:rsidRDefault="00EC6F8D" w:rsidP="00CA56BB">
            <w:pPr>
              <w:pStyle w:val="Sansinterligne1"/>
              <w:spacing w:before="200" w:after="200"/>
              <w:jc w:val="center"/>
              <w:rPr>
                <w:rFonts w:ascii="Arial" w:hAnsi="Arial" w:cs="Arial"/>
                <w:b/>
                <w:sz w:val="22"/>
                <w:szCs w:val="22"/>
              </w:rPr>
            </w:pPr>
            <w:r w:rsidRPr="004001D1">
              <w:rPr>
                <w:rFonts w:ascii="Arial" w:hAnsi="Arial"/>
                <w:b/>
                <w:sz w:val="22"/>
              </w:rPr>
              <w:t>Résumé</w:t>
            </w:r>
          </w:p>
          <w:p w:rsidR="003950DF" w:rsidRPr="004001D1" w:rsidRDefault="003950DF" w:rsidP="003950DF">
            <w:pPr>
              <w:pStyle w:val="Sansinterligne2"/>
              <w:spacing w:before="200" w:after="200"/>
              <w:jc w:val="both"/>
              <w:rPr>
                <w:rFonts w:ascii="Arial" w:hAnsi="Arial" w:cs="Arial"/>
                <w:sz w:val="22"/>
                <w:szCs w:val="22"/>
              </w:rPr>
            </w:pPr>
            <w:r w:rsidRPr="004001D1">
              <w:rPr>
                <w:rFonts w:ascii="Arial" w:hAnsi="Arial"/>
                <w:sz w:val="22"/>
              </w:rPr>
              <w:t xml:space="preserve">Le présent document comprend </w:t>
            </w:r>
            <w:r w:rsidR="00092D07" w:rsidRPr="004001D1">
              <w:rPr>
                <w:rFonts w:ascii="Arial" w:hAnsi="Arial"/>
                <w:sz w:val="22"/>
              </w:rPr>
              <w:t>l</w:t>
            </w:r>
            <w:r w:rsidR="00092D07">
              <w:rPr>
                <w:rFonts w:ascii="Arial" w:hAnsi="Arial"/>
                <w:sz w:val="22"/>
              </w:rPr>
              <w:t>a</w:t>
            </w:r>
            <w:r w:rsidR="00092D07" w:rsidRPr="004001D1">
              <w:rPr>
                <w:rFonts w:ascii="Arial" w:hAnsi="Arial"/>
                <w:sz w:val="22"/>
              </w:rPr>
              <w:t xml:space="preserve"> </w:t>
            </w:r>
            <w:r w:rsidRPr="004001D1">
              <w:rPr>
                <w:rFonts w:ascii="Arial" w:hAnsi="Arial"/>
                <w:sz w:val="22"/>
              </w:rPr>
              <w:t>recommandation de l</w:t>
            </w:r>
            <w:r w:rsidR="0055538F">
              <w:rPr>
                <w:rFonts w:ascii="Arial" w:hAnsi="Arial"/>
                <w:sz w:val="22"/>
              </w:rPr>
              <w:t>’</w:t>
            </w:r>
            <w:r w:rsidRPr="004001D1">
              <w:rPr>
                <w:rFonts w:ascii="Arial" w:hAnsi="Arial"/>
                <w:sz w:val="22"/>
              </w:rPr>
              <w:t>Organe d</w:t>
            </w:r>
            <w:r w:rsidR="0055538F">
              <w:rPr>
                <w:rFonts w:ascii="Arial" w:hAnsi="Arial"/>
                <w:sz w:val="22"/>
              </w:rPr>
              <w:t>’</w:t>
            </w:r>
            <w:r w:rsidRPr="004001D1">
              <w:rPr>
                <w:rFonts w:ascii="Arial" w:hAnsi="Arial"/>
                <w:sz w:val="22"/>
              </w:rPr>
              <w:t xml:space="preserve">évaluation concernant </w:t>
            </w:r>
            <w:r w:rsidR="00092D07">
              <w:rPr>
                <w:rFonts w:ascii="Arial" w:hAnsi="Arial"/>
                <w:sz w:val="22"/>
              </w:rPr>
              <w:t>une</w:t>
            </w:r>
            <w:r w:rsidR="00092D07" w:rsidRPr="004001D1">
              <w:rPr>
                <w:rFonts w:ascii="Arial" w:hAnsi="Arial"/>
                <w:sz w:val="22"/>
              </w:rPr>
              <w:t xml:space="preserve"> </w:t>
            </w:r>
            <w:r w:rsidRPr="004001D1">
              <w:rPr>
                <w:rFonts w:ascii="Arial" w:hAnsi="Arial"/>
                <w:sz w:val="22"/>
              </w:rPr>
              <w:t>demande d</w:t>
            </w:r>
            <w:r w:rsidR="0055538F">
              <w:rPr>
                <w:rFonts w:ascii="Arial" w:hAnsi="Arial"/>
                <w:sz w:val="22"/>
              </w:rPr>
              <w:t>’</w:t>
            </w:r>
            <w:r w:rsidRPr="004001D1">
              <w:rPr>
                <w:rFonts w:ascii="Arial" w:hAnsi="Arial"/>
                <w:sz w:val="22"/>
              </w:rPr>
              <w:t>assistance internationale (</w:t>
            </w:r>
            <w:r w:rsidR="00092D07">
              <w:rPr>
                <w:rFonts w:ascii="Arial" w:hAnsi="Arial"/>
                <w:sz w:val="22"/>
              </w:rPr>
              <w:t>p</w:t>
            </w:r>
            <w:r w:rsidRPr="004001D1">
              <w:rPr>
                <w:rFonts w:ascii="Arial" w:hAnsi="Arial"/>
                <w:sz w:val="22"/>
              </w:rPr>
              <w:t xml:space="preserve">artie A) et un projet de décision </w:t>
            </w:r>
            <w:r w:rsidR="00092D07">
              <w:rPr>
                <w:rFonts w:ascii="Arial" w:hAnsi="Arial"/>
                <w:sz w:val="22"/>
              </w:rPr>
              <w:t>pour considération</w:t>
            </w:r>
            <w:r w:rsidRPr="004001D1">
              <w:rPr>
                <w:rFonts w:ascii="Arial" w:hAnsi="Arial"/>
                <w:sz w:val="22"/>
              </w:rPr>
              <w:t xml:space="preserve"> par le Comité (partie B). Un aperçu des dossiers de 2018 et </w:t>
            </w:r>
            <w:r w:rsidR="00092D07">
              <w:rPr>
                <w:rFonts w:ascii="Arial" w:hAnsi="Arial"/>
                <w:sz w:val="22"/>
              </w:rPr>
              <w:t>l</w:t>
            </w:r>
            <w:r w:rsidRPr="004001D1">
              <w:rPr>
                <w:rFonts w:ascii="Arial" w:hAnsi="Arial"/>
                <w:sz w:val="22"/>
              </w:rPr>
              <w:t>es méthodes de travail de l</w:t>
            </w:r>
            <w:r w:rsidR="0055538F">
              <w:rPr>
                <w:rFonts w:ascii="Arial" w:hAnsi="Arial"/>
                <w:sz w:val="22"/>
              </w:rPr>
              <w:t>’</w:t>
            </w:r>
            <w:r w:rsidRPr="004001D1">
              <w:rPr>
                <w:rFonts w:ascii="Arial" w:hAnsi="Arial"/>
                <w:sz w:val="22"/>
              </w:rPr>
              <w:t>Organe d</w:t>
            </w:r>
            <w:r w:rsidR="0055538F">
              <w:rPr>
                <w:rFonts w:ascii="Arial" w:hAnsi="Arial"/>
                <w:sz w:val="22"/>
              </w:rPr>
              <w:t>’</w:t>
            </w:r>
            <w:r w:rsidRPr="004001D1">
              <w:rPr>
                <w:rFonts w:ascii="Arial" w:hAnsi="Arial"/>
                <w:sz w:val="22"/>
              </w:rPr>
              <w:t xml:space="preserve">évaluation </w:t>
            </w:r>
            <w:r w:rsidR="00092D07">
              <w:rPr>
                <w:rFonts w:ascii="Arial" w:hAnsi="Arial"/>
                <w:sz w:val="22"/>
              </w:rPr>
              <w:t>sont</w:t>
            </w:r>
            <w:r w:rsidR="00092D07" w:rsidRPr="004001D1">
              <w:rPr>
                <w:rFonts w:ascii="Arial" w:hAnsi="Arial"/>
                <w:sz w:val="22"/>
              </w:rPr>
              <w:t xml:space="preserve"> </w:t>
            </w:r>
            <w:r w:rsidR="00092D07">
              <w:rPr>
                <w:rFonts w:ascii="Arial" w:hAnsi="Arial"/>
                <w:sz w:val="22"/>
              </w:rPr>
              <w:t>présentés</w:t>
            </w:r>
            <w:r w:rsidR="00092D07" w:rsidRPr="004001D1">
              <w:rPr>
                <w:rFonts w:ascii="Arial" w:hAnsi="Arial"/>
                <w:sz w:val="22"/>
              </w:rPr>
              <w:t xml:space="preserve"> </w:t>
            </w:r>
            <w:r w:rsidRPr="004001D1">
              <w:rPr>
                <w:rFonts w:ascii="Arial" w:hAnsi="Arial"/>
                <w:sz w:val="22"/>
              </w:rPr>
              <w:t xml:space="preserve">dans le document </w:t>
            </w:r>
            <w:hyperlink r:id="rId8" w:history="1">
              <w:r w:rsidRPr="00A81997">
                <w:rPr>
                  <w:rStyle w:val="Hyperlink"/>
                  <w:rFonts w:ascii="Arial" w:hAnsi="Arial"/>
                  <w:sz w:val="22"/>
                </w:rPr>
                <w:t>ITH/1</w:t>
              </w:r>
              <w:r w:rsidR="00305FE1" w:rsidRPr="00A81997">
                <w:rPr>
                  <w:rStyle w:val="Hyperlink"/>
                  <w:rFonts w:ascii="Arial" w:hAnsi="Arial"/>
                  <w:sz w:val="22"/>
                </w:rPr>
                <w:t>8</w:t>
              </w:r>
              <w:r w:rsidRPr="00A81997">
                <w:rPr>
                  <w:rStyle w:val="Hyperlink"/>
                  <w:rFonts w:ascii="Arial" w:hAnsi="Arial"/>
                  <w:sz w:val="22"/>
                </w:rPr>
                <w:t>/13.COM/10</w:t>
              </w:r>
            </w:hyperlink>
            <w:r w:rsidRPr="004001D1">
              <w:rPr>
                <w:rFonts w:ascii="Arial" w:hAnsi="Arial"/>
                <w:sz w:val="22"/>
              </w:rPr>
              <w:t>.</w:t>
            </w:r>
          </w:p>
          <w:p w:rsidR="00EC6F8D" w:rsidRPr="004001D1" w:rsidRDefault="00EC6F8D" w:rsidP="003950DF">
            <w:pPr>
              <w:pStyle w:val="Sansinterligne2"/>
              <w:spacing w:before="200" w:after="200"/>
              <w:jc w:val="both"/>
              <w:rPr>
                <w:rFonts w:ascii="Arial" w:hAnsi="Arial" w:cs="Arial"/>
                <w:b/>
                <w:sz w:val="22"/>
                <w:szCs w:val="22"/>
              </w:rPr>
            </w:pPr>
            <w:r w:rsidRPr="004001D1">
              <w:rPr>
                <w:rFonts w:ascii="Arial" w:hAnsi="Arial"/>
                <w:b/>
                <w:sz w:val="22"/>
              </w:rPr>
              <w:t xml:space="preserve">Décision requise : </w:t>
            </w:r>
            <w:r w:rsidRPr="004001D1">
              <w:rPr>
                <w:rFonts w:ascii="Arial" w:hAnsi="Arial"/>
                <w:sz w:val="22"/>
              </w:rPr>
              <w:t>paragraphe 2</w:t>
            </w:r>
          </w:p>
        </w:tc>
      </w:tr>
    </w:tbl>
    <w:p w:rsidR="003950DF" w:rsidRPr="004001D1" w:rsidRDefault="00655736" w:rsidP="00A81997">
      <w:pPr>
        <w:pStyle w:val="NoSpacing1"/>
        <w:keepNext/>
        <w:numPr>
          <w:ilvl w:val="0"/>
          <w:numId w:val="14"/>
        </w:numPr>
        <w:tabs>
          <w:tab w:val="left" w:pos="567"/>
        </w:tabs>
        <w:spacing w:after="240"/>
        <w:ind w:left="567" w:hanging="567"/>
        <w:jc w:val="both"/>
        <w:rPr>
          <w:rFonts w:ascii="Arial" w:hAnsi="Arial" w:cs="Arial"/>
          <w:b/>
        </w:rPr>
      </w:pPr>
      <w:r w:rsidRPr="004001D1">
        <w:br w:type="page"/>
      </w:r>
      <w:r w:rsidRPr="004001D1">
        <w:rPr>
          <w:rFonts w:ascii="Arial" w:hAnsi="Arial"/>
          <w:b/>
        </w:rPr>
        <w:lastRenderedPageBreak/>
        <w:t>Recommandation</w:t>
      </w:r>
    </w:p>
    <w:p w:rsidR="003950DF" w:rsidRPr="004001D1" w:rsidRDefault="003950DF" w:rsidP="003950DF">
      <w:pPr>
        <w:pStyle w:val="COMPara"/>
        <w:spacing w:before="240"/>
        <w:jc w:val="both"/>
      </w:pPr>
      <w:bookmarkStart w:id="0" w:name="Recommends_that_the_committee_approve"/>
      <w:bookmarkStart w:id="1" w:name="Recommends_that_the_committee_refer"/>
      <w:bookmarkEnd w:id="0"/>
      <w:bookmarkEnd w:id="1"/>
      <w:r w:rsidRPr="004001D1">
        <w:t>L</w:t>
      </w:r>
      <w:r w:rsidR="0055538F">
        <w:t>’</w:t>
      </w:r>
      <w:r w:rsidRPr="004001D1">
        <w:t>Organe d</w:t>
      </w:r>
      <w:r w:rsidR="0055538F">
        <w:t>’</w:t>
      </w:r>
      <w:r w:rsidRPr="004001D1">
        <w:t>évaluation recommande au Comité de renvoyer l</w:t>
      </w:r>
      <w:r w:rsidR="00CE1E54">
        <w:t>a</w:t>
      </w:r>
      <w:r w:rsidRPr="004001D1">
        <w:t xml:space="preserve"> demande d</w:t>
      </w:r>
      <w:r w:rsidR="0055538F">
        <w:t>’</w:t>
      </w:r>
      <w:r w:rsidRPr="004001D1">
        <w:t>assistance internationale suivante à l</w:t>
      </w:r>
      <w:r w:rsidR="0055538F">
        <w:t>’</w:t>
      </w:r>
      <w:r w:rsidRPr="004001D1">
        <w:t>État soumissionnaire :</w:t>
      </w:r>
    </w:p>
    <w:tbl>
      <w:tblPr>
        <w:tblW w:w="9072" w:type="dxa"/>
        <w:tblInd w:w="62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A0" w:firstRow="1" w:lastRow="0" w:firstColumn="1" w:lastColumn="0" w:noHBand="0" w:noVBand="0"/>
      </w:tblPr>
      <w:tblGrid>
        <w:gridCol w:w="1702"/>
        <w:gridCol w:w="1417"/>
        <w:gridCol w:w="3687"/>
        <w:gridCol w:w="1315"/>
        <w:gridCol w:w="951"/>
      </w:tblGrid>
      <w:tr w:rsidR="003950DF" w:rsidRPr="004001D1" w:rsidTr="00A81997">
        <w:trPr>
          <w:cantSplit/>
          <w:tblHeader/>
        </w:trPr>
        <w:tc>
          <w:tcPr>
            <w:tcW w:w="938" w:type="pct"/>
            <w:tcBorders>
              <w:top w:val="single" w:sz="4" w:space="0" w:color="auto"/>
              <w:bottom w:val="single" w:sz="4" w:space="0" w:color="auto"/>
              <w:right w:val="nil"/>
            </w:tcBorders>
            <w:shd w:val="clear" w:color="auto" w:fill="BFBFBF"/>
            <w:vAlign w:val="center"/>
          </w:tcPr>
          <w:p w:rsidR="003950DF" w:rsidRPr="004001D1" w:rsidRDefault="003950DF" w:rsidP="00301734">
            <w:pPr>
              <w:spacing w:before="120" w:after="120"/>
              <w:jc w:val="center"/>
              <w:rPr>
                <w:rFonts w:ascii="Arial" w:hAnsi="Arial" w:cs="Arial"/>
                <w:sz w:val="22"/>
                <w:szCs w:val="22"/>
              </w:rPr>
            </w:pPr>
            <w:r w:rsidRPr="004001D1">
              <w:rPr>
                <w:rFonts w:ascii="Arial" w:hAnsi="Arial"/>
                <w:b/>
                <w:sz w:val="22"/>
              </w:rPr>
              <w:t>Projet de décision</w:t>
            </w:r>
          </w:p>
        </w:tc>
        <w:tc>
          <w:tcPr>
            <w:tcW w:w="781" w:type="pct"/>
            <w:tcBorders>
              <w:top w:val="single" w:sz="4" w:space="0" w:color="auto"/>
              <w:left w:val="nil"/>
              <w:bottom w:val="single" w:sz="4" w:space="0" w:color="auto"/>
            </w:tcBorders>
            <w:shd w:val="clear" w:color="auto" w:fill="BFBFBF"/>
            <w:vAlign w:val="center"/>
          </w:tcPr>
          <w:p w:rsidR="003950DF" w:rsidRPr="004001D1" w:rsidRDefault="003950DF" w:rsidP="00301734">
            <w:pPr>
              <w:spacing w:before="120" w:after="120"/>
              <w:jc w:val="center"/>
              <w:rPr>
                <w:rFonts w:ascii="Arial" w:hAnsi="Arial" w:cs="Arial"/>
                <w:sz w:val="22"/>
                <w:szCs w:val="22"/>
              </w:rPr>
            </w:pPr>
            <w:r w:rsidRPr="004001D1">
              <w:rPr>
                <w:rFonts w:ascii="Arial" w:hAnsi="Arial"/>
                <w:b/>
                <w:sz w:val="22"/>
              </w:rPr>
              <w:t>État demandeur</w:t>
            </w:r>
          </w:p>
        </w:tc>
        <w:tc>
          <w:tcPr>
            <w:tcW w:w="2032" w:type="pct"/>
            <w:tcBorders>
              <w:top w:val="single" w:sz="4" w:space="0" w:color="auto"/>
              <w:bottom w:val="single" w:sz="4" w:space="0" w:color="auto"/>
            </w:tcBorders>
            <w:shd w:val="clear" w:color="auto" w:fill="BFBFBF"/>
            <w:vAlign w:val="center"/>
          </w:tcPr>
          <w:p w:rsidR="003950DF" w:rsidRPr="004001D1" w:rsidRDefault="003950DF" w:rsidP="00301734">
            <w:pPr>
              <w:spacing w:before="120" w:after="120"/>
              <w:jc w:val="center"/>
              <w:rPr>
                <w:rFonts w:ascii="Arial" w:hAnsi="Arial" w:cs="Arial"/>
                <w:sz w:val="22"/>
                <w:szCs w:val="22"/>
              </w:rPr>
            </w:pPr>
            <w:r w:rsidRPr="004001D1">
              <w:rPr>
                <w:rFonts w:ascii="Arial" w:hAnsi="Arial"/>
                <w:b/>
                <w:sz w:val="22"/>
              </w:rPr>
              <w:t>Titre</w:t>
            </w:r>
          </w:p>
        </w:tc>
        <w:tc>
          <w:tcPr>
            <w:tcW w:w="725" w:type="pct"/>
            <w:tcBorders>
              <w:top w:val="single" w:sz="4" w:space="0" w:color="auto"/>
              <w:bottom w:val="single" w:sz="4" w:space="0" w:color="auto"/>
            </w:tcBorders>
            <w:shd w:val="clear" w:color="auto" w:fill="BFBFBF"/>
            <w:vAlign w:val="center"/>
          </w:tcPr>
          <w:p w:rsidR="003950DF" w:rsidRPr="004001D1" w:rsidRDefault="003950DF" w:rsidP="00301734">
            <w:pPr>
              <w:spacing w:before="120" w:after="120"/>
              <w:jc w:val="center"/>
              <w:rPr>
                <w:rFonts w:ascii="Arial" w:hAnsi="Arial" w:cs="Arial"/>
                <w:b/>
                <w:bCs/>
                <w:sz w:val="22"/>
                <w:szCs w:val="22"/>
              </w:rPr>
            </w:pPr>
            <w:r w:rsidRPr="004001D1">
              <w:rPr>
                <w:rFonts w:ascii="Arial" w:hAnsi="Arial"/>
                <w:b/>
                <w:sz w:val="22"/>
              </w:rPr>
              <w:t>Montant demandé</w:t>
            </w:r>
          </w:p>
        </w:tc>
        <w:tc>
          <w:tcPr>
            <w:tcW w:w="524" w:type="pct"/>
            <w:tcBorders>
              <w:top w:val="single" w:sz="4" w:space="0" w:color="auto"/>
              <w:bottom w:val="single" w:sz="4" w:space="0" w:color="auto"/>
            </w:tcBorders>
            <w:shd w:val="clear" w:color="auto" w:fill="BFBFBF"/>
            <w:vAlign w:val="center"/>
          </w:tcPr>
          <w:p w:rsidR="003950DF" w:rsidRPr="004001D1" w:rsidRDefault="003950DF">
            <w:pPr>
              <w:spacing w:before="120" w:after="120"/>
              <w:jc w:val="center"/>
              <w:rPr>
                <w:rFonts w:ascii="Arial" w:hAnsi="Arial" w:cs="Arial"/>
                <w:sz w:val="22"/>
                <w:szCs w:val="22"/>
              </w:rPr>
            </w:pPr>
            <w:r w:rsidRPr="004001D1">
              <w:rPr>
                <w:rFonts w:ascii="Arial" w:hAnsi="Arial"/>
                <w:b/>
                <w:sz w:val="22"/>
              </w:rPr>
              <w:t>Dossier n°</w:t>
            </w:r>
          </w:p>
        </w:tc>
      </w:tr>
      <w:tr w:rsidR="003950DF" w:rsidRPr="004001D1" w:rsidTr="00A81997">
        <w:trPr>
          <w:cantSplit/>
          <w:tblHeader/>
        </w:trPr>
        <w:tc>
          <w:tcPr>
            <w:tcW w:w="938" w:type="pct"/>
            <w:tcBorders>
              <w:top w:val="single" w:sz="4" w:space="0" w:color="auto"/>
              <w:bottom w:val="single" w:sz="4" w:space="0" w:color="auto"/>
              <w:right w:val="nil"/>
            </w:tcBorders>
          </w:tcPr>
          <w:p w:rsidR="003950DF" w:rsidRPr="004001D1" w:rsidRDefault="00890397" w:rsidP="00E20425">
            <w:pPr>
              <w:spacing w:before="120" w:after="120"/>
              <w:rPr>
                <w:rFonts w:ascii="Arial" w:hAnsi="Arial" w:cs="Arial"/>
                <w:sz w:val="22"/>
                <w:szCs w:val="22"/>
              </w:rPr>
            </w:pPr>
            <w:hyperlink w:anchor="Decision_10d" w:history="1">
              <w:r w:rsidR="00421980" w:rsidRPr="004001D1">
                <w:rPr>
                  <w:rStyle w:val="Hyperlink"/>
                  <w:rFonts w:ascii="Arial" w:hAnsi="Arial"/>
                  <w:sz w:val="22"/>
                </w:rPr>
                <w:t>13.COM 10.d</w:t>
              </w:r>
            </w:hyperlink>
          </w:p>
        </w:tc>
        <w:tc>
          <w:tcPr>
            <w:tcW w:w="781" w:type="pct"/>
            <w:tcBorders>
              <w:top w:val="single" w:sz="4" w:space="0" w:color="auto"/>
              <w:left w:val="nil"/>
              <w:bottom w:val="single" w:sz="4" w:space="0" w:color="auto"/>
            </w:tcBorders>
          </w:tcPr>
          <w:p w:rsidR="003950DF" w:rsidRPr="004001D1" w:rsidRDefault="003950DF" w:rsidP="00301734">
            <w:pPr>
              <w:spacing w:before="120" w:after="120"/>
              <w:jc w:val="center"/>
              <w:rPr>
                <w:rFonts w:ascii="Arial" w:hAnsi="Arial" w:cs="Arial"/>
                <w:sz w:val="22"/>
                <w:szCs w:val="22"/>
              </w:rPr>
            </w:pPr>
            <w:r w:rsidRPr="004001D1">
              <w:rPr>
                <w:rFonts w:ascii="Arial" w:hAnsi="Arial"/>
                <w:sz w:val="22"/>
              </w:rPr>
              <w:t>Albanie</w:t>
            </w:r>
          </w:p>
        </w:tc>
        <w:tc>
          <w:tcPr>
            <w:tcW w:w="2032" w:type="pct"/>
            <w:tcBorders>
              <w:top w:val="single" w:sz="4" w:space="0" w:color="auto"/>
              <w:bottom w:val="single" w:sz="4" w:space="0" w:color="auto"/>
            </w:tcBorders>
          </w:tcPr>
          <w:p w:rsidR="003950DF" w:rsidRPr="004001D1" w:rsidRDefault="004D4AD1" w:rsidP="00301734">
            <w:pPr>
              <w:spacing w:before="120" w:after="120"/>
              <w:rPr>
                <w:rFonts w:ascii="Arial" w:hAnsi="Arial" w:cs="Arial"/>
                <w:sz w:val="22"/>
                <w:szCs w:val="22"/>
              </w:rPr>
            </w:pPr>
            <w:r w:rsidRPr="004D4AD1">
              <w:rPr>
                <w:rFonts w:ascii="Arial" w:hAnsi="Arial"/>
                <w:sz w:val="22"/>
              </w:rPr>
              <w:t>La réalisation, avec la p</w:t>
            </w:r>
            <w:r w:rsidR="00451D58">
              <w:rPr>
                <w:rFonts w:ascii="Arial" w:hAnsi="Arial"/>
                <w:sz w:val="22"/>
              </w:rPr>
              <w:t>articipation des communautés, d’</w:t>
            </w:r>
            <w:r w:rsidRPr="004D4AD1">
              <w:rPr>
                <w:rFonts w:ascii="Arial" w:hAnsi="Arial"/>
                <w:sz w:val="22"/>
              </w:rPr>
              <w:t>un inventaire du PCI en Albanie en vue de le sauvegarder et le transmettre aux générations futures</w:t>
            </w:r>
          </w:p>
        </w:tc>
        <w:tc>
          <w:tcPr>
            <w:tcW w:w="725" w:type="pct"/>
            <w:tcBorders>
              <w:top w:val="single" w:sz="4" w:space="0" w:color="auto"/>
              <w:bottom w:val="single" w:sz="4" w:space="0" w:color="auto"/>
            </w:tcBorders>
          </w:tcPr>
          <w:p w:rsidR="00CE1E54" w:rsidRDefault="003950DF" w:rsidP="00292763">
            <w:pPr>
              <w:spacing w:before="120"/>
              <w:jc w:val="center"/>
              <w:rPr>
                <w:rFonts w:ascii="Arial" w:hAnsi="Arial"/>
                <w:sz w:val="22"/>
              </w:rPr>
            </w:pPr>
            <w:r w:rsidRPr="004001D1">
              <w:rPr>
                <w:rFonts w:ascii="Arial" w:hAnsi="Arial"/>
                <w:sz w:val="22"/>
              </w:rPr>
              <w:t>213</w:t>
            </w:r>
            <w:r w:rsidR="00CE1E54">
              <w:rPr>
                <w:rFonts w:ascii="Arial" w:hAnsi="Arial"/>
                <w:sz w:val="22"/>
              </w:rPr>
              <w:t> </w:t>
            </w:r>
            <w:r w:rsidRPr="004001D1">
              <w:rPr>
                <w:rFonts w:ascii="Arial" w:hAnsi="Arial"/>
                <w:sz w:val="22"/>
              </w:rPr>
              <w:t>260 </w:t>
            </w:r>
          </w:p>
          <w:p w:rsidR="003950DF" w:rsidRPr="004001D1" w:rsidRDefault="003950DF" w:rsidP="00301734">
            <w:pPr>
              <w:spacing w:before="120" w:after="120"/>
              <w:contextualSpacing/>
              <w:jc w:val="center"/>
              <w:rPr>
                <w:rFonts w:ascii="Arial" w:hAnsi="Arial" w:cs="Arial"/>
                <w:sz w:val="22"/>
                <w:szCs w:val="22"/>
              </w:rPr>
            </w:pPr>
            <w:r w:rsidRPr="004001D1">
              <w:rPr>
                <w:rFonts w:ascii="Arial" w:hAnsi="Arial"/>
                <w:sz w:val="22"/>
              </w:rPr>
              <w:t>dollars des États-Unis</w:t>
            </w:r>
          </w:p>
        </w:tc>
        <w:tc>
          <w:tcPr>
            <w:tcW w:w="524" w:type="pct"/>
            <w:tcBorders>
              <w:top w:val="single" w:sz="4" w:space="0" w:color="auto"/>
              <w:bottom w:val="single" w:sz="4" w:space="0" w:color="auto"/>
            </w:tcBorders>
          </w:tcPr>
          <w:p w:rsidR="003950DF" w:rsidRPr="004001D1" w:rsidRDefault="00890397" w:rsidP="003950DF">
            <w:pPr>
              <w:spacing w:before="120" w:after="120"/>
              <w:jc w:val="center"/>
              <w:rPr>
                <w:rFonts w:ascii="Arial" w:hAnsi="Arial" w:cs="Arial"/>
                <w:bCs/>
                <w:sz w:val="22"/>
                <w:szCs w:val="22"/>
              </w:rPr>
            </w:pPr>
            <w:hyperlink r:id="rId9" w:anchor="10.d">
              <w:r w:rsidR="00421980" w:rsidRPr="004001D1">
                <w:rPr>
                  <w:rStyle w:val="Hyperlink"/>
                  <w:rFonts w:ascii="Arial" w:hAnsi="Arial"/>
                  <w:sz w:val="22"/>
                </w:rPr>
                <w:t>01253</w:t>
              </w:r>
            </w:hyperlink>
          </w:p>
        </w:tc>
      </w:tr>
    </w:tbl>
    <w:p w:rsidR="003950DF" w:rsidRPr="004001D1" w:rsidRDefault="003950DF" w:rsidP="003950DF">
      <w:pPr>
        <w:pStyle w:val="NoSpacing1"/>
        <w:keepNext/>
        <w:numPr>
          <w:ilvl w:val="0"/>
          <w:numId w:val="14"/>
        </w:numPr>
        <w:tabs>
          <w:tab w:val="left" w:pos="567"/>
        </w:tabs>
        <w:spacing w:before="360" w:after="240"/>
        <w:ind w:hanging="930"/>
        <w:jc w:val="both"/>
        <w:rPr>
          <w:rFonts w:ascii="Arial" w:hAnsi="Arial" w:cs="Arial"/>
          <w:b/>
        </w:rPr>
      </w:pPr>
      <w:r w:rsidRPr="004001D1">
        <w:rPr>
          <w:rFonts w:ascii="Arial" w:hAnsi="Arial"/>
          <w:b/>
        </w:rPr>
        <w:t>Projet de décision</w:t>
      </w:r>
    </w:p>
    <w:p w:rsidR="003950DF" w:rsidRPr="004001D1" w:rsidRDefault="003950DF" w:rsidP="00890397">
      <w:pPr>
        <w:pStyle w:val="DocMain"/>
        <w:keepNext/>
        <w:numPr>
          <w:ilvl w:val="0"/>
          <w:numId w:val="9"/>
        </w:numPr>
        <w:tabs>
          <w:tab w:val="left" w:pos="567"/>
        </w:tabs>
        <w:ind w:left="567" w:hanging="567"/>
      </w:pPr>
      <w:bookmarkStart w:id="2" w:name="_DRAFT_DECISION_10.COM"/>
      <w:bookmarkEnd w:id="2"/>
      <w:r w:rsidRPr="004001D1">
        <w:t xml:space="preserve">Le Comité </w:t>
      </w:r>
      <w:r w:rsidR="001112E1" w:rsidRPr="00631D5A">
        <w:t xml:space="preserve">souhaitera peut-être </w:t>
      </w:r>
      <w:r w:rsidRPr="004001D1">
        <w:t>adopter l</w:t>
      </w:r>
      <w:r w:rsidR="008D5417">
        <w:t>a</w:t>
      </w:r>
      <w:r w:rsidRPr="004001D1">
        <w:t xml:space="preserve"> décision suivante</w:t>
      </w:r>
      <w:r w:rsidR="00890397">
        <w:t> </w:t>
      </w:r>
      <w:r w:rsidRPr="004001D1">
        <w:t>:</w:t>
      </w:r>
    </w:p>
    <w:p w:rsidR="003950DF" w:rsidRPr="004001D1" w:rsidRDefault="00D67D4B" w:rsidP="00292763">
      <w:pPr>
        <w:pStyle w:val="Heading2"/>
        <w:spacing w:before="360" w:after="120"/>
        <w:ind w:left="567"/>
        <w:rPr>
          <w:rFonts w:ascii="Arial" w:hAnsi="Arial" w:cs="Arial"/>
          <w:bCs w:val="0"/>
          <w:i w:val="0"/>
          <w:iCs w:val="0"/>
          <w:sz w:val="22"/>
          <w:szCs w:val="22"/>
        </w:rPr>
      </w:pPr>
      <w:bookmarkStart w:id="3" w:name="Decision_10d"/>
      <w:bookmarkEnd w:id="3"/>
      <w:r w:rsidRPr="004001D1">
        <w:rPr>
          <w:rFonts w:ascii="Arial" w:hAnsi="Arial"/>
          <w:i w:val="0"/>
          <w:sz w:val="22"/>
        </w:rPr>
        <w:t>PROJET DE DÉCISION 13.COM 10.d</w:t>
      </w:r>
      <w:r w:rsidRPr="004001D1">
        <w:tab/>
      </w:r>
      <w:r w:rsidRPr="004001D1">
        <w:rPr>
          <w:rFonts w:ascii="Arial" w:hAnsi="Arial" w:cs="Arial"/>
          <w:noProof/>
          <w:color w:val="0000FF"/>
          <w:sz w:val="22"/>
          <w:szCs w:val="22"/>
          <w:lang w:val="en-US" w:eastAsia="ko-KR" w:bidi="ar-SA"/>
        </w:rPr>
        <w:drawing>
          <wp:inline distT="0" distB="0" distL="0" distR="0" wp14:anchorId="5690417A" wp14:editId="772CCA19">
            <wp:extent cx="104775" cy="104775"/>
            <wp:effectExtent l="0" t="0" r="9525" b="9525"/>
            <wp:docPr id="2"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3950DF" w:rsidRPr="004001D1" w:rsidRDefault="00D67D4B" w:rsidP="003950DF">
      <w:pPr>
        <w:keepNext/>
        <w:tabs>
          <w:tab w:val="left" w:pos="567"/>
          <w:tab w:val="left" w:pos="1134"/>
          <w:tab w:val="left" w:pos="1701"/>
          <w:tab w:val="left" w:pos="2268"/>
        </w:tabs>
        <w:spacing w:before="120" w:after="120"/>
        <w:ind w:left="567"/>
        <w:jc w:val="both"/>
        <w:rPr>
          <w:rFonts w:ascii="Arial" w:eastAsia="SimSun" w:hAnsi="Arial" w:cs="Arial"/>
          <w:sz w:val="22"/>
          <w:szCs w:val="22"/>
        </w:rPr>
      </w:pPr>
      <w:r w:rsidRPr="004001D1">
        <w:rPr>
          <w:rFonts w:ascii="Arial" w:hAnsi="Arial"/>
          <w:sz w:val="22"/>
        </w:rPr>
        <w:t>Le Comité,</w:t>
      </w:r>
    </w:p>
    <w:p w:rsidR="00D67D4B" w:rsidRPr="004001D1" w:rsidRDefault="00D67D4B" w:rsidP="00D67D4B">
      <w:pPr>
        <w:numPr>
          <w:ilvl w:val="0"/>
          <w:numId w:val="13"/>
        </w:numPr>
        <w:spacing w:before="120" w:after="120" w:line="259" w:lineRule="auto"/>
        <w:ind w:left="1134" w:hanging="567"/>
        <w:jc w:val="both"/>
        <w:rPr>
          <w:rFonts w:ascii="Arial" w:hAnsi="Arial" w:cs="Arial"/>
          <w:sz w:val="22"/>
          <w:szCs w:val="22"/>
        </w:rPr>
      </w:pPr>
      <w:r w:rsidRPr="004001D1">
        <w:rPr>
          <w:rFonts w:ascii="Arial" w:hAnsi="Arial"/>
          <w:sz w:val="22"/>
          <w:u w:val="single"/>
        </w:rPr>
        <w:t>Rappelant</w:t>
      </w:r>
      <w:r w:rsidRPr="004001D1">
        <w:rPr>
          <w:rFonts w:ascii="Arial" w:hAnsi="Arial"/>
          <w:sz w:val="22"/>
        </w:rPr>
        <w:t xml:space="preserve"> l</w:t>
      </w:r>
      <w:r w:rsidR="0055538F">
        <w:rPr>
          <w:rFonts w:ascii="Arial" w:hAnsi="Arial"/>
          <w:sz w:val="22"/>
        </w:rPr>
        <w:t>’</w:t>
      </w:r>
      <w:r w:rsidRPr="004001D1">
        <w:rPr>
          <w:rFonts w:ascii="Arial" w:hAnsi="Arial"/>
          <w:sz w:val="22"/>
        </w:rPr>
        <w:t>article 23 de la Convention ainsi que le chapitre I.4 des Directives opérationnelles relatifs à l</w:t>
      </w:r>
      <w:r w:rsidR="0055538F">
        <w:rPr>
          <w:rFonts w:ascii="Arial" w:hAnsi="Arial"/>
          <w:sz w:val="22"/>
        </w:rPr>
        <w:t>’</w:t>
      </w:r>
      <w:r w:rsidRPr="004001D1">
        <w:rPr>
          <w:rFonts w:ascii="Arial" w:hAnsi="Arial"/>
          <w:sz w:val="22"/>
        </w:rPr>
        <w:t>admissibilité et aux critères des demandes d</w:t>
      </w:r>
      <w:r w:rsidR="0055538F">
        <w:rPr>
          <w:rFonts w:ascii="Arial" w:hAnsi="Arial"/>
          <w:sz w:val="22"/>
        </w:rPr>
        <w:t>’</w:t>
      </w:r>
      <w:r w:rsidRPr="004001D1">
        <w:rPr>
          <w:rFonts w:ascii="Arial" w:hAnsi="Arial"/>
          <w:sz w:val="22"/>
        </w:rPr>
        <w:t>assistance internationale,</w:t>
      </w:r>
    </w:p>
    <w:p w:rsidR="00D67D4B" w:rsidRPr="004001D1" w:rsidRDefault="00D67D4B" w:rsidP="00D67D4B">
      <w:pPr>
        <w:numPr>
          <w:ilvl w:val="0"/>
          <w:numId w:val="13"/>
        </w:numPr>
        <w:spacing w:before="120" w:after="120" w:line="259" w:lineRule="auto"/>
        <w:ind w:left="1134" w:hanging="567"/>
        <w:jc w:val="both"/>
        <w:rPr>
          <w:rFonts w:ascii="Arial" w:hAnsi="Arial" w:cs="Arial"/>
          <w:sz w:val="22"/>
          <w:szCs w:val="22"/>
        </w:rPr>
      </w:pPr>
      <w:r w:rsidRPr="004001D1">
        <w:rPr>
          <w:rFonts w:ascii="Arial" w:hAnsi="Arial"/>
          <w:sz w:val="22"/>
          <w:u w:val="single"/>
        </w:rPr>
        <w:t>Ayant examiné</w:t>
      </w:r>
      <w:r w:rsidRPr="004001D1">
        <w:rPr>
          <w:rFonts w:ascii="Arial" w:hAnsi="Arial"/>
          <w:sz w:val="22"/>
        </w:rPr>
        <w:t xml:space="preserve"> le document ITH/18/13.COM/</w:t>
      </w:r>
      <w:proofErr w:type="gramStart"/>
      <w:r w:rsidRPr="004001D1">
        <w:rPr>
          <w:rFonts w:ascii="Arial" w:hAnsi="Arial"/>
          <w:sz w:val="22"/>
        </w:rPr>
        <w:t>11.d</w:t>
      </w:r>
      <w:proofErr w:type="gramEnd"/>
      <w:r w:rsidRPr="004001D1">
        <w:rPr>
          <w:rFonts w:ascii="Arial" w:hAnsi="Arial"/>
          <w:sz w:val="22"/>
        </w:rPr>
        <w:t xml:space="preserve"> ainsi que la demande d</w:t>
      </w:r>
      <w:r w:rsidR="0055538F">
        <w:rPr>
          <w:rFonts w:ascii="Arial" w:hAnsi="Arial"/>
          <w:sz w:val="22"/>
        </w:rPr>
        <w:t>’</w:t>
      </w:r>
      <w:r w:rsidRPr="004001D1">
        <w:rPr>
          <w:rFonts w:ascii="Arial" w:hAnsi="Arial"/>
          <w:sz w:val="22"/>
        </w:rPr>
        <w:t>assistance internationale n° 01253 soumise par l</w:t>
      </w:r>
      <w:r w:rsidR="0055538F">
        <w:rPr>
          <w:rFonts w:ascii="Arial" w:hAnsi="Arial"/>
          <w:sz w:val="22"/>
        </w:rPr>
        <w:t>’</w:t>
      </w:r>
      <w:r w:rsidRPr="004001D1">
        <w:rPr>
          <w:rFonts w:ascii="Arial" w:hAnsi="Arial"/>
          <w:sz w:val="22"/>
        </w:rPr>
        <w:t>Albanie,</w:t>
      </w:r>
    </w:p>
    <w:p w:rsidR="00D67D4B" w:rsidRPr="004001D1" w:rsidRDefault="00D67D4B" w:rsidP="00D67D4B">
      <w:pPr>
        <w:numPr>
          <w:ilvl w:val="0"/>
          <w:numId w:val="13"/>
        </w:numPr>
        <w:tabs>
          <w:tab w:val="left" w:pos="1134"/>
          <w:tab w:val="left" w:pos="1701"/>
          <w:tab w:val="left" w:pos="2268"/>
        </w:tabs>
        <w:spacing w:before="120" w:after="120"/>
        <w:ind w:left="1134" w:hanging="567"/>
        <w:jc w:val="both"/>
        <w:rPr>
          <w:rFonts w:ascii="Arial" w:hAnsi="Arial" w:cs="Arial"/>
          <w:sz w:val="22"/>
          <w:szCs w:val="22"/>
        </w:rPr>
      </w:pPr>
      <w:r w:rsidRPr="004001D1">
        <w:rPr>
          <w:rFonts w:ascii="Arial" w:hAnsi="Arial"/>
          <w:sz w:val="22"/>
          <w:u w:val="single"/>
        </w:rPr>
        <w:t>Prend note</w:t>
      </w:r>
      <w:r w:rsidRPr="004001D1">
        <w:rPr>
          <w:rFonts w:ascii="Arial" w:hAnsi="Arial"/>
          <w:sz w:val="22"/>
        </w:rPr>
        <w:t xml:space="preserve"> que l</w:t>
      </w:r>
      <w:r w:rsidR="0055538F">
        <w:rPr>
          <w:rFonts w:ascii="Arial" w:hAnsi="Arial"/>
          <w:sz w:val="22"/>
        </w:rPr>
        <w:t>’</w:t>
      </w:r>
      <w:r w:rsidRPr="004001D1">
        <w:rPr>
          <w:rFonts w:ascii="Arial" w:hAnsi="Arial"/>
          <w:sz w:val="22"/>
        </w:rPr>
        <w:t xml:space="preserve">Albanie a demandé une assistance internationale pour le projet intitulé </w:t>
      </w:r>
      <w:r w:rsidR="004D4AD1">
        <w:rPr>
          <w:rFonts w:ascii="Arial" w:hAnsi="Arial"/>
          <w:b/>
          <w:sz w:val="22"/>
        </w:rPr>
        <w:t>L</w:t>
      </w:r>
      <w:r w:rsidRPr="004001D1">
        <w:rPr>
          <w:rFonts w:ascii="Arial" w:hAnsi="Arial"/>
          <w:b/>
          <w:sz w:val="22"/>
        </w:rPr>
        <w:t>a réalisation, avec la participation des communauté</w:t>
      </w:r>
      <w:r w:rsidR="004D4AD1">
        <w:rPr>
          <w:rFonts w:ascii="Arial" w:hAnsi="Arial"/>
          <w:b/>
          <w:sz w:val="22"/>
        </w:rPr>
        <w:t>s</w:t>
      </w:r>
      <w:r w:rsidRPr="004001D1">
        <w:rPr>
          <w:rFonts w:ascii="Arial" w:hAnsi="Arial"/>
          <w:b/>
          <w:sz w:val="22"/>
        </w:rPr>
        <w:t>, d</w:t>
      </w:r>
      <w:r w:rsidR="0055538F">
        <w:rPr>
          <w:rFonts w:ascii="Arial" w:hAnsi="Arial"/>
          <w:b/>
          <w:sz w:val="22"/>
        </w:rPr>
        <w:t>’</w:t>
      </w:r>
      <w:r w:rsidRPr="004001D1">
        <w:rPr>
          <w:rFonts w:ascii="Arial" w:hAnsi="Arial"/>
          <w:b/>
          <w:sz w:val="22"/>
        </w:rPr>
        <w:t>un inventaire du PCI en Albanie en vue de le sauvegarder et le transmettre aux générations futures</w:t>
      </w:r>
      <w:r w:rsidRPr="004001D1">
        <w:rPr>
          <w:rFonts w:ascii="Arial" w:hAnsi="Arial"/>
          <w:sz w:val="22"/>
        </w:rPr>
        <w:t> :</w:t>
      </w:r>
    </w:p>
    <w:p w:rsidR="003950DF" w:rsidRPr="0055538F" w:rsidRDefault="0055538F" w:rsidP="0055538F">
      <w:pPr>
        <w:tabs>
          <w:tab w:val="left" w:pos="1134"/>
          <w:tab w:val="left" w:pos="1701"/>
          <w:tab w:val="left" w:pos="2268"/>
        </w:tabs>
        <w:spacing w:before="120" w:after="120"/>
        <w:ind w:left="1134"/>
        <w:jc w:val="both"/>
        <w:rPr>
          <w:rFonts w:ascii="Arial" w:hAnsi="Arial" w:cs="Arial"/>
          <w:sz w:val="22"/>
          <w:szCs w:val="22"/>
        </w:rPr>
      </w:pPr>
      <w:r w:rsidRPr="0055538F">
        <w:rPr>
          <w:rFonts w:ascii="Arial" w:hAnsi="Arial"/>
          <w:sz w:val="22"/>
        </w:rPr>
        <w:t>Le projet, d</w:t>
      </w:r>
      <w:r>
        <w:rPr>
          <w:rFonts w:ascii="Arial" w:hAnsi="Arial"/>
          <w:sz w:val="22"/>
        </w:rPr>
        <w:t>’</w:t>
      </w:r>
      <w:r w:rsidRPr="0055538F">
        <w:rPr>
          <w:rFonts w:ascii="Arial" w:hAnsi="Arial"/>
          <w:sz w:val="22"/>
        </w:rPr>
        <w:t xml:space="preserve">une durée </w:t>
      </w:r>
      <w:r w:rsidR="004D4AD1">
        <w:rPr>
          <w:rFonts w:ascii="Arial" w:hAnsi="Arial"/>
          <w:sz w:val="22"/>
        </w:rPr>
        <w:t xml:space="preserve">de </w:t>
      </w:r>
      <w:r w:rsidRPr="0055538F">
        <w:rPr>
          <w:rFonts w:ascii="Arial" w:hAnsi="Arial"/>
          <w:sz w:val="22"/>
        </w:rPr>
        <w:t xml:space="preserve">26 mois, doit être mis en œuvre par le </w:t>
      </w:r>
      <w:r w:rsidR="004D4AD1">
        <w:rPr>
          <w:rFonts w:ascii="Arial" w:hAnsi="Arial"/>
          <w:sz w:val="22"/>
        </w:rPr>
        <w:t>M</w:t>
      </w:r>
      <w:r w:rsidRPr="0055538F">
        <w:rPr>
          <w:rFonts w:ascii="Arial" w:hAnsi="Arial"/>
          <w:sz w:val="22"/>
        </w:rPr>
        <w:t xml:space="preserve">inistère de la </w:t>
      </w:r>
      <w:r w:rsidR="004D4AD1">
        <w:rPr>
          <w:rFonts w:ascii="Arial" w:hAnsi="Arial"/>
          <w:sz w:val="22"/>
        </w:rPr>
        <w:t>c</w:t>
      </w:r>
      <w:r w:rsidRPr="0055538F">
        <w:rPr>
          <w:rFonts w:ascii="Arial" w:hAnsi="Arial"/>
          <w:sz w:val="22"/>
        </w:rPr>
        <w:t>ulture. Il vise à dresser, avec la participation des communautés, un inventaire du patrimoine culturel immatériel</w:t>
      </w:r>
      <w:r w:rsidR="004D4AD1">
        <w:rPr>
          <w:rFonts w:ascii="Arial" w:hAnsi="Arial"/>
          <w:sz w:val="22"/>
        </w:rPr>
        <w:t xml:space="preserve"> en</w:t>
      </w:r>
      <w:r w:rsidRPr="0055538F">
        <w:rPr>
          <w:rFonts w:ascii="Arial" w:hAnsi="Arial"/>
          <w:sz w:val="22"/>
        </w:rPr>
        <w:t xml:space="preserve"> </w:t>
      </w:r>
      <w:r w:rsidR="004D4AD1">
        <w:rPr>
          <w:rFonts w:ascii="Arial" w:hAnsi="Arial"/>
          <w:sz w:val="22"/>
        </w:rPr>
        <w:t>Al</w:t>
      </w:r>
      <w:r w:rsidRPr="0055538F">
        <w:rPr>
          <w:rFonts w:ascii="Arial" w:hAnsi="Arial"/>
          <w:sz w:val="22"/>
        </w:rPr>
        <w:t>ban</w:t>
      </w:r>
      <w:r w:rsidR="004D4AD1">
        <w:rPr>
          <w:rFonts w:ascii="Arial" w:hAnsi="Arial"/>
          <w:sz w:val="22"/>
        </w:rPr>
        <w:t>ie</w:t>
      </w:r>
      <w:r w:rsidRPr="0055538F">
        <w:rPr>
          <w:rFonts w:ascii="Arial" w:hAnsi="Arial"/>
          <w:sz w:val="22"/>
        </w:rPr>
        <w:t xml:space="preserve"> en vue d</w:t>
      </w:r>
      <w:r>
        <w:rPr>
          <w:rFonts w:ascii="Arial" w:hAnsi="Arial"/>
          <w:sz w:val="22"/>
        </w:rPr>
        <w:t>’</w:t>
      </w:r>
      <w:r w:rsidRPr="0055538F">
        <w:rPr>
          <w:rFonts w:ascii="Arial" w:hAnsi="Arial"/>
          <w:sz w:val="22"/>
        </w:rPr>
        <w:t>élaborer des plans d</w:t>
      </w:r>
      <w:r>
        <w:rPr>
          <w:rFonts w:ascii="Arial" w:hAnsi="Arial"/>
          <w:sz w:val="22"/>
        </w:rPr>
        <w:t>’</w:t>
      </w:r>
      <w:r w:rsidRPr="0055538F">
        <w:rPr>
          <w:rFonts w:ascii="Arial" w:hAnsi="Arial"/>
          <w:sz w:val="22"/>
        </w:rPr>
        <w:t xml:space="preserve">action </w:t>
      </w:r>
      <w:r w:rsidR="004D4AD1">
        <w:rPr>
          <w:rFonts w:ascii="Arial" w:hAnsi="Arial"/>
          <w:sz w:val="22"/>
        </w:rPr>
        <w:t>adaptés</w:t>
      </w:r>
      <w:r w:rsidRPr="0055538F">
        <w:rPr>
          <w:rFonts w:ascii="Arial" w:hAnsi="Arial"/>
          <w:sz w:val="22"/>
        </w:rPr>
        <w:t xml:space="preserve"> permettant de sauvegarder et de transmettre ce patrimoine aux générations futures. Bien que des efforts considérables aient déjà été déployés pour sauvegarder le patrimoine vivant en Albanie, un inventaire national </w:t>
      </w:r>
      <w:r w:rsidR="004D4AD1">
        <w:rPr>
          <w:rFonts w:ascii="Arial" w:hAnsi="Arial"/>
          <w:sz w:val="22"/>
        </w:rPr>
        <w:t>approfondi</w:t>
      </w:r>
      <w:r w:rsidRPr="0055538F">
        <w:rPr>
          <w:rFonts w:ascii="Arial" w:hAnsi="Arial"/>
          <w:sz w:val="22"/>
        </w:rPr>
        <w:t>, dressé avec la participation des communautés, reste à réaliser. Face à cette situation, la proposition de projet prévoit d</w:t>
      </w:r>
      <w:r>
        <w:rPr>
          <w:rFonts w:ascii="Arial" w:hAnsi="Arial"/>
          <w:sz w:val="22"/>
        </w:rPr>
        <w:t>’</w:t>
      </w:r>
      <w:r w:rsidRPr="0055538F">
        <w:rPr>
          <w:rFonts w:ascii="Arial" w:hAnsi="Arial"/>
          <w:sz w:val="22"/>
        </w:rPr>
        <w:t>élaborer une méthodologie d</w:t>
      </w:r>
      <w:r>
        <w:rPr>
          <w:rFonts w:ascii="Arial" w:hAnsi="Arial"/>
          <w:sz w:val="22"/>
        </w:rPr>
        <w:t>’</w:t>
      </w:r>
      <w:r w:rsidRPr="0055538F">
        <w:rPr>
          <w:rFonts w:ascii="Arial" w:hAnsi="Arial"/>
          <w:sz w:val="22"/>
        </w:rPr>
        <w:t>inventaire et de lancer un processus d</w:t>
      </w:r>
      <w:r>
        <w:rPr>
          <w:rFonts w:ascii="Arial" w:hAnsi="Arial"/>
          <w:sz w:val="22"/>
        </w:rPr>
        <w:t>’</w:t>
      </w:r>
      <w:r w:rsidRPr="0055538F">
        <w:rPr>
          <w:rFonts w:ascii="Arial" w:hAnsi="Arial"/>
          <w:sz w:val="22"/>
        </w:rPr>
        <w:t>inventaire dans trois districts d</w:t>
      </w:r>
      <w:r>
        <w:rPr>
          <w:rFonts w:ascii="Arial" w:hAnsi="Arial"/>
          <w:sz w:val="22"/>
        </w:rPr>
        <w:t>’</w:t>
      </w:r>
      <w:r w:rsidRPr="0055538F">
        <w:rPr>
          <w:rFonts w:ascii="Arial" w:hAnsi="Arial"/>
          <w:sz w:val="22"/>
        </w:rPr>
        <w:t>Albanie spécialement choisis. La première étape consistera à élaborer, dans le cadre de formations et d</w:t>
      </w:r>
      <w:r>
        <w:rPr>
          <w:rFonts w:ascii="Arial" w:hAnsi="Arial"/>
          <w:sz w:val="22"/>
        </w:rPr>
        <w:t>’</w:t>
      </w:r>
      <w:r w:rsidRPr="0055538F">
        <w:rPr>
          <w:rFonts w:ascii="Arial" w:hAnsi="Arial"/>
          <w:sz w:val="22"/>
        </w:rPr>
        <w:t>ateliers, une méthodologie d</w:t>
      </w:r>
      <w:r>
        <w:rPr>
          <w:rFonts w:ascii="Arial" w:hAnsi="Arial"/>
          <w:sz w:val="22"/>
        </w:rPr>
        <w:t>’</w:t>
      </w:r>
      <w:r w:rsidRPr="0055538F">
        <w:rPr>
          <w:rFonts w:ascii="Arial" w:hAnsi="Arial"/>
          <w:sz w:val="22"/>
        </w:rPr>
        <w:t>inventaire</w:t>
      </w:r>
      <w:r w:rsidR="004D4AD1">
        <w:rPr>
          <w:rFonts w:ascii="Arial" w:hAnsi="Arial"/>
          <w:sz w:val="22"/>
        </w:rPr>
        <w:t xml:space="preserve"> adaptée</w:t>
      </w:r>
      <w:r w:rsidRPr="0055538F">
        <w:rPr>
          <w:rFonts w:ascii="Arial" w:hAnsi="Arial"/>
          <w:sz w:val="22"/>
        </w:rPr>
        <w:t>, et la deuxième étape à inventorier les éléments du patrimoine vivant dans les régions choisies, y compris ceux de cinq minorités ethnolinguistiques. Le projet vise tout particulièrement à</w:t>
      </w:r>
      <w:r>
        <w:rPr>
          <w:rFonts w:ascii="Arial" w:hAnsi="Arial"/>
          <w:sz w:val="22"/>
        </w:rPr>
        <w:t> </w:t>
      </w:r>
      <w:r w:rsidRPr="0055538F">
        <w:rPr>
          <w:rFonts w:ascii="Arial" w:hAnsi="Arial"/>
          <w:sz w:val="22"/>
        </w:rPr>
        <w:t xml:space="preserve">: créer un mécanisme </w:t>
      </w:r>
      <w:r w:rsidR="004D4AD1">
        <w:rPr>
          <w:rFonts w:ascii="Arial" w:hAnsi="Arial"/>
          <w:sz w:val="22"/>
        </w:rPr>
        <w:t>permettant une meilleure participation des</w:t>
      </w:r>
      <w:r w:rsidRPr="0055538F">
        <w:rPr>
          <w:rFonts w:ascii="Arial" w:hAnsi="Arial"/>
          <w:sz w:val="22"/>
        </w:rPr>
        <w:t xml:space="preserve"> </w:t>
      </w:r>
      <w:proofErr w:type="gramStart"/>
      <w:r w:rsidRPr="0055538F">
        <w:rPr>
          <w:rFonts w:ascii="Arial" w:hAnsi="Arial"/>
          <w:sz w:val="22"/>
        </w:rPr>
        <w:t>communautés</w:t>
      </w:r>
      <w:proofErr w:type="gramEnd"/>
      <w:r w:rsidRPr="0055538F">
        <w:rPr>
          <w:rFonts w:ascii="Arial" w:hAnsi="Arial"/>
          <w:sz w:val="22"/>
        </w:rPr>
        <w:t xml:space="preserve"> </w:t>
      </w:r>
      <w:r w:rsidR="004D4AD1">
        <w:rPr>
          <w:rFonts w:ascii="Arial" w:hAnsi="Arial"/>
          <w:sz w:val="22"/>
        </w:rPr>
        <w:t>dans le</w:t>
      </w:r>
      <w:r w:rsidR="004D4AD1" w:rsidRPr="0055538F">
        <w:rPr>
          <w:rFonts w:ascii="Arial" w:hAnsi="Arial"/>
          <w:sz w:val="22"/>
        </w:rPr>
        <w:t xml:space="preserve"> </w:t>
      </w:r>
      <w:r w:rsidRPr="0055538F">
        <w:rPr>
          <w:rFonts w:ascii="Arial" w:hAnsi="Arial"/>
          <w:sz w:val="22"/>
        </w:rPr>
        <w:t>processus de sauvegarde</w:t>
      </w:r>
      <w:r>
        <w:rPr>
          <w:rFonts w:ascii="Arial" w:hAnsi="Arial"/>
          <w:sz w:val="22"/>
        </w:rPr>
        <w:t> </w:t>
      </w:r>
      <w:r w:rsidRPr="0055538F">
        <w:rPr>
          <w:rFonts w:ascii="Arial" w:hAnsi="Arial"/>
          <w:sz w:val="22"/>
        </w:rPr>
        <w:t xml:space="preserve">; améliorer et développer dans les </w:t>
      </w:r>
      <w:r w:rsidR="00E41E80">
        <w:rPr>
          <w:rFonts w:ascii="Arial" w:hAnsi="Arial"/>
          <w:sz w:val="22"/>
        </w:rPr>
        <w:t>régions</w:t>
      </w:r>
      <w:r w:rsidR="00E41E80" w:rsidRPr="0055538F">
        <w:rPr>
          <w:rFonts w:ascii="Arial" w:hAnsi="Arial"/>
          <w:sz w:val="22"/>
        </w:rPr>
        <w:t xml:space="preserve"> </w:t>
      </w:r>
      <w:r w:rsidRPr="0055538F">
        <w:rPr>
          <w:rFonts w:ascii="Arial" w:hAnsi="Arial"/>
          <w:sz w:val="22"/>
        </w:rPr>
        <w:t>choisi</w:t>
      </w:r>
      <w:r w:rsidR="00E41E80">
        <w:rPr>
          <w:rFonts w:ascii="Arial" w:hAnsi="Arial"/>
          <w:sz w:val="22"/>
        </w:rPr>
        <w:t>e</w:t>
      </w:r>
      <w:r w:rsidRPr="0055538F">
        <w:rPr>
          <w:rFonts w:ascii="Arial" w:hAnsi="Arial"/>
          <w:sz w:val="22"/>
        </w:rPr>
        <w:t>s l</w:t>
      </w:r>
      <w:r>
        <w:rPr>
          <w:rFonts w:ascii="Arial" w:hAnsi="Arial"/>
          <w:sz w:val="22"/>
        </w:rPr>
        <w:t>’</w:t>
      </w:r>
      <w:r w:rsidRPr="0055538F">
        <w:rPr>
          <w:rFonts w:ascii="Arial" w:hAnsi="Arial"/>
          <w:sz w:val="22"/>
        </w:rPr>
        <w:t>inventai</w:t>
      </w:r>
      <w:r>
        <w:rPr>
          <w:rFonts w:ascii="Arial" w:hAnsi="Arial"/>
          <w:sz w:val="22"/>
        </w:rPr>
        <w:t>re national actuellement limité </w:t>
      </w:r>
      <w:r w:rsidRPr="0055538F">
        <w:rPr>
          <w:rFonts w:ascii="Arial" w:hAnsi="Arial"/>
          <w:sz w:val="22"/>
        </w:rPr>
        <w:t>; et renforcer la transmission des savoirs et compétences dans le domaine du patrimoine vivant dans les trois régions. Les communautés et les détenteurs seront au cœur du projet, ce qui diffère des précédentes activités d</w:t>
      </w:r>
      <w:r>
        <w:rPr>
          <w:rFonts w:ascii="Arial" w:hAnsi="Arial"/>
          <w:sz w:val="22"/>
        </w:rPr>
        <w:t>’</w:t>
      </w:r>
      <w:r w:rsidRPr="0055538F">
        <w:rPr>
          <w:rFonts w:ascii="Arial" w:hAnsi="Arial"/>
          <w:sz w:val="22"/>
        </w:rPr>
        <w:t>inventaire entreprises dans le pays. Le projet devrait déboucher sur l</w:t>
      </w:r>
      <w:r>
        <w:rPr>
          <w:rFonts w:ascii="Arial" w:hAnsi="Arial"/>
          <w:sz w:val="22"/>
        </w:rPr>
        <w:t>’</w:t>
      </w:r>
      <w:r w:rsidRPr="0055538F">
        <w:rPr>
          <w:rFonts w:ascii="Arial" w:hAnsi="Arial"/>
          <w:sz w:val="22"/>
        </w:rPr>
        <w:t>établissement d</w:t>
      </w:r>
      <w:r>
        <w:rPr>
          <w:rFonts w:ascii="Arial" w:hAnsi="Arial"/>
          <w:sz w:val="22"/>
        </w:rPr>
        <w:t>’</w:t>
      </w:r>
      <w:r w:rsidRPr="0055538F">
        <w:rPr>
          <w:rFonts w:ascii="Arial" w:hAnsi="Arial"/>
          <w:sz w:val="22"/>
        </w:rPr>
        <w:t xml:space="preserve">un </w:t>
      </w:r>
      <w:r w:rsidR="00E41E80">
        <w:rPr>
          <w:rFonts w:ascii="Arial" w:hAnsi="Arial"/>
          <w:sz w:val="22"/>
        </w:rPr>
        <w:t>i</w:t>
      </w:r>
      <w:r w:rsidRPr="0055538F">
        <w:rPr>
          <w:rFonts w:ascii="Arial" w:hAnsi="Arial"/>
          <w:sz w:val="22"/>
        </w:rPr>
        <w:t>nventaire national complet d</w:t>
      </w:r>
      <w:r>
        <w:rPr>
          <w:rFonts w:ascii="Arial" w:hAnsi="Arial"/>
          <w:sz w:val="22"/>
        </w:rPr>
        <w:t>’</w:t>
      </w:r>
      <w:r w:rsidRPr="0055538F">
        <w:rPr>
          <w:rFonts w:ascii="Arial" w:hAnsi="Arial"/>
          <w:sz w:val="22"/>
        </w:rPr>
        <w:t>ici la fin 2022.</w:t>
      </w:r>
    </w:p>
    <w:p w:rsidR="00D67D4B" w:rsidRPr="004001D1" w:rsidRDefault="00D67D4B" w:rsidP="00D67D4B">
      <w:pPr>
        <w:numPr>
          <w:ilvl w:val="0"/>
          <w:numId w:val="13"/>
        </w:numPr>
        <w:autoSpaceDE w:val="0"/>
        <w:autoSpaceDN w:val="0"/>
        <w:adjustRightInd w:val="0"/>
        <w:spacing w:before="120" w:after="120"/>
        <w:ind w:left="1134" w:hanging="567"/>
        <w:jc w:val="both"/>
        <w:rPr>
          <w:rFonts w:ascii="Arial" w:eastAsia="SimSun" w:hAnsi="Arial" w:cs="Arial"/>
          <w:sz w:val="22"/>
          <w:szCs w:val="22"/>
        </w:rPr>
      </w:pPr>
      <w:r w:rsidRPr="004001D1">
        <w:rPr>
          <w:rFonts w:ascii="Arial" w:hAnsi="Arial"/>
          <w:sz w:val="22"/>
          <w:u w:val="single"/>
        </w:rPr>
        <w:t>Prend note en outre</w:t>
      </w:r>
      <w:r w:rsidRPr="004001D1">
        <w:rPr>
          <w:rFonts w:ascii="Arial" w:hAnsi="Arial"/>
          <w:sz w:val="22"/>
        </w:rPr>
        <w:t xml:space="preserve"> que cette assistance concerne l</w:t>
      </w:r>
      <w:r w:rsidR="0055538F">
        <w:rPr>
          <w:rFonts w:ascii="Arial" w:hAnsi="Arial"/>
          <w:sz w:val="22"/>
        </w:rPr>
        <w:t>’</w:t>
      </w:r>
      <w:r w:rsidRPr="004001D1">
        <w:rPr>
          <w:rFonts w:ascii="Arial" w:hAnsi="Arial"/>
          <w:sz w:val="22"/>
        </w:rPr>
        <w:t>appui à un projet mis en œuvre au niveau national, conformément à l</w:t>
      </w:r>
      <w:r w:rsidR="0055538F">
        <w:rPr>
          <w:rFonts w:ascii="Arial" w:hAnsi="Arial"/>
          <w:sz w:val="22"/>
        </w:rPr>
        <w:t>’</w:t>
      </w:r>
      <w:r w:rsidRPr="004001D1">
        <w:rPr>
          <w:rFonts w:ascii="Arial" w:hAnsi="Arial"/>
          <w:sz w:val="22"/>
        </w:rPr>
        <w:t>article 20 (c) de la Convention, et qu</w:t>
      </w:r>
      <w:r w:rsidR="0055538F">
        <w:rPr>
          <w:rFonts w:ascii="Arial" w:hAnsi="Arial"/>
          <w:sz w:val="22"/>
        </w:rPr>
        <w:t>’</w:t>
      </w:r>
      <w:r w:rsidRPr="004001D1">
        <w:rPr>
          <w:rFonts w:ascii="Arial" w:hAnsi="Arial"/>
          <w:sz w:val="22"/>
        </w:rPr>
        <w:t xml:space="preserve">elle prend la forme </w:t>
      </w:r>
      <w:r w:rsidRPr="004001D1">
        <w:rPr>
          <w:rFonts w:ascii="Arial" w:hAnsi="Arial"/>
          <w:b/>
          <w:sz w:val="22"/>
        </w:rPr>
        <w:t>d</w:t>
      </w:r>
      <w:r w:rsidR="0055538F">
        <w:rPr>
          <w:rFonts w:ascii="Arial" w:hAnsi="Arial"/>
          <w:b/>
          <w:sz w:val="22"/>
        </w:rPr>
        <w:t>’</w:t>
      </w:r>
      <w:r w:rsidRPr="004001D1">
        <w:rPr>
          <w:rFonts w:ascii="Arial" w:hAnsi="Arial"/>
          <w:b/>
          <w:sz w:val="22"/>
        </w:rPr>
        <w:t>octroi d</w:t>
      </w:r>
      <w:r w:rsidR="0055538F">
        <w:rPr>
          <w:rFonts w:ascii="Arial" w:hAnsi="Arial"/>
          <w:b/>
          <w:sz w:val="22"/>
        </w:rPr>
        <w:t>’</w:t>
      </w:r>
      <w:r w:rsidRPr="004001D1">
        <w:rPr>
          <w:rFonts w:ascii="Arial" w:hAnsi="Arial"/>
          <w:b/>
          <w:sz w:val="22"/>
        </w:rPr>
        <w:t>un don</w:t>
      </w:r>
      <w:r w:rsidRPr="004001D1">
        <w:rPr>
          <w:rFonts w:ascii="Arial" w:hAnsi="Arial"/>
          <w:sz w:val="22"/>
        </w:rPr>
        <w:t>, conformément à l</w:t>
      </w:r>
      <w:r w:rsidR="0055538F">
        <w:rPr>
          <w:rFonts w:ascii="Arial" w:hAnsi="Arial"/>
          <w:sz w:val="22"/>
        </w:rPr>
        <w:t>’</w:t>
      </w:r>
      <w:r w:rsidRPr="004001D1">
        <w:rPr>
          <w:rFonts w:ascii="Arial" w:hAnsi="Arial"/>
          <w:sz w:val="22"/>
        </w:rPr>
        <w:t>article 21 (g) de la Convention ;</w:t>
      </w:r>
    </w:p>
    <w:p w:rsidR="00D67D4B" w:rsidRPr="004001D1" w:rsidRDefault="00D67D4B" w:rsidP="00D67D4B">
      <w:pPr>
        <w:numPr>
          <w:ilvl w:val="0"/>
          <w:numId w:val="13"/>
        </w:numPr>
        <w:autoSpaceDE w:val="0"/>
        <w:autoSpaceDN w:val="0"/>
        <w:adjustRightInd w:val="0"/>
        <w:spacing w:before="120" w:after="120"/>
        <w:ind w:left="1134" w:hanging="567"/>
        <w:jc w:val="both"/>
        <w:rPr>
          <w:rFonts w:ascii="Arial" w:hAnsi="Arial" w:cs="Arial"/>
          <w:sz w:val="22"/>
          <w:szCs w:val="22"/>
        </w:rPr>
      </w:pPr>
      <w:r w:rsidRPr="004001D1">
        <w:rPr>
          <w:rFonts w:ascii="Arial" w:hAnsi="Arial"/>
          <w:sz w:val="22"/>
          <w:u w:val="single"/>
        </w:rPr>
        <w:lastRenderedPageBreak/>
        <w:t>Prend également note</w:t>
      </w:r>
      <w:r w:rsidRPr="004001D1">
        <w:rPr>
          <w:rFonts w:ascii="Arial" w:hAnsi="Arial"/>
          <w:sz w:val="22"/>
        </w:rPr>
        <w:t xml:space="preserve"> que l</w:t>
      </w:r>
      <w:r w:rsidR="0055538F">
        <w:rPr>
          <w:rFonts w:ascii="Arial" w:hAnsi="Arial"/>
          <w:sz w:val="22"/>
        </w:rPr>
        <w:t>’</w:t>
      </w:r>
      <w:r w:rsidRPr="004001D1">
        <w:rPr>
          <w:rFonts w:ascii="Arial" w:hAnsi="Arial"/>
          <w:sz w:val="22"/>
        </w:rPr>
        <w:t>Albanie a demandé une allocation d</w:t>
      </w:r>
      <w:r w:rsidR="0055538F">
        <w:rPr>
          <w:rFonts w:ascii="Arial" w:hAnsi="Arial"/>
          <w:sz w:val="22"/>
        </w:rPr>
        <w:t>’</w:t>
      </w:r>
      <w:r w:rsidRPr="004001D1">
        <w:rPr>
          <w:rFonts w:ascii="Arial" w:hAnsi="Arial"/>
          <w:sz w:val="22"/>
        </w:rPr>
        <w:t>un montant de 213 260 dollars des États-Unis du Fonds du patrimoine culturel immatériel pour la mise en œuvre de ce projet ;</w:t>
      </w:r>
    </w:p>
    <w:p w:rsidR="00D67D4B" w:rsidRPr="004001D1" w:rsidRDefault="00D67D4B" w:rsidP="00D67D4B">
      <w:pPr>
        <w:keepNext/>
        <w:numPr>
          <w:ilvl w:val="0"/>
          <w:numId w:val="13"/>
        </w:numPr>
        <w:tabs>
          <w:tab w:val="left" w:pos="567"/>
          <w:tab w:val="left" w:pos="1134"/>
          <w:tab w:val="left" w:pos="1701"/>
          <w:tab w:val="left" w:pos="2268"/>
        </w:tabs>
        <w:spacing w:before="120" w:after="120"/>
        <w:ind w:left="1134" w:hanging="567"/>
        <w:jc w:val="both"/>
        <w:rPr>
          <w:rFonts w:ascii="Arial" w:hAnsi="Arial" w:cs="Arial"/>
          <w:sz w:val="22"/>
          <w:szCs w:val="22"/>
        </w:rPr>
      </w:pPr>
      <w:r w:rsidRPr="004001D1">
        <w:rPr>
          <w:rFonts w:ascii="Arial" w:hAnsi="Arial"/>
          <w:sz w:val="22"/>
          <w:u w:val="single"/>
        </w:rPr>
        <w:t>Décide</w:t>
      </w:r>
      <w:r w:rsidRPr="004001D1">
        <w:rPr>
          <w:rFonts w:ascii="Arial" w:hAnsi="Arial"/>
          <w:sz w:val="22"/>
        </w:rPr>
        <w:t xml:space="preserve"> que, d</w:t>
      </w:r>
      <w:r w:rsidR="0055538F">
        <w:rPr>
          <w:rFonts w:ascii="Arial" w:hAnsi="Arial"/>
          <w:sz w:val="22"/>
        </w:rPr>
        <w:t>’</w:t>
      </w:r>
      <w:r w:rsidRPr="004001D1">
        <w:rPr>
          <w:rFonts w:ascii="Arial" w:hAnsi="Arial"/>
          <w:sz w:val="22"/>
        </w:rPr>
        <w:t>après l</w:t>
      </w:r>
      <w:r w:rsidR="002B0D46">
        <w:rPr>
          <w:rFonts w:ascii="Arial" w:hAnsi="Arial"/>
          <w:sz w:val="22"/>
        </w:rPr>
        <w:t xml:space="preserve">es </w:t>
      </w:r>
      <w:r w:rsidRPr="004001D1">
        <w:rPr>
          <w:rFonts w:ascii="Arial" w:hAnsi="Arial"/>
          <w:sz w:val="22"/>
        </w:rPr>
        <w:t>information</w:t>
      </w:r>
      <w:r w:rsidR="002B0D46">
        <w:rPr>
          <w:rFonts w:ascii="Arial" w:hAnsi="Arial"/>
          <w:sz w:val="22"/>
        </w:rPr>
        <w:t>s</w:t>
      </w:r>
      <w:r w:rsidRPr="004001D1">
        <w:rPr>
          <w:rFonts w:ascii="Arial" w:hAnsi="Arial"/>
          <w:sz w:val="22"/>
        </w:rPr>
        <w:t xml:space="preserve"> contenue</w:t>
      </w:r>
      <w:r w:rsidR="002B0D46">
        <w:rPr>
          <w:rFonts w:ascii="Arial" w:hAnsi="Arial"/>
          <w:sz w:val="22"/>
        </w:rPr>
        <w:t>s</w:t>
      </w:r>
      <w:r w:rsidRPr="004001D1">
        <w:rPr>
          <w:rFonts w:ascii="Arial" w:hAnsi="Arial"/>
          <w:sz w:val="22"/>
        </w:rPr>
        <w:t xml:space="preserve"> dans le dossier, la demande satisfait aux critères d</w:t>
      </w:r>
      <w:r w:rsidR="0055538F">
        <w:rPr>
          <w:rFonts w:ascii="Arial" w:hAnsi="Arial"/>
          <w:sz w:val="22"/>
        </w:rPr>
        <w:t>’</w:t>
      </w:r>
      <w:r w:rsidRPr="004001D1">
        <w:rPr>
          <w:rFonts w:ascii="Arial" w:hAnsi="Arial"/>
          <w:sz w:val="22"/>
        </w:rPr>
        <w:t>octroi de l</w:t>
      </w:r>
      <w:r w:rsidR="0055538F">
        <w:rPr>
          <w:rFonts w:ascii="Arial" w:hAnsi="Arial"/>
          <w:sz w:val="22"/>
        </w:rPr>
        <w:t>’</w:t>
      </w:r>
      <w:r w:rsidRPr="004001D1">
        <w:rPr>
          <w:rFonts w:ascii="Arial" w:hAnsi="Arial"/>
          <w:sz w:val="22"/>
        </w:rPr>
        <w:t>assistance internationale énoncés aux paragraphes 10 et 12 des Directives opérationnelles comme suit :</w:t>
      </w:r>
    </w:p>
    <w:p w:rsidR="003950DF" w:rsidRPr="004001D1" w:rsidRDefault="003950DF" w:rsidP="0055538F">
      <w:pPr>
        <w:tabs>
          <w:tab w:val="left" w:pos="567"/>
          <w:tab w:val="left" w:pos="1701"/>
          <w:tab w:val="left" w:pos="2268"/>
        </w:tabs>
        <w:spacing w:before="120" w:after="120"/>
        <w:ind w:left="1134"/>
        <w:jc w:val="both"/>
        <w:rPr>
          <w:rFonts w:ascii="Arial" w:hAnsi="Arial" w:cs="Arial"/>
          <w:sz w:val="22"/>
          <w:szCs w:val="22"/>
        </w:rPr>
      </w:pPr>
      <w:r w:rsidRPr="004001D1">
        <w:rPr>
          <w:rFonts w:ascii="Arial" w:hAnsi="Arial"/>
          <w:b/>
          <w:sz w:val="22"/>
        </w:rPr>
        <w:t>Critère A.1</w:t>
      </w:r>
      <w:r w:rsidRPr="004001D1">
        <w:t> :</w:t>
      </w:r>
      <w:r w:rsidRPr="004001D1">
        <w:rPr>
          <w:rFonts w:ascii="Arial" w:hAnsi="Arial"/>
          <w:sz w:val="22"/>
        </w:rPr>
        <w:t xml:space="preserve"> Le projet place les communautés concernées au centre du processus d</w:t>
      </w:r>
      <w:r w:rsidR="0055538F">
        <w:rPr>
          <w:rFonts w:ascii="Arial" w:hAnsi="Arial"/>
          <w:sz w:val="22"/>
        </w:rPr>
        <w:t>’</w:t>
      </w:r>
      <w:r w:rsidRPr="004001D1">
        <w:rPr>
          <w:rFonts w:ascii="Arial" w:hAnsi="Arial"/>
          <w:sz w:val="22"/>
        </w:rPr>
        <w:t xml:space="preserve">inventaire : elles </w:t>
      </w:r>
      <w:r w:rsidR="008D5417">
        <w:rPr>
          <w:rFonts w:ascii="Arial" w:hAnsi="Arial"/>
          <w:sz w:val="22"/>
        </w:rPr>
        <w:t>n</w:t>
      </w:r>
      <w:r w:rsidRPr="004001D1">
        <w:rPr>
          <w:rFonts w:ascii="Arial" w:hAnsi="Arial"/>
          <w:sz w:val="22"/>
        </w:rPr>
        <w:t xml:space="preserve">e seront pas impliquées directement dans sa gestion, mais leurs connaissances du contexte local et du patrimoine culturel immatériel en question seront pleinement mises à contribution. Les communautés joueront également un rôle important dans </w:t>
      </w:r>
      <w:r w:rsidR="00E41E80">
        <w:rPr>
          <w:rFonts w:ascii="Arial" w:hAnsi="Arial"/>
          <w:sz w:val="22"/>
        </w:rPr>
        <w:t>le suivi</w:t>
      </w:r>
      <w:r w:rsidRPr="004001D1">
        <w:rPr>
          <w:rFonts w:ascii="Arial" w:hAnsi="Arial"/>
          <w:sz w:val="22"/>
        </w:rPr>
        <w:t xml:space="preserve"> et la validation des résultats du processus d</w:t>
      </w:r>
      <w:r w:rsidR="0055538F">
        <w:rPr>
          <w:rFonts w:ascii="Arial" w:hAnsi="Arial"/>
          <w:sz w:val="22"/>
        </w:rPr>
        <w:t>’</w:t>
      </w:r>
      <w:r w:rsidRPr="004001D1">
        <w:rPr>
          <w:rFonts w:ascii="Arial" w:hAnsi="Arial"/>
          <w:sz w:val="22"/>
        </w:rPr>
        <w:t xml:space="preserve">inventaire. Leurs opinions, leurs préférences et leur expérience seront prises en compte, tout comme leurs </w:t>
      </w:r>
      <w:r w:rsidR="00E41E80">
        <w:rPr>
          <w:rFonts w:ascii="Arial" w:hAnsi="Arial"/>
          <w:sz w:val="22"/>
        </w:rPr>
        <w:t>observations concernant</w:t>
      </w:r>
      <w:r w:rsidRPr="004001D1">
        <w:rPr>
          <w:rFonts w:ascii="Arial" w:hAnsi="Arial"/>
          <w:sz w:val="22"/>
        </w:rPr>
        <w:t xml:space="preserve"> le sens et l</w:t>
      </w:r>
      <w:r w:rsidR="0055538F">
        <w:rPr>
          <w:rFonts w:ascii="Arial" w:hAnsi="Arial"/>
          <w:sz w:val="22"/>
        </w:rPr>
        <w:t>’</w:t>
      </w:r>
      <w:r w:rsidRPr="004001D1">
        <w:rPr>
          <w:rFonts w:ascii="Arial" w:hAnsi="Arial"/>
          <w:sz w:val="22"/>
        </w:rPr>
        <w:t>importance du patrimoine culturel immatériel</w:t>
      </w:r>
      <w:r w:rsidR="00E41E80">
        <w:rPr>
          <w:rFonts w:ascii="Arial" w:hAnsi="Arial"/>
          <w:sz w:val="22"/>
        </w:rPr>
        <w:t xml:space="preserve"> inventorié</w:t>
      </w:r>
      <w:r w:rsidRPr="004001D1">
        <w:rPr>
          <w:rFonts w:ascii="Arial" w:hAnsi="Arial"/>
          <w:sz w:val="22"/>
        </w:rPr>
        <w:t>.</w:t>
      </w:r>
    </w:p>
    <w:p w:rsidR="003950DF" w:rsidRPr="004001D1" w:rsidRDefault="003950DF" w:rsidP="003950DF">
      <w:pPr>
        <w:tabs>
          <w:tab w:val="left" w:pos="567"/>
          <w:tab w:val="left" w:pos="1701"/>
          <w:tab w:val="left" w:pos="2268"/>
        </w:tabs>
        <w:spacing w:before="120" w:after="120"/>
        <w:ind w:left="1134"/>
        <w:jc w:val="both"/>
        <w:rPr>
          <w:rFonts w:ascii="Arial" w:hAnsi="Arial" w:cs="Arial"/>
          <w:sz w:val="22"/>
          <w:szCs w:val="22"/>
        </w:rPr>
      </w:pPr>
      <w:r w:rsidRPr="004001D1">
        <w:rPr>
          <w:rFonts w:ascii="Arial" w:hAnsi="Arial"/>
          <w:b/>
          <w:sz w:val="22"/>
        </w:rPr>
        <w:t>Critère A.2</w:t>
      </w:r>
      <w:r w:rsidRPr="004001D1">
        <w:t> :</w:t>
      </w:r>
      <w:r w:rsidRPr="004001D1">
        <w:rPr>
          <w:rFonts w:ascii="Arial" w:hAnsi="Arial"/>
          <w:sz w:val="22"/>
        </w:rPr>
        <w:t xml:space="preserve"> </w:t>
      </w:r>
      <w:r w:rsidR="00E41E80">
        <w:rPr>
          <w:rFonts w:ascii="Arial" w:hAnsi="Arial"/>
          <w:sz w:val="22"/>
        </w:rPr>
        <w:t>Le</w:t>
      </w:r>
      <w:r w:rsidRPr="004001D1">
        <w:rPr>
          <w:rFonts w:ascii="Arial" w:hAnsi="Arial"/>
          <w:sz w:val="22"/>
        </w:rPr>
        <w:t xml:space="preserve"> budget </w:t>
      </w:r>
      <w:r w:rsidR="00E41E80">
        <w:rPr>
          <w:rFonts w:ascii="Arial" w:hAnsi="Arial"/>
          <w:sz w:val="22"/>
        </w:rPr>
        <w:t xml:space="preserve">ventilé </w:t>
      </w:r>
      <w:r w:rsidRPr="004001D1">
        <w:rPr>
          <w:rFonts w:ascii="Arial" w:hAnsi="Arial"/>
          <w:sz w:val="22"/>
        </w:rPr>
        <w:t>et le calendrier sont bien structurés. Cependant, le manque de cohérence entre la demande, le budget et le calendrier ne permet pas de déterminer si le montant demandé est approprié. Les chiffres du budget et du calendrier, en particulier, ne correspondent pas complètement les uns aux autres, ni à la liste des activités décrites dans le formulaire de demande. Le budget total du projet n</w:t>
      </w:r>
      <w:r w:rsidR="0055538F">
        <w:rPr>
          <w:rFonts w:ascii="Arial" w:hAnsi="Arial"/>
          <w:sz w:val="22"/>
        </w:rPr>
        <w:t>’</w:t>
      </w:r>
      <w:r w:rsidRPr="004001D1">
        <w:rPr>
          <w:rFonts w:ascii="Arial" w:hAnsi="Arial"/>
          <w:sz w:val="22"/>
        </w:rPr>
        <w:t xml:space="preserve">est pas le même dans tous les documents, et plusieurs éléments de la demande ne </w:t>
      </w:r>
      <w:r w:rsidR="00E41E80">
        <w:rPr>
          <w:rFonts w:ascii="Arial" w:hAnsi="Arial"/>
          <w:sz w:val="22"/>
        </w:rPr>
        <w:t>sont pas reflétés</w:t>
      </w:r>
      <w:r w:rsidRPr="004001D1">
        <w:rPr>
          <w:rFonts w:ascii="Arial" w:hAnsi="Arial"/>
          <w:sz w:val="22"/>
        </w:rPr>
        <w:t xml:space="preserve"> dans le budget, notamment ceux concernant l</w:t>
      </w:r>
      <w:r w:rsidR="0055538F">
        <w:rPr>
          <w:rFonts w:ascii="Arial" w:hAnsi="Arial"/>
          <w:sz w:val="22"/>
        </w:rPr>
        <w:t>’</w:t>
      </w:r>
      <w:r w:rsidRPr="004001D1">
        <w:rPr>
          <w:rFonts w:ascii="Arial" w:hAnsi="Arial"/>
          <w:sz w:val="22"/>
        </w:rPr>
        <w:t>équipement technique. Cela pourrait indiquer que ceux-ci seront couverts par d</w:t>
      </w:r>
      <w:r w:rsidR="0055538F">
        <w:rPr>
          <w:rFonts w:ascii="Arial" w:hAnsi="Arial"/>
          <w:sz w:val="22"/>
        </w:rPr>
        <w:t>’</w:t>
      </w:r>
      <w:r w:rsidRPr="004001D1">
        <w:rPr>
          <w:rFonts w:ascii="Arial" w:hAnsi="Arial"/>
          <w:sz w:val="22"/>
        </w:rPr>
        <w:t>autres sources, auquel cas les sources supplémentaires de financement auraient dû être dûment énoncées dans la ventilation du budget. Le calendrier est réalisable, même s</w:t>
      </w:r>
      <w:r w:rsidR="0055538F">
        <w:rPr>
          <w:rFonts w:ascii="Arial" w:hAnsi="Arial"/>
          <w:sz w:val="22"/>
        </w:rPr>
        <w:t>’</w:t>
      </w:r>
      <w:r w:rsidRPr="004001D1">
        <w:rPr>
          <w:rFonts w:ascii="Arial" w:hAnsi="Arial"/>
          <w:sz w:val="22"/>
        </w:rPr>
        <w:t xml:space="preserve">il présente également quelques contradictions (par exemple, le budget compte douze mois </w:t>
      </w:r>
      <w:r w:rsidR="00E41E80">
        <w:rPr>
          <w:rFonts w:ascii="Arial" w:hAnsi="Arial"/>
          <w:sz w:val="22"/>
        </w:rPr>
        <w:t>pour la</w:t>
      </w:r>
      <w:r w:rsidR="00E41E80" w:rsidRPr="004001D1">
        <w:rPr>
          <w:rFonts w:ascii="Arial" w:hAnsi="Arial"/>
          <w:sz w:val="22"/>
        </w:rPr>
        <w:t xml:space="preserve"> </w:t>
      </w:r>
      <w:r w:rsidRPr="004001D1">
        <w:rPr>
          <w:rFonts w:ascii="Arial" w:hAnsi="Arial"/>
          <w:sz w:val="22"/>
        </w:rPr>
        <w:t>numérisation des données, alors qu</w:t>
      </w:r>
      <w:r w:rsidR="0055538F">
        <w:rPr>
          <w:rFonts w:ascii="Arial" w:hAnsi="Arial"/>
          <w:sz w:val="22"/>
        </w:rPr>
        <w:t>’</w:t>
      </w:r>
      <w:r w:rsidRPr="004001D1">
        <w:rPr>
          <w:rFonts w:ascii="Arial" w:hAnsi="Arial"/>
          <w:sz w:val="22"/>
        </w:rPr>
        <w:t>elle devrait durer quinze mois selon le calendrier).</w:t>
      </w:r>
    </w:p>
    <w:p w:rsidR="003950DF" w:rsidRPr="004001D1" w:rsidRDefault="003950DF" w:rsidP="003950DF">
      <w:pPr>
        <w:tabs>
          <w:tab w:val="left" w:pos="567"/>
          <w:tab w:val="left" w:pos="709"/>
          <w:tab w:val="left" w:pos="1701"/>
          <w:tab w:val="left" w:pos="2268"/>
        </w:tabs>
        <w:spacing w:before="120" w:after="120"/>
        <w:ind w:left="1134"/>
        <w:jc w:val="both"/>
        <w:rPr>
          <w:rFonts w:ascii="Arial" w:hAnsi="Arial" w:cs="Arial"/>
          <w:sz w:val="22"/>
          <w:szCs w:val="22"/>
        </w:rPr>
      </w:pPr>
      <w:r w:rsidRPr="004001D1">
        <w:rPr>
          <w:rFonts w:ascii="Arial" w:hAnsi="Arial"/>
          <w:b/>
          <w:sz w:val="22"/>
        </w:rPr>
        <w:t>Critère A.3</w:t>
      </w:r>
      <w:r w:rsidRPr="004001D1">
        <w:t> :</w:t>
      </w:r>
      <w:r w:rsidRPr="004001D1">
        <w:rPr>
          <w:rFonts w:ascii="Arial" w:hAnsi="Arial"/>
          <w:sz w:val="22"/>
        </w:rPr>
        <w:t xml:space="preserve"> Le projet </w:t>
      </w:r>
      <w:r w:rsidR="00D446D4">
        <w:rPr>
          <w:rFonts w:ascii="Arial" w:hAnsi="Arial"/>
          <w:sz w:val="22"/>
        </w:rPr>
        <w:t>prévoit</w:t>
      </w:r>
      <w:r w:rsidR="00D446D4" w:rsidRPr="004001D1">
        <w:rPr>
          <w:rFonts w:ascii="Arial" w:hAnsi="Arial"/>
          <w:sz w:val="22"/>
        </w:rPr>
        <w:t xml:space="preserve"> </w:t>
      </w:r>
      <w:r w:rsidRPr="004001D1">
        <w:rPr>
          <w:rFonts w:ascii="Arial" w:hAnsi="Arial"/>
          <w:sz w:val="22"/>
        </w:rPr>
        <w:t>un ensemble d</w:t>
      </w:r>
      <w:r w:rsidR="0055538F">
        <w:rPr>
          <w:rFonts w:ascii="Arial" w:hAnsi="Arial"/>
          <w:sz w:val="22"/>
        </w:rPr>
        <w:t>’</w:t>
      </w:r>
      <w:r w:rsidRPr="004001D1">
        <w:rPr>
          <w:rFonts w:ascii="Arial" w:hAnsi="Arial"/>
          <w:sz w:val="22"/>
        </w:rPr>
        <w:t>activités appropriées basées sur un travail de terrain rigoureux et méthodologique, ce qui garantit sa faisabilité. Sa force réside dans la formation d</w:t>
      </w:r>
      <w:r w:rsidR="0055538F">
        <w:rPr>
          <w:rFonts w:ascii="Arial" w:hAnsi="Arial"/>
          <w:sz w:val="22"/>
        </w:rPr>
        <w:t>’</w:t>
      </w:r>
      <w:r w:rsidRPr="004001D1">
        <w:rPr>
          <w:rFonts w:ascii="Arial" w:hAnsi="Arial"/>
          <w:sz w:val="22"/>
        </w:rPr>
        <w:t>un grand nombre de membres de</w:t>
      </w:r>
      <w:r w:rsidR="00D446D4">
        <w:rPr>
          <w:rFonts w:ascii="Arial" w:hAnsi="Arial"/>
          <w:sz w:val="22"/>
        </w:rPr>
        <w:t>s</w:t>
      </w:r>
      <w:r w:rsidRPr="004001D1">
        <w:rPr>
          <w:rFonts w:ascii="Arial" w:hAnsi="Arial"/>
          <w:sz w:val="22"/>
        </w:rPr>
        <w:t xml:space="preserve"> communauté</w:t>
      </w:r>
      <w:r w:rsidR="00D446D4">
        <w:rPr>
          <w:rFonts w:ascii="Arial" w:hAnsi="Arial"/>
          <w:sz w:val="22"/>
        </w:rPr>
        <w:t>s</w:t>
      </w:r>
      <w:r w:rsidRPr="004001D1">
        <w:rPr>
          <w:rFonts w:ascii="Arial" w:hAnsi="Arial"/>
          <w:sz w:val="22"/>
        </w:rPr>
        <w:t xml:space="preserve"> et d</w:t>
      </w:r>
      <w:r w:rsidR="0055538F">
        <w:rPr>
          <w:rFonts w:ascii="Arial" w:hAnsi="Arial"/>
          <w:sz w:val="22"/>
        </w:rPr>
        <w:t>’</w:t>
      </w:r>
      <w:r w:rsidRPr="004001D1">
        <w:rPr>
          <w:rFonts w:ascii="Arial" w:hAnsi="Arial"/>
          <w:sz w:val="22"/>
        </w:rPr>
        <w:t>experts pour la réalisation d</w:t>
      </w:r>
      <w:r w:rsidR="0055538F">
        <w:rPr>
          <w:rFonts w:ascii="Arial" w:hAnsi="Arial"/>
          <w:sz w:val="22"/>
        </w:rPr>
        <w:t>’</w:t>
      </w:r>
      <w:r w:rsidRPr="004001D1">
        <w:rPr>
          <w:rFonts w:ascii="Arial" w:hAnsi="Arial"/>
          <w:sz w:val="22"/>
        </w:rPr>
        <w:t xml:space="preserve">inventaire </w:t>
      </w:r>
      <w:r w:rsidR="00D446D4">
        <w:rPr>
          <w:rFonts w:ascii="Arial" w:hAnsi="Arial"/>
          <w:sz w:val="22"/>
        </w:rPr>
        <w:t>avec la participation des communautés</w:t>
      </w:r>
      <w:r w:rsidR="00D446D4" w:rsidRPr="004001D1">
        <w:rPr>
          <w:rFonts w:ascii="Arial" w:hAnsi="Arial"/>
          <w:sz w:val="22"/>
        </w:rPr>
        <w:t xml:space="preserve"> </w:t>
      </w:r>
      <w:r w:rsidRPr="004001D1">
        <w:rPr>
          <w:rFonts w:ascii="Arial" w:hAnsi="Arial"/>
          <w:sz w:val="22"/>
        </w:rPr>
        <w:t>et la diffusion des principes et méthodes de travail de la Convention de 2003. En établissant des canaux de communications durables et viables ainsi que des partenariats entre des acteurs publics et privés, le projet contribuera à installer un dialogue entre les cultures et à renforcer la cohésion sociale.</w:t>
      </w:r>
    </w:p>
    <w:p w:rsidR="003950DF" w:rsidRPr="004001D1" w:rsidRDefault="003950DF" w:rsidP="003950DF">
      <w:pPr>
        <w:tabs>
          <w:tab w:val="left" w:pos="567"/>
          <w:tab w:val="left" w:pos="709"/>
          <w:tab w:val="left" w:pos="1701"/>
          <w:tab w:val="left" w:pos="2268"/>
        </w:tabs>
        <w:spacing w:before="120" w:after="120"/>
        <w:ind w:left="1134"/>
        <w:jc w:val="both"/>
        <w:rPr>
          <w:rFonts w:ascii="Arial" w:hAnsi="Arial" w:cs="Arial"/>
          <w:sz w:val="22"/>
          <w:szCs w:val="22"/>
        </w:rPr>
      </w:pPr>
      <w:r w:rsidRPr="004001D1">
        <w:rPr>
          <w:rFonts w:ascii="Arial" w:hAnsi="Arial"/>
          <w:b/>
          <w:sz w:val="22"/>
        </w:rPr>
        <w:t>Critère A.4</w:t>
      </w:r>
      <w:r w:rsidRPr="004001D1">
        <w:t> :</w:t>
      </w:r>
      <w:r w:rsidRPr="004001D1">
        <w:rPr>
          <w:rFonts w:ascii="Arial" w:hAnsi="Arial"/>
          <w:sz w:val="22"/>
        </w:rPr>
        <w:t xml:space="preserve"> L</w:t>
      </w:r>
      <w:r w:rsidR="0055538F">
        <w:rPr>
          <w:rFonts w:ascii="Arial" w:hAnsi="Arial"/>
          <w:sz w:val="22"/>
        </w:rPr>
        <w:t>’</w:t>
      </w:r>
      <w:r w:rsidRPr="004001D1">
        <w:rPr>
          <w:rFonts w:ascii="Arial" w:hAnsi="Arial"/>
          <w:sz w:val="22"/>
        </w:rPr>
        <w:t>engagement actif de l</w:t>
      </w:r>
      <w:r w:rsidR="0055538F">
        <w:rPr>
          <w:rFonts w:ascii="Arial" w:hAnsi="Arial"/>
          <w:sz w:val="22"/>
        </w:rPr>
        <w:t>’</w:t>
      </w:r>
      <w:r w:rsidRPr="004001D1">
        <w:rPr>
          <w:rFonts w:ascii="Arial" w:hAnsi="Arial"/>
          <w:sz w:val="22"/>
        </w:rPr>
        <w:t>administration de l</w:t>
      </w:r>
      <w:r w:rsidR="0055538F">
        <w:rPr>
          <w:rFonts w:ascii="Arial" w:hAnsi="Arial"/>
          <w:sz w:val="22"/>
        </w:rPr>
        <w:t>’</w:t>
      </w:r>
      <w:r w:rsidRPr="004001D1">
        <w:rPr>
          <w:rFonts w:ascii="Arial" w:hAnsi="Arial"/>
          <w:sz w:val="22"/>
        </w:rPr>
        <w:t>État, des instituts de recherche et des ONG régionales pourrait garantir la continuation du développement de l</w:t>
      </w:r>
      <w:r w:rsidR="0055538F">
        <w:rPr>
          <w:rFonts w:ascii="Arial" w:hAnsi="Arial"/>
          <w:sz w:val="22"/>
        </w:rPr>
        <w:t>’</w:t>
      </w:r>
      <w:r w:rsidRPr="004001D1">
        <w:rPr>
          <w:rFonts w:ascii="Arial" w:hAnsi="Arial"/>
          <w:sz w:val="22"/>
        </w:rPr>
        <w:t>inventaire après la conclusion du projet. Ce projet créera une dynamique qui encourage la transmission du savoir entre les générations. Des membres de</w:t>
      </w:r>
      <w:r w:rsidR="00D446D4">
        <w:rPr>
          <w:rFonts w:ascii="Arial" w:hAnsi="Arial"/>
          <w:sz w:val="22"/>
        </w:rPr>
        <w:t>s</w:t>
      </w:r>
      <w:r w:rsidRPr="004001D1">
        <w:rPr>
          <w:rFonts w:ascii="Arial" w:hAnsi="Arial"/>
          <w:sz w:val="22"/>
        </w:rPr>
        <w:t xml:space="preserve"> communauté</w:t>
      </w:r>
      <w:r w:rsidR="00D446D4">
        <w:rPr>
          <w:rFonts w:ascii="Arial" w:hAnsi="Arial"/>
          <w:sz w:val="22"/>
        </w:rPr>
        <w:t>s</w:t>
      </w:r>
      <w:r w:rsidRPr="004001D1">
        <w:rPr>
          <w:rFonts w:ascii="Arial" w:hAnsi="Arial"/>
          <w:sz w:val="22"/>
        </w:rPr>
        <w:t xml:space="preserve"> seront formés et leur nouvelle capacité de sauvegarde du patrimoine culturel immatériel local continuera à être mise à profit dans le futur.</w:t>
      </w:r>
    </w:p>
    <w:p w:rsidR="003950DF" w:rsidRPr="004001D1" w:rsidRDefault="003950DF" w:rsidP="003950DF">
      <w:pPr>
        <w:tabs>
          <w:tab w:val="left" w:pos="567"/>
          <w:tab w:val="left" w:pos="1701"/>
          <w:tab w:val="left" w:pos="2268"/>
        </w:tabs>
        <w:spacing w:before="120" w:after="120"/>
        <w:ind w:left="1134"/>
        <w:jc w:val="both"/>
        <w:rPr>
          <w:rFonts w:ascii="Arial" w:hAnsi="Arial" w:cs="Arial"/>
          <w:sz w:val="22"/>
          <w:szCs w:val="22"/>
        </w:rPr>
      </w:pPr>
      <w:r w:rsidRPr="004001D1">
        <w:rPr>
          <w:rFonts w:ascii="Arial" w:hAnsi="Arial"/>
          <w:b/>
          <w:sz w:val="22"/>
        </w:rPr>
        <w:t>Critère A.5</w:t>
      </w:r>
      <w:r w:rsidRPr="004001D1">
        <w:t> :</w:t>
      </w:r>
      <w:r w:rsidRPr="004001D1">
        <w:rPr>
          <w:rFonts w:ascii="Arial" w:hAnsi="Arial"/>
          <w:sz w:val="22"/>
        </w:rPr>
        <w:t xml:space="preserve"> L</w:t>
      </w:r>
      <w:r w:rsidR="0055538F">
        <w:rPr>
          <w:rFonts w:ascii="Arial" w:hAnsi="Arial"/>
          <w:sz w:val="22"/>
        </w:rPr>
        <w:t>’</w:t>
      </w:r>
      <w:r w:rsidRPr="004001D1">
        <w:rPr>
          <w:rFonts w:ascii="Arial" w:hAnsi="Arial"/>
          <w:sz w:val="22"/>
        </w:rPr>
        <w:t>État partie couvre moins d</w:t>
      </w:r>
      <w:r w:rsidR="0055538F">
        <w:rPr>
          <w:rFonts w:ascii="Arial" w:hAnsi="Arial"/>
          <w:sz w:val="22"/>
        </w:rPr>
        <w:t>’</w:t>
      </w:r>
      <w:r w:rsidRPr="004001D1">
        <w:rPr>
          <w:rFonts w:ascii="Arial" w:hAnsi="Arial"/>
          <w:sz w:val="22"/>
        </w:rPr>
        <w:t xml:space="preserve">un pour cent du coût total du projet. Sa participation est plutôt modeste, ce qui soulève des préoccupations quant </w:t>
      </w:r>
      <w:r w:rsidR="00D446D4">
        <w:rPr>
          <w:rFonts w:ascii="Arial" w:hAnsi="Arial"/>
          <w:sz w:val="22"/>
        </w:rPr>
        <w:t>à la durabilité</w:t>
      </w:r>
      <w:r w:rsidRPr="004001D1">
        <w:rPr>
          <w:rFonts w:ascii="Arial" w:hAnsi="Arial"/>
          <w:sz w:val="22"/>
        </w:rPr>
        <w:t xml:space="preserve"> du projet après la fin de l</w:t>
      </w:r>
      <w:r w:rsidR="0055538F">
        <w:rPr>
          <w:rFonts w:ascii="Arial" w:hAnsi="Arial"/>
          <w:sz w:val="22"/>
        </w:rPr>
        <w:t>’</w:t>
      </w:r>
      <w:r w:rsidRPr="004001D1">
        <w:rPr>
          <w:rFonts w:ascii="Arial" w:hAnsi="Arial"/>
          <w:sz w:val="22"/>
        </w:rPr>
        <w:t xml:space="preserve">assistance internationale. </w:t>
      </w:r>
      <w:r w:rsidR="00F222FC" w:rsidRPr="00F222FC">
        <w:rPr>
          <w:rFonts w:ascii="Arial" w:hAnsi="Arial"/>
          <w:sz w:val="22"/>
        </w:rPr>
        <w:t>Cependant, la vent</w:t>
      </w:r>
      <w:r w:rsidR="00F222FC">
        <w:rPr>
          <w:rFonts w:ascii="Arial" w:hAnsi="Arial"/>
          <w:sz w:val="22"/>
        </w:rPr>
        <w:t xml:space="preserve">ilation du budget </w:t>
      </w:r>
      <w:r w:rsidR="00F222FC" w:rsidRPr="00F222FC">
        <w:rPr>
          <w:rFonts w:ascii="Arial" w:hAnsi="Arial"/>
          <w:sz w:val="22"/>
        </w:rPr>
        <w:t xml:space="preserve">indique que l’État prévoit en fait de fournir d’autres ressources, y compris non financières, bien que celles-ci ne soient pas </w:t>
      </w:r>
      <w:r w:rsidR="003716CA" w:rsidRPr="00F222FC">
        <w:rPr>
          <w:rFonts w:ascii="Arial" w:hAnsi="Arial"/>
          <w:sz w:val="22"/>
        </w:rPr>
        <w:t>budgétées.</w:t>
      </w:r>
      <w:r w:rsidRPr="004001D1">
        <w:rPr>
          <w:rFonts w:ascii="Arial" w:hAnsi="Arial"/>
          <w:sz w:val="22"/>
        </w:rPr>
        <w:t xml:space="preserve"> L</w:t>
      </w:r>
      <w:r w:rsidR="0055538F">
        <w:rPr>
          <w:rFonts w:ascii="Arial" w:hAnsi="Arial"/>
          <w:sz w:val="22"/>
        </w:rPr>
        <w:t>’</w:t>
      </w:r>
      <w:r w:rsidRPr="004001D1">
        <w:rPr>
          <w:rFonts w:ascii="Arial" w:hAnsi="Arial"/>
          <w:sz w:val="22"/>
        </w:rPr>
        <w:t xml:space="preserve">État partie est invité à indiquer toute sa contribution, </w:t>
      </w:r>
      <w:r w:rsidR="0055538F">
        <w:rPr>
          <w:rFonts w:ascii="Arial" w:hAnsi="Arial"/>
          <w:sz w:val="22"/>
        </w:rPr>
        <w:t>y compris celle non-financière.</w:t>
      </w:r>
    </w:p>
    <w:p w:rsidR="003950DF" w:rsidRPr="004001D1" w:rsidRDefault="003950DF" w:rsidP="003950DF">
      <w:pPr>
        <w:tabs>
          <w:tab w:val="left" w:pos="567"/>
          <w:tab w:val="left" w:pos="709"/>
          <w:tab w:val="left" w:pos="1701"/>
          <w:tab w:val="left" w:pos="2268"/>
        </w:tabs>
        <w:spacing w:before="120" w:after="120"/>
        <w:ind w:left="1134"/>
        <w:jc w:val="both"/>
        <w:rPr>
          <w:rFonts w:ascii="Arial" w:hAnsi="Arial" w:cs="Arial"/>
          <w:sz w:val="22"/>
          <w:szCs w:val="22"/>
        </w:rPr>
      </w:pPr>
      <w:r w:rsidRPr="004001D1">
        <w:rPr>
          <w:rFonts w:ascii="Arial" w:hAnsi="Arial"/>
          <w:b/>
          <w:sz w:val="22"/>
        </w:rPr>
        <w:t>Critère A.6</w:t>
      </w:r>
      <w:r w:rsidRPr="004001D1">
        <w:t> :</w:t>
      </w:r>
      <w:r w:rsidRPr="004001D1">
        <w:rPr>
          <w:rFonts w:ascii="Arial" w:hAnsi="Arial"/>
          <w:sz w:val="22"/>
        </w:rPr>
        <w:t xml:space="preserve"> Le fichier démontre que le projet contribuera à développer des capacités, à renforcer les ressources humaines et matérielles existantes, et à permettre à des professionnels d</w:t>
      </w:r>
      <w:r w:rsidR="0055538F">
        <w:rPr>
          <w:rFonts w:ascii="Arial" w:hAnsi="Arial"/>
          <w:sz w:val="22"/>
        </w:rPr>
        <w:t>’</w:t>
      </w:r>
      <w:r w:rsidRPr="004001D1">
        <w:rPr>
          <w:rFonts w:ascii="Arial" w:hAnsi="Arial"/>
          <w:sz w:val="22"/>
        </w:rPr>
        <w:t xml:space="preserve">acquérir le savoir et les </w:t>
      </w:r>
      <w:r w:rsidR="00D446D4">
        <w:rPr>
          <w:rFonts w:ascii="Arial" w:hAnsi="Arial"/>
          <w:sz w:val="22"/>
        </w:rPr>
        <w:t xml:space="preserve">compétences </w:t>
      </w:r>
      <w:r w:rsidRPr="004001D1">
        <w:rPr>
          <w:rFonts w:ascii="Arial" w:hAnsi="Arial"/>
          <w:sz w:val="22"/>
        </w:rPr>
        <w:t xml:space="preserve">nécessaires à la mise en œuvre de la Convention de 2003. </w:t>
      </w:r>
      <w:r w:rsidR="00D446D4">
        <w:rPr>
          <w:rFonts w:ascii="Arial" w:hAnsi="Arial"/>
          <w:sz w:val="22"/>
        </w:rPr>
        <w:t xml:space="preserve">Il est prévu </w:t>
      </w:r>
      <w:r w:rsidRPr="004001D1">
        <w:rPr>
          <w:rFonts w:ascii="Arial" w:hAnsi="Arial"/>
          <w:sz w:val="22"/>
        </w:rPr>
        <w:t>que cent représentants des communautés, étudiants et professionnels profitent de</w:t>
      </w:r>
      <w:r w:rsidR="00D446D4">
        <w:rPr>
          <w:rFonts w:ascii="Arial" w:hAnsi="Arial"/>
          <w:sz w:val="22"/>
        </w:rPr>
        <w:t>s activités de</w:t>
      </w:r>
      <w:r w:rsidRPr="004001D1">
        <w:rPr>
          <w:rFonts w:ascii="Arial" w:hAnsi="Arial"/>
          <w:sz w:val="22"/>
        </w:rPr>
        <w:t xml:space="preserve"> formation. Ils </w:t>
      </w:r>
      <w:r w:rsidR="00D446D4">
        <w:rPr>
          <w:rFonts w:ascii="Arial" w:hAnsi="Arial"/>
          <w:sz w:val="22"/>
        </w:rPr>
        <w:t>seront à même de</w:t>
      </w:r>
      <w:r w:rsidR="00D446D4" w:rsidRPr="004001D1">
        <w:rPr>
          <w:rFonts w:ascii="Arial" w:hAnsi="Arial"/>
          <w:sz w:val="22"/>
        </w:rPr>
        <w:t xml:space="preserve"> </w:t>
      </w:r>
      <w:r w:rsidRPr="004001D1">
        <w:rPr>
          <w:rFonts w:ascii="Arial" w:hAnsi="Arial"/>
          <w:sz w:val="22"/>
        </w:rPr>
        <w:t xml:space="preserve">transmettre leur savoir-faire nouvellement acquis aux autres membres de la </w:t>
      </w:r>
      <w:r w:rsidRPr="004001D1">
        <w:rPr>
          <w:rFonts w:ascii="Arial" w:hAnsi="Arial"/>
          <w:sz w:val="22"/>
        </w:rPr>
        <w:lastRenderedPageBreak/>
        <w:t xml:space="preserve">communauté, </w:t>
      </w:r>
      <w:r w:rsidR="00D446D4">
        <w:rPr>
          <w:rFonts w:ascii="Arial" w:hAnsi="Arial"/>
          <w:sz w:val="22"/>
        </w:rPr>
        <w:t>renforçant</w:t>
      </w:r>
      <w:r w:rsidR="00D446D4" w:rsidRPr="004001D1">
        <w:rPr>
          <w:rFonts w:ascii="Arial" w:hAnsi="Arial"/>
          <w:sz w:val="22"/>
        </w:rPr>
        <w:t xml:space="preserve"> </w:t>
      </w:r>
      <w:r w:rsidRPr="004001D1">
        <w:rPr>
          <w:rFonts w:ascii="Arial" w:hAnsi="Arial"/>
          <w:sz w:val="22"/>
        </w:rPr>
        <w:t>ainsi l</w:t>
      </w:r>
      <w:r w:rsidR="0055538F">
        <w:rPr>
          <w:rFonts w:ascii="Arial" w:hAnsi="Arial"/>
          <w:sz w:val="22"/>
        </w:rPr>
        <w:t>’</w:t>
      </w:r>
      <w:r w:rsidRPr="004001D1">
        <w:rPr>
          <w:rFonts w:ascii="Arial" w:hAnsi="Arial"/>
          <w:sz w:val="22"/>
        </w:rPr>
        <w:t>importance du patrimoine culturel immatériel en rapport avec l</w:t>
      </w:r>
      <w:r w:rsidR="0055538F">
        <w:rPr>
          <w:rFonts w:ascii="Arial" w:hAnsi="Arial"/>
          <w:sz w:val="22"/>
        </w:rPr>
        <w:t>’</w:t>
      </w:r>
      <w:r w:rsidRPr="004001D1">
        <w:rPr>
          <w:rFonts w:ascii="Arial" w:hAnsi="Arial"/>
          <w:sz w:val="22"/>
        </w:rPr>
        <w:t>identité loca</w:t>
      </w:r>
      <w:r w:rsidR="0055538F">
        <w:rPr>
          <w:rFonts w:ascii="Arial" w:hAnsi="Arial"/>
          <w:sz w:val="22"/>
        </w:rPr>
        <w:t>le et la vie de la communauté.</w:t>
      </w:r>
    </w:p>
    <w:p w:rsidR="003950DF" w:rsidRPr="004001D1" w:rsidRDefault="003950DF" w:rsidP="00A81997">
      <w:pPr>
        <w:tabs>
          <w:tab w:val="left" w:pos="567"/>
          <w:tab w:val="left" w:pos="1134"/>
          <w:tab w:val="left" w:pos="1701"/>
          <w:tab w:val="left" w:pos="2268"/>
        </w:tabs>
        <w:spacing w:before="120" w:after="120"/>
        <w:ind w:left="1134"/>
        <w:jc w:val="both"/>
        <w:rPr>
          <w:rFonts w:ascii="Arial" w:hAnsi="Arial" w:cs="Arial"/>
          <w:sz w:val="22"/>
          <w:szCs w:val="22"/>
        </w:rPr>
      </w:pPr>
      <w:r w:rsidRPr="004001D1">
        <w:rPr>
          <w:rFonts w:ascii="Arial" w:hAnsi="Arial"/>
          <w:b/>
          <w:sz w:val="22"/>
        </w:rPr>
        <w:t>Critère A.7</w:t>
      </w:r>
      <w:r w:rsidRPr="004001D1">
        <w:t> :</w:t>
      </w:r>
      <w:r w:rsidRPr="004001D1">
        <w:rPr>
          <w:rFonts w:ascii="Arial" w:hAnsi="Arial"/>
          <w:sz w:val="22"/>
        </w:rPr>
        <w:t xml:space="preserve"> L</w:t>
      </w:r>
      <w:r w:rsidR="0055538F">
        <w:rPr>
          <w:rFonts w:ascii="Arial" w:hAnsi="Arial"/>
          <w:sz w:val="22"/>
        </w:rPr>
        <w:t>’</w:t>
      </w:r>
      <w:r w:rsidRPr="004001D1">
        <w:rPr>
          <w:rFonts w:ascii="Arial" w:hAnsi="Arial"/>
          <w:sz w:val="22"/>
        </w:rPr>
        <w:t>Albanie a reçu 24 500 dollars des États-Unis de la part du Fonds du patrimoine culturel immatériel en tant que contribution au projet « Inventaire de l</w:t>
      </w:r>
      <w:r w:rsidR="0055538F">
        <w:rPr>
          <w:rFonts w:ascii="Arial" w:hAnsi="Arial"/>
          <w:sz w:val="22"/>
        </w:rPr>
        <w:t>’</w:t>
      </w:r>
      <w:proofErr w:type="spellStart"/>
      <w:r w:rsidRPr="004001D1">
        <w:rPr>
          <w:rFonts w:ascii="Arial" w:hAnsi="Arial"/>
          <w:sz w:val="22"/>
        </w:rPr>
        <w:t>isopolyphonie</w:t>
      </w:r>
      <w:proofErr w:type="spellEnd"/>
      <w:r w:rsidRPr="004001D1">
        <w:rPr>
          <w:rFonts w:ascii="Arial" w:hAnsi="Arial"/>
          <w:sz w:val="22"/>
        </w:rPr>
        <w:t xml:space="preserve"> folklorique albanaise » (2011-2013). Elle a également reçu 9 800</w:t>
      </w:r>
      <w:r w:rsidR="00A81997">
        <w:rPr>
          <w:rFonts w:ascii="Arial" w:hAnsi="Arial"/>
          <w:sz w:val="22"/>
        </w:rPr>
        <w:t> </w:t>
      </w:r>
      <w:r w:rsidRPr="004001D1">
        <w:rPr>
          <w:rFonts w:ascii="Arial" w:hAnsi="Arial"/>
          <w:sz w:val="22"/>
        </w:rPr>
        <w:t>dollars des États-Unis comme assistance préparatoire à la préparation d</w:t>
      </w:r>
      <w:r w:rsidR="0055538F">
        <w:rPr>
          <w:rFonts w:ascii="Arial" w:hAnsi="Arial"/>
          <w:sz w:val="22"/>
        </w:rPr>
        <w:t>’</w:t>
      </w:r>
      <w:r w:rsidRPr="004001D1">
        <w:rPr>
          <w:rFonts w:ascii="Arial" w:hAnsi="Arial"/>
          <w:sz w:val="22"/>
        </w:rPr>
        <w:t>une proposition pour le Registre de bonnes pratiques de sauvegarde, « </w:t>
      </w:r>
      <w:r w:rsidR="009911E7">
        <w:rPr>
          <w:rFonts w:ascii="Arial" w:hAnsi="Arial"/>
          <w:sz w:val="22"/>
        </w:rPr>
        <w:t xml:space="preserve">Le </w:t>
      </w:r>
      <w:r w:rsidRPr="004001D1">
        <w:rPr>
          <w:rFonts w:ascii="Arial" w:hAnsi="Arial"/>
          <w:sz w:val="22"/>
        </w:rPr>
        <w:t xml:space="preserve">Festival national folklorique de </w:t>
      </w:r>
      <w:proofErr w:type="spellStart"/>
      <w:r w:rsidRPr="004001D1">
        <w:rPr>
          <w:rFonts w:ascii="Arial" w:hAnsi="Arial"/>
          <w:sz w:val="22"/>
        </w:rPr>
        <w:t>Gjirokastra</w:t>
      </w:r>
      <w:proofErr w:type="spellEnd"/>
      <w:r w:rsidRPr="004001D1">
        <w:rPr>
          <w:rFonts w:ascii="Arial" w:hAnsi="Arial"/>
          <w:sz w:val="22"/>
        </w:rPr>
        <w:t xml:space="preserve">, </w:t>
      </w:r>
      <w:r w:rsidR="009911E7" w:rsidRPr="004001D1">
        <w:rPr>
          <w:rFonts w:ascii="Arial" w:hAnsi="Arial"/>
          <w:sz w:val="22"/>
        </w:rPr>
        <w:t>50</w:t>
      </w:r>
      <w:r w:rsidR="009911E7">
        <w:rPr>
          <w:rFonts w:ascii="Arial" w:hAnsi="Arial"/>
          <w:sz w:val="22"/>
        </w:rPr>
        <w:t> </w:t>
      </w:r>
      <w:r w:rsidRPr="004001D1">
        <w:rPr>
          <w:rFonts w:ascii="Arial" w:hAnsi="Arial"/>
          <w:sz w:val="22"/>
        </w:rPr>
        <w:t>ans de meilleurs pratiques de sauvegarde du patrimoine immatériel albanais ». La demande a été approuvée en juin 2018 par le Bureau du Comité.</w:t>
      </w:r>
    </w:p>
    <w:p w:rsidR="00BD5A0C" w:rsidRPr="004001D1" w:rsidRDefault="003950DF" w:rsidP="00BD5A0C">
      <w:pPr>
        <w:tabs>
          <w:tab w:val="left" w:pos="567"/>
          <w:tab w:val="left" w:pos="709"/>
          <w:tab w:val="left" w:pos="1701"/>
          <w:tab w:val="left" w:pos="2268"/>
        </w:tabs>
        <w:spacing w:before="120" w:after="120"/>
        <w:ind w:left="1134"/>
        <w:jc w:val="both"/>
        <w:rPr>
          <w:rFonts w:ascii="Arial" w:hAnsi="Arial" w:cs="Arial"/>
          <w:sz w:val="22"/>
          <w:szCs w:val="22"/>
        </w:rPr>
      </w:pPr>
      <w:r w:rsidRPr="004001D1">
        <w:rPr>
          <w:rFonts w:ascii="Arial" w:hAnsi="Arial"/>
          <w:b/>
          <w:sz w:val="22"/>
        </w:rPr>
        <w:t>Paragraphe 10(a)</w:t>
      </w:r>
      <w:r w:rsidRPr="004001D1">
        <w:t> :</w:t>
      </w:r>
      <w:r w:rsidRPr="004001D1">
        <w:rPr>
          <w:rFonts w:ascii="Arial" w:hAnsi="Arial"/>
          <w:sz w:val="22"/>
        </w:rPr>
        <w:t xml:space="preserve"> Trois experts internationaux seront invités à dispenser des formations </w:t>
      </w:r>
      <w:r w:rsidR="009911E7">
        <w:rPr>
          <w:rFonts w:ascii="Arial" w:hAnsi="Arial"/>
          <w:sz w:val="22"/>
        </w:rPr>
        <w:t>portant sur</w:t>
      </w:r>
      <w:r w:rsidRPr="004001D1">
        <w:rPr>
          <w:rFonts w:ascii="Arial" w:hAnsi="Arial"/>
          <w:sz w:val="22"/>
        </w:rPr>
        <w:t xml:space="preserve"> l</w:t>
      </w:r>
      <w:r w:rsidR="009911E7">
        <w:rPr>
          <w:rFonts w:ascii="Arial" w:hAnsi="Arial"/>
          <w:sz w:val="22"/>
        </w:rPr>
        <w:t xml:space="preserve">es </w:t>
      </w:r>
      <w:r w:rsidRPr="004001D1">
        <w:rPr>
          <w:rFonts w:ascii="Arial" w:hAnsi="Arial"/>
          <w:sz w:val="22"/>
        </w:rPr>
        <w:t>inventaire</w:t>
      </w:r>
      <w:r w:rsidR="009911E7">
        <w:rPr>
          <w:rFonts w:ascii="Arial" w:hAnsi="Arial"/>
          <w:sz w:val="22"/>
        </w:rPr>
        <w:t>s avec la participation des</w:t>
      </w:r>
      <w:r w:rsidRPr="004001D1">
        <w:rPr>
          <w:rFonts w:ascii="Arial" w:hAnsi="Arial"/>
          <w:sz w:val="22"/>
        </w:rPr>
        <w:t xml:space="preserve"> communaut</w:t>
      </w:r>
      <w:r w:rsidR="009911E7">
        <w:rPr>
          <w:rFonts w:ascii="Arial" w:hAnsi="Arial"/>
          <w:sz w:val="22"/>
        </w:rPr>
        <w:t>és</w:t>
      </w:r>
      <w:r w:rsidRPr="004001D1">
        <w:rPr>
          <w:rFonts w:ascii="Arial" w:hAnsi="Arial"/>
          <w:sz w:val="22"/>
        </w:rPr>
        <w:t xml:space="preserve"> et un autre expert international sera engagé pour réalise</w:t>
      </w:r>
      <w:bookmarkStart w:id="4" w:name="_GoBack"/>
      <w:bookmarkEnd w:id="4"/>
      <w:r w:rsidRPr="004001D1">
        <w:rPr>
          <w:rFonts w:ascii="Arial" w:hAnsi="Arial"/>
          <w:sz w:val="22"/>
        </w:rPr>
        <w:t>r une évaluation de la mise en œuvre générale du projet. Le projet ayant une portée nationale, l</w:t>
      </w:r>
      <w:r w:rsidR="0055538F">
        <w:rPr>
          <w:rFonts w:ascii="Arial" w:hAnsi="Arial"/>
          <w:sz w:val="22"/>
        </w:rPr>
        <w:t>’</w:t>
      </w:r>
      <w:r w:rsidRPr="004001D1">
        <w:rPr>
          <w:rFonts w:ascii="Arial" w:hAnsi="Arial"/>
          <w:sz w:val="22"/>
        </w:rPr>
        <w:t>État partie invitera des experts disposant du savoir-faire nécessaire pour assurer la qualité des résultats du projet plutôt que de collaborer avec d</w:t>
      </w:r>
      <w:r w:rsidR="0055538F">
        <w:rPr>
          <w:rFonts w:ascii="Arial" w:hAnsi="Arial"/>
          <w:sz w:val="22"/>
        </w:rPr>
        <w:t>’</w:t>
      </w:r>
      <w:r w:rsidRPr="004001D1">
        <w:rPr>
          <w:rFonts w:ascii="Arial" w:hAnsi="Arial"/>
          <w:sz w:val="22"/>
        </w:rPr>
        <w:t>autres pays.</w:t>
      </w:r>
    </w:p>
    <w:p w:rsidR="003950DF" w:rsidRPr="004001D1" w:rsidRDefault="003950DF" w:rsidP="00BD5A0C">
      <w:pPr>
        <w:tabs>
          <w:tab w:val="left" w:pos="567"/>
          <w:tab w:val="left" w:pos="709"/>
          <w:tab w:val="left" w:pos="1701"/>
          <w:tab w:val="left" w:pos="2268"/>
        </w:tabs>
        <w:spacing w:before="120" w:after="120"/>
        <w:ind w:left="1134"/>
        <w:jc w:val="both"/>
        <w:rPr>
          <w:rFonts w:ascii="Arial" w:hAnsi="Arial" w:cs="Arial"/>
          <w:sz w:val="22"/>
          <w:szCs w:val="22"/>
        </w:rPr>
      </w:pPr>
      <w:r w:rsidRPr="004001D1">
        <w:rPr>
          <w:rFonts w:ascii="Arial" w:hAnsi="Arial"/>
          <w:b/>
          <w:sz w:val="22"/>
        </w:rPr>
        <w:t>Paragraphe 10(b)</w:t>
      </w:r>
      <w:r w:rsidRPr="004001D1">
        <w:t> :</w:t>
      </w:r>
      <w:r w:rsidRPr="004001D1">
        <w:rPr>
          <w:rFonts w:ascii="Arial" w:hAnsi="Arial"/>
          <w:sz w:val="22"/>
        </w:rPr>
        <w:t xml:space="preserve"> Les résultats principaux du projet incluent la formation de membres de</w:t>
      </w:r>
      <w:r w:rsidR="009911E7">
        <w:rPr>
          <w:rFonts w:ascii="Arial" w:hAnsi="Arial"/>
          <w:sz w:val="22"/>
        </w:rPr>
        <w:t>s</w:t>
      </w:r>
      <w:r w:rsidRPr="004001D1">
        <w:rPr>
          <w:rFonts w:ascii="Arial" w:hAnsi="Arial"/>
          <w:sz w:val="22"/>
        </w:rPr>
        <w:t xml:space="preserve"> communauté</w:t>
      </w:r>
      <w:r w:rsidR="009911E7">
        <w:rPr>
          <w:rFonts w:ascii="Arial" w:hAnsi="Arial"/>
          <w:sz w:val="22"/>
        </w:rPr>
        <w:t>s</w:t>
      </w:r>
      <w:r w:rsidRPr="004001D1">
        <w:rPr>
          <w:rFonts w:ascii="Arial" w:hAnsi="Arial"/>
          <w:sz w:val="22"/>
        </w:rPr>
        <w:t xml:space="preserve"> et </w:t>
      </w:r>
      <w:r w:rsidR="009911E7">
        <w:rPr>
          <w:rFonts w:ascii="Arial" w:hAnsi="Arial"/>
          <w:sz w:val="22"/>
        </w:rPr>
        <w:t>de la fonction publique</w:t>
      </w:r>
      <w:r w:rsidRPr="004001D1">
        <w:rPr>
          <w:rFonts w:ascii="Arial" w:hAnsi="Arial"/>
          <w:sz w:val="22"/>
        </w:rPr>
        <w:t xml:space="preserve"> qui continueront à diffuser le savoir-faire et à travailler au développement de l</w:t>
      </w:r>
      <w:r w:rsidR="0055538F">
        <w:rPr>
          <w:rFonts w:ascii="Arial" w:hAnsi="Arial"/>
          <w:sz w:val="22"/>
        </w:rPr>
        <w:t>’</w:t>
      </w:r>
      <w:r w:rsidRPr="004001D1">
        <w:rPr>
          <w:rFonts w:ascii="Arial" w:hAnsi="Arial"/>
          <w:sz w:val="22"/>
        </w:rPr>
        <w:t>inventaire national dans d</w:t>
      </w:r>
      <w:r w:rsidR="0055538F">
        <w:rPr>
          <w:rFonts w:ascii="Arial" w:hAnsi="Arial"/>
          <w:sz w:val="22"/>
        </w:rPr>
        <w:t>’</w:t>
      </w:r>
      <w:r w:rsidRPr="004001D1">
        <w:rPr>
          <w:rFonts w:ascii="Arial" w:hAnsi="Arial"/>
          <w:sz w:val="22"/>
        </w:rPr>
        <w:t>autres parties du pays. La méthodologie créée pour ce projet sera transférée et reproduite dans toutes les autres régions du pays. L</w:t>
      </w:r>
      <w:r w:rsidR="0055538F">
        <w:rPr>
          <w:rFonts w:ascii="Arial" w:hAnsi="Arial"/>
          <w:sz w:val="22"/>
        </w:rPr>
        <w:t>’</w:t>
      </w:r>
      <w:r w:rsidRPr="004001D1">
        <w:rPr>
          <w:rFonts w:ascii="Arial" w:hAnsi="Arial"/>
          <w:sz w:val="22"/>
        </w:rPr>
        <w:t>équipement acquis pour les ressources du projet continuera à servir son but, créant le contexte nécessaire à de futures initiatives. Cependant, le dossier n</w:t>
      </w:r>
      <w:r w:rsidR="0055538F">
        <w:rPr>
          <w:rFonts w:ascii="Arial" w:hAnsi="Arial"/>
          <w:sz w:val="22"/>
        </w:rPr>
        <w:t>’</w:t>
      </w:r>
      <w:r w:rsidRPr="004001D1">
        <w:rPr>
          <w:rFonts w:ascii="Arial" w:hAnsi="Arial"/>
          <w:sz w:val="22"/>
        </w:rPr>
        <w:t>explique pas comment le projet encouragera les contributions financières et techniques d</w:t>
      </w:r>
      <w:r w:rsidR="0055538F">
        <w:rPr>
          <w:rFonts w:ascii="Arial" w:hAnsi="Arial"/>
          <w:sz w:val="22"/>
        </w:rPr>
        <w:t>’</w:t>
      </w:r>
      <w:r w:rsidRPr="004001D1">
        <w:rPr>
          <w:rFonts w:ascii="Arial" w:hAnsi="Arial"/>
          <w:sz w:val="22"/>
        </w:rPr>
        <w:t>autres sources, ou d</w:t>
      </w:r>
      <w:r w:rsidR="0055538F">
        <w:rPr>
          <w:rFonts w:ascii="Arial" w:hAnsi="Arial"/>
          <w:sz w:val="22"/>
        </w:rPr>
        <w:t>’</w:t>
      </w:r>
      <w:r w:rsidRPr="004001D1">
        <w:rPr>
          <w:rFonts w:ascii="Arial" w:hAnsi="Arial"/>
          <w:sz w:val="22"/>
        </w:rPr>
        <w:t>autres action</w:t>
      </w:r>
      <w:r w:rsidR="0055538F">
        <w:rPr>
          <w:rFonts w:ascii="Arial" w:hAnsi="Arial"/>
          <w:sz w:val="22"/>
        </w:rPr>
        <w:t>s similaires ailleurs.</w:t>
      </w:r>
    </w:p>
    <w:p w:rsidR="003950DF" w:rsidRPr="004001D1" w:rsidRDefault="00D67D4B" w:rsidP="00D67D4B">
      <w:pPr>
        <w:numPr>
          <w:ilvl w:val="0"/>
          <w:numId w:val="13"/>
        </w:numPr>
        <w:tabs>
          <w:tab w:val="left" w:pos="567"/>
          <w:tab w:val="left" w:pos="1134"/>
          <w:tab w:val="left" w:pos="1701"/>
          <w:tab w:val="left" w:pos="2268"/>
        </w:tabs>
        <w:spacing w:before="120" w:after="120"/>
        <w:ind w:left="1134" w:hanging="567"/>
        <w:jc w:val="both"/>
        <w:rPr>
          <w:rFonts w:ascii="Arial" w:hAnsi="Arial" w:cs="Arial"/>
          <w:bCs/>
          <w:sz w:val="22"/>
          <w:szCs w:val="22"/>
        </w:rPr>
      </w:pPr>
      <w:r w:rsidRPr="004001D1">
        <w:rPr>
          <w:rFonts w:ascii="Arial" w:hAnsi="Arial"/>
          <w:sz w:val="22"/>
          <w:u w:val="single"/>
        </w:rPr>
        <w:t>Décide de renvoyer</w:t>
      </w:r>
      <w:r w:rsidRPr="004001D1">
        <w:rPr>
          <w:rFonts w:ascii="Arial" w:hAnsi="Arial"/>
          <w:sz w:val="22"/>
        </w:rPr>
        <w:t xml:space="preserve"> à l</w:t>
      </w:r>
      <w:r w:rsidR="0055538F">
        <w:rPr>
          <w:rFonts w:ascii="Arial" w:hAnsi="Arial"/>
          <w:sz w:val="22"/>
        </w:rPr>
        <w:t>’</w:t>
      </w:r>
      <w:r w:rsidRPr="004001D1">
        <w:rPr>
          <w:rFonts w:ascii="Arial" w:hAnsi="Arial"/>
          <w:sz w:val="22"/>
        </w:rPr>
        <w:t>État demandeur la demande d</w:t>
      </w:r>
      <w:r w:rsidR="0055538F">
        <w:rPr>
          <w:rFonts w:ascii="Arial" w:hAnsi="Arial"/>
          <w:sz w:val="22"/>
        </w:rPr>
        <w:t>’</w:t>
      </w:r>
      <w:r w:rsidRPr="004001D1">
        <w:rPr>
          <w:rFonts w:ascii="Arial" w:hAnsi="Arial"/>
          <w:sz w:val="22"/>
        </w:rPr>
        <w:t>assistance internationale pour le projet intitulé</w:t>
      </w:r>
      <w:r w:rsidRPr="004001D1">
        <w:rPr>
          <w:rFonts w:ascii="Arial" w:hAnsi="Arial"/>
          <w:b/>
          <w:sz w:val="22"/>
        </w:rPr>
        <w:t xml:space="preserve"> </w:t>
      </w:r>
      <w:r w:rsidR="004D4AD1">
        <w:rPr>
          <w:rFonts w:ascii="Arial" w:hAnsi="Arial"/>
          <w:b/>
          <w:sz w:val="22"/>
        </w:rPr>
        <w:t>L</w:t>
      </w:r>
      <w:r w:rsidRPr="004001D1">
        <w:rPr>
          <w:rFonts w:ascii="Arial" w:hAnsi="Arial"/>
          <w:b/>
          <w:sz w:val="22"/>
        </w:rPr>
        <w:t>a réalisation, avec la participation des communauté</w:t>
      </w:r>
      <w:r w:rsidR="004D4AD1">
        <w:rPr>
          <w:rFonts w:ascii="Arial" w:hAnsi="Arial"/>
          <w:b/>
          <w:sz w:val="22"/>
        </w:rPr>
        <w:t>s</w:t>
      </w:r>
      <w:r w:rsidRPr="004001D1">
        <w:rPr>
          <w:rFonts w:ascii="Arial" w:hAnsi="Arial"/>
          <w:b/>
          <w:sz w:val="22"/>
        </w:rPr>
        <w:t>, d</w:t>
      </w:r>
      <w:r w:rsidR="0055538F">
        <w:rPr>
          <w:rFonts w:ascii="Arial" w:hAnsi="Arial"/>
          <w:b/>
          <w:sz w:val="22"/>
        </w:rPr>
        <w:t>’</w:t>
      </w:r>
      <w:r w:rsidRPr="004001D1">
        <w:rPr>
          <w:rFonts w:ascii="Arial" w:hAnsi="Arial"/>
          <w:b/>
          <w:sz w:val="22"/>
        </w:rPr>
        <w:t>un inventaire du PCI en Albanie en vue de le sauvegarder et le transmettre aux générations futures</w:t>
      </w:r>
      <w:r w:rsidRPr="004001D1">
        <w:rPr>
          <w:rFonts w:ascii="Arial" w:hAnsi="Arial"/>
          <w:sz w:val="22"/>
        </w:rPr>
        <w:t>, et l</w:t>
      </w:r>
      <w:r w:rsidR="0055538F">
        <w:rPr>
          <w:rFonts w:ascii="Arial" w:hAnsi="Arial"/>
          <w:sz w:val="22"/>
        </w:rPr>
        <w:t>’</w:t>
      </w:r>
      <w:r w:rsidRPr="004001D1">
        <w:rPr>
          <w:rFonts w:ascii="Arial" w:hAnsi="Arial"/>
          <w:sz w:val="22"/>
          <w:u w:val="single"/>
        </w:rPr>
        <w:t>invite</w:t>
      </w:r>
      <w:r w:rsidRPr="004001D1">
        <w:rPr>
          <w:rFonts w:ascii="Arial" w:hAnsi="Arial"/>
          <w:sz w:val="22"/>
        </w:rPr>
        <w:t xml:space="preserve"> à soumettre une demande révisée au Comité pour examen lors d</w:t>
      </w:r>
      <w:r w:rsidR="0055538F">
        <w:rPr>
          <w:rFonts w:ascii="Arial" w:hAnsi="Arial"/>
          <w:sz w:val="22"/>
        </w:rPr>
        <w:t>’</w:t>
      </w:r>
      <w:r w:rsidRPr="004001D1">
        <w:rPr>
          <w:rFonts w:ascii="Arial" w:hAnsi="Arial"/>
          <w:sz w:val="22"/>
        </w:rPr>
        <w:t>une prochaine session</w:t>
      </w:r>
      <w:r w:rsidR="00E7012C">
        <w:rPr>
          <w:rFonts w:ascii="Arial" w:hAnsi="Arial"/>
          <w:sz w:val="22"/>
        </w:rPr>
        <w:t> ;</w:t>
      </w:r>
    </w:p>
    <w:p w:rsidR="003950DF" w:rsidRPr="004001D1" w:rsidRDefault="008D5417" w:rsidP="0055538F">
      <w:pPr>
        <w:numPr>
          <w:ilvl w:val="0"/>
          <w:numId w:val="13"/>
        </w:numPr>
        <w:tabs>
          <w:tab w:val="left" w:pos="567"/>
          <w:tab w:val="left" w:pos="1134"/>
          <w:tab w:val="left" w:pos="1701"/>
          <w:tab w:val="left" w:pos="2268"/>
        </w:tabs>
        <w:spacing w:before="120" w:after="120"/>
        <w:ind w:left="1134" w:hanging="567"/>
        <w:jc w:val="both"/>
        <w:rPr>
          <w:rFonts w:ascii="Arial" w:hAnsi="Arial" w:cs="Arial"/>
          <w:bCs/>
          <w:sz w:val="22"/>
          <w:szCs w:val="22"/>
        </w:rPr>
      </w:pPr>
      <w:r>
        <w:rPr>
          <w:rFonts w:ascii="Arial" w:hAnsi="Arial"/>
          <w:sz w:val="22"/>
          <w:u w:val="single"/>
        </w:rPr>
        <w:t>Encourage</w:t>
      </w:r>
      <w:r w:rsidR="003950DF" w:rsidRPr="004001D1">
        <w:rPr>
          <w:rFonts w:ascii="Arial" w:hAnsi="Arial"/>
          <w:sz w:val="22"/>
        </w:rPr>
        <w:t xml:space="preserve"> l</w:t>
      </w:r>
      <w:r w:rsidR="0055538F">
        <w:rPr>
          <w:rFonts w:ascii="Arial" w:hAnsi="Arial"/>
          <w:sz w:val="22"/>
        </w:rPr>
        <w:t>’</w:t>
      </w:r>
      <w:r w:rsidR="003950DF" w:rsidRPr="004001D1">
        <w:rPr>
          <w:rFonts w:ascii="Arial" w:hAnsi="Arial"/>
          <w:sz w:val="22"/>
        </w:rPr>
        <w:t>État partie, s</w:t>
      </w:r>
      <w:r w:rsidR="0055538F">
        <w:rPr>
          <w:rFonts w:ascii="Arial" w:hAnsi="Arial"/>
          <w:sz w:val="22"/>
        </w:rPr>
        <w:t>’</w:t>
      </w:r>
      <w:r w:rsidR="003950DF" w:rsidRPr="004001D1">
        <w:rPr>
          <w:rFonts w:ascii="Arial" w:hAnsi="Arial"/>
          <w:sz w:val="22"/>
        </w:rPr>
        <w:t xml:space="preserve">il souhaite </w:t>
      </w:r>
      <w:r w:rsidR="002B0D46">
        <w:rPr>
          <w:rFonts w:ascii="Arial" w:hAnsi="Arial"/>
          <w:sz w:val="22"/>
        </w:rPr>
        <w:t>re</w:t>
      </w:r>
      <w:r w:rsidR="003950DF" w:rsidRPr="004001D1">
        <w:rPr>
          <w:rFonts w:ascii="Arial" w:hAnsi="Arial"/>
          <w:sz w:val="22"/>
        </w:rPr>
        <w:t>soumettre la demande lors d</w:t>
      </w:r>
      <w:r w:rsidR="0055538F">
        <w:rPr>
          <w:rFonts w:ascii="Arial" w:hAnsi="Arial"/>
          <w:sz w:val="22"/>
        </w:rPr>
        <w:t>’</w:t>
      </w:r>
      <w:r w:rsidR="003950DF" w:rsidRPr="004001D1">
        <w:rPr>
          <w:rFonts w:ascii="Arial" w:hAnsi="Arial"/>
          <w:sz w:val="22"/>
        </w:rPr>
        <w:t>un prochain cycle, de se référer à la demande d</w:t>
      </w:r>
      <w:r w:rsidR="0055538F">
        <w:rPr>
          <w:rFonts w:ascii="Arial" w:hAnsi="Arial"/>
          <w:sz w:val="22"/>
        </w:rPr>
        <w:t>’</w:t>
      </w:r>
      <w:r w:rsidR="003950DF" w:rsidRPr="004001D1">
        <w:rPr>
          <w:rFonts w:ascii="Arial" w:hAnsi="Arial"/>
          <w:sz w:val="22"/>
        </w:rPr>
        <w:t>information</w:t>
      </w:r>
      <w:r w:rsidR="00E7012C">
        <w:rPr>
          <w:rFonts w:ascii="Arial" w:hAnsi="Arial"/>
          <w:sz w:val="22"/>
        </w:rPr>
        <w:t>s</w:t>
      </w:r>
      <w:r w:rsidR="003950DF" w:rsidRPr="004001D1">
        <w:rPr>
          <w:rFonts w:ascii="Arial" w:hAnsi="Arial"/>
          <w:sz w:val="22"/>
        </w:rPr>
        <w:t xml:space="preserve"> </w:t>
      </w:r>
      <w:r w:rsidR="00671085">
        <w:rPr>
          <w:rFonts w:ascii="Arial" w:hAnsi="Arial"/>
          <w:sz w:val="22"/>
        </w:rPr>
        <w:t>com</w:t>
      </w:r>
      <w:r w:rsidR="003950DF" w:rsidRPr="004001D1">
        <w:rPr>
          <w:rFonts w:ascii="Arial" w:hAnsi="Arial"/>
          <w:sz w:val="22"/>
        </w:rPr>
        <w:t>plémentaire</w:t>
      </w:r>
      <w:r w:rsidR="00E7012C">
        <w:rPr>
          <w:rFonts w:ascii="Arial" w:hAnsi="Arial"/>
          <w:sz w:val="22"/>
        </w:rPr>
        <w:t>s</w:t>
      </w:r>
      <w:r w:rsidR="003950DF" w:rsidRPr="004001D1">
        <w:rPr>
          <w:rFonts w:ascii="Arial" w:hAnsi="Arial"/>
          <w:sz w:val="22"/>
        </w:rPr>
        <w:t xml:space="preserve"> du 13 juillet 2017 et d</w:t>
      </w:r>
      <w:r w:rsidR="0055538F">
        <w:rPr>
          <w:rFonts w:ascii="Arial" w:hAnsi="Arial"/>
          <w:sz w:val="22"/>
        </w:rPr>
        <w:t>’</w:t>
      </w:r>
      <w:r w:rsidR="003950DF" w:rsidRPr="004001D1">
        <w:rPr>
          <w:rFonts w:ascii="Arial" w:hAnsi="Arial"/>
          <w:sz w:val="22"/>
        </w:rPr>
        <w:t>intégrer toutes les recommandations du Secrétariat dans une nouvelle demande révisée, notamment en ce qui concerne la précision de la ventilation du budget et sa correspondance avec le calendrier et les activités proposées</w:t>
      </w:r>
      <w:r w:rsidR="00E7012C">
        <w:rPr>
          <w:rFonts w:ascii="Arial" w:hAnsi="Arial"/>
          <w:sz w:val="22"/>
        </w:rPr>
        <w:t> ;</w:t>
      </w:r>
    </w:p>
    <w:p w:rsidR="0053318C" w:rsidRPr="00A81997" w:rsidRDefault="003950DF" w:rsidP="00A81997">
      <w:pPr>
        <w:numPr>
          <w:ilvl w:val="0"/>
          <w:numId w:val="13"/>
        </w:numPr>
        <w:tabs>
          <w:tab w:val="left" w:pos="567"/>
          <w:tab w:val="left" w:pos="1134"/>
          <w:tab w:val="left" w:pos="1701"/>
          <w:tab w:val="left" w:pos="2268"/>
        </w:tabs>
        <w:spacing w:before="120" w:after="120"/>
        <w:ind w:left="1134" w:hanging="567"/>
        <w:jc w:val="both"/>
        <w:rPr>
          <w:rFonts w:ascii="Arial" w:hAnsi="Arial" w:cs="Arial"/>
          <w:bCs/>
          <w:sz w:val="22"/>
          <w:szCs w:val="22"/>
        </w:rPr>
      </w:pPr>
      <w:r w:rsidRPr="004001D1">
        <w:rPr>
          <w:rFonts w:ascii="Arial" w:hAnsi="Arial"/>
          <w:sz w:val="22"/>
          <w:u w:val="single"/>
        </w:rPr>
        <w:t>Invite</w:t>
      </w:r>
      <w:r w:rsidR="00321252">
        <w:rPr>
          <w:rFonts w:ascii="Arial" w:hAnsi="Arial"/>
          <w:sz w:val="22"/>
          <w:u w:val="single"/>
        </w:rPr>
        <w:t xml:space="preserve"> en outre</w:t>
      </w:r>
      <w:r w:rsidRPr="004001D1">
        <w:rPr>
          <w:rFonts w:ascii="Arial" w:hAnsi="Arial"/>
          <w:sz w:val="22"/>
        </w:rPr>
        <w:t xml:space="preserve"> l</w:t>
      </w:r>
      <w:r w:rsidR="0055538F">
        <w:rPr>
          <w:rFonts w:ascii="Arial" w:hAnsi="Arial"/>
          <w:sz w:val="22"/>
        </w:rPr>
        <w:t>’</w:t>
      </w:r>
      <w:r w:rsidRPr="004001D1">
        <w:rPr>
          <w:rFonts w:ascii="Arial" w:hAnsi="Arial"/>
          <w:sz w:val="22"/>
        </w:rPr>
        <w:t xml:space="preserve">État partie à fournir une explication claire et précise de son engagement, financier et non-financier, afin de </w:t>
      </w:r>
      <w:r w:rsidR="00E7012C">
        <w:rPr>
          <w:rFonts w:ascii="Arial" w:hAnsi="Arial"/>
          <w:sz w:val="22"/>
        </w:rPr>
        <w:t>démontrer la viabilité du</w:t>
      </w:r>
      <w:r w:rsidRPr="004001D1">
        <w:rPr>
          <w:rFonts w:ascii="Arial" w:hAnsi="Arial"/>
          <w:sz w:val="22"/>
        </w:rPr>
        <w:t xml:space="preserve"> projet pendant sa période d</w:t>
      </w:r>
      <w:r w:rsidR="0055538F">
        <w:rPr>
          <w:rFonts w:ascii="Arial" w:hAnsi="Arial"/>
          <w:sz w:val="22"/>
        </w:rPr>
        <w:t>’</w:t>
      </w:r>
      <w:r w:rsidRPr="004001D1">
        <w:rPr>
          <w:rFonts w:ascii="Arial" w:hAnsi="Arial"/>
          <w:sz w:val="22"/>
        </w:rPr>
        <w:t xml:space="preserve">exécution, mais aussi pendant </w:t>
      </w:r>
      <w:r w:rsidR="00E7012C">
        <w:rPr>
          <w:rFonts w:ascii="Arial" w:hAnsi="Arial"/>
          <w:sz w:val="22"/>
        </w:rPr>
        <w:t xml:space="preserve">la poursuite de la réalisation de </w:t>
      </w:r>
      <w:r w:rsidRPr="004001D1">
        <w:rPr>
          <w:rFonts w:ascii="Arial" w:hAnsi="Arial"/>
          <w:sz w:val="22"/>
        </w:rPr>
        <w:t>l</w:t>
      </w:r>
      <w:r w:rsidR="0055538F">
        <w:rPr>
          <w:rFonts w:ascii="Arial" w:hAnsi="Arial"/>
          <w:sz w:val="22"/>
        </w:rPr>
        <w:t>’</w:t>
      </w:r>
      <w:r w:rsidRPr="004001D1">
        <w:rPr>
          <w:rFonts w:ascii="Arial" w:hAnsi="Arial"/>
          <w:sz w:val="22"/>
        </w:rPr>
        <w:t xml:space="preserve">inventaire </w:t>
      </w:r>
      <w:r w:rsidR="00E7012C">
        <w:rPr>
          <w:rFonts w:ascii="Arial" w:hAnsi="Arial"/>
          <w:sz w:val="22"/>
        </w:rPr>
        <w:t xml:space="preserve">avec la participation des </w:t>
      </w:r>
      <w:r w:rsidRPr="004001D1">
        <w:rPr>
          <w:rFonts w:ascii="Arial" w:hAnsi="Arial"/>
          <w:sz w:val="22"/>
        </w:rPr>
        <w:t>communaut</w:t>
      </w:r>
      <w:r w:rsidR="00E7012C">
        <w:rPr>
          <w:rFonts w:ascii="Arial" w:hAnsi="Arial"/>
          <w:sz w:val="22"/>
        </w:rPr>
        <w:t>és</w:t>
      </w:r>
      <w:r w:rsidRPr="004001D1">
        <w:rPr>
          <w:rFonts w:ascii="Arial" w:hAnsi="Arial"/>
          <w:sz w:val="22"/>
        </w:rPr>
        <w:t xml:space="preserve"> dans</w:t>
      </w:r>
      <w:r w:rsidR="0055538F">
        <w:rPr>
          <w:rFonts w:ascii="Arial" w:hAnsi="Arial"/>
          <w:sz w:val="22"/>
        </w:rPr>
        <w:t xml:space="preserve"> les parties du pays restantes</w:t>
      </w:r>
      <w:r w:rsidR="00D963CC">
        <w:rPr>
          <w:rFonts w:ascii="Arial" w:hAnsi="Arial"/>
          <w:sz w:val="22"/>
        </w:rPr>
        <w:t>.</w:t>
      </w:r>
    </w:p>
    <w:sectPr w:rsidR="0053318C" w:rsidRPr="00A81997" w:rsidSect="00655736">
      <w:headerReference w:type="even" r:id="rId12"/>
      <w:headerReference w:type="default" r:id="rId13"/>
      <w:headerReference w:type="first" r:id="rId14"/>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02B" w:rsidRDefault="0056402B" w:rsidP="00655736">
      <w:r>
        <w:separator/>
      </w:r>
    </w:p>
  </w:endnote>
  <w:endnote w:type="continuationSeparator" w:id="0">
    <w:p w:rsidR="0056402B" w:rsidRDefault="0056402B"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02B" w:rsidRDefault="0056402B" w:rsidP="00655736">
      <w:r>
        <w:separator/>
      </w:r>
    </w:p>
  </w:footnote>
  <w:footnote w:type="continuationSeparator" w:id="0">
    <w:p w:rsidR="0056402B" w:rsidRDefault="0056402B"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C4C" w:rsidRPr="00C23A97" w:rsidRDefault="00CB0542" w:rsidP="001D14FE">
    <w:pPr>
      <w:pStyle w:val="Header"/>
      <w:rPr>
        <w:rFonts w:ascii="Arial" w:hAnsi="Arial" w:cs="Arial"/>
      </w:rPr>
    </w:pPr>
    <w:r>
      <w:rPr>
        <w:rFonts w:ascii="Arial" w:hAnsi="Arial"/>
        <w:sz w:val="20"/>
      </w:rPr>
      <w:t xml:space="preserve">ITH/18/13.COM/10.d – page </w:t>
    </w:r>
    <w:r w:rsidR="00D95C4C" w:rsidRPr="00C23A97">
      <w:rPr>
        <w:rStyle w:val="PageNumber"/>
        <w:rFonts w:ascii="Arial" w:hAnsi="Arial" w:cs="Arial"/>
        <w:sz w:val="20"/>
        <w:szCs w:val="20"/>
      </w:rPr>
      <w:fldChar w:fldCharType="begin"/>
    </w:r>
    <w:r w:rsidR="00D95C4C" w:rsidRPr="00C23A97">
      <w:rPr>
        <w:rStyle w:val="PageNumber"/>
        <w:rFonts w:ascii="Arial" w:hAnsi="Arial" w:cs="Arial"/>
        <w:sz w:val="20"/>
        <w:szCs w:val="20"/>
      </w:rPr>
      <w:instrText xml:space="preserve"> PAGE </w:instrText>
    </w:r>
    <w:r w:rsidR="00D95C4C" w:rsidRPr="00C23A97">
      <w:rPr>
        <w:rStyle w:val="PageNumber"/>
        <w:rFonts w:ascii="Arial" w:hAnsi="Arial" w:cs="Arial"/>
        <w:sz w:val="20"/>
        <w:szCs w:val="20"/>
      </w:rPr>
      <w:fldChar w:fldCharType="separate"/>
    </w:r>
    <w:r w:rsidR="00890397">
      <w:rPr>
        <w:rStyle w:val="PageNumber"/>
        <w:rFonts w:ascii="Arial" w:hAnsi="Arial" w:cs="Arial"/>
        <w:noProof/>
        <w:sz w:val="20"/>
        <w:szCs w:val="20"/>
      </w:rPr>
      <w:t>4</w:t>
    </w:r>
    <w:r w:rsidR="00D95C4C"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C4C" w:rsidRPr="0063300C" w:rsidRDefault="0053318C" w:rsidP="001D14FE">
    <w:pPr>
      <w:pStyle w:val="Header"/>
      <w:jc w:val="right"/>
      <w:rPr>
        <w:rFonts w:ascii="Arial" w:hAnsi="Arial" w:cs="Arial"/>
      </w:rPr>
    </w:pPr>
    <w:r>
      <w:rPr>
        <w:rFonts w:ascii="Arial" w:hAnsi="Arial"/>
        <w:sz w:val="20"/>
      </w:rPr>
      <w:t xml:space="preserve">ITH/18/13.COM/10.d – page </w:t>
    </w:r>
    <w:r w:rsidR="004A34A0" w:rsidRPr="0063300C">
      <w:rPr>
        <w:rStyle w:val="PageNumber"/>
        <w:rFonts w:ascii="Arial" w:hAnsi="Arial" w:cs="Arial"/>
        <w:sz w:val="20"/>
        <w:szCs w:val="20"/>
      </w:rPr>
      <w:fldChar w:fldCharType="begin"/>
    </w:r>
    <w:r w:rsidR="004A34A0" w:rsidRPr="0063300C">
      <w:rPr>
        <w:rStyle w:val="PageNumber"/>
        <w:rFonts w:ascii="Arial" w:hAnsi="Arial" w:cs="Arial"/>
        <w:sz w:val="20"/>
        <w:szCs w:val="20"/>
      </w:rPr>
      <w:instrText xml:space="preserve"> PAGE </w:instrText>
    </w:r>
    <w:r w:rsidR="004A34A0" w:rsidRPr="0063300C">
      <w:rPr>
        <w:rStyle w:val="PageNumber"/>
        <w:rFonts w:ascii="Arial" w:hAnsi="Arial" w:cs="Arial"/>
        <w:sz w:val="20"/>
        <w:szCs w:val="20"/>
      </w:rPr>
      <w:fldChar w:fldCharType="separate"/>
    </w:r>
    <w:r w:rsidR="00890397">
      <w:rPr>
        <w:rStyle w:val="PageNumber"/>
        <w:rFonts w:ascii="Arial" w:hAnsi="Arial" w:cs="Arial"/>
        <w:noProof/>
        <w:sz w:val="20"/>
        <w:szCs w:val="20"/>
      </w:rPr>
      <w:t>3</w:t>
    </w:r>
    <w:r w:rsidR="004A34A0" w:rsidRPr="0063300C">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C4C" w:rsidRPr="00E95AE2" w:rsidRDefault="0055538F">
    <w:pPr>
      <w:pStyle w:val="Header"/>
      <w:rPr>
        <w:sz w:val="22"/>
        <w:szCs w:val="22"/>
      </w:rPr>
    </w:pPr>
    <w:r>
      <w:rPr>
        <w:noProof/>
        <w:lang w:val="en-US" w:eastAsia="ko-KR" w:bidi="ar-SA"/>
      </w:rPr>
      <w:drawing>
        <wp:anchor distT="0" distB="0" distL="114300" distR="114300" simplePos="0" relativeHeight="251659264" behindDoc="0" locked="0" layoutInCell="1" allowOverlap="1" wp14:anchorId="1FD6E45C" wp14:editId="12035A91">
          <wp:simplePos x="0" y="0"/>
          <wp:positionH relativeFrom="page">
            <wp:posOffset>342265</wp:posOffset>
          </wp:positionH>
          <wp:positionV relativeFrom="page">
            <wp:posOffset>255905</wp:posOffset>
          </wp:positionV>
          <wp:extent cx="2037600" cy="1530000"/>
          <wp:effectExtent l="0" t="0" r="127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5C4C" w:rsidRPr="004001D1" w:rsidRDefault="00337CEB" w:rsidP="001D14FE">
    <w:pPr>
      <w:pStyle w:val="Header"/>
      <w:spacing w:after="520"/>
      <w:jc w:val="right"/>
      <w:rPr>
        <w:rFonts w:ascii="Arial" w:hAnsi="Arial" w:cs="Arial"/>
        <w:b/>
        <w:sz w:val="44"/>
        <w:szCs w:val="44"/>
        <w:lang w:val="pt-PT"/>
      </w:rPr>
    </w:pPr>
    <w:r w:rsidRPr="004001D1">
      <w:rPr>
        <w:rFonts w:ascii="Arial" w:hAnsi="Arial"/>
        <w:b/>
        <w:sz w:val="44"/>
        <w:lang w:val="pt-PT"/>
      </w:rPr>
      <w:t>13 COM</w:t>
    </w:r>
  </w:p>
  <w:p w:rsidR="00D95C4C" w:rsidRPr="004001D1" w:rsidRDefault="00337CEB" w:rsidP="001D14FE">
    <w:pPr>
      <w:jc w:val="right"/>
      <w:rPr>
        <w:rFonts w:ascii="Arial" w:hAnsi="Arial" w:cs="Arial"/>
        <w:b/>
        <w:sz w:val="22"/>
        <w:szCs w:val="22"/>
        <w:lang w:val="pt-PT"/>
      </w:rPr>
    </w:pPr>
    <w:r w:rsidRPr="004001D1">
      <w:rPr>
        <w:rFonts w:ascii="Arial" w:hAnsi="Arial"/>
        <w:b/>
        <w:sz w:val="22"/>
        <w:lang w:val="pt-PT"/>
      </w:rPr>
      <w:t>ITH/18/13.COM/10.d</w:t>
    </w:r>
  </w:p>
  <w:p w:rsidR="00D95C4C" w:rsidRPr="004001D1" w:rsidRDefault="00D95C4C" w:rsidP="00890397">
    <w:pPr>
      <w:jc w:val="right"/>
      <w:rPr>
        <w:rFonts w:ascii="Arial" w:eastAsiaTheme="minorEastAsia" w:hAnsi="Arial" w:cs="Arial"/>
        <w:b/>
        <w:sz w:val="22"/>
        <w:szCs w:val="22"/>
        <w:lang w:val="pt-PT"/>
      </w:rPr>
    </w:pPr>
    <w:r w:rsidRPr="004001D1">
      <w:rPr>
        <w:rFonts w:ascii="Arial" w:hAnsi="Arial"/>
        <w:b/>
        <w:sz w:val="22"/>
        <w:lang w:val="pt-PT"/>
      </w:rPr>
      <w:t>Paris,</w:t>
    </w:r>
    <w:r w:rsidR="0055538F">
      <w:rPr>
        <w:rFonts w:ascii="Arial" w:hAnsi="Arial"/>
        <w:b/>
        <w:sz w:val="22"/>
        <w:lang w:val="pt-PT"/>
      </w:rPr>
      <w:t xml:space="preserve"> le</w:t>
    </w:r>
    <w:r w:rsidRPr="004001D1">
      <w:rPr>
        <w:rFonts w:ascii="Arial" w:hAnsi="Arial"/>
        <w:b/>
        <w:sz w:val="22"/>
        <w:lang w:val="pt-PT"/>
      </w:rPr>
      <w:t xml:space="preserve"> </w:t>
    </w:r>
    <w:r w:rsidR="00890397">
      <w:rPr>
        <w:rFonts w:ascii="Arial" w:hAnsi="Arial"/>
        <w:b/>
        <w:sz w:val="22"/>
        <w:lang w:val="pt-PT"/>
      </w:rPr>
      <w:t>24</w:t>
    </w:r>
    <w:r w:rsidR="003716CA">
      <w:rPr>
        <w:rFonts w:ascii="Arial" w:hAnsi="Arial"/>
        <w:b/>
        <w:sz w:val="22"/>
        <w:lang w:val="pt-PT"/>
      </w:rPr>
      <w:t xml:space="preserve"> octobre</w:t>
    </w:r>
    <w:r w:rsidRPr="004001D1">
      <w:rPr>
        <w:rFonts w:ascii="Arial" w:hAnsi="Arial"/>
        <w:b/>
        <w:sz w:val="22"/>
        <w:lang w:val="pt-PT"/>
      </w:rPr>
      <w:t xml:space="preserve"> 2018</w:t>
    </w:r>
  </w:p>
  <w:p w:rsidR="00D95C4C" w:rsidRPr="00F32C23" w:rsidRDefault="0055538F" w:rsidP="000048ED">
    <w:pPr>
      <w:jc w:val="right"/>
      <w:rPr>
        <w:rFonts w:ascii="Arial" w:hAnsi="Arial" w:cs="Arial"/>
        <w:b/>
        <w:sz w:val="22"/>
        <w:szCs w:val="22"/>
      </w:rPr>
    </w:pPr>
    <w:r>
      <w:rPr>
        <w:rFonts w:ascii="Arial" w:hAnsi="Arial"/>
        <w:b/>
        <w:sz w:val="22"/>
      </w:rPr>
      <w:t>Original : a</w:t>
    </w:r>
    <w:r w:rsidR="00D95C4C">
      <w:rPr>
        <w:rFonts w:ascii="Arial" w:hAnsi="Arial"/>
        <w:b/>
        <w:sz w:val="22"/>
      </w:rPr>
      <w:t>nglais</w:t>
    </w:r>
  </w:p>
  <w:p w:rsidR="00D95C4C" w:rsidRPr="00E95AE2" w:rsidRDefault="00D95C4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8DF1C0E"/>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1" w15:restartNumberingAfterBreak="0">
    <w:nsid w:val="5ED01A0A"/>
    <w:multiLevelType w:val="hybridMultilevel"/>
    <w:tmpl w:val="03CAD052"/>
    <w:lvl w:ilvl="0" w:tplc="C81ED8EA">
      <w:start w:val="1"/>
      <w:numFmt w:val="upperLetter"/>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5"/>
  </w:num>
  <w:num w:numId="3">
    <w:abstractNumId w:val="1"/>
  </w:num>
  <w:num w:numId="4">
    <w:abstractNumId w:val="13"/>
  </w:num>
  <w:num w:numId="5">
    <w:abstractNumId w:val="12"/>
  </w:num>
  <w:num w:numId="6">
    <w:abstractNumId w:val="0"/>
  </w:num>
  <w:num w:numId="7">
    <w:abstractNumId w:val="2"/>
  </w:num>
  <w:num w:numId="8">
    <w:abstractNumId w:val="9"/>
  </w:num>
  <w:num w:numId="9">
    <w:abstractNumId w:val="4"/>
  </w:num>
  <w:num w:numId="10">
    <w:abstractNumId w:val="6"/>
  </w:num>
  <w:num w:numId="11">
    <w:abstractNumId w:val="8"/>
  </w:num>
  <w:num w:numId="12">
    <w:abstractNumId w:val="7"/>
  </w:num>
  <w:num w:numId="13">
    <w:abstractNumId w:val="3"/>
  </w:num>
  <w:num w:numId="14">
    <w:abstractNumId w:val="11"/>
  </w:num>
  <w:num w:numId="1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48ED"/>
    <w:rsid w:val="00041A66"/>
    <w:rsid w:val="0005176E"/>
    <w:rsid w:val="000765F7"/>
    <w:rsid w:val="00077AB7"/>
    <w:rsid w:val="00081CD8"/>
    <w:rsid w:val="00092D07"/>
    <w:rsid w:val="000A7F0E"/>
    <w:rsid w:val="000B1C8F"/>
    <w:rsid w:val="000C0D61"/>
    <w:rsid w:val="000F3A3F"/>
    <w:rsid w:val="00102557"/>
    <w:rsid w:val="00107741"/>
    <w:rsid w:val="001077C4"/>
    <w:rsid w:val="001112E1"/>
    <w:rsid w:val="00164D56"/>
    <w:rsid w:val="00167B10"/>
    <w:rsid w:val="0017402F"/>
    <w:rsid w:val="00196C1B"/>
    <w:rsid w:val="001B0F73"/>
    <w:rsid w:val="001C2DB7"/>
    <w:rsid w:val="001D14FE"/>
    <w:rsid w:val="001D5C04"/>
    <w:rsid w:val="001F26CF"/>
    <w:rsid w:val="00222A2D"/>
    <w:rsid w:val="00223029"/>
    <w:rsid w:val="00234745"/>
    <w:rsid w:val="002351A6"/>
    <w:rsid w:val="002407AF"/>
    <w:rsid w:val="0027466B"/>
    <w:rsid w:val="002838A5"/>
    <w:rsid w:val="00285BB4"/>
    <w:rsid w:val="00292763"/>
    <w:rsid w:val="002B0D46"/>
    <w:rsid w:val="002C09E3"/>
    <w:rsid w:val="002D2B28"/>
    <w:rsid w:val="00305FE1"/>
    <w:rsid w:val="00321252"/>
    <w:rsid w:val="00337CEB"/>
    <w:rsid w:val="00343FB6"/>
    <w:rsid w:val="00344B58"/>
    <w:rsid w:val="0034539A"/>
    <w:rsid w:val="00345CB4"/>
    <w:rsid w:val="0036579F"/>
    <w:rsid w:val="003716CA"/>
    <w:rsid w:val="00375D42"/>
    <w:rsid w:val="003950DF"/>
    <w:rsid w:val="003D069C"/>
    <w:rsid w:val="003D7646"/>
    <w:rsid w:val="003F113A"/>
    <w:rsid w:val="003F3E63"/>
    <w:rsid w:val="004001D1"/>
    <w:rsid w:val="00407480"/>
    <w:rsid w:val="00414643"/>
    <w:rsid w:val="00421980"/>
    <w:rsid w:val="004421E5"/>
    <w:rsid w:val="00451D58"/>
    <w:rsid w:val="00452284"/>
    <w:rsid w:val="00457C8E"/>
    <w:rsid w:val="004856CA"/>
    <w:rsid w:val="00487E67"/>
    <w:rsid w:val="0049705E"/>
    <w:rsid w:val="004A34A0"/>
    <w:rsid w:val="004D4AD1"/>
    <w:rsid w:val="004F01FE"/>
    <w:rsid w:val="005008A8"/>
    <w:rsid w:val="00526B7B"/>
    <w:rsid w:val="005308CE"/>
    <w:rsid w:val="0053318C"/>
    <w:rsid w:val="0055538F"/>
    <w:rsid w:val="0056402B"/>
    <w:rsid w:val="0057439C"/>
    <w:rsid w:val="005B0127"/>
    <w:rsid w:val="005B7A35"/>
    <w:rsid w:val="005C4B73"/>
    <w:rsid w:val="005E1D2B"/>
    <w:rsid w:val="005E7074"/>
    <w:rsid w:val="005F2BAF"/>
    <w:rsid w:val="00600D93"/>
    <w:rsid w:val="0063300C"/>
    <w:rsid w:val="00655736"/>
    <w:rsid w:val="00663B8D"/>
    <w:rsid w:val="00671085"/>
    <w:rsid w:val="00696C8D"/>
    <w:rsid w:val="006A2AC2"/>
    <w:rsid w:val="006A3617"/>
    <w:rsid w:val="006E46E4"/>
    <w:rsid w:val="00711D1B"/>
    <w:rsid w:val="00717DA5"/>
    <w:rsid w:val="00744484"/>
    <w:rsid w:val="00747566"/>
    <w:rsid w:val="00773188"/>
    <w:rsid w:val="00783782"/>
    <w:rsid w:val="00784B8C"/>
    <w:rsid w:val="007879E1"/>
    <w:rsid w:val="007C4C84"/>
    <w:rsid w:val="00823A11"/>
    <w:rsid w:val="0085405E"/>
    <w:rsid w:val="0085414A"/>
    <w:rsid w:val="0086269D"/>
    <w:rsid w:val="0086543A"/>
    <w:rsid w:val="008724E5"/>
    <w:rsid w:val="00884A9D"/>
    <w:rsid w:val="0088512B"/>
    <w:rsid w:val="00890397"/>
    <w:rsid w:val="00893384"/>
    <w:rsid w:val="008A2B2D"/>
    <w:rsid w:val="008A4E1E"/>
    <w:rsid w:val="008C296C"/>
    <w:rsid w:val="008D4305"/>
    <w:rsid w:val="008D5417"/>
    <w:rsid w:val="008E1A85"/>
    <w:rsid w:val="009163A7"/>
    <w:rsid w:val="00946D0B"/>
    <w:rsid w:val="00955877"/>
    <w:rsid w:val="009911E7"/>
    <w:rsid w:val="009A18CD"/>
    <w:rsid w:val="009D5428"/>
    <w:rsid w:val="00A12558"/>
    <w:rsid w:val="00A13903"/>
    <w:rsid w:val="00A34ED5"/>
    <w:rsid w:val="00A45DBF"/>
    <w:rsid w:val="00A755A2"/>
    <w:rsid w:val="00A81997"/>
    <w:rsid w:val="00AA6660"/>
    <w:rsid w:val="00AB2C36"/>
    <w:rsid w:val="00AB6DDE"/>
    <w:rsid w:val="00AB70B6"/>
    <w:rsid w:val="00AD1A86"/>
    <w:rsid w:val="00AE103E"/>
    <w:rsid w:val="00AF0A07"/>
    <w:rsid w:val="00AF4AEC"/>
    <w:rsid w:val="00AF625E"/>
    <w:rsid w:val="00B01319"/>
    <w:rsid w:val="00BB04AF"/>
    <w:rsid w:val="00BD52C9"/>
    <w:rsid w:val="00BD5A0C"/>
    <w:rsid w:val="00BE6354"/>
    <w:rsid w:val="00C138D1"/>
    <w:rsid w:val="00C23A97"/>
    <w:rsid w:val="00C43C40"/>
    <w:rsid w:val="00C64855"/>
    <w:rsid w:val="00C70EA7"/>
    <w:rsid w:val="00C7433F"/>
    <w:rsid w:val="00C7516E"/>
    <w:rsid w:val="00C75770"/>
    <w:rsid w:val="00CA56BB"/>
    <w:rsid w:val="00CB0542"/>
    <w:rsid w:val="00CB56CA"/>
    <w:rsid w:val="00CE1E54"/>
    <w:rsid w:val="00D00B2B"/>
    <w:rsid w:val="00D24877"/>
    <w:rsid w:val="00D446D4"/>
    <w:rsid w:val="00D67D4B"/>
    <w:rsid w:val="00D8250F"/>
    <w:rsid w:val="00D95C4C"/>
    <w:rsid w:val="00D963CC"/>
    <w:rsid w:val="00DA36ED"/>
    <w:rsid w:val="00DE34F1"/>
    <w:rsid w:val="00DE6160"/>
    <w:rsid w:val="00DF4942"/>
    <w:rsid w:val="00E20425"/>
    <w:rsid w:val="00E244E1"/>
    <w:rsid w:val="00E41E80"/>
    <w:rsid w:val="00E627B1"/>
    <w:rsid w:val="00E7012C"/>
    <w:rsid w:val="00E70169"/>
    <w:rsid w:val="00E9376C"/>
    <w:rsid w:val="00E95AE2"/>
    <w:rsid w:val="00EA335E"/>
    <w:rsid w:val="00EA528C"/>
    <w:rsid w:val="00EA580C"/>
    <w:rsid w:val="00EC6F8D"/>
    <w:rsid w:val="00EE49F4"/>
    <w:rsid w:val="00EF34E2"/>
    <w:rsid w:val="00F222FC"/>
    <w:rsid w:val="00F30DC6"/>
    <w:rsid w:val="00F32C23"/>
    <w:rsid w:val="00F53DE9"/>
    <w:rsid w:val="00F576CB"/>
    <w:rsid w:val="00F7035D"/>
    <w:rsid w:val="00F71A02"/>
    <w:rsid w:val="00FA0D63"/>
    <w:rsid w:val="00FB7FCE"/>
    <w:rsid w:val="00FD1226"/>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D4C53E"/>
  <w15:docId w15:val="{CCCA5A09-B4BA-41A8-9417-7DCE51E9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fr-FR"/>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fr-FR"/>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950DF"/>
    <w:rPr>
      <w:sz w:val="16"/>
      <w:szCs w:val="16"/>
    </w:rPr>
  </w:style>
  <w:style w:type="paragraph" w:styleId="CommentText">
    <w:name w:val="annotation text"/>
    <w:basedOn w:val="Normal"/>
    <w:link w:val="CommentTextChar"/>
    <w:uiPriority w:val="99"/>
    <w:semiHidden/>
    <w:unhideWhenUsed/>
    <w:rsid w:val="003950DF"/>
    <w:rPr>
      <w:rFonts w:ascii="Arial" w:hAnsi="Arial"/>
      <w:sz w:val="20"/>
      <w:szCs w:val="20"/>
    </w:rPr>
  </w:style>
  <w:style w:type="character" w:customStyle="1" w:styleId="CommentTextChar">
    <w:name w:val="Comment Text Char"/>
    <w:basedOn w:val="DefaultParagraphFont"/>
    <w:link w:val="CommentText"/>
    <w:uiPriority w:val="99"/>
    <w:semiHidden/>
    <w:rsid w:val="003950DF"/>
    <w:rPr>
      <w:rFonts w:ascii="Arial" w:eastAsia="Times New Roman" w:hAnsi="Arial"/>
      <w:lang w:val="fr-FR"/>
    </w:rPr>
  </w:style>
  <w:style w:type="character" w:styleId="Hyperlink">
    <w:name w:val="Hyperlink"/>
    <w:rsid w:val="003950DF"/>
    <w:rPr>
      <w:rFonts w:cs="Times New Roman"/>
      <w:color w:val="0000FF"/>
      <w:u w:val="single"/>
    </w:rPr>
  </w:style>
  <w:style w:type="paragraph" w:customStyle="1" w:styleId="DocMain">
    <w:name w:val="Doc_Main"/>
    <w:basedOn w:val="Normal"/>
    <w:rsid w:val="003950DF"/>
    <w:pPr>
      <w:spacing w:before="240" w:after="240"/>
      <w:ind w:left="720" w:hanging="360"/>
      <w:jc w:val="both"/>
    </w:pPr>
    <w:rPr>
      <w:rFonts w:ascii="Arial" w:eastAsia="SimSun" w:hAnsi="Arial" w:cs="Arial"/>
      <w:sz w:val="22"/>
      <w:szCs w:val="22"/>
    </w:rPr>
  </w:style>
  <w:style w:type="paragraph" w:customStyle="1" w:styleId="NoSpacing1">
    <w:name w:val="No Spacing1"/>
    <w:rsid w:val="003950DF"/>
    <w:rPr>
      <w:sz w:val="22"/>
      <w:szCs w:val="22"/>
    </w:rPr>
  </w:style>
  <w:style w:type="character" w:styleId="FollowedHyperlink">
    <w:name w:val="FollowedHyperlink"/>
    <w:basedOn w:val="DefaultParagraphFont"/>
    <w:uiPriority w:val="99"/>
    <w:semiHidden/>
    <w:unhideWhenUsed/>
    <w:rsid w:val="00E2042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D2B28"/>
    <w:rPr>
      <w:rFonts w:ascii="Times New Roman" w:hAnsi="Times New Roman"/>
      <w:b/>
      <w:bCs/>
    </w:rPr>
  </w:style>
  <w:style w:type="character" w:customStyle="1" w:styleId="CommentSubjectChar">
    <w:name w:val="Comment Subject Char"/>
    <w:basedOn w:val="CommentTextChar"/>
    <w:link w:val="CommentSubject"/>
    <w:uiPriority w:val="99"/>
    <w:semiHidden/>
    <w:rsid w:val="002D2B28"/>
    <w:rPr>
      <w:rFonts w:ascii="Times New Roman" w:eastAsia="Times New Roman" w:hAnsi="Times New Roman"/>
      <w:b/>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ITH-18-13.COM-10-FR.doc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Recommends_that_the_committee_refer"/><Relationship Id="rId4" Type="http://schemas.openxmlformats.org/officeDocument/2006/relationships/settings" Target="settings.xml"/><Relationship Id="rId9" Type="http://schemas.openxmlformats.org/officeDocument/2006/relationships/hyperlink" Target="https://ich.unesco.org/fr/10d-demandes-dassistance-internationale-01015"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F0D3D-D202-4342-B518-A25A1AA29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2</TotalTime>
  <Pages>4</Pages>
  <Words>1629</Words>
  <Characters>9286</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Shin, Eunkyung</cp:lastModifiedBy>
  <cp:revision>3</cp:revision>
  <cp:lastPrinted>2011-08-06T10:22:00Z</cp:lastPrinted>
  <dcterms:created xsi:type="dcterms:W3CDTF">2018-10-23T08:29:00Z</dcterms:created>
  <dcterms:modified xsi:type="dcterms:W3CDTF">2018-10-24T08:28:00Z</dcterms:modified>
</cp:coreProperties>
</file>